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6804"/>
        <w:gridCol w:w="2835"/>
      </w:tblGrid>
      <w:tr w:rsidR="00421A10" w:rsidRPr="002C5876" w:rsidTr="00227437">
        <w:trPr>
          <w:trHeight w:hRule="exact" w:val="851"/>
        </w:trPr>
        <w:tc>
          <w:tcPr>
            <w:tcW w:w="9639" w:type="dxa"/>
            <w:gridSpan w:val="2"/>
            <w:tcBorders>
              <w:bottom w:val="single" w:sz="4" w:space="0" w:color="auto"/>
            </w:tcBorders>
            <w:shd w:val="clear" w:color="auto" w:fill="auto"/>
            <w:vAlign w:val="bottom"/>
          </w:tcPr>
          <w:p w:rsidR="00421A10" w:rsidRPr="002C5876" w:rsidRDefault="00E24DB7" w:rsidP="00E24DB7">
            <w:pPr>
              <w:jc w:val="right"/>
            </w:pPr>
            <w:bookmarkStart w:id="0" w:name="_GoBack"/>
            <w:bookmarkEnd w:id="0"/>
            <w:r w:rsidRPr="002C5876">
              <w:rPr>
                <w:sz w:val="40"/>
              </w:rPr>
              <w:t>ECE</w:t>
            </w:r>
            <w:r w:rsidRPr="002C5876">
              <w:t>/TRANS/180/Add.15/Amend.4</w:t>
            </w:r>
          </w:p>
        </w:tc>
      </w:tr>
      <w:tr w:rsidR="00421A10" w:rsidRPr="002C5876" w:rsidTr="00227437">
        <w:trPr>
          <w:trHeight w:hRule="exact" w:val="2835"/>
        </w:trPr>
        <w:tc>
          <w:tcPr>
            <w:tcW w:w="6804" w:type="dxa"/>
            <w:tcBorders>
              <w:top w:val="single" w:sz="4" w:space="0" w:color="auto"/>
              <w:bottom w:val="single" w:sz="12" w:space="0" w:color="auto"/>
            </w:tcBorders>
            <w:shd w:val="clear" w:color="auto" w:fill="auto"/>
          </w:tcPr>
          <w:p w:rsidR="00421A10" w:rsidRPr="002C5876" w:rsidRDefault="00421A10" w:rsidP="00227437">
            <w:pPr>
              <w:spacing w:before="120" w:line="380" w:lineRule="exact"/>
            </w:pPr>
          </w:p>
        </w:tc>
        <w:tc>
          <w:tcPr>
            <w:tcW w:w="2835" w:type="dxa"/>
            <w:tcBorders>
              <w:top w:val="single" w:sz="4" w:space="0" w:color="auto"/>
              <w:bottom w:val="single" w:sz="12" w:space="0" w:color="auto"/>
            </w:tcBorders>
            <w:shd w:val="clear" w:color="auto" w:fill="auto"/>
          </w:tcPr>
          <w:p w:rsidR="00421A10" w:rsidRPr="002C5876" w:rsidRDefault="00E24DB7" w:rsidP="00227437">
            <w:pPr>
              <w:spacing w:before="480" w:line="240" w:lineRule="exact"/>
            </w:pPr>
            <w:r w:rsidRPr="002C5876">
              <w:t>20 septembre 2018</w:t>
            </w:r>
          </w:p>
        </w:tc>
      </w:tr>
    </w:tbl>
    <w:p w:rsidR="00421A10" w:rsidRPr="002C5876" w:rsidRDefault="0029791D" w:rsidP="0029791D">
      <w:pPr>
        <w:pStyle w:val="HChG"/>
      </w:pPr>
      <w:r w:rsidRPr="002C5876">
        <w:tab/>
      </w:r>
      <w:r w:rsidRPr="002C5876">
        <w:tab/>
      </w:r>
      <w:r w:rsidR="00267CF8" w:rsidRPr="002C5876">
        <w:t>Registre mondial</w:t>
      </w:r>
    </w:p>
    <w:p w:rsidR="00421A10" w:rsidRPr="002C5876" w:rsidRDefault="0029791D" w:rsidP="0029791D">
      <w:pPr>
        <w:pStyle w:val="H1G"/>
      </w:pPr>
      <w:r w:rsidRPr="002C5876">
        <w:tab/>
      </w:r>
      <w:r w:rsidRPr="002C5876">
        <w:tab/>
      </w:r>
      <w:r w:rsidR="00267CF8" w:rsidRPr="002C5876">
        <w:t>Élaboré le 18</w:t>
      </w:r>
      <w:r w:rsidR="00AE3389" w:rsidRPr="002C5876">
        <w:t> </w:t>
      </w:r>
      <w:r w:rsidR="00267CF8" w:rsidRPr="002C5876">
        <w:t>novembre 2004, conformément à l’article</w:t>
      </w:r>
      <w:r w:rsidR="00AE3389" w:rsidRPr="002C5876">
        <w:t> </w:t>
      </w:r>
      <w:r w:rsidR="00267CF8" w:rsidRPr="002C5876">
        <w:t>6 de l’Accord concernant l’établissement de règlements techniques mondiaux applicables aux véhicules à roues, ainsi qu’aux équipements et pièces</w:t>
      </w:r>
      <w:r w:rsidR="00267CF8" w:rsidRPr="002C5876">
        <w:br/>
        <w:t>qui peuvent être montés et/ou utilisés sur les véhicules à roues (ECE/TRANS/132 et Corr.1) en date, à Genève, du 25 juin 1998</w:t>
      </w:r>
    </w:p>
    <w:p w:rsidR="00421A10" w:rsidRPr="002C5876" w:rsidRDefault="0029791D" w:rsidP="0029791D">
      <w:pPr>
        <w:pStyle w:val="HChG"/>
      </w:pPr>
      <w:r w:rsidRPr="002C5876">
        <w:tab/>
      </w:r>
      <w:r w:rsidRPr="002C5876">
        <w:tab/>
      </w:r>
      <w:r w:rsidR="00421A10" w:rsidRPr="002C5876">
        <w:t xml:space="preserve">Additif </w:t>
      </w:r>
      <w:r w:rsidR="00E24DB7" w:rsidRPr="002C5876">
        <w:t>15</w:t>
      </w:r>
      <w:r w:rsidR="00267CF8" w:rsidRPr="002C5876">
        <w:t xml:space="preserve"> : </w:t>
      </w:r>
      <w:r w:rsidR="00421A10" w:rsidRPr="002C5876">
        <w:t xml:space="preserve">Règlement </w:t>
      </w:r>
      <w:r w:rsidR="00267CF8" w:rsidRPr="002C5876">
        <w:t xml:space="preserve">technique mondial </w:t>
      </w:r>
      <w:r w:rsidR="000B0996" w:rsidRPr="002C5876">
        <w:t>ONU</w:t>
      </w:r>
      <w:r w:rsidR="00AE3389" w:rsidRPr="002C5876">
        <w:t> </w:t>
      </w:r>
      <w:r w:rsidR="00AE3389" w:rsidRPr="002C5876">
        <w:rPr>
          <w:rFonts w:eastAsia="MS Mincho"/>
          <w:szCs w:val="22"/>
        </w:rPr>
        <w:t>n</w:t>
      </w:r>
      <w:r w:rsidR="00AE3389" w:rsidRPr="002C5876">
        <w:rPr>
          <w:rFonts w:eastAsia="MS Mincho"/>
          <w:szCs w:val="22"/>
          <w:vertAlign w:val="superscript"/>
        </w:rPr>
        <w:t>o</w:t>
      </w:r>
      <w:r w:rsidR="00AE3389" w:rsidRPr="002C5876">
        <w:t> </w:t>
      </w:r>
      <w:r w:rsidR="00E24DB7" w:rsidRPr="002C5876">
        <w:t>15</w:t>
      </w:r>
    </w:p>
    <w:p w:rsidR="00421A10" w:rsidRPr="002C5876" w:rsidRDefault="00AE3389" w:rsidP="00AE3389">
      <w:pPr>
        <w:pStyle w:val="H1G"/>
      </w:pPr>
      <w:r w:rsidRPr="002C5876">
        <w:tab/>
      </w:r>
      <w:r w:rsidRPr="002C5876">
        <w:tab/>
      </w:r>
      <w:r w:rsidR="00E24DB7" w:rsidRPr="002C5876">
        <w:t xml:space="preserve">Procédure d’essai mondiale harmonisée en ce qui concerne </w:t>
      </w:r>
      <w:r w:rsidRPr="002C5876">
        <w:br/>
      </w:r>
      <w:r w:rsidR="00E24DB7" w:rsidRPr="002C5876">
        <w:t xml:space="preserve">les émissions des voitures particulières et véhicules </w:t>
      </w:r>
      <w:r w:rsidRPr="002C5876">
        <w:br/>
      </w:r>
      <w:r w:rsidR="00E24DB7" w:rsidRPr="002C5876">
        <w:t>utilitaires légers (WLTP)</w:t>
      </w:r>
    </w:p>
    <w:p w:rsidR="00E24DB7" w:rsidRPr="002C5876" w:rsidRDefault="00AE3389" w:rsidP="00AE3389">
      <w:pPr>
        <w:pStyle w:val="H1G"/>
      </w:pPr>
      <w:r w:rsidRPr="002C5876">
        <w:tab/>
      </w:r>
      <w:r w:rsidRPr="002C5876">
        <w:tab/>
      </w:r>
      <w:r w:rsidR="00E24DB7" w:rsidRPr="002C5876">
        <w:t>Amendement 4</w:t>
      </w:r>
    </w:p>
    <w:p w:rsidR="00421A10" w:rsidRPr="002C5876" w:rsidRDefault="0029791D" w:rsidP="00AE3389">
      <w:pPr>
        <w:pStyle w:val="H23G"/>
      </w:pPr>
      <w:r w:rsidRPr="002C5876">
        <w:tab/>
      </w:r>
      <w:r w:rsidRPr="002C5876">
        <w:tab/>
      </w:r>
      <w:r w:rsidR="00E24DB7" w:rsidRPr="002C5876">
        <w:t>Les modifications apportées au texte actuel du Règlement technique mondial</w:t>
      </w:r>
      <w:r w:rsidR="00AE3389" w:rsidRPr="002C5876">
        <w:t> </w:t>
      </w:r>
      <w:r w:rsidR="00E24DB7" w:rsidRPr="002C5876">
        <w:t>ONU (RTM ONU) ont été incorporées dans le texte reproduit ci-après.</w:t>
      </w:r>
    </w:p>
    <w:p w:rsidR="00E24DB7" w:rsidRPr="002C5876" w:rsidRDefault="00E24DB7" w:rsidP="00E24DB7">
      <w:pPr>
        <w:pStyle w:val="SingleTxtG"/>
      </w:pPr>
      <w:r w:rsidRPr="002C5876">
        <w:t>Inscrit au Registre mondial le 20 juin 2018</w:t>
      </w:r>
    </w:p>
    <w:p w:rsidR="00E24DB7" w:rsidRPr="002C5876" w:rsidRDefault="00834EB0" w:rsidP="005F0207">
      <w:r w:rsidRPr="002C5876">
        <w:rPr>
          <w:noProof/>
          <w:lang w:val="en-GB" w:eastAsia="zh-CN"/>
        </w:rPr>
        <mc:AlternateContent>
          <mc:Choice Requires="wps">
            <w:drawing>
              <wp:anchor distT="0" distB="0" distL="114300" distR="114300" simplePos="0" relativeHeight="251271168" behindDoc="0" locked="0" layoutInCell="1" allowOverlap="1">
                <wp:simplePos x="0" y="0"/>
                <wp:positionH relativeFrom="margin">
                  <wp:posOffset>0</wp:posOffset>
                </wp:positionH>
                <wp:positionV relativeFrom="margin">
                  <wp:posOffset>7560945</wp:posOffset>
                </wp:positionV>
                <wp:extent cx="6120130" cy="1151890"/>
                <wp:effectExtent l="0" t="2540" r="0" b="0"/>
                <wp:wrapNone/>
                <wp:docPr id="1"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151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3F39" w:rsidRPr="0029791D" w:rsidRDefault="00D53F39" w:rsidP="00C65B1B">
                            <w:pPr>
                              <w:ind w:left="1134" w:right="1134"/>
                              <w:jc w:val="center"/>
                            </w:pPr>
                            <w:r>
                              <w:t>_______________</w:t>
                            </w:r>
                          </w:p>
                          <w:p w:rsidR="00D53F39" w:rsidRDefault="00D53F39" w:rsidP="00C65B1B">
                            <w:pPr>
                              <w:jc w:val="center"/>
                              <w:rPr>
                                <w:b/>
                                <w:bCs/>
                                <w:sz w:val="22"/>
                              </w:rPr>
                            </w:pPr>
                            <w:r>
                              <w:rPr>
                                <w:noProof/>
                                <w:lang w:val="en-GB" w:eastAsia="zh-CN"/>
                              </w:rPr>
                              <w:drawing>
                                <wp:inline distT="0" distB="0" distL="0" distR="0">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rsidR="00D53F39" w:rsidRDefault="00D53F39" w:rsidP="00C65B1B">
                            <w:pPr>
                              <w:jc w:val="center"/>
                            </w:pPr>
                            <w:r w:rsidRPr="0029791D">
                              <w:rPr>
                                <w:b/>
                                <w:bCs/>
                                <w:sz w:val="24"/>
                                <w:szCs w:val="24"/>
                              </w:rPr>
                              <w:t>Nations Unies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6" type="#_x0000_t202" style="position:absolute;margin-left:0;margin-top:595.35pt;width:481.9pt;height:90.7pt;z-index:251271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" stroked="f">
                <v:textbox inset="0,0,0,0">
                  <w:txbxContent>
                    <w:p w:rsidR="00D53F39" w:rsidRPr="0029791D" w:rsidRDefault="00D53F39" w:rsidP="00C65B1B">
                      <w:pPr>
                        <w:ind w:left="1134" w:right="1134"/>
                        <w:jc w:val="center"/>
                      </w:pPr>
                      <w:r>
                        <w:t>_______________</w:t>
                      </w:r>
                    </w:p>
                    <w:p w:rsidR="00D53F39" w:rsidRDefault="00D53F39" w:rsidP="00C65B1B">
                      <w:pPr>
                        <w:jc w:val="center"/>
                        <w:rPr>
                          <w:b/>
                          <w:bCs/>
                          <w:sz w:val="22"/>
                        </w:rPr>
                      </w:pPr>
                      <w:r>
                        <w:rPr>
                          <w:noProof/>
                          <w:lang w:val="en-GB" w:eastAsia="zh-CN"/>
                        </w:rPr>
                        <w:drawing>
                          <wp:inline distT="0" distB="0" distL="0" distR="0">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rsidR="00D53F39" w:rsidRDefault="00D53F39" w:rsidP="00C65B1B">
                      <w:pPr>
                        <w:jc w:val="center"/>
                      </w:pPr>
                      <w:r w:rsidRPr="0029791D">
                        <w:rPr>
                          <w:b/>
                          <w:bCs/>
                          <w:sz w:val="24"/>
                          <w:szCs w:val="24"/>
                        </w:rPr>
                        <w:t>Nations Unies</w:t>
                      </w:r>
                    </w:p>
                  </w:txbxContent>
                </v:textbox>
                <w10:wrap anchorx="margin" anchory="margin"/>
              </v:shape>
            </w:pict>
          </mc:Fallback>
        </mc:AlternateContent>
      </w:r>
    </w:p>
    <w:p w:rsidR="00E24DB7" w:rsidRPr="002C5876" w:rsidRDefault="00E24DB7" w:rsidP="005F0207">
      <w:pPr>
        <w:sectPr w:rsidR="00E24DB7" w:rsidRPr="002C5876" w:rsidSect="00E24DB7">
          <w:headerReference w:type="even" r:id="rId9"/>
          <w:headerReference w:type="default" r:id="rId10"/>
          <w:footerReference w:type="even" r:id="rId11"/>
          <w:footerReference w:type="default" r:id="rId12"/>
          <w:footerReference w:type="first" r:id="rId13"/>
          <w:endnotePr>
            <w:numFmt w:val="decimal"/>
          </w:endnotePr>
          <w:pgSz w:w="11907" w:h="16840" w:code="9"/>
          <w:pgMar w:top="1417" w:right="1134" w:bottom="1134" w:left="1134" w:header="850" w:footer="567" w:gutter="0"/>
          <w:cols w:space="720"/>
          <w:titlePg/>
          <w:docGrid w:linePitch="272"/>
        </w:sectPr>
      </w:pPr>
    </w:p>
    <w:p w:rsidR="005F0207" w:rsidRPr="002C5876" w:rsidRDefault="00E24DB7" w:rsidP="00E24DB7">
      <w:pPr>
        <w:pStyle w:val="HChG"/>
      </w:pPr>
      <w:r w:rsidRPr="002C5876">
        <w:lastRenderedPageBreak/>
        <w:tab/>
      </w:r>
      <w:r w:rsidRPr="002C5876">
        <w:tab/>
        <w:t xml:space="preserve">Règlement technique mondial ONU relatif à la procédure d’essai mondiale harmonisée en ce qui concerne </w:t>
      </w:r>
      <w:r w:rsidRPr="002C5876">
        <w:br/>
        <w:t xml:space="preserve">les émissions des voitures particulières et </w:t>
      </w:r>
      <w:r w:rsidRPr="002C5876">
        <w:br/>
        <w:t>véhicules utilitaires légers (WLTP)</w:t>
      </w:r>
      <w:r w:rsidRPr="007A2AB2">
        <w:rPr>
          <w:b w:val="0"/>
          <w:sz w:val="20"/>
        </w:rPr>
        <w:footnoteReference w:customMarkFollows="1" w:id="2"/>
        <w:t>*</w:t>
      </w:r>
    </w:p>
    <w:p w:rsidR="00E24DB7" w:rsidRPr="002C5876" w:rsidRDefault="00E24DB7" w:rsidP="00E24DB7">
      <w:pPr>
        <w:spacing w:after="120"/>
        <w:rPr>
          <w:sz w:val="28"/>
        </w:rPr>
      </w:pPr>
      <w:r w:rsidRPr="002C5876">
        <w:rPr>
          <w:sz w:val="28"/>
        </w:rPr>
        <w:t>Table des matières</w:t>
      </w:r>
    </w:p>
    <w:p w:rsidR="00E24DB7" w:rsidRPr="002C5876" w:rsidRDefault="00E24DB7" w:rsidP="00E24DB7">
      <w:pPr>
        <w:tabs>
          <w:tab w:val="right" w:pos="9638"/>
        </w:tabs>
        <w:spacing w:after="120"/>
        <w:ind w:left="283"/>
        <w:rPr>
          <w:i/>
          <w:sz w:val="18"/>
        </w:rPr>
      </w:pPr>
      <w:r w:rsidRPr="002C5876">
        <w:rPr>
          <w:i/>
          <w:sz w:val="18"/>
        </w:rPr>
        <w:tab/>
        <w:t>Page</w:t>
      </w:r>
    </w:p>
    <w:p w:rsidR="00E24DB7" w:rsidRPr="002C5876" w:rsidRDefault="00E24DB7" w:rsidP="00E24DB7">
      <w:pPr>
        <w:tabs>
          <w:tab w:val="right" w:pos="850"/>
          <w:tab w:val="right" w:leader="dot" w:pos="8787"/>
          <w:tab w:val="right" w:pos="9638"/>
        </w:tabs>
        <w:spacing w:after="120"/>
        <w:ind w:left="1134" w:hanging="1134"/>
      </w:pPr>
      <w:r w:rsidRPr="002C5876">
        <w:tab/>
        <w:t>I.</w:t>
      </w:r>
      <w:r w:rsidRPr="002C5876">
        <w:tab/>
      </w:r>
      <w:r w:rsidR="00F260C2" w:rsidRPr="002C5876">
        <w:t>Exposé de l’argumentation technique sur laquelle se fonde le projet</w:t>
      </w:r>
      <w:r w:rsidRPr="002C5876">
        <w:tab/>
      </w:r>
      <w:r w:rsidR="00F260C2">
        <w:tab/>
      </w:r>
      <w:r w:rsidR="002D1A8A">
        <w:t>5</w:t>
      </w:r>
    </w:p>
    <w:p w:rsidR="00E24DB7" w:rsidRPr="002C5876" w:rsidRDefault="00E24DB7" w:rsidP="00E24DB7">
      <w:pPr>
        <w:tabs>
          <w:tab w:val="right" w:leader="dot" w:pos="8787"/>
          <w:tab w:val="right" w:pos="9638"/>
        </w:tabs>
        <w:spacing w:after="120"/>
        <w:ind w:left="1559" w:hanging="425"/>
      </w:pPr>
      <w:r w:rsidRPr="002C5876">
        <w:t>A.</w:t>
      </w:r>
      <w:r w:rsidRPr="002C5876">
        <w:tab/>
      </w:r>
      <w:r w:rsidR="00F260C2" w:rsidRPr="002C5876">
        <w:t>Introduction</w:t>
      </w:r>
      <w:r w:rsidRPr="002C5876">
        <w:tab/>
      </w:r>
      <w:r w:rsidRPr="002C5876">
        <w:tab/>
      </w:r>
      <w:r w:rsidR="002D1A8A">
        <w:t>5</w:t>
      </w:r>
    </w:p>
    <w:p w:rsidR="00E24DB7" w:rsidRPr="002C5876" w:rsidRDefault="00E24DB7" w:rsidP="00E24DB7">
      <w:pPr>
        <w:tabs>
          <w:tab w:val="right" w:leader="dot" w:pos="8787"/>
          <w:tab w:val="right" w:pos="9638"/>
        </w:tabs>
        <w:spacing w:after="120"/>
        <w:ind w:left="1559" w:hanging="425"/>
      </w:pPr>
      <w:r w:rsidRPr="002C5876">
        <w:t>B.</w:t>
      </w:r>
      <w:r w:rsidRPr="002C5876">
        <w:tab/>
      </w:r>
      <w:r w:rsidR="00F260C2" w:rsidRPr="002C5876">
        <w:t>Historique des étapes antérieures et évolution future du projet WLTP</w:t>
      </w:r>
      <w:r w:rsidRPr="002C5876">
        <w:tab/>
      </w:r>
      <w:r w:rsidRPr="002C5876">
        <w:tab/>
      </w:r>
      <w:r w:rsidR="002D1A8A">
        <w:t>6</w:t>
      </w:r>
    </w:p>
    <w:p w:rsidR="00E24DB7" w:rsidRPr="002C5876" w:rsidRDefault="00E24DB7" w:rsidP="00E24DB7">
      <w:pPr>
        <w:tabs>
          <w:tab w:val="right" w:leader="dot" w:pos="8787"/>
          <w:tab w:val="right" w:pos="9638"/>
        </w:tabs>
        <w:spacing w:after="120"/>
        <w:ind w:left="1559" w:hanging="425"/>
      </w:pPr>
      <w:r w:rsidRPr="002C5876">
        <w:t>C.</w:t>
      </w:r>
      <w:r w:rsidRPr="002C5876">
        <w:tab/>
      </w:r>
      <w:r w:rsidR="00F260C2" w:rsidRPr="002C5876">
        <w:t>Historique des cycles d’essai et des procédures d’essai</w:t>
      </w:r>
      <w:r w:rsidRPr="002C5876">
        <w:tab/>
      </w:r>
      <w:r w:rsidRPr="002C5876">
        <w:tab/>
      </w:r>
      <w:r w:rsidR="002D1A8A">
        <w:t>8</w:t>
      </w:r>
    </w:p>
    <w:p w:rsidR="00E24DB7" w:rsidRPr="002C5876" w:rsidRDefault="00E24DB7" w:rsidP="00E24DB7">
      <w:pPr>
        <w:tabs>
          <w:tab w:val="right" w:leader="dot" w:pos="8787"/>
          <w:tab w:val="right" w:pos="9638"/>
        </w:tabs>
        <w:spacing w:after="120"/>
        <w:ind w:left="1559" w:hanging="425"/>
      </w:pPr>
      <w:r w:rsidRPr="002C5876">
        <w:t>D.</w:t>
      </w:r>
      <w:r w:rsidRPr="002C5876">
        <w:tab/>
      </w:r>
      <w:r w:rsidR="00F260C2" w:rsidRPr="002C5876">
        <w:t>Faisabilité technique, coûts prévus et avantages</w:t>
      </w:r>
      <w:r w:rsidRPr="002C5876">
        <w:tab/>
      </w:r>
      <w:r w:rsidRPr="002C5876">
        <w:tab/>
      </w:r>
      <w:r w:rsidR="002D1A8A">
        <w:t>9</w:t>
      </w:r>
    </w:p>
    <w:p w:rsidR="00E24DB7" w:rsidRPr="002C5876" w:rsidRDefault="00E24DB7" w:rsidP="00E24DB7">
      <w:pPr>
        <w:tabs>
          <w:tab w:val="right" w:pos="850"/>
          <w:tab w:val="right" w:leader="dot" w:pos="8787"/>
          <w:tab w:val="right" w:pos="9638"/>
        </w:tabs>
        <w:spacing w:after="120"/>
        <w:ind w:left="1134" w:hanging="1134"/>
      </w:pPr>
      <w:r w:rsidRPr="002C5876">
        <w:tab/>
        <w:t>II.</w:t>
      </w:r>
      <w:r w:rsidRPr="002C5876">
        <w:tab/>
      </w:r>
      <w:r w:rsidR="00F260C2" w:rsidRPr="002C5876">
        <w:t>Texte du Règlement technique mondial</w:t>
      </w:r>
      <w:r w:rsidRPr="002C5876">
        <w:tab/>
      </w:r>
      <w:r w:rsidRPr="002C5876">
        <w:tab/>
      </w:r>
      <w:r w:rsidR="00F260C2">
        <w:t>1</w:t>
      </w:r>
      <w:r w:rsidR="002D1A8A">
        <w:t>1</w:t>
      </w:r>
    </w:p>
    <w:p w:rsidR="00E24DB7" w:rsidRPr="002C5876" w:rsidRDefault="00E24DB7" w:rsidP="00E24DB7">
      <w:pPr>
        <w:tabs>
          <w:tab w:val="right" w:leader="dot" w:pos="8787"/>
          <w:tab w:val="right" w:pos="9638"/>
        </w:tabs>
        <w:spacing w:after="120"/>
        <w:ind w:left="1559" w:hanging="425"/>
      </w:pPr>
      <w:r w:rsidRPr="002C5876">
        <w:t>1.</w:t>
      </w:r>
      <w:r w:rsidRPr="002C5876">
        <w:tab/>
      </w:r>
      <w:r w:rsidR="00F260C2" w:rsidRPr="002C5876">
        <w:t>Objet</w:t>
      </w:r>
      <w:r w:rsidRPr="002C5876">
        <w:tab/>
      </w:r>
      <w:r w:rsidRPr="002C5876">
        <w:tab/>
      </w:r>
      <w:r w:rsidR="00F260C2">
        <w:t>1</w:t>
      </w:r>
      <w:r w:rsidR="002D1A8A">
        <w:t>1</w:t>
      </w:r>
    </w:p>
    <w:p w:rsidR="00E24DB7" w:rsidRPr="002C5876" w:rsidRDefault="00E24DB7" w:rsidP="00E24DB7">
      <w:pPr>
        <w:tabs>
          <w:tab w:val="right" w:leader="dot" w:pos="8787"/>
          <w:tab w:val="right" w:pos="9638"/>
        </w:tabs>
        <w:spacing w:after="120"/>
        <w:ind w:left="1559" w:hanging="425"/>
      </w:pPr>
      <w:r w:rsidRPr="002C5876">
        <w:t>2.</w:t>
      </w:r>
      <w:r w:rsidRPr="002C5876">
        <w:tab/>
      </w:r>
      <w:r w:rsidR="00F260C2" w:rsidRPr="002C5876">
        <w:t>Domaine d’application</w:t>
      </w:r>
      <w:r w:rsidRPr="002C5876">
        <w:tab/>
      </w:r>
      <w:r w:rsidRPr="002C5876">
        <w:tab/>
      </w:r>
      <w:r w:rsidR="00F260C2">
        <w:t>1</w:t>
      </w:r>
      <w:r w:rsidR="002D1A8A">
        <w:t>1</w:t>
      </w:r>
    </w:p>
    <w:p w:rsidR="00E24DB7" w:rsidRPr="002C5876" w:rsidRDefault="00E24DB7" w:rsidP="00E24DB7">
      <w:pPr>
        <w:tabs>
          <w:tab w:val="right" w:leader="dot" w:pos="8787"/>
          <w:tab w:val="right" w:pos="9638"/>
        </w:tabs>
        <w:spacing w:after="120"/>
        <w:ind w:left="1559" w:hanging="425"/>
      </w:pPr>
      <w:r w:rsidRPr="002C5876">
        <w:t>3.</w:t>
      </w:r>
      <w:r w:rsidRPr="002C5876">
        <w:tab/>
      </w:r>
      <w:r w:rsidR="00F260C2" w:rsidRPr="002C5876">
        <w:t>Définitions</w:t>
      </w:r>
      <w:r w:rsidRPr="002C5876">
        <w:tab/>
      </w:r>
      <w:r w:rsidRPr="002C5876">
        <w:tab/>
      </w:r>
      <w:r w:rsidR="00F260C2">
        <w:t>1</w:t>
      </w:r>
      <w:r w:rsidR="002D1A8A">
        <w:t>1</w:t>
      </w:r>
    </w:p>
    <w:p w:rsidR="00E24DB7" w:rsidRPr="002C5876" w:rsidRDefault="00E24DB7" w:rsidP="00E24DB7">
      <w:pPr>
        <w:tabs>
          <w:tab w:val="right" w:leader="dot" w:pos="8787"/>
          <w:tab w:val="right" w:pos="9638"/>
        </w:tabs>
        <w:spacing w:after="120"/>
        <w:ind w:left="1559" w:hanging="425"/>
      </w:pPr>
      <w:r w:rsidRPr="002C5876">
        <w:t>4.</w:t>
      </w:r>
      <w:r w:rsidRPr="002C5876">
        <w:tab/>
      </w:r>
      <w:r w:rsidR="00F260C2" w:rsidRPr="002C5876">
        <w:t>Abréviations</w:t>
      </w:r>
      <w:r w:rsidRPr="002C5876">
        <w:tab/>
      </w:r>
      <w:r w:rsidRPr="002C5876">
        <w:tab/>
      </w:r>
      <w:r w:rsidR="00F260C2">
        <w:t>1</w:t>
      </w:r>
      <w:r w:rsidR="002D1A8A">
        <w:t>9</w:t>
      </w:r>
    </w:p>
    <w:p w:rsidR="00E24DB7" w:rsidRPr="002C5876" w:rsidRDefault="00E24DB7" w:rsidP="00E24DB7">
      <w:pPr>
        <w:tabs>
          <w:tab w:val="right" w:leader="dot" w:pos="8787"/>
          <w:tab w:val="right" w:pos="9638"/>
        </w:tabs>
        <w:spacing w:after="120"/>
        <w:ind w:left="1559" w:hanging="425"/>
      </w:pPr>
      <w:r w:rsidRPr="002C5876">
        <w:t>5.</w:t>
      </w:r>
      <w:r w:rsidRPr="002C5876">
        <w:tab/>
      </w:r>
      <w:r w:rsidR="006F5C8A" w:rsidRPr="002C5876">
        <w:t>Prescriptions générales</w:t>
      </w:r>
      <w:r w:rsidRPr="002C5876">
        <w:tab/>
      </w:r>
      <w:r w:rsidRPr="002C5876">
        <w:tab/>
      </w:r>
      <w:r w:rsidR="006F5C8A">
        <w:t>2</w:t>
      </w:r>
      <w:r w:rsidR="002D1A8A">
        <w:t>1</w:t>
      </w:r>
    </w:p>
    <w:p w:rsidR="00E24DB7" w:rsidRPr="002C5876" w:rsidRDefault="00E24DB7" w:rsidP="00E24DB7">
      <w:pPr>
        <w:tabs>
          <w:tab w:val="right" w:leader="dot" w:pos="8787"/>
          <w:tab w:val="right" w:pos="9638"/>
        </w:tabs>
        <w:spacing w:after="120"/>
        <w:ind w:left="1559" w:hanging="425"/>
      </w:pPr>
      <w:r w:rsidRPr="002C5876">
        <w:t>6.</w:t>
      </w:r>
      <w:r w:rsidRPr="002C5876">
        <w:tab/>
      </w:r>
      <w:r w:rsidR="006F5C8A" w:rsidRPr="002C5876">
        <w:t>Prescriptions concernant les résultats des essais</w:t>
      </w:r>
      <w:r w:rsidRPr="002C5876">
        <w:tab/>
      </w:r>
      <w:r w:rsidRPr="002C5876">
        <w:tab/>
      </w:r>
      <w:r w:rsidR="006F5C8A">
        <w:t>2</w:t>
      </w:r>
      <w:r w:rsidR="002D1A8A">
        <w:t>5</w:t>
      </w:r>
    </w:p>
    <w:p w:rsidR="00E24DB7" w:rsidRPr="002C5876" w:rsidRDefault="00E24DB7" w:rsidP="00E24DB7">
      <w:pPr>
        <w:tabs>
          <w:tab w:val="right" w:pos="850"/>
        </w:tabs>
        <w:spacing w:after="120"/>
      </w:pPr>
      <w:r w:rsidRPr="002C5876">
        <w:tab/>
        <w:t>Annexes</w:t>
      </w:r>
    </w:p>
    <w:p w:rsidR="00E24DB7" w:rsidRPr="002C5876" w:rsidRDefault="00E24DB7" w:rsidP="00E24DB7">
      <w:pPr>
        <w:tabs>
          <w:tab w:val="right" w:pos="850"/>
          <w:tab w:val="right" w:leader="dot" w:pos="8787"/>
          <w:tab w:val="right" w:pos="9638"/>
        </w:tabs>
        <w:spacing w:after="120"/>
        <w:ind w:left="1134" w:hanging="1134"/>
      </w:pPr>
      <w:r w:rsidRPr="002C5876">
        <w:tab/>
        <w:t>1.</w:t>
      </w:r>
      <w:r w:rsidRPr="002C5876">
        <w:tab/>
      </w:r>
      <w:r w:rsidR="003F39FC" w:rsidRPr="002C5876">
        <w:t>Cycles d’essai WLTC</w:t>
      </w:r>
      <w:r w:rsidRPr="002C5876">
        <w:tab/>
      </w:r>
      <w:r w:rsidRPr="002C5876">
        <w:tab/>
      </w:r>
      <w:r w:rsidR="003F39FC">
        <w:t>2</w:t>
      </w:r>
      <w:r w:rsidR="002D1A8A">
        <w:t>7</w:t>
      </w:r>
    </w:p>
    <w:p w:rsidR="00E24DB7" w:rsidRPr="002C5876" w:rsidRDefault="00E24DB7" w:rsidP="00E24DB7">
      <w:pPr>
        <w:tabs>
          <w:tab w:val="right" w:pos="850"/>
          <w:tab w:val="right" w:leader="dot" w:pos="8787"/>
          <w:tab w:val="right" w:pos="9638"/>
        </w:tabs>
        <w:spacing w:after="120"/>
        <w:ind w:left="1134" w:hanging="1134"/>
      </w:pPr>
      <w:r w:rsidRPr="002C5876">
        <w:tab/>
        <w:t>2.</w:t>
      </w:r>
      <w:r w:rsidRPr="002C5876">
        <w:tab/>
      </w:r>
      <w:r w:rsidR="003F39FC" w:rsidRPr="002C5876">
        <w:t xml:space="preserve">Sélection des rapports et détermination du point de changement de rapports pour </w:t>
      </w:r>
      <w:r w:rsidR="003F39FC">
        <w:br/>
      </w:r>
      <w:r w:rsidR="003F39FC" w:rsidRPr="002C5876">
        <w:t>les véhicules équipés d’une transmission manuelle</w:t>
      </w:r>
      <w:r w:rsidRPr="002C5876">
        <w:tab/>
      </w:r>
      <w:r w:rsidRPr="002C5876">
        <w:tab/>
      </w:r>
      <w:r w:rsidR="003F39FC">
        <w:t>8</w:t>
      </w:r>
      <w:r w:rsidR="002D1A8A">
        <w:t>2</w:t>
      </w:r>
    </w:p>
    <w:p w:rsidR="00E24DB7" w:rsidRPr="002C5876" w:rsidRDefault="00E24DB7" w:rsidP="00E24DB7">
      <w:pPr>
        <w:tabs>
          <w:tab w:val="right" w:pos="850"/>
          <w:tab w:val="right" w:leader="dot" w:pos="8787"/>
          <w:tab w:val="right" w:pos="9638"/>
        </w:tabs>
        <w:spacing w:after="120"/>
        <w:ind w:left="1134" w:hanging="1134"/>
      </w:pPr>
      <w:r w:rsidRPr="002C5876">
        <w:tab/>
        <w:t>3.</w:t>
      </w:r>
      <w:r w:rsidRPr="002C5876">
        <w:tab/>
      </w:r>
      <w:r w:rsidR="003F39FC" w:rsidRPr="002C5876">
        <w:t>Carburants de référence</w:t>
      </w:r>
      <w:r w:rsidRPr="002C5876">
        <w:tab/>
      </w:r>
      <w:r w:rsidRPr="002C5876">
        <w:tab/>
      </w:r>
      <w:r w:rsidR="003F39FC">
        <w:t>9</w:t>
      </w:r>
      <w:r w:rsidR="002D1A8A">
        <w:t>4</w:t>
      </w:r>
    </w:p>
    <w:p w:rsidR="00E24DB7" w:rsidRPr="002C5876" w:rsidRDefault="00E24DB7" w:rsidP="00E24DB7">
      <w:pPr>
        <w:tabs>
          <w:tab w:val="right" w:pos="850"/>
          <w:tab w:val="right" w:leader="dot" w:pos="8787"/>
          <w:tab w:val="right" w:pos="9638"/>
        </w:tabs>
        <w:spacing w:after="120"/>
        <w:ind w:left="1134" w:hanging="1134"/>
      </w:pPr>
      <w:r w:rsidRPr="002C5876">
        <w:tab/>
        <w:t>4.</w:t>
      </w:r>
      <w:r w:rsidRPr="002C5876">
        <w:tab/>
      </w:r>
      <w:r w:rsidR="003F39FC" w:rsidRPr="002C5876">
        <w:rPr>
          <w:color w:val="000000" w:themeColor="text1"/>
        </w:rPr>
        <w:t>Résistance à l’avancement sur route et réglage du dynamomètre</w:t>
      </w:r>
      <w:r w:rsidRPr="002C5876">
        <w:tab/>
      </w:r>
      <w:r w:rsidRPr="002C5876">
        <w:tab/>
      </w:r>
      <w:r w:rsidR="003F39FC">
        <w:t>11</w:t>
      </w:r>
      <w:r w:rsidR="002D1A8A">
        <w:t>3</w:t>
      </w:r>
    </w:p>
    <w:p w:rsidR="00E24DB7" w:rsidRPr="002C5876" w:rsidRDefault="00E24DB7" w:rsidP="00E24DB7">
      <w:pPr>
        <w:tabs>
          <w:tab w:val="right" w:pos="850"/>
          <w:tab w:val="right" w:leader="dot" w:pos="8787"/>
          <w:tab w:val="right" w:pos="9638"/>
        </w:tabs>
        <w:spacing w:after="120"/>
        <w:ind w:left="1134" w:hanging="1134"/>
      </w:pPr>
      <w:r w:rsidRPr="002C5876">
        <w:tab/>
        <w:t>5.</w:t>
      </w:r>
      <w:r w:rsidRPr="002C5876">
        <w:tab/>
      </w:r>
      <w:r w:rsidR="003F39FC" w:rsidRPr="002C5876">
        <w:t>Équipement d’essai et étalonnages</w:t>
      </w:r>
      <w:r w:rsidRPr="002C5876">
        <w:tab/>
      </w:r>
      <w:r w:rsidRPr="002C5876">
        <w:tab/>
      </w:r>
      <w:r w:rsidR="003F39FC">
        <w:t>16</w:t>
      </w:r>
      <w:r w:rsidR="002D1A8A">
        <w:t>4</w:t>
      </w:r>
    </w:p>
    <w:p w:rsidR="00E24DB7" w:rsidRDefault="00E24DB7" w:rsidP="00E24DB7">
      <w:pPr>
        <w:tabs>
          <w:tab w:val="right" w:pos="850"/>
          <w:tab w:val="right" w:leader="dot" w:pos="8787"/>
          <w:tab w:val="right" w:pos="9638"/>
        </w:tabs>
        <w:spacing w:after="120"/>
        <w:ind w:left="1134" w:hanging="1134"/>
      </w:pPr>
      <w:r w:rsidRPr="002C5876">
        <w:tab/>
        <w:t>6.</w:t>
      </w:r>
      <w:r w:rsidRPr="002C5876">
        <w:tab/>
      </w:r>
      <w:r w:rsidR="003F39FC" w:rsidRPr="002C5876">
        <w:t>Procédures et conditions pour l’essai de type 1</w:t>
      </w:r>
      <w:r w:rsidRPr="002C5876">
        <w:tab/>
      </w:r>
      <w:r w:rsidRPr="002C5876">
        <w:tab/>
      </w:r>
      <w:r w:rsidR="003F39FC">
        <w:t>21</w:t>
      </w:r>
      <w:r w:rsidR="00B524C5">
        <w:t>8</w:t>
      </w:r>
    </w:p>
    <w:p w:rsidR="007A2AB2" w:rsidRDefault="007A2AB2" w:rsidP="00E24DB7">
      <w:pPr>
        <w:tabs>
          <w:tab w:val="right" w:pos="850"/>
          <w:tab w:val="right" w:leader="dot" w:pos="8787"/>
          <w:tab w:val="right" w:pos="9638"/>
        </w:tabs>
        <w:spacing w:after="120"/>
        <w:ind w:left="1134" w:hanging="1134"/>
      </w:pPr>
      <w:r>
        <w:tab/>
      </w:r>
      <w:r>
        <w:tab/>
      </w:r>
      <w:r w:rsidRPr="002C5876">
        <w:t>Appendice </w:t>
      </w:r>
      <w:r>
        <w:t>1</w:t>
      </w:r>
      <w:r w:rsidRPr="002C5876">
        <w:t xml:space="preserve"> −</w:t>
      </w:r>
      <w:r>
        <w:t xml:space="preserve"> </w:t>
      </w:r>
      <w:r w:rsidR="00B524C5" w:rsidRPr="00B524C5">
        <w:t xml:space="preserve">Méthode d’essai pour le contrôle des émissions d’un véhicule équipé </w:t>
      </w:r>
      <w:r w:rsidR="00B524C5">
        <w:br/>
      </w:r>
      <w:r w:rsidR="00B524C5" w:rsidRPr="00B524C5">
        <w:t>d’un système à régénération périodique</w:t>
      </w:r>
      <w:r>
        <w:t>.</w:t>
      </w:r>
      <w:r>
        <w:tab/>
      </w:r>
      <w:r>
        <w:tab/>
      </w:r>
      <w:r w:rsidR="00B524C5">
        <w:t>236</w:t>
      </w:r>
    </w:p>
    <w:p w:rsidR="007A2AB2" w:rsidRDefault="007A2AB2" w:rsidP="00E24DB7">
      <w:pPr>
        <w:tabs>
          <w:tab w:val="right" w:pos="850"/>
          <w:tab w:val="right" w:leader="dot" w:pos="8787"/>
          <w:tab w:val="right" w:pos="9638"/>
        </w:tabs>
        <w:spacing w:after="120"/>
        <w:ind w:left="1134" w:hanging="1134"/>
      </w:pPr>
      <w:r>
        <w:tab/>
      </w:r>
      <w:r>
        <w:tab/>
      </w:r>
      <w:r w:rsidRPr="002C5876">
        <w:t>Appendice </w:t>
      </w:r>
      <w:r>
        <w:t>2</w:t>
      </w:r>
      <w:r w:rsidRPr="002C5876">
        <w:t xml:space="preserve"> −</w:t>
      </w:r>
      <w:r>
        <w:t xml:space="preserve"> </w:t>
      </w:r>
      <w:r w:rsidR="004B4C2A" w:rsidRPr="002C5876">
        <w:t xml:space="preserve">Procédure d’essai relative à la surveillance du système rechargeable </w:t>
      </w:r>
      <w:r w:rsidR="004B4C2A">
        <w:br/>
      </w:r>
      <w:r w:rsidR="004B4C2A" w:rsidRPr="002C5876">
        <w:t>de stockage de l’énergie électrique</w:t>
      </w:r>
      <w:r>
        <w:tab/>
      </w:r>
      <w:r>
        <w:tab/>
      </w:r>
      <w:r w:rsidR="004B4C2A">
        <w:t>242</w:t>
      </w:r>
    </w:p>
    <w:p w:rsidR="002A56DE" w:rsidRPr="002C5876" w:rsidRDefault="002A56DE" w:rsidP="00E24DB7">
      <w:pPr>
        <w:tabs>
          <w:tab w:val="right" w:pos="850"/>
          <w:tab w:val="right" w:leader="dot" w:pos="8787"/>
          <w:tab w:val="right" w:pos="9638"/>
        </w:tabs>
        <w:spacing w:after="120"/>
        <w:ind w:left="1134" w:hanging="1134"/>
      </w:pPr>
      <w:r>
        <w:tab/>
      </w:r>
      <w:r>
        <w:tab/>
      </w:r>
      <w:r w:rsidRPr="002C5876">
        <w:t>Appendice </w:t>
      </w:r>
      <w:r>
        <w:t>3</w:t>
      </w:r>
      <w:r w:rsidRPr="002C5876">
        <w:t xml:space="preserve"> −</w:t>
      </w:r>
      <w:r>
        <w:t xml:space="preserve"> </w:t>
      </w:r>
      <w:r w:rsidRPr="002C5876">
        <w:t xml:space="preserve">Calcul de la part de carburant gazeux (GPLet GN/biométhane) </w:t>
      </w:r>
      <w:r>
        <w:br/>
      </w:r>
      <w:r w:rsidRPr="002C5876">
        <w:t>dans l’énergie consommée</w:t>
      </w:r>
      <w:r>
        <w:tab/>
      </w:r>
      <w:r>
        <w:tab/>
        <w:t>248</w:t>
      </w:r>
    </w:p>
    <w:p w:rsidR="00E24DB7" w:rsidRPr="002C5876" w:rsidRDefault="00E24DB7" w:rsidP="00E24DB7">
      <w:pPr>
        <w:tabs>
          <w:tab w:val="right" w:pos="850"/>
          <w:tab w:val="right" w:leader="dot" w:pos="8787"/>
          <w:tab w:val="right" w:pos="9638"/>
        </w:tabs>
        <w:spacing w:after="120"/>
        <w:ind w:left="1134" w:hanging="1134"/>
      </w:pPr>
      <w:r w:rsidRPr="002C5876">
        <w:tab/>
        <w:t>7.</w:t>
      </w:r>
      <w:r w:rsidRPr="002C5876">
        <w:tab/>
      </w:r>
      <w:r w:rsidR="003F39FC" w:rsidRPr="002C5876">
        <w:t>Calculs</w:t>
      </w:r>
      <w:r w:rsidRPr="002C5876">
        <w:tab/>
      </w:r>
      <w:r w:rsidRPr="002C5876">
        <w:tab/>
      </w:r>
      <w:r w:rsidR="001B34D7">
        <w:t>249</w:t>
      </w:r>
    </w:p>
    <w:p w:rsidR="00E24DB7" w:rsidRPr="002C5876" w:rsidRDefault="00E24DB7" w:rsidP="00E24DB7">
      <w:pPr>
        <w:tabs>
          <w:tab w:val="right" w:pos="850"/>
          <w:tab w:val="right" w:leader="dot" w:pos="8787"/>
          <w:tab w:val="right" w:pos="9638"/>
        </w:tabs>
        <w:spacing w:after="120"/>
        <w:ind w:left="1134" w:hanging="1134"/>
      </w:pPr>
      <w:r w:rsidRPr="002C5876">
        <w:tab/>
        <w:t>8.</w:t>
      </w:r>
      <w:r w:rsidRPr="002C5876">
        <w:tab/>
      </w:r>
      <w:r w:rsidR="003F39FC" w:rsidRPr="002C5876">
        <w:t xml:space="preserve">Véhicules électriques purs, véhicules hybrides et véhicules hybrides à pile à combustible </w:t>
      </w:r>
      <w:r w:rsidR="003F39FC" w:rsidRPr="002C5876">
        <w:br/>
        <w:t>à hydrogène comprimé</w:t>
      </w:r>
      <w:r w:rsidRPr="002C5876">
        <w:tab/>
      </w:r>
      <w:r w:rsidRPr="002C5876">
        <w:tab/>
      </w:r>
      <w:r w:rsidR="001B34D7">
        <w:t>277</w:t>
      </w:r>
    </w:p>
    <w:p w:rsidR="00E24DB7" w:rsidRPr="002C5876" w:rsidRDefault="00E24DB7" w:rsidP="00E24DB7">
      <w:pPr>
        <w:tabs>
          <w:tab w:val="right" w:pos="850"/>
          <w:tab w:val="right" w:leader="dot" w:pos="8787"/>
          <w:tab w:val="right" w:pos="9638"/>
        </w:tabs>
        <w:spacing w:after="120"/>
        <w:ind w:left="1134" w:hanging="1134"/>
      </w:pPr>
      <w:r w:rsidRPr="002C5876">
        <w:tab/>
      </w:r>
      <w:r w:rsidRPr="002C5876">
        <w:tab/>
        <w:t>Appendice </w:t>
      </w:r>
      <w:r w:rsidR="003F39FC">
        <w:t>1</w:t>
      </w:r>
      <w:r w:rsidRPr="002C5876">
        <w:t xml:space="preserve"> − </w:t>
      </w:r>
      <w:r w:rsidR="003F39FC" w:rsidRPr="002C5876">
        <w:t>Profil de niveau de charge du SRSEE</w:t>
      </w:r>
      <w:r w:rsidRPr="002C5876">
        <w:tab/>
      </w:r>
      <w:r w:rsidRPr="002C5876">
        <w:tab/>
      </w:r>
      <w:r w:rsidR="001B34D7">
        <w:t>339</w:t>
      </w:r>
    </w:p>
    <w:p w:rsidR="00E24DB7" w:rsidRPr="002C5876" w:rsidRDefault="00E24DB7" w:rsidP="00E24DB7">
      <w:pPr>
        <w:tabs>
          <w:tab w:val="right" w:pos="850"/>
          <w:tab w:val="right" w:leader="dot" w:pos="8787"/>
          <w:tab w:val="right" w:pos="9638"/>
        </w:tabs>
        <w:spacing w:after="120"/>
        <w:ind w:left="1134" w:hanging="1134"/>
      </w:pPr>
      <w:r w:rsidRPr="002C5876">
        <w:tab/>
      </w:r>
      <w:r w:rsidRPr="002C5876">
        <w:tab/>
        <w:t>Appendice </w:t>
      </w:r>
      <w:r w:rsidR="003F39FC">
        <w:t>2</w:t>
      </w:r>
      <w:r w:rsidRPr="002C5876">
        <w:t xml:space="preserve"> −</w:t>
      </w:r>
      <w:r w:rsidR="00CC3825">
        <w:t xml:space="preserve"> </w:t>
      </w:r>
      <w:r w:rsidR="00CC3825" w:rsidRPr="002C5876">
        <w:t xml:space="preserve">Procédure de correction en fonction de la variation </w:t>
      </w:r>
      <w:r w:rsidR="00CC3825" w:rsidRPr="002C5876">
        <w:br/>
        <w:t>d’énergie du SRSEE</w:t>
      </w:r>
      <w:r w:rsidRPr="002C5876">
        <w:tab/>
      </w:r>
      <w:r w:rsidRPr="002C5876">
        <w:tab/>
      </w:r>
      <w:r w:rsidR="001B34D7">
        <w:t>344</w:t>
      </w:r>
    </w:p>
    <w:p w:rsidR="00E24DB7" w:rsidRDefault="00E24DB7" w:rsidP="00E24DB7">
      <w:pPr>
        <w:tabs>
          <w:tab w:val="right" w:pos="850"/>
          <w:tab w:val="right" w:leader="dot" w:pos="8787"/>
          <w:tab w:val="right" w:pos="9638"/>
        </w:tabs>
        <w:spacing w:after="120"/>
        <w:ind w:left="1134" w:hanging="1134"/>
      </w:pPr>
      <w:r w:rsidRPr="002C5876">
        <w:lastRenderedPageBreak/>
        <w:tab/>
      </w:r>
      <w:r w:rsidRPr="002C5876">
        <w:tab/>
        <w:t>Appendice </w:t>
      </w:r>
      <w:r w:rsidR="003F39FC">
        <w:t>3</w:t>
      </w:r>
      <w:r w:rsidRPr="002C5876">
        <w:t xml:space="preserve"> −</w:t>
      </w:r>
      <w:r w:rsidR="00C12585" w:rsidRPr="00C12585">
        <w:t xml:space="preserve"> </w:t>
      </w:r>
      <w:r w:rsidR="00C12585" w:rsidRPr="002C5876">
        <w:t xml:space="preserve">Détermination du courant et de la tension des SRSEE </w:t>
      </w:r>
      <w:r w:rsidR="00C12585" w:rsidRPr="002C5876">
        <w:br/>
        <w:t>pour les VHE-NRE, VHE-RE, VEP et VHPC-NRE</w:t>
      </w:r>
      <w:r w:rsidRPr="002C5876">
        <w:tab/>
      </w:r>
      <w:r w:rsidRPr="002C5876">
        <w:tab/>
      </w:r>
      <w:r w:rsidR="001B34D7">
        <w:t>354</w:t>
      </w:r>
    </w:p>
    <w:p w:rsidR="00C12585" w:rsidRDefault="00C12585" w:rsidP="00E24DB7">
      <w:pPr>
        <w:tabs>
          <w:tab w:val="right" w:pos="850"/>
          <w:tab w:val="right" w:leader="dot" w:pos="8787"/>
          <w:tab w:val="right" w:pos="9638"/>
        </w:tabs>
        <w:spacing w:after="120"/>
        <w:ind w:left="1134" w:hanging="1134"/>
      </w:pPr>
      <w:r>
        <w:tab/>
      </w:r>
      <w:r>
        <w:tab/>
        <w:t xml:space="preserve">Appendice 4 − </w:t>
      </w:r>
      <w:r w:rsidRPr="002C5876">
        <w:t xml:space="preserve">Conditions de préconditionnement, de stabilisation thermique et de charge </w:t>
      </w:r>
      <w:r>
        <w:br/>
      </w:r>
      <w:r w:rsidRPr="002C5876">
        <w:t>des SRSEE pour les VEP et les VHE-RE</w:t>
      </w:r>
      <w:r>
        <w:tab/>
      </w:r>
      <w:r>
        <w:tab/>
      </w:r>
      <w:r w:rsidR="001B34D7">
        <w:t>356</w:t>
      </w:r>
    </w:p>
    <w:p w:rsidR="00C12585" w:rsidRDefault="00C12585" w:rsidP="00E24DB7">
      <w:pPr>
        <w:tabs>
          <w:tab w:val="right" w:pos="850"/>
          <w:tab w:val="right" w:leader="dot" w:pos="8787"/>
          <w:tab w:val="right" w:pos="9638"/>
        </w:tabs>
        <w:spacing w:after="120"/>
        <w:ind w:left="1134" w:hanging="1134"/>
      </w:pPr>
      <w:r>
        <w:tab/>
      </w:r>
      <w:r>
        <w:tab/>
        <w:t xml:space="preserve">Appendice 5 − </w:t>
      </w:r>
      <w:r w:rsidRPr="002C5876">
        <w:t>Facteurs d’utilisation pour les VHE-RE</w:t>
      </w:r>
      <w:r>
        <w:tab/>
      </w:r>
      <w:r>
        <w:tab/>
      </w:r>
      <w:r w:rsidR="001B34D7">
        <w:t>358</w:t>
      </w:r>
    </w:p>
    <w:p w:rsidR="00C12585" w:rsidRDefault="00C12585" w:rsidP="00E24DB7">
      <w:pPr>
        <w:tabs>
          <w:tab w:val="right" w:pos="850"/>
          <w:tab w:val="right" w:leader="dot" w:pos="8787"/>
          <w:tab w:val="right" w:pos="9638"/>
        </w:tabs>
        <w:spacing w:after="120"/>
        <w:ind w:left="1134" w:hanging="1134"/>
      </w:pPr>
      <w:r>
        <w:tab/>
      </w:r>
      <w:r>
        <w:tab/>
        <w:t xml:space="preserve">Appendice 6 − </w:t>
      </w:r>
      <w:r w:rsidRPr="002C5876">
        <w:t>Sélection des modes de fonctionnement sélectionnables</w:t>
      </w:r>
      <w:r>
        <w:tab/>
      </w:r>
      <w:r>
        <w:tab/>
      </w:r>
      <w:r w:rsidR="001B34D7">
        <w:t>359</w:t>
      </w:r>
    </w:p>
    <w:p w:rsidR="00C12585" w:rsidRPr="002C5876" w:rsidRDefault="00C12585" w:rsidP="00E24DB7">
      <w:pPr>
        <w:tabs>
          <w:tab w:val="right" w:pos="850"/>
          <w:tab w:val="right" w:leader="dot" w:pos="8787"/>
          <w:tab w:val="right" w:pos="9638"/>
        </w:tabs>
        <w:spacing w:after="120"/>
        <w:ind w:left="1134" w:hanging="1134"/>
      </w:pPr>
      <w:r>
        <w:tab/>
      </w:r>
      <w:r>
        <w:tab/>
        <w:t xml:space="preserve">Appendice 7 − </w:t>
      </w:r>
      <w:r w:rsidR="00BC6D78" w:rsidRPr="002C5876">
        <w:rPr>
          <w:lang w:eastAsia="ja-JP"/>
        </w:rPr>
        <w:t xml:space="preserve">Mesure de la consommation de carburant des véhicules </w:t>
      </w:r>
      <w:r w:rsidR="00BC6D78" w:rsidRPr="002C5876">
        <w:rPr>
          <w:lang w:eastAsia="ja-JP"/>
        </w:rPr>
        <w:br/>
        <w:t>à pile à combustible alimentés en hydrogène comprimé</w:t>
      </w:r>
      <w:r w:rsidR="00BC6D78">
        <w:rPr>
          <w:lang w:eastAsia="ja-JP"/>
        </w:rPr>
        <w:tab/>
      </w:r>
      <w:r w:rsidR="00BC6D78">
        <w:rPr>
          <w:lang w:eastAsia="ja-JP"/>
        </w:rPr>
        <w:tab/>
      </w:r>
      <w:r w:rsidR="001B34D7">
        <w:rPr>
          <w:lang w:eastAsia="ja-JP"/>
        </w:rPr>
        <w:t>365</w:t>
      </w:r>
    </w:p>
    <w:p w:rsidR="00E24DB7" w:rsidRPr="002C5876" w:rsidRDefault="00E24DB7" w:rsidP="00E24DB7">
      <w:pPr>
        <w:tabs>
          <w:tab w:val="right" w:pos="850"/>
          <w:tab w:val="right" w:leader="dot" w:pos="8787"/>
          <w:tab w:val="right" w:pos="9638"/>
        </w:tabs>
        <w:spacing w:after="120"/>
        <w:ind w:left="1134" w:hanging="1134"/>
      </w:pPr>
      <w:r w:rsidRPr="002C5876">
        <w:tab/>
        <w:t>9.</w:t>
      </w:r>
      <w:r w:rsidRPr="002C5876">
        <w:tab/>
      </w:r>
      <w:r w:rsidR="00BC6D78" w:rsidRPr="002C5876">
        <w:t>Détermination de l’équivalence d’une méthode</w:t>
      </w:r>
      <w:r w:rsidRPr="002C5876">
        <w:tab/>
      </w:r>
      <w:r w:rsidRPr="002C5876">
        <w:tab/>
      </w:r>
      <w:r w:rsidR="001B34D7">
        <w:t>368</w:t>
      </w:r>
    </w:p>
    <w:p w:rsidR="00E24DB7" w:rsidRPr="002C5876" w:rsidRDefault="00E24DB7" w:rsidP="00AE3389">
      <w:pPr>
        <w:pStyle w:val="HChG"/>
      </w:pPr>
      <w:r w:rsidRPr="002C5876">
        <w:br w:type="page"/>
      </w:r>
      <w:r w:rsidR="00AE3389" w:rsidRPr="002C5876">
        <w:lastRenderedPageBreak/>
        <w:tab/>
      </w:r>
      <w:r w:rsidRPr="002C5876">
        <w:t>I.</w:t>
      </w:r>
      <w:r w:rsidRPr="002C5876">
        <w:tab/>
        <w:t xml:space="preserve">Exposé de l’argumentation technique sur laquelle </w:t>
      </w:r>
      <w:r w:rsidRPr="002C5876">
        <w:br/>
        <w:t>se fonde le projet</w:t>
      </w:r>
    </w:p>
    <w:p w:rsidR="00E24DB7" w:rsidRPr="002C5876" w:rsidRDefault="00E24DB7" w:rsidP="00AE3389">
      <w:pPr>
        <w:pStyle w:val="H1G"/>
      </w:pPr>
      <w:r w:rsidRPr="002C5876">
        <w:tab/>
        <w:t>A.</w:t>
      </w:r>
      <w:r w:rsidRPr="002C5876">
        <w:tab/>
        <w:t>Introduction</w:t>
      </w:r>
    </w:p>
    <w:p w:rsidR="00E24DB7" w:rsidRPr="002C5876" w:rsidRDefault="00E24DB7" w:rsidP="00E24DB7">
      <w:pPr>
        <w:pStyle w:val="SingleTxtG"/>
      </w:pPr>
      <w:r w:rsidRPr="002C5876">
        <w:t>1.</w:t>
      </w:r>
      <w:r w:rsidRPr="002C5876">
        <w:tab/>
        <w:t>L’obligation de conformité des véhicules aux règlements concernant les émissions est un aspect clef de l’homologation des véhicules à l’échelle mondiale. Les émissions concernées comprennent des polluants de référence ayant un impact négatif direct (et principalement local) sur la santé et l’environnement ainsi que des polluants ayant un impact environnemental nuisible à une échelle mondiale. Les règlements s’appliquant aux émissions sont le plus souvent des documents complexes, décrivant des procédures de mesure dans tout un ensemble de conditions bien définies, fixant des valeurs limites pour les émissions, mais aussi réglementant d’autres caractéristiques telles que la durabilité et la surveillance par autodiagnostic des équipements antipollution.</w:t>
      </w:r>
    </w:p>
    <w:p w:rsidR="00E24DB7" w:rsidRPr="002C5876" w:rsidRDefault="00E24DB7" w:rsidP="00E24DB7">
      <w:pPr>
        <w:pStyle w:val="SingleTxtG"/>
      </w:pPr>
      <w:r w:rsidRPr="002C5876">
        <w:t>2.</w:t>
      </w:r>
      <w:r w:rsidRPr="002C5876">
        <w:tab/>
        <w:t>La plupart des constructeurs produisent des véhicules destinés à une clientèle répartie dans le monde, ou au moins dans plusieurs régions. Bien que les véhicules ne soient pas identiques à l’échelle mondiale, du fait que les types et modèles de véhicules tendent à s’adapter aux préférences et conditions de vie locales, l’obligation de satisfaire à des prescriptions différentes en matière d’émissions dans chaque région occasionne des coûts élevés d’un point de vue administratif et du point de vue de la conception des véhicules. Les constructeurs de véhicule auraient donc beaucoup à gagner à l’harmonisation des procédures d’essai et prescriptions de résultats concernant les émissions des véhicules dans la mesure la plus large possible à une échelle mondiale. Les autorités de réglementation, elles aussi, ont à gagner à une harmonisation mondiale car elle leur offre des gains en matière d’efficacité et d’adaptation aux progrès techniques, de collaboration pour la surveillance du marché et d’échange d’informations entre les autorités.</w:t>
      </w:r>
    </w:p>
    <w:p w:rsidR="00E24DB7" w:rsidRPr="002C5876" w:rsidRDefault="00E24DB7" w:rsidP="00E24DB7">
      <w:pPr>
        <w:pStyle w:val="SingleTxtG"/>
      </w:pPr>
      <w:r w:rsidRPr="002C5876">
        <w:t>3.</w:t>
      </w:r>
      <w:r w:rsidRPr="002C5876">
        <w:tab/>
        <w:t>Compte tenu de ces arguments, des travaux ont été lancés par les parties intéressées en vue d’établir le présent Règlement technique mondial</w:t>
      </w:r>
      <w:r w:rsidR="007C7C2B">
        <w:t> </w:t>
      </w:r>
      <w:r w:rsidRPr="002C5876">
        <w:t>ONU (RTM</w:t>
      </w:r>
      <w:r w:rsidR="007C7C2B">
        <w:t> </w:t>
      </w:r>
      <w:r w:rsidRPr="002C5876">
        <w:t>ONU) sur les procédures d’essai harmonisées concernant les émissions pour les voitures particulières et véhicules utilitaires légers (WLTP), visant à harmoniser ces procédures pour ces catégories de véhicules. Les procédures d’essai des véhicules devraient être représentatives des conditions de circulation réelles dans toute la mesure possible afin de permettre une comparaison des performances des véhicules lors de l’homologation et en circulation réelle. Malheureusement, ce critère impose certaines limitations en ce qui concerne le degré d’harmonisation pouvant être réalisé, étant donné par exemple que les températures ambiantes sont très variables à une échelle mondiale. En outre, compte tenu des niveaux différents de développement économique d’un endroit à l’autre, des variations de la densité de la population et des coûts associés à la technologie de réduction des émissions, le degré de sévérité de la réglementation continuera d’être variable d’une région à l’autre dans un avenir prévisible. C’est pourquoi la fixation de valeurs limites d’émissions ne fait pas partie des prescriptions du présent RTM ONU au stade actuel.</w:t>
      </w:r>
    </w:p>
    <w:p w:rsidR="00E24DB7" w:rsidRPr="002C5876" w:rsidRDefault="00E24DB7" w:rsidP="00E24DB7">
      <w:pPr>
        <w:pStyle w:val="SingleTxtG"/>
      </w:pPr>
      <w:r w:rsidRPr="002C5876">
        <w:t>4.</w:t>
      </w:r>
      <w:r w:rsidRPr="002C5876">
        <w:tab/>
        <w:t>L’objectif visé par le RTM ONU est celui d’une mise en œuvre dans la législation régionale par le plus grand nombre possible de Parties contractantes. Cependant, le champ d’application des législations régionales du point de vue des catégories de véhicules concernées dépend des conditions régionales et ne peut pas être prédit au stade actuel. Par contre, conformément aux règles de l’Accord CEE de 1998, les Parties contractantes qui mettent en œuvre un RTM ONU doivent inclure tous les équipements entrant dans le champ formel du RTM ONU. Il est donc important de veiller à ce que le champ d’application exagérément large d’un RTM ONU ne fasse pas obstacle à sa mise en œuvre dans la région. C’est pourquoi le champ d’application officiel du présent RTM ONU est limité à la catégorie de voitures particulières et utilitaires légers. Cette limitation, toutefois, du champ d’application ne veut pas dire que ce RTM ONU ne puisse pas être appliqué à un échantillon plus large de catégories de véhicules dans le cadre de la législation régionale. De fait, les Parties contractantes sont encouragées à élargir le champ d’application régional du RTM ONU, si cette manière de procéder est techniquement, économiquement et administrativement viable.</w:t>
      </w:r>
    </w:p>
    <w:p w:rsidR="00E24DB7" w:rsidRPr="002C5876" w:rsidRDefault="00E24DB7" w:rsidP="00E24DB7">
      <w:pPr>
        <w:pStyle w:val="SingleTxtG"/>
      </w:pPr>
      <w:r w:rsidRPr="002C5876">
        <w:lastRenderedPageBreak/>
        <w:t>5.</w:t>
      </w:r>
      <w:r w:rsidRPr="002C5876">
        <w:tab/>
        <w:t>Cette première version du RTM ONU, en particulier, ne contient pas de prescriptions d’essai spécifiques pour les véhicules bicarburant et les véhicules hybrides non basés sur une combinaison de moteurs à combustion interne et de moteurs électriques. En conséquence, ces véhicules ne sont pas compris dans le champ du RTM ONU WLTP. Les Parties contractantes, cependant, peuvent appliquer les prescriptions de ce RTM ONU à de tels véhicules dans la mesure où cela est possible, et les compléter par des prescriptions additionnelles concernant par exemple les essais d’émissions avec différentes qualités et types de carburant, dans la législation régionale.</w:t>
      </w:r>
    </w:p>
    <w:p w:rsidR="00E24DB7" w:rsidRPr="002C5876" w:rsidRDefault="00E24DB7" w:rsidP="00E24DB7">
      <w:pPr>
        <w:pStyle w:val="H1G"/>
      </w:pPr>
      <w:r w:rsidRPr="002C5876">
        <w:tab/>
        <w:t>B.</w:t>
      </w:r>
      <w:r w:rsidRPr="002C5876">
        <w:tab/>
        <w:t xml:space="preserve">Historique des étapes antérieures et évolution future </w:t>
      </w:r>
      <w:r w:rsidRPr="002C5876">
        <w:br/>
        <w:t>du projet WLTP</w:t>
      </w:r>
    </w:p>
    <w:p w:rsidR="00E24DB7" w:rsidRPr="002C5876" w:rsidRDefault="00E24DB7" w:rsidP="00E24DB7">
      <w:pPr>
        <w:pStyle w:val="SingleTxtG"/>
      </w:pPr>
      <w:r w:rsidRPr="002C5876">
        <w:t>6.</w:t>
      </w:r>
      <w:r w:rsidRPr="002C5876">
        <w:tab/>
        <w:t>À sa session de novembre 2007, le WP.29 avait décidé d’établir un groupe informel WLTP relevant du GRPE chargé d’établir une feuille de route en ce qui concerne l’élaboration du Règlement WLTP. Après diverses réunions et des débats intensifs, le groupe informel WLTP a présenté en juin 2009 une première feuille de route comprenant trois phases, qui a été par la suite révisée à plusieurs reprises, et qui comprend désormais les tâches principales suivantes :</w:t>
      </w:r>
    </w:p>
    <w:p w:rsidR="00E24DB7" w:rsidRPr="002C5876" w:rsidRDefault="00E24DB7" w:rsidP="00E24DB7">
      <w:pPr>
        <w:pStyle w:val="SingleTxtG"/>
        <w:ind w:firstLine="567"/>
      </w:pPr>
      <w:r w:rsidRPr="002C5876">
        <w:t>a)</w:t>
      </w:r>
      <w:r w:rsidRPr="002C5876">
        <w:tab/>
        <w:t>Phase 1 (2009-2015) : élaboration du cycle d’essai mondial harmonisé pour les voitures particulières et véhicules utilitaires légers et de la procédure d’essai associée pour la mesure standardisée des composés de référence, du CO</w:t>
      </w:r>
      <w:r w:rsidRPr="002C5876">
        <w:rPr>
          <w:vertAlign w:val="subscript"/>
        </w:rPr>
        <w:t>2</w:t>
      </w:r>
      <w:r w:rsidRPr="002C5876">
        <w:t xml:space="preserve"> et de la consommation de carburant et d’énergie ;</w:t>
      </w:r>
    </w:p>
    <w:p w:rsidR="00E24DB7" w:rsidRPr="002C5876" w:rsidRDefault="00E24DB7" w:rsidP="00E24DB7">
      <w:pPr>
        <w:pStyle w:val="SingleTxtG"/>
        <w:ind w:firstLine="567"/>
      </w:pPr>
      <w:r w:rsidRPr="002C5876">
        <w:t>b)</w:t>
      </w:r>
      <w:r w:rsidRPr="002C5876">
        <w:tab/>
        <w:t>Phase 2 (2014-2018) : procédure d’essai à basse température/à haute altitude, durabilité, conformité en service, prescriptions techniques concernant l’autodiagnostic (OBD), efficacité énergétique des systèmes mobiles d’air conditionné (MAC), émissions hors cycle/en conduite réelle ;</w:t>
      </w:r>
    </w:p>
    <w:p w:rsidR="00E24DB7" w:rsidRPr="002C5876" w:rsidRDefault="00E24DB7" w:rsidP="00E24DB7">
      <w:pPr>
        <w:pStyle w:val="SingleTxtG"/>
        <w:ind w:firstLine="567"/>
      </w:pPr>
      <w:r w:rsidRPr="002C5876">
        <w:t>c)</w:t>
      </w:r>
      <w:r w:rsidRPr="002C5876">
        <w:tab/>
        <w:t>Phase 3 (2018-…) : fixation des valeurs limites d’émissions et des valeurs seuils OBD, définition des carburants de référence, comparaison entre prescriptions régionales.</w:t>
      </w:r>
    </w:p>
    <w:p w:rsidR="00E24DB7" w:rsidRPr="002C5876" w:rsidRDefault="00E24DB7" w:rsidP="00E24DB7">
      <w:pPr>
        <w:pStyle w:val="SingleTxtG"/>
      </w:pPr>
      <w:r w:rsidRPr="002C5876">
        <w:t>7.</w:t>
      </w:r>
      <w:r w:rsidRPr="002C5876">
        <w:tab/>
        <w:t>Il convient de noter que dès les débuts du processus WLTP, l’Union européenne était mue par un impératif politique explicite découlant de la législation de l’Union (Règlements CE 443/2009 et 510/2011) qui prescrivait la mise au point d’un cycle d’essai nouveau et plus réaliste d’ici à</w:t>
      </w:r>
      <w:r w:rsidR="00AE3389" w:rsidRPr="002C5876">
        <w:t> </w:t>
      </w:r>
      <w:r w:rsidRPr="002C5876">
        <w:t>2014, ce qui a imprimé une impulsion politique majeure pour la fixation du cadre temporel de la phase 1.</w:t>
      </w:r>
    </w:p>
    <w:p w:rsidR="00E24DB7" w:rsidRPr="002C5876" w:rsidRDefault="00E24DB7" w:rsidP="00E24DB7">
      <w:pPr>
        <w:pStyle w:val="SingleTxtG"/>
        <w:keepNext/>
        <w:keepLines/>
      </w:pPr>
      <w:r w:rsidRPr="002C5876">
        <w:t>8.</w:t>
      </w:r>
      <w:r w:rsidRPr="002C5876">
        <w:tab/>
        <w:t>Pour les travaux de la phase 1, les groupes de travail et sous-groupes suivants ont été établis :</w:t>
      </w:r>
    </w:p>
    <w:p w:rsidR="00E24DB7" w:rsidRPr="002C5876" w:rsidRDefault="00E24DB7" w:rsidP="00E24DB7">
      <w:pPr>
        <w:pStyle w:val="SingleTxtG"/>
        <w:ind w:firstLine="567"/>
      </w:pPr>
      <w:r w:rsidRPr="002C5876">
        <w:t>a)</w:t>
      </w:r>
      <w:r w:rsidRPr="002C5876">
        <w:tab/>
        <w:t>Élaboration du cycle harmonisé (DHC) : élaboration d’un nouveau cycle d’essai mondial harmonisé pour voitures particulières et véhicules utilitaires légers (WLTC), c’est-à-dire établissement de la courbe de fonctionnement pour l’essai WLTP sur la base d’une analyse statistique des données de circulation en condition réelle ;</w:t>
      </w:r>
    </w:p>
    <w:p w:rsidR="00E24DB7" w:rsidRPr="002C5876" w:rsidRDefault="00E24DB7" w:rsidP="00E24DB7">
      <w:pPr>
        <w:pStyle w:val="SingleTxtG"/>
      </w:pPr>
      <w:r w:rsidRPr="002C5876">
        <w:t>Le groupe DHC a commencé ses travaux en septembre 2009, lancé l’opération de collecte des données sur la circulation en</w:t>
      </w:r>
      <w:r w:rsidR="00AE3389" w:rsidRPr="002C5876">
        <w:t> </w:t>
      </w:r>
      <w:r w:rsidRPr="002C5876">
        <w:t>2010, et proposé une première version du cycle d’essai mi-2011, cycle d’essai qui a été révisé un certain nombre de fois pour prendre en compte des aspects techniques tels que la facilité de conduite et la prise en compte de conditions de fonctionnement plus représentatives après une première validation ;</w:t>
      </w:r>
    </w:p>
    <w:p w:rsidR="00E24DB7" w:rsidRPr="002C5876" w:rsidRDefault="00E24DB7" w:rsidP="00E24DB7">
      <w:pPr>
        <w:pStyle w:val="SingleTxtG"/>
        <w:keepNext/>
        <w:keepLines/>
        <w:ind w:firstLine="567"/>
      </w:pPr>
      <w:r w:rsidRPr="002C5876">
        <w:t>b)</w:t>
      </w:r>
      <w:r w:rsidRPr="002C5876">
        <w:tab/>
        <w:t>Élaboration des procédures d’essai (DTP) : élaboration de procédures d’essai avec la participation de groupes d’experts spécifiques :</w:t>
      </w:r>
    </w:p>
    <w:p w:rsidR="00E24DB7" w:rsidRPr="002C5876" w:rsidRDefault="00E24DB7" w:rsidP="00E24DB7">
      <w:pPr>
        <w:pStyle w:val="SingleTxtG"/>
        <w:ind w:left="1701"/>
      </w:pPr>
      <w:r w:rsidRPr="002C5876">
        <w:t>i)</w:t>
      </w:r>
      <w:r w:rsidRPr="002C5876">
        <w:tab/>
        <w:t>Groupe MP-NP : mesures de la masse des particules (PM) et du nombre de particules (PN) ;</w:t>
      </w:r>
    </w:p>
    <w:p w:rsidR="00E24DB7" w:rsidRPr="002C5876" w:rsidRDefault="00E24DB7" w:rsidP="00E24DB7">
      <w:pPr>
        <w:pStyle w:val="SingleTxtG"/>
        <w:ind w:left="1701"/>
      </w:pPr>
      <w:r w:rsidRPr="002C5876">
        <w:t>ii)</w:t>
      </w:r>
      <w:r w:rsidRPr="002C5876">
        <w:tab/>
        <w:t>Groupe APM : mesures de polluants additionnels, procédures de mesure pour les polluants d’échappement qui ne sont pas encore visés par la réglementation en tant que composés, mais qui pourraient l’être dans un avenir proche, tels que le NO</w:t>
      </w:r>
      <w:r w:rsidRPr="002C5876">
        <w:rPr>
          <w:vertAlign w:val="subscript"/>
        </w:rPr>
        <w:t>2</w:t>
      </w:r>
      <w:r w:rsidRPr="002C5876">
        <w:t>, l’éthanol, les aldéhydes et l’ammoniac ;</w:t>
      </w:r>
    </w:p>
    <w:p w:rsidR="00E24DB7" w:rsidRPr="002C5876" w:rsidRDefault="00E24DB7" w:rsidP="00E24DB7">
      <w:pPr>
        <w:pStyle w:val="SingleTxtG"/>
        <w:ind w:left="1701"/>
      </w:pPr>
      <w:r w:rsidRPr="002C5876">
        <w:lastRenderedPageBreak/>
        <w:t>iii)</w:t>
      </w:r>
      <w:r w:rsidRPr="002C5876">
        <w:tab/>
        <w:t>Groupe LabProcICE : conditions d’essai et procédures de mesure des composés réglementés existants pour les véhicules équipés de moteurs à combustion interne (autres que les mesures de MP et de NP) ;</w:t>
      </w:r>
    </w:p>
    <w:p w:rsidR="00E24DB7" w:rsidRPr="002C5876" w:rsidRDefault="00E24DB7" w:rsidP="00E24DB7">
      <w:pPr>
        <w:pStyle w:val="SingleTxtG"/>
        <w:ind w:left="1701"/>
      </w:pPr>
      <w:r w:rsidRPr="002C5876">
        <w:t>iv)</w:t>
      </w:r>
      <w:r w:rsidRPr="002C5876">
        <w:tab/>
        <w:t>Groupe VE-VHE : conditions d’essai et procédures de mesure spécifiques pour les véhicules électriques et véhicules hybrides électriques ;</w:t>
      </w:r>
    </w:p>
    <w:p w:rsidR="00E24DB7" w:rsidRPr="002C5876" w:rsidRDefault="00E24DB7" w:rsidP="00E24DB7">
      <w:pPr>
        <w:pStyle w:val="SingleTxtG"/>
        <w:ind w:left="1701"/>
      </w:pPr>
      <w:r w:rsidRPr="002C5876">
        <w:t>v)</w:t>
      </w:r>
      <w:r w:rsidRPr="002C5876">
        <w:tab/>
        <w:t>Groupe REF-FUEL : définition des carburants de référence.</w:t>
      </w:r>
    </w:p>
    <w:p w:rsidR="00E24DB7" w:rsidRPr="002C5876" w:rsidRDefault="00E24DB7" w:rsidP="00E24DB7">
      <w:pPr>
        <w:pStyle w:val="SingleTxtG"/>
        <w:ind w:left="2268" w:hanging="567"/>
      </w:pPr>
      <w:r w:rsidRPr="002C5876">
        <w:t>Le groupe DTP a commencé ses travaux en avril 2010.</w:t>
      </w:r>
    </w:p>
    <w:p w:rsidR="00E24DB7" w:rsidRPr="002C5876" w:rsidRDefault="00E24DB7" w:rsidP="00E24DB7">
      <w:pPr>
        <w:pStyle w:val="SingleTxtG"/>
      </w:pPr>
      <w:r w:rsidRPr="002C5876">
        <w:t>9.</w:t>
      </w:r>
      <w:r w:rsidRPr="002C5876">
        <w:tab/>
        <w:t>Au cours des travaux du groupe DTP il est apparu qu’un certain nombre de points, en particulier en ce qui concerne les véhicules électriques et véhicules hybrides électriques, mais aussi d’autres aspects, ne seraient pas tranchés à temps pour l’adoption de la première version du projet de règlement WLTP par le WP.29 en mars 2014. C’est pourquoi il a été décidé que les travaux relatifs à la phase</w:t>
      </w:r>
      <w:r w:rsidR="00AE3389" w:rsidRPr="002C5876">
        <w:t> </w:t>
      </w:r>
      <w:r w:rsidRPr="002C5876">
        <w:t>1 seraient divisés en deux sous-sections :</w:t>
      </w:r>
    </w:p>
    <w:p w:rsidR="00E24DB7" w:rsidRPr="002C5876" w:rsidRDefault="00E24DB7" w:rsidP="00E24DB7">
      <w:pPr>
        <w:pStyle w:val="SingleTxtG"/>
        <w:ind w:firstLine="567"/>
      </w:pPr>
      <w:r w:rsidRPr="002C5876">
        <w:t>a)</w:t>
      </w:r>
      <w:r w:rsidRPr="002C5876">
        <w:tab/>
        <w:t>Phase</w:t>
      </w:r>
      <w:r w:rsidR="00AE3389" w:rsidRPr="002C5876">
        <w:t> </w:t>
      </w:r>
      <w:r w:rsidRPr="002C5876">
        <w:t>1a (2009-2013) : élaboration du cycle d’essai mondial harmonisé pour les voitures particulières et les véhicules utilitaires légers, et de la procédure d’essai de base. Ces travaux ont abouti à la première version du présent RTM</w:t>
      </w:r>
      <w:r w:rsidR="007C7C2B">
        <w:t xml:space="preserve"> ONU</w:t>
      </w:r>
      <w:r w:rsidRPr="002C5876">
        <w:t>, qui a été publiée comme document de travail officiel ECE/TRANS/WP.29/GRPE/2013/13, et à une série d’amendements publiée comme document informel GRPE-67-04-Rev.1 ;</w:t>
      </w:r>
    </w:p>
    <w:p w:rsidR="00E24DB7" w:rsidRPr="002C5876" w:rsidRDefault="00E24DB7" w:rsidP="00E24DB7">
      <w:pPr>
        <w:pStyle w:val="SingleTxtG"/>
        <w:ind w:firstLine="567"/>
      </w:pPr>
      <w:r w:rsidRPr="002C5876">
        <w:t>b)</w:t>
      </w:r>
      <w:r w:rsidRPr="002C5876">
        <w:tab/>
        <w:t>Phase</w:t>
      </w:r>
      <w:r w:rsidR="00AE3389" w:rsidRPr="002C5876">
        <w:t> </w:t>
      </w:r>
      <w:r w:rsidRPr="002C5876">
        <w:t>1b (2013-2015) : élaboration ultérieure et affinement de la procédure d’essai, y compris l’addition de points additionnels dans le RTM ONU.</w:t>
      </w:r>
    </w:p>
    <w:p w:rsidR="00E24DB7" w:rsidRPr="002C5876" w:rsidRDefault="00E24DB7" w:rsidP="00E24DB7">
      <w:pPr>
        <w:pStyle w:val="SingleTxtG"/>
        <w:keepNext/>
        <w:keepLines/>
      </w:pPr>
      <w:r w:rsidRPr="002C5876">
        <w:t>10.</w:t>
      </w:r>
      <w:r w:rsidRPr="002C5876">
        <w:tab/>
        <w:t>Les travaux pour la phase</w:t>
      </w:r>
      <w:r w:rsidR="00AE3389" w:rsidRPr="002C5876">
        <w:t> </w:t>
      </w:r>
      <w:r w:rsidRPr="002C5876">
        <w:t>1b ont été organisés sur la base d’une répartition entre les groupes d’experts ci-après dans le cadre du groupe de travail informel WLTP :</w:t>
      </w:r>
    </w:p>
    <w:p w:rsidR="00E24DB7" w:rsidRPr="002C5876" w:rsidRDefault="00E24DB7" w:rsidP="00E24DB7">
      <w:pPr>
        <w:pStyle w:val="SingleTxtG"/>
        <w:ind w:left="1701"/>
      </w:pPr>
      <w:r w:rsidRPr="002C5876">
        <w:t>i)</w:t>
      </w:r>
      <w:r w:rsidRPr="002C5876">
        <w:tab/>
        <w:t>Élaboration du RTM ONU : coordination entre tous les groupes de manière à garantir la formulation d’un RTM ONU viable, cohérent et conforme ;</w:t>
      </w:r>
    </w:p>
    <w:p w:rsidR="00E24DB7" w:rsidRPr="002C5876" w:rsidRDefault="00E24DB7" w:rsidP="00E24DB7">
      <w:pPr>
        <w:pStyle w:val="SingleTxtG"/>
        <w:ind w:left="1701"/>
      </w:pPr>
      <w:r w:rsidRPr="002C5876">
        <w:t>ii)</w:t>
      </w:r>
      <w:r w:rsidRPr="002C5876">
        <w:tab/>
        <w:t>E-lab : conditions d’essai et procédures de mesures spécifiques pour les véhicules électriques et hybrides électriques. Ces travaux faisaient suite aux travaux du groupe EV-HEV dans le cadre de la phase1a ;</w:t>
      </w:r>
    </w:p>
    <w:p w:rsidR="00E24DB7" w:rsidRPr="002C5876" w:rsidRDefault="00E24DB7" w:rsidP="00E24DB7">
      <w:pPr>
        <w:pStyle w:val="SingleTxtG"/>
        <w:ind w:left="1701"/>
      </w:pPr>
      <w:r w:rsidRPr="002C5876">
        <w:t>iii)</w:t>
      </w:r>
      <w:r w:rsidRPr="002C5876">
        <w:tab/>
        <w:t>Équipes spéciales : pour chaque question spécifique devant être intégrée dans le RTM ONU, le groupe de travail informel aurait à désigner un chef d’équipe, qui mènerait les travaux dans le cadre d’un groupe de parties intéressées sur l’élaboration d’une méthodologie d’essai et d’une proposition de textes de RTM</w:t>
      </w:r>
      <w:r w:rsidR="00AE3389" w:rsidRPr="002C5876">
        <w:t> </w:t>
      </w:r>
      <w:r w:rsidRPr="002C5876">
        <w:t>ONU.</w:t>
      </w:r>
    </w:p>
    <w:p w:rsidR="00E24DB7" w:rsidRPr="002C5876" w:rsidRDefault="00E24DB7" w:rsidP="00E24DB7">
      <w:pPr>
        <w:pStyle w:val="SingleTxtG"/>
        <w:keepNext/>
        <w:keepLines/>
      </w:pPr>
      <w:r w:rsidRPr="002C5876">
        <w:t>Une liste récapitulative des principaux points qui ont été traités au cours de la phase</w:t>
      </w:r>
      <w:r w:rsidR="00AB2D3F">
        <w:t> </w:t>
      </w:r>
      <w:r w:rsidRPr="002C5876">
        <w:t>1b et ajoutés au RTM ONU est présentée ci-après :</w:t>
      </w:r>
    </w:p>
    <w:p w:rsidR="00E24DB7" w:rsidRPr="002C5876" w:rsidRDefault="00E24DB7" w:rsidP="00E24DB7">
      <w:pPr>
        <w:pStyle w:val="SingleTxtG"/>
        <w:ind w:firstLine="567"/>
      </w:pPr>
      <w:r w:rsidRPr="002C5876">
        <w:t>a)</w:t>
      </w:r>
      <w:r w:rsidRPr="002C5876">
        <w:tab/>
        <w:t>Véhicules équipés uniquement d’un moteur à combustion interne :</w:t>
      </w:r>
    </w:p>
    <w:p w:rsidR="00E24DB7" w:rsidRPr="002C5876" w:rsidRDefault="00E24DB7" w:rsidP="00E24DB7">
      <w:pPr>
        <w:pStyle w:val="SingleTxtG"/>
        <w:ind w:left="2268"/>
      </w:pPr>
      <w:r w:rsidRPr="002C5876">
        <w:t>i)</w:t>
      </w:r>
      <w:r w:rsidRPr="002C5876">
        <w:tab/>
        <w:t>Méthodes de normalisation et index de la courbe de vitesse ;</w:t>
      </w:r>
    </w:p>
    <w:p w:rsidR="00E24DB7" w:rsidRPr="002C5876" w:rsidRDefault="00E24DB7" w:rsidP="00E24DB7">
      <w:pPr>
        <w:pStyle w:val="SingleTxtG"/>
        <w:ind w:left="2268"/>
      </w:pPr>
      <w:r w:rsidRPr="002C5876">
        <w:t>ii)</w:t>
      </w:r>
      <w:r w:rsidRPr="002C5876">
        <w:tab/>
        <w:t>Nombre d’essais ;</w:t>
      </w:r>
    </w:p>
    <w:p w:rsidR="00E24DB7" w:rsidRPr="002C5876" w:rsidRDefault="00E24DB7" w:rsidP="00E24DB7">
      <w:pPr>
        <w:pStyle w:val="SingleTxtG"/>
        <w:ind w:left="2268"/>
      </w:pPr>
      <w:r w:rsidRPr="002C5876">
        <w:t>iii)</w:t>
      </w:r>
      <w:r w:rsidRPr="002C5876">
        <w:tab/>
        <w:t>Méthodes de l’essai en soufflerie comme méthode alternative pour la détermination de la résistance à l’avancement sur route ;</w:t>
      </w:r>
    </w:p>
    <w:p w:rsidR="00E24DB7" w:rsidRPr="002C5876" w:rsidRDefault="00E24DB7" w:rsidP="00E24DB7">
      <w:pPr>
        <w:pStyle w:val="SingleTxtG"/>
        <w:ind w:left="2268"/>
      </w:pPr>
      <w:r w:rsidRPr="002C5876">
        <w:t>iv)</w:t>
      </w:r>
      <w:r w:rsidRPr="002C5876">
        <w:tab/>
        <w:t>Famille de matrices de résistance à l’avancement sur route ;</w:t>
      </w:r>
    </w:p>
    <w:p w:rsidR="00E24DB7" w:rsidRPr="002C5876" w:rsidRDefault="00E24DB7" w:rsidP="00E24DB7">
      <w:pPr>
        <w:pStyle w:val="SingleTxtG"/>
        <w:ind w:left="2268"/>
      </w:pPr>
      <w:r w:rsidRPr="002C5876">
        <w:t>v)</w:t>
      </w:r>
      <w:r w:rsidRPr="002C5876">
        <w:tab/>
        <w:t>Famille d’interpolation et concept de famille de résistance à l’avancement sur route ;</w:t>
      </w:r>
    </w:p>
    <w:p w:rsidR="00E24DB7" w:rsidRPr="002C5876" w:rsidRDefault="00E24DB7" w:rsidP="00E24DB7">
      <w:pPr>
        <w:pStyle w:val="SingleTxtG"/>
        <w:ind w:left="2268"/>
      </w:pPr>
      <w:r w:rsidRPr="002C5876">
        <w:t>vi)</w:t>
      </w:r>
      <w:r w:rsidRPr="002C5876">
        <w:tab/>
        <w:t>Instruments d’anémométrie embarqués et conditions de vitesse du vent ;</w:t>
      </w:r>
    </w:p>
    <w:p w:rsidR="00E24DB7" w:rsidRPr="002C5876" w:rsidRDefault="00E24DB7" w:rsidP="00E24DB7">
      <w:pPr>
        <w:pStyle w:val="SingleTxtG"/>
        <w:ind w:left="2268"/>
      </w:pPr>
      <w:r w:rsidRPr="002C5876">
        <w:t>vii)</w:t>
      </w:r>
      <w:r w:rsidRPr="002C5876">
        <w:tab/>
        <w:t>Procédure alternative de mise en température du véhicule ;</w:t>
      </w:r>
    </w:p>
    <w:p w:rsidR="00E24DB7" w:rsidRPr="002C5876" w:rsidRDefault="00E24DB7" w:rsidP="00E24DB7">
      <w:pPr>
        <w:pStyle w:val="SingleTxtG"/>
        <w:ind w:left="2268"/>
      </w:pPr>
      <w:r w:rsidRPr="002C5876">
        <w:t>viii)</w:t>
      </w:r>
      <w:r w:rsidRPr="002C5876">
        <w:tab/>
        <w:t>Calcul et interpolation dans la consommation de carburant ;</w:t>
      </w:r>
    </w:p>
    <w:p w:rsidR="00E24DB7" w:rsidRPr="00C574AA" w:rsidRDefault="00E24DB7" w:rsidP="00E24DB7">
      <w:pPr>
        <w:pStyle w:val="SingleTxtG"/>
        <w:keepNext/>
        <w:keepLines/>
        <w:ind w:firstLine="567"/>
        <w:rPr>
          <w:spacing w:val="-3"/>
        </w:rPr>
      </w:pPr>
      <w:r w:rsidRPr="00C574AA">
        <w:rPr>
          <w:spacing w:val="-3"/>
        </w:rPr>
        <w:t>b)</w:t>
      </w:r>
      <w:r w:rsidRPr="00C574AA">
        <w:rPr>
          <w:spacing w:val="-3"/>
        </w:rPr>
        <w:tab/>
        <w:t>Véhicules électriques et véhicules électriques hybrides (groupe d’experts E</w:t>
      </w:r>
      <w:r w:rsidRPr="00C574AA">
        <w:rPr>
          <w:spacing w:val="-3"/>
        </w:rPr>
        <w:noBreakHyphen/>
        <w:t>lab) :</w:t>
      </w:r>
    </w:p>
    <w:p w:rsidR="00E24DB7" w:rsidRPr="002C5876" w:rsidRDefault="00E24DB7" w:rsidP="00E24DB7">
      <w:pPr>
        <w:pStyle w:val="SingleTxtG"/>
        <w:ind w:left="2268"/>
      </w:pPr>
      <w:r w:rsidRPr="002C5876">
        <w:t>i)</w:t>
      </w:r>
      <w:r w:rsidRPr="002C5876">
        <w:tab/>
        <w:t>Procédure d’essai des véhicules à pile à combustible ;</w:t>
      </w:r>
    </w:p>
    <w:p w:rsidR="00E24DB7" w:rsidRPr="002C5876" w:rsidRDefault="00E24DB7" w:rsidP="00E24DB7">
      <w:pPr>
        <w:pStyle w:val="SingleTxtG"/>
        <w:ind w:left="2268"/>
      </w:pPr>
      <w:r w:rsidRPr="002C5876">
        <w:t>ii)</w:t>
      </w:r>
      <w:r w:rsidRPr="002C5876">
        <w:tab/>
        <w:t>Procédure d’essai abrégée pour l’essai d’autonomie des véhicules électriques purs ;</w:t>
      </w:r>
    </w:p>
    <w:p w:rsidR="00E24DB7" w:rsidRPr="002C5876" w:rsidRDefault="00E24DB7" w:rsidP="00E24DB7">
      <w:pPr>
        <w:pStyle w:val="SingleTxtG"/>
        <w:ind w:left="2268"/>
      </w:pPr>
      <w:r w:rsidRPr="002C5876">
        <w:lastRenderedPageBreak/>
        <w:t>iii)</w:t>
      </w:r>
      <w:r w:rsidRPr="002C5876">
        <w:tab/>
        <w:t>Mesure de CO2 (consommation de carburant) spécifique par phase pour les véhicules hybrides électriques à recharge extérieure ;</w:t>
      </w:r>
    </w:p>
    <w:p w:rsidR="00E24DB7" w:rsidRPr="002C5876" w:rsidRDefault="00E24DB7" w:rsidP="00E24DB7">
      <w:pPr>
        <w:pStyle w:val="SingleTxtG"/>
        <w:ind w:left="2268"/>
      </w:pPr>
      <w:r w:rsidRPr="002C5876">
        <w:t>iv)</w:t>
      </w:r>
      <w:r w:rsidRPr="002C5876">
        <w:tab/>
        <w:t>Critères de détermination de l’autonomie finale des véhicules électriques ;</w:t>
      </w:r>
    </w:p>
    <w:p w:rsidR="00E24DB7" w:rsidRPr="002C5876" w:rsidRDefault="00E24DB7" w:rsidP="00E24DB7">
      <w:pPr>
        <w:pStyle w:val="SingleTxtG"/>
        <w:ind w:left="2268"/>
      </w:pPr>
      <w:r w:rsidRPr="002C5876">
        <w:t>v)</w:t>
      </w:r>
      <w:r w:rsidRPr="002C5876">
        <w:tab/>
        <w:t>Méthode d’interpolation pour les véhicules électriques hybrides rechargeables et véhicules électriques purs ;</w:t>
      </w:r>
    </w:p>
    <w:p w:rsidR="00E24DB7" w:rsidRPr="002C5876" w:rsidRDefault="00E24DB7" w:rsidP="00E24DB7">
      <w:pPr>
        <w:pStyle w:val="SingleTxtG"/>
        <w:ind w:left="2268"/>
      </w:pPr>
      <w:r w:rsidRPr="002C5876">
        <w:t>vi)</w:t>
      </w:r>
      <w:r w:rsidRPr="002C5876">
        <w:tab/>
        <w:t>Facteurs d’utilisation ;</w:t>
      </w:r>
    </w:p>
    <w:p w:rsidR="00E24DB7" w:rsidRPr="002C5876" w:rsidRDefault="00E24DB7" w:rsidP="00E24DB7">
      <w:pPr>
        <w:pStyle w:val="SingleTxtG"/>
        <w:ind w:left="2268"/>
      </w:pPr>
      <w:r w:rsidRPr="002C5876">
        <w:t>vii)</w:t>
      </w:r>
      <w:r w:rsidRPr="002C5876">
        <w:tab/>
        <w:t>Mode prédominant/sélection du mode ;</w:t>
      </w:r>
    </w:p>
    <w:p w:rsidR="00E24DB7" w:rsidRPr="002C5876" w:rsidRDefault="00E24DB7" w:rsidP="00E24DB7">
      <w:pPr>
        <w:pStyle w:val="SingleTxtG"/>
        <w:ind w:firstLine="567"/>
      </w:pPr>
      <w:r w:rsidRPr="002C5876">
        <w:t>c)</w:t>
      </w:r>
      <w:r w:rsidRPr="002C5876">
        <w:tab/>
        <w:t>Autres polluants à prendre en compte :</w:t>
      </w:r>
    </w:p>
    <w:p w:rsidR="00E24DB7" w:rsidRPr="002C5876" w:rsidRDefault="00E24DB7" w:rsidP="00E24DB7">
      <w:pPr>
        <w:pStyle w:val="SingleTxtG"/>
        <w:ind w:left="2268"/>
      </w:pPr>
      <w:r w:rsidRPr="002C5876">
        <w:t>Méthodes de mesures pour l’ammoniac, l’éthanol, le formaldéhyde et l’acétaldéhyde ;</w:t>
      </w:r>
    </w:p>
    <w:p w:rsidR="00E24DB7" w:rsidRPr="002C5876" w:rsidRDefault="00E24DB7" w:rsidP="00E24DB7">
      <w:pPr>
        <w:pStyle w:val="SingleTxtG"/>
        <w:ind w:firstLine="567"/>
      </w:pPr>
      <w:r w:rsidRPr="002C5876">
        <w:t>d)</w:t>
      </w:r>
      <w:r w:rsidRPr="002C5876">
        <w:tab/>
        <w:t>DHC :</w:t>
      </w:r>
    </w:p>
    <w:p w:rsidR="00E24DB7" w:rsidRPr="002C5876" w:rsidRDefault="00E24DB7" w:rsidP="00E24DB7">
      <w:pPr>
        <w:pStyle w:val="SingleTxtG"/>
        <w:ind w:left="2835" w:hanging="567"/>
      </w:pPr>
      <w:r w:rsidRPr="002C5876">
        <w:t>i)</w:t>
      </w:r>
      <w:r w:rsidRPr="002C5876">
        <w:tab/>
        <w:t>Réduction d’échelle ultérieure pour le fonctionnement à plein gaz ;</w:t>
      </w:r>
    </w:p>
    <w:p w:rsidR="00E24DB7" w:rsidRPr="002C5876" w:rsidRDefault="00E24DB7" w:rsidP="00E24DB7">
      <w:pPr>
        <w:pStyle w:val="SingleTxtG"/>
        <w:ind w:left="2835" w:hanging="567"/>
      </w:pPr>
      <w:r w:rsidRPr="002C5876">
        <w:t>ii)</w:t>
      </w:r>
      <w:r w:rsidRPr="002C5876">
        <w:tab/>
        <w:t>Changements de rapport.</w:t>
      </w:r>
    </w:p>
    <w:p w:rsidR="00E24DB7" w:rsidRPr="002C5876" w:rsidRDefault="00E24DB7" w:rsidP="00E24DB7">
      <w:pPr>
        <w:pStyle w:val="H1G"/>
      </w:pPr>
      <w:r w:rsidRPr="002C5876">
        <w:tab/>
        <w:t>C.</w:t>
      </w:r>
      <w:r w:rsidRPr="002C5876">
        <w:tab/>
        <w:t>Historique des cycles d’essai et des procédures d’essai</w:t>
      </w:r>
    </w:p>
    <w:p w:rsidR="00E24DB7" w:rsidRPr="002C5876" w:rsidRDefault="00E24DB7" w:rsidP="00E24DB7">
      <w:pPr>
        <w:pStyle w:val="SingleTxtG"/>
      </w:pPr>
      <w:r w:rsidRPr="002C5876">
        <w:t>11.</w:t>
      </w:r>
      <w:r w:rsidRPr="002C5876">
        <w:tab/>
        <w:t>L’élaboration du cycle d’essai mondial harmonisé pour voitures particulières et véhicules utilitaires légers s’est fondée sur l’expérience acquise grâce aux travaux effectués sur la procédure mondiale harmonisée d’homologation des véhicules utilitaires lourds (WHDC), le cycle d’essai mondial harmonisé pour les motocycles (WMTC) et d’autres cycles nationaux.</w:t>
      </w:r>
    </w:p>
    <w:p w:rsidR="00E24DB7" w:rsidRPr="002C5876" w:rsidRDefault="00E24DB7" w:rsidP="00E24DB7">
      <w:pPr>
        <w:pStyle w:val="SingleTxtG"/>
      </w:pPr>
      <w:r w:rsidRPr="002C5876">
        <w:t>12.</w:t>
      </w:r>
      <w:r w:rsidRPr="002C5876">
        <w:tab/>
        <w:t>Le cycle WLTC est un cycle transitoire par conception. Dans l’élaboration du cycle WLTC, des données sur les conditions de circulation provenant de toutes les Parties contractantes participantes ont été rassemblées et pondérées en fonction de la contribution relative des régions concernées au kilométrage mondial parcouru et aux données collectées pour le projet WLTP.</w:t>
      </w:r>
    </w:p>
    <w:p w:rsidR="00E24DB7" w:rsidRPr="002C5876" w:rsidRDefault="00E24DB7" w:rsidP="00E24DB7">
      <w:pPr>
        <w:pStyle w:val="SingleTxtG"/>
      </w:pPr>
      <w:r w:rsidRPr="002C5876">
        <w:t>13.</w:t>
      </w:r>
      <w:r w:rsidRPr="002C5876">
        <w:tab/>
        <w:t>Les données sur la circulation ainsi obtenues ont été ensuite subdivisées en période de fonctionnement au ralenti et de « courts trajets » (c’est-à-dire les épisodes de circulation compris entre deux périodes de ralenti). En appliquant les valeurs de pondération précitées, on a déterminé par calcul les distributions de fréquence unifiées suivantes :</w:t>
      </w:r>
    </w:p>
    <w:p w:rsidR="00E24DB7" w:rsidRPr="002C5876" w:rsidRDefault="00E24DB7" w:rsidP="00E24DB7">
      <w:pPr>
        <w:pStyle w:val="SingleTxtG"/>
        <w:ind w:left="1701"/>
      </w:pPr>
      <w:r w:rsidRPr="002C5876">
        <w:t>a)</w:t>
      </w:r>
      <w:r w:rsidRPr="002C5876">
        <w:tab/>
        <w:t>Distribution de durée des courts trajets ;</w:t>
      </w:r>
    </w:p>
    <w:p w:rsidR="00E24DB7" w:rsidRPr="002C5876" w:rsidRDefault="00E24DB7" w:rsidP="00E24DB7">
      <w:pPr>
        <w:pStyle w:val="SingleTxtG"/>
        <w:ind w:left="1701"/>
      </w:pPr>
      <w:r w:rsidRPr="002C5876">
        <w:t>b)</w:t>
      </w:r>
      <w:r w:rsidRPr="002C5876">
        <w:tab/>
        <w:t>Distribution de durée des périodes de ralenti ;</w:t>
      </w:r>
    </w:p>
    <w:p w:rsidR="00E24DB7" w:rsidRPr="002C5876" w:rsidRDefault="00E24DB7" w:rsidP="00E24DB7">
      <w:pPr>
        <w:pStyle w:val="SingleTxtG"/>
        <w:ind w:left="1701"/>
      </w:pPr>
      <w:r w:rsidRPr="002C5876">
        <w:t>c)</w:t>
      </w:r>
      <w:r w:rsidRPr="002C5876">
        <w:tab/>
        <w:t>Distribution combinée des accélérations du véhicule.</w:t>
      </w:r>
    </w:p>
    <w:p w:rsidR="00E24DB7" w:rsidRPr="002C5876" w:rsidRDefault="00E24DB7" w:rsidP="00E24DB7">
      <w:pPr>
        <w:pStyle w:val="SingleTxtG"/>
      </w:pPr>
      <w:r w:rsidRPr="002C5876">
        <w:t>Ces distributions combinées avec les valeurs moyennes de vitesse du véhicule, et de durée des courts trajets et des périodes de ralenti ont servi de base pour l’établissement de la courbe de vitesse de l’essai WLTC.</w:t>
      </w:r>
    </w:p>
    <w:p w:rsidR="00E24DB7" w:rsidRPr="002C5876" w:rsidRDefault="00E24DB7" w:rsidP="00E24DB7">
      <w:pPr>
        <w:pStyle w:val="SingleTxtG"/>
      </w:pPr>
      <w:r w:rsidRPr="002C5876">
        <w:t>En combinant de manière randomisée ces segments, on a obtenu un grand nombre de « cycles bruts ». À partir de la dernière famille de cycles bruts, le cycle le mieux adapté à certaines caractéristiques dynamiques de la base de données d’origine WLTP a été retenu en tant que premier « cycle brut WLTC ». Au cours des travaux ultérieurs, le cycle brut WLTC a été affiné ultérieurement, en particulier en ce qui concerne la réalisabilité et la représentativité du cycle, processus qui a abouti au cycle final WLTC.</w:t>
      </w:r>
    </w:p>
    <w:p w:rsidR="00E24DB7" w:rsidRPr="002C5876" w:rsidRDefault="00E24DB7" w:rsidP="00E24DB7">
      <w:pPr>
        <w:pStyle w:val="SingleTxtG"/>
      </w:pPr>
      <w:r w:rsidRPr="002C5876">
        <w:t>14.</w:t>
      </w:r>
      <w:r w:rsidRPr="002C5876">
        <w:tab/>
        <w:t xml:space="preserve">La faisabilité du cycle WLTC a été évaluée de manière approfondie au cours du processus d’élaboration et a été confirmée par trois phases distinctes de validation. Des versions spécifiques du cycle pour certains véhicules ayant des performances limitées par suite d’un rapport puissance/masse défavorable ou d’une vitesse maximale limitée ont été introduites. En outre, la courbe de vitesse devant être suivie par un véhicule soumis à l’essai sera réduite à l’échelle conformément à une méthode mathématiquement définie si le véhicule devait être soumis à une proportion exagérément élevée d’épisodes de conduite « à </w:t>
      </w:r>
      <w:r w:rsidRPr="002C5876">
        <w:lastRenderedPageBreak/>
        <w:t>plein gaz » pour pouvoir suivre la courbe de vitesse d’origine. Les points de changement de rapports sont déterminés conformément à une procédure mathématique basée sur les caractéristiques des véhicules particuliers, ce qui contribue aussi à améliorer la faisabilité du cycle WLTC.</w:t>
      </w:r>
    </w:p>
    <w:p w:rsidR="00E24DB7" w:rsidRPr="002C5876" w:rsidRDefault="00E24DB7" w:rsidP="00E24DB7">
      <w:pPr>
        <w:pStyle w:val="SingleTxtG"/>
      </w:pPr>
      <w:r w:rsidRPr="002C5876">
        <w:t>15.</w:t>
      </w:r>
      <w:r w:rsidRPr="002C5876">
        <w:tab/>
        <w:t>Pour l’élaboration des procédures d’essai, le sous-groupe DTP a pris en compte les dispositions de la législation existante en matière d’émissions et de consommation d’énergie, en particulier celles relevant des Accords de 1958 et de 1998, celles du Japon et celles émanant de l’Agence de protection de l’environnement des États-Unis (US EPA Standard Part 1066). Ces procédures d’essai ont été soumises à un examen critique, comparées l’une à l’autre, actualisées en fonction du progrès technique et complétées par de nouveaux éléments lorsqu’il était nécessaire.</w:t>
      </w:r>
    </w:p>
    <w:p w:rsidR="00E24DB7" w:rsidRPr="002C5876" w:rsidRDefault="00E24DB7" w:rsidP="00E24DB7">
      <w:pPr>
        <w:pStyle w:val="H1G"/>
      </w:pPr>
      <w:r w:rsidRPr="002C5876">
        <w:tab/>
        <w:t>D.</w:t>
      </w:r>
      <w:r w:rsidRPr="002C5876">
        <w:tab/>
        <w:t>Faisabilité technique, coûts prévus et avantages</w:t>
      </w:r>
    </w:p>
    <w:p w:rsidR="00E24DB7" w:rsidRPr="002C5876" w:rsidRDefault="00E24DB7" w:rsidP="00E24DB7">
      <w:pPr>
        <w:pStyle w:val="SingleTxtG"/>
      </w:pPr>
      <w:r w:rsidRPr="002C5876">
        <w:t>16.</w:t>
      </w:r>
      <w:r w:rsidRPr="002C5876">
        <w:tab/>
        <w:t>Au stade de la conception et de la validation du cycle WLTP, une grande importance a été attribuée à son applicabilité pratique, qui a été garantie par un certain nombre de mesures expliquées ci-dessus.</w:t>
      </w:r>
    </w:p>
    <w:p w:rsidR="00E24DB7" w:rsidRPr="002C5876" w:rsidRDefault="00E24DB7" w:rsidP="00E24DB7">
      <w:pPr>
        <w:pStyle w:val="SingleTxtG"/>
      </w:pPr>
      <w:r w:rsidRPr="002C5876">
        <w:t>17.</w:t>
      </w:r>
      <w:r w:rsidRPr="002C5876">
        <w:tab/>
        <w:t>Le WLTP a certes été défini par principe sur la base des meilleures technologies existant au moment de son élaboration, mais les aspects de la facilitation pratique de l’application des procédures WLTP à l’échelle mondiale n’ont pas été perdus de vue. Cette dernière considération a eu certaines incidences, par exemple sur la définition de valeurs de consigne et de tolérances pour plusieurs paramètres d’essai, tels que la température d’essai ou les écarts par rapport à la courbe de vitesse. Le nécessaire a été fait en outre pour que les installations d’essai non pourvues des équipements techniques les plus récents puissent elles aussi effectuer les essais de certification WLTP, ce qui imposait l’application de tolérances plus larges que celles qui auraient été applicables dans le cas uniquement des installations les plus performantes.</w:t>
      </w:r>
    </w:p>
    <w:p w:rsidR="00E24DB7" w:rsidRPr="002C5876" w:rsidRDefault="00E24DB7" w:rsidP="00E24DB7">
      <w:pPr>
        <w:pStyle w:val="SingleTxtG"/>
      </w:pPr>
      <w:r w:rsidRPr="002C5876">
        <w:t>18.</w:t>
      </w:r>
      <w:r w:rsidRPr="002C5876">
        <w:tab/>
        <w:t>Initialement, le remplacement d’un cycle d’essai régional par le cycle WLTP occasionnera certains frais aux constructeurs de véhicules, aux services techniques et aux autorités, tout au moins si cette question est considérée à l’échelle locale, car il imposera de moderniser certains équipements d’essai et certaines procédures. Ces frais devraient toutefois être raisonnables, étant donné que de telles mises à jour sont de toute façon effectuées régulièrement pour adapter le matériel et les méthodes à l’évolution technique. Les frais occasionnés devraient être calculés à l’échelle régionale car ils varient notablement en fonction des conditions locales.</w:t>
      </w:r>
    </w:p>
    <w:p w:rsidR="00E24DB7" w:rsidRPr="002C5876" w:rsidRDefault="00E24DB7" w:rsidP="00E24DB7">
      <w:pPr>
        <w:pStyle w:val="SingleTxtG"/>
      </w:pPr>
      <w:r w:rsidRPr="002C5876">
        <w:t>19.</w:t>
      </w:r>
      <w:r w:rsidRPr="002C5876">
        <w:tab/>
        <w:t>Comme il a été souligné dans l’exposé de l’argumentation technique, la mise en place d’une procédure d’essai harmonisée pour les voitures particulières et utilitaires légers, par principe, offre un potentiel de réduction des coûts pour les constructeurs. La conception des véhicules peut ainsi être plus largement unifiée sur une échelle mondiale et les procédures administratives simplifiées en conséquence. La détermination des gains monétaires dépend dans une large mesure de l’ampleur et de la date de mise en œuvre du cycle WLTP dans la législation régionale.</w:t>
      </w:r>
    </w:p>
    <w:p w:rsidR="00E24DB7" w:rsidRPr="002C5876" w:rsidRDefault="00E24DB7" w:rsidP="00E24DB7">
      <w:pPr>
        <w:pStyle w:val="SingleTxtG"/>
        <w:rPr>
          <w:spacing w:val="4"/>
        </w:rPr>
      </w:pPr>
      <w:r w:rsidRPr="002C5876">
        <w:rPr>
          <w:spacing w:val="4"/>
        </w:rPr>
        <w:t>20.</w:t>
      </w:r>
      <w:r w:rsidRPr="002C5876">
        <w:rPr>
          <w:spacing w:val="4"/>
        </w:rPr>
        <w:tab/>
        <w:t>Le cycle WLTP offre une meilleure prise en compte des conditions réelles de circulation, par comparaison aux cycles d’essai régionaux antérieurs. On peut donc en attendre des avantages du point de vue de la validité de l’information donnée aux consommateurs sur la consommation de carburant et d’énergie. En outre, le cycle WLTP, du fait qu’il est plus représentatif, agira comme une incitation à la mise en application des technologies de réduction des émissions de CO</w:t>
      </w:r>
      <w:r w:rsidRPr="002C5876">
        <w:rPr>
          <w:spacing w:val="4"/>
          <w:vertAlign w:val="subscript"/>
        </w:rPr>
        <w:t>2</w:t>
      </w:r>
      <w:r w:rsidRPr="002C5876">
        <w:rPr>
          <w:spacing w:val="4"/>
        </w:rPr>
        <w:t xml:space="preserve"> qui sont aussi les plus efficaces en conduite réelle. Le rapport coût-efficacité des investissements technologiques en fonction de la réduction des émissions de CO</w:t>
      </w:r>
      <w:r w:rsidRPr="002C5876">
        <w:rPr>
          <w:spacing w:val="4"/>
          <w:vertAlign w:val="subscript"/>
        </w:rPr>
        <w:t>2</w:t>
      </w:r>
      <w:r w:rsidRPr="002C5876">
        <w:rPr>
          <w:spacing w:val="4"/>
        </w:rPr>
        <w:t xml:space="preserve"> en conduite réelle sera donc amélioré par rapport aux cycles d’essai antérieurs.</w:t>
      </w:r>
    </w:p>
    <w:p w:rsidR="00E24DB7" w:rsidRPr="002C5876" w:rsidRDefault="00E24DB7" w:rsidP="00E24DB7">
      <w:pPr>
        <w:pStyle w:val="HChG"/>
      </w:pPr>
      <w:r w:rsidRPr="002C5876">
        <w:br w:type="page"/>
      </w:r>
      <w:bookmarkStart w:id="1" w:name="OLE_LINK21"/>
      <w:bookmarkStart w:id="2" w:name="OLE_LINK22"/>
      <w:r w:rsidRPr="002C5876">
        <w:lastRenderedPageBreak/>
        <w:tab/>
      </w:r>
      <w:r w:rsidRPr="002C5876">
        <w:tab/>
        <w:t>II.</w:t>
      </w:r>
      <w:r w:rsidRPr="002C5876">
        <w:tab/>
      </w:r>
      <w:r w:rsidRPr="002C5876">
        <w:tab/>
        <w:t>Texte du Règlement technique mondial</w:t>
      </w:r>
    </w:p>
    <w:p w:rsidR="00E24DB7" w:rsidRPr="002C5876" w:rsidRDefault="00E24DB7" w:rsidP="00E24DB7">
      <w:pPr>
        <w:pStyle w:val="H1G"/>
      </w:pPr>
      <w:bookmarkStart w:id="3" w:name="_Toc284586942"/>
      <w:bookmarkStart w:id="4" w:name="_Toc284587040"/>
      <w:bookmarkStart w:id="5" w:name="_Toc284587291"/>
      <w:bookmarkStart w:id="6" w:name="_Toc289686183"/>
      <w:r w:rsidRPr="002C5876">
        <w:tab/>
      </w:r>
      <w:r w:rsidRPr="002C5876">
        <w:tab/>
        <w:t>1.</w:t>
      </w:r>
      <w:r w:rsidRPr="002C5876">
        <w:tab/>
      </w:r>
      <w:r w:rsidRPr="002C5876">
        <w:tab/>
      </w:r>
      <w:bookmarkEnd w:id="3"/>
      <w:bookmarkEnd w:id="4"/>
      <w:bookmarkEnd w:id="5"/>
      <w:bookmarkEnd w:id="6"/>
      <w:r w:rsidRPr="002C5876">
        <w:t>Objet</w:t>
      </w:r>
    </w:p>
    <w:p w:rsidR="00E24DB7" w:rsidRPr="002C5876" w:rsidRDefault="00E24DB7" w:rsidP="00E24DB7">
      <w:pPr>
        <w:pStyle w:val="SingleTxtG"/>
        <w:ind w:left="2268"/>
      </w:pPr>
      <w:r w:rsidRPr="002C5876">
        <w:tab/>
      </w:r>
      <w:bookmarkStart w:id="7" w:name="_Toc284586943"/>
      <w:bookmarkStart w:id="8" w:name="_Toc284587041"/>
      <w:bookmarkStart w:id="9" w:name="_Toc284587292"/>
      <w:bookmarkStart w:id="10" w:name="_Toc289686184"/>
      <w:bookmarkEnd w:id="1"/>
      <w:bookmarkEnd w:id="2"/>
      <w:r w:rsidRPr="002C5876">
        <w:t>Le présent Règlement technique mondial ONU (RTM ONU) a pour objet d’établir une méthode mondiale harmonisée pour déterminer les niveaux d’émissions de composés gazeux et de particules en masse et en nombre, d’émissions de CO</w:t>
      </w:r>
      <w:r w:rsidRPr="002C5876">
        <w:rPr>
          <w:vertAlign w:val="subscript"/>
        </w:rPr>
        <w:t>2</w:t>
      </w:r>
      <w:r w:rsidRPr="002C5876">
        <w:t>, de consommation de carburant, de consommation d’énergie électrique et d’autonomie électrique des voitures particulières et utilitaires légers selon une procédure répétable et reproductible conçue pour être représentative des conditions réelles de circulation dans le monde. Les résultats d’essai serviront de base à la réglementation applicable à ces véhicules dans le cadre des procédures d’homologation de type et de certification régionales.</w:t>
      </w:r>
    </w:p>
    <w:p w:rsidR="00E24DB7" w:rsidRPr="002C5876" w:rsidRDefault="00E24DB7" w:rsidP="00E24DB7">
      <w:pPr>
        <w:pStyle w:val="H1G"/>
      </w:pPr>
      <w:r w:rsidRPr="002C5876">
        <w:tab/>
      </w:r>
      <w:r w:rsidRPr="002C5876">
        <w:tab/>
        <w:t>2.</w:t>
      </w:r>
      <w:r w:rsidRPr="002C5876">
        <w:tab/>
      </w:r>
      <w:r w:rsidRPr="002C5876">
        <w:tab/>
      </w:r>
      <w:bookmarkEnd w:id="7"/>
      <w:bookmarkEnd w:id="8"/>
      <w:bookmarkEnd w:id="9"/>
      <w:bookmarkEnd w:id="10"/>
      <w:r w:rsidRPr="002C5876">
        <w:t>Domaine d’application</w:t>
      </w:r>
    </w:p>
    <w:p w:rsidR="00E24DB7" w:rsidRPr="002C5876" w:rsidRDefault="00E24DB7" w:rsidP="00E24DB7">
      <w:pPr>
        <w:pStyle w:val="SingleTxtG"/>
        <w:ind w:left="2268"/>
      </w:pPr>
      <w:r w:rsidRPr="002C5876">
        <w:tab/>
        <w:t>Les prescriptions du présent RTM ONU s’appliquent aux véhicules à moteur des catégories 1-2 et 2</w:t>
      </w:r>
      <w:r w:rsidRPr="002C5876">
        <w:rPr>
          <w:rStyle w:val="FootnoteReference"/>
        </w:rPr>
        <w:footnoteReference w:id="3"/>
      </w:r>
      <w:r w:rsidRPr="002C5876">
        <w:t>, ayant une masse en charge maximale techniquement admissible n’excédant pas 3 500 kg, et à tous les véhicules à moteur de la catégorie 1-1.</w:t>
      </w:r>
    </w:p>
    <w:p w:rsidR="00E24DB7" w:rsidRPr="002C5876" w:rsidRDefault="00E24DB7" w:rsidP="00E24DB7">
      <w:pPr>
        <w:pStyle w:val="H1G"/>
      </w:pPr>
      <w:r w:rsidRPr="002C5876">
        <w:tab/>
      </w:r>
      <w:r w:rsidRPr="002C5876">
        <w:tab/>
        <w:t>3.</w:t>
      </w:r>
      <w:r w:rsidRPr="002C5876">
        <w:tab/>
      </w:r>
      <w:r w:rsidRPr="002C5876">
        <w:tab/>
        <w:t>Définitions</w:t>
      </w:r>
    </w:p>
    <w:p w:rsidR="00E24DB7" w:rsidRPr="002C5876" w:rsidRDefault="00E24DB7" w:rsidP="00E24DB7">
      <w:pPr>
        <w:pStyle w:val="SingleTxtG"/>
        <w:keepNext/>
        <w:ind w:left="2268" w:hanging="1134"/>
        <w:jc w:val="left"/>
      </w:pPr>
      <w:r w:rsidRPr="002C5876">
        <w:t>3.1</w:t>
      </w:r>
      <w:r w:rsidRPr="002C5876">
        <w:tab/>
      </w:r>
      <w:r w:rsidRPr="002C5876">
        <w:tab/>
        <w:t>Équipement d’essai</w:t>
      </w:r>
    </w:p>
    <w:p w:rsidR="00E24DB7" w:rsidRPr="002C5876" w:rsidRDefault="00E24DB7" w:rsidP="00E24DB7">
      <w:pPr>
        <w:pStyle w:val="SingleTxtG"/>
        <w:ind w:left="2268" w:hanging="1134"/>
      </w:pPr>
      <w:r w:rsidRPr="002C5876">
        <w:rPr>
          <w:iCs/>
        </w:rPr>
        <w:t>3.1.1</w:t>
      </w:r>
      <w:r w:rsidRPr="002C5876">
        <w:rPr>
          <w:iCs/>
        </w:rPr>
        <w:tab/>
      </w:r>
      <w:r w:rsidRPr="002C5876">
        <w:rPr>
          <w:iCs/>
        </w:rPr>
        <w:tab/>
      </w:r>
      <w:r w:rsidRPr="002C5876">
        <w:t xml:space="preserve">Par </w:t>
      </w:r>
      <w:r w:rsidRPr="002C5876">
        <w:rPr>
          <w:iCs/>
        </w:rPr>
        <w:t>« </w:t>
      </w:r>
      <w:r w:rsidRPr="002C5876">
        <w:rPr>
          <w:i/>
          <w:iCs/>
        </w:rPr>
        <w:t>exactitude </w:t>
      </w:r>
      <w:r w:rsidRPr="002C5876">
        <w:rPr>
          <w:iCs/>
        </w:rPr>
        <w:t xml:space="preserve">», </w:t>
      </w:r>
      <w:r w:rsidRPr="002C5876">
        <w:t xml:space="preserve">on entend la différence entre une valeur mesurée et une valeur de référence, déterminée conformément à une norme nationale, qui </w:t>
      </w:r>
      <w:r w:rsidRPr="002C5876">
        <w:rPr>
          <w:iCs/>
        </w:rPr>
        <w:t>exprime l’exactitude d’un résultat</w:t>
      </w:r>
      <w:r w:rsidRPr="002C5876">
        <w:t xml:space="preserve"> (voir fig. 1).</w:t>
      </w:r>
    </w:p>
    <w:p w:rsidR="00E24DB7" w:rsidRPr="002C5876" w:rsidRDefault="00E24DB7" w:rsidP="00E24DB7">
      <w:pPr>
        <w:pStyle w:val="SingleTxtG"/>
        <w:ind w:left="2268" w:hanging="1134"/>
      </w:pPr>
      <w:r w:rsidRPr="002C5876">
        <w:t>3.1.2</w:t>
      </w:r>
      <w:r w:rsidRPr="002C5876">
        <w:tab/>
      </w:r>
      <w:r w:rsidRPr="002C5876">
        <w:tab/>
        <w:t>Par « </w:t>
      </w:r>
      <w:r w:rsidRPr="002C5876">
        <w:rPr>
          <w:i/>
        </w:rPr>
        <w:t>étalonnage </w:t>
      </w:r>
      <w:r w:rsidRPr="002C5876">
        <w:t xml:space="preserve">», on entend le processus qui consiste à régler la réponse d’un système de mesure de manière telle que ses résultats correspondent à une gamme de signaux de référence. </w:t>
      </w:r>
    </w:p>
    <w:p w:rsidR="00E24DB7" w:rsidRPr="002C5876" w:rsidRDefault="00E24DB7" w:rsidP="00E24DB7">
      <w:pPr>
        <w:pStyle w:val="SingleTxtG"/>
        <w:ind w:left="2268" w:hanging="1134"/>
      </w:pPr>
      <w:r w:rsidRPr="002C5876">
        <w:t>3.1.3</w:t>
      </w:r>
      <w:r w:rsidRPr="002C5876">
        <w:tab/>
      </w:r>
      <w:r w:rsidRPr="002C5876">
        <w:tab/>
        <w:t>Par « </w:t>
      </w:r>
      <w:r w:rsidRPr="002C5876">
        <w:rPr>
          <w:i/>
        </w:rPr>
        <w:t>gaz d’étalonnage </w:t>
      </w:r>
      <w:r w:rsidRPr="002C5876">
        <w:t>», on entend un mélange de gaz utilisé pour étalonner les analyseurs de gaz.</w:t>
      </w:r>
    </w:p>
    <w:p w:rsidR="00E24DB7" w:rsidRPr="002C5876" w:rsidRDefault="00E24DB7" w:rsidP="00E24DB7">
      <w:pPr>
        <w:pStyle w:val="SingleTxtG"/>
        <w:ind w:left="2268" w:hanging="1134"/>
      </w:pPr>
      <w:bookmarkStart w:id="11" w:name="OLE_LINK1"/>
      <w:bookmarkStart w:id="12" w:name="OLE_LINK2"/>
      <w:bookmarkStart w:id="13" w:name="_Toc284587308"/>
      <w:bookmarkStart w:id="14" w:name="_Toc284587057"/>
      <w:r w:rsidRPr="002C5876">
        <w:rPr>
          <w:bCs/>
        </w:rPr>
        <w:t>3.1.4</w:t>
      </w:r>
      <w:r w:rsidRPr="002C5876">
        <w:rPr>
          <w:bCs/>
        </w:rPr>
        <w:tab/>
      </w:r>
      <w:r w:rsidRPr="002C5876">
        <w:rPr>
          <w:bCs/>
        </w:rPr>
        <w:tab/>
      </w:r>
      <w:r w:rsidRPr="002C5876">
        <w:t>Par « </w:t>
      </w:r>
      <w:r w:rsidRPr="002C5876">
        <w:rPr>
          <w:i/>
        </w:rPr>
        <w:t>méthode de double dilution </w:t>
      </w:r>
      <w:r w:rsidRPr="002C5876">
        <w:t>», on entend le processus consistant à prélever une fraction du flux des gaz d’échappement dilués et à la diluer avec une quantité appropriée d’air de dilution en amont du filtre de collecte des particules.</w:t>
      </w:r>
    </w:p>
    <w:bookmarkEnd w:id="11"/>
    <w:bookmarkEnd w:id="12"/>
    <w:bookmarkEnd w:id="13"/>
    <w:bookmarkEnd w:id="14"/>
    <w:p w:rsidR="00E24DB7" w:rsidRPr="002C5876" w:rsidRDefault="00E24DB7" w:rsidP="00E24DB7">
      <w:pPr>
        <w:pStyle w:val="SingleTxtG"/>
        <w:ind w:left="2268" w:hanging="1134"/>
      </w:pPr>
      <w:r w:rsidRPr="002C5876">
        <w:t>3.1.5</w:t>
      </w:r>
      <w:r w:rsidRPr="002C5876">
        <w:tab/>
      </w:r>
      <w:r w:rsidRPr="002C5876">
        <w:tab/>
        <w:t>Par « </w:t>
      </w:r>
      <w:r w:rsidRPr="002C5876">
        <w:rPr>
          <w:i/>
        </w:rPr>
        <w:t>méthode de dilution du flux total </w:t>
      </w:r>
      <w:r w:rsidRPr="002C5876">
        <w:t>», on entend le processus de dilution continue de tout le flux de gaz d’échappement avec de l’air ambiant de manière réglée avec un système de prélèvement à volume constant.</w:t>
      </w:r>
    </w:p>
    <w:p w:rsidR="00E24DB7" w:rsidRPr="002C5876" w:rsidRDefault="00E24DB7" w:rsidP="00E24DB7">
      <w:pPr>
        <w:pStyle w:val="SingleTxtG"/>
        <w:ind w:left="2268" w:hanging="1134"/>
      </w:pPr>
      <w:r w:rsidRPr="002C5876">
        <w:t>3.1.6</w:t>
      </w:r>
      <w:r w:rsidRPr="002C5876">
        <w:tab/>
      </w:r>
      <w:r w:rsidRPr="002C5876">
        <w:tab/>
        <w:t>Par « </w:t>
      </w:r>
      <w:r w:rsidRPr="002C5876">
        <w:rPr>
          <w:i/>
        </w:rPr>
        <w:t>linéarisation </w:t>
      </w:r>
      <w:r w:rsidRPr="002C5876">
        <w:t>», on entend l’application d’une gamme de concentrations ou de matériaux en vue d’établir une relation mathématique entre concentration et réponse du système.</w:t>
      </w:r>
    </w:p>
    <w:p w:rsidR="00E24DB7" w:rsidRPr="002C5876" w:rsidRDefault="00E24DB7" w:rsidP="00E24DB7">
      <w:pPr>
        <w:pStyle w:val="SingleTxtG"/>
        <w:ind w:left="2268" w:hanging="1134"/>
      </w:pPr>
      <w:r w:rsidRPr="002C5876">
        <w:t>3.1.7</w:t>
      </w:r>
      <w:r w:rsidRPr="002C5876">
        <w:tab/>
      </w:r>
      <w:r w:rsidRPr="002C5876">
        <w:tab/>
        <w:t>Par « </w:t>
      </w:r>
      <w:r w:rsidRPr="002C5876">
        <w:rPr>
          <w:i/>
        </w:rPr>
        <w:t>opération d’entretien importante </w:t>
      </w:r>
      <w:r w:rsidRPr="002C5876">
        <w:t>», on entend le réglage, la réparation, ou le remplacement d’un composant ou d’un module susceptible d’affecter l’exactitude d’une mesure.</w:t>
      </w:r>
    </w:p>
    <w:p w:rsidR="00E24DB7" w:rsidRPr="002C5876" w:rsidRDefault="00E24DB7" w:rsidP="00E24DB7">
      <w:pPr>
        <w:pStyle w:val="SingleTxtG"/>
        <w:ind w:left="2268" w:hanging="1134"/>
      </w:pPr>
      <w:r w:rsidRPr="002C5876">
        <w:t>3.1.8</w:t>
      </w:r>
      <w:r w:rsidRPr="002C5876">
        <w:tab/>
      </w:r>
      <w:r w:rsidRPr="002C5876">
        <w:tab/>
        <w:t>Par « </w:t>
      </w:r>
      <w:r w:rsidRPr="002C5876">
        <w:rPr>
          <w:i/>
        </w:rPr>
        <w:t>hydrocarbures non méthaniques </w:t>
      </w:r>
      <w:r w:rsidRPr="002C5876">
        <w:t>» (HCNM), on entend la somme de tous les hydrocarbures (HCT) à l’exclusion du méthane (CH</w:t>
      </w:r>
      <w:r w:rsidRPr="002C5876">
        <w:rPr>
          <w:vertAlign w:val="subscript"/>
        </w:rPr>
        <w:t>4</w:t>
      </w:r>
      <w:r w:rsidRPr="002C5876">
        <w:t>).</w:t>
      </w:r>
    </w:p>
    <w:p w:rsidR="00E24DB7" w:rsidRPr="002C5876" w:rsidRDefault="00E24DB7" w:rsidP="00E24DB7">
      <w:pPr>
        <w:pStyle w:val="SingleTxtG"/>
        <w:ind w:left="2268" w:hanging="1134"/>
      </w:pPr>
      <w:r w:rsidRPr="002C5876">
        <w:lastRenderedPageBreak/>
        <w:t>3.1.9</w:t>
      </w:r>
      <w:r w:rsidRPr="002C5876">
        <w:tab/>
      </w:r>
      <w:r w:rsidRPr="002C5876">
        <w:tab/>
        <w:t>Par « </w:t>
      </w:r>
      <w:r w:rsidRPr="002C5876">
        <w:rPr>
          <w:i/>
        </w:rPr>
        <w:t>précision </w:t>
      </w:r>
      <w:r w:rsidRPr="002C5876">
        <w:t>», on entend le degré auquel des mesures répétées dans des conditions inchangées donnent des résultats identiques (voir fig. 1), ce qui dans le présent RTM</w:t>
      </w:r>
      <w:r w:rsidR="00AB2D3F">
        <w:t xml:space="preserve"> ONU</w:t>
      </w:r>
      <w:r w:rsidRPr="002C5876">
        <w:t xml:space="preserve">, correspond toujours à un écart type. </w:t>
      </w:r>
    </w:p>
    <w:p w:rsidR="00E24DB7" w:rsidRPr="002C5876" w:rsidRDefault="00E24DB7" w:rsidP="00E24DB7">
      <w:pPr>
        <w:pStyle w:val="SingleTxtG"/>
        <w:ind w:left="2268" w:hanging="1134"/>
      </w:pPr>
      <w:r w:rsidRPr="002C5876">
        <w:t>3.1.10</w:t>
      </w:r>
      <w:r w:rsidRPr="002C5876">
        <w:tab/>
        <w:t>Par « </w:t>
      </w:r>
      <w:r w:rsidRPr="002C5876">
        <w:rPr>
          <w:i/>
        </w:rPr>
        <w:t>valeur de référence </w:t>
      </w:r>
      <w:r w:rsidRPr="002C5876">
        <w:t>», on entend une valeur définie par une norme nationale (voir fig. 1).</w:t>
      </w:r>
    </w:p>
    <w:p w:rsidR="00E24DB7" w:rsidRPr="002C5876" w:rsidRDefault="00E24DB7" w:rsidP="00E24DB7">
      <w:pPr>
        <w:pStyle w:val="SingleTxtG"/>
        <w:ind w:left="2268" w:hanging="1134"/>
      </w:pPr>
      <w:r w:rsidRPr="002C5876">
        <w:t>3.1.11</w:t>
      </w:r>
      <w:r w:rsidRPr="002C5876">
        <w:tab/>
        <w:t>Par « </w:t>
      </w:r>
      <w:r w:rsidRPr="002C5876">
        <w:rPr>
          <w:bCs/>
          <w:i/>
        </w:rPr>
        <w:t>point de consigne </w:t>
      </w:r>
      <w:r w:rsidRPr="002C5876">
        <w:rPr>
          <w:bCs/>
        </w:rPr>
        <w:t>»,</w:t>
      </w:r>
      <w:r w:rsidRPr="002C5876">
        <w:t xml:space="preserve"> on entend une valeur de consigne qu’un système de réglage est censé maintenir.</w:t>
      </w:r>
    </w:p>
    <w:p w:rsidR="00E24DB7" w:rsidRPr="002C5876" w:rsidRDefault="00E24DB7" w:rsidP="00E24DB7">
      <w:pPr>
        <w:pStyle w:val="SingleTxtG"/>
        <w:ind w:left="2268" w:hanging="1134"/>
      </w:pPr>
      <w:r w:rsidRPr="002C5876">
        <w:t>3.1.12</w:t>
      </w:r>
      <w:r w:rsidRPr="002C5876">
        <w:tab/>
        <w:t>Par « </w:t>
      </w:r>
      <w:r w:rsidRPr="002C5876">
        <w:rPr>
          <w:i/>
        </w:rPr>
        <w:t>calibrage </w:t>
      </w:r>
      <w:r w:rsidRPr="002C5876">
        <w:t>», on entend le réglage d’un instrument de manière à ce qu’il donne une réponse appropriée à une grandeur d’étalonnage qui représente entre 75 et 100 % de la valeur maximale de la plage de mesure de l’instrument ou de la plage d’utilisation prévue.</w:t>
      </w:r>
    </w:p>
    <w:p w:rsidR="00E24DB7" w:rsidRPr="002C5876" w:rsidRDefault="00E24DB7" w:rsidP="00E24DB7">
      <w:pPr>
        <w:pStyle w:val="SingleTxtG"/>
        <w:ind w:left="2268" w:hanging="1134"/>
      </w:pPr>
      <w:r w:rsidRPr="002C5876">
        <w:t>3.1.13</w:t>
      </w:r>
      <w:r w:rsidRPr="002C5876">
        <w:tab/>
        <w:t>Par « </w:t>
      </w:r>
      <w:r w:rsidRPr="002C5876">
        <w:rPr>
          <w:i/>
        </w:rPr>
        <w:t>hydrocarbures totaux </w:t>
      </w:r>
      <w:r w:rsidRPr="002C5876">
        <w:t>» (HCT), on entend tous les composés volatils mesurables au moyen d’un détecteur à ionisation de flamme (FID).</w:t>
      </w:r>
    </w:p>
    <w:p w:rsidR="00E24DB7" w:rsidRPr="002C5876" w:rsidRDefault="00E24DB7" w:rsidP="00E24DB7">
      <w:pPr>
        <w:pStyle w:val="SingleTxtG"/>
        <w:ind w:left="2268" w:hanging="1134"/>
      </w:pPr>
      <w:r w:rsidRPr="002C5876">
        <w:t>3.1.14</w:t>
      </w:r>
      <w:r w:rsidRPr="002C5876">
        <w:tab/>
        <w:t>Par « </w:t>
      </w:r>
      <w:r w:rsidRPr="002C5876">
        <w:rPr>
          <w:i/>
        </w:rPr>
        <w:t>vérificatio</w:t>
      </w:r>
      <w:r w:rsidRPr="002C5876">
        <w:t>n », on entend le fait d’évaluer si les résultats d’un système de mesure concordent ou non avec une série de signaux de référence appliqués dans le cadre d’une ou plusieurs valeurs limites d’acceptation prédéterminées.</w:t>
      </w:r>
    </w:p>
    <w:p w:rsidR="00E24DB7" w:rsidRPr="002C5876" w:rsidRDefault="00E24DB7" w:rsidP="00E24DB7">
      <w:pPr>
        <w:pStyle w:val="SingleTxtG"/>
        <w:ind w:left="2268" w:hanging="1134"/>
      </w:pPr>
      <w:r w:rsidRPr="002C5876">
        <w:t>3.1.15</w:t>
      </w:r>
      <w:r w:rsidRPr="002C5876">
        <w:tab/>
        <w:t>Par « </w:t>
      </w:r>
      <w:r w:rsidRPr="002C5876">
        <w:rPr>
          <w:i/>
        </w:rPr>
        <w:t>gaz de zéro </w:t>
      </w:r>
      <w:r w:rsidRPr="002C5876">
        <w:t>», on entend un gaz ne contenant aucun gaz visé par l’analyse, utilisé pour régler à zéro la réponse d’un analyseur.</w:t>
      </w:r>
    </w:p>
    <w:p w:rsidR="00E24DB7" w:rsidRPr="002C5876" w:rsidRDefault="00E24DB7" w:rsidP="00E24DB7">
      <w:pPr>
        <w:pStyle w:val="SingleTxtG"/>
        <w:ind w:left="2268" w:hanging="1134"/>
      </w:pPr>
      <w:r w:rsidRPr="002C5876">
        <w:t>3.1.16</w:t>
      </w:r>
      <w:r w:rsidRPr="002C5876">
        <w:tab/>
        <w:t>Par « </w:t>
      </w:r>
      <w:r w:rsidRPr="002C5876">
        <w:rPr>
          <w:i/>
        </w:rPr>
        <w:t>temps de réponse</w:t>
      </w:r>
      <w:r w:rsidRPr="002C5876">
        <w:t> », la différence de temps entre la variation du constituant à mesurer au point de référence et une réponse du système de 90 % de la valeur de mesure finale (t</w:t>
      </w:r>
      <w:r w:rsidRPr="002C5876">
        <w:rPr>
          <w:vertAlign w:val="subscript"/>
        </w:rPr>
        <w:t>90</w:t>
      </w:r>
      <w:r w:rsidRPr="002C5876">
        <w:t>), la sonde de prélèvement étant définie comme point de référence ; la variation du constituant mesuré doit être d’au moins 60 % de l’amplitude totale et se produire en moins de 0,1 s. Le temps de réponse du système se compose du temps de retard du système et du temps de montée du système.</w:t>
      </w:r>
    </w:p>
    <w:p w:rsidR="00E24DB7" w:rsidRPr="002C5876" w:rsidRDefault="00E24DB7" w:rsidP="00E24DB7">
      <w:pPr>
        <w:pStyle w:val="SingleTxtG"/>
        <w:ind w:left="2268" w:hanging="1134"/>
      </w:pPr>
      <w:r w:rsidRPr="002C5876">
        <w:t>3.1.17</w:t>
      </w:r>
      <w:r w:rsidRPr="002C5876">
        <w:tab/>
        <w:t>Par « </w:t>
      </w:r>
      <w:r w:rsidRPr="002C5876">
        <w:rPr>
          <w:i/>
        </w:rPr>
        <w:t>temps de retard</w:t>
      </w:r>
      <w:r w:rsidRPr="002C5876">
        <w:t> », la différence de temps entre la variation du constituant à mesurer au point de référence et une réponse du système de 10 % de la valeur de mesure finale (t</w:t>
      </w:r>
      <w:r w:rsidRPr="002C5876">
        <w:rPr>
          <w:vertAlign w:val="subscript"/>
        </w:rPr>
        <w:t>10</w:t>
      </w:r>
      <w:r w:rsidRPr="002C5876">
        <w:t>), la sonde de prélèvement étant définie comme point de référence. Pour les constituants gazeux, ce temps est égal au temps de transport du constituant mesuré depuis la sonde de prélèvement jusqu’au détecteur.</w:t>
      </w:r>
    </w:p>
    <w:p w:rsidR="00E24DB7" w:rsidRPr="002C5876" w:rsidRDefault="00E24DB7" w:rsidP="00E24DB7">
      <w:pPr>
        <w:pStyle w:val="SingleTxtG"/>
        <w:ind w:left="2268" w:hanging="1134"/>
      </w:pPr>
      <w:r w:rsidRPr="002C5876">
        <w:t>3.1.18</w:t>
      </w:r>
      <w:r w:rsidRPr="002C5876">
        <w:tab/>
        <w:t>Par « </w:t>
      </w:r>
      <w:r w:rsidRPr="002C5876">
        <w:rPr>
          <w:i/>
        </w:rPr>
        <w:t>temps de montée</w:t>
      </w:r>
      <w:r w:rsidRPr="002C5876">
        <w:t> », le temps pris pour passer de 10 à 90 % de la valeur finale de mesure (t</w:t>
      </w:r>
      <w:r w:rsidRPr="002C5876">
        <w:rPr>
          <w:vertAlign w:val="subscript"/>
        </w:rPr>
        <w:t>90</w:t>
      </w:r>
      <w:r w:rsidRPr="002C5876">
        <w:t xml:space="preserve"> − t</w:t>
      </w:r>
      <w:r w:rsidRPr="002C5876">
        <w:rPr>
          <w:vertAlign w:val="subscript"/>
        </w:rPr>
        <w:t>10</w:t>
      </w:r>
      <w:r w:rsidRPr="002C5876">
        <w:t>).</w:t>
      </w:r>
    </w:p>
    <w:p w:rsidR="00E24DB7" w:rsidRPr="002C5876" w:rsidRDefault="00E24DB7" w:rsidP="00E24DB7">
      <w:pPr>
        <w:pStyle w:val="H23G"/>
      </w:pPr>
      <w:r w:rsidRPr="002C5876">
        <w:tab/>
      </w:r>
      <w:r w:rsidRPr="002C5876">
        <w:tab/>
      </w:r>
      <w:r w:rsidRPr="002C5876">
        <w:rPr>
          <w:b w:val="0"/>
        </w:rPr>
        <w:t xml:space="preserve">Figure 1 </w:t>
      </w:r>
      <w:r w:rsidRPr="002C5876">
        <w:rPr>
          <w:b w:val="0"/>
        </w:rPr>
        <w:br/>
      </w:r>
      <w:r w:rsidRPr="002C5876">
        <w:t>Définition de l’exactitude, de la précision et de la valeur de référence</w:t>
      </w:r>
    </w:p>
    <w:p w:rsidR="00E24DB7" w:rsidRPr="002C5876" w:rsidRDefault="00E24DB7" w:rsidP="004E07C9">
      <w:pPr>
        <w:pStyle w:val="SingleTxtG"/>
        <w:spacing w:after="240"/>
      </w:pPr>
      <w:r w:rsidRPr="002C5876">
        <w:rPr>
          <w:noProof/>
          <w:lang w:val="en-GB" w:eastAsia="zh-CN"/>
        </w:rPr>
        <w:drawing>
          <wp:inline distT="0" distB="0" distL="0" distR="0" wp14:anchorId="3181043F" wp14:editId="3D8CB330">
            <wp:extent cx="3960000" cy="2591707"/>
            <wp:effectExtent l="19050" t="19050" r="21590" b="18415"/>
            <wp:docPr id="10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0000" cy="2591707"/>
                    </a:xfrm>
                    <a:prstGeom prst="rect">
                      <a:avLst/>
                    </a:prstGeom>
                    <a:noFill/>
                    <a:ln w="6350">
                      <a:solidFill>
                        <a:schemeClr val="tx1"/>
                      </a:solidFill>
                    </a:ln>
                  </pic:spPr>
                </pic:pic>
              </a:graphicData>
            </a:graphic>
          </wp:inline>
        </w:drawing>
      </w:r>
    </w:p>
    <w:p w:rsidR="00E24DB7" w:rsidRPr="002C5876" w:rsidRDefault="00E24DB7" w:rsidP="00E24DB7">
      <w:pPr>
        <w:pStyle w:val="SingleTxtG"/>
        <w:keepNext/>
        <w:keepLines/>
        <w:ind w:left="2268" w:hanging="1134"/>
      </w:pPr>
      <w:r w:rsidRPr="002C5876">
        <w:lastRenderedPageBreak/>
        <w:t>3.2</w:t>
      </w:r>
      <w:r w:rsidRPr="002C5876">
        <w:tab/>
      </w:r>
      <w:r w:rsidRPr="002C5876">
        <w:tab/>
        <w:t>Résistance à l’avancement sur route et réglage du dynamomètre</w:t>
      </w:r>
    </w:p>
    <w:p w:rsidR="00E24DB7" w:rsidRPr="002C5876" w:rsidRDefault="00E24DB7" w:rsidP="00E24DB7">
      <w:pPr>
        <w:pStyle w:val="SingleTxtG"/>
        <w:ind w:left="2268" w:hanging="1134"/>
        <w:rPr>
          <w:bCs/>
        </w:rPr>
      </w:pPr>
      <w:r w:rsidRPr="002C5876">
        <w:rPr>
          <w:bCs/>
        </w:rPr>
        <w:t>3.2.1</w:t>
      </w:r>
      <w:r w:rsidRPr="002C5876">
        <w:rPr>
          <w:bCs/>
        </w:rPr>
        <w:tab/>
      </w:r>
      <w:r w:rsidRPr="002C5876">
        <w:rPr>
          <w:bCs/>
        </w:rPr>
        <w:tab/>
      </w:r>
      <w:r w:rsidRPr="002C5876">
        <w:t>Par « </w:t>
      </w:r>
      <w:r w:rsidRPr="002C5876">
        <w:rPr>
          <w:i/>
        </w:rPr>
        <w:t>traînée aérodynamique </w:t>
      </w:r>
      <w:r w:rsidRPr="002C5876">
        <w:t xml:space="preserve">», on entend </w:t>
      </w:r>
      <w:r w:rsidRPr="002C5876">
        <w:rPr>
          <w:bCs/>
        </w:rPr>
        <w:t xml:space="preserve">la force qui s’oppose au déplacement vers l’avant d’un </w:t>
      </w:r>
      <w:r w:rsidRPr="002C5876">
        <w:t xml:space="preserve">véhicule </w:t>
      </w:r>
      <w:r w:rsidRPr="002C5876">
        <w:rPr>
          <w:bCs/>
        </w:rPr>
        <w:t>dans l’air.</w:t>
      </w:r>
    </w:p>
    <w:p w:rsidR="00E24DB7" w:rsidRPr="002C5876" w:rsidRDefault="00E24DB7" w:rsidP="00E24DB7">
      <w:pPr>
        <w:pStyle w:val="SingleTxtG"/>
        <w:ind w:left="2268" w:hanging="1134"/>
      </w:pPr>
      <w:r w:rsidRPr="002C5876">
        <w:rPr>
          <w:bCs/>
        </w:rPr>
        <w:t>3.2.2</w:t>
      </w:r>
      <w:r w:rsidRPr="002C5876">
        <w:rPr>
          <w:bCs/>
        </w:rPr>
        <w:tab/>
      </w:r>
      <w:r w:rsidRPr="002C5876">
        <w:rPr>
          <w:bCs/>
        </w:rPr>
        <w:tab/>
      </w:r>
      <w:r w:rsidRPr="002C5876">
        <w:t>Par « </w:t>
      </w:r>
      <w:r w:rsidRPr="002C5876">
        <w:rPr>
          <w:bCs/>
          <w:i/>
        </w:rPr>
        <w:t xml:space="preserve">point de stagnation </w:t>
      </w:r>
      <w:r w:rsidRPr="002C5876">
        <w:rPr>
          <w:i/>
        </w:rPr>
        <w:t>aérodynamique </w:t>
      </w:r>
      <w:r w:rsidRPr="002C5876">
        <w:t xml:space="preserve">», on entend </w:t>
      </w:r>
      <w:r w:rsidRPr="002C5876">
        <w:rPr>
          <w:bCs/>
        </w:rPr>
        <w:t>un p</w:t>
      </w:r>
      <w:r w:rsidRPr="002C5876">
        <w:t xml:space="preserve">oint situé à la surface </w:t>
      </w:r>
      <w:r w:rsidRPr="002C5876">
        <w:rPr>
          <w:bCs/>
        </w:rPr>
        <w:t xml:space="preserve">d’un </w:t>
      </w:r>
      <w:r w:rsidRPr="002C5876">
        <w:t>véhicule où la vitesse de l’air est égale à zéro.</w:t>
      </w:r>
    </w:p>
    <w:p w:rsidR="00E24DB7" w:rsidRPr="002C5876" w:rsidRDefault="00E24DB7" w:rsidP="00E24DB7">
      <w:pPr>
        <w:pStyle w:val="SingleTxtG"/>
        <w:ind w:left="2268" w:hanging="1134"/>
      </w:pPr>
      <w:r w:rsidRPr="002C5876">
        <w:t>3.2.3</w:t>
      </w:r>
      <w:r w:rsidRPr="002C5876">
        <w:tab/>
      </w:r>
      <w:r w:rsidRPr="002C5876">
        <w:tab/>
        <w:t>Par « </w:t>
      </w:r>
      <w:r w:rsidRPr="002C5876">
        <w:rPr>
          <w:i/>
        </w:rPr>
        <w:t>perturbation de la mesure anémométrique </w:t>
      </w:r>
      <w:r w:rsidRPr="002C5876">
        <w:t xml:space="preserve">», on entend l’effet sur la mesure anémométrique de la présence du véhicule, sur lequel la vitesse apparente de l’air est différente de la vitesse de </w:t>
      </w:r>
      <w:r w:rsidRPr="002C5876">
        <w:rPr>
          <w:bCs/>
        </w:rPr>
        <w:t xml:space="preserve">déplacement </w:t>
      </w:r>
      <w:r w:rsidRPr="002C5876">
        <w:t xml:space="preserve">du véhicule combinée avec la vitesse du vent par rapport au sol. </w:t>
      </w:r>
    </w:p>
    <w:p w:rsidR="00E24DB7" w:rsidRPr="002C5876" w:rsidRDefault="00E24DB7" w:rsidP="00E24DB7">
      <w:pPr>
        <w:pStyle w:val="SingleTxtG"/>
        <w:ind w:left="2268" w:hanging="1134"/>
      </w:pPr>
      <w:r w:rsidRPr="002C5876">
        <w:t>3.2.4</w:t>
      </w:r>
      <w:r w:rsidRPr="002C5876">
        <w:tab/>
      </w:r>
      <w:r w:rsidRPr="002C5876">
        <w:tab/>
        <w:t>Par « </w:t>
      </w:r>
      <w:r w:rsidRPr="002C5876">
        <w:rPr>
          <w:i/>
        </w:rPr>
        <w:t>analyse contrainte </w:t>
      </w:r>
      <w:r w:rsidRPr="002C5876">
        <w:t>», on entend le fait que le maître-couple du véhicule et le coefficient de traînée aérodynamique</w:t>
      </w:r>
      <w:r w:rsidRPr="002C5876">
        <w:rPr>
          <w:i/>
        </w:rPr>
        <w:t xml:space="preserve"> </w:t>
      </w:r>
      <w:r w:rsidRPr="002C5876">
        <w:t>aient été déterminés indépendamment et que ces valeurs soient appliquées dans l’équation de mouvement.</w:t>
      </w:r>
    </w:p>
    <w:p w:rsidR="00E24DB7" w:rsidRPr="002C5876" w:rsidRDefault="00E24DB7" w:rsidP="00E24DB7">
      <w:pPr>
        <w:pStyle w:val="SingleTxtG"/>
        <w:ind w:left="2268" w:hanging="1134"/>
      </w:pPr>
      <w:r w:rsidRPr="002C5876">
        <w:t>3.2.5</w:t>
      </w:r>
      <w:r w:rsidRPr="002C5876">
        <w:tab/>
      </w:r>
      <w:r w:rsidRPr="002C5876">
        <w:tab/>
        <w:t>Par « </w:t>
      </w:r>
      <w:r w:rsidRPr="002C5876">
        <w:rPr>
          <w:i/>
        </w:rPr>
        <w:t>masse en ordre de marche </w:t>
      </w:r>
      <w:r w:rsidRPr="002C5876">
        <w:t>», on entend la masse d’un véhicule, avec son ou ses réservoirs à carburant remplis à au moins 90 % de leur capacité, y compris la masse du conducteur, du carburant et des liquides, conformément à la dotation de série selon les spécifications du constructeur et, lorsqu’ils sont montés, la masse de la carrosserie, de la cabine, de l’attelage et de la roue de secours, ainsi que de l’outillage de bord.</w:t>
      </w:r>
    </w:p>
    <w:p w:rsidR="00E24DB7" w:rsidRPr="002C5876" w:rsidRDefault="00E24DB7" w:rsidP="00E24DB7">
      <w:pPr>
        <w:pStyle w:val="SingleTxtG"/>
        <w:ind w:left="2268" w:hanging="1134"/>
      </w:pPr>
      <w:r w:rsidRPr="002C5876">
        <w:t>3.2.6</w:t>
      </w:r>
      <w:r w:rsidRPr="002C5876">
        <w:tab/>
      </w:r>
      <w:r w:rsidRPr="002C5876">
        <w:tab/>
        <w:t>Par « </w:t>
      </w:r>
      <w:r w:rsidRPr="002C5876">
        <w:rPr>
          <w:i/>
        </w:rPr>
        <w:t>masse du conducteur </w:t>
      </w:r>
      <w:r w:rsidRPr="002C5876">
        <w:t>», on entend une masse nominale de 75 kg, placée au point de référence de place assise.</w:t>
      </w:r>
    </w:p>
    <w:p w:rsidR="00E24DB7" w:rsidRPr="002C5876" w:rsidRDefault="00E24DB7" w:rsidP="00E24DB7">
      <w:pPr>
        <w:pStyle w:val="SingleTxtG"/>
        <w:ind w:left="2268" w:hanging="1134"/>
      </w:pPr>
      <w:r w:rsidRPr="002C5876">
        <w:t>3.2.7</w:t>
      </w:r>
      <w:r w:rsidRPr="002C5876">
        <w:tab/>
      </w:r>
      <w:r w:rsidRPr="002C5876">
        <w:tab/>
        <w:t>Par « </w:t>
      </w:r>
      <w:r w:rsidRPr="002C5876">
        <w:rPr>
          <w:i/>
        </w:rPr>
        <w:t>charge maximale du véhicule </w:t>
      </w:r>
      <w:r w:rsidRPr="002C5876">
        <w:t>», on entend la masse maximale techniquement admissible en charge</w:t>
      </w:r>
      <w:r w:rsidRPr="002C5876">
        <w:rPr>
          <w:i/>
        </w:rPr>
        <w:t xml:space="preserve"> </w:t>
      </w:r>
      <w:r w:rsidRPr="002C5876">
        <w:t>du véhicule, moins la masse du véhicule en ordre de marche, de 25 kg et la masse de l’équipement optionnel comme défini au paragraphe 3.2.8 du présent RTM</w:t>
      </w:r>
      <w:r w:rsidR="00852575">
        <w:t> ONU</w:t>
      </w:r>
      <w:r w:rsidRPr="002C5876">
        <w:t>.</w:t>
      </w:r>
    </w:p>
    <w:p w:rsidR="00E24DB7" w:rsidRPr="002C5876" w:rsidRDefault="00E24DB7" w:rsidP="00E24DB7">
      <w:pPr>
        <w:pStyle w:val="SingleTxtG"/>
        <w:ind w:left="2268" w:hanging="1134"/>
      </w:pPr>
      <w:r w:rsidRPr="002C5876">
        <w:t>3.2.8</w:t>
      </w:r>
      <w:r w:rsidRPr="002C5876">
        <w:tab/>
      </w:r>
      <w:r w:rsidRPr="002C5876">
        <w:tab/>
        <w:t>Par « </w:t>
      </w:r>
      <w:r w:rsidRPr="002C5876">
        <w:rPr>
          <w:i/>
        </w:rPr>
        <w:t>masse de l’équipement optionnel </w:t>
      </w:r>
      <w:r w:rsidRPr="002C5876">
        <w:t>», on entend la masse maximale des combinaisons d’équipement optionnel qui peuvent être montées sur le véhicule en sus de l’équipement de série selon les spécifications du constructeur.</w:t>
      </w:r>
    </w:p>
    <w:p w:rsidR="00E24DB7" w:rsidRPr="002C5876" w:rsidRDefault="00E24DB7" w:rsidP="00E24DB7">
      <w:pPr>
        <w:pStyle w:val="SingleTxtG"/>
        <w:ind w:left="2268" w:hanging="1134"/>
      </w:pPr>
      <w:r w:rsidRPr="002C5876">
        <w:t>3.2.9</w:t>
      </w:r>
      <w:r w:rsidRPr="002C5876">
        <w:tab/>
        <w:t>Par « </w:t>
      </w:r>
      <w:r w:rsidRPr="002C5876">
        <w:rPr>
          <w:i/>
        </w:rPr>
        <w:t>équipement optionnel </w:t>
      </w:r>
      <w:r w:rsidRPr="002C5876">
        <w:t>», on entend toutes les caractéristiques non comprises dans l’équipement de série montées sur le véhicule sous la responsabilité du constructeur, et qui peuvent être commandées par le client.</w:t>
      </w:r>
    </w:p>
    <w:p w:rsidR="00E24DB7" w:rsidRPr="002C5876" w:rsidRDefault="00E24DB7" w:rsidP="00E24DB7">
      <w:pPr>
        <w:pStyle w:val="SingleTxtG"/>
        <w:ind w:left="2268" w:hanging="1134"/>
      </w:pPr>
      <w:r w:rsidRPr="002C5876">
        <w:rPr>
          <w:bCs/>
        </w:rPr>
        <w:t>3.2.10</w:t>
      </w:r>
      <w:r w:rsidRPr="002C5876">
        <w:rPr>
          <w:bCs/>
        </w:rPr>
        <w:tab/>
      </w:r>
      <w:r w:rsidRPr="002C5876">
        <w:t>Par « </w:t>
      </w:r>
      <w:r w:rsidRPr="002C5876">
        <w:rPr>
          <w:bCs/>
          <w:i/>
        </w:rPr>
        <w:t xml:space="preserve">conditions atmosphériques de référence (aux fins des mesures de </w:t>
      </w:r>
      <w:r w:rsidRPr="002C5876">
        <w:rPr>
          <w:i/>
        </w:rPr>
        <w:t>résistance à l’avancement sur route</w:t>
      </w:r>
      <w:r w:rsidRPr="002C5876">
        <w:rPr>
          <w:bCs/>
          <w:i/>
        </w:rPr>
        <w:t>) </w:t>
      </w:r>
      <w:r w:rsidRPr="002C5876">
        <w:t>», on entend les conditions atmosphériques auxquelles sont rapportés les résultats de ces mesures :</w:t>
      </w:r>
    </w:p>
    <w:p w:rsidR="00E24DB7" w:rsidRPr="002C5876" w:rsidRDefault="00E24DB7" w:rsidP="00E24DB7">
      <w:pPr>
        <w:pStyle w:val="SingleTxtG"/>
        <w:ind w:left="2835" w:hanging="567"/>
      </w:pPr>
      <w:r w:rsidRPr="002C5876">
        <w:t>a)</w:t>
      </w:r>
      <w:r w:rsidRPr="002C5876">
        <w:tab/>
        <w:t xml:space="preserve">Pression atmosphérique : </w:t>
      </w:r>
      <w:r w:rsidRPr="002C5876">
        <w:rPr>
          <w:iCs/>
        </w:rPr>
        <w:t>p</w:t>
      </w:r>
      <w:r w:rsidRPr="002C5876">
        <w:rPr>
          <w:iCs/>
          <w:vertAlign w:val="subscript"/>
        </w:rPr>
        <w:t>0</w:t>
      </w:r>
      <w:r w:rsidRPr="002C5876">
        <w:rPr>
          <w:iCs/>
        </w:rPr>
        <w:t xml:space="preserve"> </w:t>
      </w:r>
      <w:r w:rsidRPr="002C5876">
        <w:t>= 100 kPa ;</w:t>
      </w:r>
    </w:p>
    <w:p w:rsidR="00E24DB7" w:rsidRPr="002C5876" w:rsidRDefault="00E24DB7" w:rsidP="00E24DB7">
      <w:pPr>
        <w:pStyle w:val="SingleTxtG"/>
        <w:ind w:left="2835" w:hanging="567"/>
      </w:pPr>
      <w:r w:rsidRPr="002C5876">
        <w:t>b)</w:t>
      </w:r>
      <w:r w:rsidRPr="002C5876">
        <w:tab/>
        <w:t xml:space="preserve">Température atmosphérique : </w:t>
      </w:r>
      <w:r w:rsidRPr="002C5876">
        <w:rPr>
          <w:iCs/>
        </w:rPr>
        <w:t>T</w:t>
      </w:r>
      <w:r w:rsidRPr="002C5876">
        <w:rPr>
          <w:iCs/>
          <w:vertAlign w:val="subscript"/>
        </w:rPr>
        <w:t>0</w:t>
      </w:r>
      <w:r w:rsidRPr="002C5876">
        <w:rPr>
          <w:iCs/>
        </w:rPr>
        <w:t xml:space="preserve"> </w:t>
      </w:r>
      <w:r w:rsidRPr="002C5876">
        <w:t>= 20 °C ;</w:t>
      </w:r>
    </w:p>
    <w:p w:rsidR="00E24DB7" w:rsidRPr="002C5876" w:rsidRDefault="00E24DB7" w:rsidP="00E24DB7">
      <w:pPr>
        <w:pStyle w:val="SingleTxtG"/>
        <w:ind w:left="2835" w:hanging="567"/>
      </w:pPr>
      <w:r w:rsidRPr="002C5876">
        <w:t>c)</w:t>
      </w:r>
      <w:r w:rsidRPr="002C5876">
        <w:tab/>
        <w:t>Masse volumique de l’air sec : ρ</w:t>
      </w:r>
      <w:r w:rsidRPr="002C5876">
        <w:rPr>
          <w:iCs/>
          <w:vertAlign w:val="subscript"/>
        </w:rPr>
        <w:t>0</w:t>
      </w:r>
      <w:r w:rsidRPr="002C5876">
        <w:rPr>
          <w:iCs/>
        </w:rPr>
        <w:t xml:space="preserve"> </w:t>
      </w:r>
      <w:r w:rsidRPr="002C5876">
        <w:t>= 1,189 kg/m</w:t>
      </w:r>
      <w:r w:rsidRPr="002C5876">
        <w:rPr>
          <w:vertAlign w:val="superscript"/>
        </w:rPr>
        <w:t>3</w:t>
      </w:r>
      <w:r w:rsidRPr="002C5876">
        <w:t> ;</w:t>
      </w:r>
    </w:p>
    <w:p w:rsidR="00E24DB7" w:rsidRPr="002C5876" w:rsidRDefault="00E24DB7" w:rsidP="00E24DB7">
      <w:pPr>
        <w:pStyle w:val="SingleTxtG"/>
        <w:ind w:left="2835" w:hanging="567"/>
      </w:pPr>
      <w:r w:rsidRPr="002C5876">
        <w:t>d)</w:t>
      </w:r>
      <w:r w:rsidRPr="002C5876">
        <w:tab/>
        <w:t>Vitesse du vent : 0 m/s.</w:t>
      </w:r>
    </w:p>
    <w:p w:rsidR="00E24DB7" w:rsidRPr="002C5876" w:rsidRDefault="00E24DB7" w:rsidP="00E24DB7">
      <w:pPr>
        <w:pStyle w:val="SingleTxtG"/>
        <w:ind w:left="2268" w:hanging="1134"/>
      </w:pPr>
      <w:r w:rsidRPr="002C5876">
        <w:t>3.2.11</w:t>
      </w:r>
      <w:r w:rsidRPr="002C5876">
        <w:tab/>
        <w:t>Par « </w:t>
      </w:r>
      <w:r w:rsidRPr="002C5876">
        <w:rPr>
          <w:i/>
        </w:rPr>
        <w:t>vitesse</w:t>
      </w:r>
      <w:r w:rsidRPr="002C5876">
        <w:t xml:space="preserve"> </w:t>
      </w:r>
      <w:r w:rsidRPr="002C5876">
        <w:rPr>
          <w:bCs/>
          <w:i/>
        </w:rPr>
        <w:t>de référence </w:t>
      </w:r>
      <w:r w:rsidRPr="002C5876">
        <w:t xml:space="preserve">», on entend la vitesse à laquelle la résistance à l’avancement sur route est déterminée ou la force résistante sur banc à rouleaux est vérifiée. </w:t>
      </w:r>
    </w:p>
    <w:p w:rsidR="00E24DB7" w:rsidRPr="002C5876" w:rsidRDefault="00E24DB7" w:rsidP="00E24DB7">
      <w:pPr>
        <w:pStyle w:val="SingleTxtG"/>
        <w:ind w:left="2268" w:hanging="1134"/>
        <w:rPr>
          <w:bCs/>
        </w:rPr>
      </w:pPr>
      <w:r w:rsidRPr="002C5876">
        <w:rPr>
          <w:bCs/>
        </w:rPr>
        <w:t>3.2.12</w:t>
      </w:r>
      <w:r w:rsidRPr="002C5876">
        <w:rPr>
          <w:bCs/>
        </w:rPr>
        <w:tab/>
      </w:r>
      <w:r w:rsidRPr="002C5876">
        <w:t xml:space="preserve">Par </w:t>
      </w:r>
      <w:r w:rsidRPr="002C5876">
        <w:rPr>
          <w:bCs/>
        </w:rPr>
        <w:t>« </w:t>
      </w:r>
      <w:r w:rsidRPr="002C5876">
        <w:rPr>
          <w:i/>
        </w:rPr>
        <w:t>résistance à l’avancement sur route </w:t>
      </w:r>
      <w:r w:rsidRPr="002C5876">
        <w:rPr>
          <w:bCs/>
        </w:rPr>
        <w:t xml:space="preserve">», </w:t>
      </w:r>
      <w:r w:rsidRPr="002C5876">
        <w:t xml:space="preserve">on entend la force résistante au déplacement </w:t>
      </w:r>
      <w:r w:rsidRPr="002C5876">
        <w:rPr>
          <w:bCs/>
        </w:rPr>
        <w:t xml:space="preserve">d’un </w:t>
      </w:r>
      <w:r w:rsidRPr="002C5876">
        <w:t xml:space="preserve">véhicule vers l’avant, mesurée par la méthode de la décélération libre ou par des méthodes </w:t>
      </w:r>
      <w:r w:rsidRPr="002C5876">
        <w:rPr>
          <w:bCs/>
        </w:rPr>
        <w:t>équivalentes visant à prendre en compte les pertes par frottement du train de roulement.</w:t>
      </w:r>
    </w:p>
    <w:p w:rsidR="00E24DB7" w:rsidRPr="002C5876" w:rsidRDefault="00E24DB7" w:rsidP="00E24DB7">
      <w:pPr>
        <w:pStyle w:val="SingleTxtG"/>
        <w:ind w:left="2268" w:hanging="1134"/>
      </w:pPr>
      <w:r w:rsidRPr="002C5876">
        <w:rPr>
          <w:bCs/>
        </w:rPr>
        <w:t>3.2.13</w:t>
      </w:r>
      <w:r w:rsidRPr="002C5876">
        <w:rPr>
          <w:bCs/>
        </w:rPr>
        <w:tab/>
      </w:r>
      <w:r w:rsidRPr="002C5876">
        <w:t xml:space="preserve">Par </w:t>
      </w:r>
      <w:r w:rsidRPr="002C5876">
        <w:rPr>
          <w:bCs/>
        </w:rPr>
        <w:t>« </w:t>
      </w:r>
      <w:r w:rsidRPr="002C5876">
        <w:rPr>
          <w:i/>
        </w:rPr>
        <w:t>résistance au roulement </w:t>
      </w:r>
      <w:r w:rsidRPr="002C5876">
        <w:rPr>
          <w:bCs/>
        </w:rPr>
        <w:t xml:space="preserve">», </w:t>
      </w:r>
      <w:r w:rsidRPr="002C5876">
        <w:t xml:space="preserve">on entend </w:t>
      </w:r>
      <w:r w:rsidRPr="002C5876">
        <w:rPr>
          <w:bCs/>
        </w:rPr>
        <w:t xml:space="preserve">les </w:t>
      </w:r>
      <w:r w:rsidRPr="002C5876">
        <w:t xml:space="preserve">forces résistantes dans les pneumatiques s’opposant </w:t>
      </w:r>
      <w:r w:rsidRPr="002C5876">
        <w:rPr>
          <w:bCs/>
        </w:rPr>
        <w:t xml:space="preserve">au déplacement d’un </w:t>
      </w:r>
      <w:r w:rsidRPr="002C5876">
        <w:t>véhicule.</w:t>
      </w:r>
    </w:p>
    <w:p w:rsidR="00E24DB7" w:rsidRPr="002C5876" w:rsidRDefault="00E24DB7" w:rsidP="00E24DB7">
      <w:pPr>
        <w:pStyle w:val="SingleTxtG"/>
        <w:ind w:left="2268" w:hanging="1134"/>
      </w:pPr>
      <w:r w:rsidRPr="002C5876">
        <w:rPr>
          <w:bCs/>
        </w:rPr>
        <w:t>3.2.14</w:t>
      </w:r>
      <w:r w:rsidRPr="002C5876">
        <w:rPr>
          <w:bCs/>
        </w:rPr>
        <w:tab/>
      </w:r>
      <w:r w:rsidRPr="002C5876">
        <w:t xml:space="preserve">Par </w:t>
      </w:r>
      <w:r w:rsidRPr="002C5876">
        <w:rPr>
          <w:bCs/>
        </w:rPr>
        <w:t>« </w:t>
      </w:r>
      <w:r w:rsidRPr="002C5876">
        <w:rPr>
          <w:i/>
        </w:rPr>
        <w:t>résistance à l’avancement </w:t>
      </w:r>
      <w:r w:rsidRPr="002C5876">
        <w:rPr>
          <w:bCs/>
        </w:rPr>
        <w:t xml:space="preserve">», </w:t>
      </w:r>
      <w:r w:rsidRPr="002C5876">
        <w:t xml:space="preserve">on entend le couple s’opposant </w:t>
      </w:r>
      <w:r w:rsidRPr="002C5876">
        <w:rPr>
          <w:bCs/>
        </w:rPr>
        <w:t xml:space="preserve">au déplacement vers l’avant d’un </w:t>
      </w:r>
      <w:r w:rsidRPr="002C5876">
        <w:t xml:space="preserve">véhicule, mesuré par des capteurs de couple montés dans les roues motrices </w:t>
      </w:r>
      <w:r w:rsidRPr="002C5876">
        <w:rPr>
          <w:bCs/>
        </w:rPr>
        <w:t xml:space="preserve">d’un </w:t>
      </w:r>
      <w:r w:rsidRPr="002C5876">
        <w:t>véhicule.</w:t>
      </w:r>
    </w:p>
    <w:p w:rsidR="00E24DB7" w:rsidRPr="002C5876" w:rsidRDefault="00E24DB7" w:rsidP="00E24DB7">
      <w:pPr>
        <w:pStyle w:val="SingleTxtG"/>
        <w:ind w:left="2268" w:hanging="1134"/>
        <w:rPr>
          <w:bCs/>
        </w:rPr>
      </w:pPr>
      <w:r w:rsidRPr="002C5876">
        <w:rPr>
          <w:bCs/>
        </w:rPr>
        <w:lastRenderedPageBreak/>
        <w:t>3.2.15</w:t>
      </w:r>
      <w:r w:rsidRPr="002C5876">
        <w:rPr>
          <w:bCs/>
        </w:rPr>
        <w:tab/>
      </w:r>
      <w:r w:rsidRPr="002C5876">
        <w:t>Par « </w:t>
      </w:r>
      <w:r w:rsidRPr="002C5876">
        <w:rPr>
          <w:i/>
        </w:rPr>
        <w:t>résistance à l’avancement sur route simulée </w:t>
      </w:r>
      <w:r w:rsidRPr="002C5876">
        <w:t>», on entend la résistance à l’avancement sur route rencontrée par le véhicule sur le banc à rouleaux qui est censée reproduire la force résistante mesurée sur route, et composée de la force appliquée par le banc à rouleaux et des forces résistantes rencontrées par le véhicule lors de l’essai sur le banc à rouleaux et qui est exprimée par approximation par les trois coefficients d’un polynôme du second degré.</w:t>
      </w:r>
    </w:p>
    <w:p w:rsidR="00E24DB7" w:rsidRPr="002C5876" w:rsidRDefault="00E24DB7" w:rsidP="00E24DB7">
      <w:pPr>
        <w:pStyle w:val="SingleTxtG"/>
        <w:ind w:left="2268" w:hanging="1134"/>
      </w:pPr>
      <w:r w:rsidRPr="002C5876">
        <w:t>3.2.16</w:t>
      </w:r>
      <w:r w:rsidRPr="002C5876">
        <w:tab/>
        <w:t>Par « </w:t>
      </w:r>
      <w:r w:rsidRPr="002C5876">
        <w:rPr>
          <w:i/>
        </w:rPr>
        <w:t>résistance à l’avancement simulée </w:t>
      </w:r>
      <w:r w:rsidRPr="002C5876">
        <w:t>», on entend la résistance à l’avancement rencontrée par le véhicule sur le banc à rouleaux, censée reproduire la force résistante mesurée sur route, et composée du couple appliqué par le banc à rouleaux et du couple résistant rencontré par le véhicule lors de l’essai sur le banc à rouleaux et qui est exprimée par approximation par les trois coefficients d’un polynôme du second degré.</w:t>
      </w:r>
    </w:p>
    <w:p w:rsidR="00E24DB7" w:rsidRPr="002C5876" w:rsidRDefault="00E24DB7" w:rsidP="00E24DB7">
      <w:pPr>
        <w:pStyle w:val="SingleTxtG"/>
        <w:ind w:left="2268" w:hanging="1134"/>
      </w:pPr>
      <w:r w:rsidRPr="002C5876">
        <w:rPr>
          <w:bCs/>
        </w:rPr>
        <w:t>3.2.17</w:t>
      </w:r>
      <w:r w:rsidRPr="002C5876">
        <w:rPr>
          <w:bCs/>
        </w:rPr>
        <w:tab/>
      </w:r>
      <w:r w:rsidRPr="002C5876">
        <w:t xml:space="preserve">Par </w:t>
      </w:r>
      <w:r w:rsidRPr="002C5876">
        <w:rPr>
          <w:bCs/>
        </w:rPr>
        <w:t>« </w:t>
      </w:r>
      <w:r w:rsidRPr="002C5876">
        <w:rPr>
          <w:i/>
        </w:rPr>
        <w:t xml:space="preserve">mesure </w:t>
      </w:r>
      <w:r w:rsidRPr="002C5876">
        <w:rPr>
          <w:bCs/>
          <w:i/>
        </w:rPr>
        <w:t>anémométrique stationnaire </w:t>
      </w:r>
      <w:r w:rsidRPr="002C5876">
        <w:rPr>
          <w:bCs/>
        </w:rPr>
        <w:t xml:space="preserve">», </w:t>
      </w:r>
      <w:r w:rsidRPr="002C5876">
        <w:t xml:space="preserve">on entend </w:t>
      </w:r>
      <w:r w:rsidRPr="002C5876">
        <w:rPr>
          <w:bCs/>
        </w:rPr>
        <w:t xml:space="preserve">la </w:t>
      </w:r>
      <w:r w:rsidRPr="002C5876">
        <w:t>mesure de la vitesse et de la direction du vent avec un anémomètre situé à un emplacement et à une hauteur au-dessus du niveau de la piste d’essai où les conditions de mesure les plus représentatives seront obtenues.</w:t>
      </w:r>
    </w:p>
    <w:p w:rsidR="00E24DB7" w:rsidRPr="002C5876" w:rsidRDefault="00E24DB7" w:rsidP="00E24DB7">
      <w:pPr>
        <w:pStyle w:val="SingleTxtG"/>
        <w:ind w:left="2268" w:hanging="1134"/>
      </w:pPr>
      <w:r w:rsidRPr="002C5876">
        <w:t>3.2.18</w:t>
      </w:r>
      <w:r w:rsidRPr="002C5876">
        <w:tab/>
        <w:t>Par « </w:t>
      </w:r>
      <w:r w:rsidRPr="002C5876">
        <w:rPr>
          <w:i/>
        </w:rPr>
        <w:t>équipement de série </w:t>
      </w:r>
      <w:r w:rsidRPr="002C5876">
        <w:t xml:space="preserve">», on entend la configuration de base </w:t>
      </w:r>
      <w:r w:rsidRPr="002C5876">
        <w:rPr>
          <w:bCs/>
        </w:rPr>
        <w:t xml:space="preserve">d’un </w:t>
      </w:r>
      <w:r w:rsidRPr="002C5876">
        <w:t>véhicule, doté de toutes les caractéristiques qui sont prescrites par les dispositions réglementaires de la Partie contractante, y compris toutes les caractéristiques présentes sur le véhicule qui ne correspondent pas à des spécifications additionnelles en matière de configuration ou d’équipement.</w:t>
      </w:r>
    </w:p>
    <w:p w:rsidR="00E24DB7" w:rsidRPr="002C5876" w:rsidRDefault="00E24DB7" w:rsidP="00E24DB7">
      <w:pPr>
        <w:pStyle w:val="SingleTxtG"/>
        <w:ind w:left="2268" w:hanging="1134"/>
      </w:pPr>
      <w:r w:rsidRPr="002C5876">
        <w:rPr>
          <w:bCs/>
        </w:rPr>
        <w:t>3.2.19</w:t>
      </w:r>
      <w:r w:rsidRPr="002C5876">
        <w:rPr>
          <w:bCs/>
        </w:rPr>
        <w:tab/>
      </w:r>
      <w:r w:rsidRPr="002C5876">
        <w:t xml:space="preserve">Par </w:t>
      </w:r>
      <w:r w:rsidRPr="002C5876">
        <w:rPr>
          <w:bCs/>
        </w:rPr>
        <w:t>« </w:t>
      </w:r>
      <w:r w:rsidRPr="002C5876">
        <w:rPr>
          <w:i/>
        </w:rPr>
        <w:t>résistance à l’avancement sur route visée </w:t>
      </w:r>
      <w:r w:rsidRPr="002C5876">
        <w:rPr>
          <w:bCs/>
        </w:rPr>
        <w:t xml:space="preserve">», </w:t>
      </w:r>
      <w:r w:rsidRPr="002C5876">
        <w:t xml:space="preserve">on entend </w:t>
      </w:r>
      <w:r w:rsidRPr="002C5876">
        <w:rPr>
          <w:bCs/>
        </w:rPr>
        <w:t xml:space="preserve">la </w:t>
      </w:r>
      <w:r w:rsidRPr="002C5876">
        <w:t>résistance à l’avancement que l’on doit reproduire sur le banc à rouleaux.</w:t>
      </w:r>
    </w:p>
    <w:p w:rsidR="00E24DB7" w:rsidRPr="002C5876" w:rsidRDefault="00E24DB7" w:rsidP="00E24DB7">
      <w:pPr>
        <w:pStyle w:val="SingleTxtG"/>
        <w:ind w:left="2268" w:hanging="1134"/>
      </w:pPr>
      <w:r w:rsidRPr="002C5876">
        <w:rPr>
          <w:bCs/>
        </w:rPr>
        <w:t>3.2.20</w:t>
      </w:r>
      <w:r w:rsidRPr="002C5876">
        <w:rPr>
          <w:bCs/>
        </w:rPr>
        <w:tab/>
      </w:r>
      <w:r w:rsidRPr="002C5876">
        <w:t xml:space="preserve">Par </w:t>
      </w:r>
      <w:r w:rsidRPr="002C5876">
        <w:rPr>
          <w:bCs/>
        </w:rPr>
        <w:t>« </w:t>
      </w:r>
      <w:r w:rsidRPr="002C5876">
        <w:rPr>
          <w:i/>
        </w:rPr>
        <w:t>résistance à l’avancement visée </w:t>
      </w:r>
      <w:r w:rsidRPr="002C5876">
        <w:rPr>
          <w:bCs/>
        </w:rPr>
        <w:t xml:space="preserve">», </w:t>
      </w:r>
      <w:r w:rsidRPr="002C5876">
        <w:t xml:space="preserve">on entend </w:t>
      </w:r>
      <w:r w:rsidRPr="002C5876">
        <w:rPr>
          <w:bCs/>
        </w:rPr>
        <w:t xml:space="preserve">la </w:t>
      </w:r>
      <w:r w:rsidRPr="002C5876">
        <w:t>résistance à l’avancement</w:t>
      </w:r>
      <w:r w:rsidRPr="002C5876">
        <w:rPr>
          <w:i/>
        </w:rPr>
        <w:t xml:space="preserve"> </w:t>
      </w:r>
      <w:r w:rsidRPr="002C5876">
        <w:t>que l’on doit reproduire.</w:t>
      </w:r>
    </w:p>
    <w:p w:rsidR="00E24DB7" w:rsidRPr="002C5876" w:rsidRDefault="00E24DB7" w:rsidP="00E24DB7">
      <w:pPr>
        <w:pStyle w:val="SingleTxtG"/>
        <w:ind w:left="2268" w:hanging="1134"/>
      </w:pPr>
      <w:r w:rsidRPr="002C5876">
        <w:t>3.2.21</w:t>
      </w:r>
      <w:r w:rsidRPr="002C5876">
        <w:tab/>
        <w:t>Par « </w:t>
      </w:r>
      <w:r w:rsidRPr="002C5876">
        <w:rPr>
          <w:i/>
        </w:rPr>
        <w:t>mode décélération libre </w:t>
      </w:r>
      <w:r w:rsidRPr="002C5876">
        <w:t>», on entend un mode opératoire permettant une détermination exacte et répétable de la résistance à l’avancement sur route et un réglage exact du dynamomètre.</w:t>
      </w:r>
    </w:p>
    <w:p w:rsidR="00E24DB7" w:rsidRPr="002C5876" w:rsidRDefault="00E24DB7" w:rsidP="00E24DB7">
      <w:pPr>
        <w:pStyle w:val="SingleTxtG"/>
        <w:ind w:left="2268" w:hanging="1134"/>
      </w:pPr>
      <w:r w:rsidRPr="002C5876">
        <w:rPr>
          <w:bCs/>
        </w:rPr>
        <w:t>3.2.22</w:t>
      </w:r>
      <w:r w:rsidRPr="002C5876">
        <w:rPr>
          <w:bCs/>
        </w:rPr>
        <w:tab/>
      </w:r>
      <w:r w:rsidRPr="002C5876">
        <w:t>Par « </w:t>
      </w:r>
      <w:r w:rsidRPr="002C5876">
        <w:rPr>
          <w:bCs/>
          <w:i/>
        </w:rPr>
        <w:t>correction de l’effet du vent </w:t>
      </w:r>
      <w:r w:rsidRPr="002C5876">
        <w:t xml:space="preserve">», on entend </w:t>
      </w:r>
      <w:r w:rsidRPr="002C5876">
        <w:rPr>
          <w:bCs/>
        </w:rPr>
        <w:t xml:space="preserve">une correction </w:t>
      </w:r>
      <w:r w:rsidRPr="002C5876">
        <w:t xml:space="preserve">de l’effet du vent sur </w:t>
      </w:r>
      <w:r w:rsidRPr="002C5876">
        <w:rPr>
          <w:bCs/>
        </w:rPr>
        <w:t xml:space="preserve">la </w:t>
      </w:r>
      <w:r w:rsidRPr="002C5876">
        <w:t xml:space="preserve">résistance à l’avancement sur route sur la base des mesures </w:t>
      </w:r>
      <w:r w:rsidRPr="002C5876">
        <w:rPr>
          <w:bCs/>
        </w:rPr>
        <w:t xml:space="preserve">anémométriques faites </w:t>
      </w:r>
      <w:r w:rsidRPr="002C5876">
        <w:t xml:space="preserve">avec un équipement </w:t>
      </w:r>
      <w:r w:rsidRPr="002C5876">
        <w:rPr>
          <w:bCs/>
        </w:rPr>
        <w:t xml:space="preserve">stationnaire </w:t>
      </w:r>
      <w:r w:rsidRPr="002C5876">
        <w:t>ou embarqué.</w:t>
      </w:r>
    </w:p>
    <w:p w:rsidR="00E24DB7" w:rsidRPr="002C5876" w:rsidRDefault="00E24DB7" w:rsidP="00E24DB7">
      <w:pPr>
        <w:pStyle w:val="SingleTxtG"/>
        <w:ind w:left="2268" w:hanging="1134"/>
      </w:pPr>
      <w:r w:rsidRPr="002C5876">
        <w:t>3.2.23</w:t>
      </w:r>
      <w:r w:rsidRPr="002C5876">
        <w:tab/>
        <w:t>Par « </w:t>
      </w:r>
      <w:r w:rsidRPr="002C5876">
        <w:rPr>
          <w:i/>
        </w:rPr>
        <w:t>masse maximale techniquement admissible en charge </w:t>
      </w:r>
      <w:r w:rsidRPr="002C5876">
        <w:t>», on entend la masse maximale autorisée du véhicule sur la base de ses caractéristiques de construction et de ses performances d’origine.</w:t>
      </w:r>
    </w:p>
    <w:p w:rsidR="00E24DB7" w:rsidRPr="002C5876" w:rsidRDefault="00E24DB7" w:rsidP="00E24DB7">
      <w:pPr>
        <w:pStyle w:val="SingleTxtG"/>
        <w:ind w:left="2268" w:hanging="1134"/>
      </w:pPr>
      <w:r w:rsidRPr="002C5876">
        <w:t>3.2.24</w:t>
      </w:r>
      <w:r w:rsidRPr="002C5876">
        <w:tab/>
        <w:t>Par « </w:t>
      </w:r>
      <w:r w:rsidRPr="002C5876">
        <w:rPr>
          <w:i/>
        </w:rPr>
        <w:t>masse effective du véhicule </w:t>
      </w:r>
      <w:r w:rsidRPr="002C5876">
        <w:t>», on entend la masse en ordre de marche plus la masse de l’équipement optionnel qui peut être monté sur un véhicule donné.</w:t>
      </w:r>
    </w:p>
    <w:p w:rsidR="00E24DB7" w:rsidRPr="002C5876" w:rsidRDefault="00E24DB7" w:rsidP="00E24DB7">
      <w:pPr>
        <w:pStyle w:val="SingleTxtG"/>
        <w:ind w:left="2268" w:hanging="1134"/>
      </w:pPr>
      <w:r w:rsidRPr="002C5876">
        <w:t>3.2.25</w:t>
      </w:r>
      <w:r w:rsidRPr="002C5876">
        <w:tab/>
        <w:t>Par « </w:t>
      </w:r>
      <w:r w:rsidRPr="002C5876">
        <w:rPr>
          <w:i/>
        </w:rPr>
        <w:t>masse d’essai du véhicule </w:t>
      </w:r>
      <w:r w:rsidRPr="002C5876">
        <w:t>», on entend la somme de la masse effective du véhicule, de 25 kg et de la masse représentative de la charge du véhicule.</w:t>
      </w:r>
    </w:p>
    <w:p w:rsidR="00E24DB7" w:rsidRPr="002C5876" w:rsidRDefault="00E24DB7" w:rsidP="00E24DB7">
      <w:pPr>
        <w:pStyle w:val="SingleTxtG"/>
        <w:ind w:left="2268" w:hanging="1134"/>
      </w:pPr>
      <w:r w:rsidRPr="002C5876">
        <w:t>3.2.26</w:t>
      </w:r>
      <w:r w:rsidRPr="002C5876">
        <w:tab/>
        <w:t>Par « </w:t>
      </w:r>
      <w:r w:rsidRPr="002C5876">
        <w:rPr>
          <w:i/>
        </w:rPr>
        <w:t>masse représentative de la charge du véhicule </w:t>
      </w:r>
      <w:r w:rsidRPr="002C5876">
        <w:t>», on entend x % de la charge maximale du véhicule, où x est égal à 15 % pour les véhicules de la catégorie 1 et 28 % pour les véhicules de la catégorie 2.</w:t>
      </w:r>
    </w:p>
    <w:p w:rsidR="00E24DB7" w:rsidRPr="002C5876" w:rsidRDefault="00E24DB7" w:rsidP="00E24DB7">
      <w:pPr>
        <w:pStyle w:val="SingleTxtG"/>
        <w:ind w:left="2268" w:hanging="1134"/>
      </w:pPr>
      <w:r w:rsidRPr="002C5876">
        <w:t>3.2.27</w:t>
      </w:r>
      <w:r w:rsidRPr="002C5876">
        <w:tab/>
        <w:t>Par « </w:t>
      </w:r>
      <w:r w:rsidRPr="002C5876">
        <w:rPr>
          <w:i/>
        </w:rPr>
        <w:t>masse maximale techniquement admissible en charge d’un ensemble de véhicules </w:t>
      </w:r>
      <w:r w:rsidRPr="002C5876">
        <w:t>», on entend la masse maximale autorisée de l’ensemble constitué d’un</w:t>
      </w:r>
      <w:r w:rsidRPr="002C5876">
        <w:rPr>
          <w:i/>
        </w:rPr>
        <w:t xml:space="preserve"> </w:t>
      </w:r>
      <w:r w:rsidRPr="002C5876">
        <w:t>véhicule à moteur et d’une ou plusieurs remorques sur la base de leurs caractéristiques de construction et performances d’origine ou la masse maximale autorisée de l’ensemble constitué d’un</w:t>
      </w:r>
      <w:r w:rsidRPr="002C5876">
        <w:rPr>
          <w:i/>
        </w:rPr>
        <w:t xml:space="preserve"> </w:t>
      </w:r>
      <w:r w:rsidRPr="002C5876">
        <w:t>tracteur</w:t>
      </w:r>
      <w:r w:rsidRPr="002C5876">
        <w:rPr>
          <w:i/>
        </w:rPr>
        <w:t xml:space="preserve"> </w:t>
      </w:r>
      <w:r w:rsidRPr="002C5876">
        <w:t>et d’une semi</w:t>
      </w:r>
      <w:r w:rsidRPr="002C5876">
        <w:noBreakHyphen/>
        <w:t>remorque.</w:t>
      </w:r>
    </w:p>
    <w:p w:rsidR="00E24DB7" w:rsidRPr="002C5876" w:rsidRDefault="00E24DB7" w:rsidP="00E24DB7">
      <w:pPr>
        <w:pStyle w:val="SingleTxtG"/>
        <w:ind w:left="2268" w:hanging="1134"/>
      </w:pPr>
      <w:r w:rsidRPr="002C5876">
        <w:t>3.2.28</w:t>
      </w:r>
      <w:r w:rsidRPr="002C5876">
        <w:tab/>
        <w:t>Par « </w:t>
      </w:r>
      <w:r w:rsidRPr="002C5876">
        <w:rPr>
          <w:i/>
        </w:rPr>
        <w:t>rapport régime/vitesse</w:t>
      </w:r>
      <w:r w:rsidRPr="002C5876">
        <w:t> », on entend le régime moteur divisé par la vitesse du véhicule dans un rapport de particulier.</w:t>
      </w:r>
    </w:p>
    <w:p w:rsidR="00E24DB7" w:rsidRPr="002C5876" w:rsidRDefault="00E24DB7" w:rsidP="00E24DB7">
      <w:pPr>
        <w:pStyle w:val="SingleTxtG"/>
        <w:ind w:left="2268" w:hanging="1122"/>
        <w:rPr>
          <w:sz w:val="32"/>
          <w:szCs w:val="24"/>
        </w:rPr>
      </w:pPr>
      <w:r w:rsidRPr="002C5876">
        <w:t>3.2.29</w:t>
      </w:r>
      <w:r w:rsidRPr="002C5876">
        <w:tab/>
        <w:t>Par « </w:t>
      </w:r>
      <w:r w:rsidRPr="002C5876">
        <w:rPr>
          <w:bCs/>
          <w:i/>
        </w:rPr>
        <w:t>dynamomètre à rouleau simple</w:t>
      </w:r>
      <w:r w:rsidRPr="002C5876">
        <w:t> », on entend un dynamomètre où chaque roue d’un essieu du véhicule est en contact avec un seul rouleau.</w:t>
      </w:r>
    </w:p>
    <w:p w:rsidR="00E24DB7" w:rsidRPr="002C5876" w:rsidRDefault="00E24DB7" w:rsidP="00E24DB7">
      <w:pPr>
        <w:pStyle w:val="SingleTxtG"/>
        <w:ind w:left="2268" w:hanging="1122"/>
        <w:rPr>
          <w:sz w:val="32"/>
          <w:szCs w:val="24"/>
        </w:rPr>
      </w:pPr>
      <w:r w:rsidRPr="002C5876">
        <w:lastRenderedPageBreak/>
        <w:t>3.2.30</w:t>
      </w:r>
      <w:r w:rsidRPr="002C5876">
        <w:tab/>
        <w:t>Par « </w:t>
      </w:r>
      <w:r w:rsidRPr="002C5876">
        <w:rPr>
          <w:bCs/>
          <w:i/>
        </w:rPr>
        <w:t>dynamomètre à deux rouleaux</w:t>
      </w:r>
      <w:r w:rsidRPr="002C5876">
        <w:t> », on entend un dynamomètre où chaque roue d’un essieu du véhicule est en contact avec deux rouleaux.</w:t>
      </w:r>
    </w:p>
    <w:p w:rsidR="00E24DB7" w:rsidRPr="002C5876" w:rsidRDefault="00E24DB7" w:rsidP="00E24DB7">
      <w:pPr>
        <w:pStyle w:val="SingleTxtG"/>
        <w:keepNext/>
        <w:keepLines/>
        <w:ind w:left="2268" w:hanging="1134"/>
        <w:jc w:val="left"/>
      </w:pPr>
      <w:r w:rsidRPr="002C5876">
        <w:t>3.3</w:t>
      </w:r>
      <w:r w:rsidRPr="002C5876">
        <w:tab/>
      </w:r>
      <w:r w:rsidRPr="002C5876">
        <w:tab/>
        <w:t>Véhicules électriques purs, véhicules électriques hybrides, véhicules à pile à combustible et véhicules à carburant de remplacement</w:t>
      </w:r>
    </w:p>
    <w:p w:rsidR="00E24DB7" w:rsidRPr="002C5876" w:rsidRDefault="00E24DB7" w:rsidP="00E24DB7">
      <w:pPr>
        <w:pStyle w:val="SingleTxtG"/>
        <w:ind w:left="2268" w:hanging="1134"/>
      </w:pPr>
      <w:r w:rsidRPr="002C5876">
        <w:t>3.3.1</w:t>
      </w:r>
      <w:r w:rsidRPr="002C5876">
        <w:tab/>
      </w:r>
      <w:r w:rsidRPr="002C5876">
        <w:tab/>
        <w:t>Par « </w:t>
      </w:r>
      <w:r w:rsidRPr="002C5876">
        <w:rPr>
          <w:i/>
        </w:rPr>
        <w:t>autonomie en mode électrique </w:t>
      </w:r>
      <w:r w:rsidRPr="002C5876">
        <w:t>», on entend la distance totale parcourue par un véhicule hybride électrique rechargeable de l’extérieur (VHE-RE) depuis le début de l’essai d’épuisement de la charge jusqu’à l’instant où le moteur à combustion commence à consommer du carburant thermique.</w:t>
      </w:r>
    </w:p>
    <w:p w:rsidR="00E24DB7" w:rsidRPr="002C5876" w:rsidRDefault="00E24DB7" w:rsidP="00E24DB7">
      <w:pPr>
        <w:pStyle w:val="SingleTxtG"/>
        <w:keepNext/>
        <w:keepLines/>
        <w:ind w:left="2268" w:hanging="1134"/>
      </w:pPr>
      <w:r w:rsidRPr="002C5876">
        <w:t>3.3.2</w:t>
      </w:r>
      <w:r w:rsidRPr="002C5876">
        <w:tab/>
      </w:r>
      <w:r w:rsidRPr="002C5876">
        <w:tab/>
        <w:t>Par « </w:t>
      </w:r>
      <w:r w:rsidRPr="002C5876">
        <w:rPr>
          <w:i/>
        </w:rPr>
        <w:t>autonomie en mode électrique pur </w:t>
      </w:r>
      <w:r w:rsidRPr="002C5876">
        <w:t>», on entend la distance totale parcourue par un véhicule électrique pur (VEP) depuis le début de l’essai d’épuisement de la charge jusqu’à l’instant où le critère de déconnexion automatique est atteint.</w:t>
      </w:r>
    </w:p>
    <w:p w:rsidR="00E24DB7" w:rsidRPr="002C5876" w:rsidRDefault="00E24DB7" w:rsidP="00E24DB7">
      <w:pPr>
        <w:pStyle w:val="SingleTxtG"/>
        <w:ind w:left="2268" w:hanging="1134"/>
      </w:pPr>
      <w:r w:rsidRPr="002C5876">
        <w:t>3.3.3</w:t>
      </w:r>
      <w:r w:rsidRPr="002C5876">
        <w:tab/>
      </w:r>
      <w:r w:rsidRPr="002C5876">
        <w:tab/>
        <w:t>Par « </w:t>
      </w:r>
      <w:r w:rsidRPr="002C5876">
        <w:rPr>
          <w:i/>
        </w:rPr>
        <w:t>autonomie réelle en mode épuisement de la charge </w:t>
      </w:r>
      <w:r w:rsidRPr="002C5876">
        <w:t>» (R</w:t>
      </w:r>
      <w:r w:rsidRPr="002C5876">
        <w:rPr>
          <w:vertAlign w:val="subscript"/>
        </w:rPr>
        <w:t>CDA</w:t>
      </w:r>
      <w:r w:rsidRPr="002C5876">
        <w:t>), on entend la distance parcourue au cours d’un certain nombre de cycles WLTC en mode</w:t>
      </w:r>
      <w:r w:rsidRPr="002C5876">
        <w:rPr>
          <w:i/>
        </w:rPr>
        <w:t xml:space="preserve"> </w:t>
      </w:r>
      <w:r w:rsidRPr="002C5876">
        <w:t>épuisement de la charge jusqu’à ce que le système rechargeable de stockage de l’énergie électrique (SRSEE) soit déchargé.</w:t>
      </w:r>
    </w:p>
    <w:p w:rsidR="00E24DB7" w:rsidRPr="002C5876" w:rsidRDefault="00E24DB7" w:rsidP="00E24DB7">
      <w:pPr>
        <w:pStyle w:val="SingleTxtG"/>
        <w:ind w:left="2268" w:hanging="1134"/>
      </w:pPr>
      <w:r w:rsidRPr="002C5876">
        <w:t>3.3.4</w:t>
      </w:r>
      <w:r w:rsidRPr="002C5876">
        <w:tab/>
      </w:r>
      <w:r w:rsidRPr="002C5876">
        <w:tab/>
        <w:t>Par « </w:t>
      </w:r>
      <w:r w:rsidRPr="002C5876">
        <w:rPr>
          <w:i/>
        </w:rPr>
        <w:t>autonomie en mode cycle d’épuisement de la charge </w:t>
      </w:r>
      <w:r w:rsidRPr="002C5876">
        <w:t>» (R</w:t>
      </w:r>
      <w:r w:rsidRPr="002C5876">
        <w:rPr>
          <w:vertAlign w:val="subscript"/>
        </w:rPr>
        <w:t>CDC</w:t>
      </w:r>
      <w:r w:rsidRPr="002C5876">
        <w:t>), on entend la distance parcourue depuis le début de l’essai d’épuisement de la charge jusqu’à la fin du dernier cycle précédant le ou les cycles répondant au critère de déconnexion automatique, y compris le cycle de transition où le véhicule peut avoir fonctionné en mode</w:t>
      </w:r>
      <w:r w:rsidRPr="002C5876">
        <w:rPr>
          <w:i/>
        </w:rPr>
        <w:t xml:space="preserve"> </w:t>
      </w:r>
      <w:r w:rsidRPr="002C5876">
        <w:t>épuisement de la charge ainsi qu’en mode</w:t>
      </w:r>
      <w:r w:rsidRPr="002C5876">
        <w:rPr>
          <w:i/>
        </w:rPr>
        <w:t xml:space="preserve"> </w:t>
      </w:r>
      <w:r w:rsidRPr="002C5876">
        <w:t>maintien de la charge.</w:t>
      </w:r>
    </w:p>
    <w:p w:rsidR="00E24DB7" w:rsidRPr="002C5876" w:rsidRDefault="00E24DB7" w:rsidP="00E24DB7">
      <w:pPr>
        <w:pStyle w:val="SingleTxtG"/>
        <w:ind w:left="2268" w:hanging="1134"/>
      </w:pPr>
      <w:r w:rsidRPr="002C5876">
        <w:t>3.3.5</w:t>
      </w:r>
      <w:r w:rsidRPr="002C5876">
        <w:tab/>
      </w:r>
      <w:r w:rsidRPr="002C5876">
        <w:tab/>
        <w:t>Par « </w:t>
      </w:r>
      <w:r w:rsidRPr="002C5876">
        <w:rPr>
          <w:i/>
        </w:rPr>
        <w:t>conditions de fonctionnement en mode épuisement de la charge </w:t>
      </w:r>
      <w:r w:rsidRPr="002C5876">
        <w:t>», on entend des conditions de fonctionnement</w:t>
      </w:r>
      <w:r w:rsidRPr="002C5876">
        <w:rPr>
          <w:i/>
        </w:rPr>
        <w:t xml:space="preserve"> </w:t>
      </w:r>
      <w:r w:rsidRPr="002C5876">
        <w:t>dans lesquelles l’énergie stockée dans le SRSEE peut fluctuer mais tend à diminuer pendant que le véhicule roule jusqu’à la transition au mode</w:t>
      </w:r>
      <w:r w:rsidRPr="002C5876">
        <w:rPr>
          <w:i/>
        </w:rPr>
        <w:t xml:space="preserve"> </w:t>
      </w:r>
      <w:r w:rsidRPr="002C5876">
        <w:t>maintien de la charge.</w:t>
      </w:r>
    </w:p>
    <w:p w:rsidR="00E24DB7" w:rsidRPr="002C5876" w:rsidRDefault="00E24DB7" w:rsidP="00E24DB7">
      <w:pPr>
        <w:pStyle w:val="SingleTxtG"/>
        <w:ind w:left="2268" w:hanging="1134"/>
      </w:pPr>
      <w:r w:rsidRPr="002C5876">
        <w:t>3.3.6</w:t>
      </w:r>
      <w:r w:rsidRPr="002C5876">
        <w:tab/>
      </w:r>
      <w:r w:rsidRPr="002C5876">
        <w:tab/>
        <w:t>Par « </w:t>
      </w:r>
      <w:r w:rsidRPr="002C5876">
        <w:rPr>
          <w:i/>
        </w:rPr>
        <w:t>conditions de fonctionnement en mode maintien de la charge </w:t>
      </w:r>
      <w:r w:rsidRPr="002C5876">
        <w:t>», on entend des conditions de fonctionnement</w:t>
      </w:r>
      <w:r w:rsidRPr="002C5876">
        <w:rPr>
          <w:i/>
        </w:rPr>
        <w:t xml:space="preserve"> </w:t>
      </w:r>
      <w:r w:rsidRPr="002C5876">
        <w:t>dans lesquelles l’énergie stockée dans le SRSEE peut fluctuer mais en moyenne est maintenue à un niveau de charge stable pendant que le véhicule roule.</w:t>
      </w:r>
    </w:p>
    <w:p w:rsidR="00E24DB7" w:rsidRPr="002C5876" w:rsidRDefault="00E24DB7" w:rsidP="00E24DB7">
      <w:pPr>
        <w:pStyle w:val="SingleTxtG"/>
        <w:ind w:left="2268" w:hanging="1134"/>
      </w:pPr>
      <w:r w:rsidRPr="002C5876">
        <w:t>3.3.7</w:t>
      </w:r>
      <w:r w:rsidRPr="002C5876">
        <w:tab/>
      </w:r>
      <w:r w:rsidRPr="002C5876">
        <w:tab/>
        <w:t>Par « </w:t>
      </w:r>
      <w:r w:rsidRPr="002C5876">
        <w:rPr>
          <w:i/>
        </w:rPr>
        <w:t>facteurs d’utilisation</w:t>
      </w:r>
      <w:r w:rsidRPr="002C5876">
        <w:t> », on entend des rapports, basés sur les statistiques de circulation, tenant compte de l’autonomie obtenue en mode épuisement de la charge, qui sont utilisés pour pondérer les valeurs des émissions de composés d’échappement, des émissions de CO</w:t>
      </w:r>
      <w:r w:rsidRPr="002C5876">
        <w:rPr>
          <w:vertAlign w:val="subscript"/>
        </w:rPr>
        <w:t>2</w:t>
      </w:r>
      <w:r w:rsidRPr="002C5876">
        <w:t xml:space="preserve"> et de la consommation de carburant pendant les phases d’épuisement de la charge et de maintien de la charge pour les véhicules hybrides électriques rechargeables.</w:t>
      </w:r>
    </w:p>
    <w:p w:rsidR="00E24DB7" w:rsidRPr="002C5876" w:rsidRDefault="00E24DB7" w:rsidP="00E24DB7">
      <w:pPr>
        <w:pStyle w:val="SingleTxtG"/>
        <w:ind w:left="2268" w:hanging="1134"/>
      </w:pPr>
      <w:r w:rsidRPr="002C5876">
        <w:t>3.3.8</w:t>
      </w:r>
      <w:r w:rsidRPr="002C5876">
        <w:tab/>
      </w:r>
      <w:r w:rsidRPr="002C5876">
        <w:tab/>
        <w:t>Par « </w:t>
      </w:r>
      <w:r w:rsidRPr="002C5876">
        <w:rPr>
          <w:i/>
        </w:rPr>
        <w:t>machine électrique</w:t>
      </w:r>
      <w:r w:rsidRPr="002C5876">
        <w:t> » (ME), on entend un convertisseur d’énergie</w:t>
      </w:r>
      <w:r w:rsidRPr="002C5876">
        <w:rPr>
          <w:i/>
        </w:rPr>
        <w:t xml:space="preserve"> </w:t>
      </w:r>
      <w:r w:rsidRPr="002C5876">
        <w:t>faisant la conversion entre énergie électrique et énergie mécanique.</w:t>
      </w:r>
    </w:p>
    <w:p w:rsidR="00E24DB7" w:rsidRPr="002C5876" w:rsidRDefault="00E24DB7" w:rsidP="00E24DB7">
      <w:pPr>
        <w:pStyle w:val="SingleTxtG"/>
        <w:ind w:left="2268" w:hanging="1134"/>
      </w:pPr>
      <w:r w:rsidRPr="002C5876">
        <w:t>3.3.9</w:t>
      </w:r>
      <w:r w:rsidRPr="002C5876">
        <w:tab/>
      </w:r>
      <w:r w:rsidRPr="002C5876">
        <w:tab/>
        <w:t>Par « </w:t>
      </w:r>
      <w:r w:rsidRPr="002C5876">
        <w:rPr>
          <w:i/>
        </w:rPr>
        <w:t>convertisseur d’énergie </w:t>
      </w:r>
      <w:r w:rsidRPr="002C5876">
        <w:t>», on entend un système dans lequel l’énergie de sortie est différente de l’énergie d’entrée.</w:t>
      </w:r>
    </w:p>
    <w:p w:rsidR="00E24DB7" w:rsidRPr="002C5876" w:rsidRDefault="00E24DB7" w:rsidP="00E24DB7">
      <w:pPr>
        <w:pStyle w:val="SingleTxtG"/>
        <w:spacing w:after="100"/>
        <w:ind w:left="2268" w:hanging="1134"/>
      </w:pPr>
      <w:r w:rsidRPr="002C5876">
        <w:t>3.3.9.1</w:t>
      </w:r>
      <w:r w:rsidRPr="002C5876">
        <w:tab/>
        <w:t>Par « </w:t>
      </w:r>
      <w:r w:rsidRPr="002C5876">
        <w:rPr>
          <w:i/>
        </w:rPr>
        <w:t>convertisseur de l’énergie de propulsion</w:t>
      </w:r>
      <w:r w:rsidRPr="002C5876">
        <w:t> », on entend un convertisseur d’énergie de la chaîne de traction autre qu’un dispositif périphérique et dont l’énergie de sortie est utilisée directement ou indirectement aux fins de la propulsion du véhicule.</w:t>
      </w:r>
    </w:p>
    <w:p w:rsidR="00E24DB7" w:rsidRPr="002C5876" w:rsidRDefault="00E24DB7" w:rsidP="00E24DB7">
      <w:pPr>
        <w:pStyle w:val="SingleTxtG"/>
        <w:spacing w:after="100"/>
        <w:ind w:left="2268" w:hanging="1134"/>
      </w:pPr>
      <w:r w:rsidRPr="002C5876">
        <w:t>3.3.9.2</w:t>
      </w:r>
      <w:r w:rsidRPr="002C5876">
        <w:tab/>
        <w:t>Par « </w:t>
      </w:r>
      <w:r w:rsidRPr="002C5876">
        <w:rPr>
          <w:i/>
        </w:rPr>
        <w:t>catégorie de convertisseur d’énergie de propulsion</w:t>
      </w:r>
      <w:r w:rsidRPr="002C5876">
        <w:t> », on entend i) un moteur à combustion interne ou ii) une machine électrique, ou iii) une pile à combustible.</w:t>
      </w:r>
    </w:p>
    <w:p w:rsidR="00E24DB7" w:rsidRPr="002C5876" w:rsidRDefault="00E24DB7" w:rsidP="00E24DB7">
      <w:pPr>
        <w:pStyle w:val="SingleTxtG"/>
        <w:spacing w:after="100"/>
        <w:ind w:left="2268" w:hanging="1134"/>
      </w:pPr>
      <w:r w:rsidRPr="002C5876">
        <w:t>3.3.10</w:t>
      </w:r>
      <w:r w:rsidRPr="002C5876">
        <w:tab/>
        <w:t>Par « </w:t>
      </w:r>
      <w:r w:rsidRPr="002C5876">
        <w:rPr>
          <w:i/>
        </w:rPr>
        <w:t>système de stockage de l’énergie </w:t>
      </w:r>
      <w:r w:rsidRPr="002C5876">
        <w:t>», on entend un système qui peut stocker l’énergie et la libérer sous la même forme que l’énergie d’entrée.</w:t>
      </w:r>
    </w:p>
    <w:p w:rsidR="00E24DB7" w:rsidRPr="002C5876" w:rsidRDefault="00E24DB7" w:rsidP="00E24DB7">
      <w:pPr>
        <w:pStyle w:val="SingleTxtG"/>
        <w:spacing w:after="100"/>
        <w:ind w:left="2268" w:hanging="1134"/>
      </w:pPr>
      <w:r w:rsidRPr="002C5876">
        <w:t>3.3.10.1</w:t>
      </w:r>
      <w:r w:rsidRPr="002C5876">
        <w:tab/>
        <w:t>Par « </w:t>
      </w:r>
      <w:r w:rsidRPr="002C5876">
        <w:rPr>
          <w:i/>
        </w:rPr>
        <w:t>système de stockage de l’énergie de propulsion</w:t>
      </w:r>
      <w:r w:rsidRPr="002C5876">
        <w:t xml:space="preserve"> », on entend un système de stockage de l’énergie de la chaîne de traction qui n’est pas un dispositif </w:t>
      </w:r>
      <w:r w:rsidRPr="002C5876">
        <w:lastRenderedPageBreak/>
        <w:t>périphérique et dont l’énergie de sortie est utilisée directement ou indirectement aux fins de la propulsion du véhicule.</w:t>
      </w:r>
    </w:p>
    <w:p w:rsidR="00E24DB7" w:rsidRPr="002C5876" w:rsidRDefault="00E24DB7" w:rsidP="00E24DB7">
      <w:pPr>
        <w:pStyle w:val="SingleTxtG"/>
        <w:spacing w:after="100"/>
        <w:ind w:left="2268" w:hanging="1134"/>
      </w:pPr>
      <w:r w:rsidRPr="002C5876">
        <w:t>3.3.10.2</w:t>
      </w:r>
      <w:r w:rsidRPr="002C5876">
        <w:tab/>
        <w:t>Par « </w:t>
      </w:r>
      <w:r w:rsidRPr="002C5876">
        <w:rPr>
          <w:i/>
        </w:rPr>
        <w:t>catégorie de système de stockage de l’énergie de propulsion</w:t>
      </w:r>
      <w:r w:rsidRPr="002C5876">
        <w:t> », on entend i) un système rechargeable de stockage du carburant, ou ii) un système rechargeable de stockage de l’énergie électrique, ou iii) un système rechargeable de stockage de l’énergie mécanique.</w:t>
      </w:r>
    </w:p>
    <w:p w:rsidR="00E24DB7" w:rsidRPr="002C5876" w:rsidRDefault="00E24DB7" w:rsidP="00E24DB7">
      <w:pPr>
        <w:pStyle w:val="SingleTxtG"/>
        <w:spacing w:after="100"/>
        <w:ind w:left="2268" w:hanging="1134"/>
      </w:pPr>
      <w:r w:rsidRPr="002C5876">
        <w:t>3.3.10.3</w:t>
      </w:r>
      <w:r w:rsidRPr="002C5876">
        <w:tab/>
        <w:t>Par « </w:t>
      </w:r>
      <w:r w:rsidRPr="002C5876">
        <w:rPr>
          <w:i/>
        </w:rPr>
        <w:t>forme d’énergie</w:t>
      </w:r>
      <w:r w:rsidRPr="002C5876">
        <w:t> », on entend i) l’énergie électrique, ou ii) l’énergie mécanique, ou iii) l’énergie chimique (y compris celle contenue dans les carburants).</w:t>
      </w:r>
    </w:p>
    <w:p w:rsidR="00E24DB7" w:rsidRPr="002C5876" w:rsidRDefault="00E24DB7" w:rsidP="00E24DB7">
      <w:pPr>
        <w:pStyle w:val="SingleTxtG"/>
        <w:spacing w:after="100"/>
        <w:ind w:left="2268" w:hanging="1134"/>
      </w:pPr>
      <w:r w:rsidRPr="002C5876">
        <w:t>3.3.10.4</w:t>
      </w:r>
      <w:r w:rsidRPr="002C5876">
        <w:tab/>
        <w:t>Par « </w:t>
      </w:r>
      <w:r w:rsidRPr="002C5876">
        <w:rPr>
          <w:i/>
        </w:rPr>
        <w:t>système de stockage du carburant</w:t>
      </w:r>
      <w:r w:rsidRPr="002C5876">
        <w:t> », on entend un système de stockage de l’énergie de propulsion qui stocke l’énergie chimique en tant que carburant liquide ou gazeux.</w:t>
      </w:r>
    </w:p>
    <w:p w:rsidR="00E24DB7" w:rsidRPr="002C5876" w:rsidRDefault="00E24DB7" w:rsidP="00E24DB7">
      <w:pPr>
        <w:pStyle w:val="SingleTxtG"/>
        <w:spacing w:after="100"/>
        <w:ind w:left="2268" w:hanging="1134"/>
      </w:pPr>
      <w:r w:rsidRPr="002C5876">
        <w:t>3.3.11</w:t>
      </w:r>
      <w:r w:rsidRPr="002C5876">
        <w:tab/>
        <w:t>Par « </w:t>
      </w:r>
      <w:r w:rsidRPr="002C5876">
        <w:rPr>
          <w:i/>
        </w:rPr>
        <w:t>autonomie équivalente en mode électrique pur </w:t>
      </w:r>
      <w:r w:rsidRPr="002C5876">
        <w:t>» (AEMEP), on entend la portion de l’autonomie réelle totale en mode épuisement de la charge (R</w:t>
      </w:r>
      <w:r w:rsidRPr="002C5876">
        <w:rPr>
          <w:vertAlign w:val="subscript"/>
        </w:rPr>
        <w:t>CDA</w:t>
      </w:r>
      <w:r w:rsidRPr="002C5876">
        <w:t>) imputable à l’utilisation de l’électricité provenant du SRSEE au cours de l’essai d’autonomie</w:t>
      </w:r>
      <w:r w:rsidRPr="002C5876">
        <w:rPr>
          <w:i/>
        </w:rPr>
        <w:t xml:space="preserve"> </w:t>
      </w:r>
      <w:r w:rsidRPr="002C5876">
        <w:t>en mode épuisement de la charge.</w:t>
      </w:r>
    </w:p>
    <w:p w:rsidR="00E24DB7" w:rsidRPr="002C5876" w:rsidRDefault="00E24DB7" w:rsidP="00E24DB7">
      <w:pPr>
        <w:pStyle w:val="SingleTxtG"/>
        <w:spacing w:after="100"/>
        <w:ind w:left="2268" w:hanging="1134"/>
      </w:pPr>
      <w:r w:rsidRPr="002C5876">
        <w:t>3.3.12</w:t>
      </w:r>
      <w:r w:rsidRPr="002C5876">
        <w:tab/>
        <w:t>Par « </w:t>
      </w:r>
      <w:r w:rsidRPr="002C5876">
        <w:rPr>
          <w:i/>
        </w:rPr>
        <w:t>véhicule hybride électrique</w:t>
      </w:r>
      <w:r w:rsidRPr="002C5876">
        <w:t> » (VHE), on entend un véhicule hybride sur lequel l’un des convertisseurs d’énergie de propulsion est une machine électrique.</w:t>
      </w:r>
    </w:p>
    <w:p w:rsidR="00E24DB7" w:rsidRPr="002C5876" w:rsidRDefault="00E24DB7" w:rsidP="00E24DB7">
      <w:pPr>
        <w:pStyle w:val="SingleTxtG"/>
        <w:spacing w:after="100"/>
        <w:ind w:left="2268" w:hanging="1134"/>
      </w:pPr>
      <w:r w:rsidRPr="002C5876">
        <w:t>3.3.13</w:t>
      </w:r>
      <w:r w:rsidRPr="002C5876">
        <w:tab/>
        <w:t>Par « </w:t>
      </w:r>
      <w:r w:rsidRPr="002C5876">
        <w:rPr>
          <w:i/>
        </w:rPr>
        <w:t>véhicule hybride </w:t>
      </w:r>
      <w:r w:rsidRPr="002C5876">
        <w:t xml:space="preserve">» (VH), on entend </w:t>
      </w:r>
      <w:r w:rsidRPr="002C5876">
        <w:rPr>
          <w:bCs/>
        </w:rPr>
        <w:t xml:space="preserve">un </w:t>
      </w:r>
      <w:r w:rsidRPr="002C5876">
        <w:t>véhicule dont la chaîne de traction comprend au moins deux catégories différentes de convertisseurs d’énergie et</w:t>
      </w:r>
      <w:r w:rsidRPr="002C5876">
        <w:rPr>
          <w:i/>
        </w:rPr>
        <w:t xml:space="preserve"> </w:t>
      </w:r>
      <w:r w:rsidRPr="002C5876">
        <w:t>au moins deux catégories différentes de systèmes de stockage de l’énergie de propulsion.</w:t>
      </w:r>
    </w:p>
    <w:p w:rsidR="00E24DB7" w:rsidRPr="002C5876" w:rsidRDefault="00E24DB7" w:rsidP="00E24DB7">
      <w:pPr>
        <w:pStyle w:val="SingleTxtG"/>
        <w:spacing w:after="100"/>
        <w:ind w:left="2268" w:hanging="1134"/>
      </w:pPr>
      <w:r w:rsidRPr="002C5876">
        <w:t>3.3.14</w:t>
      </w:r>
      <w:r w:rsidRPr="002C5876">
        <w:tab/>
        <w:t>Par « </w:t>
      </w:r>
      <w:r w:rsidRPr="002C5876">
        <w:rPr>
          <w:i/>
        </w:rPr>
        <w:t>variation énergétique nette </w:t>
      </w:r>
      <w:r w:rsidRPr="002C5876">
        <w:t>», on entend la variation d’énergie</w:t>
      </w:r>
      <w:r w:rsidRPr="002C5876">
        <w:rPr>
          <w:i/>
        </w:rPr>
        <w:t xml:space="preserve"> </w:t>
      </w:r>
      <w:r w:rsidRPr="002C5876">
        <w:t>dans le SRSEE divisée par la demande d’énergie par cycle du véhicule soumis à l’essai.</w:t>
      </w:r>
    </w:p>
    <w:p w:rsidR="00E24DB7" w:rsidRPr="002C5876" w:rsidRDefault="00E24DB7" w:rsidP="00E24DB7">
      <w:pPr>
        <w:pStyle w:val="SingleTxtG"/>
        <w:spacing w:after="100"/>
        <w:ind w:left="2268" w:hanging="1134"/>
      </w:pPr>
      <w:r w:rsidRPr="002C5876">
        <w:t>3.3.15</w:t>
      </w:r>
      <w:r w:rsidRPr="002C5876">
        <w:tab/>
        <w:t>Par « </w:t>
      </w:r>
      <w:r w:rsidRPr="002C5876">
        <w:rPr>
          <w:i/>
        </w:rPr>
        <w:t>véhicule hybride électrique non rechargeable de l’extérieur </w:t>
      </w:r>
      <w:r w:rsidRPr="002C5876">
        <w:t>» (VHE</w:t>
      </w:r>
      <w:r w:rsidRPr="002C5876">
        <w:noBreakHyphen/>
        <w:t>NRE), on entend un véhicule hybride électrique qui ne peut pas être rechargé depuis une source extérieure.</w:t>
      </w:r>
    </w:p>
    <w:p w:rsidR="00E24DB7" w:rsidRPr="002C5876" w:rsidRDefault="00E24DB7" w:rsidP="00E24DB7">
      <w:pPr>
        <w:pStyle w:val="SingleTxtG"/>
        <w:spacing w:after="100"/>
        <w:ind w:left="2268" w:hanging="1134"/>
      </w:pPr>
      <w:r w:rsidRPr="002C5876">
        <w:t>3.3.16</w:t>
      </w:r>
      <w:r w:rsidRPr="002C5876">
        <w:tab/>
        <w:t>Par « </w:t>
      </w:r>
      <w:r w:rsidRPr="002C5876">
        <w:rPr>
          <w:i/>
        </w:rPr>
        <w:t>véhicule hybride électrique rechargeable de l’extérieur </w:t>
      </w:r>
      <w:r w:rsidRPr="002C5876">
        <w:t>» (VHE-RE), on entend un véhicule hybride électrique qui peut être rechargé depuis une source extérieure.</w:t>
      </w:r>
    </w:p>
    <w:p w:rsidR="00E24DB7" w:rsidRPr="002C5876" w:rsidRDefault="00E24DB7" w:rsidP="00E24DB7">
      <w:pPr>
        <w:pStyle w:val="SingleTxtG"/>
        <w:spacing w:after="100"/>
        <w:ind w:left="2268" w:hanging="1134"/>
      </w:pPr>
      <w:r w:rsidRPr="002C5876">
        <w:t>3.3.17</w:t>
      </w:r>
      <w:r w:rsidRPr="002C5876">
        <w:tab/>
        <w:t>Par « </w:t>
      </w:r>
      <w:r w:rsidRPr="002C5876">
        <w:rPr>
          <w:i/>
        </w:rPr>
        <w:t>véhicule électrique pur </w:t>
      </w:r>
      <w:r w:rsidRPr="002C5876">
        <w:t>», on entend un véhicule équipé d’une chaîne de traction comportant exclusivement des machines électriques comme convertisseurs de l’énergie de propulsion et des systèmes rechargeables de stockage de l’énergie électrique comme systèmes de stockage de l’énergie de propulsion.</w:t>
      </w:r>
    </w:p>
    <w:p w:rsidR="00E24DB7" w:rsidRPr="002C5876" w:rsidRDefault="00E24DB7" w:rsidP="00E24DB7">
      <w:pPr>
        <w:pStyle w:val="SingleTxtG"/>
        <w:ind w:left="2268" w:hanging="1134"/>
      </w:pPr>
      <w:r w:rsidRPr="002C5876">
        <w:rPr>
          <w:bCs/>
        </w:rPr>
        <w:t>3.3.18</w:t>
      </w:r>
      <w:r w:rsidRPr="002C5876">
        <w:rPr>
          <w:bCs/>
        </w:rPr>
        <w:tab/>
      </w:r>
      <w:r w:rsidRPr="002C5876">
        <w:t>Par « </w:t>
      </w:r>
      <w:r w:rsidRPr="002C5876">
        <w:rPr>
          <w:i/>
        </w:rPr>
        <w:t>pile à combustible </w:t>
      </w:r>
      <w:r w:rsidRPr="002C5876">
        <w:t>», on entend un convertisseur d’énergie transformant l’énergie chimique (énergie d’entrée) en énergie électrique (énergie de sortie) ou inversement.</w:t>
      </w:r>
    </w:p>
    <w:p w:rsidR="00E24DB7" w:rsidRPr="002C5876" w:rsidRDefault="00E24DB7" w:rsidP="00E24DB7">
      <w:pPr>
        <w:pStyle w:val="SingleTxtG"/>
        <w:ind w:left="2268" w:hanging="1134"/>
      </w:pPr>
      <w:r w:rsidRPr="002C5876">
        <w:t>3.3.19</w:t>
      </w:r>
      <w:r w:rsidRPr="002C5876">
        <w:tab/>
        <w:t>Par « </w:t>
      </w:r>
      <w:r w:rsidRPr="002C5876">
        <w:rPr>
          <w:i/>
        </w:rPr>
        <w:t>véhicule à pile à combustible </w:t>
      </w:r>
      <w:r w:rsidRPr="002C5876">
        <w:t>» (VPC), on entend un véhicule équipé d’une chaîne de traction comportant exclusivement une ou plusieurs piles à combustible et une ou plusieurs machines électriques comme convertisseur(s) de l’énergie de propulsion.</w:t>
      </w:r>
    </w:p>
    <w:p w:rsidR="00E24DB7" w:rsidRPr="002C5876" w:rsidRDefault="00E24DB7" w:rsidP="00E24DB7">
      <w:pPr>
        <w:pStyle w:val="SingleTxtG"/>
        <w:ind w:left="2268" w:hanging="1134"/>
      </w:pPr>
      <w:r w:rsidRPr="002C5876">
        <w:t>3.3.20</w:t>
      </w:r>
      <w:r w:rsidRPr="002C5876">
        <w:tab/>
        <w:t>Par « </w:t>
      </w:r>
      <w:r w:rsidRPr="002C5876">
        <w:rPr>
          <w:i/>
        </w:rPr>
        <w:t>véhicule hybride à pile à combustible </w:t>
      </w:r>
      <w:r w:rsidRPr="002C5876">
        <w:t>», on entend un véhicule à pile à combustible équipé d’une chaîne de traction comportant au moins un système de stockage du carburant et au moins un système rechargeable de stockage de l’énergie électrique comme systèmes de stockage de l’énergie de propulsion.</w:t>
      </w:r>
    </w:p>
    <w:p w:rsidR="00E24DB7" w:rsidRPr="002C5876" w:rsidRDefault="00E24DB7" w:rsidP="00E24DB7">
      <w:pPr>
        <w:pStyle w:val="SingleTxtG"/>
        <w:ind w:left="2268" w:hanging="1134"/>
      </w:pPr>
      <w:r w:rsidRPr="002C5876">
        <w:t>3.3.21</w:t>
      </w:r>
      <w:r w:rsidRPr="002C5876">
        <w:tab/>
        <w:t>Par « </w:t>
      </w:r>
      <w:r w:rsidRPr="002C5876">
        <w:rPr>
          <w:i/>
        </w:rPr>
        <w:t>véhicule bicarburant </w:t>
      </w:r>
      <w:r w:rsidRPr="002C5876">
        <w:t>», un véhicule doté de deux systèmes distincts de stockage du carburant conçu pour fonctionner avec un seul carburant à la fois. Toutefois, l’utilisation simultanée des deux carburants est autorisée dans des quantités et des durées limitées.</w:t>
      </w:r>
    </w:p>
    <w:p w:rsidR="00E24DB7" w:rsidRPr="002C5876" w:rsidRDefault="00E24DB7" w:rsidP="00E24DB7">
      <w:pPr>
        <w:pStyle w:val="SingleTxtG"/>
        <w:ind w:left="2268" w:hanging="1134"/>
      </w:pPr>
      <w:r w:rsidRPr="002C5876">
        <w:lastRenderedPageBreak/>
        <w:t>3.3.22</w:t>
      </w:r>
      <w:r w:rsidRPr="002C5876">
        <w:tab/>
        <w:t>Par « </w:t>
      </w:r>
      <w:r w:rsidRPr="002C5876">
        <w:rPr>
          <w:i/>
        </w:rPr>
        <w:t>véhicule bicarburant à gaz </w:t>
      </w:r>
      <w:r w:rsidRPr="002C5876">
        <w:t>», un véhicule bicarburant qui peut fonctionner à l’essence (en mode essence), mais aussi au GPL, au GN/biométhane ou à l’hydrogène (en mode gaz).</w:t>
      </w:r>
    </w:p>
    <w:p w:rsidR="00E24DB7" w:rsidRPr="002C5876" w:rsidRDefault="00E24DB7" w:rsidP="00E24DB7">
      <w:pPr>
        <w:pStyle w:val="SingleTxtG"/>
        <w:ind w:left="2268" w:hanging="1134"/>
        <w:rPr>
          <w:bCs/>
        </w:rPr>
      </w:pPr>
      <w:r w:rsidRPr="002C5876">
        <w:t>3.3.23</w:t>
      </w:r>
      <w:r w:rsidRPr="002C5876">
        <w:tab/>
        <w:t>Par « </w:t>
      </w:r>
      <w:r w:rsidRPr="002C5876">
        <w:rPr>
          <w:i/>
        </w:rPr>
        <w:t>véhicule équipé uniquement d’un moteur à combustion interne </w:t>
      </w:r>
      <w:r w:rsidRPr="002C5876">
        <w:t>», un véhicule dans lequel tous les convertisseurs de l’énergie de propulsion sont des moteurs à combustion interne.</w:t>
      </w:r>
    </w:p>
    <w:p w:rsidR="00E24DB7" w:rsidRPr="002C5876" w:rsidRDefault="00E24DB7" w:rsidP="00E24DB7">
      <w:pPr>
        <w:pStyle w:val="SingleTxtG"/>
        <w:keepNext/>
        <w:ind w:left="2268" w:hanging="1134"/>
        <w:rPr>
          <w:bCs/>
        </w:rPr>
      </w:pPr>
      <w:r w:rsidRPr="002C5876">
        <w:t>3.4</w:t>
      </w:r>
      <w:r w:rsidRPr="002C5876">
        <w:tab/>
      </w:r>
      <w:r w:rsidRPr="002C5876">
        <w:tab/>
        <w:t>Chaîne de traction</w:t>
      </w:r>
    </w:p>
    <w:p w:rsidR="00E24DB7" w:rsidRPr="002C5876" w:rsidRDefault="00E24DB7" w:rsidP="00E24DB7">
      <w:pPr>
        <w:pStyle w:val="SingleTxtG"/>
        <w:ind w:left="2268" w:hanging="1134"/>
      </w:pPr>
      <w:r w:rsidRPr="002C5876">
        <w:t>3.4.1</w:t>
      </w:r>
      <w:r w:rsidRPr="002C5876">
        <w:tab/>
        <w:t>Par « </w:t>
      </w:r>
      <w:r w:rsidRPr="002C5876">
        <w:rPr>
          <w:i/>
        </w:rPr>
        <w:t>chaîne de traction</w:t>
      </w:r>
      <w:r w:rsidRPr="002C5876">
        <w:t> », on entend sur un véhicule l’ensemble du ou des systèmes de stockage de l’énergie de propulsion, du ou des convertisseurs de l’énergie de propulsion, du ou des groupes motopropulseurs, y compris les dispositifs périphériques, servant à fournir de l’énergie mécanique aux roues aux fins de la propulsion du véhicule.</w:t>
      </w:r>
    </w:p>
    <w:p w:rsidR="00E24DB7" w:rsidRPr="002C5876" w:rsidRDefault="00E24DB7" w:rsidP="00E24DB7">
      <w:pPr>
        <w:pStyle w:val="SingleTxtG"/>
        <w:ind w:left="2268" w:hanging="1134"/>
      </w:pPr>
      <w:r w:rsidRPr="002C5876">
        <w:t>3.4.2</w:t>
      </w:r>
      <w:r w:rsidRPr="002C5876">
        <w:tab/>
        <w:t>Par « </w:t>
      </w:r>
      <w:r w:rsidRPr="002C5876">
        <w:rPr>
          <w:i/>
        </w:rPr>
        <w:t>dispositifs auxiliaires</w:t>
      </w:r>
      <w:r w:rsidRPr="002C5876">
        <w:t> », on entend des dispositifs ou systèmes non périphériques consommant, convertissant, stockant ou fournissant de l’énergie, qui sont installés sur le véhicule à d’autres fins que pour sa propulsion et qui ne sont donc pas considérés comme faisant partie de la chaîne de traction.</w:t>
      </w:r>
    </w:p>
    <w:p w:rsidR="00E24DB7" w:rsidRPr="002C5876" w:rsidRDefault="00E24DB7" w:rsidP="00E24DB7">
      <w:pPr>
        <w:pStyle w:val="SingleTxtG"/>
        <w:ind w:left="2268" w:hanging="1134"/>
      </w:pPr>
      <w:r w:rsidRPr="002C5876">
        <w:t>3.4.3</w:t>
      </w:r>
      <w:r w:rsidRPr="002C5876">
        <w:tab/>
        <w:t>Par « </w:t>
      </w:r>
      <w:r w:rsidRPr="002C5876">
        <w:rPr>
          <w:i/>
        </w:rPr>
        <w:t>dispositifs périphériques</w:t>
      </w:r>
      <w:r w:rsidRPr="002C5876">
        <w:t> », on entend des dispositifs consommant, convertissant, stockant ou fournissant de l’énergie, dont l’énergie ne sert pas principalement à la propulsion du véhicule, ou encore d’autres composants, systèmes ou modules indispensables au fonctionnement de la chaîne de traction.</w:t>
      </w:r>
    </w:p>
    <w:p w:rsidR="00E24DB7" w:rsidRPr="002C5876" w:rsidRDefault="00E24DB7" w:rsidP="00E24DB7">
      <w:pPr>
        <w:pStyle w:val="SingleTxtG"/>
        <w:ind w:left="2268" w:hanging="1134"/>
      </w:pPr>
      <w:r w:rsidRPr="002C5876">
        <w:t>3.4.4</w:t>
      </w:r>
      <w:r w:rsidRPr="002C5876">
        <w:tab/>
        <w:t>Par « </w:t>
      </w:r>
      <w:r w:rsidRPr="002C5876">
        <w:rPr>
          <w:i/>
        </w:rPr>
        <w:t>groupe motopropulseur</w:t>
      </w:r>
      <w:r w:rsidRPr="002C5876">
        <w:t> », on entend les éléments reliés de la chaîne de traction servant à la transmission de l’énergie mécanique entre le ou les convertisseurs de l’énergie de propulsion et les roues.</w:t>
      </w:r>
    </w:p>
    <w:p w:rsidR="00E24DB7" w:rsidRPr="002C5876" w:rsidRDefault="00E24DB7" w:rsidP="00E24DB7">
      <w:pPr>
        <w:pStyle w:val="SingleTxtG"/>
        <w:ind w:left="2268" w:hanging="1134"/>
      </w:pPr>
      <w:r w:rsidRPr="002C5876" w:rsidDel="000A6FCA">
        <w:t>3.4.5</w:t>
      </w:r>
      <w:r w:rsidRPr="002C5876">
        <w:tab/>
        <w:t>Par « </w:t>
      </w:r>
      <w:r w:rsidRPr="002C5876">
        <w:rPr>
          <w:i/>
        </w:rPr>
        <w:t>transmission manuelle</w:t>
      </w:r>
      <w:r w:rsidRPr="002C5876">
        <w:t> », on entend une transmission sur laquelle le changement de rapports se fait seulement sur action du conducteur.</w:t>
      </w:r>
    </w:p>
    <w:p w:rsidR="00E24DB7" w:rsidRPr="002C5876" w:rsidRDefault="00E24DB7" w:rsidP="00E24DB7">
      <w:pPr>
        <w:pStyle w:val="SingleTxtG"/>
        <w:keepNext/>
        <w:ind w:left="2268" w:hanging="1134"/>
      </w:pPr>
      <w:r w:rsidRPr="002C5876">
        <w:t>3.5</w:t>
      </w:r>
      <w:r w:rsidRPr="002C5876">
        <w:tab/>
      </w:r>
      <w:r w:rsidRPr="002C5876">
        <w:tab/>
        <w:t>Généralités</w:t>
      </w:r>
    </w:p>
    <w:p w:rsidR="00E24DB7" w:rsidRPr="002C5876" w:rsidRDefault="00E24DB7" w:rsidP="00E24DB7">
      <w:pPr>
        <w:pStyle w:val="SingleTxtG"/>
        <w:ind w:left="2268" w:hanging="1134"/>
      </w:pPr>
      <w:r w:rsidRPr="002C5876">
        <w:t>3.5.1</w:t>
      </w:r>
      <w:r w:rsidRPr="002C5876">
        <w:tab/>
      </w:r>
      <w:r w:rsidRPr="002C5876">
        <w:tab/>
        <w:t>Par « é</w:t>
      </w:r>
      <w:r w:rsidRPr="002C5876">
        <w:rPr>
          <w:i/>
        </w:rPr>
        <w:t>missions de référence </w:t>
      </w:r>
      <w:r w:rsidRPr="002C5876">
        <w:t>», on entend les émissions de composés pour lesquels des limites sont fixées dans la législation régionale.</w:t>
      </w:r>
    </w:p>
    <w:p w:rsidR="00E24DB7" w:rsidRPr="002C5876" w:rsidRDefault="00E24DB7" w:rsidP="00E24DB7">
      <w:pPr>
        <w:pStyle w:val="SingleTxtG"/>
        <w:ind w:left="2268" w:hanging="1134"/>
      </w:pPr>
      <w:r w:rsidRPr="002C5876">
        <w:t>3.5.2</w:t>
      </w:r>
      <w:r w:rsidRPr="002C5876">
        <w:tab/>
      </w:r>
      <w:r w:rsidRPr="002C5876">
        <w:tab/>
        <w:t>Par « </w:t>
      </w:r>
      <w:r w:rsidRPr="002C5876">
        <w:rPr>
          <w:i/>
        </w:rPr>
        <w:t>véhicule de la catégorie 1 </w:t>
      </w:r>
      <w:r w:rsidRPr="002C5876">
        <w:t>», on entend un véhicule à moteur ayant au moins quatre roues, conçu et construit principalement</w:t>
      </w:r>
      <w:r w:rsidRPr="002C5876">
        <w:rPr>
          <w:i/>
          <w:iCs/>
        </w:rPr>
        <w:t xml:space="preserve"> </w:t>
      </w:r>
      <w:r w:rsidRPr="002C5876">
        <w:t>pour le transport d’une ou de plusieurs personnes.</w:t>
      </w:r>
    </w:p>
    <w:p w:rsidR="00E24DB7" w:rsidRPr="002C5876" w:rsidRDefault="00E24DB7" w:rsidP="00E24DB7">
      <w:pPr>
        <w:pStyle w:val="SingleTxtG"/>
        <w:ind w:left="2268" w:hanging="1134"/>
      </w:pPr>
      <w:r w:rsidRPr="002C5876">
        <w:t>3.5.3</w:t>
      </w:r>
      <w:r w:rsidRPr="002C5876">
        <w:tab/>
      </w:r>
      <w:r w:rsidRPr="002C5876">
        <w:tab/>
        <w:t>Par « </w:t>
      </w:r>
      <w:r w:rsidRPr="002C5876">
        <w:rPr>
          <w:i/>
        </w:rPr>
        <w:t>véhicule de la catégorie 1-1 </w:t>
      </w:r>
      <w:r w:rsidRPr="002C5876">
        <w:t>», on entend un véhicule de la catégorie 1 comportant, outre le siège du conducteur, huit places assises au maximum. Un véhicule de la catégorie 1-1 peut transporter des voyageurs debout.</w:t>
      </w:r>
    </w:p>
    <w:p w:rsidR="00E24DB7" w:rsidRPr="002C5876" w:rsidRDefault="00E24DB7" w:rsidP="00E24DB7">
      <w:pPr>
        <w:pStyle w:val="SingleTxtG"/>
        <w:ind w:left="2268" w:hanging="1134"/>
      </w:pPr>
      <w:r w:rsidRPr="002C5876">
        <w:t>3.5.4</w:t>
      </w:r>
      <w:r w:rsidRPr="002C5876">
        <w:tab/>
      </w:r>
      <w:r w:rsidRPr="002C5876">
        <w:tab/>
        <w:t>Par « </w:t>
      </w:r>
      <w:r w:rsidRPr="002C5876">
        <w:rPr>
          <w:i/>
        </w:rPr>
        <w:t>véhicule de la catégorie 1-2 </w:t>
      </w:r>
      <w:r w:rsidRPr="002C5876">
        <w:t>», on entend un véhicule de la catégorie 1 conçu pour transporter, outre le conducteur, plus de huit voyageurs, qu’ils soient assis ou debout.</w:t>
      </w:r>
    </w:p>
    <w:p w:rsidR="00E24DB7" w:rsidRPr="002C5876" w:rsidRDefault="00E24DB7" w:rsidP="00E24DB7">
      <w:pPr>
        <w:pStyle w:val="SingleTxtG"/>
        <w:ind w:left="2268" w:hanging="1134"/>
      </w:pPr>
      <w:r w:rsidRPr="002C5876">
        <w:t>3.5.5</w:t>
      </w:r>
      <w:r w:rsidRPr="002C5876">
        <w:tab/>
      </w:r>
      <w:r w:rsidRPr="002C5876">
        <w:tab/>
        <w:t>Par « </w:t>
      </w:r>
      <w:r w:rsidRPr="002C5876">
        <w:rPr>
          <w:i/>
        </w:rPr>
        <w:t>véhicule de la catégorie 2 </w:t>
      </w:r>
      <w:r w:rsidRPr="002C5876">
        <w:t>», on entend un véhicule à moteur ayant au moins quatre roues, conçu et construit principalement pour le transport de</w:t>
      </w:r>
      <w:r w:rsidRPr="002C5876">
        <w:rPr>
          <w:bCs/>
          <w:iCs/>
        </w:rPr>
        <w:t xml:space="preserve"> </w:t>
      </w:r>
      <w:r w:rsidRPr="002C5876">
        <w:t>marchandises. Cette catégorie comprend aussi :</w:t>
      </w:r>
    </w:p>
    <w:p w:rsidR="00E24DB7" w:rsidRPr="002C5876" w:rsidRDefault="00E24DB7" w:rsidP="00E24DB7">
      <w:pPr>
        <w:pStyle w:val="SingleTxtG"/>
        <w:ind w:left="2835" w:hanging="567"/>
      </w:pPr>
      <w:r w:rsidRPr="002C5876">
        <w:t>a)</w:t>
      </w:r>
      <w:r w:rsidRPr="002C5876">
        <w:tab/>
        <w:t>Des engins de traction ;</w:t>
      </w:r>
    </w:p>
    <w:p w:rsidR="00E24DB7" w:rsidRPr="002C5876" w:rsidRDefault="00E24DB7" w:rsidP="00E24DB7">
      <w:pPr>
        <w:pStyle w:val="SingleTxtG"/>
        <w:ind w:left="2835" w:hanging="567"/>
      </w:pPr>
      <w:r w:rsidRPr="002C5876">
        <w:t>b)</w:t>
      </w:r>
      <w:r w:rsidRPr="002C5876">
        <w:tab/>
        <w:t>Des châssis conçus spécifiquement pour être aménagés avec un équipement spécial.</w:t>
      </w:r>
    </w:p>
    <w:p w:rsidR="00E24DB7" w:rsidRPr="002C5876" w:rsidRDefault="00E24DB7" w:rsidP="00E24DB7">
      <w:pPr>
        <w:pStyle w:val="SingleTxtG"/>
        <w:ind w:left="2268" w:hanging="1134"/>
      </w:pPr>
      <w:r w:rsidRPr="002C5876">
        <w:t>3.5.6</w:t>
      </w:r>
      <w:r w:rsidRPr="002C5876">
        <w:tab/>
      </w:r>
      <w:r w:rsidRPr="002C5876">
        <w:tab/>
        <w:t>Par « </w:t>
      </w:r>
      <w:r w:rsidRPr="002C5876">
        <w:rPr>
          <w:i/>
        </w:rPr>
        <w:t>demande d’énergie sur le cycle </w:t>
      </w:r>
      <w:r w:rsidRPr="002C5876">
        <w:t>», on entend l’énergie positive calculée nécessaire au véhicule pour effectuer le cycle prescrit.</w:t>
      </w:r>
    </w:p>
    <w:p w:rsidR="00E24DB7" w:rsidRPr="002C5876" w:rsidRDefault="00E24DB7" w:rsidP="00E24DB7">
      <w:pPr>
        <w:pStyle w:val="SingleTxtG"/>
        <w:ind w:left="2268" w:hanging="1134"/>
      </w:pPr>
      <w:r w:rsidRPr="002C5876">
        <w:t>3.5.7</w:t>
      </w:r>
      <w:r w:rsidRPr="002C5876">
        <w:tab/>
      </w:r>
      <w:r w:rsidRPr="002C5876">
        <w:tab/>
        <w:t>Par « </w:t>
      </w:r>
      <w:r w:rsidRPr="002C5876">
        <w:rPr>
          <w:i/>
        </w:rPr>
        <w:t>dispositif d’invalidation </w:t>
      </w:r>
      <w:r w:rsidRPr="002C5876">
        <w:t xml:space="preserve">» tout élément de conception qui prend en compte la température, la vitesse du véhicule, le régime moteur (tours par min), le rapport de transmission, la dépression à l’admission ou d’autres paramètres en vue d’activer, de moduler, de retarder ou de désactiver le fonctionnement d’un élément du système antipollution, avec pour effet de réduire l’efficacité </w:t>
      </w:r>
      <w:r w:rsidRPr="002C5876">
        <w:lastRenderedPageBreak/>
        <w:t>de ce système dans les conditions normalement susceptibles d’être rencontrées dans le fonctionnement et l’usage normaux du véhicule. Un tel élément de conception, toutefois, dans certains cas, n’est pas considéré comme un dispositif d’invalidation, à savoir :</w:t>
      </w:r>
    </w:p>
    <w:p w:rsidR="00E24DB7" w:rsidRPr="002C5876" w:rsidRDefault="00E24DB7" w:rsidP="00E24DB7">
      <w:pPr>
        <w:pStyle w:val="SingleTxtG"/>
        <w:ind w:left="2835" w:hanging="567"/>
      </w:pPr>
      <w:r w:rsidRPr="002C5876">
        <w:t>a)</w:t>
      </w:r>
      <w:r w:rsidRPr="002C5876">
        <w:tab/>
        <w:t>Si la nécessité de ce dispositif pour protéger le moteur contre des avaries ou accidents et pour assurer la sécurité de fonctionnement du véhicule est démontrée ; ou</w:t>
      </w:r>
    </w:p>
    <w:p w:rsidR="00E24DB7" w:rsidRPr="002C5876" w:rsidRDefault="00E24DB7" w:rsidP="00E24DB7">
      <w:pPr>
        <w:pStyle w:val="SingleTxtG"/>
        <w:ind w:left="2835" w:hanging="567"/>
      </w:pPr>
      <w:r w:rsidRPr="002C5876">
        <w:t>b)</w:t>
      </w:r>
      <w:r w:rsidRPr="002C5876">
        <w:tab/>
        <w:t>Si ce dispositif ne fonctionne pas en dehors des conditions nécessaires pour le démarrage du moteur ; ou</w:t>
      </w:r>
    </w:p>
    <w:p w:rsidR="00E24DB7" w:rsidRPr="002C5876" w:rsidRDefault="00E24DB7" w:rsidP="00E24DB7">
      <w:pPr>
        <w:pStyle w:val="SingleTxtG"/>
        <w:ind w:left="2835" w:hanging="567"/>
      </w:pPr>
      <w:r w:rsidRPr="002C5876">
        <w:t>c)</w:t>
      </w:r>
      <w:r w:rsidRPr="002C5876">
        <w:tab/>
        <w:t>Si les conditions pertinentes sont essentiellement prises en compte dans les procédures d’essai de type 1.</w:t>
      </w:r>
    </w:p>
    <w:p w:rsidR="00E24DB7" w:rsidRPr="002C5876" w:rsidRDefault="00E24DB7" w:rsidP="00E24DB7">
      <w:pPr>
        <w:pStyle w:val="SingleTxtG"/>
        <w:ind w:left="2268" w:hanging="1134"/>
      </w:pPr>
      <w:r w:rsidRPr="002C5876">
        <w:t>3.5.8</w:t>
      </w:r>
      <w:r w:rsidRPr="002C5876">
        <w:tab/>
      </w:r>
      <w:r w:rsidRPr="002C5876">
        <w:tab/>
        <w:t>Par « </w:t>
      </w:r>
      <w:r w:rsidRPr="002C5876">
        <w:rPr>
          <w:i/>
        </w:rPr>
        <w:t>mode sélectionnable </w:t>
      </w:r>
      <w:r w:rsidRPr="002C5876">
        <w:t>», on entend un régime de fonctionnement distinct sélectionnable par le conducteur, pouvant avoir des incidences sur les émissions et/ou la consommation de carburant et d’énergie.</w:t>
      </w:r>
    </w:p>
    <w:p w:rsidR="00E24DB7" w:rsidRPr="002C5876" w:rsidRDefault="00E24DB7" w:rsidP="00E24DB7">
      <w:pPr>
        <w:pStyle w:val="SingleTxtG"/>
        <w:ind w:left="2268" w:hanging="1134"/>
      </w:pPr>
      <w:bookmarkStart w:id="15" w:name="OLE_LINK39"/>
      <w:bookmarkStart w:id="16" w:name="OLE_LINK40"/>
      <w:bookmarkStart w:id="17" w:name="OLE_LINK41"/>
      <w:r w:rsidRPr="002C5876">
        <w:t>3.5.9</w:t>
      </w:r>
      <w:r w:rsidRPr="002C5876">
        <w:tab/>
      </w:r>
      <w:r w:rsidRPr="002C5876">
        <w:tab/>
        <w:t>Par « </w:t>
      </w:r>
      <w:r w:rsidRPr="002C5876">
        <w:rPr>
          <w:i/>
        </w:rPr>
        <w:t>mode prépondérant </w:t>
      </w:r>
      <w:r w:rsidRPr="002C5876">
        <w:t>» aux fins du présent RTM</w:t>
      </w:r>
      <w:r w:rsidR="004E07C9">
        <w:t xml:space="preserve"> ONU</w:t>
      </w:r>
      <w:r w:rsidRPr="002C5876">
        <w:t xml:space="preserve">, on entend un mode particulier qui est toujours sélectionné quand le véhicule est mis en marche, quel qu’ait été le mode sélectionné quand le véhicule a été pour la dernière fois arrêté, et qui ne peut pas être modifié ou commuté sur un mode différent sans une manœuvre délibérée du conducteur. </w:t>
      </w:r>
      <w:bookmarkEnd w:id="15"/>
      <w:bookmarkEnd w:id="16"/>
      <w:bookmarkEnd w:id="17"/>
    </w:p>
    <w:p w:rsidR="00E24DB7" w:rsidRPr="002C5876" w:rsidRDefault="00E24DB7" w:rsidP="00E24DB7">
      <w:pPr>
        <w:pStyle w:val="SingleTxtG"/>
        <w:ind w:left="2268" w:hanging="1134"/>
      </w:pPr>
      <w:r w:rsidRPr="002C5876">
        <w:t>3.5.10</w:t>
      </w:r>
      <w:r w:rsidRPr="002C5876">
        <w:tab/>
        <w:t>Par « </w:t>
      </w:r>
      <w:r w:rsidRPr="002C5876">
        <w:rPr>
          <w:i/>
        </w:rPr>
        <w:t>conditions de référence (aux fins du calcul des émissions massiques) </w:t>
      </w:r>
      <w:r w:rsidRPr="002C5876">
        <w:t>», on entend les conditions sur la base desquelles les masses volumiques de gaz sont déterminées, à savoir 101,325 kPa et 273,15 K (0 °C).</w:t>
      </w:r>
    </w:p>
    <w:p w:rsidR="00E24DB7" w:rsidRPr="002C5876" w:rsidRDefault="00E24DB7" w:rsidP="00E24DB7">
      <w:pPr>
        <w:pStyle w:val="SingleTxtG"/>
        <w:ind w:left="2268" w:hanging="1134"/>
      </w:pPr>
      <w:r w:rsidRPr="002C5876">
        <w:t>3.5.11</w:t>
      </w:r>
      <w:r w:rsidRPr="002C5876">
        <w:tab/>
        <w:t>Par « </w:t>
      </w:r>
      <w:r w:rsidRPr="002C5876">
        <w:rPr>
          <w:i/>
        </w:rPr>
        <w:t>émissions d’échappement </w:t>
      </w:r>
      <w:r w:rsidRPr="002C5876">
        <w:t>», on entend les composés gazeux, solides et liquides émis par le tuyau d’échappement.</w:t>
      </w:r>
    </w:p>
    <w:p w:rsidR="00E24DB7" w:rsidRPr="002C5876" w:rsidRDefault="00E24DB7" w:rsidP="00E24DB7">
      <w:pPr>
        <w:pStyle w:val="SingleTxtG"/>
        <w:keepNext/>
        <w:keepLines/>
        <w:ind w:left="2268" w:hanging="1134"/>
        <w:jc w:val="left"/>
      </w:pPr>
      <w:r w:rsidRPr="002C5876">
        <w:t>3.6</w:t>
      </w:r>
      <w:r w:rsidRPr="002C5876">
        <w:tab/>
      </w:r>
      <w:r w:rsidRPr="002C5876">
        <w:tab/>
        <w:t>MP/NP</w:t>
      </w:r>
    </w:p>
    <w:p w:rsidR="00E24DB7" w:rsidRPr="002C5876" w:rsidRDefault="00E24DB7" w:rsidP="00E24DB7">
      <w:pPr>
        <w:pStyle w:val="SingleTxtG"/>
        <w:ind w:left="2268"/>
      </w:pPr>
      <w:r w:rsidRPr="002C5876">
        <w:tab/>
        <w:t>Le terme « particules » est utilisé par convention pour les matières qui sont mesurées alors qu’elles sont en suspension dans l’air, et le terme « particulat » pour les matières déposées.</w:t>
      </w:r>
    </w:p>
    <w:p w:rsidR="00E24DB7" w:rsidRPr="002C5876" w:rsidRDefault="00E24DB7" w:rsidP="00E24DB7">
      <w:pPr>
        <w:pStyle w:val="SingleTxtG"/>
        <w:ind w:left="2268" w:hanging="1134"/>
      </w:pPr>
      <w:r w:rsidRPr="002C5876">
        <w:t>3.6.1</w:t>
      </w:r>
      <w:r w:rsidRPr="002C5876">
        <w:tab/>
      </w:r>
      <w:r w:rsidRPr="002C5876">
        <w:tab/>
        <w:t>Par « </w:t>
      </w:r>
      <w:r w:rsidRPr="002C5876">
        <w:rPr>
          <w:i/>
        </w:rPr>
        <w:t>émissions en nombre de particules </w:t>
      </w:r>
      <w:r w:rsidRPr="002C5876">
        <w:t>» (PN), on entend le nombre total de particules</w:t>
      </w:r>
      <w:r w:rsidRPr="002C5876">
        <w:rPr>
          <w:i/>
        </w:rPr>
        <w:t xml:space="preserve"> </w:t>
      </w:r>
      <w:r w:rsidRPr="002C5876">
        <w:t>solides émises dans les gaz d’échappement des véhicules, quantifié selon les méthodes de dilution, de prélèvement et de mesure comme spécifié dans le présent RTM</w:t>
      </w:r>
      <w:r w:rsidR="004E07C9">
        <w:t xml:space="preserve"> ONU</w:t>
      </w:r>
      <w:r w:rsidRPr="002C5876">
        <w:t>.</w:t>
      </w:r>
    </w:p>
    <w:p w:rsidR="00E24DB7" w:rsidRPr="002C5876" w:rsidRDefault="00E24DB7" w:rsidP="00E24DB7">
      <w:pPr>
        <w:pStyle w:val="SingleTxtG"/>
        <w:ind w:left="2268" w:hanging="1134"/>
      </w:pPr>
      <w:r w:rsidRPr="002C5876">
        <w:t>3.6.2</w:t>
      </w:r>
      <w:r w:rsidRPr="002C5876">
        <w:tab/>
      </w:r>
      <w:r w:rsidRPr="002C5876">
        <w:tab/>
        <w:t>Par « </w:t>
      </w:r>
      <w:r w:rsidRPr="002C5876">
        <w:rPr>
          <w:i/>
        </w:rPr>
        <w:t>masse de</w:t>
      </w:r>
      <w:r w:rsidRPr="002C5876">
        <w:t xml:space="preserve"> </w:t>
      </w:r>
      <w:r w:rsidRPr="002C5876">
        <w:rPr>
          <w:i/>
        </w:rPr>
        <w:t>matières particulaires </w:t>
      </w:r>
      <w:r w:rsidRPr="002C5876">
        <w:t>» (MP), on entend la masse de toute matière particulaire</w:t>
      </w:r>
      <w:r w:rsidRPr="002C5876">
        <w:rPr>
          <w:i/>
        </w:rPr>
        <w:t xml:space="preserve"> </w:t>
      </w:r>
      <w:r w:rsidRPr="002C5876">
        <w:t>émise dans les gaz d’échappement, quantifiée selon les méthodes de dilution, de prélèvement et de mesure comme spécifié dans le présent RTM</w:t>
      </w:r>
      <w:r w:rsidR="004E07C9">
        <w:t xml:space="preserve"> ONU</w:t>
      </w:r>
      <w:r w:rsidRPr="002C5876">
        <w:t>.</w:t>
      </w:r>
    </w:p>
    <w:p w:rsidR="00E24DB7" w:rsidRPr="002C5876" w:rsidRDefault="00E24DB7" w:rsidP="00E24DB7">
      <w:pPr>
        <w:pStyle w:val="SingleTxtG"/>
        <w:keepNext/>
        <w:keepLines/>
        <w:ind w:left="2268" w:hanging="1134"/>
        <w:jc w:val="left"/>
      </w:pPr>
      <w:r w:rsidRPr="002C5876">
        <w:t>3.7</w:t>
      </w:r>
      <w:r w:rsidRPr="002C5876">
        <w:tab/>
      </w:r>
      <w:r w:rsidRPr="002C5876">
        <w:tab/>
        <w:t>WLTC</w:t>
      </w:r>
    </w:p>
    <w:p w:rsidR="00E24DB7" w:rsidRPr="002C5876" w:rsidRDefault="00E24DB7" w:rsidP="00E24DB7">
      <w:pPr>
        <w:pStyle w:val="SingleTxtG"/>
        <w:ind w:left="2268" w:hanging="1134"/>
      </w:pPr>
      <w:r w:rsidRPr="002C5876">
        <w:t>3.7.1</w:t>
      </w:r>
      <w:r w:rsidRPr="002C5876">
        <w:tab/>
      </w:r>
      <w:r w:rsidRPr="002C5876">
        <w:tab/>
        <w:t>Par « </w:t>
      </w:r>
      <w:r w:rsidRPr="002C5876">
        <w:rPr>
          <w:i/>
        </w:rPr>
        <w:t>puissance nominale du moteur </w:t>
      </w:r>
      <w:r w:rsidRPr="002C5876">
        <w:t>» (P</w:t>
      </w:r>
      <w:r w:rsidRPr="002C5876">
        <w:rPr>
          <w:vertAlign w:val="subscript"/>
        </w:rPr>
        <w:t>rated</w:t>
      </w:r>
      <w:r w:rsidRPr="002C5876">
        <w:t>), on entend la puissance maximale nette du moteur en kW, déterminée dans le cadre de la procédure de certification conformément au règlement régional en vigueur. En l’absence de définition, la puissance nominale du moteur</w:t>
      </w:r>
      <w:r w:rsidRPr="002C5876">
        <w:rPr>
          <w:i/>
        </w:rPr>
        <w:t xml:space="preserve"> </w:t>
      </w:r>
      <w:r w:rsidRPr="002C5876">
        <w:t>sera</w:t>
      </w:r>
      <w:r w:rsidRPr="002C5876">
        <w:rPr>
          <w:i/>
        </w:rPr>
        <w:t xml:space="preserve"> </w:t>
      </w:r>
      <w:r w:rsidRPr="002C5876">
        <w:t>celle déclarée par le constructeur conformément au Règlement ONU n</w:t>
      </w:r>
      <w:r w:rsidRPr="002C5876">
        <w:rPr>
          <w:vertAlign w:val="superscript"/>
        </w:rPr>
        <w:t>o</w:t>
      </w:r>
      <w:r w:rsidRPr="002C5876">
        <w:t> 85.</w:t>
      </w:r>
    </w:p>
    <w:p w:rsidR="00E24DB7" w:rsidRPr="002C5876" w:rsidRDefault="00E24DB7" w:rsidP="00E24DB7">
      <w:pPr>
        <w:pStyle w:val="SingleTxtG"/>
        <w:ind w:left="2268" w:hanging="1134"/>
      </w:pPr>
      <w:r w:rsidRPr="002C5876">
        <w:t>3.7.2</w:t>
      </w:r>
      <w:r w:rsidRPr="002C5876">
        <w:tab/>
      </w:r>
      <w:r w:rsidRPr="002C5876">
        <w:tab/>
        <w:t>Par « </w:t>
      </w:r>
      <w:r w:rsidRPr="002C5876">
        <w:rPr>
          <w:i/>
        </w:rPr>
        <w:t>vitesse maximale </w:t>
      </w:r>
      <w:r w:rsidRPr="002C5876">
        <w:t>» (v</w:t>
      </w:r>
      <w:r w:rsidRPr="002C5876">
        <w:rPr>
          <w:vertAlign w:val="subscript"/>
        </w:rPr>
        <w:t>max</w:t>
      </w:r>
      <w:r w:rsidRPr="002C5876">
        <w:t>), on entend la vitesse maximale</w:t>
      </w:r>
      <w:r w:rsidRPr="002C5876">
        <w:rPr>
          <w:i/>
        </w:rPr>
        <w:t xml:space="preserve"> </w:t>
      </w:r>
      <w:r w:rsidRPr="002C5876">
        <w:t>d’un</w:t>
      </w:r>
      <w:r w:rsidRPr="002C5876">
        <w:rPr>
          <w:i/>
        </w:rPr>
        <w:t xml:space="preserve"> </w:t>
      </w:r>
      <w:r w:rsidRPr="002C5876">
        <w:t>véhicule comme définie par la Partie contractante. En l’absence de définition, la vitesse maximale</w:t>
      </w:r>
      <w:r w:rsidRPr="002C5876">
        <w:rPr>
          <w:i/>
        </w:rPr>
        <w:t xml:space="preserve"> </w:t>
      </w:r>
      <w:r w:rsidRPr="002C5876">
        <w:t>sera</w:t>
      </w:r>
      <w:r w:rsidRPr="002C5876">
        <w:rPr>
          <w:i/>
        </w:rPr>
        <w:t xml:space="preserve"> </w:t>
      </w:r>
      <w:r w:rsidRPr="002C5876">
        <w:t>celle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max</m:t>
            </m:r>
          </m:sub>
        </m:sSub>
        <m:r>
          <w:rPr>
            <w:rFonts w:ascii="Cambria Math" w:hAnsi="Cambria Math"/>
          </w:rPr>
          <m:t xml:space="preserve">) </m:t>
        </m:r>
      </m:oMath>
      <w:r w:rsidRPr="002C5876">
        <w:t>déclarée par le constructeur conformément au Règlement ONU n</w:t>
      </w:r>
      <w:r w:rsidRPr="002C5876">
        <w:rPr>
          <w:vertAlign w:val="superscript"/>
        </w:rPr>
        <w:t>o</w:t>
      </w:r>
      <w:r w:rsidRPr="002C5876">
        <w:t> 68.</w:t>
      </w:r>
    </w:p>
    <w:p w:rsidR="00E24DB7" w:rsidRPr="002C5876" w:rsidRDefault="00E24DB7" w:rsidP="00E24DB7">
      <w:pPr>
        <w:pStyle w:val="SingleTxtG"/>
        <w:keepNext/>
        <w:keepLines/>
        <w:ind w:left="2268" w:hanging="1134"/>
        <w:jc w:val="left"/>
        <w:rPr>
          <w:bCs/>
        </w:rPr>
      </w:pPr>
      <w:r w:rsidRPr="002C5876">
        <w:rPr>
          <w:bCs/>
        </w:rPr>
        <w:lastRenderedPageBreak/>
        <w:t>3.8</w:t>
      </w:r>
      <w:r w:rsidRPr="002C5876">
        <w:rPr>
          <w:bCs/>
        </w:rPr>
        <w:tab/>
      </w:r>
      <w:r w:rsidRPr="002C5876">
        <w:rPr>
          <w:bCs/>
        </w:rPr>
        <w:tab/>
      </w:r>
      <w:r w:rsidRPr="002C5876">
        <w:t>Procédure</w:t>
      </w:r>
    </w:p>
    <w:p w:rsidR="00E24DB7" w:rsidRPr="002C5876" w:rsidRDefault="00E24DB7" w:rsidP="00E24DB7">
      <w:pPr>
        <w:pStyle w:val="SingleTxtG"/>
        <w:keepNext/>
        <w:keepLines/>
        <w:ind w:left="2268" w:hanging="1134"/>
      </w:pPr>
      <w:r w:rsidRPr="002C5876">
        <w:t>3.8.1</w:t>
      </w:r>
      <w:r w:rsidRPr="002C5876">
        <w:tab/>
      </w:r>
      <w:r w:rsidRPr="002C5876">
        <w:tab/>
        <w:t>Par « </w:t>
      </w:r>
      <w:r w:rsidRPr="002C5876">
        <w:rPr>
          <w:i/>
        </w:rPr>
        <w:t>système à régénération discontinue </w:t>
      </w:r>
      <w:r w:rsidRPr="002C5876">
        <w:t>», on entend un dispositif antipollution aval (catalyseur, filtre à particules, par exemple) nécessitant  une régénération à intervalles réguliers.</w:t>
      </w:r>
      <w:bookmarkStart w:id="18" w:name="_Toc284586946"/>
      <w:bookmarkStart w:id="19" w:name="_Toc284587064"/>
      <w:bookmarkStart w:id="20" w:name="_Toc284587315"/>
      <w:bookmarkStart w:id="21" w:name="_Toc289686187"/>
      <w:r w:rsidRPr="002C5876">
        <w:t xml:space="preserve"> </w:t>
      </w:r>
    </w:p>
    <w:p w:rsidR="00E24DB7" w:rsidRPr="002C5876" w:rsidRDefault="00E24DB7" w:rsidP="00E24DB7">
      <w:pPr>
        <w:pStyle w:val="H1G"/>
      </w:pPr>
      <w:r w:rsidRPr="002C5876">
        <w:tab/>
      </w:r>
      <w:r w:rsidRPr="002C5876">
        <w:tab/>
        <w:t>4.</w:t>
      </w:r>
      <w:r w:rsidRPr="002C5876">
        <w:tab/>
      </w:r>
      <w:r w:rsidRPr="002C5876">
        <w:tab/>
        <w:t>Abréviations</w:t>
      </w:r>
    </w:p>
    <w:p w:rsidR="00E24DB7" w:rsidRPr="002C5876" w:rsidRDefault="00E24DB7" w:rsidP="00E24DB7">
      <w:pPr>
        <w:pStyle w:val="SingleTxtG"/>
        <w:keepNext/>
        <w:keepLines/>
        <w:ind w:left="2268" w:hanging="1134"/>
        <w:jc w:val="left"/>
      </w:pPr>
      <w:bookmarkStart w:id="22" w:name="_Toc284586948"/>
      <w:bookmarkStart w:id="23" w:name="_Toc284587066"/>
      <w:bookmarkStart w:id="24" w:name="_Toc284587317"/>
      <w:bookmarkStart w:id="25" w:name="_Toc289686189"/>
      <w:bookmarkEnd w:id="18"/>
      <w:bookmarkEnd w:id="19"/>
      <w:bookmarkEnd w:id="20"/>
      <w:bookmarkEnd w:id="21"/>
      <w:r w:rsidRPr="002C5876">
        <w:t>4.1</w:t>
      </w:r>
      <w:r w:rsidRPr="002C5876">
        <w:tab/>
      </w:r>
      <w:r w:rsidRPr="002C5876">
        <w:tab/>
        <w:t>Abréviations générales</w:t>
      </w:r>
      <w:bookmarkEnd w:id="22"/>
      <w:bookmarkEnd w:id="23"/>
      <w:bookmarkEnd w:id="24"/>
      <w:bookmarkEnd w:id="25"/>
    </w:p>
    <w:tbl>
      <w:tblPr>
        <w:tblW w:w="6237" w:type="dxa"/>
        <w:tblInd w:w="2268" w:type="dxa"/>
        <w:tblLayout w:type="fixed"/>
        <w:tblCellMar>
          <w:left w:w="0" w:type="dxa"/>
          <w:right w:w="0" w:type="dxa"/>
        </w:tblCellMar>
        <w:tblLook w:val="0000" w:firstRow="0" w:lastRow="0" w:firstColumn="0" w:lastColumn="0" w:noHBand="0" w:noVBand="0"/>
      </w:tblPr>
      <w:tblGrid>
        <w:gridCol w:w="1406"/>
        <w:gridCol w:w="4831"/>
      </w:tblGrid>
      <w:tr w:rsidR="00E24DB7" w:rsidRPr="002C5876" w:rsidTr="00E24DB7">
        <w:tc>
          <w:tcPr>
            <w:tcW w:w="1418" w:type="dxa"/>
          </w:tcPr>
          <w:p w:rsidR="00E24DB7" w:rsidRPr="002C5876" w:rsidRDefault="00E24DB7" w:rsidP="00E24DB7">
            <w:pPr>
              <w:spacing w:after="120"/>
            </w:pPr>
            <w:r w:rsidRPr="002C5876">
              <w:t>AC</w:t>
            </w:r>
          </w:p>
        </w:tc>
        <w:tc>
          <w:tcPr>
            <w:tcW w:w="4872" w:type="dxa"/>
          </w:tcPr>
          <w:p w:rsidR="00E24DB7" w:rsidRPr="002C5876" w:rsidRDefault="00E24DB7" w:rsidP="00E24DB7">
            <w:pPr>
              <w:spacing w:after="120"/>
            </w:pPr>
            <w:r w:rsidRPr="002C5876">
              <w:t>Courant alternatif</w:t>
            </w:r>
          </w:p>
        </w:tc>
      </w:tr>
      <w:tr w:rsidR="00E24DB7" w:rsidRPr="002C5876" w:rsidTr="00E24DB7">
        <w:tc>
          <w:tcPr>
            <w:tcW w:w="1418" w:type="dxa"/>
          </w:tcPr>
          <w:p w:rsidR="00E24DB7" w:rsidRPr="002C5876" w:rsidRDefault="00E24DB7" w:rsidP="00E24DB7">
            <w:pPr>
              <w:spacing w:after="120"/>
            </w:pPr>
            <w:r w:rsidRPr="002C5876">
              <w:t>ACL</w:t>
            </w:r>
          </w:p>
        </w:tc>
        <w:tc>
          <w:tcPr>
            <w:tcW w:w="4872" w:type="dxa"/>
          </w:tcPr>
          <w:p w:rsidR="00E24DB7" w:rsidRPr="002C5876" w:rsidRDefault="00E24DB7" w:rsidP="00E24DB7">
            <w:pPr>
              <w:spacing w:after="120"/>
            </w:pPr>
            <w:r w:rsidRPr="002C5876">
              <w:t>Analyseur par chimiluminescence</w:t>
            </w:r>
          </w:p>
        </w:tc>
      </w:tr>
      <w:tr w:rsidR="00E24DB7" w:rsidRPr="002C5876" w:rsidTr="00E24DB7">
        <w:tc>
          <w:tcPr>
            <w:tcW w:w="1418" w:type="dxa"/>
          </w:tcPr>
          <w:p w:rsidR="00E24DB7" w:rsidRPr="002C5876" w:rsidRDefault="00E24DB7" w:rsidP="00E24DB7">
            <w:pPr>
              <w:spacing w:after="120"/>
            </w:pPr>
            <w:r w:rsidRPr="002C5876">
              <w:t>CFO</w:t>
            </w:r>
          </w:p>
        </w:tc>
        <w:tc>
          <w:tcPr>
            <w:tcW w:w="4872" w:type="dxa"/>
          </w:tcPr>
          <w:p w:rsidR="00E24DB7" w:rsidRPr="002C5876" w:rsidRDefault="00E24DB7" w:rsidP="00E24DB7">
            <w:pPr>
              <w:spacing w:after="120"/>
            </w:pPr>
            <w:r w:rsidRPr="002C5876">
              <w:t>Orifice à régime critique</w:t>
            </w:r>
          </w:p>
        </w:tc>
      </w:tr>
      <w:tr w:rsidR="00E24DB7" w:rsidRPr="002C5876" w:rsidTr="00E24DB7">
        <w:tc>
          <w:tcPr>
            <w:tcW w:w="1418" w:type="dxa"/>
          </w:tcPr>
          <w:p w:rsidR="00E24DB7" w:rsidRPr="002C5876" w:rsidRDefault="00E24DB7" w:rsidP="00E24DB7">
            <w:pPr>
              <w:spacing w:after="120"/>
            </w:pPr>
            <w:r w:rsidRPr="002C5876">
              <w:t>CFV</w:t>
            </w:r>
          </w:p>
        </w:tc>
        <w:tc>
          <w:tcPr>
            <w:tcW w:w="4872" w:type="dxa"/>
          </w:tcPr>
          <w:p w:rsidR="00E24DB7" w:rsidRPr="002C5876" w:rsidRDefault="00E24DB7" w:rsidP="00E24DB7">
            <w:pPr>
              <w:spacing w:after="120"/>
            </w:pPr>
            <w:r w:rsidRPr="002C5876">
              <w:t>Venturi-tuyère en régime critique</w:t>
            </w:r>
          </w:p>
        </w:tc>
      </w:tr>
      <w:tr w:rsidR="00E24DB7" w:rsidRPr="002C5876" w:rsidTr="00E24DB7">
        <w:tc>
          <w:tcPr>
            <w:tcW w:w="1418" w:type="dxa"/>
          </w:tcPr>
          <w:p w:rsidR="00E24DB7" w:rsidRPr="002C5876" w:rsidRDefault="00E24DB7" w:rsidP="00E24DB7">
            <w:pPr>
              <w:spacing w:after="120"/>
            </w:pPr>
            <w:r w:rsidRPr="002C5876">
              <w:t>CG</w:t>
            </w:r>
          </w:p>
        </w:tc>
        <w:tc>
          <w:tcPr>
            <w:tcW w:w="4872" w:type="dxa"/>
          </w:tcPr>
          <w:p w:rsidR="00E24DB7" w:rsidRPr="002C5876" w:rsidRDefault="00E24DB7" w:rsidP="00E24DB7">
            <w:pPr>
              <w:spacing w:after="120"/>
            </w:pPr>
            <w:r w:rsidRPr="002C5876">
              <w:t>Chromatographie en phase gazeuse</w:t>
            </w:r>
          </w:p>
        </w:tc>
      </w:tr>
      <w:tr w:rsidR="00E24DB7" w:rsidRPr="002C5876" w:rsidTr="00E24DB7">
        <w:tc>
          <w:tcPr>
            <w:tcW w:w="1418" w:type="dxa"/>
          </w:tcPr>
          <w:p w:rsidR="00E24DB7" w:rsidRPr="002C5876" w:rsidRDefault="00E24DB7" w:rsidP="00E24DB7">
            <w:pPr>
              <w:spacing w:after="120"/>
            </w:pPr>
            <w:r w:rsidRPr="002C5876">
              <w:t>CVS</w:t>
            </w:r>
          </w:p>
        </w:tc>
        <w:tc>
          <w:tcPr>
            <w:tcW w:w="4872" w:type="dxa"/>
          </w:tcPr>
          <w:p w:rsidR="00E24DB7" w:rsidRPr="002C5876" w:rsidRDefault="00E24DB7" w:rsidP="00E24DB7">
            <w:pPr>
              <w:spacing w:after="120"/>
            </w:pPr>
            <w:r w:rsidRPr="002C5876">
              <w:t>Prélèvement à volume constant</w:t>
            </w:r>
          </w:p>
        </w:tc>
      </w:tr>
      <w:tr w:rsidR="00E24DB7" w:rsidRPr="002C5876" w:rsidTr="00E24DB7">
        <w:tc>
          <w:tcPr>
            <w:tcW w:w="1418" w:type="dxa"/>
          </w:tcPr>
          <w:p w:rsidR="00E24DB7" w:rsidRPr="002C5876" w:rsidRDefault="00E24DB7" w:rsidP="00E24DB7">
            <w:pPr>
              <w:spacing w:after="120"/>
            </w:pPr>
            <w:r w:rsidRPr="002C5876">
              <w:t>CRR</w:t>
            </w:r>
          </w:p>
        </w:tc>
        <w:tc>
          <w:tcPr>
            <w:tcW w:w="4872" w:type="dxa"/>
          </w:tcPr>
          <w:p w:rsidR="00E24DB7" w:rsidRPr="002C5876" w:rsidRDefault="00E24DB7" w:rsidP="00E24DB7">
            <w:pPr>
              <w:spacing w:after="120"/>
            </w:pPr>
            <w:r w:rsidRPr="002C5876">
              <w:t>Coefficient de résistance au roulement</w:t>
            </w:r>
          </w:p>
        </w:tc>
      </w:tr>
      <w:tr w:rsidR="00E24DB7" w:rsidRPr="002C5876" w:rsidTr="00E24DB7">
        <w:tc>
          <w:tcPr>
            <w:tcW w:w="1418" w:type="dxa"/>
          </w:tcPr>
          <w:p w:rsidR="00E24DB7" w:rsidRPr="002C5876" w:rsidRDefault="00E24DB7" w:rsidP="00E24DB7">
            <w:pPr>
              <w:spacing w:after="120"/>
            </w:pPr>
            <w:r w:rsidRPr="002C5876">
              <w:t xml:space="preserve">DC </w:t>
            </w:r>
          </w:p>
        </w:tc>
        <w:tc>
          <w:tcPr>
            <w:tcW w:w="4872" w:type="dxa"/>
          </w:tcPr>
          <w:p w:rsidR="00E24DB7" w:rsidRPr="002C5876" w:rsidRDefault="00E24DB7" w:rsidP="00E24DB7">
            <w:pPr>
              <w:spacing w:after="120"/>
            </w:pPr>
            <w:r w:rsidRPr="002C5876">
              <w:t xml:space="preserve">Courant continu </w:t>
            </w:r>
          </w:p>
        </w:tc>
      </w:tr>
      <w:tr w:rsidR="00E24DB7" w:rsidRPr="002C5876" w:rsidTr="00E24DB7">
        <w:tc>
          <w:tcPr>
            <w:tcW w:w="1418" w:type="dxa"/>
          </w:tcPr>
          <w:p w:rsidR="00E24DB7" w:rsidRPr="002C5876" w:rsidRDefault="00E24DB7" w:rsidP="00E24DB7">
            <w:pPr>
              <w:spacing w:after="120"/>
            </w:pPr>
            <w:r w:rsidRPr="002C5876">
              <w:t>DCL</w:t>
            </w:r>
          </w:p>
        </w:tc>
        <w:tc>
          <w:tcPr>
            <w:tcW w:w="4872" w:type="dxa"/>
          </w:tcPr>
          <w:p w:rsidR="00E24DB7" w:rsidRPr="002C5876" w:rsidRDefault="00E24DB7" w:rsidP="00E24DB7">
            <w:pPr>
              <w:spacing w:after="120"/>
            </w:pPr>
            <w:r w:rsidRPr="002C5876">
              <w:t>Détecteur par chimiluminescence</w:t>
            </w:r>
          </w:p>
        </w:tc>
      </w:tr>
      <w:tr w:rsidR="00E24DB7" w:rsidRPr="002C5876" w:rsidTr="00E24DB7">
        <w:tc>
          <w:tcPr>
            <w:tcW w:w="1418" w:type="dxa"/>
          </w:tcPr>
          <w:p w:rsidR="00E24DB7" w:rsidRPr="002C5876" w:rsidRDefault="00E24DB7" w:rsidP="00E24DB7">
            <w:pPr>
              <w:spacing w:after="120"/>
            </w:pPr>
            <w:r w:rsidRPr="002C5876">
              <w:t>EAF</w:t>
            </w:r>
          </w:p>
        </w:tc>
        <w:tc>
          <w:tcPr>
            <w:tcW w:w="4872" w:type="dxa"/>
          </w:tcPr>
          <w:p w:rsidR="00E24DB7" w:rsidRPr="002C5876" w:rsidRDefault="00E24DB7" w:rsidP="00E24DB7">
            <w:pPr>
              <w:spacing w:after="120"/>
            </w:pPr>
            <w:r w:rsidRPr="002C5876">
              <w:t>Somme de l’éthanol, de l’acétaldéhyde et du formaldéhyde</w:t>
            </w:r>
          </w:p>
        </w:tc>
      </w:tr>
      <w:tr w:rsidR="00E24DB7" w:rsidRPr="002C5876" w:rsidTr="00E24DB7">
        <w:tc>
          <w:tcPr>
            <w:tcW w:w="1418" w:type="dxa"/>
          </w:tcPr>
          <w:p w:rsidR="00E24DB7" w:rsidRPr="002C5876" w:rsidRDefault="00E24DB7" w:rsidP="00E24DB7">
            <w:pPr>
              <w:spacing w:after="120"/>
            </w:pPr>
            <w:r w:rsidRPr="002C5876">
              <w:t>ECD</w:t>
            </w:r>
          </w:p>
        </w:tc>
        <w:tc>
          <w:tcPr>
            <w:tcW w:w="4872" w:type="dxa"/>
          </w:tcPr>
          <w:p w:rsidR="00E24DB7" w:rsidRPr="002C5876" w:rsidRDefault="00E24DB7" w:rsidP="00E24DB7">
            <w:pPr>
              <w:spacing w:after="120"/>
            </w:pPr>
            <w:r w:rsidRPr="002C5876">
              <w:rPr>
                <w:bCs/>
              </w:rPr>
              <w:t>Détecteur</w:t>
            </w:r>
            <w:r w:rsidRPr="002C5876">
              <w:t xml:space="preserve"> à </w:t>
            </w:r>
            <w:r w:rsidRPr="002C5876">
              <w:rPr>
                <w:bCs/>
              </w:rPr>
              <w:t>capture</w:t>
            </w:r>
            <w:r w:rsidRPr="002C5876">
              <w:t xml:space="preserve"> d’</w:t>
            </w:r>
            <w:r w:rsidRPr="002C5876">
              <w:rPr>
                <w:bCs/>
              </w:rPr>
              <w:t>électrons</w:t>
            </w:r>
          </w:p>
        </w:tc>
      </w:tr>
      <w:tr w:rsidR="00E24DB7" w:rsidRPr="002C5876" w:rsidTr="00E24DB7">
        <w:tc>
          <w:tcPr>
            <w:tcW w:w="1418" w:type="dxa"/>
          </w:tcPr>
          <w:p w:rsidR="00E24DB7" w:rsidRPr="002C5876" w:rsidRDefault="00E24DB7" w:rsidP="00E24DB7">
            <w:pPr>
              <w:spacing w:after="120"/>
            </w:pPr>
            <w:r w:rsidRPr="002C5876">
              <w:t>ET</w:t>
            </w:r>
          </w:p>
        </w:tc>
        <w:tc>
          <w:tcPr>
            <w:tcW w:w="4872" w:type="dxa"/>
          </w:tcPr>
          <w:p w:rsidR="00E24DB7" w:rsidRPr="002C5876" w:rsidRDefault="00E24DB7" w:rsidP="00E24DB7">
            <w:pPr>
              <w:spacing w:after="120"/>
            </w:pPr>
            <w:r w:rsidRPr="002C5876">
              <w:t>Tube d’évaporation</w:t>
            </w:r>
          </w:p>
        </w:tc>
      </w:tr>
      <w:tr w:rsidR="00E24DB7" w:rsidRPr="002C5876" w:rsidTr="00E24DB7">
        <w:tc>
          <w:tcPr>
            <w:tcW w:w="1418" w:type="dxa"/>
          </w:tcPr>
          <w:p w:rsidR="00E24DB7" w:rsidRPr="002C5876" w:rsidRDefault="00E24DB7" w:rsidP="00E24DB7">
            <w:pPr>
              <w:spacing w:after="120"/>
            </w:pPr>
            <w:r w:rsidRPr="002C5876">
              <w:t>Extra High</w:t>
            </w:r>
            <w:r w:rsidRPr="002C5876">
              <w:rPr>
                <w:vertAlign w:val="subscript"/>
              </w:rPr>
              <w:t>2</w:t>
            </w:r>
          </w:p>
        </w:tc>
        <w:tc>
          <w:tcPr>
            <w:tcW w:w="4872" w:type="dxa"/>
          </w:tcPr>
          <w:p w:rsidR="00E24DB7" w:rsidRPr="002C5876" w:rsidRDefault="00E24DB7" w:rsidP="00E24DB7">
            <w:pPr>
              <w:spacing w:after="120"/>
            </w:pPr>
            <w:r w:rsidRPr="002C5876">
              <w:t>Phase extra-haute du WLTC pour les véhicules de la classe 2</w:t>
            </w:r>
          </w:p>
        </w:tc>
      </w:tr>
      <w:tr w:rsidR="00E24DB7" w:rsidRPr="002C5876" w:rsidTr="00E24DB7">
        <w:tc>
          <w:tcPr>
            <w:tcW w:w="1418" w:type="dxa"/>
          </w:tcPr>
          <w:p w:rsidR="00E24DB7" w:rsidRPr="002C5876" w:rsidRDefault="00E24DB7" w:rsidP="00E24DB7">
            <w:pPr>
              <w:spacing w:after="120"/>
            </w:pPr>
            <w:r w:rsidRPr="002C5876">
              <w:t>Extra High</w:t>
            </w:r>
            <w:r w:rsidRPr="002C5876">
              <w:rPr>
                <w:vertAlign w:val="subscript"/>
              </w:rPr>
              <w:t>3</w:t>
            </w:r>
          </w:p>
        </w:tc>
        <w:tc>
          <w:tcPr>
            <w:tcW w:w="4872" w:type="dxa"/>
          </w:tcPr>
          <w:p w:rsidR="00E24DB7" w:rsidRPr="002C5876" w:rsidRDefault="00E24DB7" w:rsidP="00E24DB7">
            <w:pPr>
              <w:spacing w:after="120"/>
            </w:pPr>
            <w:r w:rsidRPr="002C5876">
              <w:t>Phase extra-haute du WLTC pour les véhicules de la classe 3</w:t>
            </w:r>
          </w:p>
        </w:tc>
      </w:tr>
      <w:tr w:rsidR="00E24DB7" w:rsidRPr="002C5876" w:rsidTr="00E24DB7">
        <w:tc>
          <w:tcPr>
            <w:tcW w:w="1418" w:type="dxa"/>
          </w:tcPr>
          <w:p w:rsidR="00E24DB7" w:rsidRPr="002C5876" w:rsidRDefault="00E24DB7" w:rsidP="00E24DB7">
            <w:pPr>
              <w:spacing w:after="120"/>
            </w:pPr>
            <w:r w:rsidRPr="002C5876">
              <w:t>FCHV</w:t>
            </w:r>
          </w:p>
        </w:tc>
        <w:tc>
          <w:tcPr>
            <w:tcW w:w="4872" w:type="dxa"/>
          </w:tcPr>
          <w:p w:rsidR="00E24DB7" w:rsidRPr="002C5876" w:rsidRDefault="00E24DB7" w:rsidP="00E24DB7">
            <w:pPr>
              <w:spacing w:after="120"/>
            </w:pPr>
            <w:r w:rsidRPr="002C5876">
              <w:t>Véhicule hybride à pile à combustible</w:t>
            </w:r>
          </w:p>
        </w:tc>
      </w:tr>
      <w:tr w:rsidR="00E24DB7" w:rsidRPr="002C5876" w:rsidTr="00E24DB7">
        <w:tc>
          <w:tcPr>
            <w:tcW w:w="1418" w:type="dxa"/>
          </w:tcPr>
          <w:p w:rsidR="00E24DB7" w:rsidRPr="002C5876" w:rsidRDefault="00E24DB7" w:rsidP="00E24DB7">
            <w:pPr>
              <w:spacing w:after="120"/>
            </w:pPr>
            <w:r w:rsidRPr="002C5876">
              <w:t>FID</w:t>
            </w:r>
          </w:p>
        </w:tc>
        <w:tc>
          <w:tcPr>
            <w:tcW w:w="4872" w:type="dxa"/>
          </w:tcPr>
          <w:p w:rsidR="00E24DB7" w:rsidRPr="002C5876" w:rsidRDefault="00E24DB7" w:rsidP="00E24DB7">
            <w:pPr>
              <w:spacing w:after="120"/>
            </w:pPr>
            <w:r w:rsidRPr="002C5876">
              <w:t>Détecteur à ionisation de flamme</w:t>
            </w:r>
          </w:p>
        </w:tc>
      </w:tr>
      <w:tr w:rsidR="00E24DB7" w:rsidRPr="002C5876" w:rsidTr="00E24DB7">
        <w:tc>
          <w:tcPr>
            <w:tcW w:w="1418" w:type="dxa"/>
          </w:tcPr>
          <w:p w:rsidR="00E24DB7" w:rsidRPr="002C5876" w:rsidRDefault="00E24DB7" w:rsidP="00E24DB7">
            <w:pPr>
              <w:spacing w:after="120"/>
            </w:pPr>
            <w:r w:rsidRPr="002C5876">
              <w:t>FRCP</w:t>
            </w:r>
          </w:p>
        </w:tc>
        <w:tc>
          <w:tcPr>
            <w:tcW w:w="4872" w:type="dxa"/>
          </w:tcPr>
          <w:p w:rsidR="00E24DB7" w:rsidRPr="002C5876" w:rsidRDefault="00E24DB7" w:rsidP="00E24DB7">
            <w:pPr>
              <w:spacing w:after="120"/>
            </w:pPr>
            <w:r w:rsidRPr="002C5876">
              <w:t>Facteur de réduction de la concentration des particules</w:t>
            </w:r>
          </w:p>
        </w:tc>
      </w:tr>
      <w:tr w:rsidR="00E24DB7" w:rsidRPr="002C5876" w:rsidTr="00E24DB7">
        <w:tc>
          <w:tcPr>
            <w:tcW w:w="1418" w:type="dxa"/>
          </w:tcPr>
          <w:p w:rsidR="00E24DB7" w:rsidRPr="002C5876" w:rsidRDefault="00E24DB7" w:rsidP="00E24DB7">
            <w:pPr>
              <w:spacing w:after="120"/>
            </w:pPr>
            <w:r w:rsidRPr="002C5876">
              <w:t>FSD</w:t>
            </w:r>
          </w:p>
        </w:tc>
        <w:tc>
          <w:tcPr>
            <w:tcW w:w="4872" w:type="dxa"/>
          </w:tcPr>
          <w:p w:rsidR="00E24DB7" w:rsidRPr="002C5876" w:rsidRDefault="00E24DB7" w:rsidP="00E24DB7">
            <w:pPr>
              <w:spacing w:after="120"/>
            </w:pPr>
            <w:r w:rsidRPr="002C5876">
              <w:t>Déviation à fond d’échelle</w:t>
            </w:r>
          </w:p>
        </w:tc>
      </w:tr>
      <w:tr w:rsidR="00E24DB7" w:rsidRPr="002C5876" w:rsidTr="00E24DB7">
        <w:tc>
          <w:tcPr>
            <w:tcW w:w="1418" w:type="dxa"/>
          </w:tcPr>
          <w:p w:rsidR="00E24DB7" w:rsidRPr="002C5876" w:rsidRDefault="00E24DB7" w:rsidP="00E24DB7">
            <w:pPr>
              <w:spacing w:after="120"/>
            </w:pPr>
            <w:r w:rsidRPr="002C5876">
              <w:t>FTIR</w:t>
            </w:r>
          </w:p>
        </w:tc>
        <w:tc>
          <w:tcPr>
            <w:tcW w:w="4872" w:type="dxa"/>
          </w:tcPr>
          <w:p w:rsidR="00E24DB7" w:rsidRPr="002C5876" w:rsidRDefault="00E24DB7" w:rsidP="00E24DB7">
            <w:pPr>
              <w:spacing w:after="120"/>
            </w:pPr>
            <w:r w:rsidRPr="002C5876">
              <w:t xml:space="preserve">Analyseur infrarouge à transformée de Fourier </w:t>
            </w:r>
          </w:p>
        </w:tc>
      </w:tr>
      <w:tr w:rsidR="00E24DB7" w:rsidRPr="002C5876" w:rsidTr="00E24DB7">
        <w:tc>
          <w:tcPr>
            <w:tcW w:w="1418" w:type="dxa"/>
          </w:tcPr>
          <w:p w:rsidR="00E24DB7" w:rsidRPr="002C5876" w:rsidRDefault="00E24DB7" w:rsidP="00E24DB7">
            <w:pPr>
              <w:spacing w:after="120"/>
            </w:pPr>
            <w:r w:rsidRPr="002C5876">
              <w:t>GPL</w:t>
            </w:r>
          </w:p>
        </w:tc>
        <w:tc>
          <w:tcPr>
            <w:tcW w:w="4872" w:type="dxa"/>
          </w:tcPr>
          <w:p w:rsidR="00E24DB7" w:rsidRPr="002C5876" w:rsidRDefault="00E24DB7" w:rsidP="00E24DB7">
            <w:pPr>
              <w:spacing w:after="120"/>
            </w:pPr>
            <w:r w:rsidRPr="002C5876">
              <w:t>Gaz de pétrole liquéfié</w:t>
            </w:r>
          </w:p>
        </w:tc>
      </w:tr>
      <w:tr w:rsidR="00E24DB7" w:rsidRPr="002C5876" w:rsidTr="00E24DB7">
        <w:tc>
          <w:tcPr>
            <w:tcW w:w="1418" w:type="dxa"/>
          </w:tcPr>
          <w:p w:rsidR="00E24DB7" w:rsidRPr="002C5876" w:rsidRDefault="00E24DB7" w:rsidP="00E24DB7">
            <w:pPr>
              <w:spacing w:after="120"/>
            </w:pPr>
            <w:r w:rsidRPr="002C5876">
              <w:t>HFID</w:t>
            </w:r>
          </w:p>
        </w:tc>
        <w:tc>
          <w:tcPr>
            <w:tcW w:w="4872" w:type="dxa"/>
          </w:tcPr>
          <w:p w:rsidR="00E24DB7" w:rsidRPr="002C5876" w:rsidRDefault="00E24DB7" w:rsidP="00E24DB7">
            <w:pPr>
              <w:spacing w:after="120"/>
            </w:pPr>
            <w:r w:rsidRPr="002C5876">
              <w:t>Détecteur à ionisation de flamme chauffé</w:t>
            </w:r>
          </w:p>
        </w:tc>
      </w:tr>
      <w:tr w:rsidR="00E24DB7" w:rsidRPr="002C5876" w:rsidTr="00E24DB7">
        <w:tc>
          <w:tcPr>
            <w:tcW w:w="1418" w:type="dxa"/>
          </w:tcPr>
          <w:p w:rsidR="00E24DB7" w:rsidRPr="002C5876" w:rsidRDefault="00E24DB7" w:rsidP="00E24DB7">
            <w:pPr>
              <w:spacing w:after="120"/>
            </w:pPr>
            <w:r w:rsidRPr="002C5876">
              <w:t>High</w:t>
            </w:r>
            <w:r w:rsidRPr="002C5876">
              <w:rPr>
                <w:vertAlign w:val="subscript"/>
              </w:rPr>
              <w:t>2</w:t>
            </w:r>
          </w:p>
        </w:tc>
        <w:tc>
          <w:tcPr>
            <w:tcW w:w="4872" w:type="dxa"/>
          </w:tcPr>
          <w:p w:rsidR="00E24DB7" w:rsidRPr="002C5876" w:rsidRDefault="00E24DB7" w:rsidP="00E24DB7">
            <w:pPr>
              <w:spacing w:after="120"/>
            </w:pPr>
            <w:r w:rsidRPr="002C5876">
              <w:t>Phase haute du WLTC pour les véhicules de la classe 2</w:t>
            </w:r>
          </w:p>
        </w:tc>
      </w:tr>
      <w:tr w:rsidR="00E24DB7" w:rsidRPr="002C5876" w:rsidTr="00E24DB7">
        <w:tc>
          <w:tcPr>
            <w:tcW w:w="1418" w:type="dxa"/>
          </w:tcPr>
          <w:p w:rsidR="00E24DB7" w:rsidRPr="002C5876" w:rsidRDefault="00E24DB7" w:rsidP="00E24DB7">
            <w:pPr>
              <w:spacing w:after="120"/>
            </w:pPr>
            <w:r w:rsidRPr="002C5876">
              <w:t>High</w:t>
            </w:r>
            <w:r w:rsidRPr="002C5876">
              <w:rPr>
                <w:vertAlign w:val="subscript"/>
              </w:rPr>
              <w:t>3a</w:t>
            </w:r>
          </w:p>
        </w:tc>
        <w:tc>
          <w:tcPr>
            <w:tcW w:w="4872" w:type="dxa"/>
          </w:tcPr>
          <w:p w:rsidR="00E24DB7" w:rsidRPr="002C5876" w:rsidRDefault="00E24DB7" w:rsidP="00E24DB7">
            <w:pPr>
              <w:spacing w:after="120"/>
            </w:pPr>
            <w:r w:rsidRPr="002C5876">
              <w:t>Phase haute du WLTC pour les véhicules de la classe 3a</w:t>
            </w:r>
          </w:p>
        </w:tc>
      </w:tr>
      <w:tr w:rsidR="00E24DB7" w:rsidRPr="002C5876" w:rsidTr="00E24DB7">
        <w:tc>
          <w:tcPr>
            <w:tcW w:w="1418" w:type="dxa"/>
          </w:tcPr>
          <w:p w:rsidR="00E24DB7" w:rsidRPr="002C5876" w:rsidRDefault="00E24DB7" w:rsidP="00E24DB7">
            <w:pPr>
              <w:spacing w:after="120"/>
            </w:pPr>
            <w:r w:rsidRPr="002C5876">
              <w:t>High</w:t>
            </w:r>
            <w:r w:rsidRPr="002C5876">
              <w:rPr>
                <w:vertAlign w:val="subscript"/>
              </w:rPr>
              <w:t>3b</w:t>
            </w:r>
          </w:p>
        </w:tc>
        <w:tc>
          <w:tcPr>
            <w:tcW w:w="4872" w:type="dxa"/>
          </w:tcPr>
          <w:p w:rsidR="00E24DB7" w:rsidRPr="002C5876" w:rsidRDefault="00E24DB7" w:rsidP="00E24DB7">
            <w:pPr>
              <w:spacing w:after="120"/>
            </w:pPr>
            <w:r w:rsidRPr="002C5876">
              <w:t>Phase haute du WLTC pour les véhicules de la classe 3b</w:t>
            </w:r>
          </w:p>
        </w:tc>
      </w:tr>
      <w:tr w:rsidR="00E24DB7" w:rsidRPr="002C5876" w:rsidTr="00E24DB7">
        <w:tc>
          <w:tcPr>
            <w:tcW w:w="1418" w:type="dxa"/>
          </w:tcPr>
          <w:p w:rsidR="00E24DB7" w:rsidRPr="002C5876" w:rsidRDefault="00E24DB7" w:rsidP="00E24DB7">
            <w:pPr>
              <w:spacing w:after="120"/>
            </w:pPr>
            <w:r w:rsidRPr="002C5876">
              <w:t>ICE</w:t>
            </w:r>
          </w:p>
        </w:tc>
        <w:tc>
          <w:tcPr>
            <w:tcW w:w="4872" w:type="dxa"/>
          </w:tcPr>
          <w:p w:rsidR="00E24DB7" w:rsidRPr="002C5876" w:rsidRDefault="00E24DB7" w:rsidP="00E24DB7">
            <w:pPr>
              <w:spacing w:after="120"/>
            </w:pPr>
            <w:r w:rsidRPr="002C5876">
              <w:t>Moteur à combustion interne</w:t>
            </w:r>
          </w:p>
        </w:tc>
      </w:tr>
      <w:tr w:rsidR="00E24DB7" w:rsidRPr="002C5876" w:rsidTr="00E24DB7">
        <w:tc>
          <w:tcPr>
            <w:tcW w:w="1418" w:type="dxa"/>
          </w:tcPr>
          <w:p w:rsidR="00E24DB7" w:rsidRPr="002C5876" w:rsidRDefault="00E24DB7" w:rsidP="00E24DB7">
            <w:pPr>
              <w:spacing w:after="120"/>
            </w:pPr>
            <w:r w:rsidRPr="002C5876">
              <w:t>LoD</w:t>
            </w:r>
          </w:p>
        </w:tc>
        <w:tc>
          <w:tcPr>
            <w:tcW w:w="4872" w:type="dxa"/>
          </w:tcPr>
          <w:p w:rsidR="00E24DB7" w:rsidRPr="002C5876" w:rsidRDefault="00E24DB7" w:rsidP="00E24DB7">
            <w:pPr>
              <w:spacing w:after="120"/>
            </w:pPr>
            <w:r w:rsidRPr="002C5876">
              <w:t>Limite de détection</w:t>
            </w:r>
          </w:p>
        </w:tc>
      </w:tr>
      <w:tr w:rsidR="00E24DB7" w:rsidRPr="002C5876" w:rsidTr="00E24DB7">
        <w:tc>
          <w:tcPr>
            <w:tcW w:w="1418" w:type="dxa"/>
          </w:tcPr>
          <w:p w:rsidR="00E24DB7" w:rsidRPr="002C5876" w:rsidRDefault="00E24DB7" w:rsidP="00E24DB7">
            <w:pPr>
              <w:spacing w:after="120"/>
            </w:pPr>
            <w:r w:rsidRPr="002C5876">
              <w:t>LoQ</w:t>
            </w:r>
          </w:p>
        </w:tc>
        <w:tc>
          <w:tcPr>
            <w:tcW w:w="4872" w:type="dxa"/>
          </w:tcPr>
          <w:p w:rsidR="00E24DB7" w:rsidRPr="002C5876" w:rsidRDefault="00E24DB7" w:rsidP="00E24DB7">
            <w:pPr>
              <w:spacing w:after="120"/>
            </w:pPr>
            <w:r w:rsidRPr="002C5876">
              <w:t>Limite de quantification</w:t>
            </w:r>
          </w:p>
        </w:tc>
      </w:tr>
      <w:tr w:rsidR="00E24DB7" w:rsidRPr="002C5876" w:rsidTr="00E24DB7">
        <w:tc>
          <w:tcPr>
            <w:tcW w:w="1418" w:type="dxa"/>
          </w:tcPr>
          <w:p w:rsidR="00E24DB7" w:rsidRPr="002C5876" w:rsidRDefault="00E24DB7" w:rsidP="00E24DB7">
            <w:pPr>
              <w:spacing w:after="120"/>
            </w:pPr>
            <w:r w:rsidRPr="002C5876">
              <w:t>Low</w:t>
            </w:r>
            <w:r w:rsidRPr="002C5876">
              <w:rPr>
                <w:vertAlign w:val="subscript"/>
              </w:rPr>
              <w:t>1</w:t>
            </w:r>
          </w:p>
        </w:tc>
        <w:tc>
          <w:tcPr>
            <w:tcW w:w="4872" w:type="dxa"/>
          </w:tcPr>
          <w:p w:rsidR="00E24DB7" w:rsidRPr="002C5876" w:rsidRDefault="00E24DB7" w:rsidP="00E24DB7">
            <w:pPr>
              <w:spacing w:after="120"/>
            </w:pPr>
            <w:r w:rsidRPr="002C5876">
              <w:t>Phase basse du WLTC pour les véhicules de la classe 1</w:t>
            </w:r>
          </w:p>
        </w:tc>
      </w:tr>
      <w:tr w:rsidR="00E24DB7" w:rsidRPr="002C5876" w:rsidTr="00E24DB7">
        <w:tc>
          <w:tcPr>
            <w:tcW w:w="1418" w:type="dxa"/>
          </w:tcPr>
          <w:p w:rsidR="00E24DB7" w:rsidRPr="002C5876" w:rsidRDefault="00E24DB7" w:rsidP="00E24DB7">
            <w:pPr>
              <w:spacing w:after="120"/>
            </w:pPr>
            <w:r w:rsidRPr="002C5876">
              <w:t>Low</w:t>
            </w:r>
            <w:r w:rsidRPr="002C5876">
              <w:rPr>
                <w:vertAlign w:val="subscript"/>
              </w:rPr>
              <w:t>2</w:t>
            </w:r>
          </w:p>
        </w:tc>
        <w:tc>
          <w:tcPr>
            <w:tcW w:w="4872" w:type="dxa"/>
          </w:tcPr>
          <w:p w:rsidR="00E24DB7" w:rsidRPr="002C5876" w:rsidRDefault="00E24DB7" w:rsidP="00E24DB7">
            <w:pPr>
              <w:spacing w:after="120"/>
            </w:pPr>
            <w:r w:rsidRPr="002C5876">
              <w:t>Phase basse du WLTC pour les véhicules de la classe 2</w:t>
            </w:r>
          </w:p>
        </w:tc>
      </w:tr>
      <w:tr w:rsidR="00E24DB7" w:rsidRPr="002C5876" w:rsidTr="00E24DB7">
        <w:tc>
          <w:tcPr>
            <w:tcW w:w="1418" w:type="dxa"/>
          </w:tcPr>
          <w:p w:rsidR="00E24DB7" w:rsidRPr="002C5876" w:rsidRDefault="00E24DB7" w:rsidP="00E24DB7">
            <w:pPr>
              <w:spacing w:after="120"/>
            </w:pPr>
            <w:r w:rsidRPr="002C5876">
              <w:t>Low</w:t>
            </w:r>
            <w:r w:rsidRPr="002C5876">
              <w:rPr>
                <w:vertAlign w:val="subscript"/>
              </w:rPr>
              <w:t>3</w:t>
            </w:r>
          </w:p>
        </w:tc>
        <w:tc>
          <w:tcPr>
            <w:tcW w:w="4872" w:type="dxa"/>
          </w:tcPr>
          <w:p w:rsidR="00E24DB7" w:rsidRPr="002C5876" w:rsidRDefault="00E24DB7" w:rsidP="00E24DB7">
            <w:pPr>
              <w:spacing w:after="120"/>
            </w:pPr>
            <w:r w:rsidRPr="002C5876">
              <w:t>Phase basse du WLTC pour les véhicules de la classe 3</w:t>
            </w:r>
          </w:p>
        </w:tc>
      </w:tr>
      <w:tr w:rsidR="00E24DB7" w:rsidRPr="002C5876" w:rsidTr="00E24DB7">
        <w:tc>
          <w:tcPr>
            <w:tcW w:w="1418" w:type="dxa"/>
          </w:tcPr>
          <w:p w:rsidR="00E24DB7" w:rsidRPr="002C5876" w:rsidRDefault="00E24DB7" w:rsidP="00E24DB7">
            <w:pPr>
              <w:spacing w:after="120"/>
            </w:pPr>
            <w:r w:rsidRPr="002C5876">
              <w:t>Medium</w:t>
            </w:r>
            <w:r w:rsidRPr="002C5876">
              <w:rPr>
                <w:vertAlign w:val="subscript"/>
              </w:rPr>
              <w:t>1</w:t>
            </w:r>
          </w:p>
        </w:tc>
        <w:tc>
          <w:tcPr>
            <w:tcW w:w="4872" w:type="dxa"/>
          </w:tcPr>
          <w:p w:rsidR="00E24DB7" w:rsidRPr="002C5876" w:rsidRDefault="00E24DB7" w:rsidP="00E24DB7">
            <w:pPr>
              <w:spacing w:after="120"/>
            </w:pPr>
            <w:r w:rsidRPr="002C5876">
              <w:t>Phase moyenne du WLTC pour les véhicules de la classe 1</w:t>
            </w:r>
          </w:p>
        </w:tc>
      </w:tr>
      <w:tr w:rsidR="00E24DB7" w:rsidRPr="002C5876" w:rsidTr="00E24DB7">
        <w:tc>
          <w:tcPr>
            <w:tcW w:w="1418" w:type="dxa"/>
          </w:tcPr>
          <w:p w:rsidR="00E24DB7" w:rsidRPr="002C5876" w:rsidRDefault="00E24DB7" w:rsidP="00E24DB7">
            <w:pPr>
              <w:spacing w:after="120"/>
            </w:pPr>
            <w:r w:rsidRPr="002C5876">
              <w:lastRenderedPageBreak/>
              <w:t>Medium</w:t>
            </w:r>
            <w:r w:rsidRPr="002C5876">
              <w:rPr>
                <w:vertAlign w:val="subscript"/>
              </w:rPr>
              <w:t>2</w:t>
            </w:r>
          </w:p>
        </w:tc>
        <w:tc>
          <w:tcPr>
            <w:tcW w:w="4872" w:type="dxa"/>
          </w:tcPr>
          <w:p w:rsidR="00E24DB7" w:rsidRPr="002C5876" w:rsidRDefault="00E24DB7" w:rsidP="00E24DB7">
            <w:pPr>
              <w:spacing w:after="120"/>
            </w:pPr>
            <w:r w:rsidRPr="002C5876">
              <w:t>Phase moyenne du WLTC pour les véhicules de la classe 2</w:t>
            </w:r>
          </w:p>
        </w:tc>
      </w:tr>
      <w:tr w:rsidR="00E24DB7" w:rsidRPr="002C5876" w:rsidTr="00E24DB7">
        <w:tc>
          <w:tcPr>
            <w:tcW w:w="1418" w:type="dxa"/>
          </w:tcPr>
          <w:p w:rsidR="00E24DB7" w:rsidRPr="002C5876" w:rsidRDefault="00E24DB7" w:rsidP="00E24DB7">
            <w:pPr>
              <w:spacing w:after="120"/>
            </w:pPr>
            <w:r w:rsidRPr="002C5876">
              <w:t>Medium</w:t>
            </w:r>
            <w:r w:rsidRPr="002C5876">
              <w:rPr>
                <w:vertAlign w:val="subscript"/>
              </w:rPr>
              <w:t>3a</w:t>
            </w:r>
          </w:p>
        </w:tc>
        <w:tc>
          <w:tcPr>
            <w:tcW w:w="4872" w:type="dxa"/>
          </w:tcPr>
          <w:p w:rsidR="00E24DB7" w:rsidRPr="002C5876" w:rsidRDefault="00E24DB7" w:rsidP="00E24DB7">
            <w:pPr>
              <w:spacing w:after="120"/>
            </w:pPr>
            <w:r w:rsidRPr="002C5876">
              <w:t>Phase moyenne du WLTC pour les véhicules de la classe 3a</w:t>
            </w:r>
          </w:p>
        </w:tc>
      </w:tr>
      <w:tr w:rsidR="00E24DB7" w:rsidRPr="002C5876" w:rsidTr="00E24DB7">
        <w:tc>
          <w:tcPr>
            <w:tcW w:w="1418" w:type="dxa"/>
          </w:tcPr>
          <w:p w:rsidR="00E24DB7" w:rsidRPr="002C5876" w:rsidRDefault="00E24DB7" w:rsidP="00E24DB7">
            <w:pPr>
              <w:spacing w:after="120"/>
            </w:pPr>
            <w:r w:rsidRPr="002C5876">
              <w:t>Medium</w:t>
            </w:r>
            <w:r w:rsidRPr="002C5876">
              <w:rPr>
                <w:vertAlign w:val="subscript"/>
              </w:rPr>
              <w:t>3b</w:t>
            </w:r>
          </w:p>
        </w:tc>
        <w:tc>
          <w:tcPr>
            <w:tcW w:w="4872" w:type="dxa"/>
          </w:tcPr>
          <w:p w:rsidR="00E24DB7" w:rsidRPr="002C5876" w:rsidRDefault="00E24DB7" w:rsidP="00E24DB7">
            <w:pPr>
              <w:spacing w:after="120"/>
            </w:pPr>
            <w:r w:rsidRPr="002C5876">
              <w:t>Phase moyenne du WLTC pour les véhicules de la classe 3b</w:t>
            </w:r>
          </w:p>
        </w:tc>
      </w:tr>
      <w:tr w:rsidR="00E24DB7" w:rsidRPr="002C5876" w:rsidTr="00E24DB7">
        <w:tc>
          <w:tcPr>
            <w:tcW w:w="1418" w:type="dxa"/>
          </w:tcPr>
          <w:p w:rsidR="00E24DB7" w:rsidRPr="002C5876" w:rsidRDefault="00E24DB7" w:rsidP="00E24DB7">
            <w:pPr>
              <w:spacing w:after="120"/>
            </w:pPr>
            <w:r w:rsidRPr="002C5876">
              <w:t>LC</w:t>
            </w:r>
          </w:p>
        </w:tc>
        <w:tc>
          <w:tcPr>
            <w:tcW w:w="4872" w:type="dxa"/>
          </w:tcPr>
          <w:p w:rsidR="00E24DB7" w:rsidRPr="002C5876" w:rsidRDefault="00E24DB7" w:rsidP="00E24DB7">
            <w:pPr>
              <w:spacing w:after="120"/>
            </w:pPr>
            <w:r w:rsidRPr="002C5876">
              <w:t>Chromatographie en phase liquide</w:t>
            </w:r>
          </w:p>
        </w:tc>
      </w:tr>
      <w:tr w:rsidR="00E24DB7" w:rsidRPr="002C5876" w:rsidTr="00E24DB7">
        <w:tc>
          <w:tcPr>
            <w:tcW w:w="1418" w:type="dxa"/>
          </w:tcPr>
          <w:p w:rsidR="00E24DB7" w:rsidRPr="002C5876" w:rsidRDefault="00E24DB7" w:rsidP="00E24DB7">
            <w:pPr>
              <w:spacing w:after="120"/>
            </w:pPr>
            <w:r w:rsidRPr="002C5876">
              <w:t>LDS</w:t>
            </w:r>
          </w:p>
        </w:tc>
        <w:tc>
          <w:tcPr>
            <w:tcW w:w="4872" w:type="dxa"/>
          </w:tcPr>
          <w:p w:rsidR="00E24DB7" w:rsidRPr="002C5876" w:rsidRDefault="00E24DB7" w:rsidP="00E24DB7">
            <w:pPr>
              <w:spacing w:after="120"/>
            </w:pPr>
            <w:r w:rsidRPr="002C5876">
              <w:t>Spectromètre à diode laser</w:t>
            </w:r>
          </w:p>
        </w:tc>
      </w:tr>
      <w:tr w:rsidR="00E24DB7" w:rsidRPr="002C5876" w:rsidTr="00E24DB7">
        <w:tc>
          <w:tcPr>
            <w:tcW w:w="1418" w:type="dxa"/>
          </w:tcPr>
          <w:p w:rsidR="00E24DB7" w:rsidRPr="002C5876" w:rsidRDefault="00E24DB7" w:rsidP="00E24DB7">
            <w:pPr>
              <w:spacing w:after="120"/>
            </w:pPr>
            <w:r w:rsidRPr="002C5876">
              <w:t>NDIR</w:t>
            </w:r>
          </w:p>
        </w:tc>
        <w:tc>
          <w:tcPr>
            <w:tcW w:w="4872" w:type="dxa"/>
          </w:tcPr>
          <w:p w:rsidR="00E24DB7" w:rsidRPr="002C5876" w:rsidRDefault="00E24DB7" w:rsidP="00E24DB7">
            <w:pPr>
              <w:spacing w:after="120"/>
            </w:pPr>
            <w:r w:rsidRPr="002C5876">
              <w:t>Analyseur de gaz dans l’infrarouge non dispersif</w:t>
            </w:r>
          </w:p>
        </w:tc>
      </w:tr>
      <w:tr w:rsidR="00E24DB7" w:rsidRPr="002C5876" w:rsidTr="00E24DB7">
        <w:tc>
          <w:tcPr>
            <w:tcW w:w="1418" w:type="dxa"/>
          </w:tcPr>
          <w:p w:rsidR="00E24DB7" w:rsidRPr="002C5876" w:rsidRDefault="00E24DB7" w:rsidP="00E24DB7">
            <w:pPr>
              <w:spacing w:after="120"/>
            </w:pPr>
            <w:r w:rsidRPr="002C5876">
              <w:t>NDUV</w:t>
            </w:r>
          </w:p>
        </w:tc>
        <w:tc>
          <w:tcPr>
            <w:tcW w:w="4872" w:type="dxa"/>
          </w:tcPr>
          <w:p w:rsidR="00E24DB7" w:rsidRPr="002C5876" w:rsidRDefault="00E24DB7" w:rsidP="00E24DB7">
            <w:pPr>
              <w:spacing w:after="120"/>
            </w:pPr>
            <w:r w:rsidRPr="002C5876">
              <w:t>Analyseur de gaz dans l’ultraviolet non dispersif</w:t>
            </w:r>
          </w:p>
        </w:tc>
      </w:tr>
      <w:tr w:rsidR="00E24DB7" w:rsidRPr="002C5876" w:rsidTr="00E24DB7">
        <w:tc>
          <w:tcPr>
            <w:tcW w:w="1418" w:type="dxa"/>
          </w:tcPr>
          <w:p w:rsidR="00E24DB7" w:rsidRPr="002C5876" w:rsidRDefault="00E24DB7" w:rsidP="00E24DB7">
            <w:pPr>
              <w:spacing w:after="120"/>
            </w:pPr>
            <w:r w:rsidRPr="002C5876">
              <w:t>NG/biométhane</w:t>
            </w:r>
          </w:p>
        </w:tc>
        <w:tc>
          <w:tcPr>
            <w:tcW w:w="4872" w:type="dxa"/>
          </w:tcPr>
          <w:p w:rsidR="00E24DB7" w:rsidRPr="002C5876" w:rsidRDefault="00E24DB7" w:rsidP="00E24DB7">
            <w:pPr>
              <w:spacing w:after="120"/>
            </w:pPr>
            <w:r w:rsidRPr="002C5876">
              <w:t>Gaz naturel/biométhane</w:t>
            </w:r>
          </w:p>
        </w:tc>
      </w:tr>
      <w:tr w:rsidR="00E24DB7" w:rsidRPr="002C5876" w:rsidTr="00E24DB7">
        <w:tc>
          <w:tcPr>
            <w:tcW w:w="1418" w:type="dxa"/>
          </w:tcPr>
          <w:p w:rsidR="00E24DB7" w:rsidRPr="002C5876" w:rsidRDefault="00E24DB7" w:rsidP="00E24DB7">
            <w:pPr>
              <w:spacing w:after="120"/>
            </w:pPr>
            <w:r w:rsidRPr="002C5876">
              <w:t>NMC</w:t>
            </w:r>
          </w:p>
        </w:tc>
        <w:tc>
          <w:tcPr>
            <w:tcW w:w="4872" w:type="dxa"/>
          </w:tcPr>
          <w:p w:rsidR="00E24DB7" w:rsidRPr="002C5876" w:rsidRDefault="00E24DB7" w:rsidP="00E24DB7">
            <w:pPr>
              <w:spacing w:after="120"/>
            </w:pPr>
            <w:r w:rsidRPr="002C5876">
              <w:t>Convertisseur de HCNM</w:t>
            </w:r>
          </w:p>
        </w:tc>
      </w:tr>
      <w:tr w:rsidR="00E24DB7" w:rsidRPr="002C5876" w:rsidTr="00E24DB7">
        <w:tc>
          <w:tcPr>
            <w:tcW w:w="1418" w:type="dxa"/>
          </w:tcPr>
          <w:p w:rsidR="00E24DB7" w:rsidRPr="002C5876" w:rsidRDefault="00E24DB7" w:rsidP="00E24DB7">
            <w:pPr>
              <w:spacing w:after="120"/>
            </w:pPr>
            <w:r w:rsidRPr="002C5876">
              <w:t>NRE</w:t>
            </w:r>
          </w:p>
        </w:tc>
        <w:tc>
          <w:tcPr>
            <w:tcW w:w="4872" w:type="dxa"/>
          </w:tcPr>
          <w:p w:rsidR="00E24DB7" w:rsidRPr="002C5876" w:rsidRDefault="00E24DB7" w:rsidP="00E24DB7">
            <w:pPr>
              <w:spacing w:after="120"/>
            </w:pPr>
            <w:r w:rsidRPr="002C5876">
              <w:t>Non rechargeable de l’extérieur</w:t>
            </w:r>
          </w:p>
        </w:tc>
      </w:tr>
      <w:tr w:rsidR="00E24DB7" w:rsidRPr="002C5876" w:rsidTr="00E24DB7">
        <w:tc>
          <w:tcPr>
            <w:tcW w:w="1418" w:type="dxa"/>
          </w:tcPr>
          <w:p w:rsidR="00E24DB7" w:rsidRPr="002C5876" w:rsidRDefault="00E24DB7" w:rsidP="00E24DB7">
            <w:pPr>
              <w:spacing w:after="120"/>
            </w:pPr>
            <w:r w:rsidRPr="002C5876">
              <w:t>P</w:t>
            </w:r>
            <w:r w:rsidRPr="002C5876">
              <w:rPr>
                <w:vertAlign w:val="subscript"/>
              </w:rPr>
              <w:t>a</w:t>
            </w:r>
          </w:p>
        </w:tc>
        <w:tc>
          <w:tcPr>
            <w:tcW w:w="4872" w:type="dxa"/>
          </w:tcPr>
          <w:p w:rsidR="00E24DB7" w:rsidRPr="002C5876" w:rsidRDefault="00E24DB7" w:rsidP="00E24DB7">
            <w:pPr>
              <w:spacing w:after="120"/>
            </w:pPr>
            <w:r w:rsidRPr="002C5876">
              <w:t>Masse de particules collectées sur le filtre de concentrations ambiantes</w:t>
            </w:r>
          </w:p>
        </w:tc>
      </w:tr>
      <w:tr w:rsidR="00E24DB7" w:rsidRPr="002C5876" w:rsidTr="00E24DB7">
        <w:tc>
          <w:tcPr>
            <w:tcW w:w="1418" w:type="dxa"/>
          </w:tcPr>
          <w:p w:rsidR="00E24DB7" w:rsidRPr="002C5876" w:rsidRDefault="00E24DB7" w:rsidP="00E24DB7">
            <w:pPr>
              <w:spacing w:after="120"/>
            </w:pPr>
            <w:r w:rsidRPr="002C5876">
              <w:t>P</w:t>
            </w:r>
            <w:r w:rsidRPr="002C5876">
              <w:rPr>
                <w:vertAlign w:val="subscript"/>
              </w:rPr>
              <w:t>e</w:t>
            </w:r>
          </w:p>
        </w:tc>
        <w:tc>
          <w:tcPr>
            <w:tcW w:w="4872" w:type="dxa"/>
          </w:tcPr>
          <w:p w:rsidR="00E24DB7" w:rsidRPr="002C5876" w:rsidRDefault="00E24DB7" w:rsidP="00E24DB7">
            <w:pPr>
              <w:spacing w:after="120"/>
            </w:pPr>
            <w:r w:rsidRPr="002C5876">
              <w:t>Masse de particules collectées sur le filtre d’échantillon</w:t>
            </w:r>
          </w:p>
        </w:tc>
      </w:tr>
      <w:tr w:rsidR="00E24DB7" w:rsidRPr="002C5876" w:rsidTr="00E24DB7">
        <w:tc>
          <w:tcPr>
            <w:tcW w:w="1418" w:type="dxa"/>
          </w:tcPr>
          <w:p w:rsidR="00E24DB7" w:rsidRPr="002C5876" w:rsidRDefault="00E24DB7" w:rsidP="00E24DB7">
            <w:pPr>
              <w:spacing w:after="120"/>
            </w:pPr>
            <w:r w:rsidRPr="002C5876">
              <w:t>PAO</w:t>
            </w:r>
          </w:p>
        </w:tc>
        <w:tc>
          <w:tcPr>
            <w:tcW w:w="4872" w:type="dxa"/>
          </w:tcPr>
          <w:p w:rsidR="00E24DB7" w:rsidRPr="002C5876" w:rsidRDefault="00E24DB7" w:rsidP="00E24DB7">
            <w:pPr>
              <w:spacing w:after="120"/>
            </w:pPr>
            <w:r w:rsidRPr="002C5876">
              <w:t>Poly-alpha-oléfine</w:t>
            </w:r>
          </w:p>
        </w:tc>
      </w:tr>
      <w:tr w:rsidR="00E24DB7" w:rsidRPr="002C5876" w:rsidTr="00E24DB7">
        <w:tc>
          <w:tcPr>
            <w:tcW w:w="1418" w:type="dxa"/>
          </w:tcPr>
          <w:p w:rsidR="00E24DB7" w:rsidRPr="002C5876" w:rsidRDefault="00E24DB7" w:rsidP="00E24DB7">
            <w:pPr>
              <w:spacing w:after="120"/>
            </w:pPr>
            <w:r w:rsidRPr="002C5876">
              <w:t>PCF</w:t>
            </w:r>
          </w:p>
        </w:tc>
        <w:tc>
          <w:tcPr>
            <w:tcW w:w="4872" w:type="dxa"/>
          </w:tcPr>
          <w:p w:rsidR="00E24DB7" w:rsidRPr="002C5876" w:rsidRDefault="00E24DB7" w:rsidP="00E24DB7">
            <w:pPr>
              <w:spacing w:after="120"/>
            </w:pPr>
            <w:r w:rsidRPr="002C5876">
              <w:t>Séparateur primaire</w:t>
            </w:r>
          </w:p>
        </w:tc>
      </w:tr>
      <w:tr w:rsidR="00E24DB7" w:rsidRPr="002C5876" w:rsidTr="00E24DB7">
        <w:tc>
          <w:tcPr>
            <w:tcW w:w="1418" w:type="dxa"/>
          </w:tcPr>
          <w:p w:rsidR="00E24DB7" w:rsidRPr="002C5876" w:rsidRDefault="00E24DB7" w:rsidP="00E24DB7">
            <w:pPr>
              <w:spacing w:after="120"/>
            </w:pPr>
            <w:r w:rsidRPr="002C5876">
              <w:t>PDP</w:t>
            </w:r>
          </w:p>
        </w:tc>
        <w:tc>
          <w:tcPr>
            <w:tcW w:w="4872" w:type="dxa"/>
          </w:tcPr>
          <w:p w:rsidR="00E24DB7" w:rsidRPr="002C5876" w:rsidRDefault="00E24DB7" w:rsidP="00E24DB7">
            <w:pPr>
              <w:spacing w:after="120"/>
            </w:pPr>
            <w:r w:rsidRPr="002C5876">
              <w:t>Pompe volumétrique</w:t>
            </w:r>
          </w:p>
        </w:tc>
      </w:tr>
      <w:tr w:rsidR="00E24DB7" w:rsidRPr="002C5876" w:rsidTr="00E24DB7">
        <w:tc>
          <w:tcPr>
            <w:tcW w:w="1418" w:type="dxa"/>
          </w:tcPr>
          <w:p w:rsidR="00E24DB7" w:rsidRPr="002C5876" w:rsidRDefault="00E24DB7" w:rsidP="00E24DB7">
            <w:pPr>
              <w:spacing w:after="120"/>
            </w:pPr>
            <w:r w:rsidRPr="002C5876">
              <w:t>PER</w:t>
            </w:r>
          </w:p>
        </w:tc>
        <w:tc>
          <w:tcPr>
            <w:tcW w:w="4872" w:type="dxa"/>
          </w:tcPr>
          <w:p w:rsidR="00E24DB7" w:rsidRPr="002C5876" w:rsidRDefault="00E24DB7" w:rsidP="00E24DB7">
            <w:pPr>
              <w:spacing w:after="120"/>
            </w:pPr>
            <w:r w:rsidRPr="002C5876">
              <w:t>Autonomie en mode électrique pur</w:t>
            </w:r>
          </w:p>
        </w:tc>
      </w:tr>
      <w:tr w:rsidR="00E24DB7" w:rsidRPr="002C5876" w:rsidTr="00E24DB7">
        <w:tc>
          <w:tcPr>
            <w:tcW w:w="1418" w:type="dxa"/>
          </w:tcPr>
          <w:p w:rsidR="00E24DB7" w:rsidRPr="002C5876" w:rsidRDefault="00E24DB7" w:rsidP="00E24DB7">
            <w:pPr>
              <w:spacing w:after="120"/>
            </w:pPr>
            <w:r w:rsidRPr="002C5876">
              <w:t>% FS</w:t>
            </w:r>
          </w:p>
        </w:tc>
        <w:tc>
          <w:tcPr>
            <w:tcW w:w="4872" w:type="dxa"/>
          </w:tcPr>
          <w:p w:rsidR="00E24DB7" w:rsidRPr="002C5876" w:rsidRDefault="00E24DB7" w:rsidP="00E24DB7">
            <w:pPr>
              <w:spacing w:after="120"/>
            </w:pPr>
            <w:r w:rsidRPr="002C5876">
              <w:t xml:space="preserve">Pourcentage de l’échelle totale </w:t>
            </w:r>
          </w:p>
        </w:tc>
      </w:tr>
      <w:tr w:rsidR="00E24DB7" w:rsidRPr="002C5876" w:rsidTr="00E24DB7">
        <w:tc>
          <w:tcPr>
            <w:tcW w:w="1418" w:type="dxa"/>
          </w:tcPr>
          <w:p w:rsidR="00E24DB7" w:rsidRPr="002C5876" w:rsidRDefault="00E24DB7" w:rsidP="00E24DB7">
            <w:pPr>
              <w:spacing w:after="120"/>
            </w:pPr>
            <w:r w:rsidRPr="002C5876">
              <w:t>PM</w:t>
            </w:r>
          </w:p>
        </w:tc>
        <w:tc>
          <w:tcPr>
            <w:tcW w:w="4872" w:type="dxa"/>
          </w:tcPr>
          <w:p w:rsidR="00E24DB7" w:rsidRPr="002C5876" w:rsidRDefault="00E24DB7" w:rsidP="00E24DB7">
            <w:pPr>
              <w:spacing w:after="120"/>
            </w:pPr>
            <w:r w:rsidRPr="002C5876">
              <w:t>Émissions de matières particulaires</w:t>
            </w:r>
          </w:p>
        </w:tc>
      </w:tr>
      <w:tr w:rsidR="00E24DB7" w:rsidRPr="002C5876" w:rsidTr="00E24DB7">
        <w:tc>
          <w:tcPr>
            <w:tcW w:w="1418" w:type="dxa"/>
          </w:tcPr>
          <w:p w:rsidR="00E24DB7" w:rsidRPr="002C5876" w:rsidRDefault="00E24DB7" w:rsidP="00E24DB7">
            <w:pPr>
              <w:spacing w:after="120"/>
            </w:pPr>
            <w:r w:rsidRPr="002C5876">
              <w:t>PN</w:t>
            </w:r>
          </w:p>
        </w:tc>
        <w:tc>
          <w:tcPr>
            <w:tcW w:w="4872" w:type="dxa"/>
          </w:tcPr>
          <w:p w:rsidR="00E24DB7" w:rsidRPr="002C5876" w:rsidRDefault="00E24DB7" w:rsidP="00E24DB7">
            <w:pPr>
              <w:spacing w:after="120"/>
            </w:pPr>
            <w:r w:rsidRPr="002C5876">
              <w:t>Émissions en nombre de particules</w:t>
            </w:r>
          </w:p>
        </w:tc>
      </w:tr>
      <w:tr w:rsidR="00E24DB7" w:rsidRPr="002C5876" w:rsidTr="00E24DB7">
        <w:tc>
          <w:tcPr>
            <w:tcW w:w="1418" w:type="dxa"/>
          </w:tcPr>
          <w:p w:rsidR="00E24DB7" w:rsidRPr="002C5876" w:rsidRDefault="00E24DB7" w:rsidP="00E24DB7">
            <w:pPr>
              <w:spacing w:after="120"/>
            </w:pPr>
            <w:r w:rsidRPr="002C5876">
              <w:t>PNC</w:t>
            </w:r>
          </w:p>
        </w:tc>
        <w:tc>
          <w:tcPr>
            <w:tcW w:w="4872" w:type="dxa"/>
          </w:tcPr>
          <w:p w:rsidR="00E24DB7" w:rsidRPr="002C5876" w:rsidRDefault="00E24DB7" w:rsidP="00E24DB7">
            <w:pPr>
              <w:spacing w:after="120"/>
            </w:pPr>
            <w:r w:rsidRPr="002C5876">
              <w:t>Compteur du nombre de particules</w:t>
            </w:r>
          </w:p>
        </w:tc>
      </w:tr>
      <w:tr w:rsidR="00E24DB7" w:rsidRPr="002C5876" w:rsidTr="00E24DB7">
        <w:tc>
          <w:tcPr>
            <w:tcW w:w="1418" w:type="dxa"/>
          </w:tcPr>
          <w:p w:rsidR="00E24DB7" w:rsidRPr="002C5876" w:rsidRDefault="00E24DB7" w:rsidP="00F260C2">
            <w:pPr>
              <w:keepNext/>
              <w:keepLines/>
              <w:spacing w:after="120"/>
            </w:pPr>
            <w:r w:rsidRPr="002C5876">
              <w:t>PND</w:t>
            </w:r>
            <w:r w:rsidRPr="002C5876">
              <w:rPr>
                <w:vertAlign w:val="subscript"/>
              </w:rPr>
              <w:t>1</w:t>
            </w:r>
          </w:p>
        </w:tc>
        <w:tc>
          <w:tcPr>
            <w:tcW w:w="4872" w:type="dxa"/>
          </w:tcPr>
          <w:p w:rsidR="00E24DB7" w:rsidRPr="002C5876" w:rsidRDefault="00E24DB7" w:rsidP="00F260C2">
            <w:pPr>
              <w:keepNext/>
              <w:keepLines/>
              <w:spacing w:after="120"/>
            </w:pPr>
            <w:r w:rsidRPr="002C5876">
              <w:t>Premier étage de dilution de la concentration en nombre de particules</w:t>
            </w:r>
          </w:p>
        </w:tc>
      </w:tr>
      <w:tr w:rsidR="00E24DB7" w:rsidRPr="002C5876" w:rsidTr="00E24DB7">
        <w:tc>
          <w:tcPr>
            <w:tcW w:w="1418" w:type="dxa"/>
          </w:tcPr>
          <w:p w:rsidR="00E24DB7" w:rsidRPr="002C5876" w:rsidRDefault="00E24DB7" w:rsidP="00E24DB7">
            <w:pPr>
              <w:spacing w:after="120"/>
            </w:pPr>
            <w:r w:rsidRPr="002C5876">
              <w:t>PND</w:t>
            </w:r>
            <w:r w:rsidRPr="002C5876">
              <w:rPr>
                <w:vertAlign w:val="subscript"/>
              </w:rPr>
              <w:t>2</w:t>
            </w:r>
          </w:p>
        </w:tc>
        <w:tc>
          <w:tcPr>
            <w:tcW w:w="4872" w:type="dxa"/>
          </w:tcPr>
          <w:p w:rsidR="00E24DB7" w:rsidRPr="002C5876" w:rsidRDefault="00E24DB7" w:rsidP="00E24DB7">
            <w:pPr>
              <w:spacing w:after="120"/>
            </w:pPr>
            <w:r w:rsidRPr="002C5876">
              <w:t>Deuxième étage de dilution de la concentration en nombre de particules</w:t>
            </w:r>
          </w:p>
        </w:tc>
      </w:tr>
      <w:tr w:rsidR="00E24DB7" w:rsidRPr="002C5876" w:rsidTr="00E24DB7">
        <w:tc>
          <w:tcPr>
            <w:tcW w:w="1418" w:type="dxa"/>
          </w:tcPr>
          <w:p w:rsidR="00E24DB7" w:rsidRPr="002C5876" w:rsidRDefault="00E24DB7" w:rsidP="00E24DB7">
            <w:pPr>
              <w:spacing w:after="120"/>
            </w:pPr>
            <w:r w:rsidRPr="002C5876">
              <w:t>PTS</w:t>
            </w:r>
          </w:p>
        </w:tc>
        <w:tc>
          <w:tcPr>
            <w:tcW w:w="4872" w:type="dxa"/>
          </w:tcPr>
          <w:p w:rsidR="00E24DB7" w:rsidRPr="002C5876" w:rsidRDefault="00E24DB7" w:rsidP="00E24DB7">
            <w:pPr>
              <w:spacing w:after="120"/>
            </w:pPr>
            <w:r w:rsidRPr="002C5876">
              <w:t>Système de transfert des particules</w:t>
            </w:r>
          </w:p>
        </w:tc>
      </w:tr>
      <w:tr w:rsidR="00E24DB7" w:rsidRPr="002C5876" w:rsidTr="00E24DB7">
        <w:tc>
          <w:tcPr>
            <w:tcW w:w="1418" w:type="dxa"/>
          </w:tcPr>
          <w:p w:rsidR="00E24DB7" w:rsidRPr="002C5876" w:rsidRDefault="00E24DB7" w:rsidP="00E24DB7">
            <w:pPr>
              <w:spacing w:after="120"/>
            </w:pPr>
            <w:r w:rsidRPr="002C5876">
              <w:t>PTT</w:t>
            </w:r>
          </w:p>
        </w:tc>
        <w:tc>
          <w:tcPr>
            <w:tcW w:w="4872" w:type="dxa"/>
          </w:tcPr>
          <w:p w:rsidR="00E24DB7" w:rsidRPr="002C5876" w:rsidRDefault="00E24DB7" w:rsidP="00E24DB7">
            <w:pPr>
              <w:spacing w:after="120"/>
            </w:pPr>
            <w:r w:rsidRPr="002C5876">
              <w:t>Tube de transfert des particules</w:t>
            </w:r>
          </w:p>
        </w:tc>
      </w:tr>
      <w:tr w:rsidR="00E24DB7" w:rsidRPr="002C5876" w:rsidTr="00E24DB7">
        <w:tc>
          <w:tcPr>
            <w:tcW w:w="1418" w:type="dxa"/>
          </w:tcPr>
          <w:p w:rsidR="00E24DB7" w:rsidRPr="002C5876" w:rsidRDefault="00E24DB7" w:rsidP="00E24DB7">
            <w:pPr>
              <w:spacing w:after="120"/>
            </w:pPr>
            <w:r w:rsidRPr="002C5876">
              <w:t>QCL-IR</w:t>
            </w:r>
          </w:p>
        </w:tc>
        <w:tc>
          <w:tcPr>
            <w:tcW w:w="4872" w:type="dxa"/>
          </w:tcPr>
          <w:p w:rsidR="00E24DB7" w:rsidRPr="002C5876" w:rsidRDefault="00E24DB7" w:rsidP="00E24DB7">
            <w:pPr>
              <w:spacing w:after="120"/>
            </w:pPr>
            <w:r w:rsidRPr="002C5876">
              <w:rPr>
                <w:bCs/>
              </w:rPr>
              <w:t>Laser à cascade quantique</w:t>
            </w:r>
          </w:p>
        </w:tc>
      </w:tr>
      <w:tr w:rsidR="00E24DB7" w:rsidRPr="002C5876" w:rsidTr="00E24DB7">
        <w:tc>
          <w:tcPr>
            <w:tcW w:w="1418" w:type="dxa"/>
          </w:tcPr>
          <w:p w:rsidR="00E24DB7" w:rsidRPr="002C5876" w:rsidRDefault="00E24DB7" w:rsidP="00E24DB7">
            <w:pPr>
              <w:spacing w:after="120"/>
            </w:pPr>
            <w:r w:rsidRPr="002C5876">
              <w:t>R</w:t>
            </w:r>
            <w:r w:rsidRPr="002C5876">
              <w:rPr>
                <w:vertAlign w:val="subscript"/>
              </w:rPr>
              <w:t>CDA</w:t>
            </w:r>
          </w:p>
        </w:tc>
        <w:tc>
          <w:tcPr>
            <w:tcW w:w="4872" w:type="dxa"/>
          </w:tcPr>
          <w:p w:rsidR="00E24DB7" w:rsidRPr="002C5876" w:rsidRDefault="00E24DB7" w:rsidP="00E24DB7">
            <w:pPr>
              <w:spacing w:after="120"/>
            </w:pPr>
            <w:r w:rsidRPr="002C5876">
              <w:t>Autonomie réelle en mode épuisement de la charge</w:t>
            </w:r>
          </w:p>
        </w:tc>
      </w:tr>
      <w:tr w:rsidR="00E24DB7" w:rsidRPr="002C5876" w:rsidTr="00E24DB7">
        <w:tc>
          <w:tcPr>
            <w:tcW w:w="1418" w:type="dxa"/>
          </w:tcPr>
          <w:p w:rsidR="00E24DB7" w:rsidRPr="002C5876" w:rsidRDefault="00E24DB7" w:rsidP="00E24DB7">
            <w:pPr>
              <w:spacing w:after="120"/>
            </w:pPr>
            <w:r w:rsidRPr="002C5876">
              <w:t>RCB</w:t>
            </w:r>
          </w:p>
        </w:tc>
        <w:tc>
          <w:tcPr>
            <w:tcW w:w="4872" w:type="dxa"/>
          </w:tcPr>
          <w:p w:rsidR="00E24DB7" w:rsidRPr="002C5876" w:rsidRDefault="00E24DB7" w:rsidP="00E24DB7">
            <w:pPr>
              <w:spacing w:after="120"/>
            </w:pPr>
            <w:r w:rsidRPr="002C5876">
              <w:t>Bilan de charge du SRSEE</w:t>
            </w:r>
          </w:p>
        </w:tc>
      </w:tr>
      <w:tr w:rsidR="00E24DB7" w:rsidRPr="002C5876" w:rsidTr="00E24DB7">
        <w:tc>
          <w:tcPr>
            <w:tcW w:w="1418" w:type="dxa"/>
          </w:tcPr>
          <w:p w:rsidR="00E24DB7" w:rsidRPr="002C5876" w:rsidRDefault="00E24DB7" w:rsidP="00E24DB7">
            <w:pPr>
              <w:spacing w:after="120"/>
            </w:pPr>
            <w:r w:rsidRPr="002C5876">
              <w:t>SRSEE</w:t>
            </w:r>
          </w:p>
        </w:tc>
        <w:tc>
          <w:tcPr>
            <w:tcW w:w="4872" w:type="dxa"/>
          </w:tcPr>
          <w:p w:rsidR="00E24DB7" w:rsidRPr="002C5876" w:rsidRDefault="00E24DB7" w:rsidP="00E24DB7">
            <w:pPr>
              <w:spacing w:after="120"/>
            </w:pPr>
            <w:r w:rsidRPr="002C5876">
              <w:t>Système rechargeable de stockage de l’énergie électrique</w:t>
            </w:r>
          </w:p>
        </w:tc>
      </w:tr>
      <w:tr w:rsidR="00E24DB7" w:rsidRPr="002C5876" w:rsidTr="00E24DB7">
        <w:tc>
          <w:tcPr>
            <w:tcW w:w="1418" w:type="dxa"/>
          </w:tcPr>
          <w:p w:rsidR="00E24DB7" w:rsidRPr="002C5876" w:rsidRDefault="00E24DB7" w:rsidP="00E24DB7">
            <w:pPr>
              <w:spacing w:after="120"/>
            </w:pPr>
            <w:r w:rsidRPr="002C5876">
              <w:t>SSV</w:t>
            </w:r>
          </w:p>
        </w:tc>
        <w:tc>
          <w:tcPr>
            <w:tcW w:w="4872" w:type="dxa"/>
          </w:tcPr>
          <w:p w:rsidR="00E24DB7" w:rsidRPr="002C5876" w:rsidRDefault="00E24DB7" w:rsidP="00E24DB7">
            <w:pPr>
              <w:spacing w:after="120"/>
            </w:pPr>
            <w:r w:rsidRPr="002C5876">
              <w:t>Venturi subsonique</w:t>
            </w:r>
          </w:p>
        </w:tc>
      </w:tr>
      <w:tr w:rsidR="00E24DB7" w:rsidRPr="002C5876" w:rsidTr="00E24DB7">
        <w:tc>
          <w:tcPr>
            <w:tcW w:w="1418" w:type="dxa"/>
          </w:tcPr>
          <w:p w:rsidR="00E24DB7" w:rsidRPr="002C5876" w:rsidRDefault="00E24DB7" w:rsidP="00E24DB7">
            <w:pPr>
              <w:spacing w:after="120"/>
            </w:pPr>
            <w:r w:rsidRPr="002C5876">
              <w:t>THE</w:t>
            </w:r>
          </w:p>
        </w:tc>
        <w:tc>
          <w:tcPr>
            <w:tcW w:w="4872" w:type="dxa"/>
          </w:tcPr>
          <w:p w:rsidR="00E24DB7" w:rsidRPr="002C5876" w:rsidRDefault="00E24DB7" w:rsidP="00E24DB7">
            <w:pPr>
              <w:spacing w:after="120"/>
            </w:pPr>
            <w:r w:rsidRPr="002C5876">
              <w:t>Filtre à très haute efficacité (à particules)</w:t>
            </w:r>
          </w:p>
        </w:tc>
      </w:tr>
      <w:tr w:rsidR="00E24DB7" w:rsidRPr="002C5876" w:rsidTr="00E24DB7">
        <w:tc>
          <w:tcPr>
            <w:tcW w:w="1418" w:type="dxa"/>
          </w:tcPr>
          <w:p w:rsidR="00E24DB7" w:rsidRPr="002C5876" w:rsidRDefault="00E24DB7" w:rsidP="00E24DB7">
            <w:pPr>
              <w:spacing w:after="120"/>
            </w:pPr>
            <w:r w:rsidRPr="002C5876">
              <w:t>USFM</w:t>
            </w:r>
          </w:p>
        </w:tc>
        <w:tc>
          <w:tcPr>
            <w:tcW w:w="4872" w:type="dxa"/>
          </w:tcPr>
          <w:p w:rsidR="00E24DB7" w:rsidRPr="002C5876" w:rsidRDefault="00E24DB7" w:rsidP="00E24DB7">
            <w:pPr>
              <w:spacing w:after="120"/>
            </w:pPr>
            <w:r w:rsidRPr="002C5876">
              <w:t>Débitmètre ultrasonique</w:t>
            </w:r>
          </w:p>
        </w:tc>
      </w:tr>
      <w:tr w:rsidR="00E24DB7" w:rsidRPr="002C5876" w:rsidTr="00E24DB7">
        <w:tc>
          <w:tcPr>
            <w:tcW w:w="1418" w:type="dxa"/>
          </w:tcPr>
          <w:p w:rsidR="00E24DB7" w:rsidRPr="002C5876" w:rsidRDefault="00E24DB7" w:rsidP="00E24DB7">
            <w:pPr>
              <w:spacing w:after="120"/>
            </w:pPr>
            <w:r w:rsidRPr="002C5876">
              <w:t>VHE-NRE</w:t>
            </w:r>
          </w:p>
        </w:tc>
        <w:tc>
          <w:tcPr>
            <w:tcW w:w="4872" w:type="dxa"/>
          </w:tcPr>
          <w:p w:rsidR="00E24DB7" w:rsidRPr="002C5876" w:rsidRDefault="00E24DB7" w:rsidP="00E24DB7">
            <w:pPr>
              <w:spacing w:after="120"/>
            </w:pPr>
            <w:r w:rsidRPr="002C5876">
              <w:t>Véhicule hybride électrique</w:t>
            </w:r>
            <w:r w:rsidRPr="002C5876">
              <w:rPr>
                <w:i/>
              </w:rPr>
              <w:t xml:space="preserve"> </w:t>
            </w:r>
            <w:r w:rsidRPr="002C5876">
              <w:t>non rechargeable de l’extérieur</w:t>
            </w:r>
          </w:p>
        </w:tc>
      </w:tr>
      <w:tr w:rsidR="00E24DB7" w:rsidRPr="002C5876" w:rsidTr="00E24DB7">
        <w:tc>
          <w:tcPr>
            <w:tcW w:w="1418" w:type="dxa"/>
          </w:tcPr>
          <w:p w:rsidR="00E24DB7" w:rsidRPr="002C5876" w:rsidRDefault="00E24DB7" w:rsidP="00E24DB7">
            <w:pPr>
              <w:spacing w:after="120"/>
            </w:pPr>
            <w:r w:rsidRPr="002C5876">
              <w:t>VHE-RE</w:t>
            </w:r>
          </w:p>
        </w:tc>
        <w:tc>
          <w:tcPr>
            <w:tcW w:w="4872" w:type="dxa"/>
          </w:tcPr>
          <w:p w:rsidR="00E24DB7" w:rsidRPr="002C5876" w:rsidRDefault="00E24DB7" w:rsidP="00E24DB7">
            <w:pPr>
              <w:spacing w:after="120"/>
            </w:pPr>
            <w:r w:rsidRPr="002C5876">
              <w:t>Véhicule hybride électrique</w:t>
            </w:r>
            <w:r w:rsidRPr="002C5876">
              <w:rPr>
                <w:i/>
              </w:rPr>
              <w:t xml:space="preserve"> </w:t>
            </w:r>
            <w:r w:rsidRPr="002C5876">
              <w:t>rechargeable de l’extérieur</w:t>
            </w:r>
          </w:p>
        </w:tc>
      </w:tr>
      <w:tr w:rsidR="00E24DB7" w:rsidRPr="002C5876" w:rsidTr="00E24DB7">
        <w:tc>
          <w:tcPr>
            <w:tcW w:w="1418" w:type="dxa"/>
          </w:tcPr>
          <w:p w:rsidR="00E24DB7" w:rsidRPr="002C5876" w:rsidRDefault="00E24DB7" w:rsidP="00E24DB7">
            <w:pPr>
              <w:spacing w:after="120"/>
            </w:pPr>
            <w:r w:rsidRPr="002C5876">
              <w:t>VHPC-NRE</w:t>
            </w:r>
          </w:p>
        </w:tc>
        <w:tc>
          <w:tcPr>
            <w:tcW w:w="4872" w:type="dxa"/>
          </w:tcPr>
          <w:p w:rsidR="00E24DB7" w:rsidRPr="002C5876" w:rsidRDefault="00E24DB7" w:rsidP="00E24DB7">
            <w:pPr>
              <w:spacing w:after="120"/>
            </w:pPr>
            <w:r w:rsidRPr="002C5876">
              <w:t>Véhicule hybride électrique à pile à combustible</w:t>
            </w:r>
            <w:r w:rsidRPr="002C5876">
              <w:rPr>
                <w:i/>
              </w:rPr>
              <w:t xml:space="preserve"> </w:t>
            </w:r>
            <w:r w:rsidRPr="002C5876">
              <w:t>non rechargeable de l’extérieur</w:t>
            </w:r>
          </w:p>
        </w:tc>
      </w:tr>
      <w:tr w:rsidR="00E24DB7" w:rsidRPr="002C5876" w:rsidTr="00E24DB7">
        <w:tc>
          <w:tcPr>
            <w:tcW w:w="1418" w:type="dxa"/>
          </w:tcPr>
          <w:p w:rsidR="00E24DB7" w:rsidRPr="002C5876" w:rsidRDefault="00E24DB7" w:rsidP="00E24DB7">
            <w:pPr>
              <w:spacing w:after="120"/>
            </w:pPr>
            <w:r w:rsidRPr="002C5876">
              <w:t>VPR</w:t>
            </w:r>
          </w:p>
        </w:tc>
        <w:tc>
          <w:tcPr>
            <w:tcW w:w="4872" w:type="dxa"/>
          </w:tcPr>
          <w:p w:rsidR="00E24DB7" w:rsidRPr="002C5876" w:rsidRDefault="00E24DB7" w:rsidP="00E24DB7">
            <w:pPr>
              <w:spacing w:after="120"/>
            </w:pPr>
            <w:r w:rsidRPr="002C5876">
              <w:t>Séparateur de particules volatiles</w:t>
            </w:r>
          </w:p>
        </w:tc>
      </w:tr>
      <w:tr w:rsidR="00E24DB7" w:rsidRPr="002C5876" w:rsidTr="00E24DB7">
        <w:tc>
          <w:tcPr>
            <w:tcW w:w="1418" w:type="dxa"/>
          </w:tcPr>
          <w:p w:rsidR="00E24DB7" w:rsidRPr="002C5876" w:rsidRDefault="00E24DB7" w:rsidP="00E24DB7">
            <w:pPr>
              <w:spacing w:after="120"/>
            </w:pPr>
            <w:r w:rsidRPr="002C5876">
              <w:t>WLTC</w:t>
            </w:r>
          </w:p>
        </w:tc>
        <w:tc>
          <w:tcPr>
            <w:tcW w:w="4872" w:type="dxa"/>
          </w:tcPr>
          <w:p w:rsidR="00E24DB7" w:rsidRPr="002C5876" w:rsidRDefault="00E24DB7" w:rsidP="00E24DB7">
            <w:pPr>
              <w:spacing w:after="120"/>
            </w:pPr>
            <w:r w:rsidRPr="002C5876">
              <w:t>Cycle d’essai mondial harmonisé pour les voitures particulières et véhicules utilitaires légers</w:t>
            </w:r>
          </w:p>
        </w:tc>
      </w:tr>
    </w:tbl>
    <w:p w:rsidR="00E24DB7" w:rsidRPr="002C5876" w:rsidRDefault="00E24DB7" w:rsidP="00E24DB7">
      <w:pPr>
        <w:pStyle w:val="SingleTxtG"/>
        <w:keepNext/>
        <w:keepLines/>
      </w:pPr>
      <w:r w:rsidRPr="002C5876">
        <w:lastRenderedPageBreak/>
        <w:t>4.2</w:t>
      </w:r>
      <w:r w:rsidRPr="002C5876">
        <w:tab/>
      </w:r>
      <w:r w:rsidRPr="002C5876">
        <w:tab/>
        <w:t>Symboles et abréviations des composants chimiques</w:t>
      </w:r>
    </w:p>
    <w:tbl>
      <w:tblPr>
        <w:tblW w:w="0" w:type="auto"/>
        <w:tblInd w:w="2268" w:type="dxa"/>
        <w:tblLayout w:type="fixed"/>
        <w:tblCellMar>
          <w:left w:w="0" w:type="dxa"/>
          <w:right w:w="0" w:type="dxa"/>
        </w:tblCellMar>
        <w:tblLook w:val="0000" w:firstRow="0" w:lastRow="0" w:firstColumn="0" w:lastColumn="0" w:noHBand="0" w:noVBand="0"/>
      </w:tblPr>
      <w:tblGrid>
        <w:gridCol w:w="1418"/>
        <w:gridCol w:w="4678"/>
      </w:tblGrid>
      <w:tr w:rsidR="00E24DB7" w:rsidRPr="002C5876" w:rsidTr="00E24DB7">
        <w:tc>
          <w:tcPr>
            <w:tcW w:w="1418" w:type="dxa"/>
          </w:tcPr>
          <w:p w:rsidR="00E24DB7" w:rsidRPr="002C5876" w:rsidRDefault="00E24DB7" w:rsidP="00E24DB7">
            <w:pPr>
              <w:keepNext/>
              <w:keepLines/>
              <w:spacing w:after="120"/>
            </w:pPr>
            <w:r w:rsidRPr="002C5876">
              <w:t>C</w:t>
            </w:r>
            <w:r w:rsidRPr="002C5876">
              <w:rPr>
                <w:vertAlign w:val="subscript"/>
              </w:rPr>
              <w:t>1</w:t>
            </w:r>
          </w:p>
        </w:tc>
        <w:tc>
          <w:tcPr>
            <w:tcW w:w="4678" w:type="dxa"/>
          </w:tcPr>
          <w:p w:rsidR="00E24DB7" w:rsidRPr="002C5876" w:rsidRDefault="00E24DB7" w:rsidP="00E24DB7">
            <w:pPr>
              <w:keepNext/>
              <w:keepLines/>
              <w:spacing w:after="120"/>
            </w:pPr>
            <w:r w:rsidRPr="002C5876">
              <w:t xml:space="preserve">Hydrocarbures en équivalent carbone 1 </w:t>
            </w:r>
          </w:p>
        </w:tc>
      </w:tr>
      <w:tr w:rsidR="00E24DB7" w:rsidRPr="002C5876" w:rsidTr="00E24DB7">
        <w:tc>
          <w:tcPr>
            <w:tcW w:w="1418" w:type="dxa"/>
          </w:tcPr>
          <w:p w:rsidR="00E24DB7" w:rsidRPr="002C5876" w:rsidRDefault="00E24DB7" w:rsidP="00E24DB7">
            <w:pPr>
              <w:keepNext/>
              <w:keepLines/>
              <w:spacing w:after="120"/>
            </w:pPr>
            <w:r w:rsidRPr="002C5876">
              <w:t>CH</w:t>
            </w:r>
            <w:r w:rsidRPr="002C5876">
              <w:rPr>
                <w:vertAlign w:val="subscript"/>
              </w:rPr>
              <w:t>4</w:t>
            </w:r>
          </w:p>
        </w:tc>
        <w:tc>
          <w:tcPr>
            <w:tcW w:w="4678" w:type="dxa"/>
          </w:tcPr>
          <w:p w:rsidR="00E24DB7" w:rsidRPr="002C5876" w:rsidRDefault="00E24DB7" w:rsidP="00E24DB7">
            <w:pPr>
              <w:keepNext/>
              <w:keepLines/>
              <w:spacing w:after="120"/>
            </w:pPr>
            <w:r w:rsidRPr="002C5876">
              <w:t>Méthane</w:t>
            </w:r>
          </w:p>
        </w:tc>
      </w:tr>
      <w:tr w:rsidR="00E24DB7" w:rsidRPr="002C5876" w:rsidTr="00E24DB7">
        <w:tc>
          <w:tcPr>
            <w:tcW w:w="1418" w:type="dxa"/>
          </w:tcPr>
          <w:p w:rsidR="00E24DB7" w:rsidRPr="002C5876" w:rsidRDefault="00E24DB7" w:rsidP="00E24DB7">
            <w:pPr>
              <w:spacing w:after="120"/>
            </w:pPr>
            <w:r w:rsidRPr="002C5876">
              <w:t>C</w:t>
            </w:r>
            <w:r w:rsidRPr="002C5876">
              <w:rPr>
                <w:vertAlign w:val="subscript"/>
              </w:rPr>
              <w:t>2</w:t>
            </w:r>
            <w:r w:rsidRPr="002C5876">
              <w:t>H</w:t>
            </w:r>
            <w:r w:rsidRPr="002C5876">
              <w:rPr>
                <w:vertAlign w:val="subscript"/>
              </w:rPr>
              <w:t>6</w:t>
            </w:r>
          </w:p>
        </w:tc>
        <w:tc>
          <w:tcPr>
            <w:tcW w:w="4678" w:type="dxa"/>
          </w:tcPr>
          <w:p w:rsidR="00E24DB7" w:rsidRPr="002C5876" w:rsidRDefault="00E24DB7" w:rsidP="00E24DB7">
            <w:pPr>
              <w:spacing w:after="120"/>
            </w:pPr>
            <w:r w:rsidRPr="002C5876">
              <w:t>Éthane</w:t>
            </w:r>
          </w:p>
        </w:tc>
      </w:tr>
      <w:tr w:rsidR="00E24DB7" w:rsidRPr="002C5876" w:rsidTr="00E24DB7">
        <w:tc>
          <w:tcPr>
            <w:tcW w:w="1418" w:type="dxa"/>
          </w:tcPr>
          <w:p w:rsidR="00E24DB7" w:rsidRPr="002C5876" w:rsidRDefault="00E24DB7" w:rsidP="00E24DB7">
            <w:pPr>
              <w:spacing w:after="120"/>
            </w:pPr>
            <w:r w:rsidRPr="002C5876">
              <w:t>C</w:t>
            </w:r>
            <w:r w:rsidRPr="002C5876">
              <w:rPr>
                <w:vertAlign w:val="subscript"/>
              </w:rPr>
              <w:t>2</w:t>
            </w:r>
            <w:r w:rsidRPr="002C5876">
              <w:t>H</w:t>
            </w:r>
            <w:r w:rsidRPr="002C5876">
              <w:rPr>
                <w:vertAlign w:val="subscript"/>
              </w:rPr>
              <w:t>5</w:t>
            </w:r>
            <w:r w:rsidRPr="002C5876">
              <w:t>OH</w:t>
            </w:r>
          </w:p>
        </w:tc>
        <w:tc>
          <w:tcPr>
            <w:tcW w:w="4678" w:type="dxa"/>
          </w:tcPr>
          <w:p w:rsidR="00E24DB7" w:rsidRPr="002C5876" w:rsidRDefault="00E24DB7" w:rsidP="00E24DB7">
            <w:pPr>
              <w:spacing w:after="120"/>
            </w:pPr>
            <w:r w:rsidRPr="002C5876">
              <w:t>Éthanol</w:t>
            </w:r>
          </w:p>
        </w:tc>
      </w:tr>
      <w:tr w:rsidR="00E24DB7" w:rsidRPr="002C5876" w:rsidTr="00E24DB7">
        <w:tc>
          <w:tcPr>
            <w:tcW w:w="1418" w:type="dxa"/>
          </w:tcPr>
          <w:p w:rsidR="00E24DB7" w:rsidRPr="002C5876" w:rsidRDefault="00E24DB7" w:rsidP="00E24DB7">
            <w:pPr>
              <w:spacing w:after="120"/>
            </w:pPr>
            <w:r w:rsidRPr="002C5876">
              <w:t>C</w:t>
            </w:r>
            <w:r w:rsidRPr="002C5876">
              <w:rPr>
                <w:vertAlign w:val="subscript"/>
              </w:rPr>
              <w:t>3</w:t>
            </w:r>
            <w:r w:rsidRPr="002C5876">
              <w:t>H</w:t>
            </w:r>
            <w:r w:rsidRPr="002C5876">
              <w:rPr>
                <w:vertAlign w:val="subscript"/>
              </w:rPr>
              <w:t>8</w:t>
            </w:r>
          </w:p>
        </w:tc>
        <w:tc>
          <w:tcPr>
            <w:tcW w:w="4678" w:type="dxa"/>
          </w:tcPr>
          <w:p w:rsidR="00E24DB7" w:rsidRPr="002C5876" w:rsidRDefault="00E24DB7" w:rsidP="00E24DB7">
            <w:pPr>
              <w:spacing w:after="120"/>
            </w:pPr>
            <w:r w:rsidRPr="002C5876">
              <w:t>Propane</w:t>
            </w:r>
          </w:p>
        </w:tc>
      </w:tr>
      <w:tr w:rsidR="00E24DB7" w:rsidRPr="002C5876" w:rsidTr="00E24DB7">
        <w:tc>
          <w:tcPr>
            <w:tcW w:w="1418" w:type="dxa"/>
          </w:tcPr>
          <w:p w:rsidR="00E24DB7" w:rsidRPr="002C5876" w:rsidRDefault="00E24DB7" w:rsidP="00E24DB7">
            <w:pPr>
              <w:spacing w:after="120"/>
            </w:pPr>
            <w:r w:rsidRPr="002C5876">
              <w:t>CH</w:t>
            </w:r>
            <w:r w:rsidRPr="002C5876">
              <w:rPr>
                <w:vertAlign w:val="subscript"/>
              </w:rPr>
              <w:t>3</w:t>
            </w:r>
            <w:r w:rsidRPr="002C5876">
              <w:t>CHO</w:t>
            </w:r>
          </w:p>
        </w:tc>
        <w:tc>
          <w:tcPr>
            <w:tcW w:w="4678" w:type="dxa"/>
          </w:tcPr>
          <w:p w:rsidR="00E24DB7" w:rsidRPr="002C5876" w:rsidRDefault="00E24DB7" w:rsidP="00E24DB7">
            <w:pPr>
              <w:spacing w:after="120"/>
            </w:pPr>
            <w:r w:rsidRPr="002C5876">
              <w:t>Acétaldéhyde</w:t>
            </w:r>
          </w:p>
        </w:tc>
      </w:tr>
      <w:tr w:rsidR="00E24DB7" w:rsidRPr="002C5876" w:rsidTr="00E24DB7">
        <w:tc>
          <w:tcPr>
            <w:tcW w:w="1418" w:type="dxa"/>
          </w:tcPr>
          <w:p w:rsidR="00E24DB7" w:rsidRPr="002C5876" w:rsidRDefault="00E24DB7" w:rsidP="00E24DB7">
            <w:pPr>
              <w:spacing w:after="120"/>
            </w:pPr>
            <w:r w:rsidRPr="002C5876">
              <w:t>CO</w:t>
            </w:r>
          </w:p>
        </w:tc>
        <w:tc>
          <w:tcPr>
            <w:tcW w:w="4678" w:type="dxa"/>
          </w:tcPr>
          <w:p w:rsidR="00E24DB7" w:rsidRPr="002C5876" w:rsidRDefault="00E24DB7" w:rsidP="00E24DB7">
            <w:pPr>
              <w:spacing w:after="120"/>
            </w:pPr>
            <w:r w:rsidRPr="002C5876">
              <w:t>Monoxyde de carbone</w:t>
            </w:r>
          </w:p>
        </w:tc>
      </w:tr>
      <w:tr w:rsidR="00E24DB7" w:rsidRPr="002C5876" w:rsidTr="00E24DB7">
        <w:tc>
          <w:tcPr>
            <w:tcW w:w="1418" w:type="dxa"/>
          </w:tcPr>
          <w:p w:rsidR="00E24DB7" w:rsidRPr="002C5876" w:rsidRDefault="00E24DB7" w:rsidP="00E24DB7">
            <w:pPr>
              <w:spacing w:after="120"/>
            </w:pPr>
            <w:r w:rsidRPr="002C5876">
              <w:t>CO</w:t>
            </w:r>
            <w:r w:rsidRPr="002C5876">
              <w:rPr>
                <w:vertAlign w:val="subscript"/>
              </w:rPr>
              <w:t>2</w:t>
            </w:r>
          </w:p>
        </w:tc>
        <w:tc>
          <w:tcPr>
            <w:tcW w:w="4678" w:type="dxa"/>
          </w:tcPr>
          <w:p w:rsidR="00E24DB7" w:rsidRPr="002C5876" w:rsidRDefault="00E24DB7" w:rsidP="00E24DB7">
            <w:pPr>
              <w:spacing w:after="120"/>
            </w:pPr>
            <w:r w:rsidRPr="002C5876">
              <w:t>Dioxyde de carbone</w:t>
            </w:r>
          </w:p>
        </w:tc>
      </w:tr>
      <w:tr w:rsidR="00E24DB7" w:rsidRPr="002C5876" w:rsidTr="00E24DB7">
        <w:tc>
          <w:tcPr>
            <w:tcW w:w="1418" w:type="dxa"/>
          </w:tcPr>
          <w:p w:rsidR="00E24DB7" w:rsidRPr="002C5876" w:rsidRDefault="00E24DB7" w:rsidP="00E24DB7">
            <w:pPr>
              <w:spacing w:after="120"/>
            </w:pPr>
            <w:r w:rsidRPr="002C5876">
              <w:t>DOP</w:t>
            </w:r>
          </w:p>
        </w:tc>
        <w:tc>
          <w:tcPr>
            <w:tcW w:w="4678" w:type="dxa"/>
          </w:tcPr>
          <w:p w:rsidR="00E24DB7" w:rsidRPr="002C5876" w:rsidRDefault="00E24DB7" w:rsidP="00E24DB7">
            <w:pPr>
              <w:spacing w:after="120"/>
            </w:pPr>
            <w:r w:rsidRPr="002C5876">
              <w:t>Di-octylphtalate</w:t>
            </w:r>
          </w:p>
        </w:tc>
      </w:tr>
      <w:tr w:rsidR="00E24DB7" w:rsidRPr="002C5876" w:rsidTr="00E24DB7">
        <w:tc>
          <w:tcPr>
            <w:tcW w:w="1418" w:type="dxa"/>
          </w:tcPr>
          <w:p w:rsidR="00E24DB7" w:rsidRPr="002C5876" w:rsidRDefault="00E24DB7" w:rsidP="00E24DB7">
            <w:pPr>
              <w:spacing w:after="120"/>
            </w:pPr>
            <w:r w:rsidRPr="002C5876">
              <w:t>H</w:t>
            </w:r>
            <w:r w:rsidRPr="002C5876">
              <w:rPr>
                <w:vertAlign w:val="subscript"/>
              </w:rPr>
              <w:t>2</w:t>
            </w:r>
            <w:r w:rsidRPr="002C5876">
              <w:t>O</w:t>
            </w:r>
          </w:p>
        </w:tc>
        <w:tc>
          <w:tcPr>
            <w:tcW w:w="4678" w:type="dxa"/>
          </w:tcPr>
          <w:p w:rsidR="00E24DB7" w:rsidRPr="002C5876" w:rsidRDefault="00E24DB7" w:rsidP="00E24DB7">
            <w:pPr>
              <w:spacing w:after="120"/>
            </w:pPr>
            <w:r w:rsidRPr="002C5876">
              <w:t>Eau</w:t>
            </w:r>
          </w:p>
        </w:tc>
      </w:tr>
      <w:tr w:rsidR="00E24DB7" w:rsidRPr="002C5876" w:rsidTr="00E24DB7">
        <w:tc>
          <w:tcPr>
            <w:tcW w:w="1418" w:type="dxa"/>
          </w:tcPr>
          <w:p w:rsidR="00E24DB7" w:rsidRPr="002C5876" w:rsidRDefault="00E24DB7" w:rsidP="00E24DB7">
            <w:pPr>
              <w:spacing w:after="120"/>
            </w:pPr>
            <w:r w:rsidRPr="002C5876">
              <w:t>HCHO</w:t>
            </w:r>
          </w:p>
        </w:tc>
        <w:tc>
          <w:tcPr>
            <w:tcW w:w="4678" w:type="dxa"/>
          </w:tcPr>
          <w:p w:rsidR="00E24DB7" w:rsidRPr="002C5876" w:rsidRDefault="00E24DB7" w:rsidP="00E24DB7">
            <w:pPr>
              <w:spacing w:after="120"/>
            </w:pPr>
            <w:r w:rsidRPr="002C5876">
              <w:t>Formaldéhyde</w:t>
            </w:r>
          </w:p>
        </w:tc>
      </w:tr>
      <w:tr w:rsidR="00E24DB7" w:rsidRPr="002C5876" w:rsidTr="00E24DB7">
        <w:tc>
          <w:tcPr>
            <w:tcW w:w="1418" w:type="dxa"/>
          </w:tcPr>
          <w:p w:rsidR="00E24DB7" w:rsidRPr="002C5876" w:rsidRDefault="00E24DB7" w:rsidP="00E24DB7">
            <w:pPr>
              <w:spacing w:after="120"/>
            </w:pPr>
            <w:r w:rsidRPr="002C5876">
              <w:t>NH</w:t>
            </w:r>
            <w:r w:rsidRPr="002C5876">
              <w:rPr>
                <w:vertAlign w:val="subscript"/>
              </w:rPr>
              <w:t>3</w:t>
            </w:r>
          </w:p>
        </w:tc>
        <w:tc>
          <w:tcPr>
            <w:tcW w:w="4678" w:type="dxa"/>
          </w:tcPr>
          <w:p w:rsidR="00E24DB7" w:rsidRPr="002C5876" w:rsidRDefault="00E24DB7" w:rsidP="00E24DB7">
            <w:pPr>
              <w:spacing w:after="120"/>
            </w:pPr>
            <w:r w:rsidRPr="002C5876">
              <w:t>Ammoniac</w:t>
            </w:r>
          </w:p>
        </w:tc>
      </w:tr>
      <w:tr w:rsidR="00E24DB7" w:rsidRPr="002C5876" w:rsidTr="00E24DB7">
        <w:tc>
          <w:tcPr>
            <w:tcW w:w="1418" w:type="dxa"/>
          </w:tcPr>
          <w:p w:rsidR="00E24DB7" w:rsidRPr="002C5876" w:rsidRDefault="00E24DB7" w:rsidP="00E24DB7">
            <w:pPr>
              <w:spacing w:after="120"/>
            </w:pPr>
            <w:r w:rsidRPr="002C5876">
              <w:t>NMHC</w:t>
            </w:r>
          </w:p>
        </w:tc>
        <w:tc>
          <w:tcPr>
            <w:tcW w:w="4678" w:type="dxa"/>
          </w:tcPr>
          <w:p w:rsidR="00E24DB7" w:rsidRPr="002C5876" w:rsidRDefault="00E24DB7" w:rsidP="00E24DB7">
            <w:pPr>
              <w:spacing w:after="120"/>
            </w:pPr>
            <w:r w:rsidRPr="002C5876">
              <w:t>Hydrocarbures non méthaniques</w:t>
            </w:r>
          </w:p>
        </w:tc>
      </w:tr>
      <w:tr w:rsidR="00E24DB7" w:rsidRPr="002C5876" w:rsidTr="00E24DB7">
        <w:tc>
          <w:tcPr>
            <w:tcW w:w="1418" w:type="dxa"/>
          </w:tcPr>
          <w:p w:rsidR="00E24DB7" w:rsidRPr="002C5876" w:rsidRDefault="00E24DB7" w:rsidP="00E24DB7">
            <w:pPr>
              <w:spacing w:after="120"/>
            </w:pPr>
            <w:r w:rsidRPr="002C5876">
              <w:t>NO</w:t>
            </w:r>
            <w:r w:rsidRPr="002C5876">
              <w:rPr>
                <w:vertAlign w:val="subscript"/>
              </w:rPr>
              <w:t>x</w:t>
            </w:r>
          </w:p>
        </w:tc>
        <w:tc>
          <w:tcPr>
            <w:tcW w:w="4678" w:type="dxa"/>
          </w:tcPr>
          <w:p w:rsidR="00E24DB7" w:rsidRPr="002C5876" w:rsidRDefault="00E24DB7" w:rsidP="00E24DB7">
            <w:pPr>
              <w:spacing w:after="120"/>
            </w:pPr>
            <w:r w:rsidRPr="002C5876">
              <w:t>Oxydes d’azote</w:t>
            </w:r>
          </w:p>
        </w:tc>
      </w:tr>
      <w:tr w:rsidR="00E24DB7" w:rsidRPr="002C5876" w:rsidTr="00E24DB7">
        <w:tc>
          <w:tcPr>
            <w:tcW w:w="1418" w:type="dxa"/>
          </w:tcPr>
          <w:p w:rsidR="00E24DB7" w:rsidRPr="002C5876" w:rsidRDefault="00E24DB7" w:rsidP="00E24DB7">
            <w:pPr>
              <w:spacing w:after="120"/>
            </w:pPr>
            <w:r w:rsidRPr="002C5876">
              <w:t>NO</w:t>
            </w:r>
          </w:p>
        </w:tc>
        <w:tc>
          <w:tcPr>
            <w:tcW w:w="4678" w:type="dxa"/>
          </w:tcPr>
          <w:p w:rsidR="00E24DB7" w:rsidRPr="002C5876" w:rsidRDefault="00E24DB7" w:rsidP="00E24DB7">
            <w:pPr>
              <w:spacing w:after="120"/>
            </w:pPr>
            <w:r w:rsidRPr="002C5876">
              <w:t>Oxyde nitrique</w:t>
            </w:r>
          </w:p>
        </w:tc>
      </w:tr>
      <w:tr w:rsidR="00E24DB7" w:rsidRPr="002C5876" w:rsidTr="00E24DB7">
        <w:tc>
          <w:tcPr>
            <w:tcW w:w="1418" w:type="dxa"/>
          </w:tcPr>
          <w:p w:rsidR="00E24DB7" w:rsidRPr="002C5876" w:rsidRDefault="00E24DB7" w:rsidP="00E24DB7">
            <w:pPr>
              <w:spacing w:after="120"/>
            </w:pPr>
            <w:r w:rsidRPr="002C5876">
              <w:t>NO</w:t>
            </w:r>
            <w:r w:rsidRPr="002C5876">
              <w:rPr>
                <w:vertAlign w:val="subscript"/>
              </w:rPr>
              <w:t>2</w:t>
            </w:r>
          </w:p>
        </w:tc>
        <w:tc>
          <w:tcPr>
            <w:tcW w:w="4678" w:type="dxa"/>
          </w:tcPr>
          <w:p w:rsidR="00E24DB7" w:rsidRPr="002C5876" w:rsidRDefault="00E24DB7" w:rsidP="00E24DB7">
            <w:pPr>
              <w:spacing w:after="120"/>
            </w:pPr>
            <w:r w:rsidRPr="002C5876">
              <w:t>Dioxyde d’azote</w:t>
            </w:r>
          </w:p>
        </w:tc>
      </w:tr>
      <w:tr w:rsidR="00E24DB7" w:rsidRPr="002C5876" w:rsidTr="00E24DB7">
        <w:tc>
          <w:tcPr>
            <w:tcW w:w="1418" w:type="dxa"/>
          </w:tcPr>
          <w:p w:rsidR="00E24DB7" w:rsidRPr="002C5876" w:rsidRDefault="00E24DB7" w:rsidP="00E24DB7">
            <w:pPr>
              <w:spacing w:after="120"/>
            </w:pPr>
            <w:r w:rsidRPr="002C5876">
              <w:t>N</w:t>
            </w:r>
            <w:r w:rsidRPr="002C5876">
              <w:rPr>
                <w:vertAlign w:val="subscript"/>
              </w:rPr>
              <w:t>2</w:t>
            </w:r>
            <w:r w:rsidRPr="002C5876">
              <w:t>O</w:t>
            </w:r>
          </w:p>
        </w:tc>
        <w:tc>
          <w:tcPr>
            <w:tcW w:w="4678" w:type="dxa"/>
          </w:tcPr>
          <w:p w:rsidR="00E24DB7" w:rsidRPr="002C5876" w:rsidRDefault="00E24DB7" w:rsidP="00E24DB7">
            <w:pPr>
              <w:spacing w:after="120"/>
            </w:pPr>
            <w:r w:rsidRPr="002C5876">
              <w:t>Oxyde nitreux</w:t>
            </w:r>
          </w:p>
        </w:tc>
      </w:tr>
      <w:tr w:rsidR="00E24DB7" w:rsidRPr="002C5876" w:rsidTr="00E24DB7">
        <w:tc>
          <w:tcPr>
            <w:tcW w:w="1418" w:type="dxa"/>
          </w:tcPr>
          <w:p w:rsidR="00E24DB7" w:rsidRPr="002C5876" w:rsidRDefault="00E24DB7" w:rsidP="00E24DB7">
            <w:pPr>
              <w:spacing w:after="120"/>
            </w:pPr>
            <w:r w:rsidRPr="002C5876">
              <w:t>THC</w:t>
            </w:r>
          </w:p>
        </w:tc>
        <w:tc>
          <w:tcPr>
            <w:tcW w:w="4678" w:type="dxa"/>
          </w:tcPr>
          <w:p w:rsidR="00E24DB7" w:rsidRPr="002C5876" w:rsidRDefault="00E24DB7" w:rsidP="00E24DB7">
            <w:pPr>
              <w:spacing w:after="120"/>
            </w:pPr>
            <w:r w:rsidRPr="002C5876">
              <w:t>Hydrocarbures totaux</w:t>
            </w:r>
          </w:p>
        </w:tc>
      </w:tr>
    </w:tbl>
    <w:p w:rsidR="00E24DB7" w:rsidRPr="002C5876" w:rsidRDefault="00E24DB7" w:rsidP="00E24DB7">
      <w:pPr>
        <w:pStyle w:val="H1G"/>
      </w:pPr>
      <w:r w:rsidRPr="002C5876">
        <w:tab/>
      </w:r>
      <w:r w:rsidRPr="002C5876">
        <w:tab/>
        <w:t>5.</w:t>
      </w:r>
      <w:r w:rsidRPr="002C5876">
        <w:tab/>
      </w:r>
      <w:r w:rsidRPr="002C5876">
        <w:tab/>
        <w:t>Prescriptions générales</w:t>
      </w:r>
    </w:p>
    <w:p w:rsidR="00E24DB7" w:rsidRPr="002C5876" w:rsidRDefault="00E24DB7" w:rsidP="00E24DB7">
      <w:pPr>
        <w:pStyle w:val="SingleTxtG"/>
        <w:ind w:left="2268" w:hanging="1134"/>
      </w:pPr>
      <w:r w:rsidRPr="002C5876">
        <w:t>5.1</w:t>
      </w:r>
      <w:r w:rsidRPr="002C5876">
        <w:tab/>
      </w:r>
      <w:r w:rsidRPr="002C5876">
        <w:tab/>
        <w:t>Le véhicule et les éléments susceptibles d’influer sur les émissions de composés gazeux et de matières particulaires et le nombre de particules doivent être conçus, construits et montés de telle façon que dans des conditions normales d’utilisation telles que l’exposition aux effets tels qu’humidité, pluie, chaleur, froid, sable, poussière, vibrations, usure, etc., auxquels ils peuvent être soumis, le véhicule puisse continuer à satisfaire aux prescriptions du présent RTM ONU pendant sa durée de vie utile.</w:t>
      </w:r>
    </w:p>
    <w:p w:rsidR="00E24DB7" w:rsidRPr="002C5876" w:rsidRDefault="00E24DB7" w:rsidP="00E24DB7">
      <w:pPr>
        <w:pStyle w:val="SingleTxtG"/>
        <w:ind w:left="2268"/>
      </w:pPr>
      <w:r w:rsidRPr="002C5876">
        <w:tab/>
        <w:t>Cette condition doit s’appliquer aussi à l’intégrité de tous les tuyaux flexibles, ainsi que de leurs joints et raccords utilisés sur les systèmes antipollution.</w:t>
      </w:r>
    </w:p>
    <w:p w:rsidR="00E24DB7" w:rsidRPr="002C5876" w:rsidRDefault="00E24DB7" w:rsidP="00E24DB7">
      <w:pPr>
        <w:pStyle w:val="SingleTxtG"/>
        <w:ind w:left="2268" w:hanging="1134"/>
      </w:pPr>
      <w:r w:rsidRPr="002C5876">
        <w:t>5.2</w:t>
      </w:r>
      <w:r w:rsidRPr="002C5876">
        <w:tab/>
      </w:r>
      <w:r w:rsidRPr="002C5876">
        <w:tab/>
        <w:t>Le véhicule d’essai doit être représentatif, du point de vue de ses composants relatifs à la réduction des émissions et des fonctions assurées des véhicules de la série de production à laquelle s’applique l’homologation. Le constructeur et l’autorité compétente conviendront du choix du modèle de véhicule à essayer comme étant représentatif.</w:t>
      </w:r>
    </w:p>
    <w:p w:rsidR="00E24DB7" w:rsidRPr="002C5876" w:rsidRDefault="00E24DB7" w:rsidP="00E24DB7">
      <w:pPr>
        <w:pStyle w:val="SingleTxtG"/>
        <w:keepNext/>
        <w:keepLines/>
        <w:ind w:left="2268" w:hanging="1134"/>
      </w:pPr>
      <w:r w:rsidRPr="002C5876">
        <w:t>5.3</w:t>
      </w:r>
      <w:r w:rsidRPr="002C5876">
        <w:tab/>
      </w:r>
      <w:r w:rsidRPr="002C5876">
        <w:tab/>
        <w:t>Conditions d’essai du véhicule</w:t>
      </w:r>
    </w:p>
    <w:p w:rsidR="00E24DB7" w:rsidRPr="002C5876" w:rsidRDefault="00E24DB7" w:rsidP="00E24DB7">
      <w:pPr>
        <w:pStyle w:val="SingleTxtG"/>
        <w:ind w:left="2268" w:hanging="1134"/>
      </w:pPr>
      <w:r w:rsidRPr="002C5876">
        <w:t>5.3.1</w:t>
      </w:r>
      <w:r w:rsidRPr="002C5876">
        <w:tab/>
      </w:r>
      <w:r w:rsidRPr="002C5876">
        <w:tab/>
        <w:t>Les types et quantités de lubrifiant et de liquide de refroidissement pour les essais de mesure des émissions doivent être ceux spécifiés pour le fonctionnement normal du véhicule par le constructeur.</w:t>
      </w:r>
    </w:p>
    <w:p w:rsidR="00E24DB7" w:rsidRPr="002C5876" w:rsidRDefault="00E24DB7" w:rsidP="00E24DB7">
      <w:pPr>
        <w:pStyle w:val="SingleTxtG"/>
        <w:ind w:left="2268" w:hanging="1134"/>
      </w:pPr>
      <w:r w:rsidRPr="002C5876">
        <w:t>5.3.2</w:t>
      </w:r>
      <w:r w:rsidRPr="002C5876">
        <w:tab/>
      </w:r>
      <w:r w:rsidRPr="002C5876">
        <w:tab/>
        <w:t>Le type de carburant pour les essais de mesure des émissions doit être comme spécifié à l’annexe 3 du présent RTM ONU.</w:t>
      </w:r>
    </w:p>
    <w:p w:rsidR="00E24DB7" w:rsidRPr="002C5876" w:rsidRDefault="00E24DB7" w:rsidP="00E24DB7">
      <w:pPr>
        <w:pStyle w:val="SingleTxtG"/>
        <w:ind w:left="2268" w:hanging="1134"/>
      </w:pPr>
      <w:r w:rsidRPr="002C5876">
        <w:t>5.3.3</w:t>
      </w:r>
      <w:r w:rsidRPr="002C5876">
        <w:tab/>
      </w:r>
      <w:r w:rsidRPr="002C5876">
        <w:tab/>
        <w:t>Tous les systèmes antipollution doivent être en état de marche.</w:t>
      </w:r>
    </w:p>
    <w:p w:rsidR="00E24DB7" w:rsidRPr="002C5876" w:rsidRDefault="00E24DB7" w:rsidP="00E24DB7">
      <w:pPr>
        <w:pStyle w:val="SingleTxtG"/>
        <w:ind w:left="2268" w:hanging="1134"/>
      </w:pPr>
      <w:r w:rsidRPr="002C5876">
        <w:t>5.3.4</w:t>
      </w:r>
      <w:r w:rsidRPr="002C5876">
        <w:tab/>
      </w:r>
      <w:r w:rsidRPr="002C5876">
        <w:tab/>
        <w:t>L’utilisation de tout dispositif d’invalidation est interdite.</w:t>
      </w:r>
    </w:p>
    <w:p w:rsidR="00E24DB7" w:rsidRPr="002C5876" w:rsidRDefault="00E24DB7" w:rsidP="00E24DB7">
      <w:pPr>
        <w:pStyle w:val="SingleTxtG"/>
        <w:ind w:left="2268" w:hanging="1134"/>
      </w:pPr>
      <w:r w:rsidRPr="002C5876">
        <w:lastRenderedPageBreak/>
        <w:t>5.3.5</w:t>
      </w:r>
      <w:r w:rsidRPr="002C5876">
        <w:tab/>
      </w:r>
      <w:r w:rsidRPr="002C5876">
        <w:tab/>
        <w:t>Le moteur doit être conçu de façon à ce qu’il n’y ait pas d’émissions de gaz de carter.</w:t>
      </w:r>
    </w:p>
    <w:p w:rsidR="00E24DB7" w:rsidRPr="002C5876" w:rsidRDefault="00E24DB7" w:rsidP="00E24DB7">
      <w:pPr>
        <w:pStyle w:val="SingleTxtG"/>
        <w:ind w:left="2268" w:hanging="1134"/>
      </w:pPr>
      <w:r w:rsidRPr="002C5876">
        <w:t>5.3.6</w:t>
      </w:r>
      <w:r w:rsidRPr="002C5876">
        <w:tab/>
      </w:r>
      <w:r w:rsidRPr="002C5876">
        <w:tab/>
        <w:t>Les pneumatiques utilisés pour les essais de mesure des émissions doivent être comme spécifié au paragraphe 2.4.5 de l’annexe 6 du présent RTM</w:t>
      </w:r>
      <w:r w:rsidR="004E07C9">
        <w:t> ONU</w:t>
      </w:r>
      <w:r w:rsidRPr="002C5876">
        <w:t>.</w:t>
      </w:r>
    </w:p>
    <w:p w:rsidR="00E24DB7" w:rsidRPr="002C5876" w:rsidRDefault="00E24DB7" w:rsidP="00E24DB7">
      <w:pPr>
        <w:pStyle w:val="SingleTxtG"/>
        <w:keepNext/>
        <w:keepLines/>
        <w:ind w:left="2268" w:hanging="1134"/>
      </w:pPr>
      <w:r w:rsidRPr="002C5876">
        <w:t>5.4</w:t>
      </w:r>
      <w:r w:rsidRPr="002C5876">
        <w:tab/>
      </w:r>
      <w:r w:rsidRPr="002C5876">
        <w:tab/>
        <w:t>Orifice de remplissage du réservoir à essence</w:t>
      </w:r>
    </w:p>
    <w:p w:rsidR="00E24DB7" w:rsidRPr="002C5876" w:rsidRDefault="00E24DB7" w:rsidP="00E24DB7">
      <w:pPr>
        <w:pStyle w:val="SingleTxtG"/>
        <w:ind w:left="2268" w:hanging="1134"/>
      </w:pPr>
      <w:r w:rsidRPr="002C5876">
        <w:t>5.4.1</w:t>
      </w:r>
      <w:r w:rsidRPr="002C5876">
        <w:tab/>
      </w:r>
      <w:r w:rsidRPr="002C5876">
        <w:tab/>
        <w:t>Sous réserve des dispositions du paragraphe 5.4.2 du présent RTM</w:t>
      </w:r>
      <w:r w:rsidR="004E07C9">
        <w:t xml:space="preserve"> ONU</w:t>
      </w:r>
      <w:r w:rsidRPr="002C5876">
        <w:t>, l’orifice de remplissage du réservoir d’essence ou d’éthanol doit être conçu de manière à empêcher le remplissage avec un pistolet distributeur de carburant dont l’embout a un diamètre extérieur égal ou supérieur à 23,6 mm.</w:t>
      </w:r>
    </w:p>
    <w:p w:rsidR="00E24DB7" w:rsidRPr="002C5876" w:rsidRDefault="00E24DB7" w:rsidP="00E24DB7">
      <w:pPr>
        <w:pStyle w:val="SingleTxtG"/>
        <w:keepNext/>
        <w:keepLines/>
        <w:ind w:left="2268" w:hanging="1134"/>
      </w:pPr>
      <w:r w:rsidRPr="002C5876">
        <w:t>5.4.2</w:t>
      </w:r>
      <w:r w:rsidRPr="002C5876">
        <w:tab/>
      </w:r>
      <w:r w:rsidRPr="002C5876">
        <w:tab/>
        <w:t>Les dispositions du paragraphe 5.4.1 du présent RTM ONU ne s’appliquent pas à un véhicule pour lequel les deux conditions suivantes sont remplies, à savoir :</w:t>
      </w:r>
    </w:p>
    <w:p w:rsidR="00E24DB7" w:rsidRPr="002C5876" w:rsidRDefault="00E24DB7" w:rsidP="00E24DB7">
      <w:pPr>
        <w:pStyle w:val="SingleTxtG"/>
        <w:ind w:left="2835" w:hanging="567"/>
      </w:pPr>
      <w:r w:rsidRPr="002C5876">
        <w:t>a)</w:t>
      </w:r>
      <w:r w:rsidRPr="002C5876">
        <w:tab/>
        <w:t>Si le véhicule est conçu et construit de telle façon qu’aucun dispositif de réduction des émissions ne soit détérioré par l’utilisation de carburant avec plomb ;</w:t>
      </w:r>
    </w:p>
    <w:p w:rsidR="00E24DB7" w:rsidRPr="002C5876" w:rsidRDefault="00E24DB7" w:rsidP="00E24DB7">
      <w:pPr>
        <w:pStyle w:val="SingleTxtG"/>
        <w:ind w:left="2835" w:hanging="567"/>
      </w:pPr>
      <w:r w:rsidRPr="002C5876">
        <w:t>b)</w:t>
      </w:r>
      <w:r w:rsidRPr="002C5876">
        <w:tab/>
        <w:t>Et s’il est apposé sur le véhicule, dans une position immédiatement visible pour une personne remplissant le réservoir de carburant, de manière nettement lisible et indélébile, le symbole pour l’essence sans plomb tel que spécifié dans la norme ISO 2575:2010. Des marquages complémentaires sont permis.</w:t>
      </w:r>
    </w:p>
    <w:p w:rsidR="00E24DB7" w:rsidRPr="002C5876" w:rsidRDefault="00E24DB7" w:rsidP="00E24DB7">
      <w:pPr>
        <w:pStyle w:val="SingleTxtG"/>
        <w:keepNext/>
        <w:keepLines/>
        <w:ind w:left="2268" w:hanging="1134"/>
      </w:pPr>
      <w:r w:rsidRPr="002C5876">
        <w:t>5.5</w:t>
      </w:r>
      <w:r w:rsidRPr="002C5876">
        <w:tab/>
      </w:r>
      <w:r w:rsidRPr="002C5876">
        <w:tab/>
        <w:t>Dispositions relatives à la sûreté du système électronique</w:t>
      </w:r>
    </w:p>
    <w:p w:rsidR="00E24DB7" w:rsidRPr="002C5876" w:rsidRDefault="00E24DB7" w:rsidP="00E24DB7">
      <w:pPr>
        <w:pStyle w:val="SingleTxtG"/>
        <w:ind w:left="2268" w:hanging="1134"/>
      </w:pPr>
      <w:r w:rsidRPr="002C5876">
        <w:t>5.5.1</w:t>
      </w:r>
      <w:r w:rsidRPr="002C5876">
        <w:tab/>
      </w:r>
      <w:r w:rsidRPr="002C5876">
        <w:tab/>
        <w:t>Tout véhicule équipé d’un calculateur de commande des systèmes antipollution doit comporter des fonctions empêchant toute modification, sauf avec l’autorisation du constructeur. Le constructeur doit autoriser de telles modifications uniquement lorsque ces dernières sont nécessaires pour le diagnostic, l’entretien, l’inspection, la mise en conformité ou la réparation du véhicule. Tous les codes ou paramètres d’exploitation reprogrammables doivent être protégés contre les interventions non autorisées et offrir un niveau de protection au moins égal aux dispositions de la norme ISO 15031-7 (15 mars 2001). Toutes les puces mémoire amovibles doivent être moulées, encastrées dans un boîtier scellé ou protégées par des algorithmes, et ne doivent pas pouvoir être remplacées sans outils et procédures spéciaux.</w:t>
      </w:r>
    </w:p>
    <w:p w:rsidR="00E24DB7" w:rsidRPr="002C5876" w:rsidRDefault="00E24DB7" w:rsidP="00E24DB7">
      <w:pPr>
        <w:pStyle w:val="SingleTxtG"/>
        <w:ind w:left="2268" w:hanging="1134"/>
      </w:pPr>
      <w:r w:rsidRPr="002C5876">
        <w:t>5.5.2</w:t>
      </w:r>
      <w:r w:rsidRPr="002C5876">
        <w:tab/>
      </w:r>
      <w:r w:rsidRPr="002C5876">
        <w:tab/>
        <w:t>Les paramètres de fonctionnement du moteur codés informatiquement ne doivent pas pouvoir être modifiés sans l’aide d’outils et de procédures spéciaux par exemple, les composants du calculateur doivent être soudés ou moulés, ou l’enceinte doit être scellée (ou soudée).</w:t>
      </w:r>
    </w:p>
    <w:p w:rsidR="00E24DB7" w:rsidRPr="002C5876" w:rsidRDefault="00E24DB7" w:rsidP="00E24DB7">
      <w:pPr>
        <w:pStyle w:val="SingleTxtG"/>
        <w:ind w:left="2268" w:hanging="1134"/>
      </w:pPr>
      <w:r w:rsidRPr="002C5876">
        <w:t>5.5.3</w:t>
      </w:r>
      <w:r w:rsidRPr="002C5876">
        <w:tab/>
      </w:r>
      <w:r w:rsidRPr="002C5876">
        <w:tab/>
        <w:t>Les constructeurs peuvent demander à l’autorité compétente d’être exemptés d’une de ces obligations pour les véhicules sur lesquels une telle protection ne semble pas nécessaire. Les critères que l’autorité doit évaluer pour prendre une décision sur l’exemption incluront notamment, mais non exclusivement, la disponibilité de microprocesseurs augmentant les performances, le potentiel de hautes performances du véhicule et son volume de vente probable.</w:t>
      </w:r>
    </w:p>
    <w:p w:rsidR="00E24DB7" w:rsidRPr="002C5876" w:rsidRDefault="00E24DB7" w:rsidP="00E24DB7">
      <w:pPr>
        <w:pStyle w:val="SingleTxtG"/>
        <w:ind w:left="2268" w:hanging="1134"/>
      </w:pPr>
      <w:r w:rsidRPr="002C5876">
        <w:t>5.5.4</w:t>
      </w:r>
      <w:r w:rsidRPr="002C5876">
        <w:tab/>
      </w:r>
      <w:r w:rsidRPr="002C5876">
        <w:tab/>
        <w:t xml:space="preserve">Les constructeurs qui utilisent des systèmes à calculateurs programmables doivent rendre impossible une reprogrammation illicite. Ils devront appliquer des stratégies renforcées de prévention des manipulations et des fonctions de </w:t>
      </w:r>
      <w:r w:rsidRPr="002C5876">
        <w:rPr>
          <w:spacing w:val="-2"/>
        </w:rPr>
        <w:t>protection de l’écriture rendant obligatoire l’accès électronique à un ordinateur hors site géré par le constructeur. L’autorité compétente doit approuver</w:t>
      </w:r>
      <w:r w:rsidRPr="002C5876">
        <w:t xml:space="preserve"> les méthodes offrant un niveau de protection adéquat contre les manipulations.</w:t>
      </w:r>
    </w:p>
    <w:p w:rsidR="00E24DB7" w:rsidRPr="002C5876" w:rsidRDefault="00E24DB7" w:rsidP="00E24DB7">
      <w:pPr>
        <w:pStyle w:val="SingleTxtG"/>
        <w:keepNext/>
        <w:keepLines/>
        <w:ind w:left="2268" w:hanging="1134"/>
        <w:jc w:val="left"/>
        <w:rPr>
          <w:vertAlign w:val="subscript"/>
        </w:rPr>
      </w:pPr>
      <w:r w:rsidRPr="002C5876">
        <w:lastRenderedPageBreak/>
        <w:t>5.6</w:t>
      </w:r>
      <w:r w:rsidRPr="002C5876">
        <w:tab/>
      </w:r>
      <w:r w:rsidRPr="002C5876">
        <w:tab/>
        <w:t xml:space="preserve">Famille d’interpolation </w:t>
      </w:r>
    </w:p>
    <w:p w:rsidR="00E24DB7" w:rsidRPr="002C5876" w:rsidRDefault="00E24DB7" w:rsidP="00E24DB7">
      <w:pPr>
        <w:pStyle w:val="SingleTxtG"/>
        <w:keepNext/>
        <w:keepLines/>
        <w:ind w:left="2268" w:hanging="1134"/>
      </w:pPr>
      <w:r w:rsidRPr="002C5876">
        <w:t>5.6.1</w:t>
      </w:r>
      <w:r w:rsidRPr="002C5876">
        <w:tab/>
      </w:r>
      <w:r w:rsidRPr="002C5876">
        <w:tab/>
        <w:t>Famille d’interpolation pour les véhicules équipés uniquement d’un moteur à combustion interne</w:t>
      </w:r>
    </w:p>
    <w:p w:rsidR="00E24DB7" w:rsidRPr="002C5876" w:rsidRDefault="00E24DB7" w:rsidP="00E24DB7">
      <w:pPr>
        <w:pStyle w:val="SingleTxtG"/>
        <w:keepNext/>
        <w:keepLines/>
        <w:ind w:left="2268" w:hanging="1134"/>
        <w:rPr>
          <w:szCs w:val="24"/>
        </w:rPr>
      </w:pPr>
      <w:r w:rsidRPr="002C5876">
        <w:rPr>
          <w:szCs w:val="24"/>
        </w:rPr>
        <w:t>5.6.1.1</w:t>
      </w:r>
      <w:r w:rsidRPr="002C5876">
        <w:rPr>
          <w:szCs w:val="24"/>
        </w:rPr>
        <w:tab/>
        <w:t>Des véhicules peuvent être considérés comme appartenant à la même famille de véhicules du point de vue de l’interpolation même dans le cas où :</w:t>
      </w:r>
    </w:p>
    <w:p w:rsidR="00E24DB7" w:rsidRPr="002C5876" w:rsidRDefault="00E24DB7" w:rsidP="00E24DB7">
      <w:pPr>
        <w:pStyle w:val="SingleTxtG"/>
        <w:ind w:left="2835" w:hanging="567"/>
        <w:rPr>
          <w:szCs w:val="24"/>
        </w:rPr>
      </w:pPr>
      <w:r w:rsidRPr="002C5876">
        <w:rPr>
          <w:szCs w:val="24"/>
        </w:rPr>
        <w:t>a)</w:t>
      </w:r>
      <w:r w:rsidRPr="002C5876">
        <w:rPr>
          <w:szCs w:val="24"/>
        </w:rPr>
        <w:tab/>
        <w:t>Ils appartiennent à des classes de véhicules différentes (voir par. 2 de l’annexe 1) ;</w:t>
      </w:r>
    </w:p>
    <w:p w:rsidR="00E24DB7" w:rsidRPr="002C5876" w:rsidRDefault="00E24DB7" w:rsidP="00E24DB7">
      <w:pPr>
        <w:pStyle w:val="SingleTxtG"/>
        <w:ind w:left="2835" w:hanging="567"/>
        <w:rPr>
          <w:szCs w:val="24"/>
        </w:rPr>
      </w:pPr>
      <w:r w:rsidRPr="002C5876">
        <w:rPr>
          <w:szCs w:val="24"/>
        </w:rPr>
        <w:t>b)</w:t>
      </w:r>
      <w:r w:rsidRPr="002C5876">
        <w:rPr>
          <w:szCs w:val="24"/>
        </w:rPr>
        <w:tab/>
        <w:t>Ils ont des niveaux de réajustement de la vitesse différents (voir par. 8 de l’annexe 1) ;</w:t>
      </w:r>
    </w:p>
    <w:p w:rsidR="00E24DB7" w:rsidRPr="002C5876" w:rsidRDefault="00E24DB7" w:rsidP="00E24DB7">
      <w:pPr>
        <w:pStyle w:val="SingleTxtG"/>
        <w:ind w:left="2835" w:hanging="567"/>
        <w:rPr>
          <w:szCs w:val="24"/>
        </w:rPr>
      </w:pPr>
      <w:r w:rsidRPr="002C5876">
        <w:rPr>
          <w:szCs w:val="24"/>
        </w:rPr>
        <w:t>c)</w:t>
      </w:r>
      <w:r w:rsidRPr="002C5876">
        <w:rPr>
          <w:szCs w:val="24"/>
        </w:rPr>
        <w:tab/>
      </w:r>
      <w:r w:rsidRPr="002C5876">
        <w:rPr>
          <w:szCs w:val="24"/>
        </w:rPr>
        <w:tab/>
        <w:t>Ils ont des vitesses limitées différentes (voir par. 9 de l’annexe 1).</w:t>
      </w:r>
    </w:p>
    <w:p w:rsidR="00E24DB7" w:rsidRPr="002C5876" w:rsidRDefault="00E24DB7" w:rsidP="00E24DB7">
      <w:pPr>
        <w:pStyle w:val="SingleTxtG"/>
        <w:ind w:left="2127" w:hanging="993"/>
      </w:pPr>
      <w:r w:rsidRPr="002C5876">
        <w:rPr>
          <w:szCs w:val="24"/>
        </w:rPr>
        <w:t>5.6.1.2</w:t>
      </w:r>
      <w:r w:rsidRPr="002C5876">
        <w:rPr>
          <w:szCs w:val="24"/>
        </w:rPr>
        <w:tab/>
      </w:r>
      <w:r w:rsidRPr="002C5876">
        <w:t>Seuls des véhicules identiques en ce qui concerne les caractéristiques suivantes relatives au véhicule/à la chaîne de traction/et à la transmission sont considérés comme appartenant à la même famille de véhicules du point de vue de l’interpolation :</w:t>
      </w:r>
    </w:p>
    <w:p w:rsidR="00E24DB7" w:rsidRPr="002C5876" w:rsidRDefault="00E24DB7" w:rsidP="00E24DB7">
      <w:pPr>
        <w:pStyle w:val="SingleTxtG"/>
        <w:ind w:left="2835" w:hanging="567"/>
      </w:pPr>
      <w:r w:rsidRPr="002C5876">
        <w:t>a)</w:t>
      </w:r>
      <w:r w:rsidRPr="002C5876">
        <w:tab/>
        <w:t>Le type de moteur à combustion interne : type de carburant, procédé de combustion, cylindrée, caractéristiques à pleine charge, technologie moteur et système de suralimentation, ainsi que d’autres sous-systèmes moteurs ou caractéristiques ayant une incidence non négligeable sur les émissions massiques de CO</w:t>
      </w:r>
      <w:r w:rsidRPr="002C5876">
        <w:rPr>
          <w:vertAlign w:val="subscript"/>
        </w:rPr>
        <w:t>2</w:t>
      </w:r>
      <w:r w:rsidRPr="002C5876">
        <w:t xml:space="preserve"> dans les conditions du cycle WLTP ;</w:t>
      </w:r>
    </w:p>
    <w:p w:rsidR="00E24DB7" w:rsidRPr="002C5876" w:rsidRDefault="00E24DB7" w:rsidP="00E24DB7">
      <w:pPr>
        <w:pStyle w:val="SingleTxtG"/>
        <w:ind w:left="2835" w:hanging="567"/>
      </w:pPr>
      <w:r w:rsidRPr="002C5876">
        <w:t>b)</w:t>
      </w:r>
      <w:r w:rsidRPr="002C5876">
        <w:tab/>
        <w:t>La stratégie de fonctionnement de tous les composants influant sur les émissions massiques de CO</w:t>
      </w:r>
      <w:r w:rsidRPr="002C5876">
        <w:rPr>
          <w:vertAlign w:val="subscript"/>
        </w:rPr>
        <w:t>2</w:t>
      </w:r>
      <w:r w:rsidRPr="002C5876">
        <w:t xml:space="preserve"> dans la chaîne de traction ;</w:t>
      </w:r>
    </w:p>
    <w:p w:rsidR="00E24DB7" w:rsidRPr="002C5876" w:rsidRDefault="00E24DB7" w:rsidP="00E24DB7">
      <w:pPr>
        <w:pStyle w:val="SingleTxtG"/>
        <w:ind w:left="2835" w:hanging="567"/>
      </w:pPr>
      <w:r w:rsidRPr="002C5876">
        <w:t>c)</w:t>
      </w:r>
      <w:r w:rsidRPr="002C5876">
        <w:tab/>
        <w:t>Le type de transmission (manuelle, automatique ou à variation continue) ; et le modèle (couple maximum, nombre de rapports, nombre d’embrayages, etc.) ;</w:t>
      </w:r>
    </w:p>
    <w:p w:rsidR="00E24DB7" w:rsidRPr="002C5876" w:rsidRDefault="00E24DB7" w:rsidP="00E24DB7">
      <w:pPr>
        <w:pStyle w:val="SingleTxtG"/>
        <w:ind w:left="2835" w:hanging="567"/>
      </w:pPr>
      <w:r w:rsidRPr="002C5876">
        <w:t>d)</w:t>
      </w:r>
      <w:r w:rsidRPr="002C5876">
        <w:tab/>
        <w:t>Les rapports régime/vitesse (régime moteur divisé par vitesse du véhicule). Cette prescription est considérée comme satisfaite si, pour tous les rapports de démultiplication concernés, la différence avec les rapports régime/vitesse du type de transmission le plus couramment installé n’est pas supérieure à 8 % ;</w:t>
      </w:r>
    </w:p>
    <w:p w:rsidR="00E24DB7" w:rsidRPr="002C5876" w:rsidRDefault="00E24DB7" w:rsidP="00E24DB7">
      <w:pPr>
        <w:pStyle w:val="SingleTxtG"/>
        <w:ind w:left="2835" w:hanging="567"/>
      </w:pPr>
      <w:r w:rsidRPr="002C5876">
        <w:t>e)</w:t>
      </w:r>
      <w:r w:rsidRPr="002C5876">
        <w:tab/>
        <w:t>Le nombre d’essieux moteurs.</w:t>
      </w:r>
    </w:p>
    <w:p w:rsidR="00E24DB7" w:rsidRPr="002C5876" w:rsidRDefault="00E24DB7" w:rsidP="00E24DB7">
      <w:pPr>
        <w:pStyle w:val="SingleTxtG"/>
        <w:keepNext/>
        <w:keepLines/>
        <w:ind w:left="2268" w:hanging="1134"/>
      </w:pPr>
      <w:r w:rsidRPr="002C5876">
        <w:t>5.6.1.3</w:t>
      </w:r>
      <w:r w:rsidRPr="002C5876">
        <w:tab/>
        <w:t>Si un autre paramètre est utilisé, par exemple une valeur plus élevée de n</w:t>
      </w:r>
      <w:r w:rsidRPr="002C5876">
        <w:rPr>
          <w:vertAlign w:val="subscript"/>
        </w:rPr>
        <w:t>min_drive</w:t>
      </w:r>
      <w:r w:rsidRPr="002C5876">
        <w:t xml:space="preserve"> comme spécifié à l’alinéa k) du paragraphe 2 de l’annexe 2, ou le coefficient ASM tel que défini au paragraphe 3.4 de l’annexe 2, ce paramètre doit être le même au sein d’une famille d’interpolation donnée.</w:t>
      </w:r>
    </w:p>
    <w:p w:rsidR="00E24DB7" w:rsidRPr="002C5876" w:rsidRDefault="00E24DB7" w:rsidP="00E24DB7">
      <w:pPr>
        <w:pStyle w:val="SingleTxtG"/>
        <w:ind w:left="2268" w:hanging="1134"/>
      </w:pPr>
      <w:r w:rsidRPr="002C5876">
        <w:t>5.6.2</w:t>
      </w:r>
      <w:r w:rsidRPr="002C5876">
        <w:tab/>
      </w:r>
      <w:r w:rsidRPr="002C5876">
        <w:tab/>
        <w:t>Famille d’interpolation pour les véhicules hybrides électriques</w:t>
      </w:r>
      <w:r w:rsidRPr="002C5876">
        <w:rPr>
          <w:i/>
        </w:rPr>
        <w:t xml:space="preserve"> </w:t>
      </w:r>
      <w:r w:rsidRPr="002C5876">
        <w:t>non</w:t>
      </w:r>
      <w:r w:rsidRPr="002C5876">
        <w:rPr>
          <w:i/>
        </w:rPr>
        <w:t> </w:t>
      </w:r>
      <w:r w:rsidRPr="002C5876">
        <w:t>rechargeables de l’extérieur et véhicules hybrides électriques</w:t>
      </w:r>
      <w:r w:rsidRPr="002C5876">
        <w:rPr>
          <w:i/>
        </w:rPr>
        <w:t xml:space="preserve"> </w:t>
      </w:r>
      <w:r w:rsidRPr="002C5876">
        <w:t xml:space="preserve">rechargeables de l’extérieur (VHE-NRE et VHE-RE) </w:t>
      </w:r>
    </w:p>
    <w:p w:rsidR="00E24DB7" w:rsidRPr="002C5876" w:rsidRDefault="00E24DB7" w:rsidP="00E24DB7">
      <w:pPr>
        <w:pStyle w:val="SingleTxtG"/>
        <w:ind w:left="2268"/>
      </w:pPr>
      <w:r w:rsidRPr="002C5876">
        <w:t>Outre les prescriptions du paragraphe 5.6.1 du présent RTM, seuls des véhicules VHE-NRE et VHE-RE identiques en ce qui concerne les caractéristiques suivantes sont considérés comme appartenant à la même famille de véhicules du point de vue de l’interpolation :</w:t>
      </w:r>
    </w:p>
    <w:p w:rsidR="00E24DB7" w:rsidRPr="002C5876" w:rsidRDefault="00E24DB7" w:rsidP="00E24DB7">
      <w:pPr>
        <w:pStyle w:val="SingleTxtG"/>
        <w:ind w:left="2835" w:hanging="567"/>
      </w:pPr>
      <w:r w:rsidRPr="002C5876">
        <w:t>a)</w:t>
      </w:r>
      <w:r w:rsidRPr="002C5876">
        <w:tab/>
        <w:t>Le type et le nombre de machines électriques : type de construction (asynchrone/synchrone, etc.), mode de refroidissement (air, liquide) et toutes autres caractéristiques ayant une influence non négligeable sur les émissions massiques de CO</w:t>
      </w:r>
      <w:r w:rsidRPr="002C5876">
        <w:rPr>
          <w:vertAlign w:val="subscript"/>
        </w:rPr>
        <w:t>2</w:t>
      </w:r>
      <w:r w:rsidRPr="002C5876">
        <w:t xml:space="preserve"> et la consommation d’énergie électrique dans les conditions de l’essai WLTP ;</w:t>
      </w:r>
    </w:p>
    <w:p w:rsidR="00E24DB7" w:rsidRPr="002C5876" w:rsidRDefault="00E24DB7" w:rsidP="00E24DB7">
      <w:pPr>
        <w:pStyle w:val="SingleTxtG"/>
        <w:ind w:left="2835" w:hanging="567"/>
      </w:pPr>
      <w:r w:rsidRPr="002C5876">
        <w:t>b)</w:t>
      </w:r>
      <w:r w:rsidRPr="002C5876">
        <w:tab/>
        <w:t>Le type de SRSEE de traction (modèle, capacité, tension nominale, puissance nominale, mode de refroidissement (air, liquide)) ;</w:t>
      </w:r>
    </w:p>
    <w:p w:rsidR="00E24DB7" w:rsidRPr="002C5876" w:rsidRDefault="00E24DB7" w:rsidP="00E24DB7">
      <w:pPr>
        <w:pStyle w:val="SingleTxtG"/>
        <w:keepNext/>
        <w:keepLines/>
        <w:ind w:left="2835" w:hanging="567"/>
      </w:pPr>
      <w:r w:rsidRPr="002C5876">
        <w:lastRenderedPageBreak/>
        <w:t>c)</w:t>
      </w:r>
      <w:r w:rsidRPr="002C5876">
        <w:tab/>
        <w:t>Le type de convertisseur d’énergie électrique entre la machine électrique et le SRSEE de traction, entre le SRSEE de traction et l’alimentation à basse tension et entre le module de recharge sur secteur et le SRSEE de traction, et toutes autres caractéristiques ayant une influence non négligeable sur les émissions massiques de CO</w:t>
      </w:r>
      <w:r w:rsidRPr="002C5876">
        <w:rPr>
          <w:vertAlign w:val="subscript"/>
        </w:rPr>
        <w:t>2</w:t>
      </w:r>
      <w:r w:rsidRPr="002C5876">
        <w:t xml:space="preserve"> et la consommation d’énergie électrique dans les conditions de l’essai WLTP ;</w:t>
      </w:r>
    </w:p>
    <w:p w:rsidR="00E24DB7" w:rsidRPr="002C5876" w:rsidRDefault="00E24DB7" w:rsidP="00E24DB7">
      <w:pPr>
        <w:pStyle w:val="SingleTxtG"/>
        <w:ind w:left="2835" w:hanging="567"/>
      </w:pPr>
      <w:r w:rsidRPr="002C5876">
        <w:t>d)</w:t>
      </w:r>
      <w:r w:rsidRPr="002C5876">
        <w:tab/>
        <w:t>La différence entre le nombre de cycles d’épuisement de la charge</w:t>
      </w:r>
      <w:r w:rsidRPr="002C5876">
        <w:rPr>
          <w:i/>
        </w:rPr>
        <w:t xml:space="preserve"> </w:t>
      </w:r>
      <w:r w:rsidRPr="002C5876">
        <w:t>depuis le début de l’essai jusqu’au cycle de transition (compris) ne doit pas être de plus d’un.</w:t>
      </w:r>
    </w:p>
    <w:p w:rsidR="00E24DB7" w:rsidRPr="002C5876" w:rsidRDefault="00E24DB7" w:rsidP="00E24DB7">
      <w:pPr>
        <w:pStyle w:val="SingleTxtG"/>
        <w:keepNext/>
        <w:keepLines/>
        <w:ind w:left="2268" w:hanging="1134"/>
        <w:jc w:val="left"/>
      </w:pPr>
      <w:r w:rsidRPr="002C5876">
        <w:t>5.6.3</w:t>
      </w:r>
      <w:r w:rsidRPr="002C5876">
        <w:tab/>
      </w:r>
      <w:r w:rsidRPr="002C5876">
        <w:tab/>
        <w:t>Famille d’interpolation pour les véhicules électriques purs (VEP)</w:t>
      </w:r>
    </w:p>
    <w:p w:rsidR="00E24DB7" w:rsidRPr="002C5876" w:rsidRDefault="00E24DB7" w:rsidP="00E24DB7">
      <w:pPr>
        <w:pStyle w:val="SingleTxtG"/>
        <w:ind w:left="2268"/>
      </w:pPr>
      <w:r w:rsidRPr="002C5876">
        <w:tab/>
        <w:t>Seuls des véhicules électriques purs (VEP) identiques en ce qui concerne les caractéristiques électriques suivantes relatives à la chaîne de traction/et à la transmission sont considérés comme appartenant à la même famille de véhicules du point de vue de l’interpolation :</w:t>
      </w:r>
    </w:p>
    <w:p w:rsidR="00E24DB7" w:rsidRPr="002C5876" w:rsidRDefault="00E24DB7" w:rsidP="00E24DB7">
      <w:pPr>
        <w:pStyle w:val="SingleTxtG"/>
        <w:ind w:left="2835" w:hanging="567"/>
      </w:pPr>
      <w:r w:rsidRPr="002C5876">
        <w:t>a)</w:t>
      </w:r>
      <w:r w:rsidRPr="002C5876">
        <w:tab/>
        <w:t>Le type et le nombre de machines électriques : type de construction (asynchrone/synchrone, etc.), mode de refroidissement (air, liquide) et toutes autres caractéristiques ayant une influence non négligeable sur la consommation d’énergie électrique et l’autonomie dans les conditions de l’essai WLTP ;</w:t>
      </w:r>
    </w:p>
    <w:p w:rsidR="00E24DB7" w:rsidRPr="002C5876" w:rsidRDefault="00E24DB7" w:rsidP="00E24DB7">
      <w:pPr>
        <w:pStyle w:val="SingleTxtG"/>
        <w:ind w:left="2835" w:hanging="567"/>
      </w:pPr>
      <w:r w:rsidRPr="002C5876">
        <w:t>b)</w:t>
      </w:r>
      <w:r w:rsidRPr="002C5876">
        <w:tab/>
        <w:t>Le type de SRSEE de traction (modèle, capacité, tension nominale, puissance nominale, mode de refroidissement (air, liquide)) ;</w:t>
      </w:r>
    </w:p>
    <w:p w:rsidR="00E24DB7" w:rsidRPr="002C5876" w:rsidRDefault="00E24DB7" w:rsidP="00E24DB7">
      <w:pPr>
        <w:pStyle w:val="SingleTxtG"/>
        <w:ind w:left="2835" w:hanging="567"/>
      </w:pPr>
      <w:r w:rsidRPr="002C5876">
        <w:t>c)</w:t>
      </w:r>
      <w:r w:rsidRPr="002C5876">
        <w:tab/>
        <w:t>Le type de transmission (manuelle, automatique ou à variation continue) et le modèle (couple maximum, nombre de rapports, nombre d’embrayages, etc.) ;</w:t>
      </w:r>
    </w:p>
    <w:p w:rsidR="00E24DB7" w:rsidRPr="002C5876" w:rsidRDefault="00E24DB7" w:rsidP="00E24DB7">
      <w:pPr>
        <w:pStyle w:val="SingleTxtG"/>
        <w:ind w:left="2835" w:hanging="567"/>
      </w:pPr>
      <w:r w:rsidRPr="002C5876">
        <w:t>d)</w:t>
      </w:r>
      <w:r w:rsidRPr="002C5876">
        <w:tab/>
        <w:t>Le nombre d’essieux moteurs ;</w:t>
      </w:r>
    </w:p>
    <w:p w:rsidR="00E24DB7" w:rsidRPr="002C5876" w:rsidRDefault="00E24DB7" w:rsidP="00E24DB7">
      <w:pPr>
        <w:pStyle w:val="SingleTxtG"/>
        <w:ind w:left="2835" w:hanging="567"/>
      </w:pPr>
      <w:r w:rsidRPr="002C5876">
        <w:t>e)</w:t>
      </w:r>
      <w:r w:rsidRPr="002C5876">
        <w:tab/>
        <w:t>Le type de convertisseur d’énergie électrique entre la machine électrique et le SRSEE de traction, entre le SRSEE de traction et l’alimentation à basse tension et entre le module de recharge sur secteur et le SRSEE de traction, et toutes autres caractéristiques ayant une influence non négligeable sur la consommation d’énergie électrique et l’autonomie dans les conditions de l’essai WLTP ;</w:t>
      </w:r>
    </w:p>
    <w:p w:rsidR="00E24DB7" w:rsidRPr="002C5876" w:rsidRDefault="00E24DB7" w:rsidP="00E24DB7">
      <w:pPr>
        <w:pStyle w:val="SingleTxtG"/>
        <w:ind w:left="2835" w:hanging="567"/>
      </w:pPr>
      <w:r w:rsidRPr="002C5876">
        <w:t>f)</w:t>
      </w:r>
      <w:r w:rsidRPr="002C5876">
        <w:tab/>
        <w:t>La stratégie de fonctionnement de tous les composants influant sur la consommation d’énergie électrique du groupe motopropulseur ;</w:t>
      </w:r>
    </w:p>
    <w:p w:rsidR="00E24DB7" w:rsidRPr="002C5876" w:rsidRDefault="00E24DB7" w:rsidP="00E24DB7">
      <w:pPr>
        <w:pStyle w:val="SingleTxtG"/>
        <w:ind w:left="2835" w:hanging="567"/>
      </w:pPr>
      <w:r w:rsidRPr="002C5876">
        <w:t>g)</w:t>
      </w:r>
      <w:r w:rsidRPr="002C5876">
        <w:tab/>
        <w:t>Les rapports régime/vitesse (régime moteur divisé par vitesse du véhicule). Cette prescription est considérée comme satisfaite si, pour tous les rapports de démultiplication concernés, la différence avec les rapports régime/vitesse du type de transmission le plus couramment installé n’est pas supérieure à 8 %.</w:t>
      </w:r>
    </w:p>
    <w:p w:rsidR="00E24DB7" w:rsidRPr="002C5876" w:rsidRDefault="00E24DB7" w:rsidP="00481D5B">
      <w:pPr>
        <w:pStyle w:val="SingleTxtG"/>
        <w:keepNext/>
        <w:keepLines/>
        <w:ind w:left="2268" w:hanging="1134"/>
        <w:jc w:val="left"/>
      </w:pPr>
      <w:r w:rsidRPr="002C5876">
        <w:t>5.7</w:t>
      </w:r>
      <w:r w:rsidRPr="002C5876">
        <w:tab/>
      </w:r>
      <w:r w:rsidRPr="002C5876">
        <w:tab/>
        <w:t>Famille de résistance à l’avancement sur route</w:t>
      </w:r>
    </w:p>
    <w:p w:rsidR="00E24DB7" w:rsidRPr="002C5876" w:rsidRDefault="00E24DB7" w:rsidP="00E24DB7">
      <w:pPr>
        <w:pStyle w:val="SingleTxtG"/>
        <w:ind w:left="2268"/>
      </w:pPr>
      <w:r w:rsidRPr="002C5876">
        <w:t>Seuls des véhicules identiques en ce qui concerne les caractéristiques suivantes sont considérés comme appartenant à la même famille du point de vue de la résistance à l’avancement sur route :</w:t>
      </w:r>
    </w:p>
    <w:p w:rsidR="00E24DB7" w:rsidRPr="002C5876" w:rsidRDefault="00E24DB7" w:rsidP="00E24DB7">
      <w:pPr>
        <w:pStyle w:val="SingleTxtG"/>
        <w:ind w:left="2835" w:hanging="567"/>
      </w:pPr>
      <w:r w:rsidRPr="002C5876">
        <w:t>a)</w:t>
      </w:r>
      <w:r w:rsidRPr="002C5876">
        <w:tab/>
        <w:t>Le type de transmission (manuelle, automatique ou à variation continue) et le modèle (couple maximum, nombre de rapports, nombre d’embrayages, etc.) ; à la demande du constructeur, et avec l’accord de l’autorité compétente, une transmission présentant des pertes de puissance moindres peut être incluse dans la famille ;</w:t>
      </w:r>
    </w:p>
    <w:p w:rsidR="00E24DB7" w:rsidRPr="002C5876" w:rsidRDefault="00E24DB7" w:rsidP="00E24DB7">
      <w:pPr>
        <w:pStyle w:val="SingleTxtG"/>
        <w:ind w:left="2835" w:hanging="567"/>
      </w:pPr>
      <w:r w:rsidRPr="002C5876">
        <w:t>b)</w:t>
      </w:r>
      <w:r w:rsidRPr="002C5876">
        <w:tab/>
        <w:t xml:space="preserve">Les rapports régime/vitesse (régime moteur divisé par vitesse du véhicule). Cette prescription est considérée comme satisfaite si, pour tous les rapports de démultiplication concernés, la différence avec les </w:t>
      </w:r>
      <w:r w:rsidRPr="002C5876">
        <w:lastRenderedPageBreak/>
        <w:t>rapports de démultiplication du type de transmission le plus couramment installé n’est pas supérieure à 25 % ;</w:t>
      </w:r>
    </w:p>
    <w:p w:rsidR="00E24DB7" w:rsidRPr="002C5876" w:rsidRDefault="00E24DB7" w:rsidP="00E24DB7">
      <w:pPr>
        <w:pStyle w:val="SingleTxtG"/>
        <w:ind w:left="2835" w:hanging="567"/>
      </w:pPr>
      <w:r w:rsidRPr="002C5876">
        <w:t>c)</w:t>
      </w:r>
      <w:r w:rsidRPr="002C5876">
        <w:tab/>
        <w:t>Le nombre d’essieux moteurs.</w:t>
      </w:r>
    </w:p>
    <w:p w:rsidR="00E24DB7" w:rsidRPr="002C5876" w:rsidRDefault="00E24DB7" w:rsidP="00E24DB7">
      <w:pPr>
        <w:pStyle w:val="SingleTxtG"/>
        <w:ind w:left="2268"/>
      </w:pPr>
      <w:r w:rsidRPr="002C5876">
        <w:t>Si au moins une machine électrique est accouplée dans la position point mort de la boîte de vitesses et si le véhicule n’est pas équipé d’un mode de décélération libre (selon le paragraphe 4.2.1.8.5 de l’annexe 4) tel que la machine électrique n’influe pas sur la résistance à l’avancement sur route, les critères des paragraphes 5.6.2 a) et 5.6.3 a) du présent RTM ONU sont applicables.</w:t>
      </w:r>
    </w:p>
    <w:p w:rsidR="00E24DB7" w:rsidRPr="002C5876" w:rsidRDefault="00E24DB7" w:rsidP="00E24DB7">
      <w:pPr>
        <w:pStyle w:val="SingleTxtG"/>
        <w:ind w:left="2268"/>
      </w:pPr>
      <w:r w:rsidRPr="002C5876">
        <w:tab/>
        <w:t>En cas de différence de caractéristiques, en dehors de la masse du véhicule, de la résistance à l’avancement</w:t>
      </w:r>
      <w:r w:rsidRPr="002C5876">
        <w:rPr>
          <w:i/>
        </w:rPr>
        <w:t xml:space="preserve"> </w:t>
      </w:r>
      <w:r w:rsidRPr="002C5876">
        <w:t>et de facteurs aérodynamiques, ayant une influence non négligeable sur la résistance à l’avancement sur route, le véhicule en cause n’est pas considéré comme appartenant à la même famille sauf accord de l’autorité compétente.</w:t>
      </w:r>
    </w:p>
    <w:p w:rsidR="00E24DB7" w:rsidRPr="002C5876" w:rsidRDefault="00E24DB7" w:rsidP="00E24DB7">
      <w:pPr>
        <w:pStyle w:val="SingleTxtG"/>
        <w:keepNext/>
        <w:keepLines/>
        <w:ind w:left="2268" w:hanging="1134"/>
        <w:jc w:val="left"/>
      </w:pPr>
      <w:r w:rsidRPr="002C5876">
        <w:t>5.8</w:t>
      </w:r>
      <w:r w:rsidRPr="002C5876">
        <w:tab/>
      </w:r>
      <w:r w:rsidRPr="002C5876">
        <w:tab/>
        <w:t>Famille de matrices de résistance à l’avancement sur route</w:t>
      </w:r>
    </w:p>
    <w:p w:rsidR="00E24DB7" w:rsidRPr="002C5876" w:rsidRDefault="00E24DB7" w:rsidP="00E24DB7">
      <w:pPr>
        <w:pStyle w:val="SingleTxtG"/>
        <w:ind w:left="2268"/>
      </w:pPr>
      <w:r w:rsidRPr="002C5876">
        <w:tab/>
        <w:t>La famille de matrices de résistance à l’avancement sur route peut être appliquée aux véhicules conçus pour une masse maximale techniquement admissible en charge ≥ 3 000 kg.</w:t>
      </w:r>
    </w:p>
    <w:p w:rsidR="00E24DB7" w:rsidRPr="002C5876" w:rsidRDefault="00E24DB7" w:rsidP="00E24DB7">
      <w:pPr>
        <w:pStyle w:val="SingleTxtG"/>
        <w:ind w:left="2268"/>
      </w:pPr>
      <w:r w:rsidRPr="002C5876">
        <w:tab/>
        <w:t>Seuls des véhicules identiques en ce qui concerne les caractéristiques suivantes sont considérés comme appartenant à la même famille de matrices de résistance à l’avancement sur route :</w:t>
      </w:r>
    </w:p>
    <w:p w:rsidR="00E24DB7" w:rsidRPr="002C5876" w:rsidRDefault="00E24DB7" w:rsidP="00E24DB7">
      <w:pPr>
        <w:pStyle w:val="SingleTxtG"/>
        <w:ind w:left="2835" w:hanging="567"/>
      </w:pPr>
      <w:r w:rsidRPr="002C5876">
        <w:t>a)</w:t>
      </w:r>
      <w:r w:rsidRPr="002C5876">
        <w:tab/>
        <w:t>Le type de transmission (manuelle, automatique ou à variation continue) ;</w:t>
      </w:r>
    </w:p>
    <w:p w:rsidR="00E24DB7" w:rsidRPr="002C5876" w:rsidRDefault="00E24DB7" w:rsidP="00E24DB7">
      <w:pPr>
        <w:pStyle w:val="SingleTxtG"/>
        <w:ind w:left="2835" w:hanging="567"/>
      </w:pPr>
      <w:r w:rsidRPr="002C5876">
        <w:t>b)</w:t>
      </w:r>
      <w:r w:rsidRPr="002C5876">
        <w:tab/>
        <w:t>Le nombre d’essieux moteurs.</w:t>
      </w:r>
    </w:p>
    <w:p w:rsidR="00E24DB7" w:rsidRPr="002C5876" w:rsidRDefault="00E24DB7" w:rsidP="00E24DB7">
      <w:pPr>
        <w:pStyle w:val="SingleTxtG"/>
        <w:keepNext/>
        <w:keepLines/>
        <w:ind w:left="2268" w:hanging="1134"/>
        <w:jc w:val="left"/>
      </w:pPr>
      <w:r w:rsidRPr="002C5876">
        <w:t>5.9</w:t>
      </w:r>
      <w:r w:rsidRPr="002C5876">
        <w:tab/>
      </w:r>
      <w:r w:rsidRPr="002C5876">
        <w:tab/>
        <w:t>Famille de systèmes à régénération périodique (K</w:t>
      </w:r>
      <w:r w:rsidRPr="002C5876">
        <w:rPr>
          <w:vertAlign w:val="subscript"/>
        </w:rPr>
        <w:t>i</w:t>
      </w:r>
      <w:r w:rsidRPr="002C5876">
        <w:t>)</w:t>
      </w:r>
    </w:p>
    <w:p w:rsidR="00E24DB7" w:rsidRPr="002C5876" w:rsidRDefault="00E24DB7" w:rsidP="00E24DB7">
      <w:pPr>
        <w:pStyle w:val="SingleTxtG"/>
        <w:ind w:left="2268"/>
      </w:pPr>
      <w:r w:rsidRPr="002C5876">
        <w:t>Seuls des véhicules identiques en ce qui concerne les caractéristiques suivantes sont considérés comme appartenant à la même famille de systèmes à régénération périodique :</w:t>
      </w:r>
    </w:p>
    <w:p w:rsidR="00E24DB7" w:rsidRPr="002C5876" w:rsidRDefault="00E24DB7" w:rsidP="00E24DB7">
      <w:pPr>
        <w:pStyle w:val="SingleTxtG"/>
        <w:ind w:left="2842" w:hanging="574"/>
      </w:pPr>
      <w:r w:rsidRPr="002C5876">
        <w:t>a)</w:t>
      </w:r>
      <w:r w:rsidRPr="002C5876">
        <w:tab/>
        <w:t>Le type de moteur à combustion interne : type de carburant, procédé de combustion ;</w:t>
      </w:r>
    </w:p>
    <w:p w:rsidR="00E24DB7" w:rsidRPr="002C5876" w:rsidRDefault="00E24DB7" w:rsidP="00E24DB7">
      <w:pPr>
        <w:pStyle w:val="SingleTxtG"/>
        <w:ind w:left="2842" w:hanging="574"/>
      </w:pPr>
      <w:r w:rsidRPr="002C5876">
        <w:t>b)</w:t>
      </w:r>
      <w:r w:rsidRPr="002C5876">
        <w:tab/>
        <w:t>Le système à régénération périodique (catalyseur, filtre à particules) :</w:t>
      </w:r>
    </w:p>
    <w:p w:rsidR="00E24DB7" w:rsidRPr="002C5876" w:rsidRDefault="00E24DB7" w:rsidP="00E24DB7">
      <w:pPr>
        <w:pStyle w:val="SingleTxtG"/>
        <w:ind w:left="3402" w:hanging="574"/>
      </w:pPr>
      <w:r w:rsidRPr="002C5876">
        <w:t>i)</w:t>
      </w:r>
      <w:r w:rsidRPr="002C5876">
        <w:tab/>
        <w:t>Configuration (type d’enceinte, type de métal précieux, type de substrat, densité des canaux) ;</w:t>
      </w:r>
    </w:p>
    <w:p w:rsidR="00E24DB7" w:rsidRPr="002C5876" w:rsidRDefault="00E24DB7" w:rsidP="00E24DB7">
      <w:pPr>
        <w:pStyle w:val="SingleTxtG"/>
        <w:ind w:left="3402" w:hanging="574"/>
      </w:pPr>
      <w:r w:rsidRPr="002C5876">
        <w:t>ii)</w:t>
      </w:r>
      <w:r w:rsidRPr="002C5876">
        <w:tab/>
        <w:t>Type et principe de fonctionnement ;</w:t>
      </w:r>
    </w:p>
    <w:p w:rsidR="00E24DB7" w:rsidRPr="002C5876" w:rsidRDefault="00E24DB7" w:rsidP="00E24DB7">
      <w:pPr>
        <w:pStyle w:val="SingleTxtG"/>
        <w:ind w:left="3402" w:hanging="574"/>
      </w:pPr>
      <w:r w:rsidRPr="002C5876">
        <w:t>iii)</w:t>
      </w:r>
      <w:r w:rsidRPr="002C5876">
        <w:tab/>
        <w:t xml:space="preserve">Volume </w:t>
      </w:r>
      <w:r w:rsidRPr="002C5876">
        <w:sym w:font="Symbol" w:char="F0B1"/>
      </w:r>
      <w:r w:rsidRPr="002C5876">
        <w:t>10 % ;</w:t>
      </w:r>
    </w:p>
    <w:p w:rsidR="00E24DB7" w:rsidRPr="002C5876" w:rsidRDefault="00E24DB7" w:rsidP="00E24DB7">
      <w:pPr>
        <w:pStyle w:val="SingleTxtG"/>
        <w:ind w:left="3402" w:hanging="574"/>
      </w:pPr>
      <w:r w:rsidRPr="002C5876">
        <w:t>iv)</w:t>
      </w:r>
      <w:r w:rsidRPr="002C5876">
        <w:tab/>
        <w:t xml:space="preserve">Emplacement (température </w:t>
      </w:r>
      <w:r w:rsidRPr="002C5876">
        <w:sym w:font="Symbol" w:char="F0B1"/>
      </w:r>
      <w:r w:rsidRPr="002C5876">
        <w:t>100 ºC à la seconde plus haute vitesse de référence) ;</w:t>
      </w:r>
    </w:p>
    <w:p w:rsidR="00E24DB7" w:rsidRPr="002C5876" w:rsidRDefault="00E24DB7" w:rsidP="00E24DB7">
      <w:pPr>
        <w:pStyle w:val="SingleTxtG"/>
        <w:ind w:left="2835" w:hanging="567"/>
      </w:pPr>
      <w:r w:rsidRPr="002C5876">
        <w:t>c)</w:t>
      </w:r>
      <w:r w:rsidRPr="002C5876">
        <w:tab/>
        <w:t>La masse d’essai de chaque véhicule de la famille doit être inférieure ou égale à la masse d’essai du véhicule utilisé pour l’essai de contrôle de K</w:t>
      </w:r>
      <w:r w:rsidRPr="002C5876">
        <w:rPr>
          <w:vertAlign w:val="subscript"/>
        </w:rPr>
        <w:t>i</w:t>
      </w:r>
      <w:r w:rsidRPr="002C5876">
        <w:t xml:space="preserve"> plus 250 kg.</w:t>
      </w:r>
    </w:p>
    <w:p w:rsidR="00E24DB7" w:rsidRPr="002C5876" w:rsidRDefault="00E24DB7" w:rsidP="00E24DB7">
      <w:pPr>
        <w:pStyle w:val="H1G"/>
      </w:pPr>
      <w:r w:rsidRPr="002C5876">
        <w:tab/>
      </w:r>
      <w:r w:rsidRPr="002C5876">
        <w:tab/>
        <w:t>6.</w:t>
      </w:r>
      <w:r w:rsidRPr="002C5876">
        <w:tab/>
      </w:r>
      <w:r w:rsidRPr="002C5876">
        <w:tab/>
        <w:t>Prescriptions concernant les résultats des essais</w:t>
      </w:r>
    </w:p>
    <w:p w:rsidR="00E24DB7" w:rsidRPr="002C5876" w:rsidRDefault="00E24DB7" w:rsidP="00E24DB7">
      <w:pPr>
        <w:pStyle w:val="SingleTxtG"/>
        <w:keepNext/>
        <w:keepLines/>
      </w:pPr>
      <w:r w:rsidRPr="002C5876">
        <w:t>6.1</w:t>
      </w:r>
      <w:r w:rsidRPr="002C5876">
        <w:tab/>
      </w:r>
      <w:r w:rsidRPr="002C5876">
        <w:tab/>
        <w:t>Valeurs limites</w:t>
      </w:r>
    </w:p>
    <w:p w:rsidR="00E24DB7" w:rsidRPr="002C5876" w:rsidRDefault="00E24DB7" w:rsidP="00E24DB7">
      <w:pPr>
        <w:pStyle w:val="SingleTxtG"/>
        <w:ind w:left="2268"/>
      </w:pPr>
      <w:r w:rsidRPr="002C5876">
        <w:t xml:space="preserve">Lors de la mise en œuvre de la procédure d’essai définie dans le présent RTM ONU dans le cadre de leur législation ou réglementation nationale, les Parties contractantes à l’Accord de 1998 sont invitées à appliquer des valeurs limites qui soient au moins aussi rigoureuses que celles de leur réglementation actuelle, en attendant l’établissement de valeurs limites harmonisées par le </w:t>
      </w:r>
      <w:r w:rsidRPr="002C5876">
        <w:lastRenderedPageBreak/>
        <w:t>Comité exécutif (AC.3) de l’Accord de 1998 qui seront intégrées au RTM ONU à une date ultérieure.</w:t>
      </w:r>
    </w:p>
    <w:p w:rsidR="00E24DB7" w:rsidRPr="002C5876" w:rsidRDefault="00E24DB7" w:rsidP="00E24DB7">
      <w:pPr>
        <w:pStyle w:val="SingleTxtG"/>
        <w:keepNext/>
        <w:keepLines/>
        <w:ind w:left="2268" w:hanging="1134"/>
        <w:jc w:val="left"/>
      </w:pPr>
      <w:r w:rsidRPr="002C5876">
        <w:t>6.2</w:t>
      </w:r>
      <w:r w:rsidRPr="002C5876">
        <w:tab/>
      </w:r>
      <w:r w:rsidRPr="002C5876">
        <w:tab/>
        <w:t>Essais</w:t>
      </w:r>
    </w:p>
    <w:p w:rsidR="00E24DB7" w:rsidRPr="002C5876" w:rsidRDefault="00E24DB7" w:rsidP="00E24DB7">
      <w:pPr>
        <w:pStyle w:val="SingleTxtG"/>
        <w:keepNext/>
        <w:keepLines/>
        <w:ind w:left="2268"/>
      </w:pPr>
      <w:r w:rsidRPr="002C5876">
        <w:t>Les essais doivent être exécutés conformément :</w:t>
      </w:r>
    </w:p>
    <w:p w:rsidR="00E24DB7" w:rsidRPr="002C5876" w:rsidRDefault="00E24DB7" w:rsidP="00E24DB7">
      <w:pPr>
        <w:pStyle w:val="SingleTxtG"/>
        <w:ind w:left="2835" w:hanging="567"/>
      </w:pPr>
      <w:r w:rsidRPr="002C5876">
        <w:t>a)</w:t>
      </w:r>
      <w:r w:rsidRPr="002C5876">
        <w:tab/>
        <w:t>Aux cycles WLTC comme spécifié à l’annexe 1 ;</w:t>
      </w:r>
    </w:p>
    <w:p w:rsidR="00E24DB7" w:rsidRPr="002C5876" w:rsidRDefault="00E24DB7" w:rsidP="00E24DB7">
      <w:pPr>
        <w:pStyle w:val="SingleTxtG"/>
        <w:ind w:left="2835" w:hanging="567"/>
      </w:pPr>
      <w:r w:rsidRPr="002C5876">
        <w:t>b)</w:t>
      </w:r>
      <w:r w:rsidRPr="002C5876">
        <w:tab/>
        <w:t>Aux modalités de sélection des rapports et de points de changement des rapports comme spécifié à l’annexe 2 ;</w:t>
      </w:r>
    </w:p>
    <w:p w:rsidR="00E24DB7" w:rsidRPr="002C5876" w:rsidRDefault="00E24DB7" w:rsidP="00E24DB7">
      <w:pPr>
        <w:pStyle w:val="SingleTxtG"/>
        <w:ind w:left="2835" w:hanging="567"/>
      </w:pPr>
      <w:r w:rsidRPr="002C5876">
        <w:t>c)</w:t>
      </w:r>
      <w:r w:rsidRPr="002C5876">
        <w:tab/>
        <w:t>Au carburant approprié comme spécifié à l’annexe 3 ;</w:t>
      </w:r>
    </w:p>
    <w:p w:rsidR="00E24DB7" w:rsidRPr="002C5876" w:rsidRDefault="00E24DB7" w:rsidP="00E24DB7">
      <w:pPr>
        <w:pStyle w:val="SingleTxtG"/>
        <w:ind w:left="2835" w:hanging="567"/>
      </w:pPr>
      <w:r w:rsidRPr="002C5876">
        <w:t>d)</w:t>
      </w:r>
      <w:r w:rsidRPr="002C5876">
        <w:tab/>
        <w:t>À la résistance à l’avancement sur route et au réglage sur dynamomètre comme spécifié à l’annexe 4 ;</w:t>
      </w:r>
    </w:p>
    <w:p w:rsidR="00E24DB7" w:rsidRPr="002C5876" w:rsidRDefault="00E24DB7" w:rsidP="00E24DB7">
      <w:pPr>
        <w:pStyle w:val="SingleTxtG"/>
        <w:ind w:left="2835" w:hanging="567"/>
      </w:pPr>
      <w:r w:rsidRPr="002C5876">
        <w:t>e)</w:t>
      </w:r>
      <w:r w:rsidRPr="002C5876">
        <w:tab/>
        <w:t>À l’équipement d’essai comme spécifié à l’annexe 5 ;</w:t>
      </w:r>
    </w:p>
    <w:p w:rsidR="00E24DB7" w:rsidRPr="002C5876" w:rsidRDefault="00E24DB7" w:rsidP="00E24DB7">
      <w:pPr>
        <w:pStyle w:val="SingleTxtG"/>
        <w:ind w:left="2835" w:hanging="567"/>
      </w:pPr>
      <w:r w:rsidRPr="002C5876">
        <w:t>f)</w:t>
      </w:r>
      <w:r w:rsidRPr="002C5876">
        <w:tab/>
        <w:t>Aux procédures d’essai comme spécifié aux annexes 6 et 8 ;</w:t>
      </w:r>
    </w:p>
    <w:p w:rsidR="00E24DB7" w:rsidRPr="002C5876" w:rsidRDefault="00E24DB7" w:rsidP="00E24DB7">
      <w:pPr>
        <w:pStyle w:val="SingleTxtG"/>
        <w:ind w:left="2835" w:hanging="567"/>
      </w:pPr>
      <w:r w:rsidRPr="002C5876">
        <w:t>g)</w:t>
      </w:r>
      <w:r w:rsidRPr="002C5876">
        <w:tab/>
        <w:t>Aux méthodes de calcul comme spécifié aux annexes 7 et 8.</w:t>
      </w:r>
    </w:p>
    <w:p w:rsidR="0007537F" w:rsidRPr="002C5876" w:rsidRDefault="0007537F" w:rsidP="00E24DB7">
      <w:pPr>
        <w:pStyle w:val="SingleTxtG"/>
        <w:ind w:left="2835" w:hanging="567"/>
      </w:pPr>
    </w:p>
    <w:p w:rsidR="0007537F" w:rsidRPr="002C5876" w:rsidRDefault="0007537F" w:rsidP="00E24DB7">
      <w:pPr>
        <w:pStyle w:val="SingleTxtG"/>
        <w:ind w:left="2835" w:hanging="567"/>
        <w:sectPr w:rsidR="0007537F" w:rsidRPr="002C5876" w:rsidSect="006F5C8A">
          <w:endnotePr>
            <w:numFmt w:val="decimal"/>
          </w:endnotePr>
          <w:type w:val="oddPage"/>
          <w:pgSz w:w="11907" w:h="16840" w:code="9"/>
          <w:pgMar w:top="1418" w:right="1134" w:bottom="1134" w:left="1134" w:header="851" w:footer="567" w:gutter="0"/>
          <w:cols w:space="720"/>
          <w:docGrid w:linePitch="272"/>
        </w:sectPr>
      </w:pPr>
    </w:p>
    <w:p w:rsidR="00E24DB7" w:rsidRPr="002C5876" w:rsidRDefault="00E24DB7" w:rsidP="00E24DB7">
      <w:pPr>
        <w:pStyle w:val="HChG"/>
      </w:pPr>
      <w:r w:rsidRPr="002C5876">
        <w:lastRenderedPageBreak/>
        <w:t>Annexe 1</w:t>
      </w:r>
    </w:p>
    <w:p w:rsidR="00E24DB7" w:rsidRPr="002C5876" w:rsidRDefault="00E24DB7" w:rsidP="00E24DB7">
      <w:pPr>
        <w:pStyle w:val="HChG"/>
      </w:pPr>
      <w:r w:rsidRPr="002C5876">
        <w:tab/>
      </w:r>
      <w:r w:rsidRPr="002C5876">
        <w:tab/>
        <w:t>Cycles d’essai WLTC</w:t>
      </w:r>
    </w:p>
    <w:p w:rsidR="00E24DB7" w:rsidRPr="002C5876" w:rsidRDefault="00E24DB7" w:rsidP="00E24DB7">
      <w:pPr>
        <w:pStyle w:val="SingleTxtG"/>
        <w:keepNext/>
        <w:ind w:left="2268" w:hanging="1134"/>
        <w:jc w:val="left"/>
      </w:pPr>
      <w:r w:rsidRPr="002C5876">
        <w:t>1.</w:t>
      </w:r>
      <w:r w:rsidRPr="002C5876">
        <w:tab/>
      </w:r>
      <w:r w:rsidRPr="002C5876">
        <w:tab/>
        <w:t>Prescriptions générales</w:t>
      </w:r>
    </w:p>
    <w:p w:rsidR="00E24DB7" w:rsidRPr="002C5876" w:rsidRDefault="00E24DB7" w:rsidP="00E24DB7">
      <w:pPr>
        <w:pStyle w:val="SingleTxtG"/>
        <w:ind w:left="2268"/>
      </w:pPr>
      <w:r w:rsidRPr="002C5876">
        <w:tab/>
        <w:t>Le cycle d’essai à appliquer dépend du rapport puissance nominale/masse en ordre de marche du véhicule d’essai moins 75 kg, W/kg, et de sa vitesse maximale v</w:t>
      </w:r>
      <w:r w:rsidRPr="002C5876">
        <w:rPr>
          <w:vertAlign w:val="subscript"/>
        </w:rPr>
        <w:t>max</w:t>
      </w:r>
      <w:r w:rsidRPr="002C5876">
        <w:t xml:space="preserve">. </w:t>
      </w:r>
    </w:p>
    <w:p w:rsidR="00E24DB7" w:rsidRPr="002C5876" w:rsidRDefault="00E24DB7" w:rsidP="00E24DB7">
      <w:pPr>
        <w:pStyle w:val="SingleTxtG"/>
        <w:ind w:left="2268"/>
      </w:pPr>
      <w:r w:rsidRPr="002C5876">
        <w:t>Le cycle résultant des prescriptions énoncées dans la présente annexe est désigné « cycle applicable » dans les autres parties du RTM ONU.</w:t>
      </w:r>
    </w:p>
    <w:p w:rsidR="00E24DB7" w:rsidRPr="002C5876" w:rsidRDefault="00E24DB7" w:rsidP="00E24DB7">
      <w:pPr>
        <w:pStyle w:val="SingleTxtG"/>
        <w:keepNext/>
        <w:keepLines/>
        <w:ind w:left="2268" w:hanging="1134"/>
        <w:jc w:val="left"/>
      </w:pPr>
      <w:r w:rsidRPr="002C5876">
        <w:t>2.</w:t>
      </w:r>
      <w:r w:rsidRPr="002C5876">
        <w:tab/>
      </w:r>
      <w:r w:rsidRPr="002C5876">
        <w:tab/>
        <w:t>Classes de véhicules</w:t>
      </w:r>
    </w:p>
    <w:p w:rsidR="00E24DB7" w:rsidRPr="002C5876" w:rsidRDefault="00E24DB7" w:rsidP="00E24DB7">
      <w:pPr>
        <w:pStyle w:val="SingleTxtG"/>
        <w:ind w:left="2268" w:hanging="1134"/>
      </w:pPr>
      <w:r w:rsidRPr="002C5876">
        <w:t>2.1</w:t>
      </w:r>
      <w:r w:rsidRPr="002C5876">
        <w:tab/>
      </w:r>
      <w:r w:rsidRPr="002C5876">
        <w:tab/>
        <w:t>Les véhicules de la classe 1 ont un rapport puissance/masse en ordre de marche moins 75 kg (P</w:t>
      </w:r>
      <w:r w:rsidRPr="002C5876">
        <w:rPr>
          <w:vertAlign w:val="subscript"/>
        </w:rPr>
        <w:t>mr</w:t>
      </w:r>
      <w:r w:rsidRPr="002C5876">
        <w:t>) inférieur ou égal à 22 W/kg.</w:t>
      </w:r>
    </w:p>
    <w:p w:rsidR="00E24DB7" w:rsidRPr="002C5876" w:rsidRDefault="00E24DB7" w:rsidP="00E24DB7">
      <w:pPr>
        <w:pStyle w:val="SingleTxtG"/>
        <w:ind w:left="2268" w:hanging="1134"/>
      </w:pPr>
      <w:r w:rsidRPr="002C5876">
        <w:t>2.2</w:t>
      </w:r>
      <w:r w:rsidRPr="002C5876">
        <w:tab/>
      </w:r>
      <w:r w:rsidRPr="002C5876">
        <w:tab/>
        <w:t>Les véhicules de la classe 2 ont un rapport puissance/masse en ordre de marche moins 75 kg supérieur à 22 mais inférieur ou égal à 34 W/kg.</w:t>
      </w:r>
    </w:p>
    <w:p w:rsidR="00E24DB7" w:rsidRPr="002C5876" w:rsidRDefault="00E24DB7" w:rsidP="00E24DB7">
      <w:pPr>
        <w:pStyle w:val="SingleTxtG"/>
        <w:ind w:left="2268" w:hanging="1134"/>
      </w:pPr>
      <w:r w:rsidRPr="002C5876">
        <w:t>2.3</w:t>
      </w:r>
      <w:r w:rsidRPr="002C5876">
        <w:tab/>
      </w:r>
      <w:r w:rsidRPr="002C5876">
        <w:tab/>
        <w:t>Les véhicules de la classe 3 ont un rapport puissance/masse en ordre de marche moins 75 kg supérieur à 34 W/kg.</w:t>
      </w:r>
    </w:p>
    <w:p w:rsidR="00E24DB7" w:rsidRPr="002C5876" w:rsidRDefault="00E24DB7" w:rsidP="00E24DB7">
      <w:pPr>
        <w:pStyle w:val="SingleTxtG"/>
        <w:ind w:left="2268" w:hanging="1134"/>
      </w:pPr>
      <w:r w:rsidRPr="002C5876">
        <w:t>2.3.1</w:t>
      </w:r>
      <w:r w:rsidRPr="002C5876">
        <w:tab/>
        <w:t>Les véhicules de la classe 3 sont répartis dans deux sous-classes en fonction de leur vitesse maximale, v</w:t>
      </w:r>
      <w:r w:rsidRPr="002C5876">
        <w:rPr>
          <w:vertAlign w:val="subscript"/>
        </w:rPr>
        <w:t>max</w:t>
      </w:r>
      <w:r w:rsidRPr="002C5876">
        <w:t> :</w:t>
      </w:r>
    </w:p>
    <w:p w:rsidR="00E24DB7" w:rsidRPr="002C5876" w:rsidRDefault="00E24DB7" w:rsidP="00E24DB7">
      <w:pPr>
        <w:pStyle w:val="SingleTxtG"/>
        <w:ind w:left="2268" w:hanging="1134"/>
      </w:pPr>
      <w:r w:rsidRPr="002C5876">
        <w:t>2.3.1.1</w:t>
      </w:r>
      <w:r w:rsidRPr="002C5876">
        <w:tab/>
        <w:t>Les véhicules de la classe 3a, pour lesquels v</w:t>
      </w:r>
      <w:r w:rsidRPr="002C5876">
        <w:rPr>
          <w:vertAlign w:val="subscript"/>
        </w:rPr>
        <w:t>max</w:t>
      </w:r>
      <w:r w:rsidRPr="002C5876">
        <w:t xml:space="preserve"> &lt; 120</w:t>
      </w:r>
      <w:r w:rsidR="00C574AA">
        <w:t> </w:t>
      </w:r>
      <w:r w:rsidRPr="002C5876">
        <w:t>km/h</w:t>
      </w:r>
      <w:r w:rsidR="00C574AA">
        <w:t> </w:t>
      </w:r>
      <w:r w:rsidRPr="002C5876">
        <w:t>;</w:t>
      </w:r>
    </w:p>
    <w:p w:rsidR="00E24DB7" w:rsidRPr="002C5876" w:rsidRDefault="00E24DB7" w:rsidP="00E24DB7">
      <w:pPr>
        <w:pStyle w:val="SingleTxtG"/>
        <w:ind w:left="2268" w:hanging="1134"/>
      </w:pPr>
      <w:r w:rsidRPr="002C5876">
        <w:t>2.3.1.2</w:t>
      </w:r>
      <w:r w:rsidRPr="002C5876">
        <w:tab/>
        <w:t>Les véhicules de la classe 3b, pour lesquels v</w:t>
      </w:r>
      <w:r w:rsidRPr="002C5876">
        <w:rPr>
          <w:vertAlign w:val="subscript"/>
        </w:rPr>
        <w:t>max</w:t>
      </w:r>
      <w:r w:rsidRPr="002C5876">
        <w:t xml:space="preserve"> ≥ 120 km/h.</w:t>
      </w:r>
    </w:p>
    <w:p w:rsidR="00E24DB7" w:rsidRPr="002C5876" w:rsidRDefault="00E24DB7" w:rsidP="00E24DB7">
      <w:pPr>
        <w:pStyle w:val="SingleTxtG"/>
        <w:ind w:left="2268" w:hanging="1134"/>
      </w:pPr>
      <w:r w:rsidRPr="002C5876">
        <w:t>2.3.2</w:t>
      </w:r>
      <w:r w:rsidRPr="002C5876">
        <w:tab/>
      </w:r>
      <w:r w:rsidRPr="002C5876">
        <w:tab/>
        <w:t>Tous les véhicules soumis à essai conformément aux dispositions de l’annexe 8 sont considérés comme des véhicules de la classe 3.</w:t>
      </w:r>
    </w:p>
    <w:p w:rsidR="00E24DB7" w:rsidRPr="002C5876" w:rsidRDefault="00E24DB7" w:rsidP="00E24DB7">
      <w:pPr>
        <w:pStyle w:val="SingleTxtG"/>
        <w:keepNext/>
        <w:keepLines/>
        <w:ind w:left="2268" w:hanging="1134"/>
      </w:pPr>
      <w:r w:rsidRPr="002C5876">
        <w:t>3.</w:t>
      </w:r>
      <w:r w:rsidRPr="002C5876">
        <w:tab/>
      </w:r>
      <w:r w:rsidRPr="002C5876">
        <w:tab/>
        <w:t>Cycles d’essai</w:t>
      </w:r>
    </w:p>
    <w:p w:rsidR="00E24DB7" w:rsidRPr="002C5876" w:rsidRDefault="00E24DB7" w:rsidP="00E24DB7">
      <w:pPr>
        <w:pStyle w:val="SingleTxtG"/>
        <w:keepNext/>
        <w:keepLines/>
        <w:ind w:left="2268" w:hanging="1134"/>
      </w:pPr>
      <w:r w:rsidRPr="002C5876">
        <w:t>3.1</w:t>
      </w:r>
      <w:r w:rsidRPr="002C5876">
        <w:tab/>
      </w:r>
      <w:r w:rsidRPr="002C5876">
        <w:tab/>
        <w:t>Cycle pour les véhicules de la classe 1</w:t>
      </w:r>
    </w:p>
    <w:p w:rsidR="00E24DB7" w:rsidRPr="002C5876" w:rsidRDefault="00E24DB7" w:rsidP="00E24DB7">
      <w:pPr>
        <w:pStyle w:val="SingleTxtG"/>
        <w:ind w:left="2268" w:hanging="1134"/>
      </w:pPr>
      <w:r w:rsidRPr="002C5876">
        <w:t>3.1.1</w:t>
      </w:r>
      <w:r w:rsidRPr="002C5876">
        <w:tab/>
      </w:r>
      <w:r w:rsidRPr="002C5876">
        <w:tab/>
        <w:t>Pour les véhicules de la classe 1, un cycle d’essai complet comprend une phase à basse vitesse (Low</w:t>
      </w:r>
      <w:r w:rsidRPr="002C5876">
        <w:rPr>
          <w:vertAlign w:val="subscript"/>
        </w:rPr>
        <w:t>1</w:t>
      </w:r>
      <w:r w:rsidRPr="002C5876">
        <w:t>), une phase à vitesse moyenne (Medium</w:t>
      </w:r>
      <w:r w:rsidRPr="002C5876">
        <w:rPr>
          <w:vertAlign w:val="subscript"/>
        </w:rPr>
        <w:t>1</w:t>
      </w:r>
      <w:r w:rsidRPr="002C5876">
        <w:t>) et une phase à basse vitesse additionnelle (Low</w:t>
      </w:r>
      <w:r w:rsidRPr="002C5876">
        <w:rPr>
          <w:vertAlign w:val="subscript"/>
        </w:rPr>
        <w:t>1</w:t>
      </w:r>
      <w:r w:rsidRPr="002C5876">
        <w:t>).</w:t>
      </w:r>
    </w:p>
    <w:p w:rsidR="00E24DB7" w:rsidRPr="002C5876" w:rsidRDefault="00E24DB7" w:rsidP="00E24DB7">
      <w:pPr>
        <w:pStyle w:val="SingleTxtG"/>
        <w:ind w:left="2268" w:hanging="1134"/>
      </w:pPr>
      <w:r w:rsidRPr="002C5876">
        <w:t>3.1.2</w:t>
      </w:r>
      <w:r w:rsidRPr="002C5876">
        <w:tab/>
      </w:r>
      <w:r w:rsidRPr="002C5876">
        <w:tab/>
        <w:t>La phase Low</w:t>
      </w:r>
      <w:r w:rsidRPr="002C5876">
        <w:rPr>
          <w:vertAlign w:val="subscript"/>
        </w:rPr>
        <w:t>1</w:t>
      </w:r>
      <w:r w:rsidRPr="002C5876">
        <w:t xml:space="preserve"> est décrite à la figure A1/1 et au tableau A1/1.</w:t>
      </w:r>
    </w:p>
    <w:p w:rsidR="00E24DB7" w:rsidRPr="002C5876" w:rsidRDefault="00E24DB7" w:rsidP="00E24DB7">
      <w:pPr>
        <w:pStyle w:val="SingleTxtG"/>
        <w:ind w:left="2268" w:hanging="1134"/>
      </w:pPr>
      <w:r w:rsidRPr="002C5876">
        <w:t>3.1.3</w:t>
      </w:r>
      <w:r w:rsidRPr="002C5876">
        <w:tab/>
      </w:r>
      <w:r w:rsidRPr="002C5876">
        <w:tab/>
        <w:t>La phase Medium</w:t>
      </w:r>
      <w:r w:rsidRPr="002C5876">
        <w:rPr>
          <w:vertAlign w:val="subscript"/>
        </w:rPr>
        <w:t>1</w:t>
      </w:r>
      <w:r w:rsidRPr="002C5876">
        <w:t xml:space="preserve"> est décrite à la figure A1/2 et au tableau A1/2.</w:t>
      </w:r>
    </w:p>
    <w:p w:rsidR="00E24DB7" w:rsidRPr="002C5876" w:rsidRDefault="00E24DB7" w:rsidP="00E24DB7">
      <w:pPr>
        <w:pStyle w:val="SingleTxtG"/>
        <w:keepNext/>
        <w:keepLines/>
        <w:ind w:left="2268" w:hanging="1134"/>
      </w:pPr>
      <w:r w:rsidRPr="002C5876">
        <w:t>3.2</w:t>
      </w:r>
      <w:r w:rsidRPr="002C5876">
        <w:tab/>
      </w:r>
      <w:r w:rsidRPr="002C5876">
        <w:tab/>
        <w:t>Cycle pour les véhicules de la classe 2</w:t>
      </w:r>
    </w:p>
    <w:p w:rsidR="00E24DB7" w:rsidRPr="002C5876" w:rsidRDefault="00E24DB7" w:rsidP="00E24DB7">
      <w:pPr>
        <w:pStyle w:val="SingleTxtG"/>
        <w:ind w:left="2268" w:hanging="1134"/>
      </w:pPr>
      <w:r w:rsidRPr="002C5876">
        <w:t>3.2.1</w:t>
      </w:r>
      <w:r w:rsidRPr="002C5876">
        <w:tab/>
      </w:r>
      <w:r w:rsidRPr="002C5876">
        <w:tab/>
        <w:t>Pour les véhicules de la classe 2, un cycle d’essai complet comprend une phase à basse vitesse (Low</w:t>
      </w:r>
      <w:r w:rsidRPr="002C5876">
        <w:rPr>
          <w:vertAlign w:val="subscript"/>
        </w:rPr>
        <w:t>2</w:t>
      </w:r>
      <w:r w:rsidRPr="002C5876">
        <w:t>), une phase à vitesse moyenne (Medium</w:t>
      </w:r>
      <w:r w:rsidRPr="002C5876">
        <w:rPr>
          <w:vertAlign w:val="subscript"/>
        </w:rPr>
        <w:t>2</w:t>
      </w:r>
      <w:r w:rsidRPr="002C5876">
        <w:t>), une phase à haute vitesse (High</w:t>
      </w:r>
      <w:r w:rsidRPr="002C5876">
        <w:rPr>
          <w:vertAlign w:val="subscript"/>
        </w:rPr>
        <w:t>2</w:t>
      </w:r>
      <w:r w:rsidRPr="002C5876">
        <w:t>) et une phase à extra-haute vitesse (Extra High</w:t>
      </w:r>
      <w:r w:rsidRPr="002C5876">
        <w:rPr>
          <w:vertAlign w:val="subscript"/>
        </w:rPr>
        <w:t>2</w:t>
      </w:r>
      <w:r w:rsidRPr="002C5876">
        <w:t>).</w:t>
      </w:r>
    </w:p>
    <w:p w:rsidR="00E24DB7" w:rsidRPr="002C5876" w:rsidRDefault="00E24DB7" w:rsidP="00E24DB7">
      <w:pPr>
        <w:pStyle w:val="SingleTxtG"/>
        <w:ind w:left="2268" w:hanging="1134"/>
      </w:pPr>
      <w:r w:rsidRPr="002C5876">
        <w:t>3.2.2</w:t>
      </w:r>
      <w:r w:rsidRPr="002C5876">
        <w:tab/>
      </w:r>
      <w:r w:rsidRPr="002C5876">
        <w:tab/>
        <w:t>La phase Low</w:t>
      </w:r>
      <w:r w:rsidRPr="002C5876">
        <w:rPr>
          <w:vertAlign w:val="subscript"/>
        </w:rPr>
        <w:t>2</w:t>
      </w:r>
      <w:r w:rsidRPr="002C5876">
        <w:t xml:space="preserve"> est décrite à la figure A1/3 et au tableau A1/3.</w:t>
      </w:r>
    </w:p>
    <w:p w:rsidR="00E24DB7" w:rsidRPr="002C5876" w:rsidRDefault="00E24DB7" w:rsidP="00E24DB7">
      <w:pPr>
        <w:pStyle w:val="SingleTxtG"/>
        <w:ind w:left="2268" w:hanging="1134"/>
      </w:pPr>
      <w:r w:rsidRPr="002C5876">
        <w:t>3.2.3</w:t>
      </w:r>
      <w:r w:rsidRPr="002C5876">
        <w:tab/>
      </w:r>
      <w:r w:rsidRPr="002C5876">
        <w:tab/>
        <w:t>La phase Medium</w:t>
      </w:r>
      <w:r w:rsidRPr="002C5876">
        <w:rPr>
          <w:vertAlign w:val="subscript"/>
        </w:rPr>
        <w:t>2</w:t>
      </w:r>
      <w:r w:rsidRPr="002C5876">
        <w:t xml:space="preserve"> est décrite à la figure A1/4 et au tableau A1/4.</w:t>
      </w:r>
    </w:p>
    <w:p w:rsidR="00E24DB7" w:rsidRPr="002C5876" w:rsidRDefault="00E24DB7" w:rsidP="00E24DB7">
      <w:pPr>
        <w:pStyle w:val="SingleTxtG"/>
        <w:ind w:left="2268" w:hanging="1134"/>
      </w:pPr>
      <w:r w:rsidRPr="002C5876">
        <w:t>3.2.4</w:t>
      </w:r>
      <w:r w:rsidRPr="002C5876">
        <w:tab/>
      </w:r>
      <w:r w:rsidRPr="002C5876">
        <w:tab/>
        <w:t>La phase High</w:t>
      </w:r>
      <w:r w:rsidRPr="002C5876">
        <w:rPr>
          <w:vertAlign w:val="subscript"/>
        </w:rPr>
        <w:t>2</w:t>
      </w:r>
      <w:r w:rsidRPr="002C5876">
        <w:t xml:space="preserve"> est décrite à la figure A1/5 et au tableau A1/5.</w:t>
      </w:r>
    </w:p>
    <w:p w:rsidR="00E24DB7" w:rsidRPr="002C5876" w:rsidRDefault="00E24DB7" w:rsidP="00E24DB7">
      <w:pPr>
        <w:pStyle w:val="SingleTxtG"/>
        <w:ind w:left="2268" w:hanging="1134"/>
      </w:pPr>
      <w:r w:rsidRPr="002C5876">
        <w:t>3.2.5</w:t>
      </w:r>
      <w:r w:rsidRPr="002C5876">
        <w:tab/>
      </w:r>
      <w:r w:rsidRPr="002C5876">
        <w:tab/>
        <w:t>La phase Extra High</w:t>
      </w:r>
      <w:r w:rsidRPr="002C5876">
        <w:rPr>
          <w:vertAlign w:val="subscript"/>
        </w:rPr>
        <w:t>2</w:t>
      </w:r>
      <w:r w:rsidRPr="002C5876">
        <w:t xml:space="preserve"> est décrite à la figure A1/6 et au tableau A1/6.</w:t>
      </w:r>
    </w:p>
    <w:p w:rsidR="00E24DB7" w:rsidRPr="002C5876" w:rsidRDefault="00E24DB7" w:rsidP="00E24DB7">
      <w:pPr>
        <w:pStyle w:val="SingleTxtG"/>
        <w:ind w:left="2268" w:hanging="1134"/>
      </w:pPr>
      <w:r w:rsidRPr="002C5876">
        <w:t>3.2.6</w:t>
      </w:r>
      <w:r w:rsidRPr="002C5876">
        <w:tab/>
      </w:r>
      <w:r w:rsidRPr="002C5876">
        <w:tab/>
        <w:t>Au choix de la Partie contractante, la phase Extra High</w:t>
      </w:r>
      <w:r w:rsidRPr="002C5876">
        <w:rPr>
          <w:vertAlign w:val="subscript"/>
        </w:rPr>
        <w:t>2</w:t>
      </w:r>
      <w:r w:rsidRPr="002C5876">
        <w:t xml:space="preserve"> peut être omise.</w:t>
      </w:r>
    </w:p>
    <w:p w:rsidR="00E24DB7" w:rsidRPr="002C5876" w:rsidRDefault="00E24DB7" w:rsidP="00E24DB7">
      <w:pPr>
        <w:pStyle w:val="SingleTxtG"/>
        <w:keepNext/>
        <w:keepLines/>
        <w:ind w:left="2268" w:hanging="1134"/>
      </w:pPr>
      <w:r w:rsidRPr="002C5876">
        <w:t>3.3</w:t>
      </w:r>
      <w:r w:rsidRPr="002C5876">
        <w:tab/>
      </w:r>
      <w:r w:rsidRPr="002C5876">
        <w:tab/>
        <w:t>Cycles pour les véhicules de la classe 3</w:t>
      </w:r>
    </w:p>
    <w:p w:rsidR="00E24DB7" w:rsidRPr="002C5876" w:rsidRDefault="00E24DB7" w:rsidP="00E24DB7">
      <w:pPr>
        <w:pStyle w:val="SingleTxtG"/>
        <w:ind w:left="2268"/>
      </w:pPr>
      <w:r w:rsidRPr="002C5876">
        <w:tab/>
        <w:t>Les cycles pour les véhicules de la classe 3 sont répartis dans deux sous</w:t>
      </w:r>
      <w:r w:rsidRPr="002C5876">
        <w:noBreakHyphen/>
        <w:t>classes correspondant aux subdivisions de la classe 3.</w:t>
      </w:r>
    </w:p>
    <w:p w:rsidR="00E24DB7" w:rsidRPr="002C5876" w:rsidRDefault="00E24DB7" w:rsidP="00E24DB7">
      <w:pPr>
        <w:pStyle w:val="SingleTxtG"/>
        <w:keepNext/>
        <w:keepLines/>
        <w:ind w:left="2268" w:hanging="1134"/>
      </w:pPr>
      <w:r w:rsidRPr="002C5876">
        <w:lastRenderedPageBreak/>
        <w:t>3.3.1</w:t>
      </w:r>
      <w:r w:rsidRPr="002C5876">
        <w:tab/>
      </w:r>
      <w:r w:rsidRPr="002C5876">
        <w:tab/>
        <w:t>Cycle pour les véhicules de la classe 3a</w:t>
      </w:r>
    </w:p>
    <w:p w:rsidR="00E24DB7" w:rsidRPr="002C5876" w:rsidRDefault="00E24DB7" w:rsidP="00E24DB7">
      <w:pPr>
        <w:pStyle w:val="SingleTxtG"/>
        <w:keepNext/>
        <w:keepLines/>
        <w:ind w:left="2268" w:hanging="1134"/>
      </w:pPr>
      <w:r w:rsidRPr="002C5876">
        <w:t>3.3.1.1</w:t>
      </w:r>
      <w:r w:rsidRPr="002C5876">
        <w:tab/>
        <w:t>Un cycle d’essai complet comprend une phase à basse vitesse (Low</w:t>
      </w:r>
      <w:r w:rsidRPr="002C5876">
        <w:rPr>
          <w:vertAlign w:val="subscript"/>
        </w:rPr>
        <w:t>3</w:t>
      </w:r>
      <w:r w:rsidRPr="002C5876">
        <w:t>), une phase à vitesse moyenne (Medium</w:t>
      </w:r>
      <w:r w:rsidRPr="002C5876">
        <w:rPr>
          <w:vertAlign w:val="subscript"/>
        </w:rPr>
        <w:t>3a</w:t>
      </w:r>
      <w:r w:rsidRPr="002C5876">
        <w:t>), une phase à haute vitesse (High</w:t>
      </w:r>
      <w:r w:rsidRPr="002C5876">
        <w:rPr>
          <w:vertAlign w:val="subscript"/>
        </w:rPr>
        <w:t>3a</w:t>
      </w:r>
      <w:r w:rsidRPr="002C5876">
        <w:t>) et une phase à extra-haute vitesse (Extra High</w:t>
      </w:r>
      <w:r w:rsidRPr="002C5876">
        <w:rPr>
          <w:vertAlign w:val="subscript"/>
        </w:rPr>
        <w:t>3</w:t>
      </w:r>
      <w:r w:rsidRPr="002C5876">
        <w:t>).</w:t>
      </w:r>
    </w:p>
    <w:p w:rsidR="00E24DB7" w:rsidRPr="002C5876" w:rsidRDefault="00E24DB7" w:rsidP="00E24DB7">
      <w:pPr>
        <w:pStyle w:val="SingleTxtG"/>
        <w:ind w:left="2268" w:hanging="1134"/>
      </w:pPr>
      <w:r w:rsidRPr="002C5876">
        <w:t>3.3.1.2</w:t>
      </w:r>
      <w:r w:rsidRPr="002C5876">
        <w:tab/>
        <w:t>La phase Low</w:t>
      </w:r>
      <w:r w:rsidRPr="002C5876">
        <w:rPr>
          <w:vertAlign w:val="subscript"/>
        </w:rPr>
        <w:t>3</w:t>
      </w:r>
      <w:r w:rsidRPr="002C5876">
        <w:t xml:space="preserve"> est décrite à la figure A1/7 et au tableau A1/7.</w:t>
      </w:r>
    </w:p>
    <w:p w:rsidR="00E24DB7" w:rsidRPr="002C5876" w:rsidRDefault="00E24DB7" w:rsidP="00E24DB7">
      <w:pPr>
        <w:pStyle w:val="SingleTxtG"/>
        <w:ind w:left="2268" w:hanging="1134"/>
      </w:pPr>
      <w:r w:rsidRPr="002C5876">
        <w:t>3.3.1.3</w:t>
      </w:r>
      <w:r w:rsidRPr="002C5876">
        <w:tab/>
        <w:t>La phase Medium</w:t>
      </w:r>
      <w:r w:rsidRPr="002C5876">
        <w:rPr>
          <w:vertAlign w:val="subscript"/>
        </w:rPr>
        <w:t>3a</w:t>
      </w:r>
      <w:r w:rsidRPr="002C5876">
        <w:t xml:space="preserve"> est décrite à la figure A1/8 et au tableau A1/8.</w:t>
      </w:r>
    </w:p>
    <w:p w:rsidR="00E24DB7" w:rsidRPr="002C5876" w:rsidRDefault="00E24DB7" w:rsidP="00E24DB7">
      <w:pPr>
        <w:pStyle w:val="SingleTxtG"/>
        <w:ind w:left="2268" w:hanging="1134"/>
      </w:pPr>
      <w:r w:rsidRPr="002C5876">
        <w:t>3.3.1.4</w:t>
      </w:r>
      <w:r w:rsidRPr="002C5876">
        <w:tab/>
        <w:t>La phase High</w:t>
      </w:r>
      <w:r w:rsidRPr="002C5876">
        <w:rPr>
          <w:vertAlign w:val="subscript"/>
        </w:rPr>
        <w:t>3a</w:t>
      </w:r>
      <w:r w:rsidRPr="002C5876">
        <w:t xml:space="preserve"> est décrite à la figure A1/10 et au tableau A1/10.</w:t>
      </w:r>
    </w:p>
    <w:p w:rsidR="00E24DB7" w:rsidRPr="002C5876" w:rsidRDefault="00E24DB7" w:rsidP="00E24DB7">
      <w:pPr>
        <w:pStyle w:val="SingleTxtG"/>
        <w:ind w:left="2268" w:hanging="1134"/>
      </w:pPr>
      <w:r w:rsidRPr="002C5876">
        <w:t>3.3.1.5</w:t>
      </w:r>
      <w:r w:rsidRPr="002C5876">
        <w:tab/>
        <w:t>La phase Extra High</w:t>
      </w:r>
      <w:r w:rsidRPr="002C5876">
        <w:rPr>
          <w:vertAlign w:val="subscript"/>
        </w:rPr>
        <w:t>3</w:t>
      </w:r>
      <w:r w:rsidRPr="002C5876">
        <w:t xml:space="preserve"> est décrite à la figure A1/12 et au tableau A1/12.</w:t>
      </w:r>
    </w:p>
    <w:p w:rsidR="00E24DB7" w:rsidRPr="002C5876" w:rsidRDefault="00E24DB7" w:rsidP="00E24DB7">
      <w:pPr>
        <w:pStyle w:val="SingleTxtG"/>
        <w:ind w:left="2268" w:hanging="1134"/>
      </w:pPr>
      <w:r w:rsidRPr="002C5876">
        <w:t>3.3.1.6</w:t>
      </w:r>
      <w:r w:rsidRPr="002C5876">
        <w:tab/>
        <w:t>Au choix de la Partie contractante, la phase Extra High</w:t>
      </w:r>
      <w:r w:rsidRPr="002C5876">
        <w:rPr>
          <w:vertAlign w:val="subscript"/>
        </w:rPr>
        <w:t>3</w:t>
      </w:r>
      <w:r w:rsidRPr="002C5876">
        <w:t xml:space="preserve"> peut être omise.</w:t>
      </w:r>
    </w:p>
    <w:p w:rsidR="00E24DB7" w:rsidRPr="002C5876" w:rsidRDefault="00E24DB7" w:rsidP="00E24DB7">
      <w:pPr>
        <w:pStyle w:val="SingleTxtG"/>
        <w:ind w:left="2268" w:hanging="1134"/>
      </w:pPr>
      <w:r w:rsidRPr="002C5876">
        <w:t>3.3.2</w:t>
      </w:r>
      <w:r w:rsidRPr="002C5876">
        <w:tab/>
      </w:r>
      <w:r w:rsidRPr="002C5876">
        <w:tab/>
        <w:t>Cycles pour les véhicules de la classe 3b</w:t>
      </w:r>
    </w:p>
    <w:p w:rsidR="00E24DB7" w:rsidRPr="002C5876" w:rsidRDefault="00E24DB7" w:rsidP="00E24DB7">
      <w:pPr>
        <w:pStyle w:val="SingleTxtG"/>
        <w:ind w:left="2268" w:hanging="1134"/>
      </w:pPr>
      <w:r w:rsidRPr="002C5876">
        <w:t>3.3.2.1</w:t>
      </w:r>
      <w:r w:rsidRPr="002C5876">
        <w:tab/>
        <w:t>Un cycle d’essai complet comprend une phase à basse vitesse (Low</w:t>
      </w:r>
      <w:r w:rsidRPr="002C5876">
        <w:rPr>
          <w:vertAlign w:val="subscript"/>
        </w:rPr>
        <w:t>3</w:t>
      </w:r>
      <w:r w:rsidRPr="002C5876">
        <w:t>), une phase à vitesse moyenne (Medium</w:t>
      </w:r>
      <w:r w:rsidRPr="002C5876">
        <w:rPr>
          <w:vertAlign w:val="subscript"/>
        </w:rPr>
        <w:t>3b</w:t>
      </w:r>
      <w:r w:rsidRPr="002C5876">
        <w:t>), une phase à haute vitesse (High</w:t>
      </w:r>
      <w:r w:rsidRPr="002C5876">
        <w:rPr>
          <w:vertAlign w:val="subscript"/>
        </w:rPr>
        <w:t>3b</w:t>
      </w:r>
      <w:r w:rsidRPr="002C5876">
        <w:t>) et une phase à extra-haute vitesse (Extra High</w:t>
      </w:r>
      <w:r w:rsidRPr="002C5876">
        <w:rPr>
          <w:vertAlign w:val="subscript"/>
        </w:rPr>
        <w:t>3</w:t>
      </w:r>
      <w:r w:rsidRPr="002C5876">
        <w:t>).</w:t>
      </w:r>
    </w:p>
    <w:p w:rsidR="00E24DB7" w:rsidRPr="002C5876" w:rsidRDefault="00E24DB7" w:rsidP="00E24DB7">
      <w:pPr>
        <w:pStyle w:val="SingleTxtG"/>
        <w:ind w:left="2268" w:hanging="1134"/>
      </w:pPr>
      <w:r w:rsidRPr="002C5876">
        <w:t>3.3.2.2</w:t>
      </w:r>
      <w:r w:rsidRPr="002C5876">
        <w:tab/>
        <w:t>La phase Low</w:t>
      </w:r>
      <w:r w:rsidRPr="002C5876">
        <w:rPr>
          <w:vertAlign w:val="subscript"/>
        </w:rPr>
        <w:t>3</w:t>
      </w:r>
      <w:r w:rsidRPr="002C5876">
        <w:t xml:space="preserve"> est décrite à la figure A1/7 et au tableau A1/7.</w:t>
      </w:r>
    </w:p>
    <w:p w:rsidR="00E24DB7" w:rsidRPr="002C5876" w:rsidRDefault="00E24DB7" w:rsidP="00E24DB7">
      <w:pPr>
        <w:pStyle w:val="SingleTxtG"/>
        <w:ind w:left="2268" w:hanging="1134"/>
      </w:pPr>
      <w:r w:rsidRPr="002C5876">
        <w:t>3.3.2.3</w:t>
      </w:r>
      <w:r w:rsidRPr="002C5876">
        <w:tab/>
        <w:t>La phase Medium</w:t>
      </w:r>
      <w:r w:rsidRPr="002C5876">
        <w:rPr>
          <w:vertAlign w:val="subscript"/>
        </w:rPr>
        <w:t xml:space="preserve">3b </w:t>
      </w:r>
      <w:r w:rsidRPr="002C5876">
        <w:t>est décrite à la figure A1/9 et au tableau A1/9.</w:t>
      </w:r>
    </w:p>
    <w:p w:rsidR="00E24DB7" w:rsidRPr="002C5876" w:rsidRDefault="00E24DB7" w:rsidP="00E24DB7">
      <w:pPr>
        <w:pStyle w:val="SingleTxtG"/>
        <w:ind w:left="2268" w:hanging="1134"/>
      </w:pPr>
      <w:r w:rsidRPr="002C5876">
        <w:t>3.3.2.4</w:t>
      </w:r>
      <w:r w:rsidRPr="002C5876">
        <w:tab/>
        <w:t>La phase High</w:t>
      </w:r>
      <w:r w:rsidRPr="002C5876">
        <w:rPr>
          <w:vertAlign w:val="subscript"/>
        </w:rPr>
        <w:t xml:space="preserve">3b </w:t>
      </w:r>
      <w:r w:rsidRPr="002C5876">
        <w:t>est décrite à la figure A1/11 et au tableau A1/11.</w:t>
      </w:r>
    </w:p>
    <w:p w:rsidR="00E24DB7" w:rsidRPr="002C5876" w:rsidRDefault="00E24DB7" w:rsidP="00E24DB7">
      <w:pPr>
        <w:pStyle w:val="SingleTxtG"/>
        <w:ind w:left="2268" w:hanging="1134"/>
      </w:pPr>
      <w:r w:rsidRPr="002C5876">
        <w:t>3.3.2.5</w:t>
      </w:r>
      <w:r w:rsidRPr="002C5876">
        <w:tab/>
        <w:t>La phase Extra High</w:t>
      </w:r>
      <w:r w:rsidRPr="002C5876">
        <w:rPr>
          <w:vertAlign w:val="subscript"/>
        </w:rPr>
        <w:t>3</w:t>
      </w:r>
      <w:r w:rsidRPr="002C5876">
        <w:t xml:space="preserve"> est décrite à la figure A1/12 et au tableau A1/12.</w:t>
      </w:r>
    </w:p>
    <w:p w:rsidR="00E24DB7" w:rsidRPr="002C5876" w:rsidRDefault="00E24DB7" w:rsidP="00E24DB7">
      <w:pPr>
        <w:pStyle w:val="SingleTxtG"/>
        <w:ind w:left="2268" w:hanging="1134"/>
      </w:pPr>
      <w:r w:rsidRPr="002C5876">
        <w:t>3.3.2.6</w:t>
      </w:r>
      <w:r w:rsidRPr="002C5876">
        <w:tab/>
        <w:t>Au choix de la Partie contractante, la phase Extra High</w:t>
      </w:r>
      <w:r w:rsidRPr="002C5876">
        <w:rPr>
          <w:vertAlign w:val="subscript"/>
        </w:rPr>
        <w:t>3</w:t>
      </w:r>
      <w:r w:rsidRPr="002C5876">
        <w:t xml:space="preserve"> peut être omise.</w:t>
      </w:r>
    </w:p>
    <w:p w:rsidR="00E24DB7" w:rsidRPr="002C5876" w:rsidRDefault="00E24DB7" w:rsidP="00E24DB7">
      <w:pPr>
        <w:pStyle w:val="SingleTxtG"/>
        <w:keepNext/>
        <w:keepLines/>
        <w:ind w:left="2268" w:hanging="1134"/>
      </w:pPr>
      <w:r w:rsidRPr="002C5876">
        <w:t>3.4</w:t>
      </w:r>
      <w:r w:rsidRPr="002C5876">
        <w:tab/>
      </w:r>
      <w:r w:rsidRPr="002C5876">
        <w:tab/>
        <w:t>Durée de toutes les phases</w:t>
      </w:r>
    </w:p>
    <w:p w:rsidR="00E24DB7" w:rsidRPr="002C5876" w:rsidRDefault="00E24DB7" w:rsidP="00E24DB7">
      <w:pPr>
        <w:pStyle w:val="SingleTxtG"/>
        <w:ind w:left="2268" w:hanging="1134"/>
      </w:pPr>
      <w:r w:rsidRPr="002C5876">
        <w:t>3.4.1</w:t>
      </w:r>
      <w:r w:rsidRPr="002C5876">
        <w:tab/>
      </w:r>
      <w:r w:rsidRPr="002C5876">
        <w:tab/>
        <w:t>Toutes les phases à basse vitesse durent 589 s.</w:t>
      </w:r>
    </w:p>
    <w:p w:rsidR="00E24DB7" w:rsidRPr="002C5876" w:rsidRDefault="00E24DB7" w:rsidP="00E24DB7">
      <w:pPr>
        <w:pStyle w:val="SingleTxtG"/>
        <w:ind w:left="2268" w:hanging="1134"/>
      </w:pPr>
      <w:r w:rsidRPr="002C5876">
        <w:t>3.4.2</w:t>
      </w:r>
      <w:r w:rsidRPr="002C5876">
        <w:tab/>
      </w:r>
      <w:r w:rsidRPr="002C5876">
        <w:tab/>
        <w:t>Toutes les phases à vitesse moyenne durent 433 s.</w:t>
      </w:r>
    </w:p>
    <w:p w:rsidR="00E24DB7" w:rsidRPr="002C5876" w:rsidRDefault="00E24DB7" w:rsidP="00E24DB7">
      <w:pPr>
        <w:pStyle w:val="SingleTxtG"/>
        <w:ind w:left="2268" w:hanging="1134"/>
      </w:pPr>
      <w:r w:rsidRPr="002C5876">
        <w:t>3.4.3</w:t>
      </w:r>
      <w:r w:rsidRPr="002C5876">
        <w:tab/>
      </w:r>
      <w:r w:rsidRPr="002C5876">
        <w:tab/>
        <w:t>Toutes les phases à haute vitesse durent 455 s.</w:t>
      </w:r>
    </w:p>
    <w:p w:rsidR="00E24DB7" w:rsidRPr="002C5876" w:rsidRDefault="00E24DB7" w:rsidP="00E24DB7">
      <w:pPr>
        <w:pStyle w:val="SingleTxtG"/>
        <w:ind w:left="2268" w:hanging="1134"/>
      </w:pPr>
      <w:r w:rsidRPr="002C5876">
        <w:t>3.4.4</w:t>
      </w:r>
      <w:r w:rsidRPr="002C5876">
        <w:tab/>
      </w:r>
      <w:r w:rsidRPr="002C5876">
        <w:tab/>
        <w:t>Toutes les phases à extra-haute vitesse durent 323 s.</w:t>
      </w:r>
    </w:p>
    <w:p w:rsidR="00E24DB7" w:rsidRPr="002C5876" w:rsidRDefault="00E24DB7" w:rsidP="00E24DB7">
      <w:pPr>
        <w:pStyle w:val="SingleTxtG"/>
        <w:keepNext/>
        <w:keepLines/>
        <w:ind w:left="2268" w:hanging="1134"/>
      </w:pPr>
      <w:r w:rsidRPr="002C5876">
        <w:t>3.5</w:t>
      </w:r>
      <w:r w:rsidRPr="002C5876">
        <w:tab/>
      </w:r>
      <w:r w:rsidRPr="002C5876">
        <w:tab/>
        <w:t>Cycle WLTC urbain</w:t>
      </w:r>
    </w:p>
    <w:p w:rsidR="00E24DB7" w:rsidRPr="002C5876" w:rsidRDefault="00E24DB7" w:rsidP="00E24DB7">
      <w:pPr>
        <w:pStyle w:val="SingleTxtG"/>
        <w:ind w:left="2268"/>
      </w:pPr>
      <w:r w:rsidRPr="002C5876">
        <w:t>Les véhicules hybrides électriques rechargeables de l’extérieur (VHE-RE) et les véhicules électriques purs (VEP) doivent être soumis aux cycles d’essai WLTC et WLTC urbain correspondant à leur classe (3a ou 3b) (voir l’annexe 8).</w:t>
      </w:r>
    </w:p>
    <w:p w:rsidR="00E24DB7" w:rsidRPr="002C5876" w:rsidRDefault="00E24DB7" w:rsidP="00E24DB7">
      <w:pPr>
        <w:pStyle w:val="SingleTxtG"/>
        <w:ind w:left="2268"/>
      </w:pPr>
      <w:r w:rsidRPr="002C5876">
        <w:t>Le cycle WLTC urbain comporte uniquement les phases à basse vitesse et à moyenne vitesse.</w:t>
      </w:r>
    </w:p>
    <w:p w:rsidR="00E24DB7" w:rsidRPr="002C5876" w:rsidRDefault="00E24DB7" w:rsidP="00E24DB7">
      <w:pPr>
        <w:pStyle w:val="SingleTxtG"/>
        <w:ind w:left="2268"/>
      </w:pPr>
      <w:r w:rsidRPr="002C5876">
        <w:t>Au choix de la Partie contractante, le cycle WLTC urbain pour les véhicules des classes 3a et 3b peut être omis.</w:t>
      </w:r>
    </w:p>
    <w:p w:rsidR="00E24DB7" w:rsidRPr="002C5876" w:rsidRDefault="00E24DB7" w:rsidP="00E24DB7">
      <w:pPr>
        <w:pStyle w:val="SingleTxtG"/>
        <w:ind w:left="2268" w:hanging="1134"/>
      </w:pPr>
      <w:r w:rsidRPr="002C5876">
        <w:t>4.</w:t>
      </w:r>
      <w:r w:rsidRPr="002C5876">
        <w:tab/>
      </w:r>
      <w:r w:rsidRPr="002C5876">
        <w:tab/>
        <w:t>Cycle WLTC pour les véhicules de la classe 1</w:t>
      </w:r>
    </w:p>
    <w:p w:rsidR="00E24DB7" w:rsidRPr="002C5876" w:rsidRDefault="00E24DB7" w:rsidP="00E24DB7">
      <w:pPr>
        <w:pStyle w:val="SingleTxtG"/>
        <w:keepNext/>
        <w:keepLines/>
        <w:rPr>
          <w:b/>
          <w:vertAlign w:val="subscript"/>
        </w:rPr>
      </w:pPr>
      <w:r w:rsidRPr="002C5876">
        <w:lastRenderedPageBreak/>
        <w:t xml:space="preserve">Figure A1/1 </w:t>
      </w:r>
      <w:r w:rsidRPr="002C5876">
        <w:br/>
      </w:r>
      <w:r w:rsidRPr="002C5876">
        <w:rPr>
          <w:b/>
        </w:rPr>
        <w:t>Cycle WLTC, véhicules de la classe 1, phase Low</w:t>
      </w:r>
      <w:r w:rsidRPr="002C5876">
        <w:rPr>
          <w:b/>
          <w:vertAlign w:val="subscript"/>
        </w:rPr>
        <w:t>1</w:t>
      </w:r>
    </w:p>
    <w:p w:rsidR="00E24DB7" w:rsidRPr="002C5876" w:rsidRDefault="00E24DB7" w:rsidP="00E24DB7">
      <w:pPr>
        <w:pStyle w:val="SingleTxtG"/>
        <w:rPr>
          <w:b/>
        </w:rPr>
      </w:pPr>
      <w:r w:rsidRPr="002C5876">
        <w:rPr>
          <w:noProof/>
          <w:lang w:val="en-GB" w:eastAsia="zh-CN"/>
        </w:rPr>
        <mc:AlternateContent>
          <mc:Choice Requires="wps">
            <w:drawing>
              <wp:anchor distT="0" distB="0" distL="114300" distR="114300" simplePos="0" relativeHeight="250995712" behindDoc="0" locked="0" layoutInCell="1" allowOverlap="1" wp14:anchorId="59C30B28" wp14:editId="2A8FEBC1">
                <wp:simplePos x="0" y="0"/>
                <wp:positionH relativeFrom="column">
                  <wp:posOffset>3193488</wp:posOffset>
                </wp:positionH>
                <wp:positionV relativeFrom="paragraph">
                  <wp:posOffset>3343456</wp:posOffset>
                </wp:positionV>
                <wp:extent cx="811530" cy="122555"/>
                <wp:effectExtent l="0" t="0" r="7620" b="10795"/>
                <wp:wrapNone/>
                <wp:docPr id="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D53F39" w:rsidRPr="00DD257C" w:rsidRDefault="00D53F39" w:rsidP="00E24DB7">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30B28" id="Zone de texte 2" o:spid="_x0000_s1027" type="#_x0000_t202" style="position:absolute;left:0;text-align:left;margin-left:251.45pt;margin-top:263.25pt;width:63.9pt;height:9.65pt;z-index:2509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" filled="f" stroked="f" strokeweight=".5pt">
                <v:textbox inset="0,0,0,0">
                  <w:txbxContent>
                    <w:p w:rsidR="00D53F39" w:rsidRPr="00DD257C" w:rsidRDefault="00D53F39" w:rsidP="00E24DB7">
                      <w:pPr>
                        <w:spacing w:line="240" w:lineRule="auto"/>
                        <w:jc w:val="center"/>
                        <w:rPr>
                          <w:sz w:val="14"/>
                          <w:szCs w:val="14"/>
                        </w:rPr>
                      </w:pPr>
                      <w:r>
                        <w:rPr>
                          <w:b/>
                          <w:sz w:val="14"/>
                          <w:szCs w:val="14"/>
                        </w:rPr>
                        <w:t>Temps en s</w:t>
                      </w:r>
                    </w:p>
                  </w:txbxContent>
                </v:textbox>
              </v:shape>
            </w:pict>
          </mc:Fallback>
        </mc:AlternateContent>
      </w:r>
      <w:r w:rsidRPr="002C5876">
        <w:rPr>
          <w:noProof/>
          <w:lang w:val="en-GB" w:eastAsia="zh-CN"/>
        </w:rPr>
        <mc:AlternateContent>
          <mc:Choice Requires="wps">
            <w:drawing>
              <wp:anchor distT="0" distB="0" distL="114300" distR="114300" simplePos="0" relativeHeight="250994688" behindDoc="0" locked="0" layoutInCell="1" allowOverlap="1" wp14:anchorId="6E540601" wp14:editId="28774BBA">
                <wp:simplePos x="0" y="0"/>
                <wp:positionH relativeFrom="column">
                  <wp:posOffset>-208080</wp:posOffset>
                </wp:positionH>
                <wp:positionV relativeFrom="paragraph">
                  <wp:posOffset>1540782</wp:posOffset>
                </wp:positionV>
                <wp:extent cx="2251075" cy="177165"/>
                <wp:effectExtent l="8255" t="10795" r="5080" b="5080"/>
                <wp:wrapNone/>
                <wp:docPr id="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D53F39" w:rsidRPr="00E911A4" w:rsidRDefault="00D53F39" w:rsidP="00E24DB7">
                            <w:pPr>
                              <w:jc w:val="center"/>
                              <w:rPr>
                                <w:sz w:val="16"/>
                                <w:szCs w:val="16"/>
                              </w:rPr>
                            </w:pPr>
                            <w:r w:rsidRPr="00E911A4">
                              <w:rPr>
                                <w:b/>
                                <w:sz w:val="16"/>
                                <w:szCs w:val="16"/>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40601" id="_x0000_s1028" type="#_x0000_t202" style="position:absolute;left:0;text-align:left;margin-left:-16.4pt;margin-top:121.3pt;width:177.25pt;height:13.95pt;rotation:-90;z-index:2509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" filled="f" stroked="f" strokeweight=".5pt">
                <v:textbox inset="0,0,0,0">
                  <w:txbxContent>
                    <w:p w:rsidR="00D53F39" w:rsidRPr="00E911A4" w:rsidRDefault="00D53F39" w:rsidP="00E24DB7">
                      <w:pPr>
                        <w:jc w:val="center"/>
                        <w:rPr>
                          <w:sz w:val="16"/>
                          <w:szCs w:val="16"/>
                        </w:rPr>
                      </w:pPr>
                      <w:r w:rsidRPr="00E911A4">
                        <w:rPr>
                          <w:b/>
                          <w:sz w:val="16"/>
                          <w:szCs w:val="16"/>
                        </w:rPr>
                        <w:t>Vitesse du véhicule en km/h</w:t>
                      </w:r>
                    </w:p>
                  </w:txbxContent>
                </v:textbox>
              </v:shape>
            </w:pict>
          </mc:Fallback>
        </mc:AlternateContent>
      </w:r>
      <w:r w:rsidRPr="002C5876">
        <w:rPr>
          <w:noProof/>
          <w:lang w:val="en-GB" w:eastAsia="zh-CN"/>
        </w:rPr>
        <mc:AlternateContent>
          <mc:Choice Requires="wps">
            <w:drawing>
              <wp:anchor distT="0" distB="0" distL="114300" distR="114300" simplePos="0" relativeHeight="250993664" behindDoc="0" locked="0" layoutInCell="1" allowOverlap="1" wp14:anchorId="03A0DFB0" wp14:editId="4DB2107E">
                <wp:simplePos x="0" y="0"/>
                <wp:positionH relativeFrom="column">
                  <wp:posOffset>1955128</wp:posOffset>
                </wp:positionH>
                <wp:positionV relativeFrom="paragraph">
                  <wp:posOffset>208371</wp:posOffset>
                </wp:positionV>
                <wp:extent cx="2251075" cy="177165"/>
                <wp:effectExtent l="0" t="0" r="0" b="13335"/>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075" cy="177165"/>
                        </a:xfrm>
                        <a:prstGeom prst="rect">
                          <a:avLst/>
                        </a:prstGeom>
                        <a:noFill/>
                        <a:ln w="6350">
                          <a:noFill/>
                          <a:miter lim="800000"/>
                          <a:headEnd/>
                          <a:tailEnd/>
                        </a:ln>
                      </wps:spPr>
                      <wps:txbx>
                        <w:txbxContent>
                          <w:p w:rsidR="00D53F39" w:rsidRPr="00E911A4" w:rsidRDefault="00D53F39" w:rsidP="00E24DB7">
                            <w:pPr>
                              <w:jc w:val="center"/>
                              <w:rPr>
                                <w:sz w:val="16"/>
                                <w:szCs w:val="16"/>
                              </w:rPr>
                            </w:pPr>
                            <w:r w:rsidRPr="00E911A4">
                              <w:rPr>
                                <w:b/>
                                <w:sz w:val="16"/>
                                <w:szCs w:val="16"/>
                              </w:rPr>
                              <w:t>Cycle WLTC, véhicules de la classe 1, phase Low</w:t>
                            </w:r>
                            <w:r w:rsidRPr="00E911A4">
                              <w:rPr>
                                <w:b/>
                                <w:sz w:val="16"/>
                                <w:szCs w:val="16"/>
                                <w:vertAlign w:val="subscript"/>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0DFB0" id="_x0000_s1029" type="#_x0000_t202" style="position:absolute;left:0;text-align:left;margin-left:153.95pt;margin-top:16.4pt;width:177.25pt;height:13.95pt;z-index:2509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" filled="f" stroked="f" strokeweight=".5pt">
                <v:textbox inset="0,0,0,0">
                  <w:txbxContent>
                    <w:p w:rsidR="00D53F39" w:rsidRPr="00E911A4" w:rsidRDefault="00D53F39" w:rsidP="00E24DB7">
                      <w:pPr>
                        <w:jc w:val="center"/>
                        <w:rPr>
                          <w:sz w:val="16"/>
                          <w:szCs w:val="16"/>
                        </w:rPr>
                      </w:pPr>
                      <w:r w:rsidRPr="00E911A4">
                        <w:rPr>
                          <w:b/>
                          <w:sz w:val="16"/>
                          <w:szCs w:val="16"/>
                        </w:rPr>
                        <w:t>Cycle WLTC, véhicules de la classe 1, phase Low</w:t>
                      </w:r>
                      <w:r w:rsidRPr="00E911A4">
                        <w:rPr>
                          <w:b/>
                          <w:sz w:val="16"/>
                          <w:szCs w:val="16"/>
                          <w:vertAlign w:val="subscript"/>
                        </w:rPr>
                        <w:t>1</w:t>
                      </w:r>
                    </w:p>
                  </w:txbxContent>
                </v:textbox>
              </v:shape>
            </w:pict>
          </mc:Fallback>
        </mc:AlternateContent>
      </w:r>
      <w:r w:rsidRPr="002C5876">
        <w:rPr>
          <w:noProof/>
          <w:lang w:val="en-GB" w:eastAsia="zh-CN"/>
        </w:rPr>
        <w:drawing>
          <wp:inline distT="0" distB="0" distL="0" distR="0" wp14:anchorId="432F9C66" wp14:editId="148FBABE">
            <wp:extent cx="5397689" cy="3508846"/>
            <wp:effectExtent l="0" t="0" r="0" b="0"/>
            <wp:docPr id="1387" name="Imag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2820" cy="3512181"/>
                    </a:xfrm>
                    <a:prstGeom prst="rect">
                      <a:avLst/>
                    </a:prstGeom>
                    <a:noFill/>
                    <a:ln>
                      <a:noFill/>
                    </a:ln>
                  </pic:spPr>
                </pic:pic>
              </a:graphicData>
            </a:graphic>
          </wp:inline>
        </w:drawing>
      </w:r>
    </w:p>
    <w:p w:rsidR="00E24DB7" w:rsidRPr="002C5876" w:rsidRDefault="00E24DB7" w:rsidP="00E24DB7">
      <w:pPr>
        <w:pStyle w:val="H23G"/>
        <w:rPr>
          <w:vertAlign w:val="subscript"/>
        </w:rPr>
      </w:pPr>
      <w:r w:rsidRPr="002C5876">
        <w:tab/>
      </w:r>
      <w:r w:rsidRPr="002C5876">
        <w:tab/>
      </w:r>
      <w:r w:rsidRPr="002C5876">
        <w:rPr>
          <w:b w:val="0"/>
        </w:rPr>
        <w:t xml:space="preserve">Figure A1/2 </w:t>
      </w:r>
      <w:r w:rsidRPr="002C5876">
        <w:rPr>
          <w:b w:val="0"/>
        </w:rPr>
        <w:br/>
      </w:r>
      <w:r w:rsidRPr="002C5876">
        <w:t>Cycle WLTC, véhicules de la classe 1, phase Medium</w:t>
      </w:r>
      <w:r w:rsidRPr="002C5876">
        <w:rPr>
          <w:vertAlign w:val="subscript"/>
        </w:rPr>
        <w:t>1</w:t>
      </w:r>
    </w:p>
    <w:p w:rsidR="00E24DB7" w:rsidRPr="002C5876" w:rsidRDefault="00E24DB7" w:rsidP="00E24DB7">
      <w:pPr>
        <w:pStyle w:val="SingleTxtG"/>
      </w:pPr>
      <w:r w:rsidRPr="002C5876">
        <w:rPr>
          <w:noProof/>
          <w:lang w:val="en-GB" w:eastAsia="zh-CN"/>
        </w:rPr>
        <mc:AlternateContent>
          <mc:Choice Requires="wps">
            <w:drawing>
              <wp:anchor distT="0" distB="0" distL="114300" distR="114300" simplePos="0" relativeHeight="250998784" behindDoc="0" locked="0" layoutInCell="1" allowOverlap="1" wp14:anchorId="68FBBBA6" wp14:editId="1C5ACB17">
                <wp:simplePos x="0" y="0"/>
                <wp:positionH relativeFrom="column">
                  <wp:posOffset>3209163</wp:posOffset>
                </wp:positionH>
                <wp:positionV relativeFrom="paragraph">
                  <wp:posOffset>3361036</wp:posOffset>
                </wp:positionV>
                <wp:extent cx="811530" cy="122555"/>
                <wp:effectExtent l="0" t="0" r="7620" b="10795"/>
                <wp:wrapNone/>
                <wp:docPr id="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D53F39" w:rsidRPr="00DD257C" w:rsidRDefault="00D53F39" w:rsidP="00E24DB7">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BBBA6" id="_x0000_s1030" type="#_x0000_t202" style="position:absolute;left:0;text-align:left;margin-left:252.7pt;margin-top:264.65pt;width:63.9pt;height:9.65pt;z-index:2509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" filled="f" stroked="f" strokeweight=".5pt">
                <v:textbox inset="0,0,0,0">
                  <w:txbxContent>
                    <w:p w:rsidR="00D53F39" w:rsidRPr="00DD257C" w:rsidRDefault="00D53F39" w:rsidP="00E24DB7">
                      <w:pPr>
                        <w:spacing w:line="240" w:lineRule="auto"/>
                        <w:jc w:val="center"/>
                        <w:rPr>
                          <w:sz w:val="14"/>
                          <w:szCs w:val="14"/>
                        </w:rPr>
                      </w:pPr>
                      <w:r>
                        <w:rPr>
                          <w:b/>
                          <w:sz w:val="14"/>
                          <w:szCs w:val="14"/>
                        </w:rPr>
                        <w:t>Temps en s</w:t>
                      </w:r>
                    </w:p>
                  </w:txbxContent>
                </v:textbox>
              </v:shape>
            </w:pict>
          </mc:Fallback>
        </mc:AlternateContent>
      </w:r>
      <w:r w:rsidRPr="002C5876">
        <w:rPr>
          <w:noProof/>
          <w:lang w:val="en-GB" w:eastAsia="zh-CN"/>
        </w:rPr>
        <mc:AlternateContent>
          <mc:Choice Requires="wps">
            <w:drawing>
              <wp:anchor distT="0" distB="0" distL="114300" distR="114300" simplePos="0" relativeHeight="250997760" behindDoc="0" locked="0" layoutInCell="1" allowOverlap="1" wp14:anchorId="622DE787" wp14:editId="16180C66">
                <wp:simplePos x="0" y="0"/>
                <wp:positionH relativeFrom="column">
                  <wp:posOffset>2242512</wp:posOffset>
                </wp:positionH>
                <wp:positionV relativeFrom="paragraph">
                  <wp:posOffset>2483213</wp:posOffset>
                </wp:positionV>
                <wp:extent cx="2635250" cy="163195"/>
                <wp:effectExtent l="0" t="0" r="12700" b="8255"/>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0" cy="163195"/>
                        </a:xfrm>
                        <a:prstGeom prst="rect">
                          <a:avLst/>
                        </a:prstGeom>
                        <a:noFill/>
                        <a:ln w="6350">
                          <a:noFill/>
                          <a:miter lim="800000"/>
                          <a:headEnd/>
                          <a:tailEnd/>
                        </a:ln>
                      </wps:spPr>
                      <wps:txbx>
                        <w:txbxContent>
                          <w:p w:rsidR="00D53F39" w:rsidRPr="00E911A4" w:rsidRDefault="00D53F39" w:rsidP="00E24DB7">
                            <w:pPr>
                              <w:spacing w:line="240" w:lineRule="auto"/>
                              <w:jc w:val="center"/>
                              <w:rPr>
                                <w:sz w:val="16"/>
                                <w:szCs w:val="16"/>
                              </w:rPr>
                            </w:pPr>
                            <w:r w:rsidRPr="00E911A4">
                              <w:rPr>
                                <w:b/>
                                <w:sz w:val="16"/>
                                <w:szCs w:val="16"/>
                              </w:rPr>
                              <w:t>Cycle WLTC, véhicules de la classe 1, phase Medium</w:t>
                            </w:r>
                            <w:r w:rsidRPr="00E911A4">
                              <w:rPr>
                                <w:b/>
                                <w:sz w:val="16"/>
                                <w:szCs w:val="16"/>
                                <w:vertAlign w:val="subscript"/>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DE787" id="_x0000_s1031" type="#_x0000_t202" style="position:absolute;left:0;text-align:left;margin-left:176.6pt;margin-top:195.55pt;width:207.5pt;height:12.85pt;z-index:2509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" filled="f" stroked="f" strokeweight=".5pt">
                <v:textbox inset="0,0,0,0">
                  <w:txbxContent>
                    <w:p w:rsidR="00D53F39" w:rsidRPr="00E911A4" w:rsidRDefault="00D53F39" w:rsidP="00E24DB7">
                      <w:pPr>
                        <w:spacing w:line="240" w:lineRule="auto"/>
                        <w:jc w:val="center"/>
                        <w:rPr>
                          <w:sz w:val="16"/>
                          <w:szCs w:val="16"/>
                        </w:rPr>
                      </w:pPr>
                      <w:r w:rsidRPr="00E911A4">
                        <w:rPr>
                          <w:b/>
                          <w:sz w:val="16"/>
                          <w:szCs w:val="16"/>
                        </w:rPr>
                        <w:t>Cycle WLTC, véhicules de la classe 1, phase Medium</w:t>
                      </w:r>
                      <w:r w:rsidRPr="00E911A4">
                        <w:rPr>
                          <w:b/>
                          <w:sz w:val="16"/>
                          <w:szCs w:val="16"/>
                          <w:vertAlign w:val="subscript"/>
                        </w:rPr>
                        <w:t>1</w:t>
                      </w:r>
                    </w:p>
                  </w:txbxContent>
                </v:textbox>
              </v:shape>
            </w:pict>
          </mc:Fallback>
        </mc:AlternateContent>
      </w:r>
      <w:r w:rsidRPr="002C5876">
        <w:rPr>
          <w:noProof/>
          <w:lang w:val="en-GB" w:eastAsia="zh-CN"/>
        </w:rPr>
        <mc:AlternateContent>
          <mc:Choice Requires="wps">
            <w:drawing>
              <wp:anchor distT="0" distB="0" distL="114300" distR="114300" simplePos="0" relativeHeight="250996736" behindDoc="0" locked="0" layoutInCell="1" allowOverlap="1" wp14:anchorId="33A05D2D" wp14:editId="2A236310">
                <wp:simplePos x="0" y="0"/>
                <wp:positionH relativeFrom="column">
                  <wp:posOffset>-213306</wp:posOffset>
                </wp:positionH>
                <wp:positionV relativeFrom="paragraph">
                  <wp:posOffset>1595574</wp:posOffset>
                </wp:positionV>
                <wp:extent cx="2251075" cy="177165"/>
                <wp:effectExtent l="8255" t="10795" r="5080" b="5080"/>
                <wp:wrapNone/>
                <wp:docPr id="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D53F39" w:rsidRPr="00E911A4" w:rsidRDefault="00D53F39" w:rsidP="00E24DB7">
                            <w:pPr>
                              <w:jc w:val="center"/>
                              <w:rPr>
                                <w:sz w:val="16"/>
                                <w:szCs w:val="16"/>
                              </w:rPr>
                            </w:pPr>
                            <w:r w:rsidRPr="00E911A4">
                              <w:rPr>
                                <w:b/>
                                <w:sz w:val="16"/>
                                <w:szCs w:val="16"/>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05D2D" id="_x0000_s1032" type="#_x0000_t202" style="position:absolute;left:0;text-align:left;margin-left:-16.8pt;margin-top:125.65pt;width:177.25pt;height:13.95pt;rotation:-90;z-index:2509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" filled="f" stroked="f" strokeweight=".5pt">
                <v:textbox inset="0,0,0,0">
                  <w:txbxContent>
                    <w:p w:rsidR="00D53F39" w:rsidRPr="00E911A4" w:rsidRDefault="00D53F39" w:rsidP="00E24DB7">
                      <w:pPr>
                        <w:jc w:val="center"/>
                        <w:rPr>
                          <w:sz w:val="16"/>
                          <w:szCs w:val="16"/>
                        </w:rPr>
                      </w:pPr>
                      <w:r w:rsidRPr="00E911A4">
                        <w:rPr>
                          <w:b/>
                          <w:sz w:val="16"/>
                          <w:szCs w:val="16"/>
                        </w:rPr>
                        <w:t>Vitesse du véhicule en km/h</w:t>
                      </w:r>
                    </w:p>
                  </w:txbxContent>
                </v:textbox>
              </v:shape>
            </w:pict>
          </mc:Fallback>
        </mc:AlternateContent>
      </w:r>
      <w:r w:rsidRPr="002C5876">
        <w:rPr>
          <w:noProof/>
          <w:lang w:val="en-GB" w:eastAsia="zh-CN"/>
        </w:rPr>
        <w:drawing>
          <wp:inline distT="0" distB="0" distL="0" distR="0" wp14:anchorId="2A9C1CE1" wp14:editId="420CA2D4">
            <wp:extent cx="5392800" cy="35100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2800" cy="3510000"/>
                    </a:xfrm>
                    <a:prstGeom prst="rect">
                      <a:avLst/>
                    </a:prstGeom>
                    <a:noFill/>
                    <a:ln>
                      <a:noFill/>
                    </a:ln>
                  </pic:spPr>
                </pic:pic>
              </a:graphicData>
            </a:graphic>
          </wp:inline>
        </w:drawing>
      </w:r>
    </w:p>
    <w:p w:rsidR="00E24DB7" w:rsidRPr="002C5876" w:rsidRDefault="00E24DB7" w:rsidP="00E24DB7">
      <w:pPr>
        <w:pStyle w:val="H23G"/>
        <w:ind w:left="0" w:firstLine="0"/>
        <w:rPr>
          <w:vertAlign w:val="subscript"/>
        </w:rPr>
      </w:pPr>
      <w:r w:rsidRPr="002C5876">
        <w:br w:type="page"/>
      </w:r>
      <w:r w:rsidRPr="002C5876">
        <w:lastRenderedPageBreak/>
        <w:tab/>
      </w:r>
      <w:r w:rsidRPr="002C5876">
        <w:rPr>
          <w:b w:val="0"/>
        </w:rPr>
        <w:t xml:space="preserve">Tableau A1/1 </w:t>
      </w:r>
      <w:r w:rsidRPr="002C5876">
        <w:rPr>
          <w:b w:val="0"/>
        </w:rPr>
        <w:br/>
      </w:r>
      <w:r w:rsidRPr="002C5876">
        <w:t>Cycle WLTC, véhicules de la classe 1, phase Low</w:t>
      </w:r>
      <w:r w:rsidRPr="002C5876">
        <w:rPr>
          <w:vertAlign w:val="subscript"/>
        </w:rPr>
        <w:t>1</w:t>
      </w:r>
    </w:p>
    <w:tbl>
      <w:tblPr>
        <w:tblW w:w="0" w:type="auto"/>
        <w:tblLayout w:type="fixed"/>
        <w:tblCellMar>
          <w:left w:w="0" w:type="dxa"/>
          <w:right w:w="0" w:type="dxa"/>
        </w:tblCellMar>
        <w:tblLook w:val="04A0" w:firstRow="1" w:lastRow="0" w:firstColumn="1" w:lastColumn="0" w:noHBand="0" w:noVBand="1"/>
      </w:tblPr>
      <w:tblGrid>
        <w:gridCol w:w="1204"/>
        <w:gridCol w:w="1205"/>
        <w:gridCol w:w="1204"/>
        <w:gridCol w:w="1205"/>
        <w:gridCol w:w="1205"/>
        <w:gridCol w:w="1204"/>
        <w:gridCol w:w="1205"/>
        <w:gridCol w:w="1205"/>
      </w:tblGrid>
      <w:tr w:rsidR="00E24DB7" w:rsidRPr="002C5876" w:rsidTr="00E24DB7">
        <w:trPr>
          <w:tblHeader/>
        </w:trPr>
        <w:tc>
          <w:tcPr>
            <w:tcW w:w="1204"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rPr>
                <w:i/>
                <w:sz w:val="16"/>
              </w:rPr>
            </w:pPr>
            <w:r w:rsidRPr="002C5876">
              <w:rPr>
                <w:i/>
                <w:sz w:val="16"/>
              </w:rPr>
              <w:t>Temps en s</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Vitesse en km/h</w:t>
            </w:r>
          </w:p>
        </w:tc>
        <w:tc>
          <w:tcPr>
            <w:tcW w:w="1204"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Temps en s</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Vitesse en km/h</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Temps en s</w:t>
            </w:r>
          </w:p>
        </w:tc>
        <w:tc>
          <w:tcPr>
            <w:tcW w:w="1204"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Vitesse en km/h</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Temps en s</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Vitesse en km/h</w:t>
            </w:r>
          </w:p>
        </w:tc>
      </w:tr>
      <w:tr w:rsidR="00E24DB7" w:rsidRPr="002C5876" w:rsidTr="00E24DB7">
        <w:tc>
          <w:tcPr>
            <w:tcW w:w="1204" w:type="dxa"/>
            <w:tcBorders>
              <w:top w:val="single" w:sz="12" w:space="0" w:color="auto"/>
            </w:tcBorders>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0</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tcBorders>
              <w:top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18,8</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w:t>
            </w:r>
          </w:p>
        </w:tc>
        <w:tc>
          <w:tcPr>
            <w:tcW w:w="1204" w:type="dxa"/>
            <w:tcBorders>
              <w:top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141</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19,5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20,2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20,9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21,7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38,4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22,4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39,3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41,1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41,4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41,6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41,8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41,8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21,8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41,9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19,7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41,9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21,5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lastRenderedPageBreak/>
              <w:t>188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39,7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189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39,9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190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191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192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193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194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195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196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197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198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199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201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39,7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202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38,8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22,8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203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22,5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204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41,9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22,1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205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41,5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21,7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206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41,0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21,1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207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20,4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208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39,9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19,5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209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39,3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210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38,7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211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38,1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212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213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214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215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216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217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218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219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220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221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222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223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19,1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224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19,9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225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20,3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226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20,5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227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20,7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228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21,0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229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21,6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230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22,6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231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232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38,3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233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38,7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380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234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39,1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381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235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39,3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382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236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39,5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383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lastRenderedPageBreak/>
              <w:t>384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531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385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532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386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533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387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534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388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535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389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536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390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537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391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538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392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539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393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394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20,1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395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21,6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396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397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398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399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401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402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403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404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38,2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405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22,5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406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19,0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38,1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407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39,3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408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409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41,2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22,9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410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41,9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20,2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411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412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413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414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415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416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417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418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419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420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421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422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423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424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425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426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427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428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429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430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431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432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530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20" w:lineRule="exact"/>
              <w:rPr>
                <w:sz w:val="18"/>
                <w:szCs w:val="18"/>
              </w:rPr>
            </w:pPr>
            <w:r w:rsidRPr="002C5876">
              <w:rPr>
                <w:sz w:val="18"/>
                <w:szCs w:val="18"/>
              </w:rPr>
              <w:lastRenderedPageBreak/>
              <w:t>580</w:t>
            </w: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 </w:t>
            </w: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 </w:t>
            </w: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 </w:t>
            </w: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 </w:t>
            </w: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 </w:t>
            </w: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 </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20" w:lineRule="exact"/>
              <w:rPr>
                <w:sz w:val="18"/>
                <w:szCs w:val="18"/>
              </w:rPr>
            </w:pPr>
            <w:r w:rsidRPr="002C5876">
              <w:rPr>
                <w:sz w:val="18"/>
                <w:szCs w:val="18"/>
              </w:rPr>
              <w:t>581</w:t>
            </w: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20" w:lineRule="exact"/>
              <w:rPr>
                <w:sz w:val="18"/>
                <w:szCs w:val="18"/>
              </w:rPr>
            </w:pPr>
            <w:r w:rsidRPr="002C5876">
              <w:rPr>
                <w:sz w:val="18"/>
                <w:szCs w:val="18"/>
              </w:rPr>
              <w:t>582</w:t>
            </w: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20" w:lineRule="exact"/>
              <w:rPr>
                <w:sz w:val="18"/>
                <w:szCs w:val="18"/>
              </w:rPr>
            </w:pPr>
            <w:r w:rsidRPr="002C5876">
              <w:rPr>
                <w:sz w:val="18"/>
                <w:szCs w:val="18"/>
              </w:rPr>
              <w:t>583</w:t>
            </w: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20" w:lineRule="exact"/>
              <w:rPr>
                <w:sz w:val="18"/>
                <w:szCs w:val="18"/>
              </w:rPr>
            </w:pPr>
            <w:r w:rsidRPr="002C5876">
              <w:rPr>
                <w:sz w:val="18"/>
                <w:szCs w:val="18"/>
              </w:rPr>
              <w:t>584</w:t>
            </w: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20" w:lineRule="exact"/>
              <w:rPr>
                <w:sz w:val="18"/>
                <w:szCs w:val="18"/>
              </w:rPr>
            </w:pPr>
            <w:r w:rsidRPr="002C5876">
              <w:rPr>
                <w:sz w:val="18"/>
                <w:szCs w:val="18"/>
              </w:rPr>
              <w:t>585</w:t>
            </w: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20" w:lineRule="exact"/>
              <w:rPr>
                <w:sz w:val="18"/>
                <w:szCs w:val="18"/>
              </w:rPr>
            </w:pPr>
            <w:r w:rsidRPr="002C5876">
              <w:rPr>
                <w:sz w:val="18"/>
                <w:szCs w:val="18"/>
              </w:rPr>
              <w:t>586</w:t>
            </w: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20" w:lineRule="exact"/>
              <w:rPr>
                <w:sz w:val="18"/>
                <w:szCs w:val="18"/>
              </w:rPr>
            </w:pPr>
            <w:r w:rsidRPr="002C5876">
              <w:rPr>
                <w:sz w:val="18"/>
                <w:szCs w:val="18"/>
              </w:rPr>
              <w:t>587</w:t>
            </w: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20" w:lineRule="exact"/>
              <w:rPr>
                <w:sz w:val="18"/>
                <w:szCs w:val="18"/>
              </w:rPr>
            </w:pPr>
            <w:r w:rsidRPr="002C5876">
              <w:rPr>
                <w:sz w:val="18"/>
                <w:szCs w:val="18"/>
              </w:rPr>
              <w:t>588</w:t>
            </w: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r>
      <w:tr w:rsidR="00E24DB7" w:rsidRPr="002C5876" w:rsidTr="00E24DB7">
        <w:tc>
          <w:tcPr>
            <w:tcW w:w="1204" w:type="dxa"/>
            <w:tcBorders>
              <w:bottom w:val="single" w:sz="12" w:space="0" w:color="auto"/>
            </w:tcBorders>
            <w:shd w:val="clear" w:color="auto" w:fill="auto"/>
            <w:noWrap/>
          </w:tcPr>
          <w:p w:rsidR="00E24DB7" w:rsidRPr="002C5876" w:rsidRDefault="00E24DB7" w:rsidP="00E24DB7">
            <w:pPr>
              <w:suppressAutoHyphens w:val="0"/>
              <w:spacing w:before="40" w:after="40" w:line="220" w:lineRule="exact"/>
              <w:rPr>
                <w:sz w:val="18"/>
                <w:szCs w:val="18"/>
              </w:rPr>
            </w:pPr>
            <w:r w:rsidRPr="002C5876">
              <w:rPr>
                <w:sz w:val="18"/>
                <w:szCs w:val="18"/>
              </w:rPr>
              <w:t>589</w:t>
            </w: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0,0</w:t>
            </w:r>
          </w:p>
        </w:tc>
        <w:tc>
          <w:tcPr>
            <w:tcW w:w="1204"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4"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r>
    </w:tbl>
    <w:p w:rsidR="00E24DB7" w:rsidRPr="002C5876" w:rsidRDefault="00E24DB7" w:rsidP="00E24DB7">
      <w:pPr>
        <w:pStyle w:val="SingleTxtG"/>
      </w:pPr>
    </w:p>
    <w:p w:rsidR="00E24DB7" w:rsidRPr="002C5876" w:rsidRDefault="00E24DB7" w:rsidP="00E24DB7">
      <w:pPr>
        <w:pStyle w:val="H23G"/>
        <w:ind w:left="0" w:firstLine="0"/>
        <w:rPr>
          <w:vertAlign w:val="subscript"/>
        </w:rPr>
      </w:pPr>
      <w:r w:rsidRPr="002C5876">
        <w:br w:type="page"/>
      </w:r>
      <w:r w:rsidRPr="002C5876">
        <w:rPr>
          <w:b w:val="0"/>
        </w:rPr>
        <w:lastRenderedPageBreak/>
        <w:t xml:space="preserve">Tableau A1/2 </w:t>
      </w:r>
      <w:r w:rsidRPr="002C5876">
        <w:rPr>
          <w:b w:val="0"/>
        </w:rPr>
        <w:br/>
      </w:r>
      <w:r w:rsidRPr="002C5876">
        <w:t>Cycle WLTC, véhicules de la classe 1, phase Medium</w:t>
      </w:r>
      <w:r w:rsidRPr="002C5876">
        <w:rPr>
          <w:vertAlign w:val="subscript"/>
        </w:rPr>
        <w:t>1</w:t>
      </w:r>
    </w:p>
    <w:tbl>
      <w:tblPr>
        <w:tblW w:w="9637" w:type="dxa"/>
        <w:tblLayout w:type="fixed"/>
        <w:tblCellMar>
          <w:left w:w="0" w:type="dxa"/>
          <w:right w:w="0" w:type="dxa"/>
        </w:tblCellMar>
        <w:tblLook w:val="04A0" w:firstRow="1" w:lastRow="0" w:firstColumn="1" w:lastColumn="0" w:noHBand="0" w:noVBand="1"/>
      </w:tblPr>
      <w:tblGrid>
        <w:gridCol w:w="1204"/>
        <w:gridCol w:w="1205"/>
        <w:gridCol w:w="1204"/>
        <w:gridCol w:w="1205"/>
        <w:gridCol w:w="1205"/>
        <w:gridCol w:w="1204"/>
        <w:gridCol w:w="1205"/>
        <w:gridCol w:w="1205"/>
      </w:tblGrid>
      <w:tr w:rsidR="00E24DB7" w:rsidRPr="002C5876" w:rsidTr="00E24DB7">
        <w:trPr>
          <w:tblHeader/>
        </w:trPr>
        <w:tc>
          <w:tcPr>
            <w:tcW w:w="1204"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rPr>
                <w:i/>
                <w:sz w:val="16"/>
              </w:rPr>
            </w:pPr>
            <w:r w:rsidRPr="002C5876">
              <w:rPr>
                <w:i/>
                <w:sz w:val="16"/>
              </w:rPr>
              <w:t>Temps en s</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Vitesse en km/h</w:t>
            </w:r>
          </w:p>
        </w:tc>
        <w:tc>
          <w:tcPr>
            <w:tcW w:w="1204"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Temps en s</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Vitesse en km/h</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Temps en s</w:t>
            </w:r>
          </w:p>
        </w:tc>
        <w:tc>
          <w:tcPr>
            <w:tcW w:w="1204"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Vitesse en km/h</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Temps en s</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Vitesse en km/h</w:t>
            </w:r>
          </w:p>
        </w:tc>
      </w:tr>
      <w:tr w:rsidR="00E24DB7" w:rsidRPr="002C5876" w:rsidTr="00E24DB7">
        <w:tc>
          <w:tcPr>
            <w:tcW w:w="1204" w:type="dxa"/>
            <w:tcBorders>
              <w:top w:val="single" w:sz="12" w:space="0" w:color="auto"/>
            </w:tcBorders>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590</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0,0</w:t>
            </w:r>
          </w:p>
        </w:tc>
        <w:tc>
          <w:tcPr>
            <w:tcW w:w="1204" w:type="dxa"/>
            <w:tcBorders>
              <w:top w:val="single" w:sz="12" w:space="0" w:color="auto"/>
            </w:tcBorders>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637</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18,4</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684</w:t>
            </w:r>
          </w:p>
        </w:tc>
        <w:tc>
          <w:tcPr>
            <w:tcW w:w="1204" w:type="dxa"/>
            <w:tcBorders>
              <w:top w:val="single" w:sz="12" w:space="0" w:color="auto"/>
            </w:tcBorders>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56,2</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731</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57,9</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591</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638</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19,0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685</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56,7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732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58,8</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592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639</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20,1</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686</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57,3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733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59,6</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593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640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21,5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687</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57,9</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734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60,3</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594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641</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23,1</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688</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58,4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735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60,9</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595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642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24,9</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689</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58,8</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736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61,3</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596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643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26,4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690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58,9</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737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61,7</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597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644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27,9</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691</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58,4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738</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61,8</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598</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645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29,2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692</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58,1</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739</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61,8</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599</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646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30,4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693</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57,6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740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61,6</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600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0,6</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647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31,6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694</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56,9</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741</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61,2</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601</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1,9</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648</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32,8</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695</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56,3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742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60,8</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602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2,7</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649</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34,0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696</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55,7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743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60,4</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603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5,2</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650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35,1</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697</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55,3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744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59,9</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604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651</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36,3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698</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55,0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745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59,4</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605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9,6</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652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37,4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699</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54,7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746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58,9</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606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11,4</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653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38,6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700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54,5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747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58,6</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607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14,1</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654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39,6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701</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54,4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748</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58,2</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608</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15,8</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655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40,6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702</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54,3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749</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57,9</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609</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18,2</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656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41,6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703</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54,2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750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57,7</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610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19,7</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657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42,4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704</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54,1</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751</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57,5</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611</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21,8</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658</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43,0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705</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53,8</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752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57,2</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612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23,2</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659</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43,6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706</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53,5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753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57,0</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613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24,7</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660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44,0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707</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53,0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754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56,8</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614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25,8</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661</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44,4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708</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52,6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755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56,6</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615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26,7</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662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44,8</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709</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52,2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756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56,6</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616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27,2</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663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45,2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710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51,9</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757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56,7</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617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27,7</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664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45,6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711</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51,7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758</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57,1</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618</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28,1</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665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46,0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712</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51,7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759</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57,6</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619</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28,4</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666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46,5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713</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51,8</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760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58,2</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620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28,7</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667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47,0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714</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52,0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761</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59,0</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621</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29,0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668</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47,5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715</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52,3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762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59,8</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622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29,2</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669</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48,0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716</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52,6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763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60,6</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623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29,4</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670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48,6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717</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52,9</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764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61,4</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624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29,4</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671</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49,1</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718</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53,1</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765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62,2</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625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29,3</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672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49,7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719</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53,2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766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62,9</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626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28,9</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673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50,2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720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53,3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767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63,5</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627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28,5</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674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50,8</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721</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53,3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768</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64,2</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628</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28,1</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675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51,3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722</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53,4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769</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64,4</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629</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27,6</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676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51,8</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723</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53,5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770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64,4</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630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26,9</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677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52,3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724</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53,7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771</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64,0</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631</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26,0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678</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52,9</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725</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54,0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772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63,5</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632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24,6</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679</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53,4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726</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54,4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773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62,9</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633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22,8</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680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54,0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727</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54,9</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774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62,4</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634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21,0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681</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54,5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728</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55,6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775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62,0</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635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19,5</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682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55,1</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729</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56,3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776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61,6</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636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18,6</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683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55,6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730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57,1</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777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61,4</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lastRenderedPageBreak/>
              <w:t>778</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61,2</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827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49,7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876</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53,2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925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44,4</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779</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61,0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828</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50,6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877</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53,1</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926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44,5</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780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60,7</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829</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51,6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878</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53,0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927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44,6</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781</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60,2</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830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52,5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879</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53,0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928</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44,7</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782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59,6</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831</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53,3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880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53,0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929</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44,6</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783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58,9</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832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54,1</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881</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53,0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930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44,5</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784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58,1</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833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54,7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882</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53,0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931</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44,4</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785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57,2</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834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55,3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883</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53,0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932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44,2</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786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56,3</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835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55,7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884</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52,8</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933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44,1</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787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55,3</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836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56,1</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885</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52,5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934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43,7</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788</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54,4</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837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56,4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886</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51,9</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935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43,3</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789</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53,4</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838</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56,7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887</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51,1</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936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42,8</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790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52,4</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839</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57,1</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888</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50,2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937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42,3</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791</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51,4</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840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57,5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889</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49,2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938</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41,6</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792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50,4</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841</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58,0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890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48,2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939</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40,7</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793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49,4</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842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58,7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891</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47,3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940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39,8</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794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48,5</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843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59,3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892</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46,4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941</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38,8</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795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47,5</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844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60,0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893</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45,6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942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37,8</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796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46,5</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845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60,6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894</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45,0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943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36,9</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797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45,4</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846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61,3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895</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44,3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944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36,1</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798</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44,3</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847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61,5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896</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43,8</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945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35,5</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799</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43,1</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848</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61,5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897</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43,3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946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35,0</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800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42,0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849</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61,4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898</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42,8</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947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34,7</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801</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40,8</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850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61,2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899</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42,4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948</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34,4</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802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39,7</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851</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60,5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900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42,0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949</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34,1</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803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38,8</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852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60,0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901</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41,6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950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33,9</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804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38,1</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853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59,5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902</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41,1</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951</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33,6</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805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37,4</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854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58,9</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903</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40,3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952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33,3</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806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37,1</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855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58,4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904</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39,5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953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33,0</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807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36,9</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856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57,9</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905</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38,6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954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32,7</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808</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37,0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857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57,5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906</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37,7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955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32,3</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809</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37,5</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858</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57,1</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907</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36,7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956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31,9</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810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37,8</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859</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56,7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908</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36,2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957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31,5</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811</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38,2</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860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56,4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909</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36,0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958</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31,0</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812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38,6</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861</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56,1</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910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36,2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959</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30,6</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813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39,1</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862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55,8</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911</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37,0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960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30,2</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814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39,6</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863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55,5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912</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38,0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961</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29,7</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815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40,1</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864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55,3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913</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39,0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962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29,1</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816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40,7</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865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55,0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914</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39,7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963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28,4</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817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41,3</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866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54,7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915</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40,2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964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27,6</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818</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41,9</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867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54,4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916</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40,7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965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26,8</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819</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42,7</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868</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54,2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917</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41,2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966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26,0</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820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43,4</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869</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54,0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918</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41,7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967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25,1</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821</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44,2</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870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53,9</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919</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42,2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968</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24,2</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822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45,0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871</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53,7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920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42,7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969</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23,3</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823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45,9</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872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53,6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921</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43,2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970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22,4</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824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46,8</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873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53,5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922</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43,6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971</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21,5</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825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47,7</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874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53,4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923</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44,0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972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20,6</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826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48,7</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875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53,3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924</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44,2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973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19,7</w:t>
            </w: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lastRenderedPageBreak/>
              <w:t>974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18,8</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975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17,7</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976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16,4</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977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14,9</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978</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13,2</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979</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11,3</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980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9,4</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981</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7,5</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982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5,6</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983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3,7</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984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1,9</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985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1,0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986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987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988</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989</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990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991</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992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993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994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995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996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997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998</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999</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1 000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1 001</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1 002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1 003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1 004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1 005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1 006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1 007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1 008</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1 009</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1 010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1 011</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1 012</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1 013</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1 014</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1 015</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1 016</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1 017</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1 018</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1 019</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1 020</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1 021</w:t>
            </w: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p>
        </w:tc>
      </w:tr>
      <w:tr w:rsidR="00E24DB7" w:rsidRPr="002C5876" w:rsidTr="00E24DB7">
        <w:tc>
          <w:tcPr>
            <w:tcW w:w="1204" w:type="dxa"/>
            <w:tcBorders>
              <w:bottom w:val="single" w:sz="12" w:space="0" w:color="auto"/>
            </w:tcBorders>
            <w:shd w:val="clear" w:color="auto" w:fill="auto"/>
            <w:noWrap/>
          </w:tcPr>
          <w:p w:rsidR="00E24DB7" w:rsidRPr="002C5876" w:rsidRDefault="00E24DB7" w:rsidP="00E24DB7">
            <w:pPr>
              <w:suppressAutoHyphens w:val="0"/>
              <w:spacing w:before="30" w:after="30" w:line="220" w:lineRule="exact"/>
              <w:rPr>
                <w:sz w:val="18"/>
                <w:szCs w:val="18"/>
              </w:rPr>
            </w:pPr>
            <w:r w:rsidRPr="002C5876">
              <w:rPr>
                <w:sz w:val="18"/>
                <w:szCs w:val="18"/>
              </w:rPr>
              <w:t>1 022</w:t>
            </w: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0,0</w:t>
            </w:r>
          </w:p>
        </w:tc>
        <w:tc>
          <w:tcPr>
            <w:tcW w:w="1204" w:type="dxa"/>
            <w:tcBorders>
              <w:bottom w:val="single" w:sz="12" w:space="0" w:color="auto"/>
            </w:tcBorders>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 </w:t>
            </w: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 </w:t>
            </w: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 </w:t>
            </w:r>
          </w:p>
        </w:tc>
        <w:tc>
          <w:tcPr>
            <w:tcW w:w="1204" w:type="dxa"/>
            <w:tcBorders>
              <w:bottom w:val="single" w:sz="12" w:space="0" w:color="auto"/>
            </w:tcBorders>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 </w:t>
            </w: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 </w:t>
            </w: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30" w:after="30" w:line="220" w:lineRule="exact"/>
              <w:jc w:val="right"/>
              <w:rPr>
                <w:sz w:val="18"/>
                <w:szCs w:val="18"/>
              </w:rPr>
            </w:pPr>
            <w:r w:rsidRPr="002C5876">
              <w:rPr>
                <w:sz w:val="18"/>
                <w:szCs w:val="18"/>
              </w:rPr>
              <w:t> </w:t>
            </w:r>
          </w:p>
        </w:tc>
      </w:tr>
    </w:tbl>
    <w:p w:rsidR="00E24DB7" w:rsidRPr="002C5876" w:rsidRDefault="00E24DB7" w:rsidP="00E24DB7">
      <w:pPr>
        <w:pStyle w:val="SingleTxtG"/>
        <w:spacing w:before="240"/>
        <w:ind w:left="2268" w:hanging="1134"/>
      </w:pPr>
      <w:r w:rsidRPr="002C5876">
        <w:lastRenderedPageBreak/>
        <w:t>5.</w:t>
      </w:r>
      <w:r w:rsidRPr="002C5876">
        <w:tab/>
      </w:r>
      <w:r w:rsidRPr="002C5876">
        <w:tab/>
        <w:t>Cycle WLTC pour les véhicules de la classe 2</w:t>
      </w:r>
    </w:p>
    <w:p w:rsidR="00E24DB7" w:rsidRPr="002C5876" w:rsidRDefault="00E24DB7" w:rsidP="00E24DB7">
      <w:pPr>
        <w:pStyle w:val="H23G"/>
        <w:rPr>
          <w:vertAlign w:val="subscript"/>
        </w:rPr>
      </w:pPr>
      <w:r w:rsidRPr="002C5876">
        <w:tab/>
      </w:r>
      <w:r w:rsidRPr="002C5876">
        <w:tab/>
      </w:r>
      <w:r w:rsidRPr="002C5876">
        <w:rPr>
          <w:b w:val="0"/>
        </w:rPr>
        <w:t xml:space="preserve">Figure A1/3 </w:t>
      </w:r>
      <w:r w:rsidRPr="002C5876">
        <w:rPr>
          <w:b w:val="0"/>
        </w:rPr>
        <w:br/>
      </w:r>
      <w:r w:rsidRPr="002C5876">
        <w:t>Cycle WLTC, véhicules de la classe 2, phase Low</w:t>
      </w:r>
      <w:r w:rsidRPr="002C5876">
        <w:rPr>
          <w:vertAlign w:val="subscript"/>
        </w:rPr>
        <w:t>2</w:t>
      </w:r>
    </w:p>
    <w:p w:rsidR="00E24DB7" w:rsidRPr="002C5876" w:rsidRDefault="00E24DB7" w:rsidP="00E24DB7">
      <w:pPr>
        <w:pStyle w:val="SingleTxtG"/>
      </w:pPr>
      <w:r w:rsidRPr="002C5876">
        <w:rPr>
          <w:noProof/>
          <w:lang w:val="en-GB" w:eastAsia="zh-CN"/>
        </w:rPr>
        <mc:AlternateContent>
          <mc:Choice Requires="wps">
            <w:drawing>
              <wp:anchor distT="0" distB="0" distL="114300" distR="114300" simplePos="0" relativeHeight="251001856" behindDoc="0" locked="0" layoutInCell="1" allowOverlap="1" wp14:anchorId="79CF769B" wp14:editId="2705FF1D">
                <wp:simplePos x="0" y="0"/>
                <wp:positionH relativeFrom="column">
                  <wp:posOffset>3235289</wp:posOffset>
                </wp:positionH>
                <wp:positionV relativeFrom="paragraph">
                  <wp:posOffset>3316060</wp:posOffset>
                </wp:positionV>
                <wp:extent cx="811530" cy="122555"/>
                <wp:effectExtent l="0" t="0" r="7620" b="10795"/>
                <wp:wrapNone/>
                <wp:docPr id="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D53F39" w:rsidRPr="00DD257C" w:rsidRDefault="00D53F39" w:rsidP="00E24DB7">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F769B" id="_x0000_s1033" type="#_x0000_t202" style="position:absolute;left:0;text-align:left;margin-left:254.75pt;margin-top:261.1pt;width:63.9pt;height:9.65pt;z-index:2510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" filled="f" stroked="f" strokeweight=".5pt">
                <v:textbox inset="0,0,0,0">
                  <w:txbxContent>
                    <w:p w:rsidR="00D53F39" w:rsidRPr="00DD257C" w:rsidRDefault="00D53F39" w:rsidP="00E24DB7">
                      <w:pPr>
                        <w:spacing w:line="240" w:lineRule="auto"/>
                        <w:jc w:val="center"/>
                        <w:rPr>
                          <w:sz w:val="14"/>
                          <w:szCs w:val="14"/>
                        </w:rPr>
                      </w:pPr>
                      <w:r>
                        <w:rPr>
                          <w:b/>
                          <w:sz w:val="14"/>
                          <w:szCs w:val="14"/>
                        </w:rPr>
                        <w:t>Temps en s</w:t>
                      </w:r>
                    </w:p>
                  </w:txbxContent>
                </v:textbox>
              </v:shape>
            </w:pict>
          </mc:Fallback>
        </mc:AlternateContent>
      </w:r>
      <w:r w:rsidRPr="002C5876">
        <w:rPr>
          <w:noProof/>
          <w:lang w:val="en-GB" w:eastAsia="zh-CN"/>
        </w:rPr>
        <mc:AlternateContent>
          <mc:Choice Requires="wps">
            <w:drawing>
              <wp:anchor distT="0" distB="0" distL="114300" distR="114300" simplePos="0" relativeHeight="251000832" behindDoc="0" locked="0" layoutInCell="1" allowOverlap="1" wp14:anchorId="2C18B71B" wp14:editId="4B3549CB">
                <wp:simplePos x="0" y="0"/>
                <wp:positionH relativeFrom="column">
                  <wp:posOffset>-208080</wp:posOffset>
                </wp:positionH>
                <wp:positionV relativeFrom="paragraph">
                  <wp:posOffset>1523837</wp:posOffset>
                </wp:positionV>
                <wp:extent cx="2251075" cy="177165"/>
                <wp:effectExtent l="8255" t="10795" r="5080" b="5080"/>
                <wp:wrapNone/>
                <wp:docPr id="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D53F39" w:rsidRPr="00E911A4" w:rsidRDefault="00D53F39" w:rsidP="00E24DB7">
                            <w:pPr>
                              <w:jc w:val="center"/>
                              <w:rPr>
                                <w:sz w:val="16"/>
                                <w:szCs w:val="16"/>
                              </w:rPr>
                            </w:pPr>
                            <w:r w:rsidRPr="00E911A4">
                              <w:rPr>
                                <w:b/>
                                <w:sz w:val="16"/>
                                <w:szCs w:val="16"/>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8B71B" id="_x0000_s1034" type="#_x0000_t202" style="position:absolute;left:0;text-align:left;margin-left:-16.4pt;margin-top:120pt;width:177.25pt;height:13.95pt;rotation:-90;z-index:2510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" filled="f" stroked="f" strokeweight=".5pt">
                <v:textbox inset="0,0,0,0">
                  <w:txbxContent>
                    <w:p w:rsidR="00D53F39" w:rsidRPr="00E911A4" w:rsidRDefault="00D53F39" w:rsidP="00E24DB7">
                      <w:pPr>
                        <w:jc w:val="center"/>
                        <w:rPr>
                          <w:sz w:val="16"/>
                          <w:szCs w:val="16"/>
                        </w:rPr>
                      </w:pPr>
                      <w:r w:rsidRPr="00E911A4">
                        <w:rPr>
                          <w:b/>
                          <w:sz w:val="16"/>
                          <w:szCs w:val="16"/>
                        </w:rPr>
                        <w:t>Vitesse du véhicule en km/h</w:t>
                      </w:r>
                    </w:p>
                  </w:txbxContent>
                </v:textbox>
              </v:shape>
            </w:pict>
          </mc:Fallback>
        </mc:AlternateContent>
      </w:r>
      <w:r w:rsidRPr="002C5876">
        <w:rPr>
          <w:noProof/>
          <w:lang w:val="en-GB" w:eastAsia="zh-CN"/>
        </w:rPr>
        <mc:AlternateContent>
          <mc:Choice Requires="wps">
            <w:drawing>
              <wp:anchor distT="0" distB="0" distL="114300" distR="114300" simplePos="0" relativeHeight="250999808" behindDoc="0" locked="0" layoutInCell="1" allowOverlap="1" wp14:anchorId="565CD96B" wp14:editId="430DD48F">
                <wp:simplePos x="0" y="0"/>
                <wp:positionH relativeFrom="column">
                  <wp:posOffset>3010608</wp:posOffset>
                </wp:positionH>
                <wp:positionV relativeFrom="paragraph">
                  <wp:posOffset>646012</wp:posOffset>
                </wp:positionV>
                <wp:extent cx="2277745" cy="143510"/>
                <wp:effectExtent l="0" t="0" r="8255" b="8890"/>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745" cy="143510"/>
                        </a:xfrm>
                        <a:prstGeom prst="rect">
                          <a:avLst/>
                        </a:prstGeom>
                        <a:noFill/>
                        <a:ln w="6350">
                          <a:noFill/>
                          <a:miter lim="800000"/>
                          <a:headEnd/>
                          <a:tailEnd/>
                        </a:ln>
                      </wps:spPr>
                      <wps:txbx>
                        <w:txbxContent>
                          <w:p w:rsidR="00D53F39" w:rsidRPr="00E911A4" w:rsidRDefault="00D53F39" w:rsidP="00E24DB7">
                            <w:pPr>
                              <w:spacing w:line="240" w:lineRule="auto"/>
                              <w:rPr>
                                <w:sz w:val="16"/>
                                <w:szCs w:val="16"/>
                              </w:rPr>
                            </w:pPr>
                            <w:r w:rsidRPr="00E911A4">
                              <w:rPr>
                                <w:b/>
                                <w:sz w:val="16"/>
                                <w:szCs w:val="16"/>
                              </w:rPr>
                              <w:t>Cycle WLTC, véhicules de la classe 2, phase Low</w:t>
                            </w:r>
                            <w:r w:rsidRPr="00E911A4">
                              <w:rPr>
                                <w:b/>
                                <w:sz w:val="16"/>
                                <w:szCs w:val="16"/>
                                <w:vertAlign w:val="subscript"/>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CD96B" id="_x0000_s1035" type="#_x0000_t202" style="position:absolute;left:0;text-align:left;margin-left:237.05pt;margin-top:50.85pt;width:179.35pt;height:11.3pt;z-index:2509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" filled="f" stroked="f" strokeweight=".5pt">
                <v:textbox inset="0,0,0,0">
                  <w:txbxContent>
                    <w:p w:rsidR="00D53F39" w:rsidRPr="00E911A4" w:rsidRDefault="00D53F39" w:rsidP="00E24DB7">
                      <w:pPr>
                        <w:spacing w:line="240" w:lineRule="auto"/>
                        <w:rPr>
                          <w:sz w:val="16"/>
                          <w:szCs w:val="16"/>
                        </w:rPr>
                      </w:pPr>
                      <w:r w:rsidRPr="00E911A4">
                        <w:rPr>
                          <w:b/>
                          <w:sz w:val="16"/>
                          <w:szCs w:val="16"/>
                        </w:rPr>
                        <w:t>Cycle WLTC, véhicules de la classe 2, phase Low</w:t>
                      </w:r>
                      <w:r w:rsidRPr="00E911A4">
                        <w:rPr>
                          <w:b/>
                          <w:sz w:val="16"/>
                          <w:szCs w:val="16"/>
                          <w:vertAlign w:val="subscript"/>
                        </w:rPr>
                        <w:t>2</w:t>
                      </w:r>
                    </w:p>
                  </w:txbxContent>
                </v:textbox>
              </v:shape>
            </w:pict>
          </mc:Fallback>
        </mc:AlternateContent>
      </w:r>
      <w:r w:rsidRPr="002C5876">
        <w:rPr>
          <w:noProof/>
          <w:lang w:val="en-GB" w:eastAsia="zh-CN"/>
        </w:rPr>
        <w:drawing>
          <wp:inline distT="0" distB="0" distL="0" distR="0" wp14:anchorId="04A04101" wp14:editId="12EA68AE">
            <wp:extent cx="5367600" cy="3481200"/>
            <wp:effectExtent l="0" t="0" r="5080" b="508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7600" cy="3481200"/>
                    </a:xfrm>
                    <a:prstGeom prst="rect">
                      <a:avLst/>
                    </a:prstGeom>
                    <a:noFill/>
                    <a:ln>
                      <a:noFill/>
                    </a:ln>
                  </pic:spPr>
                </pic:pic>
              </a:graphicData>
            </a:graphic>
          </wp:inline>
        </w:drawing>
      </w:r>
    </w:p>
    <w:p w:rsidR="00E24DB7" w:rsidRPr="002C5876" w:rsidRDefault="00E24DB7" w:rsidP="00E24DB7">
      <w:pPr>
        <w:pStyle w:val="H23G"/>
        <w:rPr>
          <w:vertAlign w:val="subscript"/>
        </w:rPr>
      </w:pPr>
      <w:r w:rsidRPr="002C5876">
        <w:tab/>
      </w:r>
      <w:r w:rsidRPr="002C5876">
        <w:tab/>
      </w:r>
      <w:r w:rsidRPr="002C5876">
        <w:rPr>
          <w:b w:val="0"/>
        </w:rPr>
        <w:t xml:space="preserve">Figure A1/4 </w:t>
      </w:r>
      <w:r w:rsidRPr="002C5876">
        <w:rPr>
          <w:b w:val="0"/>
        </w:rPr>
        <w:br/>
      </w:r>
      <w:r w:rsidRPr="002C5876">
        <w:t>Cycle WLTC, véhicules de la classe 2, phase Medium</w:t>
      </w:r>
      <w:r w:rsidRPr="002C5876">
        <w:rPr>
          <w:vertAlign w:val="subscript"/>
        </w:rPr>
        <w:t>2</w:t>
      </w:r>
    </w:p>
    <w:p w:rsidR="00E24DB7" w:rsidRPr="002C5876" w:rsidRDefault="00E24DB7" w:rsidP="00E24DB7">
      <w:pPr>
        <w:pStyle w:val="SingleTxtG"/>
      </w:pPr>
      <w:r w:rsidRPr="002C5876">
        <w:rPr>
          <w:noProof/>
          <w:lang w:val="en-GB" w:eastAsia="zh-CN"/>
        </w:rPr>
        <mc:AlternateContent>
          <mc:Choice Requires="wps">
            <w:drawing>
              <wp:anchor distT="0" distB="0" distL="114300" distR="114300" simplePos="0" relativeHeight="251004928" behindDoc="0" locked="0" layoutInCell="1" allowOverlap="1" wp14:anchorId="45BEA038" wp14:editId="3D156959">
                <wp:simplePos x="0" y="0"/>
                <wp:positionH relativeFrom="column">
                  <wp:posOffset>3193488</wp:posOffset>
                </wp:positionH>
                <wp:positionV relativeFrom="paragraph">
                  <wp:posOffset>3322556</wp:posOffset>
                </wp:positionV>
                <wp:extent cx="811530" cy="122555"/>
                <wp:effectExtent l="0" t="0" r="7620" b="10795"/>
                <wp:wrapNone/>
                <wp:docPr id="138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D53F39" w:rsidRPr="00DD257C" w:rsidRDefault="00D53F39" w:rsidP="00E24DB7">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EA038" id="_x0000_s1036" type="#_x0000_t202" style="position:absolute;left:0;text-align:left;margin-left:251.45pt;margin-top:261.6pt;width:63.9pt;height:9.65pt;z-index:2510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" filled="f" stroked="f" strokeweight=".5pt">
                <v:textbox inset="0,0,0,0">
                  <w:txbxContent>
                    <w:p w:rsidR="00D53F39" w:rsidRPr="00DD257C" w:rsidRDefault="00D53F39" w:rsidP="00E24DB7">
                      <w:pPr>
                        <w:spacing w:line="240" w:lineRule="auto"/>
                        <w:jc w:val="center"/>
                        <w:rPr>
                          <w:sz w:val="14"/>
                          <w:szCs w:val="14"/>
                        </w:rPr>
                      </w:pPr>
                      <w:r>
                        <w:rPr>
                          <w:b/>
                          <w:sz w:val="14"/>
                          <w:szCs w:val="14"/>
                        </w:rPr>
                        <w:t>Temps en s</w:t>
                      </w:r>
                    </w:p>
                  </w:txbxContent>
                </v:textbox>
              </v:shape>
            </w:pict>
          </mc:Fallback>
        </mc:AlternateContent>
      </w:r>
      <w:r w:rsidRPr="002C5876">
        <w:rPr>
          <w:noProof/>
          <w:lang w:val="en-GB" w:eastAsia="zh-CN"/>
        </w:rPr>
        <mc:AlternateContent>
          <mc:Choice Requires="wps">
            <w:drawing>
              <wp:anchor distT="0" distB="0" distL="114300" distR="114300" simplePos="0" relativeHeight="251003904" behindDoc="0" locked="0" layoutInCell="1" allowOverlap="1" wp14:anchorId="79774F79" wp14:editId="7130D47B">
                <wp:simplePos x="0" y="0"/>
                <wp:positionH relativeFrom="column">
                  <wp:posOffset>-234206</wp:posOffset>
                </wp:positionH>
                <wp:positionV relativeFrom="paragraph">
                  <wp:posOffset>1451955</wp:posOffset>
                </wp:positionV>
                <wp:extent cx="2251075" cy="177165"/>
                <wp:effectExtent l="8255" t="10795" r="5080" b="5080"/>
                <wp:wrapNone/>
                <wp:docPr id="138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D53F39" w:rsidRPr="00E911A4" w:rsidRDefault="00D53F39" w:rsidP="00E24DB7">
                            <w:pPr>
                              <w:jc w:val="center"/>
                              <w:rPr>
                                <w:sz w:val="16"/>
                                <w:szCs w:val="16"/>
                              </w:rPr>
                            </w:pPr>
                            <w:r w:rsidRPr="00E911A4">
                              <w:rPr>
                                <w:b/>
                                <w:sz w:val="16"/>
                                <w:szCs w:val="16"/>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74F79" id="_x0000_s1037" type="#_x0000_t202" style="position:absolute;left:0;text-align:left;margin-left:-18.45pt;margin-top:114.35pt;width:177.25pt;height:13.95pt;rotation:-90;z-index:2510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" filled="f" stroked="f" strokeweight=".5pt">
                <v:textbox inset="0,0,0,0">
                  <w:txbxContent>
                    <w:p w:rsidR="00D53F39" w:rsidRPr="00E911A4" w:rsidRDefault="00D53F39" w:rsidP="00E24DB7">
                      <w:pPr>
                        <w:jc w:val="center"/>
                        <w:rPr>
                          <w:sz w:val="16"/>
                          <w:szCs w:val="16"/>
                        </w:rPr>
                      </w:pPr>
                      <w:r w:rsidRPr="00E911A4">
                        <w:rPr>
                          <w:b/>
                          <w:sz w:val="16"/>
                          <w:szCs w:val="16"/>
                        </w:rPr>
                        <w:t>Vitesse du véhicule en km/h</w:t>
                      </w:r>
                    </w:p>
                  </w:txbxContent>
                </v:textbox>
              </v:shape>
            </w:pict>
          </mc:Fallback>
        </mc:AlternateContent>
      </w:r>
      <w:r w:rsidRPr="002C5876">
        <w:rPr>
          <w:noProof/>
          <w:lang w:val="en-GB" w:eastAsia="zh-CN"/>
        </w:rPr>
        <mc:AlternateContent>
          <mc:Choice Requires="wps">
            <w:drawing>
              <wp:anchor distT="0" distB="0" distL="114300" distR="114300" simplePos="0" relativeHeight="251002880" behindDoc="0" locked="0" layoutInCell="1" allowOverlap="1" wp14:anchorId="795478E1" wp14:editId="38AE35DE">
                <wp:simplePos x="0" y="0"/>
                <wp:positionH relativeFrom="column">
                  <wp:posOffset>2838178</wp:posOffset>
                </wp:positionH>
                <wp:positionV relativeFrom="paragraph">
                  <wp:posOffset>412151</wp:posOffset>
                </wp:positionV>
                <wp:extent cx="2393950" cy="143510"/>
                <wp:effectExtent l="0" t="0" r="6350" b="8890"/>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0" cy="143510"/>
                        </a:xfrm>
                        <a:prstGeom prst="rect">
                          <a:avLst/>
                        </a:prstGeom>
                        <a:noFill/>
                        <a:ln w="6350">
                          <a:noFill/>
                          <a:miter lim="800000"/>
                          <a:headEnd/>
                          <a:tailEnd/>
                        </a:ln>
                      </wps:spPr>
                      <wps:txbx>
                        <w:txbxContent>
                          <w:p w:rsidR="00D53F39" w:rsidRPr="00E911A4" w:rsidRDefault="00D53F39" w:rsidP="00E24DB7">
                            <w:pPr>
                              <w:spacing w:line="240" w:lineRule="auto"/>
                              <w:rPr>
                                <w:sz w:val="16"/>
                                <w:szCs w:val="16"/>
                              </w:rPr>
                            </w:pPr>
                            <w:r w:rsidRPr="00E911A4">
                              <w:rPr>
                                <w:b/>
                                <w:sz w:val="16"/>
                                <w:szCs w:val="16"/>
                              </w:rPr>
                              <w:t>Cycle WLTC, véhicules de la classe 2, phase Medium</w:t>
                            </w:r>
                            <w:r w:rsidRPr="00E911A4">
                              <w:rPr>
                                <w:b/>
                                <w:sz w:val="16"/>
                                <w:szCs w:val="16"/>
                                <w:vertAlign w:val="subscript"/>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478E1" id="_x0000_s1038" type="#_x0000_t202" style="position:absolute;left:0;text-align:left;margin-left:223.5pt;margin-top:32.45pt;width:188.5pt;height:11.3pt;z-index:2510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" filled="f" stroked="f" strokeweight=".5pt">
                <v:textbox inset="0,0,0,0">
                  <w:txbxContent>
                    <w:p w:rsidR="00D53F39" w:rsidRPr="00E911A4" w:rsidRDefault="00D53F39" w:rsidP="00E24DB7">
                      <w:pPr>
                        <w:spacing w:line="240" w:lineRule="auto"/>
                        <w:rPr>
                          <w:sz w:val="16"/>
                          <w:szCs w:val="16"/>
                        </w:rPr>
                      </w:pPr>
                      <w:r w:rsidRPr="00E911A4">
                        <w:rPr>
                          <w:b/>
                          <w:sz w:val="16"/>
                          <w:szCs w:val="16"/>
                        </w:rPr>
                        <w:t>Cycle WLTC, véhicules de la classe 2, phase Medium</w:t>
                      </w:r>
                      <w:r w:rsidRPr="00E911A4">
                        <w:rPr>
                          <w:b/>
                          <w:sz w:val="16"/>
                          <w:szCs w:val="16"/>
                          <w:vertAlign w:val="subscript"/>
                        </w:rPr>
                        <w:t>2</w:t>
                      </w:r>
                    </w:p>
                  </w:txbxContent>
                </v:textbox>
              </v:shape>
            </w:pict>
          </mc:Fallback>
        </mc:AlternateContent>
      </w:r>
      <w:r w:rsidRPr="002C5876">
        <w:rPr>
          <w:noProof/>
          <w:lang w:val="en-GB" w:eastAsia="zh-CN"/>
        </w:rPr>
        <w:drawing>
          <wp:inline distT="0" distB="0" distL="0" distR="0" wp14:anchorId="0E554F4E" wp14:editId="79D02C03">
            <wp:extent cx="5400000" cy="3520800"/>
            <wp:effectExtent l="0" t="0" r="0" b="381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00" cy="3520800"/>
                    </a:xfrm>
                    <a:prstGeom prst="rect">
                      <a:avLst/>
                    </a:prstGeom>
                    <a:noFill/>
                    <a:ln>
                      <a:noFill/>
                    </a:ln>
                  </pic:spPr>
                </pic:pic>
              </a:graphicData>
            </a:graphic>
          </wp:inline>
        </w:drawing>
      </w:r>
    </w:p>
    <w:p w:rsidR="00E24DB7" w:rsidRPr="002C5876" w:rsidRDefault="00E24DB7" w:rsidP="00E24DB7">
      <w:pPr>
        <w:pStyle w:val="H23G"/>
        <w:rPr>
          <w:vertAlign w:val="subscript"/>
        </w:rPr>
      </w:pPr>
      <w:r w:rsidRPr="002C5876">
        <w:lastRenderedPageBreak/>
        <w:tab/>
      </w:r>
      <w:r w:rsidRPr="002C5876">
        <w:tab/>
      </w:r>
      <w:r w:rsidRPr="002C5876">
        <w:rPr>
          <w:b w:val="0"/>
        </w:rPr>
        <w:t xml:space="preserve">Figure A1/5 </w:t>
      </w:r>
      <w:r w:rsidRPr="002C5876">
        <w:rPr>
          <w:b w:val="0"/>
        </w:rPr>
        <w:br/>
      </w:r>
      <w:r w:rsidRPr="002C5876">
        <w:t>Cycle WLTC, véhicules de la classe 2, phase High</w:t>
      </w:r>
      <w:r w:rsidRPr="002C5876">
        <w:rPr>
          <w:vertAlign w:val="subscript"/>
        </w:rPr>
        <w:t>2</w:t>
      </w:r>
    </w:p>
    <w:p w:rsidR="00E24DB7" w:rsidRPr="002C5876" w:rsidRDefault="00E24DB7" w:rsidP="00E24DB7">
      <w:pPr>
        <w:pStyle w:val="SingleTxtG"/>
      </w:pPr>
      <w:r w:rsidRPr="002C5876">
        <w:rPr>
          <w:noProof/>
          <w:lang w:val="en-GB" w:eastAsia="zh-CN"/>
        </w:rPr>
        <mc:AlternateContent>
          <mc:Choice Requires="wps">
            <w:drawing>
              <wp:anchor distT="0" distB="0" distL="114300" distR="114300" simplePos="0" relativeHeight="251008000" behindDoc="0" locked="0" layoutInCell="1" allowOverlap="1" wp14:anchorId="423576A3" wp14:editId="18151552">
                <wp:simplePos x="0" y="0"/>
                <wp:positionH relativeFrom="column">
                  <wp:posOffset>3188262</wp:posOffset>
                </wp:positionH>
                <wp:positionV relativeFrom="paragraph">
                  <wp:posOffset>3303560</wp:posOffset>
                </wp:positionV>
                <wp:extent cx="811530" cy="122555"/>
                <wp:effectExtent l="0" t="0" r="7620" b="10795"/>
                <wp:wrapNone/>
                <wp:docPr id="138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D53F39" w:rsidRPr="00DD257C" w:rsidRDefault="00D53F39" w:rsidP="00E24DB7">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576A3" id="_x0000_s1039" type="#_x0000_t202" style="position:absolute;left:0;text-align:left;margin-left:251.05pt;margin-top:260.1pt;width:63.9pt;height:9.65pt;z-index:2510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" filled="f" stroked="f" strokeweight=".5pt">
                <v:textbox inset="0,0,0,0">
                  <w:txbxContent>
                    <w:p w:rsidR="00D53F39" w:rsidRPr="00DD257C" w:rsidRDefault="00D53F39" w:rsidP="00E24DB7">
                      <w:pPr>
                        <w:spacing w:line="240" w:lineRule="auto"/>
                        <w:jc w:val="center"/>
                        <w:rPr>
                          <w:sz w:val="14"/>
                          <w:szCs w:val="14"/>
                        </w:rPr>
                      </w:pPr>
                      <w:r>
                        <w:rPr>
                          <w:b/>
                          <w:sz w:val="14"/>
                          <w:szCs w:val="14"/>
                        </w:rPr>
                        <w:t>Temps en s</w:t>
                      </w:r>
                    </w:p>
                  </w:txbxContent>
                </v:textbox>
              </v:shape>
            </w:pict>
          </mc:Fallback>
        </mc:AlternateContent>
      </w:r>
      <w:r w:rsidRPr="002C5876">
        <w:rPr>
          <w:noProof/>
          <w:lang w:val="en-GB" w:eastAsia="zh-CN"/>
        </w:rPr>
        <mc:AlternateContent>
          <mc:Choice Requires="wps">
            <w:drawing>
              <wp:anchor distT="0" distB="0" distL="114300" distR="114300" simplePos="0" relativeHeight="251006976" behindDoc="0" locked="0" layoutInCell="1" allowOverlap="1" wp14:anchorId="7BDFB6EA" wp14:editId="50791DD3">
                <wp:simplePos x="0" y="0"/>
                <wp:positionH relativeFrom="column">
                  <wp:posOffset>-228981</wp:posOffset>
                </wp:positionH>
                <wp:positionV relativeFrom="paragraph">
                  <wp:posOffset>1407468</wp:posOffset>
                </wp:positionV>
                <wp:extent cx="2251075" cy="177165"/>
                <wp:effectExtent l="8255" t="10795" r="5080" b="5080"/>
                <wp:wrapNone/>
                <wp:docPr id="138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D53F39" w:rsidRPr="00E911A4" w:rsidRDefault="00D53F39" w:rsidP="00E24DB7">
                            <w:pPr>
                              <w:jc w:val="center"/>
                              <w:rPr>
                                <w:sz w:val="16"/>
                                <w:szCs w:val="16"/>
                              </w:rPr>
                            </w:pPr>
                            <w:r w:rsidRPr="00E911A4">
                              <w:rPr>
                                <w:b/>
                                <w:sz w:val="16"/>
                                <w:szCs w:val="16"/>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FB6EA" id="_x0000_s1040" type="#_x0000_t202" style="position:absolute;left:0;text-align:left;margin-left:-18.05pt;margin-top:110.8pt;width:177.25pt;height:13.95pt;rotation:-90;z-index:2510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" filled="f" stroked="f" strokeweight=".5pt">
                <v:textbox inset="0,0,0,0">
                  <w:txbxContent>
                    <w:p w:rsidR="00D53F39" w:rsidRPr="00E911A4" w:rsidRDefault="00D53F39" w:rsidP="00E24DB7">
                      <w:pPr>
                        <w:jc w:val="center"/>
                        <w:rPr>
                          <w:sz w:val="16"/>
                          <w:szCs w:val="16"/>
                        </w:rPr>
                      </w:pPr>
                      <w:r w:rsidRPr="00E911A4">
                        <w:rPr>
                          <w:b/>
                          <w:sz w:val="16"/>
                          <w:szCs w:val="16"/>
                        </w:rPr>
                        <w:t>Vitesse du véhicule en km/h</w:t>
                      </w:r>
                    </w:p>
                  </w:txbxContent>
                </v:textbox>
              </v:shape>
            </w:pict>
          </mc:Fallback>
        </mc:AlternateContent>
      </w:r>
      <w:r w:rsidRPr="002C5876">
        <w:rPr>
          <w:noProof/>
          <w:lang w:val="en-GB" w:eastAsia="zh-CN"/>
        </w:rPr>
        <mc:AlternateContent>
          <mc:Choice Requires="wps">
            <w:drawing>
              <wp:anchor distT="0" distB="0" distL="114300" distR="114300" simplePos="0" relativeHeight="251005952" behindDoc="0" locked="0" layoutInCell="1" allowOverlap="1" wp14:anchorId="517A1A5E" wp14:editId="54526582">
                <wp:simplePos x="0" y="0"/>
                <wp:positionH relativeFrom="column">
                  <wp:posOffset>2414941</wp:posOffset>
                </wp:positionH>
                <wp:positionV relativeFrom="paragraph">
                  <wp:posOffset>309553</wp:posOffset>
                </wp:positionV>
                <wp:extent cx="2463800" cy="143510"/>
                <wp:effectExtent l="0" t="0" r="12700" b="8890"/>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143510"/>
                        </a:xfrm>
                        <a:prstGeom prst="rect">
                          <a:avLst/>
                        </a:prstGeom>
                        <a:noFill/>
                        <a:ln w="6350">
                          <a:noFill/>
                          <a:miter lim="800000"/>
                          <a:headEnd/>
                          <a:tailEnd/>
                        </a:ln>
                      </wps:spPr>
                      <wps:txbx>
                        <w:txbxContent>
                          <w:p w:rsidR="00D53F39" w:rsidRPr="00E911A4" w:rsidRDefault="00D53F39" w:rsidP="00E24DB7">
                            <w:pPr>
                              <w:spacing w:line="240" w:lineRule="auto"/>
                              <w:jc w:val="center"/>
                              <w:rPr>
                                <w:sz w:val="16"/>
                                <w:szCs w:val="16"/>
                              </w:rPr>
                            </w:pPr>
                            <w:r w:rsidRPr="00E911A4">
                              <w:rPr>
                                <w:b/>
                                <w:sz w:val="16"/>
                                <w:szCs w:val="16"/>
                              </w:rPr>
                              <w:t>Cycle WLTC, véhicules de la classe 2, phase High</w:t>
                            </w:r>
                            <w:r w:rsidRPr="00E911A4">
                              <w:rPr>
                                <w:b/>
                                <w:sz w:val="16"/>
                                <w:szCs w:val="16"/>
                                <w:vertAlign w:val="subscript"/>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A1A5E" id="_x0000_s1041" type="#_x0000_t202" style="position:absolute;left:0;text-align:left;margin-left:190.15pt;margin-top:24.35pt;width:194pt;height:11.3pt;z-index:2510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" filled="f" stroked="f" strokeweight=".5pt">
                <v:textbox inset="0,0,0,0">
                  <w:txbxContent>
                    <w:p w:rsidR="00D53F39" w:rsidRPr="00E911A4" w:rsidRDefault="00D53F39" w:rsidP="00E24DB7">
                      <w:pPr>
                        <w:spacing w:line="240" w:lineRule="auto"/>
                        <w:jc w:val="center"/>
                        <w:rPr>
                          <w:sz w:val="16"/>
                          <w:szCs w:val="16"/>
                        </w:rPr>
                      </w:pPr>
                      <w:r w:rsidRPr="00E911A4">
                        <w:rPr>
                          <w:b/>
                          <w:sz w:val="16"/>
                          <w:szCs w:val="16"/>
                        </w:rPr>
                        <w:t>Cycle WLTC, véhicules de la classe 2, phase High</w:t>
                      </w:r>
                      <w:r w:rsidRPr="00E911A4">
                        <w:rPr>
                          <w:b/>
                          <w:sz w:val="16"/>
                          <w:szCs w:val="16"/>
                          <w:vertAlign w:val="subscript"/>
                        </w:rPr>
                        <w:t>2</w:t>
                      </w:r>
                    </w:p>
                  </w:txbxContent>
                </v:textbox>
              </v:shape>
            </w:pict>
          </mc:Fallback>
        </mc:AlternateContent>
      </w:r>
      <w:r w:rsidRPr="002C5876">
        <w:rPr>
          <w:noProof/>
          <w:lang w:val="en-GB" w:eastAsia="zh-CN"/>
        </w:rPr>
        <w:drawing>
          <wp:inline distT="0" distB="0" distL="0" distR="0" wp14:anchorId="780D1280" wp14:editId="288BB662">
            <wp:extent cx="5400000" cy="3504220"/>
            <wp:effectExtent l="0" t="0" r="0" b="1270"/>
            <wp:docPr id="13842" name="Image 1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00" cy="3504220"/>
                    </a:xfrm>
                    <a:prstGeom prst="rect">
                      <a:avLst/>
                    </a:prstGeom>
                    <a:noFill/>
                    <a:ln>
                      <a:noFill/>
                    </a:ln>
                  </pic:spPr>
                </pic:pic>
              </a:graphicData>
            </a:graphic>
          </wp:inline>
        </w:drawing>
      </w:r>
    </w:p>
    <w:p w:rsidR="00E24DB7" w:rsidRPr="002C5876" w:rsidRDefault="00E24DB7" w:rsidP="00E24DB7">
      <w:pPr>
        <w:pStyle w:val="H23G"/>
        <w:rPr>
          <w:vertAlign w:val="subscript"/>
        </w:rPr>
      </w:pPr>
      <w:r w:rsidRPr="002C5876">
        <w:tab/>
      </w:r>
      <w:r w:rsidRPr="002C5876">
        <w:tab/>
      </w:r>
      <w:r w:rsidRPr="002C5876">
        <w:rPr>
          <w:b w:val="0"/>
        </w:rPr>
        <w:t xml:space="preserve">Figure A1/6 </w:t>
      </w:r>
      <w:r w:rsidRPr="002C5876">
        <w:rPr>
          <w:b w:val="0"/>
        </w:rPr>
        <w:br/>
      </w:r>
      <w:r w:rsidRPr="002C5876">
        <w:t>Cycle WLTC, véhicules de la classe 2, phase Extra High</w:t>
      </w:r>
      <w:r w:rsidRPr="002C5876">
        <w:rPr>
          <w:vertAlign w:val="subscript"/>
        </w:rPr>
        <w:t>2</w:t>
      </w:r>
    </w:p>
    <w:p w:rsidR="00E24DB7" w:rsidRPr="002C5876" w:rsidRDefault="00C25DF9" w:rsidP="00E24DB7">
      <w:pPr>
        <w:pStyle w:val="SingleTxtG"/>
      </w:pPr>
      <w:r w:rsidRPr="002C5876">
        <w:rPr>
          <w:noProof/>
          <w:lang w:val="en-GB" w:eastAsia="zh-CN"/>
        </w:rPr>
        <mc:AlternateContent>
          <mc:Choice Requires="wps">
            <w:drawing>
              <wp:anchor distT="0" distB="0" distL="114300" distR="114300" simplePos="0" relativeHeight="251009024" behindDoc="0" locked="0" layoutInCell="1" allowOverlap="1" wp14:anchorId="7C50098B" wp14:editId="258B0D1D">
                <wp:simplePos x="0" y="0"/>
                <wp:positionH relativeFrom="column">
                  <wp:posOffset>2337455</wp:posOffset>
                </wp:positionH>
                <wp:positionV relativeFrom="paragraph">
                  <wp:posOffset>1914112</wp:posOffset>
                </wp:positionV>
                <wp:extent cx="2520950" cy="143510"/>
                <wp:effectExtent l="0" t="0" r="12700" b="889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143510"/>
                        </a:xfrm>
                        <a:prstGeom prst="rect">
                          <a:avLst/>
                        </a:prstGeom>
                        <a:noFill/>
                        <a:ln w="6350">
                          <a:noFill/>
                          <a:miter lim="800000"/>
                          <a:headEnd/>
                          <a:tailEnd/>
                        </a:ln>
                      </wps:spPr>
                      <wps:txbx>
                        <w:txbxContent>
                          <w:p w:rsidR="00D53F39" w:rsidRPr="00E911A4" w:rsidRDefault="00D53F39" w:rsidP="00E24DB7">
                            <w:pPr>
                              <w:spacing w:line="240" w:lineRule="auto"/>
                              <w:jc w:val="center"/>
                              <w:rPr>
                                <w:sz w:val="16"/>
                                <w:szCs w:val="16"/>
                              </w:rPr>
                            </w:pPr>
                            <w:r w:rsidRPr="00E911A4">
                              <w:rPr>
                                <w:b/>
                                <w:sz w:val="16"/>
                                <w:szCs w:val="16"/>
                              </w:rPr>
                              <w:t>Cycle WLTC, véhicules de la classe 2, phase Extra High</w:t>
                            </w:r>
                            <w:r w:rsidRPr="00E911A4">
                              <w:rPr>
                                <w:b/>
                                <w:sz w:val="16"/>
                                <w:szCs w:val="16"/>
                                <w:vertAlign w:val="subscript"/>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0098B" id="_x0000_s1042" type="#_x0000_t202" style="position:absolute;left:0;text-align:left;margin-left:184.05pt;margin-top:150.7pt;width:198.5pt;height:11.3pt;z-index:2510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" filled="f" stroked="f" strokeweight=".5pt">
                <v:textbox inset="0,0,0,0">
                  <w:txbxContent>
                    <w:p w:rsidR="00D53F39" w:rsidRPr="00E911A4" w:rsidRDefault="00D53F39" w:rsidP="00E24DB7">
                      <w:pPr>
                        <w:spacing w:line="240" w:lineRule="auto"/>
                        <w:jc w:val="center"/>
                        <w:rPr>
                          <w:sz w:val="16"/>
                          <w:szCs w:val="16"/>
                        </w:rPr>
                      </w:pPr>
                      <w:r w:rsidRPr="00E911A4">
                        <w:rPr>
                          <w:b/>
                          <w:sz w:val="16"/>
                          <w:szCs w:val="16"/>
                        </w:rPr>
                        <w:t>Cycle WLTC, véhicules de la classe 2, phase Extra High</w:t>
                      </w:r>
                      <w:r w:rsidRPr="00E911A4">
                        <w:rPr>
                          <w:b/>
                          <w:sz w:val="16"/>
                          <w:szCs w:val="16"/>
                          <w:vertAlign w:val="subscript"/>
                        </w:rPr>
                        <w:t>2</w:t>
                      </w:r>
                    </w:p>
                  </w:txbxContent>
                </v:textbox>
              </v:shape>
            </w:pict>
          </mc:Fallback>
        </mc:AlternateContent>
      </w:r>
      <w:r w:rsidR="00E24DB7" w:rsidRPr="002C5876">
        <w:rPr>
          <w:noProof/>
          <w:lang w:val="en-GB" w:eastAsia="zh-CN"/>
        </w:rPr>
        <mc:AlternateContent>
          <mc:Choice Requires="wps">
            <w:drawing>
              <wp:anchor distT="0" distB="0" distL="114300" distR="114300" simplePos="0" relativeHeight="251035648" behindDoc="0" locked="0" layoutInCell="1" allowOverlap="1" wp14:anchorId="12E08713" wp14:editId="4AAAA397">
                <wp:simplePos x="0" y="0"/>
                <wp:positionH relativeFrom="column">
                  <wp:posOffset>3208036</wp:posOffset>
                </wp:positionH>
                <wp:positionV relativeFrom="paragraph">
                  <wp:posOffset>3342344</wp:posOffset>
                </wp:positionV>
                <wp:extent cx="811530" cy="122555"/>
                <wp:effectExtent l="0" t="0" r="7620" b="10795"/>
                <wp:wrapNone/>
                <wp:docPr id="138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D53F39" w:rsidRPr="00DD257C" w:rsidRDefault="00D53F39" w:rsidP="00E24DB7">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08713" id="_x0000_s1043" type="#_x0000_t202" style="position:absolute;left:0;text-align:left;margin-left:252.6pt;margin-top:263.2pt;width:63.9pt;height:9.65pt;z-index:2510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" filled="f" stroked="f" strokeweight=".5pt">
                <v:textbox inset="0,0,0,0">
                  <w:txbxContent>
                    <w:p w:rsidR="00D53F39" w:rsidRPr="00DD257C" w:rsidRDefault="00D53F39" w:rsidP="00E24DB7">
                      <w:pPr>
                        <w:spacing w:line="240" w:lineRule="auto"/>
                        <w:jc w:val="center"/>
                        <w:rPr>
                          <w:sz w:val="14"/>
                          <w:szCs w:val="14"/>
                        </w:rPr>
                      </w:pPr>
                      <w:r>
                        <w:rPr>
                          <w:b/>
                          <w:sz w:val="14"/>
                          <w:szCs w:val="14"/>
                        </w:rPr>
                        <w:t>Temps en s</w:t>
                      </w:r>
                    </w:p>
                  </w:txbxContent>
                </v:textbox>
              </v:shape>
            </w:pict>
          </mc:Fallback>
        </mc:AlternateContent>
      </w:r>
      <w:r w:rsidR="00E24DB7" w:rsidRPr="002C5876">
        <w:rPr>
          <w:noProof/>
          <w:lang w:val="en-GB" w:eastAsia="zh-CN"/>
        </w:rPr>
        <mc:AlternateContent>
          <mc:Choice Requires="wps">
            <w:drawing>
              <wp:anchor distT="0" distB="0" distL="114300" distR="114300" simplePos="0" relativeHeight="251016192" behindDoc="0" locked="0" layoutInCell="1" allowOverlap="1" wp14:anchorId="0F52C0D5" wp14:editId="74BC7136">
                <wp:simplePos x="0" y="0"/>
                <wp:positionH relativeFrom="column">
                  <wp:posOffset>-239431</wp:posOffset>
                </wp:positionH>
                <wp:positionV relativeFrom="paragraph">
                  <wp:posOffset>1391793</wp:posOffset>
                </wp:positionV>
                <wp:extent cx="2251075" cy="177165"/>
                <wp:effectExtent l="8255" t="10795" r="5080" b="5080"/>
                <wp:wrapNone/>
                <wp:docPr id="138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D53F39" w:rsidRPr="00E911A4" w:rsidRDefault="00D53F39" w:rsidP="00E24DB7">
                            <w:pPr>
                              <w:jc w:val="center"/>
                              <w:rPr>
                                <w:sz w:val="16"/>
                                <w:szCs w:val="16"/>
                              </w:rPr>
                            </w:pPr>
                            <w:r w:rsidRPr="00E911A4">
                              <w:rPr>
                                <w:b/>
                                <w:sz w:val="16"/>
                                <w:szCs w:val="16"/>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2C0D5" id="_x0000_s1044" type="#_x0000_t202" style="position:absolute;left:0;text-align:left;margin-left:-18.85pt;margin-top:109.6pt;width:177.25pt;height:13.95pt;rotation:-90;z-index:2510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" filled="f" stroked="f" strokeweight=".5pt">
                <v:textbox inset="0,0,0,0">
                  <w:txbxContent>
                    <w:p w:rsidR="00D53F39" w:rsidRPr="00E911A4" w:rsidRDefault="00D53F39" w:rsidP="00E24DB7">
                      <w:pPr>
                        <w:jc w:val="center"/>
                        <w:rPr>
                          <w:sz w:val="16"/>
                          <w:szCs w:val="16"/>
                        </w:rPr>
                      </w:pPr>
                      <w:r w:rsidRPr="00E911A4">
                        <w:rPr>
                          <w:b/>
                          <w:sz w:val="16"/>
                          <w:szCs w:val="16"/>
                        </w:rPr>
                        <w:t>Vitesse du véhicule en km/h</w:t>
                      </w:r>
                    </w:p>
                  </w:txbxContent>
                </v:textbox>
              </v:shape>
            </w:pict>
          </mc:Fallback>
        </mc:AlternateContent>
      </w:r>
      <w:r w:rsidR="00E24DB7" w:rsidRPr="002C5876">
        <w:rPr>
          <w:noProof/>
          <w:lang w:val="en-GB" w:eastAsia="zh-CN"/>
        </w:rPr>
        <w:drawing>
          <wp:inline distT="0" distB="0" distL="0" distR="0" wp14:anchorId="6282CF80" wp14:editId="4F5F43A8">
            <wp:extent cx="5400000" cy="3518918"/>
            <wp:effectExtent l="0" t="0" r="0" b="5715"/>
            <wp:docPr id="13845" name="Image 1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0" cy="3518918"/>
                    </a:xfrm>
                    <a:prstGeom prst="rect">
                      <a:avLst/>
                    </a:prstGeom>
                    <a:noFill/>
                    <a:ln>
                      <a:noFill/>
                    </a:ln>
                  </pic:spPr>
                </pic:pic>
              </a:graphicData>
            </a:graphic>
          </wp:inline>
        </w:drawing>
      </w:r>
    </w:p>
    <w:p w:rsidR="00E24DB7" w:rsidRPr="002C5876" w:rsidRDefault="00E24DB7" w:rsidP="00E24DB7">
      <w:pPr>
        <w:pStyle w:val="H23G"/>
        <w:ind w:left="0" w:firstLine="0"/>
        <w:rPr>
          <w:vertAlign w:val="subscript"/>
        </w:rPr>
      </w:pPr>
      <w:r w:rsidRPr="002C5876">
        <w:br w:type="page"/>
      </w:r>
      <w:r w:rsidRPr="002C5876">
        <w:lastRenderedPageBreak/>
        <w:tab/>
      </w:r>
      <w:r w:rsidRPr="002C5876">
        <w:rPr>
          <w:b w:val="0"/>
        </w:rPr>
        <w:t xml:space="preserve">Tableau A1/3 </w:t>
      </w:r>
      <w:r w:rsidRPr="002C5876">
        <w:rPr>
          <w:b w:val="0"/>
        </w:rPr>
        <w:br/>
      </w:r>
      <w:r w:rsidRPr="002C5876">
        <w:t>Cycle WLTC, véhicules de la classe 2, phase Low</w:t>
      </w:r>
      <w:r w:rsidRPr="002C5876">
        <w:rPr>
          <w:vertAlign w:val="subscript"/>
        </w:rPr>
        <w:t>2</w:t>
      </w:r>
    </w:p>
    <w:tbl>
      <w:tblPr>
        <w:tblW w:w="9637" w:type="dxa"/>
        <w:tblLayout w:type="fixed"/>
        <w:tblCellMar>
          <w:left w:w="0" w:type="dxa"/>
          <w:right w:w="0" w:type="dxa"/>
        </w:tblCellMar>
        <w:tblLook w:val="04A0" w:firstRow="1" w:lastRow="0" w:firstColumn="1" w:lastColumn="0" w:noHBand="0" w:noVBand="1"/>
      </w:tblPr>
      <w:tblGrid>
        <w:gridCol w:w="1204"/>
        <w:gridCol w:w="1205"/>
        <w:gridCol w:w="1204"/>
        <w:gridCol w:w="1205"/>
        <w:gridCol w:w="1205"/>
        <w:gridCol w:w="1204"/>
        <w:gridCol w:w="1205"/>
        <w:gridCol w:w="1205"/>
      </w:tblGrid>
      <w:tr w:rsidR="00E24DB7" w:rsidRPr="002C5876" w:rsidTr="00E24DB7">
        <w:trPr>
          <w:tblHeader/>
        </w:trPr>
        <w:tc>
          <w:tcPr>
            <w:tcW w:w="1204"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rPr>
                <w:i/>
                <w:sz w:val="16"/>
              </w:rPr>
            </w:pPr>
            <w:r w:rsidRPr="002C5876">
              <w:rPr>
                <w:i/>
                <w:sz w:val="16"/>
              </w:rPr>
              <w:t>Temps en s</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Vitesse en km/h</w:t>
            </w:r>
          </w:p>
        </w:tc>
        <w:tc>
          <w:tcPr>
            <w:tcW w:w="1204"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Temps en s</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Vitesse en km/h</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Temps en s</w:t>
            </w:r>
          </w:p>
        </w:tc>
        <w:tc>
          <w:tcPr>
            <w:tcW w:w="1204"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Vitesse en km/h</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Temps en s</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Vitesse en km/h</w:t>
            </w:r>
          </w:p>
        </w:tc>
      </w:tr>
      <w:tr w:rsidR="00E24DB7" w:rsidRPr="002C5876" w:rsidTr="00E24DB7">
        <w:tc>
          <w:tcPr>
            <w:tcW w:w="1204" w:type="dxa"/>
            <w:tcBorders>
              <w:top w:val="single" w:sz="12" w:space="0" w:color="auto"/>
            </w:tcBorders>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0</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tcBorders>
              <w:top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11,6</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w:t>
            </w:r>
          </w:p>
        </w:tc>
        <w:tc>
          <w:tcPr>
            <w:tcW w:w="1204" w:type="dxa"/>
            <w:tcBorders>
              <w:top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141</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20,7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19,4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20,3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21,7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22,0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38,7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39,2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39,0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41,4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39,7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lastRenderedPageBreak/>
              <w:t>188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189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190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191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38,8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192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39,6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21,8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193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20,1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20,7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194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19,6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195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41,8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196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197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198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199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201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202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203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204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19,0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205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19,4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206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19,8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207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38,5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20,1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208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20,5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209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20,2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210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211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212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213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214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215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216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217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218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219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220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221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222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21,9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223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224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225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19,6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226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20,9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227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22,3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228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229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230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39,0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231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232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233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380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234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381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235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382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236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383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lastRenderedPageBreak/>
              <w:t>384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531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385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532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386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533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387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534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388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535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389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536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390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537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391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22,6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19,7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538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392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21,7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21,9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539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38,0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393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20,7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394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19,8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395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396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397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398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399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401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38,1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402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39,4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403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404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41,2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405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406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41,5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407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38,5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408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409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410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411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412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39,5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413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20,4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414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415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416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417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418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21,0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419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19,5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420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421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422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423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424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425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426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427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20,8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428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21,5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429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22,5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430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431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432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530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20" w:lineRule="exact"/>
              <w:rPr>
                <w:sz w:val="18"/>
                <w:szCs w:val="18"/>
              </w:rPr>
            </w:pPr>
            <w:r w:rsidRPr="002C5876">
              <w:rPr>
                <w:sz w:val="18"/>
                <w:szCs w:val="18"/>
              </w:rPr>
              <w:lastRenderedPageBreak/>
              <w:t>580</w:t>
            </w: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 </w:t>
            </w: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 </w:t>
            </w: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 </w:t>
            </w: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 </w:t>
            </w: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 </w:t>
            </w: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 </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20" w:lineRule="exact"/>
              <w:rPr>
                <w:sz w:val="18"/>
                <w:szCs w:val="18"/>
              </w:rPr>
            </w:pPr>
            <w:r w:rsidRPr="002C5876">
              <w:rPr>
                <w:sz w:val="18"/>
                <w:szCs w:val="18"/>
              </w:rPr>
              <w:t>581</w:t>
            </w: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20" w:lineRule="exact"/>
              <w:rPr>
                <w:sz w:val="18"/>
                <w:szCs w:val="18"/>
              </w:rPr>
            </w:pPr>
            <w:r w:rsidRPr="002C5876">
              <w:rPr>
                <w:sz w:val="18"/>
                <w:szCs w:val="18"/>
              </w:rPr>
              <w:t>582</w:t>
            </w: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20" w:lineRule="exact"/>
              <w:rPr>
                <w:sz w:val="18"/>
                <w:szCs w:val="18"/>
              </w:rPr>
            </w:pPr>
            <w:r w:rsidRPr="002C5876">
              <w:rPr>
                <w:sz w:val="18"/>
                <w:szCs w:val="18"/>
              </w:rPr>
              <w:t>583</w:t>
            </w: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20" w:lineRule="exact"/>
              <w:rPr>
                <w:sz w:val="18"/>
                <w:szCs w:val="18"/>
              </w:rPr>
            </w:pPr>
            <w:r w:rsidRPr="002C5876">
              <w:rPr>
                <w:sz w:val="18"/>
                <w:szCs w:val="18"/>
              </w:rPr>
              <w:t>584</w:t>
            </w: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20" w:lineRule="exact"/>
              <w:rPr>
                <w:sz w:val="18"/>
                <w:szCs w:val="18"/>
              </w:rPr>
            </w:pPr>
            <w:r w:rsidRPr="002C5876">
              <w:rPr>
                <w:sz w:val="18"/>
                <w:szCs w:val="18"/>
              </w:rPr>
              <w:t>585</w:t>
            </w: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20" w:lineRule="exact"/>
              <w:rPr>
                <w:sz w:val="18"/>
                <w:szCs w:val="18"/>
              </w:rPr>
            </w:pPr>
            <w:r w:rsidRPr="002C5876">
              <w:rPr>
                <w:sz w:val="18"/>
                <w:szCs w:val="18"/>
              </w:rPr>
              <w:t>586</w:t>
            </w: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20" w:lineRule="exact"/>
              <w:rPr>
                <w:sz w:val="18"/>
                <w:szCs w:val="18"/>
              </w:rPr>
            </w:pPr>
            <w:r w:rsidRPr="002C5876">
              <w:rPr>
                <w:sz w:val="18"/>
                <w:szCs w:val="18"/>
              </w:rPr>
              <w:t>587</w:t>
            </w: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20" w:lineRule="exact"/>
              <w:rPr>
                <w:sz w:val="18"/>
                <w:szCs w:val="18"/>
              </w:rPr>
            </w:pPr>
            <w:r w:rsidRPr="002C5876">
              <w:rPr>
                <w:sz w:val="18"/>
                <w:szCs w:val="18"/>
              </w:rPr>
              <w:t>588</w:t>
            </w: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r>
      <w:tr w:rsidR="00E24DB7" w:rsidRPr="002C5876" w:rsidTr="00E24DB7">
        <w:tc>
          <w:tcPr>
            <w:tcW w:w="1204" w:type="dxa"/>
            <w:tcBorders>
              <w:bottom w:val="single" w:sz="12" w:space="0" w:color="auto"/>
            </w:tcBorders>
            <w:shd w:val="clear" w:color="auto" w:fill="auto"/>
            <w:noWrap/>
          </w:tcPr>
          <w:p w:rsidR="00E24DB7" w:rsidRPr="002C5876" w:rsidRDefault="00E24DB7" w:rsidP="00E24DB7">
            <w:pPr>
              <w:suppressAutoHyphens w:val="0"/>
              <w:spacing w:before="40" w:after="40" w:line="220" w:lineRule="exact"/>
              <w:rPr>
                <w:sz w:val="18"/>
                <w:szCs w:val="18"/>
              </w:rPr>
            </w:pPr>
            <w:r w:rsidRPr="002C5876">
              <w:rPr>
                <w:sz w:val="18"/>
                <w:szCs w:val="18"/>
              </w:rPr>
              <w:t>589</w:t>
            </w: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0,0</w:t>
            </w:r>
          </w:p>
        </w:tc>
        <w:tc>
          <w:tcPr>
            <w:tcW w:w="1204"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4"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r>
    </w:tbl>
    <w:p w:rsidR="00E24DB7" w:rsidRPr="002C5876" w:rsidRDefault="00E24DB7" w:rsidP="00E24DB7">
      <w:pPr>
        <w:pStyle w:val="SingleTxtG"/>
      </w:pPr>
    </w:p>
    <w:p w:rsidR="00E24DB7" w:rsidRPr="002C5876" w:rsidRDefault="00E24DB7" w:rsidP="00E24DB7">
      <w:pPr>
        <w:pStyle w:val="H23G"/>
        <w:ind w:left="0" w:firstLine="0"/>
        <w:rPr>
          <w:vertAlign w:val="subscript"/>
        </w:rPr>
      </w:pPr>
      <w:r w:rsidRPr="002C5876">
        <w:br w:type="page"/>
      </w:r>
      <w:r w:rsidRPr="002C5876">
        <w:rPr>
          <w:b w:val="0"/>
        </w:rPr>
        <w:lastRenderedPageBreak/>
        <w:t xml:space="preserve">Tableau A1/4 </w:t>
      </w:r>
      <w:r w:rsidRPr="002C5876">
        <w:rPr>
          <w:b w:val="0"/>
        </w:rPr>
        <w:br/>
      </w:r>
      <w:r w:rsidRPr="002C5876">
        <w:t>Cycle WLTC, véhicules de la classe 2, phase Medium</w:t>
      </w:r>
      <w:r w:rsidRPr="002C5876">
        <w:rPr>
          <w:vertAlign w:val="subscript"/>
        </w:rPr>
        <w:t>2</w:t>
      </w:r>
    </w:p>
    <w:tbl>
      <w:tblPr>
        <w:tblW w:w="9637" w:type="dxa"/>
        <w:tblLayout w:type="fixed"/>
        <w:tblCellMar>
          <w:left w:w="0" w:type="dxa"/>
          <w:right w:w="0" w:type="dxa"/>
        </w:tblCellMar>
        <w:tblLook w:val="04A0" w:firstRow="1" w:lastRow="0" w:firstColumn="1" w:lastColumn="0" w:noHBand="0" w:noVBand="1"/>
      </w:tblPr>
      <w:tblGrid>
        <w:gridCol w:w="1204"/>
        <w:gridCol w:w="1205"/>
        <w:gridCol w:w="1204"/>
        <w:gridCol w:w="1205"/>
        <w:gridCol w:w="1205"/>
        <w:gridCol w:w="1204"/>
        <w:gridCol w:w="1205"/>
        <w:gridCol w:w="1205"/>
      </w:tblGrid>
      <w:tr w:rsidR="00E24DB7" w:rsidRPr="002C5876" w:rsidTr="00E24DB7">
        <w:trPr>
          <w:tblHeader/>
        </w:trPr>
        <w:tc>
          <w:tcPr>
            <w:tcW w:w="1204"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rPr>
                <w:i/>
                <w:sz w:val="16"/>
              </w:rPr>
            </w:pPr>
            <w:r w:rsidRPr="002C5876">
              <w:rPr>
                <w:i/>
                <w:sz w:val="16"/>
              </w:rPr>
              <w:t>Temps en s</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Vitesse en km/h</w:t>
            </w:r>
          </w:p>
        </w:tc>
        <w:tc>
          <w:tcPr>
            <w:tcW w:w="1204"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Temps en s</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Vitesse en km/h</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Temps en s</w:t>
            </w:r>
          </w:p>
        </w:tc>
        <w:tc>
          <w:tcPr>
            <w:tcW w:w="1204"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Vitesse en km/h</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Temps en s</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Vitesse en km/h</w:t>
            </w:r>
          </w:p>
        </w:tc>
      </w:tr>
      <w:tr w:rsidR="00E24DB7" w:rsidRPr="002C5876" w:rsidTr="00E24DB7">
        <w:tc>
          <w:tcPr>
            <w:tcW w:w="1204" w:type="dxa"/>
            <w:tcBorders>
              <w:top w:val="single" w:sz="12" w:space="0" w:color="auto"/>
            </w:tcBorders>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590</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tcBorders>
              <w:top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637</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38,6</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684</w:t>
            </w:r>
          </w:p>
        </w:tc>
        <w:tc>
          <w:tcPr>
            <w:tcW w:w="1204" w:type="dxa"/>
            <w:tcBorders>
              <w:top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59,3</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731</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591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638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39,8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685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60,2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732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592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639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686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61,3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733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593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640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41,1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687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62,4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734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594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641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41,9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688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63,4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735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595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642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689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736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596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643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690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65,4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737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53,9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597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691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66,3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738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53,4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598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645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692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67,2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739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599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646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693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68,0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740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600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647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694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68,8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741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601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648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695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69,5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742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602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649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53,7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696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70,1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743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603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650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697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70,6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604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651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698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71,0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745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605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652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58,0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699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71,6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746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606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653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59,8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72,2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747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38,1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607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654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61,1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701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72,8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748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608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655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62,4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702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73,5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749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609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20,8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656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63,0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703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74,1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750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610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657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63,5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704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74,3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751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611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658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63,0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705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74,3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752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612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659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62,0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706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73,7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753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613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660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60,4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707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71,9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754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22,0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614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661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58,6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708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70,5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755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20,8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615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662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709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68,9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756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19,8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616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663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710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67,4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757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617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664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53,7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711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66,0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758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618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665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712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64,7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759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619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666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713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63,7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760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620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667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714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62,9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761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621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22,8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715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62,2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762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622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20,5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669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716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61,7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763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623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670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717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61,2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764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624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671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718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60,7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765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625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672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719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60,3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766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626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673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720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59,9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767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19,4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627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674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721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59,6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20,4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628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675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53,1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722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59,3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769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21,2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629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676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53,8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723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59,0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770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21,9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630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20,8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677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724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58,6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771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22,7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631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678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725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58,0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772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632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679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726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773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633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680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727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774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634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681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728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775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635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682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729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776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636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683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58,5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730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777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lastRenderedPageBreak/>
              <w:t>778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827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59,9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876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925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779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22,6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828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60,7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877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926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780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21,7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829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61,4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878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927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781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21,3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830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62,0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879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928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782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20,3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831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62,5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880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929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783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19,1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832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62,9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881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930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784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833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63,2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882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931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785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834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63,4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883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932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786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835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63,7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884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933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787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836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64,0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885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934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788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837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886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935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789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838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64,9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887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936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790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839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65,5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888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937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791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840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66,2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889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938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792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841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67,0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890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939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793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842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67,8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891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794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843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68,6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892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795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69,4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893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796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845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70,1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894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797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846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70,9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895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798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847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71,7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896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799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848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72,5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897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849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73,2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898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801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850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73,8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899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802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20,2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851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41,8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803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21,9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852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74,7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901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41,1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950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804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853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74,7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902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951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805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854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74,6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903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39,7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952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806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855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74,2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904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39,3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953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807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856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73,5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905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39,2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954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808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857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72,6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906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39,3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955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809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858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71,8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907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39,6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956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810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859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71,0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908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957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811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860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70,1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909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958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812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861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69,4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910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41,4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959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813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38,1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862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68,9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911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960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814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39,7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863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68,4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912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961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815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41,6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864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67,9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913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962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816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865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67,1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914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963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41,8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817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866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65,8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915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964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41,7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818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867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63,9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916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965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41,5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819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61,4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917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966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41,3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820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869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58,4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918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967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41,1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821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870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919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822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871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920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969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823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872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921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970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39,6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824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873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922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971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38,5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825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874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923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972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826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59,0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875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924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973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lastRenderedPageBreak/>
              <w:t>974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975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976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977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978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22,0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979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980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981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982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983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984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985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986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987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988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989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990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991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992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993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994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995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996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997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998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999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1 000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1 001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1 002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1 003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1 004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1 005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1 006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1 007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1 008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1 009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1 010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1 011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1 012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1 013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1 014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1 015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1 016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1 017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1 018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1 019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1 020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1 021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tcBorders>
              <w:bottom w:val="single" w:sz="12" w:space="0" w:color="auto"/>
            </w:tcBorders>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1 022</w:t>
            </w: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 </w:t>
            </w: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 </w:t>
            </w: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 </w:t>
            </w:r>
          </w:p>
        </w:tc>
        <w:tc>
          <w:tcPr>
            <w:tcW w:w="1204"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 </w:t>
            </w: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 </w:t>
            </w: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 </w:t>
            </w:r>
          </w:p>
        </w:tc>
      </w:tr>
    </w:tbl>
    <w:p w:rsidR="00E24DB7" w:rsidRPr="002C5876" w:rsidRDefault="00E24DB7" w:rsidP="00E24DB7">
      <w:pPr>
        <w:pStyle w:val="H23G"/>
        <w:ind w:left="0" w:firstLine="0"/>
      </w:pPr>
      <w:r w:rsidRPr="002C5876">
        <w:br w:type="page"/>
      </w:r>
      <w:r w:rsidRPr="002C5876">
        <w:rPr>
          <w:b w:val="0"/>
        </w:rPr>
        <w:lastRenderedPageBreak/>
        <w:t xml:space="preserve">Tableau A1/5 </w:t>
      </w:r>
      <w:r w:rsidRPr="002C5876">
        <w:rPr>
          <w:b w:val="0"/>
        </w:rPr>
        <w:br/>
      </w:r>
      <w:r w:rsidRPr="002C5876">
        <w:t>Cycle WLTC, véhicules de la classe 2, phase High</w:t>
      </w:r>
      <w:r w:rsidRPr="002C5876">
        <w:rPr>
          <w:vertAlign w:val="subscript"/>
        </w:rPr>
        <w:t>2</w:t>
      </w:r>
    </w:p>
    <w:tbl>
      <w:tblPr>
        <w:tblW w:w="9637" w:type="dxa"/>
        <w:tblLayout w:type="fixed"/>
        <w:tblCellMar>
          <w:left w:w="0" w:type="dxa"/>
          <w:right w:w="0" w:type="dxa"/>
        </w:tblCellMar>
        <w:tblLook w:val="04A0" w:firstRow="1" w:lastRow="0" w:firstColumn="1" w:lastColumn="0" w:noHBand="0" w:noVBand="1"/>
      </w:tblPr>
      <w:tblGrid>
        <w:gridCol w:w="1204"/>
        <w:gridCol w:w="1205"/>
        <w:gridCol w:w="1204"/>
        <w:gridCol w:w="1205"/>
        <w:gridCol w:w="1205"/>
        <w:gridCol w:w="1204"/>
        <w:gridCol w:w="1205"/>
        <w:gridCol w:w="1205"/>
      </w:tblGrid>
      <w:tr w:rsidR="00E24DB7" w:rsidRPr="002C5876" w:rsidTr="00E24DB7">
        <w:trPr>
          <w:tblHeader/>
        </w:trPr>
        <w:tc>
          <w:tcPr>
            <w:tcW w:w="1204"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rPr>
                <w:i/>
                <w:sz w:val="16"/>
              </w:rPr>
            </w:pPr>
            <w:r w:rsidRPr="002C5876">
              <w:rPr>
                <w:i/>
                <w:sz w:val="16"/>
              </w:rPr>
              <w:t>Temps en s</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Vitesse en km/h</w:t>
            </w:r>
          </w:p>
        </w:tc>
        <w:tc>
          <w:tcPr>
            <w:tcW w:w="1204"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Temps en s</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Vitesse en km/h</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Temps en s</w:t>
            </w:r>
          </w:p>
        </w:tc>
        <w:tc>
          <w:tcPr>
            <w:tcW w:w="1204"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Vitesse en km/h</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Temps en s</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Vitesse en km/h</w:t>
            </w:r>
          </w:p>
        </w:tc>
      </w:tr>
      <w:tr w:rsidR="00E24DB7" w:rsidRPr="002C5876" w:rsidTr="00E24DB7">
        <w:tc>
          <w:tcPr>
            <w:tcW w:w="1204" w:type="dxa"/>
            <w:tcBorders>
              <w:top w:val="single" w:sz="12" w:space="0" w:color="auto"/>
            </w:tcBorders>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1 023</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w:t>
            </w:r>
          </w:p>
        </w:tc>
        <w:tc>
          <w:tcPr>
            <w:tcW w:w="1204" w:type="dxa"/>
            <w:tcBorders>
              <w:top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1 070</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46,0</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1 117</w:t>
            </w:r>
          </w:p>
        </w:tc>
        <w:tc>
          <w:tcPr>
            <w:tcW w:w="1204" w:type="dxa"/>
            <w:tcBorders>
              <w:top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73,9</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1 164</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71,7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1 024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1 071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46,4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1 118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74,9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1 165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69,9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1 025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1 072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47,0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1 119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75,7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1 166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67,9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1 026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1 073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47,4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1 120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76,4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1 167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65,7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1 027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1 074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48,0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1 121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77,1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1 168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63,5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1 028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1 075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48,4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1 122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77,6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1 169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61,2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1 029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1 076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49,0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1 123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78,0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1 170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59,0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1 030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1 077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49,4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1 124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78,2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1 171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56,8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1 031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1 078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50,0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1 125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78,4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1 172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54,7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1 032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14,0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1 079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50,4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1 126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78,5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1 173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52,7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1 033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17,0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1 080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50,8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1 127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78,5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1 174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50,9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1 034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20,1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1 081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51,1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1 128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78,6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1 175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49,4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1 035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22,7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1 082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51,3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1 129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78,7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1 176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48,1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1 036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23,6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1 083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51,3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1 130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78,9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1 177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47,1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1 037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24,5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1 084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51,3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1 131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79,1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1 178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46,5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1 038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24,8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1 085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51,3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1 132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79,4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1 179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46,3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1 039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25,1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1 086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51,3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1 133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79,8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1 180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46,5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1 040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25,3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1 087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51,3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1 134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80,1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1 181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47,2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1 041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25,5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1 088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51,3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1 135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80,5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1 182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48,3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1 042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25,7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1 089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51,4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1 136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80,8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1 183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49,7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1 043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25,8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1 090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51,6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1 137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81,0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1 184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51,3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1 044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25,9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1 091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51,8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1 138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81,2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1 185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53,0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1 045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26,0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1 092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52,1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1 139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81,3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1 186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54,9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1 046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26,1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1 093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52,3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1 140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81,2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1 187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56,7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1 047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26,3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1 094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52,6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1 141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81,0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1 188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58,6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1 048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26,5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1 095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52,8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1 142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80,6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1 189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60,2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1 049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26,8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1 096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52,9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1 143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80,0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1 190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61,6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1 050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27,1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1 097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53,0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1 144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79,1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1 191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62,2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1 051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27,5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1 098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53,0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1 145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78,0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1 192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62,5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1 052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28,0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1 099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53,0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1 146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76,8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1 193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62,8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1 053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28,6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1 100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53,1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1 147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75,5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1 194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62,9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1 054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29,3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1 101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53,2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1 148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74,1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1 195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63,0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1 055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30,4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1 102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53,3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1 149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72,9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1 196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63,0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1 056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31,8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1 103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53,4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1 150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71,9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1 197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63,1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1 057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33,7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1 104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53,5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1 151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71,2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1 198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63,2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1 058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35,8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1 105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53,7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1 152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70,9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1 199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63,3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1 059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37,8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1 106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55,0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1 153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71,0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1 200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63,5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1 060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39,5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1 107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56,8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1 154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71,5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1 201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63,7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1 061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40,8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1 108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58,8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1 155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72,3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1 202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63,9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1 062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41,8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1 109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60,9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1 156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73,2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1 203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64,1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1 063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42,4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1 110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63,0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1 157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74,1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1 204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64,3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1 064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43,0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1 111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65,0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1 158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74,9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1 205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66,1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1 065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43,4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1 112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66,9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1 159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75,4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1 206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67,9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1 066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44,0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1 113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68,6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1 160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75,5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1 207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69,7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1 067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44,4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1 114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70,1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1 161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75,2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1 208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71,4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1 068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45,0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1 115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71,5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1 162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74,5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1 209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73,1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1 069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45,4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1 116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72,8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1 163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73,3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1 210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74,7</w:t>
            </w:r>
          </w:p>
        </w:tc>
      </w:tr>
      <w:tr w:rsidR="00E24DB7" w:rsidRPr="002C5876" w:rsidTr="00E24DB7">
        <w:tc>
          <w:tcPr>
            <w:tcW w:w="1204" w:type="dxa"/>
            <w:shd w:val="clear" w:color="auto" w:fill="auto"/>
            <w:noWrap/>
          </w:tcPr>
          <w:p w:rsidR="00E24DB7" w:rsidRPr="002C5876" w:rsidRDefault="00E24DB7" w:rsidP="00E24DB7">
            <w:pPr>
              <w:keepNext/>
              <w:keepLines/>
              <w:suppressAutoHyphens w:val="0"/>
              <w:spacing w:before="40" w:after="40" w:line="200" w:lineRule="exact"/>
              <w:rPr>
                <w:sz w:val="18"/>
                <w:szCs w:val="18"/>
              </w:rPr>
            </w:pPr>
            <w:r w:rsidRPr="002C5876">
              <w:rPr>
                <w:sz w:val="18"/>
                <w:szCs w:val="18"/>
              </w:rPr>
              <w:t>1 211</w:t>
            </w:r>
          </w:p>
        </w:tc>
        <w:tc>
          <w:tcPr>
            <w:tcW w:w="1205"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76,2</w:t>
            </w:r>
          </w:p>
        </w:tc>
        <w:tc>
          <w:tcPr>
            <w:tcW w:w="1204"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1 260</w:t>
            </w:r>
          </w:p>
        </w:tc>
        <w:tc>
          <w:tcPr>
            <w:tcW w:w="1205"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35,4</w:t>
            </w:r>
          </w:p>
        </w:tc>
        <w:tc>
          <w:tcPr>
            <w:tcW w:w="1205"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1 309</w:t>
            </w:r>
          </w:p>
        </w:tc>
        <w:tc>
          <w:tcPr>
            <w:tcW w:w="1204"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72,3</w:t>
            </w:r>
          </w:p>
        </w:tc>
        <w:tc>
          <w:tcPr>
            <w:tcW w:w="1205"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1 358</w:t>
            </w:r>
          </w:p>
        </w:tc>
        <w:tc>
          <w:tcPr>
            <w:tcW w:w="1205"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70,8</w:t>
            </w:r>
          </w:p>
        </w:tc>
      </w:tr>
      <w:tr w:rsidR="00E24DB7" w:rsidRPr="002C5876" w:rsidTr="00E24DB7">
        <w:tc>
          <w:tcPr>
            <w:tcW w:w="1204" w:type="dxa"/>
            <w:shd w:val="clear" w:color="auto" w:fill="auto"/>
            <w:noWrap/>
          </w:tcPr>
          <w:p w:rsidR="00E24DB7" w:rsidRPr="002C5876" w:rsidRDefault="00E24DB7" w:rsidP="00E24DB7">
            <w:pPr>
              <w:keepNext/>
              <w:keepLines/>
              <w:suppressAutoHyphens w:val="0"/>
              <w:spacing w:before="40" w:after="40" w:line="200" w:lineRule="exact"/>
              <w:rPr>
                <w:sz w:val="18"/>
                <w:szCs w:val="18"/>
              </w:rPr>
            </w:pPr>
            <w:r w:rsidRPr="002C5876">
              <w:rPr>
                <w:sz w:val="18"/>
                <w:szCs w:val="18"/>
              </w:rPr>
              <w:t>1 212</w:t>
            </w:r>
          </w:p>
        </w:tc>
        <w:tc>
          <w:tcPr>
            <w:tcW w:w="1205"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77,5</w:t>
            </w:r>
          </w:p>
        </w:tc>
        <w:tc>
          <w:tcPr>
            <w:tcW w:w="1204"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1 261</w:t>
            </w:r>
          </w:p>
        </w:tc>
        <w:tc>
          <w:tcPr>
            <w:tcW w:w="1205"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32,7</w:t>
            </w:r>
          </w:p>
        </w:tc>
        <w:tc>
          <w:tcPr>
            <w:tcW w:w="1205"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1 310</w:t>
            </w:r>
          </w:p>
        </w:tc>
        <w:tc>
          <w:tcPr>
            <w:tcW w:w="1204"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71,9</w:t>
            </w:r>
          </w:p>
        </w:tc>
        <w:tc>
          <w:tcPr>
            <w:tcW w:w="1205"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1 359</w:t>
            </w:r>
          </w:p>
        </w:tc>
        <w:tc>
          <w:tcPr>
            <w:tcW w:w="1205"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70,8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1 213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78,6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1 262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1 311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71,3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1 360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70,9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lastRenderedPageBreak/>
              <w:t>1 214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79,7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1 263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1 312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70,9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1 361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70,9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1 215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80,6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1 264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1 313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70,5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1 362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70,9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1 216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81,5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1 265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1 314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1 363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70,9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1 217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82,2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1 266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1 315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69,6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1 364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71,0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1 218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83,0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1 267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1 316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69,2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1 365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71,0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1 219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83,7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1 317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68,8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1 366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71,1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1 220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84,4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1 269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1 318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68,4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1 367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71,2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1 221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84,9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1 270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1 319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67,9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71,3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1 222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85,1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1 271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1 320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67,5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1 369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71,4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1 223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85,2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1 272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1 321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67,2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1 370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71,5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1 224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84,9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1 273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1 322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1 371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71,7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1 225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84,4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1 274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1 323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65,6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1 372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71,8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1 226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83,6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1 275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38,4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1 324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63,3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1 373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71,9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1 227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82,7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1 276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39,3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1 325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60,2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1 374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71,9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1 228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81,5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1 277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1 326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1 375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71,9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1 229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80,1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1 278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1 327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1 376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71,9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1 230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78,7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1 279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41,7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1 328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1 377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71,9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1 231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77,4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1 280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1 329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1 378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71,9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1 232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76,2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1 281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1 330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41,6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1 379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71,9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1 233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75,4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1 282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1 331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38,6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1 380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72,0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1 234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74,8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1 283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1 332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1 381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72,1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1 235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74,3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1 284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1 333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1 382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72,4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1 236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73,8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1 285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1 334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1 383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72,7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1 237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73,2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1 286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1 335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1 384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73,1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1 238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72,4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1 287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1 336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1 385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73,4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1 239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71,6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1 288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1 337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38,5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1 386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73,8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1 240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70,8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1 289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1 338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41,0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1 387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74,0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1 241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69,9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1 290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1 339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1 388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74,1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1 242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67,9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1 291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1 340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1 389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74,0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1 243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65,7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1 292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1 341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1 390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73,0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63,5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1 293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1 342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1 391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72,0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1 245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61,2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1 294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53,7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1 343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53,9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1 392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71,0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1 246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59,0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1 295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1 344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1 393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1 247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1 296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1 345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1 394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69,0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1 248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1 297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58,8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1 346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59,7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1 395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68,0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1 249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1 298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60,9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1 347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61,2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1 396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67,7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1 250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1 299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63,0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1 348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62,5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1 397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66,7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1 251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65,0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1 349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63,5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1 398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66,6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1 252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1 301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66,9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1 350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64,3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1 399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66,7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1 253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1 302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68,6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1 351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65,3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66,8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1 254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1 303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70,1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1 352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66,3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1 401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66,9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1 255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1 304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71,0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1 353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67,3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1 402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66,9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1 256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1 305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71,8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1 354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68,3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1 403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66,9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1 257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1 306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72,8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1 355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69,3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1 404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66,9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1 258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1 307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72,9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1 356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70,3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1 405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66,9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1 259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38,1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1 308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73,0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1 357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70,8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1 406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66,9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1 407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66,9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1 456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1 408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67,0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1 457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1 409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67,1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1 458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lastRenderedPageBreak/>
              <w:t>1 410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67,3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1 459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1 411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67,5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1 460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1 412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67,8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1 461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1 413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68,2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1 462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1 414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68,6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1 463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1 415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69,0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1 464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1 416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69,3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1 465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1 417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69,3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1 466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1 418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69,2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1 467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1 419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68,8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1 420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68,2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1 469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1 421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67,6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1 470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1 422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67,4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1 471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1 423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67,2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1 472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1 424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66,9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1 473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1 425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66,3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1 474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1 426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65,4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1 475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1 427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64,0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1 476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1 428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62,4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1 477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1 429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60,6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1 430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58,6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1 431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1 432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1 433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53,0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1 434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1 435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1 436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1 437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1 438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1 439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39,8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1 440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1 441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1 442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1 443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22,1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1 445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1 446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1 447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1 448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1 449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1 450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1 451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1 452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1 453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1 454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tcBorders>
              <w:bottom w:val="single" w:sz="12" w:space="0" w:color="auto"/>
            </w:tcBorders>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1 455</w:t>
            </w: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 </w:t>
            </w: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 </w:t>
            </w: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 </w:t>
            </w:r>
          </w:p>
        </w:tc>
        <w:tc>
          <w:tcPr>
            <w:tcW w:w="1204"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 </w:t>
            </w: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 </w:t>
            </w: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 </w:t>
            </w:r>
          </w:p>
        </w:tc>
      </w:tr>
    </w:tbl>
    <w:p w:rsidR="00E24DB7" w:rsidRPr="002C5876" w:rsidRDefault="00E24DB7" w:rsidP="00E24DB7">
      <w:pPr>
        <w:pStyle w:val="H23G"/>
        <w:ind w:left="0" w:firstLine="0"/>
        <w:rPr>
          <w:vertAlign w:val="subscript"/>
        </w:rPr>
      </w:pPr>
      <w:r w:rsidRPr="002C5876">
        <w:br w:type="page"/>
      </w:r>
      <w:r w:rsidRPr="002C5876">
        <w:rPr>
          <w:b w:val="0"/>
        </w:rPr>
        <w:lastRenderedPageBreak/>
        <w:t>Tableau A1/6</w:t>
      </w:r>
      <w:r w:rsidRPr="002C5876">
        <w:t xml:space="preserve"> </w:t>
      </w:r>
      <w:r w:rsidRPr="002C5876">
        <w:br/>
        <w:t>Cycle WLTC, véhicules de la classe 2, phase Extra High</w:t>
      </w:r>
      <w:r w:rsidRPr="002C5876">
        <w:rPr>
          <w:vertAlign w:val="subscript"/>
        </w:rPr>
        <w:t>2</w:t>
      </w:r>
    </w:p>
    <w:tbl>
      <w:tblPr>
        <w:tblW w:w="9637" w:type="dxa"/>
        <w:tblLayout w:type="fixed"/>
        <w:tblCellMar>
          <w:left w:w="0" w:type="dxa"/>
          <w:right w:w="0" w:type="dxa"/>
        </w:tblCellMar>
        <w:tblLook w:val="04A0" w:firstRow="1" w:lastRow="0" w:firstColumn="1" w:lastColumn="0" w:noHBand="0" w:noVBand="1"/>
      </w:tblPr>
      <w:tblGrid>
        <w:gridCol w:w="1204"/>
        <w:gridCol w:w="1205"/>
        <w:gridCol w:w="1204"/>
        <w:gridCol w:w="1205"/>
        <w:gridCol w:w="1205"/>
        <w:gridCol w:w="1204"/>
        <w:gridCol w:w="1205"/>
        <w:gridCol w:w="1205"/>
      </w:tblGrid>
      <w:tr w:rsidR="00E24DB7" w:rsidRPr="002C5876" w:rsidTr="00E24DB7">
        <w:trPr>
          <w:tblHeader/>
        </w:trPr>
        <w:tc>
          <w:tcPr>
            <w:tcW w:w="1204"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rPr>
                <w:i/>
                <w:sz w:val="16"/>
              </w:rPr>
            </w:pPr>
            <w:r w:rsidRPr="002C5876">
              <w:rPr>
                <w:i/>
                <w:sz w:val="16"/>
              </w:rPr>
              <w:t>Temps en s</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Vitesse en km/h</w:t>
            </w:r>
          </w:p>
        </w:tc>
        <w:tc>
          <w:tcPr>
            <w:tcW w:w="1204"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Temps en s</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Vitesse en km/h</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Temps en s</w:t>
            </w:r>
          </w:p>
        </w:tc>
        <w:tc>
          <w:tcPr>
            <w:tcW w:w="1204"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Vitesse en km/h</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Temps en s</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Vitesse en km/h</w:t>
            </w:r>
          </w:p>
        </w:tc>
      </w:tr>
      <w:tr w:rsidR="00E24DB7" w:rsidRPr="002C5876" w:rsidTr="00E24DB7">
        <w:tc>
          <w:tcPr>
            <w:tcW w:w="1204" w:type="dxa"/>
            <w:tcBorders>
              <w:top w:val="single" w:sz="12" w:space="0" w:color="auto"/>
            </w:tcBorders>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1 478</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tcBorders>
              <w:top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1 525</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63,4</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1 572</w:t>
            </w:r>
          </w:p>
        </w:tc>
        <w:tc>
          <w:tcPr>
            <w:tcW w:w="1204" w:type="dxa"/>
            <w:tcBorders>
              <w:top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107,4</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1 619</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113,7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1 479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1 526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64,5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1 573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108,7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1 620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114,1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1 480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1 527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65,7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1 574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109,9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1 621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114,4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1 481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1 528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66,9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1 575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111,2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1 622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114,6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1 482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1 529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68,1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1 576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112,3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1 623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114,7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1 483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1 530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69,1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1 577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113,4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1 624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114,7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1 484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1 531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70,0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1 578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114,4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1 625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114,7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1 485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13,5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1 532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70,9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1 579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115,3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1 626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114,6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1 486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15,2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1 533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71,8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1 580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116,1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1 627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114,5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1 487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17,6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1 534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72,6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1 581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116,8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1 628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114,5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1 488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19,3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1 535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73,4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1 582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117,4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1 629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114,5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1 489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21,4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1 536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74,0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1 583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117,7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1 630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114,7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1 490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23,0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1 537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74,7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1 584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118,2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1 631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115,0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1 491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25,0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1 538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75,2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1 585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118,1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1 632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115,6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1 492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26,5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1 539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75,7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1 586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117,7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1 633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116,4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1 493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28,4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1 540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76,4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1 587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117,0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1 634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117,3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1 494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29,8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1 541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77,2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1 588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116,1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1 635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118,2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1 495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31,7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1 542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78,2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1 589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115,2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1 636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118,8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1 496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33,7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1 543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78,9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1 590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114,4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1 637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119,3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1 497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35,8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1 544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79,9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1 591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113,6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1 638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119,6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1 498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38,1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1 545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81,1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1 592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113,0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1 639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119,7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1 499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40,5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1 546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82,4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1 593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112,6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1 640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119,5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1 500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42,2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1 547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83,7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1 594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112,2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1 641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119,3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1 501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43,5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1 548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85,4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1 595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111,9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1 642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119,2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1 502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44,5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1 549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87,0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1 596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111,6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1 643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119,0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1 503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45,2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1 550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88,3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1 597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111,2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1 644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118,8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1 504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45,8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1 551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89,5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1 598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110,7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1 645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118,8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1 505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46,6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1 552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90,5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1 599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110,1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1 646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118,8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1 506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47,4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1 553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91,3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109,3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1 647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118,8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1 507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48,5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1 554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92,2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1 601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108,4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1 648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118,8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1 508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49,7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1 555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93,0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1 602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107,4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1 649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118,9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1 509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51,3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1 556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93,8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1 603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106,7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1 650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119,0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1 510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52,9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1 557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94,6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1 604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106,3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1 651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119,0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1 511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54,3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1 558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95,3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1 605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106,2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1 652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119,1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1 512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55,6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1 559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95,9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1 606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106,4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1 653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119,2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1 513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56,8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1 560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96,6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1 607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107,0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1 654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119,4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1 514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57,9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1 561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97,4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1 608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107,5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1 655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119,6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1 515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58,9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1 562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98,1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1 609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107,9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1 656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119,9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1 516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59,7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1 563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98,7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1 610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108,4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1 657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120,1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1 517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60,3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1 564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99,5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1 611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108,9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1 658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120,3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1 518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60,7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1 565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100,3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1 612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109,5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1 659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120,4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1 519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60,9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1 566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101,1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1 613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110,2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1 660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120,5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1 520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61,0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1 567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101,9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1 614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110,9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1 661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120,5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1 521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61,1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1 568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102,8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1 615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111,6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1 662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120,5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1 522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61,4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1 569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103,8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1 616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112,2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1 663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120,5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1 523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61,8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1 570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105,0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1 617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112,8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1 664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120,4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1 524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62,5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1 571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106,1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1 618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113,3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1 665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120,3</w:t>
            </w:r>
          </w:p>
        </w:tc>
      </w:tr>
      <w:tr w:rsidR="00E24DB7" w:rsidRPr="002C5876" w:rsidTr="00E24DB7">
        <w:tc>
          <w:tcPr>
            <w:tcW w:w="1204" w:type="dxa"/>
            <w:shd w:val="clear" w:color="auto" w:fill="auto"/>
            <w:noWrap/>
          </w:tcPr>
          <w:p w:rsidR="00E24DB7" w:rsidRPr="002C5876" w:rsidRDefault="00E24DB7" w:rsidP="00E24DB7">
            <w:pPr>
              <w:keepNext/>
              <w:keepLines/>
              <w:suppressAutoHyphens w:val="0"/>
              <w:spacing w:before="40" w:after="40" w:line="200" w:lineRule="exact"/>
              <w:rPr>
                <w:sz w:val="18"/>
                <w:szCs w:val="18"/>
              </w:rPr>
            </w:pPr>
            <w:r w:rsidRPr="002C5876">
              <w:rPr>
                <w:sz w:val="18"/>
                <w:szCs w:val="18"/>
              </w:rPr>
              <w:t>1 666</w:t>
            </w:r>
          </w:p>
        </w:tc>
        <w:tc>
          <w:tcPr>
            <w:tcW w:w="1205"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120,1</w:t>
            </w:r>
          </w:p>
        </w:tc>
        <w:tc>
          <w:tcPr>
            <w:tcW w:w="1204"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1 715</w:t>
            </w:r>
          </w:p>
        </w:tc>
        <w:tc>
          <w:tcPr>
            <w:tcW w:w="1205"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120,4</w:t>
            </w:r>
          </w:p>
        </w:tc>
        <w:tc>
          <w:tcPr>
            <w:tcW w:w="1205"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1 764</w:t>
            </w:r>
          </w:p>
        </w:tc>
        <w:tc>
          <w:tcPr>
            <w:tcW w:w="1204"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82,6</w:t>
            </w:r>
          </w:p>
        </w:tc>
        <w:tc>
          <w:tcPr>
            <w:tcW w:w="1205"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keepNext/>
              <w:keepLines/>
              <w:suppressAutoHyphens w:val="0"/>
              <w:spacing w:before="40" w:after="40" w:line="200" w:lineRule="exact"/>
              <w:rPr>
                <w:sz w:val="18"/>
                <w:szCs w:val="18"/>
              </w:rPr>
            </w:pPr>
            <w:r w:rsidRPr="002C5876">
              <w:rPr>
                <w:sz w:val="18"/>
                <w:szCs w:val="18"/>
              </w:rPr>
              <w:t>1 667</w:t>
            </w:r>
          </w:p>
        </w:tc>
        <w:tc>
          <w:tcPr>
            <w:tcW w:w="1205"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119,9</w:t>
            </w:r>
          </w:p>
        </w:tc>
        <w:tc>
          <w:tcPr>
            <w:tcW w:w="1204"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1 716</w:t>
            </w:r>
          </w:p>
        </w:tc>
        <w:tc>
          <w:tcPr>
            <w:tcW w:w="1205"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120,8</w:t>
            </w:r>
          </w:p>
        </w:tc>
        <w:tc>
          <w:tcPr>
            <w:tcW w:w="1205"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1 765</w:t>
            </w:r>
          </w:p>
        </w:tc>
        <w:tc>
          <w:tcPr>
            <w:tcW w:w="1204"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81,9</w:t>
            </w:r>
          </w:p>
        </w:tc>
        <w:tc>
          <w:tcPr>
            <w:tcW w:w="1205"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119,6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1 717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121,1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1 766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81,1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lastRenderedPageBreak/>
              <w:t>1 669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119,5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1 718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121,6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1 767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1 670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119,4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1 719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121,8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1 768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78,7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1 671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119,3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1 720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122,1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1 769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76,9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1 672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119,3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1 721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122,4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1 770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74,6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1 673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119,4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1 722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122,7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1 771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72,0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1 674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119,5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1 723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122,8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1 772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69,0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1 675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119,5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1 724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123,1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1 773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65,6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1 676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119,6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1 725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123,1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1 774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62,1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1 677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119,6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1 726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122,8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1 775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58,5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1 678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119,6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1 727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122,3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1 776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1 679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119,4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1 728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121,3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1 777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1 680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119,3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1 729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119,9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1 778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1 681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119,0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1 730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118,1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1 779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1 682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118,8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1 731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115,9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1 780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1 683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118,7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1 732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113,5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1 781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1 684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118,8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1 733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111,1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1 782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1 685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119,0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1 734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108,6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1 783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1 686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119,2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1 735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106,2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1 784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1 687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119,6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1 736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104,0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1 785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1 688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1 737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101,1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1 786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22,0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1 689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120,3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1 738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98,3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1 787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1 690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120,5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1 739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95,7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1 788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1 691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120,7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1 740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93,5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1 789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1 692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120,9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1 741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91,5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1 790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1 693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121,0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1 742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90,7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1 791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1 694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121,1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1 743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90,4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1 792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1 695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121,2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90,2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1 793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1 696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121,3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1 745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90,2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1 794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1 697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121,4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1 746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90,1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1 795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1 698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121,5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1 747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1 796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1 699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121,5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1 748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89,8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1 797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1 700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121,5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1 749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89,6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1 798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1 701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121,4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1 750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89,4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1 799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1 702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121,3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1 751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89,2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1 800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1 703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121,1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1 752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88,9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1 704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120,9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1 753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88,5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1 705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120,6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1 754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88,1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1 706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120,4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1 755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87,6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1 707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120,2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1 756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87,1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1 708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120,1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1 757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86,6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1 709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119,9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1 758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86,1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1 710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119,8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1 759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85,5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1 711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119,8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1 760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85,0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1 712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119,9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1 761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1 713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1 762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83,8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tcBorders>
              <w:bottom w:val="single" w:sz="12" w:space="0" w:color="auto"/>
            </w:tcBorders>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1 714</w:t>
            </w: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120,2</w:t>
            </w:r>
          </w:p>
        </w:tc>
        <w:tc>
          <w:tcPr>
            <w:tcW w:w="1204"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1 763</w:t>
            </w: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83,2</w:t>
            </w: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 </w:t>
            </w:r>
          </w:p>
        </w:tc>
        <w:tc>
          <w:tcPr>
            <w:tcW w:w="1204"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 </w:t>
            </w: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 </w:t>
            </w: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 </w:t>
            </w:r>
          </w:p>
        </w:tc>
      </w:tr>
    </w:tbl>
    <w:p w:rsidR="00E24DB7" w:rsidRPr="002C5876" w:rsidRDefault="00E24DB7" w:rsidP="00E24DB7">
      <w:pPr>
        <w:pStyle w:val="SingleTxtG"/>
      </w:pPr>
      <w:r w:rsidRPr="002C5876">
        <w:br w:type="page"/>
      </w:r>
      <w:r w:rsidRPr="002C5876">
        <w:lastRenderedPageBreak/>
        <w:t>6.</w:t>
      </w:r>
      <w:r w:rsidRPr="002C5876">
        <w:tab/>
      </w:r>
      <w:r w:rsidRPr="002C5876">
        <w:tab/>
        <w:t>Cycle WLTC pour les véhicules de la classe 3</w:t>
      </w:r>
    </w:p>
    <w:p w:rsidR="00E24DB7" w:rsidRPr="002C5876" w:rsidRDefault="00E24DB7" w:rsidP="00E24DB7">
      <w:pPr>
        <w:pStyle w:val="H23G"/>
        <w:rPr>
          <w:vertAlign w:val="subscript"/>
        </w:rPr>
      </w:pPr>
      <w:r w:rsidRPr="002C5876">
        <w:tab/>
      </w:r>
      <w:r w:rsidRPr="002C5876">
        <w:tab/>
      </w:r>
      <w:r w:rsidRPr="002C5876">
        <w:rPr>
          <w:b w:val="0"/>
        </w:rPr>
        <w:t xml:space="preserve">Figure A1/7 </w:t>
      </w:r>
      <w:r w:rsidRPr="002C5876">
        <w:rPr>
          <w:b w:val="0"/>
        </w:rPr>
        <w:br/>
      </w:r>
      <w:r w:rsidRPr="002C5876">
        <w:t>Cycle WLTC, véhicules de la classe 3, phase Low</w:t>
      </w:r>
      <w:r w:rsidRPr="002C5876">
        <w:rPr>
          <w:vertAlign w:val="subscript"/>
        </w:rPr>
        <w:t>3</w:t>
      </w:r>
    </w:p>
    <w:p w:rsidR="00E24DB7" w:rsidRPr="002C5876" w:rsidRDefault="00E24DB7" w:rsidP="00E24DB7">
      <w:pPr>
        <w:pStyle w:val="SingleTxtG"/>
      </w:pPr>
      <w:r w:rsidRPr="002C5876">
        <w:rPr>
          <w:noProof/>
          <w:lang w:val="en-GB" w:eastAsia="zh-CN"/>
        </w:rPr>
        <mc:AlternateContent>
          <mc:Choice Requires="wps">
            <w:drawing>
              <wp:anchor distT="0" distB="0" distL="114300" distR="114300" simplePos="0" relativeHeight="251025408" behindDoc="0" locked="0" layoutInCell="1" allowOverlap="1" wp14:anchorId="14B35BED" wp14:editId="3FDA490C">
                <wp:simplePos x="0" y="0"/>
                <wp:positionH relativeFrom="column">
                  <wp:posOffset>3219613</wp:posOffset>
                </wp:positionH>
                <wp:positionV relativeFrom="paragraph">
                  <wp:posOffset>3227233</wp:posOffset>
                </wp:positionV>
                <wp:extent cx="811530" cy="122555"/>
                <wp:effectExtent l="0" t="0" r="7620" b="10795"/>
                <wp:wrapNone/>
                <wp:docPr id="138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D53F39" w:rsidRPr="00DD257C" w:rsidRDefault="00D53F39" w:rsidP="00E24DB7">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35BED" id="_x0000_s1045" type="#_x0000_t202" style="position:absolute;left:0;text-align:left;margin-left:253.5pt;margin-top:254.1pt;width:63.9pt;height:9.65pt;z-index:2510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" filled="f" stroked="f" strokeweight=".5pt">
                <v:textbox inset="0,0,0,0">
                  <w:txbxContent>
                    <w:p w:rsidR="00D53F39" w:rsidRPr="00DD257C" w:rsidRDefault="00D53F39" w:rsidP="00E24DB7">
                      <w:pPr>
                        <w:spacing w:line="240" w:lineRule="auto"/>
                        <w:jc w:val="center"/>
                        <w:rPr>
                          <w:sz w:val="14"/>
                          <w:szCs w:val="14"/>
                        </w:rPr>
                      </w:pPr>
                      <w:r>
                        <w:rPr>
                          <w:b/>
                          <w:sz w:val="14"/>
                          <w:szCs w:val="14"/>
                        </w:rPr>
                        <w:t>Temps en s</w:t>
                      </w:r>
                    </w:p>
                  </w:txbxContent>
                </v:textbox>
              </v:shape>
            </w:pict>
          </mc:Fallback>
        </mc:AlternateContent>
      </w:r>
      <w:r w:rsidRPr="002C5876">
        <w:rPr>
          <w:noProof/>
          <w:lang w:val="en-GB" w:eastAsia="zh-CN"/>
        </w:rPr>
        <mc:AlternateContent>
          <mc:Choice Requires="wps">
            <w:drawing>
              <wp:anchor distT="0" distB="0" distL="114300" distR="114300" simplePos="0" relativeHeight="251024384" behindDoc="0" locked="0" layoutInCell="1" allowOverlap="1" wp14:anchorId="343122CF" wp14:editId="5C1123AF">
                <wp:simplePos x="0" y="0"/>
                <wp:positionH relativeFrom="column">
                  <wp:posOffset>-223756</wp:posOffset>
                </wp:positionH>
                <wp:positionV relativeFrom="paragraph">
                  <wp:posOffset>1508162</wp:posOffset>
                </wp:positionV>
                <wp:extent cx="2251075" cy="177165"/>
                <wp:effectExtent l="8255" t="10795" r="5080" b="5080"/>
                <wp:wrapNone/>
                <wp:docPr id="138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D53F39" w:rsidRPr="00E911A4" w:rsidRDefault="00D53F39" w:rsidP="00E24DB7">
                            <w:pPr>
                              <w:jc w:val="center"/>
                              <w:rPr>
                                <w:sz w:val="16"/>
                                <w:szCs w:val="16"/>
                              </w:rPr>
                            </w:pPr>
                            <w:r w:rsidRPr="00E911A4">
                              <w:rPr>
                                <w:b/>
                                <w:sz w:val="16"/>
                                <w:szCs w:val="16"/>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122CF" id="_x0000_s1046" type="#_x0000_t202" style="position:absolute;left:0;text-align:left;margin-left:-17.6pt;margin-top:118.75pt;width:177.25pt;height:13.95pt;rotation:-90;z-index:2510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" filled="f" stroked="f" strokeweight=".5pt">
                <v:textbox inset="0,0,0,0">
                  <w:txbxContent>
                    <w:p w:rsidR="00D53F39" w:rsidRPr="00E911A4" w:rsidRDefault="00D53F39" w:rsidP="00E24DB7">
                      <w:pPr>
                        <w:jc w:val="center"/>
                        <w:rPr>
                          <w:sz w:val="16"/>
                          <w:szCs w:val="16"/>
                        </w:rPr>
                      </w:pPr>
                      <w:r w:rsidRPr="00E911A4">
                        <w:rPr>
                          <w:b/>
                          <w:sz w:val="16"/>
                          <w:szCs w:val="16"/>
                        </w:rPr>
                        <w:t>Vitesse du véhicule en km/h</w:t>
                      </w:r>
                    </w:p>
                  </w:txbxContent>
                </v:textbox>
              </v:shape>
            </w:pict>
          </mc:Fallback>
        </mc:AlternateContent>
      </w:r>
      <w:r w:rsidRPr="002C5876">
        <w:rPr>
          <w:noProof/>
          <w:lang w:val="en-GB" w:eastAsia="zh-CN"/>
        </w:rPr>
        <mc:AlternateContent>
          <mc:Choice Requires="wps">
            <w:drawing>
              <wp:anchor distT="0" distB="0" distL="114300" distR="114300" simplePos="0" relativeHeight="251023360" behindDoc="0" locked="0" layoutInCell="1" allowOverlap="1" wp14:anchorId="1892CB2A" wp14:editId="5288D4E3">
                <wp:simplePos x="0" y="0"/>
                <wp:positionH relativeFrom="column">
                  <wp:posOffset>3580148</wp:posOffset>
                </wp:positionH>
                <wp:positionV relativeFrom="paragraph">
                  <wp:posOffset>269802</wp:posOffset>
                </wp:positionV>
                <wp:extent cx="2152650" cy="143510"/>
                <wp:effectExtent l="0" t="0" r="0" b="8890"/>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43510"/>
                        </a:xfrm>
                        <a:prstGeom prst="rect">
                          <a:avLst/>
                        </a:prstGeom>
                        <a:noFill/>
                        <a:ln w="6350">
                          <a:noFill/>
                          <a:miter lim="800000"/>
                          <a:headEnd/>
                          <a:tailEnd/>
                        </a:ln>
                      </wps:spPr>
                      <wps:txbx>
                        <w:txbxContent>
                          <w:p w:rsidR="00D53F39" w:rsidRPr="00E911A4" w:rsidRDefault="00D53F39" w:rsidP="00E24DB7">
                            <w:pPr>
                              <w:spacing w:line="240" w:lineRule="auto"/>
                              <w:jc w:val="center"/>
                              <w:rPr>
                                <w:sz w:val="15"/>
                                <w:szCs w:val="15"/>
                              </w:rPr>
                            </w:pPr>
                            <w:r w:rsidRPr="00E911A4">
                              <w:rPr>
                                <w:b/>
                                <w:sz w:val="15"/>
                                <w:szCs w:val="15"/>
                              </w:rPr>
                              <w:t>Cycle WLTC, véhicules de la classe 3, phase Low</w:t>
                            </w:r>
                            <w:r w:rsidRPr="00E911A4">
                              <w:rPr>
                                <w:b/>
                                <w:sz w:val="15"/>
                                <w:szCs w:val="15"/>
                                <w:vertAlign w:val="subscript"/>
                              </w:rPr>
                              <w:t>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2CB2A" id="_x0000_s1047" type="#_x0000_t202" style="position:absolute;left:0;text-align:left;margin-left:281.9pt;margin-top:21.25pt;width:169.5pt;height:11.3pt;z-index:2510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" filled="f" stroked="f" strokeweight=".5pt">
                <v:textbox inset="0,0,0,0">
                  <w:txbxContent>
                    <w:p w:rsidR="00D53F39" w:rsidRPr="00E911A4" w:rsidRDefault="00D53F39" w:rsidP="00E24DB7">
                      <w:pPr>
                        <w:spacing w:line="240" w:lineRule="auto"/>
                        <w:jc w:val="center"/>
                        <w:rPr>
                          <w:sz w:val="15"/>
                          <w:szCs w:val="15"/>
                        </w:rPr>
                      </w:pPr>
                      <w:r w:rsidRPr="00E911A4">
                        <w:rPr>
                          <w:b/>
                          <w:sz w:val="15"/>
                          <w:szCs w:val="15"/>
                        </w:rPr>
                        <w:t>Cycle WLTC, véhicules de la classe 3, phase Low</w:t>
                      </w:r>
                      <w:r w:rsidRPr="00E911A4">
                        <w:rPr>
                          <w:b/>
                          <w:sz w:val="15"/>
                          <w:szCs w:val="15"/>
                          <w:vertAlign w:val="subscript"/>
                        </w:rPr>
                        <w:t>3</w:t>
                      </w:r>
                    </w:p>
                  </w:txbxContent>
                </v:textbox>
              </v:shape>
            </w:pict>
          </mc:Fallback>
        </mc:AlternateContent>
      </w:r>
      <w:r w:rsidRPr="002C5876">
        <w:rPr>
          <w:noProof/>
          <w:lang w:val="en-GB" w:eastAsia="zh-CN"/>
        </w:rPr>
        <w:drawing>
          <wp:inline distT="0" distB="0" distL="0" distR="0" wp14:anchorId="665BDF01" wp14:editId="6D8721B2">
            <wp:extent cx="5396400" cy="3438000"/>
            <wp:effectExtent l="0" t="0" r="0" b="0"/>
            <wp:docPr id="13848" name="Image 1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6400" cy="3438000"/>
                    </a:xfrm>
                    <a:prstGeom prst="rect">
                      <a:avLst/>
                    </a:prstGeom>
                    <a:noFill/>
                    <a:ln>
                      <a:noFill/>
                    </a:ln>
                  </pic:spPr>
                </pic:pic>
              </a:graphicData>
            </a:graphic>
          </wp:inline>
        </w:drawing>
      </w:r>
    </w:p>
    <w:p w:rsidR="00E24DB7" w:rsidRPr="002C5876" w:rsidRDefault="00E24DB7" w:rsidP="00E24DB7">
      <w:pPr>
        <w:pStyle w:val="H23G"/>
        <w:rPr>
          <w:vertAlign w:val="subscript"/>
        </w:rPr>
      </w:pPr>
      <w:r w:rsidRPr="002C5876">
        <w:rPr>
          <w:b w:val="0"/>
        </w:rPr>
        <w:tab/>
      </w:r>
      <w:r w:rsidRPr="002C5876">
        <w:rPr>
          <w:b w:val="0"/>
        </w:rPr>
        <w:tab/>
        <w:t>Figure A1/8</w:t>
      </w:r>
      <w:r w:rsidRPr="002C5876">
        <w:t xml:space="preserve"> </w:t>
      </w:r>
      <w:r w:rsidRPr="002C5876">
        <w:br/>
        <w:t>Cycle WLTC, véhicules de la classe 3a, phase Medium</w:t>
      </w:r>
      <w:r w:rsidRPr="002C5876">
        <w:rPr>
          <w:vertAlign w:val="subscript"/>
        </w:rPr>
        <w:t>3a</w:t>
      </w:r>
    </w:p>
    <w:p w:rsidR="00E24DB7" w:rsidRPr="002C5876" w:rsidRDefault="00E24DB7" w:rsidP="00E24DB7">
      <w:pPr>
        <w:pStyle w:val="SingleTxtG"/>
      </w:pPr>
      <w:r w:rsidRPr="002C5876">
        <w:rPr>
          <w:noProof/>
          <w:vertAlign w:val="subscript"/>
          <w:lang w:val="en-GB" w:eastAsia="zh-CN"/>
        </w:rPr>
        <mc:AlternateContent>
          <mc:Choice Requires="wps">
            <w:drawing>
              <wp:anchor distT="0" distB="0" distL="114300" distR="114300" simplePos="0" relativeHeight="251028480" behindDoc="0" locked="0" layoutInCell="1" allowOverlap="1" wp14:anchorId="74249EED" wp14:editId="3BF1CE47">
                <wp:simplePos x="0" y="0"/>
                <wp:positionH relativeFrom="column">
                  <wp:posOffset>3188263</wp:posOffset>
                </wp:positionH>
                <wp:positionV relativeFrom="paragraph">
                  <wp:posOffset>3179572</wp:posOffset>
                </wp:positionV>
                <wp:extent cx="811530" cy="122555"/>
                <wp:effectExtent l="0" t="0" r="7620" b="10795"/>
                <wp:wrapNone/>
                <wp:docPr id="138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D53F39" w:rsidRPr="00DD257C" w:rsidRDefault="00D53F39" w:rsidP="00E24DB7">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49EED" id="_x0000_s1048" type="#_x0000_t202" style="position:absolute;left:0;text-align:left;margin-left:251.05pt;margin-top:250.35pt;width:63.9pt;height:9.65pt;z-index:2510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" filled="f" stroked="f" strokeweight=".5pt">
                <v:textbox inset="0,0,0,0">
                  <w:txbxContent>
                    <w:p w:rsidR="00D53F39" w:rsidRPr="00DD257C" w:rsidRDefault="00D53F39" w:rsidP="00E24DB7">
                      <w:pPr>
                        <w:spacing w:line="240" w:lineRule="auto"/>
                        <w:jc w:val="center"/>
                        <w:rPr>
                          <w:sz w:val="14"/>
                          <w:szCs w:val="14"/>
                        </w:rPr>
                      </w:pPr>
                      <w:r>
                        <w:rPr>
                          <w:b/>
                          <w:sz w:val="14"/>
                          <w:szCs w:val="14"/>
                        </w:rPr>
                        <w:t>Temps en s</w:t>
                      </w:r>
                    </w:p>
                  </w:txbxContent>
                </v:textbox>
              </v:shape>
            </w:pict>
          </mc:Fallback>
        </mc:AlternateContent>
      </w:r>
      <w:r w:rsidRPr="002C5876">
        <w:rPr>
          <w:noProof/>
          <w:vertAlign w:val="subscript"/>
          <w:lang w:val="en-GB" w:eastAsia="zh-CN"/>
        </w:rPr>
        <mc:AlternateContent>
          <mc:Choice Requires="wps">
            <w:drawing>
              <wp:anchor distT="0" distB="0" distL="114300" distR="114300" simplePos="0" relativeHeight="251027456" behindDoc="0" locked="0" layoutInCell="1" allowOverlap="1" wp14:anchorId="46834E16" wp14:editId="36578918">
                <wp:simplePos x="0" y="0"/>
                <wp:positionH relativeFrom="column">
                  <wp:posOffset>-218530</wp:posOffset>
                </wp:positionH>
                <wp:positionV relativeFrom="paragraph">
                  <wp:posOffset>1470950</wp:posOffset>
                </wp:positionV>
                <wp:extent cx="2251075" cy="177165"/>
                <wp:effectExtent l="8255" t="10795" r="5080" b="5080"/>
                <wp:wrapNone/>
                <wp:docPr id="138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D53F39" w:rsidRPr="00E911A4" w:rsidRDefault="00D53F39" w:rsidP="00E24DB7">
                            <w:pPr>
                              <w:jc w:val="center"/>
                              <w:rPr>
                                <w:sz w:val="16"/>
                                <w:szCs w:val="16"/>
                              </w:rPr>
                            </w:pPr>
                            <w:r w:rsidRPr="00E911A4">
                              <w:rPr>
                                <w:b/>
                                <w:sz w:val="16"/>
                                <w:szCs w:val="16"/>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34E16" id="_x0000_s1049" type="#_x0000_t202" style="position:absolute;left:0;text-align:left;margin-left:-17.2pt;margin-top:115.8pt;width:177.25pt;height:13.95pt;rotation:-90;z-index:2510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" filled="f" stroked="f" strokeweight=".5pt">
                <v:textbox inset="0,0,0,0">
                  <w:txbxContent>
                    <w:p w:rsidR="00D53F39" w:rsidRPr="00E911A4" w:rsidRDefault="00D53F39" w:rsidP="00E24DB7">
                      <w:pPr>
                        <w:jc w:val="center"/>
                        <w:rPr>
                          <w:sz w:val="16"/>
                          <w:szCs w:val="16"/>
                        </w:rPr>
                      </w:pPr>
                      <w:r w:rsidRPr="00E911A4">
                        <w:rPr>
                          <w:b/>
                          <w:sz w:val="16"/>
                          <w:szCs w:val="16"/>
                        </w:rPr>
                        <w:t>Vitesse du véhicule en km/h</w:t>
                      </w:r>
                    </w:p>
                  </w:txbxContent>
                </v:textbox>
              </v:shape>
            </w:pict>
          </mc:Fallback>
        </mc:AlternateContent>
      </w:r>
      <w:r w:rsidRPr="002C5876">
        <w:rPr>
          <w:noProof/>
          <w:lang w:val="en-GB" w:eastAsia="zh-CN"/>
        </w:rPr>
        <mc:AlternateContent>
          <mc:Choice Requires="wps">
            <w:drawing>
              <wp:anchor distT="0" distB="0" distL="114300" distR="114300" simplePos="0" relativeHeight="251026432" behindDoc="0" locked="0" layoutInCell="1" allowOverlap="1" wp14:anchorId="57333529" wp14:editId="628B3EC2">
                <wp:simplePos x="0" y="0"/>
                <wp:positionH relativeFrom="column">
                  <wp:posOffset>1913382</wp:posOffset>
                </wp:positionH>
                <wp:positionV relativeFrom="paragraph">
                  <wp:posOffset>190772</wp:posOffset>
                </wp:positionV>
                <wp:extent cx="2246812" cy="114953"/>
                <wp:effectExtent l="0" t="0" r="1270" b="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6812" cy="114953"/>
                        </a:xfrm>
                        <a:prstGeom prst="rect">
                          <a:avLst/>
                        </a:prstGeom>
                        <a:noFill/>
                        <a:ln w="6350">
                          <a:noFill/>
                          <a:miter lim="800000"/>
                          <a:headEnd/>
                          <a:tailEnd/>
                        </a:ln>
                      </wps:spPr>
                      <wps:txbx>
                        <w:txbxContent>
                          <w:p w:rsidR="00D53F39" w:rsidRPr="00E911A4" w:rsidRDefault="00D53F39" w:rsidP="00E24DB7">
                            <w:pPr>
                              <w:spacing w:line="240" w:lineRule="auto"/>
                              <w:jc w:val="center"/>
                              <w:rPr>
                                <w:sz w:val="14"/>
                                <w:szCs w:val="14"/>
                              </w:rPr>
                            </w:pPr>
                            <w:r w:rsidRPr="00E911A4">
                              <w:rPr>
                                <w:b/>
                                <w:sz w:val="14"/>
                                <w:szCs w:val="14"/>
                              </w:rPr>
                              <w:t>Cycle WLTC, véhicules de la classe 3a, phase Medium</w:t>
                            </w:r>
                            <w:r w:rsidRPr="00E911A4">
                              <w:rPr>
                                <w:b/>
                                <w:sz w:val="14"/>
                                <w:szCs w:val="14"/>
                                <w:vertAlign w:val="subscript"/>
                              </w:rPr>
                              <w:t>3a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33529" id="_x0000_s1050" type="#_x0000_t202" style="position:absolute;left:0;text-align:left;margin-left:150.65pt;margin-top:15pt;width:176.9pt;height:9.05pt;z-index:2510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" filled="f" stroked="f" strokeweight=".5pt">
                <v:textbox inset="0,0,0,0">
                  <w:txbxContent>
                    <w:p w:rsidR="00D53F39" w:rsidRPr="00E911A4" w:rsidRDefault="00D53F39" w:rsidP="00E24DB7">
                      <w:pPr>
                        <w:spacing w:line="240" w:lineRule="auto"/>
                        <w:jc w:val="center"/>
                        <w:rPr>
                          <w:sz w:val="14"/>
                          <w:szCs w:val="14"/>
                        </w:rPr>
                      </w:pPr>
                      <w:r w:rsidRPr="00E911A4">
                        <w:rPr>
                          <w:b/>
                          <w:sz w:val="14"/>
                          <w:szCs w:val="14"/>
                        </w:rPr>
                        <w:t>Cycle WLTC, véhicules de la classe 3a, phase Medium</w:t>
                      </w:r>
                      <w:r w:rsidRPr="00E911A4">
                        <w:rPr>
                          <w:b/>
                          <w:sz w:val="14"/>
                          <w:szCs w:val="14"/>
                          <w:vertAlign w:val="subscript"/>
                        </w:rPr>
                        <w:t>3a</w:t>
                      </w:r>
                    </w:p>
                  </w:txbxContent>
                </v:textbox>
              </v:shape>
            </w:pict>
          </mc:Fallback>
        </mc:AlternateContent>
      </w:r>
      <w:r w:rsidRPr="002C5876">
        <w:rPr>
          <w:noProof/>
          <w:vertAlign w:val="subscript"/>
          <w:lang w:val="en-GB" w:eastAsia="zh-CN"/>
        </w:rPr>
        <w:drawing>
          <wp:inline distT="0" distB="0" distL="0" distR="0" wp14:anchorId="12F382A7" wp14:editId="22E802E8">
            <wp:extent cx="5396400" cy="3366000"/>
            <wp:effectExtent l="0" t="0" r="0" b="6350"/>
            <wp:docPr id="13851" name="Image 1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6400" cy="3366000"/>
                    </a:xfrm>
                    <a:prstGeom prst="rect">
                      <a:avLst/>
                    </a:prstGeom>
                    <a:noFill/>
                    <a:ln>
                      <a:noFill/>
                    </a:ln>
                  </pic:spPr>
                </pic:pic>
              </a:graphicData>
            </a:graphic>
          </wp:inline>
        </w:drawing>
      </w:r>
    </w:p>
    <w:p w:rsidR="00E24DB7" w:rsidRPr="002C5876" w:rsidRDefault="00E24DB7" w:rsidP="00E24DB7">
      <w:pPr>
        <w:pStyle w:val="H23G"/>
        <w:rPr>
          <w:b w:val="0"/>
        </w:rPr>
      </w:pPr>
      <w:r w:rsidRPr="002C5876">
        <w:rPr>
          <w:b w:val="0"/>
        </w:rPr>
        <w:tab/>
      </w:r>
      <w:r w:rsidRPr="002C5876">
        <w:rPr>
          <w:b w:val="0"/>
        </w:rPr>
        <w:tab/>
      </w:r>
    </w:p>
    <w:p w:rsidR="00E24DB7" w:rsidRPr="002C5876" w:rsidRDefault="00E24DB7" w:rsidP="00E24DB7">
      <w:pPr>
        <w:pStyle w:val="H23G"/>
        <w:rPr>
          <w:vertAlign w:val="subscript"/>
        </w:rPr>
      </w:pPr>
      <w:r w:rsidRPr="002C5876">
        <w:rPr>
          <w:b w:val="0"/>
        </w:rPr>
        <w:br w:type="page"/>
      </w:r>
      <w:r w:rsidRPr="002C5876">
        <w:rPr>
          <w:b w:val="0"/>
        </w:rPr>
        <w:lastRenderedPageBreak/>
        <w:tab/>
      </w:r>
      <w:r w:rsidRPr="002C5876">
        <w:rPr>
          <w:b w:val="0"/>
        </w:rPr>
        <w:tab/>
        <w:t>Figure A1/9</w:t>
      </w:r>
      <w:r w:rsidRPr="002C5876">
        <w:t xml:space="preserve"> </w:t>
      </w:r>
      <w:r w:rsidRPr="002C5876">
        <w:br/>
        <w:t>Cycle WLTC, véhicules de la classe 3b, phase Medium</w:t>
      </w:r>
      <w:r w:rsidRPr="002C5876">
        <w:rPr>
          <w:vertAlign w:val="subscript"/>
        </w:rPr>
        <w:t>3b</w:t>
      </w:r>
    </w:p>
    <w:p w:rsidR="00E24DB7" w:rsidRPr="002C5876" w:rsidRDefault="00E24DB7" w:rsidP="00E24DB7">
      <w:pPr>
        <w:pStyle w:val="SingleTxtG"/>
      </w:pPr>
      <w:r w:rsidRPr="002C5876">
        <w:rPr>
          <w:noProof/>
          <w:lang w:val="en-GB" w:eastAsia="zh-CN"/>
        </w:rPr>
        <mc:AlternateContent>
          <mc:Choice Requires="wps">
            <w:drawing>
              <wp:anchor distT="0" distB="0" distL="114300" distR="114300" simplePos="0" relativeHeight="251031552" behindDoc="0" locked="0" layoutInCell="1" allowOverlap="1" wp14:anchorId="39C447A3" wp14:editId="39FD0B63">
                <wp:simplePos x="0" y="0"/>
                <wp:positionH relativeFrom="column">
                  <wp:posOffset>3172279</wp:posOffset>
                </wp:positionH>
                <wp:positionV relativeFrom="paragraph">
                  <wp:posOffset>3334476</wp:posOffset>
                </wp:positionV>
                <wp:extent cx="811530" cy="122555"/>
                <wp:effectExtent l="0" t="0" r="7620" b="10795"/>
                <wp:wrapNone/>
                <wp:docPr id="138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D53F39" w:rsidRPr="00DD257C" w:rsidRDefault="00D53F39" w:rsidP="00E24DB7">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447A3" id="_x0000_s1051" type="#_x0000_t202" style="position:absolute;left:0;text-align:left;margin-left:249.8pt;margin-top:262.55pt;width:63.9pt;height:9.65pt;z-index:2510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" filled="f" stroked="f" strokeweight=".5pt">
                <v:textbox inset="0,0,0,0">
                  <w:txbxContent>
                    <w:p w:rsidR="00D53F39" w:rsidRPr="00DD257C" w:rsidRDefault="00D53F39" w:rsidP="00E24DB7">
                      <w:pPr>
                        <w:spacing w:line="240" w:lineRule="auto"/>
                        <w:jc w:val="center"/>
                        <w:rPr>
                          <w:sz w:val="14"/>
                          <w:szCs w:val="14"/>
                        </w:rPr>
                      </w:pPr>
                      <w:r>
                        <w:rPr>
                          <w:b/>
                          <w:sz w:val="14"/>
                          <w:szCs w:val="14"/>
                        </w:rPr>
                        <w:t>Temps en s</w:t>
                      </w:r>
                    </w:p>
                  </w:txbxContent>
                </v:textbox>
              </v:shape>
            </w:pict>
          </mc:Fallback>
        </mc:AlternateContent>
      </w:r>
      <w:r w:rsidRPr="002C5876">
        <w:rPr>
          <w:noProof/>
          <w:lang w:val="en-GB" w:eastAsia="zh-CN"/>
        </w:rPr>
        <mc:AlternateContent>
          <mc:Choice Requires="wps">
            <w:drawing>
              <wp:anchor distT="0" distB="0" distL="114300" distR="114300" simplePos="0" relativeHeight="251030528" behindDoc="0" locked="0" layoutInCell="1" allowOverlap="1" wp14:anchorId="3BAAA045" wp14:editId="1BD33F99">
                <wp:simplePos x="0" y="0"/>
                <wp:positionH relativeFrom="column">
                  <wp:posOffset>-202855</wp:posOffset>
                </wp:positionH>
                <wp:positionV relativeFrom="paragraph">
                  <wp:posOffset>1548547</wp:posOffset>
                </wp:positionV>
                <wp:extent cx="2251075" cy="177165"/>
                <wp:effectExtent l="8255" t="10795" r="5080" b="5080"/>
                <wp:wrapNone/>
                <wp:docPr id="138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D53F39" w:rsidRPr="00E911A4" w:rsidRDefault="00D53F39" w:rsidP="00E24DB7">
                            <w:pPr>
                              <w:jc w:val="center"/>
                              <w:rPr>
                                <w:sz w:val="16"/>
                                <w:szCs w:val="16"/>
                              </w:rPr>
                            </w:pPr>
                            <w:r w:rsidRPr="00E911A4">
                              <w:rPr>
                                <w:b/>
                                <w:sz w:val="16"/>
                                <w:szCs w:val="16"/>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AA045" id="_x0000_s1052" type="#_x0000_t202" style="position:absolute;left:0;text-align:left;margin-left:-15.95pt;margin-top:121.95pt;width:177.25pt;height:13.95pt;rotation:-90;z-index:2510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" filled="f" stroked="f" strokeweight=".5pt">
                <v:textbox inset="0,0,0,0">
                  <w:txbxContent>
                    <w:p w:rsidR="00D53F39" w:rsidRPr="00E911A4" w:rsidRDefault="00D53F39" w:rsidP="00E24DB7">
                      <w:pPr>
                        <w:jc w:val="center"/>
                        <w:rPr>
                          <w:sz w:val="16"/>
                          <w:szCs w:val="16"/>
                        </w:rPr>
                      </w:pPr>
                      <w:r w:rsidRPr="00E911A4">
                        <w:rPr>
                          <w:b/>
                          <w:sz w:val="16"/>
                          <w:szCs w:val="16"/>
                        </w:rPr>
                        <w:t>Vitesse du véhicule en km/h</w:t>
                      </w:r>
                    </w:p>
                  </w:txbxContent>
                </v:textbox>
              </v:shape>
            </w:pict>
          </mc:Fallback>
        </mc:AlternateContent>
      </w:r>
      <w:r w:rsidRPr="002C5876">
        <w:rPr>
          <w:noProof/>
          <w:lang w:val="en-GB" w:eastAsia="zh-CN"/>
        </w:rPr>
        <mc:AlternateContent>
          <mc:Choice Requires="wps">
            <w:drawing>
              <wp:anchor distT="0" distB="0" distL="114300" distR="114300" simplePos="0" relativeHeight="251029504" behindDoc="0" locked="0" layoutInCell="1" allowOverlap="1" wp14:anchorId="123BA3D5" wp14:editId="1508CE4A">
                <wp:simplePos x="0" y="0"/>
                <wp:positionH relativeFrom="column">
                  <wp:posOffset>1944679</wp:posOffset>
                </wp:positionH>
                <wp:positionV relativeFrom="paragraph">
                  <wp:posOffset>225952</wp:posOffset>
                </wp:positionV>
                <wp:extent cx="2142490" cy="143510"/>
                <wp:effectExtent l="0" t="0" r="10160" b="889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2490" cy="143510"/>
                        </a:xfrm>
                        <a:prstGeom prst="rect">
                          <a:avLst/>
                        </a:prstGeom>
                        <a:noFill/>
                        <a:ln w="6350">
                          <a:noFill/>
                          <a:miter lim="800000"/>
                          <a:headEnd/>
                          <a:tailEnd/>
                        </a:ln>
                      </wps:spPr>
                      <wps:txbx>
                        <w:txbxContent>
                          <w:p w:rsidR="00D53F39" w:rsidRPr="00E911A4" w:rsidRDefault="00D53F39" w:rsidP="00E24DB7">
                            <w:pPr>
                              <w:spacing w:line="240" w:lineRule="auto"/>
                              <w:rPr>
                                <w:sz w:val="14"/>
                                <w:szCs w:val="14"/>
                              </w:rPr>
                            </w:pPr>
                            <w:r w:rsidRPr="00E911A4">
                              <w:rPr>
                                <w:b/>
                                <w:sz w:val="14"/>
                                <w:szCs w:val="14"/>
                              </w:rPr>
                              <w:t>Cycle WLTC, véhicules de la classe 3b, phase Medium</w:t>
                            </w:r>
                            <w:r w:rsidRPr="00E911A4">
                              <w:rPr>
                                <w:b/>
                                <w:sz w:val="14"/>
                                <w:szCs w:val="14"/>
                                <w:vertAlign w:val="subscript"/>
                              </w:rPr>
                              <w:t>3b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BA3D5" id="_x0000_s1053" type="#_x0000_t202" style="position:absolute;left:0;text-align:left;margin-left:153.1pt;margin-top:17.8pt;width:168.7pt;height:11.3pt;z-index:2510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" filled="f" stroked="f" strokeweight=".5pt">
                <v:textbox inset="0,0,0,0">
                  <w:txbxContent>
                    <w:p w:rsidR="00D53F39" w:rsidRPr="00E911A4" w:rsidRDefault="00D53F39" w:rsidP="00E24DB7">
                      <w:pPr>
                        <w:spacing w:line="240" w:lineRule="auto"/>
                        <w:rPr>
                          <w:sz w:val="14"/>
                          <w:szCs w:val="14"/>
                        </w:rPr>
                      </w:pPr>
                      <w:r w:rsidRPr="00E911A4">
                        <w:rPr>
                          <w:b/>
                          <w:sz w:val="14"/>
                          <w:szCs w:val="14"/>
                        </w:rPr>
                        <w:t>Cycle WLTC, véhicules de la classe 3b, phase Medium</w:t>
                      </w:r>
                      <w:r w:rsidRPr="00E911A4">
                        <w:rPr>
                          <w:b/>
                          <w:sz w:val="14"/>
                          <w:szCs w:val="14"/>
                          <w:vertAlign w:val="subscript"/>
                        </w:rPr>
                        <w:t>3b</w:t>
                      </w:r>
                    </w:p>
                  </w:txbxContent>
                </v:textbox>
              </v:shape>
            </w:pict>
          </mc:Fallback>
        </mc:AlternateContent>
      </w:r>
      <w:r w:rsidRPr="002C5876">
        <w:rPr>
          <w:noProof/>
          <w:lang w:val="en-GB" w:eastAsia="zh-CN"/>
        </w:rPr>
        <w:drawing>
          <wp:inline distT="0" distB="0" distL="0" distR="0" wp14:anchorId="0DDEB14C" wp14:editId="33445DDE">
            <wp:extent cx="5378400" cy="3506400"/>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8400" cy="3506400"/>
                    </a:xfrm>
                    <a:prstGeom prst="rect">
                      <a:avLst/>
                    </a:prstGeom>
                    <a:noFill/>
                    <a:ln>
                      <a:noFill/>
                    </a:ln>
                  </pic:spPr>
                </pic:pic>
              </a:graphicData>
            </a:graphic>
          </wp:inline>
        </w:drawing>
      </w:r>
    </w:p>
    <w:p w:rsidR="00E24DB7" w:rsidRPr="002C5876" w:rsidRDefault="00E24DB7" w:rsidP="00E24DB7">
      <w:pPr>
        <w:pStyle w:val="H23G"/>
        <w:rPr>
          <w:vertAlign w:val="subscript"/>
        </w:rPr>
      </w:pPr>
      <w:r w:rsidRPr="002C5876">
        <w:rPr>
          <w:b w:val="0"/>
        </w:rPr>
        <w:tab/>
      </w:r>
      <w:r w:rsidRPr="002C5876">
        <w:rPr>
          <w:b w:val="0"/>
        </w:rPr>
        <w:tab/>
        <w:t>Figure A1/10</w:t>
      </w:r>
      <w:r w:rsidRPr="002C5876">
        <w:t xml:space="preserve"> </w:t>
      </w:r>
      <w:r w:rsidRPr="002C5876">
        <w:br/>
        <w:t>Cycle WLTC, véhicules de la classe 3a, phase High</w:t>
      </w:r>
      <w:r w:rsidRPr="002C5876">
        <w:rPr>
          <w:vertAlign w:val="subscript"/>
        </w:rPr>
        <w:t>3a</w:t>
      </w:r>
    </w:p>
    <w:p w:rsidR="00E24DB7" w:rsidRPr="002C5876" w:rsidRDefault="00E24DB7" w:rsidP="00E24DB7">
      <w:pPr>
        <w:pStyle w:val="SingleTxtG"/>
      </w:pPr>
      <w:r w:rsidRPr="002C5876">
        <w:rPr>
          <w:noProof/>
          <w:vertAlign w:val="subscript"/>
          <w:lang w:val="en-GB" w:eastAsia="zh-CN"/>
        </w:rPr>
        <mc:AlternateContent>
          <mc:Choice Requires="wps">
            <w:drawing>
              <wp:anchor distT="0" distB="0" distL="114300" distR="114300" simplePos="0" relativeHeight="251034624" behindDoc="0" locked="0" layoutInCell="1" allowOverlap="1" wp14:anchorId="60D1DC65" wp14:editId="6E010B38">
                <wp:simplePos x="0" y="0"/>
                <wp:positionH relativeFrom="column">
                  <wp:posOffset>3177812</wp:posOffset>
                </wp:positionH>
                <wp:positionV relativeFrom="paragraph">
                  <wp:posOffset>3303561</wp:posOffset>
                </wp:positionV>
                <wp:extent cx="811530" cy="122555"/>
                <wp:effectExtent l="0" t="0" r="7620" b="10795"/>
                <wp:wrapNone/>
                <wp:docPr id="1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D53F39" w:rsidRPr="00DD257C" w:rsidRDefault="00D53F39" w:rsidP="00E24DB7">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1DC65" id="_x0000_s1054" type="#_x0000_t202" style="position:absolute;left:0;text-align:left;margin-left:250.2pt;margin-top:260.1pt;width:63.9pt;height:9.65pt;z-index:2510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" filled="f" stroked="f" strokeweight=".5pt">
                <v:textbox inset="0,0,0,0">
                  <w:txbxContent>
                    <w:p w:rsidR="00D53F39" w:rsidRPr="00DD257C" w:rsidRDefault="00D53F39" w:rsidP="00E24DB7">
                      <w:pPr>
                        <w:spacing w:line="240" w:lineRule="auto"/>
                        <w:jc w:val="center"/>
                        <w:rPr>
                          <w:sz w:val="14"/>
                          <w:szCs w:val="14"/>
                        </w:rPr>
                      </w:pPr>
                      <w:r>
                        <w:rPr>
                          <w:b/>
                          <w:sz w:val="14"/>
                          <w:szCs w:val="14"/>
                        </w:rPr>
                        <w:t>Temps en s</w:t>
                      </w:r>
                    </w:p>
                  </w:txbxContent>
                </v:textbox>
              </v:shape>
            </w:pict>
          </mc:Fallback>
        </mc:AlternateContent>
      </w:r>
      <w:r w:rsidRPr="002C5876">
        <w:rPr>
          <w:noProof/>
          <w:vertAlign w:val="subscript"/>
          <w:lang w:val="en-GB" w:eastAsia="zh-CN"/>
        </w:rPr>
        <mc:AlternateContent>
          <mc:Choice Requires="wps">
            <w:drawing>
              <wp:anchor distT="0" distB="0" distL="114300" distR="114300" simplePos="0" relativeHeight="251033600" behindDoc="0" locked="0" layoutInCell="1" allowOverlap="1" wp14:anchorId="39185F33" wp14:editId="77090B1B">
                <wp:simplePos x="0" y="0"/>
                <wp:positionH relativeFrom="column">
                  <wp:posOffset>-208117</wp:posOffset>
                </wp:positionH>
                <wp:positionV relativeFrom="paragraph">
                  <wp:posOffset>1548021</wp:posOffset>
                </wp:positionV>
                <wp:extent cx="2251075" cy="177165"/>
                <wp:effectExtent l="8255" t="10795" r="5080" b="5080"/>
                <wp:wrapNone/>
                <wp:docPr id="1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D53F39" w:rsidRPr="00E911A4" w:rsidRDefault="00D53F39" w:rsidP="00E24DB7">
                            <w:pPr>
                              <w:jc w:val="center"/>
                              <w:rPr>
                                <w:sz w:val="16"/>
                                <w:szCs w:val="16"/>
                              </w:rPr>
                            </w:pPr>
                            <w:r w:rsidRPr="00E911A4">
                              <w:rPr>
                                <w:b/>
                                <w:sz w:val="16"/>
                                <w:szCs w:val="16"/>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85F33" id="_x0000_s1055" type="#_x0000_t202" style="position:absolute;left:0;text-align:left;margin-left:-16.4pt;margin-top:121.9pt;width:177.25pt;height:13.95pt;rotation:-90;z-index:2510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" filled="f" stroked="f" strokeweight=".5pt">
                <v:textbox inset="0,0,0,0">
                  <w:txbxContent>
                    <w:p w:rsidR="00D53F39" w:rsidRPr="00E911A4" w:rsidRDefault="00D53F39" w:rsidP="00E24DB7">
                      <w:pPr>
                        <w:jc w:val="center"/>
                        <w:rPr>
                          <w:sz w:val="16"/>
                          <w:szCs w:val="16"/>
                        </w:rPr>
                      </w:pPr>
                      <w:r w:rsidRPr="00E911A4">
                        <w:rPr>
                          <w:b/>
                          <w:sz w:val="16"/>
                          <w:szCs w:val="16"/>
                        </w:rPr>
                        <w:t>Vitesse du véhicule en km/h</w:t>
                      </w:r>
                    </w:p>
                  </w:txbxContent>
                </v:textbox>
              </v:shape>
            </w:pict>
          </mc:Fallback>
        </mc:AlternateContent>
      </w:r>
      <w:r w:rsidRPr="002C5876">
        <w:rPr>
          <w:noProof/>
          <w:lang w:val="en-GB" w:eastAsia="zh-CN"/>
        </w:rPr>
        <mc:AlternateContent>
          <mc:Choice Requires="wps">
            <w:drawing>
              <wp:anchor distT="0" distB="0" distL="114300" distR="114300" simplePos="0" relativeHeight="251032576" behindDoc="0" locked="0" layoutInCell="1" allowOverlap="1" wp14:anchorId="30FBF402" wp14:editId="4CCCCB77">
                <wp:simplePos x="0" y="0"/>
                <wp:positionH relativeFrom="column">
                  <wp:posOffset>1865794</wp:posOffset>
                </wp:positionH>
                <wp:positionV relativeFrom="paragraph">
                  <wp:posOffset>225570</wp:posOffset>
                </wp:positionV>
                <wp:extent cx="2283388" cy="158115"/>
                <wp:effectExtent l="0" t="0" r="3175" b="13335"/>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3388" cy="158115"/>
                        </a:xfrm>
                        <a:prstGeom prst="rect">
                          <a:avLst/>
                        </a:prstGeom>
                        <a:noFill/>
                        <a:ln w="6350">
                          <a:noFill/>
                          <a:miter lim="800000"/>
                          <a:headEnd/>
                          <a:tailEnd/>
                        </a:ln>
                      </wps:spPr>
                      <wps:txbx>
                        <w:txbxContent>
                          <w:p w:rsidR="00D53F39" w:rsidRPr="00E911A4" w:rsidRDefault="00D53F39" w:rsidP="00E24DB7">
                            <w:pPr>
                              <w:spacing w:line="240" w:lineRule="auto"/>
                              <w:jc w:val="center"/>
                              <w:rPr>
                                <w:sz w:val="15"/>
                                <w:szCs w:val="15"/>
                              </w:rPr>
                            </w:pPr>
                            <w:r w:rsidRPr="00E911A4">
                              <w:rPr>
                                <w:b/>
                                <w:sz w:val="15"/>
                                <w:szCs w:val="15"/>
                              </w:rPr>
                              <w:t>Cycle WLTC, véhicules de la classe 3a, phase High</w:t>
                            </w:r>
                            <w:r w:rsidRPr="00E911A4">
                              <w:rPr>
                                <w:b/>
                                <w:sz w:val="15"/>
                                <w:szCs w:val="15"/>
                                <w:vertAlign w:val="subscript"/>
                              </w:rPr>
                              <w:t>3a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BF402" id="_x0000_s1056" type="#_x0000_t202" style="position:absolute;left:0;text-align:left;margin-left:146.9pt;margin-top:17.75pt;width:179.8pt;height:12.45pt;z-index:2510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" filled="f" stroked="f" strokeweight=".5pt">
                <v:textbox inset="0,0,0,0">
                  <w:txbxContent>
                    <w:p w:rsidR="00D53F39" w:rsidRPr="00E911A4" w:rsidRDefault="00D53F39" w:rsidP="00E24DB7">
                      <w:pPr>
                        <w:spacing w:line="240" w:lineRule="auto"/>
                        <w:jc w:val="center"/>
                        <w:rPr>
                          <w:sz w:val="15"/>
                          <w:szCs w:val="15"/>
                        </w:rPr>
                      </w:pPr>
                      <w:r w:rsidRPr="00E911A4">
                        <w:rPr>
                          <w:b/>
                          <w:sz w:val="15"/>
                          <w:szCs w:val="15"/>
                        </w:rPr>
                        <w:t>Cycle WLTC, véhicules de la classe 3a, phase High</w:t>
                      </w:r>
                      <w:r w:rsidRPr="00E911A4">
                        <w:rPr>
                          <w:b/>
                          <w:sz w:val="15"/>
                          <w:szCs w:val="15"/>
                          <w:vertAlign w:val="subscript"/>
                        </w:rPr>
                        <w:t>3a</w:t>
                      </w:r>
                    </w:p>
                  </w:txbxContent>
                </v:textbox>
              </v:shape>
            </w:pict>
          </mc:Fallback>
        </mc:AlternateContent>
      </w:r>
      <w:r w:rsidRPr="002C5876">
        <w:rPr>
          <w:noProof/>
          <w:vertAlign w:val="subscript"/>
          <w:lang w:val="en-GB" w:eastAsia="zh-CN"/>
        </w:rPr>
        <w:drawing>
          <wp:inline distT="0" distB="0" distL="0" distR="0" wp14:anchorId="67A66CCB" wp14:editId="76A89C68">
            <wp:extent cx="5378400" cy="3495600"/>
            <wp:effectExtent l="0" t="0" r="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8400" cy="3495600"/>
                    </a:xfrm>
                    <a:prstGeom prst="rect">
                      <a:avLst/>
                    </a:prstGeom>
                    <a:noFill/>
                    <a:ln>
                      <a:noFill/>
                    </a:ln>
                  </pic:spPr>
                </pic:pic>
              </a:graphicData>
            </a:graphic>
          </wp:inline>
        </w:drawing>
      </w:r>
    </w:p>
    <w:p w:rsidR="00E24DB7" w:rsidRPr="002C5876" w:rsidRDefault="00E24DB7" w:rsidP="00E24DB7">
      <w:pPr>
        <w:pStyle w:val="H23G"/>
        <w:rPr>
          <w:vertAlign w:val="subscript"/>
        </w:rPr>
      </w:pPr>
      <w:r w:rsidRPr="002C5876">
        <w:br w:type="page"/>
      </w:r>
      <w:r w:rsidRPr="002C5876">
        <w:lastRenderedPageBreak/>
        <w:tab/>
      </w:r>
      <w:r w:rsidRPr="002C5876">
        <w:tab/>
      </w:r>
      <w:r w:rsidRPr="002C5876">
        <w:rPr>
          <w:b w:val="0"/>
        </w:rPr>
        <w:t>Figure A1/11</w:t>
      </w:r>
      <w:r w:rsidRPr="002C5876">
        <w:t xml:space="preserve"> </w:t>
      </w:r>
      <w:r w:rsidRPr="002C5876">
        <w:br/>
        <w:t>Cycle WLTC, véhicules de la classe 3b, phase High</w:t>
      </w:r>
      <w:r w:rsidRPr="002C5876">
        <w:rPr>
          <w:vertAlign w:val="subscript"/>
        </w:rPr>
        <w:t>3b</w:t>
      </w:r>
    </w:p>
    <w:p w:rsidR="00E24DB7" w:rsidRPr="002C5876" w:rsidRDefault="00E24DB7" w:rsidP="00E24DB7">
      <w:pPr>
        <w:pStyle w:val="SingleTxtG"/>
      </w:pPr>
      <w:r w:rsidRPr="002C5876">
        <w:rPr>
          <w:noProof/>
          <w:vertAlign w:val="subscript"/>
          <w:lang w:val="en-GB" w:eastAsia="zh-CN"/>
        </w:rPr>
        <mc:AlternateContent>
          <mc:Choice Requires="wps">
            <w:drawing>
              <wp:anchor distT="0" distB="0" distL="114300" distR="114300" simplePos="0" relativeHeight="251038720" behindDoc="0" locked="0" layoutInCell="1" allowOverlap="1" wp14:anchorId="3D853ADE" wp14:editId="3B301E81">
                <wp:simplePos x="0" y="0"/>
                <wp:positionH relativeFrom="column">
                  <wp:posOffset>3162137</wp:posOffset>
                </wp:positionH>
                <wp:positionV relativeFrom="paragraph">
                  <wp:posOffset>3303561</wp:posOffset>
                </wp:positionV>
                <wp:extent cx="811530" cy="122555"/>
                <wp:effectExtent l="0" t="0" r="7620" b="10795"/>
                <wp:wrapNone/>
                <wp:docPr id="1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D53F39" w:rsidRPr="00DD257C" w:rsidRDefault="00D53F39" w:rsidP="00E24DB7">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53ADE" id="_x0000_s1057" type="#_x0000_t202" style="position:absolute;left:0;text-align:left;margin-left:249pt;margin-top:260.1pt;width:63.9pt;height:9.65pt;z-index:2510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" filled="f" stroked="f" strokeweight=".5pt">
                <v:textbox inset="0,0,0,0">
                  <w:txbxContent>
                    <w:p w:rsidR="00D53F39" w:rsidRPr="00DD257C" w:rsidRDefault="00D53F39" w:rsidP="00E24DB7">
                      <w:pPr>
                        <w:spacing w:line="240" w:lineRule="auto"/>
                        <w:jc w:val="center"/>
                        <w:rPr>
                          <w:sz w:val="14"/>
                          <w:szCs w:val="14"/>
                        </w:rPr>
                      </w:pPr>
                      <w:r>
                        <w:rPr>
                          <w:b/>
                          <w:sz w:val="14"/>
                          <w:szCs w:val="14"/>
                        </w:rPr>
                        <w:t>Temps en s</w:t>
                      </w:r>
                    </w:p>
                  </w:txbxContent>
                </v:textbox>
              </v:shape>
            </w:pict>
          </mc:Fallback>
        </mc:AlternateContent>
      </w:r>
      <w:r w:rsidRPr="002C5876">
        <w:rPr>
          <w:noProof/>
          <w:vertAlign w:val="subscript"/>
          <w:lang w:val="en-GB" w:eastAsia="zh-CN"/>
        </w:rPr>
        <mc:AlternateContent>
          <mc:Choice Requires="wps">
            <w:drawing>
              <wp:anchor distT="0" distB="0" distL="114300" distR="114300" simplePos="0" relativeHeight="251037696" behindDoc="0" locked="0" layoutInCell="1" allowOverlap="1" wp14:anchorId="400F1C1F" wp14:editId="1EB6A243">
                <wp:simplePos x="0" y="0"/>
                <wp:positionH relativeFrom="column">
                  <wp:posOffset>-228981</wp:posOffset>
                </wp:positionH>
                <wp:positionV relativeFrom="paragraph">
                  <wp:posOffset>1543322</wp:posOffset>
                </wp:positionV>
                <wp:extent cx="2251075" cy="177165"/>
                <wp:effectExtent l="8255" t="10795" r="5080" b="5080"/>
                <wp:wrapNone/>
                <wp:docPr id="1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D53F39" w:rsidRPr="00E911A4" w:rsidRDefault="00D53F39" w:rsidP="00E24DB7">
                            <w:pPr>
                              <w:jc w:val="center"/>
                              <w:rPr>
                                <w:sz w:val="16"/>
                                <w:szCs w:val="16"/>
                              </w:rPr>
                            </w:pPr>
                            <w:r w:rsidRPr="00E911A4">
                              <w:rPr>
                                <w:b/>
                                <w:sz w:val="16"/>
                                <w:szCs w:val="16"/>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F1C1F" id="_x0000_s1058" type="#_x0000_t202" style="position:absolute;left:0;text-align:left;margin-left:-18.05pt;margin-top:121.5pt;width:177.25pt;height:13.95pt;rotation:-90;z-index:2510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" filled="f" stroked="f" strokeweight=".5pt">
                <v:textbox inset="0,0,0,0">
                  <w:txbxContent>
                    <w:p w:rsidR="00D53F39" w:rsidRPr="00E911A4" w:rsidRDefault="00D53F39" w:rsidP="00E24DB7">
                      <w:pPr>
                        <w:jc w:val="center"/>
                        <w:rPr>
                          <w:sz w:val="16"/>
                          <w:szCs w:val="16"/>
                        </w:rPr>
                      </w:pPr>
                      <w:r w:rsidRPr="00E911A4">
                        <w:rPr>
                          <w:b/>
                          <w:sz w:val="16"/>
                          <w:szCs w:val="16"/>
                        </w:rPr>
                        <w:t>Vitesse du véhicule en km/h</w:t>
                      </w:r>
                    </w:p>
                  </w:txbxContent>
                </v:textbox>
              </v:shape>
            </w:pict>
          </mc:Fallback>
        </mc:AlternateContent>
      </w:r>
      <w:r w:rsidRPr="002C5876">
        <w:rPr>
          <w:noProof/>
          <w:lang w:val="en-GB" w:eastAsia="zh-CN"/>
        </w:rPr>
        <mc:AlternateContent>
          <mc:Choice Requires="wps">
            <w:drawing>
              <wp:anchor distT="0" distB="0" distL="114300" distR="114300" simplePos="0" relativeHeight="251036672" behindDoc="0" locked="0" layoutInCell="1" allowOverlap="1" wp14:anchorId="5F7BA560" wp14:editId="25844731">
                <wp:simplePos x="0" y="0"/>
                <wp:positionH relativeFrom="column">
                  <wp:posOffset>1683421</wp:posOffset>
                </wp:positionH>
                <wp:positionV relativeFrom="paragraph">
                  <wp:posOffset>215501</wp:posOffset>
                </wp:positionV>
                <wp:extent cx="2655277" cy="187569"/>
                <wp:effectExtent l="0" t="0" r="12065" b="3175"/>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277" cy="187569"/>
                        </a:xfrm>
                        <a:prstGeom prst="rect">
                          <a:avLst/>
                        </a:prstGeom>
                        <a:noFill/>
                        <a:ln w="6350">
                          <a:noFill/>
                          <a:miter lim="800000"/>
                          <a:headEnd/>
                          <a:tailEnd/>
                        </a:ln>
                      </wps:spPr>
                      <wps:txbx>
                        <w:txbxContent>
                          <w:p w:rsidR="00D53F39" w:rsidRPr="00E911A4" w:rsidRDefault="00D53F39" w:rsidP="00E24DB7">
                            <w:pPr>
                              <w:spacing w:line="240" w:lineRule="auto"/>
                              <w:jc w:val="center"/>
                              <w:rPr>
                                <w:sz w:val="15"/>
                                <w:szCs w:val="15"/>
                              </w:rPr>
                            </w:pPr>
                            <w:r w:rsidRPr="00E911A4">
                              <w:rPr>
                                <w:b/>
                                <w:sz w:val="15"/>
                                <w:szCs w:val="15"/>
                              </w:rPr>
                              <w:t>Cycle WLTC, véhicules de la classe 3b, phase High</w:t>
                            </w:r>
                            <w:r w:rsidRPr="00E911A4">
                              <w:rPr>
                                <w:b/>
                                <w:sz w:val="15"/>
                                <w:szCs w:val="15"/>
                                <w:vertAlign w:val="subscript"/>
                              </w:rPr>
                              <w:t>3b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BA560" id="_x0000_s1059" type="#_x0000_t202" style="position:absolute;left:0;text-align:left;margin-left:132.55pt;margin-top:16.95pt;width:209.1pt;height:14.75pt;z-index:2510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" filled="f" stroked="f" strokeweight=".5pt">
                <v:textbox inset="0,0,0,0">
                  <w:txbxContent>
                    <w:p w:rsidR="00D53F39" w:rsidRPr="00E911A4" w:rsidRDefault="00D53F39" w:rsidP="00E24DB7">
                      <w:pPr>
                        <w:spacing w:line="240" w:lineRule="auto"/>
                        <w:jc w:val="center"/>
                        <w:rPr>
                          <w:sz w:val="15"/>
                          <w:szCs w:val="15"/>
                        </w:rPr>
                      </w:pPr>
                      <w:r w:rsidRPr="00E911A4">
                        <w:rPr>
                          <w:b/>
                          <w:sz w:val="15"/>
                          <w:szCs w:val="15"/>
                        </w:rPr>
                        <w:t>Cycle WLTC, véhicules de la classe 3b, phase High</w:t>
                      </w:r>
                      <w:r w:rsidRPr="00E911A4">
                        <w:rPr>
                          <w:b/>
                          <w:sz w:val="15"/>
                          <w:szCs w:val="15"/>
                          <w:vertAlign w:val="subscript"/>
                        </w:rPr>
                        <w:t>3b</w:t>
                      </w:r>
                    </w:p>
                  </w:txbxContent>
                </v:textbox>
              </v:shape>
            </w:pict>
          </mc:Fallback>
        </mc:AlternateContent>
      </w:r>
      <w:r w:rsidRPr="002C5876">
        <w:rPr>
          <w:noProof/>
          <w:vertAlign w:val="subscript"/>
          <w:lang w:val="en-GB" w:eastAsia="zh-CN"/>
        </w:rPr>
        <w:drawing>
          <wp:inline distT="0" distB="0" distL="0" distR="0" wp14:anchorId="5EABEB2E" wp14:editId="046A2F63">
            <wp:extent cx="5378400" cy="3492000"/>
            <wp:effectExtent l="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8400" cy="3492000"/>
                    </a:xfrm>
                    <a:prstGeom prst="rect">
                      <a:avLst/>
                    </a:prstGeom>
                    <a:noFill/>
                    <a:ln>
                      <a:noFill/>
                    </a:ln>
                  </pic:spPr>
                </pic:pic>
              </a:graphicData>
            </a:graphic>
          </wp:inline>
        </w:drawing>
      </w:r>
    </w:p>
    <w:p w:rsidR="00E24DB7" w:rsidRPr="002C5876" w:rsidRDefault="00E24DB7" w:rsidP="00E24DB7">
      <w:pPr>
        <w:pStyle w:val="H23G"/>
        <w:rPr>
          <w:vertAlign w:val="subscript"/>
        </w:rPr>
      </w:pPr>
      <w:r w:rsidRPr="002C5876">
        <w:rPr>
          <w:b w:val="0"/>
        </w:rPr>
        <w:tab/>
      </w:r>
      <w:r w:rsidRPr="002C5876">
        <w:rPr>
          <w:b w:val="0"/>
        </w:rPr>
        <w:tab/>
        <w:t>Figure A1/12</w:t>
      </w:r>
      <w:r w:rsidRPr="002C5876">
        <w:t xml:space="preserve"> </w:t>
      </w:r>
      <w:r w:rsidRPr="002C5876">
        <w:br/>
        <w:t>Cycle WLTC, véhicules de la classe 3, phase Extra High</w:t>
      </w:r>
      <w:r w:rsidRPr="002C5876">
        <w:rPr>
          <w:vertAlign w:val="subscript"/>
        </w:rPr>
        <w:t>3</w:t>
      </w:r>
    </w:p>
    <w:p w:rsidR="00E24DB7" w:rsidRPr="002C5876" w:rsidRDefault="00E24DB7" w:rsidP="00E24DB7">
      <w:pPr>
        <w:pStyle w:val="SingleTxtG"/>
      </w:pPr>
      <w:r w:rsidRPr="002C5876">
        <w:rPr>
          <w:noProof/>
          <w:vertAlign w:val="subscript"/>
          <w:lang w:val="en-GB" w:eastAsia="zh-CN"/>
        </w:rPr>
        <mc:AlternateContent>
          <mc:Choice Requires="wps">
            <w:drawing>
              <wp:anchor distT="0" distB="0" distL="114300" distR="114300" simplePos="0" relativeHeight="251041792" behindDoc="0" locked="0" layoutInCell="1" allowOverlap="1" wp14:anchorId="78A89D1D" wp14:editId="77A04B8E">
                <wp:simplePos x="0" y="0"/>
                <wp:positionH relativeFrom="column">
                  <wp:posOffset>3183037</wp:posOffset>
                </wp:positionH>
                <wp:positionV relativeFrom="paragraph">
                  <wp:posOffset>3297065</wp:posOffset>
                </wp:positionV>
                <wp:extent cx="811530" cy="122555"/>
                <wp:effectExtent l="0" t="0" r="7620" b="10795"/>
                <wp:wrapNone/>
                <wp:docPr id="1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D53F39" w:rsidRPr="00DD257C" w:rsidRDefault="00D53F39" w:rsidP="00E24DB7">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89D1D" id="_x0000_s1060" type="#_x0000_t202" style="position:absolute;left:0;text-align:left;margin-left:250.65pt;margin-top:259.6pt;width:63.9pt;height:9.65pt;z-index:2510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" filled="f" stroked="f" strokeweight=".5pt">
                <v:textbox inset="0,0,0,0">
                  <w:txbxContent>
                    <w:p w:rsidR="00D53F39" w:rsidRPr="00DD257C" w:rsidRDefault="00D53F39" w:rsidP="00E24DB7">
                      <w:pPr>
                        <w:spacing w:line="240" w:lineRule="auto"/>
                        <w:jc w:val="center"/>
                        <w:rPr>
                          <w:sz w:val="14"/>
                          <w:szCs w:val="14"/>
                        </w:rPr>
                      </w:pPr>
                      <w:r>
                        <w:rPr>
                          <w:b/>
                          <w:sz w:val="14"/>
                          <w:szCs w:val="14"/>
                        </w:rPr>
                        <w:t>Temps en s</w:t>
                      </w:r>
                    </w:p>
                  </w:txbxContent>
                </v:textbox>
              </v:shape>
            </w:pict>
          </mc:Fallback>
        </mc:AlternateContent>
      </w:r>
      <w:r w:rsidRPr="002C5876">
        <w:rPr>
          <w:noProof/>
          <w:vertAlign w:val="subscript"/>
          <w:lang w:val="en-GB" w:eastAsia="zh-CN"/>
        </w:rPr>
        <mc:AlternateContent>
          <mc:Choice Requires="wps">
            <w:drawing>
              <wp:anchor distT="0" distB="0" distL="114300" distR="114300" simplePos="0" relativeHeight="251040768" behindDoc="0" locked="0" layoutInCell="1" allowOverlap="1" wp14:anchorId="5B7F87B0" wp14:editId="46854394">
                <wp:simplePos x="0" y="0"/>
                <wp:positionH relativeFrom="column">
                  <wp:posOffset>-202856</wp:posOffset>
                </wp:positionH>
                <wp:positionV relativeFrom="paragraph">
                  <wp:posOffset>1530967</wp:posOffset>
                </wp:positionV>
                <wp:extent cx="2251075" cy="177165"/>
                <wp:effectExtent l="8255" t="10795" r="5080" b="5080"/>
                <wp:wrapNone/>
                <wp:docPr id="1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D53F39" w:rsidRPr="00E911A4" w:rsidRDefault="00D53F39" w:rsidP="00E24DB7">
                            <w:pPr>
                              <w:jc w:val="center"/>
                              <w:rPr>
                                <w:sz w:val="16"/>
                                <w:szCs w:val="16"/>
                              </w:rPr>
                            </w:pPr>
                            <w:r w:rsidRPr="00E911A4">
                              <w:rPr>
                                <w:b/>
                                <w:sz w:val="16"/>
                                <w:szCs w:val="16"/>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F87B0" id="_x0000_s1061" type="#_x0000_t202" style="position:absolute;left:0;text-align:left;margin-left:-15.95pt;margin-top:120.55pt;width:177.25pt;height:13.95pt;rotation:-90;z-index:2510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" filled="f" stroked="f" strokeweight=".5pt">
                <v:textbox inset="0,0,0,0">
                  <w:txbxContent>
                    <w:p w:rsidR="00D53F39" w:rsidRPr="00E911A4" w:rsidRDefault="00D53F39" w:rsidP="00E24DB7">
                      <w:pPr>
                        <w:jc w:val="center"/>
                        <w:rPr>
                          <w:sz w:val="16"/>
                          <w:szCs w:val="16"/>
                        </w:rPr>
                      </w:pPr>
                      <w:r w:rsidRPr="00E911A4">
                        <w:rPr>
                          <w:b/>
                          <w:sz w:val="16"/>
                          <w:szCs w:val="16"/>
                        </w:rPr>
                        <w:t>Vitesse du véhicule en km/h</w:t>
                      </w:r>
                    </w:p>
                  </w:txbxContent>
                </v:textbox>
              </v:shape>
            </w:pict>
          </mc:Fallback>
        </mc:AlternateContent>
      </w:r>
      <w:r w:rsidRPr="002C5876">
        <w:rPr>
          <w:noProof/>
          <w:lang w:val="en-GB" w:eastAsia="zh-CN"/>
        </w:rPr>
        <mc:AlternateContent>
          <mc:Choice Requires="wps">
            <w:drawing>
              <wp:anchor distT="0" distB="0" distL="114300" distR="114300" simplePos="0" relativeHeight="251039744" behindDoc="0" locked="0" layoutInCell="1" allowOverlap="1" wp14:anchorId="017E5A0A" wp14:editId="6750D9DE">
                <wp:simplePos x="0" y="0"/>
                <wp:positionH relativeFrom="column">
                  <wp:posOffset>2357465</wp:posOffset>
                </wp:positionH>
                <wp:positionV relativeFrom="paragraph">
                  <wp:posOffset>1656371</wp:posOffset>
                </wp:positionV>
                <wp:extent cx="2171700" cy="143510"/>
                <wp:effectExtent l="0" t="0" r="0" b="8890"/>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43510"/>
                        </a:xfrm>
                        <a:prstGeom prst="rect">
                          <a:avLst/>
                        </a:prstGeom>
                        <a:noFill/>
                        <a:ln w="6350">
                          <a:noFill/>
                          <a:miter lim="800000"/>
                          <a:headEnd/>
                          <a:tailEnd/>
                        </a:ln>
                      </wps:spPr>
                      <wps:txbx>
                        <w:txbxContent>
                          <w:p w:rsidR="00D53F39" w:rsidRPr="00E911A4" w:rsidRDefault="00D53F39" w:rsidP="00E24DB7">
                            <w:pPr>
                              <w:spacing w:line="240" w:lineRule="auto"/>
                              <w:jc w:val="center"/>
                              <w:rPr>
                                <w:rFonts w:ascii="Times New Roman Gras" w:hAnsi="Times New Roman Gras"/>
                                <w:spacing w:val="-2"/>
                                <w:sz w:val="14"/>
                                <w:szCs w:val="14"/>
                              </w:rPr>
                            </w:pPr>
                            <w:r w:rsidRPr="00E911A4">
                              <w:rPr>
                                <w:rFonts w:ascii="Times New Roman Gras" w:hAnsi="Times New Roman Gras"/>
                                <w:b/>
                                <w:spacing w:val="-2"/>
                                <w:sz w:val="14"/>
                                <w:szCs w:val="14"/>
                              </w:rPr>
                              <w:t>Cycle WLTC, véhicules de la classe 3, phase Extra High</w:t>
                            </w:r>
                            <w:r w:rsidRPr="00E911A4">
                              <w:rPr>
                                <w:rFonts w:ascii="Times New Roman Gras" w:hAnsi="Times New Roman Gras"/>
                                <w:b/>
                                <w:spacing w:val="-2"/>
                                <w:sz w:val="14"/>
                                <w:szCs w:val="14"/>
                                <w:vertAlign w:val="subscript"/>
                              </w:rPr>
                              <w:t>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E5A0A" id="_x0000_s1062" type="#_x0000_t202" style="position:absolute;left:0;text-align:left;margin-left:185.65pt;margin-top:130.4pt;width:171pt;height:11.3pt;z-index:2510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" filled="f" stroked="f" strokeweight=".5pt">
                <v:textbox inset="0,0,0,0">
                  <w:txbxContent>
                    <w:p w:rsidR="00D53F39" w:rsidRPr="00E911A4" w:rsidRDefault="00D53F39" w:rsidP="00E24DB7">
                      <w:pPr>
                        <w:spacing w:line="240" w:lineRule="auto"/>
                        <w:jc w:val="center"/>
                        <w:rPr>
                          <w:rFonts w:ascii="Times New Roman Gras" w:hAnsi="Times New Roman Gras"/>
                          <w:spacing w:val="-2"/>
                          <w:sz w:val="14"/>
                          <w:szCs w:val="14"/>
                        </w:rPr>
                      </w:pPr>
                      <w:r w:rsidRPr="00E911A4">
                        <w:rPr>
                          <w:rFonts w:ascii="Times New Roman Gras" w:hAnsi="Times New Roman Gras"/>
                          <w:b/>
                          <w:spacing w:val="-2"/>
                          <w:sz w:val="14"/>
                          <w:szCs w:val="14"/>
                        </w:rPr>
                        <w:t>Cycle WLTC, véhicules de la classe 3, phase Extra High</w:t>
                      </w:r>
                      <w:r w:rsidRPr="00E911A4">
                        <w:rPr>
                          <w:rFonts w:ascii="Times New Roman Gras" w:hAnsi="Times New Roman Gras"/>
                          <w:b/>
                          <w:spacing w:val="-2"/>
                          <w:sz w:val="14"/>
                          <w:szCs w:val="14"/>
                          <w:vertAlign w:val="subscript"/>
                        </w:rPr>
                        <w:t>3</w:t>
                      </w:r>
                    </w:p>
                  </w:txbxContent>
                </v:textbox>
              </v:shape>
            </w:pict>
          </mc:Fallback>
        </mc:AlternateContent>
      </w:r>
      <w:r w:rsidRPr="002C5876">
        <w:rPr>
          <w:noProof/>
          <w:vertAlign w:val="subscript"/>
          <w:lang w:val="en-GB" w:eastAsia="zh-CN"/>
        </w:rPr>
        <w:drawing>
          <wp:inline distT="0" distB="0" distL="0" distR="0" wp14:anchorId="23C3083F" wp14:editId="0C201BBA">
            <wp:extent cx="5378400" cy="3477600"/>
            <wp:effectExtent l="0" t="0" r="0" b="889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8400" cy="3477600"/>
                    </a:xfrm>
                    <a:prstGeom prst="rect">
                      <a:avLst/>
                    </a:prstGeom>
                    <a:noFill/>
                    <a:ln>
                      <a:noFill/>
                    </a:ln>
                  </pic:spPr>
                </pic:pic>
              </a:graphicData>
            </a:graphic>
          </wp:inline>
        </w:drawing>
      </w:r>
    </w:p>
    <w:p w:rsidR="00E24DB7" w:rsidRPr="002C5876" w:rsidRDefault="00E24DB7" w:rsidP="00E24DB7">
      <w:pPr>
        <w:pStyle w:val="H23G"/>
        <w:ind w:left="0" w:firstLine="0"/>
        <w:rPr>
          <w:vertAlign w:val="subscript"/>
        </w:rPr>
      </w:pPr>
      <w:r w:rsidRPr="002C5876">
        <w:br w:type="page"/>
      </w:r>
      <w:r w:rsidRPr="002C5876">
        <w:rPr>
          <w:b w:val="0"/>
        </w:rPr>
        <w:lastRenderedPageBreak/>
        <w:t>Tableau A1/7</w:t>
      </w:r>
      <w:r w:rsidRPr="002C5876">
        <w:t xml:space="preserve"> </w:t>
      </w:r>
      <w:r w:rsidRPr="002C5876">
        <w:br/>
        <w:t>Cycle WLTC, véhicules de la classe 3, phase Low</w:t>
      </w:r>
      <w:r w:rsidRPr="002C5876">
        <w:rPr>
          <w:vertAlign w:val="subscript"/>
        </w:rPr>
        <w:t>3</w:t>
      </w:r>
    </w:p>
    <w:tbl>
      <w:tblPr>
        <w:tblW w:w="9637" w:type="dxa"/>
        <w:tblLayout w:type="fixed"/>
        <w:tblCellMar>
          <w:left w:w="0" w:type="dxa"/>
          <w:right w:w="0" w:type="dxa"/>
        </w:tblCellMar>
        <w:tblLook w:val="04A0" w:firstRow="1" w:lastRow="0" w:firstColumn="1" w:lastColumn="0" w:noHBand="0" w:noVBand="1"/>
      </w:tblPr>
      <w:tblGrid>
        <w:gridCol w:w="1204"/>
        <w:gridCol w:w="1205"/>
        <w:gridCol w:w="1204"/>
        <w:gridCol w:w="1205"/>
        <w:gridCol w:w="1205"/>
        <w:gridCol w:w="1204"/>
        <w:gridCol w:w="1205"/>
        <w:gridCol w:w="1205"/>
      </w:tblGrid>
      <w:tr w:rsidR="00E24DB7" w:rsidRPr="002C5876" w:rsidTr="00E24DB7">
        <w:trPr>
          <w:tblHeader/>
        </w:trPr>
        <w:tc>
          <w:tcPr>
            <w:tcW w:w="1204"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rPr>
                <w:i/>
                <w:sz w:val="16"/>
              </w:rPr>
            </w:pPr>
            <w:r w:rsidRPr="002C5876">
              <w:rPr>
                <w:i/>
                <w:sz w:val="16"/>
              </w:rPr>
              <w:t>Temps en s</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Vitesse en km/h</w:t>
            </w:r>
          </w:p>
        </w:tc>
        <w:tc>
          <w:tcPr>
            <w:tcW w:w="1204"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Temps en s</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Vitesse en km/h</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Temps en s</w:t>
            </w:r>
          </w:p>
        </w:tc>
        <w:tc>
          <w:tcPr>
            <w:tcW w:w="1204"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Vitesse en km/h</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Temps en s</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Vitesse en km/h</w:t>
            </w:r>
          </w:p>
        </w:tc>
      </w:tr>
      <w:tr w:rsidR="00E24DB7" w:rsidRPr="002C5876" w:rsidTr="00E24DB7">
        <w:tc>
          <w:tcPr>
            <w:tcW w:w="1204" w:type="dxa"/>
            <w:tcBorders>
              <w:top w:val="single" w:sz="12" w:space="0" w:color="auto"/>
            </w:tcBorders>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0</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tcBorders>
              <w:top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19,5</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w:t>
            </w:r>
          </w:p>
        </w:tc>
        <w:tc>
          <w:tcPr>
            <w:tcW w:w="1204" w:type="dxa"/>
            <w:tcBorders>
              <w:top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12,0</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141</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19,9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20,8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22,8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22,6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21,7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20,1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20,3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39,1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38,0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41,3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38,5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39,3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39,5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39,0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38,5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39,9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22,2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22,0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20,9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21,0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20,4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lastRenderedPageBreak/>
              <w:t>188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189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190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191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192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41,5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193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39,5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194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21,1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195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196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197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198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199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22,2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20,9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201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20,4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202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19,5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203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204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19,0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205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21,2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206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207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208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41,8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209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210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211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20,6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212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39,2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39,7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213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39,2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214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41,6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38,5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215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21,9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216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21,1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217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39,0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20,7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218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20,7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219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20,8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220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21,2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221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22,1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222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53,1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223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53,5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224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53,8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225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226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21,3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227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38,0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228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229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230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231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21,4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20,5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232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20,2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233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22,9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380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234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381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235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382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236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383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lastRenderedPageBreak/>
              <w:t>384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531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385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532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386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533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387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534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388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535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389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536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390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537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391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538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392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539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393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394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395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396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397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398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20,9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22,3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399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20,1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401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402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403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23,3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404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21,6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405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20,2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406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407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408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409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410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411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412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413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414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14,9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415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416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417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418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19,1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419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20,5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420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21,9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421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21,9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422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21,3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423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20,3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424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19,2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425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19,1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426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22,6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427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428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429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430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431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432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530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20" w:lineRule="exact"/>
              <w:rPr>
                <w:sz w:val="18"/>
                <w:szCs w:val="18"/>
              </w:rPr>
            </w:pPr>
            <w:r w:rsidRPr="002C5876">
              <w:rPr>
                <w:sz w:val="18"/>
                <w:szCs w:val="18"/>
              </w:rPr>
              <w:lastRenderedPageBreak/>
              <w:t>580</w:t>
            </w: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 </w:t>
            </w: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 </w:t>
            </w: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 </w:t>
            </w: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 </w:t>
            </w: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 </w:t>
            </w: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 </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20" w:lineRule="exact"/>
              <w:rPr>
                <w:sz w:val="18"/>
                <w:szCs w:val="18"/>
              </w:rPr>
            </w:pPr>
            <w:r w:rsidRPr="002C5876">
              <w:rPr>
                <w:sz w:val="18"/>
                <w:szCs w:val="18"/>
              </w:rPr>
              <w:t>581</w:t>
            </w: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20" w:lineRule="exact"/>
              <w:rPr>
                <w:sz w:val="18"/>
                <w:szCs w:val="18"/>
              </w:rPr>
            </w:pPr>
            <w:r w:rsidRPr="002C5876">
              <w:rPr>
                <w:sz w:val="18"/>
                <w:szCs w:val="18"/>
              </w:rPr>
              <w:t>582</w:t>
            </w: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20" w:lineRule="exact"/>
              <w:rPr>
                <w:sz w:val="18"/>
                <w:szCs w:val="18"/>
              </w:rPr>
            </w:pPr>
            <w:r w:rsidRPr="002C5876">
              <w:rPr>
                <w:sz w:val="18"/>
                <w:szCs w:val="18"/>
              </w:rPr>
              <w:t>583</w:t>
            </w: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20" w:lineRule="exact"/>
              <w:rPr>
                <w:sz w:val="18"/>
                <w:szCs w:val="18"/>
              </w:rPr>
            </w:pPr>
            <w:r w:rsidRPr="002C5876">
              <w:rPr>
                <w:sz w:val="18"/>
                <w:szCs w:val="18"/>
              </w:rPr>
              <w:t>584</w:t>
            </w: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20" w:lineRule="exact"/>
              <w:rPr>
                <w:sz w:val="18"/>
                <w:szCs w:val="18"/>
              </w:rPr>
            </w:pPr>
            <w:r w:rsidRPr="002C5876">
              <w:rPr>
                <w:sz w:val="18"/>
                <w:szCs w:val="18"/>
              </w:rPr>
              <w:t>585</w:t>
            </w: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20" w:lineRule="exact"/>
              <w:rPr>
                <w:sz w:val="18"/>
                <w:szCs w:val="18"/>
              </w:rPr>
            </w:pPr>
            <w:r w:rsidRPr="002C5876">
              <w:rPr>
                <w:sz w:val="18"/>
                <w:szCs w:val="18"/>
              </w:rPr>
              <w:t>586</w:t>
            </w: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20" w:lineRule="exact"/>
              <w:rPr>
                <w:sz w:val="18"/>
                <w:szCs w:val="18"/>
              </w:rPr>
            </w:pPr>
            <w:r w:rsidRPr="002C5876">
              <w:rPr>
                <w:sz w:val="18"/>
                <w:szCs w:val="18"/>
              </w:rPr>
              <w:t>587</w:t>
            </w: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20" w:lineRule="exact"/>
              <w:rPr>
                <w:sz w:val="18"/>
                <w:szCs w:val="18"/>
              </w:rPr>
            </w:pPr>
            <w:r w:rsidRPr="002C5876">
              <w:rPr>
                <w:sz w:val="18"/>
                <w:szCs w:val="18"/>
              </w:rPr>
              <w:t>588</w:t>
            </w: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r>
      <w:tr w:rsidR="00E24DB7" w:rsidRPr="002C5876" w:rsidTr="00E24DB7">
        <w:tc>
          <w:tcPr>
            <w:tcW w:w="1204" w:type="dxa"/>
            <w:tcBorders>
              <w:bottom w:val="single" w:sz="12" w:space="0" w:color="auto"/>
            </w:tcBorders>
            <w:shd w:val="clear" w:color="auto" w:fill="auto"/>
            <w:noWrap/>
          </w:tcPr>
          <w:p w:rsidR="00E24DB7" w:rsidRPr="002C5876" w:rsidRDefault="00E24DB7" w:rsidP="00E24DB7">
            <w:pPr>
              <w:suppressAutoHyphens w:val="0"/>
              <w:spacing w:before="40" w:after="40" w:line="220" w:lineRule="exact"/>
              <w:rPr>
                <w:sz w:val="18"/>
                <w:szCs w:val="18"/>
              </w:rPr>
            </w:pPr>
            <w:r w:rsidRPr="002C5876">
              <w:rPr>
                <w:sz w:val="18"/>
                <w:szCs w:val="18"/>
              </w:rPr>
              <w:t>589</w:t>
            </w: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0,0</w:t>
            </w:r>
          </w:p>
        </w:tc>
        <w:tc>
          <w:tcPr>
            <w:tcW w:w="1204"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4"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r>
    </w:tbl>
    <w:p w:rsidR="00E24DB7" w:rsidRPr="002C5876" w:rsidRDefault="00E24DB7" w:rsidP="00E24DB7"/>
    <w:p w:rsidR="00E24DB7" w:rsidRPr="002C5876" w:rsidRDefault="00E24DB7" w:rsidP="00E24DB7">
      <w:pPr>
        <w:pStyle w:val="H23G"/>
        <w:ind w:left="0" w:firstLine="0"/>
        <w:rPr>
          <w:vertAlign w:val="subscript"/>
        </w:rPr>
      </w:pPr>
      <w:r w:rsidRPr="002C5876">
        <w:br w:type="page"/>
      </w:r>
      <w:r w:rsidRPr="002C5876">
        <w:rPr>
          <w:b w:val="0"/>
        </w:rPr>
        <w:lastRenderedPageBreak/>
        <w:t>Tableau A1/8</w:t>
      </w:r>
      <w:r w:rsidRPr="002C5876">
        <w:t xml:space="preserve"> </w:t>
      </w:r>
      <w:r w:rsidRPr="002C5876">
        <w:br/>
        <w:t>Cycle WLTC, véhicules de la classe 3a, phase Medium</w:t>
      </w:r>
      <w:r w:rsidRPr="002C5876">
        <w:rPr>
          <w:vertAlign w:val="subscript"/>
        </w:rPr>
        <w:t>3a</w:t>
      </w:r>
    </w:p>
    <w:tbl>
      <w:tblPr>
        <w:tblW w:w="9637" w:type="dxa"/>
        <w:tblLayout w:type="fixed"/>
        <w:tblCellMar>
          <w:left w:w="0" w:type="dxa"/>
          <w:right w:w="0" w:type="dxa"/>
        </w:tblCellMar>
        <w:tblLook w:val="04A0" w:firstRow="1" w:lastRow="0" w:firstColumn="1" w:lastColumn="0" w:noHBand="0" w:noVBand="1"/>
      </w:tblPr>
      <w:tblGrid>
        <w:gridCol w:w="1204"/>
        <w:gridCol w:w="1205"/>
        <w:gridCol w:w="1204"/>
        <w:gridCol w:w="1205"/>
        <w:gridCol w:w="1205"/>
        <w:gridCol w:w="1204"/>
        <w:gridCol w:w="1205"/>
        <w:gridCol w:w="1205"/>
      </w:tblGrid>
      <w:tr w:rsidR="00E24DB7" w:rsidRPr="002C5876" w:rsidTr="00E24DB7">
        <w:trPr>
          <w:tblHeader/>
        </w:trPr>
        <w:tc>
          <w:tcPr>
            <w:tcW w:w="1204"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rPr>
                <w:i/>
                <w:sz w:val="16"/>
              </w:rPr>
            </w:pPr>
            <w:r w:rsidRPr="002C5876">
              <w:rPr>
                <w:i/>
                <w:sz w:val="16"/>
              </w:rPr>
              <w:t>Temps en s</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Vitesse en km/h</w:t>
            </w:r>
          </w:p>
        </w:tc>
        <w:tc>
          <w:tcPr>
            <w:tcW w:w="1204"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Temps en s</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Vitesse en km/h</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Temps en s</w:t>
            </w:r>
          </w:p>
        </w:tc>
        <w:tc>
          <w:tcPr>
            <w:tcW w:w="1204"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Vitesse en km/h</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Temps en s</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Vitesse en km/h</w:t>
            </w:r>
          </w:p>
        </w:tc>
      </w:tr>
      <w:tr w:rsidR="00E24DB7" w:rsidRPr="002C5876" w:rsidTr="00E24DB7">
        <w:tc>
          <w:tcPr>
            <w:tcW w:w="1204" w:type="dxa"/>
            <w:tcBorders>
              <w:top w:val="single" w:sz="12" w:space="0" w:color="auto"/>
            </w:tcBorders>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590</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tcBorders>
              <w:top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637</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53,0</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684</w:t>
            </w:r>
          </w:p>
        </w:tc>
        <w:tc>
          <w:tcPr>
            <w:tcW w:w="1204" w:type="dxa"/>
            <w:tcBorders>
              <w:top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18,9</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731</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41,9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591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638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53,0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685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18,9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732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42,0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592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639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52,9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686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21,3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733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42,2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593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640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52,7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687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23,9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734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42,4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594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641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52,6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688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25,9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735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42,7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595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642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53,1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689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28,4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736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43,1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596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643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54,3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690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30,3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737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43,7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597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644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55,2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691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30,9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738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44,0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598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645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55,5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692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31,1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739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44,1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599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646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55,9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693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31,8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740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45,3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600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647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56,3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694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32,7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741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46,4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601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648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56,7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695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33,2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742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47,2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602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649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56,9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696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32,4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743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47,3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603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650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56,8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697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28,3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744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47,4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604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651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56,0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698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25,8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745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47,4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605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13,5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652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54,2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699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23,1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746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47,5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606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18,1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653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52,1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21,8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747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47,9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607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22,3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654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50,1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701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21,2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748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48,6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608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26,0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655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47,2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702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21,0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749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49,4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609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29,3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656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43,2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703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21,0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750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49,8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610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32,8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657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39,2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704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20,9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751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49,8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611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36,0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658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36,5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705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19,9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752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49,7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612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39,2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659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34,3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706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17,9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753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49,3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613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42,5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660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31,0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707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15,1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754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48,5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614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45,7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661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26,0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708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755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47,6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615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48,2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662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20,7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709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756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46,3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616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48,4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663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15,4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710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13,2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757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43,7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617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48,2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664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13,1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711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17,1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758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39,3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618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47,8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665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712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21,1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759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34,1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619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47,0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666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713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21,8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760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29,0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620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45,9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667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14,0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714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21,2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761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23,7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621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44,9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668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19,0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715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18,5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762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18,4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622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44,4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669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23,2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716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13,9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763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14,3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623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44,3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670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28,0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717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764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624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44,5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671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32,0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718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765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625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45,1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672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34,0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719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13,0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766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16,0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626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45,7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673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36,0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720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16,3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767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20,4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627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46,0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674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38,0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721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20,5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768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24,0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628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46,0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675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40,0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722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23,9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769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29,0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629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46,0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676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40,3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723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26,0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770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32,2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630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46,1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677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40,5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724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28,0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771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36,8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631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46,7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678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39,0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725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31,5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772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39,4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632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47,7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679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35,7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726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33,4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773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43,2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633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48,9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680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31,8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727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36,0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774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45,8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634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50,3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681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27,1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728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37,8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775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49,2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635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51,6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682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22,8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729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40,2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776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51,4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636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52,6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683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21,1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730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41,6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777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54,2</w:t>
            </w:r>
          </w:p>
        </w:tc>
      </w:tr>
      <w:tr w:rsidR="00E24DB7" w:rsidRPr="002C5876" w:rsidTr="00E24DB7">
        <w:tc>
          <w:tcPr>
            <w:tcW w:w="1204" w:type="dxa"/>
            <w:shd w:val="clear" w:color="auto" w:fill="auto"/>
            <w:noWrap/>
          </w:tcPr>
          <w:p w:rsidR="00E24DB7" w:rsidRPr="002C5876" w:rsidRDefault="00E24DB7" w:rsidP="00E24DB7">
            <w:pPr>
              <w:keepNext/>
              <w:keepLines/>
              <w:suppressAutoHyphens w:val="0"/>
              <w:spacing w:before="40" w:after="40" w:line="200" w:lineRule="exact"/>
              <w:rPr>
                <w:sz w:val="18"/>
                <w:szCs w:val="18"/>
              </w:rPr>
            </w:pPr>
            <w:r w:rsidRPr="002C5876">
              <w:rPr>
                <w:sz w:val="18"/>
                <w:szCs w:val="18"/>
              </w:rPr>
              <w:t>778</w:t>
            </w:r>
          </w:p>
        </w:tc>
        <w:tc>
          <w:tcPr>
            <w:tcW w:w="1205"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56,0</w:t>
            </w:r>
          </w:p>
        </w:tc>
        <w:tc>
          <w:tcPr>
            <w:tcW w:w="1204"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827</w:t>
            </w:r>
          </w:p>
        </w:tc>
        <w:tc>
          <w:tcPr>
            <w:tcW w:w="1205"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37,1</w:t>
            </w:r>
          </w:p>
        </w:tc>
        <w:tc>
          <w:tcPr>
            <w:tcW w:w="1205"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876</w:t>
            </w:r>
          </w:p>
        </w:tc>
        <w:tc>
          <w:tcPr>
            <w:tcW w:w="1204"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75,8</w:t>
            </w:r>
          </w:p>
        </w:tc>
        <w:tc>
          <w:tcPr>
            <w:tcW w:w="1205"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925</w:t>
            </w:r>
          </w:p>
        </w:tc>
        <w:tc>
          <w:tcPr>
            <w:tcW w:w="1205"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62,3</w:t>
            </w:r>
          </w:p>
        </w:tc>
      </w:tr>
      <w:tr w:rsidR="00E24DB7" w:rsidRPr="002C5876" w:rsidTr="00E24DB7">
        <w:tc>
          <w:tcPr>
            <w:tcW w:w="1204" w:type="dxa"/>
            <w:shd w:val="clear" w:color="auto" w:fill="auto"/>
            <w:noWrap/>
          </w:tcPr>
          <w:p w:rsidR="00E24DB7" w:rsidRPr="002C5876" w:rsidRDefault="00E24DB7" w:rsidP="00E24DB7">
            <w:pPr>
              <w:keepNext/>
              <w:keepLines/>
              <w:suppressAutoHyphens w:val="0"/>
              <w:spacing w:before="40" w:after="40" w:line="200" w:lineRule="exact"/>
              <w:rPr>
                <w:sz w:val="18"/>
                <w:szCs w:val="18"/>
              </w:rPr>
            </w:pPr>
            <w:r w:rsidRPr="002C5876">
              <w:rPr>
                <w:sz w:val="18"/>
                <w:szCs w:val="18"/>
              </w:rPr>
              <w:t>779</w:t>
            </w:r>
          </w:p>
        </w:tc>
        <w:tc>
          <w:tcPr>
            <w:tcW w:w="1205"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58,3</w:t>
            </w:r>
          </w:p>
        </w:tc>
        <w:tc>
          <w:tcPr>
            <w:tcW w:w="1204"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828</w:t>
            </w:r>
          </w:p>
        </w:tc>
        <w:tc>
          <w:tcPr>
            <w:tcW w:w="1205"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38,9</w:t>
            </w:r>
          </w:p>
        </w:tc>
        <w:tc>
          <w:tcPr>
            <w:tcW w:w="1205"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877</w:t>
            </w:r>
          </w:p>
        </w:tc>
        <w:tc>
          <w:tcPr>
            <w:tcW w:w="1204"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76,6</w:t>
            </w:r>
          </w:p>
        </w:tc>
        <w:tc>
          <w:tcPr>
            <w:tcW w:w="1205"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926</w:t>
            </w:r>
          </w:p>
        </w:tc>
        <w:tc>
          <w:tcPr>
            <w:tcW w:w="1205"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62,7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780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59,8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829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41,4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878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76,5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927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62,0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lastRenderedPageBreak/>
              <w:t>781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61,7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830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879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76,2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928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61,3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782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62,7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831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880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75,8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929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60,9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783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63,3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832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881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75,4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930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60,5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784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63,6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833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882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74,8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931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60,2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785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64,0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834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883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73,9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932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59,8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786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64,7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835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884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72,7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933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59,4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787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65,2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836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885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71,3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934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58,6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788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65,3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837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886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70,4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935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789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65,3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838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887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936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790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65,4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839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888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937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791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65,7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840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889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69,0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938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792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66,0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841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53,3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890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68,0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939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793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65,6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842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891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67,3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794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63,5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843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892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66,2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795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59,7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893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64,8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796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845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894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63,6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53,9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797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846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895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62,6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53,9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798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847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896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62,1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799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848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897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61,9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41,4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849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58,7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898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61,9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801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41,3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850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60,1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899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61,8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802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851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61,1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61,5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803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852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61,7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901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60,9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950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804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853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62,3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902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59,7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951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805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854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62,9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903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952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806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855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63,3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904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953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807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856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63,4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905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954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808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857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63,5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906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955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809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858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63,9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907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41,4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956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810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859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908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41,3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957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811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860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65,0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909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958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25,1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812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861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65,6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910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959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813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39,7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862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66,6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911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960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814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863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67,4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912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961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815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864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68,2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913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962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816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865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69,1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914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51,3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963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817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21,9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866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915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964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818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867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70,8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916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965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819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71,5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917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966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820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869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72,4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918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967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821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21,4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870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73,0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919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822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871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73,7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920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969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823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872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921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970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824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873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74,9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922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59,2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971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825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874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75,3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923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60,7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972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41,3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826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875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75,6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924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61,8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973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974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975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976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lastRenderedPageBreak/>
              <w:t>977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19,3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978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16,0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979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980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981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982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983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984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985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986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987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988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989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990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991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992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993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994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995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996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997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998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999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1 000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1 001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1 002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1 003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1 004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1 005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1 006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1 007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1 008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1 009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1 010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1 011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1 012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1 013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1 014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1 015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1 016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1 017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1 018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1 019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1 020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1 021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tcBorders>
              <w:bottom w:val="single" w:sz="12" w:space="0" w:color="auto"/>
            </w:tcBorders>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1 022</w:t>
            </w: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 </w:t>
            </w: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 </w:t>
            </w: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 </w:t>
            </w:r>
          </w:p>
        </w:tc>
        <w:tc>
          <w:tcPr>
            <w:tcW w:w="1204"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 </w:t>
            </w: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 </w:t>
            </w: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 </w:t>
            </w:r>
          </w:p>
        </w:tc>
      </w:tr>
    </w:tbl>
    <w:p w:rsidR="00E24DB7" w:rsidRPr="002C5876" w:rsidRDefault="00E24DB7" w:rsidP="00E24DB7">
      <w:pPr>
        <w:pStyle w:val="H23G"/>
        <w:ind w:left="0" w:firstLine="0"/>
        <w:rPr>
          <w:vertAlign w:val="subscript"/>
        </w:rPr>
      </w:pPr>
      <w:r w:rsidRPr="002C5876">
        <w:br w:type="page"/>
      </w:r>
      <w:r w:rsidRPr="002C5876">
        <w:rPr>
          <w:b w:val="0"/>
        </w:rPr>
        <w:lastRenderedPageBreak/>
        <w:t>Tableau A1/9</w:t>
      </w:r>
      <w:r w:rsidRPr="002C5876">
        <w:br/>
        <w:t>Cycle WLTC, véhicules de la classe 3b, phase Medium</w:t>
      </w:r>
      <w:r w:rsidRPr="002C5876">
        <w:rPr>
          <w:vertAlign w:val="subscript"/>
        </w:rPr>
        <w:t>3b</w:t>
      </w:r>
    </w:p>
    <w:tbl>
      <w:tblPr>
        <w:tblW w:w="9637" w:type="dxa"/>
        <w:tblLayout w:type="fixed"/>
        <w:tblCellMar>
          <w:left w:w="0" w:type="dxa"/>
          <w:right w:w="0" w:type="dxa"/>
        </w:tblCellMar>
        <w:tblLook w:val="04A0" w:firstRow="1" w:lastRow="0" w:firstColumn="1" w:lastColumn="0" w:noHBand="0" w:noVBand="1"/>
      </w:tblPr>
      <w:tblGrid>
        <w:gridCol w:w="1204"/>
        <w:gridCol w:w="1205"/>
        <w:gridCol w:w="1204"/>
        <w:gridCol w:w="1205"/>
        <w:gridCol w:w="1205"/>
        <w:gridCol w:w="1204"/>
        <w:gridCol w:w="1205"/>
        <w:gridCol w:w="1205"/>
      </w:tblGrid>
      <w:tr w:rsidR="00E24DB7" w:rsidRPr="002C5876" w:rsidTr="00E24DB7">
        <w:trPr>
          <w:tblHeader/>
        </w:trPr>
        <w:tc>
          <w:tcPr>
            <w:tcW w:w="1204"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rPr>
                <w:i/>
                <w:sz w:val="16"/>
              </w:rPr>
            </w:pPr>
            <w:r w:rsidRPr="002C5876">
              <w:rPr>
                <w:i/>
                <w:sz w:val="16"/>
              </w:rPr>
              <w:t>Temps en s</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Vitesse en km/h</w:t>
            </w:r>
          </w:p>
        </w:tc>
        <w:tc>
          <w:tcPr>
            <w:tcW w:w="1204"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Temps en s</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Vitesse en km/h</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Temps en s</w:t>
            </w:r>
          </w:p>
        </w:tc>
        <w:tc>
          <w:tcPr>
            <w:tcW w:w="1204"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Vitesse en km/h</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Temps en s</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Vitesse en km/h</w:t>
            </w:r>
          </w:p>
        </w:tc>
      </w:tr>
      <w:tr w:rsidR="00E24DB7" w:rsidRPr="002C5876" w:rsidTr="00E24DB7">
        <w:tc>
          <w:tcPr>
            <w:tcW w:w="1204" w:type="dxa"/>
            <w:tcBorders>
              <w:top w:val="single" w:sz="12" w:space="0" w:color="auto"/>
            </w:tcBorders>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590</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tcBorders>
              <w:top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637</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53,0</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684</w:t>
            </w:r>
          </w:p>
        </w:tc>
        <w:tc>
          <w:tcPr>
            <w:tcW w:w="1204" w:type="dxa"/>
            <w:tcBorders>
              <w:top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18,9</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731</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41,9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591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638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53,0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685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18,9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732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42,0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592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639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52,9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686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21,3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733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42,2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593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640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52,7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687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23,9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734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42,4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594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641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52,6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688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25,9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735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42,7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595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642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53,1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689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28,4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736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43,1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596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643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54,3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690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30,3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737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43,7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597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644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55,2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691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30,9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738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44,0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598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645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55,5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692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31,1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739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44,1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599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646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55,9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693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31,8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740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45,3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600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647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56,3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694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32,7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741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46,4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601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648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56,7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695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33,2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742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47,2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602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649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56,9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696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32,4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743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47,3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603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650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56,8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697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28,3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744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47,4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604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651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56,0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698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25,8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745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47,4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605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14,2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652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54,2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699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23,1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746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47,5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606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19,8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653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52,1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21,8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747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47,9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607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25,5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654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50,1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701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21,2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748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48,6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608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30,5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655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47,2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702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21,0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749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49,4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609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34,8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656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43,2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703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21,0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750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49,8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610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38,8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657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39,2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704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20,9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751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49,8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611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42,9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658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36,5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705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19,9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752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49,7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612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46,4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659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34,3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706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17,9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753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49,3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613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48,3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660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31,0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707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15,1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754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48,5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614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48,7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661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26,0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708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755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47,6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615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48,5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662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20,7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709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756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46,3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616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48,4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663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15,4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710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13,2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757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43,7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617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48,2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664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13,1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711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17,1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758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39,3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618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47,8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665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712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21,1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759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34,1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619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47,0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666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713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21,8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760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29,0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620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45,9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667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14,0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714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21,2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761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23,7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621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44,9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668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19,0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715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18,5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762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18,4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622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44,4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669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23,2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716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13,9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763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14,3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623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44,3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670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28,0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717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764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624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44,5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671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32,0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718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765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625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45,1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672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34,0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719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13,0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766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16,0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626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45,7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673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36,0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720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16,0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767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19,1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627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46,0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674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38,0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721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18,5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768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22,4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628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46,0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675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40,0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722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20,6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769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25,6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629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46,0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676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40,3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723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22,5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770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30,1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630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46,1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677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40,5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724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24,0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771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35,3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631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46,7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678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39,0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725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26,6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772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39,9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632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47,7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679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35,7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726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29,9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773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44,5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633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48,9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680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31,8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727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34,8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774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47,5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634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50,3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681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27,1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728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37,8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775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50,9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635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51,6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682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22,8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729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40,2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776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54,1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636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52,6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683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21,1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730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41,6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777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56,3</w:t>
            </w:r>
          </w:p>
        </w:tc>
      </w:tr>
      <w:tr w:rsidR="00E24DB7" w:rsidRPr="002C5876" w:rsidTr="00E24DB7">
        <w:tc>
          <w:tcPr>
            <w:tcW w:w="1204" w:type="dxa"/>
            <w:shd w:val="clear" w:color="auto" w:fill="auto"/>
            <w:noWrap/>
          </w:tcPr>
          <w:p w:rsidR="00E24DB7" w:rsidRPr="002C5876" w:rsidRDefault="00E24DB7" w:rsidP="00E24DB7">
            <w:pPr>
              <w:keepNext/>
              <w:keepLines/>
              <w:suppressAutoHyphens w:val="0"/>
              <w:spacing w:before="40" w:after="40" w:line="180" w:lineRule="exact"/>
              <w:rPr>
                <w:sz w:val="18"/>
                <w:szCs w:val="18"/>
              </w:rPr>
            </w:pPr>
            <w:r w:rsidRPr="002C5876">
              <w:br w:type="page"/>
            </w:r>
            <w:r w:rsidRPr="002C5876">
              <w:br w:type="page"/>
            </w:r>
            <w:r w:rsidRPr="002C5876">
              <w:rPr>
                <w:sz w:val="18"/>
                <w:szCs w:val="18"/>
              </w:rPr>
              <w:t>778</w:t>
            </w:r>
          </w:p>
        </w:tc>
        <w:tc>
          <w:tcPr>
            <w:tcW w:w="1205" w:type="dxa"/>
            <w:shd w:val="clear" w:color="auto" w:fill="auto"/>
            <w:noWrap/>
            <w:vAlign w:val="bottom"/>
          </w:tcPr>
          <w:p w:rsidR="00E24DB7" w:rsidRPr="002C5876" w:rsidRDefault="00E24DB7" w:rsidP="00E24DB7">
            <w:pPr>
              <w:keepNext/>
              <w:keepLines/>
              <w:suppressAutoHyphens w:val="0"/>
              <w:spacing w:before="40" w:after="40" w:line="180" w:lineRule="exact"/>
              <w:jc w:val="right"/>
              <w:rPr>
                <w:sz w:val="18"/>
                <w:szCs w:val="18"/>
              </w:rPr>
            </w:pPr>
            <w:r w:rsidRPr="002C5876">
              <w:rPr>
                <w:sz w:val="18"/>
                <w:szCs w:val="18"/>
              </w:rPr>
              <w:t>58,1</w:t>
            </w:r>
          </w:p>
        </w:tc>
        <w:tc>
          <w:tcPr>
            <w:tcW w:w="1204" w:type="dxa"/>
            <w:shd w:val="clear" w:color="auto" w:fill="auto"/>
            <w:noWrap/>
            <w:vAlign w:val="bottom"/>
          </w:tcPr>
          <w:p w:rsidR="00E24DB7" w:rsidRPr="002C5876" w:rsidRDefault="00E24DB7" w:rsidP="00E24DB7">
            <w:pPr>
              <w:keepNext/>
              <w:keepLines/>
              <w:suppressAutoHyphens w:val="0"/>
              <w:spacing w:before="40" w:after="40" w:line="180" w:lineRule="exact"/>
              <w:jc w:val="right"/>
              <w:rPr>
                <w:sz w:val="18"/>
                <w:szCs w:val="18"/>
              </w:rPr>
            </w:pPr>
            <w:r w:rsidRPr="002C5876">
              <w:rPr>
                <w:sz w:val="18"/>
                <w:szCs w:val="18"/>
              </w:rPr>
              <w:t>827</w:t>
            </w:r>
          </w:p>
        </w:tc>
        <w:tc>
          <w:tcPr>
            <w:tcW w:w="1205" w:type="dxa"/>
            <w:shd w:val="clear" w:color="auto" w:fill="auto"/>
            <w:noWrap/>
            <w:vAlign w:val="bottom"/>
          </w:tcPr>
          <w:p w:rsidR="00E24DB7" w:rsidRPr="002C5876" w:rsidRDefault="00E24DB7" w:rsidP="00E24DB7">
            <w:pPr>
              <w:keepNext/>
              <w:keepLines/>
              <w:suppressAutoHyphens w:val="0"/>
              <w:spacing w:before="40" w:after="40" w:line="180" w:lineRule="exact"/>
              <w:jc w:val="right"/>
              <w:rPr>
                <w:sz w:val="18"/>
                <w:szCs w:val="18"/>
              </w:rPr>
            </w:pPr>
            <w:r w:rsidRPr="002C5876">
              <w:rPr>
                <w:sz w:val="18"/>
                <w:szCs w:val="18"/>
              </w:rPr>
              <w:t>37,1</w:t>
            </w:r>
          </w:p>
        </w:tc>
        <w:tc>
          <w:tcPr>
            <w:tcW w:w="1205" w:type="dxa"/>
            <w:shd w:val="clear" w:color="auto" w:fill="auto"/>
            <w:noWrap/>
            <w:vAlign w:val="bottom"/>
          </w:tcPr>
          <w:p w:rsidR="00E24DB7" w:rsidRPr="002C5876" w:rsidRDefault="00E24DB7" w:rsidP="00E24DB7">
            <w:pPr>
              <w:keepNext/>
              <w:keepLines/>
              <w:suppressAutoHyphens w:val="0"/>
              <w:spacing w:before="40" w:after="40" w:line="180" w:lineRule="exact"/>
              <w:jc w:val="right"/>
              <w:rPr>
                <w:sz w:val="18"/>
                <w:szCs w:val="18"/>
              </w:rPr>
            </w:pPr>
            <w:r w:rsidRPr="002C5876">
              <w:rPr>
                <w:sz w:val="18"/>
                <w:szCs w:val="18"/>
              </w:rPr>
              <w:t>876</w:t>
            </w:r>
          </w:p>
        </w:tc>
        <w:tc>
          <w:tcPr>
            <w:tcW w:w="1204" w:type="dxa"/>
            <w:shd w:val="clear" w:color="auto" w:fill="auto"/>
            <w:noWrap/>
            <w:vAlign w:val="bottom"/>
          </w:tcPr>
          <w:p w:rsidR="00E24DB7" w:rsidRPr="002C5876" w:rsidRDefault="00E24DB7" w:rsidP="00E24DB7">
            <w:pPr>
              <w:keepNext/>
              <w:keepLines/>
              <w:suppressAutoHyphens w:val="0"/>
              <w:spacing w:before="40" w:after="40" w:line="180" w:lineRule="exact"/>
              <w:jc w:val="right"/>
              <w:rPr>
                <w:sz w:val="18"/>
                <w:szCs w:val="18"/>
              </w:rPr>
            </w:pPr>
            <w:r w:rsidRPr="002C5876">
              <w:rPr>
                <w:sz w:val="18"/>
                <w:szCs w:val="18"/>
              </w:rPr>
              <w:t>72,7</w:t>
            </w:r>
          </w:p>
        </w:tc>
        <w:tc>
          <w:tcPr>
            <w:tcW w:w="1205" w:type="dxa"/>
            <w:shd w:val="clear" w:color="auto" w:fill="auto"/>
            <w:noWrap/>
            <w:vAlign w:val="bottom"/>
          </w:tcPr>
          <w:p w:rsidR="00E24DB7" w:rsidRPr="002C5876" w:rsidRDefault="00E24DB7" w:rsidP="00E24DB7">
            <w:pPr>
              <w:keepNext/>
              <w:keepLines/>
              <w:suppressAutoHyphens w:val="0"/>
              <w:spacing w:before="40" w:after="40" w:line="180" w:lineRule="exact"/>
              <w:jc w:val="right"/>
              <w:rPr>
                <w:sz w:val="18"/>
                <w:szCs w:val="18"/>
              </w:rPr>
            </w:pPr>
            <w:r w:rsidRPr="002C5876">
              <w:rPr>
                <w:sz w:val="18"/>
                <w:szCs w:val="18"/>
              </w:rPr>
              <w:t>925</w:t>
            </w:r>
          </w:p>
        </w:tc>
        <w:tc>
          <w:tcPr>
            <w:tcW w:w="1205" w:type="dxa"/>
            <w:shd w:val="clear" w:color="auto" w:fill="auto"/>
            <w:noWrap/>
            <w:vAlign w:val="bottom"/>
          </w:tcPr>
          <w:p w:rsidR="00E24DB7" w:rsidRPr="002C5876" w:rsidRDefault="00E24DB7" w:rsidP="00E24DB7">
            <w:pPr>
              <w:keepNext/>
              <w:keepLines/>
              <w:suppressAutoHyphens w:val="0"/>
              <w:spacing w:before="40" w:after="40" w:line="180" w:lineRule="exact"/>
              <w:jc w:val="right"/>
              <w:rPr>
                <w:sz w:val="18"/>
                <w:szCs w:val="18"/>
              </w:rPr>
            </w:pPr>
            <w:r w:rsidRPr="002C5876">
              <w:rPr>
                <w:sz w:val="18"/>
                <w:szCs w:val="18"/>
              </w:rPr>
              <w:t>64,1</w:t>
            </w:r>
          </w:p>
        </w:tc>
      </w:tr>
      <w:tr w:rsidR="00E24DB7" w:rsidRPr="002C5876" w:rsidTr="00E24DB7">
        <w:tc>
          <w:tcPr>
            <w:tcW w:w="1204" w:type="dxa"/>
            <w:shd w:val="clear" w:color="auto" w:fill="auto"/>
            <w:noWrap/>
          </w:tcPr>
          <w:p w:rsidR="00E24DB7" w:rsidRPr="002C5876" w:rsidRDefault="00E24DB7" w:rsidP="00E24DB7">
            <w:pPr>
              <w:keepNext/>
              <w:keepLines/>
              <w:suppressAutoHyphens w:val="0"/>
              <w:spacing w:before="40" w:after="40" w:line="180" w:lineRule="exact"/>
              <w:rPr>
                <w:sz w:val="18"/>
                <w:szCs w:val="18"/>
              </w:rPr>
            </w:pPr>
            <w:r w:rsidRPr="002C5876">
              <w:rPr>
                <w:sz w:val="18"/>
                <w:szCs w:val="18"/>
              </w:rPr>
              <w:t>779</w:t>
            </w:r>
          </w:p>
        </w:tc>
        <w:tc>
          <w:tcPr>
            <w:tcW w:w="1205" w:type="dxa"/>
            <w:shd w:val="clear" w:color="auto" w:fill="auto"/>
            <w:noWrap/>
            <w:vAlign w:val="bottom"/>
          </w:tcPr>
          <w:p w:rsidR="00E24DB7" w:rsidRPr="002C5876" w:rsidRDefault="00E24DB7" w:rsidP="00E24DB7">
            <w:pPr>
              <w:keepNext/>
              <w:keepLines/>
              <w:suppressAutoHyphens w:val="0"/>
              <w:spacing w:before="40" w:after="40" w:line="180" w:lineRule="exact"/>
              <w:jc w:val="right"/>
              <w:rPr>
                <w:sz w:val="18"/>
                <w:szCs w:val="18"/>
              </w:rPr>
            </w:pPr>
            <w:r w:rsidRPr="002C5876">
              <w:rPr>
                <w:sz w:val="18"/>
                <w:szCs w:val="18"/>
              </w:rPr>
              <w:t>59,8</w:t>
            </w:r>
          </w:p>
        </w:tc>
        <w:tc>
          <w:tcPr>
            <w:tcW w:w="1204" w:type="dxa"/>
            <w:shd w:val="clear" w:color="auto" w:fill="auto"/>
            <w:noWrap/>
            <w:vAlign w:val="bottom"/>
          </w:tcPr>
          <w:p w:rsidR="00E24DB7" w:rsidRPr="002C5876" w:rsidRDefault="00E24DB7" w:rsidP="00E24DB7">
            <w:pPr>
              <w:keepNext/>
              <w:keepLines/>
              <w:suppressAutoHyphens w:val="0"/>
              <w:spacing w:before="40" w:after="40" w:line="180" w:lineRule="exact"/>
              <w:jc w:val="right"/>
              <w:rPr>
                <w:sz w:val="18"/>
                <w:szCs w:val="18"/>
              </w:rPr>
            </w:pPr>
            <w:r w:rsidRPr="002C5876">
              <w:rPr>
                <w:sz w:val="18"/>
                <w:szCs w:val="18"/>
              </w:rPr>
              <w:t>828</w:t>
            </w:r>
          </w:p>
        </w:tc>
        <w:tc>
          <w:tcPr>
            <w:tcW w:w="1205" w:type="dxa"/>
            <w:shd w:val="clear" w:color="auto" w:fill="auto"/>
            <w:noWrap/>
            <w:vAlign w:val="bottom"/>
          </w:tcPr>
          <w:p w:rsidR="00E24DB7" w:rsidRPr="002C5876" w:rsidRDefault="00E24DB7" w:rsidP="00E24DB7">
            <w:pPr>
              <w:keepNext/>
              <w:keepLines/>
              <w:suppressAutoHyphens w:val="0"/>
              <w:spacing w:before="40" w:after="40" w:line="180" w:lineRule="exact"/>
              <w:jc w:val="right"/>
              <w:rPr>
                <w:sz w:val="18"/>
                <w:szCs w:val="18"/>
              </w:rPr>
            </w:pPr>
            <w:r w:rsidRPr="002C5876">
              <w:rPr>
                <w:sz w:val="18"/>
                <w:szCs w:val="18"/>
              </w:rPr>
              <w:t>38,9</w:t>
            </w:r>
          </w:p>
        </w:tc>
        <w:tc>
          <w:tcPr>
            <w:tcW w:w="1205" w:type="dxa"/>
            <w:shd w:val="clear" w:color="auto" w:fill="auto"/>
            <w:noWrap/>
            <w:vAlign w:val="bottom"/>
          </w:tcPr>
          <w:p w:rsidR="00E24DB7" w:rsidRPr="002C5876" w:rsidRDefault="00E24DB7" w:rsidP="00E24DB7">
            <w:pPr>
              <w:keepNext/>
              <w:keepLines/>
              <w:suppressAutoHyphens w:val="0"/>
              <w:spacing w:before="40" w:after="40" w:line="180" w:lineRule="exact"/>
              <w:jc w:val="right"/>
              <w:rPr>
                <w:sz w:val="18"/>
                <w:szCs w:val="18"/>
              </w:rPr>
            </w:pPr>
            <w:r w:rsidRPr="002C5876">
              <w:rPr>
                <w:sz w:val="18"/>
                <w:szCs w:val="18"/>
              </w:rPr>
              <w:t>877</w:t>
            </w:r>
          </w:p>
        </w:tc>
        <w:tc>
          <w:tcPr>
            <w:tcW w:w="1204" w:type="dxa"/>
            <w:shd w:val="clear" w:color="auto" w:fill="auto"/>
            <w:noWrap/>
            <w:vAlign w:val="bottom"/>
          </w:tcPr>
          <w:p w:rsidR="00E24DB7" w:rsidRPr="002C5876" w:rsidRDefault="00E24DB7" w:rsidP="00E24DB7">
            <w:pPr>
              <w:keepNext/>
              <w:keepLines/>
              <w:suppressAutoHyphens w:val="0"/>
              <w:spacing w:before="40" w:after="40" w:line="180" w:lineRule="exact"/>
              <w:jc w:val="right"/>
              <w:rPr>
                <w:sz w:val="18"/>
                <w:szCs w:val="18"/>
              </w:rPr>
            </w:pPr>
            <w:r w:rsidRPr="002C5876">
              <w:rPr>
                <w:sz w:val="18"/>
                <w:szCs w:val="18"/>
              </w:rPr>
              <w:t>71,3</w:t>
            </w:r>
          </w:p>
        </w:tc>
        <w:tc>
          <w:tcPr>
            <w:tcW w:w="1205" w:type="dxa"/>
            <w:shd w:val="clear" w:color="auto" w:fill="auto"/>
            <w:noWrap/>
            <w:vAlign w:val="bottom"/>
          </w:tcPr>
          <w:p w:rsidR="00E24DB7" w:rsidRPr="002C5876" w:rsidRDefault="00E24DB7" w:rsidP="00E24DB7">
            <w:pPr>
              <w:keepNext/>
              <w:keepLines/>
              <w:suppressAutoHyphens w:val="0"/>
              <w:spacing w:before="40" w:after="40" w:line="180" w:lineRule="exact"/>
              <w:jc w:val="right"/>
              <w:rPr>
                <w:sz w:val="18"/>
                <w:szCs w:val="18"/>
              </w:rPr>
            </w:pPr>
            <w:r w:rsidRPr="002C5876">
              <w:rPr>
                <w:sz w:val="18"/>
                <w:szCs w:val="18"/>
              </w:rPr>
              <w:t>926</w:t>
            </w:r>
          </w:p>
        </w:tc>
        <w:tc>
          <w:tcPr>
            <w:tcW w:w="1205" w:type="dxa"/>
            <w:shd w:val="clear" w:color="auto" w:fill="auto"/>
            <w:noWrap/>
            <w:vAlign w:val="bottom"/>
          </w:tcPr>
          <w:p w:rsidR="00E24DB7" w:rsidRPr="002C5876" w:rsidRDefault="00E24DB7" w:rsidP="00E24DB7">
            <w:pPr>
              <w:keepNext/>
              <w:keepLines/>
              <w:suppressAutoHyphens w:val="0"/>
              <w:spacing w:before="40" w:after="40" w:line="180" w:lineRule="exact"/>
              <w:jc w:val="right"/>
              <w:rPr>
                <w:sz w:val="18"/>
                <w:szCs w:val="18"/>
              </w:rPr>
            </w:pPr>
            <w:r w:rsidRPr="002C5876">
              <w:rPr>
                <w:sz w:val="18"/>
                <w:szCs w:val="18"/>
              </w:rPr>
              <w:t>62,7</w:t>
            </w:r>
          </w:p>
        </w:tc>
      </w:tr>
      <w:tr w:rsidR="00E24DB7" w:rsidRPr="002C5876" w:rsidTr="00E24DB7">
        <w:tc>
          <w:tcPr>
            <w:tcW w:w="1204" w:type="dxa"/>
            <w:shd w:val="clear" w:color="auto" w:fill="auto"/>
            <w:noWrap/>
          </w:tcPr>
          <w:p w:rsidR="00E24DB7" w:rsidRPr="002C5876" w:rsidRDefault="00E24DB7" w:rsidP="00E24DB7">
            <w:pPr>
              <w:keepNext/>
              <w:keepLines/>
              <w:suppressAutoHyphens w:val="0"/>
              <w:spacing w:before="40" w:after="40" w:line="180" w:lineRule="exact"/>
              <w:rPr>
                <w:sz w:val="18"/>
                <w:szCs w:val="18"/>
              </w:rPr>
            </w:pPr>
            <w:r w:rsidRPr="002C5876">
              <w:rPr>
                <w:sz w:val="18"/>
                <w:szCs w:val="18"/>
              </w:rPr>
              <w:t>780</w:t>
            </w:r>
          </w:p>
        </w:tc>
        <w:tc>
          <w:tcPr>
            <w:tcW w:w="1205" w:type="dxa"/>
            <w:shd w:val="clear" w:color="auto" w:fill="auto"/>
            <w:noWrap/>
            <w:vAlign w:val="bottom"/>
          </w:tcPr>
          <w:p w:rsidR="00E24DB7" w:rsidRPr="002C5876" w:rsidRDefault="00E24DB7" w:rsidP="00E24DB7">
            <w:pPr>
              <w:keepNext/>
              <w:keepLines/>
              <w:suppressAutoHyphens w:val="0"/>
              <w:spacing w:before="40" w:after="40" w:line="180" w:lineRule="exact"/>
              <w:jc w:val="right"/>
              <w:rPr>
                <w:sz w:val="18"/>
                <w:szCs w:val="18"/>
              </w:rPr>
            </w:pPr>
            <w:r w:rsidRPr="002C5876">
              <w:rPr>
                <w:sz w:val="18"/>
                <w:szCs w:val="18"/>
              </w:rPr>
              <w:t>61,1</w:t>
            </w:r>
          </w:p>
        </w:tc>
        <w:tc>
          <w:tcPr>
            <w:tcW w:w="1204" w:type="dxa"/>
            <w:shd w:val="clear" w:color="auto" w:fill="auto"/>
            <w:noWrap/>
            <w:vAlign w:val="bottom"/>
          </w:tcPr>
          <w:p w:rsidR="00E24DB7" w:rsidRPr="002C5876" w:rsidRDefault="00E24DB7" w:rsidP="00E24DB7">
            <w:pPr>
              <w:keepNext/>
              <w:keepLines/>
              <w:suppressAutoHyphens w:val="0"/>
              <w:spacing w:before="40" w:after="40" w:line="180" w:lineRule="exact"/>
              <w:jc w:val="right"/>
              <w:rPr>
                <w:sz w:val="18"/>
                <w:szCs w:val="18"/>
              </w:rPr>
            </w:pPr>
            <w:r w:rsidRPr="002C5876">
              <w:rPr>
                <w:sz w:val="18"/>
                <w:szCs w:val="18"/>
              </w:rPr>
              <w:t>829</w:t>
            </w:r>
          </w:p>
        </w:tc>
        <w:tc>
          <w:tcPr>
            <w:tcW w:w="1205" w:type="dxa"/>
            <w:shd w:val="clear" w:color="auto" w:fill="auto"/>
            <w:noWrap/>
            <w:vAlign w:val="bottom"/>
          </w:tcPr>
          <w:p w:rsidR="00E24DB7" w:rsidRPr="002C5876" w:rsidRDefault="00E24DB7" w:rsidP="00E24DB7">
            <w:pPr>
              <w:keepNext/>
              <w:keepLines/>
              <w:suppressAutoHyphens w:val="0"/>
              <w:spacing w:before="40" w:after="40" w:line="180" w:lineRule="exact"/>
              <w:jc w:val="right"/>
              <w:rPr>
                <w:sz w:val="18"/>
                <w:szCs w:val="18"/>
              </w:rPr>
            </w:pPr>
            <w:r w:rsidRPr="002C5876">
              <w:rPr>
                <w:sz w:val="18"/>
                <w:szCs w:val="18"/>
              </w:rPr>
              <w:t>41,4</w:t>
            </w:r>
          </w:p>
        </w:tc>
        <w:tc>
          <w:tcPr>
            <w:tcW w:w="1205" w:type="dxa"/>
            <w:shd w:val="clear" w:color="auto" w:fill="auto"/>
            <w:noWrap/>
            <w:vAlign w:val="bottom"/>
          </w:tcPr>
          <w:p w:rsidR="00E24DB7" w:rsidRPr="002C5876" w:rsidRDefault="00E24DB7" w:rsidP="00E24DB7">
            <w:pPr>
              <w:keepNext/>
              <w:keepLines/>
              <w:suppressAutoHyphens w:val="0"/>
              <w:spacing w:before="40" w:after="40" w:line="180" w:lineRule="exact"/>
              <w:jc w:val="right"/>
              <w:rPr>
                <w:sz w:val="18"/>
                <w:szCs w:val="18"/>
              </w:rPr>
            </w:pPr>
            <w:r w:rsidRPr="002C5876">
              <w:rPr>
                <w:sz w:val="18"/>
                <w:szCs w:val="18"/>
              </w:rPr>
              <w:t>878</w:t>
            </w:r>
          </w:p>
        </w:tc>
        <w:tc>
          <w:tcPr>
            <w:tcW w:w="1204" w:type="dxa"/>
            <w:shd w:val="clear" w:color="auto" w:fill="auto"/>
            <w:noWrap/>
            <w:vAlign w:val="bottom"/>
          </w:tcPr>
          <w:p w:rsidR="00E24DB7" w:rsidRPr="002C5876" w:rsidRDefault="00E24DB7" w:rsidP="00E24DB7">
            <w:pPr>
              <w:keepNext/>
              <w:keepLines/>
              <w:suppressAutoHyphens w:val="0"/>
              <w:spacing w:before="40" w:after="40" w:line="180" w:lineRule="exact"/>
              <w:jc w:val="right"/>
              <w:rPr>
                <w:sz w:val="18"/>
                <w:szCs w:val="18"/>
              </w:rPr>
            </w:pPr>
            <w:r w:rsidRPr="002C5876">
              <w:rPr>
                <w:sz w:val="18"/>
                <w:szCs w:val="18"/>
              </w:rPr>
              <w:t>70,4</w:t>
            </w:r>
          </w:p>
        </w:tc>
        <w:tc>
          <w:tcPr>
            <w:tcW w:w="1205" w:type="dxa"/>
            <w:shd w:val="clear" w:color="auto" w:fill="auto"/>
            <w:noWrap/>
            <w:vAlign w:val="bottom"/>
          </w:tcPr>
          <w:p w:rsidR="00E24DB7" w:rsidRPr="002C5876" w:rsidRDefault="00E24DB7" w:rsidP="00E24DB7">
            <w:pPr>
              <w:keepNext/>
              <w:keepLines/>
              <w:suppressAutoHyphens w:val="0"/>
              <w:spacing w:before="40" w:after="40" w:line="180" w:lineRule="exact"/>
              <w:jc w:val="right"/>
              <w:rPr>
                <w:sz w:val="18"/>
                <w:szCs w:val="18"/>
              </w:rPr>
            </w:pPr>
            <w:r w:rsidRPr="002C5876">
              <w:rPr>
                <w:sz w:val="18"/>
                <w:szCs w:val="18"/>
              </w:rPr>
              <w:t>927</w:t>
            </w:r>
          </w:p>
        </w:tc>
        <w:tc>
          <w:tcPr>
            <w:tcW w:w="1205" w:type="dxa"/>
            <w:shd w:val="clear" w:color="auto" w:fill="auto"/>
            <w:noWrap/>
            <w:vAlign w:val="bottom"/>
          </w:tcPr>
          <w:p w:rsidR="00E24DB7" w:rsidRPr="002C5876" w:rsidRDefault="00E24DB7" w:rsidP="00E24DB7">
            <w:pPr>
              <w:keepNext/>
              <w:keepLines/>
              <w:suppressAutoHyphens w:val="0"/>
              <w:spacing w:before="40" w:after="40" w:line="180" w:lineRule="exact"/>
              <w:jc w:val="right"/>
              <w:rPr>
                <w:sz w:val="18"/>
                <w:szCs w:val="18"/>
              </w:rPr>
            </w:pPr>
            <w:r w:rsidRPr="002C5876">
              <w:rPr>
                <w:sz w:val="18"/>
                <w:szCs w:val="18"/>
              </w:rPr>
              <w:t>62,0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781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62,1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830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44,0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879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70,0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928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61,3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lastRenderedPageBreak/>
              <w:t>782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62,8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831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46,3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880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70,0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929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60,9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783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63,3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832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47,7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881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69,0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930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60,5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784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63,6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833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48,2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882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68,0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931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60,2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785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64,0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834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48,7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883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68,0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932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59,8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786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64,7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835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49,3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884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68,0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933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59,4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787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65,2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836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49,8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885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68,1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934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58,6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788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65,3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837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50,2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886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68,4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935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57,5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789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65,3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838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50,9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887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68,6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936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56,6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790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65,4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839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51,8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888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68,7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937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56,0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791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65,7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840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52,5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889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68,5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938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55,5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792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66,0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841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53,3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890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68,1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939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55,0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793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65,6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842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54,5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891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67,3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940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54,4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794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63,5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843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55,7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892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66,2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941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54,1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795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59,7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844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56,5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893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64,8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942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54,0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796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54,6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845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56,8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894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63,6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943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53,9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797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49,3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846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57,0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895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62,6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944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53,9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798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44,9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847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57,2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896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62,1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945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54,0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799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42,3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848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57,7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897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61,9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946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54,2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800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41,4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849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58,7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898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61,9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947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55,0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801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41,3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850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60,1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899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61,8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948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55,8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802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42,1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851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61,1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61,5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949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56,2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803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44,7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852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61,7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901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60,9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950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56,1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804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48,4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853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62,3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902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59,7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951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55,1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805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51,4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854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62,9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903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54,6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952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52,7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806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52,7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855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63,3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904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49,3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953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48,4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807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53,0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856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63,4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905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44,9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954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43,1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808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52,5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857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63,5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906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42,3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955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37,8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809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51,3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858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64,5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907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41,4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956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32,5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810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49,7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859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65,8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908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41,3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957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27,2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811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47,4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860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66,8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909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42,1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958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25,1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812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43,7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861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67,4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910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44,7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959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26,0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813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39,7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862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68,8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911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48,4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960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29,3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814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35,5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863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71,1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912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51,4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961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34,6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815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31,1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864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72,3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913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52,7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962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40,4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816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26,3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865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72,8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914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54,0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963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45,3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817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21,9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866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73,4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915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57,0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964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49,0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818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18,0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867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74,6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916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58,1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965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51,1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819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17,0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868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76,0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917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59,2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966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52,1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820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18,0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869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76,6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918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59,0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967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52,2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821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21,4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870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76,5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919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59,1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968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52,1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822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24,8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871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76,2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920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59,5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969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51,7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823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27,9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872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75,8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921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60,5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970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50,9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824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30,8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873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75,4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922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62,3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971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49,2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825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33,0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874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74,8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923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63,9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972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45,9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826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35,1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875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73,9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924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65,1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973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40,6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974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35,3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975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976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24,7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977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19,3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978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16,0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979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13,2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980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981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lastRenderedPageBreak/>
              <w:t>982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983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984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985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986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987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988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989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990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991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992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993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994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995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996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997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998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999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1 000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1 001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1 002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1 003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1 004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1 005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1 006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1 007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1 008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1 009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1 010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1 011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1 012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1 013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1 014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1 015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1 016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1 017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1 018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1 019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1 020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1 021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p>
        </w:tc>
      </w:tr>
      <w:tr w:rsidR="00E24DB7" w:rsidRPr="002C5876" w:rsidTr="00E24DB7">
        <w:tc>
          <w:tcPr>
            <w:tcW w:w="1204" w:type="dxa"/>
            <w:tcBorders>
              <w:bottom w:val="single" w:sz="12" w:space="0" w:color="auto"/>
            </w:tcBorders>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1 022</w:t>
            </w: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 </w:t>
            </w: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 </w:t>
            </w: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 </w:t>
            </w:r>
          </w:p>
        </w:tc>
        <w:tc>
          <w:tcPr>
            <w:tcW w:w="1204"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 </w:t>
            </w: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 </w:t>
            </w: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 </w:t>
            </w:r>
          </w:p>
        </w:tc>
      </w:tr>
    </w:tbl>
    <w:p w:rsidR="00E24DB7" w:rsidRPr="002C5876" w:rsidRDefault="00E24DB7" w:rsidP="00E24DB7">
      <w:pPr>
        <w:pStyle w:val="H23G"/>
        <w:ind w:left="0" w:firstLine="0"/>
        <w:rPr>
          <w:vertAlign w:val="subscript"/>
        </w:rPr>
      </w:pPr>
      <w:r w:rsidRPr="002C5876">
        <w:br w:type="page"/>
      </w:r>
      <w:r w:rsidRPr="002C5876">
        <w:rPr>
          <w:b w:val="0"/>
        </w:rPr>
        <w:lastRenderedPageBreak/>
        <w:t>Tableau A1/10</w:t>
      </w:r>
      <w:r w:rsidRPr="002C5876">
        <w:br/>
        <w:t>Cycle WLTC, véhicules de la classe 3a, phase High</w:t>
      </w:r>
      <w:r w:rsidRPr="002C5876">
        <w:rPr>
          <w:vertAlign w:val="subscript"/>
        </w:rPr>
        <w:t>3a</w:t>
      </w:r>
    </w:p>
    <w:tbl>
      <w:tblPr>
        <w:tblW w:w="9637" w:type="dxa"/>
        <w:tblLayout w:type="fixed"/>
        <w:tblCellMar>
          <w:left w:w="0" w:type="dxa"/>
          <w:right w:w="0" w:type="dxa"/>
        </w:tblCellMar>
        <w:tblLook w:val="04A0" w:firstRow="1" w:lastRow="0" w:firstColumn="1" w:lastColumn="0" w:noHBand="0" w:noVBand="1"/>
      </w:tblPr>
      <w:tblGrid>
        <w:gridCol w:w="1204"/>
        <w:gridCol w:w="1205"/>
        <w:gridCol w:w="1204"/>
        <w:gridCol w:w="1205"/>
        <w:gridCol w:w="1205"/>
        <w:gridCol w:w="1204"/>
        <w:gridCol w:w="1205"/>
        <w:gridCol w:w="1205"/>
      </w:tblGrid>
      <w:tr w:rsidR="00E24DB7" w:rsidRPr="002C5876" w:rsidTr="00E24DB7">
        <w:trPr>
          <w:tblHeader/>
        </w:trPr>
        <w:tc>
          <w:tcPr>
            <w:tcW w:w="1204"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rPr>
                <w:i/>
                <w:sz w:val="16"/>
              </w:rPr>
            </w:pPr>
            <w:r w:rsidRPr="002C5876">
              <w:rPr>
                <w:i/>
                <w:sz w:val="16"/>
              </w:rPr>
              <w:t>Temps en s</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Vitesse en km/h</w:t>
            </w:r>
          </w:p>
        </w:tc>
        <w:tc>
          <w:tcPr>
            <w:tcW w:w="1204"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Temps en s</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Vitesse en km/h</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Temps en s</w:t>
            </w:r>
          </w:p>
        </w:tc>
        <w:tc>
          <w:tcPr>
            <w:tcW w:w="1204"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Vitesse en km/h</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Temps en s</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Vitesse en km/h</w:t>
            </w:r>
          </w:p>
        </w:tc>
      </w:tr>
      <w:tr w:rsidR="00E24DB7" w:rsidRPr="002C5876" w:rsidTr="00E24DB7">
        <w:tc>
          <w:tcPr>
            <w:tcW w:w="1204" w:type="dxa"/>
            <w:tcBorders>
              <w:top w:val="single" w:sz="12" w:space="0" w:color="auto"/>
            </w:tcBorders>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1 023</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tcBorders>
              <w:top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1 070</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29,0</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1 117</w:t>
            </w:r>
          </w:p>
        </w:tc>
        <w:tc>
          <w:tcPr>
            <w:tcW w:w="1204" w:type="dxa"/>
            <w:tcBorders>
              <w:top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66,2</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1 164</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52,6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1 024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1 071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32,0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1 118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65,8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1 165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54,5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1 025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1 072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34,8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1 119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64,7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1 166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56,6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1 026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1 073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37,7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1 120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63,6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1 167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58,3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1 027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1 074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40,8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1 121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62,9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1 168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1 028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1 075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43,2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1 122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62,4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1 169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61,5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1 029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1 076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46,0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1 123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61,7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1 170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63,1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1 030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14,6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1 077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48,0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1 124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60,1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1 171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64,3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1 031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1 078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50,7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1 125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57,3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1 172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65,7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1 032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24,4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1 079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52,0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1 126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55,8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1 173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67,1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1 033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28,2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1 080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54,5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1 127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50,5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1 174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68,3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1 034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31,7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1 081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55,9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1 128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45,2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1 175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69,7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1 035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35,0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1 082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57,4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1 129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40,1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1 176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70,6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1 036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37,6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1 083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58,1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1 130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36,2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1 177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71,6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1 037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39,7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1 084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58,4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1 131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32,9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1 178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72,6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1 038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41,5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1 085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58,8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1 132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29,8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1 179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73,5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1 039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43,6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1 086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58,8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1 133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26,6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1 180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74,2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1 040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46,0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1 087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58,6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1 134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23,0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1 181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74,9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1 041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48,4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1 088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58,7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1 135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19,4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1 182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75,6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1 042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50,5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1 089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58,8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1 136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16,3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1 183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76,3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1 043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51,9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1 090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58,8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1 137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14,6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1 184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77,1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1 044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52,6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1 091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58,8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1 138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14,2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1 185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77,9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1 045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52,8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1 092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59,1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1 139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14,3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1 186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78,5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1 046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52,9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1 093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60,1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1 140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14,6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1 187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79,0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1 047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53,1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1 094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61,7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1 141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15,1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1 188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79,7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1 048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53,3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1 095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63,0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1 142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16,4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1 189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80,3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1 049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53,1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1 096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63,7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1 143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19,1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1 190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81,0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1 050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52,3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1 097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63,9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1 144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22,5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1 191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81,6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1 051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50,7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1 098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63,5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1 145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24,4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1 192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82,4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1 052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48,8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1 099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62,3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1 146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24,8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1 193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82,9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1 053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46,5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1 100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60,3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1 147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22,7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1 194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83,4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1 054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43,8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1 101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58,9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1 148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17,4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1 195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83,8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1 055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40,3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1 102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58,4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1 149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13,8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1 196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84,2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1 056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36,0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1 103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58,8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1 150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1 197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84,7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1 057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30,7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1 104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60,2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1 151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1 198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85,2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1 058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25,4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1 105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62,3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1 152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1 199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85,6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1 059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21,0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1 106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63,9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1 153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13,9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1 200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86,3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1 060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16,7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1 107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64,5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1 154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17,7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1 201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86,8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1 061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13,4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1 108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64,4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1 155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22,8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1 202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87,4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1 062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1 109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63,5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1 156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27,3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1 203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88,0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1 063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1 110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62,0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1 157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31,2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1 204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88,3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1 064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1 111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61,2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1 158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35,2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1 205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88,7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1 065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15,6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1 112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61,3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1 159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39,4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1 206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89,0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1 066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19,9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1 113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61,7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1 160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42,5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1 207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89,3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1 067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23,4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1 114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62,0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1 161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45,4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1 208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89,8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1 068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24,6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1 115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64,6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1 162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48,2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1 209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90,2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1 069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27,0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1 116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66,0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1 163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50,3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1 210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90,6</w:t>
            </w:r>
          </w:p>
        </w:tc>
      </w:tr>
      <w:tr w:rsidR="00E24DB7" w:rsidRPr="002C5876" w:rsidTr="00E24DB7">
        <w:tc>
          <w:tcPr>
            <w:tcW w:w="1204" w:type="dxa"/>
            <w:shd w:val="clear" w:color="auto" w:fill="auto"/>
            <w:noWrap/>
          </w:tcPr>
          <w:p w:rsidR="00E24DB7" w:rsidRPr="002C5876" w:rsidRDefault="00E24DB7" w:rsidP="00E24DB7">
            <w:pPr>
              <w:keepNext/>
              <w:keepLines/>
              <w:suppressAutoHyphens w:val="0"/>
              <w:spacing w:before="40" w:after="40" w:line="200" w:lineRule="exact"/>
              <w:rPr>
                <w:sz w:val="18"/>
                <w:szCs w:val="18"/>
              </w:rPr>
            </w:pPr>
            <w:r w:rsidRPr="002C5876">
              <w:rPr>
                <w:sz w:val="18"/>
                <w:szCs w:val="18"/>
              </w:rPr>
              <w:t>1 211</w:t>
            </w:r>
          </w:p>
        </w:tc>
        <w:tc>
          <w:tcPr>
            <w:tcW w:w="1205"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91,0</w:t>
            </w:r>
          </w:p>
        </w:tc>
        <w:tc>
          <w:tcPr>
            <w:tcW w:w="1204"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1 260</w:t>
            </w:r>
          </w:p>
        </w:tc>
        <w:tc>
          <w:tcPr>
            <w:tcW w:w="1205"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95,7</w:t>
            </w:r>
          </w:p>
        </w:tc>
        <w:tc>
          <w:tcPr>
            <w:tcW w:w="1205"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1 309</w:t>
            </w:r>
          </w:p>
        </w:tc>
        <w:tc>
          <w:tcPr>
            <w:tcW w:w="1204"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75,9</w:t>
            </w:r>
          </w:p>
        </w:tc>
        <w:tc>
          <w:tcPr>
            <w:tcW w:w="1205"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1 358</w:t>
            </w:r>
          </w:p>
        </w:tc>
        <w:tc>
          <w:tcPr>
            <w:tcW w:w="1205"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68,2</w:t>
            </w:r>
          </w:p>
        </w:tc>
      </w:tr>
      <w:tr w:rsidR="00E24DB7" w:rsidRPr="002C5876" w:rsidTr="00E24DB7">
        <w:tc>
          <w:tcPr>
            <w:tcW w:w="1204" w:type="dxa"/>
            <w:shd w:val="clear" w:color="auto" w:fill="auto"/>
            <w:noWrap/>
          </w:tcPr>
          <w:p w:rsidR="00E24DB7" w:rsidRPr="002C5876" w:rsidRDefault="00E24DB7" w:rsidP="00E24DB7">
            <w:pPr>
              <w:keepNext/>
              <w:keepLines/>
              <w:suppressAutoHyphens w:val="0"/>
              <w:spacing w:before="40" w:after="40" w:line="200" w:lineRule="exact"/>
              <w:rPr>
                <w:sz w:val="18"/>
                <w:szCs w:val="18"/>
              </w:rPr>
            </w:pPr>
            <w:r w:rsidRPr="002C5876">
              <w:rPr>
                <w:sz w:val="18"/>
                <w:szCs w:val="18"/>
              </w:rPr>
              <w:t>1 212</w:t>
            </w:r>
          </w:p>
        </w:tc>
        <w:tc>
          <w:tcPr>
            <w:tcW w:w="1205"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91,3</w:t>
            </w:r>
          </w:p>
        </w:tc>
        <w:tc>
          <w:tcPr>
            <w:tcW w:w="1204"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1 261</w:t>
            </w:r>
          </w:p>
        </w:tc>
        <w:tc>
          <w:tcPr>
            <w:tcW w:w="1205"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95,5</w:t>
            </w:r>
          </w:p>
        </w:tc>
        <w:tc>
          <w:tcPr>
            <w:tcW w:w="1205"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1 310</w:t>
            </w:r>
          </w:p>
        </w:tc>
        <w:tc>
          <w:tcPr>
            <w:tcW w:w="1204"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76,0</w:t>
            </w:r>
          </w:p>
        </w:tc>
        <w:tc>
          <w:tcPr>
            <w:tcW w:w="1205"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1 359</w:t>
            </w:r>
          </w:p>
        </w:tc>
        <w:tc>
          <w:tcPr>
            <w:tcW w:w="1205"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66,1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1 213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91,6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1 262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95,3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1 311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76,0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1 360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63,8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lastRenderedPageBreak/>
              <w:t>1 214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91,9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1 263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95,2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1 312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76,1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1 361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61,6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1 215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92,2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1 264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95,0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1 313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76,3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1 362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60,2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1 216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92,8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1 265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1 314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76,5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1 363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59,8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1 217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93,1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1 266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1 315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76,6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1 364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60,4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1 218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93,3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1 267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1 316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1 365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61,8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1 219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93,5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1 317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77,1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1 366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62,6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1 220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93,7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1 269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1 318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77,1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1 367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62,7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1 221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93,9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1 270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1 319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77,2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61,9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1 222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1 271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1 320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77,2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1 369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1 223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1 272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1 321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77,6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1 370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58,4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1 224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1 273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93,9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1 322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78,0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1 371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1 225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1 274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93,4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1 323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78,4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1 372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1 226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1 275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92,8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1 324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78,8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1 373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1 227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1 276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92,0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1 325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79,2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1 374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1 228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1 277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91,3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1 326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80,3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1 375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1 229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95,0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1 278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90,6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1 327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80,8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1 376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1 230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95,1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1 279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1 328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81,0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1 377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1 231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95,3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1 280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89,3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1 329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81,0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1 378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1 232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95,4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1 281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88,7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1 330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81,0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1 379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1 233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95,6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1 282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88,1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1 331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81,0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1 380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1 234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95,7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1 283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87,4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1 332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81,0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1 381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1 235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95,8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1 284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86,7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1 333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80,9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1 382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1 236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96,0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1 285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86,0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1 334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80,6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1 383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1 237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96,1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1 286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85,3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1 335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80,3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1 384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1 238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96,3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1 287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84,7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1 336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1 385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1 239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96,4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1 288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84,1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1 337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79,9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1 386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1 240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96,6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1 289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83,5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1 338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79,8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1 387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1 241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96,8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1 290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82,9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1 339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79,8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1 388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38,0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1 242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97,0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1 291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82,3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1 340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79,8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1 389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1 243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97,2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1 292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81,7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1 341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79,9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1 390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97,3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1 293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81,1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1 342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1 391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1 245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97,4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1 294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80,5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1 343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80,4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1 392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1 246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97,4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1 295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79,9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1 344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80,8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1 393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1 247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97,4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1 296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79,4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1 345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81,2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1 394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1 248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97,4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1 297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79,1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1 346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81,5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1 395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1 249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97,3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1 298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78,8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1 347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81,6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1 396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1 250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97,3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1 299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78,5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1 348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81,6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1 397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48,7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1 251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97,3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78,2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1 349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81,4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1 398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1 252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97,3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1 301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77,9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1 350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80,7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1 399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1 253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97,2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1 302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77,6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1 351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79,6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1 254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97,1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1 303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77,3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1 352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78,2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1 401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44,2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1 255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97,0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1 304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77,0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1 353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1 402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1 256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96,9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1 305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76,7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1 354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75,3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1 403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1 257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96,7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1 306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76,0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1 355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73,8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1 404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1 258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96,4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1 307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76,0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1 356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72,1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1 405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1 259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96,1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1 308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76,0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1 357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70,2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1 406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1 407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1 456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1 408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1 457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1 409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1 458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lastRenderedPageBreak/>
              <w:t>1 410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1 459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1 411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1 460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1 412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1 461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1 413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1 462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1 414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1 463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1 415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1 464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1 416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1 465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1 417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1 466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1 418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38,4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1 467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1 419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1 420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41,7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1 469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1 421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1 470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1 422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38,3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1 471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1 423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1 472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1 424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1 473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1 425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1 474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1 426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1 475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1 427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39,5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1 476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1 428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41,8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1 477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1 429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1 430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41,9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1 431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1 432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1 433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1 434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1 435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20,6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1 436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19,1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1 437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19,7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1 438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21,1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1 439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22,0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1 440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22,1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1 441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21,4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1 442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19,6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1 443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1 445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1 446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1 447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1 448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1 449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1 450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1 451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1 452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1 453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1 454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tcBorders>
              <w:bottom w:val="single" w:sz="12" w:space="0" w:color="auto"/>
            </w:tcBorders>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1 455</w:t>
            </w: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 </w:t>
            </w: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 </w:t>
            </w: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 </w:t>
            </w:r>
          </w:p>
        </w:tc>
        <w:tc>
          <w:tcPr>
            <w:tcW w:w="1204"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 </w:t>
            </w: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 </w:t>
            </w: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 </w:t>
            </w:r>
          </w:p>
        </w:tc>
      </w:tr>
    </w:tbl>
    <w:p w:rsidR="00E24DB7" w:rsidRPr="002C5876" w:rsidRDefault="00E24DB7" w:rsidP="00E24DB7">
      <w:pPr>
        <w:pStyle w:val="H23G"/>
        <w:ind w:left="0" w:firstLine="0"/>
        <w:rPr>
          <w:vertAlign w:val="subscript"/>
        </w:rPr>
      </w:pPr>
      <w:r w:rsidRPr="002C5876">
        <w:br w:type="page"/>
      </w:r>
      <w:r w:rsidRPr="002C5876">
        <w:rPr>
          <w:b w:val="0"/>
        </w:rPr>
        <w:lastRenderedPageBreak/>
        <w:t>Tableau A1/11</w:t>
      </w:r>
      <w:r w:rsidRPr="002C5876">
        <w:br/>
        <w:t>Cycle WLTC, véhicules de la classe 3b, phase High</w:t>
      </w:r>
      <w:r w:rsidRPr="002C5876">
        <w:rPr>
          <w:vertAlign w:val="subscript"/>
        </w:rPr>
        <w:t>3b</w:t>
      </w:r>
    </w:p>
    <w:tbl>
      <w:tblPr>
        <w:tblW w:w="9637" w:type="dxa"/>
        <w:tblLayout w:type="fixed"/>
        <w:tblCellMar>
          <w:left w:w="0" w:type="dxa"/>
          <w:right w:w="0" w:type="dxa"/>
        </w:tblCellMar>
        <w:tblLook w:val="04A0" w:firstRow="1" w:lastRow="0" w:firstColumn="1" w:lastColumn="0" w:noHBand="0" w:noVBand="1"/>
      </w:tblPr>
      <w:tblGrid>
        <w:gridCol w:w="1204"/>
        <w:gridCol w:w="1205"/>
        <w:gridCol w:w="1204"/>
        <w:gridCol w:w="1205"/>
        <w:gridCol w:w="1205"/>
        <w:gridCol w:w="1204"/>
        <w:gridCol w:w="1205"/>
        <w:gridCol w:w="1205"/>
      </w:tblGrid>
      <w:tr w:rsidR="00E24DB7" w:rsidRPr="002C5876" w:rsidTr="00E24DB7">
        <w:trPr>
          <w:tblHeader/>
        </w:trPr>
        <w:tc>
          <w:tcPr>
            <w:tcW w:w="1204"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rPr>
                <w:i/>
                <w:sz w:val="16"/>
              </w:rPr>
            </w:pPr>
            <w:r w:rsidRPr="002C5876">
              <w:rPr>
                <w:i/>
                <w:sz w:val="16"/>
              </w:rPr>
              <w:t>Temps en s</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Vitesse en km/h</w:t>
            </w:r>
          </w:p>
        </w:tc>
        <w:tc>
          <w:tcPr>
            <w:tcW w:w="1204"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Temps en s</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Vitesse en km/h</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Temps en s</w:t>
            </w:r>
          </w:p>
        </w:tc>
        <w:tc>
          <w:tcPr>
            <w:tcW w:w="1204"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Vitesse en km/h</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Temps en s</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Vitesse en km/h</w:t>
            </w:r>
          </w:p>
        </w:tc>
      </w:tr>
      <w:tr w:rsidR="00E24DB7" w:rsidRPr="002C5876" w:rsidTr="00E24DB7">
        <w:tc>
          <w:tcPr>
            <w:tcW w:w="1204" w:type="dxa"/>
            <w:tcBorders>
              <w:top w:val="single" w:sz="12" w:space="0" w:color="auto"/>
            </w:tcBorders>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1 023</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tcBorders>
              <w:top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1 070</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26,4</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1 117</w:t>
            </w:r>
          </w:p>
        </w:tc>
        <w:tc>
          <w:tcPr>
            <w:tcW w:w="1204" w:type="dxa"/>
            <w:tcBorders>
              <w:top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69,7</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1 164</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52,6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1 024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1 071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28,8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1 118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69,3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1 165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54,5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1 025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1 072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31,8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1 119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68,1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1 166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56,6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1 026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1 073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35,3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1 120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66,9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1 167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58,3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1 027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1 074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39,5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1 121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66,2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1 168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1 028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1 075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44,5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1 122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65,7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1 169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61,5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1 029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1 076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49,3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1 123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64,9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1 170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63,1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1 030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14,6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1 077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53,3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1 124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63,2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1 171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64,3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1 031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1 078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56,4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1 125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60,3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1 172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65,7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1 032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24,4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1 079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58,9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1 126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55,8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1 173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67,1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1 033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28,2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1 080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61,2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1 127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50,5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1 174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68,3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1 034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31,7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1 081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62,6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1 128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45,2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1 175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69,7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1 035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35,0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1 082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63,0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1 129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40,1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1 176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70,6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1 036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37,6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1 083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62,5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1 130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36,2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1 177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71,6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1 037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39,7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1 084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60,9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1 131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32,9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1 178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72,6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1 038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41,5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1 085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59,3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1 132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29,8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1 179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73,5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1 039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43,6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1 086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58,6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1 133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26,6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1 180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74,2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1 040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46,0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1 087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58,6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1 134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23,0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1 181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74,9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1 041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48,4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1 088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58,7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1 135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19,4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1 182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75,6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1 042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50,5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1 089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58,8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1 136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16,3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1 183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76,3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1 043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51,9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1 090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58,8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1 137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14,6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1 184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77,1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1 044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52,6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1 091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58,8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1 138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14,2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1 185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77,9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1 045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52,8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1 092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59,1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1 139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14,3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1 186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78,5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1 046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52,9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1 093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60,1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1 140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14,6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1 187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79,0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1 047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53,1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1 094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61,7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1 141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15,1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1 188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79,7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1 048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53,3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1 095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63,0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1 142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16,4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1 189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80,3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1 049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53,1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1 096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63,7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1 143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19,1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1 190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81,0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1 050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52,3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1 097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63,9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1 144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22,5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1 191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81,6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1 051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50,7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1 098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63,5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1 145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24,4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1 192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82,4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1 052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48,8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1 099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62,3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1 146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24,8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1 193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82,9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1 053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46,5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1 100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60,3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1 147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22,7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1 194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83,4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1 054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43,8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1 101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58,9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1 148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17,4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1 195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83,8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1 055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40,3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1 102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58,4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1 149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13,8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1 196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84,2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1 056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36,0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1 103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58,8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1 150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1 197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84,7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1 057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30,7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1 104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60,2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1 151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1 198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85,2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1 058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25,4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1 105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62,3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1 152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1 199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85,6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1 059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21,0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1 106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63,9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1 153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13,9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1 200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86,3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1 060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16,7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1 107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64,5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1 154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17,7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1 201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86,8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1 061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13,4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1 108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64,4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1 155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22,8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1 202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87,4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1 062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1 109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63,5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1 156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27,3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1 203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88,0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1 063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1 110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62,0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1 157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31,2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1 204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88,3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1 064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1 111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61,2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1 158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35,2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1 205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88,7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1 065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15,6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1 112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61,3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1 159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39,4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1 206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89,0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1 066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19,9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1 113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62,6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1 160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42,5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1 207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89,3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1 067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23,4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1 114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65,3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1 161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45,4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1 208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89,8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1 068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24,6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1 115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68,0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1 162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48,2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1 209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90,2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1 069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25,2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1 116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69,4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1 163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50,3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1 210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90,6</w:t>
            </w:r>
          </w:p>
        </w:tc>
      </w:tr>
      <w:tr w:rsidR="00E24DB7" w:rsidRPr="002C5876" w:rsidTr="00E24DB7">
        <w:tc>
          <w:tcPr>
            <w:tcW w:w="1204" w:type="dxa"/>
            <w:shd w:val="clear" w:color="auto" w:fill="auto"/>
            <w:noWrap/>
          </w:tcPr>
          <w:p w:rsidR="00E24DB7" w:rsidRPr="002C5876" w:rsidRDefault="00E24DB7" w:rsidP="00E24DB7">
            <w:pPr>
              <w:keepNext/>
              <w:keepLines/>
              <w:suppressAutoHyphens w:val="0"/>
              <w:spacing w:before="40" w:after="40" w:line="200" w:lineRule="exact"/>
              <w:rPr>
                <w:sz w:val="18"/>
                <w:szCs w:val="18"/>
              </w:rPr>
            </w:pPr>
            <w:r w:rsidRPr="002C5876">
              <w:rPr>
                <w:sz w:val="18"/>
                <w:szCs w:val="18"/>
              </w:rPr>
              <w:t>1 211</w:t>
            </w:r>
          </w:p>
        </w:tc>
        <w:tc>
          <w:tcPr>
            <w:tcW w:w="1205"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91,0</w:t>
            </w:r>
          </w:p>
        </w:tc>
        <w:tc>
          <w:tcPr>
            <w:tcW w:w="1204"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1 260</w:t>
            </w:r>
          </w:p>
        </w:tc>
        <w:tc>
          <w:tcPr>
            <w:tcW w:w="1205"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95,7</w:t>
            </w:r>
          </w:p>
        </w:tc>
        <w:tc>
          <w:tcPr>
            <w:tcW w:w="1205"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1 309</w:t>
            </w:r>
          </w:p>
        </w:tc>
        <w:tc>
          <w:tcPr>
            <w:tcW w:w="1204"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75,9</w:t>
            </w:r>
          </w:p>
        </w:tc>
        <w:tc>
          <w:tcPr>
            <w:tcW w:w="1205"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1 358</w:t>
            </w:r>
          </w:p>
        </w:tc>
        <w:tc>
          <w:tcPr>
            <w:tcW w:w="1205"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68,2</w:t>
            </w:r>
          </w:p>
        </w:tc>
      </w:tr>
      <w:tr w:rsidR="00E24DB7" w:rsidRPr="002C5876" w:rsidTr="00E24DB7">
        <w:tc>
          <w:tcPr>
            <w:tcW w:w="1204" w:type="dxa"/>
            <w:shd w:val="clear" w:color="auto" w:fill="auto"/>
            <w:noWrap/>
          </w:tcPr>
          <w:p w:rsidR="00E24DB7" w:rsidRPr="002C5876" w:rsidRDefault="00E24DB7" w:rsidP="00E24DB7">
            <w:pPr>
              <w:keepNext/>
              <w:keepLines/>
              <w:suppressAutoHyphens w:val="0"/>
              <w:spacing w:before="40" w:after="40" w:line="200" w:lineRule="exact"/>
              <w:rPr>
                <w:sz w:val="18"/>
                <w:szCs w:val="18"/>
              </w:rPr>
            </w:pPr>
            <w:r w:rsidRPr="002C5876">
              <w:rPr>
                <w:sz w:val="18"/>
                <w:szCs w:val="18"/>
              </w:rPr>
              <w:t>1 212</w:t>
            </w:r>
          </w:p>
        </w:tc>
        <w:tc>
          <w:tcPr>
            <w:tcW w:w="1205"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91,3</w:t>
            </w:r>
          </w:p>
        </w:tc>
        <w:tc>
          <w:tcPr>
            <w:tcW w:w="1204"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1 261</w:t>
            </w:r>
          </w:p>
        </w:tc>
        <w:tc>
          <w:tcPr>
            <w:tcW w:w="1205"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95,5</w:t>
            </w:r>
          </w:p>
        </w:tc>
        <w:tc>
          <w:tcPr>
            <w:tcW w:w="1205"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1 310</w:t>
            </w:r>
          </w:p>
        </w:tc>
        <w:tc>
          <w:tcPr>
            <w:tcW w:w="1204"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75,9</w:t>
            </w:r>
          </w:p>
        </w:tc>
        <w:tc>
          <w:tcPr>
            <w:tcW w:w="1205"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1 359</w:t>
            </w:r>
          </w:p>
        </w:tc>
        <w:tc>
          <w:tcPr>
            <w:tcW w:w="1205" w:type="dxa"/>
            <w:shd w:val="clear" w:color="auto" w:fill="auto"/>
            <w:noWrap/>
            <w:vAlign w:val="bottom"/>
          </w:tcPr>
          <w:p w:rsidR="00E24DB7" w:rsidRPr="002C5876" w:rsidRDefault="00E24DB7" w:rsidP="00E24DB7">
            <w:pPr>
              <w:keepNext/>
              <w:keepLines/>
              <w:suppressAutoHyphens w:val="0"/>
              <w:spacing w:before="40" w:after="40" w:line="200" w:lineRule="exact"/>
              <w:jc w:val="right"/>
              <w:rPr>
                <w:sz w:val="18"/>
                <w:szCs w:val="18"/>
              </w:rPr>
            </w:pPr>
            <w:r w:rsidRPr="002C5876">
              <w:rPr>
                <w:sz w:val="18"/>
                <w:szCs w:val="18"/>
              </w:rPr>
              <w:t>66,1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1 213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91,6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1 262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95,3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1 311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75,8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1 360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63,8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lastRenderedPageBreak/>
              <w:t>1 214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91,9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1 263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95,2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1 312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75,7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1 361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61,6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1 215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92,2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1 264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95,0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1 313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75,5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1 362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60,2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1 216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92,8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1 265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1 314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75,2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1 363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59,8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1 217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93,1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1 266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1 315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75,0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1 364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60,4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1 218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93,3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1 267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1 316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74,7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1 365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61,8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1 219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93,5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1 317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74,1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1 366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62,6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1 220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93,7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1 269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1 318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73,7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1 367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62,7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1 221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93,9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1 270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1 319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73,3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61,9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1 222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1 271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1 320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73,5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1 369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1 223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1 272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1 321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74,0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1 370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58,4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1 224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1 273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93,9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1 322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74,9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1 371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1 225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1 274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93,4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1 323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76,1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1 372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1 226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1 275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92,8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1 324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77,7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1 373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1 227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1 276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92,0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1 325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79,2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1 374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1 228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1 277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91,3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1 326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80,3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1 375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56,2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1 229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95,0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1 278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90,6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1 327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80,8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1 376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1 230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95,1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1 279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1 328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81,0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1 377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1 231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95,3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1 280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89,3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1 329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81,0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1 378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1 232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95,4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1 281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88,7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1 330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81,0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1 379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1 233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95,6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1 282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88,1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1 331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81,0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1 380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1 234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95,7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1 283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87,4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1 332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81,0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1 381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1 235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95,8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1 284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86,7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1 333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80,9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1 382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1 236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96,0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1 285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86,0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1 334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80,6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1 383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29,3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1 237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96,1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1 286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85,3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1 335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80,3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1 384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32,9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1 238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96,3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1 287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84,7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1 336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1 385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1 239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96,4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1 288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84,1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1 337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79,9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1 386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1 240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96,6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1 289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83,5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1 338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79,8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1 387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37,6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1 241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96,8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1 290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82,9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1 339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79,8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1 388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39,4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1 242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97,0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1 291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82,3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1 340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79,8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1 389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1 243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97,2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1 292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81,7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1 341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79,9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1 390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97,3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1 293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81,1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1 342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1 391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1 245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97,4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1 294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80,5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1 343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80,4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1 392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1 246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97,4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1 295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79,9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1 344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80,8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1 393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1 247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97,4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1 296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79,4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1 345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81,2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1 394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1 248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97,4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1 297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79,1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1 346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81,5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1 395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1 249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97,3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1 298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78,8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1 347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81,6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1 396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1 250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97,3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1 299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78,5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1 348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81,6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1 397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1 251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97,3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78,2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1 349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81,4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1 398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53,2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1 252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97,3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1 301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77,9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1 350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80,7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1 399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1 253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97,2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1 302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77,6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1 351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79,6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50,7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1 254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97,1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1 303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77,3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1 352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78,2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1 401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1 255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97,0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1 304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77,0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1 353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1 402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47,4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1 256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96,9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1 305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76,7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1 354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75,3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1 403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45,2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1 257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96,7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1 306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76,0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1 355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73,8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1 404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41,8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1 258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96,4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1 307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76,0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1 356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72,1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1 405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1 259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96,1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1 308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76,0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1 357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70,2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1 406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1 407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1 456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1 408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1 457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1 409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1 458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lastRenderedPageBreak/>
              <w:t>1 410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1 459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1 411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1 460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1 412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27,1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1 461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1 413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1 462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1 414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1 463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1 415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1 464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1 416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1 465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1 417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1 466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1 418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38,4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1 467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1 419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1 420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41,7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1 469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1 421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1 470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1 422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38,3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1 471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1 423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35,3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1 472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1 424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1 473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1 425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34,6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1 474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1 426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1 475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1 427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39,5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1 476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1 428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41,8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1 477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1 429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42,5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1 430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41,9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1 431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40,1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1 432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1 433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31,3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1 434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1 435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20,6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1 436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19,1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1 437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19,7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1 438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21,1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1 439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22,0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1 440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22,1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1 441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21,4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1 442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19,6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1 443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1 445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1 446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1 447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17,9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1 448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1 449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1 450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1 451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1 452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1 453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1 454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tcBorders>
              <w:bottom w:val="single" w:sz="12" w:space="0" w:color="auto"/>
            </w:tcBorders>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1 455</w:t>
            </w: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4"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 </w:t>
            </w: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 </w:t>
            </w: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 </w:t>
            </w:r>
          </w:p>
        </w:tc>
        <w:tc>
          <w:tcPr>
            <w:tcW w:w="1204"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 </w:t>
            </w: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 </w:t>
            </w: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 </w:t>
            </w:r>
          </w:p>
        </w:tc>
      </w:tr>
    </w:tbl>
    <w:p w:rsidR="00E24DB7" w:rsidRPr="002C5876" w:rsidRDefault="00E24DB7" w:rsidP="00E24DB7">
      <w:pPr>
        <w:pStyle w:val="H23G"/>
        <w:ind w:left="0" w:firstLine="0"/>
        <w:rPr>
          <w:vertAlign w:val="subscript"/>
        </w:rPr>
      </w:pPr>
      <w:r w:rsidRPr="002C5876">
        <w:br w:type="page"/>
      </w:r>
      <w:r w:rsidRPr="002C5876">
        <w:rPr>
          <w:b w:val="0"/>
        </w:rPr>
        <w:lastRenderedPageBreak/>
        <w:t>Tableau A1/12</w:t>
      </w:r>
      <w:r w:rsidRPr="002C5876">
        <w:br/>
        <w:t>Cycle WLTC, véhicules de la classe 3, phase Extra High</w:t>
      </w:r>
      <w:r w:rsidRPr="002C5876">
        <w:rPr>
          <w:vertAlign w:val="subscript"/>
        </w:rPr>
        <w:t>3</w:t>
      </w:r>
    </w:p>
    <w:tbl>
      <w:tblPr>
        <w:tblW w:w="9637" w:type="dxa"/>
        <w:tblLayout w:type="fixed"/>
        <w:tblCellMar>
          <w:left w:w="0" w:type="dxa"/>
          <w:right w:w="0" w:type="dxa"/>
        </w:tblCellMar>
        <w:tblLook w:val="04A0" w:firstRow="1" w:lastRow="0" w:firstColumn="1" w:lastColumn="0" w:noHBand="0" w:noVBand="1"/>
      </w:tblPr>
      <w:tblGrid>
        <w:gridCol w:w="1204"/>
        <w:gridCol w:w="1205"/>
        <w:gridCol w:w="1204"/>
        <w:gridCol w:w="1205"/>
        <w:gridCol w:w="1205"/>
        <w:gridCol w:w="1204"/>
        <w:gridCol w:w="1205"/>
        <w:gridCol w:w="1205"/>
      </w:tblGrid>
      <w:tr w:rsidR="00E24DB7" w:rsidRPr="002C5876" w:rsidTr="00E24DB7">
        <w:trPr>
          <w:tblHeader/>
        </w:trPr>
        <w:tc>
          <w:tcPr>
            <w:tcW w:w="1204"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rPr>
                <w:i/>
                <w:sz w:val="16"/>
              </w:rPr>
            </w:pPr>
            <w:r w:rsidRPr="002C5876">
              <w:rPr>
                <w:i/>
                <w:sz w:val="16"/>
              </w:rPr>
              <w:t>Temps en s</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Vitesse en km/h</w:t>
            </w:r>
          </w:p>
        </w:tc>
        <w:tc>
          <w:tcPr>
            <w:tcW w:w="1204"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Temps en s</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Vitesse en km/h</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Temps en s</w:t>
            </w:r>
          </w:p>
        </w:tc>
        <w:tc>
          <w:tcPr>
            <w:tcW w:w="1204"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Vitesse en km/h</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Temps en s</w:t>
            </w:r>
          </w:p>
        </w:tc>
        <w:tc>
          <w:tcPr>
            <w:tcW w:w="1205" w:type="dxa"/>
            <w:tcBorders>
              <w:top w:val="single" w:sz="4" w:space="0" w:color="auto"/>
              <w:bottom w:val="single" w:sz="12" w:space="0" w:color="auto"/>
            </w:tcBorders>
            <w:shd w:val="clear" w:color="auto" w:fill="auto"/>
            <w:vAlign w:val="bottom"/>
          </w:tcPr>
          <w:p w:rsidR="00E24DB7" w:rsidRPr="002C5876" w:rsidRDefault="00E24DB7" w:rsidP="00E24DB7">
            <w:pPr>
              <w:suppressAutoHyphens w:val="0"/>
              <w:spacing w:before="80" w:after="80" w:line="200" w:lineRule="exact"/>
              <w:jc w:val="right"/>
              <w:rPr>
                <w:i/>
                <w:sz w:val="16"/>
              </w:rPr>
            </w:pPr>
            <w:r w:rsidRPr="002C5876">
              <w:rPr>
                <w:i/>
                <w:sz w:val="16"/>
              </w:rPr>
              <w:t>Vitesse en km/h</w:t>
            </w:r>
          </w:p>
        </w:tc>
      </w:tr>
      <w:tr w:rsidR="00E24DB7" w:rsidRPr="002C5876" w:rsidTr="00E24DB7">
        <w:tc>
          <w:tcPr>
            <w:tcW w:w="1204" w:type="dxa"/>
            <w:tcBorders>
              <w:top w:val="single" w:sz="12" w:space="0" w:color="auto"/>
            </w:tcBorders>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1 478</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0,0</w:t>
            </w:r>
          </w:p>
        </w:tc>
        <w:tc>
          <w:tcPr>
            <w:tcW w:w="1204" w:type="dxa"/>
            <w:tcBorders>
              <w:top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1 525</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72,5</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1 572</w:t>
            </w:r>
          </w:p>
        </w:tc>
        <w:tc>
          <w:tcPr>
            <w:tcW w:w="1204" w:type="dxa"/>
            <w:tcBorders>
              <w:top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120,7</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1 619</w:t>
            </w:r>
          </w:p>
        </w:tc>
        <w:tc>
          <w:tcPr>
            <w:tcW w:w="1205" w:type="dxa"/>
            <w:tcBorders>
              <w:top w:val="single" w:sz="12" w:space="0" w:color="auto"/>
            </w:tcBorders>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113,0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1 479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1 526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70,8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1 573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121,8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1 620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114,1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1 480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1 527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68,6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1 574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122,6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1 621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115,1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1 481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1 528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66,2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1 575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123,2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1 622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115,9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1 482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1 529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64,0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1 576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123,6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1 623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116,5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1 483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1 530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62,2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1 577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123,7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1 624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116,7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1 484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1 531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60,9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1 578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123,6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1 625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116,6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1 485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1 532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60,2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1 579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123,3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1 626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116,2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1 486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1 533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60,0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1 580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123,0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1 627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115,2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1 487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14,7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1 534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60,4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1 581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122,5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1 628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113,8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1 488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17,0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1 535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61,4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1 582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122,1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1 629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112,0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1 489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19,8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1 536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63,2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1 583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121,5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1 630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110,1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1 490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23,1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1 537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65,6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1 584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120,8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1 631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108,3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1 491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26,7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1 538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68,4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1 585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120,0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1 632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107,0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1 492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30,5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1 539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71,6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1 586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119,1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1 633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106,1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1 493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34,1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1 540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74,9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1 587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118,1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1 634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105,8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1 494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37,5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1 541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78,4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1 588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117,1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1 635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105,7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1 495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40,6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1 542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81,8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1 589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116,2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1 636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105,7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1 496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43,3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1 543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84,9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1 590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115,5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1 637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105,6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1 497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45,7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1 544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87,4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1 591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114,9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1 638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105,3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1 498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47,7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1 545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89,0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1 592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114,5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1 639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104,9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1 499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49,3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1 546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90,0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1 593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114,1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1 640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104,4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1 500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50,5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1 547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90,6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1 594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113,9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1 641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104,0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1 501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51,3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1 548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91,0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1 595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113,7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1 642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103,8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1 502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52,1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1 549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91,5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1 596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113,3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1 643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103,9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1 503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52,7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1 550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92,0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1 597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112,9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1 644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104,4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1 504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53,4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1 551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92,7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1 598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112,2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1 645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105,1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1 505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54,0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1 552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93,4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1 599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111,4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1 646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106,1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1 506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54,5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1 553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94,2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1 600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110,5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1 647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107,2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1 507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55,0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1 554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94,9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1 601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109,5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1 648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108,5</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1 508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55,6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1 555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95,7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1 602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108,5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1 649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109,9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1 509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56,3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1 556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96,6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1 603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107,7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1 650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111,3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1 510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57,2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1 557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97,7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1 604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107,1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1 651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112,7</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1 511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58,5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1 558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98,9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1 605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106,6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1 652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113,9</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1 512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60,2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1 559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100,4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1 606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106,4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1 653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115,0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1 513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62,3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1 560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102,0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1 607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106,2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1 654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116,0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1 514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64,7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1 561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103,6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1 608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106,2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1 655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116,8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1 515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67,1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1 562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105,2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1 609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106,2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1 656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117,6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1 516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69,2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1 563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106,8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1 610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106,4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1 657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118,4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1 517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70,7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1 564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108,5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1 611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106,5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1 658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119,2</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1 518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71,9</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1 565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110,2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1 612</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106,8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1 659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120,0</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1 519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72,7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1 566</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111,9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1 613</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107,2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1 660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120,8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1 520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73,4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1 567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113,7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1 614</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107,8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1 661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121,6</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1 521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73,8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1 568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115,3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1 615</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108,5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1 662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122,3</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1 522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74,1</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1 569</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116,8</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1 616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109,4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1 663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123,1</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1 523</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74,0</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1 570</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118,2</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1 617</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110,5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1 664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123,8</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180" w:lineRule="exact"/>
              <w:rPr>
                <w:sz w:val="18"/>
                <w:szCs w:val="18"/>
              </w:rPr>
            </w:pPr>
            <w:r w:rsidRPr="002C5876">
              <w:rPr>
                <w:sz w:val="18"/>
                <w:szCs w:val="18"/>
              </w:rPr>
              <w:t>1 524</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73,6</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1 571</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119,5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1 618</w:t>
            </w:r>
          </w:p>
        </w:tc>
        <w:tc>
          <w:tcPr>
            <w:tcW w:w="1204"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111,7</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1 665</w:t>
            </w:r>
          </w:p>
        </w:tc>
        <w:tc>
          <w:tcPr>
            <w:tcW w:w="1205" w:type="dxa"/>
            <w:shd w:val="clear" w:color="auto" w:fill="auto"/>
            <w:noWrap/>
            <w:vAlign w:val="bottom"/>
          </w:tcPr>
          <w:p w:rsidR="00E24DB7" w:rsidRPr="002C5876" w:rsidRDefault="00E24DB7" w:rsidP="00E24DB7">
            <w:pPr>
              <w:suppressAutoHyphens w:val="0"/>
              <w:spacing w:before="40" w:after="40" w:line="180" w:lineRule="exact"/>
              <w:jc w:val="right"/>
              <w:rPr>
                <w:sz w:val="18"/>
                <w:szCs w:val="18"/>
              </w:rPr>
            </w:pPr>
            <w:r w:rsidRPr="002C5876">
              <w:rPr>
                <w:sz w:val="18"/>
                <w:szCs w:val="18"/>
              </w:rPr>
              <w:t>124,4</w:t>
            </w: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20" w:lineRule="exact"/>
              <w:rPr>
                <w:sz w:val="18"/>
                <w:szCs w:val="18"/>
              </w:rPr>
            </w:pPr>
            <w:r w:rsidRPr="002C5876">
              <w:rPr>
                <w:sz w:val="18"/>
                <w:szCs w:val="18"/>
              </w:rPr>
              <w:t>1 666</w:t>
            </w: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125,0</w:t>
            </w: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1 715</w:t>
            </w: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127,7</w:t>
            </w: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1 764</w:t>
            </w: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82,0</w:t>
            </w: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20" w:lineRule="exact"/>
              <w:rPr>
                <w:sz w:val="18"/>
                <w:szCs w:val="18"/>
              </w:rPr>
            </w:pPr>
            <w:r w:rsidRPr="002C5876">
              <w:rPr>
                <w:sz w:val="18"/>
                <w:szCs w:val="18"/>
              </w:rPr>
              <w:t>1 667</w:t>
            </w: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125,4</w:t>
            </w: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1 716</w:t>
            </w: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128,1</w:t>
            </w: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1 765</w:t>
            </w:r>
          </w:p>
        </w:tc>
        <w:tc>
          <w:tcPr>
            <w:tcW w:w="1204"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r w:rsidRPr="002C5876">
              <w:rPr>
                <w:sz w:val="18"/>
                <w:szCs w:val="18"/>
              </w:rPr>
              <w:t>81,3</w:t>
            </w: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2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125,8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1 717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128,5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1 766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80,4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lastRenderedPageBreak/>
              <w:t>1 669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126,1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1 718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129,0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1 767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79,1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1 670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126,4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1 719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129,5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1 768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77,4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1 671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126,6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1 720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130,1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1 769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75,1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1 672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126,7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1 721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130,6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1 770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72,3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1 673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126,8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1 722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131,0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1 771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69,1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1 674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126,9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1 723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131,2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1 772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65,9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1 675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126,9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1 724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131,3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1 773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62,7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1 676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126,9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1 725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131,2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1 774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59,7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1 677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126,8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1 726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130,7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1 775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57,0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1 678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126,6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1 727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129,8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1 776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54,6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1 679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126,3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1 728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128,4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1 777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1 680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126,0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1 729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126,5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1 778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49,7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1 681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125,7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1 730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124,1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1 779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46,8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1 682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125,6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1 731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121,6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1 780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43,5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1 683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125,6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1 732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119,0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1 781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39,9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1 684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125,8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1 733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116,5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1 782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36,4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1 685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126,2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1 734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114,1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1 783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33,2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1 686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126,6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1 735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111,8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1 784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30,5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1 687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127,0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1 736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109,5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1 785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28,3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1 688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127,4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1 737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107,1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1 786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26,3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1 689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127,6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1 738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104,8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1 787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1 690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127,8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1 739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102,5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1 788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22,5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1 691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127,9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1 740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100,4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1 789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20,5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1 692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128,0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1 741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98,6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1 790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18,2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1 693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128,1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1 742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97,2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1 791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15,5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1 694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128,2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1 743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95,9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1 792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1 695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128,3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94,8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1 793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1 696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128,4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1 745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93,8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1 794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5,2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1 697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128,5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1 746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92,8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1 795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1 698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128,6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1 747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91,8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1 796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1 699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128,6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1 748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91,0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1 797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1 700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128,5</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1 749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90,2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1 798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1 701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128,3</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1 750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89,6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1 799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1 702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128,1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1 751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89,1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1 800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0,0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1 703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127,9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1 752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88,6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1 704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127,6</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1 753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88,1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1 705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127,4</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1 754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87,6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1 706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127,2</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1 755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87,1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1 707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127,0</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1 756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86,6</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1 708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126,9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1 757</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86,1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1 709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126,8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1 758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85,5</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1 710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126,7</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1 759</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85,0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1 711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126,8</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1 760</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84,4</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1 712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126,9</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1 761</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83,8</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1 713</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127,1</w:t>
            </w: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1 762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83,2</w:t>
            </w: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4"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c>
          <w:tcPr>
            <w:tcW w:w="1205" w:type="dxa"/>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p>
        </w:tc>
      </w:tr>
      <w:tr w:rsidR="00E24DB7" w:rsidRPr="002C5876" w:rsidTr="00E24DB7">
        <w:tc>
          <w:tcPr>
            <w:tcW w:w="1204" w:type="dxa"/>
            <w:tcBorders>
              <w:bottom w:val="single" w:sz="12" w:space="0" w:color="auto"/>
            </w:tcBorders>
            <w:shd w:val="clear" w:color="auto" w:fill="auto"/>
            <w:noWrap/>
          </w:tcPr>
          <w:p w:rsidR="00E24DB7" w:rsidRPr="002C5876" w:rsidRDefault="00E24DB7" w:rsidP="00E24DB7">
            <w:pPr>
              <w:suppressAutoHyphens w:val="0"/>
              <w:spacing w:before="40" w:after="40" w:line="200" w:lineRule="exact"/>
              <w:rPr>
                <w:sz w:val="18"/>
                <w:szCs w:val="18"/>
              </w:rPr>
            </w:pPr>
            <w:r w:rsidRPr="002C5876">
              <w:rPr>
                <w:sz w:val="18"/>
                <w:szCs w:val="18"/>
              </w:rPr>
              <w:t>1 714</w:t>
            </w: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127,4</w:t>
            </w:r>
          </w:p>
        </w:tc>
        <w:tc>
          <w:tcPr>
            <w:tcW w:w="1204"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1 763</w:t>
            </w: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82,6</w:t>
            </w: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 </w:t>
            </w:r>
          </w:p>
        </w:tc>
        <w:tc>
          <w:tcPr>
            <w:tcW w:w="1204"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 </w:t>
            </w: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 </w:t>
            </w:r>
          </w:p>
        </w:tc>
        <w:tc>
          <w:tcPr>
            <w:tcW w:w="1205" w:type="dxa"/>
            <w:tcBorders>
              <w:bottom w:val="single" w:sz="12" w:space="0" w:color="auto"/>
            </w:tcBorders>
            <w:shd w:val="clear" w:color="auto" w:fill="auto"/>
            <w:noWrap/>
            <w:vAlign w:val="bottom"/>
          </w:tcPr>
          <w:p w:rsidR="00E24DB7" w:rsidRPr="002C5876" w:rsidRDefault="00E24DB7" w:rsidP="00E24DB7">
            <w:pPr>
              <w:suppressAutoHyphens w:val="0"/>
              <w:spacing w:before="40" w:after="40" w:line="200" w:lineRule="exact"/>
              <w:jc w:val="right"/>
              <w:rPr>
                <w:sz w:val="18"/>
                <w:szCs w:val="18"/>
              </w:rPr>
            </w:pPr>
            <w:r w:rsidRPr="002C5876">
              <w:rPr>
                <w:sz w:val="18"/>
                <w:szCs w:val="18"/>
              </w:rPr>
              <w:t> </w:t>
            </w:r>
          </w:p>
        </w:tc>
      </w:tr>
    </w:tbl>
    <w:p w:rsidR="00E24DB7" w:rsidRPr="002C5876" w:rsidRDefault="00E24DB7" w:rsidP="00E24DB7"/>
    <w:p w:rsidR="00E24DB7" w:rsidRPr="002C5876" w:rsidRDefault="00E24DB7" w:rsidP="00E24DB7">
      <w:pPr>
        <w:pStyle w:val="SingleTxtG"/>
        <w:ind w:left="2268" w:hanging="1134"/>
      </w:pPr>
      <w:r w:rsidRPr="002C5876">
        <w:br w:type="page"/>
      </w:r>
      <w:r w:rsidRPr="002C5876">
        <w:lastRenderedPageBreak/>
        <w:t>7.</w:t>
      </w:r>
      <w:r w:rsidRPr="002C5876">
        <w:tab/>
      </w:r>
      <w:r w:rsidRPr="002C5876">
        <w:tab/>
        <w:t>Identification du cycle</w:t>
      </w:r>
    </w:p>
    <w:p w:rsidR="00E24DB7" w:rsidRPr="002C5876" w:rsidRDefault="00E24DB7" w:rsidP="00E24DB7">
      <w:pPr>
        <w:pStyle w:val="SingleTxtG"/>
        <w:ind w:left="2268"/>
      </w:pPr>
      <w:r w:rsidRPr="002C5876">
        <w:t>Afin de confirmer que la version correcte du cycle a été choisie ou que le cycle correct a été exécuté sur le banc à rouleaux, des sommes de contrôle des valeurs de vitesse du véhicule pour les phases du cycle et pour le cycle entier sont indiquées dans le tableau A1/13.</w:t>
      </w:r>
    </w:p>
    <w:p w:rsidR="00E24DB7" w:rsidRPr="002C5876" w:rsidRDefault="00E24DB7" w:rsidP="00E24DB7">
      <w:pPr>
        <w:pStyle w:val="H23G"/>
      </w:pPr>
      <w:r w:rsidRPr="002C5876">
        <w:tab/>
      </w:r>
      <w:r w:rsidRPr="002C5876">
        <w:tab/>
      </w:r>
      <w:r w:rsidRPr="002C5876">
        <w:rPr>
          <w:b w:val="0"/>
        </w:rPr>
        <w:t xml:space="preserve">Tableau A1/13 </w:t>
      </w:r>
      <w:r w:rsidRPr="002C5876">
        <w:rPr>
          <w:b w:val="0"/>
        </w:rPr>
        <w:br/>
      </w:r>
      <w:r w:rsidRPr="002C5876">
        <w:t>Sommes de contrôle (fréquence 1Hz)</w:t>
      </w:r>
    </w:p>
    <w:tbl>
      <w:tblPr>
        <w:tblW w:w="7370" w:type="dxa"/>
        <w:tblInd w:w="1134" w:type="dxa"/>
        <w:tblLayout w:type="fixed"/>
        <w:tblCellMar>
          <w:left w:w="0" w:type="dxa"/>
          <w:right w:w="0" w:type="dxa"/>
        </w:tblCellMar>
        <w:tblLook w:val="0000" w:firstRow="0" w:lastRow="0" w:firstColumn="0" w:lastColumn="0" w:noHBand="0" w:noVBand="0"/>
      </w:tblPr>
      <w:tblGrid>
        <w:gridCol w:w="2176"/>
        <w:gridCol w:w="2597"/>
        <w:gridCol w:w="2597"/>
      </w:tblGrid>
      <w:tr w:rsidR="00E24DB7" w:rsidRPr="002C5876" w:rsidTr="00E24DB7">
        <w:trPr>
          <w:tblHeader/>
        </w:trPr>
        <w:tc>
          <w:tcPr>
            <w:tcW w:w="2176" w:type="dxa"/>
            <w:tcBorders>
              <w:top w:val="single" w:sz="4" w:space="0" w:color="auto"/>
              <w:left w:val="single" w:sz="4" w:space="0" w:color="auto"/>
              <w:bottom w:val="single" w:sz="12" w:space="0" w:color="auto"/>
              <w:right w:val="single" w:sz="4" w:space="0" w:color="auto"/>
            </w:tcBorders>
            <w:shd w:val="clear" w:color="auto" w:fill="auto"/>
            <w:vAlign w:val="bottom"/>
          </w:tcPr>
          <w:p w:rsidR="00E24DB7" w:rsidRPr="002C5876" w:rsidRDefault="00E24DB7" w:rsidP="00E24DB7">
            <w:pPr>
              <w:suppressAutoHyphens w:val="0"/>
              <w:spacing w:before="80" w:after="80" w:line="200" w:lineRule="exact"/>
              <w:ind w:left="57" w:right="57"/>
              <w:rPr>
                <w:i/>
                <w:sz w:val="16"/>
              </w:rPr>
            </w:pPr>
            <w:r w:rsidRPr="002C5876">
              <w:rPr>
                <w:i/>
                <w:sz w:val="16"/>
              </w:rPr>
              <w:t xml:space="preserve">Classe de véhicule </w:t>
            </w:r>
          </w:p>
        </w:tc>
        <w:tc>
          <w:tcPr>
            <w:tcW w:w="2597" w:type="dxa"/>
            <w:tcBorders>
              <w:top w:val="single" w:sz="4" w:space="0" w:color="auto"/>
              <w:left w:val="single" w:sz="4" w:space="0" w:color="auto"/>
              <w:bottom w:val="single" w:sz="12" w:space="0" w:color="auto"/>
              <w:right w:val="single" w:sz="4" w:space="0" w:color="auto"/>
            </w:tcBorders>
            <w:shd w:val="clear" w:color="auto" w:fill="auto"/>
            <w:vAlign w:val="bottom"/>
          </w:tcPr>
          <w:p w:rsidR="00E24DB7" w:rsidRPr="002C5876" w:rsidRDefault="00E24DB7" w:rsidP="00E24DB7">
            <w:pPr>
              <w:suppressAutoHyphens w:val="0"/>
              <w:spacing w:before="80" w:after="80" w:line="200" w:lineRule="exact"/>
              <w:ind w:left="57" w:right="57"/>
              <w:rPr>
                <w:i/>
                <w:sz w:val="16"/>
              </w:rPr>
            </w:pPr>
            <w:r w:rsidRPr="002C5876">
              <w:rPr>
                <w:i/>
                <w:sz w:val="16"/>
              </w:rPr>
              <w:t>Phase du cycle</w:t>
            </w:r>
          </w:p>
        </w:tc>
        <w:tc>
          <w:tcPr>
            <w:tcW w:w="2597" w:type="dxa"/>
            <w:tcBorders>
              <w:top w:val="single" w:sz="4" w:space="0" w:color="auto"/>
              <w:left w:val="single" w:sz="4" w:space="0" w:color="auto"/>
              <w:bottom w:val="single" w:sz="12" w:space="0" w:color="auto"/>
              <w:right w:val="single" w:sz="4" w:space="0" w:color="auto"/>
            </w:tcBorders>
            <w:shd w:val="clear" w:color="auto" w:fill="auto"/>
            <w:vAlign w:val="bottom"/>
          </w:tcPr>
          <w:p w:rsidR="00E24DB7" w:rsidRPr="002C5876" w:rsidRDefault="00E24DB7" w:rsidP="00E24DB7">
            <w:pPr>
              <w:suppressAutoHyphens w:val="0"/>
              <w:spacing w:before="80" w:after="80" w:line="200" w:lineRule="exact"/>
              <w:ind w:left="57" w:right="57"/>
              <w:jc w:val="right"/>
              <w:rPr>
                <w:i/>
                <w:sz w:val="16"/>
              </w:rPr>
            </w:pPr>
            <w:r w:rsidRPr="002C5876">
              <w:rPr>
                <w:i/>
                <w:sz w:val="16"/>
              </w:rPr>
              <w:t xml:space="preserve">Sommes de contrôle des vitesses </w:t>
            </w:r>
            <w:r w:rsidRPr="002C5876">
              <w:rPr>
                <w:i/>
                <w:sz w:val="16"/>
              </w:rPr>
              <w:br/>
              <w:t>visées du véhicule (fréquence 1 Hz)</w:t>
            </w:r>
          </w:p>
        </w:tc>
      </w:tr>
      <w:tr w:rsidR="00E24DB7" w:rsidRPr="002C5876" w:rsidTr="00E24DB7">
        <w:tc>
          <w:tcPr>
            <w:tcW w:w="2176" w:type="dxa"/>
            <w:vMerge w:val="restart"/>
            <w:tcBorders>
              <w:top w:val="single" w:sz="12" w:space="0" w:color="auto"/>
              <w:left w:val="single" w:sz="4" w:space="0" w:color="auto"/>
              <w:bottom w:val="single" w:sz="4" w:space="0" w:color="auto"/>
              <w:right w:val="single" w:sz="4" w:space="0" w:color="auto"/>
            </w:tcBorders>
            <w:shd w:val="clear" w:color="auto" w:fill="auto"/>
          </w:tcPr>
          <w:p w:rsidR="00E24DB7" w:rsidRPr="002C5876" w:rsidRDefault="00E24DB7" w:rsidP="00E24DB7">
            <w:pPr>
              <w:suppressAutoHyphens w:val="0"/>
              <w:spacing w:before="60" w:after="60" w:line="220" w:lineRule="exact"/>
              <w:ind w:left="57" w:right="57"/>
              <w:rPr>
                <w:sz w:val="18"/>
              </w:rPr>
            </w:pPr>
            <w:r w:rsidRPr="002C5876">
              <w:rPr>
                <w:sz w:val="18"/>
              </w:rPr>
              <w:t>Classe 1</w:t>
            </w:r>
          </w:p>
        </w:tc>
        <w:tc>
          <w:tcPr>
            <w:tcW w:w="2597" w:type="dxa"/>
            <w:tcBorders>
              <w:top w:val="single" w:sz="12" w:space="0" w:color="auto"/>
              <w:left w:val="single" w:sz="4" w:space="0" w:color="auto"/>
              <w:bottom w:val="single" w:sz="4" w:space="0" w:color="auto"/>
              <w:right w:val="single" w:sz="4" w:space="0" w:color="auto"/>
            </w:tcBorders>
            <w:shd w:val="clear" w:color="auto" w:fill="auto"/>
            <w:vAlign w:val="bottom"/>
          </w:tcPr>
          <w:p w:rsidR="00E24DB7" w:rsidRPr="002C5876" w:rsidRDefault="00E24DB7" w:rsidP="00E24DB7">
            <w:pPr>
              <w:suppressAutoHyphens w:val="0"/>
              <w:spacing w:before="60" w:after="60" w:line="220" w:lineRule="exact"/>
              <w:ind w:left="57" w:right="57"/>
              <w:rPr>
                <w:sz w:val="18"/>
              </w:rPr>
            </w:pPr>
            <w:r w:rsidRPr="002C5876">
              <w:rPr>
                <w:sz w:val="18"/>
              </w:rPr>
              <w:t>Low</w:t>
            </w:r>
          </w:p>
        </w:tc>
        <w:tc>
          <w:tcPr>
            <w:tcW w:w="2597" w:type="dxa"/>
            <w:tcBorders>
              <w:top w:val="single" w:sz="12" w:space="0" w:color="auto"/>
              <w:left w:val="single" w:sz="4" w:space="0" w:color="auto"/>
              <w:bottom w:val="single" w:sz="4" w:space="0" w:color="auto"/>
              <w:right w:val="single" w:sz="4" w:space="0" w:color="auto"/>
            </w:tcBorders>
            <w:shd w:val="clear" w:color="auto" w:fill="auto"/>
            <w:vAlign w:val="bottom"/>
          </w:tcPr>
          <w:p w:rsidR="00E24DB7" w:rsidRPr="002C5876" w:rsidRDefault="00E24DB7" w:rsidP="00E24DB7">
            <w:pPr>
              <w:suppressAutoHyphens w:val="0"/>
              <w:spacing w:before="60" w:after="60" w:line="220" w:lineRule="exact"/>
              <w:ind w:left="57" w:right="57"/>
              <w:jc w:val="right"/>
              <w:rPr>
                <w:sz w:val="18"/>
              </w:rPr>
            </w:pPr>
            <w:r w:rsidRPr="002C5876">
              <w:rPr>
                <w:sz w:val="18"/>
              </w:rPr>
              <w:t>11 988,4</w:t>
            </w:r>
          </w:p>
        </w:tc>
      </w:tr>
      <w:tr w:rsidR="00E24DB7" w:rsidRPr="002C5876" w:rsidTr="00E24DB7">
        <w:tc>
          <w:tcPr>
            <w:tcW w:w="2176" w:type="dxa"/>
            <w:vMerge/>
            <w:tcBorders>
              <w:top w:val="single" w:sz="4" w:space="0" w:color="auto"/>
              <w:left w:val="single" w:sz="4" w:space="0" w:color="auto"/>
              <w:bottom w:val="single" w:sz="4" w:space="0" w:color="auto"/>
              <w:right w:val="single" w:sz="4" w:space="0" w:color="auto"/>
            </w:tcBorders>
            <w:shd w:val="clear" w:color="auto" w:fill="auto"/>
          </w:tcPr>
          <w:p w:rsidR="00E24DB7" w:rsidRPr="002C5876" w:rsidRDefault="00E24DB7" w:rsidP="00E24DB7">
            <w:pPr>
              <w:suppressAutoHyphens w:val="0"/>
              <w:spacing w:before="60" w:after="60" w:line="220" w:lineRule="exact"/>
              <w:ind w:left="57" w:right="57"/>
              <w:rPr>
                <w:sz w:val="18"/>
              </w:rPr>
            </w:pP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E24DB7" w:rsidRPr="002C5876" w:rsidRDefault="00E24DB7" w:rsidP="00E24DB7">
            <w:pPr>
              <w:suppressAutoHyphens w:val="0"/>
              <w:spacing w:before="60" w:after="60" w:line="220" w:lineRule="exact"/>
              <w:ind w:left="57" w:right="57"/>
              <w:rPr>
                <w:sz w:val="18"/>
              </w:rPr>
            </w:pPr>
            <w:r w:rsidRPr="002C5876">
              <w:rPr>
                <w:sz w:val="18"/>
              </w:rPr>
              <w:t>Medium</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E24DB7" w:rsidRPr="002C5876" w:rsidRDefault="00E24DB7" w:rsidP="00E24DB7">
            <w:pPr>
              <w:suppressAutoHyphens w:val="0"/>
              <w:spacing w:before="60" w:after="60" w:line="220" w:lineRule="exact"/>
              <w:ind w:left="57" w:right="57"/>
              <w:jc w:val="right"/>
              <w:rPr>
                <w:sz w:val="18"/>
              </w:rPr>
            </w:pPr>
            <w:r w:rsidRPr="002C5876">
              <w:rPr>
                <w:sz w:val="18"/>
              </w:rPr>
              <w:t>17 162,8</w:t>
            </w:r>
          </w:p>
        </w:tc>
      </w:tr>
      <w:tr w:rsidR="00E24DB7" w:rsidRPr="002C5876" w:rsidTr="00E24DB7">
        <w:tc>
          <w:tcPr>
            <w:tcW w:w="2176" w:type="dxa"/>
            <w:vMerge/>
            <w:tcBorders>
              <w:top w:val="single" w:sz="4" w:space="0" w:color="auto"/>
              <w:left w:val="single" w:sz="4" w:space="0" w:color="auto"/>
              <w:bottom w:val="single" w:sz="4" w:space="0" w:color="auto"/>
              <w:right w:val="single" w:sz="4" w:space="0" w:color="auto"/>
            </w:tcBorders>
            <w:shd w:val="clear" w:color="auto" w:fill="auto"/>
          </w:tcPr>
          <w:p w:rsidR="00E24DB7" w:rsidRPr="002C5876" w:rsidRDefault="00E24DB7" w:rsidP="00E24DB7">
            <w:pPr>
              <w:suppressAutoHyphens w:val="0"/>
              <w:spacing w:before="60" w:after="60" w:line="220" w:lineRule="exact"/>
              <w:ind w:left="57" w:right="57"/>
              <w:rPr>
                <w:sz w:val="18"/>
              </w:rPr>
            </w:pP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E24DB7" w:rsidRPr="002C5876" w:rsidRDefault="00E24DB7" w:rsidP="00E24DB7">
            <w:pPr>
              <w:suppressAutoHyphens w:val="0"/>
              <w:spacing w:before="60" w:after="60" w:line="220" w:lineRule="exact"/>
              <w:ind w:left="57" w:right="57"/>
              <w:rPr>
                <w:sz w:val="18"/>
              </w:rPr>
            </w:pPr>
            <w:r w:rsidRPr="002C5876">
              <w:rPr>
                <w:sz w:val="18"/>
              </w:rPr>
              <w:t>Low</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E24DB7" w:rsidRPr="002C5876" w:rsidRDefault="00E24DB7" w:rsidP="00E24DB7">
            <w:pPr>
              <w:suppressAutoHyphens w:val="0"/>
              <w:spacing w:before="60" w:after="60" w:line="220" w:lineRule="exact"/>
              <w:ind w:left="57" w:right="57"/>
              <w:jc w:val="right"/>
              <w:rPr>
                <w:sz w:val="18"/>
              </w:rPr>
            </w:pPr>
            <w:r w:rsidRPr="002C5876">
              <w:rPr>
                <w:sz w:val="18"/>
              </w:rPr>
              <w:t>11 988, 4</w:t>
            </w:r>
          </w:p>
        </w:tc>
      </w:tr>
      <w:tr w:rsidR="00E24DB7" w:rsidRPr="002C5876" w:rsidTr="00E24DB7">
        <w:tc>
          <w:tcPr>
            <w:tcW w:w="2176" w:type="dxa"/>
            <w:vMerge/>
            <w:tcBorders>
              <w:top w:val="single" w:sz="4" w:space="0" w:color="auto"/>
              <w:left w:val="single" w:sz="4" w:space="0" w:color="auto"/>
              <w:bottom w:val="single" w:sz="4" w:space="0" w:color="auto"/>
              <w:right w:val="single" w:sz="4" w:space="0" w:color="auto"/>
            </w:tcBorders>
            <w:shd w:val="clear" w:color="auto" w:fill="auto"/>
          </w:tcPr>
          <w:p w:rsidR="00E24DB7" w:rsidRPr="002C5876" w:rsidRDefault="00E24DB7" w:rsidP="00E24DB7">
            <w:pPr>
              <w:suppressAutoHyphens w:val="0"/>
              <w:spacing w:before="60" w:after="60" w:line="220" w:lineRule="exact"/>
              <w:ind w:left="57" w:right="57"/>
              <w:rPr>
                <w:sz w:val="18"/>
              </w:rPr>
            </w:pP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E24DB7" w:rsidRPr="002C5876" w:rsidRDefault="00E24DB7" w:rsidP="00E24DB7">
            <w:pPr>
              <w:suppressAutoHyphens w:val="0"/>
              <w:spacing w:before="60" w:after="60" w:line="220" w:lineRule="exact"/>
              <w:ind w:left="57" w:right="57"/>
              <w:rPr>
                <w:sz w:val="18"/>
              </w:rPr>
            </w:pPr>
            <w:r w:rsidRPr="002C5876">
              <w:rPr>
                <w:sz w:val="18"/>
              </w:rPr>
              <w:t>Total</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E24DB7" w:rsidRPr="002C5876" w:rsidRDefault="00E24DB7" w:rsidP="00E24DB7">
            <w:pPr>
              <w:suppressAutoHyphens w:val="0"/>
              <w:spacing w:before="60" w:after="60" w:line="220" w:lineRule="exact"/>
              <w:ind w:left="57" w:right="57"/>
              <w:jc w:val="right"/>
              <w:rPr>
                <w:sz w:val="18"/>
              </w:rPr>
            </w:pPr>
            <w:r w:rsidRPr="002C5876">
              <w:rPr>
                <w:sz w:val="18"/>
              </w:rPr>
              <w:t xml:space="preserve"> 41 139,6</w:t>
            </w:r>
          </w:p>
        </w:tc>
      </w:tr>
      <w:tr w:rsidR="00E24DB7" w:rsidRPr="002C5876" w:rsidTr="00E24DB7">
        <w:tc>
          <w:tcPr>
            <w:tcW w:w="2176" w:type="dxa"/>
            <w:vMerge w:val="restart"/>
            <w:tcBorders>
              <w:top w:val="single" w:sz="4" w:space="0" w:color="auto"/>
              <w:left w:val="single" w:sz="4" w:space="0" w:color="auto"/>
              <w:bottom w:val="single" w:sz="4" w:space="0" w:color="auto"/>
              <w:right w:val="single" w:sz="4" w:space="0" w:color="auto"/>
            </w:tcBorders>
            <w:shd w:val="clear" w:color="auto" w:fill="auto"/>
          </w:tcPr>
          <w:p w:rsidR="00E24DB7" w:rsidRPr="002C5876" w:rsidRDefault="00E24DB7" w:rsidP="00E24DB7">
            <w:pPr>
              <w:suppressAutoHyphens w:val="0"/>
              <w:spacing w:before="60" w:after="60" w:line="220" w:lineRule="exact"/>
              <w:ind w:left="57" w:right="57"/>
              <w:rPr>
                <w:sz w:val="18"/>
              </w:rPr>
            </w:pPr>
            <w:r w:rsidRPr="002C5876">
              <w:rPr>
                <w:sz w:val="18"/>
              </w:rPr>
              <w:t>Classe 2</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E24DB7" w:rsidRPr="002C5876" w:rsidRDefault="00E24DB7" w:rsidP="00E24DB7">
            <w:pPr>
              <w:suppressAutoHyphens w:val="0"/>
              <w:spacing w:before="60" w:after="60" w:line="220" w:lineRule="exact"/>
              <w:ind w:left="57" w:right="57"/>
              <w:rPr>
                <w:sz w:val="18"/>
              </w:rPr>
            </w:pPr>
            <w:r w:rsidRPr="002C5876">
              <w:rPr>
                <w:sz w:val="18"/>
              </w:rPr>
              <w:t>Low</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E24DB7" w:rsidRPr="002C5876" w:rsidRDefault="00E24DB7" w:rsidP="00E24DB7">
            <w:pPr>
              <w:suppressAutoHyphens w:val="0"/>
              <w:spacing w:before="60" w:after="60" w:line="220" w:lineRule="exact"/>
              <w:ind w:left="57" w:right="57"/>
              <w:jc w:val="right"/>
              <w:rPr>
                <w:sz w:val="18"/>
              </w:rPr>
            </w:pPr>
            <w:r w:rsidRPr="002C5876">
              <w:rPr>
                <w:sz w:val="18"/>
              </w:rPr>
              <w:t>11 162,2</w:t>
            </w:r>
          </w:p>
        </w:tc>
      </w:tr>
      <w:tr w:rsidR="00E24DB7" w:rsidRPr="002C5876" w:rsidTr="00E24DB7">
        <w:tc>
          <w:tcPr>
            <w:tcW w:w="2176" w:type="dxa"/>
            <w:vMerge/>
            <w:tcBorders>
              <w:top w:val="single" w:sz="4" w:space="0" w:color="auto"/>
              <w:left w:val="single" w:sz="4" w:space="0" w:color="auto"/>
              <w:bottom w:val="single" w:sz="4" w:space="0" w:color="auto"/>
              <w:right w:val="single" w:sz="4" w:space="0" w:color="auto"/>
            </w:tcBorders>
            <w:shd w:val="clear" w:color="auto" w:fill="auto"/>
          </w:tcPr>
          <w:p w:rsidR="00E24DB7" w:rsidRPr="002C5876" w:rsidRDefault="00E24DB7" w:rsidP="00E24DB7">
            <w:pPr>
              <w:suppressAutoHyphens w:val="0"/>
              <w:spacing w:before="60" w:after="60" w:line="220" w:lineRule="exact"/>
              <w:ind w:left="57" w:right="57"/>
              <w:rPr>
                <w:sz w:val="18"/>
              </w:rPr>
            </w:pP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E24DB7" w:rsidRPr="002C5876" w:rsidRDefault="00E24DB7" w:rsidP="00E24DB7">
            <w:pPr>
              <w:suppressAutoHyphens w:val="0"/>
              <w:spacing w:before="60" w:after="60" w:line="220" w:lineRule="exact"/>
              <w:ind w:left="57" w:right="57"/>
              <w:rPr>
                <w:sz w:val="18"/>
              </w:rPr>
            </w:pPr>
            <w:r w:rsidRPr="002C5876">
              <w:rPr>
                <w:sz w:val="18"/>
              </w:rPr>
              <w:t>Medium</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E24DB7" w:rsidRPr="002C5876" w:rsidRDefault="00E24DB7" w:rsidP="00E24DB7">
            <w:pPr>
              <w:suppressAutoHyphens w:val="0"/>
              <w:spacing w:before="60" w:after="60" w:line="220" w:lineRule="exact"/>
              <w:ind w:left="57" w:right="57"/>
              <w:jc w:val="right"/>
              <w:rPr>
                <w:sz w:val="18"/>
              </w:rPr>
            </w:pPr>
            <w:r w:rsidRPr="002C5876">
              <w:rPr>
                <w:sz w:val="18"/>
              </w:rPr>
              <w:t>17 054,3</w:t>
            </w:r>
          </w:p>
        </w:tc>
      </w:tr>
      <w:tr w:rsidR="00E24DB7" w:rsidRPr="002C5876" w:rsidTr="00E24DB7">
        <w:tc>
          <w:tcPr>
            <w:tcW w:w="2176" w:type="dxa"/>
            <w:vMerge/>
            <w:tcBorders>
              <w:top w:val="single" w:sz="4" w:space="0" w:color="auto"/>
              <w:left w:val="single" w:sz="4" w:space="0" w:color="auto"/>
              <w:bottom w:val="single" w:sz="4" w:space="0" w:color="auto"/>
              <w:right w:val="single" w:sz="4" w:space="0" w:color="auto"/>
            </w:tcBorders>
            <w:shd w:val="clear" w:color="auto" w:fill="auto"/>
          </w:tcPr>
          <w:p w:rsidR="00E24DB7" w:rsidRPr="002C5876" w:rsidRDefault="00E24DB7" w:rsidP="00E24DB7">
            <w:pPr>
              <w:suppressAutoHyphens w:val="0"/>
              <w:spacing w:before="60" w:after="60" w:line="220" w:lineRule="exact"/>
              <w:ind w:left="57" w:right="57"/>
              <w:rPr>
                <w:sz w:val="18"/>
              </w:rPr>
            </w:pP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E24DB7" w:rsidRPr="002C5876" w:rsidRDefault="00E24DB7" w:rsidP="00E24DB7">
            <w:pPr>
              <w:suppressAutoHyphens w:val="0"/>
              <w:spacing w:before="60" w:after="60" w:line="220" w:lineRule="exact"/>
              <w:ind w:left="57" w:right="57"/>
              <w:rPr>
                <w:sz w:val="18"/>
              </w:rPr>
            </w:pPr>
            <w:r w:rsidRPr="002C5876">
              <w:rPr>
                <w:sz w:val="18"/>
              </w:rPr>
              <w:t>High</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E24DB7" w:rsidRPr="002C5876" w:rsidRDefault="00E24DB7" w:rsidP="00E24DB7">
            <w:pPr>
              <w:suppressAutoHyphens w:val="0"/>
              <w:spacing w:before="60" w:after="60" w:line="220" w:lineRule="exact"/>
              <w:ind w:left="57" w:right="57"/>
              <w:jc w:val="right"/>
              <w:rPr>
                <w:sz w:val="18"/>
              </w:rPr>
            </w:pPr>
            <w:r w:rsidRPr="002C5876">
              <w:rPr>
                <w:sz w:val="18"/>
              </w:rPr>
              <w:t>24 450,6</w:t>
            </w:r>
          </w:p>
        </w:tc>
      </w:tr>
      <w:tr w:rsidR="00E24DB7" w:rsidRPr="002C5876" w:rsidTr="00E24DB7">
        <w:tc>
          <w:tcPr>
            <w:tcW w:w="2176" w:type="dxa"/>
            <w:vMerge/>
            <w:tcBorders>
              <w:top w:val="single" w:sz="4" w:space="0" w:color="auto"/>
              <w:left w:val="single" w:sz="4" w:space="0" w:color="auto"/>
              <w:bottom w:val="single" w:sz="4" w:space="0" w:color="auto"/>
              <w:right w:val="single" w:sz="4" w:space="0" w:color="auto"/>
            </w:tcBorders>
            <w:shd w:val="clear" w:color="auto" w:fill="auto"/>
          </w:tcPr>
          <w:p w:rsidR="00E24DB7" w:rsidRPr="002C5876" w:rsidRDefault="00E24DB7" w:rsidP="00E24DB7">
            <w:pPr>
              <w:suppressAutoHyphens w:val="0"/>
              <w:spacing w:before="60" w:after="60" w:line="220" w:lineRule="exact"/>
              <w:ind w:left="57" w:right="57"/>
              <w:rPr>
                <w:sz w:val="18"/>
              </w:rPr>
            </w:pP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E24DB7" w:rsidRPr="002C5876" w:rsidRDefault="00E24DB7" w:rsidP="00E24DB7">
            <w:pPr>
              <w:suppressAutoHyphens w:val="0"/>
              <w:spacing w:before="60" w:after="60" w:line="220" w:lineRule="exact"/>
              <w:ind w:left="57" w:right="57"/>
              <w:rPr>
                <w:sz w:val="18"/>
              </w:rPr>
            </w:pPr>
            <w:r w:rsidRPr="002C5876">
              <w:rPr>
                <w:sz w:val="18"/>
              </w:rPr>
              <w:t>Extra High</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E24DB7" w:rsidRPr="002C5876" w:rsidRDefault="00E24DB7" w:rsidP="00E24DB7">
            <w:pPr>
              <w:suppressAutoHyphens w:val="0"/>
              <w:spacing w:before="60" w:after="60" w:line="220" w:lineRule="exact"/>
              <w:ind w:left="57" w:right="57"/>
              <w:jc w:val="right"/>
              <w:rPr>
                <w:sz w:val="18"/>
              </w:rPr>
            </w:pPr>
            <w:r w:rsidRPr="002C5876">
              <w:rPr>
                <w:sz w:val="18"/>
              </w:rPr>
              <w:t>28 869,8</w:t>
            </w:r>
          </w:p>
        </w:tc>
      </w:tr>
      <w:tr w:rsidR="00E24DB7" w:rsidRPr="002C5876" w:rsidTr="00E24DB7">
        <w:tc>
          <w:tcPr>
            <w:tcW w:w="2176" w:type="dxa"/>
            <w:vMerge/>
            <w:tcBorders>
              <w:top w:val="single" w:sz="4" w:space="0" w:color="auto"/>
              <w:left w:val="single" w:sz="4" w:space="0" w:color="auto"/>
              <w:bottom w:val="single" w:sz="4" w:space="0" w:color="auto"/>
              <w:right w:val="single" w:sz="4" w:space="0" w:color="auto"/>
            </w:tcBorders>
            <w:shd w:val="clear" w:color="auto" w:fill="auto"/>
          </w:tcPr>
          <w:p w:rsidR="00E24DB7" w:rsidRPr="002C5876" w:rsidRDefault="00E24DB7" w:rsidP="00E24DB7">
            <w:pPr>
              <w:suppressAutoHyphens w:val="0"/>
              <w:spacing w:before="60" w:after="60" w:line="220" w:lineRule="exact"/>
              <w:ind w:left="57" w:right="57"/>
              <w:rPr>
                <w:sz w:val="18"/>
              </w:rPr>
            </w:pP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E24DB7" w:rsidRPr="002C5876" w:rsidRDefault="00E24DB7" w:rsidP="00E24DB7">
            <w:pPr>
              <w:suppressAutoHyphens w:val="0"/>
              <w:spacing w:before="60" w:after="60" w:line="220" w:lineRule="exact"/>
              <w:ind w:left="57" w:right="57"/>
              <w:rPr>
                <w:sz w:val="18"/>
              </w:rPr>
            </w:pPr>
            <w:r w:rsidRPr="002C5876">
              <w:rPr>
                <w:sz w:val="18"/>
              </w:rPr>
              <w:t>Total</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E24DB7" w:rsidRPr="002C5876" w:rsidRDefault="00E24DB7" w:rsidP="00E24DB7">
            <w:pPr>
              <w:suppressAutoHyphens w:val="0"/>
              <w:spacing w:before="60" w:after="60" w:line="220" w:lineRule="exact"/>
              <w:ind w:left="57" w:right="57"/>
              <w:jc w:val="right"/>
              <w:rPr>
                <w:sz w:val="18"/>
              </w:rPr>
            </w:pPr>
            <w:r w:rsidRPr="002C5876">
              <w:rPr>
                <w:sz w:val="18"/>
              </w:rPr>
              <w:t>81 536,9</w:t>
            </w:r>
          </w:p>
        </w:tc>
      </w:tr>
      <w:tr w:rsidR="00E24DB7" w:rsidRPr="002C5876" w:rsidTr="00E24DB7">
        <w:tc>
          <w:tcPr>
            <w:tcW w:w="2176" w:type="dxa"/>
            <w:vMerge w:val="restart"/>
            <w:tcBorders>
              <w:top w:val="single" w:sz="4" w:space="0" w:color="auto"/>
              <w:left w:val="single" w:sz="4" w:space="0" w:color="auto"/>
              <w:bottom w:val="single" w:sz="4" w:space="0" w:color="auto"/>
              <w:right w:val="single" w:sz="4" w:space="0" w:color="auto"/>
            </w:tcBorders>
            <w:shd w:val="clear" w:color="auto" w:fill="auto"/>
          </w:tcPr>
          <w:p w:rsidR="00E24DB7" w:rsidRPr="002C5876" w:rsidRDefault="00E24DB7" w:rsidP="00E24DB7">
            <w:pPr>
              <w:suppressAutoHyphens w:val="0"/>
              <w:spacing w:before="60" w:after="60" w:line="220" w:lineRule="exact"/>
              <w:ind w:left="57" w:right="57"/>
              <w:rPr>
                <w:sz w:val="18"/>
              </w:rPr>
            </w:pPr>
            <w:r w:rsidRPr="002C5876">
              <w:rPr>
                <w:sz w:val="18"/>
              </w:rPr>
              <w:t>Classe 3a</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E24DB7" w:rsidRPr="002C5876" w:rsidRDefault="00E24DB7" w:rsidP="00E24DB7">
            <w:pPr>
              <w:suppressAutoHyphens w:val="0"/>
              <w:spacing w:before="60" w:after="60" w:line="220" w:lineRule="exact"/>
              <w:ind w:left="57" w:right="57"/>
              <w:rPr>
                <w:sz w:val="18"/>
              </w:rPr>
            </w:pPr>
            <w:r w:rsidRPr="002C5876">
              <w:rPr>
                <w:sz w:val="18"/>
              </w:rPr>
              <w:t>Low</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E24DB7" w:rsidRPr="002C5876" w:rsidRDefault="00E24DB7" w:rsidP="00E24DB7">
            <w:pPr>
              <w:suppressAutoHyphens w:val="0"/>
              <w:spacing w:before="60" w:after="60" w:line="220" w:lineRule="exact"/>
              <w:ind w:left="57" w:right="57"/>
              <w:jc w:val="right"/>
              <w:rPr>
                <w:sz w:val="18"/>
              </w:rPr>
            </w:pPr>
            <w:r w:rsidRPr="002C5876">
              <w:rPr>
                <w:sz w:val="18"/>
              </w:rPr>
              <w:t>11 140,3</w:t>
            </w:r>
          </w:p>
        </w:tc>
      </w:tr>
      <w:tr w:rsidR="00E24DB7" w:rsidRPr="002C5876" w:rsidTr="00E24DB7">
        <w:tc>
          <w:tcPr>
            <w:tcW w:w="2176" w:type="dxa"/>
            <w:vMerge/>
            <w:tcBorders>
              <w:top w:val="single" w:sz="4" w:space="0" w:color="auto"/>
              <w:left w:val="single" w:sz="4" w:space="0" w:color="auto"/>
              <w:bottom w:val="single" w:sz="4" w:space="0" w:color="auto"/>
              <w:right w:val="single" w:sz="4" w:space="0" w:color="auto"/>
            </w:tcBorders>
            <w:shd w:val="clear" w:color="auto" w:fill="auto"/>
          </w:tcPr>
          <w:p w:rsidR="00E24DB7" w:rsidRPr="002C5876" w:rsidRDefault="00E24DB7" w:rsidP="00E24DB7">
            <w:pPr>
              <w:suppressAutoHyphens w:val="0"/>
              <w:spacing w:before="60" w:after="60" w:line="220" w:lineRule="exact"/>
              <w:ind w:left="57" w:right="57"/>
              <w:rPr>
                <w:sz w:val="18"/>
              </w:rPr>
            </w:pP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E24DB7" w:rsidRPr="002C5876" w:rsidRDefault="00E24DB7" w:rsidP="00E24DB7">
            <w:pPr>
              <w:suppressAutoHyphens w:val="0"/>
              <w:spacing w:before="60" w:after="60" w:line="220" w:lineRule="exact"/>
              <w:ind w:left="57" w:right="57"/>
              <w:rPr>
                <w:sz w:val="18"/>
              </w:rPr>
            </w:pPr>
            <w:r w:rsidRPr="002C5876">
              <w:rPr>
                <w:sz w:val="18"/>
              </w:rPr>
              <w:t>Medium</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E24DB7" w:rsidRPr="002C5876" w:rsidRDefault="00E24DB7" w:rsidP="00E24DB7">
            <w:pPr>
              <w:suppressAutoHyphens w:val="0"/>
              <w:spacing w:before="60" w:after="60" w:line="220" w:lineRule="exact"/>
              <w:ind w:left="57" w:right="57"/>
              <w:jc w:val="right"/>
              <w:rPr>
                <w:sz w:val="18"/>
              </w:rPr>
            </w:pPr>
            <w:r w:rsidRPr="002C5876">
              <w:rPr>
                <w:sz w:val="18"/>
              </w:rPr>
              <w:t>16 995,7</w:t>
            </w:r>
          </w:p>
        </w:tc>
      </w:tr>
      <w:tr w:rsidR="00E24DB7" w:rsidRPr="002C5876" w:rsidTr="00E24DB7">
        <w:tc>
          <w:tcPr>
            <w:tcW w:w="2176" w:type="dxa"/>
            <w:vMerge/>
            <w:tcBorders>
              <w:top w:val="single" w:sz="4" w:space="0" w:color="auto"/>
              <w:left w:val="single" w:sz="4" w:space="0" w:color="auto"/>
              <w:bottom w:val="single" w:sz="4" w:space="0" w:color="auto"/>
              <w:right w:val="single" w:sz="4" w:space="0" w:color="auto"/>
            </w:tcBorders>
            <w:shd w:val="clear" w:color="auto" w:fill="auto"/>
          </w:tcPr>
          <w:p w:rsidR="00E24DB7" w:rsidRPr="002C5876" w:rsidRDefault="00E24DB7" w:rsidP="00E24DB7">
            <w:pPr>
              <w:suppressAutoHyphens w:val="0"/>
              <w:spacing w:before="60" w:after="60" w:line="220" w:lineRule="exact"/>
              <w:ind w:left="57" w:right="57"/>
              <w:rPr>
                <w:sz w:val="18"/>
              </w:rPr>
            </w:pP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E24DB7" w:rsidRPr="002C5876" w:rsidRDefault="00E24DB7" w:rsidP="00E24DB7">
            <w:pPr>
              <w:suppressAutoHyphens w:val="0"/>
              <w:spacing w:before="60" w:after="60" w:line="220" w:lineRule="exact"/>
              <w:ind w:left="57" w:right="57"/>
              <w:rPr>
                <w:sz w:val="18"/>
              </w:rPr>
            </w:pPr>
            <w:r w:rsidRPr="002C5876">
              <w:rPr>
                <w:sz w:val="18"/>
              </w:rPr>
              <w:t>High</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E24DB7" w:rsidRPr="002C5876" w:rsidRDefault="00E24DB7" w:rsidP="00E24DB7">
            <w:pPr>
              <w:suppressAutoHyphens w:val="0"/>
              <w:spacing w:before="60" w:after="60" w:line="220" w:lineRule="exact"/>
              <w:ind w:left="57" w:right="57"/>
              <w:jc w:val="right"/>
              <w:rPr>
                <w:sz w:val="18"/>
              </w:rPr>
            </w:pPr>
            <w:r w:rsidRPr="002C5876">
              <w:rPr>
                <w:sz w:val="18"/>
              </w:rPr>
              <w:t>25 646,0</w:t>
            </w:r>
          </w:p>
        </w:tc>
      </w:tr>
      <w:tr w:rsidR="00E24DB7" w:rsidRPr="002C5876" w:rsidTr="00E24DB7">
        <w:tc>
          <w:tcPr>
            <w:tcW w:w="2176" w:type="dxa"/>
            <w:vMerge/>
            <w:tcBorders>
              <w:top w:val="single" w:sz="4" w:space="0" w:color="auto"/>
              <w:left w:val="single" w:sz="4" w:space="0" w:color="auto"/>
              <w:bottom w:val="single" w:sz="4" w:space="0" w:color="auto"/>
              <w:right w:val="single" w:sz="4" w:space="0" w:color="auto"/>
            </w:tcBorders>
            <w:shd w:val="clear" w:color="auto" w:fill="auto"/>
          </w:tcPr>
          <w:p w:rsidR="00E24DB7" w:rsidRPr="002C5876" w:rsidRDefault="00E24DB7" w:rsidP="00E24DB7">
            <w:pPr>
              <w:suppressAutoHyphens w:val="0"/>
              <w:spacing w:before="60" w:after="60" w:line="220" w:lineRule="exact"/>
              <w:ind w:left="57" w:right="57"/>
              <w:rPr>
                <w:sz w:val="18"/>
              </w:rPr>
            </w:pP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E24DB7" w:rsidRPr="002C5876" w:rsidRDefault="00E24DB7" w:rsidP="00E24DB7">
            <w:pPr>
              <w:suppressAutoHyphens w:val="0"/>
              <w:spacing w:before="60" w:after="60" w:line="220" w:lineRule="exact"/>
              <w:ind w:left="57" w:right="57"/>
              <w:rPr>
                <w:sz w:val="18"/>
              </w:rPr>
            </w:pPr>
            <w:r w:rsidRPr="002C5876">
              <w:rPr>
                <w:sz w:val="18"/>
              </w:rPr>
              <w:t>Extra High</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E24DB7" w:rsidRPr="002C5876" w:rsidRDefault="00E24DB7" w:rsidP="00E24DB7">
            <w:pPr>
              <w:suppressAutoHyphens w:val="0"/>
              <w:spacing w:before="60" w:after="60" w:line="220" w:lineRule="exact"/>
              <w:ind w:left="57" w:right="57"/>
              <w:jc w:val="right"/>
              <w:rPr>
                <w:sz w:val="18"/>
              </w:rPr>
            </w:pPr>
            <w:r w:rsidRPr="002C5876">
              <w:rPr>
                <w:sz w:val="18"/>
              </w:rPr>
              <w:t>29 714,9</w:t>
            </w:r>
          </w:p>
        </w:tc>
      </w:tr>
      <w:tr w:rsidR="00E24DB7" w:rsidRPr="002C5876" w:rsidTr="00E24DB7">
        <w:tc>
          <w:tcPr>
            <w:tcW w:w="2176" w:type="dxa"/>
            <w:vMerge/>
            <w:tcBorders>
              <w:top w:val="single" w:sz="4" w:space="0" w:color="auto"/>
              <w:left w:val="single" w:sz="4" w:space="0" w:color="auto"/>
              <w:bottom w:val="single" w:sz="4" w:space="0" w:color="auto"/>
              <w:right w:val="single" w:sz="4" w:space="0" w:color="auto"/>
            </w:tcBorders>
            <w:shd w:val="clear" w:color="auto" w:fill="auto"/>
          </w:tcPr>
          <w:p w:rsidR="00E24DB7" w:rsidRPr="002C5876" w:rsidRDefault="00E24DB7" w:rsidP="00E24DB7">
            <w:pPr>
              <w:suppressAutoHyphens w:val="0"/>
              <w:spacing w:before="60" w:after="60" w:line="220" w:lineRule="exact"/>
              <w:ind w:left="57" w:right="57"/>
              <w:rPr>
                <w:sz w:val="18"/>
              </w:rPr>
            </w:pP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E24DB7" w:rsidRPr="002C5876" w:rsidRDefault="00E24DB7" w:rsidP="00E24DB7">
            <w:pPr>
              <w:suppressAutoHyphens w:val="0"/>
              <w:spacing w:before="60" w:after="60" w:line="220" w:lineRule="exact"/>
              <w:ind w:left="57" w:right="57"/>
              <w:rPr>
                <w:sz w:val="18"/>
              </w:rPr>
            </w:pPr>
            <w:r w:rsidRPr="002C5876">
              <w:rPr>
                <w:sz w:val="18"/>
              </w:rPr>
              <w:t>Total</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E24DB7" w:rsidRPr="002C5876" w:rsidRDefault="00E24DB7" w:rsidP="00E24DB7">
            <w:pPr>
              <w:suppressAutoHyphens w:val="0"/>
              <w:spacing w:before="60" w:after="60" w:line="220" w:lineRule="exact"/>
              <w:ind w:left="57" w:right="57"/>
              <w:jc w:val="right"/>
              <w:rPr>
                <w:sz w:val="18"/>
              </w:rPr>
            </w:pPr>
            <w:r w:rsidRPr="002C5876">
              <w:rPr>
                <w:sz w:val="18"/>
              </w:rPr>
              <w:t>83 496,9</w:t>
            </w:r>
          </w:p>
        </w:tc>
      </w:tr>
      <w:tr w:rsidR="00E24DB7" w:rsidRPr="002C5876" w:rsidTr="00E24DB7">
        <w:tc>
          <w:tcPr>
            <w:tcW w:w="2176" w:type="dxa"/>
            <w:vMerge w:val="restart"/>
            <w:tcBorders>
              <w:top w:val="single" w:sz="4" w:space="0" w:color="auto"/>
              <w:left w:val="single" w:sz="4" w:space="0" w:color="auto"/>
              <w:bottom w:val="single" w:sz="4" w:space="0" w:color="auto"/>
              <w:right w:val="single" w:sz="4" w:space="0" w:color="auto"/>
            </w:tcBorders>
            <w:shd w:val="clear" w:color="auto" w:fill="auto"/>
          </w:tcPr>
          <w:p w:rsidR="00E24DB7" w:rsidRPr="002C5876" w:rsidRDefault="00E24DB7" w:rsidP="00E24DB7">
            <w:pPr>
              <w:suppressAutoHyphens w:val="0"/>
              <w:spacing w:before="60" w:after="60" w:line="220" w:lineRule="exact"/>
              <w:ind w:left="57" w:right="57"/>
              <w:rPr>
                <w:sz w:val="18"/>
              </w:rPr>
            </w:pPr>
            <w:r w:rsidRPr="002C5876">
              <w:rPr>
                <w:sz w:val="18"/>
              </w:rPr>
              <w:t>Classe 3b</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E24DB7" w:rsidRPr="002C5876" w:rsidRDefault="00E24DB7" w:rsidP="00E24DB7">
            <w:pPr>
              <w:suppressAutoHyphens w:val="0"/>
              <w:spacing w:before="60" w:after="60" w:line="220" w:lineRule="exact"/>
              <w:ind w:left="57" w:right="57"/>
              <w:rPr>
                <w:sz w:val="18"/>
              </w:rPr>
            </w:pPr>
            <w:r w:rsidRPr="002C5876">
              <w:rPr>
                <w:sz w:val="18"/>
              </w:rPr>
              <w:t>Low</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E24DB7" w:rsidRPr="002C5876" w:rsidRDefault="00E24DB7" w:rsidP="00E24DB7">
            <w:pPr>
              <w:suppressAutoHyphens w:val="0"/>
              <w:spacing w:before="60" w:after="60" w:line="220" w:lineRule="exact"/>
              <w:ind w:left="57" w:right="57"/>
              <w:jc w:val="right"/>
              <w:rPr>
                <w:sz w:val="18"/>
              </w:rPr>
            </w:pPr>
            <w:r w:rsidRPr="002C5876">
              <w:rPr>
                <w:sz w:val="18"/>
              </w:rPr>
              <w:t>11 140,3</w:t>
            </w:r>
          </w:p>
        </w:tc>
      </w:tr>
      <w:tr w:rsidR="00E24DB7" w:rsidRPr="002C5876" w:rsidTr="00E24DB7">
        <w:tc>
          <w:tcPr>
            <w:tcW w:w="2176" w:type="dxa"/>
            <w:vMerge/>
            <w:tcBorders>
              <w:top w:val="single" w:sz="4" w:space="0" w:color="auto"/>
              <w:left w:val="single" w:sz="4" w:space="0" w:color="auto"/>
              <w:bottom w:val="single" w:sz="4" w:space="0" w:color="auto"/>
              <w:right w:val="single" w:sz="4" w:space="0" w:color="auto"/>
            </w:tcBorders>
            <w:shd w:val="clear" w:color="auto" w:fill="auto"/>
          </w:tcPr>
          <w:p w:rsidR="00E24DB7" w:rsidRPr="002C5876" w:rsidRDefault="00E24DB7" w:rsidP="00E24DB7">
            <w:pPr>
              <w:suppressAutoHyphens w:val="0"/>
              <w:spacing w:before="60" w:after="60" w:line="220" w:lineRule="exact"/>
              <w:ind w:left="57" w:right="57"/>
              <w:rPr>
                <w:sz w:val="18"/>
              </w:rPr>
            </w:pP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E24DB7" w:rsidRPr="002C5876" w:rsidRDefault="00E24DB7" w:rsidP="00E24DB7">
            <w:pPr>
              <w:suppressAutoHyphens w:val="0"/>
              <w:spacing w:before="60" w:after="60" w:line="220" w:lineRule="exact"/>
              <w:ind w:left="57" w:right="57"/>
              <w:rPr>
                <w:sz w:val="18"/>
              </w:rPr>
            </w:pPr>
            <w:r w:rsidRPr="002C5876">
              <w:rPr>
                <w:sz w:val="18"/>
              </w:rPr>
              <w:t>Medium</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E24DB7" w:rsidRPr="002C5876" w:rsidRDefault="00E24DB7" w:rsidP="00E24DB7">
            <w:pPr>
              <w:suppressAutoHyphens w:val="0"/>
              <w:spacing w:before="60" w:after="60" w:line="220" w:lineRule="exact"/>
              <w:ind w:left="57" w:right="57"/>
              <w:jc w:val="right"/>
              <w:rPr>
                <w:sz w:val="18"/>
              </w:rPr>
            </w:pPr>
            <w:r w:rsidRPr="002C5876">
              <w:rPr>
                <w:sz w:val="18"/>
              </w:rPr>
              <w:t>17 121,2</w:t>
            </w:r>
          </w:p>
        </w:tc>
      </w:tr>
      <w:tr w:rsidR="00E24DB7" w:rsidRPr="002C5876" w:rsidTr="00E24DB7">
        <w:tc>
          <w:tcPr>
            <w:tcW w:w="2176" w:type="dxa"/>
            <w:vMerge/>
            <w:tcBorders>
              <w:top w:val="single" w:sz="4" w:space="0" w:color="auto"/>
              <w:left w:val="single" w:sz="4" w:space="0" w:color="auto"/>
              <w:bottom w:val="single" w:sz="4" w:space="0" w:color="auto"/>
              <w:right w:val="single" w:sz="4" w:space="0" w:color="auto"/>
            </w:tcBorders>
            <w:shd w:val="clear" w:color="auto" w:fill="auto"/>
          </w:tcPr>
          <w:p w:rsidR="00E24DB7" w:rsidRPr="002C5876" w:rsidRDefault="00E24DB7" w:rsidP="00E24DB7">
            <w:pPr>
              <w:suppressAutoHyphens w:val="0"/>
              <w:spacing w:before="60" w:after="60" w:line="220" w:lineRule="exact"/>
              <w:ind w:left="57" w:right="57"/>
              <w:rPr>
                <w:sz w:val="18"/>
              </w:rPr>
            </w:pP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E24DB7" w:rsidRPr="002C5876" w:rsidRDefault="00E24DB7" w:rsidP="00E24DB7">
            <w:pPr>
              <w:suppressAutoHyphens w:val="0"/>
              <w:spacing w:before="60" w:after="60" w:line="220" w:lineRule="exact"/>
              <w:ind w:left="57" w:right="57"/>
              <w:rPr>
                <w:sz w:val="18"/>
              </w:rPr>
            </w:pPr>
            <w:r w:rsidRPr="002C5876">
              <w:rPr>
                <w:sz w:val="18"/>
              </w:rPr>
              <w:t>High</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E24DB7" w:rsidRPr="002C5876" w:rsidRDefault="00E24DB7" w:rsidP="00E24DB7">
            <w:pPr>
              <w:suppressAutoHyphens w:val="0"/>
              <w:spacing w:before="60" w:after="60" w:line="220" w:lineRule="exact"/>
              <w:ind w:left="57" w:right="57"/>
              <w:jc w:val="right"/>
              <w:rPr>
                <w:sz w:val="18"/>
              </w:rPr>
            </w:pPr>
            <w:r w:rsidRPr="002C5876">
              <w:rPr>
                <w:sz w:val="18"/>
              </w:rPr>
              <w:t>25 782,2</w:t>
            </w:r>
          </w:p>
        </w:tc>
      </w:tr>
      <w:tr w:rsidR="00E24DB7" w:rsidRPr="002C5876" w:rsidTr="00E24DB7">
        <w:tc>
          <w:tcPr>
            <w:tcW w:w="2176" w:type="dxa"/>
            <w:vMerge/>
            <w:tcBorders>
              <w:top w:val="single" w:sz="4" w:space="0" w:color="auto"/>
              <w:left w:val="single" w:sz="4" w:space="0" w:color="auto"/>
              <w:bottom w:val="single" w:sz="4" w:space="0" w:color="auto"/>
              <w:right w:val="single" w:sz="4" w:space="0" w:color="auto"/>
            </w:tcBorders>
            <w:shd w:val="clear" w:color="auto" w:fill="auto"/>
          </w:tcPr>
          <w:p w:rsidR="00E24DB7" w:rsidRPr="002C5876" w:rsidRDefault="00E24DB7" w:rsidP="00E24DB7">
            <w:pPr>
              <w:suppressAutoHyphens w:val="0"/>
              <w:spacing w:before="60" w:after="60" w:line="220" w:lineRule="exact"/>
              <w:ind w:left="57" w:right="57"/>
              <w:rPr>
                <w:sz w:val="18"/>
              </w:rPr>
            </w:pP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E24DB7" w:rsidRPr="002C5876" w:rsidRDefault="00E24DB7" w:rsidP="00E24DB7">
            <w:pPr>
              <w:suppressAutoHyphens w:val="0"/>
              <w:spacing w:before="60" w:after="60" w:line="220" w:lineRule="exact"/>
              <w:ind w:left="57" w:right="57"/>
              <w:rPr>
                <w:sz w:val="18"/>
              </w:rPr>
            </w:pPr>
            <w:r w:rsidRPr="002C5876">
              <w:rPr>
                <w:sz w:val="18"/>
              </w:rPr>
              <w:t>Extra High</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rsidR="00E24DB7" w:rsidRPr="002C5876" w:rsidRDefault="00E24DB7" w:rsidP="00E24DB7">
            <w:pPr>
              <w:suppressAutoHyphens w:val="0"/>
              <w:spacing w:before="60" w:after="60" w:line="220" w:lineRule="exact"/>
              <w:ind w:left="57" w:right="57"/>
              <w:jc w:val="right"/>
              <w:rPr>
                <w:sz w:val="18"/>
              </w:rPr>
            </w:pPr>
            <w:r w:rsidRPr="002C5876">
              <w:rPr>
                <w:sz w:val="18"/>
              </w:rPr>
              <w:t>29 714,9</w:t>
            </w:r>
          </w:p>
        </w:tc>
      </w:tr>
      <w:tr w:rsidR="00E24DB7" w:rsidRPr="002C5876" w:rsidTr="00E24DB7">
        <w:tc>
          <w:tcPr>
            <w:tcW w:w="2176" w:type="dxa"/>
            <w:vMerge/>
            <w:tcBorders>
              <w:top w:val="single" w:sz="4" w:space="0" w:color="auto"/>
              <w:left w:val="single" w:sz="4" w:space="0" w:color="auto"/>
              <w:bottom w:val="single" w:sz="12" w:space="0" w:color="auto"/>
              <w:right w:val="single" w:sz="4" w:space="0" w:color="auto"/>
            </w:tcBorders>
            <w:shd w:val="clear" w:color="auto" w:fill="auto"/>
          </w:tcPr>
          <w:p w:rsidR="00E24DB7" w:rsidRPr="002C5876" w:rsidRDefault="00E24DB7" w:rsidP="00E24DB7">
            <w:pPr>
              <w:suppressAutoHyphens w:val="0"/>
              <w:spacing w:before="60" w:after="60" w:line="220" w:lineRule="exact"/>
              <w:ind w:left="57" w:right="57"/>
              <w:rPr>
                <w:sz w:val="18"/>
              </w:rPr>
            </w:pPr>
          </w:p>
        </w:tc>
        <w:tc>
          <w:tcPr>
            <w:tcW w:w="2597" w:type="dxa"/>
            <w:tcBorders>
              <w:top w:val="single" w:sz="4" w:space="0" w:color="auto"/>
              <w:left w:val="single" w:sz="4" w:space="0" w:color="auto"/>
              <w:bottom w:val="single" w:sz="12" w:space="0" w:color="auto"/>
              <w:right w:val="single" w:sz="4" w:space="0" w:color="auto"/>
            </w:tcBorders>
            <w:shd w:val="clear" w:color="auto" w:fill="auto"/>
            <w:vAlign w:val="bottom"/>
          </w:tcPr>
          <w:p w:rsidR="00E24DB7" w:rsidRPr="002C5876" w:rsidRDefault="00E24DB7" w:rsidP="00E24DB7">
            <w:pPr>
              <w:suppressAutoHyphens w:val="0"/>
              <w:spacing w:before="60" w:after="60" w:line="220" w:lineRule="exact"/>
              <w:ind w:left="57" w:right="57"/>
              <w:rPr>
                <w:sz w:val="18"/>
              </w:rPr>
            </w:pPr>
            <w:r w:rsidRPr="002C5876">
              <w:rPr>
                <w:sz w:val="18"/>
              </w:rPr>
              <w:t>Total</w:t>
            </w:r>
          </w:p>
        </w:tc>
        <w:tc>
          <w:tcPr>
            <w:tcW w:w="2597" w:type="dxa"/>
            <w:tcBorders>
              <w:top w:val="single" w:sz="4" w:space="0" w:color="auto"/>
              <w:left w:val="single" w:sz="4" w:space="0" w:color="auto"/>
              <w:bottom w:val="single" w:sz="12" w:space="0" w:color="auto"/>
              <w:right w:val="single" w:sz="4" w:space="0" w:color="auto"/>
            </w:tcBorders>
            <w:shd w:val="clear" w:color="auto" w:fill="auto"/>
            <w:vAlign w:val="bottom"/>
          </w:tcPr>
          <w:p w:rsidR="00E24DB7" w:rsidRPr="002C5876" w:rsidRDefault="00E24DB7" w:rsidP="00E24DB7">
            <w:pPr>
              <w:suppressAutoHyphens w:val="0"/>
              <w:spacing w:before="60" w:after="60" w:line="220" w:lineRule="exact"/>
              <w:ind w:left="57" w:right="57"/>
              <w:jc w:val="right"/>
              <w:rPr>
                <w:sz w:val="18"/>
              </w:rPr>
            </w:pPr>
            <w:r w:rsidRPr="002C5876">
              <w:rPr>
                <w:sz w:val="18"/>
              </w:rPr>
              <w:t>83 758,6</w:t>
            </w:r>
          </w:p>
        </w:tc>
      </w:tr>
    </w:tbl>
    <w:p w:rsidR="00E24DB7" w:rsidRPr="002C5876" w:rsidRDefault="00E24DB7" w:rsidP="00E24DB7">
      <w:pPr>
        <w:pStyle w:val="SingleTxtG"/>
        <w:keepNext/>
        <w:keepLines/>
        <w:spacing w:before="240"/>
      </w:pPr>
      <w:r w:rsidRPr="002C5876">
        <w:t>8.</w:t>
      </w:r>
      <w:r w:rsidRPr="002C5876">
        <w:tab/>
      </w:r>
      <w:r w:rsidRPr="002C5876">
        <w:tab/>
        <w:t>Modification du cycle</w:t>
      </w:r>
    </w:p>
    <w:p w:rsidR="00E24DB7" w:rsidRPr="002C5876" w:rsidRDefault="00E24DB7" w:rsidP="00E24DB7">
      <w:pPr>
        <w:pStyle w:val="SingleTxtG"/>
        <w:ind w:left="2268"/>
      </w:pPr>
      <w:r w:rsidRPr="002C5876">
        <w:t>Le présent paragraphe ne s’applique pas aux VHE-RE, VHE</w:t>
      </w:r>
      <w:r w:rsidRPr="002C5876">
        <w:noBreakHyphen/>
        <w:t>NRE et VHPC</w:t>
      </w:r>
      <w:r w:rsidRPr="002C5876">
        <w:noBreakHyphen/>
        <w:t>NRE.</w:t>
      </w:r>
    </w:p>
    <w:p w:rsidR="00E24DB7" w:rsidRPr="002C5876" w:rsidRDefault="00E24DB7" w:rsidP="00E24DB7">
      <w:pPr>
        <w:pStyle w:val="SingleTxtG"/>
        <w:keepNext/>
        <w:ind w:left="2268" w:hanging="1134"/>
        <w:jc w:val="left"/>
      </w:pPr>
      <w:r w:rsidRPr="002C5876">
        <w:t>8.1</w:t>
      </w:r>
      <w:r w:rsidRPr="002C5876">
        <w:tab/>
      </w:r>
      <w:r w:rsidRPr="002C5876">
        <w:tab/>
        <w:t>Observations générales</w:t>
      </w:r>
    </w:p>
    <w:p w:rsidR="00E24DB7" w:rsidRPr="002C5876" w:rsidRDefault="00E24DB7" w:rsidP="00E24DB7">
      <w:pPr>
        <w:pStyle w:val="SingleTxtG"/>
        <w:ind w:left="2268"/>
      </w:pPr>
      <w:r w:rsidRPr="002C5876">
        <w:t>Des problèmes de faisabilité du cycle peuvent se poser pour les véhicules dont le rapport puissance/masse est proche de la limite entre la classe 1 et la classe 2, la classe 2 et la classe 3 ou pour les véhicules de la classe 1 ayant une très faible puissance.</w:t>
      </w:r>
    </w:p>
    <w:p w:rsidR="00E24DB7" w:rsidRPr="002C5876" w:rsidRDefault="00E24DB7" w:rsidP="00E24DB7">
      <w:pPr>
        <w:pStyle w:val="SingleTxtG"/>
        <w:ind w:left="2268"/>
      </w:pPr>
      <w:r w:rsidRPr="002C5876">
        <w:t>Étant donné que ces problèmes sont dus principalement à des phases du cycle combinant une grande vitesse du véhicule et de fortes accélérations, plutôt qu’à la vitesse maximale dans le cycle, on a recours à un réajustement de la vitesse pour améliorer la conduite.</w:t>
      </w:r>
    </w:p>
    <w:p w:rsidR="00E24DB7" w:rsidRPr="002C5876" w:rsidRDefault="00E24DB7" w:rsidP="00E24DB7">
      <w:pPr>
        <w:pStyle w:val="SingleTxtG"/>
        <w:keepNext/>
        <w:ind w:left="2268" w:hanging="1134"/>
        <w:jc w:val="left"/>
      </w:pPr>
      <w:r w:rsidRPr="002C5876">
        <w:lastRenderedPageBreak/>
        <w:t>8.2</w:t>
      </w:r>
      <w:r w:rsidRPr="002C5876">
        <w:tab/>
      </w:r>
      <w:r w:rsidRPr="002C5876">
        <w:tab/>
        <w:t>La méthode de modification du cycle par réajustement de la vitesse est présentée ci-après.</w:t>
      </w:r>
    </w:p>
    <w:p w:rsidR="00E24DB7" w:rsidRPr="002C5876" w:rsidRDefault="00E24DB7" w:rsidP="00E24DB7">
      <w:pPr>
        <w:pStyle w:val="SingleTxtG"/>
        <w:keepNext/>
        <w:ind w:left="2268" w:hanging="1134"/>
        <w:jc w:val="left"/>
      </w:pPr>
      <w:r w:rsidRPr="002C5876">
        <w:t>8.2.1</w:t>
      </w:r>
      <w:r w:rsidRPr="002C5876">
        <w:tab/>
      </w:r>
      <w:r w:rsidRPr="002C5876">
        <w:tab/>
        <w:t>Procédure de réajustement de la vitesse pour les véhicules de la classe 1</w:t>
      </w:r>
    </w:p>
    <w:p w:rsidR="00E24DB7" w:rsidRPr="002C5876" w:rsidRDefault="00E24DB7" w:rsidP="00E24DB7">
      <w:pPr>
        <w:pStyle w:val="SingleTxtG"/>
        <w:ind w:left="2268"/>
      </w:pPr>
      <w:r w:rsidRPr="002C5876">
        <w:t>La figure A1/14 montre, à titre d’exemple, une phase à vitesse moyenne réajustée du cycle WLTC pour les véhicules de la classe 1.</w:t>
      </w:r>
    </w:p>
    <w:p w:rsidR="00E24DB7" w:rsidRPr="002C5876" w:rsidRDefault="00E24DB7" w:rsidP="00E24DB7">
      <w:pPr>
        <w:pStyle w:val="H23G"/>
      </w:pPr>
      <w:r w:rsidRPr="002C5876">
        <w:tab/>
      </w:r>
      <w:r w:rsidRPr="002C5876">
        <w:tab/>
      </w:r>
      <w:r w:rsidRPr="002C5876">
        <w:rPr>
          <w:b w:val="0"/>
        </w:rPr>
        <w:t xml:space="preserve">Figure A1/14 </w:t>
      </w:r>
      <w:r w:rsidRPr="002C5876">
        <w:rPr>
          <w:b w:val="0"/>
        </w:rPr>
        <w:br/>
      </w:r>
      <w:r w:rsidRPr="002C5876">
        <w:t xml:space="preserve">Réajustement de la vitesse de la phase à vitesse moyenne du cycle WLTC </w:t>
      </w:r>
      <w:r w:rsidRPr="002C5876">
        <w:br/>
        <w:t>pour les véhicules de la classe 1</w:t>
      </w:r>
    </w:p>
    <w:p w:rsidR="00E24DB7" w:rsidRPr="002C5876" w:rsidRDefault="00E24DB7" w:rsidP="00E24DB7">
      <w:pPr>
        <w:pStyle w:val="SingleTxtG"/>
      </w:pPr>
      <w:r w:rsidRPr="002C5876">
        <w:rPr>
          <w:noProof/>
          <w:lang w:val="en-GB" w:eastAsia="zh-CN"/>
        </w:rPr>
        <w:drawing>
          <wp:inline distT="0" distB="0" distL="0" distR="0" wp14:anchorId="46D462F2" wp14:editId="5CE4B67A">
            <wp:extent cx="5400675" cy="3200400"/>
            <wp:effectExtent l="0" t="0" r="9525" b="0"/>
            <wp:docPr id="10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675" cy="3200400"/>
                    </a:xfrm>
                    <a:prstGeom prst="rect">
                      <a:avLst/>
                    </a:prstGeom>
                    <a:noFill/>
                    <a:ln>
                      <a:noFill/>
                    </a:ln>
                  </pic:spPr>
                </pic:pic>
              </a:graphicData>
            </a:graphic>
          </wp:inline>
        </w:drawing>
      </w:r>
    </w:p>
    <w:p w:rsidR="00E24DB7" w:rsidRPr="002C5876" w:rsidRDefault="00E24DB7" w:rsidP="00E24DB7">
      <w:pPr>
        <w:pStyle w:val="SingleTxtG"/>
        <w:spacing w:before="240"/>
        <w:ind w:left="2268"/>
      </w:pPr>
      <w:r w:rsidRPr="002C5876">
        <w:tab/>
        <w:t>Pour le cycle applicable aux véhicules de la classe 1, la période de réajustement de la vitesse est la période comprise entre la seconde 651 et la seconde 906. Au cours de cette période, l’accélération sur le cycle original est calculée au moyen de l’équation suivante :</w:t>
      </w:r>
    </w:p>
    <w:p w:rsidR="00E24DB7" w:rsidRPr="002C5876" w:rsidRDefault="00731CA6" w:rsidP="00E24DB7">
      <w:pPr>
        <w:pStyle w:val="SingleTxtG"/>
        <w:keepNext/>
        <w:spacing w:after="240" w:line="220" w:lineRule="atLeast"/>
        <w:ind w:left="2268"/>
      </w:pPr>
      <m:oMathPara>
        <m:oMath>
          <m:sSub>
            <m:sSubPr>
              <m:ctrlPr>
                <w:rPr>
                  <w:rFonts w:ascii="Cambria Math" w:hAnsi="Cambria Math"/>
                  <w:szCs w:val="24"/>
                </w:rPr>
              </m:ctrlPr>
            </m:sSubPr>
            <m:e>
              <m:r>
                <m:rPr>
                  <m:sty m:val="p"/>
                </m:rPr>
                <w:rPr>
                  <w:rFonts w:ascii="Cambria Math" w:hAnsi="Cambria Math"/>
                  <w:szCs w:val="24"/>
                </w:rPr>
                <m:t>a</m:t>
              </m:r>
            </m:e>
            <m:sub>
              <m:sSub>
                <m:sSubPr>
                  <m:ctrlPr>
                    <w:rPr>
                      <w:rFonts w:ascii="Cambria Math" w:hAnsi="Cambria Math"/>
                      <w:szCs w:val="24"/>
                    </w:rPr>
                  </m:ctrlPr>
                </m:sSubPr>
                <m:e>
                  <m:r>
                    <m:rPr>
                      <m:sty m:val="p"/>
                    </m:rPr>
                    <w:rPr>
                      <w:rFonts w:ascii="Cambria Math" w:hAnsi="Cambria Math"/>
                      <w:szCs w:val="24"/>
                    </w:rPr>
                    <m:t>orig</m:t>
                  </m:r>
                </m:e>
                <m:sub>
                  <m:r>
                    <m:rPr>
                      <m:sty m:val="p"/>
                    </m:rPr>
                    <w:rPr>
                      <w:rFonts w:ascii="Cambria Math" w:hAnsi="Cambria Math"/>
                      <w:szCs w:val="24"/>
                    </w:rPr>
                    <m:t>i</m:t>
                  </m:r>
                </m:sub>
              </m:sSub>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i+1</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m:t>
                  </m:r>
                </m:sub>
              </m:sSub>
            </m:num>
            <m:den>
              <m:r>
                <m:rPr>
                  <m:sty m:val="p"/>
                </m:rPr>
                <w:rPr>
                  <w:rFonts w:ascii="Cambria Math" w:hAnsi="Cambria Math"/>
                  <w:szCs w:val="24"/>
                </w:rPr>
                <m:t>3,6</m:t>
              </m:r>
            </m:den>
          </m:f>
        </m:oMath>
      </m:oMathPara>
    </w:p>
    <w:p w:rsidR="00E24DB7" w:rsidRPr="002C5876" w:rsidRDefault="00E24DB7" w:rsidP="00E24DB7">
      <w:pPr>
        <w:pStyle w:val="SingleTxtG"/>
        <w:spacing w:line="220" w:lineRule="atLeast"/>
        <w:ind w:left="2268"/>
      </w:pPr>
      <w:r w:rsidRPr="002C5876">
        <w:tab/>
        <w:t>où :</w:t>
      </w:r>
    </w:p>
    <w:p w:rsidR="00E24DB7" w:rsidRPr="002C5876" w:rsidRDefault="00E24DB7" w:rsidP="00E24DB7">
      <w:pPr>
        <w:pStyle w:val="SingleTxtG"/>
        <w:spacing w:line="220" w:lineRule="atLeast"/>
        <w:ind w:left="2268"/>
      </w:pPr>
      <w:r w:rsidRPr="002C5876">
        <w:tab/>
        <w:t>v</w:t>
      </w:r>
      <w:r w:rsidRPr="002C5876">
        <w:rPr>
          <w:vertAlign w:val="subscript"/>
        </w:rPr>
        <w:t>i</w:t>
      </w:r>
      <w:r w:rsidRPr="002C5876">
        <w:tab/>
        <w:t>est la vitesse du véhicule, en km/h ;</w:t>
      </w:r>
    </w:p>
    <w:p w:rsidR="00E24DB7" w:rsidRPr="002C5876" w:rsidRDefault="00E24DB7" w:rsidP="00E24DB7">
      <w:pPr>
        <w:pStyle w:val="SingleTxtG"/>
        <w:spacing w:line="220" w:lineRule="atLeast"/>
        <w:ind w:left="2268"/>
      </w:pPr>
      <w:r w:rsidRPr="002C5876">
        <w:tab/>
        <w:t>i</w:t>
      </w:r>
      <w:r w:rsidRPr="002C5876">
        <w:tab/>
        <w:t>est la période entre la seconde 651 et la seconde 906.</w:t>
      </w:r>
    </w:p>
    <w:p w:rsidR="00E24DB7" w:rsidRPr="002C5876" w:rsidRDefault="00E24DB7" w:rsidP="00E24DB7">
      <w:pPr>
        <w:pStyle w:val="SingleTxtG"/>
        <w:keepNext/>
        <w:spacing w:line="220" w:lineRule="atLeast"/>
        <w:ind w:left="2268"/>
      </w:pPr>
      <w:r w:rsidRPr="002C5876">
        <w:tab/>
        <w:t>Le réajustement de la vitesse a lieu dans un premier temps durant la période comprise entre les secondes 651 et 848. La courbe de la vitesse réajustée est calculée au moyen de l’équation suivante :</w:t>
      </w:r>
    </w:p>
    <w:p w:rsidR="00E24DB7" w:rsidRPr="002C5876" w:rsidRDefault="00731CA6" w:rsidP="00E24DB7">
      <w:pPr>
        <w:pStyle w:val="SingleTxtG"/>
        <w:keepNext/>
        <w:spacing w:after="240" w:line="220" w:lineRule="atLeast"/>
        <w:ind w:left="2268"/>
      </w:pPr>
      <m:oMathPara>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ds</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i+1</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sSub>
                <m:sSubPr>
                  <m:ctrlPr>
                    <w:rPr>
                      <w:rFonts w:ascii="Cambria Math" w:hAnsi="Cambria Math"/>
                    </w:rPr>
                  </m:ctrlPr>
                </m:sSubPr>
                <m:e>
                  <m:r>
                    <m:rPr>
                      <m:sty m:val="p"/>
                    </m:rPr>
                    <w:rPr>
                      <w:rFonts w:ascii="Cambria Math" w:hAnsi="Cambria Math"/>
                    </w:rPr>
                    <m:t>dsc</m:t>
                  </m:r>
                </m:e>
                <m:sub>
                  <m:r>
                    <m:rPr>
                      <m:sty m:val="p"/>
                    </m:rPr>
                    <w:rPr>
                      <w:rFonts w:ascii="Cambria Math" w:hAnsi="Cambria Math"/>
                    </w:rPr>
                    <m:t>i</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sSub>
                <m:sSubPr>
                  <m:ctrlPr>
                    <w:rPr>
                      <w:rFonts w:ascii="Cambria Math" w:hAnsi="Cambria Math"/>
                    </w:rPr>
                  </m:ctrlPr>
                </m:sSubPr>
                <m:e>
                  <m:r>
                    <m:rPr>
                      <m:sty m:val="p"/>
                    </m:rPr>
                    <w:rPr>
                      <w:rFonts w:ascii="Cambria Math" w:hAnsi="Cambria Math"/>
                    </w:rPr>
                    <m:t>orig</m:t>
                  </m:r>
                </m:e>
                <m:sub>
                  <m:r>
                    <m:rPr>
                      <m:sty m:val="p"/>
                    </m:rPr>
                    <w:rPr>
                      <w:rFonts w:ascii="Cambria Math" w:hAnsi="Cambria Math"/>
                    </w:rPr>
                    <m:t>i</m:t>
                  </m:r>
                </m:sub>
              </m:sSub>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dsc</m:t>
                  </m:r>
                </m:sub>
              </m:sSub>
            </m:e>
          </m:d>
          <m:r>
            <m:rPr>
              <m:sty m:val="p"/>
            </m:rPr>
            <w:rPr>
              <w:rFonts w:ascii="Cambria Math" w:hAnsi="Cambria Math"/>
            </w:rPr>
            <m:t>×3,6</m:t>
          </m:r>
        </m:oMath>
      </m:oMathPara>
    </w:p>
    <w:p w:rsidR="00E24DB7" w:rsidRPr="002C5876" w:rsidRDefault="00E24DB7" w:rsidP="00E24DB7">
      <w:pPr>
        <w:pStyle w:val="SingleTxtG"/>
        <w:spacing w:line="220" w:lineRule="atLeast"/>
        <w:ind w:left="2268"/>
      </w:pPr>
      <w:r w:rsidRPr="002C5876">
        <w:tab/>
        <w:t>pour i = 651 à 847.</w:t>
      </w:r>
    </w:p>
    <w:p w:rsidR="00E24DB7" w:rsidRPr="002C5876" w:rsidRDefault="00E24DB7" w:rsidP="00E24DB7">
      <w:pPr>
        <w:pStyle w:val="SingleTxtG"/>
        <w:spacing w:line="220" w:lineRule="atLeast"/>
        <w:ind w:left="2268"/>
      </w:pPr>
      <w:r w:rsidRPr="002C5876">
        <w:tab/>
        <w:t xml:space="preserve">Pour i = 651 </w:t>
      </w:r>
      <m:oMath>
        <m:sSub>
          <m:sSubPr>
            <m:ctrlPr>
              <w:rPr>
                <w:rFonts w:ascii="Cambria Math" w:hAnsi="Cambria Math"/>
                <w:szCs w:val="24"/>
              </w:rPr>
            </m:ctrlPr>
          </m:sSubPr>
          <m:e>
            <m:r>
              <m:rPr>
                <m:sty m:val="p"/>
              </m:rPr>
              <w:rPr>
                <w:rFonts w:ascii="Cambria Math" w:hAnsi="Cambria Math"/>
                <w:szCs w:val="24"/>
              </w:rPr>
              <m:t>v</m:t>
            </m:r>
          </m:e>
          <m:sub>
            <m:sSub>
              <m:sSubPr>
                <m:ctrlPr>
                  <w:rPr>
                    <w:rFonts w:ascii="Cambria Math" w:hAnsi="Cambria Math"/>
                    <w:szCs w:val="24"/>
                  </w:rPr>
                </m:ctrlPr>
              </m:sSubPr>
              <m:e>
                <m:r>
                  <m:rPr>
                    <m:sty m:val="p"/>
                  </m:rPr>
                  <w:rPr>
                    <w:rFonts w:ascii="Cambria Math" w:hAnsi="Cambria Math"/>
                    <w:szCs w:val="24"/>
                  </w:rPr>
                  <m:t>dsc</m:t>
                </m:r>
              </m:e>
              <m:sub>
                <m:r>
                  <m:rPr>
                    <m:sty m:val="p"/>
                  </m:rPr>
                  <w:rPr>
                    <w:rFonts w:ascii="Cambria Math" w:hAnsi="Cambria Math"/>
                    <w:szCs w:val="24"/>
                  </w:rPr>
                  <m:t>i</m:t>
                </m:r>
              </m:sub>
            </m:sSub>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v</m:t>
            </m:r>
          </m:e>
          <m:sub>
            <m:sSub>
              <m:sSubPr>
                <m:ctrlPr>
                  <w:rPr>
                    <w:rFonts w:ascii="Cambria Math" w:hAnsi="Cambria Math"/>
                    <w:szCs w:val="24"/>
                  </w:rPr>
                </m:ctrlPr>
              </m:sSubPr>
              <m:e>
                <m:r>
                  <m:rPr>
                    <m:sty m:val="p"/>
                  </m:rPr>
                  <w:rPr>
                    <w:rFonts w:ascii="Cambria Math" w:hAnsi="Cambria Math"/>
                    <w:szCs w:val="24"/>
                  </w:rPr>
                  <m:t>orig</m:t>
                </m:r>
              </m:e>
              <m:sub>
                <m:r>
                  <m:rPr>
                    <m:sty m:val="p"/>
                  </m:rPr>
                  <w:rPr>
                    <w:rFonts w:ascii="Cambria Math" w:hAnsi="Cambria Math"/>
                    <w:szCs w:val="24"/>
                  </w:rPr>
                  <m:t>i</m:t>
                </m:r>
              </m:sub>
            </m:sSub>
          </m:sub>
        </m:sSub>
      </m:oMath>
    </w:p>
    <w:p w:rsidR="00E24DB7" w:rsidRPr="002C5876" w:rsidRDefault="00E24DB7" w:rsidP="00E24DB7">
      <w:pPr>
        <w:pStyle w:val="SingleTxtG"/>
        <w:keepNext/>
        <w:spacing w:line="220" w:lineRule="atLeast"/>
        <w:ind w:left="2268"/>
      </w:pPr>
      <w:r w:rsidRPr="002C5876">
        <w:lastRenderedPageBreak/>
        <w:tab/>
        <w:t>Afin d’obtenir la vitesse originale du véhicule à la seconde 907, on détermine un facteur de correction pour la décélération au moyen de l’équation suivante :</w:t>
      </w:r>
    </w:p>
    <w:p w:rsidR="00E24DB7" w:rsidRPr="002C5876" w:rsidRDefault="00731CA6" w:rsidP="00D422AE">
      <w:pPr>
        <w:pStyle w:val="SingleTxtG"/>
        <w:keepNext/>
        <w:spacing w:after="240" w:line="220" w:lineRule="atLeast"/>
        <w:ind w:left="2268"/>
      </w:pPr>
      <m:oMathPara>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corr_dec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m:rPr>
                      <m:sty m:val="p"/>
                    </m:rPr>
                    <w:rPr>
                      <w:rFonts w:ascii="Cambria Math" w:hAnsi="Cambria Math"/>
                    </w:rPr>
                    <m:t>dsc_848</m:t>
                  </m:r>
                </m:sub>
              </m:sSub>
              <m:r>
                <w:rPr>
                  <w:rFonts w:ascii="Cambria Math" w:hAnsi="Cambria Math"/>
                </w:rPr>
                <m:t>-36,7</m:t>
              </m:r>
            </m:num>
            <m:den>
              <m:sSub>
                <m:sSubPr>
                  <m:ctrlPr>
                    <w:rPr>
                      <w:rFonts w:ascii="Cambria Math" w:hAnsi="Cambria Math"/>
                    </w:rPr>
                  </m:ctrlPr>
                </m:sSubPr>
                <m:e>
                  <m:r>
                    <m:rPr>
                      <m:sty m:val="p"/>
                    </m:rPr>
                    <w:rPr>
                      <w:rFonts w:ascii="Cambria Math" w:hAnsi="Cambria Math"/>
                    </w:rPr>
                    <m:t>v</m:t>
                  </m:r>
                </m:e>
                <m:sub>
                  <m:r>
                    <m:rPr>
                      <m:sty m:val="p"/>
                    </m:rPr>
                    <w:rPr>
                      <w:rFonts w:ascii="Cambria Math" w:hAnsi="Cambria Math"/>
                    </w:rPr>
                    <m:t>orig_848-</m:t>
                  </m:r>
                </m:sub>
              </m:sSub>
              <m:r>
                <w:rPr>
                  <w:rFonts w:ascii="Cambria Math" w:hAnsi="Cambria Math"/>
                </w:rPr>
                <m:t>-36,7</m:t>
              </m:r>
            </m:den>
          </m:f>
        </m:oMath>
      </m:oMathPara>
    </w:p>
    <w:p w:rsidR="00E24DB7" w:rsidRPr="002C5876" w:rsidRDefault="00E24DB7" w:rsidP="00E24DB7">
      <w:pPr>
        <w:pStyle w:val="SingleTxtG"/>
        <w:keepNext/>
        <w:spacing w:line="220" w:lineRule="atLeast"/>
        <w:ind w:left="2268"/>
      </w:pPr>
      <w:r w:rsidRPr="002C5876">
        <w:tab/>
        <w:t>où 36,7 km/h est la vitesse originale du véhicule à la seconde 907.</w:t>
      </w:r>
    </w:p>
    <w:p w:rsidR="00E24DB7" w:rsidRPr="002C5876" w:rsidRDefault="00E24DB7" w:rsidP="00E24DB7">
      <w:pPr>
        <w:pStyle w:val="SingleTxtG"/>
        <w:keepNext/>
        <w:spacing w:line="220" w:lineRule="atLeast"/>
        <w:ind w:left="2268"/>
      </w:pPr>
      <w:r w:rsidRPr="002C5876">
        <w:tab/>
        <w:t>La vitesse réajustée du véhicule entre les secondes 849 et</w:t>
      </w:r>
      <w:r w:rsidR="00C574AA">
        <w:t> </w:t>
      </w:r>
      <w:r w:rsidRPr="002C5876">
        <w:t>906 est ensuite calculée au moyen de l’équation suivante :</w:t>
      </w:r>
    </w:p>
    <w:p w:rsidR="00E24DB7" w:rsidRPr="002C5876" w:rsidRDefault="00731CA6" w:rsidP="00E24DB7">
      <w:pPr>
        <w:pStyle w:val="SingleTxtG"/>
        <w:keepNext/>
        <w:spacing w:after="240" w:line="220" w:lineRule="atLeast"/>
        <w:ind w:left="2268"/>
      </w:pPr>
      <m:oMathPara>
        <m:oMath>
          <m:sSub>
            <m:sSubPr>
              <m:ctrlPr>
                <w:rPr>
                  <w:rFonts w:ascii="Cambria Math" w:hAnsi="Cambria Math"/>
                </w:rPr>
              </m:ctrlPr>
            </m:sSubPr>
            <m:e>
              <m:r>
                <m:rPr>
                  <m:sty m:val="p"/>
                </m:rPr>
                <w:rPr>
                  <w:rFonts w:ascii="Cambria Math" w:hAnsi="Cambria Math"/>
                </w:rPr>
                <m:t>v</m:t>
              </m:r>
            </m:e>
            <m:sub>
              <m:sSub>
                <m:sSubPr>
                  <m:ctrlPr>
                    <w:rPr>
                      <w:rFonts w:ascii="Cambria Math" w:hAnsi="Cambria Math"/>
                    </w:rPr>
                  </m:ctrlPr>
                </m:sSubPr>
                <m:e>
                  <m:r>
                    <m:rPr>
                      <m:sty m:val="p"/>
                    </m:rPr>
                    <w:rPr>
                      <w:rFonts w:ascii="Cambria Math" w:hAnsi="Cambria Math"/>
                    </w:rPr>
                    <m:t>dsc</m:t>
                  </m:r>
                </m:e>
                <m:sub>
                  <m:r>
                    <m:rPr>
                      <m:sty m:val="p"/>
                    </m:rPr>
                    <w:rPr>
                      <w:rFonts w:ascii="Cambria Math" w:hAnsi="Cambria Math"/>
                    </w:rPr>
                    <m:t>i</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sSub>
                <m:sSubPr>
                  <m:ctrlPr>
                    <w:rPr>
                      <w:rFonts w:ascii="Cambria Math" w:hAnsi="Cambria Math"/>
                    </w:rPr>
                  </m:ctrlPr>
                </m:sSubPr>
                <m:e>
                  <m:r>
                    <m:rPr>
                      <m:sty m:val="p"/>
                    </m:rPr>
                    <w:rPr>
                      <w:rFonts w:ascii="Cambria Math" w:hAnsi="Cambria Math"/>
                    </w:rPr>
                    <m:t>dsc</m:t>
                  </m:r>
                </m:e>
                <m:sub>
                  <m:r>
                    <m:rPr>
                      <m:sty m:val="p"/>
                    </m:rPr>
                    <w:rPr>
                      <w:rFonts w:ascii="Cambria Math" w:hAnsi="Cambria Math"/>
                    </w:rPr>
                    <m:t>i-1</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sSub>
                <m:sSubPr>
                  <m:ctrlPr>
                    <w:rPr>
                      <w:rFonts w:ascii="Cambria Math" w:hAnsi="Cambria Math"/>
                    </w:rPr>
                  </m:ctrlPr>
                </m:sSubPr>
                <m:e>
                  <m:r>
                    <m:rPr>
                      <m:sty m:val="p"/>
                    </m:rPr>
                    <w:rPr>
                      <w:rFonts w:ascii="Cambria Math" w:hAnsi="Cambria Math"/>
                    </w:rPr>
                    <m:t>orig</m:t>
                  </m:r>
                </m:e>
                <m:sub>
                  <m:r>
                    <m:rPr>
                      <m:sty m:val="p"/>
                    </m:rPr>
                    <w:rPr>
                      <w:rFonts w:ascii="Cambria Math" w:hAnsi="Cambria Math"/>
                    </w:rPr>
                    <m:t>i-1</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corr_dec</m:t>
              </m:r>
            </m:sub>
          </m:sSub>
          <m:r>
            <m:rPr>
              <m:sty m:val="p"/>
            </m:rPr>
            <w:rPr>
              <w:rFonts w:ascii="Cambria Math" w:hAnsi="Cambria Math"/>
            </w:rPr>
            <m:t>×3,6</m:t>
          </m:r>
        </m:oMath>
      </m:oMathPara>
    </w:p>
    <w:p w:rsidR="00E24DB7" w:rsidRPr="002C5876" w:rsidRDefault="00E24DB7" w:rsidP="00E24DB7">
      <w:pPr>
        <w:pStyle w:val="SingleTxtG"/>
        <w:ind w:left="2268"/>
      </w:pPr>
      <w:r w:rsidRPr="002C5876">
        <w:tab/>
        <w:t>pour i = 849 à 906.</w:t>
      </w:r>
    </w:p>
    <w:p w:rsidR="00E24DB7" w:rsidRPr="002C5876" w:rsidRDefault="00E24DB7" w:rsidP="00E24DB7">
      <w:pPr>
        <w:pStyle w:val="SingleTxtG"/>
        <w:keepNext/>
        <w:ind w:left="2268" w:hanging="1134"/>
        <w:jc w:val="left"/>
      </w:pPr>
      <w:r w:rsidRPr="002C5876">
        <w:t>8.2.2</w:t>
      </w:r>
      <w:r w:rsidRPr="002C5876">
        <w:tab/>
      </w:r>
      <w:r w:rsidRPr="002C5876">
        <w:tab/>
        <w:t>Procédure de réajustement de la vitesse pour les véhicules de la classe</w:t>
      </w:r>
      <w:r w:rsidR="00C574AA">
        <w:t> </w:t>
      </w:r>
      <w:r w:rsidRPr="002C5876">
        <w:t>2</w:t>
      </w:r>
    </w:p>
    <w:p w:rsidR="00E24DB7" w:rsidRPr="002C5876" w:rsidRDefault="00E24DB7" w:rsidP="00E24DB7">
      <w:pPr>
        <w:pStyle w:val="SingleTxtG"/>
        <w:ind w:left="2268"/>
      </w:pPr>
      <w:r w:rsidRPr="002C5876">
        <w:t>Sachant que les problèmes de faisabilité du cycle sont exclusivement liés aux phases à extra-haute vitesse des cycles applicables aux véhicules des classes 2 et 3, le réajustement de la vitesse a lieu sur les parties de ces phases où risquent de se poser ces problèmes (voir fig. A1/15 et A1/16).</w:t>
      </w:r>
    </w:p>
    <w:p w:rsidR="00E24DB7" w:rsidRPr="002C5876" w:rsidRDefault="00E24DB7" w:rsidP="00E24DB7">
      <w:pPr>
        <w:pStyle w:val="H23G"/>
      </w:pPr>
      <w:r w:rsidRPr="002C5876">
        <w:tab/>
      </w:r>
      <w:r w:rsidRPr="002C5876">
        <w:tab/>
      </w:r>
      <w:r w:rsidRPr="002C5876">
        <w:rPr>
          <w:b w:val="0"/>
        </w:rPr>
        <w:t xml:space="preserve">Figure A1/15 </w:t>
      </w:r>
      <w:r w:rsidRPr="002C5876">
        <w:rPr>
          <w:b w:val="0"/>
        </w:rPr>
        <w:br/>
      </w:r>
      <w:r w:rsidRPr="002C5876">
        <w:t xml:space="preserve">Réajustement de la vitesse durant la phase à extra-haute vitesse du cycle WLTC </w:t>
      </w:r>
      <w:r w:rsidRPr="002C5876">
        <w:br/>
        <w:t>pour les véhicules de la classe 2</w:t>
      </w:r>
    </w:p>
    <w:p w:rsidR="00E24DB7" w:rsidRPr="002C5876" w:rsidRDefault="00E24DB7" w:rsidP="00E24DB7">
      <w:pPr>
        <w:pStyle w:val="SingleTxtG"/>
        <w:spacing w:after="240"/>
      </w:pPr>
      <w:r w:rsidRPr="002C5876">
        <w:rPr>
          <w:noProof/>
          <w:lang w:val="en-GB" w:eastAsia="zh-CN"/>
        </w:rPr>
        <w:drawing>
          <wp:inline distT="0" distB="0" distL="0" distR="0" wp14:anchorId="4D395AFC" wp14:editId="2C644845">
            <wp:extent cx="4676775" cy="2790825"/>
            <wp:effectExtent l="0" t="0" r="9525" b="9525"/>
            <wp:docPr id="101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b="903"/>
                    <a:stretch>
                      <a:fillRect/>
                    </a:stretch>
                  </pic:blipFill>
                  <pic:spPr bwMode="auto">
                    <a:xfrm>
                      <a:off x="0" y="0"/>
                      <a:ext cx="4676775" cy="2790825"/>
                    </a:xfrm>
                    <a:prstGeom prst="rect">
                      <a:avLst/>
                    </a:prstGeom>
                    <a:noFill/>
                    <a:ln>
                      <a:noFill/>
                    </a:ln>
                  </pic:spPr>
                </pic:pic>
              </a:graphicData>
            </a:graphic>
          </wp:inline>
        </w:drawing>
      </w:r>
    </w:p>
    <w:p w:rsidR="00E24DB7" w:rsidRPr="002C5876" w:rsidRDefault="00E24DB7" w:rsidP="00E24DB7">
      <w:pPr>
        <w:pStyle w:val="SingleTxtG"/>
        <w:spacing w:before="240"/>
        <w:ind w:left="2268"/>
      </w:pPr>
      <w:r w:rsidRPr="002C5876">
        <w:t>Pour le cycle applicable aux véhicules de la classe 2, la période de réajustement de la vitesse est la période comprise entre la seconde 1 520 et la seconde 1 742. Au cours de cette période, l’accélération sur le cycle original est calculée au moyen de l’équation suivante :</w:t>
      </w:r>
    </w:p>
    <w:p w:rsidR="00E24DB7" w:rsidRPr="002C5876" w:rsidRDefault="00E24DB7" w:rsidP="00E24DB7">
      <w:pPr>
        <w:pStyle w:val="SingleTxtG"/>
        <w:spacing w:after="240"/>
        <w:ind w:left="2268"/>
        <w:jc w:val="center"/>
      </w:pPr>
      <w:r w:rsidRPr="002C5876">
        <w:rPr>
          <w:position w:val="-24"/>
        </w:rPr>
        <w:object w:dxaOrig="1460" w:dyaOrig="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28.5pt" o:ole="">
            <v:imagedata r:id="rId29" o:title=""/>
          </v:shape>
          <o:OLEObject Type="Embed" ProgID="Equation.3" ShapeID="_x0000_i1025" DrawAspect="Content" ObjectID="_1616215829" r:id="rId30"/>
        </w:object>
      </w:r>
    </w:p>
    <w:p w:rsidR="00E24DB7" w:rsidRPr="002C5876" w:rsidRDefault="00E24DB7" w:rsidP="00E24DB7">
      <w:pPr>
        <w:pStyle w:val="SingleTxtG"/>
        <w:keepNext/>
        <w:ind w:left="2268"/>
        <w:jc w:val="left"/>
      </w:pPr>
      <w:r w:rsidRPr="002C5876">
        <w:t>où :</w:t>
      </w:r>
    </w:p>
    <w:p w:rsidR="00E24DB7" w:rsidRPr="002C5876" w:rsidRDefault="00E24DB7" w:rsidP="00E24DB7">
      <w:pPr>
        <w:pStyle w:val="SingleTxtG"/>
        <w:ind w:left="2268"/>
        <w:jc w:val="left"/>
      </w:pPr>
      <w:r w:rsidRPr="002C5876">
        <w:t>v</w:t>
      </w:r>
      <w:r w:rsidRPr="002C5876">
        <w:rPr>
          <w:vertAlign w:val="subscript"/>
        </w:rPr>
        <w:t>i</w:t>
      </w:r>
      <w:r w:rsidRPr="002C5876">
        <w:tab/>
        <w:t>est la vitesse du véhicule, en km/h ;</w:t>
      </w:r>
    </w:p>
    <w:p w:rsidR="00E24DB7" w:rsidRPr="002C5876" w:rsidRDefault="00E24DB7" w:rsidP="00E24DB7">
      <w:pPr>
        <w:pStyle w:val="SingleTxtG"/>
        <w:ind w:left="2268"/>
        <w:jc w:val="left"/>
      </w:pPr>
      <w:r w:rsidRPr="002C5876">
        <w:t>i</w:t>
      </w:r>
      <w:r w:rsidRPr="002C5876">
        <w:tab/>
        <w:t>est la période entre la seconde 1 520 et la seconde 1 742.</w:t>
      </w:r>
    </w:p>
    <w:p w:rsidR="00E24DB7" w:rsidRPr="002C5876" w:rsidRDefault="00E24DB7" w:rsidP="00E24DB7">
      <w:pPr>
        <w:pStyle w:val="SingleTxtG"/>
        <w:ind w:left="2268"/>
        <w:jc w:val="left"/>
      </w:pPr>
      <w:r w:rsidRPr="002C5876">
        <w:t xml:space="preserve">Le réajustement de la vitesse a lieu dans un premier temps durant la période comprise entre les secondes 1 520 et 1 725. La seconde 1 725 est l’instant auquel est atteinte la vitesse maximale de la phase à extra-haute vitesse. </w:t>
      </w:r>
      <w:r w:rsidRPr="002C5876">
        <w:lastRenderedPageBreak/>
        <w:t>La courbe de la vitesse réajustée est calculée au moyen de l’équation suivante :</w:t>
      </w:r>
    </w:p>
    <w:p w:rsidR="00E24DB7" w:rsidRPr="00D53F39" w:rsidRDefault="00731CA6" w:rsidP="00E24DB7">
      <w:pPr>
        <w:pStyle w:val="SingleTxtG"/>
        <w:spacing w:after="240"/>
        <w:ind w:left="2268"/>
        <w:jc w:val="left"/>
        <w:rPr>
          <w:rFonts w:eastAsiaTheme="minorEastAsia"/>
          <w:sz w:val="21"/>
          <w:szCs w:val="21"/>
          <w:lang w:val="en-US"/>
        </w:rPr>
      </w:pPr>
      <m:oMathPara>
        <m:oMath>
          <m:sSub>
            <m:sSubPr>
              <m:ctrlPr>
                <w:rPr>
                  <w:rFonts w:ascii="Cambria Math" w:hAnsi="Cambria Math" w:cstheme="majorBidi"/>
                  <w:sz w:val="21"/>
                  <w:szCs w:val="21"/>
                </w:rPr>
              </m:ctrlPr>
            </m:sSubPr>
            <m:e>
              <m:r>
                <m:rPr>
                  <m:nor/>
                </m:rPr>
                <w:rPr>
                  <w:rFonts w:asciiTheme="majorBidi" w:hAnsiTheme="majorBidi" w:cstheme="majorBidi"/>
                  <w:sz w:val="21"/>
                  <w:szCs w:val="21"/>
                  <w:lang w:val="en-US"/>
                </w:rPr>
                <m:t>v</m:t>
              </m:r>
            </m:e>
            <m:sub>
              <m:sSub>
                <m:sSubPr>
                  <m:ctrlPr>
                    <w:rPr>
                      <w:rFonts w:ascii="Cambria Math" w:hAnsi="Cambria Math" w:cstheme="majorBidi"/>
                      <w:sz w:val="21"/>
                      <w:szCs w:val="21"/>
                    </w:rPr>
                  </m:ctrlPr>
                </m:sSubPr>
                <m:e>
                  <m:r>
                    <m:rPr>
                      <m:nor/>
                    </m:rPr>
                    <w:rPr>
                      <w:rFonts w:asciiTheme="majorBidi" w:hAnsiTheme="majorBidi" w:cstheme="majorBidi"/>
                      <w:sz w:val="21"/>
                      <w:szCs w:val="21"/>
                      <w:lang w:val="en-US"/>
                    </w:rPr>
                    <m:t>dsc</m:t>
                  </m:r>
                </m:e>
                <m:sub>
                  <m:r>
                    <m:rPr>
                      <m:nor/>
                    </m:rPr>
                    <w:rPr>
                      <w:rFonts w:asciiTheme="majorBidi" w:hAnsiTheme="majorBidi" w:cstheme="majorBidi"/>
                      <w:sz w:val="21"/>
                      <w:szCs w:val="21"/>
                      <w:lang w:val="en-US"/>
                    </w:rPr>
                    <m:t>i+1</m:t>
                  </m:r>
                  <m:r>
                    <m:rPr>
                      <m:nor/>
                    </m:rPr>
                    <w:rPr>
                      <w:rFonts w:ascii="Cambria Math" w:hAnsiTheme="majorBidi" w:cstheme="majorBidi"/>
                      <w:sz w:val="21"/>
                      <w:szCs w:val="21"/>
                      <w:lang w:val="en-US"/>
                    </w:rPr>
                    <m:t xml:space="preserve"> </m:t>
                  </m:r>
                </m:sub>
              </m:sSub>
            </m:sub>
          </m:sSub>
          <m:r>
            <m:rPr>
              <m:nor/>
            </m:rPr>
            <w:rPr>
              <w:rFonts w:asciiTheme="majorBidi" w:hAnsiTheme="majorBidi" w:cstheme="majorBidi"/>
              <w:sz w:val="21"/>
              <w:szCs w:val="21"/>
              <w:lang w:val="en-US"/>
            </w:rPr>
            <m:t>=</m:t>
          </m:r>
          <m:sSub>
            <m:sSubPr>
              <m:ctrlPr>
                <w:rPr>
                  <w:rFonts w:ascii="Cambria Math" w:hAnsi="Cambria Math" w:cstheme="majorBidi"/>
                  <w:sz w:val="21"/>
                  <w:szCs w:val="21"/>
                </w:rPr>
              </m:ctrlPr>
            </m:sSubPr>
            <m:e>
              <m:r>
                <m:rPr>
                  <m:nor/>
                </m:rPr>
                <w:rPr>
                  <w:rFonts w:ascii="Cambria Math" w:hAnsiTheme="majorBidi" w:cstheme="majorBidi"/>
                  <w:sz w:val="21"/>
                  <w:szCs w:val="21"/>
                  <w:lang w:val="en-US"/>
                </w:rPr>
                <m:t xml:space="preserve"> </m:t>
              </m:r>
              <m:r>
                <m:rPr>
                  <m:nor/>
                </m:rPr>
                <w:rPr>
                  <w:rFonts w:asciiTheme="majorBidi" w:hAnsiTheme="majorBidi" w:cstheme="majorBidi"/>
                  <w:sz w:val="21"/>
                  <w:szCs w:val="21"/>
                  <w:lang w:val="en-US"/>
                </w:rPr>
                <m:t>v</m:t>
              </m:r>
            </m:e>
            <m:sub>
              <m:sSub>
                <m:sSubPr>
                  <m:ctrlPr>
                    <w:rPr>
                      <w:rFonts w:ascii="Cambria Math" w:hAnsi="Cambria Math" w:cstheme="majorBidi"/>
                      <w:sz w:val="21"/>
                      <w:szCs w:val="21"/>
                    </w:rPr>
                  </m:ctrlPr>
                </m:sSubPr>
                <m:e>
                  <m:r>
                    <m:rPr>
                      <m:nor/>
                    </m:rPr>
                    <w:rPr>
                      <w:rFonts w:asciiTheme="majorBidi" w:hAnsiTheme="majorBidi" w:cstheme="majorBidi"/>
                      <w:sz w:val="21"/>
                      <w:szCs w:val="21"/>
                      <w:lang w:val="en-US"/>
                    </w:rPr>
                    <m:t>dsc</m:t>
                  </m:r>
                </m:e>
                <m:sub>
                  <m:r>
                    <m:rPr>
                      <m:nor/>
                    </m:rPr>
                    <w:rPr>
                      <w:rFonts w:asciiTheme="majorBidi" w:hAnsiTheme="majorBidi" w:cstheme="majorBidi"/>
                      <w:sz w:val="21"/>
                      <w:szCs w:val="21"/>
                      <w:lang w:val="en-US"/>
                    </w:rPr>
                    <m:t>i</m:t>
                  </m:r>
                </m:sub>
              </m:sSub>
            </m:sub>
          </m:sSub>
          <m:r>
            <m:rPr>
              <m:nor/>
            </m:rPr>
            <w:rPr>
              <w:rFonts w:asciiTheme="majorBidi" w:hAnsiTheme="majorBidi" w:cstheme="majorBidi"/>
              <w:sz w:val="21"/>
              <w:szCs w:val="21"/>
              <w:lang w:val="en-US"/>
            </w:rPr>
            <m:t>+</m:t>
          </m:r>
          <m:r>
            <m:rPr>
              <m:nor/>
            </m:rPr>
            <w:rPr>
              <w:rFonts w:ascii="Cambria Math" w:hAnsiTheme="majorBidi" w:cstheme="majorBidi"/>
              <w:sz w:val="21"/>
              <w:szCs w:val="21"/>
              <w:lang w:val="en-US"/>
            </w:rPr>
            <m:t xml:space="preserve"> </m:t>
          </m:r>
          <m:sSub>
            <m:sSubPr>
              <m:ctrlPr>
                <w:rPr>
                  <w:rFonts w:ascii="Cambria Math" w:hAnsi="Cambria Math" w:cstheme="majorBidi"/>
                  <w:sz w:val="21"/>
                  <w:szCs w:val="21"/>
                </w:rPr>
              </m:ctrlPr>
            </m:sSubPr>
            <m:e>
              <m:r>
                <m:rPr>
                  <m:nor/>
                </m:rPr>
                <w:rPr>
                  <w:rFonts w:asciiTheme="majorBidi" w:hAnsiTheme="majorBidi" w:cstheme="majorBidi"/>
                  <w:sz w:val="21"/>
                  <w:szCs w:val="21"/>
                  <w:lang w:val="en-US"/>
                </w:rPr>
                <m:t>a</m:t>
              </m:r>
            </m:e>
            <m:sub>
              <m:sSub>
                <m:sSubPr>
                  <m:ctrlPr>
                    <w:rPr>
                      <w:rFonts w:ascii="Cambria Math" w:hAnsi="Cambria Math" w:cstheme="majorBidi"/>
                      <w:sz w:val="21"/>
                      <w:szCs w:val="21"/>
                    </w:rPr>
                  </m:ctrlPr>
                </m:sSubPr>
                <m:e>
                  <m:r>
                    <m:rPr>
                      <m:nor/>
                    </m:rPr>
                    <w:rPr>
                      <w:rFonts w:asciiTheme="majorBidi" w:hAnsiTheme="majorBidi" w:cstheme="majorBidi"/>
                      <w:sz w:val="21"/>
                      <w:szCs w:val="21"/>
                      <w:lang w:val="en-US"/>
                    </w:rPr>
                    <m:t>orig</m:t>
                  </m:r>
                </m:e>
                <m:sub>
                  <m:r>
                    <m:rPr>
                      <m:nor/>
                    </m:rPr>
                    <w:rPr>
                      <w:rFonts w:asciiTheme="majorBidi" w:hAnsiTheme="majorBidi" w:cstheme="majorBidi"/>
                      <w:sz w:val="21"/>
                      <w:szCs w:val="21"/>
                      <w:lang w:val="en-US"/>
                    </w:rPr>
                    <m:t>i</m:t>
                  </m:r>
                </m:sub>
              </m:sSub>
            </m:sub>
          </m:sSub>
          <m:r>
            <m:rPr>
              <m:nor/>
            </m:rPr>
            <w:rPr>
              <w:rFonts w:asciiTheme="majorBidi" w:hAnsiTheme="majorBidi" w:cstheme="majorBidi"/>
              <w:sz w:val="21"/>
              <w:szCs w:val="21"/>
              <w:lang w:val="en-US"/>
            </w:rPr>
            <m:t>×</m:t>
          </m:r>
          <m:r>
            <m:rPr>
              <m:nor/>
            </m:rPr>
            <w:rPr>
              <w:rFonts w:ascii="Cambria Math" w:hAnsiTheme="majorBidi" w:cstheme="majorBidi"/>
              <w:sz w:val="21"/>
              <w:szCs w:val="21"/>
              <w:lang w:val="en-US"/>
            </w:rPr>
            <m:t xml:space="preserve"> </m:t>
          </m:r>
          <m:d>
            <m:dPr>
              <m:ctrlPr>
                <w:rPr>
                  <w:rFonts w:ascii="Cambria Math" w:hAnsi="Cambria Math" w:cstheme="majorBidi"/>
                  <w:sz w:val="21"/>
                  <w:szCs w:val="21"/>
                </w:rPr>
              </m:ctrlPr>
            </m:dPr>
            <m:e>
              <m:r>
                <m:rPr>
                  <m:nor/>
                </m:rPr>
                <w:rPr>
                  <w:rFonts w:asciiTheme="majorBidi" w:hAnsiTheme="majorBidi" w:cstheme="majorBidi"/>
                  <w:sz w:val="21"/>
                  <w:szCs w:val="21"/>
                  <w:lang w:val="en-US"/>
                </w:rPr>
                <m:t>1</m:t>
              </m:r>
              <m:r>
                <m:rPr>
                  <m:nor/>
                </m:rPr>
                <w:rPr>
                  <w:rFonts w:ascii="Cambria Math" w:hAnsiTheme="majorBidi" w:cstheme="majorBidi"/>
                  <w:sz w:val="21"/>
                  <w:szCs w:val="21"/>
                  <w:lang w:val="en-US"/>
                </w:rPr>
                <m:t xml:space="preserve"> </m:t>
              </m:r>
              <m:r>
                <m:rPr>
                  <m:nor/>
                </m:rPr>
                <w:rPr>
                  <w:rFonts w:ascii="Cambria Math" w:hAnsiTheme="majorBidi" w:cstheme="majorBidi"/>
                  <w:sz w:val="21"/>
                  <w:szCs w:val="21"/>
                  <w:lang w:val="en-US"/>
                </w:rPr>
                <m:t>–</m:t>
              </m:r>
              <m:r>
                <m:rPr>
                  <m:nor/>
                </m:rPr>
                <w:rPr>
                  <w:rFonts w:ascii="Cambria Math" w:hAnsiTheme="majorBidi" w:cstheme="majorBidi"/>
                  <w:sz w:val="21"/>
                  <w:szCs w:val="21"/>
                  <w:lang w:val="en-US"/>
                </w:rPr>
                <m:t xml:space="preserve"> </m:t>
              </m:r>
              <m:sSub>
                <m:sSubPr>
                  <m:ctrlPr>
                    <w:rPr>
                      <w:rFonts w:ascii="Cambria Math" w:hAnsi="Cambria Math" w:cstheme="majorBidi"/>
                      <w:sz w:val="21"/>
                      <w:szCs w:val="21"/>
                    </w:rPr>
                  </m:ctrlPr>
                </m:sSubPr>
                <m:e>
                  <m:r>
                    <m:rPr>
                      <m:nor/>
                    </m:rPr>
                    <w:rPr>
                      <w:rFonts w:asciiTheme="majorBidi" w:hAnsiTheme="majorBidi" w:cstheme="majorBidi"/>
                      <w:sz w:val="21"/>
                      <w:szCs w:val="21"/>
                      <w:lang w:val="en-US"/>
                    </w:rPr>
                    <m:t>f</m:t>
                  </m:r>
                </m:e>
                <m:sub>
                  <m:r>
                    <m:rPr>
                      <m:nor/>
                    </m:rPr>
                    <w:rPr>
                      <w:rFonts w:asciiTheme="majorBidi" w:hAnsiTheme="majorBidi" w:cstheme="majorBidi"/>
                      <w:sz w:val="21"/>
                      <w:szCs w:val="21"/>
                      <w:lang w:val="en-US"/>
                    </w:rPr>
                    <m:t>dsc</m:t>
                  </m:r>
                </m:sub>
              </m:sSub>
            </m:e>
          </m:d>
          <m:r>
            <m:rPr>
              <m:nor/>
            </m:rPr>
            <w:rPr>
              <w:rFonts w:ascii="Cambria Math" w:hAnsiTheme="majorBidi" w:cstheme="majorBidi"/>
              <w:sz w:val="21"/>
              <w:szCs w:val="21"/>
              <w:lang w:val="en-US"/>
            </w:rPr>
            <m:t xml:space="preserve"> </m:t>
          </m:r>
          <m:r>
            <m:rPr>
              <m:nor/>
            </m:rPr>
            <w:rPr>
              <w:rFonts w:asciiTheme="majorBidi" w:hAnsiTheme="majorBidi" w:cstheme="majorBidi"/>
              <w:sz w:val="21"/>
              <w:szCs w:val="21"/>
              <w:lang w:val="en-US"/>
            </w:rPr>
            <m:t>×</m:t>
          </m:r>
          <m:r>
            <m:rPr>
              <m:nor/>
            </m:rPr>
            <w:rPr>
              <w:rFonts w:ascii="Cambria Math" w:hAnsiTheme="majorBidi" w:cstheme="majorBidi"/>
              <w:sz w:val="21"/>
              <w:szCs w:val="21"/>
              <w:lang w:val="en-US"/>
            </w:rPr>
            <m:t xml:space="preserve"> </m:t>
          </m:r>
          <m:r>
            <m:rPr>
              <m:nor/>
            </m:rPr>
            <w:rPr>
              <w:rFonts w:asciiTheme="majorBidi" w:hAnsiTheme="majorBidi" w:cstheme="majorBidi"/>
              <w:sz w:val="21"/>
              <w:szCs w:val="21"/>
              <w:lang w:val="en-US"/>
            </w:rPr>
            <m:t>3,6</m:t>
          </m:r>
        </m:oMath>
      </m:oMathPara>
    </w:p>
    <w:p w:rsidR="00E24DB7" w:rsidRPr="002C5876" w:rsidRDefault="00E24DB7" w:rsidP="00E24DB7">
      <w:pPr>
        <w:pStyle w:val="SingleTxtG"/>
        <w:ind w:left="2268"/>
        <w:jc w:val="left"/>
      </w:pPr>
      <w:r w:rsidRPr="002C5876">
        <w:t>pour i = 1 520 à 1 724.</w:t>
      </w:r>
    </w:p>
    <w:p w:rsidR="00E24DB7" w:rsidRPr="002C5876" w:rsidRDefault="00E24DB7" w:rsidP="00E24DB7">
      <w:pPr>
        <w:pStyle w:val="SingleTxtG"/>
        <w:ind w:left="2268"/>
        <w:jc w:val="left"/>
      </w:pPr>
      <w:r w:rsidRPr="002C5876">
        <w:t xml:space="preserve">Pour i = </w:t>
      </w:r>
      <w:r w:rsidRPr="002C5876">
        <w:rPr>
          <w:noProof/>
          <w:kern w:val="16"/>
          <w:position w:val="-14"/>
          <w:vertAlign w:val="subscript"/>
          <w:lang w:val="en-GB" w:eastAsia="zh-CN"/>
        </w:rPr>
        <w:drawing>
          <wp:inline distT="0" distB="0" distL="0" distR="0" wp14:anchorId="1E3546ED" wp14:editId="7CEEACFD">
            <wp:extent cx="990600" cy="219075"/>
            <wp:effectExtent l="0" t="0" r="0" b="9525"/>
            <wp:docPr id="100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90600" cy="219075"/>
                    </a:xfrm>
                    <a:prstGeom prst="rect">
                      <a:avLst/>
                    </a:prstGeom>
                    <a:solidFill>
                      <a:schemeClr val="bg1">
                        <a:lumMod val="100000"/>
                        <a:lumOff val="0"/>
                      </a:schemeClr>
                    </a:solidFill>
                    <a:ln>
                      <a:noFill/>
                    </a:ln>
                  </pic:spPr>
                </pic:pic>
              </a:graphicData>
            </a:graphic>
          </wp:inline>
        </w:drawing>
      </w:r>
      <w:r w:rsidRPr="002C5876">
        <w:t>.</w:t>
      </w:r>
    </w:p>
    <w:p w:rsidR="00E24DB7" w:rsidRPr="002C5876" w:rsidRDefault="00E24DB7" w:rsidP="00E24DB7">
      <w:pPr>
        <w:pStyle w:val="SingleTxtG"/>
        <w:keepNext/>
        <w:keepLines/>
        <w:ind w:left="2268"/>
        <w:jc w:val="left"/>
      </w:pPr>
      <w:r w:rsidRPr="002C5876">
        <w:t>Afin d’obtenir la vitesse originale du véhicule à la seconde 1 743, on détermine un facteur de correction pour la décélération au moyen de l’équation suivante :</w:t>
      </w:r>
    </w:p>
    <w:p w:rsidR="00E24DB7" w:rsidRPr="002C5876" w:rsidRDefault="00731CA6" w:rsidP="00E24DB7">
      <w:pPr>
        <w:pStyle w:val="SingleTxtG"/>
        <w:keepNext/>
        <w:keepLines/>
        <w:ind w:left="2268"/>
        <w:jc w:val="center"/>
      </w:pPr>
      <m:oMathPara>
        <m:oMath>
          <m:sSub>
            <m:sSubPr>
              <m:ctrlPr>
                <w:rPr>
                  <w:rFonts w:ascii="Cambria Math" w:hAnsi="Cambria Math" w:cstheme="majorBidi"/>
                </w:rPr>
              </m:ctrlPr>
            </m:sSubPr>
            <m:e>
              <m:r>
                <m:rPr>
                  <m:nor/>
                </m:rPr>
                <w:rPr>
                  <w:rFonts w:asciiTheme="majorBidi" w:hAnsiTheme="majorBidi" w:cstheme="majorBidi"/>
                </w:rPr>
                <m:t>f</m:t>
              </m:r>
            </m:e>
            <m:sub>
              <m:r>
                <m:rPr>
                  <m:nor/>
                </m:rPr>
                <w:rPr>
                  <w:rFonts w:asciiTheme="majorBidi" w:hAnsiTheme="majorBidi" w:cstheme="majorBidi"/>
                </w:rPr>
                <m:t>corr_dec</m:t>
              </m:r>
            </m:sub>
          </m:sSub>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f>
            <m:fPr>
              <m:ctrlPr>
                <w:rPr>
                  <w:rFonts w:ascii="Cambria Math" w:hAnsi="Cambria Math" w:cstheme="majorBidi"/>
                </w:rPr>
              </m:ctrlPr>
            </m:fPr>
            <m:num>
              <m:sSub>
                <m:sSubPr>
                  <m:ctrlPr>
                    <w:rPr>
                      <w:rFonts w:ascii="Cambria Math" w:hAnsi="Cambria Math" w:cstheme="majorBidi"/>
                    </w:rPr>
                  </m:ctrlPr>
                </m:sSubPr>
                <m:e>
                  <m:r>
                    <m:rPr>
                      <m:nor/>
                    </m:rPr>
                    <w:rPr>
                      <w:rFonts w:asciiTheme="majorBidi" w:hAnsiTheme="majorBidi" w:cstheme="majorBidi"/>
                    </w:rPr>
                    <m:t>v</m:t>
                  </m:r>
                </m:e>
                <m:sub>
                  <m:r>
                    <m:rPr>
                      <m:nor/>
                    </m:rPr>
                    <w:rPr>
                      <w:rFonts w:asciiTheme="majorBidi" w:hAnsiTheme="majorBidi" w:cstheme="majorBidi"/>
                    </w:rPr>
                    <m:t>dsc_1725</m:t>
                  </m:r>
                  <m:r>
                    <m:rPr>
                      <m:nor/>
                    </m:rPr>
                    <w:rPr>
                      <w:rFonts w:ascii="Cambria Math" w:hAnsiTheme="majorBidi" w:cstheme="majorBidi"/>
                    </w:rPr>
                    <m:t xml:space="preserve"> </m:t>
                  </m:r>
                </m:sub>
              </m:sSub>
              <m:r>
                <m:rPr>
                  <m:nor/>
                </m:rPr>
                <w:rPr>
                  <w:rFonts w:asciiTheme="majorBidi" w:hAnsiTheme="majorBidi" w:cstheme="majorBidi"/>
                </w:rPr>
                <m:t>–</m:t>
              </m:r>
              <m:r>
                <m:rPr>
                  <m:nor/>
                </m:rPr>
                <w:rPr>
                  <w:rFonts w:ascii="Cambria Math" w:hAnsiTheme="majorBidi" w:cstheme="majorBidi"/>
                </w:rPr>
                <m:t xml:space="preserve"> </m:t>
              </m:r>
              <m:r>
                <m:rPr>
                  <m:nor/>
                </m:rPr>
                <w:rPr>
                  <w:rFonts w:asciiTheme="majorBidi" w:hAnsiTheme="majorBidi" w:cstheme="majorBidi"/>
                </w:rPr>
                <m:t>90,4</m:t>
              </m:r>
            </m:num>
            <m:den>
              <m:sSub>
                <m:sSubPr>
                  <m:ctrlPr>
                    <w:rPr>
                      <w:rFonts w:ascii="Cambria Math" w:hAnsi="Cambria Math" w:cstheme="majorBidi"/>
                    </w:rPr>
                  </m:ctrlPr>
                </m:sSubPr>
                <m:e>
                  <m:r>
                    <m:rPr>
                      <m:nor/>
                    </m:rPr>
                    <w:rPr>
                      <w:rFonts w:asciiTheme="majorBidi" w:hAnsiTheme="majorBidi" w:cstheme="majorBidi"/>
                    </w:rPr>
                    <m:t>v</m:t>
                  </m:r>
                </m:e>
                <m:sub>
                  <m:r>
                    <m:rPr>
                      <m:nor/>
                    </m:rPr>
                    <w:rPr>
                      <w:rFonts w:asciiTheme="majorBidi" w:hAnsiTheme="majorBidi" w:cstheme="majorBidi"/>
                    </w:rPr>
                    <m:t>orig_1725</m:t>
                  </m:r>
                  <m:r>
                    <m:rPr>
                      <m:nor/>
                    </m:rPr>
                    <w:rPr>
                      <w:rFonts w:ascii="Cambria Math" w:hAnsiTheme="majorBidi" w:cstheme="majorBidi"/>
                    </w:rPr>
                    <m:t xml:space="preserve"> </m:t>
                  </m:r>
                </m:sub>
              </m:sSub>
              <m:r>
                <m:rPr>
                  <m:nor/>
                </m:rPr>
                <w:rPr>
                  <w:rFonts w:asciiTheme="majorBidi" w:hAnsiTheme="majorBidi" w:cstheme="majorBidi"/>
                </w:rPr>
                <m:t>–</m:t>
              </m:r>
              <m:r>
                <m:rPr>
                  <m:nor/>
                </m:rPr>
                <w:rPr>
                  <w:rFonts w:ascii="Cambria Math" w:hAnsiTheme="majorBidi" w:cstheme="majorBidi"/>
                </w:rPr>
                <m:t xml:space="preserve"> </m:t>
              </m:r>
              <m:r>
                <m:rPr>
                  <m:nor/>
                </m:rPr>
                <w:rPr>
                  <w:rFonts w:asciiTheme="majorBidi" w:hAnsiTheme="majorBidi" w:cstheme="majorBidi"/>
                </w:rPr>
                <m:t>90,4</m:t>
              </m:r>
            </m:den>
          </m:f>
        </m:oMath>
      </m:oMathPara>
    </w:p>
    <w:p w:rsidR="00E24DB7" w:rsidRPr="002C5876" w:rsidRDefault="00E24DB7" w:rsidP="00E24DB7">
      <w:pPr>
        <w:pStyle w:val="SingleTxtG"/>
        <w:ind w:left="2268"/>
        <w:jc w:val="left"/>
      </w:pPr>
      <w:r w:rsidRPr="002C5876">
        <w:t>où 90,4 km/h est la vitesse originale du véhicule à la seconde 1 743.</w:t>
      </w:r>
    </w:p>
    <w:p w:rsidR="00E24DB7" w:rsidRPr="002C5876" w:rsidRDefault="00E24DB7" w:rsidP="00E24DB7">
      <w:pPr>
        <w:pStyle w:val="SingleTxtG"/>
        <w:keepNext/>
        <w:keepLines/>
        <w:ind w:left="2268"/>
      </w:pPr>
      <w:r w:rsidRPr="002C5876">
        <w:t>La vitesse réajustée du véhicule entre les secondes 1 726 et 1 742 est calculée au moyen de l’équation suivante :</w:t>
      </w:r>
    </w:p>
    <w:p w:rsidR="00E24DB7" w:rsidRPr="002C5876" w:rsidRDefault="00E24DB7" w:rsidP="00E24DB7">
      <w:pPr>
        <w:pStyle w:val="SingleTxtG"/>
        <w:keepNext/>
        <w:keepLines/>
        <w:spacing w:after="240"/>
        <w:ind w:left="2268"/>
        <w:jc w:val="center"/>
      </w:pPr>
      <w:r w:rsidRPr="002C5876">
        <w:rPr>
          <w:position w:val="-14"/>
        </w:rPr>
        <w:object w:dxaOrig="3159" w:dyaOrig="340">
          <v:shape id="_x0000_i1026" type="#_x0000_t75" style="width:158.25pt;height:18pt" o:ole="">
            <v:imagedata r:id="rId32" o:title=""/>
          </v:shape>
          <o:OLEObject Type="Embed" ProgID="Equation.3" ShapeID="_x0000_i1026" DrawAspect="Content" ObjectID="_1616215830" r:id="rId33"/>
        </w:object>
      </w:r>
    </w:p>
    <w:p w:rsidR="00E24DB7" w:rsidRPr="002C5876" w:rsidRDefault="00E24DB7" w:rsidP="00E24DB7">
      <w:pPr>
        <w:pStyle w:val="SingleTxtG"/>
        <w:keepNext/>
        <w:keepLines/>
        <w:ind w:left="2268"/>
      </w:pPr>
      <w:r w:rsidRPr="002C5876">
        <w:t>pour i = 1 726 à 1 742.</w:t>
      </w:r>
    </w:p>
    <w:p w:rsidR="00E24DB7" w:rsidRPr="002C5876" w:rsidRDefault="00E24DB7" w:rsidP="00E24DB7">
      <w:pPr>
        <w:pStyle w:val="SingleTxtG"/>
        <w:keepNext/>
        <w:ind w:left="2268" w:hanging="1134"/>
        <w:jc w:val="left"/>
      </w:pPr>
      <w:r w:rsidRPr="002C5876">
        <w:t>8.2.3</w:t>
      </w:r>
      <w:r w:rsidRPr="002C5876">
        <w:tab/>
      </w:r>
      <w:r w:rsidRPr="002C5876">
        <w:tab/>
        <w:t>Procédure de réajustement de la vitesse pour les véhicules de la classe 3</w:t>
      </w:r>
    </w:p>
    <w:p w:rsidR="00E24DB7" w:rsidRPr="002C5876" w:rsidRDefault="00E24DB7" w:rsidP="00E24DB7">
      <w:pPr>
        <w:pStyle w:val="SingleTxtG"/>
        <w:keepNext/>
        <w:keepLines/>
        <w:ind w:left="2268"/>
        <w:jc w:val="left"/>
      </w:pPr>
      <w:r w:rsidRPr="002C5876">
        <w:t>La figure A1/16 montre un exemple de réajustement durant la phase à extra</w:t>
      </w:r>
      <w:r w:rsidRPr="002C5876">
        <w:noBreakHyphen/>
        <w:t>haute vitesse du cycle WLTC applicable aux véhicules de la classe 3.</w:t>
      </w:r>
    </w:p>
    <w:p w:rsidR="00E24DB7" w:rsidRPr="002C5876" w:rsidRDefault="00E24DB7" w:rsidP="00E24DB7">
      <w:pPr>
        <w:pStyle w:val="H23G"/>
      </w:pPr>
      <w:r w:rsidRPr="002C5876">
        <w:tab/>
      </w:r>
      <w:r w:rsidRPr="002C5876">
        <w:rPr>
          <w:b w:val="0"/>
        </w:rPr>
        <w:tab/>
        <w:t xml:space="preserve">Figure A1/16 </w:t>
      </w:r>
      <w:r w:rsidRPr="002C5876">
        <w:rPr>
          <w:b w:val="0"/>
        </w:rPr>
        <w:br/>
      </w:r>
      <w:r w:rsidRPr="002C5876">
        <w:t>Réajustement de la vitesse durant la phase à extra-haute vitesse du cycle WLTC pour les véhicules de la classe 3</w:t>
      </w:r>
    </w:p>
    <w:p w:rsidR="00E24DB7" w:rsidRPr="002C5876" w:rsidRDefault="00E24DB7" w:rsidP="00E24DB7">
      <w:pPr>
        <w:ind w:left="1134" w:right="1134"/>
      </w:pPr>
      <w:r w:rsidRPr="002C5876">
        <w:rPr>
          <w:noProof/>
          <w:lang w:val="en-GB" w:eastAsia="zh-CN"/>
        </w:rPr>
        <w:drawing>
          <wp:inline distT="0" distB="0" distL="0" distR="0" wp14:anchorId="6B6F5D45" wp14:editId="2A5A078B">
            <wp:extent cx="4676775" cy="2562225"/>
            <wp:effectExtent l="0" t="0" r="9525" b="9525"/>
            <wp:docPr id="100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6775" cy="2562225"/>
                    </a:xfrm>
                    <a:prstGeom prst="rect">
                      <a:avLst/>
                    </a:prstGeom>
                    <a:noFill/>
                    <a:ln>
                      <a:noFill/>
                    </a:ln>
                  </pic:spPr>
                </pic:pic>
              </a:graphicData>
            </a:graphic>
          </wp:inline>
        </w:drawing>
      </w:r>
    </w:p>
    <w:p w:rsidR="00E24DB7" w:rsidRPr="002C5876" w:rsidRDefault="00E24DB7" w:rsidP="00E24DB7">
      <w:pPr>
        <w:pStyle w:val="SingleTxtG"/>
        <w:keepNext/>
        <w:keepLines/>
        <w:spacing w:before="240"/>
        <w:ind w:left="2268"/>
      </w:pPr>
      <w:r w:rsidRPr="002C5876">
        <w:lastRenderedPageBreak/>
        <w:t>Pour le cycle applicable aux véhicules de la classe 3, la période de réajustement de la vitesse est la période comprise entre la seconde 1 533 et la seconde 1 762. Au cours de cette période, l’accélération sur le cycle original est calculée au moyen de l’équation suivante :</w:t>
      </w:r>
    </w:p>
    <w:p w:rsidR="00E24DB7" w:rsidRPr="002C5876" w:rsidRDefault="00731CA6" w:rsidP="0012653B">
      <w:pPr>
        <w:pStyle w:val="SingleTxtG"/>
        <w:keepNext/>
        <w:keepLines/>
        <w:spacing w:before="240" w:after="240"/>
        <w:ind w:left="2268"/>
      </w:pPr>
      <m:oMathPara>
        <m:oMath>
          <m:sSub>
            <m:sSubPr>
              <m:ctrlPr>
                <w:rPr>
                  <w:rFonts w:ascii="Cambria Math" w:hAnsi="Cambria Math"/>
                </w:rPr>
              </m:ctrlPr>
            </m:sSubPr>
            <m:e>
              <m:r>
                <m:rPr>
                  <m:sty m:val="p"/>
                </m:rPr>
                <w:rPr>
                  <w:rFonts w:ascii="Cambria Math" w:hAnsi="Cambria Math"/>
                </w:rPr>
                <m:t>a</m:t>
              </m:r>
            </m:e>
            <m:sub>
              <m:sSub>
                <m:sSubPr>
                  <m:ctrlPr>
                    <w:rPr>
                      <w:rFonts w:ascii="Cambria Math" w:hAnsi="Cambria Math"/>
                    </w:rPr>
                  </m:ctrlPr>
                </m:sSubPr>
                <m:e>
                  <m:r>
                    <m:rPr>
                      <m:sty m:val="p"/>
                    </m:rPr>
                    <w:rPr>
                      <w:rFonts w:ascii="Cambria Math" w:hAnsi="Cambria Math"/>
                    </w:rPr>
                    <m:t>orig</m:t>
                  </m:r>
                </m:e>
                <m:sub>
                  <m:r>
                    <m:rPr>
                      <m:sty m:val="p"/>
                    </m:rPr>
                    <w:rPr>
                      <w:rFonts w:ascii="Cambria Math" w:hAnsi="Cambria Math"/>
                    </w:rPr>
                    <m:t>i</m:t>
                  </m:r>
                </m:sub>
              </m:sSub>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m:rPr>
                      <m:sty m:val="p"/>
                    </m:rPr>
                    <w:rPr>
                      <w:rFonts w:ascii="Cambria Math" w:hAnsi="Cambria Math"/>
                    </w:rPr>
                    <m:t>i+1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num>
            <m:den>
              <m:r>
                <m:rPr>
                  <m:sty m:val="p"/>
                </m:rPr>
                <w:rPr>
                  <w:rFonts w:ascii="Cambria Math" w:hAnsi="Cambria Math"/>
                </w:rPr>
                <m:t>3,6</m:t>
              </m:r>
            </m:den>
          </m:f>
        </m:oMath>
      </m:oMathPara>
    </w:p>
    <w:p w:rsidR="00E24DB7" w:rsidRPr="002C5876" w:rsidRDefault="00E24DB7" w:rsidP="00E24DB7">
      <w:pPr>
        <w:pStyle w:val="SingleTxtG"/>
        <w:keepNext/>
        <w:ind w:left="2268"/>
      </w:pPr>
      <w:r w:rsidRPr="002C5876">
        <w:t>où :</w:t>
      </w:r>
    </w:p>
    <w:p w:rsidR="00E24DB7" w:rsidRPr="002C5876" w:rsidRDefault="00E24DB7" w:rsidP="00E24DB7">
      <w:pPr>
        <w:pStyle w:val="SingleTxtG"/>
        <w:keepNext/>
        <w:ind w:left="3402" w:hanging="1134"/>
      </w:pPr>
      <w:r w:rsidRPr="002C5876">
        <w:t>v</w:t>
      </w:r>
      <w:r w:rsidRPr="002C5876">
        <w:rPr>
          <w:vertAlign w:val="subscript"/>
        </w:rPr>
        <w:t>i</w:t>
      </w:r>
      <w:r w:rsidRPr="002C5876">
        <w:tab/>
        <w:t>est la vitesse du véhicule, en km/h ;</w:t>
      </w:r>
    </w:p>
    <w:p w:rsidR="00E24DB7" w:rsidRPr="002C5876" w:rsidRDefault="00E24DB7" w:rsidP="00E24DB7">
      <w:pPr>
        <w:pStyle w:val="SingleTxtG"/>
        <w:ind w:left="3402" w:hanging="1134"/>
      </w:pPr>
      <w:r w:rsidRPr="002C5876">
        <w:t>i</w:t>
      </w:r>
      <w:r w:rsidRPr="002C5876">
        <w:tab/>
        <w:t>est la période entre la seconde 1 533 et la seconde 1 762.</w:t>
      </w:r>
    </w:p>
    <w:p w:rsidR="00E24DB7" w:rsidRPr="002C5876" w:rsidRDefault="00E24DB7" w:rsidP="00E24DB7">
      <w:pPr>
        <w:pStyle w:val="SingleTxtG"/>
        <w:keepNext/>
        <w:keepLines/>
        <w:ind w:left="2268"/>
      </w:pPr>
      <w:r w:rsidRPr="002C5876">
        <w:t>Le réajustement de la vitesse a lieu dans un premier temps durant la période comprise entre les secondes 1 533 et 1 724. La seconde 1 724 est l’instant auquel est atteinte la vitesse maximale de la phase à extra-haute vitesse. La courbe de la vitesse réajustée est ensuite calculée au moyen de l’équation suivante :</w:t>
      </w:r>
    </w:p>
    <w:p w:rsidR="00E24DB7" w:rsidRPr="00D53F39" w:rsidRDefault="00731CA6" w:rsidP="00E24DB7">
      <w:pPr>
        <w:pStyle w:val="SingleTxtG"/>
        <w:keepNext/>
        <w:keepLines/>
        <w:spacing w:after="240"/>
        <w:ind w:left="2268"/>
        <w:rPr>
          <w:rFonts w:eastAsiaTheme="minorEastAsia"/>
          <w:lang w:val="en-US"/>
        </w:rPr>
      </w:pPr>
      <m:oMathPara>
        <m:oMath>
          <m:sSub>
            <m:sSubPr>
              <m:ctrlPr>
                <w:rPr>
                  <w:rFonts w:ascii="Cambria Math" w:hAnsi="Cambria Math" w:cstheme="majorBidi"/>
                </w:rPr>
              </m:ctrlPr>
            </m:sSubPr>
            <m:e>
              <m:r>
                <m:rPr>
                  <m:nor/>
                </m:rPr>
                <w:rPr>
                  <w:rFonts w:asciiTheme="majorBidi" w:hAnsiTheme="majorBidi" w:cstheme="majorBidi"/>
                  <w:lang w:val="en-US"/>
                </w:rPr>
                <m:t>v</m:t>
              </m:r>
            </m:e>
            <m:sub>
              <m:sSub>
                <m:sSubPr>
                  <m:ctrlPr>
                    <w:rPr>
                      <w:rFonts w:ascii="Cambria Math" w:hAnsi="Cambria Math" w:cstheme="majorBidi"/>
                    </w:rPr>
                  </m:ctrlPr>
                </m:sSubPr>
                <m:e>
                  <m:r>
                    <m:rPr>
                      <m:nor/>
                    </m:rPr>
                    <w:rPr>
                      <w:rFonts w:asciiTheme="majorBidi" w:hAnsiTheme="majorBidi" w:cstheme="majorBidi"/>
                      <w:lang w:val="en-US"/>
                    </w:rPr>
                    <m:t>dsc</m:t>
                  </m:r>
                </m:e>
                <m:sub>
                  <m:r>
                    <m:rPr>
                      <m:nor/>
                    </m:rPr>
                    <w:rPr>
                      <w:rFonts w:asciiTheme="majorBidi" w:hAnsiTheme="majorBidi" w:cstheme="majorBidi"/>
                      <w:lang w:val="en-US"/>
                    </w:rPr>
                    <m:t>i+1</m:t>
                  </m:r>
                  <m:r>
                    <m:rPr>
                      <m:nor/>
                    </m:rPr>
                    <w:rPr>
                      <w:rFonts w:ascii="Cambria Math" w:hAnsiTheme="majorBidi" w:cstheme="majorBidi"/>
                      <w:lang w:val="en-US"/>
                    </w:rPr>
                    <m:t xml:space="preserve"> </m:t>
                  </m:r>
                </m:sub>
              </m:sSub>
            </m:sub>
          </m:sSub>
          <m:r>
            <m:rPr>
              <m:nor/>
            </m:rPr>
            <w:rPr>
              <w:rFonts w:asciiTheme="majorBidi" w:hAnsiTheme="majorBidi" w:cstheme="majorBidi"/>
              <w:lang w:val="en-US"/>
            </w:rPr>
            <m:t>=</m:t>
          </m:r>
          <m:sSub>
            <m:sSubPr>
              <m:ctrlPr>
                <w:rPr>
                  <w:rFonts w:ascii="Cambria Math" w:hAnsi="Cambria Math" w:cstheme="majorBidi"/>
                </w:rPr>
              </m:ctrlPr>
            </m:sSubPr>
            <m:e>
              <m:r>
                <m:rPr>
                  <m:nor/>
                </m:rPr>
                <w:rPr>
                  <w:rFonts w:ascii="Cambria Math" w:hAnsiTheme="majorBidi" w:cstheme="majorBidi"/>
                  <w:lang w:val="en-US"/>
                </w:rPr>
                <m:t xml:space="preserve"> </m:t>
              </m:r>
              <m:r>
                <m:rPr>
                  <m:nor/>
                </m:rPr>
                <w:rPr>
                  <w:rFonts w:asciiTheme="majorBidi" w:hAnsiTheme="majorBidi" w:cstheme="majorBidi"/>
                  <w:lang w:val="en-US"/>
                </w:rPr>
                <m:t>v</m:t>
              </m:r>
            </m:e>
            <m:sub>
              <m:sSub>
                <m:sSubPr>
                  <m:ctrlPr>
                    <w:rPr>
                      <w:rFonts w:ascii="Cambria Math" w:hAnsi="Cambria Math" w:cstheme="majorBidi"/>
                    </w:rPr>
                  </m:ctrlPr>
                </m:sSubPr>
                <m:e>
                  <m:r>
                    <m:rPr>
                      <m:nor/>
                    </m:rPr>
                    <w:rPr>
                      <w:rFonts w:asciiTheme="majorBidi" w:hAnsiTheme="majorBidi" w:cstheme="majorBidi"/>
                      <w:lang w:val="en-US"/>
                    </w:rPr>
                    <m:t>dsc</m:t>
                  </m:r>
                </m:e>
                <m:sub>
                  <m:r>
                    <m:rPr>
                      <m:nor/>
                    </m:rPr>
                    <w:rPr>
                      <w:rFonts w:asciiTheme="majorBidi" w:hAnsiTheme="majorBidi" w:cstheme="majorBidi"/>
                      <w:lang w:val="en-US"/>
                    </w:rPr>
                    <m:t>i</m:t>
                  </m:r>
                </m:sub>
              </m:sSub>
            </m:sub>
          </m:sSub>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a</m:t>
              </m:r>
            </m:e>
            <m:sub>
              <m:sSub>
                <m:sSubPr>
                  <m:ctrlPr>
                    <w:rPr>
                      <w:rFonts w:ascii="Cambria Math" w:hAnsi="Cambria Math" w:cstheme="majorBidi"/>
                    </w:rPr>
                  </m:ctrlPr>
                </m:sSubPr>
                <m:e>
                  <m:r>
                    <m:rPr>
                      <m:nor/>
                    </m:rPr>
                    <w:rPr>
                      <w:rFonts w:asciiTheme="majorBidi" w:hAnsiTheme="majorBidi" w:cstheme="majorBidi"/>
                      <w:lang w:val="en-US"/>
                    </w:rPr>
                    <m:t>orig</m:t>
                  </m:r>
                </m:e>
                <m:sub>
                  <m:r>
                    <m:rPr>
                      <m:nor/>
                    </m:rPr>
                    <w:rPr>
                      <w:rFonts w:asciiTheme="majorBidi" w:hAnsiTheme="majorBidi" w:cstheme="majorBidi"/>
                      <w:lang w:val="en-US"/>
                    </w:rPr>
                    <m:t>i</m:t>
                  </m:r>
                </m:sub>
              </m:sSub>
            </m:sub>
          </m:sSub>
          <m:r>
            <m:rPr>
              <m:nor/>
            </m:rPr>
            <w:rPr>
              <w:rFonts w:asciiTheme="majorBidi" w:hAnsiTheme="majorBidi" w:cstheme="majorBidi"/>
              <w:lang w:val="en-US"/>
            </w:rPr>
            <m:t>×</m:t>
          </m:r>
          <m:r>
            <m:rPr>
              <m:nor/>
            </m:rPr>
            <w:rPr>
              <w:rFonts w:ascii="Cambria Math" w:hAnsiTheme="majorBidi" w:cstheme="majorBidi"/>
              <w:lang w:val="en-US"/>
            </w:rPr>
            <m:t xml:space="preserve"> </m:t>
          </m:r>
          <m:d>
            <m:dPr>
              <m:ctrlPr>
                <w:rPr>
                  <w:rFonts w:ascii="Cambria Math" w:hAnsi="Cambria Math" w:cstheme="majorBidi"/>
                </w:rPr>
              </m:ctrlPr>
            </m:dPr>
            <m:e>
              <m:r>
                <m:rPr>
                  <m:nor/>
                </m:rPr>
                <w:rPr>
                  <w:rFonts w:asciiTheme="majorBidi" w:hAnsiTheme="majorBidi" w:cstheme="majorBidi"/>
                  <w:lang w:val="en-US"/>
                </w:rPr>
                <m:t>1</m:t>
              </m:r>
              <m:r>
                <m:rPr>
                  <m:nor/>
                </m:rPr>
                <w:rPr>
                  <w:rFonts w:ascii="Cambria Math" w:hAnsiTheme="majorBidi" w:cstheme="majorBidi"/>
                  <w:lang w:val="en-US"/>
                </w:rPr>
                <m:t xml:space="preserve"> </m:t>
              </m:r>
              <m:r>
                <m:rPr>
                  <m:nor/>
                </m:rPr>
                <w:rPr>
                  <w:rFonts w:ascii="Cambria Math"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dsc</m:t>
                  </m:r>
                </m:sub>
              </m:sSub>
            </m:e>
          </m:d>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r>
            <m:rPr>
              <m:nor/>
            </m:rPr>
            <w:rPr>
              <w:rFonts w:asciiTheme="majorBidi" w:hAnsiTheme="majorBidi" w:cstheme="majorBidi"/>
              <w:lang w:val="en-US"/>
            </w:rPr>
            <m:t>3,6</m:t>
          </m:r>
        </m:oMath>
      </m:oMathPara>
    </w:p>
    <w:p w:rsidR="00E24DB7" w:rsidRPr="002C5876" w:rsidRDefault="00E24DB7" w:rsidP="00E24DB7">
      <w:pPr>
        <w:pStyle w:val="SingleTxtG"/>
        <w:ind w:left="2268"/>
      </w:pPr>
      <w:r w:rsidRPr="002C5876">
        <w:t>pour i = 1 533 à 1 723.</w:t>
      </w:r>
    </w:p>
    <w:p w:rsidR="00E24DB7" w:rsidRPr="002C5876" w:rsidRDefault="00E24DB7" w:rsidP="00E24DB7">
      <w:pPr>
        <w:pStyle w:val="SingleTxtG"/>
        <w:ind w:left="2268"/>
      </w:pPr>
      <w:r w:rsidRPr="002C5876">
        <w:t xml:space="preserve">Pour i = 1533, </w:t>
      </w:r>
      <m:oMath>
        <m:sSub>
          <m:sSubPr>
            <m:ctrlPr>
              <w:rPr>
                <w:rFonts w:ascii="Cambria Math" w:hAnsi="Cambria Math" w:cstheme="majorBidi"/>
              </w:rPr>
            </m:ctrlPr>
          </m:sSubPr>
          <m:e>
            <m:r>
              <m:rPr>
                <m:nor/>
              </m:rPr>
              <w:rPr>
                <w:rFonts w:asciiTheme="majorBidi" w:hAnsiTheme="majorBidi" w:cstheme="majorBidi"/>
              </w:rPr>
              <m:t>v</m:t>
            </m:r>
          </m:e>
          <m:sub>
            <m:sSub>
              <m:sSubPr>
                <m:ctrlPr>
                  <w:rPr>
                    <w:rFonts w:ascii="Cambria Math" w:hAnsi="Cambria Math" w:cstheme="majorBidi"/>
                  </w:rPr>
                </m:ctrlPr>
              </m:sSubPr>
              <m:e>
                <m:r>
                  <m:rPr>
                    <m:nor/>
                  </m:rPr>
                  <w:rPr>
                    <w:rFonts w:asciiTheme="majorBidi" w:hAnsiTheme="majorBidi" w:cstheme="majorBidi"/>
                  </w:rPr>
                  <m:t>dsc</m:t>
                </m:r>
              </m:e>
              <m:sub>
                <m:r>
                  <m:rPr>
                    <m:nor/>
                  </m:rPr>
                  <w:rPr>
                    <w:rFonts w:asciiTheme="majorBidi" w:hAnsiTheme="majorBidi" w:cstheme="majorBidi"/>
                  </w:rPr>
                  <m:t>i</m:t>
                </m:r>
              </m:sub>
            </m:sSub>
          </m:sub>
        </m:sSub>
        <m:r>
          <m:rPr>
            <m:nor/>
          </m:rPr>
          <w:rPr>
            <w:rFonts w:asciiTheme="majorBidi" w:hAnsiTheme="majorBidi" w:cstheme="majorBidi"/>
          </w:rPr>
          <m:t>=</m:t>
        </m:r>
        <m:r>
          <m:rPr>
            <m:nor/>
          </m:rPr>
          <w:rPr>
            <w:rFonts w:ascii="Cambria Math" w:hAnsiTheme="majorBidi" w:cstheme="majorBidi"/>
          </w:rPr>
          <m:t xml:space="preserve"> </m:t>
        </m:r>
        <m:sSub>
          <m:sSubPr>
            <m:ctrlPr>
              <w:rPr>
                <w:rFonts w:ascii="Cambria Math" w:hAnsi="Cambria Math" w:cstheme="majorBidi"/>
              </w:rPr>
            </m:ctrlPr>
          </m:sSubPr>
          <m:e>
            <m:r>
              <m:rPr>
                <m:nor/>
              </m:rPr>
              <w:rPr>
                <w:rFonts w:asciiTheme="majorBidi" w:hAnsiTheme="majorBidi" w:cstheme="majorBidi"/>
              </w:rPr>
              <m:t>v</m:t>
            </m:r>
          </m:e>
          <m:sub>
            <m:sSub>
              <m:sSubPr>
                <m:ctrlPr>
                  <w:rPr>
                    <w:rFonts w:ascii="Cambria Math" w:hAnsi="Cambria Math" w:cstheme="majorBidi"/>
                  </w:rPr>
                </m:ctrlPr>
              </m:sSubPr>
              <m:e>
                <m:r>
                  <m:rPr>
                    <m:nor/>
                  </m:rPr>
                  <w:rPr>
                    <w:rFonts w:asciiTheme="majorBidi" w:hAnsiTheme="majorBidi" w:cstheme="majorBidi"/>
                  </w:rPr>
                  <m:t>orig</m:t>
                </m:r>
              </m:e>
              <m:sub>
                <m:r>
                  <m:rPr>
                    <m:nor/>
                  </m:rPr>
                  <w:rPr>
                    <w:rFonts w:asciiTheme="majorBidi" w:hAnsiTheme="majorBidi" w:cstheme="majorBidi"/>
                  </w:rPr>
                  <m:t>i</m:t>
                </m:r>
              </m:sub>
            </m:sSub>
          </m:sub>
        </m:sSub>
      </m:oMath>
      <w:r w:rsidRPr="002C5876">
        <w:t>.</w:t>
      </w:r>
    </w:p>
    <w:p w:rsidR="00E24DB7" w:rsidRPr="002C5876" w:rsidRDefault="00E24DB7" w:rsidP="00E24DB7">
      <w:pPr>
        <w:pStyle w:val="SingleTxtG"/>
        <w:keepNext/>
        <w:keepLines/>
        <w:ind w:left="2268"/>
      </w:pPr>
      <w:r w:rsidRPr="002C5876">
        <w:t>Afin de déterminer la vitesse originale du véhicule à la seconde 1 763, on calcule le facteur de correction pour la décélération au moyen de l’équation suivante :</w:t>
      </w:r>
    </w:p>
    <w:p w:rsidR="00E24DB7" w:rsidRPr="002C5876" w:rsidRDefault="00731CA6" w:rsidP="00E24DB7">
      <w:pPr>
        <w:pStyle w:val="SingleTxtG"/>
        <w:keepNext/>
        <w:keepLines/>
        <w:spacing w:after="240"/>
        <w:ind w:left="2268"/>
        <w:rPr>
          <w:rFonts w:eastAsiaTheme="minorEastAsia"/>
        </w:rPr>
      </w:pPr>
      <m:oMathPara>
        <m:oMathParaPr>
          <m:jc m:val="center"/>
        </m:oMathParaPr>
        <m:oMath>
          <m:sSub>
            <m:sSubPr>
              <m:ctrlPr>
                <w:rPr>
                  <w:rFonts w:ascii="Cambria Math" w:hAnsi="Cambria Math" w:cstheme="majorBidi"/>
                </w:rPr>
              </m:ctrlPr>
            </m:sSubPr>
            <m:e>
              <m:r>
                <m:rPr>
                  <m:nor/>
                </m:rPr>
                <w:rPr>
                  <w:rFonts w:asciiTheme="majorBidi" w:hAnsiTheme="majorBidi" w:cstheme="majorBidi"/>
                </w:rPr>
                <m:t>f</m:t>
              </m:r>
            </m:e>
            <m:sub>
              <m:r>
                <m:rPr>
                  <m:nor/>
                </m:rPr>
                <w:rPr>
                  <w:rFonts w:asciiTheme="majorBidi" w:hAnsiTheme="majorBidi" w:cstheme="majorBidi"/>
                </w:rPr>
                <m:t>corr_dec</m:t>
              </m:r>
            </m:sub>
          </m:sSub>
          <m:r>
            <m:rPr>
              <m:nor/>
            </m:rPr>
            <w:rPr>
              <w:rFonts w:asciiTheme="majorBidi" w:hAnsiTheme="majorBidi" w:cstheme="majorBidi"/>
            </w:rPr>
            <m:t>=</m:t>
          </m:r>
          <m:f>
            <m:fPr>
              <m:ctrlPr>
                <w:rPr>
                  <w:rFonts w:ascii="Cambria Math" w:hAnsi="Cambria Math" w:cstheme="majorBidi"/>
                </w:rPr>
              </m:ctrlPr>
            </m:fPr>
            <m:num>
              <m:sSub>
                <m:sSubPr>
                  <m:ctrlPr>
                    <w:rPr>
                      <w:rFonts w:ascii="Cambria Math" w:hAnsi="Cambria Math" w:cstheme="majorBidi"/>
                    </w:rPr>
                  </m:ctrlPr>
                </m:sSubPr>
                <m:e>
                  <m:r>
                    <m:rPr>
                      <m:nor/>
                    </m:rPr>
                    <w:rPr>
                      <w:rFonts w:asciiTheme="majorBidi" w:hAnsiTheme="majorBidi" w:cstheme="majorBidi"/>
                    </w:rPr>
                    <m:t>v</m:t>
                  </m:r>
                </m:e>
                <m:sub>
                  <m:r>
                    <m:rPr>
                      <m:nor/>
                    </m:rPr>
                    <w:rPr>
                      <w:rFonts w:asciiTheme="majorBidi" w:hAnsiTheme="majorBidi" w:cstheme="majorBidi"/>
                    </w:rPr>
                    <m:t>dsc_1724</m:t>
                  </m:r>
                </m:sub>
              </m:sSub>
              <m:r>
                <m:rPr>
                  <m:nor/>
                </m:rPr>
                <w:rPr>
                  <w:rFonts w:ascii="Cambria Math" w:hAnsiTheme="majorBidi" w:cstheme="majorBidi"/>
                </w:rPr>
                <m:t xml:space="preserve"> </m:t>
              </m:r>
              <m:r>
                <m:rPr>
                  <m:nor/>
                </m:rPr>
                <w:rPr>
                  <w:rFonts w:ascii="Cambria Math" w:hAnsiTheme="majorBidi" w:cstheme="majorBidi"/>
                </w:rPr>
                <m:t>–</m:t>
              </m:r>
              <m:r>
                <m:rPr>
                  <m:nor/>
                </m:rPr>
                <w:rPr>
                  <w:rFonts w:ascii="Cambria Math" w:hAnsiTheme="majorBidi" w:cstheme="majorBidi"/>
                </w:rPr>
                <m:t xml:space="preserve"> </m:t>
              </m:r>
              <m:r>
                <m:rPr>
                  <m:nor/>
                </m:rPr>
                <w:rPr>
                  <w:rFonts w:asciiTheme="majorBidi" w:hAnsiTheme="majorBidi" w:cstheme="majorBidi"/>
                </w:rPr>
                <m:t>82,6</m:t>
              </m:r>
            </m:num>
            <m:den>
              <m:sSub>
                <m:sSubPr>
                  <m:ctrlPr>
                    <w:rPr>
                      <w:rFonts w:ascii="Cambria Math" w:hAnsi="Cambria Math" w:cstheme="majorBidi"/>
                    </w:rPr>
                  </m:ctrlPr>
                </m:sSubPr>
                <m:e>
                  <m:r>
                    <m:rPr>
                      <m:nor/>
                    </m:rPr>
                    <w:rPr>
                      <w:rFonts w:asciiTheme="majorBidi" w:hAnsiTheme="majorBidi" w:cstheme="majorBidi"/>
                    </w:rPr>
                    <m:t>v</m:t>
                  </m:r>
                </m:e>
                <m:sub>
                  <m:r>
                    <m:rPr>
                      <m:nor/>
                    </m:rPr>
                    <w:rPr>
                      <w:rFonts w:asciiTheme="majorBidi" w:hAnsiTheme="majorBidi" w:cstheme="majorBidi"/>
                    </w:rPr>
                    <m:t>orig_1724</m:t>
                  </m:r>
                </m:sub>
              </m:sSub>
              <m:r>
                <m:rPr>
                  <m:nor/>
                </m:rPr>
                <w:rPr>
                  <w:rFonts w:ascii="Cambria Math" w:hAnsiTheme="majorBidi" w:cstheme="majorBidi"/>
                </w:rPr>
                <m:t xml:space="preserve"> </m:t>
              </m:r>
              <m:r>
                <m:rPr>
                  <m:nor/>
                </m:rPr>
                <w:rPr>
                  <w:rFonts w:ascii="Cambria Math" w:hAnsiTheme="majorBidi" w:cstheme="majorBidi"/>
                </w:rPr>
                <m:t>–</m:t>
              </m:r>
              <m:r>
                <m:rPr>
                  <m:nor/>
                </m:rPr>
                <w:rPr>
                  <w:rFonts w:ascii="Cambria Math" w:hAnsiTheme="majorBidi" w:cstheme="majorBidi"/>
                </w:rPr>
                <m:t xml:space="preserve"> </m:t>
              </m:r>
              <m:r>
                <m:rPr>
                  <m:nor/>
                </m:rPr>
                <w:rPr>
                  <w:rFonts w:asciiTheme="majorBidi" w:hAnsiTheme="majorBidi" w:cstheme="majorBidi"/>
                </w:rPr>
                <m:t>82,6</m:t>
              </m:r>
            </m:den>
          </m:f>
        </m:oMath>
      </m:oMathPara>
    </w:p>
    <w:p w:rsidR="00E24DB7" w:rsidRPr="002C5876" w:rsidRDefault="00E24DB7" w:rsidP="00E24DB7">
      <w:pPr>
        <w:pStyle w:val="SingleTxtG"/>
        <w:ind w:left="2268"/>
      </w:pPr>
      <w:r w:rsidRPr="002C5876">
        <w:t>où 82,6 km/h est la vitesse originale du véhicule à la seconde 1 763.</w:t>
      </w:r>
    </w:p>
    <w:p w:rsidR="00E24DB7" w:rsidRPr="002C5876" w:rsidRDefault="00E24DB7" w:rsidP="00E24DB7">
      <w:pPr>
        <w:pStyle w:val="SingleTxtG"/>
        <w:keepNext/>
        <w:keepLines/>
        <w:ind w:left="2268"/>
      </w:pPr>
      <w:r w:rsidRPr="002C5876">
        <w:t>La vitesse réajustée du véhicule entre les secondes 1 725 et 1 762 est ensuite calculée au moyen de l’équation suivante :</w:t>
      </w:r>
    </w:p>
    <w:p w:rsidR="0012653B" w:rsidRPr="002C5876" w:rsidRDefault="00731CA6" w:rsidP="0012653B">
      <w:pPr>
        <w:pStyle w:val="SingleTxtG"/>
        <w:keepNext/>
        <w:keepLines/>
        <w:spacing w:after="240"/>
        <w:ind w:left="2268"/>
      </w:pPr>
      <m:oMathPara>
        <m:oMath>
          <m:sSub>
            <m:sSubPr>
              <m:ctrlPr>
                <w:rPr>
                  <w:rFonts w:ascii="Cambria Math" w:hAnsi="Cambria Math"/>
                </w:rPr>
              </m:ctrlPr>
            </m:sSubPr>
            <m:e>
              <m:r>
                <m:rPr>
                  <m:sty m:val="p"/>
                </m:rPr>
                <w:rPr>
                  <w:rFonts w:ascii="Cambria Math" w:hAnsi="Cambria Math"/>
                </w:rPr>
                <m:t>v</m:t>
              </m:r>
            </m:e>
            <m:sub>
              <m:sSub>
                <m:sSubPr>
                  <m:ctrlPr>
                    <w:rPr>
                      <w:rFonts w:ascii="Cambria Math" w:hAnsi="Cambria Math"/>
                    </w:rPr>
                  </m:ctrlPr>
                </m:sSubPr>
                <m:e>
                  <m:r>
                    <m:rPr>
                      <m:sty m:val="p"/>
                    </m:rPr>
                    <w:rPr>
                      <w:rFonts w:ascii="Cambria Math" w:hAnsi="Cambria Math"/>
                    </w:rPr>
                    <m:t>dsc</m:t>
                  </m:r>
                </m:e>
                <m:sub>
                  <m:r>
                    <m:rPr>
                      <m:sty m:val="p"/>
                    </m:rPr>
                    <w:rPr>
                      <w:rFonts w:ascii="Cambria Math" w:hAnsi="Cambria Math"/>
                    </w:rPr>
                    <m:t>i</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sSub>
                <m:sSubPr>
                  <m:ctrlPr>
                    <w:rPr>
                      <w:rFonts w:ascii="Cambria Math" w:hAnsi="Cambria Math"/>
                    </w:rPr>
                  </m:ctrlPr>
                </m:sSubPr>
                <m:e>
                  <m:r>
                    <m:rPr>
                      <m:sty m:val="p"/>
                    </m:rPr>
                    <w:rPr>
                      <w:rFonts w:ascii="Cambria Math" w:hAnsi="Cambria Math"/>
                    </w:rPr>
                    <m:t>dsc</m:t>
                  </m:r>
                </m:e>
                <m:sub>
                  <m:r>
                    <m:rPr>
                      <m:sty m:val="p"/>
                    </m:rPr>
                    <w:rPr>
                      <w:rFonts w:ascii="Cambria Math" w:hAnsi="Cambria Math"/>
                    </w:rPr>
                    <m:t>i-1</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sSub>
                <m:sSubPr>
                  <m:ctrlPr>
                    <w:rPr>
                      <w:rFonts w:ascii="Cambria Math" w:hAnsi="Cambria Math"/>
                    </w:rPr>
                  </m:ctrlPr>
                </m:sSubPr>
                <m:e>
                  <m:r>
                    <m:rPr>
                      <m:sty m:val="p"/>
                    </m:rPr>
                    <w:rPr>
                      <w:rFonts w:ascii="Cambria Math" w:hAnsi="Cambria Math"/>
                    </w:rPr>
                    <m:t>orig</m:t>
                  </m:r>
                </m:e>
                <m:sub>
                  <m:r>
                    <m:rPr>
                      <m:sty m:val="p"/>
                    </m:rPr>
                    <w:rPr>
                      <w:rFonts w:ascii="Cambria Math" w:hAnsi="Cambria Math"/>
                    </w:rPr>
                    <m:t>i-1</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corr_dec</m:t>
              </m:r>
            </m:sub>
          </m:sSub>
          <m:r>
            <m:rPr>
              <m:sty m:val="p"/>
            </m:rPr>
            <w:rPr>
              <w:rFonts w:ascii="Cambria Math" w:hAnsi="Cambria Math"/>
            </w:rPr>
            <m:t>×3,6</m:t>
          </m:r>
        </m:oMath>
      </m:oMathPara>
    </w:p>
    <w:p w:rsidR="00E24DB7" w:rsidRPr="002C5876" w:rsidRDefault="00E24DB7" w:rsidP="0012653B">
      <w:pPr>
        <w:pStyle w:val="SingleTxtG"/>
        <w:keepNext/>
        <w:keepLines/>
        <w:ind w:left="2268"/>
      </w:pPr>
      <w:r w:rsidRPr="002C5876">
        <w:t>pour i = 1 725 à 1 762.</w:t>
      </w:r>
    </w:p>
    <w:p w:rsidR="00E24DB7" w:rsidRPr="002C5876" w:rsidRDefault="00E24DB7" w:rsidP="00E24DB7">
      <w:pPr>
        <w:pStyle w:val="SingleTxtG"/>
        <w:keepNext/>
        <w:ind w:left="2268" w:hanging="1134"/>
        <w:jc w:val="left"/>
      </w:pPr>
      <w:r w:rsidRPr="002C5876">
        <w:t>8.3</w:t>
      </w:r>
      <w:r w:rsidRPr="002C5876">
        <w:tab/>
      </w:r>
      <w:r w:rsidRPr="002C5876">
        <w:tab/>
        <w:t>Détermination du facteur de réajustement</w:t>
      </w:r>
    </w:p>
    <w:p w:rsidR="00E24DB7" w:rsidRPr="002C5876" w:rsidRDefault="00E24DB7" w:rsidP="00E24DB7">
      <w:pPr>
        <w:pStyle w:val="SingleTxtG"/>
        <w:ind w:left="2268"/>
      </w:pPr>
      <w:r w:rsidRPr="002C5876">
        <w:t>Le facteur de réajustement f</w:t>
      </w:r>
      <w:r w:rsidRPr="002C5876">
        <w:rPr>
          <w:vertAlign w:val="subscript"/>
        </w:rPr>
        <w:t>dsc</w:t>
      </w:r>
      <w:r w:rsidRPr="002C5876">
        <w:t xml:space="preserve"> est fonction du rapport r</w:t>
      </w:r>
      <w:r w:rsidRPr="002C5876">
        <w:rPr>
          <w:vertAlign w:val="subscript"/>
        </w:rPr>
        <w:t xml:space="preserve">max </w:t>
      </w:r>
      <w:r w:rsidRPr="002C5876">
        <w:t>entre la puissance maximale requise durant les phases du cycle où s’appliquent le réajustement et la puissance nominale du véhicule (P</w:t>
      </w:r>
      <w:r w:rsidRPr="002C5876">
        <w:rPr>
          <w:vertAlign w:val="subscript"/>
        </w:rPr>
        <w:t>rated</w:t>
      </w:r>
      <w:r w:rsidRPr="002C5876">
        <w:t>).</w:t>
      </w:r>
    </w:p>
    <w:p w:rsidR="00E24DB7" w:rsidRPr="002C5876" w:rsidRDefault="00E24DB7" w:rsidP="00E24DB7">
      <w:pPr>
        <w:pStyle w:val="SingleTxtG"/>
        <w:keepNext/>
        <w:keepLines/>
        <w:ind w:left="2268"/>
      </w:pPr>
      <w:r w:rsidRPr="002C5876">
        <w:t xml:space="preserve">La puissance maximale requise,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req, max, i</m:t>
            </m:r>
          </m:sub>
        </m:sSub>
      </m:oMath>
      <w:r w:rsidRPr="002C5876">
        <w:t>, exprimée en kW, est liée à un instant particulier i et à la vitesse correspondante v</w:t>
      </w:r>
      <w:r w:rsidRPr="002C5876">
        <w:rPr>
          <w:vertAlign w:val="subscript"/>
        </w:rPr>
        <w:t xml:space="preserve">i </w:t>
      </w:r>
      <w:r w:rsidRPr="002C5876">
        <w:t>sur la courbe du cycle et est calculée au moyen de l’équation suivante :</w:t>
      </w:r>
    </w:p>
    <w:p w:rsidR="00E24DB7" w:rsidRPr="00D53F39" w:rsidRDefault="00731CA6" w:rsidP="00E24DB7">
      <w:pPr>
        <w:pStyle w:val="SingleTxtG"/>
        <w:spacing w:after="240"/>
        <w:ind w:left="2268"/>
        <w:jc w:val="center"/>
        <w:rPr>
          <w:lang w:val="en-US"/>
        </w:rPr>
      </w:pPr>
      <m:oMathPara>
        <m:oMath>
          <m:sSub>
            <m:sSubPr>
              <m:ctrlPr>
                <w:rPr>
                  <w:rFonts w:ascii="Cambria Math" w:hAnsi="Cambria Math" w:cstheme="majorBidi"/>
                </w:rPr>
              </m:ctrlPr>
            </m:sSubPr>
            <m:e>
              <m:r>
                <m:rPr>
                  <m:nor/>
                </m:rPr>
                <w:rPr>
                  <w:rFonts w:asciiTheme="majorBidi" w:hAnsiTheme="majorBidi" w:cstheme="majorBidi"/>
                  <w:lang w:val="en-US"/>
                </w:rPr>
                <m:t>P</m:t>
              </m:r>
            </m:e>
            <m:sub>
              <m:r>
                <m:rPr>
                  <m:nor/>
                </m:rPr>
                <w:rPr>
                  <w:rFonts w:asciiTheme="majorBidi" w:hAnsiTheme="majorBidi" w:cstheme="majorBidi"/>
                  <w:lang w:val="en-US"/>
                </w:rPr>
                <m:t>req,max,i</m:t>
              </m:r>
              <m:r>
                <m:rPr>
                  <m:nor/>
                </m:rPr>
                <w:rPr>
                  <w:rFonts w:ascii="Cambria Math" w:hAnsiTheme="majorBidi" w:cstheme="majorBidi"/>
                  <w:lang w:val="en-US"/>
                </w:rPr>
                <m:t xml:space="preserve"> </m:t>
              </m:r>
            </m:sub>
          </m:sSub>
          <m:r>
            <m:rPr>
              <m:nor/>
            </m:rPr>
            <w:rPr>
              <w:rFonts w:asciiTheme="majorBidi" w:hAnsiTheme="majorBidi" w:cstheme="majorBidi"/>
              <w:lang w:val="en-US"/>
            </w:rPr>
            <m:t>=</m:t>
          </m:r>
          <m:f>
            <m:fPr>
              <m:ctrlPr>
                <w:rPr>
                  <w:rFonts w:ascii="Cambria Math" w:hAnsi="Cambria Math" w:cstheme="majorBidi"/>
                </w:rPr>
              </m:ctrlPr>
            </m:fPr>
            <m:num>
              <m:d>
                <m:dPr>
                  <m:ctrlPr>
                    <w:rPr>
                      <w:rFonts w:ascii="Cambria Math" w:hAnsi="Cambria Math" w:cstheme="majorBidi"/>
                    </w:rPr>
                  </m:ctrlPr>
                </m:dPr>
                <m:e>
                  <m:d>
                    <m:dPr>
                      <m:ctrlPr>
                        <w:rPr>
                          <w:rFonts w:ascii="Cambria Math" w:hAnsi="Cambria Math" w:cstheme="majorBidi"/>
                        </w:rPr>
                      </m:ctrlPr>
                    </m:dPr>
                    <m:e>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0</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v</m:t>
                          </m:r>
                        </m:e>
                        <m:sub>
                          <m:r>
                            <m:rPr>
                              <m:nor/>
                            </m:rPr>
                            <w:rPr>
                              <w:rFonts w:asciiTheme="majorBidi" w:hAnsiTheme="majorBidi" w:cstheme="majorBidi"/>
                              <w:lang w:val="en-US"/>
                            </w:rPr>
                            <m:t>i</m:t>
                          </m:r>
                        </m:sub>
                      </m:sSub>
                    </m:e>
                  </m:d>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d>
                    <m:dPr>
                      <m:ctrlPr>
                        <w:rPr>
                          <w:rFonts w:ascii="Cambria Math" w:hAnsi="Cambria Math" w:cstheme="majorBidi"/>
                        </w:rPr>
                      </m:ctrlPr>
                    </m:dPr>
                    <m:e>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1</m:t>
                          </m:r>
                        </m:sub>
                      </m:sSub>
                      <m:r>
                        <m:rPr>
                          <m:nor/>
                        </m:rPr>
                        <w:rPr>
                          <w:rFonts w:ascii="Cambria Math" w:hAnsiTheme="majorBidi" w:cstheme="majorBidi"/>
                          <w:lang w:val="en-US"/>
                        </w:rPr>
                        <m:t xml:space="preserve"> </m:t>
                      </m:r>
                      <m:r>
                        <m:rPr>
                          <m:nor/>
                        </m:rPr>
                        <w:rPr>
                          <w:rFonts w:asciiTheme="majorBidi" w:hAnsiTheme="majorBidi" w:cstheme="majorBidi"/>
                          <w:lang w:val="en-US"/>
                        </w:rPr>
                        <m:t>×</m:t>
                      </m:r>
                      <m:sSubSup>
                        <m:sSubSupPr>
                          <m:ctrlPr>
                            <w:rPr>
                              <w:rFonts w:ascii="Cambria Math" w:hAnsi="Cambria Math" w:cstheme="majorBidi"/>
                            </w:rPr>
                          </m:ctrlPr>
                        </m:sSubSupPr>
                        <m:e>
                          <m:r>
                            <m:rPr>
                              <m:nor/>
                            </m:rPr>
                            <w:rPr>
                              <w:rFonts w:ascii="Cambria Math" w:hAnsiTheme="majorBidi" w:cstheme="majorBidi"/>
                              <w:lang w:val="en-US"/>
                            </w:rPr>
                            <m:t xml:space="preserve"> </m:t>
                          </m:r>
                          <m:r>
                            <m:rPr>
                              <m:nor/>
                            </m:rPr>
                            <w:rPr>
                              <w:rFonts w:asciiTheme="majorBidi" w:hAnsiTheme="majorBidi" w:cstheme="majorBidi"/>
                              <w:lang w:val="en-US"/>
                            </w:rPr>
                            <m:t>v</m:t>
                          </m:r>
                        </m:e>
                        <m:sub>
                          <m:r>
                            <m:rPr>
                              <m:nor/>
                            </m:rPr>
                            <w:rPr>
                              <w:rFonts w:asciiTheme="majorBidi" w:hAnsiTheme="majorBidi" w:cstheme="majorBidi"/>
                              <w:lang w:val="en-US"/>
                            </w:rPr>
                            <m:t>i</m:t>
                          </m:r>
                        </m:sub>
                        <m:sup>
                          <m:r>
                            <m:rPr>
                              <m:nor/>
                            </m:rPr>
                            <w:rPr>
                              <w:rFonts w:asciiTheme="majorBidi" w:hAnsiTheme="majorBidi" w:cstheme="majorBidi"/>
                              <w:lang w:val="en-US"/>
                            </w:rPr>
                            <m:t>2</m:t>
                          </m:r>
                        </m:sup>
                      </m:sSubSup>
                    </m:e>
                  </m:d>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d>
                    <m:dPr>
                      <m:ctrlPr>
                        <w:rPr>
                          <w:rFonts w:ascii="Cambria Math" w:hAnsi="Cambria Math" w:cstheme="majorBidi"/>
                        </w:rPr>
                      </m:ctrlPr>
                    </m:dPr>
                    <m:e>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2</m:t>
                          </m:r>
                        </m:sub>
                      </m:sSub>
                      <m:r>
                        <m:rPr>
                          <m:nor/>
                        </m:rPr>
                        <w:rPr>
                          <w:rFonts w:ascii="Cambria Math" w:hAnsiTheme="majorBidi" w:cstheme="majorBidi"/>
                          <w:lang w:val="en-US"/>
                        </w:rPr>
                        <m:t xml:space="preserve"> </m:t>
                      </m:r>
                      <m:r>
                        <m:rPr>
                          <m:nor/>
                        </m:rPr>
                        <w:rPr>
                          <w:rFonts w:asciiTheme="majorBidi" w:hAnsiTheme="majorBidi" w:cstheme="majorBidi"/>
                          <w:lang w:val="en-US"/>
                        </w:rPr>
                        <m:t>×</m:t>
                      </m:r>
                      <m:sSubSup>
                        <m:sSubSupPr>
                          <m:ctrlPr>
                            <w:rPr>
                              <w:rFonts w:ascii="Cambria Math" w:hAnsi="Cambria Math" w:cstheme="majorBidi"/>
                            </w:rPr>
                          </m:ctrlPr>
                        </m:sSubSupPr>
                        <m:e>
                          <m:r>
                            <m:rPr>
                              <m:nor/>
                            </m:rPr>
                            <w:rPr>
                              <w:rFonts w:ascii="Cambria Math" w:hAnsiTheme="majorBidi" w:cstheme="majorBidi"/>
                              <w:lang w:val="en-US"/>
                            </w:rPr>
                            <m:t xml:space="preserve"> </m:t>
                          </m:r>
                          <m:r>
                            <m:rPr>
                              <m:nor/>
                            </m:rPr>
                            <w:rPr>
                              <w:rFonts w:asciiTheme="majorBidi" w:hAnsiTheme="majorBidi" w:cstheme="majorBidi"/>
                              <w:lang w:val="en-US"/>
                            </w:rPr>
                            <m:t>v</m:t>
                          </m:r>
                        </m:e>
                        <m:sub>
                          <m:r>
                            <m:rPr>
                              <m:nor/>
                            </m:rPr>
                            <w:rPr>
                              <w:rFonts w:asciiTheme="majorBidi" w:hAnsiTheme="majorBidi" w:cstheme="majorBidi"/>
                              <w:lang w:val="en-US"/>
                            </w:rPr>
                            <m:t>i</m:t>
                          </m:r>
                        </m:sub>
                        <m:sup>
                          <m:r>
                            <m:rPr>
                              <m:nor/>
                            </m:rPr>
                            <w:rPr>
                              <w:rFonts w:asciiTheme="majorBidi" w:hAnsiTheme="majorBidi" w:cstheme="majorBidi"/>
                              <w:lang w:val="en-US"/>
                            </w:rPr>
                            <m:t>3</m:t>
                          </m:r>
                        </m:sup>
                      </m:sSubSup>
                    </m:e>
                  </m:d>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d>
                    <m:dPr>
                      <m:ctrlPr>
                        <w:rPr>
                          <w:rFonts w:ascii="Cambria Math" w:hAnsi="Cambria Math" w:cstheme="majorBidi"/>
                        </w:rPr>
                      </m:ctrlPr>
                    </m:dPr>
                    <m:e>
                      <m:r>
                        <m:rPr>
                          <m:nor/>
                        </m:rPr>
                        <w:rPr>
                          <w:rFonts w:asciiTheme="majorBidi" w:hAnsiTheme="majorBidi" w:cstheme="majorBidi"/>
                          <w:lang w:val="en-US"/>
                        </w:rPr>
                        <m:t>1,03 ×</m:t>
                      </m:r>
                      <m:r>
                        <m:rPr>
                          <m:nor/>
                        </m:rPr>
                        <w:rPr>
                          <w:rFonts w:ascii="Cambria Math" w:hAnsiTheme="majorBidi" w:cstheme="majorBidi"/>
                          <w:lang w:val="en-US"/>
                        </w:rPr>
                        <m:t xml:space="preserve"> </m:t>
                      </m:r>
                      <m:r>
                        <m:rPr>
                          <m:nor/>
                        </m:rPr>
                        <w:rPr>
                          <w:rFonts w:asciiTheme="majorBidi" w:hAnsiTheme="majorBidi" w:cstheme="majorBidi"/>
                          <w:lang w:val="en-US"/>
                        </w:rPr>
                        <m:t>TM</m:t>
                      </m:r>
                      <m:r>
                        <m:rPr>
                          <m:nor/>
                        </m:rPr>
                        <w:rPr>
                          <w:rFonts w:ascii="Cambria Math" w:hAnsiTheme="majorBidi" w:cstheme="majorBidi"/>
                          <w:lang w:val="en-US"/>
                        </w:rPr>
                        <m:t xml:space="preserve"> </m:t>
                      </m:r>
                      <m:r>
                        <m:rPr>
                          <m:nor/>
                        </m:rPr>
                        <w:rPr>
                          <w:rFonts w:asciiTheme="majorBidi" w:hAnsiTheme="majorBidi" w:cstheme="majorBidi"/>
                          <w:lang w:val="en-US"/>
                        </w:rPr>
                        <m:t>×</m:t>
                      </m:r>
                      <m:sSub>
                        <m:sSubPr>
                          <m:ctrlPr>
                            <w:rPr>
                              <w:rFonts w:ascii="Cambria Math" w:hAnsi="Cambria Math" w:cstheme="majorBidi"/>
                            </w:rPr>
                          </m:ctrlPr>
                        </m:sSubPr>
                        <m:e>
                          <m:r>
                            <m:rPr>
                              <m:nor/>
                            </m:rPr>
                            <w:rPr>
                              <w:rFonts w:asciiTheme="majorBidi" w:hAnsiTheme="majorBidi" w:cstheme="majorBidi"/>
                              <w:lang w:val="en-US"/>
                            </w:rPr>
                            <m:t xml:space="preserve"> v</m:t>
                          </m:r>
                        </m:e>
                        <m:sub>
                          <m:r>
                            <m:rPr>
                              <m:nor/>
                            </m:rPr>
                            <w:rPr>
                              <w:rFonts w:asciiTheme="majorBidi" w:hAnsiTheme="majorBidi" w:cstheme="majorBidi"/>
                              <w:lang w:val="en-US"/>
                            </w:rPr>
                            <m:t>i</m:t>
                          </m:r>
                        </m:sub>
                      </m:sSub>
                      <m:r>
                        <m:rPr>
                          <m:nor/>
                        </m:rPr>
                        <w:rPr>
                          <w:rFonts w:ascii="Cambria Math" w:hAnsiTheme="majorBidi" w:cstheme="majorBidi"/>
                          <w:lang w:val="en-US"/>
                        </w:rPr>
                        <m:t xml:space="preserve"> </m:t>
                      </m:r>
                      <m:r>
                        <m:rPr>
                          <m:nor/>
                        </m:rPr>
                        <w:rPr>
                          <w:rFonts w:asciiTheme="majorBidi" w:hAnsiTheme="majorBidi" w:cstheme="majorBidi"/>
                          <w:lang w:val="en-US"/>
                        </w:rPr>
                        <m:t>×</m:t>
                      </m:r>
                      <m:sSub>
                        <m:sSubPr>
                          <m:ctrlPr>
                            <w:rPr>
                              <w:rFonts w:ascii="Cambria Math" w:hAnsi="Cambria Math" w:cstheme="majorBidi"/>
                            </w:rPr>
                          </m:ctrlPr>
                        </m:sSubPr>
                        <m:e>
                          <m:r>
                            <m:rPr>
                              <m:nor/>
                            </m:rPr>
                            <w:rPr>
                              <w:rFonts w:asciiTheme="majorBidi" w:hAnsiTheme="majorBidi" w:cstheme="majorBidi"/>
                              <w:lang w:val="en-US"/>
                            </w:rPr>
                            <m:t xml:space="preserve"> a</m:t>
                          </m:r>
                        </m:e>
                        <m:sub>
                          <m:r>
                            <m:rPr>
                              <m:nor/>
                            </m:rPr>
                            <w:rPr>
                              <w:rFonts w:asciiTheme="majorBidi" w:hAnsiTheme="majorBidi" w:cstheme="majorBidi"/>
                              <w:lang w:val="en-US"/>
                            </w:rPr>
                            <m:t>i</m:t>
                          </m:r>
                        </m:sub>
                      </m:sSub>
                    </m:e>
                  </m:d>
                </m:e>
              </m:d>
            </m:num>
            <m:den>
              <m:r>
                <m:rPr>
                  <m:nor/>
                </m:rPr>
                <w:rPr>
                  <w:rFonts w:asciiTheme="majorBidi" w:hAnsiTheme="majorBidi" w:cstheme="majorBidi"/>
                  <w:lang w:val="en-US"/>
                </w:rPr>
                <m:t>3</m:t>
              </m:r>
              <m:r>
                <m:rPr>
                  <m:nor/>
                </m:rPr>
                <w:rPr>
                  <w:rFonts w:ascii="Cambria Math" w:hAnsiTheme="majorBidi" w:cstheme="majorBidi"/>
                  <w:lang w:val="en-US"/>
                </w:rPr>
                <m:t> </m:t>
              </m:r>
              <m:r>
                <m:rPr>
                  <m:nor/>
                </m:rPr>
                <w:rPr>
                  <w:rFonts w:asciiTheme="majorBidi" w:hAnsiTheme="majorBidi" w:cstheme="majorBidi"/>
                  <w:lang w:val="en-US"/>
                </w:rPr>
                <m:t>600</m:t>
              </m:r>
            </m:den>
          </m:f>
        </m:oMath>
      </m:oMathPara>
    </w:p>
    <w:p w:rsidR="00E24DB7" w:rsidRPr="002C5876" w:rsidRDefault="00E24DB7" w:rsidP="00E24DB7">
      <w:pPr>
        <w:pStyle w:val="SingleTxtG"/>
        <w:keepNext/>
        <w:ind w:left="2268"/>
      </w:pPr>
      <w:r w:rsidRPr="002C5876">
        <w:t>où :</w:t>
      </w:r>
    </w:p>
    <w:p w:rsidR="00E24DB7" w:rsidRPr="002C5876" w:rsidRDefault="00E24DB7" w:rsidP="00E24DB7">
      <w:pPr>
        <w:pStyle w:val="SingleTxtG"/>
        <w:ind w:left="3402" w:hanging="1134"/>
      </w:pPr>
      <w:r w:rsidRPr="002C5876">
        <w:t>f</w:t>
      </w:r>
      <w:r w:rsidRPr="002C5876">
        <w:rPr>
          <w:vertAlign w:val="subscript"/>
        </w:rPr>
        <w:t>0</w:t>
      </w:r>
      <w:r w:rsidRPr="002C5876">
        <w:t>, f</w:t>
      </w:r>
      <w:r w:rsidRPr="002C5876">
        <w:rPr>
          <w:vertAlign w:val="subscript"/>
        </w:rPr>
        <w:t>1</w:t>
      </w:r>
      <w:r w:rsidRPr="002C5876">
        <w:t>, f</w:t>
      </w:r>
      <w:r w:rsidRPr="002C5876">
        <w:rPr>
          <w:vertAlign w:val="subscript"/>
        </w:rPr>
        <w:t>2</w:t>
      </w:r>
      <w:r w:rsidRPr="002C5876">
        <w:tab/>
        <w:t>sont les coefficients applicables de résistance à l’avancement sur route, N, N/(km/h) et N/(km/h)² respectivement ;</w:t>
      </w:r>
    </w:p>
    <w:p w:rsidR="00E24DB7" w:rsidRPr="002C5876" w:rsidRDefault="00E24DB7" w:rsidP="00E24DB7">
      <w:pPr>
        <w:pStyle w:val="SingleTxtG"/>
        <w:ind w:left="3402" w:hanging="1134"/>
      </w:pPr>
      <w:r w:rsidRPr="002C5876">
        <w:t>TM</w:t>
      </w:r>
      <w:r w:rsidRPr="002C5876">
        <w:tab/>
        <w:t>est la masse d’essai applicable,</w:t>
      </w:r>
      <w:r w:rsidRPr="002C5876" w:rsidDel="006664D0">
        <w:t xml:space="preserve"> </w:t>
      </w:r>
      <w:r w:rsidRPr="002C5876">
        <w:t>en kg ;</w:t>
      </w:r>
    </w:p>
    <w:p w:rsidR="00E24DB7" w:rsidRPr="002C5876" w:rsidRDefault="00E24DB7" w:rsidP="00E24DB7">
      <w:pPr>
        <w:pStyle w:val="SingleTxtG"/>
        <w:ind w:left="3402" w:hanging="1134"/>
      </w:pPr>
      <w:r w:rsidRPr="002C5876">
        <w:t>v</w:t>
      </w:r>
      <w:r w:rsidRPr="002C5876">
        <w:rPr>
          <w:vertAlign w:val="subscript"/>
        </w:rPr>
        <w:t>i</w:t>
      </w:r>
      <w:r w:rsidRPr="002C5876">
        <w:tab/>
        <w:t>est la vitesse à l’instant i, en km/h ;</w:t>
      </w:r>
    </w:p>
    <w:p w:rsidR="00E24DB7" w:rsidRPr="002C5876" w:rsidRDefault="00E24DB7" w:rsidP="00E24DB7">
      <w:pPr>
        <w:pStyle w:val="SingleTxtG"/>
        <w:ind w:left="3402" w:hanging="1134"/>
      </w:pPr>
      <w:r w:rsidRPr="002C5876">
        <w:t>a</w:t>
      </w:r>
      <w:r w:rsidRPr="002C5876">
        <w:rPr>
          <w:vertAlign w:val="subscript"/>
        </w:rPr>
        <w:t>i</w:t>
      </w:r>
      <w:r w:rsidRPr="002C5876">
        <w:tab/>
        <w:t>est l’accélération à l’instant i, en km/h².</w:t>
      </w:r>
    </w:p>
    <w:p w:rsidR="00E24DB7" w:rsidRPr="002C5876" w:rsidRDefault="00E24DB7" w:rsidP="00E24DB7">
      <w:pPr>
        <w:pStyle w:val="SingleTxtG"/>
        <w:ind w:left="2268"/>
      </w:pPr>
      <w:r w:rsidRPr="002C5876">
        <w:lastRenderedPageBreak/>
        <w:tab/>
        <w:t>L’instant i du cycle auquel la puissance maximale ou des valeurs proches de la puissance maximale sont requises correspond à la seconde 764 pour le cycle de la classe 1, 1 574 pour le cycle de la classe 2 et 1 566 pour le cycle de la classe 3.</w:t>
      </w:r>
    </w:p>
    <w:p w:rsidR="00E24DB7" w:rsidRPr="002C5876" w:rsidRDefault="00E24DB7" w:rsidP="00E24DB7">
      <w:pPr>
        <w:pStyle w:val="SingleTxtG"/>
        <w:keepNext/>
        <w:ind w:left="2268"/>
      </w:pPr>
      <w:r w:rsidRPr="002C5876">
        <w:tab/>
        <w:t>Les vitesses v</w:t>
      </w:r>
      <w:r w:rsidRPr="002C5876">
        <w:rPr>
          <w:vertAlign w:val="subscript"/>
        </w:rPr>
        <w:t>i</w:t>
      </w:r>
      <w:r w:rsidRPr="002C5876">
        <w:t xml:space="preserve"> et les accélérations a</w:t>
      </w:r>
      <w:r w:rsidRPr="002C5876">
        <w:rPr>
          <w:vertAlign w:val="subscript"/>
        </w:rPr>
        <w:t>i</w:t>
      </w:r>
      <w:r w:rsidRPr="002C5876">
        <w:t xml:space="preserve"> correspondantes sont les suivantes :</w:t>
      </w:r>
    </w:p>
    <w:p w:rsidR="00E24DB7" w:rsidRPr="002C5876" w:rsidRDefault="00E24DB7" w:rsidP="00E24DB7">
      <w:pPr>
        <w:pStyle w:val="SingleTxtG"/>
        <w:ind w:left="2268"/>
      </w:pPr>
      <w:r w:rsidRPr="002C5876">
        <w:tab/>
        <w:t>v</w:t>
      </w:r>
      <w:r w:rsidRPr="002C5876">
        <w:rPr>
          <w:vertAlign w:val="subscript"/>
        </w:rPr>
        <w:t>i</w:t>
      </w:r>
      <w:r w:rsidRPr="002C5876">
        <w:t xml:space="preserve"> = 61,4 km/h et a</w:t>
      </w:r>
      <w:r w:rsidRPr="002C5876">
        <w:rPr>
          <w:vertAlign w:val="subscript"/>
        </w:rPr>
        <w:t>i</w:t>
      </w:r>
      <w:r w:rsidRPr="002C5876">
        <w:t xml:space="preserve"> = 0,22 m/s² pour la classe</w:t>
      </w:r>
      <w:r w:rsidR="00C574AA">
        <w:t> </w:t>
      </w:r>
      <w:r w:rsidRPr="002C5876">
        <w:t>1 ;</w:t>
      </w:r>
    </w:p>
    <w:p w:rsidR="00E24DB7" w:rsidRPr="002C5876" w:rsidRDefault="00E24DB7" w:rsidP="00E24DB7">
      <w:pPr>
        <w:pStyle w:val="SingleTxtG"/>
        <w:ind w:left="2268"/>
      </w:pPr>
      <w:r w:rsidRPr="002C5876">
        <w:tab/>
        <w:t>v</w:t>
      </w:r>
      <w:r w:rsidRPr="002C5876">
        <w:rPr>
          <w:vertAlign w:val="subscript"/>
        </w:rPr>
        <w:t>i</w:t>
      </w:r>
      <w:r w:rsidRPr="002C5876">
        <w:t xml:space="preserve"> = 109,9 km/h et a</w:t>
      </w:r>
      <w:r w:rsidRPr="002C5876">
        <w:rPr>
          <w:vertAlign w:val="subscript"/>
        </w:rPr>
        <w:t>i</w:t>
      </w:r>
      <w:r w:rsidRPr="002C5876">
        <w:t xml:space="preserve"> = 0,36 m/s² pour la classe</w:t>
      </w:r>
      <w:r w:rsidR="00C574AA">
        <w:t> </w:t>
      </w:r>
      <w:r w:rsidRPr="002C5876">
        <w:t>2 ;</w:t>
      </w:r>
    </w:p>
    <w:p w:rsidR="00E24DB7" w:rsidRPr="002C5876" w:rsidRDefault="00E24DB7" w:rsidP="00E24DB7">
      <w:pPr>
        <w:pStyle w:val="SingleTxtG"/>
        <w:ind w:left="2268"/>
      </w:pPr>
      <w:r w:rsidRPr="002C5876">
        <w:tab/>
        <w:t>v</w:t>
      </w:r>
      <w:r w:rsidRPr="002C5876">
        <w:rPr>
          <w:vertAlign w:val="subscript"/>
        </w:rPr>
        <w:t>i</w:t>
      </w:r>
      <w:r w:rsidRPr="002C5876">
        <w:t xml:space="preserve"> = 111,9 km/h et a</w:t>
      </w:r>
      <w:r w:rsidRPr="002C5876">
        <w:rPr>
          <w:vertAlign w:val="subscript"/>
        </w:rPr>
        <w:t>i</w:t>
      </w:r>
      <w:r w:rsidRPr="002C5876">
        <w:t xml:space="preserve"> = 0,50 m/s² pour la classe</w:t>
      </w:r>
      <w:r w:rsidR="00C574AA">
        <w:t> </w:t>
      </w:r>
      <w:r w:rsidRPr="002C5876">
        <w:t>3.</w:t>
      </w:r>
    </w:p>
    <w:p w:rsidR="00E24DB7" w:rsidRPr="002C5876" w:rsidRDefault="00E24DB7" w:rsidP="00E24DB7">
      <w:pPr>
        <w:pStyle w:val="SingleTxtG"/>
        <w:keepNext/>
        <w:ind w:left="2268"/>
      </w:pPr>
      <w:r w:rsidRPr="002C5876">
        <w:tab/>
        <w:t>r</w:t>
      </w:r>
      <w:r w:rsidRPr="002C5876">
        <w:rPr>
          <w:vertAlign w:val="subscript"/>
        </w:rPr>
        <w:t>max</w:t>
      </w:r>
      <w:r w:rsidRPr="002C5876">
        <w:t xml:space="preserve"> est calculé au moyen de l’équation suivante :</w:t>
      </w:r>
    </w:p>
    <w:p w:rsidR="00E24DB7" w:rsidRPr="00D53F39" w:rsidRDefault="00731CA6" w:rsidP="00E24DB7">
      <w:pPr>
        <w:pStyle w:val="SingleTxtG"/>
        <w:ind w:left="2268"/>
        <w:jc w:val="center"/>
        <w:rPr>
          <w:lang w:val="en-US"/>
        </w:rPr>
      </w:pPr>
      <m:oMathPara>
        <m:oMath>
          <m:sSub>
            <m:sSubPr>
              <m:ctrlPr>
                <w:rPr>
                  <w:rFonts w:ascii="Cambria Math" w:hAnsi="Cambria Math" w:cstheme="majorBidi"/>
                </w:rPr>
              </m:ctrlPr>
            </m:sSubPr>
            <m:e>
              <m:r>
                <m:rPr>
                  <m:nor/>
                </m:rPr>
                <w:rPr>
                  <w:rFonts w:asciiTheme="majorBidi" w:hAnsiTheme="majorBidi" w:cstheme="majorBidi"/>
                  <w:lang w:val="en-US"/>
                </w:rPr>
                <m:t>r</m:t>
              </m:r>
            </m:e>
            <m:sub>
              <m:r>
                <m:rPr>
                  <m:nor/>
                </m:rPr>
                <w:rPr>
                  <w:rFonts w:asciiTheme="majorBidi" w:hAnsiTheme="majorBidi" w:cstheme="majorBidi"/>
                  <w:lang w:val="en-US"/>
                </w:rPr>
                <m:t>max</m:t>
              </m:r>
            </m:sub>
          </m:sSub>
          <m:r>
            <m:rPr>
              <m:nor/>
            </m:rPr>
            <w:rPr>
              <w:rFonts w:asciiTheme="majorBidi" w:hAnsiTheme="majorBidi" w:cstheme="majorBidi"/>
              <w:lang w:val="en-US"/>
            </w:rPr>
            <m:t>=</m:t>
          </m:r>
          <m:f>
            <m:fPr>
              <m:ctrlPr>
                <w:rPr>
                  <w:rFonts w:ascii="Cambria Math" w:hAnsi="Cambria Math" w:cstheme="majorBidi"/>
                </w:rPr>
              </m:ctrlPr>
            </m:fPr>
            <m:num>
              <m:sSub>
                <m:sSubPr>
                  <m:ctrlPr>
                    <w:rPr>
                      <w:rFonts w:ascii="Cambria Math" w:hAnsi="Cambria Math" w:cstheme="majorBidi"/>
                    </w:rPr>
                  </m:ctrlPr>
                </m:sSubPr>
                <m:e>
                  <m:r>
                    <m:rPr>
                      <m:nor/>
                    </m:rPr>
                    <w:rPr>
                      <w:rFonts w:asciiTheme="majorBidi" w:hAnsiTheme="majorBidi" w:cstheme="majorBidi"/>
                      <w:lang w:val="en-US"/>
                    </w:rPr>
                    <m:t>P</m:t>
                  </m:r>
                </m:e>
                <m:sub>
                  <m:r>
                    <m:rPr>
                      <m:nor/>
                    </m:rPr>
                    <w:rPr>
                      <w:rFonts w:asciiTheme="majorBidi" w:hAnsiTheme="majorBidi" w:cstheme="majorBidi"/>
                      <w:lang w:val="en-US"/>
                    </w:rPr>
                    <m:t>req,max,i</m:t>
                  </m:r>
                </m:sub>
              </m:sSub>
            </m:num>
            <m:den>
              <m:sSub>
                <m:sSubPr>
                  <m:ctrlPr>
                    <w:rPr>
                      <w:rFonts w:ascii="Cambria Math" w:hAnsi="Cambria Math" w:cstheme="majorBidi"/>
                    </w:rPr>
                  </m:ctrlPr>
                </m:sSubPr>
                <m:e>
                  <m:r>
                    <m:rPr>
                      <m:nor/>
                    </m:rPr>
                    <w:rPr>
                      <w:rFonts w:asciiTheme="majorBidi" w:hAnsiTheme="majorBidi" w:cstheme="majorBidi"/>
                      <w:lang w:val="en-US"/>
                    </w:rPr>
                    <m:t>P</m:t>
                  </m:r>
                </m:e>
                <m:sub>
                  <m:r>
                    <m:rPr>
                      <m:nor/>
                    </m:rPr>
                    <w:rPr>
                      <w:rFonts w:asciiTheme="majorBidi" w:hAnsiTheme="majorBidi" w:cstheme="majorBidi"/>
                      <w:lang w:val="en-US"/>
                    </w:rPr>
                    <m:t>rated</m:t>
                  </m:r>
                </m:sub>
              </m:sSub>
            </m:den>
          </m:f>
        </m:oMath>
      </m:oMathPara>
    </w:p>
    <w:p w:rsidR="00E24DB7" w:rsidRPr="002C5876" w:rsidRDefault="00E24DB7" w:rsidP="00E24DB7">
      <w:pPr>
        <w:pStyle w:val="SingleTxtG"/>
        <w:keepNext/>
        <w:ind w:left="2268"/>
      </w:pPr>
      <w:r w:rsidRPr="00D53F39">
        <w:rPr>
          <w:lang w:val="en-US"/>
        </w:rPr>
        <w:tab/>
      </w:r>
      <w:r w:rsidRPr="002C5876">
        <w:t>Le facteur de réajustement f</w:t>
      </w:r>
      <w:r w:rsidRPr="002C5876">
        <w:rPr>
          <w:vertAlign w:val="subscript"/>
        </w:rPr>
        <w:t>dsc</w:t>
      </w:r>
      <w:r w:rsidRPr="002C5876">
        <w:t xml:space="preserve"> est calculé au moyen des équations ci-après :</w:t>
      </w:r>
    </w:p>
    <w:p w:rsidR="00E24DB7" w:rsidRPr="002C5876" w:rsidRDefault="00E24DB7" w:rsidP="00E24DB7">
      <w:pPr>
        <w:pStyle w:val="SingleTxtG"/>
        <w:ind w:left="2268"/>
        <w:jc w:val="center"/>
      </w:pPr>
      <w:r w:rsidRPr="002C5876">
        <w:t>Si r</w:t>
      </w:r>
      <w:r w:rsidRPr="002C5876">
        <w:rPr>
          <w:vertAlign w:val="subscript"/>
        </w:rPr>
        <w:t>max</w:t>
      </w:r>
      <w:r w:rsidRPr="002C5876">
        <w:t xml:space="preserve"> &lt; r</w:t>
      </w:r>
      <w:r w:rsidRPr="002C5876">
        <w:rPr>
          <w:vertAlign w:val="subscript"/>
        </w:rPr>
        <w:t>0</w:t>
      </w:r>
      <w:r w:rsidRPr="002C5876">
        <w:t>, f</w:t>
      </w:r>
      <w:r w:rsidRPr="002C5876">
        <w:rPr>
          <w:vertAlign w:val="subscript"/>
        </w:rPr>
        <w:t>dsc</w:t>
      </w:r>
      <w:r w:rsidRPr="002C5876">
        <w:t xml:space="preserve"> = 0</w:t>
      </w:r>
    </w:p>
    <w:p w:rsidR="00E24DB7" w:rsidRPr="002C5876" w:rsidRDefault="00E24DB7" w:rsidP="00E24DB7">
      <w:pPr>
        <w:pStyle w:val="SingleTxtG"/>
        <w:ind w:left="2268"/>
      </w:pPr>
      <w:r w:rsidRPr="002C5876">
        <w:t>et donc aucun réajustement n’est à appliquer.</w:t>
      </w:r>
    </w:p>
    <w:p w:rsidR="00E24DB7" w:rsidRPr="002C5876" w:rsidRDefault="00E24DB7" w:rsidP="00E24DB7">
      <w:pPr>
        <w:pStyle w:val="SingleTxtG"/>
        <w:ind w:left="2268"/>
        <w:jc w:val="center"/>
      </w:pPr>
      <w:r w:rsidRPr="002C5876">
        <w:t>Si r</w:t>
      </w:r>
      <w:r w:rsidRPr="002C5876">
        <w:rPr>
          <w:vertAlign w:val="subscript"/>
        </w:rPr>
        <w:t>max</w:t>
      </w:r>
      <w:r w:rsidRPr="002C5876">
        <w:t xml:space="preserve"> ≥ r</w:t>
      </w:r>
      <w:r w:rsidRPr="002C5876">
        <w:rPr>
          <w:vertAlign w:val="subscript"/>
        </w:rPr>
        <w:t>0</w:t>
      </w:r>
      <w:r w:rsidRPr="002C5876">
        <w:t>, f</w:t>
      </w:r>
      <w:r w:rsidRPr="002C5876">
        <w:rPr>
          <w:vertAlign w:val="subscript"/>
        </w:rPr>
        <w:t>dsc</w:t>
      </w:r>
      <w:r w:rsidRPr="002C5876">
        <w:t xml:space="preserve"> = a</w:t>
      </w:r>
      <w:r w:rsidRPr="002C5876">
        <w:rPr>
          <w:vertAlign w:val="subscript"/>
        </w:rPr>
        <w:t>1</w:t>
      </w:r>
      <w:r w:rsidRPr="002C5876">
        <w:t xml:space="preserve"> x r</w:t>
      </w:r>
      <w:r w:rsidRPr="002C5876">
        <w:rPr>
          <w:vertAlign w:val="subscript"/>
        </w:rPr>
        <w:t>max</w:t>
      </w:r>
      <w:r w:rsidRPr="002C5876">
        <w:t xml:space="preserve"> + b</w:t>
      </w:r>
      <w:r w:rsidRPr="002C5876">
        <w:rPr>
          <w:vertAlign w:val="subscript"/>
        </w:rPr>
        <w:t>1</w:t>
      </w:r>
    </w:p>
    <w:p w:rsidR="00E24DB7" w:rsidRPr="002C5876" w:rsidRDefault="00E24DB7" w:rsidP="00E24DB7">
      <w:pPr>
        <w:pStyle w:val="SingleTxtG"/>
        <w:keepNext/>
        <w:ind w:left="2268"/>
      </w:pPr>
      <w:r w:rsidRPr="002C5876">
        <w:tab/>
        <w:t>Le paramètre et les coefficients r</w:t>
      </w:r>
      <w:r w:rsidRPr="002C5876">
        <w:rPr>
          <w:vertAlign w:val="subscript"/>
        </w:rPr>
        <w:t>0</w:t>
      </w:r>
      <w:r w:rsidRPr="002C5876">
        <w:t>, a</w:t>
      </w:r>
      <w:r w:rsidRPr="002C5876">
        <w:rPr>
          <w:vertAlign w:val="subscript"/>
        </w:rPr>
        <w:t>1</w:t>
      </w:r>
      <w:r w:rsidRPr="002C5876">
        <w:t xml:space="preserve"> et b</w:t>
      </w:r>
      <w:r w:rsidRPr="002C5876">
        <w:rPr>
          <w:vertAlign w:val="subscript"/>
        </w:rPr>
        <w:t>1</w:t>
      </w:r>
      <w:r w:rsidRPr="002C5876">
        <w:t xml:space="preserve"> sont les suivants :</w:t>
      </w:r>
    </w:p>
    <w:p w:rsidR="00E24DB7" w:rsidRPr="002C5876" w:rsidRDefault="00E24DB7" w:rsidP="00E24DB7">
      <w:pPr>
        <w:pStyle w:val="SingleTxtG"/>
        <w:ind w:left="2268" w:hanging="1134"/>
      </w:pPr>
      <w:r w:rsidRPr="002C5876">
        <w:tab/>
        <w:t>Classe 1</w:t>
      </w:r>
      <w:r w:rsidRPr="002C5876">
        <w:tab/>
        <w:t>r</w:t>
      </w:r>
      <w:r w:rsidRPr="002C5876">
        <w:rPr>
          <w:vertAlign w:val="subscript"/>
        </w:rPr>
        <w:t>0</w:t>
      </w:r>
      <w:r w:rsidRPr="002C5876">
        <w:t xml:space="preserve"> = 0,978, a</w:t>
      </w:r>
      <w:r w:rsidRPr="002C5876">
        <w:rPr>
          <w:vertAlign w:val="subscript"/>
        </w:rPr>
        <w:t>1</w:t>
      </w:r>
      <w:r w:rsidRPr="002C5876">
        <w:t xml:space="preserve"> = 0,680, b</w:t>
      </w:r>
      <w:r w:rsidRPr="002C5876">
        <w:rPr>
          <w:vertAlign w:val="subscript"/>
        </w:rPr>
        <w:t>1</w:t>
      </w:r>
      <w:r w:rsidRPr="002C5876">
        <w:t xml:space="preserve"> = -0,665 ;</w:t>
      </w:r>
    </w:p>
    <w:p w:rsidR="00E24DB7" w:rsidRPr="002C5876" w:rsidRDefault="00E24DB7" w:rsidP="00E24DB7">
      <w:pPr>
        <w:pStyle w:val="SingleTxtG"/>
        <w:ind w:left="3402" w:hanging="1134"/>
      </w:pPr>
      <w:r w:rsidRPr="002C5876">
        <w:t>Classe 2</w:t>
      </w:r>
      <w:r w:rsidRPr="002C5876">
        <w:tab/>
        <w:t>r</w:t>
      </w:r>
      <w:r w:rsidRPr="002C5876">
        <w:rPr>
          <w:vertAlign w:val="subscript"/>
        </w:rPr>
        <w:t>0</w:t>
      </w:r>
      <w:r w:rsidRPr="002C5876">
        <w:t> = 0,866, a</w:t>
      </w:r>
      <w:r w:rsidRPr="002C5876">
        <w:rPr>
          <w:vertAlign w:val="subscript"/>
        </w:rPr>
        <w:t>1</w:t>
      </w:r>
      <w:r w:rsidRPr="002C5876">
        <w:t xml:space="preserve"> = 0,606, b</w:t>
      </w:r>
      <w:r w:rsidRPr="002C5876">
        <w:rPr>
          <w:vertAlign w:val="subscript"/>
        </w:rPr>
        <w:t>1</w:t>
      </w:r>
      <w:r w:rsidRPr="002C5876">
        <w:t xml:space="preserve"> = -0,525 ;</w:t>
      </w:r>
    </w:p>
    <w:p w:rsidR="00E24DB7" w:rsidRPr="002C5876" w:rsidRDefault="00E24DB7" w:rsidP="00E24DB7">
      <w:pPr>
        <w:pStyle w:val="SingleTxtG"/>
        <w:ind w:left="3402" w:hanging="1134"/>
      </w:pPr>
      <w:r w:rsidRPr="002C5876">
        <w:t>Classe 3</w:t>
      </w:r>
      <w:r w:rsidRPr="002C5876">
        <w:tab/>
        <w:t>r</w:t>
      </w:r>
      <w:r w:rsidRPr="002C5876">
        <w:rPr>
          <w:vertAlign w:val="subscript"/>
        </w:rPr>
        <w:t>0</w:t>
      </w:r>
      <w:r w:rsidRPr="002C5876">
        <w:t> = 0,867, a</w:t>
      </w:r>
      <w:r w:rsidRPr="002C5876">
        <w:rPr>
          <w:vertAlign w:val="subscript"/>
        </w:rPr>
        <w:t>1</w:t>
      </w:r>
      <w:r w:rsidRPr="002C5876">
        <w:t xml:space="preserve"> = 0,588, b</w:t>
      </w:r>
      <w:r w:rsidRPr="002C5876">
        <w:rPr>
          <w:vertAlign w:val="subscript"/>
        </w:rPr>
        <w:t>1</w:t>
      </w:r>
      <w:r w:rsidRPr="002C5876">
        <w:t xml:space="preserve"> = -0,510.</w:t>
      </w:r>
    </w:p>
    <w:p w:rsidR="00E24DB7" w:rsidRPr="002C5876" w:rsidRDefault="00E24DB7" w:rsidP="00E24DB7">
      <w:pPr>
        <w:pStyle w:val="SingleTxtG"/>
        <w:ind w:left="2268"/>
      </w:pPr>
      <w:r w:rsidRPr="002C5876">
        <w:tab/>
        <w:t>La valeur f</w:t>
      </w:r>
      <w:r w:rsidRPr="002C5876">
        <w:rPr>
          <w:vertAlign w:val="subscript"/>
        </w:rPr>
        <w:t>dsc</w:t>
      </w:r>
      <w:r w:rsidRPr="002C5876">
        <w:t xml:space="preserve"> obtenue est arrondie à 3 décimales et s’applique uniquement si elle dépasse 0,010.</w:t>
      </w:r>
    </w:p>
    <w:p w:rsidR="00E24DB7" w:rsidRPr="002C5876" w:rsidRDefault="00E24DB7" w:rsidP="00E24DB7">
      <w:pPr>
        <w:pStyle w:val="SingleTxtG"/>
        <w:keepNext/>
        <w:ind w:left="2268"/>
      </w:pPr>
      <w:r w:rsidRPr="002C5876">
        <w:tab/>
        <w:t>Les données suivantes doivent être enregistrées :</w:t>
      </w:r>
    </w:p>
    <w:p w:rsidR="00E24DB7" w:rsidRPr="002C5876" w:rsidRDefault="00E24DB7" w:rsidP="00E24DB7">
      <w:pPr>
        <w:pStyle w:val="SingleTxtG"/>
        <w:ind w:left="2268"/>
      </w:pPr>
      <w:r w:rsidRPr="002C5876">
        <w:t>a)</w:t>
      </w:r>
      <w:r w:rsidRPr="002C5876">
        <w:tab/>
        <w:t>f</w:t>
      </w:r>
      <w:r w:rsidRPr="002C5876">
        <w:rPr>
          <w:vertAlign w:val="subscript"/>
        </w:rPr>
        <w:t>dsc</w:t>
      </w:r>
      <w:r w:rsidRPr="002C5876">
        <w:t> ;</w:t>
      </w:r>
    </w:p>
    <w:p w:rsidR="00E24DB7" w:rsidRPr="002C5876" w:rsidRDefault="00E24DB7" w:rsidP="00E24DB7">
      <w:pPr>
        <w:pStyle w:val="SingleTxtG"/>
        <w:ind w:left="2268"/>
      </w:pPr>
      <w:r w:rsidRPr="002C5876">
        <w:t>b)</w:t>
      </w:r>
      <w:r w:rsidRPr="002C5876">
        <w:tab/>
        <w:t>v</w:t>
      </w:r>
      <w:r w:rsidRPr="002C5876">
        <w:rPr>
          <w:vertAlign w:val="subscript"/>
        </w:rPr>
        <w:t>max</w:t>
      </w:r>
      <w:r w:rsidRPr="002C5876">
        <w:t> ;</w:t>
      </w:r>
    </w:p>
    <w:p w:rsidR="00E24DB7" w:rsidRPr="002C5876" w:rsidRDefault="00E24DB7" w:rsidP="00E24DB7">
      <w:pPr>
        <w:pStyle w:val="SingleTxtG"/>
        <w:ind w:left="2268"/>
      </w:pPr>
      <w:r w:rsidRPr="002C5876">
        <w:t>c)</w:t>
      </w:r>
      <w:r w:rsidRPr="002C5876">
        <w:tab/>
        <w:t>distance parcourue, m.</w:t>
      </w:r>
    </w:p>
    <w:p w:rsidR="00E24DB7" w:rsidRPr="002C5876" w:rsidRDefault="00E24DB7" w:rsidP="00E24DB7">
      <w:pPr>
        <w:pStyle w:val="SingleTxtG"/>
        <w:ind w:left="2268"/>
      </w:pPr>
      <w:r w:rsidRPr="002C5876">
        <w:t>La distance est calculée comme étant la somme de v</w:t>
      </w:r>
      <w:r w:rsidRPr="002C5876">
        <w:rPr>
          <w:vertAlign w:val="subscript"/>
        </w:rPr>
        <w:t>i</w:t>
      </w:r>
      <w:r w:rsidRPr="002C5876">
        <w:t xml:space="preserve"> en km/h divisée par 3,6 sur toute la courbe du cycle.</w:t>
      </w:r>
    </w:p>
    <w:p w:rsidR="00E24DB7" w:rsidRPr="002C5876" w:rsidRDefault="00E24DB7" w:rsidP="00E24DB7">
      <w:pPr>
        <w:pStyle w:val="SingleTxtG"/>
        <w:keepNext/>
        <w:ind w:left="2268" w:hanging="1134"/>
        <w:jc w:val="left"/>
      </w:pPr>
      <w:r w:rsidRPr="002C5876">
        <w:t>8.4</w:t>
      </w:r>
      <w:r w:rsidRPr="002C5876">
        <w:tab/>
      </w:r>
      <w:r w:rsidRPr="002C5876">
        <w:tab/>
        <w:t>Prescriptions additionnelles</w:t>
      </w:r>
    </w:p>
    <w:p w:rsidR="00E24DB7" w:rsidRPr="002C5876" w:rsidRDefault="00E24DB7" w:rsidP="00E24DB7">
      <w:pPr>
        <w:pStyle w:val="SingleTxtG"/>
        <w:keepNext/>
        <w:ind w:left="2268"/>
      </w:pPr>
      <w:r w:rsidRPr="002C5876">
        <w:t>Dans le cas où un véhicule est soumis à essai dans différentes configurations en termes de masse d’essai et de coefficients de résistance à l’avancement, le facteur de réajustement est appliqué individuellement.</w:t>
      </w:r>
    </w:p>
    <w:p w:rsidR="00E24DB7" w:rsidRPr="002C5876" w:rsidRDefault="00E24DB7" w:rsidP="00E24DB7">
      <w:pPr>
        <w:pStyle w:val="SingleTxtG"/>
        <w:ind w:left="2268"/>
      </w:pPr>
      <w:r w:rsidRPr="002C5876">
        <w:t>Si, après application d’un réajustement, la vitesse maximale du véhicule est inférieure à la vitesse maximale du cycle, la procédure visée au paragraphe 9 de la présente annexe doit être appliquée avec le cycle applicable.</w:t>
      </w:r>
    </w:p>
    <w:p w:rsidR="00E24DB7" w:rsidRPr="002C5876" w:rsidRDefault="00E24DB7" w:rsidP="00E24DB7">
      <w:pPr>
        <w:pStyle w:val="SingleTxtG"/>
        <w:ind w:left="2268"/>
      </w:pPr>
      <w:r w:rsidRPr="002C5876">
        <w:t xml:space="preserve">Si le véhicule ne peut pas suivre la courbe de vitesse du cycle applicable en respectant les tolérances aux vitesses inférieures à sa vitesse maximale, il doit être conduit avec l’accélérateur actionné à fond de course durant ces périodes. Les écarts par rapport à la courbe sont autorisés dans ces cas. </w:t>
      </w:r>
    </w:p>
    <w:p w:rsidR="00E24DB7" w:rsidRPr="002C5876" w:rsidRDefault="00E24DB7" w:rsidP="00E24DB7">
      <w:pPr>
        <w:pStyle w:val="SingleTxtG"/>
        <w:ind w:left="2268" w:hanging="1134"/>
        <w:jc w:val="left"/>
      </w:pPr>
      <w:r w:rsidRPr="002C5876">
        <w:t>9.</w:t>
      </w:r>
      <w:r w:rsidRPr="002C5876">
        <w:tab/>
      </w:r>
      <w:r w:rsidRPr="002C5876">
        <w:tab/>
        <w:t>Modifications du cycle pour les véhicules ayant une vitesse maximale inférieure à la vitesse maximale du cycle prescrite aux paragraphes antérieurs de la présente annexe</w:t>
      </w:r>
    </w:p>
    <w:p w:rsidR="00E24DB7" w:rsidRPr="002C5876" w:rsidRDefault="00E24DB7" w:rsidP="00E24DB7">
      <w:pPr>
        <w:pStyle w:val="SingleTxtG"/>
        <w:keepNext/>
        <w:ind w:left="2268" w:hanging="1134"/>
        <w:jc w:val="left"/>
      </w:pPr>
      <w:r w:rsidRPr="002C5876">
        <w:t>9.1</w:t>
      </w:r>
      <w:r w:rsidRPr="002C5876">
        <w:tab/>
      </w:r>
      <w:r w:rsidRPr="002C5876">
        <w:tab/>
        <w:t>Observations générales</w:t>
      </w:r>
    </w:p>
    <w:p w:rsidR="00E24DB7" w:rsidRPr="002C5876" w:rsidRDefault="00E24DB7" w:rsidP="00E24DB7">
      <w:pPr>
        <w:pStyle w:val="SingleTxtG"/>
        <w:keepNext/>
        <w:ind w:left="2268"/>
        <w:rPr>
          <w:sz w:val="32"/>
          <w:szCs w:val="24"/>
        </w:rPr>
      </w:pPr>
      <w:r w:rsidRPr="002C5876">
        <w:t xml:space="preserve">Le présent paragraphe s’applique, lorsque cela est prescrit par la législation régionale, aux véhicules qui sont techniquement capables de suivre la courbe de vitesse du cycle applicable prescrite au paragraphe 1 de la présente annexe </w:t>
      </w:r>
      <w:r w:rsidRPr="002C5876">
        <w:lastRenderedPageBreak/>
        <w:t>(cycle de base) aux vitesses inférieures à leur vitesse maximale, mais dont la vitesse maximale est limitée à une valeur inférieure à la vitesse maximale du cycle de base pour d’autres raisons. Aux fins du présent paragraphe, le cycle applicable en question, dénommé « cycle de base », est utilisé pour déterminer le cycle à vitesse limitée.</w:t>
      </w:r>
    </w:p>
    <w:p w:rsidR="00E24DB7" w:rsidRPr="002C5876" w:rsidRDefault="00E24DB7" w:rsidP="00E24DB7">
      <w:pPr>
        <w:pStyle w:val="SingleTxtG"/>
        <w:ind w:left="2268"/>
        <w:rPr>
          <w:sz w:val="32"/>
          <w:szCs w:val="24"/>
        </w:rPr>
      </w:pPr>
      <w:r w:rsidRPr="002C5876">
        <w:t>En cas de réajustement de la vitesse conformément au paragraphe 8.2 de la présente annexe, le cycle réajusté doit être pris comme cycle de base.</w:t>
      </w:r>
    </w:p>
    <w:p w:rsidR="00E24DB7" w:rsidRPr="002C5876" w:rsidRDefault="00E24DB7" w:rsidP="00E24DB7">
      <w:pPr>
        <w:pStyle w:val="SingleTxtG"/>
        <w:ind w:left="2268"/>
        <w:rPr>
          <w:sz w:val="32"/>
          <w:szCs w:val="24"/>
        </w:rPr>
      </w:pPr>
      <w:r w:rsidRPr="002C5876">
        <w:t>La vitesse maximale du cycle de base est désignée par v</w:t>
      </w:r>
      <w:r w:rsidRPr="002C5876">
        <w:rPr>
          <w:vertAlign w:val="subscript"/>
        </w:rPr>
        <w:t>max,cycle</w:t>
      </w:r>
      <w:r w:rsidRPr="002C5876">
        <w:t>.</w:t>
      </w:r>
    </w:p>
    <w:p w:rsidR="00E24DB7" w:rsidRPr="002C5876" w:rsidRDefault="00E24DB7" w:rsidP="00E24DB7">
      <w:pPr>
        <w:pStyle w:val="SingleTxtG"/>
        <w:ind w:left="2268"/>
        <w:rPr>
          <w:sz w:val="32"/>
          <w:szCs w:val="24"/>
        </w:rPr>
      </w:pPr>
      <w:r w:rsidRPr="002C5876">
        <w:t>La vitesse maximale du véhicule est désignée par v</w:t>
      </w:r>
      <w:r w:rsidRPr="002C5876">
        <w:rPr>
          <w:vertAlign w:val="subscript"/>
        </w:rPr>
        <w:t xml:space="preserve">cap </w:t>
      </w:r>
      <w:r w:rsidRPr="002C5876">
        <w:t>(vitesse limitée).</w:t>
      </w:r>
    </w:p>
    <w:p w:rsidR="00E24DB7" w:rsidRPr="002C5876" w:rsidRDefault="00E24DB7" w:rsidP="00E24DB7">
      <w:pPr>
        <w:pStyle w:val="SingleTxtG"/>
        <w:ind w:left="2268"/>
        <w:rPr>
          <w:sz w:val="32"/>
          <w:szCs w:val="24"/>
        </w:rPr>
      </w:pPr>
      <w:r w:rsidRPr="002C5876">
        <w:t>Si v</w:t>
      </w:r>
      <w:r w:rsidRPr="002C5876">
        <w:rPr>
          <w:vertAlign w:val="subscript"/>
        </w:rPr>
        <w:t>cap</w:t>
      </w:r>
      <w:r w:rsidRPr="002C5876">
        <w:t xml:space="preserve"> est appliquée à un véhicule de la classe 3b telle que définie au paragraphe 3.3.2 de la présente annexe, le cycle pour les véhicules de cette classe doit être pris comme cycle de base. Cette disposition s’applique même lorsque v</w:t>
      </w:r>
      <w:r w:rsidRPr="002C5876">
        <w:rPr>
          <w:vertAlign w:val="subscript"/>
        </w:rPr>
        <w:t>cap</w:t>
      </w:r>
      <w:r w:rsidRPr="002C5876">
        <w:t xml:space="preserve"> est inférieure à 120 km/h.</w:t>
      </w:r>
    </w:p>
    <w:p w:rsidR="00E24DB7" w:rsidRPr="002C5876" w:rsidRDefault="00E24DB7" w:rsidP="00E24DB7">
      <w:pPr>
        <w:pStyle w:val="SingleTxtG"/>
        <w:ind w:left="2268"/>
        <w:rPr>
          <w:sz w:val="32"/>
          <w:szCs w:val="24"/>
        </w:rPr>
      </w:pPr>
      <w:r w:rsidRPr="002C5876">
        <w:tab/>
        <w:t>Lorsque v</w:t>
      </w:r>
      <w:r w:rsidRPr="002C5876">
        <w:rPr>
          <w:vertAlign w:val="subscript"/>
        </w:rPr>
        <w:t>cap</w:t>
      </w:r>
      <w:r w:rsidRPr="002C5876">
        <w:t xml:space="preserve"> est appliquée, le cycle de base doit être modifié comme décrit au paragraphe 9.2 de la présente annexe afin de parcourir la même distance sur le cycle pour le cycle à vitesse limitée que pour le cycle de base.</w:t>
      </w:r>
    </w:p>
    <w:p w:rsidR="00E24DB7" w:rsidRPr="002C5876" w:rsidRDefault="00E24DB7" w:rsidP="00E24DB7">
      <w:pPr>
        <w:pStyle w:val="SingleTxtG"/>
        <w:keepNext/>
        <w:ind w:left="2268" w:hanging="1134"/>
        <w:jc w:val="left"/>
      </w:pPr>
      <w:r w:rsidRPr="002C5876">
        <w:t>9.2</w:t>
      </w:r>
      <w:r w:rsidRPr="002C5876">
        <w:tab/>
      </w:r>
      <w:r w:rsidRPr="002C5876">
        <w:tab/>
        <w:t>Étapes du calcul</w:t>
      </w:r>
    </w:p>
    <w:p w:rsidR="00E24DB7" w:rsidRPr="002C5876" w:rsidRDefault="00E24DB7" w:rsidP="00E24DB7">
      <w:pPr>
        <w:pStyle w:val="SingleTxtG"/>
        <w:keepNext/>
        <w:ind w:left="2268" w:hanging="1134"/>
      </w:pPr>
      <w:r w:rsidRPr="002C5876">
        <w:t>9.2.1</w:t>
      </w:r>
      <w:r w:rsidRPr="002C5876">
        <w:tab/>
      </w:r>
      <w:r w:rsidRPr="002C5876">
        <w:tab/>
        <w:t>Détermination de la différence de distance parcourue par phase du cycle</w:t>
      </w:r>
    </w:p>
    <w:p w:rsidR="00E24DB7" w:rsidRPr="002C5876" w:rsidRDefault="00E24DB7" w:rsidP="00E24DB7">
      <w:pPr>
        <w:pStyle w:val="SingleTxtG"/>
        <w:keepNext/>
        <w:ind w:left="2268" w:hanging="1134"/>
      </w:pPr>
      <w:r w:rsidRPr="002C5876">
        <w:tab/>
        <w:t>Un cycle intérimaire à vitesse limitée doit être calculé par remplacement de toutes les valeurs de vitesse mesurées du véhicule v</w:t>
      </w:r>
      <w:r w:rsidRPr="002C5876">
        <w:rPr>
          <w:vertAlign w:val="subscript"/>
        </w:rPr>
        <w:t>i</w:t>
      </w:r>
      <w:r w:rsidRPr="002C5876">
        <w:t> &gt; v</w:t>
      </w:r>
      <w:r w:rsidRPr="002C5876">
        <w:rPr>
          <w:vertAlign w:val="subscript"/>
        </w:rPr>
        <w:t>cap</w:t>
      </w:r>
      <w:r w:rsidRPr="002C5876">
        <w:t>, par v</w:t>
      </w:r>
      <w:r w:rsidRPr="002C5876">
        <w:rPr>
          <w:vertAlign w:val="subscript"/>
        </w:rPr>
        <w:t>cap</w:t>
      </w:r>
      <w:r w:rsidRPr="002C5876">
        <w:t>.</w:t>
      </w:r>
    </w:p>
    <w:p w:rsidR="00E24DB7" w:rsidRPr="002C5876" w:rsidRDefault="00E24DB7" w:rsidP="00E24DB7">
      <w:pPr>
        <w:pStyle w:val="SingleTxtG"/>
        <w:keepNext/>
        <w:ind w:left="2268" w:hanging="1134"/>
      </w:pPr>
      <w:r w:rsidRPr="002C5876">
        <w:t>9.2.1.1</w:t>
      </w:r>
      <w:r w:rsidRPr="002C5876">
        <w:tab/>
        <w:t>Si V</w:t>
      </w:r>
      <w:r w:rsidRPr="002C5876">
        <w:rPr>
          <w:vertAlign w:val="subscript"/>
        </w:rPr>
        <w:t>cap</w:t>
      </w:r>
      <w:r w:rsidRPr="002C5876">
        <w:t> &lt; V</w:t>
      </w:r>
      <w:r w:rsidRPr="002C5876">
        <w:rPr>
          <w:vertAlign w:val="subscript"/>
        </w:rPr>
        <w:t>max, medium</w:t>
      </w:r>
      <w:r w:rsidRPr="002C5876">
        <w:t>, les distances parcourues des phases à vitesse moyenne du cycle de base d</w:t>
      </w:r>
      <w:r w:rsidRPr="002C5876">
        <w:rPr>
          <w:vertAlign w:val="subscript"/>
        </w:rPr>
        <w:t>base medium</w:t>
      </w:r>
      <w:r w:rsidRPr="002C5876">
        <w:t>, et du cycle intérimaire à vitesse limitée d</w:t>
      </w:r>
      <w:r w:rsidRPr="002C5876">
        <w:rPr>
          <w:vertAlign w:val="subscript"/>
        </w:rPr>
        <w:t>cap medium</w:t>
      </w:r>
      <w:r w:rsidRPr="002C5876">
        <w:t xml:space="preserve"> doivent être calculées au moyen de l’équation suivante pour les deux cycles :</w:t>
      </w:r>
    </w:p>
    <w:p w:rsidR="00E24DB7" w:rsidRPr="00D53F39" w:rsidRDefault="00E24DB7" w:rsidP="00E24DB7">
      <w:pPr>
        <w:pStyle w:val="SingleTxtG"/>
        <w:spacing w:after="240"/>
        <w:ind w:left="2268"/>
        <w:jc w:val="center"/>
        <w:rPr>
          <w:lang w:val="en-US"/>
        </w:rPr>
      </w:pPr>
      <w:r w:rsidRPr="00D53F39">
        <w:rPr>
          <w:lang w:val="en-US"/>
        </w:rPr>
        <w:t>d</w:t>
      </w:r>
      <w:r w:rsidRPr="00D53F39">
        <w:rPr>
          <w:vertAlign w:val="subscript"/>
          <w:lang w:val="en-US"/>
        </w:rPr>
        <w:t>medium</w:t>
      </w:r>
      <w:r w:rsidRPr="00D53F39">
        <w:rPr>
          <w:lang w:val="en-US"/>
        </w:rPr>
        <w:t> = </w:t>
      </w:r>
      <m:oMath>
        <m:r>
          <m:rPr>
            <m:nor/>
          </m:rPr>
          <w:rPr>
            <w:rFonts w:asciiTheme="majorBidi" w:hAnsiTheme="majorBidi" w:cstheme="majorBidi"/>
            <w:lang w:val="en-US"/>
          </w:rPr>
          <m:t>∑</m:t>
        </m:r>
      </m:oMath>
      <w:r w:rsidRPr="00D53F39">
        <w:rPr>
          <w:lang w:val="en-US"/>
        </w:rPr>
        <w:t>(</w:t>
      </w:r>
      <m:oMath>
        <m:f>
          <m:fPr>
            <m:ctrlPr>
              <w:rPr>
                <w:rFonts w:ascii="Cambria Math" w:hAnsi="Cambria Math" w:cstheme="majorBidi"/>
                <w:szCs w:val="24"/>
              </w:rPr>
            </m:ctrlPr>
          </m:fPr>
          <m:num>
            <m:d>
              <m:dPr>
                <m:ctrlPr>
                  <w:rPr>
                    <w:rFonts w:ascii="Cambria Math" w:hAnsi="Cambria Math" w:cstheme="majorBidi"/>
                    <w:szCs w:val="24"/>
                  </w:rPr>
                </m:ctrlPr>
              </m:dPr>
              <m:e>
                <m:sSub>
                  <m:sSubPr>
                    <m:ctrlPr>
                      <w:rPr>
                        <w:rFonts w:ascii="Cambria Math" w:hAnsi="Cambria Math" w:cstheme="majorBidi"/>
                        <w:szCs w:val="24"/>
                      </w:rPr>
                    </m:ctrlPr>
                  </m:sSubPr>
                  <m:e>
                    <m:r>
                      <m:rPr>
                        <m:nor/>
                      </m:rPr>
                      <w:rPr>
                        <w:rFonts w:asciiTheme="majorBidi" w:hAnsiTheme="majorBidi" w:cstheme="majorBidi"/>
                        <w:szCs w:val="24"/>
                        <w:lang w:val="en-US"/>
                      </w:rPr>
                      <m:t>v</m:t>
                    </m:r>
                  </m:e>
                  <m:sub>
                    <m:r>
                      <m:rPr>
                        <m:nor/>
                      </m:rPr>
                      <w:rPr>
                        <w:rFonts w:asciiTheme="majorBidi" w:hAnsiTheme="majorBidi" w:cstheme="majorBidi"/>
                        <w:szCs w:val="24"/>
                        <w:lang w:val="en-US"/>
                      </w:rPr>
                      <m:t>i</m:t>
                    </m:r>
                  </m:sub>
                </m:sSub>
                <m:r>
                  <m:rPr>
                    <m:nor/>
                  </m:rPr>
                  <w:rPr>
                    <w:rFonts w:ascii="Cambria Math" w:hAnsiTheme="majorBidi" w:cstheme="majorBidi"/>
                    <w:szCs w:val="24"/>
                    <w:lang w:val="en-US"/>
                  </w:rPr>
                  <m:t xml:space="preserve"> </m:t>
                </m:r>
                <m:r>
                  <m:rPr>
                    <m:nor/>
                  </m:rPr>
                  <w:rPr>
                    <w:rFonts w:asciiTheme="majorBidi" w:hAnsiTheme="majorBidi" w:cstheme="majorBidi"/>
                    <w:szCs w:val="24"/>
                    <w:lang w:val="en-US"/>
                  </w:rPr>
                  <m:t>+</m:t>
                </m:r>
                <m:r>
                  <m:rPr>
                    <m:nor/>
                  </m:rPr>
                  <w:rPr>
                    <w:rFonts w:ascii="Cambria Math" w:hAnsiTheme="majorBidi" w:cstheme="majorBidi"/>
                    <w:szCs w:val="24"/>
                    <w:lang w:val="en-US"/>
                  </w:rPr>
                  <m:t xml:space="preserve"> </m:t>
                </m:r>
                <m:sSub>
                  <m:sSubPr>
                    <m:ctrlPr>
                      <w:rPr>
                        <w:rFonts w:ascii="Cambria Math" w:hAnsi="Cambria Math" w:cstheme="majorBidi"/>
                        <w:szCs w:val="24"/>
                      </w:rPr>
                    </m:ctrlPr>
                  </m:sSubPr>
                  <m:e>
                    <m:r>
                      <m:rPr>
                        <m:nor/>
                      </m:rPr>
                      <w:rPr>
                        <w:rFonts w:asciiTheme="majorBidi" w:hAnsiTheme="majorBidi" w:cstheme="majorBidi"/>
                        <w:szCs w:val="24"/>
                        <w:lang w:val="en-US"/>
                      </w:rPr>
                      <m:t>v</m:t>
                    </m:r>
                  </m:e>
                  <m:sub>
                    <m:r>
                      <m:rPr>
                        <m:nor/>
                      </m:rPr>
                      <w:rPr>
                        <w:rFonts w:asciiTheme="majorBidi" w:hAnsiTheme="majorBidi" w:cstheme="majorBidi"/>
                        <w:szCs w:val="24"/>
                        <w:lang w:val="en-US"/>
                      </w:rPr>
                      <m:t>i</m:t>
                    </m:r>
                    <m:r>
                      <m:rPr>
                        <m:nor/>
                      </m:rPr>
                      <w:rPr>
                        <w:rFonts w:ascii="Cambria Math" w:hAnsiTheme="majorBidi" w:cstheme="majorBidi"/>
                        <w:szCs w:val="24"/>
                        <w:lang w:val="en-US"/>
                      </w:rPr>
                      <m:t>–</m:t>
                    </m:r>
                    <m:r>
                      <m:rPr>
                        <m:nor/>
                      </m:rPr>
                      <w:rPr>
                        <w:rFonts w:asciiTheme="majorBidi" w:hAnsiTheme="majorBidi" w:cstheme="majorBidi"/>
                        <w:szCs w:val="24"/>
                        <w:lang w:val="en-US"/>
                      </w:rPr>
                      <m:t>1</m:t>
                    </m:r>
                  </m:sub>
                </m:sSub>
              </m:e>
            </m:d>
          </m:num>
          <m:den>
            <m:r>
              <m:rPr>
                <m:nor/>
              </m:rPr>
              <w:rPr>
                <w:rFonts w:asciiTheme="majorBidi" w:hAnsiTheme="majorBidi" w:cstheme="majorBidi"/>
                <w:szCs w:val="24"/>
                <w:lang w:val="en-US"/>
              </w:rPr>
              <m:t>2</m:t>
            </m:r>
            <m:r>
              <m:rPr>
                <m:nor/>
              </m:rPr>
              <w:rPr>
                <w:rFonts w:ascii="Cambria Math" w:hAnsiTheme="majorBidi" w:cstheme="majorBidi"/>
                <w:szCs w:val="24"/>
                <w:lang w:val="en-US"/>
              </w:rPr>
              <m:t xml:space="preserve"> </m:t>
            </m:r>
            <m:r>
              <m:rPr>
                <m:nor/>
              </m:rPr>
              <w:rPr>
                <w:rFonts w:asciiTheme="majorBidi" w:hAnsiTheme="majorBidi" w:cstheme="majorBidi"/>
                <w:szCs w:val="24"/>
                <w:lang w:val="en-US"/>
              </w:rPr>
              <m:t>×</m:t>
            </m:r>
            <m:r>
              <m:rPr>
                <m:nor/>
              </m:rPr>
              <w:rPr>
                <w:rFonts w:ascii="Cambria Math" w:hAnsiTheme="majorBidi" w:cstheme="majorBidi"/>
                <w:szCs w:val="24"/>
                <w:lang w:val="en-US"/>
              </w:rPr>
              <m:t xml:space="preserve"> </m:t>
            </m:r>
            <m:r>
              <m:rPr>
                <m:nor/>
              </m:rPr>
              <w:rPr>
                <w:rFonts w:asciiTheme="majorBidi" w:hAnsiTheme="majorBidi" w:cstheme="majorBidi"/>
                <w:szCs w:val="24"/>
                <w:lang w:val="en-US"/>
              </w:rPr>
              <m:t>3,6</m:t>
            </m:r>
          </m:den>
        </m:f>
        <m:r>
          <m:rPr>
            <m:nor/>
          </m:rPr>
          <w:rPr>
            <w:rFonts w:ascii="Cambria Math" w:hAnsiTheme="majorBidi" w:cstheme="majorBidi"/>
            <w:szCs w:val="24"/>
            <w:lang w:val="en-US"/>
          </w:rPr>
          <m:t xml:space="preserve"> </m:t>
        </m:r>
        <m:r>
          <m:rPr>
            <m:nor/>
          </m:rPr>
          <w:rPr>
            <w:rFonts w:asciiTheme="majorBidi" w:hAnsiTheme="majorBidi" w:cstheme="majorBidi"/>
            <w:szCs w:val="24"/>
            <w:lang w:val="en-US"/>
          </w:rPr>
          <m:t>×</m:t>
        </m:r>
        <m:r>
          <m:rPr>
            <m:nor/>
          </m:rPr>
          <w:rPr>
            <w:rFonts w:ascii="Cambria Math" w:hAnsiTheme="majorBidi" w:cstheme="majorBidi"/>
            <w:szCs w:val="24"/>
            <w:lang w:val="en-US"/>
          </w:rPr>
          <m:t xml:space="preserve"> </m:t>
        </m:r>
        <m:d>
          <m:dPr>
            <m:ctrlPr>
              <w:rPr>
                <w:rFonts w:ascii="Cambria Math" w:hAnsi="Cambria Math" w:cstheme="majorBidi"/>
                <w:szCs w:val="24"/>
              </w:rPr>
            </m:ctrlPr>
          </m:dPr>
          <m:e>
            <m:sSub>
              <m:sSubPr>
                <m:ctrlPr>
                  <w:rPr>
                    <w:rFonts w:ascii="Cambria Math" w:hAnsi="Cambria Math" w:cstheme="majorBidi"/>
                    <w:szCs w:val="24"/>
                  </w:rPr>
                </m:ctrlPr>
              </m:sSubPr>
              <m:e>
                <m:r>
                  <m:rPr>
                    <m:nor/>
                  </m:rPr>
                  <w:rPr>
                    <w:rFonts w:asciiTheme="majorBidi" w:hAnsiTheme="majorBidi" w:cstheme="majorBidi"/>
                    <w:szCs w:val="24"/>
                    <w:lang w:val="en-US"/>
                  </w:rPr>
                  <m:t>t</m:t>
                </m:r>
              </m:e>
              <m:sub>
                <m:r>
                  <m:rPr>
                    <m:nor/>
                  </m:rPr>
                  <w:rPr>
                    <w:rFonts w:asciiTheme="majorBidi" w:hAnsiTheme="majorBidi" w:cstheme="majorBidi"/>
                    <w:szCs w:val="24"/>
                    <w:lang w:val="en-US"/>
                  </w:rPr>
                  <m:t>i</m:t>
                </m:r>
              </m:sub>
            </m:sSub>
            <m:r>
              <m:rPr>
                <m:nor/>
              </m:rPr>
              <w:rPr>
                <w:rFonts w:asciiTheme="majorBidi" w:hAnsiTheme="majorBidi" w:cstheme="majorBidi"/>
                <w:szCs w:val="24"/>
                <w:lang w:val="en-US"/>
              </w:rPr>
              <m:t xml:space="preserve"> – </m:t>
            </m:r>
            <m:sSub>
              <m:sSubPr>
                <m:ctrlPr>
                  <w:rPr>
                    <w:rFonts w:ascii="Cambria Math" w:hAnsi="Cambria Math" w:cstheme="majorBidi"/>
                    <w:szCs w:val="24"/>
                  </w:rPr>
                </m:ctrlPr>
              </m:sSubPr>
              <m:e>
                <m:r>
                  <m:rPr>
                    <m:nor/>
                  </m:rPr>
                  <w:rPr>
                    <w:rFonts w:asciiTheme="majorBidi" w:hAnsiTheme="majorBidi" w:cstheme="majorBidi"/>
                    <w:szCs w:val="24"/>
                    <w:lang w:val="en-US"/>
                  </w:rPr>
                  <m:t>t</m:t>
                </m:r>
              </m:e>
              <m:sub>
                <m:r>
                  <m:rPr>
                    <m:nor/>
                  </m:rPr>
                  <w:rPr>
                    <w:rFonts w:asciiTheme="majorBidi" w:hAnsiTheme="majorBidi" w:cstheme="majorBidi"/>
                    <w:szCs w:val="24"/>
                    <w:lang w:val="en-US"/>
                  </w:rPr>
                  <m:t>i–1</m:t>
                </m:r>
              </m:sub>
            </m:sSub>
          </m:e>
        </m:d>
        <m:r>
          <m:rPr>
            <m:nor/>
          </m:rPr>
          <w:rPr>
            <w:rFonts w:asciiTheme="majorBidi" w:hAnsiTheme="majorBidi" w:cstheme="majorBidi"/>
            <w:szCs w:val="24"/>
            <w:lang w:val="en-US"/>
          </w:rPr>
          <m:t>)</m:t>
        </m:r>
      </m:oMath>
      <w:r w:rsidRPr="00D53F39">
        <w:rPr>
          <w:szCs w:val="24"/>
          <w:lang w:val="en-US"/>
        </w:rPr>
        <w:t xml:space="preserve">, pour </w:t>
      </w:r>
      <w:r w:rsidRPr="00D53F39">
        <w:rPr>
          <w:lang w:val="en-US"/>
        </w:rPr>
        <w:t>i = 591-1 022</w:t>
      </w:r>
    </w:p>
    <w:p w:rsidR="00E24DB7" w:rsidRPr="002C5876" w:rsidRDefault="00E24DB7" w:rsidP="00E24DB7">
      <w:pPr>
        <w:pStyle w:val="SingleTxtG"/>
        <w:ind w:left="2268"/>
      </w:pPr>
      <w:r w:rsidRPr="002C5876">
        <w:t>où :</w:t>
      </w:r>
    </w:p>
    <w:p w:rsidR="00E24DB7" w:rsidRPr="002C5876" w:rsidRDefault="00E24DB7" w:rsidP="00E24DB7">
      <w:pPr>
        <w:pStyle w:val="SingleTxtG"/>
        <w:ind w:left="2268"/>
      </w:pPr>
      <w:r w:rsidRPr="002C5876">
        <w:t>v</w:t>
      </w:r>
      <w:r w:rsidRPr="002C5876">
        <w:rPr>
          <w:vertAlign w:val="subscript"/>
        </w:rPr>
        <w:t>max,medium</w:t>
      </w:r>
      <w:r w:rsidRPr="002C5876">
        <w:tab/>
        <w:t>est la vitesse maximale du véhicule de la phase à vitesse moyenne, comme indiqué au tableau A1/2 pour le cycle de la classe 1, au tableau A1/4 pour le cycle de la classe 2, au tableau A1/8 pour le cycle de la classe 3a et au tableau A1/9 pour le cycle de la classe 3b.</w:t>
      </w:r>
    </w:p>
    <w:p w:rsidR="00E24DB7" w:rsidRPr="002C5876" w:rsidRDefault="00E24DB7" w:rsidP="00E24DB7">
      <w:pPr>
        <w:pStyle w:val="SingleTxtG"/>
        <w:keepNext/>
        <w:ind w:left="2268" w:hanging="1134"/>
      </w:pPr>
      <w:r w:rsidRPr="002C5876">
        <w:t>9.2.1.2</w:t>
      </w:r>
      <w:r w:rsidRPr="002C5876">
        <w:tab/>
        <w:t>Si v</w:t>
      </w:r>
      <w:r w:rsidRPr="002C5876">
        <w:rPr>
          <w:vertAlign w:val="subscript"/>
        </w:rPr>
        <w:t>cap</w:t>
      </w:r>
      <w:r w:rsidR="00C574AA">
        <w:t> </w:t>
      </w:r>
      <w:r w:rsidRPr="002C5876">
        <w:t>&lt;</w:t>
      </w:r>
      <w:r w:rsidR="00C574AA">
        <w:t> </w:t>
      </w:r>
      <w:r w:rsidRPr="002C5876">
        <w:t>v</w:t>
      </w:r>
      <w:r w:rsidRPr="002C5876">
        <w:rPr>
          <w:vertAlign w:val="subscript"/>
        </w:rPr>
        <w:t>max,high</w:t>
      </w:r>
      <w:r w:rsidRPr="002C5876">
        <w:t>, les distances parcourues</w:t>
      </w:r>
      <w:r w:rsidRPr="002C5876">
        <w:rPr>
          <w:u w:val="single"/>
        </w:rPr>
        <w:t xml:space="preserve"> </w:t>
      </w:r>
      <w:r w:rsidRPr="002C5876">
        <w:t>des phases à grande vitesse du cycle de base d</w:t>
      </w:r>
      <w:r w:rsidRPr="002C5876">
        <w:rPr>
          <w:vertAlign w:val="subscript"/>
        </w:rPr>
        <w:t>base,high</w:t>
      </w:r>
      <w:r w:rsidRPr="002C5876">
        <w:t xml:space="preserve"> et du cycle intérimaire à vitesse limitée d</w:t>
      </w:r>
      <w:r w:rsidRPr="002C5876">
        <w:rPr>
          <w:vertAlign w:val="subscript"/>
        </w:rPr>
        <w:t>cap,high</w:t>
      </w:r>
      <w:r w:rsidRPr="002C5876">
        <w:t xml:space="preserve"> doivent être calculées au moyen de l’équation suivante pour les deux cycles :</w:t>
      </w:r>
    </w:p>
    <w:p w:rsidR="00E24DB7" w:rsidRPr="00D53F39" w:rsidRDefault="00E24DB7" w:rsidP="00E24DB7">
      <w:pPr>
        <w:pStyle w:val="SingleTxtG"/>
        <w:spacing w:after="240"/>
        <w:ind w:left="2268"/>
        <w:jc w:val="center"/>
        <w:rPr>
          <w:lang w:val="en-US"/>
        </w:rPr>
      </w:pPr>
      <w:r w:rsidRPr="00D53F39">
        <w:rPr>
          <w:lang w:val="en-US"/>
        </w:rPr>
        <w:t>d</w:t>
      </w:r>
      <w:r w:rsidRPr="00D53F39">
        <w:rPr>
          <w:vertAlign w:val="subscript"/>
          <w:lang w:val="en-US"/>
        </w:rPr>
        <w:t>high</w:t>
      </w:r>
      <w:r w:rsidRPr="00D53F39">
        <w:rPr>
          <w:lang w:val="en-US"/>
        </w:rPr>
        <w:t> = </w:t>
      </w:r>
      <m:oMath>
        <m:r>
          <m:rPr>
            <m:nor/>
          </m:rPr>
          <w:rPr>
            <w:rFonts w:ascii="Cambria Math" w:hAnsi="Cambria Math"/>
            <w:lang w:val="en-US"/>
          </w:rPr>
          <m:t>∑</m:t>
        </m:r>
      </m:oMath>
      <w:r w:rsidRPr="00D53F39">
        <w:rPr>
          <w:lang w:val="en-US"/>
        </w:rPr>
        <w:t>(</w:t>
      </w:r>
      <m:oMath>
        <m:f>
          <m:fPr>
            <m:ctrlPr>
              <w:rPr>
                <w:rFonts w:ascii="Cambria Math" w:hAnsi="Cambria Math" w:cstheme="majorBidi"/>
              </w:rPr>
            </m:ctrlPr>
          </m:fPr>
          <m:num>
            <m:d>
              <m:dPr>
                <m:ctrlPr>
                  <w:rPr>
                    <w:rFonts w:ascii="Cambria Math" w:hAnsi="Cambria Math" w:cstheme="majorBidi"/>
                  </w:rPr>
                </m:ctrlPr>
              </m:dPr>
              <m:e>
                <m:sSub>
                  <m:sSubPr>
                    <m:ctrlPr>
                      <w:rPr>
                        <w:rFonts w:ascii="Cambria Math" w:hAnsi="Cambria Math" w:cstheme="majorBidi"/>
                      </w:rPr>
                    </m:ctrlPr>
                  </m:sSubPr>
                  <m:e>
                    <m:r>
                      <m:rPr>
                        <m:nor/>
                      </m:rPr>
                      <w:rPr>
                        <w:rFonts w:asciiTheme="majorBidi" w:hAnsiTheme="majorBidi" w:cstheme="majorBidi"/>
                        <w:lang w:val="en-US"/>
                      </w:rPr>
                      <m:t>v</m:t>
                    </m:r>
                  </m:e>
                  <m:sub>
                    <m:r>
                      <m:rPr>
                        <m:nor/>
                      </m:rPr>
                      <w:rPr>
                        <w:rFonts w:asciiTheme="majorBidi" w:hAnsiTheme="majorBidi" w:cstheme="majorBidi"/>
                        <w:lang w:val="en-US"/>
                      </w:rPr>
                      <m:t>i</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v</m:t>
                    </m:r>
                  </m:e>
                  <m:sub>
                    <m:r>
                      <m:rPr>
                        <m:nor/>
                      </m:rPr>
                      <w:rPr>
                        <w:rFonts w:asciiTheme="majorBidi" w:hAnsiTheme="majorBidi" w:cstheme="majorBidi"/>
                        <w:lang w:val="en-US"/>
                      </w:rPr>
                      <m:t>i–1</m:t>
                    </m:r>
                  </m:sub>
                </m:sSub>
              </m:e>
            </m:d>
          </m:num>
          <m:den>
            <m:r>
              <m:rPr>
                <m:nor/>
              </m:rPr>
              <w:rPr>
                <w:rFonts w:asciiTheme="majorBidi" w:hAnsiTheme="majorBidi" w:cstheme="majorBidi"/>
                <w:lang w:val="en-US"/>
              </w:rPr>
              <m:t>2</m:t>
            </m:r>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r>
              <m:rPr>
                <m:nor/>
              </m:rPr>
              <w:rPr>
                <w:rFonts w:asciiTheme="majorBidi" w:hAnsiTheme="majorBidi" w:cstheme="majorBidi"/>
                <w:lang w:val="en-US"/>
              </w:rPr>
              <m:t>3,6</m:t>
            </m:r>
          </m:den>
        </m:f>
        <m:r>
          <m:rPr>
            <m:nor/>
          </m:rPr>
          <w:rPr>
            <w:rFonts w:asciiTheme="majorBidi" w:hAnsiTheme="majorBidi" w:cstheme="majorBidi"/>
            <w:lang w:val="en-US"/>
          </w:rPr>
          <m:t>×</m:t>
        </m:r>
        <m:d>
          <m:dPr>
            <m:ctrlPr>
              <w:rPr>
                <w:rFonts w:ascii="Cambria Math" w:hAnsi="Cambria Math" w:cstheme="majorBidi"/>
              </w:rPr>
            </m:ctrlPr>
          </m:dPr>
          <m:e>
            <m:sSub>
              <m:sSubPr>
                <m:ctrlPr>
                  <w:rPr>
                    <w:rFonts w:ascii="Cambria Math" w:hAnsi="Cambria Math" w:cstheme="majorBidi"/>
                  </w:rPr>
                </m:ctrlPr>
              </m:sSubPr>
              <m:e>
                <m:r>
                  <m:rPr>
                    <m:nor/>
                  </m:rPr>
                  <w:rPr>
                    <w:rFonts w:asciiTheme="majorBidi" w:hAnsiTheme="majorBidi" w:cstheme="majorBidi"/>
                    <w:lang w:val="en-US"/>
                  </w:rPr>
                  <m:t>t</m:t>
                </m:r>
              </m:e>
              <m:sub>
                <m:r>
                  <m:rPr>
                    <m:nor/>
                  </m:rPr>
                  <w:rPr>
                    <w:rFonts w:asciiTheme="majorBidi" w:hAnsiTheme="majorBidi" w:cstheme="majorBidi"/>
                    <w:lang w:val="en-US"/>
                  </w:rPr>
                  <m:t>i</m:t>
                </m:r>
                <m:r>
                  <m:rPr>
                    <m:nor/>
                  </m:rPr>
                  <w:rPr>
                    <w:rFonts w:ascii="Cambria Math" w:hAnsiTheme="majorBidi" w:cstheme="majorBidi"/>
                    <w:lang w:val="en-US"/>
                  </w:rPr>
                  <m:t xml:space="preserve"> </m:t>
                </m:r>
              </m:sub>
            </m:sSub>
            <m:r>
              <w:rPr>
                <w:rFonts w:ascii="Cambria Math" w:hAnsi="Cambria Math" w:cstheme="majorBidi"/>
                <w:lang w:val="en-US"/>
              </w:rPr>
              <m:t>–</m:t>
            </m:r>
            <m:sSub>
              <m:sSubPr>
                <m:ctrlPr>
                  <w:rPr>
                    <w:rFonts w:ascii="Cambria Math" w:hAnsi="Cambria Math" w:cstheme="majorBidi"/>
                  </w:rPr>
                </m:ctrlPr>
              </m:sSubPr>
              <m:e>
                <m:r>
                  <m:rPr>
                    <m:nor/>
                  </m:rPr>
                  <w:rPr>
                    <w:rFonts w:asciiTheme="majorBidi" w:hAnsiTheme="majorBidi" w:cstheme="majorBidi"/>
                    <w:lang w:val="en-US"/>
                  </w:rPr>
                  <m:t>t</m:t>
                </m:r>
              </m:e>
              <m:sub>
                <m:r>
                  <m:rPr>
                    <m:nor/>
                  </m:rPr>
                  <w:rPr>
                    <w:rFonts w:asciiTheme="majorBidi" w:hAnsiTheme="majorBidi" w:cstheme="majorBidi"/>
                    <w:lang w:val="en-US"/>
                  </w:rPr>
                  <m:t>i</m:t>
                </m:r>
                <m:r>
                  <m:rPr>
                    <m:nor/>
                  </m:rPr>
                  <w:rPr>
                    <w:rFonts w:ascii="Cambria Math" w:hAnsiTheme="majorBidi" w:cstheme="majorBidi"/>
                    <w:lang w:val="en-US"/>
                  </w:rPr>
                  <m:t>–</m:t>
                </m:r>
                <m:r>
                  <m:rPr>
                    <m:nor/>
                  </m:rPr>
                  <w:rPr>
                    <w:rFonts w:asciiTheme="majorBidi" w:hAnsiTheme="majorBidi" w:cstheme="majorBidi"/>
                    <w:lang w:val="en-US"/>
                  </w:rPr>
                  <m:t>1</m:t>
                </m:r>
              </m:sub>
            </m:sSub>
          </m:e>
        </m:d>
        <m:r>
          <m:rPr>
            <m:nor/>
          </m:rPr>
          <w:rPr>
            <w:rFonts w:asciiTheme="majorBidi" w:hAnsiTheme="majorBidi" w:cstheme="majorBidi"/>
            <w:lang w:val="en-US"/>
          </w:rPr>
          <m:t>)</m:t>
        </m:r>
      </m:oMath>
      <w:r w:rsidRPr="00D53F39">
        <w:rPr>
          <w:lang w:val="en-US"/>
        </w:rPr>
        <w:t>, pour i = 1 024-1 477</w:t>
      </w:r>
    </w:p>
    <w:p w:rsidR="00E24DB7" w:rsidRPr="002C5876" w:rsidRDefault="00E24DB7" w:rsidP="00E24DB7">
      <w:pPr>
        <w:pStyle w:val="SingleTxtG"/>
        <w:ind w:left="2268"/>
      </w:pPr>
      <w:r w:rsidRPr="002C5876">
        <w:t>v</w:t>
      </w:r>
      <w:r w:rsidRPr="002C5876">
        <w:rPr>
          <w:vertAlign w:val="subscript"/>
        </w:rPr>
        <w:t>max,high</w:t>
      </w:r>
      <w:r w:rsidRPr="002C5876">
        <w:tab/>
        <w:t xml:space="preserve">est la vitesse maximale du véhicule des phases à grande vitesse, comme indiqué au tableau A1/5 pour le cycle de la classe 2, au tableau A1/10 pour le cycle de la classe 3a et au tableau A1/11 pour le cycle de la classe 3b. </w:t>
      </w:r>
    </w:p>
    <w:p w:rsidR="00E24DB7" w:rsidRPr="002C5876" w:rsidRDefault="00E24DB7" w:rsidP="00E24DB7">
      <w:pPr>
        <w:pStyle w:val="SingleTxtG"/>
        <w:ind w:left="2268" w:hanging="1134"/>
      </w:pPr>
      <w:r w:rsidRPr="002C5876">
        <w:t>9.2.1.3</w:t>
      </w:r>
      <w:r w:rsidRPr="002C5876">
        <w:tab/>
        <w:t>Les distances parcourues</w:t>
      </w:r>
      <w:r w:rsidRPr="002C5876">
        <w:rPr>
          <w:u w:val="single"/>
        </w:rPr>
        <w:t xml:space="preserve"> </w:t>
      </w:r>
      <w:r w:rsidRPr="002C5876">
        <w:t>de la phase à extra-haute vitesse du cycle de base d</w:t>
      </w:r>
      <w:r w:rsidRPr="002C5876">
        <w:rPr>
          <w:vertAlign w:val="subscript"/>
        </w:rPr>
        <w:t>base,exhigh</w:t>
      </w:r>
      <w:r w:rsidRPr="002C5876">
        <w:t xml:space="preserve"> et du cycle intérimaire à vitesse limitée d</w:t>
      </w:r>
      <w:r w:rsidRPr="002C5876">
        <w:rPr>
          <w:vertAlign w:val="subscript"/>
        </w:rPr>
        <w:t>cap,exhigh</w:t>
      </w:r>
      <w:r w:rsidRPr="002C5876">
        <w:t xml:space="preserve"> doivent être calculées au moyen de l’équation suivante, appliquées à la phase extra-haute vitesse des deux cycles :</w:t>
      </w:r>
    </w:p>
    <w:p w:rsidR="00E24DB7" w:rsidRPr="00D53F39" w:rsidRDefault="00E24DB7" w:rsidP="00E24DB7">
      <w:pPr>
        <w:pStyle w:val="SingleTxtG"/>
        <w:spacing w:after="240"/>
        <w:ind w:left="2268"/>
        <w:jc w:val="center"/>
        <w:rPr>
          <w:szCs w:val="24"/>
          <w:lang w:val="en-US"/>
        </w:rPr>
      </w:pPr>
      <w:r w:rsidRPr="00D53F39">
        <w:rPr>
          <w:lang w:val="en-US"/>
        </w:rPr>
        <w:t>d</w:t>
      </w:r>
      <w:r w:rsidRPr="00D53F39">
        <w:rPr>
          <w:vertAlign w:val="subscript"/>
          <w:lang w:val="en-US"/>
        </w:rPr>
        <w:t>exhigh</w:t>
      </w:r>
      <w:r w:rsidRPr="00D53F39">
        <w:rPr>
          <w:lang w:val="en-US"/>
        </w:rPr>
        <w:t> = </w:t>
      </w:r>
      <m:oMath>
        <m:r>
          <m:rPr>
            <m:nor/>
          </m:rPr>
          <w:rPr>
            <w:rFonts w:ascii="Cambria Math" w:hAnsi="Cambria Math"/>
            <w:lang w:val="en-US"/>
          </w:rPr>
          <m:t>∑</m:t>
        </m:r>
      </m:oMath>
      <w:r w:rsidRPr="00D53F39">
        <w:rPr>
          <w:lang w:val="en-US"/>
        </w:rPr>
        <w:t>(</w:t>
      </w:r>
      <m:oMath>
        <m:f>
          <m:fPr>
            <m:ctrlPr>
              <w:rPr>
                <w:rFonts w:ascii="Cambria Math" w:hAnsi="Cambria Math" w:cstheme="majorBidi"/>
              </w:rPr>
            </m:ctrlPr>
          </m:fPr>
          <m:num>
            <m:d>
              <m:dPr>
                <m:ctrlPr>
                  <w:rPr>
                    <w:rFonts w:ascii="Cambria Math" w:hAnsi="Cambria Math" w:cstheme="majorBidi"/>
                  </w:rPr>
                </m:ctrlPr>
              </m:dPr>
              <m:e>
                <m:sSub>
                  <m:sSubPr>
                    <m:ctrlPr>
                      <w:rPr>
                        <w:rFonts w:ascii="Cambria Math" w:hAnsi="Cambria Math" w:cstheme="majorBidi"/>
                      </w:rPr>
                    </m:ctrlPr>
                  </m:sSubPr>
                  <m:e>
                    <m:r>
                      <m:rPr>
                        <m:nor/>
                      </m:rPr>
                      <w:rPr>
                        <w:rFonts w:asciiTheme="majorBidi" w:hAnsiTheme="majorBidi" w:cstheme="majorBidi"/>
                        <w:lang w:val="en-US"/>
                      </w:rPr>
                      <m:t>v</m:t>
                    </m:r>
                  </m:e>
                  <m:sub>
                    <m:r>
                      <m:rPr>
                        <m:nor/>
                      </m:rPr>
                      <w:rPr>
                        <w:rFonts w:asciiTheme="majorBidi" w:hAnsiTheme="majorBidi" w:cstheme="majorBidi"/>
                        <w:lang w:val="en-US"/>
                      </w:rPr>
                      <m:t>i</m:t>
                    </m:r>
                  </m:sub>
                </m:sSub>
                <m:r>
                  <m:rPr>
                    <m:nor/>
                  </m:rPr>
                  <w:rPr>
                    <w:rFonts w:ascii="Cambria Math" w:hAnsiTheme="majorBidi" w:cstheme="majorBidi"/>
                    <w:lang w:val="en-US"/>
                  </w:rPr>
                  <m:t xml:space="preserve"> </m:t>
                </m:r>
                <m:r>
                  <m:rPr>
                    <m:nor/>
                  </m:rPr>
                  <w:rPr>
                    <w:rFonts w:asciiTheme="majorBidi" w:hAnsiTheme="majorBidi" w:cstheme="majorBidi"/>
                    <w:lang w:val="en-US"/>
                  </w:rPr>
                  <m:t>+</m:t>
                </m:r>
                <m:sSub>
                  <m:sSubPr>
                    <m:ctrlPr>
                      <w:rPr>
                        <w:rFonts w:ascii="Cambria Math" w:hAnsi="Cambria Math" w:cstheme="majorBidi"/>
                      </w:rPr>
                    </m:ctrlPr>
                  </m:sSubPr>
                  <m:e>
                    <m:r>
                      <m:rPr>
                        <m:nor/>
                      </m:rPr>
                      <w:rPr>
                        <w:rFonts w:ascii="Cambria Math" w:hAnsiTheme="majorBidi" w:cstheme="majorBidi"/>
                        <w:lang w:val="en-US"/>
                      </w:rPr>
                      <m:t xml:space="preserve"> </m:t>
                    </m:r>
                    <m:r>
                      <m:rPr>
                        <m:nor/>
                      </m:rPr>
                      <w:rPr>
                        <w:rFonts w:asciiTheme="majorBidi" w:hAnsiTheme="majorBidi" w:cstheme="majorBidi"/>
                        <w:lang w:val="en-US"/>
                      </w:rPr>
                      <m:t>v</m:t>
                    </m:r>
                  </m:e>
                  <m:sub>
                    <m:r>
                      <m:rPr>
                        <m:nor/>
                      </m:rPr>
                      <w:rPr>
                        <w:rFonts w:asciiTheme="majorBidi" w:hAnsiTheme="majorBidi" w:cstheme="majorBidi"/>
                        <w:lang w:val="en-US"/>
                      </w:rPr>
                      <m:t>i–1</m:t>
                    </m:r>
                  </m:sub>
                </m:sSub>
              </m:e>
            </m:d>
          </m:num>
          <m:den>
            <m:r>
              <m:rPr>
                <m:nor/>
              </m:rPr>
              <w:rPr>
                <w:rFonts w:asciiTheme="majorBidi" w:hAnsiTheme="majorBidi" w:cstheme="majorBidi"/>
                <w:lang w:val="en-US"/>
              </w:rPr>
              <m:t>2</m:t>
            </m:r>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r>
              <m:rPr>
                <m:nor/>
              </m:rPr>
              <w:rPr>
                <w:rFonts w:asciiTheme="majorBidi" w:hAnsiTheme="majorBidi" w:cstheme="majorBidi"/>
                <w:lang w:val="en-US"/>
              </w:rPr>
              <m:t>3,6</m:t>
            </m:r>
          </m:den>
        </m:f>
        <m:r>
          <m:rPr>
            <m:nor/>
          </m:rPr>
          <w:rPr>
            <w:rFonts w:asciiTheme="majorBidi" w:hAnsiTheme="majorBidi" w:cstheme="majorBidi"/>
            <w:lang w:val="en-US"/>
          </w:rPr>
          <m:t>×</m:t>
        </m:r>
        <m:d>
          <m:dPr>
            <m:ctrlPr>
              <w:rPr>
                <w:rFonts w:ascii="Cambria Math" w:hAnsi="Cambria Math" w:cstheme="majorBidi"/>
              </w:rPr>
            </m:ctrlPr>
          </m:dPr>
          <m:e>
            <m:sSub>
              <m:sSubPr>
                <m:ctrlPr>
                  <w:rPr>
                    <w:rFonts w:ascii="Cambria Math" w:hAnsi="Cambria Math" w:cstheme="majorBidi"/>
                  </w:rPr>
                </m:ctrlPr>
              </m:sSubPr>
              <m:e>
                <m:r>
                  <m:rPr>
                    <m:nor/>
                  </m:rPr>
                  <w:rPr>
                    <w:rFonts w:asciiTheme="majorBidi" w:hAnsiTheme="majorBidi" w:cstheme="majorBidi"/>
                    <w:lang w:val="en-US"/>
                  </w:rPr>
                  <m:t>t</m:t>
                </m:r>
              </m:e>
              <m:sub>
                <m:r>
                  <m:rPr>
                    <m:nor/>
                  </m:rPr>
                  <w:rPr>
                    <w:rFonts w:asciiTheme="majorBidi" w:hAnsiTheme="majorBidi" w:cstheme="majorBidi"/>
                    <w:lang w:val="en-US"/>
                  </w:rPr>
                  <m:t>i</m:t>
                </m:r>
              </m:sub>
            </m:sSub>
            <m:r>
              <w:rPr>
                <w:rFonts w:ascii="Cambria Math" w:hAnsi="Cambria Math"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t</m:t>
                </m:r>
              </m:e>
              <m:sub>
                <m:r>
                  <m:rPr>
                    <m:nor/>
                  </m:rPr>
                  <w:rPr>
                    <w:rFonts w:asciiTheme="majorBidi" w:hAnsiTheme="majorBidi" w:cstheme="majorBidi"/>
                    <w:lang w:val="en-US"/>
                  </w:rPr>
                  <m:t>i</m:t>
                </m:r>
                <m:r>
                  <m:rPr>
                    <m:nor/>
                  </m:rPr>
                  <w:rPr>
                    <w:rFonts w:ascii="Cambria Math" w:hAnsiTheme="majorBidi" w:cstheme="majorBidi"/>
                    <w:lang w:val="en-US"/>
                  </w:rPr>
                  <m:t>–</m:t>
                </m:r>
                <m:r>
                  <m:rPr>
                    <m:nor/>
                  </m:rPr>
                  <w:rPr>
                    <w:rFonts w:asciiTheme="majorBidi" w:hAnsiTheme="majorBidi" w:cstheme="majorBidi"/>
                    <w:lang w:val="en-US"/>
                  </w:rPr>
                  <m:t>1</m:t>
                </m:r>
              </m:sub>
            </m:sSub>
          </m:e>
        </m:d>
        <m:r>
          <m:rPr>
            <m:nor/>
          </m:rPr>
          <w:rPr>
            <w:rFonts w:asciiTheme="majorBidi" w:hAnsiTheme="majorBidi" w:cstheme="majorBidi"/>
            <w:lang w:val="en-US"/>
          </w:rPr>
          <m:t>)</m:t>
        </m:r>
      </m:oMath>
      <w:r w:rsidRPr="00D53F39">
        <w:rPr>
          <w:lang w:val="en-US"/>
        </w:rPr>
        <w:t>,</w:t>
      </w:r>
      <w:r w:rsidRPr="00D53F39">
        <w:rPr>
          <w:szCs w:val="24"/>
          <w:lang w:val="en-US"/>
        </w:rPr>
        <w:t xml:space="preserve"> pour i = 1 479</w:t>
      </w:r>
      <w:r w:rsidRPr="00D53F39">
        <w:rPr>
          <w:lang w:val="en-US"/>
        </w:rPr>
        <w:t>-</w:t>
      </w:r>
      <w:r w:rsidRPr="00D53F39">
        <w:rPr>
          <w:szCs w:val="24"/>
          <w:lang w:val="en-US"/>
        </w:rPr>
        <w:t>1 800</w:t>
      </w:r>
    </w:p>
    <w:p w:rsidR="00E24DB7" w:rsidRPr="002C5876" w:rsidRDefault="00E24DB7" w:rsidP="00E24DB7">
      <w:pPr>
        <w:pStyle w:val="SingleTxtG"/>
        <w:ind w:left="2268" w:hanging="1134"/>
        <w:jc w:val="left"/>
      </w:pPr>
      <w:r w:rsidRPr="002C5876">
        <w:t>9.2.2</w:t>
      </w:r>
      <w:r w:rsidRPr="002C5876">
        <w:tab/>
        <w:t>Détermination des périodes de temps à ajouter au cycle intérimaire à vitesse limitée en vue de compenser les différences de distance parcourue</w:t>
      </w:r>
    </w:p>
    <w:p w:rsidR="00E24DB7" w:rsidRPr="002C5876" w:rsidRDefault="00E24DB7" w:rsidP="00E24DB7">
      <w:pPr>
        <w:pStyle w:val="SingleTxtG"/>
        <w:ind w:left="2268"/>
      </w:pPr>
      <w:r w:rsidRPr="002C5876">
        <w:tab/>
        <w:t>Pour compenser une différence de distance parcourue</w:t>
      </w:r>
      <w:r w:rsidRPr="002C5876">
        <w:rPr>
          <w:u w:val="single"/>
        </w:rPr>
        <w:t xml:space="preserve"> </w:t>
      </w:r>
      <w:r w:rsidRPr="002C5876">
        <w:t xml:space="preserve">entre le cycle de base et le cycle intérimaire à vitesse limitée, des périodes de temps correspondantes à </w:t>
      </w:r>
      <w:r w:rsidRPr="002C5876">
        <w:lastRenderedPageBreak/>
        <w:t>v</w:t>
      </w:r>
      <w:r w:rsidRPr="002C5876">
        <w:rPr>
          <w:vertAlign w:val="subscript"/>
        </w:rPr>
        <w:t>i</w:t>
      </w:r>
      <w:r w:rsidRPr="002C5876">
        <w:t xml:space="preserve"> = v</w:t>
      </w:r>
      <w:r w:rsidRPr="002C5876">
        <w:rPr>
          <w:vertAlign w:val="subscript"/>
        </w:rPr>
        <w:t>cap</w:t>
      </w:r>
      <w:r w:rsidRPr="002C5876">
        <w:t xml:space="preserve"> doivent être ajoutées au cycle intérimaire à vitesse limitée comme décrit dans les paragraphes </w:t>
      </w:r>
      <w:r w:rsidRPr="002C5876">
        <w:rPr>
          <w:rFonts w:cs="Arial"/>
        </w:rPr>
        <w:t>9.2.2.1 à 9.2.2.3 ci-après.</w:t>
      </w:r>
    </w:p>
    <w:p w:rsidR="00E24DB7" w:rsidRPr="002C5876" w:rsidRDefault="00E24DB7" w:rsidP="00E24DB7">
      <w:pPr>
        <w:pStyle w:val="SingleTxtG"/>
        <w:ind w:left="2268" w:hanging="1134"/>
        <w:jc w:val="left"/>
      </w:pPr>
      <w:r w:rsidRPr="002C5876">
        <w:t>9.2.2.1</w:t>
      </w:r>
      <w:r w:rsidRPr="002C5876">
        <w:tab/>
        <w:t>Période de temps additionnelle pour la phase à vitesse moyenne</w:t>
      </w:r>
    </w:p>
    <w:p w:rsidR="00E24DB7" w:rsidRPr="002C5876" w:rsidRDefault="00E24DB7" w:rsidP="00E24DB7">
      <w:pPr>
        <w:pStyle w:val="SingleTxtG"/>
        <w:ind w:left="2268"/>
      </w:pPr>
      <w:r w:rsidRPr="002C5876">
        <w:tab/>
        <w:t>Si v</w:t>
      </w:r>
      <w:r w:rsidRPr="002C5876">
        <w:rPr>
          <w:vertAlign w:val="subscript"/>
        </w:rPr>
        <w:t>cap</w:t>
      </w:r>
      <w:r w:rsidRPr="002C5876">
        <w:t> &lt; v</w:t>
      </w:r>
      <w:r w:rsidRPr="002C5876">
        <w:rPr>
          <w:vertAlign w:val="subscript"/>
        </w:rPr>
        <w:t>max</w:t>
      </w:r>
      <w:r w:rsidRPr="002C5876">
        <w:t>,</w:t>
      </w:r>
      <w:r w:rsidRPr="002C5876">
        <w:rPr>
          <w:vertAlign w:val="subscript"/>
        </w:rPr>
        <w:t>medium</w:t>
      </w:r>
      <w:r w:rsidRPr="002C5876">
        <w:t>, la période de temps additionnelle à ajouter à la phase à moyenne vitesse du cycle intérimaire à vitesse limitée doit être calculée au moyen de l’équation suivante :</w:t>
      </w:r>
    </w:p>
    <w:p w:rsidR="00E24DB7" w:rsidRPr="00D53F39" w:rsidRDefault="00E24DB7" w:rsidP="00E24DB7">
      <w:pPr>
        <w:pStyle w:val="SingleTxtG"/>
        <w:spacing w:after="240"/>
        <w:ind w:left="2268"/>
        <w:jc w:val="center"/>
        <w:rPr>
          <w:rFonts w:eastAsiaTheme="minorEastAsia"/>
          <w:lang w:val="en-US"/>
        </w:rPr>
      </w:pPr>
      <w:r w:rsidRPr="002C5876">
        <w:t>Δ</w:t>
      </w:r>
      <w:r w:rsidRPr="00D53F39">
        <w:rPr>
          <w:lang w:val="en-US"/>
        </w:rPr>
        <w:t>t</w:t>
      </w:r>
      <w:r w:rsidRPr="00D53F39">
        <w:rPr>
          <w:vertAlign w:val="subscript"/>
          <w:lang w:val="en-US"/>
        </w:rPr>
        <w:t>medium</w:t>
      </w:r>
      <w:r w:rsidRPr="00D53F39">
        <w:rPr>
          <w:lang w:val="en-US"/>
        </w:rPr>
        <w:t> = </w:t>
      </w:r>
      <m:oMath>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nor/>
                      </m:rPr>
                      <w:rPr>
                        <w:lang w:val="en-US"/>
                      </w:rPr>
                      <m:t>d</m:t>
                    </m:r>
                  </m:e>
                  <m:sub>
                    <m:r>
                      <m:rPr>
                        <m:nor/>
                      </m:rPr>
                      <w:rPr>
                        <w:lang w:val="en-US"/>
                      </w:rPr>
                      <m:t>base,medium</m:t>
                    </m:r>
                  </m:sub>
                </m:sSub>
                <m:r>
                  <w:rPr>
                    <w:rFonts w:ascii="Cambria Math" w:hAnsi="Cambria Math"/>
                    <w:lang w:val="en-US"/>
                  </w:rPr>
                  <m:t xml:space="preserve"> </m:t>
                </m:r>
                <m:r>
                  <m:rPr>
                    <m:nor/>
                  </m:rPr>
                  <w:rPr>
                    <w:lang w:val="en-US"/>
                  </w:rPr>
                  <m:t>–</m:t>
                </m:r>
                <m:r>
                  <w:rPr>
                    <w:rFonts w:ascii="Cambria Math" w:hAnsi="Cambria Math"/>
                    <w:lang w:val="en-US"/>
                  </w:rPr>
                  <m:t xml:space="preserve"> </m:t>
                </m:r>
                <m:sSub>
                  <m:sSubPr>
                    <m:ctrlPr>
                      <w:rPr>
                        <w:rFonts w:ascii="Cambria Math" w:hAnsi="Cambria Math"/>
                      </w:rPr>
                    </m:ctrlPr>
                  </m:sSubPr>
                  <m:e>
                    <m:r>
                      <m:rPr>
                        <m:nor/>
                      </m:rPr>
                      <w:rPr>
                        <w:lang w:val="en-US"/>
                      </w:rPr>
                      <m:t>d</m:t>
                    </m:r>
                  </m:e>
                  <m:sub>
                    <m:r>
                      <m:rPr>
                        <m:nor/>
                      </m:rPr>
                      <w:rPr>
                        <w:lang w:val="en-US"/>
                      </w:rPr>
                      <m:t>cap,medium</m:t>
                    </m:r>
                  </m:sub>
                </m:sSub>
              </m:e>
            </m:d>
          </m:num>
          <m:den>
            <m:r>
              <m:rPr>
                <m:nor/>
              </m:rPr>
              <w:rPr>
                <w:lang w:val="en-US"/>
              </w:rPr>
              <m:t>Vcap</m:t>
            </m:r>
          </m:den>
        </m:f>
        <m:r>
          <m:rPr>
            <m:nor/>
          </m:rPr>
          <w:rPr>
            <w:lang w:val="en-US"/>
          </w:rPr>
          <m:t xml:space="preserve"> × 3,6</m:t>
        </m:r>
      </m:oMath>
    </w:p>
    <w:p w:rsidR="00E24DB7" w:rsidRPr="002C5876" w:rsidRDefault="00E24DB7" w:rsidP="00E24DB7">
      <w:pPr>
        <w:pStyle w:val="SingleTxtG"/>
        <w:ind w:left="2268"/>
      </w:pPr>
      <w:r w:rsidRPr="00D53F39">
        <w:rPr>
          <w:lang w:val="en-US"/>
        </w:rPr>
        <w:tab/>
      </w:r>
      <w:r w:rsidRPr="002C5876">
        <w:t>Le nombre de valeurs de temps n</w:t>
      </w:r>
      <w:r w:rsidRPr="002C5876">
        <w:rPr>
          <w:vertAlign w:val="subscript"/>
        </w:rPr>
        <w:t>add,medium</w:t>
      </w:r>
      <w:r w:rsidRPr="002C5876">
        <w:t xml:space="preserve"> avec v</w:t>
      </w:r>
      <w:r w:rsidRPr="002C5876">
        <w:rPr>
          <w:vertAlign w:val="subscript"/>
        </w:rPr>
        <w:t>i</w:t>
      </w:r>
      <w:r w:rsidRPr="002C5876">
        <w:t xml:space="preserve"> = v</w:t>
      </w:r>
      <w:r w:rsidRPr="002C5876">
        <w:rPr>
          <w:vertAlign w:val="subscript"/>
        </w:rPr>
        <w:t>cap</w:t>
      </w:r>
      <w:r w:rsidRPr="002C5876">
        <w:t xml:space="preserve"> à ajouter à la phase à moyenne vitesse du cycle intérimaire à vitesse limitée, Δt</w:t>
      </w:r>
      <w:r w:rsidRPr="002C5876">
        <w:rPr>
          <w:vertAlign w:val="subscript"/>
        </w:rPr>
        <w:t>medium</w:t>
      </w:r>
      <w:r w:rsidRPr="002C5876">
        <w:t>, arrondi mathématiquement au chiffre entier le plus proche (1,4 doit être arrondi à 1, et 1,5 doit être arrondi à 2).</w:t>
      </w:r>
    </w:p>
    <w:p w:rsidR="00E24DB7" w:rsidRPr="002C5876" w:rsidRDefault="00E24DB7" w:rsidP="00E24DB7">
      <w:pPr>
        <w:pStyle w:val="SingleTxtG"/>
        <w:keepNext/>
        <w:keepLines/>
        <w:ind w:left="2268" w:hanging="1134"/>
      </w:pPr>
      <w:r w:rsidRPr="002C5876">
        <w:t>9.2.2.2</w:t>
      </w:r>
      <w:r w:rsidRPr="002C5876">
        <w:tab/>
        <w:t>Période de temps additionnelle pour la phase à haute vitesse</w:t>
      </w:r>
    </w:p>
    <w:p w:rsidR="00E24DB7" w:rsidRPr="002C5876" w:rsidRDefault="00E24DB7" w:rsidP="00E24DB7">
      <w:pPr>
        <w:pStyle w:val="SingleTxtG"/>
        <w:keepNext/>
        <w:keepLines/>
        <w:ind w:left="2268"/>
      </w:pPr>
      <w:r w:rsidRPr="002C5876">
        <w:tab/>
        <w:t>Si v</w:t>
      </w:r>
      <w:r w:rsidRPr="002C5876">
        <w:rPr>
          <w:vertAlign w:val="subscript"/>
        </w:rPr>
        <w:t>cap</w:t>
      </w:r>
      <w:r w:rsidRPr="002C5876">
        <w:t xml:space="preserve"> &lt; v</w:t>
      </w:r>
      <w:r w:rsidRPr="002C5876">
        <w:rPr>
          <w:vertAlign w:val="subscript"/>
        </w:rPr>
        <w:t>max</w:t>
      </w:r>
      <w:r w:rsidRPr="002C5876">
        <w:t>,</w:t>
      </w:r>
      <w:r w:rsidRPr="002C5876">
        <w:rPr>
          <w:vertAlign w:val="subscript"/>
        </w:rPr>
        <w:t>high</w:t>
      </w:r>
      <w:r w:rsidRPr="002C5876">
        <w:t>, la période de temps additionnelle à ajouter aux phases à haute vitesse du cycle intérimaire à vitesse limitée doit être calculée au moyen de l’équation suivante :</w:t>
      </w:r>
    </w:p>
    <w:p w:rsidR="00E24DB7" w:rsidRPr="00D53F39" w:rsidRDefault="00E24DB7" w:rsidP="00E24DB7">
      <w:pPr>
        <w:pStyle w:val="SingleTxtG"/>
        <w:spacing w:after="240"/>
        <w:ind w:left="2268"/>
        <w:jc w:val="center"/>
        <w:rPr>
          <w:rFonts w:eastAsiaTheme="minorEastAsia"/>
          <w:sz w:val="21"/>
          <w:szCs w:val="21"/>
          <w:lang w:val="en-US"/>
        </w:rPr>
      </w:pPr>
      <w:r w:rsidRPr="002C5876">
        <w:rPr>
          <w:sz w:val="21"/>
          <w:szCs w:val="21"/>
        </w:rPr>
        <w:t>Δ</w:t>
      </w:r>
      <w:r w:rsidRPr="00D53F39">
        <w:rPr>
          <w:sz w:val="21"/>
          <w:szCs w:val="21"/>
          <w:lang w:val="en-US"/>
        </w:rPr>
        <w:t>t</w:t>
      </w:r>
      <w:r w:rsidRPr="00D53F39">
        <w:rPr>
          <w:sz w:val="21"/>
          <w:szCs w:val="21"/>
          <w:vertAlign w:val="subscript"/>
          <w:lang w:val="en-US"/>
        </w:rPr>
        <w:t>high</w:t>
      </w:r>
      <w:r w:rsidRPr="00D53F39">
        <w:rPr>
          <w:sz w:val="21"/>
          <w:szCs w:val="21"/>
          <w:lang w:val="en-US"/>
        </w:rPr>
        <w:t> = </w:t>
      </w:r>
      <m:oMath>
        <m:f>
          <m:fPr>
            <m:ctrlPr>
              <w:rPr>
                <w:rFonts w:ascii="Cambria Math" w:hAnsi="Cambria Math" w:cstheme="majorBidi"/>
              </w:rPr>
            </m:ctrlPr>
          </m:fPr>
          <m:num>
            <m:d>
              <m:dPr>
                <m:ctrlPr>
                  <w:rPr>
                    <w:rFonts w:ascii="Cambria Math" w:hAnsi="Cambria Math" w:cstheme="majorBidi"/>
                  </w:rPr>
                </m:ctrlPr>
              </m:dPr>
              <m:e>
                <m:sSub>
                  <m:sSubPr>
                    <m:ctrlPr>
                      <w:rPr>
                        <w:rFonts w:ascii="Cambria Math" w:hAnsi="Cambria Math" w:cstheme="majorBidi"/>
                      </w:rPr>
                    </m:ctrlPr>
                  </m:sSubPr>
                  <m:e>
                    <m:r>
                      <m:rPr>
                        <m:nor/>
                      </m:rPr>
                      <w:rPr>
                        <w:rFonts w:asciiTheme="majorBidi" w:hAnsiTheme="majorBidi" w:cstheme="majorBidi"/>
                        <w:lang w:val="en-US"/>
                      </w:rPr>
                      <m:t>d</m:t>
                    </m:r>
                  </m:e>
                  <m:sub>
                    <m:r>
                      <m:rPr>
                        <m:nor/>
                      </m:rPr>
                      <w:rPr>
                        <w:rFonts w:asciiTheme="majorBidi" w:hAnsiTheme="majorBidi" w:cstheme="majorBidi"/>
                        <w:lang w:val="en-US"/>
                      </w:rPr>
                      <m:t>base,high</m:t>
                    </m:r>
                  </m:sub>
                </m:sSub>
                <m:r>
                  <m:rPr>
                    <m:nor/>
                  </m:rPr>
                  <w:rPr>
                    <w:rFonts w:asciiTheme="majorBidi" w:hAnsiTheme="majorBidi" w:cstheme="majorBidi"/>
                    <w:lang w:val="en-US"/>
                  </w:rPr>
                  <m:t xml:space="preserve"> – </m:t>
                </m:r>
                <m:sSub>
                  <m:sSubPr>
                    <m:ctrlPr>
                      <w:rPr>
                        <w:rFonts w:ascii="Cambria Math" w:hAnsi="Cambria Math" w:cstheme="majorBidi"/>
                      </w:rPr>
                    </m:ctrlPr>
                  </m:sSubPr>
                  <m:e>
                    <m:r>
                      <m:rPr>
                        <m:nor/>
                      </m:rPr>
                      <w:rPr>
                        <w:rFonts w:asciiTheme="majorBidi" w:hAnsiTheme="majorBidi" w:cstheme="majorBidi"/>
                        <w:lang w:val="en-US"/>
                      </w:rPr>
                      <m:t>d</m:t>
                    </m:r>
                  </m:e>
                  <m:sub>
                    <m:r>
                      <m:rPr>
                        <m:nor/>
                      </m:rPr>
                      <w:rPr>
                        <w:rFonts w:asciiTheme="majorBidi" w:hAnsiTheme="majorBidi" w:cstheme="majorBidi"/>
                        <w:lang w:val="en-US"/>
                      </w:rPr>
                      <m:t>cap,high</m:t>
                    </m:r>
                  </m:sub>
                </m:sSub>
              </m:e>
            </m:d>
          </m:num>
          <m:den>
            <m:r>
              <m:rPr>
                <m:nor/>
              </m:rPr>
              <w:rPr>
                <w:rFonts w:asciiTheme="majorBidi" w:hAnsiTheme="majorBidi" w:cstheme="majorBidi"/>
                <w:lang w:val="en-US"/>
              </w:rPr>
              <m:t>Vcap</m:t>
            </m:r>
          </m:den>
        </m:f>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r>
          <m:rPr>
            <m:nor/>
          </m:rPr>
          <w:rPr>
            <w:rFonts w:asciiTheme="majorBidi" w:hAnsiTheme="majorBidi" w:cstheme="majorBidi"/>
            <w:lang w:val="en-US"/>
          </w:rPr>
          <m:t>3,6</m:t>
        </m:r>
      </m:oMath>
    </w:p>
    <w:p w:rsidR="00E24DB7" w:rsidRPr="002C5876" w:rsidRDefault="00E24DB7" w:rsidP="00E24DB7">
      <w:pPr>
        <w:pStyle w:val="SingleTxtG"/>
        <w:ind w:left="2268"/>
      </w:pPr>
      <w:r w:rsidRPr="00D53F39">
        <w:rPr>
          <w:lang w:val="en-US"/>
        </w:rPr>
        <w:tab/>
      </w:r>
      <w:r w:rsidRPr="002C5876">
        <w:t>Le nombre de valeurs de temps n</w:t>
      </w:r>
      <w:r w:rsidRPr="002C5876">
        <w:rPr>
          <w:vertAlign w:val="subscript"/>
        </w:rPr>
        <w:t>add,high</w:t>
      </w:r>
      <w:r w:rsidRPr="002C5876">
        <w:t xml:space="preserve"> avec v</w:t>
      </w:r>
      <w:r w:rsidRPr="002C5876">
        <w:rPr>
          <w:vertAlign w:val="subscript"/>
        </w:rPr>
        <w:t>i</w:t>
      </w:r>
      <w:r w:rsidRPr="002C5876">
        <w:t xml:space="preserve"> = v</w:t>
      </w:r>
      <w:r w:rsidRPr="002C5876">
        <w:rPr>
          <w:vertAlign w:val="subscript"/>
        </w:rPr>
        <w:t>cap</w:t>
      </w:r>
      <w:r w:rsidRPr="002C5876">
        <w:t xml:space="preserve"> à ajouter à la phase à haute vitesse du cycle intérimaire à vitesse limitée est égal à Δt</w:t>
      </w:r>
      <w:r w:rsidRPr="002C5876">
        <w:rPr>
          <w:vertAlign w:val="subscript"/>
        </w:rPr>
        <w:t>high</w:t>
      </w:r>
      <w:r w:rsidRPr="002C5876">
        <w:t xml:space="preserve">, mathématiquement arrondi au chiffre entier le plus proche. </w:t>
      </w:r>
    </w:p>
    <w:p w:rsidR="00E24DB7" w:rsidRPr="002C5876" w:rsidRDefault="00E24DB7" w:rsidP="00E24DB7">
      <w:pPr>
        <w:pStyle w:val="SingleTxtG"/>
        <w:keepNext/>
        <w:keepLines/>
        <w:ind w:left="2268" w:hanging="1134"/>
      </w:pPr>
      <w:r w:rsidRPr="002C5876">
        <w:t>9.2.2.3</w:t>
      </w:r>
      <w:r w:rsidRPr="002C5876">
        <w:tab/>
        <w:t>La période de temps additionnelle à ajouter à la phase à extra-haute vitesse du cycle intérimaire à vitesse limitée doit être calculée au moyen de l’équation suivante :</w:t>
      </w:r>
    </w:p>
    <w:p w:rsidR="00E24DB7" w:rsidRPr="00D53F39" w:rsidRDefault="00E24DB7" w:rsidP="00E24DB7">
      <w:pPr>
        <w:pStyle w:val="SingleTxtG"/>
        <w:keepNext/>
        <w:keepLines/>
        <w:spacing w:after="240"/>
        <w:ind w:left="2268"/>
        <w:jc w:val="center"/>
        <w:rPr>
          <w:rFonts w:asciiTheme="majorBidi" w:eastAsiaTheme="minorEastAsia" w:hAnsiTheme="majorBidi" w:cstheme="majorBidi"/>
          <w:sz w:val="21"/>
          <w:szCs w:val="21"/>
          <w:lang w:val="en-US"/>
        </w:rPr>
      </w:pPr>
      <w:r w:rsidRPr="002C5876">
        <w:rPr>
          <w:rFonts w:asciiTheme="majorBidi" w:hAnsiTheme="majorBidi" w:cstheme="majorBidi"/>
          <w:sz w:val="21"/>
          <w:szCs w:val="21"/>
        </w:rPr>
        <w:t>Δ</w:t>
      </w:r>
      <w:r w:rsidRPr="00D53F39">
        <w:rPr>
          <w:rFonts w:asciiTheme="majorBidi" w:hAnsiTheme="majorBidi" w:cstheme="majorBidi"/>
          <w:sz w:val="21"/>
          <w:szCs w:val="21"/>
          <w:lang w:val="en-US"/>
        </w:rPr>
        <w:t>t</w:t>
      </w:r>
      <w:r w:rsidRPr="00D53F39">
        <w:rPr>
          <w:rFonts w:asciiTheme="majorBidi" w:hAnsiTheme="majorBidi" w:cstheme="majorBidi"/>
          <w:sz w:val="21"/>
          <w:szCs w:val="21"/>
          <w:vertAlign w:val="subscript"/>
          <w:lang w:val="en-US"/>
        </w:rPr>
        <w:t>exhigh</w:t>
      </w:r>
      <w:r w:rsidRPr="00D53F39">
        <w:rPr>
          <w:rFonts w:asciiTheme="majorBidi" w:hAnsiTheme="majorBidi" w:cstheme="majorBidi"/>
          <w:sz w:val="21"/>
          <w:szCs w:val="21"/>
          <w:lang w:val="en-US"/>
        </w:rPr>
        <w:t> = </w:t>
      </w:r>
      <m:oMath>
        <m:f>
          <m:fPr>
            <m:ctrlPr>
              <w:rPr>
                <w:rFonts w:ascii="Cambria Math" w:hAnsi="Cambria Math" w:cstheme="majorBidi"/>
              </w:rPr>
            </m:ctrlPr>
          </m:fPr>
          <m:num>
            <m:d>
              <m:dPr>
                <m:ctrlPr>
                  <w:rPr>
                    <w:rFonts w:ascii="Cambria Math" w:hAnsi="Cambria Math" w:cstheme="majorBidi"/>
                  </w:rPr>
                </m:ctrlPr>
              </m:dPr>
              <m:e>
                <m:sSub>
                  <m:sSubPr>
                    <m:ctrlPr>
                      <w:rPr>
                        <w:rFonts w:ascii="Cambria Math" w:hAnsi="Cambria Math" w:cstheme="majorBidi"/>
                      </w:rPr>
                    </m:ctrlPr>
                  </m:sSubPr>
                  <m:e>
                    <m:r>
                      <m:rPr>
                        <m:nor/>
                      </m:rPr>
                      <w:rPr>
                        <w:rFonts w:asciiTheme="majorBidi" w:hAnsiTheme="majorBidi" w:cstheme="majorBidi"/>
                        <w:lang w:val="en-US"/>
                      </w:rPr>
                      <m:t>d</m:t>
                    </m:r>
                  </m:e>
                  <m:sub>
                    <m:r>
                      <m:rPr>
                        <m:nor/>
                      </m:rPr>
                      <w:rPr>
                        <w:rFonts w:asciiTheme="majorBidi" w:hAnsiTheme="majorBidi" w:cstheme="majorBidi"/>
                        <w:lang w:val="en-US"/>
                      </w:rPr>
                      <m:t>base,exhigh</m:t>
                    </m:r>
                  </m:sub>
                </m:sSub>
                <m:r>
                  <w:rPr>
                    <w:rFonts w:ascii="Cambria Math" w:hAnsi="Cambria Math" w:cstheme="majorBidi"/>
                    <w:lang w:val="en-US"/>
                  </w:rPr>
                  <m:t xml:space="preserve"> </m:t>
                </m:r>
                <m:r>
                  <m:rPr>
                    <m:nor/>
                  </m:rPr>
                  <w:rPr>
                    <w:rFonts w:asciiTheme="majorBidi" w:hAnsiTheme="majorBidi" w:cstheme="majorBidi"/>
                    <w:lang w:val="en-US"/>
                  </w:rPr>
                  <m:t>–</m:t>
                </m:r>
                <m:r>
                  <w:rPr>
                    <w:rFonts w:ascii="Cambria Math" w:hAnsi="Cambria Math"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d</m:t>
                    </m:r>
                  </m:e>
                  <m:sub>
                    <m:r>
                      <m:rPr>
                        <m:nor/>
                      </m:rPr>
                      <w:rPr>
                        <w:rFonts w:asciiTheme="majorBidi" w:hAnsiTheme="majorBidi" w:cstheme="majorBidi"/>
                        <w:lang w:val="en-US"/>
                      </w:rPr>
                      <m:t>cap,exhigh</m:t>
                    </m:r>
                  </m:sub>
                </m:sSub>
              </m:e>
            </m:d>
          </m:num>
          <m:den>
            <m:r>
              <m:rPr>
                <m:nor/>
              </m:rPr>
              <w:rPr>
                <w:rFonts w:asciiTheme="majorBidi" w:hAnsiTheme="majorBidi" w:cstheme="majorBidi"/>
                <w:lang w:val="en-US"/>
              </w:rPr>
              <m:t>Vcap</m:t>
            </m:r>
          </m:den>
        </m:f>
        <m:r>
          <m:rPr>
            <m:nor/>
          </m:rPr>
          <w:rPr>
            <w:rFonts w:asciiTheme="majorBidi" w:hAnsiTheme="majorBidi" w:cstheme="majorBidi"/>
            <w:lang w:val="en-US"/>
          </w:rPr>
          <m:t xml:space="preserve"> × 3,6</m:t>
        </m:r>
      </m:oMath>
    </w:p>
    <w:p w:rsidR="00E24DB7" w:rsidRPr="002C5876" w:rsidRDefault="00E24DB7" w:rsidP="00E24DB7">
      <w:pPr>
        <w:pStyle w:val="SingleTxtG"/>
        <w:ind w:left="2268"/>
      </w:pPr>
      <w:r w:rsidRPr="00D53F39">
        <w:rPr>
          <w:lang w:val="en-US"/>
        </w:rPr>
        <w:tab/>
      </w:r>
      <w:r w:rsidRPr="002C5876">
        <w:t>Le nombre de mesures de temps n</w:t>
      </w:r>
      <w:r w:rsidRPr="002C5876">
        <w:rPr>
          <w:vertAlign w:val="subscript"/>
        </w:rPr>
        <w:t>add,exhigh</w:t>
      </w:r>
      <w:r w:rsidRPr="002C5876">
        <w:t xml:space="preserve"> avec v</w:t>
      </w:r>
      <w:r w:rsidRPr="002C5876">
        <w:rPr>
          <w:vertAlign w:val="subscript"/>
        </w:rPr>
        <w:t>i</w:t>
      </w:r>
      <w:r w:rsidRPr="002C5876">
        <w:t xml:space="preserve"> = v</w:t>
      </w:r>
      <w:r w:rsidRPr="002C5876">
        <w:rPr>
          <w:vertAlign w:val="subscript"/>
        </w:rPr>
        <w:t>cap</w:t>
      </w:r>
      <w:r w:rsidRPr="002C5876">
        <w:t xml:space="preserve"> à ajouter à la phase à extra-haute vitesse du cycle intérimaire à vitesse limitée est égal à Δtex</w:t>
      </w:r>
      <w:r w:rsidRPr="002C5876">
        <w:rPr>
          <w:vertAlign w:val="subscript"/>
        </w:rPr>
        <w:t>high</w:t>
      </w:r>
      <w:r w:rsidRPr="002C5876">
        <w:t xml:space="preserve">, mathématiquement arrondi au chiffre entier le plus proche. </w:t>
      </w:r>
    </w:p>
    <w:p w:rsidR="00E24DB7" w:rsidRPr="002C5876" w:rsidRDefault="00E24DB7" w:rsidP="00E24DB7">
      <w:pPr>
        <w:pStyle w:val="SingleTxtG"/>
        <w:keepNext/>
        <w:ind w:left="2268" w:hanging="1134"/>
        <w:jc w:val="left"/>
      </w:pPr>
      <w:r w:rsidRPr="002C5876">
        <w:t>9.2.3</w:t>
      </w:r>
      <w:r w:rsidRPr="002C5876">
        <w:tab/>
        <w:t>Établissement du cycle final à vitesse limitée</w:t>
      </w:r>
    </w:p>
    <w:p w:rsidR="00E24DB7" w:rsidRPr="002C5876" w:rsidRDefault="00E24DB7" w:rsidP="00E24DB7">
      <w:pPr>
        <w:pStyle w:val="SingleTxtG"/>
        <w:keepNext/>
        <w:ind w:left="2268" w:hanging="1134"/>
        <w:jc w:val="left"/>
      </w:pPr>
      <w:r w:rsidRPr="002C5876">
        <w:t>9.2.3.1</w:t>
      </w:r>
      <w:r w:rsidRPr="002C5876">
        <w:tab/>
        <w:t>Cycle de la classe 1</w:t>
      </w:r>
    </w:p>
    <w:p w:rsidR="00E24DB7" w:rsidRPr="002C5876" w:rsidRDefault="00E24DB7" w:rsidP="00E24DB7">
      <w:pPr>
        <w:pStyle w:val="SingleTxtG"/>
        <w:ind w:left="2268"/>
      </w:pPr>
      <w:r w:rsidRPr="002C5876">
        <w:tab/>
        <w:t>La première partie du cycle final à vitesse limitée est constituée par la courbe de vitesse du véhicule du cycle intérimaire à vitesse limitée jusqu’à la dernière mesure de la phase à vitesse moyenne où v = v</w:t>
      </w:r>
      <w:r w:rsidRPr="002C5876">
        <w:rPr>
          <w:vertAlign w:val="subscript"/>
        </w:rPr>
        <w:t>cap</w:t>
      </w:r>
      <w:r w:rsidRPr="002C5876">
        <w:t>. L’instant de cette mesure est désigné comme t</w:t>
      </w:r>
      <w:r w:rsidRPr="002C5876">
        <w:rPr>
          <w:vertAlign w:val="subscript"/>
        </w:rPr>
        <w:t>medium</w:t>
      </w:r>
      <w:r w:rsidRPr="002C5876">
        <w:t>.</w:t>
      </w:r>
    </w:p>
    <w:p w:rsidR="00E24DB7" w:rsidRPr="002C5876" w:rsidRDefault="00E24DB7" w:rsidP="00E24DB7">
      <w:pPr>
        <w:pStyle w:val="SingleTxtG"/>
        <w:ind w:left="2268"/>
      </w:pPr>
      <w:r w:rsidRPr="002C5876">
        <w:tab/>
        <w:t>Les mesures n</w:t>
      </w:r>
      <w:r w:rsidRPr="002C5876">
        <w:rPr>
          <w:vertAlign w:val="subscript"/>
        </w:rPr>
        <w:t xml:space="preserve">add,medium </w:t>
      </w:r>
      <w:r w:rsidRPr="002C5876">
        <w:t>avec v</w:t>
      </w:r>
      <w:r w:rsidRPr="002C5876">
        <w:rPr>
          <w:vertAlign w:val="subscript"/>
        </w:rPr>
        <w:t>i</w:t>
      </w:r>
      <w:r w:rsidRPr="002C5876">
        <w:t xml:space="preserve"> = v</w:t>
      </w:r>
      <w:r w:rsidRPr="002C5876">
        <w:rPr>
          <w:vertAlign w:val="subscript"/>
        </w:rPr>
        <w:t>cap</w:t>
      </w:r>
      <w:r w:rsidRPr="002C5876">
        <w:t xml:space="preserve"> sont ensuite ajoutées, si bien que l’instant de la dernière mesure est (t</w:t>
      </w:r>
      <w:r w:rsidRPr="002C5876">
        <w:rPr>
          <w:vertAlign w:val="subscript"/>
        </w:rPr>
        <w:t>medium</w:t>
      </w:r>
      <w:r w:rsidRPr="002C5876">
        <w:t xml:space="preserve"> + n</w:t>
      </w:r>
      <w:r w:rsidRPr="002C5876">
        <w:rPr>
          <w:vertAlign w:val="subscript"/>
        </w:rPr>
        <w:t>add,medium</w:t>
      </w:r>
      <w:r w:rsidRPr="002C5876">
        <w:t xml:space="preserve">). </w:t>
      </w:r>
    </w:p>
    <w:p w:rsidR="00E24DB7" w:rsidRPr="002C5876" w:rsidRDefault="00E24DB7" w:rsidP="00E24DB7">
      <w:pPr>
        <w:pStyle w:val="SingleTxtG"/>
        <w:ind w:left="2268"/>
      </w:pPr>
      <w:r w:rsidRPr="002C5876">
        <w:tab/>
        <w:t>La partie restante de la phase à moyenne vitesse du cycle intérimaire à vitesse limitée, qui est identique à la partie correspondante du cycle de base, est alors ajoutée, si bien que l’instant de la dernière mesure est (1 022 + n</w:t>
      </w:r>
      <w:r w:rsidRPr="002C5876">
        <w:rPr>
          <w:vertAlign w:val="subscript"/>
        </w:rPr>
        <w:t>add,medium</w:t>
      </w:r>
      <w:r w:rsidRPr="002C5876">
        <w:t xml:space="preserve">). </w:t>
      </w:r>
    </w:p>
    <w:p w:rsidR="00E24DB7" w:rsidRPr="002C5876" w:rsidRDefault="00E24DB7" w:rsidP="00E24DB7">
      <w:pPr>
        <w:pStyle w:val="SingleTxtG"/>
        <w:keepNext/>
        <w:ind w:left="2268" w:hanging="1134"/>
        <w:jc w:val="left"/>
      </w:pPr>
      <w:r w:rsidRPr="002C5876">
        <w:t>9.2.3.2</w:t>
      </w:r>
      <w:r w:rsidRPr="002C5876">
        <w:tab/>
        <w:t>Cycles de la classe 2 et de la classe 3</w:t>
      </w:r>
    </w:p>
    <w:p w:rsidR="00E24DB7" w:rsidRPr="002C5876" w:rsidRDefault="00E24DB7" w:rsidP="00E24DB7">
      <w:pPr>
        <w:pStyle w:val="SingleTxtG"/>
        <w:keepNext/>
        <w:ind w:left="2268" w:hanging="1134"/>
        <w:jc w:val="left"/>
      </w:pPr>
      <w:r w:rsidRPr="002C5876">
        <w:t>9.2.3.2.1</w:t>
      </w:r>
      <w:r w:rsidRPr="002C5876">
        <w:tab/>
        <w:t>v</w:t>
      </w:r>
      <w:r w:rsidRPr="002C5876">
        <w:rPr>
          <w:vertAlign w:val="subscript"/>
        </w:rPr>
        <w:t>cap</w:t>
      </w:r>
      <w:r w:rsidRPr="002C5876">
        <w:t> &lt; v</w:t>
      </w:r>
      <w:r w:rsidRPr="002C5876">
        <w:rPr>
          <w:vertAlign w:val="subscript"/>
        </w:rPr>
        <w:t>max,medium</w:t>
      </w:r>
    </w:p>
    <w:p w:rsidR="00E24DB7" w:rsidRPr="002C5876" w:rsidRDefault="00E24DB7" w:rsidP="00E24DB7">
      <w:pPr>
        <w:pStyle w:val="SingleTxtG"/>
        <w:ind w:left="2268"/>
      </w:pPr>
      <w:r w:rsidRPr="002C5876">
        <w:tab/>
        <w:t>La première partie du cycle final à vitesse limitée est constituée par la courbe de vitesse du véhicule du cycle intérimaire à vitesse limitée jusqu’à la dernière mesure de la phase à vitesse moyenne où v = v</w:t>
      </w:r>
      <w:r w:rsidRPr="002C5876">
        <w:rPr>
          <w:vertAlign w:val="subscript"/>
        </w:rPr>
        <w:t>cap</w:t>
      </w:r>
      <w:r w:rsidRPr="002C5876">
        <w:t>. L’instant de cette mesure est désigné comme t</w:t>
      </w:r>
      <w:r w:rsidRPr="002C5876">
        <w:rPr>
          <w:vertAlign w:val="subscript"/>
        </w:rPr>
        <w:t>medium</w:t>
      </w:r>
      <w:r w:rsidRPr="002C5876">
        <w:t>.</w:t>
      </w:r>
    </w:p>
    <w:p w:rsidR="00E24DB7" w:rsidRPr="002C5876" w:rsidRDefault="00E24DB7" w:rsidP="00E24DB7">
      <w:pPr>
        <w:pStyle w:val="SingleTxtG"/>
        <w:ind w:left="2268"/>
      </w:pPr>
      <w:r w:rsidRPr="002C5876">
        <w:tab/>
        <w:t>Les mesures n</w:t>
      </w:r>
      <w:r w:rsidRPr="002C5876">
        <w:rPr>
          <w:vertAlign w:val="subscript"/>
        </w:rPr>
        <w:t xml:space="preserve">add,medium </w:t>
      </w:r>
      <w:r w:rsidRPr="002C5876">
        <w:t>avec v</w:t>
      </w:r>
      <w:r w:rsidRPr="002C5876">
        <w:rPr>
          <w:vertAlign w:val="subscript"/>
        </w:rPr>
        <w:t>i</w:t>
      </w:r>
      <w:r w:rsidRPr="002C5876">
        <w:t xml:space="preserve"> = v</w:t>
      </w:r>
      <w:r w:rsidRPr="002C5876">
        <w:rPr>
          <w:vertAlign w:val="subscript"/>
        </w:rPr>
        <w:t>cap</w:t>
      </w:r>
      <w:r w:rsidRPr="002C5876">
        <w:t xml:space="preserve"> doivent ensuite être ajoutées, si bien que l’instant de la dernière mesure est (t</w:t>
      </w:r>
      <w:r w:rsidRPr="002C5876">
        <w:rPr>
          <w:vertAlign w:val="subscript"/>
        </w:rPr>
        <w:t>medium</w:t>
      </w:r>
      <w:r w:rsidRPr="002C5876">
        <w:t xml:space="preserve"> + n</w:t>
      </w:r>
      <w:r w:rsidRPr="002C5876">
        <w:rPr>
          <w:vertAlign w:val="subscript"/>
        </w:rPr>
        <w:t>add,medium</w:t>
      </w:r>
      <w:r w:rsidRPr="002C5876">
        <w:t>).</w:t>
      </w:r>
    </w:p>
    <w:p w:rsidR="00E24DB7" w:rsidRPr="002C5876" w:rsidRDefault="00E24DB7" w:rsidP="00E24DB7">
      <w:pPr>
        <w:pStyle w:val="SingleTxtG"/>
        <w:keepLines/>
        <w:ind w:left="2268"/>
      </w:pPr>
      <w:r w:rsidRPr="002C5876">
        <w:lastRenderedPageBreak/>
        <w:tab/>
        <w:t>La partie restante de la phase vitesse moyenne du cycle intérimaire à vitesse limitée, qui est identique à la partie correspondante du cycle de base, doit alors être ajoutée, si bien que l’instant de la dernière mesure est (1 022 + n</w:t>
      </w:r>
      <w:r w:rsidRPr="002C5876">
        <w:rPr>
          <w:vertAlign w:val="subscript"/>
        </w:rPr>
        <w:t>add,medium</w:t>
      </w:r>
      <w:r w:rsidRPr="002C5876">
        <w:t>).</w:t>
      </w:r>
    </w:p>
    <w:p w:rsidR="00E24DB7" w:rsidRPr="002C5876" w:rsidRDefault="00E24DB7" w:rsidP="00E24DB7">
      <w:pPr>
        <w:pStyle w:val="SingleTxtG"/>
        <w:ind w:left="2268"/>
      </w:pPr>
      <w:r w:rsidRPr="002C5876">
        <w:tab/>
        <w:t>À l’étape suivante, la première partie de la phase à haute vitesse du cycle intérimaire à vitesse limitée jusqu’à la dernière mesure de la phase à haute vitesse où v = v</w:t>
      </w:r>
      <w:r w:rsidRPr="002C5876">
        <w:rPr>
          <w:vertAlign w:val="subscript"/>
        </w:rPr>
        <w:t>cap</w:t>
      </w:r>
      <w:r w:rsidRPr="002C5876">
        <w:t xml:space="preserve"> doit être ajoutée. L’instant de cette mesure dans le cycle intérimaire à vitesse limitée est désigné comme t</w:t>
      </w:r>
      <w:r w:rsidRPr="002C5876">
        <w:rPr>
          <w:vertAlign w:val="subscript"/>
        </w:rPr>
        <w:t>high</w:t>
      </w:r>
      <w:r w:rsidRPr="002C5876">
        <w:t>, si bien que l’instant de la dernière mesure dans le cycle final à vitesse limitée est (t</w:t>
      </w:r>
      <w:r w:rsidRPr="002C5876">
        <w:rPr>
          <w:vertAlign w:val="subscript"/>
        </w:rPr>
        <w:t>high</w:t>
      </w:r>
      <w:r w:rsidRPr="002C5876">
        <w:t> + n</w:t>
      </w:r>
      <w:r w:rsidRPr="002C5876">
        <w:rPr>
          <w:vertAlign w:val="subscript"/>
        </w:rPr>
        <w:t>add,medium</w:t>
      </w:r>
      <w:r w:rsidRPr="002C5876">
        <w:t>).</w:t>
      </w:r>
    </w:p>
    <w:p w:rsidR="00E24DB7" w:rsidRPr="002C5876" w:rsidRDefault="00E24DB7" w:rsidP="00E24DB7">
      <w:pPr>
        <w:pStyle w:val="SingleTxtG"/>
        <w:ind w:left="2268"/>
      </w:pPr>
      <w:r w:rsidRPr="002C5876">
        <w:tab/>
        <w:t>Les mesures n</w:t>
      </w:r>
      <w:r w:rsidRPr="002C5876">
        <w:rPr>
          <w:vertAlign w:val="subscript"/>
        </w:rPr>
        <w:t xml:space="preserve">add,high </w:t>
      </w:r>
      <w:r w:rsidRPr="002C5876">
        <w:t>avec v</w:t>
      </w:r>
      <w:r w:rsidRPr="002C5876">
        <w:rPr>
          <w:vertAlign w:val="subscript"/>
        </w:rPr>
        <w:t>i</w:t>
      </w:r>
      <w:r w:rsidRPr="002C5876">
        <w:t xml:space="preserve"> = v</w:t>
      </w:r>
      <w:r w:rsidRPr="002C5876">
        <w:rPr>
          <w:vertAlign w:val="subscript"/>
        </w:rPr>
        <w:t>cap</w:t>
      </w:r>
      <w:r w:rsidRPr="002C5876">
        <w:t xml:space="preserve"> doivent ensuite être ajoutées, si bien que l’instant de la dernière mesure est (t</w:t>
      </w:r>
      <w:r w:rsidRPr="002C5876">
        <w:rPr>
          <w:vertAlign w:val="subscript"/>
        </w:rPr>
        <w:t>high</w:t>
      </w:r>
      <w:r w:rsidRPr="002C5876">
        <w:t xml:space="preserve"> + n</w:t>
      </w:r>
      <w:r w:rsidRPr="002C5876">
        <w:rPr>
          <w:vertAlign w:val="subscript"/>
        </w:rPr>
        <w:t>add,medium</w:t>
      </w:r>
      <w:r w:rsidRPr="002C5876">
        <w:t xml:space="preserve"> + n</w:t>
      </w:r>
      <w:r w:rsidRPr="002C5876">
        <w:rPr>
          <w:vertAlign w:val="subscript"/>
        </w:rPr>
        <w:t>add,high</w:t>
      </w:r>
      <w:r w:rsidRPr="002C5876">
        <w:t>).</w:t>
      </w:r>
    </w:p>
    <w:p w:rsidR="00E24DB7" w:rsidRPr="002C5876" w:rsidRDefault="00E24DB7" w:rsidP="00E24DB7">
      <w:pPr>
        <w:pStyle w:val="SingleTxtG"/>
        <w:ind w:left="2268"/>
      </w:pPr>
      <w:r w:rsidRPr="002C5876">
        <w:tab/>
        <w:t>La partie restante de la phase à haute vitesse du cycle intérimaire à vitesse limitée, qui est identique à la partie correspondante du cycle de base, doit alors être ajoutée, si bien que l’instant de la dernière mesure est (1 477 + n</w:t>
      </w:r>
      <w:r w:rsidRPr="002C5876">
        <w:rPr>
          <w:vertAlign w:val="subscript"/>
        </w:rPr>
        <w:t>add,medium</w:t>
      </w:r>
      <w:r w:rsidRPr="002C5876">
        <w:t xml:space="preserve"> + n</w:t>
      </w:r>
      <w:r w:rsidRPr="002C5876">
        <w:rPr>
          <w:vertAlign w:val="subscript"/>
        </w:rPr>
        <w:t>add,high</w:t>
      </w:r>
      <w:r w:rsidRPr="002C5876">
        <w:t>).</w:t>
      </w:r>
    </w:p>
    <w:p w:rsidR="00E24DB7" w:rsidRPr="002C5876" w:rsidRDefault="00E24DB7" w:rsidP="00E24DB7">
      <w:pPr>
        <w:pStyle w:val="SingleTxtG"/>
        <w:ind w:left="2268"/>
      </w:pPr>
      <w:r w:rsidRPr="002C5876">
        <w:tab/>
        <w:t>À l’étape suivante, la première partie de la phase à extra-haute vitesse du cycle intérimaire à vitesse limitée jusqu’à la dernière mesure de la phase à haute vitesse où v = v</w:t>
      </w:r>
      <w:r w:rsidRPr="002C5876">
        <w:rPr>
          <w:vertAlign w:val="subscript"/>
        </w:rPr>
        <w:t>cap</w:t>
      </w:r>
      <w:r w:rsidRPr="002C5876">
        <w:t>. doit être ajoutée. L’instant de cette mesure dans le cycle intérimaire à vitesse limitée est désigné comme t</w:t>
      </w:r>
      <w:r w:rsidRPr="002C5876">
        <w:rPr>
          <w:vertAlign w:val="subscript"/>
        </w:rPr>
        <w:t>exhigh</w:t>
      </w:r>
      <w:r w:rsidRPr="002C5876">
        <w:t>, si bien que l’instant de cette mesure dans le cycle final à vitesse limitée est (t</w:t>
      </w:r>
      <w:r w:rsidRPr="002C5876">
        <w:rPr>
          <w:vertAlign w:val="subscript"/>
        </w:rPr>
        <w:t>exhigh </w:t>
      </w:r>
      <w:r w:rsidRPr="002C5876">
        <w:t>+ n</w:t>
      </w:r>
      <w:r w:rsidRPr="002C5876">
        <w:rPr>
          <w:vertAlign w:val="subscript"/>
        </w:rPr>
        <w:t>add,medium</w:t>
      </w:r>
      <w:r w:rsidRPr="002C5876">
        <w:t xml:space="preserve"> + n</w:t>
      </w:r>
      <w:r w:rsidRPr="002C5876">
        <w:rPr>
          <w:vertAlign w:val="subscript"/>
        </w:rPr>
        <w:t>add,high</w:t>
      </w:r>
      <w:r w:rsidRPr="002C5876">
        <w:t>).</w:t>
      </w:r>
    </w:p>
    <w:p w:rsidR="00E24DB7" w:rsidRPr="002C5876" w:rsidRDefault="00E24DB7" w:rsidP="00E24DB7">
      <w:pPr>
        <w:pStyle w:val="SingleTxtG"/>
        <w:ind w:left="2268"/>
      </w:pPr>
      <w:r w:rsidRPr="002C5876">
        <w:tab/>
        <w:t>Les mesures n</w:t>
      </w:r>
      <w:r w:rsidRPr="002C5876">
        <w:rPr>
          <w:vertAlign w:val="subscript"/>
        </w:rPr>
        <w:t xml:space="preserve">add,exhigh </w:t>
      </w:r>
      <w:r w:rsidRPr="002C5876">
        <w:t>avec v</w:t>
      </w:r>
      <w:r w:rsidRPr="002C5876">
        <w:rPr>
          <w:vertAlign w:val="subscript"/>
        </w:rPr>
        <w:t>i</w:t>
      </w:r>
      <w:r w:rsidRPr="002C5876">
        <w:t xml:space="preserve"> = v</w:t>
      </w:r>
      <w:r w:rsidRPr="002C5876">
        <w:rPr>
          <w:vertAlign w:val="subscript"/>
        </w:rPr>
        <w:t>cap</w:t>
      </w:r>
      <w:r w:rsidRPr="002C5876">
        <w:t xml:space="preserve"> doivent ensuite être ajoutées, si bien que l’instant de la dernière mesure est (t</w:t>
      </w:r>
      <w:r w:rsidRPr="002C5876">
        <w:rPr>
          <w:vertAlign w:val="subscript"/>
        </w:rPr>
        <w:t>exhigh</w:t>
      </w:r>
      <w:r w:rsidRPr="002C5876">
        <w:t xml:space="preserve"> + n</w:t>
      </w:r>
      <w:r w:rsidRPr="002C5876">
        <w:rPr>
          <w:vertAlign w:val="subscript"/>
        </w:rPr>
        <w:t>add,medium</w:t>
      </w:r>
      <w:r w:rsidRPr="002C5876">
        <w:t xml:space="preserve"> + n</w:t>
      </w:r>
      <w:r w:rsidRPr="002C5876">
        <w:rPr>
          <w:vertAlign w:val="subscript"/>
        </w:rPr>
        <w:t>add,high</w:t>
      </w:r>
      <w:r w:rsidRPr="002C5876">
        <w:t xml:space="preserve"> + n</w:t>
      </w:r>
      <w:r w:rsidRPr="002C5876">
        <w:rPr>
          <w:vertAlign w:val="subscript"/>
        </w:rPr>
        <w:t>add,exhigh</w:t>
      </w:r>
      <w:r w:rsidRPr="002C5876">
        <w:t>).</w:t>
      </w:r>
    </w:p>
    <w:p w:rsidR="00E24DB7" w:rsidRPr="002C5876" w:rsidRDefault="00E24DB7" w:rsidP="00E24DB7">
      <w:pPr>
        <w:pStyle w:val="SingleTxtG"/>
        <w:ind w:left="2268"/>
      </w:pPr>
      <w:r w:rsidRPr="002C5876">
        <w:tab/>
        <w:t>La partie restante de la phase à extra-haute vitesse du cycle intérimaire à vitesse limitée, qui est identique à la partie correspondante du cycle de base, doit alors être ajoutée, si bien que l’instant de la dernière mesure est (1 800 + n</w:t>
      </w:r>
      <w:r w:rsidRPr="002C5876">
        <w:rPr>
          <w:vertAlign w:val="subscript"/>
        </w:rPr>
        <w:t>add,medium</w:t>
      </w:r>
      <w:r w:rsidRPr="002C5876">
        <w:t xml:space="preserve"> + n</w:t>
      </w:r>
      <w:r w:rsidRPr="002C5876">
        <w:rPr>
          <w:vertAlign w:val="subscript"/>
        </w:rPr>
        <w:t xml:space="preserve">add,high </w:t>
      </w:r>
      <w:r w:rsidRPr="002C5876">
        <w:t>+ n</w:t>
      </w:r>
      <w:r w:rsidRPr="002C5876">
        <w:rPr>
          <w:vertAlign w:val="subscript"/>
        </w:rPr>
        <w:t>add,exhigh</w:t>
      </w:r>
      <w:r w:rsidRPr="002C5876">
        <w:t>).</w:t>
      </w:r>
    </w:p>
    <w:p w:rsidR="00E24DB7" w:rsidRPr="002C5876" w:rsidRDefault="00E24DB7" w:rsidP="00E24DB7">
      <w:pPr>
        <w:pStyle w:val="SingleTxtG"/>
        <w:ind w:left="2268"/>
      </w:pPr>
      <w:r w:rsidRPr="002C5876">
        <w:tab/>
        <w:t>La longueur du cycle final à vitesse limitée est équivalente à celle du cycle de base, sauf quant aux écarts résultant de l’arrondissement des valeurs de n</w:t>
      </w:r>
      <w:r w:rsidRPr="002C5876">
        <w:rPr>
          <w:vertAlign w:val="subscript"/>
        </w:rPr>
        <w:t>add,medium</w:t>
      </w:r>
      <w:r w:rsidRPr="002C5876">
        <w:t>, n</w:t>
      </w:r>
      <w:r w:rsidRPr="002C5876">
        <w:rPr>
          <w:vertAlign w:val="subscript"/>
        </w:rPr>
        <w:t>add,high</w:t>
      </w:r>
      <w:r w:rsidRPr="002C5876">
        <w:t xml:space="preserve"> et n</w:t>
      </w:r>
      <w:r w:rsidRPr="002C5876">
        <w:rPr>
          <w:vertAlign w:val="subscript"/>
        </w:rPr>
        <w:t>add,exhigh</w:t>
      </w:r>
      <w:r w:rsidRPr="002C5876">
        <w:t>.</w:t>
      </w:r>
    </w:p>
    <w:p w:rsidR="00E24DB7" w:rsidRPr="002C5876" w:rsidRDefault="00E24DB7" w:rsidP="00E24DB7">
      <w:pPr>
        <w:pStyle w:val="SingleTxtG"/>
        <w:keepNext/>
        <w:ind w:left="2268" w:hanging="1134"/>
        <w:jc w:val="left"/>
      </w:pPr>
      <w:r w:rsidRPr="002C5876">
        <w:t>9.2.3.2.2</w:t>
      </w:r>
      <w:r w:rsidRPr="002C5876">
        <w:tab/>
        <w:t>v</w:t>
      </w:r>
      <w:r w:rsidRPr="002C5876">
        <w:rPr>
          <w:vertAlign w:val="subscript"/>
        </w:rPr>
        <w:t>max, medium</w:t>
      </w:r>
      <w:r w:rsidR="0011437F" w:rsidRPr="002C5876">
        <w:t> </w:t>
      </w:r>
      <w:r w:rsidR="00CD641E" w:rsidRPr="002C5876">
        <w:t>≤</w:t>
      </w:r>
      <w:r w:rsidR="0011437F" w:rsidRPr="002C5876">
        <w:t> </w:t>
      </w:r>
      <w:r w:rsidRPr="002C5876">
        <w:t>v</w:t>
      </w:r>
      <w:r w:rsidRPr="002C5876">
        <w:rPr>
          <w:vertAlign w:val="subscript"/>
        </w:rPr>
        <w:t>cap</w:t>
      </w:r>
      <w:r w:rsidR="0011437F" w:rsidRPr="002C5876">
        <w:t> </w:t>
      </w:r>
      <w:r w:rsidRPr="002C5876">
        <w:t>&lt;</w:t>
      </w:r>
      <w:r w:rsidR="0011437F" w:rsidRPr="002C5876">
        <w:t> </w:t>
      </w:r>
      <w:r w:rsidRPr="002C5876">
        <w:t>v</w:t>
      </w:r>
      <w:r w:rsidRPr="002C5876">
        <w:rPr>
          <w:vertAlign w:val="subscript"/>
        </w:rPr>
        <w:t>max, high</w:t>
      </w:r>
    </w:p>
    <w:p w:rsidR="00E24DB7" w:rsidRPr="002C5876" w:rsidRDefault="00E24DB7" w:rsidP="00E24DB7">
      <w:pPr>
        <w:pStyle w:val="SingleTxtG"/>
        <w:ind w:left="2268"/>
      </w:pPr>
      <w:r w:rsidRPr="002C5876">
        <w:tab/>
        <w:t>La première partie du cycle final à vitesse limitée est constituée par la courbe de vitesse du véhicule du cycle intérimaire à vitesse limitée jusqu’à la dernière mesure de la phase à haute vitesse où v = v</w:t>
      </w:r>
      <w:r w:rsidRPr="002C5876">
        <w:rPr>
          <w:vertAlign w:val="subscript"/>
        </w:rPr>
        <w:t>cap</w:t>
      </w:r>
      <w:r w:rsidRPr="002C5876">
        <w:t>. L’instant de cette mesure est désigné comme t</w:t>
      </w:r>
      <w:r w:rsidRPr="002C5876">
        <w:rPr>
          <w:vertAlign w:val="subscript"/>
        </w:rPr>
        <w:t>high</w:t>
      </w:r>
      <w:r w:rsidRPr="002C5876">
        <w:t>.</w:t>
      </w:r>
    </w:p>
    <w:p w:rsidR="00E24DB7" w:rsidRPr="002C5876" w:rsidRDefault="00E24DB7" w:rsidP="00E24DB7">
      <w:pPr>
        <w:pStyle w:val="SingleTxtG"/>
        <w:ind w:left="2268"/>
      </w:pPr>
      <w:r w:rsidRPr="002C5876">
        <w:tab/>
        <w:t>Les mesures n</w:t>
      </w:r>
      <w:r w:rsidRPr="002C5876">
        <w:rPr>
          <w:vertAlign w:val="subscript"/>
        </w:rPr>
        <w:t xml:space="preserve">add,high </w:t>
      </w:r>
      <w:r w:rsidRPr="002C5876">
        <w:t>avec v</w:t>
      </w:r>
      <w:r w:rsidRPr="002C5876">
        <w:rPr>
          <w:vertAlign w:val="subscript"/>
        </w:rPr>
        <w:t>i</w:t>
      </w:r>
      <w:r w:rsidRPr="002C5876">
        <w:t xml:space="preserve"> = v</w:t>
      </w:r>
      <w:r w:rsidRPr="002C5876">
        <w:rPr>
          <w:vertAlign w:val="subscript"/>
        </w:rPr>
        <w:t>cap</w:t>
      </w:r>
      <w:r w:rsidRPr="002C5876">
        <w:t xml:space="preserve"> doivent ensuite être ajoutées, si bien que l’instant de la dernière mesure est (t</w:t>
      </w:r>
      <w:r w:rsidRPr="002C5876">
        <w:rPr>
          <w:vertAlign w:val="subscript"/>
        </w:rPr>
        <w:t>high</w:t>
      </w:r>
      <w:r w:rsidRPr="002C5876">
        <w:t xml:space="preserve"> + n</w:t>
      </w:r>
      <w:r w:rsidRPr="002C5876">
        <w:rPr>
          <w:vertAlign w:val="subscript"/>
        </w:rPr>
        <w:t>add,high</w:t>
      </w:r>
      <w:r w:rsidRPr="002C5876">
        <w:t xml:space="preserve">). </w:t>
      </w:r>
    </w:p>
    <w:p w:rsidR="00E24DB7" w:rsidRPr="002C5876" w:rsidRDefault="00E24DB7" w:rsidP="00E24DB7">
      <w:pPr>
        <w:pStyle w:val="SingleTxtG"/>
        <w:ind w:left="2268"/>
      </w:pPr>
      <w:r w:rsidRPr="002C5876">
        <w:tab/>
        <w:t>La partie restante de la phase à haute vitesse du cycle intérimaire à vitesse limitée, qui est identique à la partie correspondante du cycle de base, doit alors être ajoutée, si bien que l’instant de la dernière mesure est (1 477 + n</w:t>
      </w:r>
      <w:r w:rsidRPr="002C5876">
        <w:rPr>
          <w:vertAlign w:val="subscript"/>
        </w:rPr>
        <w:t>add,high</w:t>
      </w:r>
      <w:r w:rsidRPr="002C5876">
        <w:t xml:space="preserve">). </w:t>
      </w:r>
    </w:p>
    <w:p w:rsidR="00E24DB7" w:rsidRPr="002C5876" w:rsidRDefault="00E24DB7" w:rsidP="00E24DB7">
      <w:pPr>
        <w:pStyle w:val="SingleTxtG"/>
        <w:ind w:left="2268"/>
      </w:pPr>
      <w:r w:rsidRPr="002C5876">
        <w:tab/>
        <w:t>À l’étape suivante, la première partie de la phase à extra-haute vitesse du cycle intérimaire à vitesse limitée jusqu’à la dernière mesure de la phase à extra-haute vitesse où v = v</w:t>
      </w:r>
      <w:r w:rsidRPr="002C5876">
        <w:rPr>
          <w:vertAlign w:val="subscript"/>
        </w:rPr>
        <w:t>cap</w:t>
      </w:r>
      <w:r w:rsidRPr="002C5876">
        <w:t xml:space="preserve"> doit être ajoutée. L’instant de cette mesure dans le cycle intérimaire à vitesse limitée est désigné comme t</w:t>
      </w:r>
      <w:r w:rsidRPr="002C5876">
        <w:rPr>
          <w:vertAlign w:val="subscript"/>
        </w:rPr>
        <w:t>exhigh</w:t>
      </w:r>
      <w:r w:rsidRPr="002C5876">
        <w:t>, si bien que l’instant de cette mesure dans le cycle final à vitesse limitée est (t</w:t>
      </w:r>
      <w:r w:rsidRPr="002C5876">
        <w:rPr>
          <w:vertAlign w:val="subscript"/>
        </w:rPr>
        <w:t>exhigh </w:t>
      </w:r>
      <w:r w:rsidRPr="002C5876">
        <w:t>+ n</w:t>
      </w:r>
      <w:r w:rsidRPr="002C5876">
        <w:rPr>
          <w:vertAlign w:val="subscript"/>
        </w:rPr>
        <w:t>add,high</w:t>
      </w:r>
      <w:r w:rsidRPr="002C5876">
        <w:t>).</w:t>
      </w:r>
    </w:p>
    <w:p w:rsidR="00E24DB7" w:rsidRPr="002C5876" w:rsidRDefault="00E24DB7" w:rsidP="00E24DB7">
      <w:pPr>
        <w:pStyle w:val="SingleTxtG"/>
        <w:ind w:left="2268"/>
      </w:pPr>
      <w:r w:rsidRPr="002C5876">
        <w:tab/>
        <w:t>Les mesures n</w:t>
      </w:r>
      <w:r w:rsidRPr="002C5876">
        <w:rPr>
          <w:vertAlign w:val="subscript"/>
        </w:rPr>
        <w:t xml:space="preserve">add,exhigh </w:t>
      </w:r>
      <w:r w:rsidRPr="002C5876">
        <w:t>avec v</w:t>
      </w:r>
      <w:r w:rsidRPr="002C5876">
        <w:rPr>
          <w:vertAlign w:val="subscript"/>
        </w:rPr>
        <w:t>i</w:t>
      </w:r>
      <w:r w:rsidRPr="002C5876">
        <w:t xml:space="preserve"> = v</w:t>
      </w:r>
      <w:r w:rsidRPr="002C5876">
        <w:rPr>
          <w:vertAlign w:val="subscript"/>
        </w:rPr>
        <w:t>cap</w:t>
      </w:r>
      <w:r w:rsidRPr="002C5876">
        <w:t xml:space="preserve"> doivent ensuite être ajoutées, si bien que l’instant de la dernière mesure est (t</w:t>
      </w:r>
      <w:r w:rsidRPr="002C5876">
        <w:rPr>
          <w:vertAlign w:val="subscript"/>
        </w:rPr>
        <w:t>exhigh</w:t>
      </w:r>
      <w:r w:rsidRPr="002C5876">
        <w:t xml:space="preserve"> + n</w:t>
      </w:r>
      <w:r w:rsidRPr="002C5876">
        <w:rPr>
          <w:vertAlign w:val="subscript"/>
        </w:rPr>
        <w:t>add,high</w:t>
      </w:r>
      <w:r w:rsidRPr="002C5876">
        <w:t xml:space="preserve"> + n</w:t>
      </w:r>
      <w:r w:rsidRPr="002C5876">
        <w:rPr>
          <w:vertAlign w:val="subscript"/>
        </w:rPr>
        <w:t>add,exhigh</w:t>
      </w:r>
      <w:r w:rsidRPr="002C5876">
        <w:t>).</w:t>
      </w:r>
    </w:p>
    <w:p w:rsidR="00E24DB7" w:rsidRPr="002C5876" w:rsidRDefault="00E24DB7" w:rsidP="00E24DB7">
      <w:pPr>
        <w:pStyle w:val="SingleTxtG"/>
        <w:ind w:left="2268"/>
      </w:pPr>
      <w:r w:rsidRPr="002C5876">
        <w:tab/>
        <w:t>La partie restante de la phase à extra-haute vitesse du cycle intérimaire à vitesse limitée, qui est identique à la partie correspondante du cycle de base, doit alors être ajoutée, si bien que l’instant de la dernière mesure est (1 800 + n</w:t>
      </w:r>
      <w:r w:rsidRPr="002C5876">
        <w:rPr>
          <w:vertAlign w:val="subscript"/>
        </w:rPr>
        <w:t xml:space="preserve">add,high </w:t>
      </w:r>
      <w:r w:rsidRPr="002C5876">
        <w:t>+ n</w:t>
      </w:r>
      <w:r w:rsidRPr="002C5876">
        <w:rPr>
          <w:vertAlign w:val="subscript"/>
        </w:rPr>
        <w:t>add,exhigh</w:t>
      </w:r>
      <w:r w:rsidRPr="002C5876">
        <w:t>).</w:t>
      </w:r>
    </w:p>
    <w:p w:rsidR="00E24DB7" w:rsidRPr="002C5876" w:rsidRDefault="00E24DB7" w:rsidP="00E24DB7">
      <w:pPr>
        <w:pStyle w:val="SingleTxtG"/>
        <w:ind w:left="2268"/>
      </w:pPr>
      <w:r w:rsidRPr="002C5876">
        <w:lastRenderedPageBreak/>
        <w:tab/>
        <w:t>La longueur du cycle final à vitesse limitée est équivalente à celle du cycle de base, sauf quant aux écarts résultant de l’arrondissement des valeurs de n</w:t>
      </w:r>
      <w:r w:rsidRPr="002C5876">
        <w:rPr>
          <w:vertAlign w:val="subscript"/>
        </w:rPr>
        <w:t>add,high</w:t>
      </w:r>
      <w:r w:rsidRPr="002C5876">
        <w:t xml:space="preserve"> et n</w:t>
      </w:r>
      <w:r w:rsidRPr="002C5876">
        <w:rPr>
          <w:vertAlign w:val="subscript"/>
        </w:rPr>
        <w:t>add,exhigh</w:t>
      </w:r>
      <w:r w:rsidRPr="002C5876">
        <w:t>.</w:t>
      </w:r>
    </w:p>
    <w:p w:rsidR="00E24DB7" w:rsidRPr="002C5876" w:rsidRDefault="00E24DB7" w:rsidP="00E24DB7">
      <w:pPr>
        <w:pStyle w:val="SingleTxtG"/>
        <w:keepNext/>
        <w:ind w:left="2268" w:hanging="1134"/>
        <w:jc w:val="left"/>
        <w:rPr>
          <w:vertAlign w:val="subscript"/>
        </w:rPr>
      </w:pPr>
      <w:r w:rsidRPr="002C5876">
        <w:t>9.2.3.2.3</w:t>
      </w:r>
      <w:r w:rsidRPr="002C5876">
        <w:tab/>
        <w:t>v</w:t>
      </w:r>
      <w:r w:rsidRPr="002C5876">
        <w:rPr>
          <w:vertAlign w:val="subscript"/>
        </w:rPr>
        <w:t>max, high</w:t>
      </w:r>
      <w:r w:rsidRPr="002C5876">
        <w:t xml:space="preserve"> ≤</w:t>
      </w:r>
      <w:r w:rsidR="0011437F" w:rsidRPr="002C5876">
        <w:t> </w:t>
      </w:r>
      <w:r w:rsidRPr="002C5876">
        <w:t>v</w:t>
      </w:r>
      <w:r w:rsidRPr="002C5876">
        <w:rPr>
          <w:vertAlign w:val="subscript"/>
        </w:rPr>
        <w:t>cap</w:t>
      </w:r>
      <w:r w:rsidRPr="002C5876">
        <w:t xml:space="preserve"> &lt;</w:t>
      </w:r>
      <w:r w:rsidR="0011437F" w:rsidRPr="002C5876">
        <w:t> </w:t>
      </w:r>
      <w:r w:rsidRPr="002C5876">
        <w:t>v</w:t>
      </w:r>
      <w:r w:rsidRPr="002C5876">
        <w:rPr>
          <w:vertAlign w:val="subscript"/>
        </w:rPr>
        <w:t>max, exhigh</w:t>
      </w:r>
    </w:p>
    <w:p w:rsidR="00E24DB7" w:rsidRPr="002C5876" w:rsidRDefault="00E24DB7" w:rsidP="00E24DB7">
      <w:pPr>
        <w:pStyle w:val="SingleTxtG"/>
        <w:ind w:left="2268"/>
      </w:pPr>
      <w:r w:rsidRPr="002C5876">
        <w:tab/>
        <w:t>La première partie du cycle final à vitesse limitée est constituée par la courbe de vitesse du véhicule du cycle intérimaire à vitesse limitée jusqu’à la dernière mesure de la phase à extra-haute vitesse où v = v</w:t>
      </w:r>
      <w:r w:rsidRPr="002C5876">
        <w:rPr>
          <w:vertAlign w:val="subscript"/>
        </w:rPr>
        <w:t>cap</w:t>
      </w:r>
      <w:r w:rsidRPr="002C5876">
        <w:t>. L’instant de cette mesure est désigné comme t</w:t>
      </w:r>
      <w:r w:rsidRPr="002C5876">
        <w:rPr>
          <w:vertAlign w:val="subscript"/>
        </w:rPr>
        <w:t>exhigh</w:t>
      </w:r>
      <w:r w:rsidRPr="002C5876">
        <w:t>.</w:t>
      </w:r>
    </w:p>
    <w:p w:rsidR="00E24DB7" w:rsidRPr="002C5876" w:rsidRDefault="00E24DB7" w:rsidP="00E24DB7">
      <w:pPr>
        <w:pStyle w:val="SingleTxtG"/>
        <w:ind w:left="2268"/>
      </w:pPr>
      <w:r w:rsidRPr="002C5876">
        <w:tab/>
        <w:t>Les mesures n</w:t>
      </w:r>
      <w:r w:rsidRPr="002C5876">
        <w:rPr>
          <w:vertAlign w:val="subscript"/>
        </w:rPr>
        <w:t xml:space="preserve">add,exhigh </w:t>
      </w:r>
      <w:r w:rsidRPr="002C5876">
        <w:t>avec v</w:t>
      </w:r>
      <w:r w:rsidRPr="002C5876">
        <w:rPr>
          <w:vertAlign w:val="subscript"/>
        </w:rPr>
        <w:t>i</w:t>
      </w:r>
      <w:r w:rsidRPr="002C5876">
        <w:t xml:space="preserve"> = v</w:t>
      </w:r>
      <w:r w:rsidRPr="002C5876">
        <w:rPr>
          <w:vertAlign w:val="subscript"/>
        </w:rPr>
        <w:t>cap</w:t>
      </w:r>
      <w:r w:rsidRPr="002C5876">
        <w:t xml:space="preserve"> doivent ensuite être ajoutées, si bien que l’instant de la dernière mesure est (t</w:t>
      </w:r>
      <w:r w:rsidRPr="002C5876">
        <w:rPr>
          <w:vertAlign w:val="subscript"/>
        </w:rPr>
        <w:t>exhigh</w:t>
      </w:r>
      <w:r w:rsidRPr="002C5876">
        <w:t xml:space="preserve"> + n</w:t>
      </w:r>
      <w:r w:rsidRPr="002C5876">
        <w:rPr>
          <w:vertAlign w:val="subscript"/>
        </w:rPr>
        <w:t>add,exhigh</w:t>
      </w:r>
      <w:r w:rsidRPr="002C5876">
        <w:t>).</w:t>
      </w:r>
    </w:p>
    <w:p w:rsidR="00E24DB7" w:rsidRPr="002C5876" w:rsidRDefault="00E24DB7" w:rsidP="00E24DB7">
      <w:pPr>
        <w:pStyle w:val="SingleTxtG"/>
        <w:ind w:left="2268"/>
      </w:pPr>
      <w:r w:rsidRPr="002C5876">
        <w:tab/>
        <w:t>La partie restante de la phase à extra-haute vitesse du cycle intérimaire à vitesse limitée, qui est identique à la partie correspondante du cycle de base, doit alors être ajoutée, si bien que l’instant de la dernière mesure est (1 800 + n</w:t>
      </w:r>
      <w:r w:rsidRPr="002C5876">
        <w:rPr>
          <w:vertAlign w:val="subscript"/>
        </w:rPr>
        <w:t>add,exhigh</w:t>
      </w:r>
      <w:r w:rsidRPr="002C5876">
        <w:t>).</w:t>
      </w:r>
    </w:p>
    <w:p w:rsidR="00E24DB7" w:rsidRPr="002C5876" w:rsidRDefault="00E24DB7" w:rsidP="00E24DB7">
      <w:pPr>
        <w:pStyle w:val="SingleTxtG"/>
        <w:ind w:left="2268"/>
      </w:pPr>
      <w:r w:rsidRPr="002C5876">
        <w:tab/>
        <w:t>La longueur du cycle final à vitesse limitée est équivalente à celle du cycle de base, sauf quant aux écarts résultant de l’arrondissement des valeurs de n</w:t>
      </w:r>
      <w:r w:rsidRPr="002C5876">
        <w:rPr>
          <w:vertAlign w:val="subscript"/>
        </w:rPr>
        <w:t>add,exhigh</w:t>
      </w:r>
      <w:r w:rsidRPr="002C5876">
        <w:t>.</w:t>
      </w:r>
    </w:p>
    <w:p w:rsidR="00E24DB7" w:rsidRPr="002C5876" w:rsidRDefault="00E24DB7" w:rsidP="00E24DB7">
      <w:pPr>
        <w:pStyle w:val="SingleTxtG"/>
        <w:tabs>
          <w:tab w:val="left" w:pos="2268"/>
        </w:tabs>
        <w:ind w:left="2259" w:hanging="1125"/>
        <w:rPr>
          <w:rFonts w:cs="Arial"/>
          <w:szCs w:val="24"/>
        </w:rPr>
      </w:pPr>
      <w:r w:rsidRPr="002C5876">
        <w:rPr>
          <w:szCs w:val="24"/>
        </w:rPr>
        <w:t>10.</w:t>
      </w:r>
      <w:r w:rsidRPr="002C5876">
        <w:rPr>
          <w:szCs w:val="24"/>
        </w:rPr>
        <w:tab/>
        <w:t>Détermination des cycles en fonction des véhicules</w:t>
      </w:r>
    </w:p>
    <w:p w:rsidR="00E24DB7" w:rsidRPr="002C5876" w:rsidRDefault="00E24DB7" w:rsidP="00E24DB7">
      <w:pPr>
        <w:pStyle w:val="SingleTxtG"/>
        <w:keepNext/>
        <w:keepLines/>
        <w:ind w:left="2268" w:hanging="1134"/>
        <w:rPr>
          <w:bCs/>
          <w:szCs w:val="24"/>
        </w:rPr>
      </w:pPr>
      <w:r w:rsidRPr="002C5876">
        <w:rPr>
          <w:szCs w:val="24"/>
        </w:rPr>
        <w:t>10.1</w:t>
      </w:r>
      <w:r w:rsidRPr="002C5876">
        <w:rPr>
          <w:szCs w:val="24"/>
        </w:rPr>
        <w:tab/>
      </w:r>
      <w:r w:rsidRPr="002C5876">
        <w:rPr>
          <w:bCs/>
          <w:szCs w:val="24"/>
        </w:rPr>
        <w:t>Un véhicule d’une classe donnée doit être soumis au cycle d’essai applicable aux véhicules de cette classe (classe 1, classe 2, classe 3a ou classe 3b, selon le cas).</w:t>
      </w:r>
      <w:r w:rsidRPr="002C5876">
        <w:rPr>
          <w:szCs w:val="24"/>
        </w:rPr>
        <w:t xml:space="preserve"> </w:t>
      </w:r>
      <w:r w:rsidRPr="002C5876">
        <w:rPr>
          <w:bCs/>
          <w:szCs w:val="24"/>
        </w:rPr>
        <w:t>Il est toutefois possible, à la demande du constructeur et avec l’accord de l’autorité compétente, de soumettre un véhicule au cycle d’essai d’une classe supérieure : un véhicule de la classe 2 peut par exemple être soumis au cycle d’essai applicable aux véhicules de la classe 3.</w:t>
      </w:r>
      <w:r w:rsidRPr="002C5876">
        <w:rPr>
          <w:szCs w:val="24"/>
        </w:rPr>
        <w:t xml:space="preserve"> </w:t>
      </w:r>
      <w:r w:rsidRPr="002C5876">
        <w:rPr>
          <w:bCs/>
          <w:szCs w:val="24"/>
        </w:rPr>
        <w:t>Dans ce cas précis, les différences entre les classes 3a et 3b doivent être respectées et le cycle peut être modifié par réajustement de la vitesse conformément aux paragraphes 8 à 8.4 de la présente annexe.</w:t>
      </w:r>
    </w:p>
    <w:p w:rsidR="0011437F" w:rsidRPr="002C5876" w:rsidRDefault="0011437F" w:rsidP="00E24DB7">
      <w:pPr>
        <w:pStyle w:val="HChG"/>
        <w:sectPr w:rsidR="0011437F" w:rsidRPr="002C5876" w:rsidSect="006F5C8A">
          <w:headerReference w:type="even" r:id="rId35"/>
          <w:headerReference w:type="default" r:id="rId36"/>
          <w:endnotePr>
            <w:numFmt w:val="decimal"/>
          </w:endnotePr>
          <w:pgSz w:w="11907" w:h="16840" w:code="9"/>
          <w:pgMar w:top="1418" w:right="1134" w:bottom="1134" w:left="1134" w:header="680" w:footer="567" w:gutter="0"/>
          <w:cols w:space="720"/>
          <w:docGrid w:linePitch="272"/>
        </w:sectPr>
      </w:pPr>
    </w:p>
    <w:p w:rsidR="00E24DB7" w:rsidRPr="002C5876" w:rsidRDefault="00E24DB7" w:rsidP="00E24DB7">
      <w:pPr>
        <w:pStyle w:val="HChG"/>
      </w:pPr>
      <w:r w:rsidRPr="002C5876">
        <w:lastRenderedPageBreak/>
        <w:t>Annexe 2</w:t>
      </w:r>
    </w:p>
    <w:p w:rsidR="00E24DB7" w:rsidRPr="002C5876" w:rsidRDefault="00E24DB7" w:rsidP="00E24DB7">
      <w:pPr>
        <w:pStyle w:val="HChG"/>
      </w:pPr>
      <w:r w:rsidRPr="002C5876">
        <w:tab/>
      </w:r>
      <w:r w:rsidRPr="002C5876">
        <w:tab/>
        <w:t xml:space="preserve">Sélection des rapports et détermination du point de changement de rapports pour les véhicules </w:t>
      </w:r>
      <w:r w:rsidRPr="002C5876">
        <w:br/>
        <w:t>équipés d’une transmission manuelle</w:t>
      </w:r>
    </w:p>
    <w:p w:rsidR="00E24DB7" w:rsidRPr="002C5876" w:rsidRDefault="00E24DB7" w:rsidP="00E24DB7">
      <w:pPr>
        <w:pStyle w:val="SingleTxtG"/>
        <w:keepNext/>
        <w:ind w:left="2268" w:hanging="1134"/>
        <w:jc w:val="left"/>
      </w:pPr>
      <w:r w:rsidRPr="002C5876">
        <w:t>1.</w:t>
      </w:r>
      <w:r w:rsidRPr="002C5876">
        <w:tab/>
      </w:r>
      <w:r w:rsidRPr="002C5876">
        <w:tab/>
        <w:t>Remarques générales</w:t>
      </w:r>
    </w:p>
    <w:p w:rsidR="00E24DB7" w:rsidRPr="002C5876" w:rsidRDefault="00E24DB7" w:rsidP="00E24DB7">
      <w:pPr>
        <w:pStyle w:val="SingleTxtG"/>
        <w:ind w:left="2268" w:hanging="1134"/>
      </w:pPr>
      <w:r w:rsidRPr="002C5876">
        <w:t>1.1</w:t>
      </w:r>
      <w:r w:rsidRPr="002C5876">
        <w:tab/>
      </w:r>
      <w:r w:rsidRPr="002C5876">
        <w:tab/>
        <w:t xml:space="preserve">Les procédures de changement de rapports décrites dans la présente annexe s’appliquent aux véhicules équipés d’une transmission manuelle. </w:t>
      </w:r>
    </w:p>
    <w:p w:rsidR="00E24DB7" w:rsidRPr="002C5876" w:rsidRDefault="00E24DB7" w:rsidP="00E24DB7">
      <w:pPr>
        <w:pStyle w:val="SingleTxtG"/>
        <w:ind w:left="2268" w:hanging="1134"/>
      </w:pPr>
      <w:r w:rsidRPr="002C5876">
        <w:t>1.2</w:t>
      </w:r>
      <w:r w:rsidRPr="002C5876">
        <w:tab/>
      </w:r>
      <w:r w:rsidRPr="002C5876">
        <w:tab/>
        <w:t>Les rapports prescrits et les points de changement de rapports prescrits sont fondés sur l’équilibre entre la puissance nécessaire pour surmonter la résistance à l’avancement et obtenir une accélération, et la puissance fournie par le moteur sur tous les rapports possibles durant une phase donnée du cycle.</w:t>
      </w:r>
    </w:p>
    <w:p w:rsidR="00E24DB7" w:rsidRPr="002C5876" w:rsidRDefault="00E24DB7" w:rsidP="00E24DB7">
      <w:pPr>
        <w:pStyle w:val="SingleTxtG"/>
        <w:ind w:left="2268" w:hanging="1134"/>
      </w:pPr>
      <w:r w:rsidRPr="002C5876">
        <w:t>1.3</w:t>
      </w:r>
      <w:r w:rsidRPr="002C5876">
        <w:tab/>
        <w:t>Le calcul visant à déterminer les rapports à utiliser doit s’effectuer sur la base de régimes moteur et de courbes de puissance à pleine charge par comparaison avec le régime moteur.</w:t>
      </w:r>
    </w:p>
    <w:p w:rsidR="00E24DB7" w:rsidRPr="002C5876" w:rsidRDefault="00E24DB7" w:rsidP="00E24DB7">
      <w:pPr>
        <w:pStyle w:val="SingleTxtG"/>
        <w:ind w:left="2268" w:hanging="1134"/>
      </w:pPr>
      <w:r w:rsidRPr="002C5876">
        <w:t>1.4</w:t>
      </w:r>
      <w:r w:rsidRPr="002C5876">
        <w:tab/>
        <w:t>Pour les véhicules équipés d’une transmission à deux gammes (basse et haute), seule la gamme prévue pour le fonctionnement normal sur route doit être prise en compte pour la détermination des rapports à utiliser.</w:t>
      </w:r>
    </w:p>
    <w:p w:rsidR="00E24DB7" w:rsidRPr="002C5876" w:rsidRDefault="00E24DB7" w:rsidP="00E24DB7">
      <w:pPr>
        <w:pStyle w:val="SingleTxtG"/>
        <w:ind w:left="2268" w:hanging="1134"/>
      </w:pPr>
      <w:r w:rsidRPr="002C5876">
        <w:t>1.5</w:t>
      </w:r>
      <w:r w:rsidRPr="002C5876">
        <w:tab/>
        <w:t>Les prescriptions relatives à l’utilisation de l’embrayage ne s’appliquent pas si l’embrayage est commandé automatiquement sans que le conducteur ait à embrayer et débrayer.</w:t>
      </w:r>
    </w:p>
    <w:p w:rsidR="00E24DB7" w:rsidRPr="002C5876" w:rsidRDefault="00E24DB7" w:rsidP="00E24DB7">
      <w:pPr>
        <w:pStyle w:val="SingleTxtG"/>
        <w:ind w:left="2268" w:hanging="1134"/>
      </w:pPr>
      <w:r w:rsidRPr="002C5876">
        <w:t>1.6</w:t>
      </w:r>
      <w:r w:rsidRPr="002C5876">
        <w:tab/>
      </w:r>
      <w:r w:rsidRPr="002C5876">
        <w:tab/>
        <w:t>La présente annexe ne s’applique pas aux véhicules soumis à des essais conformément à l’annexe 8.</w:t>
      </w:r>
    </w:p>
    <w:p w:rsidR="00E24DB7" w:rsidRPr="002C5876" w:rsidRDefault="00E24DB7" w:rsidP="00E24DB7">
      <w:pPr>
        <w:pStyle w:val="SingleTxtG"/>
        <w:keepNext/>
        <w:ind w:left="2268" w:hanging="1134"/>
        <w:jc w:val="left"/>
      </w:pPr>
      <w:r w:rsidRPr="002C5876">
        <w:t>2.</w:t>
      </w:r>
      <w:r w:rsidRPr="002C5876">
        <w:tab/>
        <w:t>Données requises et calculs préliminaires</w:t>
      </w:r>
    </w:p>
    <w:p w:rsidR="00E24DB7" w:rsidRPr="002C5876" w:rsidRDefault="00E24DB7" w:rsidP="00E24DB7">
      <w:pPr>
        <w:pStyle w:val="SingleTxtG"/>
        <w:keepNext/>
        <w:ind w:left="2268"/>
      </w:pPr>
      <w:r w:rsidRPr="002C5876">
        <w:t>Les données ci-après et les calculs suivants sont nécessaires pour la détermination des rapports à utiliser lors de l’exécution du cycle d’essai sur un banc à rouleaux :</w:t>
      </w:r>
    </w:p>
    <w:p w:rsidR="00E24DB7" w:rsidRPr="002C5876" w:rsidRDefault="00E24DB7" w:rsidP="00E24DB7">
      <w:pPr>
        <w:pStyle w:val="SingleTxtG"/>
        <w:ind w:left="2835" w:hanging="567"/>
      </w:pPr>
      <w:r w:rsidRPr="002C5876">
        <w:t>a)</w:t>
      </w:r>
      <w:r w:rsidRPr="002C5876">
        <w:tab/>
        <w:t>P</w:t>
      </w:r>
      <w:r w:rsidRPr="002C5876">
        <w:rPr>
          <w:vertAlign w:val="subscript"/>
        </w:rPr>
        <w:t>rated</w:t>
      </w:r>
      <w:r w:rsidRPr="002C5876">
        <w:t>,</w:t>
      </w:r>
      <w:r w:rsidRPr="002C5876">
        <w:rPr>
          <w:vertAlign w:val="subscript"/>
        </w:rPr>
        <w:t xml:space="preserve"> </w:t>
      </w:r>
      <w:r w:rsidRPr="002C5876">
        <w:t>la puissance maximale du moteur annoncée par le constructeur, kW ;</w:t>
      </w:r>
    </w:p>
    <w:p w:rsidR="00E24DB7" w:rsidRPr="002C5876" w:rsidRDefault="00E24DB7" w:rsidP="00E24DB7">
      <w:pPr>
        <w:pStyle w:val="SingleTxtG"/>
        <w:ind w:left="2835" w:hanging="567"/>
      </w:pPr>
      <w:r w:rsidRPr="002C5876">
        <w:t>b)</w:t>
      </w:r>
      <w:r w:rsidRPr="002C5876">
        <w:tab/>
        <w:t>n</w:t>
      </w:r>
      <w:r w:rsidRPr="002C5876">
        <w:rPr>
          <w:vertAlign w:val="subscript"/>
        </w:rPr>
        <w:t>rated</w:t>
      </w:r>
      <w:r w:rsidRPr="002C5876">
        <w:t>, le régime nominal du moteur annoncé par le constructeur, auquel le moteur développe sa puissance maximale, min</w:t>
      </w:r>
      <w:r w:rsidRPr="002C5876">
        <w:rPr>
          <w:vertAlign w:val="superscript"/>
        </w:rPr>
        <w:t>-1</w:t>
      </w:r>
      <w:r w:rsidRPr="002C5876">
        <w:t> ;</w:t>
      </w:r>
    </w:p>
    <w:p w:rsidR="00E24DB7" w:rsidRPr="002C5876" w:rsidRDefault="00E24DB7" w:rsidP="00CE537D">
      <w:pPr>
        <w:pStyle w:val="SingleTxtG"/>
        <w:keepNext/>
        <w:keepLines/>
        <w:ind w:left="2835" w:hanging="567"/>
      </w:pPr>
      <w:r w:rsidRPr="002C5876">
        <w:t>c)</w:t>
      </w:r>
      <w:r w:rsidRPr="002C5876">
        <w:tab/>
        <w:t>n</w:t>
      </w:r>
      <w:r w:rsidRPr="002C5876">
        <w:rPr>
          <w:vertAlign w:val="subscript"/>
        </w:rPr>
        <w:t>idle</w:t>
      </w:r>
      <w:r w:rsidRPr="002C5876">
        <w:t>, le régime du ralenti, min</w:t>
      </w:r>
      <w:r w:rsidRPr="002C5876">
        <w:rPr>
          <w:vertAlign w:val="superscript"/>
        </w:rPr>
        <w:t>-1</w:t>
      </w:r>
      <w:r w:rsidRPr="002C5876">
        <w:t> :</w:t>
      </w:r>
    </w:p>
    <w:p w:rsidR="00E24DB7" w:rsidRPr="002C5876" w:rsidRDefault="00E24DB7" w:rsidP="00E24DB7">
      <w:pPr>
        <w:pStyle w:val="SingleTxtG"/>
        <w:ind w:left="2835"/>
      </w:pPr>
      <w:r w:rsidRPr="002C5876">
        <w:tab/>
        <w:t>n</w:t>
      </w:r>
      <w:r w:rsidRPr="002C5876">
        <w:rPr>
          <w:vertAlign w:val="subscript"/>
        </w:rPr>
        <w:t>idle</w:t>
      </w:r>
      <w:r w:rsidRPr="002C5876">
        <w:t xml:space="preserve"> doit être mesuré sur une durée d’au moins 1 min à une fréquence d’acquisition de 1 Hz, le moteur tournant au ralenti à chaud, le levier de vitesse étant en position point mort, et l’embrayage étant embrayé. Les conditions en ce qui concerne la température, les dispositifs périphériques et auxiliaires, etc., doivent être celles prescrites dans l’annexe 6 relative à l’essai du type 1 ;</w:t>
      </w:r>
    </w:p>
    <w:p w:rsidR="00E24DB7" w:rsidRPr="002C5876" w:rsidRDefault="00E24DB7" w:rsidP="00E24DB7">
      <w:pPr>
        <w:pStyle w:val="SingleTxtG"/>
        <w:ind w:left="2835"/>
      </w:pPr>
      <w:r w:rsidRPr="002C5876">
        <w:tab/>
        <w:t>La valeur à appliquer dans la présente annexe doit être la valeur moyenne arithmétique sur la durée de mesure, arrondie ou tronquée à la plus proche fraction de 10 min</w:t>
      </w:r>
      <w:r w:rsidRPr="002C5876">
        <w:rPr>
          <w:vertAlign w:val="superscript"/>
        </w:rPr>
        <w:t>-1</w:t>
      </w:r>
      <w:r w:rsidRPr="002C5876">
        <w:t> ;</w:t>
      </w:r>
    </w:p>
    <w:p w:rsidR="00E24DB7" w:rsidRPr="002C5876" w:rsidRDefault="00E24DB7" w:rsidP="00CE537D">
      <w:pPr>
        <w:pStyle w:val="SingleTxtG"/>
        <w:keepNext/>
        <w:keepLines/>
        <w:ind w:left="2268"/>
      </w:pPr>
      <w:r w:rsidRPr="002C5876">
        <w:t>d)</w:t>
      </w:r>
      <w:r w:rsidRPr="002C5876">
        <w:tab/>
        <w:t>n</w:t>
      </w:r>
      <w:r w:rsidRPr="002C5876">
        <w:rPr>
          <w:vertAlign w:val="subscript"/>
        </w:rPr>
        <w:t>g</w:t>
      </w:r>
      <w:r w:rsidRPr="002C5876">
        <w:t>, le nombre de rapports en marche avant :</w:t>
      </w:r>
    </w:p>
    <w:p w:rsidR="00E24DB7" w:rsidRPr="002C5876" w:rsidRDefault="00E24DB7" w:rsidP="00E24DB7">
      <w:pPr>
        <w:pStyle w:val="SingleTxtG"/>
        <w:ind w:left="2835"/>
      </w:pPr>
      <w:r w:rsidRPr="002C5876">
        <w:tab/>
        <w:t>Les rapports de marche avant de la gamme prévue pour le fonctionnement normal sur route doivent être numérotés par ordre décroissant du rapport entre le régime moteur en min</w:t>
      </w:r>
      <w:r w:rsidRPr="002C5876">
        <w:rPr>
          <w:vertAlign w:val="superscript"/>
        </w:rPr>
        <w:t>-1</w:t>
      </w:r>
      <w:r w:rsidRPr="002C5876">
        <w:t xml:space="preserve"> et la vitesse du véhicule en km/h. Le rapport 1 est celui correspondant au rapport le plus élevé, le rapport ng étant celui correspondant au rapport le plus bas. ng déterminant le nombre de rapports de marche avant ;</w:t>
      </w:r>
    </w:p>
    <w:p w:rsidR="00E24DB7" w:rsidRPr="002C5876" w:rsidRDefault="00E24DB7" w:rsidP="00E24DB7">
      <w:pPr>
        <w:pStyle w:val="SingleTxtG"/>
        <w:ind w:left="2835" w:hanging="567"/>
      </w:pPr>
      <w:r w:rsidRPr="002C5876">
        <w:lastRenderedPageBreak/>
        <w:t>e)</w:t>
      </w:r>
      <w:r w:rsidRPr="002C5876">
        <w:tab/>
        <w:t>(n/v)</w:t>
      </w:r>
      <w:r w:rsidRPr="002C5876">
        <w:rPr>
          <w:vertAlign w:val="subscript"/>
        </w:rPr>
        <w:t>i</w:t>
      </w:r>
      <w:r w:rsidRPr="002C5876">
        <w:t>, le rapport obtenu en divisant le régime moteur n par la vitesse du véhicule v pour chaque rapport i, pour</w:t>
      </w:r>
      <w:r w:rsidR="00C574AA">
        <w:t> </w:t>
      </w:r>
      <w:r w:rsidRPr="002C5876">
        <w:t>i à ng</w:t>
      </w:r>
      <w:r w:rsidRPr="002C5876">
        <w:rPr>
          <w:vertAlign w:val="subscript"/>
        </w:rPr>
        <w:t>max</w:t>
      </w:r>
      <w:r w:rsidRPr="002C5876">
        <w:t>, min</w:t>
      </w:r>
      <w:r w:rsidRPr="002C5876">
        <w:rPr>
          <w:vertAlign w:val="superscript"/>
        </w:rPr>
        <w:t>-1</w:t>
      </w:r>
      <w:r w:rsidRPr="002C5876">
        <w:t>/(km/h). (n/v)</w:t>
      </w:r>
      <w:r w:rsidRPr="002C5876">
        <w:rPr>
          <w:vertAlign w:val="subscript"/>
        </w:rPr>
        <w:t>i</w:t>
      </w:r>
      <w:r w:rsidRPr="002C5876">
        <w:t xml:space="preserve"> doit être calculé conformément aux équations visées au paragraphe 8 de l’annexe 7 ;</w:t>
      </w:r>
    </w:p>
    <w:p w:rsidR="00E24DB7" w:rsidRPr="002C5876" w:rsidRDefault="00E24DB7" w:rsidP="00E24DB7">
      <w:pPr>
        <w:pStyle w:val="SingleTxtG"/>
        <w:ind w:left="2835" w:hanging="567"/>
      </w:pPr>
      <w:r w:rsidRPr="002C5876">
        <w:t>f)</w:t>
      </w:r>
      <w:r w:rsidRPr="002C5876">
        <w:tab/>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oMath>
      <w:r w:rsidRPr="002C5876">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oMath>
      <w:r w:rsidRPr="002C5876">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oMath>
      <w:r w:rsidRPr="002C5876">
        <w:t>, les coefficients applicables de résistance à l’avancement sur route, N, N/(km/h) et N/(km/h)² respectivement ;</w:t>
      </w:r>
    </w:p>
    <w:p w:rsidR="00E24DB7" w:rsidRPr="002C5876" w:rsidRDefault="00E24DB7" w:rsidP="00E24DB7">
      <w:pPr>
        <w:pStyle w:val="SingleTxtG"/>
        <w:keepNext/>
        <w:ind w:left="2268"/>
      </w:pPr>
      <w:r w:rsidRPr="002C5876">
        <w:tab/>
        <w:t>g)</w:t>
      </w:r>
      <w:r w:rsidRPr="002C5876">
        <w:tab/>
        <w:t>n</w:t>
      </w:r>
      <w:r w:rsidRPr="002C5876">
        <w:rPr>
          <w:vertAlign w:val="subscript"/>
        </w:rPr>
        <w:t>max</w:t>
      </w:r>
    </w:p>
    <w:p w:rsidR="00E24DB7" w:rsidRPr="002C5876" w:rsidRDefault="00E24DB7" w:rsidP="00E24DB7">
      <w:pPr>
        <w:pStyle w:val="SingleTxtG"/>
        <w:ind w:left="2835"/>
        <w:rPr>
          <w:b/>
        </w:rPr>
      </w:pPr>
      <w:bookmarkStart w:id="26" w:name="_Hlk484252313"/>
      <w:r w:rsidRPr="002C5876">
        <w:t>n</w:t>
      </w:r>
      <w:r w:rsidRPr="002C5876">
        <w:rPr>
          <w:vertAlign w:val="subscript"/>
        </w:rPr>
        <w:t>max1</w:t>
      </w:r>
      <w:r w:rsidRPr="002C5876">
        <w:t xml:space="preserve"> = n</w:t>
      </w:r>
      <w:r w:rsidRPr="002C5876">
        <w:rPr>
          <w:vertAlign w:val="subscript"/>
        </w:rPr>
        <w:t>95_high</w:t>
      </w:r>
      <w:r w:rsidRPr="002C5876">
        <w:t>, le régime maximal du moteur auquel est atteint 95</w:t>
      </w:r>
      <w:r w:rsidR="00CE537D" w:rsidRPr="002C5876">
        <w:t> </w:t>
      </w:r>
      <w:r w:rsidRPr="002C5876">
        <w:t>% de la puissance nominale, min</w:t>
      </w:r>
      <w:r w:rsidRPr="002C5876">
        <w:rPr>
          <w:vertAlign w:val="superscript"/>
        </w:rPr>
        <w:t>–1</w:t>
      </w:r>
      <w:r w:rsidRPr="002C5876">
        <w:t> ;</w:t>
      </w:r>
    </w:p>
    <w:bookmarkEnd w:id="26"/>
    <w:p w:rsidR="00E24DB7" w:rsidRPr="002C5876" w:rsidRDefault="00E24DB7" w:rsidP="00E24DB7">
      <w:pPr>
        <w:pStyle w:val="SingleTxtG"/>
        <w:ind w:left="2835"/>
      </w:pPr>
      <w:r w:rsidRPr="002C5876">
        <w:t>S’il est impossible de déterminer n</w:t>
      </w:r>
      <w:r w:rsidRPr="002C5876">
        <w:rPr>
          <w:vertAlign w:val="subscript"/>
        </w:rPr>
        <w:t>95_high</w:t>
      </w:r>
      <w:r w:rsidRPr="002C5876">
        <w:t xml:space="preserve"> parce que le régime du moteur est limité, pour tous les rapports, à une valeur n</w:t>
      </w:r>
      <w:r w:rsidRPr="002C5876">
        <w:rPr>
          <w:vertAlign w:val="subscript"/>
        </w:rPr>
        <w:t>lim</w:t>
      </w:r>
      <w:r w:rsidRPr="002C5876">
        <w:t xml:space="preserve"> plus basse et que la puissance à pleine charge correspondante dépasse 95 % de la puissance nominale, il convient de fixer n</w:t>
      </w:r>
      <w:r w:rsidRPr="002C5876">
        <w:rPr>
          <w:vertAlign w:val="subscript"/>
        </w:rPr>
        <w:t xml:space="preserve">95_high </w:t>
      </w:r>
      <w:r w:rsidRPr="002C5876">
        <w:t>à n</w:t>
      </w:r>
      <w:r w:rsidRPr="002C5876">
        <w:rPr>
          <w:vertAlign w:val="subscript"/>
        </w:rPr>
        <w:t>lim</w:t>
      </w:r>
      <w:r w:rsidRPr="002C5876">
        <w:t>.</w:t>
      </w:r>
    </w:p>
    <w:p w:rsidR="00E24DB7" w:rsidRPr="002C5876" w:rsidRDefault="00731CA6" w:rsidP="00E24DB7">
      <w:pPr>
        <w:tabs>
          <w:tab w:val="left" w:pos="1134"/>
          <w:tab w:val="left" w:pos="1701"/>
          <w:tab w:val="left" w:pos="2268"/>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835" w:right="1134" w:hanging="1701"/>
        <w:jc w:val="both"/>
      </w:pPr>
      <m:oMathPara>
        <m:oMathParaPr>
          <m:jc m:val="left"/>
        </m:oMathPara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max2</m:t>
              </m:r>
            </m:sub>
          </m:sSub>
          <m:r>
            <m:rPr>
              <m:sty m:val="p"/>
            </m:rPr>
            <w:rPr>
              <w:rFonts w:ascii="Cambria Math" w:hAnsi="Cambria Math"/>
            </w:rPr>
            <m:t xml:space="preserve">= </m:t>
          </m:r>
          <m:d>
            <m:dPr>
              <m:ctrlPr>
                <w:rPr>
                  <w:rFonts w:ascii="Cambria Math" w:hAnsi="Cambria Math"/>
                </w:rPr>
              </m:ctrlPr>
            </m:dPr>
            <m:e>
              <m:r>
                <m:rPr>
                  <m:sty m:val="p"/>
                </m:rPr>
                <w:rPr>
                  <w:rFonts w:ascii="Cambria Math" w:hAnsi="Cambria Math"/>
                </w:rPr>
                <m:t>n/v</m:t>
              </m:r>
            </m:e>
          </m:d>
          <m:d>
            <m:dPr>
              <m:ctrlPr>
                <w:rPr>
                  <w:rFonts w:ascii="Cambria Math" w:hAnsi="Cambria Math"/>
                </w:rPr>
              </m:ctrlPr>
            </m:dPr>
            <m:e>
              <m:sSub>
                <m:sSubPr>
                  <m:ctrlPr>
                    <w:rPr>
                      <w:rFonts w:ascii="Cambria Math" w:hAnsi="Cambria Math"/>
                    </w:rPr>
                  </m:ctrlPr>
                </m:sSubPr>
                <m:e>
                  <m:r>
                    <m:rPr>
                      <m:sty m:val="p"/>
                    </m:rPr>
                    <w:rPr>
                      <w:rFonts w:ascii="Cambria Math" w:hAnsi="Cambria Math"/>
                    </w:rPr>
                    <m:t>ng</m:t>
                  </m:r>
                </m:e>
                <m:sub>
                  <m:r>
                    <m:rPr>
                      <m:sty m:val="p"/>
                    </m:rPr>
                    <w:rPr>
                      <w:rFonts w:ascii="Cambria Math" w:hAnsi="Cambria Math"/>
                    </w:rPr>
                    <m:t>max</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max,cycle</m:t>
              </m:r>
            </m:sub>
          </m:sSub>
        </m:oMath>
      </m:oMathPara>
    </w:p>
    <w:p w:rsidR="00E24DB7" w:rsidRPr="002C5876" w:rsidRDefault="00731CA6" w:rsidP="00E24DB7">
      <w:pPr>
        <w:pStyle w:val="SingleTxtG"/>
        <w:keepNext/>
        <w:spacing w:after="240"/>
        <w:ind w:left="2835"/>
      </w:pPr>
      <m:oMathPara>
        <m:oMathParaPr>
          <m:jc m:val="left"/>
        </m:oMathPara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max3</m:t>
              </m:r>
            </m:sub>
          </m:sSub>
          <m:r>
            <m:rPr>
              <m:sty m:val="p"/>
            </m:rPr>
            <w:rPr>
              <w:rFonts w:ascii="Cambria Math" w:hAnsi="Cambria Math"/>
            </w:rPr>
            <m:t>= (n/v)(</m:t>
          </m:r>
          <m:sSub>
            <m:sSubPr>
              <m:ctrlPr>
                <w:rPr>
                  <w:rFonts w:ascii="Cambria Math" w:hAnsi="Cambria Math"/>
                </w:rPr>
              </m:ctrlPr>
            </m:sSubPr>
            <m:e>
              <m:r>
                <m:rPr>
                  <m:sty m:val="p"/>
                </m:rPr>
                <w:rPr>
                  <w:rFonts w:ascii="Cambria Math" w:hAnsi="Cambria Math"/>
                </w:rPr>
                <m:t>ng</m:t>
              </m:r>
            </m:e>
            <m:sub>
              <m:r>
                <m:rPr>
                  <m:sty m:val="p"/>
                </m:rPr>
                <w:rPr>
                  <w:rFonts w:ascii="Cambria Math" w:hAnsi="Cambria Math"/>
                </w:rPr>
                <m:t>max</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max,vehicle</m:t>
              </m:r>
            </m:sub>
          </m:sSub>
        </m:oMath>
      </m:oMathPara>
    </w:p>
    <w:p w:rsidR="00E24DB7" w:rsidRPr="002C5876" w:rsidRDefault="00E24DB7" w:rsidP="00E24DB7">
      <w:pPr>
        <w:pStyle w:val="SingleTxtG"/>
        <w:keepNext/>
        <w:ind w:left="2835"/>
      </w:pPr>
      <w:r w:rsidRPr="002C5876">
        <w:t>où :</w:t>
      </w:r>
    </w:p>
    <w:p w:rsidR="00E24DB7" w:rsidRPr="002C5876" w:rsidRDefault="00E24DB7" w:rsidP="00E24DB7">
      <w:pPr>
        <w:pStyle w:val="SingleTxtG"/>
        <w:ind w:left="3969" w:hanging="1134"/>
      </w:pPr>
      <w:r w:rsidRPr="002C5876">
        <w:t>ng</w:t>
      </w:r>
      <w:r w:rsidRPr="002C5876">
        <w:rPr>
          <w:vertAlign w:val="subscript"/>
        </w:rPr>
        <w:t>vmax</w:t>
      </w:r>
      <w:r w:rsidRPr="002C5876">
        <w:tab/>
        <w:t>est défini au paragraphe 2 i) de la présente annexe ;</w:t>
      </w:r>
    </w:p>
    <w:p w:rsidR="00E24DB7" w:rsidRPr="002C5876" w:rsidRDefault="00E24DB7" w:rsidP="00E24DB7">
      <w:pPr>
        <w:pStyle w:val="SingleTxtG"/>
        <w:ind w:left="3969" w:hanging="1134"/>
      </w:pPr>
      <w:r w:rsidRPr="002C5876">
        <w:t>v</w:t>
      </w:r>
      <w:r w:rsidRPr="002C5876">
        <w:rPr>
          <w:vertAlign w:val="subscript"/>
        </w:rPr>
        <w:t>max,cycle</w:t>
      </w:r>
      <w:r w:rsidRPr="002C5876">
        <w:tab/>
        <w:t>est la vitesse maximale de la courbe de vitesse du véhicule d’après les dispositions de l’annexe 1, en km/h ;</w:t>
      </w:r>
    </w:p>
    <w:p w:rsidR="00E24DB7" w:rsidRPr="002C5876" w:rsidRDefault="00E24DB7" w:rsidP="00E24DB7">
      <w:pPr>
        <w:pStyle w:val="SingleTxtG"/>
        <w:ind w:left="3969" w:hanging="1134"/>
      </w:pPr>
      <w:r w:rsidRPr="002C5876">
        <w:t>v</w:t>
      </w:r>
      <w:r w:rsidRPr="002C5876">
        <w:rPr>
          <w:vertAlign w:val="subscript"/>
        </w:rPr>
        <w:t>max,vehicle</w:t>
      </w:r>
      <w:r w:rsidRPr="002C5876">
        <w:rPr>
          <w:vertAlign w:val="subscript"/>
        </w:rPr>
        <w:tab/>
      </w:r>
      <w:r w:rsidRPr="002C5876">
        <w:t>est la vitesse maximale du véhicule conformément aux dispositions du paragraphe 2 i) de la présente annexe, en km/h ;</w:t>
      </w:r>
    </w:p>
    <w:p w:rsidR="00E24DB7" w:rsidRPr="002C5876" w:rsidRDefault="00E24DB7" w:rsidP="00E24DB7">
      <w:pPr>
        <w:pStyle w:val="SingleTxtG"/>
        <w:ind w:left="3969" w:hanging="1134"/>
      </w:pPr>
      <w:r w:rsidRPr="002C5876">
        <w:t>(n/v)(ng</w:t>
      </w:r>
      <w:r w:rsidRPr="002C5876">
        <w:rPr>
          <w:vertAlign w:val="subscript"/>
        </w:rPr>
        <w:t>vmax</w:t>
      </w:r>
      <w:r w:rsidRPr="002C5876">
        <w:t>)</w:t>
      </w:r>
      <w:r w:rsidRPr="002C5876">
        <w:tab/>
        <w:t>est le rapport obtenu en divisant le régime moteur n par la vitesse du véhicule v pour le rapport ng</w:t>
      </w:r>
      <w:r w:rsidRPr="002C5876">
        <w:rPr>
          <w:vertAlign w:val="subscript"/>
        </w:rPr>
        <w:t>vmax</w:t>
      </w:r>
      <w:r w:rsidRPr="002C5876">
        <w:t>, min</w:t>
      </w:r>
      <w:r w:rsidRPr="002C5876">
        <w:rPr>
          <w:vertAlign w:val="superscript"/>
        </w:rPr>
        <w:noBreakHyphen/>
        <w:t>1</w:t>
      </w:r>
      <w:r w:rsidRPr="002C5876">
        <w:t>/(km/h) ;</w:t>
      </w:r>
    </w:p>
    <w:p w:rsidR="00E24DB7" w:rsidRPr="002C5876" w:rsidRDefault="00E24DB7" w:rsidP="00E24DB7">
      <w:pPr>
        <w:pStyle w:val="SingleTxtG"/>
        <w:ind w:left="2835"/>
      </w:pPr>
      <w:r w:rsidRPr="002C5876">
        <w:tab/>
        <w:t>n</w:t>
      </w:r>
      <w:r w:rsidRPr="002C5876">
        <w:rPr>
          <w:vertAlign w:val="subscript"/>
        </w:rPr>
        <w:t>max</w:t>
      </w:r>
      <w:r w:rsidRPr="002C5876">
        <w:rPr>
          <w:vertAlign w:val="subscript"/>
        </w:rPr>
        <w:tab/>
      </w:r>
      <w:r w:rsidRPr="002C5876">
        <w:rPr>
          <w:vertAlign w:val="subscript"/>
        </w:rPr>
        <w:tab/>
      </w:r>
      <w:r w:rsidRPr="002C5876">
        <w:t>est le maximum de n</w:t>
      </w:r>
      <w:r w:rsidRPr="002C5876">
        <w:rPr>
          <w:vertAlign w:val="subscript"/>
        </w:rPr>
        <w:t>max1</w:t>
      </w:r>
      <w:r w:rsidRPr="002C5876">
        <w:t>, n</w:t>
      </w:r>
      <w:r w:rsidRPr="002C5876">
        <w:rPr>
          <w:vertAlign w:val="subscript"/>
        </w:rPr>
        <w:t>max2</w:t>
      </w:r>
      <w:r w:rsidRPr="002C5876">
        <w:t xml:space="preserve"> et n</w:t>
      </w:r>
      <w:r w:rsidRPr="002C5876">
        <w:rPr>
          <w:vertAlign w:val="subscript"/>
        </w:rPr>
        <w:t>max3</w:t>
      </w:r>
      <w:r w:rsidRPr="002C5876">
        <w:t>, en min</w:t>
      </w:r>
      <w:r w:rsidRPr="002C5876">
        <w:rPr>
          <w:vertAlign w:val="superscript"/>
        </w:rPr>
        <w:t>-1</w:t>
      </w:r>
      <w:r w:rsidRPr="002C5876">
        <w:t>.</w:t>
      </w:r>
    </w:p>
    <w:p w:rsidR="00E24DB7" w:rsidRPr="002C5876" w:rsidRDefault="00E24DB7" w:rsidP="00E24DB7">
      <w:pPr>
        <w:pStyle w:val="SingleTxtG"/>
        <w:ind w:left="2835" w:hanging="567"/>
      </w:pPr>
      <w:r w:rsidRPr="002C5876">
        <w:t>h)</w:t>
      </w:r>
      <w:r w:rsidRPr="002C5876">
        <w:tab/>
        <w:t>P</w:t>
      </w:r>
      <w:r w:rsidRPr="002C5876">
        <w:rPr>
          <w:vertAlign w:val="subscript"/>
        </w:rPr>
        <w:t>wot</w:t>
      </w:r>
      <w:r w:rsidRPr="002C5876">
        <w:t>(n), la courbe de puissance à pleine charge sur la plage de régime moteur.</w:t>
      </w:r>
    </w:p>
    <w:p w:rsidR="00E24DB7" w:rsidRPr="002C5876" w:rsidRDefault="00E24DB7" w:rsidP="00E24DB7">
      <w:pPr>
        <w:pStyle w:val="SingleTxtG"/>
        <w:ind w:left="2835"/>
      </w:pPr>
      <w:r w:rsidRPr="002C5876">
        <w:tab/>
        <w:t>La courbe de puissance est constituée d’un nombre suffisant de jeux de données (n, P</w:t>
      </w:r>
      <w:r w:rsidRPr="002C5876">
        <w:rPr>
          <w:vertAlign w:val="subscript"/>
        </w:rPr>
        <w:t>wot</w:t>
      </w:r>
      <w:r w:rsidRPr="002C5876">
        <w:t>) de telle manière que le calcul des points intermédiaires entre jeux de données consécutifs puisse être effectué par interpolation linéaire. Les écarts de l’interpolation linéaire par rapport à la courbe de puissance à pleine charge déterminée conformément au Règlement ONU n</w:t>
      </w:r>
      <w:r w:rsidRPr="002C5876">
        <w:rPr>
          <w:rFonts w:eastAsia="MS Mincho"/>
          <w:vertAlign w:val="superscript"/>
        </w:rPr>
        <w:t>o</w:t>
      </w:r>
      <w:r w:rsidRPr="002C5876">
        <w:rPr>
          <w:rFonts w:eastAsia="MS Mincho"/>
        </w:rPr>
        <w:t> </w:t>
      </w:r>
      <w:r w:rsidRPr="002C5876">
        <w:t>85 ne doivent pas dépasser 2 %. Le premier jeu de données doit être relevé au régime n</w:t>
      </w:r>
      <w:r w:rsidRPr="002C5876">
        <w:rPr>
          <w:vertAlign w:val="subscript"/>
        </w:rPr>
        <w:t>min_drive_set</w:t>
      </w:r>
      <w:r w:rsidRPr="002C5876">
        <w:t xml:space="preserve"> (voir al. k)</w:t>
      </w:r>
      <w:r w:rsidR="00CE537D" w:rsidRPr="002C5876">
        <w:t> </w:t>
      </w:r>
      <w:r w:rsidRPr="002C5876">
        <w:t>iii) ci-après) ou plus bas. Le dernier jeu de données doit être relevé à n</w:t>
      </w:r>
      <w:r w:rsidRPr="002C5876">
        <w:rPr>
          <w:vertAlign w:val="subscript"/>
        </w:rPr>
        <w:t>max</w:t>
      </w:r>
      <w:r w:rsidRPr="002C5876">
        <w:t xml:space="preserve"> ou à une valeur plus élevée. Les jeux de données ne doivent pas nécessairement être relevés à intervalles égaux mais ils doivent tous être consignés.</w:t>
      </w:r>
    </w:p>
    <w:p w:rsidR="00E24DB7" w:rsidRPr="002C5876" w:rsidRDefault="00E24DB7" w:rsidP="00E24DB7">
      <w:pPr>
        <w:pStyle w:val="SingleTxtG"/>
        <w:ind w:left="2835"/>
      </w:pPr>
      <w:r w:rsidRPr="002C5876">
        <w:t>Les jeux de données et les valeurs P</w:t>
      </w:r>
      <w:r w:rsidRPr="002C5876">
        <w:rPr>
          <w:vertAlign w:val="subscript"/>
        </w:rPr>
        <w:t>rated</w:t>
      </w:r>
      <w:r w:rsidRPr="002C5876">
        <w:t xml:space="preserve"> et n</w:t>
      </w:r>
      <w:r w:rsidRPr="002C5876">
        <w:rPr>
          <w:vertAlign w:val="subscript"/>
        </w:rPr>
        <w:t>rated</w:t>
      </w:r>
      <w:r w:rsidRPr="002C5876">
        <w:t xml:space="preserve"> doivent être déduits de la courbe de puissance déclarée par le constructeur.</w:t>
      </w:r>
    </w:p>
    <w:p w:rsidR="00E24DB7" w:rsidRPr="002C5876" w:rsidRDefault="00E24DB7" w:rsidP="00E24DB7">
      <w:pPr>
        <w:pStyle w:val="SingleTxtG"/>
        <w:ind w:left="2835"/>
      </w:pPr>
      <w:r w:rsidRPr="002C5876">
        <w:t>La courbe de puissance à pleine charge à des régimes moteur non pris en compte par le Règlement ONU n</w:t>
      </w:r>
      <w:r w:rsidRPr="002C5876">
        <w:rPr>
          <w:rFonts w:eastAsia="MS Mincho"/>
          <w:vertAlign w:val="superscript"/>
        </w:rPr>
        <w:t>o</w:t>
      </w:r>
      <w:r w:rsidRPr="002C5876">
        <w:rPr>
          <w:rFonts w:eastAsia="MS Mincho"/>
        </w:rPr>
        <w:t> </w:t>
      </w:r>
      <w:r w:rsidRPr="002C5876">
        <w:t>85 doit être déterminée conformément à la méthode décrite dans le Règlement ONU n</w:t>
      </w:r>
      <w:r w:rsidRPr="002C5876">
        <w:rPr>
          <w:rFonts w:eastAsia="MS Mincho"/>
          <w:vertAlign w:val="superscript"/>
        </w:rPr>
        <w:t>o</w:t>
      </w:r>
      <w:r w:rsidRPr="002C5876">
        <w:rPr>
          <w:rFonts w:eastAsia="MS Mincho"/>
        </w:rPr>
        <w:t> </w:t>
      </w:r>
      <w:r w:rsidRPr="002C5876">
        <w:t>85 ;</w:t>
      </w:r>
    </w:p>
    <w:p w:rsidR="00E24DB7" w:rsidRPr="002C5876" w:rsidRDefault="00E24DB7" w:rsidP="00E24DB7">
      <w:pPr>
        <w:pStyle w:val="SingleTxtG"/>
        <w:keepNext/>
        <w:ind w:left="2268"/>
      </w:pPr>
      <w:r w:rsidRPr="002C5876">
        <w:tab/>
        <w:t>i)</w:t>
      </w:r>
      <w:r w:rsidRPr="002C5876">
        <w:tab/>
        <w:t>Détermination de ng</w:t>
      </w:r>
      <w:r w:rsidRPr="002C5876">
        <w:rPr>
          <w:vertAlign w:val="subscript"/>
        </w:rPr>
        <w:t>vmax</w:t>
      </w:r>
      <w:r w:rsidRPr="002C5876">
        <w:t xml:space="preserve"> et v</w:t>
      </w:r>
      <w:r w:rsidRPr="002C5876">
        <w:rPr>
          <w:vertAlign w:val="subscript"/>
        </w:rPr>
        <w:t>max</w:t>
      </w:r>
      <w:r w:rsidRPr="002C5876">
        <w:t xml:space="preserve"> </w:t>
      </w:r>
    </w:p>
    <w:p w:rsidR="00E24DB7" w:rsidRPr="002C5876" w:rsidRDefault="00E24DB7" w:rsidP="00E24DB7">
      <w:pPr>
        <w:pStyle w:val="SingleTxtG"/>
        <w:ind w:left="2835"/>
      </w:pPr>
      <w:r w:rsidRPr="002C5876">
        <w:tab/>
        <w:t>ng</w:t>
      </w:r>
      <w:r w:rsidRPr="002C5876">
        <w:rPr>
          <w:vertAlign w:val="subscript"/>
        </w:rPr>
        <w:t>vmax</w:t>
      </w:r>
      <w:r w:rsidRPr="002C5876">
        <w:t>, le rapport sur lequel la vitesse maximale du véhicule est atteinte, doit être déterminé comme suit :</w:t>
      </w:r>
    </w:p>
    <w:p w:rsidR="00E24DB7" w:rsidRPr="002C5876" w:rsidRDefault="00E24DB7" w:rsidP="00E24DB7">
      <w:pPr>
        <w:pStyle w:val="SingleTxtG"/>
        <w:ind w:left="2835"/>
      </w:pPr>
      <w:r w:rsidRPr="002C5876">
        <w:tab/>
        <w:t>Si v</w:t>
      </w:r>
      <w:r w:rsidRPr="002C5876">
        <w:rPr>
          <w:vertAlign w:val="subscript"/>
        </w:rPr>
        <w:t>max</w:t>
      </w:r>
      <w:r w:rsidRPr="002C5876">
        <w:t>(ng) ≥ v</w:t>
      </w:r>
      <w:r w:rsidRPr="002C5876">
        <w:rPr>
          <w:vertAlign w:val="subscript"/>
        </w:rPr>
        <w:t>max</w:t>
      </w:r>
      <w:r w:rsidRPr="002C5876">
        <w:t>(ng-1) et v</w:t>
      </w:r>
      <w:r w:rsidRPr="002C5876">
        <w:rPr>
          <w:vertAlign w:val="subscript"/>
        </w:rPr>
        <w:t>max</w:t>
      </w:r>
      <w:r w:rsidRPr="002C5876">
        <w:t>(ng-1) ≥ v</w:t>
      </w:r>
      <w:r w:rsidRPr="002C5876">
        <w:rPr>
          <w:vertAlign w:val="subscript"/>
        </w:rPr>
        <w:t>max</w:t>
      </w:r>
      <w:r w:rsidRPr="002C5876">
        <w:t>(ng-2), on a</w:t>
      </w:r>
    </w:p>
    <w:p w:rsidR="00E24DB7" w:rsidRPr="002C5876" w:rsidRDefault="00E24DB7" w:rsidP="00E24DB7">
      <w:pPr>
        <w:pStyle w:val="SingleTxtG"/>
        <w:ind w:left="2835"/>
      </w:pPr>
      <w:r w:rsidRPr="002C5876">
        <w:tab/>
        <w:t>ng</w:t>
      </w:r>
      <w:r w:rsidRPr="002C5876">
        <w:rPr>
          <w:vertAlign w:val="subscript"/>
        </w:rPr>
        <w:t>vmax</w:t>
      </w:r>
      <w:r w:rsidRPr="002C5876">
        <w:t xml:space="preserve"> = ng et v</w:t>
      </w:r>
      <w:r w:rsidRPr="002C5876">
        <w:rPr>
          <w:vertAlign w:val="subscript"/>
        </w:rPr>
        <w:t>max</w:t>
      </w:r>
      <w:r w:rsidRPr="002C5876">
        <w:t xml:space="preserve"> = v</w:t>
      </w:r>
      <w:r w:rsidRPr="002C5876">
        <w:rPr>
          <w:vertAlign w:val="subscript"/>
        </w:rPr>
        <w:t>max</w:t>
      </w:r>
      <w:r w:rsidRPr="002C5876">
        <w:t>(ng) ;</w:t>
      </w:r>
    </w:p>
    <w:p w:rsidR="00E24DB7" w:rsidRPr="00D53F39" w:rsidRDefault="00E24DB7" w:rsidP="00E24DB7">
      <w:pPr>
        <w:pStyle w:val="SingleTxtG"/>
        <w:tabs>
          <w:tab w:val="right" w:pos="8505"/>
        </w:tabs>
        <w:ind w:left="2835" w:right="425"/>
        <w:rPr>
          <w:lang w:val="en-US"/>
        </w:rPr>
      </w:pPr>
      <w:r w:rsidRPr="00D53F39">
        <w:rPr>
          <w:lang w:val="en-US"/>
        </w:rPr>
        <w:lastRenderedPageBreak/>
        <w:t>Si v</w:t>
      </w:r>
      <w:r w:rsidRPr="00D53F39">
        <w:rPr>
          <w:vertAlign w:val="subscript"/>
          <w:lang w:val="en-US"/>
        </w:rPr>
        <w:t>max</w:t>
      </w:r>
      <w:r w:rsidRPr="00D53F39">
        <w:rPr>
          <w:lang w:val="en-US"/>
        </w:rPr>
        <w:t>(ng) &lt; v</w:t>
      </w:r>
      <w:r w:rsidRPr="00D53F39">
        <w:rPr>
          <w:vertAlign w:val="subscript"/>
          <w:lang w:val="en-US"/>
        </w:rPr>
        <w:t>max</w:t>
      </w:r>
      <w:r w:rsidRPr="00D53F39">
        <w:rPr>
          <w:lang w:val="en-US"/>
        </w:rPr>
        <w:t>(ng-1) and v</w:t>
      </w:r>
      <w:r w:rsidRPr="00D53F39">
        <w:rPr>
          <w:vertAlign w:val="subscript"/>
          <w:lang w:val="en-US"/>
        </w:rPr>
        <w:t>max</w:t>
      </w:r>
      <w:r w:rsidRPr="00D53F39">
        <w:rPr>
          <w:lang w:val="en-US"/>
        </w:rPr>
        <w:t>(ng-1) ≥ v</w:t>
      </w:r>
      <w:r w:rsidRPr="00D53F39">
        <w:rPr>
          <w:vertAlign w:val="subscript"/>
          <w:lang w:val="en-US"/>
        </w:rPr>
        <w:t>max</w:t>
      </w:r>
      <w:r w:rsidRPr="00D53F39">
        <w:rPr>
          <w:lang w:val="en-US"/>
        </w:rPr>
        <w:t>(ng-2), on a :</w:t>
      </w:r>
    </w:p>
    <w:p w:rsidR="00E24DB7" w:rsidRPr="00D53F39" w:rsidRDefault="00E24DB7" w:rsidP="00E24DB7">
      <w:pPr>
        <w:pStyle w:val="SingleTxtG"/>
        <w:tabs>
          <w:tab w:val="right" w:pos="8505"/>
        </w:tabs>
        <w:ind w:left="2835" w:right="425"/>
        <w:rPr>
          <w:lang w:val="en-US"/>
        </w:rPr>
      </w:pPr>
      <w:r w:rsidRPr="00D53F39">
        <w:rPr>
          <w:lang w:val="en-US"/>
        </w:rPr>
        <w:t>ng</w:t>
      </w:r>
      <w:r w:rsidRPr="00D53F39">
        <w:rPr>
          <w:vertAlign w:val="subscript"/>
          <w:lang w:val="en-US"/>
        </w:rPr>
        <w:t>vmax</w:t>
      </w:r>
      <w:r w:rsidRPr="00D53F39">
        <w:rPr>
          <w:lang w:val="en-US"/>
        </w:rPr>
        <w:t xml:space="preserve"> = ng-1 and v</w:t>
      </w:r>
      <w:r w:rsidRPr="00D53F39">
        <w:rPr>
          <w:vertAlign w:val="subscript"/>
          <w:lang w:val="en-US"/>
        </w:rPr>
        <w:t>max</w:t>
      </w:r>
      <w:r w:rsidRPr="00D53F39">
        <w:rPr>
          <w:lang w:val="en-US"/>
        </w:rPr>
        <w:t xml:space="preserve"> = v</w:t>
      </w:r>
      <w:r w:rsidRPr="00D53F39">
        <w:rPr>
          <w:vertAlign w:val="subscript"/>
          <w:lang w:val="en-US"/>
        </w:rPr>
        <w:t>max</w:t>
      </w:r>
      <w:r w:rsidRPr="00D53F39">
        <w:rPr>
          <w:lang w:val="en-US"/>
        </w:rPr>
        <w:t>(ng-1) ;</w:t>
      </w:r>
    </w:p>
    <w:p w:rsidR="00E24DB7" w:rsidRPr="002C5876" w:rsidRDefault="00E24DB7" w:rsidP="00E24DB7">
      <w:pPr>
        <w:pStyle w:val="SingleTxtG"/>
        <w:tabs>
          <w:tab w:val="left" w:pos="8222"/>
        </w:tabs>
        <w:ind w:left="2835"/>
      </w:pPr>
      <w:r w:rsidRPr="002C5876">
        <w:t>Dans les autres cas, ng</w:t>
      </w:r>
      <w:r w:rsidRPr="002C5876">
        <w:rPr>
          <w:vertAlign w:val="subscript"/>
        </w:rPr>
        <w:t>vmax</w:t>
      </w:r>
      <w:r w:rsidRPr="002C5876">
        <w:t xml:space="preserve"> = ng -2 et v</w:t>
      </w:r>
      <w:r w:rsidRPr="002C5876">
        <w:rPr>
          <w:vertAlign w:val="subscript"/>
        </w:rPr>
        <w:t>max</w:t>
      </w:r>
      <w:r w:rsidRPr="002C5876">
        <w:t xml:space="preserve"> = v</w:t>
      </w:r>
      <w:r w:rsidRPr="002C5876">
        <w:rPr>
          <w:vertAlign w:val="subscript"/>
        </w:rPr>
        <w:t>max</w:t>
      </w:r>
      <w:r w:rsidRPr="002C5876">
        <w:t>(ng-2) ;</w:t>
      </w:r>
    </w:p>
    <w:p w:rsidR="00E24DB7" w:rsidRPr="002C5876" w:rsidRDefault="00E24DB7" w:rsidP="00E24DB7">
      <w:pPr>
        <w:pStyle w:val="SingleTxtG"/>
        <w:keepNext/>
        <w:keepLines/>
        <w:ind w:left="2835"/>
      </w:pPr>
      <w:r w:rsidRPr="002C5876">
        <w:tab/>
        <w:t>où :</w:t>
      </w:r>
    </w:p>
    <w:p w:rsidR="00E24DB7" w:rsidRPr="002C5876" w:rsidRDefault="00E24DB7" w:rsidP="00E24DB7">
      <w:pPr>
        <w:pStyle w:val="SingleTxtG"/>
        <w:keepNext/>
        <w:keepLines/>
        <w:ind w:left="3969" w:hanging="1134"/>
      </w:pPr>
      <w:r w:rsidRPr="002C5876">
        <w:t>v</w:t>
      </w:r>
      <w:r w:rsidRPr="002C5876">
        <w:rPr>
          <w:vertAlign w:val="subscript"/>
        </w:rPr>
        <w:t>max</w:t>
      </w:r>
      <w:r w:rsidRPr="002C5876">
        <w:t>(ng)</w:t>
      </w:r>
      <w:r w:rsidRPr="002C5876">
        <w:tab/>
        <w:t>est la vitesse du véhicule à laquelle la puissance requise pour surmonter la résistance à l’avancement sur route est égale à la puissance disponible, P</w:t>
      </w:r>
      <w:r w:rsidRPr="002C5876">
        <w:rPr>
          <w:vertAlign w:val="subscript"/>
        </w:rPr>
        <w:t>wot</w:t>
      </w:r>
      <w:r w:rsidRPr="002C5876">
        <w:t>, sur le rapport ng (voir fig. A2/1a) ;</w:t>
      </w:r>
    </w:p>
    <w:p w:rsidR="00E24DB7" w:rsidRPr="002C5876" w:rsidRDefault="00E24DB7" w:rsidP="00E24DB7">
      <w:pPr>
        <w:pStyle w:val="SingleTxtG"/>
        <w:ind w:left="3969" w:hanging="1134"/>
      </w:pPr>
      <w:r w:rsidRPr="002C5876">
        <w:t>v</w:t>
      </w:r>
      <w:r w:rsidRPr="002C5876">
        <w:rPr>
          <w:vertAlign w:val="subscript"/>
        </w:rPr>
        <w:t>max</w:t>
      </w:r>
      <w:r w:rsidRPr="002C5876">
        <w:t>(ng-1)</w:t>
      </w:r>
      <w:r w:rsidRPr="002C5876">
        <w:tab/>
        <w:t>est la vitesse du véhicule à laquelle la puissance requise pour surmonter la résistance à l’avancement sur route est égale à la puissance disponible, P</w:t>
      </w:r>
      <w:r w:rsidRPr="002C5876">
        <w:rPr>
          <w:vertAlign w:val="subscript"/>
        </w:rPr>
        <w:t>wot</w:t>
      </w:r>
      <w:r w:rsidRPr="002C5876">
        <w:t>, sur le rapport ng</w:t>
      </w:r>
      <w:r w:rsidRPr="002C5876">
        <w:noBreakHyphen/>
        <w:t>1 (voir fig. A2/1b).</w:t>
      </w:r>
    </w:p>
    <w:p w:rsidR="00E24DB7" w:rsidRPr="002C5876" w:rsidRDefault="00E24DB7" w:rsidP="00E24DB7">
      <w:pPr>
        <w:pStyle w:val="SingleTxtG"/>
        <w:ind w:left="3969" w:hanging="1134"/>
      </w:pPr>
      <w:r w:rsidRPr="002C5876">
        <w:t>v</w:t>
      </w:r>
      <w:r w:rsidRPr="002C5876">
        <w:rPr>
          <w:vertAlign w:val="subscript"/>
        </w:rPr>
        <w:t>max</w:t>
      </w:r>
      <w:r w:rsidRPr="002C5876">
        <w:t xml:space="preserve">(ng-2) </w:t>
      </w:r>
      <w:r w:rsidRPr="002C5876">
        <w:tab/>
        <w:t>est la vitesse du véhicule à laquelle la puissance requise pour surmonter la résistance à l’avancement sur route est égale à la puissance disponible, P</w:t>
      </w:r>
      <w:r w:rsidRPr="002C5876">
        <w:rPr>
          <w:vertAlign w:val="subscript"/>
        </w:rPr>
        <w:t>wot</w:t>
      </w:r>
      <w:r w:rsidRPr="002C5876">
        <w:t>, sur le rapport ng</w:t>
      </w:r>
      <w:r w:rsidRPr="002C5876">
        <w:noBreakHyphen/>
        <w:t>2.</w:t>
      </w:r>
    </w:p>
    <w:p w:rsidR="00E24DB7" w:rsidRPr="002C5876" w:rsidRDefault="00E24DB7" w:rsidP="00E24DB7">
      <w:pPr>
        <w:pStyle w:val="SingleTxtG"/>
        <w:ind w:left="2835"/>
      </w:pPr>
      <w:r w:rsidRPr="002C5876">
        <w:tab/>
        <w:t>Pour la détermination de v</w:t>
      </w:r>
      <w:r w:rsidRPr="002C5876">
        <w:rPr>
          <w:vertAlign w:val="subscript"/>
        </w:rPr>
        <w:t>max</w:t>
      </w:r>
      <w:r w:rsidRPr="002C5876">
        <w:t xml:space="preserve"> et ng</w:t>
      </w:r>
      <w:r w:rsidRPr="002C5876">
        <w:rPr>
          <w:vertAlign w:val="subscript"/>
        </w:rPr>
        <w:t>vmax</w:t>
      </w:r>
      <w:r w:rsidRPr="002C5876">
        <w:t>, il convient d’utiliser des valeurs de vitesse du véhicule arrondies à une décimale.</w:t>
      </w:r>
    </w:p>
    <w:p w:rsidR="00E24DB7" w:rsidRPr="002C5876" w:rsidRDefault="00E24DB7" w:rsidP="00E24DB7">
      <w:pPr>
        <w:pStyle w:val="SingleTxtG"/>
        <w:ind w:left="2835"/>
      </w:pPr>
      <w:r w:rsidRPr="002C5876">
        <w:t>La puissance requise afin de surmonter la résistance à l’avancement sur route, kW, est calculée au moyen de l’équation suivante :</w:t>
      </w:r>
    </w:p>
    <w:p w:rsidR="00E24DB7" w:rsidRPr="002C5876" w:rsidRDefault="00731CA6" w:rsidP="00E24DB7">
      <w:pPr>
        <w:pStyle w:val="SingleTxtG"/>
        <w:tabs>
          <w:tab w:val="right" w:pos="8505"/>
        </w:tabs>
        <w:spacing w:after="240"/>
        <w:ind w:left="2268"/>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required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r>
                <m:rPr>
                  <m:sty m:val="p"/>
                </m:rPr>
                <w:rPr>
                  <w:rFonts w:ascii="Cambria Math" w:hAnsi="Cambria Math"/>
                </w:rPr>
                <m:t>×v+</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r>
                <m:rPr>
                  <m:sty m:val="p"/>
                </m:rPr>
                <w:rPr>
                  <w:rFonts w:ascii="Cambria Math" w:hAnsi="Cambria Math"/>
                </w:rPr>
                <m:t>×v²+</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r>
                <m:rPr>
                  <m:sty m:val="p"/>
                </m:rPr>
                <w:rPr>
                  <w:rFonts w:ascii="Cambria Math" w:hAnsi="Cambria Math"/>
                </w:rPr>
                <m:t>×v³</m:t>
              </m:r>
            </m:num>
            <m:den>
              <m:r>
                <m:rPr>
                  <m:sty m:val="p"/>
                </m:rPr>
                <w:rPr>
                  <w:rFonts w:ascii="Cambria Math" w:hAnsi="Cambria Math"/>
                </w:rPr>
                <m:t>3600</m:t>
              </m:r>
            </m:den>
          </m:f>
        </m:oMath>
      </m:oMathPara>
    </w:p>
    <w:p w:rsidR="00E24DB7" w:rsidRPr="002C5876" w:rsidRDefault="00E24DB7" w:rsidP="00E24DB7">
      <w:pPr>
        <w:pStyle w:val="SingleTxtG"/>
        <w:keepNext/>
        <w:ind w:left="2835"/>
      </w:pPr>
      <w:r w:rsidRPr="002C5876">
        <w:tab/>
        <w:t>où :</w:t>
      </w:r>
    </w:p>
    <w:p w:rsidR="00E24DB7" w:rsidRPr="002C5876" w:rsidRDefault="00E24DB7" w:rsidP="00E24DB7">
      <w:pPr>
        <w:pStyle w:val="SingleTxtG"/>
        <w:ind w:left="3969" w:hanging="1134"/>
      </w:pPr>
      <w:r w:rsidRPr="002C5876">
        <w:t>v est la vitesse du véhicule telle que définie ci-dessus, en km/h.</w:t>
      </w:r>
    </w:p>
    <w:p w:rsidR="00E24DB7" w:rsidRPr="002C5876" w:rsidRDefault="00E24DB7" w:rsidP="00E24DB7">
      <w:pPr>
        <w:pStyle w:val="SingleTxtG"/>
        <w:ind w:left="2835"/>
      </w:pPr>
      <w:r w:rsidRPr="002C5876">
        <w:tab/>
        <w:t>La puissance disponible, P</w:t>
      </w:r>
      <w:r w:rsidRPr="002C5876">
        <w:rPr>
          <w:vertAlign w:val="subscript"/>
        </w:rPr>
        <w:t>wot</w:t>
      </w:r>
      <w:r w:rsidRPr="002C5876">
        <w:t>(n), à la vitesse du véhicule v</w:t>
      </w:r>
      <w:r w:rsidRPr="002C5876">
        <w:rPr>
          <w:vertAlign w:val="subscript"/>
        </w:rPr>
        <w:t>max</w:t>
      </w:r>
      <w:r w:rsidRPr="002C5876">
        <w:t xml:space="preserve"> sur le rapport ng, le rapport ng</w:t>
      </w:r>
      <w:r w:rsidRPr="002C5876">
        <w:noBreakHyphen/>
        <w:t>1 ou le rapport ng</w:t>
      </w:r>
      <w:r w:rsidRPr="002C5876">
        <w:noBreakHyphen/>
        <w:t>2 peut être déterminée à partir de la courbe de puissance à pleine charge au moyen des équations suivantes :</w:t>
      </w:r>
    </w:p>
    <w:p w:rsidR="00E24DB7" w:rsidRPr="00D53F39" w:rsidRDefault="00E24DB7" w:rsidP="00E24DB7">
      <w:pPr>
        <w:pStyle w:val="SingleTxtG"/>
        <w:tabs>
          <w:tab w:val="right" w:pos="8505"/>
        </w:tabs>
        <w:ind w:left="2835"/>
        <w:jc w:val="center"/>
        <w:rPr>
          <w:lang w:val="en-US"/>
        </w:rPr>
      </w:pPr>
      <w:r w:rsidRPr="00D53F39">
        <w:rPr>
          <w:lang w:val="en-US"/>
        </w:rPr>
        <w:t>n</w:t>
      </w:r>
      <w:r w:rsidRPr="00D53F39">
        <w:rPr>
          <w:vertAlign w:val="subscript"/>
          <w:lang w:val="en-US"/>
        </w:rPr>
        <w:t>ng</w:t>
      </w:r>
      <w:r w:rsidRPr="00D53F39">
        <w:rPr>
          <w:lang w:val="en-US"/>
        </w:rPr>
        <w:t xml:space="preserve"> = (n/v)</w:t>
      </w:r>
      <w:r w:rsidRPr="00D53F39">
        <w:rPr>
          <w:vertAlign w:val="subscript"/>
          <w:lang w:val="en-US"/>
        </w:rPr>
        <w:t>ng</w:t>
      </w:r>
      <w:r w:rsidRPr="00D53F39">
        <w:rPr>
          <w:lang w:val="en-US"/>
        </w:rPr>
        <w:t xml:space="preserve"> × v</w:t>
      </w:r>
      <w:r w:rsidRPr="00D53F39">
        <w:rPr>
          <w:vertAlign w:val="subscript"/>
          <w:lang w:val="en-US"/>
        </w:rPr>
        <w:t>max</w:t>
      </w:r>
      <w:r w:rsidRPr="00D53F39">
        <w:rPr>
          <w:lang w:val="en-US"/>
        </w:rPr>
        <w:t>(ng),</w:t>
      </w:r>
    </w:p>
    <w:p w:rsidR="00E24DB7" w:rsidRPr="00D53F39" w:rsidRDefault="00E24DB7" w:rsidP="00E24DB7">
      <w:pPr>
        <w:pStyle w:val="SingleTxtG"/>
        <w:tabs>
          <w:tab w:val="right" w:pos="8505"/>
        </w:tabs>
        <w:ind w:left="2835"/>
        <w:jc w:val="center"/>
        <w:rPr>
          <w:lang w:val="en-US"/>
        </w:rPr>
      </w:pPr>
      <w:r w:rsidRPr="00D53F39">
        <w:rPr>
          <w:lang w:val="en-US"/>
        </w:rPr>
        <w:t>n</w:t>
      </w:r>
      <w:r w:rsidRPr="00D53F39">
        <w:rPr>
          <w:vertAlign w:val="subscript"/>
          <w:lang w:val="en-US"/>
        </w:rPr>
        <w:t>ng-1</w:t>
      </w:r>
      <w:r w:rsidRPr="00D53F39">
        <w:rPr>
          <w:lang w:val="en-US"/>
        </w:rPr>
        <w:t xml:space="preserve"> = (n/v)</w:t>
      </w:r>
      <w:r w:rsidRPr="00D53F39">
        <w:rPr>
          <w:vertAlign w:val="subscript"/>
          <w:lang w:val="en-US"/>
        </w:rPr>
        <w:t>ng-1</w:t>
      </w:r>
      <w:r w:rsidRPr="00D53F39">
        <w:rPr>
          <w:lang w:val="en-US"/>
        </w:rPr>
        <w:t xml:space="preserve"> × v</w:t>
      </w:r>
      <w:r w:rsidRPr="00D53F39">
        <w:rPr>
          <w:vertAlign w:val="subscript"/>
          <w:lang w:val="en-US"/>
        </w:rPr>
        <w:t>max</w:t>
      </w:r>
      <w:r w:rsidRPr="00D53F39">
        <w:rPr>
          <w:lang w:val="en-US"/>
        </w:rPr>
        <w:t>(ng</w:t>
      </w:r>
      <w:r w:rsidRPr="00D53F39">
        <w:rPr>
          <w:lang w:val="en-US"/>
        </w:rPr>
        <w:noBreakHyphen/>
        <w:t>1),</w:t>
      </w:r>
    </w:p>
    <w:p w:rsidR="00E24DB7" w:rsidRPr="00D53F39" w:rsidRDefault="00E24DB7" w:rsidP="00E24DB7">
      <w:pPr>
        <w:pStyle w:val="SingleTxtG"/>
        <w:tabs>
          <w:tab w:val="right" w:pos="8505"/>
        </w:tabs>
        <w:ind w:left="2835"/>
        <w:jc w:val="center"/>
        <w:rPr>
          <w:lang w:val="en-US"/>
        </w:rPr>
      </w:pPr>
      <w:r w:rsidRPr="00D53F39">
        <w:rPr>
          <w:lang w:val="en-US"/>
        </w:rPr>
        <w:t>n</w:t>
      </w:r>
      <w:r w:rsidRPr="00D53F39">
        <w:rPr>
          <w:vertAlign w:val="subscript"/>
          <w:lang w:val="en-US"/>
        </w:rPr>
        <w:t>ng-2</w:t>
      </w:r>
      <w:r w:rsidRPr="00D53F39">
        <w:rPr>
          <w:lang w:val="en-US"/>
        </w:rPr>
        <w:t xml:space="preserve"> = (n/v)</w:t>
      </w:r>
      <w:r w:rsidRPr="00D53F39">
        <w:rPr>
          <w:vertAlign w:val="subscript"/>
          <w:lang w:val="en-US"/>
        </w:rPr>
        <w:t>ng-2</w:t>
      </w:r>
      <w:r w:rsidRPr="00D53F39">
        <w:rPr>
          <w:lang w:val="en-US"/>
        </w:rPr>
        <w:t xml:space="preserve"> × v</w:t>
      </w:r>
      <w:r w:rsidRPr="00D53F39">
        <w:rPr>
          <w:vertAlign w:val="subscript"/>
          <w:lang w:val="en-US"/>
        </w:rPr>
        <w:t>max</w:t>
      </w:r>
      <w:r w:rsidRPr="00D53F39">
        <w:rPr>
          <w:lang w:val="en-US"/>
        </w:rPr>
        <w:t>(ng</w:t>
      </w:r>
      <w:r w:rsidRPr="00D53F39">
        <w:rPr>
          <w:lang w:val="en-US"/>
        </w:rPr>
        <w:noBreakHyphen/>
        <w:t xml:space="preserve">2), </w:t>
      </w:r>
    </w:p>
    <w:p w:rsidR="00E24DB7" w:rsidRPr="002C5876" w:rsidRDefault="00E24DB7" w:rsidP="00E24DB7">
      <w:pPr>
        <w:pStyle w:val="SingleTxtG"/>
        <w:ind w:left="2835"/>
      </w:pPr>
      <w:r w:rsidRPr="00D53F39">
        <w:rPr>
          <w:lang w:val="en-US"/>
        </w:rPr>
        <w:tab/>
      </w:r>
      <w:r w:rsidRPr="002C5876">
        <w:t>et en réduisant les valeurs de puissance de la courbe de puissance à pleine charge de 10 %.</w:t>
      </w:r>
    </w:p>
    <w:p w:rsidR="00E24DB7" w:rsidRPr="002C5876" w:rsidRDefault="00E24DB7" w:rsidP="00E24DB7">
      <w:pPr>
        <w:pStyle w:val="SingleTxtG"/>
        <w:ind w:left="2835"/>
      </w:pPr>
      <w:r w:rsidRPr="002C5876">
        <w:t>La méthode décrite ci-dessus peut, si nécessaire, être étendue aux rapports</w:t>
      </w:r>
      <w:r w:rsidR="00E46301" w:rsidRPr="002C5876">
        <w:t> </w:t>
      </w:r>
      <w:r w:rsidRPr="002C5876">
        <w:t>ng</w:t>
      </w:r>
      <w:r w:rsidRPr="002C5876">
        <w:noBreakHyphen/>
        <w:t>3, ng</w:t>
      </w:r>
      <w:r w:rsidRPr="002C5876">
        <w:noBreakHyphen/>
        <w:t>4, etc.</w:t>
      </w:r>
    </w:p>
    <w:p w:rsidR="00E24DB7" w:rsidRPr="002C5876" w:rsidRDefault="00E24DB7" w:rsidP="00E24DB7">
      <w:pPr>
        <w:pStyle w:val="SingleTxtG"/>
        <w:keepNext/>
        <w:keepLines/>
        <w:ind w:left="2835"/>
      </w:pPr>
      <w:r w:rsidRPr="002C5876">
        <w:lastRenderedPageBreak/>
        <w:t>Si, afin de limiter la vitesse maximale du véhicule, le régime maximal est limité à n</w:t>
      </w:r>
      <w:r w:rsidRPr="002C5876">
        <w:rPr>
          <w:vertAlign w:val="subscript"/>
        </w:rPr>
        <w:t>lim</w:t>
      </w:r>
      <w:r w:rsidRPr="002C5876">
        <w:t>, dont la valeur est inférieure au régime correspondant à l’intersection entre la courbe de la puissance requise pour surmonter la résistance à l’avancement sur route et la courbe de la puissance disponible, alors :</w:t>
      </w:r>
    </w:p>
    <w:p w:rsidR="00E24DB7" w:rsidRPr="002C5876" w:rsidRDefault="00E24DB7" w:rsidP="00E24DB7">
      <w:pPr>
        <w:pStyle w:val="SingleTxtG"/>
        <w:keepNext/>
        <w:keepLines/>
        <w:spacing w:after="240"/>
        <w:ind w:left="2835"/>
        <w:jc w:val="center"/>
      </w:pPr>
      <w:r w:rsidRPr="002C5876">
        <w:t>ng</w:t>
      </w:r>
      <w:r w:rsidRPr="002C5876">
        <w:rPr>
          <w:vertAlign w:val="subscript"/>
        </w:rPr>
        <w:t>vmax</w:t>
      </w:r>
      <w:r w:rsidRPr="002C5876">
        <w:t xml:space="preserve"> = ng</w:t>
      </w:r>
      <w:r w:rsidRPr="002C5876">
        <w:rPr>
          <w:vertAlign w:val="subscript"/>
        </w:rPr>
        <w:t>max</w:t>
      </w:r>
      <w:r w:rsidRPr="002C5876">
        <w:t xml:space="preserve"> et v</w:t>
      </w:r>
      <w:r w:rsidRPr="002C5876">
        <w:rPr>
          <w:vertAlign w:val="subscript"/>
        </w:rPr>
        <w:t>max</w:t>
      </w:r>
      <w:r w:rsidRPr="002C5876">
        <w:t xml:space="preserve"> = n</w:t>
      </w:r>
      <w:r w:rsidRPr="002C5876">
        <w:rPr>
          <w:vertAlign w:val="subscript"/>
        </w:rPr>
        <w:t>lim</w:t>
      </w:r>
      <w:r w:rsidRPr="002C5876">
        <w:t>/(n/v) (ng</w:t>
      </w:r>
      <w:r w:rsidRPr="002C5876">
        <w:rPr>
          <w:vertAlign w:val="subscript"/>
        </w:rPr>
        <w:t>max</w:t>
      </w:r>
      <w:r w:rsidRPr="002C5876">
        <w:t>).</w:t>
      </w:r>
    </w:p>
    <w:p w:rsidR="00E24DB7" w:rsidRPr="002C5876" w:rsidRDefault="00E24DB7" w:rsidP="00E24DB7">
      <w:pPr>
        <w:pStyle w:val="H23G"/>
      </w:pPr>
      <w:r w:rsidRPr="002C5876">
        <w:tab/>
      </w:r>
      <w:r w:rsidRPr="002C5876">
        <w:tab/>
      </w:r>
      <w:r w:rsidRPr="002C5876">
        <w:rPr>
          <w:b w:val="0"/>
        </w:rPr>
        <w:t xml:space="preserve">Figure A2/1a </w:t>
      </w:r>
      <w:r w:rsidRPr="002C5876">
        <w:rPr>
          <w:b w:val="0"/>
        </w:rPr>
        <w:br/>
      </w:r>
      <w:r w:rsidRPr="002C5876">
        <w:t>Cas où ng</w:t>
      </w:r>
      <w:r w:rsidRPr="002C5876">
        <w:rPr>
          <w:vertAlign w:val="subscript"/>
        </w:rPr>
        <w:t>vmax</w:t>
      </w:r>
      <w:r w:rsidRPr="002C5876">
        <w:t xml:space="preserve"> est le rapport le plus élevé</w:t>
      </w:r>
    </w:p>
    <w:p w:rsidR="00E24DB7" w:rsidRPr="002C5876" w:rsidRDefault="00E24DB7" w:rsidP="00E24DB7">
      <w:pPr>
        <w:pStyle w:val="SingleTxtG"/>
      </w:pPr>
      <w:r w:rsidRPr="002C5876">
        <w:rPr>
          <w:noProof/>
          <w:lang w:val="en-GB" w:eastAsia="zh-CN"/>
        </w:rPr>
        <mc:AlternateContent>
          <mc:Choice Requires="wps">
            <w:drawing>
              <wp:anchor distT="0" distB="0" distL="114300" distR="114300" simplePos="0" relativeHeight="251015168" behindDoc="0" locked="0" layoutInCell="1" allowOverlap="1" wp14:anchorId="5AE0337D" wp14:editId="66243400">
                <wp:simplePos x="0" y="0"/>
                <wp:positionH relativeFrom="column">
                  <wp:posOffset>2497406</wp:posOffset>
                </wp:positionH>
                <wp:positionV relativeFrom="paragraph">
                  <wp:posOffset>2872789</wp:posOffset>
                </wp:positionV>
                <wp:extent cx="1278890" cy="89535"/>
                <wp:effectExtent l="0" t="0" r="0" b="5715"/>
                <wp:wrapNone/>
                <wp:docPr id="14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89535"/>
                        </a:xfrm>
                        <a:prstGeom prst="rect">
                          <a:avLst/>
                        </a:prstGeom>
                        <a:noFill/>
                        <a:ln w="9525">
                          <a:noFill/>
                          <a:miter lim="800000"/>
                          <a:headEnd/>
                          <a:tailEnd/>
                        </a:ln>
                      </wps:spPr>
                      <wps:txbx>
                        <w:txbxContent>
                          <w:p w:rsidR="00D53F39" w:rsidRPr="00E911A4" w:rsidRDefault="00D53F39" w:rsidP="00E24DB7">
                            <w:pPr>
                              <w:spacing w:line="140" w:lineRule="exact"/>
                              <w:jc w:val="center"/>
                              <w:rPr>
                                <w:b/>
                                <w:sz w:val="14"/>
                                <w:szCs w:val="14"/>
                              </w:rPr>
                            </w:pPr>
                            <w:r w:rsidRPr="00E911A4">
                              <w:rPr>
                                <w:b/>
                                <w:sz w:val="12"/>
                                <w:szCs w:val="12"/>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0337D" id="_x0000_s1063" type="#_x0000_t202" style="position:absolute;left:0;text-align:left;margin-left:196.65pt;margin-top:226.2pt;width:100.7pt;height:7.05pt;z-index:2510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" filled="f" stroked="f">
                <v:textbox inset="0,0,0,0">
                  <w:txbxContent>
                    <w:p w:rsidR="00D53F39" w:rsidRPr="00E911A4" w:rsidRDefault="00D53F39" w:rsidP="00E24DB7">
                      <w:pPr>
                        <w:spacing w:line="140" w:lineRule="exact"/>
                        <w:jc w:val="center"/>
                        <w:rPr>
                          <w:b/>
                          <w:sz w:val="14"/>
                          <w:szCs w:val="14"/>
                        </w:rPr>
                      </w:pPr>
                      <w:r w:rsidRPr="00E911A4">
                        <w:rPr>
                          <w:b/>
                          <w:sz w:val="12"/>
                          <w:szCs w:val="12"/>
                        </w:rPr>
                        <w:t>Vitesse du véhicule en km/h</w:t>
                      </w:r>
                    </w:p>
                  </w:txbxContent>
                </v:textbox>
              </v:shape>
            </w:pict>
          </mc:Fallback>
        </mc:AlternateContent>
      </w:r>
      <w:r w:rsidRPr="002C5876">
        <w:rPr>
          <w:noProof/>
          <w:lang w:val="en-GB" w:eastAsia="zh-CN"/>
        </w:rPr>
        <mc:AlternateContent>
          <mc:Choice Requires="wps">
            <w:drawing>
              <wp:anchor distT="0" distB="0" distL="114300" distR="114300" simplePos="0" relativeHeight="251014144" behindDoc="0" locked="0" layoutInCell="1" allowOverlap="1" wp14:anchorId="15EBCBEE" wp14:editId="11FB1A78">
                <wp:simplePos x="0" y="0"/>
                <wp:positionH relativeFrom="column">
                  <wp:posOffset>3089421</wp:posOffset>
                </wp:positionH>
                <wp:positionV relativeFrom="paragraph">
                  <wp:posOffset>2063897</wp:posOffset>
                </wp:positionV>
                <wp:extent cx="390525" cy="591185"/>
                <wp:effectExtent l="0" t="0" r="9525" b="0"/>
                <wp:wrapNone/>
                <wp:docPr id="13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591185"/>
                        </a:xfrm>
                        <a:prstGeom prst="rect">
                          <a:avLst/>
                        </a:prstGeom>
                        <a:noFill/>
                        <a:ln w="9525">
                          <a:noFill/>
                          <a:miter lim="800000"/>
                          <a:headEnd/>
                          <a:tailEnd/>
                        </a:ln>
                      </wps:spPr>
                      <wps:txbx>
                        <w:txbxContent>
                          <w:p w:rsidR="00D53F39" w:rsidRPr="00E911A4" w:rsidRDefault="00D53F39" w:rsidP="00E24DB7">
                            <w:pPr>
                              <w:spacing w:after="20" w:line="140" w:lineRule="exact"/>
                              <w:rPr>
                                <w:b/>
                                <w:sz w:val="12"/>
                                <w:szCs w:val="12"/>
                              </w:rPr>
                            </w:pPr>
                            <w:r w:rsidRPr="00E911A4">
                              <w:rPr>
                                <w:b/>
                                <w:sz w:val="12"/>
                                <w:szCs w:val="12"/>
                              </w:rPr>
                              <w:t>rapport 1</w:t>
                            </w:r>
                          </w:p>
                          <w:p w:rsidR="00D53F39" w:rsidRPr="00E911A4" w:rsidRDefault="00D53F39" w:rsidP="00E24DB7">
                            <w:pPr>
                              <w:spacing w:after="20" w:line="140" w:lineRule="exact"/>
                              <w:rPr>
                                <w:b/>
                                <w:sz w:val="12"/>
                                <w:szCs w:val="12"/>
                              </w:rPr>
                            </w:pPr>
                            <w:r w:rsidRPr="00E911A4">
                              <w:rPr>
                                <w:b/>
                                <w:sz w:val="12"/>
                                <w:szCs w:val="12"/>
                              </w:rPr>
                              <w:t>rapport 2</w:t>
                            </w:r>
                          </w:p>
                          <w:p w:rsidR="00D53F39" w:rsidRPr="00E911A4" w:rsidRDefault="00D53F39" w:rsidP="00E24DB7">
                            <w:pPr>
                              <w:spacing w:after="20" w:line="140" w:lineRule="exact"/>
                              <w:rPr>
                                <w:b/>
                                <w:sz w:val="12"/>
                                <w:szCs w:val="12"/>
                              </w:rPr>
                            </w:pPr>
                            <w:r w:rsidRPr="00E911A4">
                              <w:rPr>
                                <w:b/>
                                <w:sz w:val="12"/>
                                <w:szCs w:val="12"/>
                              </w:rPr>
                              <w:t>rapport 3</w:t>
                            </w:r>
                          </w:p>
                          <w:p w:rsidR="00D53F39" w:rsidRPr="00E911A4" w:rsidRDefault="00D53F39" w:rsidP="00E24DB7">
                            <w:pPr>
                              <w:spacing w:after="20" w:line="140" w:lineRule="exact"/>
                              <w:rPr>
                                <w:b/>
                                <w:sz w:val="12"/>
                                <w:szCs w:val="12"/>
                              </w:rPr>
                            </w:pPr>
                            <w:r w:rsidRPr="00E911A4">
                              <w:rPr>
                                <w:b/>
                                <w:sz w:val="12"/>
                                <w:szCs w:val="12"/>
                              </w:rPr>
                              <w:t>rapport 4</w:t>
                            </w:r>
                          </w:p>
                          <w:p w:rsidR="00D53F39" w:rsidRPr="00E911A4" w:rsidRDefault="00D53F39" w:rsidP="00E24DB7">
                            <w:pPr>
                              <w:spacing w:line="140" w:lineRule="exact"/>
                              <w:rPr>
                                <w:b/>
                                <w:sz w:val="12"/>
                                <w:szCs w:val="12"/>
                              </w:rPr>
                            </w:pPr>
                            <w:r w:rsidRPr="00E911A4">
                              <w:rPr>
                                <w:b/>
                                <w:sz w:val="12"/>
                                <w:szCs w:val="12"/>
                              </w:rPr>
                              <w:t>rapport 5</w:t>
                            </w:r>
                          </w:p>
                          <w:p w:rsidR="00D53F39" w:rsidRPr="00BA5E14" w:rsidRDefault="00D53F39" w:rsidP="00E24DB7">
                            <w:pPr>
                              <w:spacing w:line="140" w:lineRule="exact"/>
                              <w:rPr>
                                <w:b/>
                                <w:sz w:val="14"/>
                                <w:szCs w:val="14"/>
                              </w:rPr>
                            </w:pPr>
                            <w:r w:rsidRPr="00BA5E14">
                              <w:rPr>
                                <w:b/>
                                <w:sz w:val="12"/>
                                <w:szCs w:val="12"/>
                              </w:rPr>
                              <w:t>rapport 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BCBEE" id="_x0000_s1064" type="#_x0000_t202" style="position:absolute;left:0;text-align:left;margin-left:243.25pt;margin-top:162.5pt;width:30.75pt;height:46.55pt;z-index:2510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" filled="f" stroked="f">
                <v:textbox inset="0,0,0,0">
                  <w:txbxContent>
                    <w:p w:rsidR="00D53F39" w:rsidRPr="00E911A4" w:rsidRDefault="00D53F39" w:rsidP="00E24DB7">
                      <w:pPr>
                        <w:spacing w:after="20" w:line="140" w:lineRule="exact"/>
                        <w:rPr>
                          <w:b/>
                          <w:sz w:val="12"/>
                          <w:szCs w:val="12"/>
                        </w:rPr>
                      </w:pPr>
                      <w:r w:rsidRPr="00E911A4">
                        <w:rPr>
                          <w:b/>
                          <w:sz w:val="12"/>
                          <w:szCs w:val="12"/>
                        </w:rPr>
                        <w:t>rapport 1</w:t>
                      </w:r>
                    </w:p>
                    <w:p w:rsidR="00D53F39" w:rsidRPr="00E911A4" w:rsidRDefault="00D53F39" w:rsidP="00E24DB7">
                      <w:pPr>
                        <w:spacing w:after="20" w:line="140" w:lineRule="exact"/>
                        <w:rPr>
                          <w:b/>
                          <w:sz w:val="12"/>
                          <w:szCs w:val="12"/>
                        </w:rPr>
                      </w:pPr>
                      <w:r w:rsidRPr="00E911A4">
                        <w:rPr>
                          <w:b/>
                          <w:sz w:val="12"/>
                          <w:szCs w:val="12"/>
                        </w:rPr>
                        <w:t>rapport 2</w:t>
                      </w:r>
                    </w:p>
                    <w:p w:rsidR="00D53F39" w:rsidRPr="00E911A4" w:rsidRDefault="00D53F39" w:rsidP="00E24DB7">
                      <w:pPr>
                        <w:spacing w:after="20" w:line="140" w:lineRule="exact"/>
                        <w:rPr>
                          <w:b/>
                          <w:sz w:val="12"/>
                          <w:szCs w:val="12"/>
                        </w:rPr>
                      </w:pPr>
                      <w:r w:rsidRPr="00E911A4">
                        <w:rPr>
                          <w:b/>
                          <w:sz w:val="12"/>
                          <w:szCs w:val="12"/>
                        </w:rPr>
                        <w:t>rapport 3</w:t>
                      </w:r>
                    </w:p>
                    <w:p w:rsidR="00D53F39" w:rsidRPr="00E911A4" w:rsidRDefault="00D53F39" w:rsidP="00E24DB7">
                      <w:pPr>
                        <w:spacing w:after="20" w:line="140" w:lineRule="exact"/>
                        <w:rPr>
                          <w:b/>
                          <w:sz w:val="12"/>
                          <w:szCs w:val="12"/>
                        </w:rPr>
                      </w:pPr>
                      <w:r w:rsidRPr="00E911A4">
                        <w:rPr>
                          <w:b/>
                          <w:sz w:val="12"/>
                          <w:szCs w:val="12"/>
                        </w:rPr>
                        <w:t>rapport 4</w:t>
                      </w:r>
                    </w:p>
                    <w:p w:rsidR="00D53F39" w:rsidRPr="00E911A4" w:rsidRDefault="00D53F39" w:rsidP="00E24DB7">
                      <w:pPr>
                        <w:spacing w:line="140" w:lineRule="exact"/>
                        <w:rPr>
                          <w:b/>
                          <w:sz w:val="12"/>
                          <w:szCs w:val="12"/>
                        </w:rPr>
                      </w:pPr>
                      <w:r w:rsidRPr="00E911A4">
                        <w:rPr>
                          <w:b/>
                          <w:sz w:val="12"/>
                          <w:szCs w:val="12"/>
                        </w:rPr>
                        <w:t>rapport 5</w:t>
                      </w:r>
                    </w:p>
                    <w:p w:rsidR="00D53F39" w:rsidRPr="00BA5E14" w:rsidRDefault="00D53F39" w:rsidP="00E24DB7">
                      <w:pPr>
                        <w:spacing w:line="140" w:lineRule="exact"/>
                        <w:rPr>
                          <w:b/>
                          <w:sz w:val="14"/>
                          <w:szCs w:val="14"/>
                        </w:rPr>
                      </w:pPr>
                      <w:r w:rsidRPr="00BA5E14">
                        <w:rPr>
                          <w:b/>
                          <w:sz w:val="12"/>
                          <w:szCs w:val="12"/>
                        </w:rPr>
                        <w:t>rapport 6</w:t>
                      </w:r>
                    </w:p>
                  </w:txbxContent>
                </v:textbox>
              </v:shape>
            </w:pict>
          </mc:Fallback>
        </mc:AlternateContent>
      </w:r>
      <w:r w:rsidRPr="002C5876">
        <w:rPr>
          <w:noProof/>
          <w:lang w:val="en-GB" w:eastAsia="zh-CN"/>
        </w:rPr>
        <mc:AlternateContent>
          <mc:Choice Requires="wps">
            <w:drawing>
              <wp:anchor distT="0" distB="0" distL="114300" distR="114300" simplePos="0" relativeHeight="251013120" behindDoc="0" locked="0" layoutInCell="1" allowOverlap="1" wp14:anchorId="69331920" wp14:editId="6857CEEB">
                <wp:simplePos x="0" y="0"/>
                <wp:positionH relativeFrom="column">
                  <wp:posOffset>3599375</wp:posOffset>
                </wp:positionH>
                <wp:positionV relativeFrom="paragraph">
                  <wp:posOffset>2274912</wp:posOffset>
                </wp:positionV>
                <wp:extent cx="554355" cy="126365"/>
                <wp:effectExtent l="0" t="0" r="0" b="6985"/>
                <wp:wrapNone/>
                <wp:docPr id="13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6365"/>
                        </a:xfrm>
                        <a:prstGeom prst="rect">
                          <a:avLst/>
                        </a:prstGeom>
                        <a:noFill/>
                        <a:ln w="9525">
                          <a:noFill/>
                          <a:miter lim="800000"/>
                          <a:headEnd/>
                          <a:tailEnd/>
                        </a:ln>
                      </wps:spPr>
                      <wps:txbx>
                        <w:txbxContent>
                          <w:p w:rsidR="00D53F39" w:rsidRPr="00BA5E14" w:rsidRDefault="00D53F39" w:rsidP="00E24DB7">
                            <w:pPr>
                              <w:spacing w:line="140" w:lineRule="exact"/>
                              <w:jc w:val="center"/>
                              <w:rPr>
                                <w:b/>
                                <w:sz w:val="12"/>
                                <w:szCs w:val="12"/>
                              </w:rPr>
                            </w:pPr>
                            <w:r w:rsidRPr="00BA5E14">
                              <w:rPr>
                                <w:b/>
                                <w:sz w:val="12"/>
                                <w:szCs w:val="12"/>
                              </w:rPr>
                              <w:t>v</w:t>
                            </w:r>
                            <w:r w:rsidRPr="00BA5E14">
                              <w:rPr>
                                <w:b/>
                                <w:sz w:val="12"/>
                                <w:szCs w:val="12"/>
                                <w:vertAlign w:val="subscript"/>
                              </w:rPr>
                              <w:t>max</w:t>
                            </w:r>
                            <w:r w:rsidRPr="00BA5E14">
                              <w:rPr>
                                <w:b/>
                                <w:sz w:val="12"/>
                                <w:szCs w:val="12"/>
                              </w:rPr>
                              <w:t xml:space="preserve"> = rapport </w:t>
                            </w:r>
                            <w:r>
                              <w:rPr>
                                <w:b/>
                                <w:sz w:val="12"/>
                                <w:szCs w:val="12"/>
                              </w:rPr>
                              <w:t>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31920" id="_x0000_s1065" type="#_x0000_t202" style="position:absolute;left:0;text-align:left;margin-left:283.4pt;margin-top:179.15pt;width:43.65pt;height:9.95pt;z-index:2510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" filled="f" stroked="f">
                <v:textbox inset="0,0,0,0">
                  <w:txbxContent>
                    <w:p w:rsidR="00D53F39" w:rsidRPr="00BA5E14" w:rsidRDefault="00D53F39" w:rsidP="00E24DB7">
                      <w:pPr>
                        <w:spacing w:line="140" w:lineRule="exact"/>
                        <w:jc w:val="center"/>
                        <w:rPr>
                          <w:b/>
                          <w:sz w:val="12"/>
                          <w:szCs w:val="12"/>
                        </w:rPr>
                      </w:pPr>
                      <w:r w:rsidRPr="00BA5E14">
                        <w:rPr>
                          <w:b/>
                          <w:sz w:val="12"/>
                          <w:szCs w:val="12"/>
                        </w:rPr>
                        <w:t>v</w:t>
                      </w:r>
                      <w:r w:rsidRPr="00BA5E14">
                        <w:rPr>
                          <w:b/>
                          <w:sz w:val="12"/>
                          <w:szCs w:val="12"/>
                          <w:vertAlign w:val="subscript"/>
                        </w:rPr>
                        <w:t>max</w:t>
                      </w:r>
                      <w:r w:rsidRPr="00BA5E14">
                        <w:rPr>
                          <w:b/>
                          <w:sz w:val="12"/>
                          <w:szCs w:val="12"/>
                        </w:rPr>
                        <w:t xml:space="preserve"> = rapport </w:t>
                      </w:r>
                      <w:r>
                        <w:rPr>
                          <w:b/>
                          <w:sz w:val="12"/>
                          <w:szCs w:val="12"/>
                        </w:rPr>
                        <w:t>5</w:t>
                      </w:r>
                    </w:p>
                  </w:txbxContent>
                </v:textbox>
              </v:shape>
            </w:pict>
          </mc:Fallback>
        </mc:AlternateContent>
      </w:r>
      <w:r w:rsidRPr="002C5876">
        <w:rPr>
          <w:noProof/>
          <w:lang w:val="en-GB" w:eastAsia="zh-CN"/>
        </w:rPr>
        <mc:AlternateContent>
          <mc:Choice Requires="wps">
            <w:drawing>
              <wp:anchor distT="0" distB="0" distL="114300" distR="114300" simplePos="0" relativeHeight="251012096" behindDoc="0" locked="0" layoutInCell="1" allowOverlap="1" wp14:anchorId="0BA9F59A" wp14:editId="123FBB76">
                <wp:simplePos x="0" y="0"/>
                <wp:positionH relativeFrom="column">
                  <wp:posOffset>4769095</wp:posOffset>
                </wp:positionH>
                <wp:positionV relativeFrom="paragraph">
                  <wp:posOffset>1943784</wp:posOffset>
                </wp:positionV>
                <wp:extent cx="554355" cy="126365"/>
                <wp:effectExtent l="0" t="0" r="0" b="6985"/>
                <wp:wrapNone/>
                <wp:docPr id="13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6365"/>
                        </a:xfrm>
                        <a:prstGeom prst="rect">
                          <a:avLst/>
                        </a:prstGeom>
                        <a:noFill/>
                        <a:ln w="9525">
                          <a:noFill/>
                          <a:miter lim="800000"/>
                          <a:headEnd/>
                          <a:tailEnd/>
                        </a:ln>
                      </wps:spPr>
                      <wps:txbx>
                        <w:txbxContent>
                          <w:p w:rsidR="00D53F39" w:rsidRPr="00BA5E14" w:rsidRDefault="00D53F39" w:rsidP="00E24DB7">
                            <w:pPr>
                              <w:spacing w:line="140" w:lineRule="exact"/>
                              <w:jc w:val="center"/>
                              <w:rPr>
                                <w:b/>
                                <w:sz w:val="12"/>
                                <w:szCs w:val="12"/>
                              </w:rPr>
                            </w:pPr>
                            <w:r w:rsidRPr="00BA5E14">
                              <w:rPr>
                                <w:b/>
                                <w:sz w:val="12"/>
                                <w:szCs w:val="12"/>
                              </w:rPr>
                              <w:t>v</w:t>
                            </w:r>
                            <w:r w:rsidRPr="00BA5E14">
                              <w:rPr>
                                <w:b/>
                                <w:sz w:val="12"/>
                                <w:szCs w:val="12"/>
                                <w:vertAlign w:val="subscript"/>
                              </w:rPr>
                              <w:t>max</w:t>
                            </w:r>
                            <w:r w:rsidRPr="00BA5E14">
                              <w:rPr>
                                <w:b/>
                                <w:sz w:val="12"/>
                                <w:szCs w:val="12"/>
                              </w:rPr>
                              <w:t xml:space="preserve"> = rapport </w:t>
                            </w:r>
                            <w:r>
                              <w:rPr>
                                <w:b/>
                                <w:sz w:val="12"/>
                                <w:szCs w:val="12"/>
                              </w:rPr>
                              <w:t>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9F59A" id="_x0000_s1066" type="#_x0000_t202" style="position:absolute;left:0;text-align:left;margin-left:375.5pt;margin-top:153.05pt;width:43.65pt;height:9.95pt;z-index:2510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" filled="f" stroked="f">
                <v:textbox inset="0,0,0,0">
                  <w:txbxContent>
                    <w:p w:rsidR="00D53F39" w:rsidRPr="00BA5E14" w:rsidRDefault="00D53F39" w:rsidP="00E24DB7">
                      <w:pPr>
                        <w:spacing w:line="140" w:lineRule="exact"/>
                        <w:jc w:val="center"/>
                        <w:rPr>
                          <w:b/>
                          <w:sz w:val="12"/>
                          <w:szCs w:val="12"/>
                        </w:rPr>
                      </w:pPr>
                      <w:r w:rsidRPr="00BA5E14">
                        <w:rPr>
                          <w:b/>
                          <w:sz w:val="12"/>
                          <w:szCs w:val="12"/>
                        </w:rPr>
                        <w:t>v</w:t>
                      </w:r>
                      <w:r w:rsidRPr="00BA5E14">
                        <w:rPr>
                          <w:b/>
                          <w:sz w:val="12"/>
                          <w:szCs w:val="12"/>
                          <w:vertAlign w:val="subscript"/>
                        </w:rPr>
                        <w:t>max</w:t>
                      </w:r>
                      <w:r w:rsidRPr="00BA5E14">
                        <w:rPr>
                          <w:b/>
                          <w:sz w:val="12"/>
                          <w:szCs w:val="12"/>
                        </w:rPr>
                        <w:t xml:space="preserve"> = rapport </w:t>
                      </w:r>
                      <w:r>
                        <w:rPr>
                          <w:b/>
                          <w:sz w:val="12"/>
                          <w:szCs w:val="12"/>
                        </w:rPr>
                        <w:t>6</w:t>
                      </w:r>
                    </w:p>
                  </w:txbxContent>
                </v:textbox>
              </v:shape>
            </w:pict>
          </mc:Fallback>
        </mc:AlternateContent>
      </w:r>
      <w:r w:rsidRPr="002C5876">
        <w:rPr>
          <w:noProof/>
          <w:lang w:val="en-GB" w:eastAsia="zh-CN"/>
        </w:rPr>
        <mc:AlternateContent>
          <mc:Choice Requires="wps">
            <w:drawing>
              <wp:anchor distT="0" distB="0" distL="114300" distR="114300" simplePos="0" relativeHeight="251011072" behindDoc="0" locked="0" layoutInCell="1" allowOverlap="1" wp14:anchorId="32075F48" wp14:editId="5FDF1696">
                <wp:simplePos x="0" y="0"/>
                <wp:positionH relativeFrom="column">
                  <wp:posOffset>311372</wp:posOffset>
                </wp:positionH>
                <wp:positionV relativeFrom="paragraph">
                  <wp:posOffset>1355602</wp:posOffset>
                </wp:positionV>
                <wp:extent cx="1162050" cy="123825"/>
                <wp:effectExtent l="4762" t="0" r="4763" b="4762"/>
                <wp:wrapNone/>
                <wp:docPr id="13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62050" cy="123825"/>
                        </a:xfrm>
                        <a:prstGeom prst="rect">
                          <a:avLst/>
                        </a:prstGeom>
                        <a:noFill/>
                        <a:ln w="9525">
                          <a:noFill/>
                          <a:miter lim="800000"/>
                          <a:headEnd/>
                          <a:tailEnd/>
                        </a:ln>
                      </wps:spPr>
                      <wps:txbx>
                        <w:txbxContent>
                          <w:p w:rsidR="00D53F39" w:rsidRPr="00BA5E14" w:rsidRDefault="00D53F39" w:rsidP="00E24DB7">
                            <w:pPr>
                              <w:spacing w:line="140" w:lineRule="exact"/>
                              <w:jc w:val="center"/>
                              <w:rPr>
                                <w:b/>
                                <w:sz w:val="14"/>
                                <w:szCs w:val="14"/>
                              </w:rPr>
                            </w:pPr>
                            <w:r w:rsidRPr="00BA5E14">
                              <w:rPr>
                                <w:b/>
                                <w:sz w:val="12"/>
                                <w:szCs w:val="12"/>
                              </w:rPr>
                              <w:t>P en kW</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75F48" id="_x0000_s1067" type="#_x0000_t202" style="position:absolute;left:0;text-align:left;margin-left:24.5pt;margin-top:106.75pt;width:91.5pt;height:9.75pt;rotation:-90;z-index:2510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" filled="f" stroked="f">
                <v:textbox inset="0,0,0,0">
                  <w:txbxContent>
                    <w:p w:rsidR="00D53F39" w:rsidRPr="00BA5E14" w:rsidRDefault="00D53F39" w:rsidP="00E24DB7">
                      <w:pPr>
                        <w:spacing w:line="140" w:lineRule="exact"/>
                        <w:jc w:val="center"/>
                        <w:rPr>
                          <w:b/>
                          <w:sz w:val="14"/>
                          <w:szCs w:val="14"/>
                        </w:rPr>
                      </w:pPr>
                      <w:r w:rsidRPr="00BA5E14">
                        <w:rPr>
                          <w:b/>
                          <w:sz w:val="12"/>
                          <w:szCs w:val="12"/>
                        </w:rPr>
                        <w:t>P en kW</w:t>
                      </w:r>
                    </w:p>
                  </w:txbxContent>
                </v:textbox>
              </v:shape>
            </w:pict>
          </mc:Fallback>
        </mc:AlternateContent>
      </w:r>
      <w:r w:rsidRPr="002C5876">
        <w:rPr>
          <w:noProof/>
          <w:lang w:val="en-GB" w:eastAsia="zh-CN"/>
        </w:rPr>
        <mc:AlternateContent>
          <mc:Choice Requires="wps">
            <w:drawing>
              <wp:anchor distT="0" distB="0" distL="114300" distR="114300" simplePos="0" relativeHeight="251010048" behindDoc="0" locked="0" layoutInCell="1" allowOverlap="1" wp14:anchorId="0C7252A2" wp14:editId="18D8D809">
                <wp:simplePos x="0" y="0"/>
                <wp:positionH relativeFrom="column">
                  <wp:posOffset>2772898</wp:posOffset>
                </wp:positionH>
                <wp:positionV relativeFrom="paragraph">
                  <wp:posOffset>153035</wp:posOffset>
                </wp:positionV>
                <wp:extent cx="554355" cy="126365"/>
                <wp:effectExtent l="0" t="0" r="0" b="6985"/>
                <wp:wrapNone/>
                <wp:docPr id="13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6365"/>
                        </a:xfrm>
                        <a:prstGeom prst="rect">
                          <a:avLst/>
                        </a:prstGeom>
                        <a:noFill/>
                        <a:ln w="9525">
                          <a:noFill/>
                          <a:miter lim="800000"/>
                          <a:headEnd/>
                          <a:tailEnd/>
                        </a:ln>
                      </wps:spPr>
                      <wps:txbx>
                        <w:txbxContent>
                          <w:p w:rsidR="00D53F39" w:rsidRPr="00BA5E14" w:rsidRDefault="00D53F39" w:rsidP="00E24DB7">
                            <w:pPr>
                              <w:spacing w:line="140" w:lineRule="exact"/>
                              <w:jc w:val="center"/>
                              <w:rPr>
                                <w:b/>
                                <w:sz w:val="14"/>
                                <w:szCs w:val="14"/>
                              </w:rPr>
                            </w:pPr>
                            <w:r w:rsidRPr="00BA5E14">
                              <w:rPr>
                                <w:b/>
                                <w:sz w:val="14"/>
                                <w:szCs w:val="14"/>
                              </w:rPr>
                              <w:t>ng</w:t>
                            </w:r>
                            <w:r w:rsidRPr="00C218AF">
                              <w:rPr>
                                <w:b/>
                                <w:sz w:val="14"/>
                                <w:szCs w:val="14"/>
                                <w:vertAlign w:val="subscript"/>
                              </w:rPr>
                              <w:t>v</w:t>
                            </w:r>
                            <w:r w:rsidRPr="00BA5E14">
                              <w:rPr>
                                <w:b/>
                                <w:sz w:val="14"/>
                                <w:szCs w:val="14"/>
                                <w:vertAlign w:val="subscript"/>
                              </w:rPr>
                              <w:t>max</w:t>
                            </w:r>
                            <w:r w:rsidRPr="00BA5E14">
                              <w:rPr>
                                <w:b/>
                                <w:sz w:val="14"/>
                                <w:szCs w:val="14"/>
                              </w:rPr>
                              <w:t xml:space="preserve"> = </w:t>
                            </w:r>
                            <w:r>
                              <w:rPr>
                                <w:b/>
                                <w:sz w:val="14"/>
                                <w:szCs w:val="14"/>
                              </w:rPr>
                              <w:t>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252A2" id="_x0000_s1068" type="#_x0000_t202" style="position:absolute;left:0;text-align:left;margin-left:218.35pt;margin-top:12.05pt;width:43.65pt;height:9.95pt;z-index:2510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" filled="f" stroked="f">
                <v:textbox inset="0,0,0,0">
                  <w:txbxContent>
                    <w:p w:rsidR="00D53F39" w:rsidRPr="00BA5E14" w:rsidRDefault="00D53F39" w:rsidP="00E24DB7">
                      <w:pPr>
                        <w:spacing w:line="140" w:lineRule="exact"/>
                        <w:jc w:val="center"/>
                        <w:rPr>
                          <w:b/>
                          <w:sz w:val="14"/>
                          <w:szCs w:val="14"/>
                        </w:rPr>
                      </w:pPr>
                      <w:r w:rsidRPr="00BA5E14">
                        <w:rPr>
                          <w:b/>
                          <w:sz w:val="14"/>
                          <w:szCs w:val="14"/>
                        </w:rPr>
                        <w:t>ng</w:t>
                      </w:r>
                      <w:r w:rsidRPr="00C218AF">
                        <w:rPr>
                          <w:b/>
                          <w:sz w:val="14"/>
                          <w:szCs w:val="14"/>
                          <w:vertAlign w:val="subscript"/>
                        </w:rPr>
                        <w:t>v</w:t>
                      </w:r>
                      <w:r w:rsidRPr="00BA5E14">
                        <w:rPr>
                          <w:b/>
                          <w:sz w:val="14"/>
                          <w:szCs w:val="14"/>
                          <w:vertAlign w:val="subscript"/>
                        </w:rPr>
                        <w:t>max</w:t>
                      </w:r>
                      <w:r w:rsidRPr="00BA5E14">
                        <w:rPr>
                          <w:b/>
                          <w:sz w:val="14"/>
                          <w:szCs w:val="14"/>
                        </w:rPr>
                        <w:t xml:space="preserve"> = </w:t>
                      </w:r>
                      <w:r>
                        <w:rPr>
                          <w:b/>
                          <w:sz w:val="14"/>
                          <w:szCs w:val="14"/>
                        </w:rPr>
                        <w:t>6</w:t>
                      </w:r>
                    </w:p>
                  </w:txbxContent>
                </v:textbox>
              </v:shape>
            </w:pict>
          </mc:Fallback>
        </mc:AlternateContent>
      </w:r>
      <w:r w:rsidRPr="002C5876">
        <w:rPr>
          <w:noProof/>
          <w:lang w:val="en-GB" w:eastAsia="zh-CN"/>
        </w:rPr>
        <w:drawing>
          <wp:inline distT="0" distB="0" distL="0" distR="0" wp14:anchorId="51E49A2D" wp14:editId="49FB8012">
            <wp:extent cx="4654800" cy="3006000"/>
            <wp:effectExtent l="0" t="0" r="0" b="4445"/>
            <wp:docPr id="1388" name="Imag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54800" cy="3006000"/>
                    </a:xfrm>
                    <a:prstGeom prst="rect">
                      <a:avLst/>
                    </a:prstGeom>
                    <a:noFill/>
                    <a:ln>
                      <a:noFill/>
                    </a:ln>
                  </pic:spPr>
                </pic:pic>
              </a:graphicData>
            </a:graphic>
          </wp:inline>
        </w:drawing>
      </w:r>
    </w:p>
    <w:p w:rsidR="00E24DB7" w:rsidRPr="002C5876" w:rsidRDefault="00E24DB7" w:rsidP="00E24DB7">
      <w:pPr>
        <w:pStyle w:val="H23G"/>
      </w:pPr>
      <w:r w:rsidRPr="002C5876">
        <w:tab/>
      </w:r>
      <w:r w:rsidRPr="002C5876">
        <w:tab/>
      </w:r>
      <w:r w:rsidRPr="002C5876">
        <w:rPr>
          <w:b w:val="0"/>
        </w:rPr>
        <w:t xml:space="preserve">Figure A2/1b </w:t>
      </w:r>
      <w:r w:rsidRPr="002C5876">
        <w:rPr>
          <w:b w:val="0"/>
        </w:rPr>
        <w:br/>
      </w:r>
      <w:r w:rsidRPr="002C5876">
        <w:t>Cas où ng</w:t>
      </w:r>
      <w:r w:rsidRPr="002C5876">
        <w:rPr>
          <w:vertAlign w:val="subscript"/>
        </w:rPr>
        <w:t>vmax</w:t>
      </w:r>
      <w:r w:rsidRPr="002C5876">
        <w:t xml:space="preserve"> est le rapport le plus élevé moins 1</w:t>
      </w:r>
    </w:p>
    <w:p w:rsidR="00E24DB7" w:rsidRPr="002C5876" w:rsidRDefault="00E24DB7" w:rsidP="00E24DB7">
      <w:pPr>
        <w:pStyle w:val="SingleTxtG"/>
      </w:pPr>
      <w:r w:rsidRPr="002C5876">
        <w:rPr>
          <w:noProof/>
          <w:lang w:val="en-GB" w:eastAsia="zh-CN"/>
        </w:rPr>
        <mc:AlternateContent>
          <mc:Choice Requires="wps">
            <w:drawing>
              <wp:anchor distT="0" distB="0" distL="114300" distR="114300" simplePos="0" relativeHeight="251018240" behindDoc="0" locked="0" layoutInCell="1" allowOverlap="1" wp14:anchorId="506D1691" wp14:editId="0407A553">
                <wp:simplePos x="0" y="0"/>
                <wp:positionH relativeFrom="column">
                  <wp:posOffset>4830396</wp:posOffset>
                </wp:positionH>
                <wp:positionV relativeFrom="paragraph">
                  <wp:posOffset>1435100</wp:posOffset>
                </wp:positionV>
                <wp:extent cx="554355" cy="126365"/>
                <wp:effectExtent l="0" t="0" r="0" b="6985"/>
                <wp:wrapNone/>
                <wp:docPr id="13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6365"/>
                        </a:xfrm>
                        <a:prstGeom prst="rect">
                          <a:avLst/>
                        </a:prstGeom>
                        <a:noFill/>
                        <a:ln w="9525">
                          <a:noFill/>
                          <a:miter lim="800000"/>
                          <a:headEnd/>
                          <a:tailEnd/>
                        </a:ln>
                      </wps:spPr>
                      <wps:txbx>
                        <w:txbxContent>
                          <w:p w:rsidR="00D53F39" w:rsidRPr="00BA5E14" w:rsidRDefault="00D53F39" w:rsidP="00E24DB7">
                            <w:pPr>
                              <w:spacing w:line="140" w:lineRule="exact"/>
                              <w:jc w:val="center"/>
                              <w:rPr>
                                <w:b/>
                                <w:sz w:val="12"/>
                                <w:szCs w:val="12"/>
                              </w:rPr>
                            </w:pPr>
                            <w:r w:rsidRPr="00BA5E14">
                              <w:rPr>
                                <w:b/>
                                <w:sz w:val="12"/>
                                <w:szCs w:val="12"/>
                              </w:rPr>
                              <w:t>v</w:t>
                            </w:r>
                            <w:r w:rsidRPr="00BA5E14">
                              <w:rPr>
                                <w:b/>
                                <w:sz w:val="12"/>
                                <w:szCs w:val="12"/>
                                <w:vertAlign w:val="subscript"/>
                              </w:rPr>
                              <w:t>max</w:t>
                            </w:r>
                            <w:r w:rsidRPr="00BA5E14">
                              <w:rPr>
                                <w:b/>
                                <w:sz w:val="12"/>
                                <w:szCs w:val="12"/>
                              </w:rPr>
                              <w:t xml:space="preserve"> = rapport </w:t>
                            </w:r>
                            <w:r>
                              <w:rPr>
                                <w:b/>
                                <w:sz w:val="12"/>
                                <w:szCs w:val="12"/>
                              </w:rPr>
                              <w:t>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D1691" id="_x0000_s1069" type="#_x0000_t202" style="position:absolute;left:0;text-align:left;margin-left:380.35pt;margin-top:113pt;width:43.65pt;height:9.95pt;z-index:2510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" filled="f" stroked="f">
                <v:textbox inset="0,0,0,0">
                  <w:txbxContent>
                    <w:p w:rsidR="00D53F39" w:rsidRPr="00BA5E14" w:rsidRDefault="00D53F39" w:rsidP="00E24DB7">
                      <w:pPr>
                        <w:spacing w:line="140" w:lineRule="exact"/>
                        <w:jc w:val="center"/>
                        <w:rPr>
                          <w:b/>
                          <w:sz w:val="12"/>
                          <w:szCs w:val="12"/>
                        </w:rPr>
                      </w:pPr>
                      <w:r w:rsidRPr="00BA5E14">
                        <w:rPr>
                          <w:b/>
                          <w:sz w:val="12"/>
                          <w:szCs w:val="12"/>
                        </w:rPr>
                        <w:t>v</w:t>
                      </w:r>
                      <w:r w:rsidRPr="00BA5E14">
                        <w:rPr>
                          <w:b/>
                          <w:sz w:val="12"/>
                          <w:szCs w:val="12"/>
                          <w:vertAlign w:val="subscript"/>
                        </w:rPr>
                        <w:t>max</w:t>
                      </w:r>
                      <w:r w:rsidRPr="00BA5E14">
                        <w:rPr>
                          <w:b/>
                          <w:sz w:val="12"/>
                          <w:szCs w:val="12"/>
                        </w:rPr>
                        <w:t xml:space="preserve"> = rapport </w:t>
                      </w:r>
                      <w:r>
                        <w:rPr>
                          <w:b/>
                          <w:sz w:val="12"/>
                          <w:szCs w:val="12"/>
                        </w:rPr>
                        <w:t>5</w:t>
                      </w:r>
                    </w:p>
                  </w:txbxContent>
                </v:textbox>
              </v:shape>
            </w:pict>
          </mc:Fallback>
        </mc:AlternateContent>
      </w:r>
      <w:r w:rsidRPr="002C5876">
        <w:rPr>
          <w:noProof/>
          <w:lang w:val="en-GB" w:eastAsia="zh-CN"/>
        </w:rPr>
        <mc:AlternateContent>
          <mc:Choice Requires="wps">
            <w:drawing>
              <wp:anchor distT="0" distB="0" distL="114300" distR="114300" simplePos="0" relativeHeight="251022336" behindDoc="0" locked="0" layoutInCell="1" allowOverlap="1" wp14:anchorId="345E232A" wp14:editId="1A77DD13">
                <wp:simplePos x="0" y="0"/>
                <wp:positionH relativeFrom="column">
                  <wp:posOffset>3101340</wp:posOffset>
                </wp:positionH>
                <wp:positionV relativeFrom="paragraph">
                  <wp:posOffset>2115576</wp:posOffset>
                </wp:positionV>
                <wp:extent cx="390525" cy="591185"/>
                <wp:effectExtent l="0" t="0" r="9525" b="0"/>
                <wp:wrapNone/>
                <wp:docPr id="13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591185"/>
                        </a:xfrm>
                        <a:prstGeom prst="rect">
                          <a:avLst/>
                        </a:prstGeom>
                        <a:noFill/>
                        <a:ln w="9525">
                          <a:noFill/>
                          <a:miter lim="800000"/>
                          <a:headEnd/>
                          <a:tailEnd/>
                        </a:ln>
                      </wps:spPr>
                      <wps:txbx>
                        <w:txbxContent>
                          <w:p w:rsidR="00D53F39" w:rsidRPr="00E911A4" w:rsidRDefault="00D53F39" w:rsidP="00E24DB7">
                            <w:pPr>
                              <w:spacing w:after="20" w:line="140" w:lineRule="exact"/>
                              <w:rPr>
                                <w:b/>
                                <w:sz w:val="12"/>
                                <w:szCs w:val="12"/>
                              </w:rPr>
                            </w:pPr>
                            <w:r w:rsidRPr="00E911A4">
                              <w:rPr>
                                <w:b/>
                                <w:sz w:val="12"/>
                                <w:szCs w:val="12"/>
                              </w:rPr>
                              <w:t>rapport 1</w:t>
                            </w:r>
                          </w:p>
                          <w:p w:rsidR="00D53F39" w:rsidRPr="00E911A4" w:rsidRDefault="00D53F39" w:rsidP="00E24DB7">
                            <w:pPr>
                              <w:spacing w:after="20" w:line="140" w:lineRule="exact"/>
                              <w:rPr>
                                <w:b/>
                                <w:sz w:val="12"/>
                                <w:szCs w:val="12"/>
                              </w:rPr>
                            </w:pPr>
                            <w:r w:rsidRPr="00E911A4">
                              <w:rPr>
                                <w:b/>
                                <w:sz w:val="12"/>
                                <w:szCs w:val="12"/>
                              </w:rPr>
                              <w:t>rapport 2</w:t>
                            </w:r>
                          </w:p>
                          <w:p w:rsidR="00D53F39" w:rsidRPr="00E911A4" w:rsidRDefault="00D53F39" w:rsidP="00E24DB7">
                            <w:pPr>
                              <w:spacing w:after="20" w:line="140" w:lineRule="exact"/>
                              <w:rPr>
                                <w:b/>
                                <w:sz w:val="12"/>
                                <w:szCs w:val="12"/>
                              </w:rPr>
                            </w:pPr>
                            <w:r w:rsidRPr="00E911A4">
                              <w:rPr>
                                <w:b/>
                                <w:sz w:val="12"/>
                                <w:szCs w:val="12"/>
                              </w:rPr>
                              <w:t>rapport 3</w:t>
                            </w:r>
                          </w:p>
                          <w:p w:rsidR="00D53F39" w:rsidRPr="00E911A4" w:rsidRDefault="00D53F39" w:rsidP="00E24DB7">
                            <w:pPr>
                              <w:spacing w:after="20" w:line="140" w:lineRule="exact"/>
                              <w:rPr>
                                <w:b/>
                                <w:sz w:val="12"/>
                                <w:szCs w:val="12"/>
                              </w:rPr>
                            </w:pPr>
                            <w:r w:rsidRPr="00E911A4">
                              <w:rPr>
                                <w:b/>
                                <w:sz w:val="12"/>
                                <w:szCs w:val="12"/>
                              </w:rPr>
                              <w:t>rapport 4</w:t>
                            </w:r>
                          </w:p>
                          <w:p w:rsidR="00D53F39" w:rsidRPr="00E911A4" w:rsidRDefault="00D53F39" w:rsidP="00E24DB7">
                            <w:pPr>
                              <w:spacing w:line="140" w:lineRule="exact"/>
                              <w:rPr>
                                <w:b/>
                                <w:sz w:val="12"/>
                                <w:szCs w:val="12"/>
                              </w:rPr>
                            </w:pPr>
                            <w:r w:rsidRPr="00E911A4">
                              <w:rPr>
                                <w:b/>
                                <w:sz w:val="12"/>
                                <w:szCs w:val="12"/>
                              </w:rPr>
                              <w:t>rapport 5</w:t>
                            </w:r>
                          </w:p>
                          <w:p w:rsidR="00D53F39" w:rsidRPr="00BA5E14" w:rsidRDefault="00D53F39" w:rsidP="00E24DB7">
                            <w:pPr>
                              <w:spacing w:line="140" w:lineRule="exact"/>
                              <w:rPr>
                                <w:b/>
                                <w:sz w:val="14"/>
                                <w:szCs w:val="14"/>
                              </w:rPr>
                            </w:pPr>
                            <w:r w:rsidRPr="00BA5E14">
                              <w:rPr>
                                <w:b/>
                                <w:sz w:val="12"/>
                                <w:szCs w:val="12"/>
                              </w:rPr>
                              <w:t>rapport 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E232A" id="_x0000_s1070" type="#_x0000_t202" style="position:absolute;left:0;text-align:left;margin-left:244.2pt;margin-top:166.6pt;width:30.75pt;height:46.55pt;z-index:2510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" filled="f" stroked="f">
                <v:textbox inset="0,0,0,0">
                  <w:txbxContent>
                    <w:p w:rsidR="00D53F39" w:rsidRPr="00E911A4" w:rsidRDefault="00D53F39" w:rsidP="00E24DB7">
                      <w:pPr>
                        <w:spacing w:after="20" w:line="140" w:lineRule="exact"/>
                        <w:rPr>
                          <w:b/>
                          <w:sz w:val="12"/>
                          <w:szCs w:val="12"/>
                        </w:rPr>
                      </w:pPr>
                      <w:r w:rsidRPr="00E911A4">
                        <w:rPr>
                          <w:b/>
                          <w:sz w:val="12"/>
                          <w:szCs w:val="12"/>
                        </w:rPr>
                        <w:t>rapport 1</w:t>
                      </w:r>
                    </w:p>
                    <w:p w:rsidR="00D53F39" w:rsidRPr="00E911A4" w:rsidRDefault="00D53F39" w:rsidP="00E24DB7">
                      <w:pPr>
                        <w:spacing w:after="20" w:line="140" w:lineRule="exact"/>
                        <w:rPr>
                          <w:b/>
                          <w:sz w:val="12"/>
                          <w:szCs w:val="12"/>
                        </w:rPr>
                      </w:pPr>
                      <w:r w:rsidRPr="00E911A4">
                        <w:rPr>
                          <w:b/>
                          <w:sz w:val="12"/>
                          <w:szCs w:val="12"/>
                        </w:rPr>
                        <w:t>rapport 2</w:t>
                      </w:r>
                    </w:p>
                    <w:p w:rsidR="00D53F39" w:rsidRPr="00E911A4" w:rsidRDefault="00D53F39" w:rsidP="00E24DB7">
                      <w:pPr>
                        <w:spacing w:after="20" w:line="140" w:lineRule="exact"/>
                        <w:rPr>
                          <w:b/>
                          <w:sz w:val="12"/>
                          <w:szCs w:val="12"/>
                        </w:rPr>
                      </w:pPr>
                      <w:r w:rsidRPr="00E911A4">
                        <w:rPr>
                          <w:b/>
                          <w:sz w:val="12"/>
                          <w:szCs w:val="12"/>
                        </w:rPr>
                        <w:t>rapport 3</w:t>
                      </w:r>
                    </w:p>
                    <w:p w:rsidR="00D53F39" w:rsidRPr="00E911A4" w:rsidRDefault="00D53F39" w:rsidP="00E24DB7">
                      <w:pPr>
                        <w:spacing w:after="20" w:line="140" w:lineRule="exact"/>
                        <w:rPr>
                          <w:b/>
                          <w:sz w:val="12"/>
                          <w:szCs w:val="12"/>
                        </w:rPr>
                      </w:pPr>
                      <w:r w:rsidRPr="00E911A4">
                        <w:rPr>
                          <w:b/>
                          <w:sz w:val="12"/>
                          <w:szCs w:val="12"/>
                        </w:rPr>
                        <w:t>rapport 4</w:t>
                      </w:r>
                    </w:p>
                    <w:p w:rsidR="00D53F39" w:rsidRPr="00E911A4" w:rsidRDefault="00D53F39" w:rsidP="00E24DB7">
                      <w:pPr>
                        <w:spacing w:line="140" w:lineRule="exact"/>
                        <w:rPr>
                          <w:b/>
                          <w:sz w:val="12"/>
                          <w:szCs w:val="12"/>
                        </w:rPr>
                      </w:pPr>
                      <w:r w:rsidRPr="00E911A4">
                        <w:rPr>
                          <w:b/>
                          <w:sz w:val="12"/>
                          <w:szCs w:val="12"/>
                        </w:rPr>
                        <w:t>rapport 5</w:t>
                      </w:r>
                    </w:p>
                    <w:p w:rsidR="00D53F39" w:rsidRPr="00BA5E14" w:rsidRDefault="00D53F39" w:rsidP="00E24DB7">
                      <w:pPr>
                        <w:spacing w:line="140" w:lineRule="exact"/>
                        <w:rPr>
                          <w:b/>
                          <w:sz w:val="14"/>
                          <w:szCs w:val="14"/>
                        </w:rPr>
                      </w:pPr>
                      <w:r w:rsidRPr="00BA5E14">
                        <w:rPr>
                          <w:b/>
                          <w:sz w:val="12"/>
                          <w:szCs w:val="12"/>
                        </w:rPr>
                        <w:t>rapport 6</w:t>
                      </w:r>
                    </w:p>
                  </w:txbxContent>
                </v:textbox>
              </v:shape>
            </w:pict>
          </mc:Fallback>
        </mc:AlternateContent>
      </w:r>
      <w:r w:rsidRPr="002C5876">
        <w:rPr>
          <w:noProof/>
          <w:lang w:val="en-GB" w:eastAsia="zh-CN"/>
        </w:rPr>
        <mc:AlternateContent>
          <mc:Choice Requires="wps">
            <w:drawing>
              <wp:anchor distT="0" distB="0" distL="114300" distR="114300" simplePos="0" relativeHeight="251021312" behindDoc="0" locked="0" layoutInCell="1" allowOverlap="1" wp14:anchorId="0368DB14" wp14:editId="68A93214">
                <wp:simplePos x="0" y="0"/>
                <wp:positionH relativeFrom="column">
                  <wp:posOffset>2515187</wp:posOffset>
                </wp:positionH>
                <wp:positionV relativeFrom="paragraph">
                  <wp:posOffset>2930329</wp:posOffset>
                </wp:positionV>
                <wp:extent cx="1278890" cy="89535"/>
                <wp:effectExtent l="0" t="0" r="0" b="5715"/>
                <wp:wrapNone/>
                <wp:docPr id="13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89535"/>
                        </a:xfrm>
                        <a:prstGeom prst="rect">
                          <a:avLst/>
                        </a:prstGeom>
                        <a:noFill/>
                        <a:ln w="9525">
                          <a:noFill/>
                          <a:miter lim="800000"/>
                          <a:headEnd/>
                          <a:tailEnd/>
                        </a:ln>
                      </wps:spPr>
                      <wps:txbx>
                        <w:txbxContent>
                          <w:p w:rsidR="00D53F39" w:rsidRPr="00E911A4" w:rsidRDefault="00D53F39" w:rsidP="00E24DB7">
                            <w:pPr>
                              <w:spacing w:line="240" w:lineRule="auto"/>
                              <w:jc w:val="center"/>
                              <w:rPr>
                                <w:b/>
                                <w:sz w:val="14"/>
                                <w:szCs w:val="14"/>
                              </w:rPr>
                            </w:pPr>
                            <w:r w:rsidRPr="00E911A4">
                              <w:rPr>
                                <w:b/>
                                <w:sz w:val="11"/>
                                <w:szCs w:val="11"/>
                              </w:rPr>
                              <w:t>Vitesse</w:t>
                            </w:r>
                            <w:r w:rsidRPr="00E911A4">
                              <w:rPr>
                                <w:b/>
                                <w:sz w:val="12"/>
                                <w:szCs w:val="12"/>
                              </w:rPr>
                              <w:t xml:space="preserv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8DB14" id="_x0000_s1071" type="#_x0000_t202" style="position:absolute;left:0;text-align:left;margin-left:198.05pt;margin-top:230.75pt;width:100.7pt;height:7.05pt;z-index:2510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" filled="f" stroked="f">
                <v:textbox inset="0,0,0,0">
                  <w:txbxContent>
                    <w:p w:rsidR="00D53F39" w:rsidRPr="00E911A4" w:rsidRDefault="00D53F39" w:rsidP="00E24DB7">
                      <w:pPr>
                        <w:spacing w:line="240" w:lineRule="auto"/>
                        <w:jc w:val="center"/>
                        <w:rPr>
                          <w:b/>
                          <w:sz w:val="14"/>
                          <w:szCs w:val="14"/>
                        </w:rPr>
                      </w:pPr>
                      <w:r w:rsidRPr="00E911A4">
                        <w:rPr>
                          <w:b/>
                          <w:sz w:val="11"/>
                          <w:szCs w:val="11"/>
                        </w:rPr>
                        <w:t>Vitesse</w:t>
                      </w:r>
                      <w:r w:rsidRPr="00E911A4">
                        <w:rPr>
                          <w:b/>
                          <w:sz w:val="12"/>
                          <w:szCs w:val="12"/>
                        </w:rPr>
                        <w:t xml:space="preserve"> du véhicule en km/h</w:t>
                      </w:r>
                    </w:p>
                  </w:txbxContent>
                </v:textbox>
              </v:shape>
            </w:pict>
          </mc:Fallback>
        </mc:AlternateContent>
      </w:r>
      <w:r w:rsidRPr="002C5876">
        <w:rPr>
          <w:noProof/>
          <w:lang w:val="en-GB" w:eastAsia="zh-CN"/>
        </w:rPr>
        <mc:AlternateContent>
          <mc:Choice Requires="wps">
            <w:drawing>
              <wp:anchor distT="0" distB="0" distL="114300" distR="114300" simplePos="0" relativeHeight="251020288" behindDoc="0" locked="0" layoutInCell="1" allowOverlap="1" wp14:anchorId="3DF322BA" wp14:editId="3387FDE8">
                <wp:simplePos x="0" y="0"/>
                <wp:positionH relativeFrom="column">
                  <wp:posOffset>264675</wp:posOffset>
                </wp:positionH>
                <wp:positionV relativeFrom="paragraph">
                  <wp:posOffset>1389062</wp:posOffset>
                </wp:positionV>
                <wp:extent cx="1162627" cy="130495"/>
                <wp:effectExtent l="1587" t="0" r="1588" b="1587"/>
                <wp:wrapNone/>
                <wp:docPr id="13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62627" cy="130495"/>
                        </a:xfrm>
                        <a:prstGeom prst="rect">
                          <a:avLst/>
                        </a:prstGeom>
                        <a:noFill/>
                        <a:ln w="9525">
                          <a:noFill/>
                          <a:miter lim="800000"/>
                          <a:headEnd/>
                          <a:tailEnd/>
                        </a:ln>
                      </wps:spPr>
                      <wps:txbx>
                        <w:txbxContent>
                          <w:p w:rsidR="00D53F39" w:rsidRPr="00BA5E14" w:rsidRDefault="00D53F39" w:rsidP="00E24DB7">
                            <w:pPr>
                              <w:spacing w:line="140" w:lineRule="exact"/>
                              <w:jc w:val="center"/>
                              <w:rPr>
                                <w:b/>
                                <w:sz w:val="14"/>
                                <w:szCs w:val="14"/>
                              </w:rPr>
                            </w:pPr>
                            <w:r w:rsidRPr="00BA5E14">
                              <w:rPr>
                                <w:b/>
                                <w:sz w:val="12"/>
                                <w:szCs w:val="12"/>
                              </w:rPr>
                              <w:t>P en kW</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322BA" id="_x0000_s1072" type="#_x0000_t202" style="position:absolute;left:0;text-align:left;margin-left:20.85pt;margin-top:109.35pt;width:91.55pt;height:10.3pt;rotation:-90;z-index:2510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" filled="f" stroked="f">
                <v:textbox inset="0,0,0,0">
                  <w:txbxContent>
                    <w:p w:rsidR="00D53F39" w:rsidRPr="00BA5E14" w:rsidRDefault="00D53F39" w:rsidP="00E24DB7">
                      <w:pPr>
                        <w:spacing w:line="140" w:lineRule="exact"/>
                        <w:jc w:val="center"/>
                        <w:rPr>
                          <w:b/>
                          <w:sz w:val="14"/>
                          <w:szCs w:val="14"/>
                        </w:rPr>
                      </w:pPr>
                      <w:r w:rsidRPr="00BA5E14">
                        <w:rPr>
                          <w:b/>
                          <w:sz w:val="12"/>
                          <w:szCs w:val="12"/>
                        </w:rPr>
                        <w:t>P en kW</w:t>
                      </w:r>
                    </w:p>
                  </w:txbxContent>
                </v:textbox>
              </v:shape>
            </w:pict>
          </mc:Fallback>
        </mc:AlternateContent>
      </w:r>
      <w:r w:rsidRPr="002C5876">
        <w:rPr>
          <w:noProof/>
          <w:lang w:val="en-GB" w:eastAsia="zh-CN"/>
        </w:rPr>
        <mc:AlternateContent>
          <mc:Choice Requires="wps">
            <w:drawing>
              <wp:anchor distT="0" distB="0" distL="114300" distR="114300" simplePos="0" relativeHeight="251019264" behindDoc="0" locked="0" layoutInCell="1" allowOverlap="1" wp14:anchorId="032479F0" wp14:editId="296698B2">
                <wp:simplePos x="0" y="0"/>
                <wp:positionH relativeFrom="column">
                  <wp:posOffset>4103663</wp:posOffset>
                </wp:positionH>
                <wp:positionV relativeFrom="paragraph">
                  <wp:posOffset>1828360</wp:posOffset>
                </wp:positionV>
                <wp:extent cx="554355" cy="126365"/>
                <wp:effectExtent l="0" t="0" r="0" b="6985"/>
                <wp:wrapNone/>
                <wp:docPr id="13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6365"/>
                        </a:xfrm>
                        <a:prstGeom prst="rect">
                          <a:avLst/>
                        </a:prstGeom>
                        <a:noFill/>
                        <a:ln w="9525">
                          <a:noFill/>
                          <a:miter lim="800000"/>
                          <a:headEnd/>
                          <a:tailEnd/>
                        </a:ln>
                      </wps:spPr>
                      <wps:txbx>
                        <w:txbxContent>
                          <w:p w:rsidR="00D53F39" w:rsidRPr="00BA5E14" w:rsidRDefault="00D53F39" w:rsidP="00E24DB7">
                            <w:pPr>
                              <w:spacing w:line="140" w:lineRule="exact"/>
                              <w:jc w:val="center"/>
                              <w:rPr>
                                <w:b/>
                                <w:sz w:val="14"/>
                                <w:szCs w:val="14"/>
                              </w:rPr>
                            </w:pPr>
                            <w:r w:rsidRPr="00BA5E14">
                              <w:rPr>
                                <w:b/>
                                <w:sz w:val="12"/>
                                <w:szCs w:val="12"/>
                              </w:rPr>
                              <w:t>v</w:t>
                            </w:r>
                            <w:r w:rsidRPr="00BA5E14">
                              <w:rPr>
                                <w:b/>
                                <w:sz w:val="12"/>
                                <w:szCs w:val="12"/>
                                <w:vertAlign w:val="subscript"/>
                              </w:rPr>
                              <w:t>max</w:t>
                            </w:r>
                            <w:r w:rsidRPr="00BA5E14">
                              <w:rPr>
                                <w:b/>
                                <w:sz w:val="12"/>
                                <w:szCs w:val="12"/>
                              </w:rPr>
                              <w:t xml:space="preserve"> = rapport </w:t>
                            </w:r>
                            <w:r>
                              <w:rPr>
                                <w:b/>
                                <w:sz w:val="12"/>
                                <w:szCs w:val="12"/>
                              </w:rPr>
                              <w:t>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479F0" id="_x0000_s1073" type="#_x0000_t202" style="position:absolute;left:0;text-align:left;margin-left:323.1pt;margin-top:143.95pt;width:43.65pt;height:9.95pt;z-index:2510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" filled="f" stroked="f">
                <v:textbox inset="0,0,0,0">
                  <w:txbxContent>
                    <w:p w:rsidR="00D53F39" w:rsidRPr="00BA5E14" w:rsidRDefault="00D53F39" w:rsidP="00E24DB7">
                      <w:pPr>
                        <w:spacing w:line="140" w:lineRule="exact"/>
                        <w:jc w:val="center"/>
                        <w:rPr>
                          <w:b/>
                          <w:sz w:val="14"/>
                          <w:szCs w:val="14"/>
                        </w:rPr>
                      </w:pPr>
                      <w:r w:rsidRPr="00BA5E14">
                        <w:rPr>
                          <w:b/>
                          <w:sz w:val="12"/>
                          <w:szCs w:val="12"/>
                        </w:rPr>
                        <w:t>v</w:t>
                      </w:r>
                      <w:r w:rsidRPr="00BA5E14">
                        <w:rPr>
                          <w:b/>
                          <w:sz w:val="12"/>
                          <w:szCs w:val="12"/>
                          <w:vertAlign w:val="subscript"/>
                        </w:rPr>
                        <w:t>max</w:t>
                      </w:r>
                      <w:r w:rsidRPr="00BA5E14">
                        <w:rPr>
                          <w:b/>
                          <w:sz w:val="12"/>
                          <w:szCs w:val="12"/>
                        </w:rPr>
                        <w:t xml:space="preserve"> = rapport </w:t>
                      </w:r>
                      <w:r>
                        <w:rPr>
                          <w:b/>
                          <w:sz w:val="12"/>
                          <w:szCs w:val="12"/>
                        </w:rPr>
                        <w:t>6</w:t>
                      </w:r>
                    </w:p>
                  </w:txbxContent>
                </v:textbox>
              </v:shape>
            </w:pict>
          </mc:Fallback>
        </mc:AlternateContent>
      </w:r>
      <w:r w:rsidRPr="002C5876">
        <w:rPr>
          <w:noProof/>
          <w:lang w:val="en-GB" w:eastAsia="zh-CN"/>
        </w:rPr>
        <mc:AlternateContent>
          <mc:Choice Requires="wps">
            <w:drawing>
              <wp:anchor distT="0" distB="0" distL="114300" distR="114300" simplePos="0" relativeHeight="251017216" behindDoc="0" locked="0" layoutInCell="1" allowOverlap="1" wp14:anchorId="5FFCBA75" wp14:editId="7D8A0A85">
                <wp:simplePos x="0" y="0"/>
                <wp:positionH relativeFrom="column">
                  <wp:posOffset>2837571</wp:posOffset>
                </wp:positionH>
                <wp:positionV relativeFrom="paragraph">
                  <wp:posOffset>140237</wp:posOffset>
                </wp:positionV>
                <wp:extent cx="554355" cy="126365"/>
                <wp:effectExtent l="0" t="0" r="0" b="6985"/>
                <wp:wrapNone/>
                <wp:docPr id="13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6365"/>
                        </a:xfrm>
                        <a:prstGeom prst="rect">
                          <a:avLst/>
                        </a:prstGeom>
                        <a:noFill/>
                        <a:ln w="9525">
                          <a:noFill/>
                          <a:miter lim="800000"/>
                          <a:headEnd/>
                          <a:tailEnd/>
                        </a:ln>
                      </wps:spPr>
                      <wps:txbx>
                        <w:txbxContent>
                          <w:p w:rsidR="00D53F39" w:rsidRPr="00BA5E14" w:rsidRDefault="00D53F39" w:rsidP="00E24DB7">
                            <w:pPr>
                              <w:spacing w:line="140" w:lineRule="exact"/>
                              <w:jc w:val="center"/>
                              <w:rPr>
                                <w:b/>
                                <w:sz w:val="14"/>
                                <w:szCs w:val="14"/>
                              </w:rPr>
                            </w:pPr>
                            <w:r w:rsidRPr="00BA5E14">
                              <w:rPr>
                                <w:b/>
                                <w:sz w:val="14"/>
                                <w:szCs w:val="14"/>
                              </w:rPr>
                              <w:t>ng</w:t>
                            </w:r>
                            <w:r w:rsidRPr="0095553A">
                              <w:rPr>
                                <w:b/>
                                <w:sz w:val="14"/>
                                <w:szCs w:val="14"/>
                                <w:vertAlign w:val="subscript"/>
                              </w:rPr>
                              <w:t>v</w:t>
                            </w:r>
                            <w:r w:rsidRPr="00BA5E14">
                              <w:rPr>
                                <w:b/>
                                <w:sz w:val="14"/>
                                <w:szCs w:val="14"/>
                                <w:vertAlign w:val="subscript"/>
                              </w:rPr>
                              <w:t>max</w:t>
                            </w:r>
                            <w:r w:rsidRPr="00BA5E14">
                              <w:rPr>
                                <w:b/>
                                <w:sz w:val="14"/>
                                <w:szCs w:val="14"/>
                              </w:rPr>
                              <w:t xml:space="preserve"> = </w:t>
                            </w:r>
                            <w:r>
                              <w:rPr>
                                <w:b/>
                                <w:sz w:val="14"/>
                                <w:szCs w:val="14"/>
                              </w:rPr>
                              <w:t>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CBA75" id="_x0000_s1074" type="#_x0000_t202" style="position:absolute;left:0;text-align:left;margin-left:223.45pt;margin-top:11.05pt;width:43.65pt;height:9.95pt;z-index:2510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" filled="f" stroked="f">
                <v:textbox inset="0,0,0,0">
                  <w:txbxContent>
                    <w:p w:rsidR="00D53F39" w:rsidRPr="00BA5E14" w:rsidRDefault="00D53F39" w:rsidP="00E24DB7">
                      <w:pPr>
                        <w:spacing w:line="140" w:lineRule="exact"/>
                        <w:jc w:val="center"/>
                        <w:rPr>
                          <w:b/>
                          <w:sz w:val="14"/>
                          <w:szCs w:val="14"/>
                        </w:rPr>
                      </w:pPr>
                      <w:r w:rsidRPr="00BA5E14">
                        <w:rPr>
                          <w:b/>
                          <w:sz w:val="14"/>
                          <w:szCs w:val="14"/>
                        </w:rPr>
                        <w:t>ng</w:t>
                      </w:r>
                      <w:r w:rsidRPr="0095553A">
                        <w:rPr>
                          <w:b/>
                          <w:sz w:val="14"/>
                          <w:szCs w:val="14"/>
                          <w:vertAlign w:val="subscript"/>
                        </w:rPr>
                        <w:t>v</w:t>
                      </w:r>
                      <w:r w:rsidRPr="00BA5E14">
                        <w:rPr>
                          <w:b/>
                          <w:sz w:val="14"/>
                          <w:szCs w:val="14"/>
                          <w:vertAlign w:val="subscript"/>
                        </w:rPr>
                        <w:t>max</w:t>
                      </w:r>
                      <w:r w:rsidRPr="00BA5E14">
                        <w:rPr>
                          <w:b/>
                          <w:sz w:val="14"/>
                          <w:szCs w:val="14"/>
                        </w:rPr>
                        <w:t xml:space="preserve"> = </w:t>
                      </w:r>
                      <w:r>
                        <w:rPr>
                          <w:b/>
                          <w:sz w:val="14"/>
                          <w:szCs w:val="14"/>
                        </w:rPr>
                        <w:t>5</w:t>
                      </w:r>
                    </w:p>
                  </w:txbxContent>
                </v:textbox>
              </v:shape>
            </w:pict>
          </mc:Fallback>
        </mc:AlternateContent>
      </w:r>
      <w:r w:rsidRPr="002C5876">
        <w:rPr>
          <w:noProof/>
          <w:lang w:val="en-GB" w:eastAsia="zh-CN"/>
        </w:rPr>
        <w:drawing>
          <wp:inline distT="0" distB="0" distL="0" distR="0" wp14:anchorId="33C27F5C" wp14:editId="479CCDC1">
            <wp:extent cx="4672800" cy="3024000"/>
            <wp:effectExtent l="19050" t="19050" r="13970" b="2413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72800" cy="3024000"/>
                    </a:xfrm>
                    <a:prstGeom prst="rect">
                      <a:avLst/>
                    </a:prstGeom>
                    <a:noFill/>
                    <a:ln w="6350">
                      <a:solidFill>
                        <a:schemeClr val="tx1"/>
                      </a:solidFill>
                    </a:ln>
                  </pic:spPr>
                </pic:pic>
              </a:graphicData>
            </a:graphic>
          </wp:inline>
        </w:drawing>
      </w:r>
    </w:p>
    <w:p w:rsidR="00E24DB7" w:rsidRPr="002C5876" w:rsidRDefault="00E24DB7" w:rsidP="00E24DB7">
      <w:pPr>
        <w:pStyle w:val="SingleTxtG"/>
        <w:keepNext/>
        <w:keepLines/>
        <w:ind w:left="2835" w:hanging="567"/>
      </w:pPr>
      <w:r w:rsidRPr="002C5876">
        <w:br w:type="page"/>
      </w:r>
      <w:r w:rsidRPr="002C5876">
        <w:lastRenderedPageBreak/>
        <w:t>j)</w:t>
      </w:r>
      <w:r w:rsidRPr="002C5876">
        <w:tab/>
        <w:t>Exclusion d’une vitesse rampante</w:t>
      </w:r>
    </w:p>
    <w:p w:rsidR="00E24DB7" w:rsidRPr="002C5876" w:rsidRDefault="00E24DB7" w:rsidP="00E24DB7">
      <w:pPr>
        <w:pStyle w:val="SingleTxtG"/>
        <w:keepNext/>
        <w:ind w:left="2835"/>
      </w:pPr>
      <w:r w:rsidRPr="002C5876">
        <w:t>Le rapport 1 peut être exclu de l’essai à la demande du constructeur si toutes les conditions suivantes sont remplies :</w:t>
      </w:r>
    </w:p>
    <w:p w:rsidR="00E24DB7" w:rsidRPr="002C5876" w:rsidRDefault="00E24DB7" w:rsidP="00E24DB7">
      <w:pPr>
        <w:pStyle w:val="SingleTxtG"/>
        <w:ind w:left="3402" w:hanging="567"/>
      </w:pPr>
      <w:r w:rsidRPr="002C5876">
        <w:t>i)</w:t>
      </w:r>
      <w:r w:rsidRPr="002C5876">
        <w:tab/>
        <w:t>La famille de véhicule est homologuée pour la traction d’une remorque ;</w:t>
      </w:r>
    </w:p>
    <w:p w:rsidR="00E24DB7" w:rsidRPr="00D53F39" w:rsidRDefault="00E24DB7" w:rsidP="00E24DB7">
      <w:pPr>
        <w:pStyle w:val="SingleTxtG"/>
        <w:ind w:left="3402" w:hanging="567"/>
        <w:rPr>
          <w:lang w:val="en-US"/>
        </w:rPr>
      </w:pPr>
      <w:r w:rsidRPr="00D53F39">
        <w:rPr>
          <w:lang w:val="en-US"/>
        </w:rPr>
        <w:t>ii)</w:t>
      </w:r>
      <w:r w:rsidRPr="00D53F39">
        <w:rPr>
          <w:lang w:val="en-US"/>
        </w:rPr>
        <w:tab/>
        <w:t>(n/v)</w:t>
      </w:r>
      <w:r w:rsidRPr="00D53F39">
        <w:rPr>
          <w:vertAlign w:val="subscript"/>
          <w:lang w:val="en-US"/>
        </w:rPr>
        <w:t>1</w:t>
      </w:r>
      <w:r w:rsidRPr="00D53F39">
        <w:rPr>
          <w:lang w:val="en-US"/>
        </w:rPr>
        <w:t xml:space="preserve"> × (v</w:t>
      </w:r>
      <w:r w:rsidRPr="00D53F39">
        <w:rPr>
          <w:vertAlign w:val="subscript"/>
          <w:lang w:val="en-US"/>
        </w:rPr>
        <w:t>max</w:t>
      </w:r>
      <w:r w:rsidRPr="00D53F39">
        <w:rPr>
          <w:lang w:val="en-US"/>
        </w:rPr>
        <w:t xml:space="preserve"> / n</w:t>
      </w:r>
      <w:r w:rsidRPr="00D53F39">
        <w:rPr>
          <w:vertAlign w:val="subscript"/>
          <w:lang w:val="en-US"/>
        </w:rPr>
        <w:t>95_high</w:t>
      </w:r>
      <w:r w:rsidRPr="00D53F39">
        <w:rPr>
          <w:lang w:val="en-US"/>
        </w:rPr>
        <w:t>) &gt; 6,74 ;</w:t>
      </w:r>
    </w:p>
    <w:p w:rsidR="00E24DB7" w:rsidRPr="00D53F39" w:rsidRDefault="00E24DB7" w:rsidP="00E24DB7">
      <w:pPr>
        <w:pStyle w:val="SingleTxtG"/>
        <w:ind w:left="3402" w:hanging="567"/>
        <w:rPr>
          <w:lang w:val="en-US"/>
        </w:rPr>
      </w:pPr>
      <w:r w:rsidRPr="00D53F39">
        <w:rPr>
          <w:lang w:val="en-US"/>
        </w:rPr>
        <w:t>iii)</w:t>
      </w:r>
      <w:r w:rsidRPr="00D53F39">
        <w:rPr>
          <w:lang w:val="en-US"/>
        </w:rPr>
        <w:tab/>
        <w:t>(n/v)</w:t>
      </w:r>
      <w:r w:rsidRPr="00D53F39">
        <w:rPr>
          <w:vertAlign w:val="subscript"/>
          <w:lang w:val="en-US"/>
        </w:rPr>
        <w:t>2</w:t>
      </w:r>
      <w:r w:rsidRPr="00D53F39">
        <w:rPr>
          <w:lang w:val="en-US"/>
        </w:rPr>
        <w:t xml:space="preserve"> × (v</w:t>
      </w:r>
      <w:r w:rsidRPr="00D53F39">
        <w:rPr>
          <w:vertAlign w:val="subscript"/>
          <w:lang w:val="en-US"/>
        </w:rPr>
        <w:t>max</w:t>
      </w:r>
      <w:r w:rsidRPr="00D53F39">
        <w:rPr>
          <w:lang w:val="en-US"/>
        </w:rPr>
        <w:t xml:space="preserve"> / n</w:t>
      </w:r>
      <w:r w:rsidRPr="00D53F39">
        <w:rPr>
          <w:vertAlign w:val="subscript"/>
          <w:lang w:val="en-US"/>
        </w:rPr>
        <w:t>95_high</w:t>
      </w:r>
      <w:r w:rsidRPr="00D53F39">
        <w:rPr>
          <w:lang w:val="en-US"/>
        </w:rPr>
        <w:t>) &gt; 3,85 ;</w:t>
      </w:r>
    </w:p>
    <w:p w:rsidR="00E24DB7" w:rsidRPr="002C5876" w:rsidRDefault="00E24DB7" w:rsidP="00E24DB7">
      <w:pPr>
        <w:pStyle w:val="SingleTxtG"/>
        <w:ind w:left="3402" w:hanging="567"/>
      </w:pPr>
      <w:r w:rsidRPr="002C5876">
        <w:t>iv)</w:t>
      </w:r>
      <w:r w:rsidRPr="002C5876">
        <w:tab/>
        <w:t>Le véhicule, ayant la masse m</w:t>
      </w:r>
      <w:r w:rsidRPr="002C5876">
        <w:rPr>
          <w:vertAlign w:val="subscript"/>
        </w:rPr>
        <w:t>t</w:t>
      </w:r>
      <w:r w:rsidRPr="002C5876">
        <w:t xml:space="preserve"> définie par l’équation ci</w:t>
      </w:r>
      <w:r w:rsidRPr="002C5876">
        <w:noBreakHyphen/>
        <w:t>dessous, est capable de démarrer à partir de l’arrêt en 4 s, sur une pente ascendante d’au moins 12 %, 5 fois de suite sur une période de 5 min ;</w:t>
      </w:r>
    </w:p>
    <w:p w:rsidR="00E24DB7" w:rsidRPr="00D53F39" w:rsidRDefault="00E24DB7" w:rsidP="00E24DB7">
      <w:pPr>
        <w:pStyle w:val="SingleTxtG"/>
        <w:ind w:left="3969"/>
        <w:rPr>
          <w:lang w:val="en-US"/>
        </w:rPr>
      </w:pPr>
      <w:r w:rsidRPr="002C5876">
        <w:tab/>
      </w:r>
      <w:r w:rsidRPr="00D53F39">
        <w:rPr>
          <w:lang w:val="en-US"/>
        </w:rPr>
        <w:t>m</w:t>
      </w:r>
      <w:r w:rsidRPr="00D53F39">
        <w:rPr>
          <w:vertAlign w:val="subscript"/>
          <w:lang w:val="en-US"/>
        </w:rPr>
        <w:t xml:space="preserve">t = </w:t>
      </w:r>
      <w:r w:rsidRPr="00D53F39">
        <w:rPr>
          <w:lang w:val="en-US"/>
        </w:rPr>
        <w:t>m</w:t>
      </w:r>
      <w:r w:rsidRPr="00D53F39">
        <w:rPr>
          <w:vertAlign w:val="subscript"/>
          <w:lang w:val="en-US"/>
        </w:rPr>
        <w:t>r0</w:t>
      </w:r>
      <w:r w:rsidRPr="00D53F39">
        <w:rPr>
          <w:lang w:val="en-US"/>
        </w:rPr>
        <w:t xml:space="preserve"> + 25 kg + (MC - m</w:t>
      </w:r>
      <w:r w:rsidRPr="00D53F39">
        <w:rPr>
          <w:vertAlign w:val="subscript"/>
          <w:lang w:val="en-US"/>
        </w:rPr>
        <w:t>r0</w:t>
      </w:r>
      <w:r w:rsidRPr="00D53F39">
        <w:rPr>
          <w:lang w:val="en-US"/>
        </w:rPr>
        <w:t xml:space="preserve"> - 25 kg) × 0,28</w:t>
      </w:r>
    </w:p>
    <w:p w:rsidR="00E24DB7" w:rsidRPr="002C5876" w:rsidRDefault="00E24DB7" w:rsidP="00E24DB7">
      <w:pPr>
        <w:pStyle w:val="SingleTxtG"/>
        <w:ind w:left="3402" w:hanging="567"/>
      </w:pPr>
      <w:r w:rsidRPr="00D53F39">
        <w:rPr>
          <w:lang w:val="en-US"/>
        </w:rPr>
        <w:tab/>
      </w:r>
      <w:r w:rsidRPr="00D53F39">
        <w:rPr>
          <w:lang w:val="en-US"/>
        </w:rPr>
        <w:tab/>
      </w:r>
      <w:r w:rsidRPr="002C5876">
        <w:t>(le facteur 0,28 doit être utilisé pour les véhicules de la catégorie 2 dont la masse brute est inférieure ou égale à 3,5 tonnes et doit être remplacé par le facteur 0,15 dans le cas des véhicules de la catégorie 1) ;</w:t>
      </w:r>
    </w:p>
    <w:p w:rsidR="00E24DB7" w:rsidRPr="002C5876" w:rsidRDefault="00E24DB7" w:rsidP="00E24DB7">
      <w:pPr>
        <w:pStyle w:val="SingleTxtG"/>
        <w:keepNext/>
        <w:ind w:left="2835"/>
      </w:pPr>
      <w:r w:rsidRPr="002C5876">
        <w:t>où :</w:t>
      </w:r>
    </w:p>
    <w:p w:rsidR="00E24DB7" w:rsidRPr="002C5876" w:rsidRDefault="00E24DB7" w:rsidP="00E24DB7">
      <w:pPr>
        <w:pStyle w:val="SingleTxtG"/>
        <w:tabs>
          <w:tab w:val="left" w:pos="4253"/>
        </w:tabs>
        <w:ind w:left="4253" w:hanging="1418"/>
      </w:pPr>
      <w:r w:rsidRPr="002C5876">
        <w:t>v</w:t>
      </w:r>
      <w:r w:rsidRPr="002C5876">
        <w:rPr>
          <w:vertAlign w:val="subscript"/>
        </w:rPr>
        <w:t>max</w:t>
      </w:r>
      <w:r w:rsidRPr="002C5876">
        <w:tab/>
        <w:t>est la valeur maximale de la vitesse du véhicule telle que spécifiée au paragraphe 2 i) de la présente annexe. Seule la valeur de v</w:t>
      </w:r>
      <w:r w:rsidRPr="002C5876">
        <w:rPr>
          <w:vertAlign w:val="subscript"/>
        </w:rPr>
        <w:t>max</w:t>
      </w:r>
      <w:r w:rsidRPr="002C5876">
        <w:t xml:space="preserve"> résultant de l'intersection entre la courbe de la puissance requise pour surmonter la résistance à l’avancement sur route et la courbe de la puissance disponible du rapport pertinent peut être utilisée pour les points iii) et iv) ci-dessus. On ne doit pas utiliser une valeur de v</w:t>
      </w:r>
      <w:r w:rsidRPr="002C5876">
        <w:rPr>
          <w:vertAlign w:val="subscript"/>
        </w:rPr>
        <w:t>max</w:t>
      </w:r>
      <w:r w:rsidRPr="002C5876">
        <w:t xml:space="preserve"> résultant d'une limitation du régime moteur empêchant cette intersection ;</w:t>
      </w:r>
    </w:p>
    <w:p w:rsidR="00E24DB7" w:rsidRPr="002C5876" w:rsidRDefault="00E24DB7" w:rsidP="00E24DB7">
      <w:pPr>
        <w:pStyle w:val="SingleTxtG"/>
        <w:tabs>
          <w:tab w:val="left" w:pos="4253"/>
        </w:tabs>
        <w:ind w:left="4253" w:hanging="1418"/>
      </w:pPr>
      <w:r w:rsidRPr="002C5876">
        <w:t>(n/v)(ng</w:t>
      </w:r>
      <w:r w:rsidRPr="002C5876">
        <w:rPr>
          <w:vertAlign w:val="subscript"/>
        </w:rPr>
        <w:t>vmax</w:t>
      </w:r>
      <w:r w:rsidRPr="002C5876">
        <w:t>)</w:t>
      </w:r>
      <w:r w:rsidRPr="002C5876">
        <w:tab/>
        <w:t>est le rapport obtenu en divisant le régime moteur n par la vitesse du véhicule v pour le rapport ng</w:t>
      </w:r>
      <w:r w:rsidRPr="002C5876">
        <w:rPr>
          <w:vertAlign w:val="subscript"/>
        </w:rPr>
        <w:t>vmax</w:t>
      </w:r>
      <w:r w:rsidRPr="002C5876">
        <w:t>, en min</w:t>
      </w:r>
      <w:r w:rsidRPr="002C5876">
        <w:rPr>
          <w:vertAlign w:val="superscript"/>
        </w:rPr>
        <w:t>-1</w:t>
      </w:r>
      <w:r w:rsidRPr="002C5876">
        <w:t>/km/h ;</w:t>
      </w:r>
    </w:p>
    <w:p w:rsidR="00E24DB7" w:rsidRPr="002C5876" w:rsidRDefault="00E24DB7" w:rsidP="00E24DB7">
      <w:pPr>
        <w:pStyle w:val="SingleTxtG"/>
        <w:tabs>
          <w:tab w:val="left" w:pos="4253"/>
        </w:tabs>
        <w:ind w:left="4253" w:hanging="1418"/>
      </w:pPr>
      <w:r w:rsidRPr="002C5876">
        <w:t>m</w:t>
      </w:r>
      <w:r w:rsidRPr="002C5876">
        <w:rPr>
          <w:vertAlign w:val="subscript"/>
        </w:rPr>
        <w:t>r0</w:t>
      </w:r>
      <w:r w:rsidRPr="002C5876">
        <w:tab/>
        <w:t>est la masse en ordre de marche, en kg ;</w:t>
      </w:r>
    </w:p>
    <w:p w:rsidR="00E24DB7" w:rsidRPr="002C5876" w:rsidRDefault="00E24DB7" w:rsidP="00E24DB7">
      <w:pPr>
        <w:pStyle w:val="SingleTxtG"/>
        <w:tabs>
          <w:tab w:val="left" w:pos="4253"/>
        </w:tabs>
        <w:ind w:left="4253" w:hanging="1418"/>
      </w:pPr>
      <w:r w:rsidRPr="002C5876">
        <w:t>MC</w:t>
      </w:r>
      <w:r w:rsidRPr="002C5876">
        <w:tab/>
        <w:t>est la masse totale roulante de l’ensemble (masse totale roulante du véhicule + masse maximale de la remorque), en kg.</w:t>
      </w:r>
    </w:p>
    <w:p w:rsidR="00E24DB7" w:rsidRPr="002C5876" w:rsidRDefault="00E24DB7" w:rsidP="00E24DB7">
      <w:pPr>
        <w:pStyle w:val="SingleTxtG"/>
        <w:ind w:left="2835"/>
      </w:pPr>
      <w:r w:rsidRPr="002C5876">
        <w:t>Dans ce cas, le rapport 1 ne doit pas être utilisé lors de l’exécution du cycle sur le banc à rouleaux et les rapports doivent être renumérotés en prenant le deuxième rapport comme rapport 1 ;</w:t>
      </w:r>
    </w:p>
    <w:p w:rsidR="00E24DB7" w:rsidRPr="002C5876" w:rsidRDefault="00E24DB7" w:rsidP="00E24DB7">
      <w:pPr>
        <w:pStyle w:val="SingleTxtG"/>
        <w:keepNext/>
        <w:ind w:left="2835" w:hanging="567"/>
      </w:pPr>
      <w:r w:rsidRPr="002C5876">
        <w:t>k)</w:t>
      </w:r>
      <w:r w:rsidRPr="002C5876">
        <w:tab/>
        <w:t>Définition de n</w:t>
      </w:r>
      <w:r w:rsidRPr="002C5876">
        <w:rPr>
          <w:vertAlign w:val="subscript"/>
        </w:rPr>
        <w:t>min_drive</w:t>
      </w:r>
    </w:p>
    <w:p w:rsidR="00E24DB7" w:rsidRPr="002C5876" w:rsidRDefault="00E24DB7" w:rsidP="00E24DB7">
      <w:pPr>
        <w:pStyle w:val="SingleTxtG"/>
        <w:ind w:left="3969" w:hanging="1134"/>
      </w:pPr>
      <w:r w:rsidRPr="002C5876">
        <w:t>n</w:t>
      </w:r>
      <w:r w:rsidRPr="002C5876">
        <w:rPr>
          <w:vertAlign w:val="subscript"/>
        </w:rPr>
        <w:t>min_drive</w:t>
      </w:r>
      <w:r w:rsidRPr="002C5876">
        <w:rPr>
          <w:vertAlign w:val="subscript"/>
        </w:rPr>
        <w:tab/>
      </w:r>
      <w:r w:rsidRPr="002C5876">
        <w:t>est le régime moteur minimal lorsque le véhicule est en mouvement, min</w:t>
      </w:r>
      <w:r w:rsidRPr="002C5876">
        <w:rPr>
          <w:vertAlign w:val="superscript"/>
        </w:rPr>
        <w:t>-1</w:t>
      </w:r>
      <w:r w:rsidRPr="002C5876">
        <w:t> ;</w:t>
      </w:r>
    </w:p>
    <w:p w:rsidR="00E24DB7" w:rsidRPr="00D53F39" w:rsidRDefault="00E24DB7" w:rsidP="00E24DB7">
      <w:pPr>
        <w:pStyle w:val="SingleTxtG"/>
        <w:ind w:left="2835"/>
        <w:rPr>
          <w:lang w:val="en-US"/>
        </w:rPr>
      </w:pPr>
      <w:r w:rsidRPr="00D53F39">
        <w:rPr>
          <w:lang w:val="en-US"/>
        </w:rPr>
        <w:t>i)</w:t>
      </w:r>
      <w:r w:rsidRPr="00D53F39">
        <w:rPr>
          <w:lang w:val="en-US"/>
        </w:rPr>
        <w:tab/>
        <w:t>Pour n</w:t>
      </w:r>
      <w:r w:rsidRPr="00D53F39">
        <w:rPr>
          <w:vertAlign w:val="subscript"/>
          <w:lang w:val="en-US"/>
        </w:rPr>
        <w:t>gear</w:t>
      </w:r>
      <w:r w:rsidRPr="00D53F39">
        <w:rPr>
          <w:lang w:val="en-US"/>
        </w:rPr>
        <w:t xml:space="preserve"> = 1, n</w:t>
      </w:r>
      <w:r w:rsidRPr="00D53F39">
        <w:rPr>
          <w:vertAlign w:val="subscript"/>
          <w:lang w:val="en-US"/>
        </w:rPr>
        <w:t>min_drive</w:t>
      </w:r>
      <w:r w:rsidRPr="00D53F39">
        <w:rPr>
          <w:lang w:val="en-US"/>
        </w:rPr>
        <w:t xml:space="preserve"> = n</w:t>
      </w:r>
      <w:r w:rsidRPr="00D53F39">
        <w:rPr>
          <w:vertAlign w:val="subscript"/>
          <w:lang w:val="en-US"/>
        </w:rPr>
        <w:t>idle</w:t>
      </w:r>
      <w:r w:rsidRPr="00D53F39">
        <w:rPr>
          <w:lang w:val="en-US"/>
        </w:rPr>
        <w:t>,</w:t>
      </w:r>
    </w:p>
    <w:p w:rsidR="00E24DB7" w:rsidRPr="002C5876" w:rsidRDefault="00E24DB7" w:rsidP="00E24DB7">
      <w:pPr>
        <w:pStyle w:val="SingleTxtG"/>
        <w:ind w:left="2835"/>
      </w:pPr>
      <w:r w:rsidRPr="002C5876">
        <w:t>ii)</w:t>
      </w:r>
      <w:r w:rsidRPr="002C5876">
        <w:tab/>
        <w:t>Pour n</w:t>
      </w:r>
      <w:r w:rsidRPr="002C5876">
        <w:rPr>
          <w:vertAlign w:val="subscript"/>
        </w:rPr>
        <w:t>gear</w:t>
      </w:r>
      <w:r w:rsidRPr="002C5876">
        <w:t xml:space="preserve"> = 2 :</w:t>
      </w:r>
    </w:p>
    <w:p w:rsidR="00E24DB7" w:rsidRPr="002C5876" w:rsidRDefault="00E24DB7" w:rsidP="00E24DB7">
      <w:pPr>
        <w:pStyle w:val="SingleTxtG"/>
        <w:keepNext/>
        <w:ind w:left="3402" w:hanging="567"/>
      </w:pPr>
      <w:r w:rsidRPr="002C5876">
        <w:tab/>
        <w:t>a)</w:t>
      </w:r>
      <w:r w:rsidRPr="002C5876">
        <w:tab/>
        <w:t>Pour les transitions du premier au deuxième rapport :</w:t>
      </w:r>
    </w:p>
    <w:p w:rsidR="00E24DB7" w:rsidRPr="002C5876" w:rsidRDefault="00E24DB7" w:rsidP="00E24DB7">
      <w:pPr>
        <w:pStyle w:val="SingleTxtG"/>
        <w:ind w:left="3402"/>
      </w:pPr>
      <w:r w:rsidRPr="002C5876">
        <w:tab/>
      </w:r>
      <w:r w:rsidRPr="002C5876">
        <w:tab/>
        <w:t>n</w:t>
      </w:r>
      <w:r w:rsidRPr="002C5876">
        <w:rPr>
          <w:vertAlign w:val="subscript"/>
        </w:rPr>
        <w:t>min_drive</w:t>
      </w:r>
      <w:r w:rsidRPr="002C5876">
        <w:t xml:space="preserve"> = 1,15 ×n</w:t>
      </w:r>
      <w:r w:rsidRPr="002C5876">
        <w:rPr>
          <w:vertAlign w:val="subscript"/>
        </w:rPr>
        <w:t>idle</w:t>
      </w:r>
    </w:p>
    <w:p w:rsidR="00E24DB7" w:rsidRPr="002C5876" w:rsidRDefault="00E24DB7" w:rsidP="00E24DB7">
      <w:pPr>
        <w:pStyle w:val="SingleTxtG"/>
        <w:keepNext/>
        <w:ind w:left="3402" w:hanging="567"/>
      </w:pPr>
      <w:r w:rsidRPr="002C5876">
        <w:tab/>
        <w:t>b)</w:t>
      </w:r>
      <w:r w:rsidRPr="002C5876">
        <w:tab/>
        <w:t>Pour les décélérations jusqu’à l’arrêt :</w:t>
      </w:r>
    </w:p>
    <w:p w:rsidR="00E24DB7" w:rsidRPr="002C5876" w:rsidRDefault="00E24DB7" w:rsidP="00E24DB7">
      <w:pPr>
        <w:pStyle w:val="SingleTxtG"/>
        <w:ind w:left="3402"/>
      </w:pPr>
      <w:r w:rsidRPr="002C5876">
        <w:tab/>
      </w:r>
      <w:r w:rsidRPr="002C5876">
        <w:tab/>
        <w:t>n</w:t>
      </w:r>
      <w:r w:rsidRPr="002C5876">
        <w:rPr>
          <w:vertAlign w:val="subscript"/>
        </w:rPr>
        <w:t>min_drive</w:t>
      </w:r>
      <w:r w:rsidRPr="002C5876">
        <w:t xml:space="preserve"> = n</w:t>
      </w:r>
      <w:r w:rsidRPr="002C5876">
        <w:rPr>
          <w:vertAlign w:val="subscript"/>
        </w:rPr>
        <w:t>idle</w:t>
      </w:r>
    </w:p>
    <w:p w:rsidR="00E24DB7" w:rsidRPr="002C5876" w:rsidRDefault="00E24DB7" w:rsidP="00E24DB7">
      <w:pPr>
        <w:pStyle w:val="SingleTxtG"/>
        <w:keepNext/>
        <w:ind w:left="3402" w:hanging="567"/>
      </w:pPr>
      <w:r w:rsidRPr="002C5876">
        <w:tab/>
        <w:t>c)</w:t>
      </w:r>
      <w:r w:rsidRPr="002C5876">
        <w:tab/>
        <w:t>Pour toutes les autres conditions de marche :</w:t>
      </w:r>
    </w:p>
    <w:p w:rsidR="00E24DB7" w:rsidRPr="002C5876" w:rsidRDefault="00E24DB7" w:rsidP="00E24DB7">
      <w:pPr>
        <w:pStyle w:val="SingleTxtG"/>
        <w:ind w:left="3402"/>
      </w:pPr>
      <w:r w:rsidRPr="002C5876">
        <w:tab/>
      </w:r>
      <w:r w:rsidRPr="002C5876">
        <w:tab/>
        <w:t>n</w:t>
      </w:r>
      <w:r w:rsidRPr="002C5876">
        <w:rPr>
          <w:vertAlign w:val="subscript"/>
        </w:rPr>
        <w:t>min_drive</w:t>
      </w:r>
      <w:r w:rsidRPr="002C5876">
        <w:t xml:space="preserve"> = 0,9 × n</w:t>
      </w:r>
      <w:r w:rsidRPr="002C5876">
        <w:rPr>
          <w:vertAlign w:val="subscript"/>
        </w:rPr>
        <w:t>idle</w:t>
      </w:r>
    </w:p>
    <w:p w:rsidR="00E24DB7" w:rsidRPr="002C5876" w:rsidRDefault="00E24DB7" w:rsidP="00E24DB7">
      <w:pPr>
        <w:pStyle w:val="SingleTxtG"/>
        <w:keepNext/>
        <w:keepLines/>
        <w:ind w:left="2835"/>
      </w:pPr>
      <w:r w:rsidRPr="002C5876">
        <w:lastRenderedPageBreak/>
        <w:t xml:space="preserve">iii) </w:t>
      </w:r>
      <w:r w:rsidRPr="002C5876">
        <w:tab/>
        <w:t>Pour n</w:t>
      </w:r>
      <w:r w:rsidRPr="002C5876">
        <w:rPr>
          <w:vertAlign w:val="subscript"/>
        </w:rPr>
        <w:t>gear</w:t>
      </w:r>
      <w:r w:rsidRPr="002C5876">
        <w:t xml:space="preserve"> &gt; 2, n</w:t>
      </w:r>
      <w:r w:rsidRPr="002C5876">
        <w:rPr>
          <w:vertAlign w:val="subscript"/>
        </w:rPr>
        <w:t>min_drive</w:t>
      </w:r>
      <w:r w:rsidRPr="002C5876">
        <w:t xml:space="preserve"> doit être déterminé comme suit :</w:t>
      </w:r>
    </w:p>
    <w:p w:rsidR="00E24DB7" w:rsidRPr="00D53F39" w:rsidRDefault="00E24DB7" w:rsidP="00E24DB7">
      <w:pPr>
        <w:pStyle w:val="SingleTxtG"/>
        <w:ind w:left="2268"/>
        <w:jc w:val="center"/>
        <w:rPr>
          <w:lang w:val="en-US"/>
        </w:rPr>
      </w:pPr>
      <w:r w:rsidRPr="00D53F39">
        <w:rPr>
          <w:lang w:val="en-US"/>
        </w:rPr>
        <w:t>n</w:t>
      </w:r>
      <w:r w:rsidRPr="00D53F39">
        <w:rPr>
          <w:vertAlign w:val="subscript"/>
          <w:lang w:val="en-US"/>
        </w:rPr>
        <w:t>min_drive</w:t>
      </w:r>
      <w:r w:rsidRPr="00D53F39">
        <w:rPr>
          <w:lang w:val="en-US"/>
        </w:rPr>
        <w:t xml:space="preserve"> = n</w:t>
      </w:r>
      <w:r w:rsidRPr="00D53F39">
        <w:rPr>
          <w:vertAlign w:val="subscript"/>
          <w:lang w:val="en-US"/>
        </w:rPr>
        <w:t>idle</w:t>
      </w:r>
      <w:r w:rsidRPr="00D53F39">
        <w:rPr>
          <w:lang w:val="en-US"/>
        </w:rPr>
        <w:t xml:space="preserve"> + 0,125 ×(n</w:t>
      </w:r>
      <w:r w:rsidRPr="00D53F39">
        <w:rPr>
          <w:vertAlign w:val="subscript"/>
          <w:lang w:val="en-US"/>
        </w:rPr>
        <w:t>rated</w:t>
      </w:r>
      <w:r w:rsidRPr="00D53F39">
        <w:rPr>
          <w:lang w:val="en-US"/>
        </w:rPr>
        <w:t xml:space="preserve"> -n</w:t>
      </w:r>
      <w:r w:rsidRPr="00D53F39">
        <w:rPr>
          <w:vertAlign w:val="subscript"/>
          <w:lang w:val="en-US"/>
        </w:rPr>
        <w:t>idle</w:t>
      </w:r>
      <w:r w:rsidRPr="00D53F39">
        <w:rPr>
          <w:lang w:val="en-US"/>
        </w:rPr>
        <w:t>)</w:t>
      </w:r>
    </w:p>
    <w:p w:rsidR="00E24DB7" w:rsidRPr="002C5876" w:rsidRDefault="00E24DB7" w:rsidP="00E24DB7">
      <w:pPr>
        <w:pStyle w:val="SingleTxtG"/>
        <w:ind w:left="2835"/>
      </w:pPr>
      <w:r w:rsidRPr="002C5876">
        <w:t>Cette valeur est dénommée n</w:t>
      </w:r>
      <w:r w:rsidRPr="002C5876">
        <w:rPr>
          <w:vertAlign w:val="subscript"/>
        </w:rPr>
        <w:t>min_drive_set</w:t>
      </w:r>
      <w:r w:rsidRPr="002C5876">
        <w:t>.</w:t>
      </w:r>
    </w:p>
    <w:p w:rsidR="00E24DB7" w:rsidRPr="002C5876" w:rsidRDefault="00E24DB7" w:rsidP="00E24DB7">
      <w:pPr>
        <w:pStyle w:val="SingleTxtG"/>
        <w:ind w:left="2835"/>
      </w:pPr>
      <w:r w:rsidRPr="002C5876">
        <w:t>Les résultats finals pour n</w:t>
      </w:r>
      <w:r w:rsidRPr="002C5876">
        <w:rPr>
          <w:vertAlign w:val="subscript"/>
        </w:rPr>
        <w:t>min_drive</w:t>
      </w:r>
      <w:r w:rsidRPr="002C5876">
        <w:t xml:space="preserve"> doivent être arrondis au chiffre entier le plus proche. Par exemple, 1 199,5 est arrondi à 1 200, et 1 199,4 est arrondi à 1 199.</w:t>
      </w:r>
    </w:p>
    <w:p w:rsidR="00E24DB7" w:rsidRPr="002C5876" w:rsidRDefault="00E24DB7" w:rsidP="00E24DB7">
      <w:pPr>
        <w:pStyle w:val="SingleTxtG"/>
        <w:ind w:left="2835"/>
      </w:pPr>
      <w:r w:rsidRPr="002C5876">
        <w:t>Des valeurs supérieures à n</w:t>
      </w:r>
      <w:r w:rsidRPr="002C5876">
        <w:rPr>
          <w:vertAlign w:val="subscript"/>
        </w:rPr>
        <w:t>min_drive_set</w:t>
      </w:r>
      <w:r w:rsidRPr="002C5876">
        <w:t xml:space="preserve"> peuvent être appliquées pour n</w:t>
      </w:r>
      <w:r w:rsidRPr="002C5876">
        <w:rPr>
          <w:vertAlign w:val="subscript"/>
        </w:rPr>
        <w:t>gear</w:t>
      </w:r>
      <w:r w:rsidRPr="002C5876">
        <w:t> &gt; 2, sur demande du constructeur. Dans ce cas, le constructeur peut spécifier une valeur pour les phases d’accélération et de vitesse constante (n</w:t>
      </w:r>
      <w:r w:rsidRPr="002C5876">
        <w:rPr>
          <w:vertAlign w:val="subscript"/>
        </w:rPr>
        <w:t>min_drive_up</w:t>
      </w:r>
      <w:r w:rsidRPr="002C5876">
        <w:t>) et une valeur différente pour les phases de décélération (n</w:t>
      </w:r>
      <w:r w:rsidRPr="002C5876">
        <w:rPr>
          <w:vertAlign w:val="subscript"/>
        </w:rPr>
        <w:t>min_drive_down</w:t>
      </w:r>
      <w:r w:rsidRPr="002C5876">
        <w:t xml:space="preserve">). </w:t>
      </w:r>
    </w:p>
    <w:p w:rsidR="00E24DB7" w:rsidRPr="002C5876" w:rsidRDefault="00E24DB7" w:rsidP="00E24DB7">
      <w:pPr>
        <w:pStyle w:val="SingleTxtG"/>
        <w:ind w:left="2835"/>
      </w:pPr>
      <w:r w:rsidRPr="002C5876">
        <w:t>Les mesures pour lesquelles l’accélération est supérieure ou égale à -0,1389 m/s² doivent être affectées aux phases d’accélération ou de vitesse constante.</w:t>
      </w:r>
    </w:p>
    <w:p w:rsidR="00E24DB7" w:rsidRPr="002C5876" w:rsidRDefault="00E24DB7" w:rsidP="00E24DB7">
      <w:pPr>
        <w:pStyle w:val="SingleTxtG"/>
        <w:ind w:left="2835"/>
      </w:pPr>
      <w:r w:rsidRPr="002C5876">
        <w:t>En outre, pour un laps de temps initial (t</w:t>
      </w:r>
      <w:r w:rsidRPr="002C5876">
        <w:rPr>
          <w:vertAlign w:val="subscript"/>
        </w:rPr>
        <w:t>start_phase</w:t>
      </w:r>
      <w:r w:rsidRPr="002C5876">
        <w:t>), le constructeur peut spécifier des valeurs plus élevées (n</w:t>
      </w:r>
      <w:r w:rsidRPr="002C5876">
        <w:rPr>
          <w:vertAlign w:val="subscript"/>
        </w:rPr>
        <w:t>min_drive_start</w:t>
      </w:r>
      <w:r w:rsidRPr="002C5876">
        <w:t xml:space="preserve"> et/ou n</w:t>
      </w:r>
      <w:r w:rsidRPr="002C5876">
        <w:rPr>
          <w:vertAlign w:val="subscript"/>
        </w:rPr>
        <w:t>min_drive_up_start</w:t>
      </w:r>
      <w:r w:rsidRPr="002C5876">
        <w:t>) que les valeurs n</w:t>
      </w:r>
      <w:r w:rsidRPr="002C5876">
        <w:rPr>
          <w:vertAlign w:val="subscript"/>
        </w:rPr>
        <w:t>min_drive</w:t>
      </w:r>
      <w:r w:rsidRPr="002C5876">
        <w:t xml:space="preserve"> et/ou n</w:t>
      </w:r>
      <w:r w:rsidRPr="002C5876">
        <w:rPr>
          <w:vertAlign w:val="subscript"/>
        </w:rPr>
        <w:t>min_drive_up</w:t>
      </w:r>
      <w:r w:rsidRPr="002C5876">
        <w:t xml:space="preserve"> indiquées ci-dessus pour n</w:t>
      </w:r>
      <w:r w:rsidRPr="002C5876">
        <w:rPr>
          <w:vertAlign w:val="subscript"/>
        </w:rPr>
        <w:t>gear</w:t>
      </w:r>
      <w:r w:rsidRPr="002C5876">
        <w:t> &gt; 2.</w:t>
      </w:r>
    </w:p>
    <w:p w:rsidR="00E24DB7" w:rsidRPr="002C5876" w:rsidRDefault="00E24DB7" w:rsidP="00E24DB7">
      <w:pPr>
        <w:pStyle w:val="SingleTxtG"/>
        <w:ind w:left="2835"/>
      </w:pPr>
      <w:r w:rsidRPr="002C5876">
        <w:t>Le laps de temps initial défini par le constructeur ne doit pas aller au-delà de la phase basse du cycle et doit prendre fin dans une phase d’arrêt afin qu’il n’y ait pas de modification de n</w:t>
      </w:r>
      <w:r w:rsidRPr="002C5876">
        <w:rPr>
          <w:vertAlign w:val="subscript"/>
        </w:rPr>
        <w:t>min_drive</w:t>
      </w:r>
      <w:r w:rsidRPr="002C5876">
        <w:t xml:space="preserve"> sur un court trajet.</w:t>
      </w:r>
    </w:p>
    <w:p w:rsidR="00E24DB7" w:rsidRPr="002C5876" w:rsidRDefault="00E24DB7" w:rsidP="00E24DB7">
      <w:pPr>
        <w:pStyle w:val="SingleTxtG"/>
        <w:ind w:left="2835"/>
      </w:pPr>
      <w:r w:rsidRPr="002C5876">
        <w:t>Chacune de valeurs de n</w:t>
      </w:r>
      <w:r w:rsidRPr="002C5876">
        <w:rPr>
          <w:vertAlign w:val="subscript"/>
        </w:rPr>
        <w:t>min_drive</w:t>
      </w:r>
      <w:r w:rsidRPr="002C5876">
        <w:t xml:space="preserve"> choisies doit être supérieure ou égale à n</w:t>
      </w:r>
      <w:r w:rsidRPr="002C5876">
        <w:rPr>
          <w:vertAlign w:val="subscript"/>
        </w:rPr>
        <w:t>min_drive_set</w:t>
      </w:r>
      <w:r w:rsidRPr="002C5876">
        <w:t xml:space="preserve"> mais inférieure ou égale à (2 × n</w:t>
      </w:r>
      <w:r w:rsidRPr="002C5876">
        <w:rPr>
          <w:vertAlign w:val="subscript"/>
        </w:rPr>
        <w:t>min_drive_set</w:t>
      </w:r>
      <w:r w:rsidRPr="002C5876">
        <w:t>).</w:t>
      </w:r>
    </w:p>
    <w:p w:rsidR="00E24DB7" w:rsidRPr="002C5876" w:rsidRDefault="00E24DB7" w:rsidP="00E24DB7">
      <w:pPr>
        <w:pStyle w:val="SingleTxtG"/>
        <w:ind w:left="2835"/>
      </w:pPr>
      <w:r w:rsidRPr="002C5876">
        <w:t>Toutes les valeurs de n</w:t>
      </w:r>
      <w:r w:rsidRPr="002C5876">
        <w:rPr>
          <w:vertAlign w:val="subscript"/>
        </w:rPr>
        <w:t>min_drive</w:t>
      </w:r>
      <w:r w:rsidRPr="002C5876">
        <w:t xml:space="preserve"> choisies, ainsi que t</w:t>
      </w:r>
      <w:r w:rsidRPr="002C5876">
        <w:rPr>
          <w:vertAlign w:val="subscript"/>
        </w:rPr>
        <w:t>start_phase</w:t>
      </w:r>
      <w:r w:rsidRPr="002C5876">
        <w:t>, doivent être consignées.</w:t>
      </w:r>
    </w:p>
    <w:p w:rsidR="00E24DB7" w:rsidRPr="002C5876" w:rsidRDefault="00E24DB7" w:rsidP="00E24DB7">
      <w:pPr>
        <w:pStyle w:val="SingleTxtG"/>
        <w:ind w:left="2835"/>
      </w:pPr>
      <w:r w:rsidRPr="002C5876">
        <w:t>Seule la valeur n</w:t>
      </w:r>
      <w:r w:rsidRPr="002C5876">
        <w:rPr>
          <w:vertAlign w:val="subscript"/>
        </w:rPr>
        <w:t>min_drive_set</w:t>
      </w:r>
      <w:r w:rsidRPr="002C5876">
        <w:t xml:space="preserve"> doit être prise comme limite inférieure pour la courbe de puissance à pleine charge dont il est question à l’alinéa h) du paragraphe 2 ci-dessus ;</w:t>
      </w:r>
    </w:p>
    <w:p w:rsidR="00E24DB7" w:rsidRPr="002C5876" w:rsidRDefault="00E24DB7" w:rsidP="00E24DB7">
      <w:pPr>
        <w:pStyle w:val="SingleTxtG"/>
        <w:ind w:left="2835" w:hanging="567"/>
      </w:pPr>
      <w:r w:rsidRPr="002C5876">
        <w:t>l)</w:t>
      </w:r>
      <w:r w:rsidRPr="002C5876">
        <w:tab/>
      </w:r>
      <m:oMath>
        <m:r>
          <m:rPr>
            <m:sty m:val="p"/>
          </m:rPr>
          <w:rPr>
            <w:rFonts w:ascii="Cambria Math" w:hAnsi="Cambria Math"/>
          </w:rPr>
          <m:t>TM</m:t>
        </m:r>
      </m:oMath>
      <w:r w:rsidRPr="002C5876">
        <w:t>, masse d’essai du véhicule, kg.</w:t>
      </w:r>
    </w:p>
    <w:p w:rsidR="00E24DB7" w:rsidRPr="002C5876" w:rsidRDefault="00E24DB7" w:rsidP="00E24DB7">
      <w:pPr>
        <w:pStyle w:val="SingleTxtG"/>
        <w:keepNext/>
        <w:ind w:left="2268" w:hanging="1134"/>
        <w:jc w:val="left"/>
      </w:pPr>
      <w:r w:rsidRPr="002C5876">
        <w:t>3.</w:t>
      </w:r>
      <w:r w:rsidRPr="002C5876">
        <w:tab/>
      </w:r>
      <w:r w:rsidRPr="002C5876">
        <w:tab/>
        <w:t>Calculs concernant la puissance requise, les régimes moteur, la puissance disponible et le rapport pouvant être utilisé</w:t>
      </w:r>
    </w:p>
    <w:p w:rsidR="00E24DB7" w:rsidRPr="002C5876" w:rsidRDefault="00E24DB7" w:rsidP="00E24DB7">
      <w:pPr>
        <w:pStyle w:val="SingleTxtG"/>
        <w:keepNext/>
        <w:ind w:left="2268" w:hanging="1134"/>
        <w:jc w:val="left"/>
      </w:pPr>
      <w:r w:rsidRPr="002C5876">
        <w:t>3.1</w:t>
      </w:r>
      <w:r w:rsidRPr="002C5876">
        <w:tab/>
      </w:r>
      <w:r w:rsidRPr="002C5876">
        <w:tab/>
        <w:t>Calcul de la puissance requise</w:t>
      </w:r>
    </w:p>
    <w:p w:rsidR="00E24DB7" w:rsidRPr="002C5876" w:rsidRDefault="00E24DB7" w:rsidP="00E24DB7">
      <w:pPr>
        <w:pStyle w:val="SingleTxtG"/>
        <w:keepNext/>
        <w:keepLines/>
        <w:ind w:left="2268"/>
      </w:pPr>
      <w:r w:rsidRPr="002C5876">
        <w:t>Pour chaque seconde j sur la courbe du cycle, la puissance requise afin de surmonter la résistance à l’avancement et d’accélérer est calculée au moyen de l’équation suivante :</w:t>
      </w:r>
    </w:p>
    <w:p w:rsidR="00E24DB7" w:rsidRPr="00D53F39" w:rsidRDefault="00731CA6" w:rsidP="00E24DB7">
      <w:pPr>
        <w:spacing w:before="120"/>
        <w:ind w:left="2268" w:right="1134"/>
        <w:jc w:val="center"/>
        <w:rPr>
          <w:lang w:val="en-US"/>
        </w:rPr>
      </w:pPr>
      <m:oMathPara>
        <m:oMathParaPr>
          <m:jc m:val="center"/>
        </m:oMathParaPr>
        <m:oMath>
          <m:sSub>
            <m:sSubPr>
              <m:ctrlPr>
                <w:rPr>
                  <w:rFonts w:ascii="Cambria Math" w:hAnsi="Cambria Math" w:cstheme="majorBidi"/>
                </w:rPr>
              </m:ctrlPr>
            </m:sSubPr>
            <m:e>
              <m:r>
                <m:rPr>
                  <m:nor/>
                </m:rPr>
                <w:rPr>
                  <w:rFonts w:asciiTheme="majorBidi" w:hAnsiTheme="majorBidi" w:cstheme="majorBidi"/>
                  <w:lang w:val="en-US"/>
                </w:rPr>
                <m:t>P</m:t>
              </m:r>
            </m:e>
            <m:sub>
              <m:r>
                <m:rPr>
                  <m:nor/>
                </m:rPr>
                <w:rPr>
                  <w:rFonts w:asciiTheme="majorBidi" w:hAnsiTheme="majorBidi" w:cstheme="majorBidi"/>
                  <w:lang w:val="en-US"/>
                </w:rPr>
                <m:t>required,j</m:t>
              </m:r>
            </m:sub>
          </m:sSub>
          <m:r>
            <m:rPr>
              <m:nor/>
            </m:rPr>
            <w:rPr>
              <w:rFonts w:ascii="Cambria Math" w:hAnsiTheme="majorBidi" w:cstheme="majorBidi"/>
              <w:lang w:val="en-US"/>
            </w:rPr>
            <m:t xml:space="preserve"> </m:t>
          </m:r>
          <m:r>
            <m:rPr>
              <m:nor/>
            </m:rPr>
            <w:rPr>
              <w:rFonts w:asciiTheme="majorBidi" w:hAnsiTheme="majorBidi" w:cstheme="majorBidi"/>
              <w:lang w:val="en-US"/>
            </w:rPr>
            <m:t>=</m:t>
          </m:r>
          <m:d>
            <m:dPr>
              <m:ctrlPr>
                <w:rPr>
                  <w:rFonts w:ascii="Cambria Math" w:hAnsi="Cambria Math" w:cstheme="majorBidi"/>
                </w:rPr>
              </m:ctrlPr>
            </m:dPr>
            <m:e>
              <m:f>
                <m:fPr>
                  <m:ctrlPr>
                    <w:rPr>
                      <w:rFonts w:ascii="Cambria Math" w:hAnsi="Cambria Math" w:cstheme="majorBidi"/>
                    </w:rPr>
                  </m:ctrlPr>
                </m:fPr>
                <m:num>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0</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v</m:t>
                      </m:r>
                    </m:e>
                    <m:sub>
                      <m:r>
                        <m:rPr>
                          <m:nor/>
                        </m:rPr>
                        <w:rPr>
                          <w:rFonts w:asciiTheme="majorBidi" w:hAnsiTheme="majorBidi" w:cstheme="majorBidi"/>
                          <w:lang w:val="en-US"/>
                        </w:rPr>
                        <m:t>j</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1</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Sup>
                    <m:sSubSupPr>
                      <m:ctrlPr>
                        <w:rPr>
                          <w:rFonts w:ascii="Cambria Math" w:hAnsi="Cambria Math" w:cstheme="majorBidi"/>
                        </w:rPr>
                      </m:ctrlPr>
                    </m:sSubSupPr>
                    <m:e>
                      <m:r>
                        <m:rPr>
                          <m:nor/>
                        </m:rPr>
                        <w:rPr>
                          <w:rFonts w:asciiTheme="majorBidi" w:hAnsiTheme="majorBidi" w:cstheme="majorBidi"/>
                          <w:lang w:val="en-US"/>
                        </w:rPr>
                        <m:t>v</m:t>
                      </m:r>
                    </m:e>
                    <m:sub>
                      <m:r>
                        <m:rPr>
                          <m:nor/>
                        </m:rPr>
                        <w:rPr>
                          <w:rFonts w:asciiTheme="majorBidi" w:hAnsiTheme="majorBidi" w:cstheme="majorBidi"/>
                          <w:lang w:val="en-US"/>
                        </w:rPr>
                        <m:t>j</m:t>
                      </m:r>
                    </m:sub>
                    <m:sup>
                      <m:r>
                        <m:rPr>
                          <m:nor/>
                        </m:rPr>
                        <w:rPr>
                          <w:rFonts w:asciiTheme="majorBidi" w:hAnsiTheme="majorBidi" w:cstheme="majorBidi"/>
                          <w:lang w:val="en-US"/>
                        </w:rPr>
                        <m:t>2</m:t>
                      </m:r>
                    </m:sup>
                  </m:sSubSup>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2</m:t>
                      </m:r>
                    </m:sub>
                  </m:sSub>
                  <m:r>
                    <m:rPr>
                      <m:nor/>
                    </m:rPr>
                    <w:rPr>
                      <w:rFonts w:ascii="Cambria Math" w:hAnsiTheme="majorBidi" w:cstheme="majorBidi"/>
                      <w:lang w:val="en-US"/>
                    </w:rPr>
                    <m:t xml:space="preserve"> </m:t>
                  </m:r>
                  <m:r>
                    <m:rPr>
                      <m:nor/>
                    </m:rPr>
                    <w:rPr>
                      <w:rFonts w:asciiTheme="majorBidi" w:hAnsiTheme="majorBidi" w:cstheme="majorBidi"/>
                      <w:lang w:val="en-US"/>
                    </w:rPr>
                    <m:t>×</m:t>
                  </m:r>
                  <m:sSubSup>
                    <m:sSubSupPr>
                      <m:ctrlPr>
                        <w:rPr>
                          <w:rFonts w:ascii="Cambria Math" w:hAnsi="Cambria Math" w:cstheme="majorBidi"/>
                        </w:rPr>
                      </m:ctrlPr>
                    </m:sSubSupPr>
                    <m:e>
                      <m:r>
                        <m:rPr>
                          <m:nor/>
                        </m:rPr>
                        <w:rPr>
                          <w:rFonts w:ascii="Cambria Math" w:hAnsiTheme="majorBidi" w:cstheme="majorBidi"/>
                          <w:lang w:val="en-US"/>
                        </w:rPr>
                        <m:t xml:space="preserve"> </m:t>
                      </m:r>
                      <m:r>
                        <m:rPr>
                          <m:nor/>
                        </m:rPr>
                        <w:rPr>
                          <w:rFonts w:asciiTheme="majorBidi" w:hAnsiTheme="majorBidi" w:cstheme="majorBidi"/>
                          <w:lang w:val="en-US"/>
                        </w:rPr>
                        <m:t>v</m:t>
                      </m:r>
                    </m:e>
                    <m:sub>
                      <m:r>
                        <m:rPr>
                          <m:nor/>
                        </m:rPr>
                        <w:rPr>
                          <w:rFonts w:asciiTheme="majorBidi" w:hAnsiTheme="majorBidi" w:cstheme="majorBidi"/>
                          <w:lang w:val="en-US"/>
                        </w:rPr>
                        <m:t>j</m:t>
                      </m:r>
                    </m:sub>
                    <m:sup>
                      <m:r>
                        <m:rPr>
                          <m:nor/>
                        </m:rPr>
                        <w:rPr>
                          <w:rFonts w:asciiTheme="majorBidi" w:hAnsiTheme="majorBidi" w:cstheme="majorBidi"/>
                          <w:lang w:val="en-US"/>
                        </w:rPr>
                        <m:t>3</m:t>
                      </m:r>
                    </m:sup>
                  </m:sSubSup>
                </m:num>
                <m:den>
                  <m:r>
                    <m:rPr>
                      <m:nor/>
                    </m:rPr>
                    <w:rPr>
                      <w:rFonts w:asciiTheme="majorBidi" w:hAnsiTheme="majorBidi" w:cstheme="majorBidi"/>
                      <w:lang w:val="en-US"/>
                    </w:rPr>
                    <m:t>3 600</m:t>
                  </m:r>
                </m:den>
              </m:f>
            </m:e>
          </m:d>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f>
            <m:fPr>
              <m:ctrlPr>
                <w:rPr>
                  <w:rFonts w:ascii="Cambria Math" w:hAnsi="Cambria Math" w:cstheme="majorBidi"/>
                </w:rPr>
              </m:ctrlPr>
            </m:fPr>
            <m:num>
              <m:r>
                <m:rPr>
                  <m:nor/>
                </m:rPr>
                <w:rPr>
                  <w:rFonts w:asciiTheme="majorBidi" w:hAnsiTheme="majorBidi" w:cstheme="majorBidi"/>
                  <w:lang w:val="en-US"/>
                </w:rPr>
                <m:t>kr</m:t>
              </m:r>
              <m:r>
                <m:rPr>
                  <m:nor/>
                </m:rPr>
                <w:rPr>
                  <w:rFonts w:ascii="Cambria Math" w:hAnsiTheme="majorBidi" w:cstheme="majorBidi"/>
                  <w:lang w:val="en-US"/>
                </w:rPr>
                <m:t xml:space="preserve"> </m:t>
              </m:r>
              <m:r>
                <m:rPr>
                  <m:nor/>
                </m:rPr>
                <w:rPr>
                  <w:rFonts w:asciiTheme="majorBidi" w:hAnsiTheme="majorBidi" w:cstheme="majorBidi"/>
                  <w:lang w:val="en-US"/>
                </w:rPr>
                <m:t>×</m:t>
              </m:r>
              <m:sSub>
                <m:sSubPr>
                  <m:ctrlPr>
                    <w:rPr>
                      <w:rFonts w:ascii="Cambria Math" w:hAnsi="Cambria Math" w:cstheme="majorBidi"/>
                    </w:rPr>
                  </m:ctrlPr>
                </m:sSubPr>
                <m:e>
                  <m:r>
                    <m:rPr>
                      <m:nor/>
                    </m:rPr>
                    <w:rPr>
                      <w:rFonts w:ascii="Cambria Math" w:hAnsiTheme="majorBidi" w:cstheme="majorBidi"/>
                      <w:lang w:val="en-US"/>
                    </w:rPr>
                    <m:t xml:space="preserve"> </m:t>
                  </m:r>
                  <m:r>
                    <m:rPr>
                      <m:nor/>
                    </m:rPr>
                    <w:rPr>
                      <w:rFonts w:asciiTheme="majorBidi" w:hAnsiTheme="majorBidi" w:cstheme="majorBidi"/>
                      <w:lang w:val="en-US"/>
                    </w:rPr>
                    <m:t>a</m:t>
                  </m:r>
                </m:e>
                <m:sub>
                  <m:r>
                    <m:rPr>
                      <m:nor/>
                    </m:rPr>
                    <w:rPr>
                      <w:rFonts w:asciiTheme="majorBidi" w:hAnsiTheme="majorBidi" w:cstheme="majorBidi"/>
                      <w:lang w:val="en-US"/>
                    </w:rPr>
                    <m:t>j</m:t>
                  </m:r>
                </m:sub>
              </m:sSub>
              <m:r>
                <m:rPr>
                  <m:nor/>
                </m:rPr>
                <w:rPr>
                  <w:rFonts w:ascii="Cambria Math" w:hAnsiTheme="majorBidi" w:cstheme="majorBidi"/>
                  <w:lang w:val="en-US"/>
                </w:rPr>
                <m:t xml:space="preserve"> </m:t>
              </m:r>
              <m:r>
                <m:rPr>
                  <m:nor/>
                </m:rPr>
                <w:rPr>
                  <w:rFonts w:asciiTheme="majorBidi" w:hAnsiTheme="majorBidi" w:cstheme="majorBidi"/>
                  <w:lang w:val="en-US"/>
                </w:rPr>
                <m:t>×</m:t>
              </m:r>
              <m:sSub>
                <m:sSubPr>
                  <m:ctrlPr>
                    <w:rPr>
                      <w:rFonts w:ascii="Cambria Math" w:hAnsi="Cambria Math" w:cstheme="majorBidi"/>
                    </w:rPr>
                  </m:ctrlPr>
                </m:sSubPr>
                <m:e>
                  <m:r>
                    <m:rPr>
                      <m:nor/>
                    </m:rPr>
                    <w:rPr>
                      <w:rFonts w:ascii="Cambria Math" w:hAnsiTheme="majorBidi" w:cstheme="majorBidi"/>
                      <w:lang w:val="en-US"/>
                    </w:rPr>
                    <m:t xml:space="preserve"> </m:t>
                  </m:r>
                  <m:r>
                    <m:rPr>
                      <m:nor/>
                    </m:rPr>
                    <w:rPr>
                      <w:rFonts w:asciiTheme="majorBidi" w:hAnsiTheme="majorBidi" w:cstheme="majorBidi"/>
                      <w:lang w:val="en-US"/>
                    </w:rPr>
                    <m:t>v</m:t>
                  </m:r>
                </m:e>
                <m:sub>
                  <m:r>
                    <m:rPr>
                      <m:nor/>
                    </m:rPr>
                    <w:rPr>
                      <w:rFonts w:asciiTheme="majorBidi" w:hAnsiTheme="majorBidi" w:cstheme="majorBidi"/>
                      <w:lang w:val="en-US"/>
                    </w:rPr>
                    <m:t>j</m:t>
                  </m:r>
                  <m:r>
                    <m:rPr>
                      <m:nor/>
                    </m:rPr>
                    <w:rPr>
                      <w:rFonts w:ascii="Cambria Math" w:hAnsiTheme="majorBidi" w:cstheme="majorBidi"/>
                      <w:lang w:val="en-US"/>
                    </w:rPr>
                    <m:t xml:space="preserve"> </m:t>
                  </m:r>
                </m:sub>
              </m:sSub>
              <m:r>
                <m:rPr>
                  <m:nor/>
                </m:rPr>
                <w:rPr>
                  <w:rFonts w:asciiTheme="majorBidi" w:hAnsiTheme="majorBidi" w:cstheme="majorBidi"/>
                  <w:lang w:val="en-US"/>
                </w:rPr>
                <m:t>×</m:t>
              </m:r>
              <m:r>
                <m:rPr>
                  <m:nor/>
                </m:rPr>
                <w:rPr>
                  <w:rFonts w:ascii="Cambria Math" w:hAnsiTheme="majorBidi" w:cstheme="majorBidi"/>
                  <w:lang w:val="en-US"/>
                </w:rPr>
                <m:t xml:space="preserve"> </m:t>
              </m:r>
              <m:r>
                <m:rPr>
                  <m:nor/>
                </m:rPr>
                <w:rPr>
                  <w:rFonts w:asciiTheme="majorBidi" w:hAnsiTheme="majorBidi" w:cstheme="majorBidi"/>
                  <w:lang w:val="en-US"/>
                </w:rPr>
                <m:t>TM</m:t>
              </m:r>
            </m:num>
            <m:den>
              <m:r>
                <m:rPr>
                  <m:nor/>
                </m:rPr>
                <w:rPr>
                  <w:rFonts w:asciiTheme="majorBidi" w:hAnsiTheme="majorBidi" w:cstheme="majorBidi"/>
                  <w:lang w:val="en-US"/>
                </w:rPr>
                <m:t>3</m:t>
              </m:r>
              <m:r>
                <m:rPr>
                  <m:nor/>
                </m:rPr>
                <w:rPr>
                  <w:rFonts w:ascii="Cambria Math" w:hAnsiTheme="majorBidi" w:cstheme="majorBidi"/>
                  <w:lang w:val="en-US"/>
                </w:rPr>
                <m:t> </m:t>
              </m:r>
              <m:r>
                <m:rPr>
                  <m:nor/>
                </m:rPr>
                <w:rPr>
                  <w:rFonts w:asciiTheme="majorBidi" w:hAnsiTheme="majorBidi" w:cstheme="majorBidi"/>
                  <w:lang w:val="en-US"/>
                </w:rPr>
                <m:t>600</m:t>
              </m:r>
            </m:den>
          </m:f>
        </m:oMath>
      </m:oMathPara>
    </w:p>
    <w:p w:rsidR="00E24DB7" w:rsidRPr="002C5876" w:rsidRDefault="00E24DB7" w:rsidP="00E24DB7">
      <w:pPr>
        <w:pStyle w:val="SingleTxtG"/>
        <w:keepNext/>
        <w:ind w:left="2268"/>
      </w:pPr>
      <w:r w:rsidRPr="00D53F39">
        <w:rPr>
          <w:lang w:val="en-US"/>
        </w:rPr>
        <w:tab/>
      </w:r>
      <w:r w:rsidRPr="002C5876">
        <w:t>où :</w:t>
      </w:r>
    </w:p>
    <w:p w:rsidR="00E24DB7" w:rsidRPr="002C5876" w:rsidRDefault="00E24DB7" w:rsidP="00E24DB7">
      <w:pPr>
        <w:pStyle w:val="SingleTxtG"/>
        <w:ind w:left="2268"/>
      </w:pPr>
      <w:r w:rsidRPr="002C5876">
        <w:tab/>
        <w:t>P</w:t>
      </w:r>
      <w:r w:rsidRPr="002C5876">
        <w:rPr>
          <w:vertAlign w:val="subscript"/>
        </w:rPr>
        <w:t>required,j</w:t>
      </w:r>
      <w:r w:rsidRPr="002C5876">
        <w:rPr>
          <w:vertAlign w:val="subscript"/>
        </w:rPr>
        <w:tab/>
      </w:r>
      <w:r w:rsidRPr="002C5876">
        <w:t>est la puissance requise à la seconde j, en kW ;</w:t>
      </w:r>
    </w:p>
    <w:p w:rsidR="00E24DB7" w:rsidRPr="002C5876" w:rsidRDefault="00E24DB7" w:rsidP="00E24DB7">
      <w:pPr>
        <w:pStyle w:val="SingleTxtG"/>
        <w:ind w:left="3402" w:hanging="1134"/>
      </w:pPr>
      <w:r w:rsidRPr="002C5876">
        <w:t>a</w:t>
      </w:r>
      <w:r w:rsidRPr="002C5876">
        <w:rPr>
          <w:vertAlign w:val="subscript"/>
        </w:rPr>
        <w:t>j</w:t>
      </w:r>
      <w:r w:rsidRPr="002C5876">
        <w:tab/>
      </w:r>
      <w:r w:rsidRPr="002C5876">
        <w:tab/>
        <w:t>est l’accélération du véhicule à la seconde j, en m/s², calculée comme suit :</w:t>
      </w:r>
    </w:p>
    <w:p w:rsidR="00E24DB7" w:rsidRPr="002C5876" w:rsidRDefault="00731CA6" w:rsidP="00E24DB7">
      <w:pPr>
        <w:pStyle w:val="SingleTxtG"/>
        <w:spacing w:after="240"/>
        <w:ind w:left="2268" w:firstLine="1134"/>
        <w:jc w:val="center"/>
        <w:rPr>
          <w:rFonts w:eastAsiaTheme="minorEastAsia"/>
        </w:rPr>
      </w:pPr>
      <m:oMathPara>
        <m:oMathParaPr>
          <m:jc m:val="center"/>
        </m:oMathParaPr>
        <m:oMath>
          <m:sSub>
            <m:sSubPr>
              <m:ctrlPr>
                <w:rPr>
                  <w:rFonts w:ascii="Cambria Math" w:hAnsi="Cambria Math" w:cstheme="majorBidi"/>
                </w:rPr>
              </m:ctrlPr>
            </m:sSubPr>
            <m:e>
              <m:r>
                <m:rPr>
                  <m:nor/>
                </m:rPr>
                <w:rPr>
                  <w:rFonts w:asciiTheme="majorBidi" w:hAnsiTheme="majorBidi" w:cstheme="majorBidi"/>
                </w:rPr>
                <m:t>a</m:t>
              </m:r>
            </m:e>
            <m:sub>
              <m:r>
                <m:rPr>
                  <m:nor/>
                </m:rPr>
                <w:rPr>
                  <w:rFonts w:asciiTheme="majorBidi" w:hAnsiTheme="majorBidi" w:cstheme="majorBidi"/>
                </w:rPr>
                <m:t>j</m:t>
              </m:r>
            </m:sub>
          </m:sSub>
          <m:r>
            <m:rPr>
              <m:nor/>
            </m:rPr>
            <w:rPr>
              <w:rFonts w:asciiTheme="majorBidi" w:hAnsiTheme="majorBidi" w:cstheme="majorBidi"/>
            </w:rPr>
            <m:t>=</m:t>
          </m:r>
          <m:f>
            <m:fPr>
              <m:ctrlPr>
                <w:rPr>
                  <w:rFonts w:ascii="Cambria Math" w:hAnsi="Cambria Math" w:cstheme="majorBidi"/>
                </w:rPr>
              </m:ctrlPr>
            </m:fPr>
            <m:num>
              <m:r>
                <m:rPr>
                  <m:nor/>
                </m:rPr>
                <w:rPr>
                  <w:rFonts w:asciiTheme="majorBidi" w:hAnsiTheme="majorBidi" w:cstheme="majorBidi"/>
                </w:rPr>
                <m:t>(</m:t>
              </m:r>
              <m:sSub>
                <m:sSubPr>
                  <m:ctrlPr>
                    <w:rPr>
                      <w:rFonts w:ascii="Cambria Math" w:hAnsi="Cambria Math" w:cstheme="majorBidi"/>
                    </w:rPr>
                  </m:ctrlPr>
                </m:sSubPr>
                <m:e>
                  <m:r>
                    <m:rPr>
                      <m:nor/>
                    </m:rPr>
                    <w:rPr>
                      <w:rFonts w:asciiTheme="majorBidi" w:hAnsiTheme="majorBidi" w:cstheme="majorBidi"/>
                    </w:rPr>
                    <m:t>v</m:t>
                  </m:r>
                </m:e>
                <m:sub>
                  <m:r>
                    <m:rPr>
                      <m:nor/>
                    </m:rPr>
                    <w:rPr>
                      <w:rFonts w:asciiTheme="majorBidi" w:hAnsiTheme="majorBidi" w:cstheme="majorBidi"/>
                    </w:rPr>
                    <m:t>j+1</m:t>
                  </m:r>
                </m:sub>
              </m:sSub>
              <m:r>
                <m:rPr>
                  <m:nor/>
                </m:rPr>
                <w:rPr>
                  <w:rFonts w:asciiTheme="majorBidi" w:hAnsiTheme="majorBidi" w:cstheme="majorBidi"/>
                </w:rPr>
                <m:t xml:space="preserve"> – </m:t>
              </m:r>
              <m:sSub>
                <m:sSubPr>
                  <m:ctrlPr>
                    <w:rPr>
                      <w:rFonts w:ascii="Cambria Math" w:hAnsi="Cambria Math" w:cstheme="majorBidi"/>
                    </w:rPr>
                  </m:ctrlPr>
                </m:sSubPr>
                <m:e>
                  <m:r>
                    <m:rPr>
                      <m:nor/>
                    </m:rPr>
                    <w:rPr>
                      <w:rFonts w:asciiTheme="majorBidi" w:hAnsiTheme="majorBidi" w:cstheme="majorBidi"/>
                    </w:rPr>
                    <m:t>v</m:t>
                  </m:r>
                </m:e>
                <m:sub>
                  <m:r>
                    <m:rPr>
                      <m:nor/>
                    </m:rPr>
                    <w:rPr>
                      <w:rFonts w:asciiTheme="majorBidi" w:hAnsiTheme="majorBidi" w:cstheme="majorBidi"/>
                    </w:rPr>
                    <m:t>j</m:t>
                  </m:r>
                </m:sub>
              </m:sSub>
              <m:r>
                <m:rPr>
                  <m:nor/>
                </m:rPr>
                <w:rPr>
                  <w:rFonts w:asciiTheme="majorBidi" w:hAnsiTheme="majorBidi" w:cstheme="majorBidi"/>
                </w:rPr>
                <m:t>)</m:t>
              </m:r>
            </m:num>
            <m:den>
              <m:r>
                <m:rPr>
                  <m:nor/>
                </m:rPr>
                <w:rPr>
                  <w:rFonts w:asciiTheme="majorBidi" w:hAnsiTheme="majorBidi" w:cstheme="majorBidi"/>
                </w:rPr>
                <m:t>3,6</m:t>
              </m:r>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d>
                <m:dPr>
                  <m:ctrlPr>
                    <w:rPr>
                      <w:rFonts w:ascii="Cambria Math" w:hAnsi="Cambria Math" w:cstheme="majorBidi"/>
                    </w:rPr>
                  </m:ctrlPr>
                </m:dPr>
                <m:e>
                  <m:sSub>
                    <m:sSubPr>
                      <m:ctrlPr>
                        <w:rPr>
                          <w:rFonts w:ascii="Cambria Math" w:hAnsi="Cambria Math" w:cstheme="majorBidi"/>
                        </w:rPr>
                      </m:ctrlPr>
                    </m:sSubPr>
                    <m:e>
                      <m:r>
                        <m:rPr>
                          <m:nor/>
                        </m:rPr>
                        <w:rPr>
                          <w:rFonts w:asciiTheme="majorBidi" w:hAnsiTheme="majorBidi" w:cstheme="majorBidi"/>
                        </w:rPr>
                        <m:t>t</m:t>
                      </m:r>
                    </m:e>
                    <m:sub>
                      <m:r>
                        <m:rPr>
                          <m:nor/>
                        </m:rPr>
                        <w:rPr>
                          <w:rFonts w:asciiTheme="majorBidi" w:hAnsiTheme="majorBidi" w:cstheme="majorBidi"/>
                        </w:rPr>
                        <m:t>j+1</m:t>
                      </m:r>
                    </m:sub>
                  </m:sSub>
                  <m:r>
                    <w:rPr>
                      <w:rFonts w:ascii="Cambria Math" w:hAnsi="Cambria Math" w:cstheme="majorBidi"/>
                    </w:rPr>
                    <m:t xml:space="preserve"> – </m:t>
                  </m:r>
                  <m:sSub>
                    <m:sSubPr>
                      <m:ctrlPr>
                        <w:rPr>
                          <w:rFonts w:ascii="Cambria Math" w:hAnsi="Cambria Math" w:cstheme="majorBidi"/>
                        </w:rPr>
                      </m:ctrlPr>
                    </m:sSubPr>
                    <m:e>
                      <m:r>
                        <m:rPr>
                          <m:nor/>
                        </m:rPr>
                        <w:rPr>
                          <w:rFonts w:asciiTheme="majorBidi" w:hAnsiTheme="majorBidi" w:cstheme="majorBidi"/>
                        </w:rPr>
                        <m:t>t</m:t>
                      </m:r>
                    </m:e>
                    <m:sub>
                      <m:r>
                        <m:rPr>
                          <m:nor/>
                        </m:rPr>
                        <w:rPr>
                          <w:rFonts w:asciiTheme="majorBidi" w:hAnsiTheme="majorBidi" w:cstheme="majorBidi"/>
                        </w:rPr>
                        <m:t>j</m:t>
                      </m:r>
                    </m:sub>
                  </m:sSub>
                </m:e>
              </m:d>
            </m:den>
          </m:f>
        </m:oMath>
      </m:oMathPara>
    </w:p>
    <w:p w:rsidR="00E24DB7" w:rsidRPr="002C5876" w:rsidRDefault="00E24DB7" w:rsidP="00E24DB7">
      <w:pPr>
        <w:pStyle w:val="SingleTxtG"/>
        <w:ind w:left="3402" w:hanging="1134"/>
      </w:pPr>
      <w:r w:rsidRPr="002C5876">
        <w:t>kr</w:t>
      </w:r>
      <w:r w:rsidRPr="002C5876">
        <w:tab/>
      </w:r>
      <w:r w:rsidRPr="002C5876">
        <w:tab/>
        <w:t>est un facteur prenant en compte la résistance inertielle de la transmission durant l’accélération ; sa valeur est fixée à 1,03.</w:t>
      </w:r>
    </w:p>
    <w:p w:rsidR="00E24DB7" w:rsidRPr="002C5876" w:rsidRDefault="00E24DB7" w:rsidP="00E24DB7">
      <w:pPr>
        <w:pStyle w:val="SingleTxtG"/>
        <w:keepNext/>
        <w:ind w:left="2268" w:hanging="1134"/>
        <w:jc w:val="left"/>
      </w:pPr>
      <w:r w:rsidRPr="002C5876">
        <w:t>3.2</w:t>
      </w:r>
      <w:r w:rsidRPr="002C5876">
        <w:tab/>
      </w:r>
      <w:r w:rsidRPr="002C5876">
        <w:tab/>
        <w:t>Détermination des régimes moteur</w:t>
      </w:r>
    </w:p>
    <w:p w:rsidR="00E24DB7" w:rsidRPr="002C5876" w:rsidRDefault="00E24DB7" w:rsidP="00E24DB7">
      <w:pPr>
        <w:pStyle w:val="SingleTxtG"/>
        <w:ind w:left="2268"/>
      </w:pPr>
      <w:r w:rsidRPr="002C5876">
        <w:t>Pour chaque v</w:t>
      </w:r>
      <w:r w:rsidRPr="002C5876">
        <w:rPr>
          <w:vertAlign w:val="subscript"/>
        </w:rPr>
        <w:t>j</w:t>
      </w:r>
      <w:r w:rsidRPr="002C5876">
        <w:t> </w:t>
      </w:r>
      <w:r w:rsidRPr="002C5876">
        <w:sym w:font="Symbol" w:char="F03C"/>
      </w:r>
      <w:r w:rsidRPr="002C5876">
        <w:t> 1 km/h, il est supposé que le véhicule est à l’arrêt, et le régime moteur est réglé à n</w:t>
      </w:r>
      <w:r w:rsidRPr="002C5876">
        <w:rPr>
          <w:vertAlign w:val="subscript"/>
        </w:rPr>
        <w:t>idle</w:t>
      </w:r>
      <w:r w:rsidRPr="002C5876">
        <w:t xml:space="preserve"> et que la commande de la boîte de vitesses est mise au </w:t>
      </w:r>
      <w:r w:rsidRPr="002C5876">
        <w:lastRenderedPageBreak/>
        <w:t>point mort, embrayage embrayé, sauf pendant la seconde précédant une accélération à partir de l’arrêt, au cours de laquelle l’embrayage est débrayé et le premier rapport engagé.</w:t>
      </w:r>
    </w:p>
    <w:p w:rsidR="00E24DB7" w:rsidRPr="002C5876" w:rsidRDefault="00E24DB7" w:rsidP="00E24DB7">
      <w:pPr>
        <w:pStyle w:val="SingleTxtG"/>
        <w:ind w:left="2268"/>
      </w:pPr>
      <w:r w:rsidRPr="002C5876">
        <w:tab/>
        <w:t>Pour chaque v</w:t>
      </w:r>
      <w:r w:rsidRPr="002C5876">
        <w:rPr>
          <w:vertAlign w:val="subscript"/>
        </w:rPr>
        <w:t>j</w:t>
      </w:r>
      <w:r w:rsidRPr="002C5876">
        <w:t> ≥ 1 km/h sur la courbe du cycle et chaque rapport i, i = 1 à ng</w:t>
      </w:r>
      <w:r w:rsidRPr="002C5876">
        <w:rPr>
          <w:vertAlign w:val="subscript"/>
        </w:rPr>
        <w:t>max</w:t>
      </w:r>
      <w:r w:rsidRPr="002C5876">
        <w:t>, le régime moteur n</w:t>
      </w:r>
      <w:r w:rsidRPr="002C5876">
        <w:rPr>
          <w:vertAlign w:val="subscript"/>
        </w:rPr>
        <w:t>i,j</w:t>
      </w:r>
      <w:r w:rsidRPr="002C5876">
        <w:t xml:space="preserve"> est calculé au moyen de l’équation suivante :</w:t>
      </w:r>
    </w:p>
    <w:p w:rsidR="00E24DB7" w:rsidRPr="002C5876" w:rsidRDefault="00731CA6" w:rsidP="00E24DB7">
      <w:pPr>
        <w:pStyle w:val="SingleTxtG"/>
        <w:spacing w:after="240"/>
        <w:ind w:left="2268"/>
        <w:jc w:val="center"/>
      </w:pPr>
      <m:oMathPara>
        <m:oMath>
          <m:sSub>
            <m:sSubPr>
              <m:ctrlPr>
                <w:rPr>
                  <w:rFonts w:ascii="Cambria Math" w:hAnsi="Cambria Math" w:cstheme="majorBidi"/>
                </w:rPr>
              </m:ctrlPr>
            </m:sSubPr>
            <m:e>
              <m:r>
                <m:rPr>
                  <m:nor/>
                </m:rPr>
                <w:rPr>
                  <w:rFonts w:asciiTheme="majorBidi" w:hAnsiTheme="majorBidi" w:cstheme="majorBidi"/>
                </w:rPr>
                <m:t>n</m:t>
              </m:r>
            </m:e>
            <m:sub>
              <m:r>
                <m:rPr>
                  <m:nor/>
                </m:rPr>
                <w:rPr>
                  <w:rFonts w:asciiTheme="majorBidi" w:hAnsiTheme="majorBidi" w:cstheme="majorBidi"/>
                </w:rPr>
                <m:t>i,j</m:t>
              </m:r>
              <m:r>
                <m:rPr>
                  <m:nor/>
                </m:rPr>
                <w:rPr>
                  <w:rFonts w:ascii="Cambria Math" w:hAnsiTheme="majorBidi" w:cstheme="majorBidi"/>
                </w:rPr>
                <m:t xml:space="preserve"> </m:t>
              </m:r>
            </m:sub>
          </m:sSub>
          <m:r>
            <m:rPr>
              <m:nor/>
            </m:rPr>
            <w:rPr>
              <w:rFonts w:asciiTheme="majorBidi" w:hAnsiTheme="majorBidi" w:cstheme="majorBidi"/>
            </w:rPr>
            <m:t>=</m:t>
          </m:r>
          <m:r>
            <m:rPr>
              <m:nor/>
            </m:rPr>
            <w:rPr>
              <w:rFonts w:ascii="Cambria Math" w:hAnsiTheme="majorBidi" w:cstheme="majorBidi"/>
            </w:rPr>
            <m:t xml:space="preserve"> </m:t>
          </m:r>
          <m:sSub>
            <m:sSubPr>
              <m:ctrlPr>
                <w:rPr>
                  <w:rFonts w:ascii="Cambria Math" w:hAnsi="Cambria Math" w:cstheme="majorBidi"/>
                </w:rPr>
              </m:ctrlPr>
            </m:sSubPr>
            <m:e>
              <m:r>
                <m:rPr>
                  <m:nor/>
                </m:rPr>
                <w:rPr>
                  <w:rFonts w:asciiTheme="majorBidi" w:hAnsiTheme="majorBidi" w:cstheme="majorBidi"/>
                </w:rPr>
                <m:t>(n/v)</m:t>
              </m:r>
            </m:e>
            <m:sub>
              <m:r>
                <m:rPr>
                  <m:nor/>
                </m:rPr>
                <w:rPr>
                  <w:rFonts w:asciiTheme="majorBidi" w:hAnsiTheme="majorBidi" w:cstheme="majorBidi"/>
                </w:rPr>
                <m:t>i</m:t>
              </m:r>
            </m:sub>
          </m:sSub>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sSub>
            <m:sSubPr>
              <m:ctrlPr>
                <w:rPr>
                  <w:rFonts w:ascii="Cambria Math" w:hAnsi="Cambria Math" w:cstheme="majorBidi"/>
                </w:rPr>
              </m:ctrlPr>
            </m:sSubPr>
            <m:e>
              <m:r>
                <m:rPr>
                  <m:nor/>
                </m:rPr>
                <w:rPr>
                  <w:rFonts w:asciiTheme="majorBidi" w:hAnsiTheme="majorBidi" w:cstheme="majorBidi"/>
                </w:rPr>
                <m:t>v</m:t>
              </m:r>
            </m:e>
            <m:sub>
              <m:r>
                <m:rPr>
                  <m:nor/>
                </m:rPr>
                <w:rPr>
                  <w:rFonts w:asciiTheme="majorBidi" w:hAnsiTheme="majorBidi" w:cstheme="majorBidi"/>
                </w:rPr>
                <m:t>j</m:t>
              </m:r>
            </m:sub>
          </m:sSub>
        </m:oMath>
      </m:oMathPara>
    </w:p>
    <w:p w:rsidR="00E24DB7" w:rsidRPr="002C5876" w:rsidRDefault="00E24DB7" w:rsidP="00E24DB7">
      <w:pPr>
        <w:pStyle w:val="SingleTxtG"/>
        <w:ind w:left="2268"/>
      </w:pPr>
      <w:r w:rsidRPr="002C5876">
        <w:t>Les calculs doivent être effectués avec des nombres à virgule flottante ; les résultats ne doivent pas être arrondis.</w:t>
      </w:r>
    </w:p>
    <w:p w:rsidR="00E24DB7" w:rsidRPr="002C5876" w:rsidRDefault="00E24DB7" w:rsidP="00E24DB7">
      <w:pPr>
        <w:pStyle w:val="SingleTxtG"/>
        <w:keepNext/>
        <w:ind w:left="2268" w:hanging="1134"/>
        <w:jc w:val="left"/>
      </w:pPr>
      <w:r w:rsidRPr="002C5876">
        <w:t>3.3</w:t>
      </w:r>
      <w:r w:rsidRPr="002C5876">
        <w:tab/>
      </w:r>
      <w:r w:rsidRPr="002C5876">
        <w:tab/>
        <w:t>Sélection des rapports possibles du point de vue du régime moteur</w:t>
      </w:r>
    </w:p>
    <w:p w:rsidR="00E24DB7" w:rsidRPr="002C5876" w:rsidRDefault="00E24DB7" w:rsidP="00E24DB7">
      <w:pPr>
        <w:pStyle w:val="SingleTxtG"/>
        <w:keepNext/>
        <w:ind w:left="2268"/>
      </w:pPr>
      <w:r w:rsidRPr="002C5876">
        <w:t>Les rapports suivants peuvent être sélectionnés pour suivre la courbe du cycle à v</w:t>
      </w:r>
      <w:r w:rsidRPr="002C5876">
        <w:rPr>
          <w:vertAlign w:val="subscript"/>
        </w:rPr>
        <w:t>j</w:t>
      </w:r>
      <w:r w:rsidRPr="002C5876">
        <w:rPr>
          <w:vertAlign w:val="superscript"/>
        </w:rPr>
        <w:t> </w:t>
      </w:r>
      <w:r w:rsidRPr="002C5876">
        <w:t>:</w:t>
      </w:r>
    </w:p>
    <w:p w:rsidR="00E24DB7" w:rsidRPr="002C5876" w:rsidRDefault="00E24DB7" w:rsidP="00E24DB7">
      <w:pPr>
        <w:pStyle w:val="SingleTxtG"/>
        <w:ind w:left="2268"/>
      </w:pPr>
      <w:r w:rsidRPr="002C5876">
        <w:t>a)</w:t>
      </w:r>
      <w:r w:rsidRPr="002C5876">
        <w:tab/>
        <w:t>Tous les rapports i &lt; ng</w:t>
      </w:r>
      <w:r w:rsidRPr="002C5876">
        <w:rPr>
          <w:vertAlign w:val="subscript"/>
        </w:rPr>
        <w:t>vmax</w:t>
      </w:r>
      <w:r w:rsidRPr="002C5876">
        <w:t xml:space="preserve"> pour lesquels n</w:t>
      </w:r>
      <w:r w:rsidRPr="002C5876">
        <w:rPr>
          <w:vertAlign w:val="subscript"/>
        </w:rPr>
        <w:t>min_drive</w:t>
      </w:r>
      <w:r w:rsidRPr="002C5876">
        <w:t xml:space="preserve"> ≤ n</w:t>
      </w:r>
      <w:r w:rsidRPr="002C5876">
        <w:rPr>
          <w:vertAlign w:val="subscript"/>
        </w:rPr>
        <w:t>i,j</w:t>
      </w:r>
      <w:r w:rsidRPr="002C5876">
        <w:t xml:space="preserve"> ≤ n</w:t>
      </w:r>
      <w:r w:rsidRPr="002C5876">
        <w:rPr>
          <w:vertAlign w:val="subscript"/>
        </w:rPr>
        <w:t>max1</w:t>
      </w:r>
      <w:r w:rsidRPr="002C5876">
        <w:t> ;</w:t>
      </w:r>
    </w:p>
    <w:p w:rsidR="00E24DB7" w:rsidRPr="002C5876" w:rsidRDefault="00E24DB7" w:rsidP="00E24DB7">
      <w:pPr>
        <w:pStyle w:val="SingleTxtG"/>
        <w:ind w:left="2835" w:hanging="567"/>
      </w:pPr>
      <w:r w:rsidRPr="002C5876">
        <w:t>b)</w:t>
      </w:r>
      <w:r w:rsidRPr="002C5876">
        <w:tab/>
        <w:t>Tous les rapports i ≥ ng</w:t>
      </w:r>
      <w:r w:rsidRPr="002C5876">
        <w:rPr>
          <w:vertAlign w:val="subscript"/>
        </w:rPr>
        <w:t>vmax</w:t>
      </w:r>
      <w:r w:rsidRPr="002C5876">
        <w:t xml:space="preserve"> pour lesquels n</w:t>
      </w:r>
      <w:r w:rsidRPr="002C5876">
        <w:rPr>
          <w:vertAlign w:val="subscript"/>
        </w:rPr>
        <w:t xml:space="preserve">min_drive </w:t>
      </w:r>
      <w:r w:rsidRPr="002C5876">
        <w:t>≤ n</w:t>
      </w:r>
      <w:r w:rsidRPr="002C5876">
        <w:rPr>
          <w:vertAlign w:val="subscript"/>
        </w:rPr>
        <w:t>i,j</w:t>
      </w:r>
      <w:r w:rsidRPr="002C5876">
        <w:t xml:space="preserve"> ≤ n</w:t>
      </w:r>
      <w:r w:rsidRPr="002C5876">
        <w:rPr>
          <w:vertAlign w:val="subscript"/>
        </w:rPr>
        <w:t>max2</w:t>
      </w:r>
      <w:r w:rsidRPr="002C5876">
        <w:t> ;</w:t>
      </w:r>
    </w:p>
    <w:p w:rsidR="00E24DB7" w:rsidRPr="002C5876" w:rsidRDefault="00E24DB7" w:rsidP="00E24DB7">
      <w:pPr>
        <w:pStyle w:val="SingleTxtG"/>
        <w:ind w:left="2835" w:hanging="567"/>
      </w:pPr>
      <w:r w:rsidRPr="002C5876">
        <w:t>c)</w:t>
      </w:r>
      <w:r w:rsidRPr="002C5876">
        <w:tab/>
        <w:t>Le premier rapport, si n</w:t>
      </w:r>
      <w:r w:rsidRPr="002C5876">
        <w:rPr>
          <w:vertAlign w:val="subscript"/>
        </w:rPr>
        <w:t>1,j</w:t>
      </w:r>
      <w:r w:rsidRPr="002C5876">
        <w:t xml:space="preserve"> &lt; n</w:t>
      </w:r>
      <w:r w:rsidRPr="002C5876">
        <w:rPr>
          <w:vertAlign w:val="subscript"/>
        </w:rPr>
        <w:t>min_drive</w:t>
      </w:r>
      <w:r w:rsidRPr="002C5876">
        <w:t>.</w:t>
      </w:r>
    </w:p>
    <w:p w:rsidR="00E24DB7" w:rsidRPr="002C5876" w:rsidRDefault="00E24DB7" w:rsidP="00E24DB7">
      <w:pPr>
        <w:pStyle w:val="SingleTxtG"/>
        <w:ind w:left="2268"/>
      </w:pPr>
      <w:r w:rsidRPr="002C5876">
        <w:t>Si a</w:t>
      </w:r>
      <w:r w:rsidRPr="002C5876">
        <w:rPr>
          <w:vertAlign w:val="subscript"/>
        </w:rPr>
        <w:t>j</w:t>
      </w:r>
      <w:r w:rsidRPr="002C5876">
        <w:t xml:space="preserve"> ≤ 0 et n</w:t>
      </w:r>
      <w:r w:rsidRPr="002C5876">
        <w:rPr>
          <w:vertAlign w:val="subscript"/>
        </w:rPr>
        <w:t>i,j</w:t>
      </w:r>
      <w:r w:rsidRPr="002C5876">
        <w:t xml:space="preserve"> &lt; n</w:t>
      </w:r>
      <w:r w:rsidRPr="002C5876">
        <w:rPr>
          <w:vertAlign w:val="subscript"/>
        </w:rPr>
        <w:t>idle</w:t>
      </w:r>
      <w:r w:rsidRPr="002C5876">
        <w:t>, n</w:t>
      </w:r>
      <w:r w:rsidRPr="002C5876">
        <w:rPr>
          <w:vertAlign w:val="subscript"/>
        </w:rPr>
        <w:t>i,j</w:t>
      </w:r>
      <w:r w:rsidRPr="002C5876">
        <w:t xml:space="preserve"> doit être réglé à n</w:t>
      </w:r>
      <w:r w:rsidRPr="002C5876">
        <w:rPr>
          <w:vertAlign w:val="subscript"/>
        </w:rPr>
        <w:t>idle</w:t>
      </w:r>
      <w:r w:rsidRPr="002C5876">
        <w:t xml:space="preserve"> et l’embrayage doit être débrayé.</w:t>
      </w:r>
    </w:p>
    <w:p w:rsidR="00E24DB7" w:rsidRPr="002C5876" w:rsidRDefault="00E24DB7" w:rsidP="00E24DB7">
      <w:pPr>
        <w:pStyle w:val="SingleTxtG"/>
        <w:ind w:left="2268"/>
      </w:pPr>
      <w:r w:rsidRPr="002C5876">
        <w:t>Si a</w:t>
      </w:r>
      <w:r w:rsidRPr="002C5876">
        <w:rPr>
          <w:vertAlign w:val="subscript"/>
        </w:rPr>
        <w:t>j</w:t>
      </w:r>
      <w:r w:rsidRPr="002C5876">
        <w:t xml:space="preserve"> &gt; 0 et n</w:t>
      </w:r>
      <w:r w:rsidRPr="002C5876">
        <w:rPr>
          <w:vertAlign w:val="subscript"/>
        </w:rPr>
        <w:t>i,j</w:t>
      </w:r>
      <w:r w:rsidRPr="002C5876">
        <w:t xml:space="preserve"> &lt; (1,15 × n</w:t>
      </w:r>
      <w:r w:rsidRPr="002C5876">
        <w:rPr>
          <w:vertAlign w:val="subscript"/>
        </w:rPr>
        <w:t>idle</w:t>
      </w:r>
      <w:r w:rsidRPr="002C5876">
        <w:t>), n</w:t>
      </w:r>
      <w:r w:rsidRPr="002C5876">
        <w:rPr>
          <w:vertAlign w:val="subscript"/>
        </w:rPr>
        <w:t>i,j</w:t>
      </w:r>
      <w:r w:rsidRPr="002C5876">
        <w:t xml:space="preserve"> doit être réglé à (1,15 × n</w:t>
      </w:r>
      <w:r w:rsidRPr="002C5876">
        <w:rPr>
          <w:vertAlign w:val="subscript"/>
        </w:rPr>
        <w:t>idle</w:t>
      </w:r>
      <w:r w:rsidRPr="002C5876">
        <w:t>) et l’embrayage doit être débrayé.</w:t>
      </w:r>
    </w:p>
    <w:p w:rsidR="00E24DB7" w:rsidRPr="002C5876" w:rsidRDefault="00E24DB7" w:rsidP="00E24DB7">
      <w:pPr>
        <w:pStyle w:val="SingleTxtG"/>
        <w:keepNext/>
        <w:ind w:left="2268" w:hanging="1134"/>
        <w:jc w:val="left"/>
      </w:pPr>
      <w:r w:rsidRPr="002C5876">
        <w:t>3.4</w:t>
      </w:r>
      <w:r w:rsidRPr="002C5876">
        <w:tab/>
      </w:r>
      <w:r w:rsidRPr="002C5876">
        <w:tab/>
        <w:t>Calcul de la puissance disponible</w:t>
      </w:r>
    </w:p>
    <w:p w:rsidR="00E24DB7" w:rsidRPr="002C5876" w:rsidRDefault="00E24DB7" w:rsidP="00E24DB7">
      <w:pPr>
        <w:pStyle w:val="SingleTxtG"/>
        <w:keepNext/>
        <w:keepLines/>
        <w:ind w:left="2268"/>
      </w:pPr>
      <w:r w:rsidRPr="002C5876">
        <w:t>La puissance disponible pour chaque rapport i possible et chaque valeur de vitesse v</w:t>
      </w:r>
      <w:r w:rsidRPr="002C5876">
        <w:rPr>
          <w:vertAlign w:val="subscript"/>
        </w:rPr>
        <w:t>i</w:t>
      </w:r>
      <w:r w:rsidRPr="002C5876">
        <w:t xml:space="preserve"> sur la courbe du cycle est calculée au moyen de l’équation ci-après :</w:t>
      </w:r>
    </w:p>
    <w:p w:rsidR="00E24DB7" w:rsidRPr="00D53F39" w:rsidRDefault="00731CA6" w:rsidP="00E24DB7">
      <w:pPr>
        <w:pStyle w:val="SingleTxtG"/>
        <w:keepNext/>
        <w:keepLines/>
        <w:spacing w:after="240"/>
        <w:ind w:left="2268"/>
        <w:jc w:val="center"/>
        <w:rPr>
          <w:rFonts w:eastAsiaTheme="minorEastAsia"/>
          <w:lang w:val="en-US"/>
        </w:rPr>
      </w:pPr>
      <m:oMathPara>
        <m:oMath>
          <m:sSub>
            <m:sSubPr>
              <m:ctrlPr>
                <w:rPr>
                  <w:rFonts w:ascii="Cambria Math" w:hAnsi="Cambria Math" w:cstheme="majorBidi"/>
                </w:rPr>
              </m:ctrlPr>
            </m:sSubPr>
            <m:e>
              <m:r>
                <m:rPr>
                  <m:nor/>
                </m:rPr>
                <w:rPr>
                  <w:rFonts w:asciiTheme="majorBidi" w:hAnsiTheme="majorBidi" w:cstheme="majorBidi"/>
                  <w:lang w:val="en-US"/>
                </w:rPr>
                <m:t>P</m:t>
              </m:r>
            </m:e>
            <m:sub>
              <m:r>
                <m:rPr>
                  <m:nor/>
                </m:rPr>
                <w:rPr>
                  <w:rFonts w:asciiTheme="majorBidi" w:hAnsiTheme="majorBidi" w:cstheme="majorBidi"/>
                  <w:lang w:val="en-US"/>
                </w:rPr>
                <m:t>available_i,j</m:t>
              </m:r>
            </m:sub>
          </m:sSub>
          <m:r>
            <m:rPr>
              <m:nor/>
            </m:rPr>
            <w:rPr>
              <w:rFonts w:ascii="Cambria Math" w:hAnsiTheme="majorBidi" w:cstheme="majorBidi"/>
              <w:lang w:val="en-US"/>
            </w:rPr>
            <m:t xml:space="preserve"> </m:t>
          </m:r>
          <m:r>
            <m:rPr>
              <m:nor/>
            </m:rPr>
            <w:rPr>
              <w:rFonts w:asciiTheme="majorBidi"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P</m:t>
              </m:r>
            </m:e>
            <m:sub>
              <m:r>
                <m:rPr>
                  <m:nor/>
                </m:rPr>
                <w:rPr>
                  <w:rFonts w:asciiTheme="majorBidi" w:hAnsiTheme="majorBidi" w:cstheme="majorBidi"/>
                  <w:lang w:val="en-US"/>
                </w:rPr>
                <m:t xml:space="preserve">wot </m:t>
              </m:r>
            </m:sub>
          </m:sSub>
          <m:d>
            <m:dPr>
              <m:ctrlPr>
                <w:rPr>
                  <w:rFonts w:ascii="Cambria Math" w:hAnsi="Cambria Math" w:cstheme="majorBidi"/>
                </w:rPr>
              </m:ctrlPr>
            </m:dPr>
            <m:e>
              <m:sSub>
                <m:sSubPr>
                  <m:ctrlPr>
                    <w:rPr>
                      <w:rFonts w:ascii="Cambria Math" w:hAnsi="Cambria Math" w:cstheme="majorBidi"/>
                    </w:rPr>
                  </m:ctrlPr>
                </m:sSubPr>
                <m:e>
                  <m:r>
                    <m:rPr>
                      <m:nor/>
                    </m:rPr>
                    <w:rPr>
                      <w:rFonts w:asciiTheme="majorBidi" w:hAnsiTheme="majorBidi" w:cstheme="majorBidi"/>
                      <w:lang w:val="en-US"/>
                    </w:rPr>
                    <m:t>n</m:t>
                  </m:r>
                </m:e>
                <m:sub>
                  <m:r>
                    <m:rPr>
                      <m:nor/>
                    </m:rPr>
                    <w:rPr>
                      <w:rFonts w:asciiTheme="majorBidi" w:hAnsiTheme="majorBidi" w:cstheme="majorBidi"/>
                      <w:lang w:val="en-US"/>
                    </w:rPr>
                    <m:t>i,j</m:t>
                  </m:r>
                </m:sub>
              </m:sSub>
            </m:e>
          </m:d>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d>
            <m:dPr>
              <m:ctrlPr>
                <w:rPr>
                  <w:rFonts w:ascii="Cambria Math" w:hAnsi="Cambria Math" w:cstheme="majorBidi"/>
                </w:rPr>
              </m:ctrlPr>
            </m:dPr>
            <m:e>
              <m:r>
                <m:rPr>
                  <m:nor/>
                </m:rPr>
                <w:rPr>
                  <w:rFonts w:asciiTheme="majorBidi" w:hAnsiTheme="majorBidi" w:cstheme="majorBidi"/>
                  <w:lang w:val="en-US"/>
                </w:rPr>
                <m:t>1</m:t>
              </m:r>
              <m:r>
                <m:rPr>
                  <m:nor/>
                </m:rPr>
                <w:rPr>
                  <w:rFonts w:ascii="Cambria Math" w:hAnsiTheme="majorBidi" w:cstheme="majorBidi"/>
                  <w:lang w:val="en-US"/>
                </w:rPr>
                <m:t xml:space="preserve"> </m:t>
              </m:r>
              <m:r>
                <m:rPr>
                  <m:nor/>
                </m:rPr>
                <w:rPr>
                  <w:rFonts w:ascii="Cambria Math" w:hAnsiTheme="majorBidi" w:cstheme="majorBidi"/>
                  <w:lang w:val="en-US"/>
                </w:rPr>
                <m:t>–</m:t>
              </m:r>
              <m:r>
                <m:rPr>
                  <m:nor/>
                </m:rPr>
                <w:rPr>
                  <w:rFonts w:ascii="Cambria Math" w:hAnsiTheme="majorBidi" w:cstheme="majorBidi"/>
                  <w:lang w:val="en-US"/>
                </w:rPr>
                <m:t xml:space="preserve"> </m:t>
              </m:r>
              <m:d>
                <m:dPr>
                  <m:ctrlPr>
                    <w:rPr>
                      <w:rFonts w:ascii="Cambria Math" w:hAnsi="Cambria Math" w:cstheme="majorBidi"/>
                    </w:rPr>
                  </m:ctrlPr>
                </m:dPr>
                <m:e>
                  <m:r>
                    <m:rPr>
                      <m:nor/>
                    </m:rPr>
                    <w:rPr>
                      <w:rFonts w:asciiTheme="majorBidi" w:hAnsiTheme="majorBidi" w:cstheme="majorBidi"/>
                      <w:lang w:val="en-US"/>
                    </w:rPr>
                    <m:t>SM</m:t>
                  </m:r>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r>
                    <m:rPr>
                      <m:nor/>
                    </m:rPr>
                    <w:rPr>
                      <w:rFonts w:asciiTheme="majorBidi" w:hAnsiTheme="majorBidi" w:cstheme="majorBidi"/>
                      <w:lang w:val="en-US"/>
                    </w:rPr>
                    <m:t>ASM</m:t>
                  </m:r>
                </m:e>
              </m:d>
            </m:e>
          </m:d>
        </m:oMath>
      </m:oMathPara>
    </w:p>
    <w:p w:rsidR="00E24DB7" w:rsidRPr="002C5876" w:rsidRDefault="00E24DB7" w:rsidP="00E24DB7">
      <w:pPr>
        <w:pStyle w:val="SingleTxtG"/>
        <w:keepNext/>
        <w:ind w:left="2268"/>
      </w:pPr>
      <w:r w:rsidRPr="00D53F39">
        <w:rPr>
          <w:lang w:val="en-US"/>
        </w:rPr>
        <w:tab/>
      </w:r>
      <w:r w:rsidRPr="002C5876">
        <w:t>où :</w:t>
      </w:r>
    </w:p>
    <w:p w:rsidR="00E24DB7" w:rsidRPr="002C5876" w:rsidRDefault="00E24DB7" w:rsidP="00E24DB7">
      <w:pPr>
        <w:pStyle w:val="SingleTxtG"/>
        <w:ind w:left="3402" w:hanging="1134"/>
      </w:pPr>
      <w:r w:rsidRPr="002C5876">
        <w:rPr>
          <w:noProof/>
          <w:lang w:val="en-GB" w:eastAsia="zh-CN"/>
        </w:rPr>
        <w:drawing>
          <wp:inline distT="0" distB="0" distL="0" distR="0" wp14:anchorId="658E3D14" wp14:editId="1CCA0B8C">
            <wp:extent cx="304800" cy="200025"/>
            <wp:effectExtent l="0" t="0" r="0" b="9525"/>
            <wp:docPr id="977"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solidFill>
                      <a:schemeClr val="bg1">
                        <a:lumMod val="100000"/>
                        <a:lumOff val="0"/>
                      </a:schemeClr>
                    </a:solidFill>
                    <a:ln>
                      <a:noFill/>
                    </a:ln>
                  </pic:spPr>
                </pic:pic>
              </a:graphicData>
            </a:graphic>
          </wp:inline>
        </w:drawing>
      </w:r>
      <w:r w:rsidRPr="002C5876">
        <w:tab/>
        <w:t>est la puissance nominale, en kW ;</w:t>
      </w:r>
    </w:p>
    <w:p w:rsidR="00E24DB7" w:rsidRPr="002C5876" w:rsidRDefault="00E24DB7" w:rsidP="00E24DB7">
      <w:pPr>
        <w:pStyle w:val="SingleTxtG"/>
        <w:ind w:left="3402" w:hanging="1134"/>
      </w:pPr>
      <w:r w:rsidRPr="002C5876">
        <w:t>P</w:t>
      </w:r>
      <w:r w:rsidRPr="002C5876">
        <w:rPr>
          <w:vertAlign w:val="subscript"/>
        </w:rPr>
        <w:t>wrot</w:t>
      </w:r>
      <w:r w:rsidRPr="002C5876">
        <w:rPr>
          <w:vertAlign w:val="subscript"/>
        </w:rPr>
        <w:tab/>
      </w:r>
      <w:r w:rsidRPr="002C5876">
        <w:t>est la puissance disponible à n</w:t>
      </w:r>
      <w:r w:rsidRPr="002C5876">
        <w:rPr>
          <w:vertAlign w:val="subscript"/>
        </w:rPr>
        <w:t>i,j</w:t>
      </w:r>
      <w:r w:rsidRPr="002C5876">
        <w:t xml:space="preserve"> à pleine charge d’après la courbe de puissance à pleine charge ;</w:t>
      </w:r>
    </w:p>
    <w:p w:rsidR="00E24DB7" w:rsidRPr="002C5876" w:rsidRDefault="00E24DB7" w:rsidP="00E24DB7">
      <w:pPr>
        <w:pStyle w:val="SingleTxtG"/>
        <w:ind w:left="3402" w:hanging="1134"/>
      </w:pPr>
      <w:r w:rsidRPr="002C5876">
        <w:t>SM</w:t>
      </w:r>
      <w:r w:rsidRPr="002C5876">
        <w:tab/>
        <w:t>est un coefficient de sécurité tenant compte de l’écart entre la courbe de puissance à pleine charge en conditions stationnaires et la puissance disponible durant les périodes transitoires. Le coefficient SM est fixé à 10 % ;</w:t>
      </w:r>
    </w:p>
    <w:p w:rsidR="00E24DB7" w:rsidRPr="002C5876" w:rsidRDefault="00E24DB7" w:rsidP="00E24DB7">
      <w:pPr>
        <w:pStyle w:val="SingleTxtG"/>
        <w:ind w:left="3402" w:hanging="1134"/>
      </w:pPr>
      <w:r w:rsidRPr="002C5876">
        <w:t>ASM</w:t>
      </w:r>
      <w:r w:rsidRPr="002C5876">
        <w:tab/>
        <w:t xml:space="preserve">est un coefficient de sécurité additionnel en matière de puissance, qui peut être appliqué sur demande du constructeur. </w:t>
      </w:r>
    </w:p>
    <w:p w:rsidR="00E24DB7" w:rsidRPr="002C5876" w:rsidRDefault="00E24DB7" w:rsidP="00E24DB7">
      <w:pPr>
        <w:pStyle w:val="SingleTxtG"/>
        <w:ind w:left="2268"/>
      </w:pPr>
      <w:r w:rsidRPr="002C5876">
        <w:t>Sur demande, le constructeur doit fournir les valeurs du coefficient ASM (en pourcentage de réduction de la puissance disponible P</w:t>
      </w:r>
      <w:r w:rsidRPr="002C5876">
        <w:rPr>
          <w:vertAlign w:val="subscript"/>
        </w:rPr>
        <w:t>wot</w:t>
      </w:r>
      <w:r w:rsidRPr="002C5876">
        <w:t>, ainsi que les jeux de données pour P</w:t>
      </w:r>
      <w:r w:rsidRPr="002C5876">
        <w:rPr>
          <w:vertAlign w:val="subscript"/>
        </w:rPr>
        <w:t>wot</w:t>
      </w:r>
      <w:r w:rsidRPr="002C5876">
        <w:t>(n) comme indiqué dans l’exemple figurant dans le tableau A2/1. Les points de données consécutifs doivent être reliés par interpolation linéaire. Le coefficient ASM est limité à 50 %.</w:t>
      </w:r>
    </w:p>
    <w:p w:rsidR="00E24DB7" w:rsidRPr="002C5876" w:rsidRDefault="00E24DB7" w:rsidP="00E24DB7">
      <w:pPr>
        <w:pStyle w:val="SingleTxtG"/>
        <w:ind w:left="2268"/>
      </w:pPr>
      <w:r w:rsidRPr="002C5876">
        <w:t>L’application d’un coefficient ASM doit être approuvée par l’autorité compétente.</w:t>
      </w:r>
    </w:p>
    <w:p w:rsidR="00E24DB7" w:rsidRPr="002C5876" w:rsidRDefault="00E24DB7" w:rsidP="00E24DB7">
      <w:pPr>
        <w:pStyle w:val="H23G"/>
        <w:ind w:left="2268" w:firstLine="0"/>
      </w:pPr>
      <w:r w:rsidRPr="002C5876">
        <w:lastRenderedPageBreak/>
        <w:tab/>
        <w:t>Tableau A2/1</w:t>
      </w:r>
    </w:p>
    <w:tbl>
      <w:tblPr>
        <w:tblW w:w="6237" w:type="dxa"/>
        <w:tblInd w:w="2268" w:type="dxa"/>
        <w:tblLayout w:type="fixed"/>
        <w:tblCellMar>
          <w:left w:w="0" w:type="dxa"/>
          <w:right w:w="0" w:type="dxa"/>
        </w:tblCellMar>
        <w:tblLook w:val="04A0" w:firstRow="1" w:lastRow="0" w:firstColumn="1" w:lastColumn="0" w:noHBand="0" w:noVBand="1"/>
      </w:tblPr>
      <w:tblGrid>
        <w:gridCol w:w="1248"/>
        <w:gridCol w:w="1248"/>
        <w:gridCol w:w="1247"/>
        <w:gridCol w:w="1247"/>
        <w:gridCol w:w="1247"/>
      </w:tblGrid>
      <w:tr w:rsidR="00E24DB7" w:rsidRPr="002C5876" w:rsidTr="00E24DB7">
        <w:trPr>
          <w:trHeight w:val="288"/>
        </w:trPr>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4DB7" w:rsidRPr="002C5876" w:rsidRDefault="00E24DB7" w:rsidP="00E24DB7">
            <w:pPr>
              <w:keepNext/>
              <w:keepLines/>
              <w:suppressAutoHyphens w:val="0"/>
              <w:spacing w:before="80" w:after="80" w:line="200" w:lineRule="exact"/>
              <w:ind w:left="57" w:right="57"/>
              <w:jc w:val="center"/>
              <w:rPr>
                <w:bCs/>
                <w:i/>
                <w:sz w:val="16"/>
                <w:szCs w:val="16"/>
                <w:lang w:eastAsia="de-DE"/>
              </w:rPr>
            </w:pPr>
            <w:r w:rsidRPr="002C5876">
              <w:rPr>
                <w:bCs/>
                <w:i/>
                <w:sz w:val="16"/>
                <w:szCs w:val="16"/>
                <w:lang w:eastAsia="de-DE"/>
              </w:rPr>
              <w:t>n</w:t>
            </w:r>
          </w:p>
        </w:tc>
        <w:tc>
          <w:tcPr>
            <w:tcW w:w="1248" w:type="dxa"/>
            <w:tcBorders>
              <w:top w:val="single" w:sz="4" w:space="0" w:color="auto"/>
              <w:left w:val="nil"/>
              <w:bottom w:val="single" w:sz="4" w:space="0" w:color="auto"/>
              <w:right w:val="single" w:sz="4" w:space="0" w:color="auto"/>
            </w:tcBorders>
            <w:shd w:val="clear" w:color="auto" w:fill="auto"/>
            <w:noWrap/>
            <w:vAlign w:val="bottom"/>
            <w:hideMark/>
          </w:tcPr>
          <w:p w:rsidR="00E24DB7" w:rsidRPr="002C5876" w:rsidRDefault="00E24DB7" w:rsidP="00E24DB7">
            <w:pPr>
              <w:keepNext/>
              <w:keepLines/>
              <w:suppressAutoHyphens w:val="0"/>
              <w:spacing w:before="80" w:after="80" w:line="200" w:lineRule="exact"/>
              <w:ind w:left="57" w:right="57"/>
              <w:jc w:val="center"/>
              <w:rPr>
                <w:bCs/>
                <w:i/>
                <w:sz w:val="16"/>
                <w:szCs w:val="16"/>
                <w:lang w:eastAsia="de-DE"/>
              </w:rPr>
            </w:pPr>
            <w:r w:rsidRPr="002C5876">
              <w:rPr>
                <w:bCs/>
                <w:i/>
                <w:sz w:val="16"/>
                <w:szCs w:val="16"/>
                <w:lang w:eastAsia="de-DE"/>
              </w:rPr>
              <w:t>Pwot</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4DB7" w:rsidRPr="002C5876" w:rsidRDefault="00E24DB7" w:rsidP="00E24DB7">
            <w:pPr>
              <w:keepNext/>
              <w:keepLines/>
              <w:suppressAutoHyphens w:val="0"/>
              <w:spacing w:before="80" w:after="80" w:line="200" w:lineRule="exact"/>
              <w:ind w:left="57" w:right="57"/>
              <w:jc w:val="center"/>
              <w:rPr>
                <w:bCs/>
                <w:i/>
                <w:sz w:val="16"/>
                <w:szCs w:val="16"/>
                <w:lang w:eastAsia="de-DE"/>
              </w:rPr>
            </w:pPr>
            <w:r w:rsidRPr="002C5876">
              <w:rPr>
                <w:bCs/>
                <w:i/>
                <w:sz w:val="16"/>
                <w:szCs w:val="16"/>
                <w:lang w:eastAsia="de-DE"/>
              </w:rPr>
              <w:t xml:space="preserve">SM </w:t>
            </w:r>
            <w:r w:rsidRPr="002C5876">
              <w:rPr>
                <w:bCs/>
                <w:i/>
                <w:sz w:val="16"/>
                <w:szCs w:val="16"/>
                <w:lang w:eastAsia="de-DE"/>
              </w:rPr>
              <w:br/>
              <w:t>(%)</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4DB7" w:rsidRPr="002C5876" w:rsidRDefault="00E24DB7" w:rsidP="00E24DB7">
            <w:pPr>
              <w:keepNext/>
              <w:keepLines/>
              <w:suppressAutoHyphens w:val="0"/>
              <w:spacing w:before="80" w:after="80" w:line="200" w:lineRule="exact"/>
              <w:ind w:left="57" w:right="57"/>
              <w:jc w:val="center"/>
              <w:rPr>
                <w:bCs/>
                <w:i/>
                <w:sz w:val="16"/>
                <w:szCs w:val="16"/>
                <w:lang w:eastAsia="de-DE"/>
              </w:rPr>
            </w:pPr>
            <w:r w:rsidRPr="002C5876">
              <w:rPr>
                <w:bCs/>
                <w:i/>
                <w:sz w:val="16"/>
                <w:szCs w:val="16"/>
                <w:lang w:eastAsia="de-DE"/>
              </w:rPr>
              <w:t xml:space="preserve">ASM </w:t>
            </w:r>
            <w:r w:rsidRPr="002C5876">
              <w:rPr>
                <w:bCs/>
                <w:i/>
                <w:sz w:val="16"/>
                <w:szCs w:val="16"/>
                <w:lang w:eastAsia="de-DE"/>
              </w:rPr>
              <w:br/>
              <w:t>(%)</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rsidR="00E24DB7" w:rsidRPr="002C5876" w:rsidRDefault="00E24DB7" w:rsidP="00E24DB7">
            <w:pPr>
              <w:keepNext/>
              <w:keepLines/>
              <w:suppressAutoHyphens w:val="0"/>
              <w:spacing w:before="80" w:after="80" w:line="200" w:lineRule="exact"/>
              <w:ind w:left="57" w:right="57"/>
              <w:jc w:val="center"/>
              <w:rPr>
                <w:bCs/>
                <w:i/>
                <w:sz w:val="16"/>
                <w:szCs w:val="16"/>
                <w:lang w:eastAsia="de-DE"/>
              </w:rPr>
            </w:pPr>
            <w:r w:rsidRPr="002C5876">
              <w:rPr>
                <w:bCs/>
                <w:i/>
                <w:sz w:val="16"/>
                <w:szCs w:val="16"/>
                <w:lang w:eastAsia="de-DE"/>
              </w:rPr>
              <w:t>P</w:t>
            </w:r>
            <w:r w:rsidRPr="002C5876">
              <w:rPr>
                <w:bCs/>
                <w:i/>
                <w:sz w:val="16"/>
                <w:szCs w:val="16"/>
                <w:vertAlign w:val="subscript"/>
                <w:lang w:eastAsia="de-DE"/>
              </w:rPr>
              <w:t>available</w:t>
            </w:r>
          </w:p>
        </w:tc>
      </w:tr>
      <w:tr w:rsidR="00E24DB7" w:rsidRPr="002C5876" w:rsidTr="00E24DB7">
        <w:trPr>
          <w:trHeight w:val="288"/>
        </w:trPr>
        <w:tc>
          <w:tcPr>
            <w:tcW w:w="1248"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E24DB7" w:rsidRPr="002C5876" w:rsidRDefault="00E24DB7" w:rsidP="00E24DB7">
            <w:pPr>
              <w:keepNext/>
              <w:keepLines/>
              <w:suppressAutoHyphens w:val="0"/>
              <w:spacing w:before="80" w:after="80" w:line="200" w:lineRule="exact"/>
              <w:ind w:left="57" w:right="57"/>
              <w:jc w:val="center"/>
              <w:rPr>
                <w:bCs/>
                <w:i/>
                <w:sz w:val="16"/>
                <w:szCs w:val="16"/>
                <w:lang w:eastAsia="de-DE"/>
              </w:rPr>
            </w:pPr>
            <w:r w:rsidRPr="002C5876">
              <w:rPr>
                <w:bCs/>
                <w:i/>
                <w:sz w:val="16"/>
                <w:szCs w:val="16"/>
                <w:lang w:eastAsia="de-DE"/>
              </w:rPr>
              <w:t>min</w:t>
            </w:r>
            <w:r w:rsidRPr="002C5876">
              <w:rPr>
                <w:bCs/>
                <w:i/>
                <w:sz w:val="16"/>
                <w:szCs w:val="16"/>
                <w:vertAlign w:val="superscript"/>
                <w:lang w:eastAsia="de-DE"/>
              </w:rPr>
              <w:t>-1</w:t>
            </w:r>
          </w:p>
        </w:tc>
        <w:tc>
          <w:tcPr>
            <w:tcW w:w="1248" w:type="dxa"/>
            <w:tcBorders>
              <w:top w:val="single" w:sz="4" w:space="0" w:color="auto"/>
              <w:left w:val="nil"/>
              <w:bottom w:val="single" w:sz="12" w:space="0" w:color="auto"/>
              <w:right w:val="single" w:sz="4" w:space="0" w:color="auto"/>
            </w:tcBorders>
            <w:shd w:val="clear" w:color="auto" w:fill="auto"/>
            <w:noWrap/>
            <w:vAlign w:val="bottom"/>
            <w:hideMark/>
          </w:tcPr>
          <w:p w:rsidR="00E24DB7" w:rsidRPr="002C5876" w:rsidRDefault="00E24DB7" w:rsidP="00E24DB7">
            <w:pPr>
              <w:keepNext/>
              <w:keepLines/>
              <w:suppressAutoHyphens w:val="0"/>
              <w:spacing w:before="80" w:after="80" w:line="200" w:lineRule="exact"/>
              <w:ind w:left="57" w:right="57"/>
              <w:jc w:val="center"/>
              <w:rPr>
                <w:bCs/>
                <w:i/>
                <w:sz w:val="16"/>
                <w:szCs w:val="16"/>
                <w:lang w:eastAsia="de-DE"/>
              </w:rPr>
            </w:pPr>
            <w:r w:rsidRPr="002C5876">
              <w:rPr>
                <w:bCs/>
                <w:i/>
                <w:sz w:val="16"/>
                <w:szCs w:val="16"/>
                <w:lang w:eastAsia="de-DE"/>
              </w:rPr>
              <w:t>kW</w:t>
            </w:r>
          </w:p>
        </w:tc>
        <w:tc>
          <w:tcPr>
            <w:tcW w:w="1247" w:type="dxa"/>
            <w:vMerge/>
            <w:tcBorders>
              <w:top w:val="single" w:sz="4" w:space="0" w:color="auto"/>
              <w:left w:val="single" w:sz="4" w:space="0" w:color="auto"/>
              <w:bottom w:val="single" w:sz="12" w:space="0" w:color="auto"/>
              <w:right w:val="single" w:sz="4" w:space="0" w:color="auto"/>
            </w:tcBorders>
            <w:vAlign w:val="bottom"/>
            <w:hideMark/>
          </w:tcPr>
          <w:p w:rsidR="00E24DB7" w:rsidRPr="002C5876" w:rsidRDefault="00E24DB7" w:rsidP="00E24DB7">
            <w:pPr>
              <w:keepNext/>
              <w:keepLines/>
              <w:suppressAutoHyphens w:val="0"/>
              <w:spacing w:before="80" w:after="80" w:line="200" w:lineRule="exact"/>
              <w:ind w:left="57" w:right="57"/>
              <w:jc w:val="center"/>
              <w:rPr>
                <w:bCs/>
                <w:i/>
                <w:sz w:val="16"/>
                <w:szCs w:val="16"/>
                <w:lang w:eastAsia="de-DE"/>
              </w:rPr>
            </w:pPr>
          </w:p>
        </w:tc>
        <w:tc>
          <w:tcPr>
            <w:tcW w:w="1247" w:type="dxa"/>
            <w:vMerge/>
            <w:tcBorders>
              <w:top w:val="single" w:sz="4" w:space="0" w:color="auto"/>
              <w:left w:val="single" w:sz="4" w:space="0" w:color="auto"/>
              <w:bottom w:val="single" w:sz="12" w:space="0" w:color="auto"/>
              <w:right w:val="single" w:sz="4" w:space="0" w:color="auto"/>
            </w:tcBorders>
            <w:vAlign w:val="bottom"/>
            <w:hideMark/>
          </w:tcPr>
          <w:p w:rsidR="00E24DB7" w:rsidRPr="002C5876" w:rsidRDefault="00E24DB7" w:rsidP="00E24DB7">
            <w:pPr>
              <w:keepNext/>
              <w:keepLines/>
              <w:suppressAutoHyphens w:val="0"/>
              <w:spacing w:before="80" w:after="80" w:line="200" w:lineRule="exact"/>
              <w:ind w:left="57" w:right="57"/>
              <w:jc w:val="center"/>
              <w:rPr>
                <w:bCs/>
                <w:i/>
                <w:sz w:val="16"/>
                <w:szCs w:val="16"/>
                <w:lang w:eastAsia="de-DE"/>
              </w:rPr>
            </w:pPr>
          </w:p>
        </w:tc>
        <w:tc>
          <w:tcPr>
            <w:tcW w:w="1247" w:type="dxa"/>
            <w:tcBorders>
              <w:top w:val="single" w:sz="4" w:space="0" w:color="auto"/>
              <w:left w:val="nil"/>
              <w:bottom w:val="single" w:sz="12" w:space="0" w:color="auto"/>
              <w:right w:val="single" w:sz="4" w:space="0" w:color="auto"/>
            </w:tcBorders>
            <w:shd w:val="clear" w:color="auto" w:fill="auto"/>
            <w:noWrap/>
            <w:vAlign w:val="bottom"/>
            <w:hideMark/>
          </w:tcPr>
          <w:p w:rsidR="00E24DB7" w:rsidRPr="002C5876" w:rsidRDefault="00E24DB7" w:rsidP="00E24DB7">
            <w:pPr>
              <w:keepNext/>
              <w:keepLines/>
              <w:suppressAutoHyphens w:val="0"/>
              <w:spacing w:before="80" w:after="80" w:line="200" w:lineRule="exact"/>
              <w:ind w:left="57" w:right="57"/>
              <w:jc w:val="center"/>
              <w:rPr>
                <w:bCs/>
                <w:i/>
                <w:sz w:val="16"/>
                <w:szCs w:val="16"/>
                <w:lang w:eastAsia="de-DE"/>
              </w:rPr>
            </w:pPr>
            <w:r w:rsidRPr="002C5876">
              <w:rPr>
                <w:bCs/>
                <w:i/>
                <w:sz w:val="16"/>
                <w:szCs w:val="16"/>
                <w:lang w:eastAsia="de-DE"/>
              </w:rPr>
              <w:t>kW</w:t>
            </w:r>
          </w:p>
        </w:tc>
      </w:tr>
      <w:tr w:rsidR="00E24DB7" w:rsidRPr="002C5876" w:rsidTr="00E24DB7">
        <w:trPr>
          <w:trHeight w:val="288"/>
        </w:trPr>
        <w:tc>
          <w:tcPr>
            <w:tcW w:w="1248"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E24DB7" w:rsidRPr="002C5876" w:rsidRDefault="00E24DB7" w:rsidP="00E24DB7">
            <w:pPr>
              <w:keepNext/>
              <w:keepLines/>
              <w:suppressAutoHyphens w:val="0"/>
              <w:spacing w:before="40" w:after="40" w:line="220" w:lineRule="exact"/>
              <w:ind w:left="57" w:right="454"/>
              <w:jc w:val="right"/>
              <w:rPr>
                <w:sz w:val="18"/>
                <w:szCs w:val="18"/>
                <w:lang w:eastAsia="de-DE"/>
              </w:rPr>
            </w:pPr>
            <w:r w:rsidRPr="002C5876">
              <w:rPr>
                <w:sz w:val="18"/>
                <w:szCs w:val="18"/>
                <w:lang w:eastAsia="de-DE"/>
              </w:rPr>
              <w:t>700</w:t>
            </w:r>
          </w:p>
        </w:tc>
        <w:tc>
          <w:tcPr>
            <w:tcW w:w="1248" w:type="dxa"/>
            <w:tcBorders>
              <w:top w:val="single" w:sz="12" w:space="0" w:color="auto"/>
              <w:left w:val="nil"/>
              <w:bottom w:val="single" w:sz="4" w:space="0" w:color="auto"/>
              <w:right w:val="single" w:sz="4" w:space="0" w:color="auto"/>
            </w:tcBorders>
            <w:shd w:val="clear" w:color="auto" w:fill="auto"/>
            <w:noWrap/>
            <w:vAlign w:val="bottom"/>
            <w:hideMark/>
          </w:tcPr>
          <w:p w:rsidR="00E24DB7" w:rsidRPr="002C5876" w:rsidRDefault="00E24DB7" w:rsidP="00E24DB7">
            <w:pPr>
              <w:keepNext/>
              <w:keepLines/>
              <w:suppressAutoHyphens w:val="0"/>
              <w:spacing w:before="40" w:after="40" w:line="220" w:lineRule="exact"/>
              <w:ind w:left="57" w:right="454"/>
              <w:jc w:val="right"/>
              <w:rPr>
                <w:sz w:val="18"/>
                <w:szCs w:val="18"/>
                <w:lang w:eastAsia="de-DE"/>
              </w:rPr>
            </w:pPr>
            <w:r w:rsidRPr="002C5876">
              <w:rPr>
                <w:sz w:val="18"/>
                <w:szCs w:val="18"/>
                <w:lang w:eastAsia="de-DE"/>
              </w:rPr>
              <w:t>6,3</w:t>
            </w:r>
          </w:p>
        </w:tc>
        <w:tc>
          <w:tcPr>
            <w:tcW w:w="1247" w:type="dxa"/>
            <w:tcBorders>
              <w:top w:val="single" w:sz="12" w:space="0" w:color="auto"/>
              <w:left w:val="nil"/>
              <w:bottom w:val="single" w:sz="4" w:space="0" w:color="auto"/>
              <w:right w:val="single" w:sz="4" w:space="0" w:color="auto"/>
            </w:tcBorders>
            <w:shd w:val="clear" w:color="auto" w:fill="auto"/>
            <w:vAlign w:val="bottom"/>
            <w:hideMark/>
          </w:tcPr>
          <w:p w:rsidR="00E24DB7" w:rsidRPr="002C5876" w:rsidRDefault="00E24DB7" w:rsidP="00E24DB7">
            <w:pPr>
              <w:keepNext/>
              <w:keepLines/>
              <w:suppressAutoHyphens w:val="0"/>
              <w:spacing w:before="40" w:after="40" w:line="220" w:lineRule="exact"/>
              <w:ind w:left="57" w:right="454"/>
              <w:jc w:val="right"/>
              <w:rPr>
                <w:sz w:val="18"/>
                <w:szCs w:val="18"/>
                <w:lang w:eastAsia="de-DE"/>
              </w:rPr>
            </w:pPr>
            <w:r w:rsidRPr="002C5876">
              <w:rPr>
                <w:sz w:val="18"/>
                <w:szCs w:val="18"/>
                <w:lang w:eastAsia="de-DE"/>
              </w:rPr>
              <w:t>10,0</w:t>
            </w:r>
          </w:p>
        </w:tc>
        <w:tc>
          <w:tcPr>
            <w:tcW w:w="1247" w:type="dxa"/>
            <w:tcBorders>
              <w:top w:val="single" w:sz="12" w:space="0" w:color="auto"/>
              <w:left w:val="nil"/>
              <w:bottom w:val="single" w:sz="4" w:space="0" w:color="auto"/>
              <w:right w:val="single" w:sz="4" w:space="0" w:color="auto"/>
            </w:tcBorders>
            <w:shd w:val="clear" w:color="auto" w:fill="auto"/>
            <w:noWrap/>
            <w:vAlign w:val="bottom"/>
            <w:hideMark/>
          </w:tcPr>
          <w:p w:rsidR="00E24DB7" w:rsidRPr="002C5876" w:rsidRDefault="00E24DB7" w:rsidP="00E24DB7">
            <w:pPr>
              <w:keepNext/>
              <w:keepLines/>
              <w:suppressAutoHyphens w:val="0"/>
              <w:spacing w:before="40" w:after="40" w:line="220" w:lineRule="exact"/>
              <w:ind w:left="57" w:right="454"/>
              <w:jc w:val="right"/>
              <w:rPr>
                <w:sz w:val="18"/>
                <w:szCs w:val="18"/>
                <w:lang w:eastAsia="de-DE"/>
              </w:rPr>
            </w:pPr>
            <w:r w:rsidRPr="002C5876">
              <w:rPr>
                <w:sz w:val="18"/>
                <w:szCs w:val="18"/>
                <w:lang w:eastAsia="de-DE"/>
              </w:rPr>
              <w:t>20,0</w:t>
            </w:r>
          </w:p>
        </w:tc>
        <w:tc>
          <w:tcPr>
            <w:tcW w:w="1247" w:type="dxa"/>
            <w:tcBorders>
              <w:top w:val="single" w:sz="12" w:space="0" w:color="auto"/>
              <w:left w:val="nil"/>
              <w:bottom w:val="single" w:sz="4" w:space="0" w:color="auto"/>
              <w:right w:val="single" w:sz="4" w:space="0" w:color="auto"/>
            </w:tcBorders>
            <w:shd w:val="clear" w:color="auto" w:fill="auto"/>
            <w:noWrap/>
            <w:vAlign w:val="bottom"/>
            <w:hideMark/>
          </w:tcPr>
          <w:p w:rsidR="00E24DB7" w:rsidRPr="002C5876" w:rsidRDefault="00E24DB7" w:rsidP="00E24DB7">
            <w:pPr>
              <w:keepNext/>
              <w:keepLines/>
              <w:suppressAutoHyphens w:val="0"/>
              <w:spacing w:before="40" w:after="40" w:line="220" w:lineRule="exact"/>
              <w:ind w:left="57" w:right="454"/>
              <w:jc w:val="right"/>
              <w:rPr>
                <w:sz w:val="18"/>
                <w:szCs w:val="18"/>
                <w:lang w:eastAsia="de-DE"/>
              </w:rPr>
            </w:pPr>
            <w:r w:rsidRPr="002C5876">
              <w:rPr>
                <w:sz w:val="18"/>
                <w:szCs w:val="18"/>
                <w:lang w:eastAsia="de-DE"/>
              </w:rPr>
              <w:t>4,4</w:t>
            </w:r>
          </w:p>
        </w:tc>
      </w:tr>
      <w:tr w:rsidR="00E24DB7" w:rsidRPr="002C5876" w:rsidTr="00E24DB7">
        <w:trPr>
          <w:trHeight w:val="288"/>
        </w:trPr>
        <w:tc>
          <w:tcPr>
            <w:tcW w:w="1248" w:type="dxa"/>
            <w:tcBorders>
              <w:top w:val="nil"/>
              <w:left w:val="single" w:sz="4" w:space="0" w:color="auto"/>
              <w:bottom w:val="single" w:sz="4" w:space="0" w:color="auto"/>
              <w:right w:val="single" w:sz="4" w:space="0" w:color="auto"/>
            </w:tcBorders>
            <w:shd w:val="clear" w:color="auto" w:fill="auto"/>
            <w:vAlign w:val="bottom"/>
            <w:hideMark/>
          </w:tcPr>
          <w:p w:rsidR="00E24DB7" w:rsidRPr="002C5876" w:rsidRDefault="00E24DB7" w:rsidP="00E24DB7">
            <w:pPr>
              <w:keepNext/>
              <w:keepLines/>
              <w:suppressAutoHyphens w:val="0"/>
              <w:spacing w:before="40" w:after="40" w:line="220" w:lineRule="exact"/>
              <w:ind w:left="57" w:right="454"/>
              <w:jc w:val="right"/>
              <w:rPr>
                <w:sz w:val="18"/>
                <w:szCs w:val="18"/>
                <w:lang w:eastAsia="de-DE"/>
              </w:rPr>
            </w:pPr>
            <w:r w:rsidRPr="002C5876">
              <w:rPr>
                <w:sz w:val="18"/>
                <w:szCs w:val="18"/>
                <w:lang w:eastAsia="de-DE"/>
              </w:rPr>
              <w:t>1 000</w:t>
            </w:r>
          </w:p>
        </w:tc>
        <w:tc>
          <w:tcPr>
            <w:tcW w:w="1248" w:type="dxa"/>
            <w:tcBorders>
              <w:top w:val="nil"/>
              <w:left w:val="nil"/>
              <w:bottom w:val="single" w:sz="4" w:space="0" w:color="auto"/>
              <w:right w:val="single" w:sz="4" w:space="0" w:color="auto"/>
            </w:tcBorders>
            <w:shd w:val="clear" w:color="auto" w:fill="auto"/>
            <w:noWrap/>
            <w:vAlign w:val="bottom"/>
            <w:hideMark/>
          </w:tcPr>
          <w:p w:rsidR="00E24DB7" w:rsidRPr="002C5876" w:rsidRDefault="00E24DB7" w:rsidP="00E24DB7">
            <w:pPr>
              <w:keepNext/>
              <w:keepLines/>
              <w:suppressAutoHyphens w:val="0"/>
              <w:spacing w:before="40" w:after="40" w:line="220" w:lineRule="exact"/>
              <w:ind w:left="57" w:right="454"/>
              <w:jc w:val="right"/>
              <w:rPr>
                <w:sz w:val="18"/>
                <w:szCs w:val="18"/>
                <w:lang w:eastAsia="de-DE"/>
              </w:rPr>
            </w:pPr>
            <w:r w:rsidRPr="002C5876">
              <w:rPr>
                <w:sz w:val="18"/>
                <w:szCs w:val="18"/>
                <w:lang w:eastAsia="de-DE"/>
              </w:rPr>
              <w:t>15,7</w:t>
            </w:r>
          </w:p>
        </w:tc>
        <w:tc>
          <w:tcPr>
            <w:tcW w:w="1247" w:type="dxa"/>
            <w:tcBorders>
              <w:top w:val="nil"/>
              <w:left w:val="nil"/>
              <w:bottom w:val="single" w:sz="4" w:space="0" w:color="auto"/>
              <w:right w:val="single" w:sz="4" w:space="0" w:color="auto"/>
            </w:tcBorders>
            <w:shd w:val="clear" w:color="auto" w:fill="auto"/>
            <w:vAlign w:val="bottom"/>
            <w:hideMark/>
          </w:tcPr>
          <w:p w:rsidR="00E24DB7" w:rsidRPr="002C5876" w:rsidRDefault="00E24DB7" w:rsidP="00E24DB7">
            <w:pPr>
              <w:keepNext/>
              <w:keepLines/>
              <w:suppressAutoHyphens w:val="0"/>
              <w:spacing w:before="40" w:after="40" w:line="220" w:lineRule="exact"/>
              <w:ind w:left="57" w:right="454"/>
              <w:jc w:val="right"/>
              <w:rPr>
                <w:sz w:val="18"/>
                <w:szCs w:val="18"/>
                <w:lang w:eastAsia="de-DE"/>
              </w:rPr>
            </w:pPr>
            <w:r w:rsidRPr="002C5876">
              <w:rPr>
                <w:sz w:val="18"/>
                <w:szCs w:val="18"/>
                <w:lang w:eastAsia="de-DE"/>
              </w:rPr>
              <w:t>10,0</w:t>
            </w:r>
          </w:p>
        </w:tc>
        <w:tc>
          <w:tcPr>
            <w:tcW w:w="1247" w:type="dxa"/>
            <w:tcBorders>
              <w:top w:val="nil"/>
              <w:left w:val="nil"/>
              <w:bottom w:val="single" w:sz="4" w:space="0" w:color="auto"/>
              <w:right w:val="single" w:sz="4" w:space="0" w:color="auto"/>
            </w:tcBorders>
            <w:shd w:val="clear" w:color="auto" w:fill="auto"/>
            <w:noWrap/>
            <w:vAlign w:val="bottom"/>
            <w:hideMark/>
          </w:tcPr>
          <w:p w:rsidR="00E24DB7" w:rsidRPr="002C5876" w:rsidRDefault="00E24DB7" w:rsidP="00E24DB7">
            <w:pPr>
              <w:keepNext/>
              <w:keepLines/>
              <w:suppressAutoHyphens w:val="0"/>
              <w:spacing w:before="40" w:after="40" w:line="220" w:lineRule="exact"/>
              <w:ind w:left="57" w:right="454"/>
              <w:jc w:val="right"/>
              <w:rPr>
                <w:sz w:val="18"/>
                <w:szCs w:val="18"/>
                <w:lang w:eastAsia="de-DE"/>
              </w:rPr>
            </w:pPr>
            <w:r w:rsidRPr="002C5876">
              <w:rPr>
                <w:sz w:val="18"/>
                <w:szCs w:val="18"/>
                <w:lang w:eastAsia="de-DE"/>
              </w:rPr>
              <w:t>20,0</w:t>
            </w:r>
          </w:p>
        </w:tc>
        <w:tc>
          <w:tcPr>
            <w:tcW w:w="1247" w:type="dxa"/>
            <w:tcBorders>
              <w:top w:val="nil"/>
              <w:left w:val="nil"/>
              <w:bottom w:val="single" w:sz="4" w:space="0" w:color="auto"/>
              <w:right w:val="single" w:sz="4" w:space="0" w:color="auto"/>
            </w:tcBorders>
            <w:shd w:val="clear" w:color="auto" w:fill="auto"/>
            <w:noWrap/>
            <w:vAlign w:val="bottom"/>
            <w:hideMark/>
          </w:tcPr>
          <w:p w:rsidR="00E24DB7" w:rsidRPr="002C5876" w:rsidRDefault="00E24DB7" w:rsidP="00E24DB7">
            <w:pPr>
              <w:keepNext/>
              <w:keepLines/>
              <w:suppressAutoHyphens w:val="0"/>
              <w:spacing w:before="40" w:after="40" w:line="220" w:lineRule="exact"/>
              <w:ind w:left="57" w:right="454"/>
              <w:jc w:val="right"/>
              <w:rPr>
                <w:sz w:val="18"/>
                <w:szCs w:val="18"/>
                <w:lang w:eastAsia="de-DE"/>
              </w:rPr>
            </w:pPr>
            <w:r w:rsidRPr="002C5876">
              <w:rPr>
                <w:sz w:val="18"/>
                <w:szCs w:val="18"/>
                <w:lang w:eastAsia="de-DE"/>
              </w:rPr>
              <w:t>11,0</w:t>
            </w:r>
          </w:p>
        </w:tc>
      </w:tr>
      <w:tr w:rsidR="00E24DB7" w:rsidRPr="002C5876" w:rsidTr="00E24DB7">
        <w:trPr>
          <w:trHeight w:val="288"/>
        </w:trPr>
        <w:tc>
          <w:tcPr>
            <w:tcW w:w="1248" w:type="dxa"/>
            <w:tcBorders>
              <w:top w:val="nil"/>
              <w:left w:val="single" w:sz="4" w:space="0" w:color="auto"/>
              <w:bottom w:val="single" w:sz="4" w:space="0" w:color="auto"/>
              <w:right w:val="single" w:sz="4" w:space="0" w:color="auto"/>
            </w:tcBorders>
            <w:shd w:val="clear" w:color="auto" w:fill="auto"/>
            <w:vAlign w:val="bottom"/>
            <w:hideMark/>
          </w:tcPr>
          <w:p w:rsidR="00E24DB7" w:rsidRPr="002C5876" w:rsidRDefault="00E24DB7" w:rsidP="00E24DB7">
            <w:pPr>
              <w:keepNext/>
              <w:keepLines/>
              <w:suppressAutoHyphens w:val="0"/>
              <w:spacing w:before="40" w:after="40" w:line="220" w:lineRule="exact"/>
              <w:ind w:left="57" w:right="454"/>
              <w:jc w:val="right"/>
              <w:rPr>
                <w:sz w:val="18"/>
                <w:szCs w:val="18"/>
                <w:lang w:eastAsia="de-DE"/>
              </w:rPr>
            </w:pPr>
            <w:r w:rsidRPr="002C5876">
              <w:rPr>
                <w:sz w:val="18"/>
                <w:szCs w:val="18"/>
                <w:lang w:eastAsia="de-DE"/>
              </w:rPr>
              <w:t>1 500</w:t>
            </w:r>
          </w:p>
        </w:tc>
        <w:tc>
          <w:tcPr>
            <w:tcW w:w="1248" w:type="dxa"/>
            <w:tcBorders>
              <w:top w:val="nil"/>
              <w:left w:val="nil"/>
              <w:bottom w:val="single" w:sz="4" w:space="0" w:color="auto"/>
              <w:right w:val="single" w:sz="4" w:space="0" w:color="auto"/>
            </w:tcBorders>
            <w:shd w:val="clear" w:color="auto" w:fill="auto"/>
            <w:noWrap/>
            <w:vAlign w:val="bottom"/>
            <w:hideMark/>
          </w:tcPr>
          <w:p w:rsidR="00E24DB7" w:rsidRPr="002C5876" w:rsidRDefault="00E24DB7" w:rsidP="00E24DB7">
            <w:pPr>
              <w:keepNext/>
              <w:keepLines/>
              <w:suppressAutoHyphens w:val="0"/>
              <w:spacing w:before="40" w:after="40" w:line="220" w:lineRule="exact"/>
              <w:ind w:left="57" w:right="454"/>
              <w:jc w:val="right"/>
              <w:rPr>
                <w:sz w:val="18"/>
                <w:szCs w:val="18"/>
                <w:lang w:eastAsia="de-DE"/>
              </w:rPr>
            </w:pPr>
            <w:r w:rsidRPr="002C5876">
              <w:rPr>
                <w:sz w:val="18"/>
                <w:szCs w:val="18"/>
                <w:lang w:eastAsia="de-DE"/>
              </w:rPr>
              <w:t>32,3</w:t>
            </w:r>
          </w:p>
        </w:tc>
        <w:tc>
          <w:tcPr>
            <w:tcW w:w="1247" w:type="dxa"/>
            <w:tcBorders>
              <w:top w:val="nil"/>
              <w:left w:val="nil"/>
              <w:bottom w:val="single" w:sz="4" w:space="0" w:color="auto"/>
              <w:right w:val="single" w:sz="4" w:space="0" w:color="auto"/>
            </w:tcBorders>
            <w:shd w:val="clear" w:color="auto" w:fill="auto"/>
            <w:vAlign w:val="bottom"/>
            <w:hideMark/>
          </w:tcPr>
          <w:p w:rsidR="00E24DB7" w:rsidRPr="002C5876" w:rsidRDefault="00E24DB7" w:rsidP="00E24DB7">
            <w:pPr>
              <w:keepNext/>
              <w:keepLines/>
              <w:suppressAutoHyphens w:val="0"/>
              <w:spacing w:before="40" w:after="40" w:line="220" w:lineRule="exact"/>
              <w:ind w:left="57" w:right="454"/>
              <w:jc w:val="right"/>
              <w:rPr>
                <w:sz w:val="18"/>
                <w:szCs w:val="18"/>
                <w:lang w:eastAsia="de-DE"/>
              </w:rPr>
            </w:pPr>
            <w:r w:rsidRPr="002C5876">
              <w:rPr>
                <w:sz w:val="18"/>
                <w:szCs w:val="18"/>
                <w:lang w:eastAsia="de-DE"/>
              </w:rPr>
              <w:t>10,0</w:t>
            </w:r>
          </w:p>
        </w:tc>
        <w:tc>
          <w:tcPr>
            <w:tcW w:w="1247" w:type="dxa"/>
            <w:tcBorders>
              <w:top w:val="nil"/>
              <w:left w:val="nil"/>
              <w:bottom w:val="single" w:sz="4" w:space="0" w:color="auto"/>
              <w:right w:val="single" w:sz="4" w:space="0" w:color="auto"/>
            </w:tcBorders>
            <w:shd w:val="clear" w:color="auto" w:fill="auto"/>
            <w:noWrap/>
            <w:vAlign w:val="bottom"/>
            <w:hideMark/>
          </w:tcPr>
          <w:p w:rsidR="00E24DB7" w:rsidRPr="002C5876" w:rsidRDefault="00E24DB7" w:rsidP="00E24DB7">
            <w:pPr>
              <w:keepNext/>
              <w:keepLines/>
              <w:suppressAutoHyphens w:val="0"/>
              <w:spacing w:before="40" w:after="40" w:line="220" w:lineRule="exact"/>
              <w:ind w:left="57" w:right="454"/>
              <w:jc w:val="right"/>
              <w:rPr>
                <w:sz w:val="18"/>
                <w:szCs w:val="18"/>
                <w:lang w:eastAsia="de-DE"/>
              </w:rPr>
            </w:pPr>
            <w:r w:rsidRPr="002C5876">
              <w:rPr>
                <w:sz w:val="18"/>
                <w:szCs w:val="18"/>
                <w:lang w:eastAsia="de-DE"/>
              </w:rPr>
              <w:t>15,0</w:t>
            </w:r>
          </w:p>
        </w:tc>
        <w:tc>
          <w:tcPr>
            <w:tcW w:w="1247" w:type="dxa"/>
            <w:tcBorders>
              <w:top w:val="nil"/>
              <w:left w:val="nil"/>
              <w:bottom w:val="single" w:sz="4" w:space="0" w:color="auto"/>
              <w:right w:val="single" w:sz="4" w:space="0" w:color="auto"/>
            </w:tcBorders>
            <w:shd w:val="clear" w:color="auto" w:fill="auto"/>
            <w:noWrap/>
            <w:vAlign w:val="bottom"/>
            <w:hideMark/>
          </w:tcPr>
          <w:p w:rsidR="00E24DB7" w:rsidRPr="002C5876" w:rsidRDefault="00E24DB7" w:rsidP="00E24DB7">
            <w:pPr>
              <w:keepNext/>
              <w:keepLines/>
              <w:suppressAutoHyphens w:val="0"/>
              <w:spacing w:before="40" w:after="40" w:line="220" w:lineRule="exact"/>
              <w:ind w:left="57" w:right="454"/>
              <w:jc w:val="right"/>
              <w:rPr>
                <w:sz w:val="18"/>
                <w:szCs w:val="18"/>
                <w:lang w:eastAsia="de-DE"/>
              </w:rPr>
            </w:pPr>
            <w:r w:rsidRPr="002C5876">
              <w:rPr>
                <w:sz w:val="18"/>
                <w:szCs w:val="18"/>
                <w:lang w:eastAsia="de-DE"/>
              </w:rPr>
              <w:t>24,2</w:t>
            </w:r>
          </w:p>
        </w:tc>
      </w:tr>
      <w:tr w:rsidR="00E24DB7" w:rsidRPr="002C5876" w:rsidTr="00E24DB7">
        <w:trPr>
          <w:trHeight w:val="288"/>
        </w:trPr>
        <w:tc>
          <w:tcPr>
            <w:tcW w:w="1248" w:type="dxa"/>
            <w:tcBorders>
              <w:top w:val="nil"/>
              <w:left w:val="single" w:sz="4" w:space="0" w:color="auto"/>
              <w:bottom w:val="single" w:sz="4" w:space="0" w:color="auto"/>
              <w:right w:val="single" w:sz="4" w:space="0" w:color="auto"/>
            </w:tcBorders>
            <w:shd w:val="clear" w:color="auto" w:fill="auto"/>
            <w:vAlign w:val="bottom"/>
            <w:hideMark/>
          </w:tcPr>
          <w:p w:rsidR="00E24DB7" w:rsidRPr="002C5876" w:rsidRDefault="00E24DB7" w:rsidP="00E24DB7">
            <w:pPr>
              <w:keepNext/>
              <w:keepLines/>
              <w:suppressAutoHyphens w:val="0"/>
              <w:spacing w:before="40" w:after="40" w:line="220" w:lineRule="exact"/>
              <w:ind w:left="57" w:right="454"/>
              <w:jc w:val="right"/>
              <w:rPr>
                <w:sz w:val="18"/>
                <w:szCs w:val="18"/>
                <w:lang w:eastAsia="de-DE"/>
              </w:rPr>
            </w:pPr>
            <w:r w:rsidRPr="002C5876">
              <w:rPr>
                <w:sz w:val="18"/>
                <w:szCs w:val="18"/>
                <w:lang w:eastAsia="de-DE"/>
              </w:rPr>
              <w:t>1 800</w:t>
            </w:r>
          </w:p>
        </w:tc>
        <w:tc>
          <w:tcPr>
            <w:tcW w:w="1248" w:type="dxa"/>
            <w:tcBorders>
              <w:top w:val="nil"/>
              <w:left w:val="nil"/>
              <w:bottom w:val="single" w:sz="4" w:space="0" w:color="auto"/>
              <w:right w:val="single" w:sz="4" w:space="0" w:color="auto"/>
            </w:tcBorders>
            <w:shd w:val="clear" w:color="auto" w:fill="auto"/>
            <w:noWrap/>
            <w:vAlign w:val="bottom"/>
            <w:hideMark/>
          </w:tcPr>
          <w:p w:rsidR="00E24DB7" w:rsidRPr="002C5876" w:rsidRDefault="00E24DB7" w:rsidP="00E24DB7">
            <w:pPr>
              <w:keepNext/>
              <w:keepLines/>
              <w:suppressAutoHyphens w:val="0"/>
              <w:spacing w:before="40" w:after="40" w:line="220" w:lineRule="exact"/>
              <w:ind w:left="57" w:right="454"/>
              <w:jc w:val="right"/>
              <w:rPr>
                <w:sz w:val="18"/>
                <w:szCs w:val="18"/>
                <w:lang w:eastAsia="de-DE"/>
              </w:rPr>
            </w:pPr>
            <w:r w:rsidRPr="002C5876">
              <w:rPr>
                <w:sz w:val="18"/>
                <w:szCs w:val="18"/>
                <w:lang w:eastAsia="de-DE"/>
              </w:rPr>
              <w:t>56,6</w:t>
            </w:r>
          </w:p>
        </w:tc>
        <w:tc>
          <w:tcPr>
            <w:tcW w:w="1247" w:type="dxa"/>
            <w:tcBorders>
              <w:top w:val="nil"/>
              <w:left w:val="nil"/>
              <w:bottom w:val="single" w:sz="4" w:space="0" w:color="auto"/>
              <w:right w:val="single" w:sz="4" w:space="0" w:color="auto"/>
            </w:tcBorders>
            <w:shd w:val="clear" w:color="auto" w:fill="auto"/>
            <w:vAlign w:val="bottom"/>
            <w:hideMark/>
          </w:tcPr>
          <w:p w:rsidR="00E24DB7" w:rsidRPr="002C5876" w:rsidRDefault="00E24DB7" w:rsidP="00E24DB7">
            <w:pPr>
              <w:keepNext/>
              <w:keepLines/>
              <w:suppressAutoHyphens w:val="0"/>
              <w:spacing w:before="40" w:after="40" w:line="220" w:lineRule="exact"/>
              <w:ind w:left="57" w:right="454"/>
              <w:jc w:val="right"/>
              <w:rPr>
                <w:sz w:val="18"/>
                <w:szCs w:val="18"/>
                <w:lang w:eastAsia="de-DE"/>
              </w:rPr>
            </w:pPr>
            <w:r w:rsidRPr="002C5876">
              <w:rPr>
                <w:sz w:val="18"/>
                <w:szCs w:val="18"/>
                <w:lang w:eastAsia="de-DE"/>
              </w:rPr>
              <w:t>10,0</w:t>
            </w:r>
          </w:p>
        </w:tc>
        <w:tc>
          <w:tcPr>
            <w:tcW w:w="1247" w:type="dxa"/>
            <w:tcBorders>
              <w:top w:val="nil"/>
              <w:left w:val="nil"/>
              <w:bottom w:val="single" w:sz="4" w:space="0" w:color="auto"/>
              <w:right w:val="single" w:sz="4" w:space="0" w:color="auto"/>
            </w:tcBorders>
            <w:shd w:val="clear" w:color="auto" w:fill="auto"/>
            <w:noWrap/>
            <w:vAlign w:val="bottom"/>
            <w:hideMark/>
          </w:tcPr>
          <w:p w:rsidR="00E24DB7" w:rsidRPr="002C5876" w:rsidRDefault="00E24DB7" w:rsidP="00E24DB7">
            <w:pPr>
              <w:keepNext/>
              <w:keepLines/>
              <w:suppressAutoHyphens w:val="0"/>
              <w:spacing w:before="40" w:after="40" w:line="220" w:lineRule="exact"/>
              <w:ind w:left="57" w:right="454"/>
              <w:jc w:val="right"/>
              <w:rPr>
                <w:sz w:val="18"/>
                <w:szCs w:val="18"/>
                <w:lang w:eastAsia="de-DE"/>
              </w:rPr>
            </w:pPr>
            <w:r w:rsidRPr="002C5876">
              <w:rPr>
                <w:sz w:val="18"/>
                <w:szCs w:val="18"/>
                <w:lang w:eastAsia="de-DE"/>
              </w:rPr>
              <w:t>10,0</w:t>
            </w:r>
          </w:p>
        </w:tc>
        <w:tc>
          <w:tcPr>
            <w:tcW w:w="1247" w:type="dxa"/>
            <w:tcBorders>
              <w:top w:val="nil"/>
              <w:left w:val="nil"/>
              <w:bottom w:val="single" w:sz="4" w:space="0" w:color="auto"/>
              <w:right w:val="single" w:sz="4" w:space="0" w:color="auto"/>
            </w:tcBorders>
            <w:shd w:val="clear" w:color="auto" w:fill="auto"/>
            <w:noWrap/>
            <w:vAlign w:val="bottom"/>
            <w:hideMark/>
          </w:tcPr>
          <w:p w:rsidR="00E24DB7" w:rsidRPr="002C5876" w:rsidRDefault="00E24DB7" w:rsidP="00E24DB7">
            <w:pPr>
              <w:keepNext/>
              <w:keepLines/>
              <w:suppressAutoHyphens w:val="0"/>
              <w:spacing w:before="40" w:after="40" w:line="220" w:lineRule="exact"/>
              <w:ind w:left="57" w:right="454"/>
              <w:jc w:val="right"/>
              <w:rPr>
                <w:sz w:val="18"/>
                <w:szCs w:val="18"/>
                <w:lang w:eastAsia="de-DE"/>
              </w:rPr>
            </w:pPr>
            <w:r w:rsidRPr="002C5876">
              <w:rPr>
                <w:sz w:val="18"/>
                <w:szCs w:val="18"/>
                <w:lang w:eastAsia="de-DE"/>
              </w:rPr>
              <w:t>45,3</w:t>
            </w:r>
          </w:p>
        </w:tc>
      </w:tr>
      <w:tr w:rsidR="00E24DB7" w:rsidRPr="002C5876" w:rsidTr="00E24DB7">
        <w:trPr>
          <w:trHeight w:val="288"/>
        </w:trPr>
        <w:tc>
          <w:tcPr>
            <w:tcW w:w="1248" w:type="dxa"/>
            <w:tcBorders>
              <w:top w:val="nil"/>
              <w:left w:val="single" w:sz="4" w:space="0" w:color="auto"/>
              <w:bottom w:val="single" w:sz="4" w:space="0" w:color="auto"/>
              <w:right w:val="single" w:sz="4" w:space="0" w:color="auto"/>
            </w:tcBorders>
            <w:shd w:val="clear" w:color="auto" w:fill="auto"/>
            <w:vAlign w:val="bottom"/>
            <w:hideMark/>
          </w:tcPr>
          <w:p w:rsidR="00E24DB7" w:rsidRPr="002C5876" w:rsidRDefault="00E24DB7" w:rsidP="00E24DB7">
            <w:pPr>
              <w:keepNext/>
              <w:keepLines/>
              <w:suppressAutoHyphens w:val="0"/>
              <w:spacing w:before="40" w:after="40" w:line="220" w:lineRule="exact"/>
              <w:ind w:left="57" w:right="454"/>
              <w:jc w:val="right"/>
              <w:rPr>
                <w:sz w:val="18"/>
                <w:szCs w:val="18"/>
                <w:lang w:eastAsia="de-DE"/>
              </w:rPr>
            </w:pPr>
            <w:r w:rsidRPr="002C5876">
              <w:rPr>
                <w:sz w:val="18"/>
                <w:szCs w:val="18"/>
                <w:lang w:eastAsia="de-DE"/>
              </w:rPr>
              <w:t>1 900</w:t>
            </w:r>
          </w:p>
        </w:tc>
        <w:tc>
          <w:tcPr>
            <w:tcW w:w="1248" w:type="dxa"/>
            <w:tcBorders>
              <w:top w:val="nil"/>
              <w:left w:val="nil"/>
              <w:bottom w:val="single" w:sz="4" w:space="0" w:color="auto"/>
              <w:right w:val="single" w:sz="4" w:space="0" w:color="auto"/>
            </w:tcBorders>
            <w:shd w:val="clear" w:color="auto" w:fill="auto"/>
            <w:noWrap/>
            <w:vAlign w:val="bottom"/>
            <w:hideMark/>
          </w:tcPr>
          <w:p w:rsidR="00E24DB7" w:rsidRPr="002C5876" w:rsidRDefault="00E24DB7" w:rsidP="00E24DB7">
            <w:pPr>
              <w:keepNext/>
              <w:keepLines/>
              <w:suppressAutoHyphens w:val="0"/>
              <w:spacing w:before="40" w:after="40" w:line="220" w:lineRule="exact"/>
              <w:ind w:left="57" w:right="454"/>
              <w:jc w:val="right"/>
              <w:rPr>
                <w:sz w:val="18"/>
                <w:szCs w:val="18"/>
                <w:lang w:eastAsia="de-DE"/>
              </w:rPr>
            </w:pPr>
            <w:r w:rsidRPr="002C5876">
              <w:rPr>
                <w:sz w:val="18"/>
                <w:szCs w:val="18"/>
                <w:lang w:eastAsia="de-DE"/>
              </w:rPr>
              <w:t>59,7</w:t>
            </w:r>
          </w:p>
        </w:tc>
        <w:tc>
          <w:tcPr>
            <w:tcW w:w="1247" w:type="dxa"/>
            <w:tcBorders>
              <w:top w:val="nil"/>
              <w:left w:val="nil"/>
              <w:bottom w:val="single" w:sz="4" w:space="0" w:color="auto"/>
              <w:right w:val="single" w:sz="4" w:space="0" w:color="auto"/>
            </w:tcBorders>
            <w:shd w:val="clear" w:color="auto" w:fill="auto"/>
            <w:vAlign w:val="bottom"/>
            <w:hideMark/>
          </w:tcPr>
          <w:p w:rsidR="00E24DB7" w:rsidRPr="002C5876" w:rsidRDefault="00E24DB7" w:rsidP="00E24DB7">
            <w:pPr>
              <w:keepNext/>
              <w:keepLines/>
              <w:suppressAutoHyphens w:val="0"/>
              <w:spacing w:before="40" w:after="40" w:line="220" w:lineRule="exact"/>
              <w:ind w:left="57" w:right="454"/>
              <w:jc w:val="right"/>
              <w:rPr>
                <w:sz w:val="18"/>
                <w:szCs w:val="18"/>
                <w:lang w:eastAsia="de-DE"/>
              </w:rPr>
            </w:pPr>
            <w:r w:rsidRPr="002C5876">
              <w:rPr>
                <w:sz w:val="18"/>
                <w:szCs w:val="18"/>
                <w:lang w:eastAsia="de-DE"/>
              </w:rPr>
              <w:t>10,0</w:t>
            </w:r>
          </w:p>
        </w:tc>
        <w:tc>
          <w:tcPr>
            <w:tcW w:w="1247" w:type="dxa"/>
            <w:tcBorders>
              <w:top w:val="nil"/>
              <w:left w:val="nil"/>
              <w:bottom w:val="single" w:sz="4" w:space="0" w:color="auto"/>
              <w:right w:val="single" w:sz="4" w:space="0" w:color="auto"/>
            </w:tcBorders>
            <w:shd w:val="clear" w:color="auto" w:fill="auto"/>
            <w:noWrap/>
            <w:vAlign w:val="bottom"/>
            <w:hideMark/>
          </w:tcPr>
          <w:p w:rsidR="00E24DB7" w:rsidRPr="002C5876" w:rsidRDefault="00E24DB7" w:rsidP="00E24DB7">
            <w:pPr>
              <w:keepNext/>
              <w:keepLines/>
              <w:suppressAutoHyphens w:val="0"/>
              <w:spacing w:before="40" w:after="40" w:line="220" w:lineRule="exact"/>
              <w:ind w:left="57" w:right="454"/>
              <w:jc w:val="right"/>
              <w:rPr>
                <w:sz w:val="18"/>
                <w:szCs w:val="18"/>
                <w:lang w:eastAsia="de-DE"/>
              </w:rPr>
            </w:pPr>
            <w:r w:rsidRPr="002C5876">
              <w:rPr>
                <w:sz w:val="18"/>
                <w:szCs w:val="18"/>
                <w:lang w:eastAsia="de-DE"/>
              </w:rPr>
              <w:t>5,0</w:t>
            </w:r>
          </w:p>
        </w:tc>
        <w:tc>
          <w:tcPr>
            <w:tcW w:w="1247" w:type="dxa"/>
            <w:tcBorders>
              <w:top w:val="nil"/>
              <w:left w:val="nil"/>
              <w:bottom w:val="single" w:sz="4" w:space="0" w:color="auto"/>
              <w:right w:val="single" w:sz="4" w:space="0" w:color="auto"/>
            </w:tcBorders>
            <w:shd w:val="clear" w:color="auto" w:fill="auto"/>
            <w:noWrap/>
            <w:vAlign w:val="bottom"/>
            <w:hideMark/>
          </w:tcPr>
          <w:p w:rsidR="00E24DB7" w:rsidRPr="002C5876" w:rsidRDefault="00E24DB7" w:rsidP="00E24DB7">
            <w:pPr>
              <w:keepNext/>
              <w:keepLines/>
              <w:suppressAutoHyphens w:val="0"/>
              <w:spacing w:before="40" w:after="40" w:line="220" w:lineRule="exact"/>
              <w:ind w:left="57" w:right="454"/>
              <w:jc w:val="right"/>
              <w:rPr>
                <w:sz w:val="18"/>
                <w:szCs w:val="18"/>
                <w:lang w:eastAsia="de-DE"/>
              </w:rPr>
            </w:pPr>
            <w:r w:rsidRPr="002C5876">
              <w:rPr>
                <w:sz w:val="18"/>
                <w:szCs w:val="18"/>
                <w:lang w:eastAsia="de-DE"/>
              </w:rPr>
              <w:t>50,8</w:t>
            </w:r>
          </w:p>
        </w:tc>
      </w:tr>
      <w:tr w:rsidR="00E24DB7" w:rsidRPr="002C5876" w:rsidTr="00E24DB7">
        <w:trPr>
          <w:trHeight w:val="288"/>
        </w:trPr>
        <w:tc>
          <w:tcPr>
            <w:tcW w:w="1248" w:type="dxa"/>
            <w:tcBorders>
              <w:top w:val="nil"/>
              <w:left w:val="single" w:sz="4" w:space="0" w:color="auto"/>
              <w:bottom w:val="single" w:sz="4" w:space="0" w:color="auto"/>
              <w:right w:val="single" w:sz="4" w:space="0" w:color="auto"/>
            </w:tcBorders>
            <w:shd w:val="clear" w:color="auto" w:fill="auto"/>
            <w:vAlign w:val="bottom"/>
            <w:hideMark/>
          </w:tcPr>
          <w:p w:rsidR="00E24DB7" w:rsidRPr="002C5876" w:rsidRDefault="00E24DB7" w:rsidP="00E24DB7">
            <w:pPr>
              <w:keepNext/>
              <w:keepLines/>
              <w:suppressAutoHyphens w:val="0"/>
              <w:spacing w:before="40" w:after="40" w:line="220" w:lineRule="exact"/>
              <w:ind w:left="57" w:right="454"/>
              <w:jc w:val="right"/>
              <w:rPr>
                <w:sz w:val="18"/>
                <w:szCs w:val="18"/>
                <w:lang w:eastAsia="de-DE"/>
              </w:rPr>
            </w:pPr>
            <w:r w:rsidRPr="002C5876">
              <w:rPr>
                <w:sz w:val="18"/>
                <w:szCs w:val="18"/>
                <w:lang w:eastAsia="de-DE"/>
              </w:rPr>
              <w:t>2 000</w:t>
            </w:r>
          </w:p>
        </w:tc>
        <w:tc>
          <w:tcPr>
            <w:tcW w:w="1248" w:type="dxa"/>
            <w:tcBorders>
              <w:top w:val="nil"/>
              <w:left w:val="nil"/>
              <w:bottom w:val="single" w:sz="4" w:space="0" w:color="auto"/>
              <w:right w:val="single" w:sz="4" w:space="0" w:color="auto"/>
            </w:tcBorders>
            <w:shd w:val="clear" w:color="auto" w:fill="auto"/>
            <w:noWrap/>
            <w:vAlign w:val="bottom"/>
            <w:hideMark/>
          </w:tcPr>
          <w:p w:rsidR="00E24DB7" w:rsidRPr="002C5876" w:rsidRDefault="00E24DB7" w:rsidP="00E24DB7">
            <w:pPr>
              <w:keepNext/>
              <w:keepLines/>
              <w:suppressAutoHyphens w:val="0"/>
              <w:spacing w:before="40" w:after="40" w:line="220" w:lineRule="exact"/>
              <w:ind w:left="57" w:right="454"/>
              <w:jc w:val="right"/>
              <w:rPr>
                <w:sz w:val="18"/>
                <w:szCs w:val="18"/>
                <w:lang w:eastAsia="de-DE"/>
              </w:rPr>
            </w:pPr>
            <w:r w:rsidRPr="002C5876">
              <w:rPr>
                <w:sz w:val="18"/>
                <w:szCs w:val="18"/>
                <w:lang w:eastAsia="de-DE"/>
              </w:rPr>
              <w:t>62,9</w:t>
            </w:r>
          </w:p>
        </w:tc>
        <w:tc>
          <w:tcPr>
            <w:tcW w:w="1247" w:type="dxa"/>
            <w:tcBorders>
              <w:top w:val="nil"/>
              <w:left w:val="nil"/>
              <w:bottom w:val="single" w:sz="4" w:space="0" w:color="auto"/>
              <w:right w:val="single" w:sz="4" w:space="0" w:color="auto"/>
            </w:tcBorders>
            <w:shd w:val="clear" w:color="auto" w:fill="auto"/>
            <w:vAlign w:val="bottom"/>
            <w:hideMark/>
          </w:tcPr>
          <w:p w:rsidR="00E24DB7" w:rsidRPr="002C5876" w:rsidRDefault="00E24DB7" w:rsidP="00E24DB7">
            <w:pPr>
              <w:keepNext/>
              <w:keepLines/>
              <w:suppressAutoHyphens w:val="0"/>
              <w:spacing w:before="40" w:after="40" w:line="220" w:lineRule="exact"/>
              <w:ind w:left="57" w:right="454"/>
              <w:jc w:val="right"/>
              <w:rPr>
                <w:sz w:val="18"/>
                <w:szCs w:val="18"/>
                <w:lang w:eastAsia="de-DE"/>
              </w:rPr>
            </w:pPr>
            <w:r w:rsidRPr="002C5876">
              <w:rPr>
                <w:sz w:val="18"/>
                <w:szCs w:val="18"/>
                <w:lang w:eastAsia="de-DE"/>
              </w:rPr>
              <w:t>10,0</w:t>
            </w:r>
          </w:p>
        </w:tc>
        <w:tc>
          <w:tcPr>
            <w:tcW w:w="1247" w:type="dxa"/>
            <w:tcBorders>
              <w:top w:val="nil"/>
              <w:left w:val="nil"/>
              <w:bottom w:val="single" w:sz="4" w:space="0" w:color="auto"/>
              <w:right w:val="single" w:sz="4" w:space="0" w:color="auto"/>
            </w:tcBorders>
            <w:shd w:val="clear" w:color="auto" w:fill="auto"/>
            <w:noWrap/>
            <w:vAlign w:val="bottom"/>
            <w:hideMark/>
          </w:tcPr>
          <w:p w:rsidR="00E24DB7" w:rsidRPr="002C5876" w:rsidRDefault="00E24DB7" w:rsidP="00E24DB7">
            <w:pPr>
              <w:keepNext/>
              <w:keepLines/>
              <w:suppressAutoHyphens w:val="0"/>
              <w:spacing w:before="40" w:after="40" w:line="220" w:lineRule="exact"/>
              <w:ind w:left="57" w:right="454"/>
              <w:jc w:val="right"/>
              <w:rPr>
                <w:sz w:val="18"/>
                <w:szCs w:val="18"/>
                <w:lang w:eastAsia="de-DE"/>
              </w:rPr>
            </w:pPr>
            <w:r w:rsidRPr="002C5876">
              <w:rPr>
                <w:sz w:val="18"/>
                <w:szCs w:val="18"/>
                <w:lang w:eastAsia="de-DE"/>
              </w:rPr>
              <w:t>0,0</w:t>
            </w:r>
          </w:p>
        </w:tc>
        <w:tc>
          <w:tcPr>
            <w:tcW w:w="1247" w:type="dxa"/>
            <w:tcBorders>
              <w:top w:val="nil"/>
              <w:left w:val="nil"/>
              <w:bottom w:val="single" w:sz="4" w:space="0" w:color="auto"/>
              <w:right w:val="single" w:sz="4" w:space="0" w:color="auto"/>
            </w:tcBorders>
            <w:shd w:val="clear" w:color="auto" w:fill="auto"/>
            <w:noWrap/>
            <w:vAlign w:val="bottom"/>
            <w:hideMark/>
          </w:tcPr>
          <w:p w:rsidR="00E24DB7" w:rsidRPr="002C5876" w:rsidRDefault="00E24DB7" w:rsidP="00E24DB7">
            <w:pPr>
              <w:keepNext/>
              <w:keepLines/>
              <w:suppressAutoHyphens w:val="0"/>
              <w:spacing w:before="40" w:after="40" w:line="220" w:lineRule="exact"/>
              <w:ind w:left="57" w:right="454"/>
              <w:jc w:val="right"/>
              <w:rPr>
                <w:sz w:val="18"/>
                <w:szCs w:val="18"/>
                <w:lang w:eastAsia="de-DE"/>
              </w:rPr>
            </w:pPr>
            <w:r w:rsidRPr="002C5876">
              <w:rPr>
                <w:sz w:val="18"/>
                <w:szCs w:val="18"/>
                <w:lang w:eastAsia="de-DE"/>
              </w:rPr>
              <w:t>56,6</w:t>
            </w:r>
          </w:p>
        </w:tc>
      </w:tr>
      <w:tr w:rsidR="00E24DB7" w:rsidRPr="002C5876" w:rsidTr="00E24DB7">
        <w:trPr>
          <w:trHeight w:val="288"/>
        </w:trPr>
        <w:tc>
          <w:tcPr>
            <w:tcW w:w="1248" w:type="dxa"/>
            <w:tcBorders>
              <w:top w:val="nil"/>
              <w:left w:val="single" w:sz="4" w:space="0" w:color="auto"/>
              <w:bottom w:val="single" w:sz="4" w:space="0" w:color="auto"/>
              <w:right w:val="single" w:sz="4" w:space="0" w:color="auto"/>
            </w:tcBorders>
            <w:shd w:val="clear" w:color="auto" w:fill="auto"/>
            <w:vAlign w:val="bottom"/>
            <w:hideMark/>
          </w:tcPr>
          <w:p w:rsidR="00E24DB7" w:rsidRPr="002C5876" w:rsidRDefault="00E24DB7" w:rsidP="00E24DB7">
            <w:pPr>
              <w:suppressAutoHyphens w:val="0"/>
              <w:spacing w:before="40" w:after="40" w:line="220" w:lineRule="exact"/>
              <w:ind w:left="57" w:right="454"/>
              <w:jc w:val="right"/>
              <w:rPr>
                <w:sz w:val="18"/>
                <w:szCs w:val="18"/>
                <w:lang w:eastAsia="de-DE"/>
              </w:rPr>
            </w:pPr>
            <w:r w:rsidRPr="002C5876">
              <w:rPr>
                <w:sz w:val="18"/>
                <w:szCs w:val="18"/>
                <w:lang w:eastAsia="de-DE"/>
              </w:rPr>
              <w:t>3 000</w:t>
            </w:r>
          </w:p>
        </w:tc>
        <w:tc>
          <w:tcPr>
            <w:tcW w:w="1248" w:type="dxa"/>
            <w:tcBorders>
              <w:top w:val="nil"/>
              <w:left w:val="nil"/>
              <w:bottom w:val="single" w:sz="4" w:space="0" w:color="auto"/>
              <w:right w:val="single" w:sz="4" w:space="0" w:color="auto"/>
            </w:tcBorders>
            <w:shd w:val="clear" w:color="auto" w:fill="auto"/>
            <w:noWrap/>
            <w:vAlign w:val="bottom"/>
            <w:hideMark/>
          </w:tcPr>
          <w:p w:rsidR="00E24DB7" w:rsidRPr="002C5876" w:rsidRDefault="00E24DB7" w:rsidP="00E24DB7">
            <w:pPr>
              <w:suppressAutoHyphens w:val="0"/>
              <w:spacing w:before="40" w:after="40" w:line="220" w:lineRule="exact"/>
              <w:ind w:left="57" w:right="454"/>
              <w:jc w:val="right"/>
              <w:rPr>
                <w:sz w:val="18"/>
                <w:szCs w:val="18"/>
                <w:lang w:eastAsia="de-DE"/>
              </w:rPr>
            </w:pPr>
            <w:r w:rsidRPr="002C5876">
              <w:rPr>
                <w:sz w:val="18"/>
                <w:szCs w:val="18"/>
                <w:lang w:eastAsia="de-DE"/>
              </w:rPr>
              <w:t>94,3</w:t>
            </w:r>
          </w:p>
        </w:tc>
        <w:tc>
          <w:tcPr>
            <w:tcW w:w="1247" w:type="dxa"/>
            <w:tcBorders>
              <w:top w:val="nil"/>
              <w:left w:val="nil"/>
              <w:bottom w:val="single" w:sz="4" w:space="0" w:color="auto"/>
              <w:right w:val="single" w:sz="4" w:space="0" w:color="auto"/>
            </w:tcBorders>
            <w:shd w:val="clear" w:color="auto" w:fill="auto"/>
            <w:vAlign w:val="bottom"/>
            <w:hideMark/>
          </w:tcPr>
          <w:p w:rsidR="00E24DB7" w:rsidRPr="002C5876" w:rsidRDefault="00E24DB7" w:rsidP="00E24DB7">
            <w:pPr>
              <w:suppressAutoHyphens w:val="0"/>
              <w:spacing w:before="40" w:after="40" w:line="220" w:lineRule="exact"/>
              <w:ind w:left="57" w:right="454"/>
              <w:jc w:val="right"/>
              <w:rPr>
                <w:sz w:val="18"/>
                <w:szCs w:val="18"/>
                <w:lang w:eastAsia="de-DE"/>
              </w:rPr>
            </w:pPr>
            <w:r w:rsidRPr="002C5876">
              <w:rPr>
                <w:sz w:val="18"/>
                <w:szCs w:val="18"/>
                <w:lang w:eastAsia="de-DE"/>
              </w:rPr>
              <w:t>10,0</w:t>
            </w:r>
          </w:p>
        </w:tc>
        <w:tc>
          <w:tcPr>
            <w:tcW w:w="1247" w:type="dxa"/>
            <w:tcBorders>
              <w:top w:val="nil"/>
              <w:left w:val="nil"/>
              <w:bottom w:val="single" w:sz="4" w:space="0" w:color="auto"/>
              <w:right w:val="single" w:sz="4" w:space="0" w:color="auto"/>
            </w:tcBorders>
            <w:shd w:val="clear" w:color="auto" w:fill="auto"/>
            <w:noWrap/>
            <w:vAlign w:val="bottom"/>
            <w:hideMark/>
          </w:tcPr>
          <w:p w:rsidR="00E24DB7" w:rsidRPr="002C5876" w:rsidRDefault="00E24DB7" w:rsidP="00E24DB7">
            <w:pPr>
              <w:suppressAutoHyphens w:val="0"/>
              <w:spacing w:before="40" w:after="40" w:line="220" w:lineRule="exact"/>
              <w:ind w:left="57" w:right="454"/>
              <w:jc w:val="right"/>
              <w:rPr>
                <w:sz w:val="18"/>
                <w:szCs w:val="18"/>
                <w:lang w:eastAsia="de-DE"/>
              </w:rPr>
            </w:pPr>
            <w:r w:rsidRPr="002C5876">
              <w:rPr>
                <w:sz w:val="18"/>
                <w:szCs w:val="18"/>
                <w:lang w:eastAsia="de-DE"/>
              </w:rPr>
              <w:t>0,0</w:t>
            </w:r>
          </w:p>
        </w:tc>
        <w:tc>
          <w:tcPr>
            <w:tcW w:w="1247" w:type="dxa"/>
            <w:tcBorders>
              <w:top w:val="nil"/>
              <w:left w:val="nil"/>
              <w:bottom w:val="single" w:sz="4" w:space="0" w:color="auto"/>
              <w:right w:val="single" w:sz="4" w:space="0" w:color="auto"/>
            </w:tcBorders>
            <w:shd w:val="clear" w:color="auto" w:fill="auto"/>
            <w:noWrap/>
            <w:vAlign w:val="bottom"/>
            <w:hideMark/>
          </w:tcPr>
          <w:p w:rsidR="00E24DB7" w:rsidRPr="002C5876" w:rsidRDefault="00E24DB7" w:rsidP="00E24DB7">
            <w:pPr>
              <w:suppressAutoHyphens w:val="0"/>
              <w:spacing w:before="40" w:after="40" w:line="220" w:lineRule="exact"/>
              <w:ind w:left="57" w:right="454"/>
              <w:jc w:val="right"/>
              <w:rPr>
                <w:sz w:val="18"/>
                <w:szCs w:val="18"/>
                <w:lang w:eastAsia="de-DE"/>
              </w:rPr>
            </w:pPr>
            <w:r w:rsidRPr="002C5876">
              <w:rPr>
                <w:sz w:val="18"/>
                <w:szCs w:val="18"/>
                <w:lang w:eastAsia="de-DE"/>
              </w:rPr>
              <w:t>84,9</w:t>
            </w:r>
          </w:p>
        </w:tc>
      </w:tr>
      <w:tr w:rsidR="00E24DB7" w:rsidRPr="002C5876" w:rsidTr="00E24DB7">
        <w:trPr>
          <w:trHeight w:val="288"/>
        </w:trPr>
        <w:tc>
          <w:tcPr>
            <w:tcW w:w="1248" w:type="dxa"/>
            <w:tcBorders>
              <w:top w:val="nil"/>
              <w:left w:val="single" w:sz="4" w:space="0" w:color="auto"/>
              <w:bottom w:val="single" w:sz="4" w:space="0" w:color="auto"/>
              <w:right w:val="single" w:sz="4" w:space="0" w:color="auto"/>
            </w:tcBorders>
            <w:shd w:val="clear" w:color="auto" w:fill="auto"/>
            <w:vAlign w:val="bottom"/>
            <w:hideMark/>
          </w:tcPr>
          <w:p w:rsidR="00E24DB7" w:rsidRPr="002C5876" w:rsidRDefault="00E24DB7" w:rsidP="00E24DB7">
            <w:pPr>
              <w:suppressAutoHyphens w:val="0"/>
              <w:spacing w:before="40" w:after="40" w:line="220" w:lineRule="exact"/>
              <w:ind w:left="57" w:right="454"/>
              <w:jc w:val="right"/>
              <w:rPr>
                <w:sz w:val="18"/>
                <w:szCs w:val="18"/>
                <w:lang w:eastAsia="de-DE"/>
              </w:rPr>
            </w:pPr>
            <w:r w:rsidRPr="002C5876">
              <w:rPr>
                <w:sz w:val="18"/>
                <w:szCs w:val="18"/>
                <w:lang w:eastAsia="de-DE"/>
              </w:rPr>
              <w:t>4 000</w:t>
            </w:r>
          </w:p>
        </w:tc>
        <w:tc>
          <w:tcPr>
            <w:tcW w:w="1248" w:type="dxa"/>
            <w:tcBorders>
              <w:top w:val="nil"/>
              <w:left w:val="nil"/>
              <w:bottom w:val="single" w:sz="4" w:space="0" w:color="auto"/>
              <w:right w:val="single" w:sz="4" w:space="0" w:color="auto"/>
            </w:tcBorders>
            <w:shd w:val="clear" w:color="auto" w:fill="auto"/>
            <w:noWrap/>
            <w:vAlign w:val="bottom"/>
            <w:hideMark/>
          </w:tcPr>
          <w:p w:rsidR="00E24DB7" w:rsidRPr="002C5876" w:rsidRDefault="00E24DB7" w:rsidP="00E24DB7">
            <w:pPr>
              <w:suppressAutoHyphens w:val="0"/>
              <w:spacing w:before="40" w:after="40" w:line="220" w:lineRule="exact"/>
              <w:ind w:left="57" w:right="454"/>
              <w:jc w:val="right"/>
              <w:rPr>
                <w:sz w:val="18"/>
                <w:szCs w:val="18"/>
                <w:lang w:eastAsia="de-DE"/>
              </w:rPr>
            </w:pPr>
            <w:r w:rsidRPr="002C5876">
              <w:rPr>
                <w:sz w:val="18"/>
                <w:szCs w:val="18"/>
                <w:lang w:eastAsia="de-DE"/>
              </w:rPr>
              <w:t>125,7</w:t>
            </w:r>
          </w:p>
        </w:tc>
        <w:tc>
          <w:tcPr>
            <w:tcW w:w="1247" w:type="dxa"/>
            <w:tcBorders>
              <w:top w:val="nil"/>
              <w:left w:val="nil"/>
              <w:bottom w:val="single" w:sz="4" w:space="0" w:color="auto"/>
              <w:right w:val="single" w:sz="4" w:space="0" w:color="auto"/>
            </w:tcBorders>
            <w:shd w:val="clear" w:color="auto" w:fill="auto"/>
            <w:vAlign w:val="bottom"/>
            <w:hideMark/>
          </w:tcPr>
          <w:p w:rsidR="00E24DB7" w:rsidRPr="002C5876" w:rsidRDefault="00E24DB7" w:rsidP="00E24DB7">
            <w:pPr>
              <w:suppressAutoHyphens w:val="0"/>
              <w:spacing w:before="40" w:after="40" w:line="220" w:lineRule="exact"/>
              <w:ind w:left="57" w:right="454"/>
              <w:jc w:val="right"/>
              <w:rPr>
                <w:sz w:val="18"/>
                <w:szCs w:val="18"/>
                <w:lang w:eastAsia="de-DE"/>
              </w:rPr>
            </w:pPr>
            <w:r w:rsidRPr="002C5876">
              <w:rPr>
                <w:sz w:val="18"/>
                <w:szCs w:val="18"/>
                <w:lang w:eastAsia="de-DE"/>
              </w:rPr>
              <w:t>10,0</w:t>
            </w:r>
          </w:p>
        </w:tc>
        <w:tc>
          <w:tcPr>
            <w:tcW w:w="1247" w:type="dxa"/>
            <w:tcBorders>
              <w:top w:val="nil"/>
              <w:left w:val="nil"/>
              <w:bottom w:val="single" w:sz="4" w:space="0" w:color="auto"/>
              <w:right w:val="single" w:sz="4" w:space="0" w:color="auto"/>
            </w:tcBorders>
            <w:shd w:val="clear" w:color="auto" w:fill="auto"/>
            <w:noWrap/>
            <w:vAlign w:val="bottom"/>
            <w:hideMark/>
          </w:tcPr>
          <w:p w:rsidR="00E24DB7" w:rsidRPr="002C5876" w:rsidRDefault="00E24DB7" w:rsidP="00E24DB7">
            <w:pPr>
              <w:suppressAutoHyphens w:val="0"/>
              <w:spacing w:before="40" w:after="40" w:line="220" w:lineRule="exact"/>
              <w:ind w:left="57" w:right="454"/>
              <w:jc w:val="right"/>
              <w:rPr>
                <w:sz w:val="18"/>
                <w:szCs w:val="18"/>
                <w:lang w:eastAsia="de-DE"/>
              </w:rPr>
            </w:pPr>
            <w:r w:rsidRPr="002C5876">
              <w:rPr>
                <w:sz w:val="18"/>
                <w:szCs w:val="18"/>
                <w:lang w:eastAsia="de-DE"/>
              </w:rPr>
              <w:t>0,0</w:t>
            </w:r>
          </w:p>
        </w:tc>
        <w:tc>
          <w:tcPr>
            <w:tcW w:w="1247" w:type="dxa"/>
            <w:tcBorders>
              <w:top w:val="nil"/>
              <w:left w:val="nil"/>
              <w:bottom w:val="single" w:sz="4" w:space="0" w:color="auto"/>
              <w:right w:val="single" w:sz="4" w:space="0" w:color="auto"/>
            </w:tcBorders>
            <w:shd w:val="clear" w:color="auto" w:fill="auto"/>
            <w:noWrap/>
            <w:vAlign w:val="bottom"/>
            <w:hideMark/>
          </w:tcPr>
          <w:p w:rsidR="00E24DB7" w:rsidRPr="002C5876" w:rsidRDefault="00E24DB7" w:rsidP="00E24DB7">
            <w:pPr>
              <w:suppressAutoHyphens w:val="0"/>
              <w:spacing w:before="40" w:after="40" w:line="220" w:lineRule="exact"/>
              <w:ind w:left="57" w:right="454"/>
              <w:jc w:val="right"/>
              <w:rPr>
                <w:sz w:val="18"/>
                <w:szCs w:val="18"/>
                <w:lang w:eastAsia="de-DE"/>
              </w:rPr>
            </w:pPr>
            <w:r w:rsidRPr="002C5876">
              <w:rPr>
                <w:sz w:val="18"/>
                <w:szCs w:val="18"/>
                <w:lang w:eastAsia="de-DE"/>
              </w:rPr>
              <w:t>113,2</w:t>
            </w:r>
          </w:p>
        </w:tc>
      </w:tr>
      <w:tr w:rsidR="00E24DB7" w:rsidRPr="002C5876" w:rsidTr="00E24DB7">
        <w:trPr>
          <w:trHeight w:val="288"/>
        </w:trPr>
        <w:tc>
          <w:tcPr>
            <w:tcW w:w="1248" w:type="dxa"/>
            <w:tcBorders>
              <w:top w:val="nil"/>
              <w:left w:val="single" w:sz="4" w:space="0" w:color="auto"/>
              <w:bottom w:val="single" w:sz="4" w:space="0" w:color="auto"/>
              <w:right w:val="single" w:sz="4" w:space="0" w:color="auto"/>
            </w:tcBorders>
            <w:shd w:val="clear" w:color="auto" w:fill="auto"/>
            <w:vAlign w:val="bottom"/>
            <w:hideMark/>
          </w:tcPr>
          <w:p w:rsidR="00E24DB7" w:rsidRPr="002C5876" w:rsidRDefault="00E24DB7" w:rsidP="00E24DB7">
            <w:pPr>
              <w:suppressAutoHyphens w:val="0"/>
              <w:spacing w:before="40" w:after="40" w:line="220" w:lineRule="exact"/>
              <w:ind w:left="57" w:right="454"/>
              <w:jc w:val="right"/>
              <w:rPr>
                <w:sz w:val="18"/>
                <w:szCs w:val="18"/>
                <w:lang w:eastAsia="de-DE"/>
              </w:rPr>
            </w:pPr>
            <w:r w:rsidRPr="002C5876">
              <w:rPr>
                <w:sz w:val="18"/>
                <w:szCs w:val="18"/>
                <w:lang w:eastAsia="de-DE"/>
              </w:rPr>
              <w:t>5 000</w:t>
            </w:r>
          </w:p>
        </w:tc>
        <w:tc>
          <w:tcPr>
            <w:tcW w:w="1248" w:type="dxa"/>
            <w:tcBorders>
              <w:top w:val="nil"/>
              <w:left w:val="nil"/>
              <w:bottom w:val="single" w:sz="4" w:space="0" w:color="auto"/>
              <w:right w:val="single" w:sz="4" w:space="0" w:color="auto"/>
            </w:tcBorders>
            <w:shd w:val="clear" w:color="auto" w:fill="auto"/>
            <w:noWrap/>
            <w:vAlign w:val="bottom"/>
            <w:hideMark/>
          </w:tcPr>
          <w:p w:rsidR="00E24DB7" w:rsidRPr="002C5876" w:rsidRDefault="00E24DB7" w:rsidP="00E24DB7">
            <w:pPr>
              <w:suppressAutoHyphens w:val="0"/>
              <w:spacing w:before="40" w:after="40" w:line="220" w:lineRule="exact"/>
              <w:ind w:left="57" w:right="454"/>
              <w:jc w:val="right"/>
              <w:rPr>
                <w:sz w:val="18"/>
                <w:szCs w:val="18"/>
                <w:lang w:eastAsia="de-DE"/>
              </w:rPr>
            </w:pPr>
            <w:r w:rsidRPr="002C5876">
              <w:rPr>
                <w:sz w:val="18"/>
                <w:szCs w:val="18"/>
                <w:lang w:eastAsia="de-DE"/>
              </w:rPr>
              <w:t>157,2</w:t>
            </w:r>
          </w:p>
        </w:tc>
        <w:tc>
          <w:tcPr>
            <w:tcW w:w="1247" w:type="dxa"/>
            <w:tcBorders>
              <w:top w:val="nil"/>
              <w:left w:val="nil"/>
              <w:bottom w:val="single" w:sz="4" w:space="0" w:color="auto"/>
              <w:right w:val="single" w:sz="4" w:space="0" w:color="auto"/>
            </w:tcBorders>
            <w:shd w:val="clear" w:color="auto" w:fill="auto"/>
            <w:vAlign w:val="bottom"/>
            <w:hideMark/>
          </w:tcPr>
          <w:p w:rsidR="00E24DB7" w:rsidRPr="002C5876" w:rsidRDefault="00E24DB7" w:rsidP="00E24DB7">
            <w:pPr>
              <w:suppressAutoHyphens w:val="0"/>
              <w:spacing w:before="40" w:after="40" w:line="220" w:lineRule="exact"/>
              <w:ind w:left="57" w:right="454"/>
              <w:jc w:val="right"/>
              <w:rPr>
                <w:sz w:val="18"/>
                <w:szCs w:val="18"/>
                <w:lang w:eastAsia="de-DE"/>
              </w:rPr>
            </w:pPr>
            <w:r w:rsidRPr="002C5876">
              <w:rPr>
                <w:sz w:val="18"/>
                <w:szCs w:val="18"/>
                <w:lang w:eastAsia="de-DE"/>
              </w:rPr>
              <w:t>10,0</w:t>
            </w:r>
          </w:p>
        </w:tc>
        <w:tc>
          <w:tcPr>
            <w:tcW w:w="1247" w:type="dxa"/>
            <w:tcBorders>
              <w:top w:val="nil"/>
              <w:left w:val="nil"/>
              <w:bottom w:val="single" w:sz="4" w:space="0" w:color="auto"/>
              <w:right w:val="single" w:sz="4" w:space="0" w:color="auto"/>
            </w:tcBorders>
            <w:shd w:val="clear" w:color="auto" w:fill="auto"/>
            <w:noWrap/>
            <w:vAlign w:val="bottom"/>
            <w:hideMark/>
          </w:tcPr>
          <w:p w:rsidR="00E24DB7" w:rsidRPr="002C5876" w:rsidRDefault="00E24DB7" w:rsidP="00E24DB7">
            <w:pPr>
              <w:suppressAutoHyphens w:val="0"/>
              <w:spacing w:before="40" w:after="40" w:line="220" w:lineRule="exact"/>
              <w:ind w:left="57" w:right="454"/>
              <w:jc w:val="right"/>
              <w:rPr>
                <w:sz w:val="18"/>
                <w:szCs w:val="18"/>
                <w:lang w:eastAsia="de-DE"/>
              </w:rPr>
            </w:pPr>
            <w:r w:rsidRPr="002C5876">
              <w:rPr>
                <w:sz w:val="18"/>
                <w:szCs w:val="18"/>
                <w:lang w:eastAsia="de-DE"/>
              </w:rPr>
              <w:t>0,0</w:t>
            </w:r>
          </w:p>
        </w:tc>
        <w:tc>
          <w:tcPr>
            <w:tcW w:w="1247" w:type="dxa"/>
            <w:tcBorders>
              <w:top w:val="nil"/>
              <w:left w:val="nil"/>
              <w:bottom w:val="single" w:sz="4" w:space="0" w:color="auto"/>
              <w:right w:val="single" w:sz="4" w:space="0" w:color="auto"/>
            </w:tcBorders>
            <w:shd w:val="clear" w:color="auto" w:fill="auto"/>
            <w:noWrap/>
            <w:vAlign w:val="bottom"/>
            <w:hideMark/>
          </w:tcPr>
          <w:p w:rsidR="00E24DB7" w:rsidRPr="002C5876" w:rsidRDefault="00E24DB7" w:rsidP="00E24DB7">
            <w:pPr>
              <w:suppressAutoHyphens w:val="0"/>
              <w:spacing w:before="40" w:after="40" w:line="220" w:lineRule="exact"/>
              <w:ind w:left="57" w:right="454"/>
              <w:jc w:val="right"/>
              <w:rPr>
                <w:sz w:val="18"/>
                <w:szCs w:val="18"/>
                <w:lang w:eastAsia="de-DE"/>
              </w:rPr>
            </w:pPr>
            <w:r w:rsidRPr="002C5876">
              <w:rPr>
                <w:sz w:val="18"/>
                <w:szCs w:val="18"/>
                <w:lang w:eastAsia="de-DE"/>
              </w:rPr>
              <w:t>141,5</w:t>
            </w:r>
          </w:p>
        </w:tc>
      </w:tr>
      <w:tr w:rsidR="00E24DB7" w:rsidRPr="002C5876" w:rsidTr="00E24DB7">
        <w:trPr>
          <w:trHeight w:val="288"/>
        </w:trPr>
        <w:tc>
          <w:tcPr>
            <w:tcW w:w="1248" w:type="dxa"/>
            <w:tcBorders>
              <w:top w:val="nil"/>
              <w:left w:val="single" w:sz="4" w:space="0" w:color="auto"/>
              <w:bottom w:val="single" w:sz="4" w:space="0" w:color="auto"/>
              <w:right w:val="single" w:sz="4" w:space="0" w:color="auto"/>
            </w:tcBorders>
            <w:shd w:val="clear" w:color="auto" w:fill="auto"/>
            <w:vAlign w:val="bottom"/>
            <w:hideMark/>
          </w:tcPr>
          <w:p w:rsidR="00E24DB7" w:rsidRPr="002C5876" w:rsidRDefault="00E24DB7" w:rsidP="00E24DB7">
            <w:pPr>
              <w:suppressAutoHyphens w:val="0"/>
              <w:spacing w:before="40" w:after="40" w:line="220" w:lineRule="exact"/>
              <w:ind w:left="57" w:right="454"/>
              <w:jc w:val="right"/>
              <w:rPr>
                <w:sz w:val="18"/>
                <w:szCs w:val="18"/>
                <w:lang w:eastAsia="de-DE"/>
              </w:rPr>
            </w:pPr>
            <w:r w:rsidRPr="002C5876">
              <w:rPr>
                <w:sz w:val="18"/>
                <w:szCs w:val="18"/>
                <w:lang w:eastAsia="de-DE"/>
              </w:rPr>
              <w:t>5 700</w:t>
            </w:r>
          </w:p>
        </w:tc>
        <w:tc>
          <w:tcPr>
            <w:tcW w:w="1248" w:type="dxa"/>
            <w:tcBorders>
              <w:top w:val="nil"/>
              <w:left w:val="nil"/>
              <w:bottom w:val="single" w:sz="4" w:space="0" w:color="auto"/>
              <w:right w:val="single" w:sz="4" w:space="0" w:color="auto"/>
            </w:tcBorders>
            <w:shd w:val="clear" w:color="auto" w:fill="auto"/>
            <w:noWrap/>
            <w:vAlign w:val="bottom"/>
            <w:hideMark/>
          </w:tcPr>
          <w:p w:rsidR="00E24DB7" w:rsidRPr="002C5876" w:rsidRDefault="00E24DB7" w:rsidP="00E24DB7">
            <w:pPr>
              <w:suppressAutoHyphens w:val="0"/>
              <w:spacing w:before="40" w:after="40" w:line="220" w:lineRule="exact"/>
              <w:ind w:left="57" w:right="454"/>
              <w:jc w:val="right"/>
              <w:rPr>
                <w:sz w:val="18"/>
                <w:szCs w:val="18"/>
                <w:lang w:eastAsia="de-DE"/>
              </w:rPr>
            </w:pPr>
            <w:r w:rsidRPr="002C5876">
              <w:rPr>
                <w:sz w:val="18"/>
                <w:szCs w:val="18"/>
                <w:lang w:eastAsia="de-DE"/>
              </w:rPr>
              <w:t>179,2</w:t>
            </w:r>
          </w:p>
        </w:tc>
        <w:tc>
          <w:tcPr>
            <w:tcW w:w="1247" w:type="dxa"/>
            <w:tcBorders>
              <w:top w:val="nil"/>
              <w:left w:val="nil"/>
              <w:bottom w:val="single" w:sz="4" w:space="0" w:color="auto"/>
              <w:right w:val="single" w:sz="4" w:space="0" w:color="auto"/>
            </w:tcBorders>
            <w:shd w:val="clear" w:color="auto" w:fill="auto"/>
            <w:vAlign w:val="bottom"/>
            <w:hideMark/>
          </w:tcPr>
          <w:p w:rsidR="00E24DB7" w:rsidRPr="002C5876" w:rsidRDefault="00E24DB7" w:rsidP="00E24DB7">
            <w:pPr>
              <w:suppressAutoHyphens w:val="0"/>
              <w:spacing w:before="40" w:after="40" w:line="220" w:lineRule="exact"/>
              <w:ind w:left="57" w:right="454"/>
              <w:jc w:val="right"/>
              <w:rPr>
                <w:sz w:val="18"/>
                <w:szCs w:val="18"/>
                <w:lang w:eastAsia="de-DE"/>
              </w:rPr>
            </w:pPr>
            <w:r w:rsidRPr="002C5876">
              <w:rPr>
                <w:sz w:val="18"/>
                <w:szCs w:val="18"/>
                <w:lang w:eastAsia="de-DE"/>
              </w:rPr>
              <w:t>10,0</w:t>
            </w:r>
          </w:p>
        </w:tc>
        <w:tc>
          <w:tcPr>
            <w:tcW w:w="1247" w:type="dxa"/>
            <w:tcBorders>
              <w:top w:val="nil"/>
              <w:left w:val="nil"/>
              <w:bottom w:val="single" w:sz="4" w:space="0" w:color="auto"/>
              <w:right w:val="single" w:sz="4" w:space="0" w:color="auto"/>
            </w:tcBorders>
            <w:shd w:val="clear" w:color="auto" w:fill="auto"/>
            <w:noWrap/>
            <w:vAlign w:val="bottom"/>
            <w:hideMark/>
          </w:tcPr>
          <w:p w:rsidR="00E24DB7" w:rsidRPr="002C5876" w:rsidRDefault="00E24DB7" w:rsidP="00E24DB7">
            <w:pPr>
              <w:suppressAutoHyphens w:val="0"/>
              <w:spacing w:before="40" w:after="40" w:line="220" w:lineRule="exact"/>
              <w:ind w:left="57" w:right="454"/>
              <w:jc w:val="right"/>
              <w:rPr>
                <w:sz w:val="18"/>
                <w:szCs w:val="18"/>
                <w:lang w:eastAsia="de-DE"/>
              </w:rPr>
            </w:pPr>
            <w:r w:rsidRPr="002C5876">
              <w:rPr>
                <w:sz w:val="18"/>
                <w:szCs w:val="18"/>
                <w:lang w:eastAsia="de-DE"/>
              </w:rPr>
              <w:t>0,0</w:t>
            </w:r>
          </w:p>
        </w:tc>
        <w:tc>
          <w:tcPr>
            <w:tcW w:w="1247" w:type="dxa"/>
            <w:tcBorders>
              <w:top w:val="nil"/>
              <w:left w:val="nil"/>
              <w:bottom w:val="single" w:sz="4" w:space="0" w:color="auto"/>
              <w:right w:val="single" w:sz="4" w:space="0" w:color="auto"/>
            </w:tcBorders>
            <w:shd w:val="clear" w:color="auto" w:fill="auto"/>
            <w:noWrap/>
            <w:vAlign w:val="bottom"/>
            <w:hideMark/>
          </w:tcPr>
          <w:p w:rsidR="00E24DB7" w:rsidRPr="002C5876" w:rsidRDefault="00E24DB7" w:rsidP="00E24DB7">
            <w:pPr>
              <w:suppressAutoHyphens w:val="0"/>
              <w:spacing w:before="40" w:after="40" w:line="220" w:lineRule="exact"/>
              <w:ind w:left="57" w:right="454"/>
              <w:jc w:val="right"/>
              <w:rPr>
                <w:sz w:val="18"/>
                <w:szCs w:val="18"/>
                <w:lang w:eastAsia="de-DE"/>
              </w:rPr>
            </w:pPr>
            <w:r w:rsidRPr="002C5876">
              <w:rPr>
                <w:sz w:val="18"/>
                <w:szCs w:val="18"/>
                <w:lang w:eastAsia="de-DE"/>
              </w:rPr>
              <w:t>161,3</w:t>
            </w:r>
          </w:p>
        </w:tc>
      </w:tr>
      <w:tr w:rsidR="00E24DB7" w:rsidRPr="002C5876" w:rsidTr="00E24DB7">
        <w:trPr>
          <w:trHeight w:val="288"/>
        </w:trPr>
        <w:tc>
          <w:tcPr>
            <w:tcW w:w="1248" w:type="dxa"/>
            <w:tcBorders>
              <w:top w:val="nil"/>
              <w:left w:val="single" w:sz="4" w:space="0" w:color="auto"/>
              <w:bottom w:val="single" w:sz="4" w:space="0" w:color="auto"/>
              <w:right w:val="single" w:sz="4" w:space="0" w:color="auto"/>
            </w:tcBorders>
            <w:shd w:val="clear" w:color="auto" w:fill="auto"/>
            <w:vAlign w:val="bottom"/>
            <w:hideMark/>
          </w:tcPr>
          <w:p w:rsidR="00E24DB7" w:rsidRPr="002C5876" w:rsidRDefault="00E24DB7" w:rsidP="00E24DB7">
            <w:pPr>
              <w:suppressAutoHyphens w:val="0"/>
              <w:spacing w:before="40" w:after="40" w:line="220" w:lineRule="exact"/>
              <w:ind w:left="57" w:right="454"/>
              <w:jc w:val="right"/>
              <w:rPr>
                <w:sz w:val="18"/>
                <w:szCs w:val="18"/>
                <w:lang w:eastAsia="de-DE"/>
              </w:rPr>
            </w:pPr>
            <w:r w:rsidRPr="002C5876">
              <w:rPr>
                <w:sz w:val="18"/>
                <w:szCs w:val="18"/>
                <w:lang w:eastAsia="de-DE"/>
              </w:rPr>
              <w:t>5 800</w:t>
            </w:r>
          </w:p>
        </w:tc>
        <w:tc>
          <w:tcPr>
            <w:tcW w:w="1248" w:type="dxa"/>
            <w:tcBorders>
              <w:top w:val="nil"/>
              <w:left w:val="nil"/>
              <w:bottom w:val="single" w:sz="4" w:space="0" w:color="auto"/>
              <w:right w:val="single" w:sz="4" w:space="0" w:color="auto"/>
            </w:tcBorders>
            <w:shd w:val="clear" w:color="auto" w:fill="auto"/>
            <w:noWrap/>
            <w:vAlign w:val="bottom"/>
            <w:hideMark/>
          </w:tcPr>
          <w:p w:rsidR="00E24DB7" w:rsidRPr="002C5876" w:rsidRDefault="00E24DB7" w:rsidP="00E24DB7">
            <w:pPr>
              <w:suppressAutoHyphens w:val="0"/>
              <w:spacing w:before="40" w:after="40" w:line="220" w:lineRule="exact"/>
              <w:ind w:left="57" w:right="454"/>
              <w:jc w:val="right"/>
              <w:rPr>
                <w:sz w:val="18"/>
                <w:szCs w:val="18"/>
                <w:lang w:eastAsia="de-DE"/>
              </w:rPr>
            </w:pPr>
            <w:r w:rsidRPr="002C5876">
              <w:rPr>
                <w:sz w:val="18"/>
                <w:szCs w:val="18"/>
                <w:lang w:eastAsia="de-DE"/>
              </w:rPr>
              <w:t>180,1</w:t>
            </w:r>
          </w:p>
        </w:tc>
        <w:tc>
          <w:tcPr>
            <w:tcW w:w="1247" w:type="dxa"/>
            <w:tcBorders>
              <w:top w:val="nil"/>
              <w:left w:val="nil"/>
              <w:bottom w:val="single" w:sz="4" w:space="0" w:color="auto"/>
              <w:right w:val="single" w:sz="4" w:space="0" w:color="auto"/>
            </w:tcBorders>
            <w:shd w:val="clear" w:color="auto" w:fill="auto"/>
            <w:vAlign w:val="bottom"/>
            <w:hideMark/>
          </w:tcPr>
          <w:p w:rsidR="00E24DB7" w:rsidRPr="002C5876" w:rsidRDefault="00E24DB7" w:rsidP="00E24DB7">
            <w:pPr>
              <w:suppressAutoHyphens w:val="0"/>
              <w:spacing w:before="40" w:after="40" w:line="220" w:lineRule="exact"/>
              <w:ind w:left="57" w:right="454"/>
              <w:jc w:val="right"/>
              <w:rPr>
                <w:sz w:val="18"/>
                <w:szCs w:val="18"/>
                <w:lang w:eastAsia="de-DE"/>
              </w:rPr>
            </w:pPr>
            <w:r w:rsidRPr="002C5876">
              <w:rPr>
                <w:sz w:val="18"/>
                <w:szCs w:val="18"/>
                <w:lang w:eastAsia="de-DE"/>
              </w:rPr>
              <w:t>10,0</w:t>
            </w:r>
          </w:p>
        </w:tc>
        <w:tc>
          <w:tcPr>
            <w:tcW w:w="1247" w:type="dxa"/>
            <w:tcBorders>
              <w:top w:val="nil"/>
              <w:left w:val="nil"/>
              <w:bottom w:val="single" w:sz="4" w:space="0" w:color="auto"/>
              <w:right w:val="single" w:sz="4" w:space="0" w:color="auto"/>
            </w:tcBorders>
            <w:shd w:val="clear" w:color="auto" w:fill="auto"/>
            <w:noWrap/>
            <w:vAlign w:val="bottom"/>
            <w:hideMark/>
          </w:tcPr>
          <w:p w:rsidR="00E24DB7" w:rsidRPr="002C5876" w:rsidRDefault="00E24DB7" w:rsidP="00E24DB7">
            <w:pPr>
              <w:suppressAutoHyphens w:val="0"/>
              <w:spacing w:before="40" w:after="40" w:line="220" w:lineRule="exact"/>
              <w:ind w:left="57" w:right="454"/>
              <w:jc w:val="right"/>
              <w:rPr>
                <w:sz w:val="18"/>
                <w:szCs w:val="18"/>
                <w:lang w:eastAsia="de-DE"/>
              </w:rPr>
            </w:pPr>
            <w:r w:rsidRPr="002C5876">
              <w:rPr>
                <w:sz w:val="18"/>
                <w:szCs w:val="18"/>
                <w:lang w:eastAsia="de-DE"/>
              </w:rPr>
              <w:t>0,0</w:t>
            </w:r>
          </w:p>
        </w:tc>
        <w:tc>
          <w:tcPr>
            <w:tcW w:w="1247" w:type="dxa"/>
            <w:tcBorders>
              <w:top w:val="nil"/>
              <w:left w:val="nil"/>
              <w:bottom w:val="single" w:sz="4" w:space="0" w:color="auto"/>
              <w:right w:val="single" w:sz="4" w:space="0" w:color="auto"/>
            </w:tcBorders>
            <w:shd w:val="clear" w:color="auto" w:fill="auto"/>
            <w:noWrap/>
            <w:vAlign w:val="bottom"/>
            <w:hideMark/>
          </w:tcPr>
          <w:p w:rsidR="00E24DB7" w:rsidRPr="002C5876" w:rsidRDefault="00E24DB7" w:rsidP="00E24DB7">
            <w:pPr>
              <w:suppressAutoHyphens w:val="0"/>
              <w:spacing w:before="40" w:after="40" w:line="220" w:lineRule="exact"/>
              <w:ind w:left="57" w:right="454"/>
              <w:jc w:val="right"/>
              <w:rPr>
                <w:sz w:val="18"/>
                <w:szCs w:val="18"/>
                <w:lang w:eastAsia="de-DE"/>
              </w:rPr>
            </w:pPr>
            <w:r w:rsidRPr="002C5876">
              <w:rPr>
                <w:sz w:val="18"/>
                <w:szCs w:val="18"/>
                <w:lang w:eastAsia="de-DE"/>
              </w:rPr>
              <w:t>162,1</w:t>
            </w:r>
          </w:p>
        </w:tc>
      </w:tr>
      <w:tr w:rsidR="00E24DB7" w:rsidRPr="002C5876" w:rsidTr="00E24DB7">
        <w:trPr>
          <w:trHeight w:val="288"/>
        </w:trPr>
        <w:tc>
          <w:tcPr>
            <w:tcW w:w="1248" w:type="dxa"/>
            <w:tcBorders>
              <w:top w:val="nil"/>
              <w:left w:val="single" w:sz="4" w:space="0" w:color="auto"/>
              <w:bottom w:val="single" w:sz="4" w:space="0" w:color="auto"/>
              <w:right w:val="single" w:sz="4" w:space="0" w:color="auto"/>
            </w:tcBorders>
            <w:shd w:val="clear" w:color="auto" w:fill="auto"/>
            <w:vAlign w:val="bottom"/>
            <w:hideMark/>
          </w:tcPr>
          <w:p w:rsidR="00E24DB7" w:rsidRPr="002C5876" w:rsidRDefault="00E24DB7" w:rsidP="00E24DB7">
            <w:pPr>
              <w:suppressAutoHyphens w:val="0"/>
              <w:spacing w:before="40" w:after="40" w:line="220" w:lineRule="exact"/>
              <w:ind w:left="57" w:right="454"/>
              <w:jc w:val="right"/>
              <w:rPr>
                <w:sz w:val="18"/>
                <w:szCs w:val="18"/>
                <w:lang w:eastAsia="de-DE"/>
              </w:rPr>
            </w:pPr>
            <w:r w:rsidRPr="002C5876">
              <w:rPr>
                <w:sz w:val="18"/>
                <w:szCs w:val="18"/>
                <w:lang w:eastAsia="de-DE"/>
              </w:rPr>
              <w:t>6 000</w:t>
            </w:r>
          </w:p>
        </w:tc>
        <w:tc>
          <w:tcPr>
            <w:tcW w:w="1248" w:type="dxa"/>
            <w:tcBorders>
              <w:top w:val="nil"/>
              <w:left w:val="nil"/>
              <w:bottom w:val="single" w:sz="4" w:space="0" w:color="auto"/>
              <w:right w:val="single" w:sz="4" w:space="0" w:color="auto"/>
            </w:tcBorders>
            <w:shd w:val="clear" w:color="auto" w:fill="auto"/>
            <w:noWrap/>
            <w:vAlign w:val="bottom"/>
            <w:hideMark/>
          </w:tcPr>
          <w:p w:rsidR="00E24DB7" w:rsidRPr="002C5876" w:rsidRDefault="00E24DB7" w:rsidP="00E24DB7">
            <w:pPr>
              <w:suppressAutoHyphens w:val="0"/>
              <w:spacing w:before="40" w:after="40" w:line="220" w:lineRule="exact"/>
              <w:ind w:left="57" w:right="454"/>
              <w:jc w:val="right"/>
              <w:rPr>
                <w:sz w:val="18"/>
                <w:szCs w:val="18"/>
                <w:lang w:eastAsia="de-DE"/>
              </w:rPr>
            </w:pPr>
            <w:r w:rsidRPr="002C5876">
              <w:rPr>
                <w:sz w:val="18"/>
                <w:szCs w:val="18"/>
                <w:lang w:eastAsia="de-DE"/>
              </w:rPr>
              <w:t>174,7</w:t>
            </w:r>
          </w:p>
        </w:tc>
        <w:tc>
          <w:tcPr>
            <w:tcW w:w="1247" w:type="dxa"/>
            <w:tcBorders>
              <w:top w:val="nil"/>
              <w:left w:val="nil"/>
              <w:bottom w:val="single" w:sz="4" w:space="0" w:color="auto"/>
              <w:right w:val="single" w:sz="4" w:space="0" w:color="auto"/>
            </w:tcBorders>
            <w:shd w:val="clear" w:color="auto" w:fill="auto"/>
            <w:vAlign w:val="bottom"/>
            <w:hideMark/>
          </w:tcPr>
          <w:p w:rsidR="00E24DB7" w:rsidRPr="002C5876" w:rsidRDefault="00E24DB7" w:rsidP="00E24DB7">
            <w:pPr>
              <w:suppressAutoHyphens w:val="0"/>
              <w:spacing w:before="40" w:after="40" w:line="220" w:lineRule="exact"/>
              <w:ind w:left="57" w:right="454"/>
              <w:jc w:val="right"/>
              <w:rPr>
                <w:sz w:val="18"/>
                <w:szCs w:val="18"/>
                <w:lang w:eastAsia="de-DE"/>
              </w:rPr>
            </w:pPr>
            <w:r w:rsidRPr="002C5876">
              <w:rPr>
                <w:sz w:val="18"/>
                <w:szCs w:val="18"/>
                <w:lang w:eastAsia="de-DE"/>
              </w:rPr>
              <w:t>10,0</w:t>
            </w:r>
          </w:p>
        </w:tc>
        <w:tc>
          <w:tcPr>
            <w:tcW w:w="1247" w:type="dxa"/>
            <w:tcBorders>
              <w:top w:val="nil"/>
              <w:left w:val="nil"/>
              <w:bottom w:val="single" w:sz="4" w:space="0" w:color="auto"/>
              <w:right w:val="single" w:sz="4" w:space="0" w:color="auto"/>
            </w:tcBorders>
            <w:shd w:val="clear" w:color="auto" w:fill="auto"/>
            <w:noWrap/>
            <w:vAlign w:val="bottom"/>
            <w:hideMark/>
          </w:tcPr>
          <w:p w:rsidR="00E24DB7" w:rsidRPr="002C5876" w:rsidRDefault="00E24DB7" w:rsidP="00E24DB7">
            <w:pPr>
              <w:suppressAutoHyphens w:val="0"/>
              <w:spacing w:before="40" w:after="40" w:line="220" w:lineRule="exact"/>
              <w:ind w:left="57" w:right="454"/>
              <w:jc w:val="right"/>
              <w:rPr>
                <w:sz w:val="18"/>
                <w:szCs w:val="18"/>
                <w:lang w:eastAsia="de-DE"/>
              </w:rPr>
            </w:pPr>
            <w:r w:rsidRPr="002C5876">
              <w:rPr>
                <w:sz w:val="18"/>
                <w:szCs w:val="18"/>
                <w:lang w:eastAsia="de-DE"/>
              </w:rPr>
              <w:t>0,0</w:t>
            </w:r>
          </w:p>
        </w:tc>
        <w:tc>
          <w:tcPr>
            <w:tcW w:w="1247" w:type="dxa"/>
            <w:tcBorders>
              <w:top w:val="nil"/>
              <w:left w:val="nil"/>
              <w:bottom w:val="single" w:sz="4" w:space="0" w:color="auto"/>
              <w:right w:val="single" w:sz="4" w:space="0" w:color="auto"/>
            </w:tcBorders>
            <w:shd w:val="clear" w:color="auto" w:fill="auto"/>
            <w:noWrap/>
            <w:vAlign w:val="bottom"/>
            <w:hideMark/>
          </w:tcPr>
          <w:p w:rsidR="00E24DB7" w:rsidRPr="002C5876" w:rsidRDefault="00E24DB7" w:rsidP="00E24DB7">
            <w:pPr>
              <w:suppressAutoHyphens w:val="0"/>
              <w:spacing w:before="40" w:after="40" w:line="220" w:lineRule="exact"/>
              <w:ind w:left="57" w:right="454"/>
              <w:jc w:val="right"/>
              <w:rPr>
                <w:sz w:val="18"/>
                <w:szCs w:val="18"/>
                <w:lang w:eastAsia="de-DE"/>
              </w:rPr>
            </w:pPr>
            <w:r w:rsidRPr="002C5876">
              <w:rPr>
                <w:sz w:val="18"/>
                <w:szCs w:val="18"/>
                <w:lang w:eastAsia="de-DE"/>
              </w:rPr>
              <w:t>157,3</w:t>
            </w:r>
          </w:p>
        </w:tc>
      </w:tr>
      <w:tr w:rsidR="00E24DB7" w:rsidRPr="002C5876" w:rsidTr="00E24DB7">
        <w:trPr>
          <w:trHeight w:val="288"/>
        </w:trPr>
        <w:tc>
          <w:tcPr>
            <w:tcW w:w="1248" w:type="dxa"/>
            <w:tcBorders>
              <w:top w:val="nil"/>
              <w:left w:val="single" w:sz="4" w:space="0" w:color="auto"/>
              <w:bottom w:val="single" w:sz="4" w:space="0" w:color="auto"/>
              <w:right w:val="single" w:sz="4" w:space="0" w:color="auto"/>
            </w:tcBorders>
            <w:shd w:val="clear" w:color="auto" w:fill="auto"/>
            <w:vAlign w:val="bottom"/>
            <w:hideMark/>
          </w:tcPr>
          <w:p w:rsidR="00E24DB7" w:rsidRPr="002C5876" w:rsidRDefault="00E24DB7" w:rsidP="00E24DB7">
            <w:pPr>
              <w:suppressAutoHyphens w:val="0"/>
              <w:spacing w:before="40" w:after="40" w:line="220" w:lineRule="exact"/>
              <w:ind w:left="57" w:right="454"/>
              <w:jc w:val="right"/>
              <w:rPr>
                <w:sz w:val="18"/>
                <w:szCs w:val="18"/>
                <w:lang w:eastAsia="de-DE"/>
              </w:rPr>
            </w:pPr>
            <w:r w:rsidRPr="002C5876">
              <w:rPr>
                <w:sz w:val="18"/>
                <w:szCs w:val="18"/>
                <w:lang w:eastAsia="de-DE"/>
              </w:rPr>
              <w:t>6 200</w:t>
            </w:r>
          </w:p>
        </w:tc>
        <w:tc>
          <w:tcPr>
            <w:tcW w:w="1248" w:type="dxa"/>
            <w:tcBorders>
              <w:top w:val="nil"/>
              <w:left w:val="nil"/>
              <w:bottom w:val="single" w:sz="4" w:space="0" w:color="auto"/>
              <w:right w:val="single" w:sz="4" w:space="0" w:color="auto"/>
            </w:tcBorders>
            <w:shd w:val="clear" w:color="auto" w:fill="auto"/>
            <w:noWrap/>
            <w:vAlign w:val="bottom"/>
            <w:hideMark/>
          </w:tcPr>
          <w:p w:rsidR="00E24DB7" w:rsidRPr="002C5876" w:rsidRDefault="00E24DB7" w:rsidP="00E24DB7">
            <w:pPr>
              <w:suppressAutoHyphens w:val="0"/>
              <w:spacing w:before="40" w:after="40" w:line="220" w:lineRule="exact"/>
              <w:ind w:left="57" w:right="454"/>
              <w:jc w:val="right"/>
              <w:rPr>
                <w:sz w:val="18"/>
                <w:szCs w:val="18"/>
                <w:lang w:eastAsia="de-DE"/>
              </w:rPr>
            </w:pPr>
            <w:r w:rsidRPr="002C5876">
              <w:rPr>
                <w:sz w:val="18"/>
                <w:szCs w:val="18"/>
                <w:lang w:eastAsia="de-DE"/>
              </w:rPr>
              <w:t>169,0</w:t>
            </w:r>
          </w:p>
        </w:tc>
        <w:tc>
          <w:tcPr>
            <w:tcW w:w="1247" w:type="dxa"/>
            <w:tcBorders>
              <w:top w:val="nil"/>
              <w:left w:val="nil"/>
              <w:bottom w:val="single" w:sz="4" w:space="0" w:color="auto"/>
              <w:right w:val="single" w:sz="4" w:space="0" w:color="auto"/>
            </w:tcBorders>
            <w:shd w:val="clear" w:color="auto" w:fill="auto"/>
            <w:vAlign w:val="bottom"/>
            <w:hideMark/>
          </w:tcPr>
          <w:p w:rsidR="00E24DB7" w:rsidRPr="002C5876" w:rsidRDefault="00E24DB7" w:rsidP="00E24DB7">
            <w:pPr>
              <w:suppressAutoHyphens w:val="0"/>
              <w:spacing w:before="40" w:after="40" w:line="220" w:lineRule="exact"/>
              <w:ind w:left="57" w:right="454"/>
              <w:jc w:val="right"/>
              <w:rPr>
                <w:sz w:val="18"/>
                <w:szCs w:val="18"/>
                <w:lang w:eastAsia="de-DE"/>
              </w:rPr>
            </w:pPr>
            <w:r w:rsidRPr="002C5876">
              <w:rPr>
                <w:sz w:val="18"/>
                <w:szCs w:val="18"/>
                <w:lang w:eastAsia="de-DE"/>
              </w:rPr>
              <w:t>10,0</w:t>
            </w:r>
          </w:p>
        </w:tc>
        <w:tc>
          <w:tcPr>
            <w:tcW w:w="1247" w:type="dxa"/>
            <w:tcBorders>
              <w:top w:val="nil"/>
              <w:left w:val="nil"/>
              <w:bottom w:val="single" w:sz="4" w:space="0" w:color="auto"/>
              <w:right w:val="single" w:sz="4" w:space="0" w:color="auto"/>
            </w:tcBorders>
            <w:shd w:val="clear" w:color="auto" w:fill="auto"/>
            <w:noWrap/>
            <w:vAlign w:val="bottom"/>
            <w:hideMark/>
          </w:tcPr>
          <w:p w:rsidR="00E24DB7" w:rsidRPr="002C5876" w:rsidRDefault="00E24DB7" w:rsidP="00E24DB7">
            <w:pPr>
              <w:suppressAutoHyphens w:val="0"/>
              <w:spacing w:before="40" w:after="40" w:line="220" w:lineRule="exact"/>
              <w:ind w:left="57" w:right="454"/>
              <w:jc w:val="right"/>
              <w:rPr>
                <w:sz w:val="18"/>
                <w:szCs w:val="18"/>
                <w:lang w:eastAsia="de-DE"/>
              </w:rPr>
            </w:pPr>
            <w:r w:rsidRPr="002C5876">
              <w:rPr>
                <w:sz w:val="18"/>
                <w:szCs w:val="18"/>
                <w:lang w:eastAsia="de-DE"/>
              </w:rPr>
              <w:t>0,0</w:t>
            </w:r>
          </w:p>
        </w:tc>
        <w:tc>
          <w:tcPr>
            <w:tcW w:w="1247" w:type="dxa"/>
            <w:tcBorders>
              <w:top w:val="nil"/>
              <w:left w:val="nil"/>
              <w:bottom w:val="single" w:sz="4" w:space="0" w:color="auto"/>
              <w:right w:val="single" w:sz="4" w:space="0" w:color="auto"/>
            </w:tcBorders>
            <w:shd w:val="clear" w:color="auto" w:fill="auto"/>
            <w:noWrap/>
            <w:vAlign w:val="bottom"/>
            <w:hideMark/>
          </w:tcPr>
          <w:p w:rsidR="00E24DB7" w:rsidRPr="002C5876" w:rsidRDefault="00E24DB7" w:rsidP="00E24DB7">
            <w:pPr>
              <w:suppressAutoHyphens w:val="0"/>
              <w:spacing w:before="40" w:after="40" w:line="220" w:lineRule="exact"/>
              <w:ind w:left="57" w:right="454"/>
              <w:jc w:val="right"/>
              <w:rPr>
                <w:sz w:val="18"/>
                <w:szCs w:val="18"/>
                <w:lang w:eastAsia="de-DE"/>
              </w:rPr>
            </w:pPr>
            <w:r w:rsidRPr="002C5876">
              <w:rPr>
                <w:sz w:val="18"/>
                <w:szCs w:val="18"/>
                <w:lang w:eastAsia="de-DE"/>
              </w:rPr>
              <w:t>152,1</w:t>
            </w:r>
          </w:p>
        </w:tc>
      </w:tr>
      <w:tr w:rsidR="00E24DB7" w:rsidRPr="002C5876" w:rsidTr="00E24DB7">
        <w:trPr>
          <w:trHeight w:val="288"/>
        </w:trPr>
        <w:tc>
          <w:tcPr>
            <w:tcW w:w="1248" w:type="dxa"/>
            <w:tcBorders>
              <w:top w:val="nil"/>
              <w:left w:val="single" w:sz="4" w:space="0" w:color="auto"/>
              <w:bottom w:val="single" w:sz="4" w:space="0" w:color="auto"/>
              <w:right w:val="single" w:sz="4" w:space="0" w:color="auto"/>
            </w:tcBorders>
            <w:shd w:val="clear" w:color="auto" w:fill="auto"/>
            <w:vAlign w:val="bottom"/>
            <w:hideMark/>
          </w:tcPr>
          <w:p w:rsidR="00E24DB7" w:rsidRPr="002C5876" w:rsidRDefault="00E24DB7" w:rsidP="00E24DB7">
            <w:pPr>
              <w:suppressAutoHyphens w:val="0"/>
              <w:spacing w:before="40" w:after="40" w:line="220" w:lineRule="exact"/>
              <w:ind w:left="57" w:right="454"/>
              <w:jc w:val="right"/>
              <w:rPr>
                <w:sz w:val="18"/>
                <w:szCs w:val="18"/>
                <w:lang w:eastAsia="de-DE"/>
              </w:rPr>
            </w:pPr>
            <w:r w:rsidRPr="002C5876">
              <w:rPr>
                <w:sz w:val="18"/>
                <w:szCs w:val="18"/>
                <w:lang w:eastAsia="de-DE"/>
              </w:rPr>
              <w:t>6 400</w:t>
            </w:r>
          </w:p>
        </w:tc>
        <w:tc>
          <w:tcPr>
            <w:tcW w:w="1248" w:type="dxa"/>
            <w:tcBorders>
              <w:top w:val="nil"/>
              <w:left w:val="nil"/>
              <w:bottom w:val="single" w:sz="4" w:space="0" w:color="auto"/>
              <w:right w:val="single" w:sz="4" w:space="0" w:color="auto"/>
            </w:tcBorders>
            <w:shd w:val="clear" w:color="auto" w:fill="auto"/>
            <w:noWrap/>
            <w:vAlign w:val="bottom"/>
            <w:hideMark/>
          </w:tcPr>
          <w:p w:rsidR="00E24DB7" w:rsidRPr="002C5876" w:rsidRDefault="00E24DB7" w:rsidP="00E24DB7">
            <w:pPr>
              <w:suppressAutoHyphens w:val="0"/>
              <w:spacing w:before="40" w:after="40" w:line="220" w:lineRule="exact"/>
              <w:ind w:left="57" w:right="454"/>
              <w:jc w:val="right"/>
              <w:rPr>
                <w:sz w:val="18"/>
                <w:szCs w:val="18"/>
                <w:lang w:eastAsia="de-DE"/>
              </w:rPr>
            </w:pPr>
            <w:r w:rsidRPr="002C5876">
              <w:rPr>
                <w:sz w:val="18"/>
                <w:szCs w:val="18"/>
                <w:lang w:eastAsia="de-DE"/>
              </w:rPr>
              <w:t>164,3</w:t>
            </w:r>
          </w:p>
        </w:tc>
        <w:tc>
          <w:tcPr>
            <w:tcW w:w="1247" w:type="dxa"/>
            <w:tcBorders>
              <w:top w:val="nil"/>
              <w:left w:val="nil"/>
              <w:bottom w:val="single" w:sz="4" w:space="0" w:color="auto"/>
              <w:right w:val="single" w:sz="4" w:space="0" w:color="auto"/>
            </w:tcBorders>
            <w:shd w:val="clear" w:color="auto" w:fill="auto"/>
            <w:vAlign w:val="bottom"/>
            <w:hideMark/>
          </w:tcPr>
          <w:p w:rsidR="00E24DB7" w:rsidRPr="002C5876" w:rsidRDefault="00E24DB7" w:rsidP="00E24DB7">
            <w:pPr>
              <w:suppressAutoHyphens w:val="0"/>
              <w:spacing w:before="40" w:after="40" w:line="220" w:lineRule="exact"/>
              <w:ind w:left="57" w:right="454"/>
              <w:jc w:val="right"/>
              <w:rPr>
                <w:sz w:val="18"/>
                <w:szCs w:val="18"/>
                <w:lang w:eastAsia="de-DE"/>
              </w:rPr>
            </w:pPr>
            <w:r w:rsidRPr="002C5876">
              <w:rPr>
                <w:sz w:val="18"/>
                <w:szCs w:val="18"/>
                <w:lang w:eastAsia="de-DE"/>
              </w:rPr>
              <w:t>10,0</w:t>
            </w:r>
          </w:p>
        </w:tc>
        <w:tc>
          <w:tcPr>
            <w:tcW w:w="1247" w:type="dxa"/>
            <w:tcBorders>
              <w:top w:val="nil"/>
              <w:left w:val="nil"/>
              <w:bottom w:val="single" w:sz="4" w:space="0" w:color="auto"/>
              <w:right w:val="single" w:sz="4" w:space="0" w:color="auto"/>
            </w:tcBorders>
            <w:shd w:val="clear" w:color="auto" w:fill="auto"/>
            <w:noWrap/>
            <w:vAlign w:val="bottom"/>
            <w:hideMark/>
          </w:tcPr>
          <w:p w:rsidR="00E24DB7" w:rsidRPr="002C5876" w:rsidRDefault="00E24DB7" w:rsidP="00E24DB7">
            <w:pPr>
              <w:suppressAutoHyphens w:val="0"/>
              <w:spacing w:before="40" w:after="40" w:line="220" w:lineRule="exact"/>
              <w:ind w:left="57" w:right="454"/>
              <w:jc w:val="right"/>
              <w:rPr>
                <w:sz w:val="18"/>
                <w:szCs w:val="18"/>
                <w:lang w:eastAsia="de-DE"/>
              </w:rPr>
            </w:pPr>
            <w:r w:rsidRPr="002C5876">
              <w:rPr>
                <w:sz w:val="18"/>
                <w:szCs w:val="18"/>
                <w:lang w:eastAsia="de-DE"/>
              </w:rPr>
              <w:t>0,0</w:t>
            </w:r>
          </w:p>
        </w:tc>
        <w:tc>
          <w:tcPr>
            <w:tcW w:w="1247" w:type="dxa"/>
            <w:tcBorders>
              <w:top w:val="nil"/>
              <w:left w:val="nil"/>
              <w:bottom w:val="single" w:sz="4" w:space="0" w:color="auto"/>
              <w:right w:val="single" w:sz="4" w:space="0" w:color="auto"/>
            </w:tcBorders>
            <w:shd w:val="clear" w:color="auto" w:fill="auto"/>
            <w:noWrap/>
            <w:vAlign w:val="bottom"/>
            <w:hideMark/>
          </w:tcPr>
          <w:p w:rsidR="00E24DB7" w:rsidRPr="002C5876" w:rsidRDefault="00E24DB7" w:rsidP="00E24DB7">
            <w:pPr>
              <w:suppressAutoHyphens w:val="0"/>
              <w:spacing w:before="40" w:after="40" w:line="220" w:lineRule="exact"/>
              <w:ind w:left="57" w:right="454"/>
              <w:jc w:val="right"/>
              <w:rPr>
                <w:sz w:val="18"/>
                <w:szCs w:val="18"/>
                <w:lang w:eastAsia="de-DE"/>
              </w:rPr>
            </w:pPr>
            <w:r w:rsidRPr="002C5876">
              <w:rPr>
                <w:sz w:val="18"/>
                <w:szCs w:val="18"/>
                <w:lang w:eastAsia="de-DE"/>
              </w:rPr>
              <w:t>147,8</w:t>
            </w:r>
          </w:p>
        </w:tc>
      </w:tr>
      <w:tr w:rsidR="00E24DB7" w:rsidRPr="002C5876" w:rsidTr="00E24DB7">
        <w:trPr>
          <w:trHeight w:val="288"/>
        </w:trPr>
        <w:tc>
          <w:tcPr>
            <w:tcW w:w="1248"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E24DB7" w:rsidRPr="002C5876" w:rsidRDefault="00E24DB7" w:rsidP="00E24DB7">
            <w:pPr>
              <w:suppressAutoHyphens w:val="0"/>
              <w:spacing w:before="40" w:after="40" w:line="220" w:lineRule="exact"/>
              <w:ind w:left="57" w:right="454"/>
              <w:jc w:val="right"/>
              <w:rPr>
                <w:sz w:val="18"/>
                <w:szCs w:val="18"/>
                <w:lang w:eastAsia="de-DE"/>
              </w:rPr>
            </w:pPr>
            <w:r w:rsidRPr="002C5876">
              <w:rPr>
                <w:sz w:val="18"/>
                <w:szCs w:val="18"/>
                <w:lang w:eastAsia="de-DE"/>
              </w:rPr>
              <w:t>6 600</w:t>
            </w:r>
          </w:p>
        </w:tc>
        <w:tc>
          <w:tcPr>
            <w:tcW w:w="1248" w:type="dxa"/>
            <w:tcBorders>
              <w:top w:val="single" w:sz="4" w:space="0" w:color="auto"/>
              <w:left w:val="nil"/>
              <w:bottom w:val="single" w:sz="12" w:space="0" w:color="auto"/>
              <w:right w:val="single" w:sz="4" w:space="0" w:color="auto"/>
            </w:tcBorders>
            <w:shd w:val="clear" w:color="auto" w:fill="auto"/>
            <w:noWrap/>
            <w:vAlign w:val="bottom"/>
            <w:hideMark/>
          </w:tcPr>
          <w:p w:rsidR="00E24DB7" w:rsidRPr="002C5876" w:rsidRDefault="00E24DB7" w:rsidP="00E24DB7">
            <w:pPr>
              <w:suppressAutoHyphens w:val="0"/>
              <w:spacing w:before="40" w:after="40" w:line="220" w:lineRule="exact"/>
              <w:ind w:left="57" w:right="454"/>
              <w:jc w:val="right"/>
              <w:rPr>
                <w:sz w:val="18"/>
                <w:szCs w:val="18"/>
                <w:lang w:eastAsia="de-DE"/>
              </w:rPr>
            </w:pPr>
            <w:r w:rsidRPr="002C5876">
              <w:rPr>
                <w:sz w:val="18"/>
                <w:szCs w:val="18"/>
                <w:lang w:eastAsia="de-DE"/>
              </w:rPr>
              <w:t>156,4</w:t>
            </w:r>
          </w:p>
        </w:tc>
        <w:tc>
          <w:tcPr>
            <w:tcW w:w="1247" w:type="dxa"/>
            <w:tcBorders>
              <w:top w:val="single" w:sz="4" w:space="0" w:color="auto"/>
              <w:left w:val="nil"/>
              <w:bottom w:val="single" w:sz="12" w:space="0" w:color="auto"/>
              <w:right w:val="single" w:sz="4" w:space="0" w:color="auto"/>
            </w:tcBorders>
            <w:shd w:val="clear" w:color="auto" w:fill="auto"/>
            <w:vAlign w:val="bottom"/>
            <w:hideMark/>
          </w:tcPr>
          <w:p w:rsidR="00E24DB7" w:rsidRPr="002C5876" w:rsidRDefault="00E24DB7" w:rsidP="00E24DB7">
            <w:pPr>
              <w:suppressAutoHyphens w:val="0"/>
              <w:spacing w:before="40" w:after="40" w:line="220" w:lineRule="exact"/>
              <w:ind w:left="57" w:right="454"/>
              <w:jc w:val="right"/>
              <w:rPr>
                <w:sz w:val="18"/>
                <w:szCs w:val="18"/>
                <w:lang w:eastAsia="de-DE"/>
              </w:rPr>
            </w:pPr>
            <w:r w:rsidRPr="002C5876">
              <w:rPr>
                <w:sz w:val="18"/>
                <w:szCs w:val="18"/>
                <w:lang w:eastAsia="de-DE"/>
              </w:rPr>
              <w:t>10,0</w:t>
            </w:r>
          </w:p>
        </w:tc>
        <w:tc>
          <w:tcPr>
            <w:tcW w:w="1247" w:type="dxa"/>
            <w:tcBorders>
              <w:top w:val="single" w:sz="4" w:space="0" w:color="auto"/>
              <w:left w:val="nil"/>
              <w:bottom w:val="single" w:sz="12" w:space="0" w:color="auto"/>
              <w:right w:val="single" w:sz="4" w:space="0" w:color="auto"/>
            </w:tcBorders>
            <w:shd w:val="clear" w:color="auto" w:fill="auto"/>
            <w:noWrap/>
            <w:vAlign w:val="bottom"/>
            <w:hideMark/>
          </w:tcPr>
          <w:p w:rsidR="00E24DB7" w:rsidRPr="002C5876" w:rsidRDefault="00E24DB7" w:rsidP="00E24DB7">
            <w:pPr>
              <w:suppressAutoHyphens w:val="0"/>
              <w:spacing w:before="40" w:after="40" w:line="220" w:lineRule="exact"/>
              <w:ind w:left="57" w:right="454"/>
              <w:jc w:val="right"/>
              <w:rPr>
                <w:sz w:val="18"/>
                <w:szCs w:val="18"/>
                <w:lang w:eastAsia="de-DE"/>
              </w:rPr>
            </w:pPr>
            <w:r w:rsidRPr="002C5876">
              <w:rPr>
                <w:sz w:val="18"/>
                <w:szCs w:val="18"/>
                <w:lang w:eastAsia="de-DE"/>
              </w:rPr>
              <w:t>0,0</w:t>
            </w:r>
          </w:p>
        </w:tc>
        <w:tc>
          <w:tcPr>
            <w:tcW w:w="1247" w:type="dxa"/>
            <w:tcBorders>
              <w:top w:val="single" w:sz="4" w:space="0" w:color="auto"/>
              <w:left w:val="nil"/>
              <w:bottom w:val="single" w:sz="12" w:space="0" w:color="auto"/>
              <w:right w:val="single" w:sz="4" w:space="0" w:color="auto"/>
            </w:tcBorders>
            <w:shd w:val="clear" w:color="auto" w:fill="auto"/>
            <w:noWrap/>
            <w:vAlign w:val="bottom"/>
            <w:hideMark/>
          </w:tcPr>
          <w:p w:rsidR="00E24DB7" w:rsidRPr="002C5876" w:rsidRDefault="00E24DB7" w:rsidP="00E24DB7">
            <w:pPr>
              <w:suppressAutoHyphens w:val="0"/>
              <w:spacing w:before="40" w:after="40" w:line="220" w:lineRule="exact"/>
              <w:ind w:left="57" w:right="454"/>
              <w:jc w:val="right"/>
              <w:rPr>
                <w:sz w:val="18"/>
                <w:szCs w:val="18"/>
                <w:lang w:eastAsia="de-DE"/>
              </w:rPr>
            </w:pPr>
            <w:r w:rsidRPr="002C5876">
              <w:rPr>
                <w:sz w:val="18"/>
                <w:szCs w:val="18"/>
                <w:lang w:eastAsia="de-DE"/>
              </w:rPr>
              <w:t>140,8</w:t>
            </w:r>
          </w:p>
        </w:tc>
      </w:tr>
    </w:tbl>
    <w:p w:rsidR="00E24DB7" w:rsidRPr="002C5876" w:rsidRDefault="00E24DB7" w:rsidP="00E24DB7">
      <w:pPr>
        <w:pStyle w:val="SingleTxtG"/>
        <w:keepNext/>
        <w:spacing w:before="240"/>
        <w:ind w:left="2268" w:hanging="1134"/>
        <w:jc w:val="left"/>
      </w:pPr>
      <w:r w:rsidRPr="002C5876">
        <w:t>3.5</w:t>
      </w:r>
      <w:r w:rsidRPr="002C5876">
        <w:tab/>
      </w:r>
      <w:r w:rsidRPr="002C5876">
        <w:tab/>
        <w:t>Détermination des rapports pouvant être utilisés</w:t>
      </w:r>
    </w:p>
    <w:p w:rsidR="00E24DB7" w:rsidRPr="002C5876" w:rsidRDefault="00E24DB7" w:rsidP="00E24DB7">
      <w:pPr>
        <w:pStyle w:val="SingleTxtG"/>
        <w:keepNext/>
        <w:ind w:left="2268"/>
      </w:pPr>
      <w:r w:rsidRPr="002C5876">
        <w:t>Les rapports qu’il est possible d’utiliser dépendent des conditions suivantes :</w:t>
      </w:r>
    </w:p>
    <w:p w:rsidR="00E24DB7" w:rsidRPr="002C5876" w:rsidRDefault="00E24DB7" w:rsidP="00E24DB7">
      <w:pPr>
        <w:pStyle w:val="SingleTxtG"/>
        <w:ind w:left="2835" w:hanging="567"/>
      </w:pPr>
      <w:r w:rsidRPr="002C5876">
        <w:t>a)</w:t>
      </w:r>
      <w:r w:rsidRPr="002C5876">
        <w:tab/>
        <w:t>Les conditions du paragraphe 3.3 de la présente annexe doivent être remplies ; et</w:t>
      </w:r>
    </w:p>
    <w:p w:rsidR="00E24DB7" w:rsidRPr="002C5876" w:rsidRDefault="00E24DB7" w:rsidP="00E24DB7">
      <w:pPr>
        <w:pStyle w:val="SingleTxtG"/>
        <w:ind w:left="2835" w:hanging="567"/>
      </w:pPr>
      <w:r w:rsidRPr="002C5876">
        <w:t>b)</w:t>
      </w:r>
      <w:r w:rsidRPr="002C5876">
        <w:tab/>
        <w:t>Pour n</w:t>
      </w:r>
      <w:r w:rsidRPr="002C5876">
        <w:rPr>
          <w:vertAlign w:val="subscript"/>
        </w:rPr>
        <w:t xml:space="preserve">gear </w:t>
      </w:r>
      <w:r w:rsidRPr="002C5876">
        <w:t>supérieur ou égal à</w:t>
      </w:r>
      <w:r w:rsidR="00BB0445" w:rsidRPr="002C5876">
        <w:t> </w:t>
      </w:r>
      <w:r w:rsidRPr="002C5876">
        <w:t>2 si P</w:t>
      </w:r>
      <w:r w:rsidRPr="002C5876">
        <w:rPr>
          <w:vertAlign w:val="subscript"/>
        </w:rPr>
        <w:t>available_i,j</w:t>
      </w:r>
      <w:r w:rsidRPr="002C5876">
        <w:t xml:space="preserve"> est supérieur ou égal à P</w:t>
      </w:r>
      <w:r w:rsidRPr="002C5876">
        <w:rPr>
          <w:vertAlign w:val="subscript"/>
        </w:rPr>
        <w:t>required,j</w:t>
      </w:r>
      <w:r w:rsidRPr="002C5876">
        <w:t>.</w:t>
      </w:r>
    </w:p>
    <w:p w:rsidR="00E24DB7" w:rsidRPr="002C5876" w:rsidRDefault="00E24DB7" w:rsidP="00E24DB7">
      <w:pPr>
        <w:pStyle w:val="SingleTxtG"/>
        <w:ind w:left="2268"/>
      </w:pPr>
      <w:r w:rsidRPr="002C5876">
        <w:t>Le rapport initial à utiliser pour chaque seconde j sur la courbe du cycle est le rapport final possible le plus élevé i</w:t>
      </w:r>
      <w:r w:rsidRPr="002C5876">
        <w:rPr>
          <w:vertAlign w:val="subscript"/>
        </w:rPr>
        <w:t>max</w:t>
      </w:r>
      <w:r w:rsidRPr="002C5876">
        <w:t>. Si le véhicule part de l’arrêt, seul le premier rapport peut être utilisé.</w:t>
      </w:r>
    </w:p>
    <w:p w:rsidR="00E24DB7" w:rsidRPr="002C5876" w:rsidRDefault="00E24DB7" w:rsidP="00E24DB7">
      <w:pPr>
        <w:pStyle w:val="SingleTxtG"/>
        <w:ind w:left="2268"/>
      </w:pPr>
      <w:r w:rsidRPr="002C5876">
        <w:t>Le rapport final possible le moins élevé est i</w:t>
      </w:r>
      <w:r w:rsidRPr="002C5876">
        <w:rPr>
          <w:vertAlign w:val="subscript"/>
        </w:rPr>
        <w:t>min</w:t>
      </w:r>
      <w:r w:rsidRPr="002C5876">
        <w:t>.</w:t>
      </w:r>
    </w:p>
    <w:p w:rsidR="00E24DB7" w:rsidRPr="002C5876" w:rsidRDefault="00E24DB7" w:rsidP="00E24DB7">
      <w:pPr>
        <w:pStyle w:val="SingleTxtG"/>
        <w:keepNext/>
        <w:ind w:left="2268" w:hanging="1134"/>
        <w:jc w:val="left"/>
      </w:pPr>
      <w:r w:rsidRPr="002C5876">
        <w:t>4.</w:t>
      </w:r>
      <w:r w:rsidRPr="002C5876">
        <w:tab/>
      </w:r>
      <w:r w:rsidRPr="002C5876">
        <w:tab/>
        <w:t>Prescriptions additionnelles relatives aux corrections et/ou modifications à apporter aux conditions d’utilisation des rapports</w:t>
      </w:r>
    </w:p>
    <w:p w:rsidR="00E24DB7" w:rsidRPr="002C5876" w:rsidRDefault="00E24DB7" w:rsidP="00E24DB7">
      <w:pPr>
        <w:pStyle w:val="SingleTxtG"/>
        <w:ind w:left="2268"/>
      </w:pPr>
      <w:r w:rsidRPr="002C5876">
        <w:tab/>
        <w:t>La sélection faite en ce qui concerne le rapport initial doit être contrôlée et modifiée de façon à éviter des changements de rapport trop fréquents et à faciliter la conduite et l’exécution du cycle.</w:t>
      </w:r>
    </w:p>
    <w:p w:rsidR="00E24DB7" w:rsidRPr="002C5876" w:rsidRDefault="00E24DB7" w:rsidP="00E24DB7">
      <w:pPr>
        <w:pStyle w:val="SingleTxtG"/>
        <w:ind w:left="2268"/>
      </w:pPr>
      <w:r w:rsidRPr="002C5876">
        <w:tab/>
        <w:t>Une phase d’accélération est une période de plus de 2 s à une vitesse du véhicule ≥1 km/h, avec accroissement monotone de la vitesse. Une phase de décélération est une période de plus de 2 s à une vitesse du véhicule ≥ 1 km/h, avec décroissance monotone de la vitesse.</w:t>
      </w:r>
    </w:p>
    <w:p w:rsidR="00E24DB7" w:rsidRPr="002C5876" w:rsidRDefault="00E24DB7" w:rsidP="00E24DB7">
      <w:pPr>
        <w:pStyle w:val="SingleTxtG"/>
        <w:ind w:left="2268"/>
      </w:pPr>
      <w:r w:rsidRPr="002C5876">
        <w:tab/>
        <w:t>Les corrections et les modifications doivent être apportées en tenant compte des prescriptions ci-après :</w:t>
      </w:r>
    </w:p>
    <w:p w:rsidR="00E24DB7" w:rsidRPr="002C5876" w:rsidRDefault="00E24DB7" w:rsidP="00E24DB7">
      <w:pPr>
        <w:pStyle w:val="SingleTxtG"/>
        <w:ind w:left="2835" w:hanging="567"/>
      </w:pPr>
      <w:r w:rsidRPr="002C5876">
        <w:t>a)</w:t>
      </w:r>
      <w:r w:rsidRPr="002C5876">
        <w:tab/>
        <w:t xml:space="preserve">Si un rapport immédiatement supérieur (n+1) est nécessaire pendant seulement 1 s et si les rapports précédents et suivants sont identiques (n), ou si l’un d’entre eux est inférieur d’un échelon (n-1), le rapport (n+1) doit être remplacé par le rapport n. </w:t>
      </w:r>
    </w:p>
    <w:p w:rsidR="00E24DB7" w:rsidRPr="002C5876" w:rsidRDefault="00E24DB7" w:rsidP="00E24DB7">
      <w:pPr>
        <w:pStyle w:val="SingleTxtG"/>
        <w:keepNext/>
        <w:ind w:left="2835" w:hanging="567"/>
      </w:pPr>
      <w:r w:rsidRPr="002C5876">
        <w:lastRenderedPageBreak/>
        <w:tab/>
        <w:t>Exemples :</w:t>
      </w:r>
    </w:p>
    <w:p w:rsidR="00E24DB7" w:rsidRPr="002C5876" w:rsidRDefault="00E24DB7" w:rsidP="00E24DB7">
      <w:pPr>
        <w:pStyle w:val="SingleTxtG"/>
        <w:keepNext/>
        <w:ind w:left="2835"/>
      </w:pPr>
      <w:r w:rsidRPr="002C5876">
        <w:t>La séquence i-1, i, i-1 doit être remplacée par :</w:t>
      </w:r>
    </w:p>
    <w:p w:rsidR="00E24DB7" w:rsidRPr="002C5876" w:rsidRDefault="00E24DB7" w:rsidP="00E24DB7">
      <w:pPr>
        <w:pStyle w:val="SingleTxtG"/>
        <w:ind w:left="2835"/>
      </w:pPr>
      <w:r w:rsidRPr="002C5876">
        <w:t>i-1, i-1, i-1 ;</w:t>
      </w:r>
    </w:p>
    <w:p w:rsidR="00E24DB7" w:rsidRPr="002C5876" w:rsidRDefault="00E24DB7" w:rsidP="00E24DB7">
      <w:pPr>
        <w:pStyle w:val="SingleTxtG"/>
        <w:ind w:left="2835"/>
      </w:pPr>
      <w:r w:rsidRPr="002C5876">
        <w:t>La séquence i - 1, i, i - 2 doit être remplacée par :</w:t>
      </w:r>
    </w:p>
    <w:p w:rsidR="00E24DB7" w:rsidRPr="002C5876" w:rsidRDefault="00E24DB7" w:rsidP="00E24DB7">
      <w:pPr>
        <w:pStyle w:val="SingleTxtG"/>
        <w:ind w:left="2835"/>
      </w:pPr>
      <w:r w:rsidRPr="002C5876">
        <w:t>i-1, i-1, i-2 ;</w:t>
      </w:r>
    </w:p>
    <w:p w:rsidR="00E24DB7" w:rsidRPr="002C5876" w:rsidRDefault="00E24DB7" w:rsidP="00E24DB7">
      <w:pPr>
        <w:pStyle w:val="SingleTxtG"/>
        <w:ind w:left="2835"/>
      </w:pPr>
      <w:r w:rsidRPr="002C5876">
        <w:t>La séquence i-2, i, i-1 doit être remplacée par :</w:t>
      </w:r>
    </w:p>
    <w:p w:rsidR="00E24DB7" w:rsidRPr="002C5876" w:rsidRDefault="00E24DB7" w:rsidP="00E24DB7">
      <w:pPr>
        <w:pStyle w:val="SingleTxtG"/>
        <w:ind w:left="2835"/>
      </w:pPr>
      <w:r w:rsidRPr="002C5876">
        <w:t>i-2, i-1, i-1.</w:t>
      </w:r>
    </w:p>
    <w:p w:rsidR="00E24DB7" w:rsidRPr="002C5876" w:rsidRDefault="00E24DB7" w:rsidP="00E24DB7">
      <w:pPr>
        <w:pStyle w:val="SingleTxtG"/>
        <w:ind w:left="2835"/>
      </w:pPr>
      <w:r w:rsidRPr="002C5876">
        <w:rPr>
          <w:spacing w:val="-3"/>
        </w:rPr>
        <w:t>Les rapports utilisés au cours des accélérations pour des vitesses ≥ 1 km/h</w:t>
      </w:r>
      <w:r w:rsidRPr="002C5876">
        <w:t xml:space="preserve"> doivent l’être pendant une durée minimale de 2 s (par exemple, la séquence de rapports 1, 2, 3, 3, 3, 3, 3 doit être remplacée par la séquence 1, 1, 2, 2, 3, 3, 3). Au cours des phases d’accélération aucun rapport ne doit être sauté.</w:t>
      </w:r>
    </w:p>
    <w:p w:rsidR="00E24DB7" w:rsidRPr="002C5876" w:rsidRDefault="00E24DB7" w:rsidP="00E24DB7">
      <w:pPr>
        <w:pStyle w:val="SingleTxtG"/>
        <w:ind w:left="2835"/>
      </w:pPr>
      <w:r w:rsidRPr="002C5876">
        <w:tab/>
        <w:t>Cependant, un changement de deux rapports vers le haut est autorisé au cours de la transition d’une phase d’accélération vers une phase de vitesse constante si la durée de la phase de vitesse constante dépasse</w:t>
      </w:r>
      <w:r w:rsidR="00852575">
        <w:t> </w:t>
      </w:r>
      <w:r w:rsidRPr="002C5876">
        <w:t>5 s.</w:t>
      </w:r>
    </w:p>
    <w:p w:rsidR="00E24DB7" w:rsidRPr="002C5876" w:rsidRDefault="00E24DB7" w:rsidP="00E24DB7">
      <w:pPr>
        <w:pStyle w:val="SingleTxtG"/>
        <w:ind w:left="2835" w:hanging="567"/>
      </w:pPr>
      <w:r w:rsidRPr="002C5876">
        <w:t>b)</w:t>
      </w:r>
      <w:r w:rsidRPr="002C5876">
        <w:tab/>
        <w:t>Lorsqu’un changement de rapport vers le bas est nécessaire au cours d’une phase d’accélération, le rapport requis au cours de ce changement est indiqué (i</w:t>
      </w:r>
      <w:r w:rsidRPr="002C5876">
        <w:rPr>
          <w:vertAlign w:val="subscript"/>
        </w:rPr>
        <w:t>DS</w:t>
      </w:r>
      <w:r w:rsidRPr="002C5876">
        <w:t>). La seconde précédant le moment où i</w:t>
      </w:r>
      <w:r w:rsidRPr="002C5876">
        <w:rPr>
          <w:vertAlign w:val="subscript"/>
        </w:rPr>
        <w:t xml:space="preserve">DS </w:t>
      </w:r>
      <w:r w:rsidRPr="002C5876">
        <w:t>doit être identifié marque le point de départ d’une procédure de correction. Il conviendra alors de procéder au contrôle ci-après.</w:t>
      </w:r>
    </w:p>
    <w:p w:rsidR="00E24DB7" w:rsidRPr="002C5876" w:rsidRDefault="00E24DB7" w:rsidP="00E24DB7">
      <w:pPr>
        <w:pStyle w:val="SingleTxtG"/>
        <w:ind w:left="2835"/>
        <w:rPr>
          <w:vertAlign w:val="subscript"/>
        </w:rPr>
      </w:pPr>
      <w:r w:rsidRPr="002C5876">
        <w:t>En remontant en arrière à partir de la fin de la phase d’accélération, il convient de déterminer la dernière occurrence d’une fenêtre de 10 s contenant i</w:t>
      </w:r>
      <w:r w:rsidRPr="002C5876">
        <w:rPr>
          <w:vertAlign w:val="subscript"/>
        </w:rPr>
        <w:t>DS</w:t>
      </w:r>
      <w:r w:rsidRPr="002C5876">
        <w:t xml:space="preserve"> pendant soit 2 s consécutives ou plus, soit pendant deux périodes distinctes de 1 s ou plus. La dernière utilisation d’i</w:t>
      </w:r>
      <w:r w:rsidRPr="002C5876">
        <w:rPr>
          <w:vertAlign w:val="subscript"/>
        </w:rPr>
        <w:t xml:space="preserve">DS </w:t>
      </w:r>
      <w:r w:rsidRPr="002C5876">
        <w:t xml:space="preserve"> dans cette fenêtre définit le point de fin de la procédure de correction. Entre le début et la fin de la période de correction, toutes les prescriptions relatives à des rapports supérieurs à i</w:t>
      </w:r>
      <w:r w:rsidRPr="002C5876">
        <w:rPr>
          <w:vertAlign w:val="subscript"/>
        </w:rPr>
        <w:t>DS</w:t>
      </w:r>
      <w:r w:rsidRPr="002C5876">
        <w:t xml:space="preserve"> doivent être corrigées pour répondre une prescription relative à i</w:t>
      </w:r>
      <w:r w:rsidRPr="002C5876">
        <w:rPr>
          <w:vertAlign w:val="subscript"/>
        </w:rPr>
        <w:t>DS.</w:t>
      </w:r>
    </w:p>
    <w:p w:rsidR="00E24DB7" w:rsidRPr="002C5876" w:rsidRDefault="00E24DB7" w:rsidP="00E24DB7">
      <w:pPr>
        <w:pStyle w:val="SingleTxtG"/>
        <w:ind w:left="2835"/>
      </w:pPr>
      <w:r w:rsidRPr="002C5876">
        <w:rPr>
          <w:vertAlign w:val="subscript"/>
        </w:rPr>
        <w:tab/>
      </w:r>
      <w:r w:rsidRPr="002C5876">
        <w:t>De la fin de la période de correction à la fin de la phase d’accélération, tous les changements de rapport vers le bas d’une durée d’une seule seconde doivent être éliminés, s’il s’agit d’un rétrogradage d’un échelon. S’il est de deux échelons, toutes les prescriptions concernant les rapports supérieurs ou égaux à i</w:t>
      </w:r>
      <w:r w:rsidRPr="002C5876">
        <w:rPr>
          <w:vertAlign w:val="subscript"/>
        </w:rPr>
        <w:t xml:space="preserve">DS </w:t>
      </w:r>
      <w:r w:rsidRPr="002C5876">
        <w:t>jusqu’à la dernière occurrence d’i</w:t>
      </w:r>
      <w:r w:rsidRPr="002C5876">
        <w:rPr>
          <w:vertAlign w:val="subscript"/>
        </w:rPr>
        <w:t xml:space="preserve">DS </w:t>
      </w:r>
      <w:r w:rsidRPr="002C5876">
        <w:t>doivent être remplacées par (i</w:t>
      </w:r>
      <w:r w:rsidRPr="002C5876">
        <w:rPr>
          <w:vertAlign w:val="subscript"/>
        </w:rPr>
        <w:t xml:space="preserve">DS </w:t>
      </w:r>
      <w:r w:rsidRPr="002C5876">
        <w:t xml:space="preserve">+ 1). </w:t>
      </w:r>
    </w:p>
    <w:p w:rsidR="00E24DB7" w:rsidRPr="002C5876" w:rsidRDefault="00E24DB7" w:rsidP="00E24DB7">
      <w:pPr>
        <w:pStyle w:val="SingleTxtG"/>
        <w:ind w:left="2835"/>
      </w:pPr>
      <w:r w:rsidRPr="002C5876">
        <w:tab/>
        <w:t>Cette correction finale doit aussi être appliquée du point de départ à la fin de la phase d’accélération si aucune fenêtre de 10 s contenant i</w:t>
      </w:r>
      <w:r w:rsidRPr="002C5876">
        <w:rPr>
          <w:vertAlign w:val="subscript"/>
        </w:rPr>
        <w:t xml:space="preserve">DS </w:t>
      </w:r>
      <w:r w:rsidRPr="002C5876">
        <w:t>pendant 2 s consécutives ou plus ou deux périodes de 1 s ou plus n’a été identifiée.</w:t>
      </w:r>
    </w:p>
    <w:p w:rsidR="00E24DB7" w:rsidRPr="002C5876" w:rsidRDefault="00E24DB7" w:rsidP="00E24DB7">
      <w:pPr>
        <w:pStyle w:val="SingleTxtG"/>
        <w:keepNext/>
        <w:ind w:left="2835"/>
      </w:pPr>
      <w:r w:rsidRPr="002C5876">
        <w:t>Exemples :</w:t>
      </w:r>
    </w:p>
    <w:p w:rsidR="00E24DB7" w:rsidRPr="002C5876" w:rsidRDefault="00E24DB7" w:rsidP="00E24DB7">
      <w:pPr>
        <w:pStyle w:val="SingleTxtG"/>
        <w:keepNext/>
        <w:ind w:left="2835"/>
      </w:pPr>
      <w:r w:rsidRPr="002C5876">
        <w:t>i)</w:t>
      </w:r>
      <w:r w:rsidRPr="002C5876">
        <w:tab/>
        <w:t>Si le rapport à utiliser calculé au départ est le suivant :</w:t>
      </w:r>
    </w:p>
    <w:p w:rsidR="00E24DB7" w:rsidRPr="002C5876" w:rsidRDefault="00E24DB7" w:rsidP="00E24DB7">
      <w:pPr>
        <w:pStyle w:val="SingleTxtG"/>
        <w:ind w:left="2835" w:firstLine="567"/>
      </w:pPr>
      <w:r w:rsidRPr="002C5876">
        <w:tab/>
        <w:t xml:space="preserve">2, 2, 3, [3, 4, 4, 4, 4, 3, 4, 4, 4, 4], 4, 4, </w:t>
      </w:r>
      <w:r w:rsidRPr="002C5876">
        <w:rPr>
          <w:u w:val="single"/>
        </w:rPr>
        <w:t>3</w:t>
      </w:r>
      <w:r w:rsidRPr="002C5876">
        <w:t>, 4, 4, 4,</w:t>
      </w:r>
    </w:p>
    <w:p w:rsidR="00E24DB7" w:rsidRPr="002C5876" w:rsidRDefault="00E24DB7" w:rsidP="00E24DB7">
      <w:pPr>
        <w:pStyle w:val="SingleTxtG"/>
        <w:ind w:left="2835" w:firstLine="567"/>
      </w:pPr>
      <w:r w:rsidRPr="002C5876">
        <w:tab/>
        <w:t>il doit être corrigé comme suit :</w:t>
      </w:r>
    </w:p>
    <w:p w:rsidR="00E24DB7" w:rsidRPr="002C5876" w:rsidRDefault="00E24DB7" w:rsidP="00E24DB7">
      <w:pPr>
        <w:pStyle w:val="SingleTxtG"/>
        <w:ind w:left="2835" w:firstLine="567"/>
      </w:pPr>
      <w:r w:rsidRPr="002C5876">
        <w:tab/>
        <w:t xml:space="preserve">2, 2, 3, 3, 3, 3, 3, 3, </w:t>
      </w:r>
      <w:r w:rsidRPr="002C5876">
        <w:rPr>
          <w:u w:val="single"/>
        </w:rPr>
        <w:t>3</w:t>
      </w:r>
      <w:r w:rsidRPr="002C5876">
        <w:t xml:space="preserve">, 3, 3, 3, 3, 3, 3, </w:t>
      </w:r>
      <w:r w:rsidRPr="002C5876">
        <w:rPr>
          <w:u w:val="single"/>
        </w:rPr>
        <w:t>3</w:t>
      </w:r>
      <w:r w:rsidRPr="002C5876">
        <w:t>, 4, 4, 4.</w:t>
      </w:r>
    </w:p>
    <w:p w:rsidR="00E24DB7" w:rsidRPr="002C5876" w:rsidRDefault="00E24DB7" w:rsidP="00E24DB7">
      <w:pPr>
        <w:pStyle w:val="SingleTxtG"/>
        <w:keepNext/>
        <w:ind w:left="2835"/>
      </w:pPr>
      <w:r w:rsidRPr="002C5876">
        <w:t>ii)</w:t>
      </w:r>
      <w:r w:rsidRPr="002C5876">
        <w:tab/>
        <w:t>Si le rapport à utiliser calculé au départ est le suivant :</w:t>
      </w:r>
    </w:p>
    <w:p w:rsidR="00E24DB7" w:rsidRPr="002C5876" w:rsidRDefault="00E24DB7" w:rsidP="00E24DB7">
      <w:pPr>
        <w:pStyle w:val="SingleTxtG"/>
        <w:ind w:left="2835" w:firstLine="567"/>
      </w:pPr>
      <w:r w:rsidRPr="002C5876">
        <w:t xml:space="preserve">2, 2, 3, [3, 4, 4, </w:t>
      </w:r>
      <w:r w:rsidRPr="002C5876">
        <w:rPr>
          <w:u w:val="single"/>
        </w:rPr>
        <w:t>3</w:t>
      </w:r>
      <w:r w:rsidRPr="002C5876">
        <w:t>, 4, 4, 4, 4, 4, 4], 4, 4, 4, 4, 3, 4,</w:t>
      </w:r>
    </w:p>
    <w:p w:rsidR="00E24DB7" w:rsidRPr="002C5876" w:rsidRDefault="00E24DB7" w:rsidP="00E24DB7">
      <w:pPr>
        <w:pStyle w:val="SingleTxtG"/>
        <w:ind w:left="2835" w:firstLine="567"/>
      </w:pPr>
      <w:r w:rsidRPr="002C5876">
        <w:tab/>
        <w:t>il doit être corrigé comme suit :</w:t>
      </w:r>
    </w:p>
    <w:p w:rsidR="00E24DB7" w:rsidRPr="002C5876" w:rsidRDefault="00E24DB7" w:rsidP="00E24DB7">
      <w:pPr>
        <w:pStyle w:val="SingleTxtG"/>
        <w:ind w:left="2835" w:firstLine="567"/>
      </w:pPr>
      <w:r w:rsidRPr="002C5876">
        <w:tab/>
        <w:t xml:space="preserve">2, 2, 3, 3, 3, 3, </w:t>
      </w:r>
      <w:r w:rsidRPr="002C5876">
        <w:rPr>
          <w:u w:val="single"/>
        </w:rPr>
        <w:t>3</w:t>
      </w:r>
      <w:r w:rsidRPr="002C5876">
        <w:t xml:space="preserve">, 4, 4, 4, 4, 4, 4, 4, 4, 4, 4, </w:t>
      </w:r>
      <w:r w:rsidRPr="002C5876">
        <w:rPr>
          <w:u w:val="single"/>
        </w:rPr>
        <w:t>4</w:t>
      </w:r>
      <w:r w:rsidRPr="002C5876">
        <w:t>, 4.</w:t>
      </w:r>
    </w:p>
    <w:p w:rsidR="00E24DB7" w:rsidRPr="002C5876" w:rsidRDefault="00E24DB7" w:rsidP="00E24DB7">
      <w:pPr>
        <w:pStyle w:val="SingleTxtG"/>
        <w:keepNext/>
        <w:ind w:left="2835"/>
      </w:pPr>
      <w:r w:rsidRPr="002C5876">
        <w:lastRenderedPageBreak/>
        <w:t>iii)</w:t>
      </w:r>
      <w:r w:rsidRPr="002C5876">
        <w:tab/>
        <w:t>Si le rapport à utiliser calculé au départ est le suivant :</w:t>
      </w:r>
    </w:p>
    <w:p w:rsidR="00E24DB7" w:rsidRPr="002C5876" w:rsidRDefault="00E24DB7" w:rsidP="00E24DB7">
      <w:pPr>
        <w:pStyle w:val="SingleTxtG"/>
        <w:ind w:left="2835" w:firstLine="567"/>
      </w:pPr>
      <w:r w:rsidRPr="002C5876">
        <w:tab/>
        <w:t xml:space="preserve">2, 2, 3, [3, 4, 4, 4, 4, 4, 4, 4, 4, 4], 4, 4, 4, </w:t>
      </w:r>
      <w:r w:rsidRPr="002C5876">
        <w:rPr>
          <w:u w:val="single"/>
        </w:rPr>
        <w:t>3</w:t>
      </w:r>
      <w:r w:rsidRPr="002C5876">
        <w:t xml:space="preserve">, </w:t>
      </w:r>
      <w:r w:rsidRPr="002C5876">
        <w:rPr>
          <w:u w:val="single"/>
        </w:rPr>
        <w:t>3</w:t>
      </w:r>
      <w:r w:rsidRPr="002C5876">
        <w:t xml:space="preserve">, 4, </w:t>
      </w:r>
    </w:p>
    <w:p w:rsidR="00E24DB7" w:rsidRPr="002C5876" w:rsidRDefault="00E24DB7" w:rsidP="00E24DB7">
      <w:pPr>
        <w:pStyle w:val="SingleTxtG"/>
        <w:keepNext/>
        <w:ind w:left="2835" w:firstLine="567"/>
      </w:pPr>
      <w:r w:rsidRPr="002C5876">
        <w:tab/>
        <w:t>il doit être corrigé comme suit :</w:t>
      </w:r>
    </w:p>
    <w:p w:rsidR="00E24DB7" w:rsidRPr="002C5876" w:rsidRDefault="00E24DB7" w:rsidP="00E24DB7">
      <w:pPr>
        <w:pStyle w:val="SingleTxtG"/>
        <w:ind w:left="2835" w:firstLine="567"/>
      </w:pPr>
      <w:r w:rsidRPr="002C5876">
        <w:tab/>
        <w:t xml:space="preserve">2, 2, 3, 3, 3, 3, 3, 3, 3, 3, 3, 3, 3, 3, 3, 3, </w:t>
      </w:r>
      <w:r w:rsidRPr="002C5876">
        <w:rPr>
          <w:u w:val="single"/>
        </w:rPr>
        <w:t>3</w:t>
      </w:r>
      <w:r w:rsidRPr="002C5876">
        <w:t xml:space="preserve">, </w:t>
      </w:r>
      <w:r w:rsidRPr="002C5876">
        <w:rPr>
          <w:u w:val="single"/>
        </w:rPr>
        <w:t>3</w:t>
      </w:r>
      <w:r w:rsidRPr="002C5876">
        <w:t>, 4.</w:t>
      </w:r>
    </w:p>
    <w:p w:rsidR="00E24DB7" w:rsidRPr="002C5876" w:rsidRDefault="00E24DB7" w:rsidP="00E24DB7">
      <w:pPr>
        <w:pStyle w:val="SingleTxtG"/>
        <w:ind w:left="2835"/>
      </w:pPr>
      <w:r w:rsidRPr="002C5876">
        <w:t>Les premières fenêtres de 10 s sont indiquées entre crochets dans les exemples ci-dessus.</w:t>
      </w:r>
    </w:p>
    <w:p w:rsidR="00E24DB7" w:rsidRPr="002C5876" w:rsidRDefault="00E24DB7" w:rsidP="00E24DB7">
      <w:pPr>
        <w:pStyle w:val="SingleTxtG"/>
        <w:ind w:left="2835"/>
      </w:pPr>
      <w:r w:rsidRPr="002C5876">
        <w:t xml:space="preserve">Les rapports soulignés (par exemple 3) désignent les cas qui pourraient induire une correction du rapport qui le précède. </w:t>
      </w:r>
    </w:p>
    <w:p w:rsidR="00E24DB7" w:rsidRPr="002C5876" w:rsidRDefault="00E24DB7" w:rsidP="00E24DB7">
      <w:pPr>
        <w:pStyle w:val="SingleTxtG"/>
        <w:ind w:left="2835"/>
      </w:pPr>
      <w:r w:rsidRPr="002C5876">
        <w:t xml:space="preserve">Cette correction ne doit pas être effectuée pour le rapport 1. </w:t>
      </w:r>
    </w:p>
    <w:p w:rsidR="00E24DB7" w:rsidRPr="002C5876" w:rsidRDefault="00E24DB7" w:rsidP="00E24DB7">
      <w:pPr>
        <w:pStyle w:val="SingleTxtG"/>
        <w:ind w:left="2835" w:hanging="567"/>
      </w:pPr>
      <w:r w:rsidRPr="002C5876">
        <w:t>c)</w:t>
      </w:r>
      <w:r w:rsidRPr="002C5876">
        <w:tab/>
        <w:t>Si le rapport i est utilisé pour une période de 1 à 5 s, que le rapport utilisé avant cette période est inférieur d’un échelon et que le rapport utilisé après cette période est inférieur d’un ou deux échelons par rapport à cette période, ou que le rapport antérieur à cette période est inférieur de deux échelons et que le rapport postérieur à cette période est inférieur d’un échelon par rapport à la période, le rapport de la période doit être remplacé par la valeur maximum des rapports précédant et suivant la période.</w:t>
      </w:r>
    </w:p>
    <w:p w:rsidR="00E24DB7" w:rsidRPr="002C5876" w:rsidRDefault="00E24DB7" w:rsidP="00E24DB7">
      <w:pPr>
        <w:pStyle w:val="SingleTxtG"/>
        <w:keepNext/>
        <w:ind w:left="2835"/>
      </w:pPr>
      <w:r w:rsidRPr="002C5876">
        <w:t>Exemples :</w:t>
      </w:r>
    </w:p>
    <w:p w:rsidR="00E24DB7" w:rsidRPr="002C5876" w:rsidRDefault="00E24DB7" w:rsidP="00E24DB7">
      <w:pPr>
        <w:pStyle w:val="SingleTxtG"/>
        <w:keepNext/>
        <w:ind w:left="2835"/>
      </w:pPr>
      <w:r w:rsidRPr="002C5876">
        <w:t>i)</w:t>
      </w:r>
      <w:r w:rsidRPr="002C5876">
        <w:tab/>
        <w:t>La séquence i-1, i, i-1 doit être remplacée par :</w:t>
      </w:r>
    </w:p>
    <w:p w:rsidR="00E24DB7" w:rsidRPr="002C5876" w:rsidRDefault="00E24DB7" w:rsidP="00E24DB7">
      <w:pPr>
        <w:pStyle w:val="SingleTxtG"/>
        <w:ind w:left="3402"/>
      </w:pPr>
      <w:r w:rsidRPr="002C5876">
        <w:t>i-1, i-1,i-1 ;</w:t>
      </w:r>
    </w:p>
    <w:p w:rsidR="00E24DB7" w:rsidRPr="002C5876" w:rsidRDefault="00E24DB7" w:rsidP="00E24DB7">
      <w:pPr>
        <w:pStyle w:val="SingleTxtG"/>
        <w:ind w:left="3402"/>
      </w:pPr>
      <w:r w:rsidRPr="002C5876">
        <w:t>La séquence i-1,i, i-2  doit être remplacée par :</w:t>
      </w:r>
    </w:p>
    <w:p w:rsidR="00E24DB7" w:rsidRPr="002C5876" w:rsidRDefault="00E24DB7" w:rsidP="00E24DB7">
      <w:pPr>
        <w:pStyle w:val="SingleTxtG"/>
        <w:ind w:left="3402"/>
      </w:pPr>
      <w:r w:rsidRPr="002C5876">
        <w:t xml:space="preserve">i-1, i-1, i-2 ; </w:t>
      </w:r>
    </w:p>
    <w:p w:rsidR="00E24DB7" w:rsidRPr="002C5876" w:rsidRDefault="00E24DB7" w:rsidP="00E24DB7">
      <w:pPr>
        <w:pStyle w:val="SingleTxtG"/>
        <w:ind w:left="3402"/>
      </w:pPr>
      <w:r w:rsidRPr="002C5876">
        <w:t>La séquence i-2, i, i-1  doit être remplacée par :</w:t>
      </w:r>
    </w:p>
    <w:p w:rsidR="00E24DB7" w:rsidRPr="002C5876" w:rsidRDefault="00E24DB7" w:rsidP="00E24DB7">
      <w:pPr>
        <w:pStyle w:val="SingleTxtG"/>
        <w:ind w:left="3402"/>
      </w:pPr>
      <w:r w:rsidRPr="002C5876">
        <w:t>i-2, i-1, i-1.</w:t>
      </w:r>
    </w:p>
    <w:p w:rsidR="00E24DB7" w:rsidRPr="002C5876" w:rsidRDefault="00E24DB7" w:rsidP="00E24DB7">
      <w:pPr>
        <w:pStyle w:val="SingleTxtG"/>
        <w:ind w:left="2835"/>
      </w:pPr>
      <w:r w:rsidRPr="002C5876">
        <w:t>ii)</w:t>
      </w:r>
      <w:r w:rsidRPr="002C5876">
        <w:tab/>
        <w:t>La séquence i-1, i, i, i-1  doit être remplacée par :</w:t>
      </w:r>
    </w:p>
    <w:p w:rsidR="00E24DB7" w:rsidRPr="00D53F39" w:rsidRDefault="00E24DB7" w:rsidP="00E24DB7">
      <w:pPr>
        <w:pStyle w:val="SingleTxtG"/>
        <w:ind w:left="3402"/>
        <w:rPr>
          <w:lang w:val="en-US"/>
        </w:rPr>
      </w:pPr>
      <w:r w:rsidRPr="00D53F39">
        <w:rPr>
          <w:lang w:val="en-US"/>
        </w:rPr>
        <w:t>i-1, i-1, i-1, i-1 ;</w:t>
      </w:r>
    </w:p>
    <w:p w:rsidR="00E24DB7" w:rsidRPr="00D53F39" w:rsidRDefault="00E24DB7" w:rsidP="00E24DB7">
      <w:pPr>
        <w:pStyle w:val="SingleTxtG"/>
        <w:ind w:left="3402"/>
        <w:rPr>
          <w:lang w:val="en-US"/>
        </w:rPr>
      </w:pPr>
      <w:r w:rsidRPr="00D53F39">
        <w:rPr>
          <w:lang w:val="en-US"/>
        </w:rPr>
        <w:t>La séquence i-1, i, i, i-2 doit être remplacée par :</w:t>
      </w:r>
    </w:p>
    <w:p w:rsidR="00E24DB7" w:rsidRPr="00D53F39" w:rsidRDefault="00E24DB7" w:rsidP="00E24DB7">
      <w:pPr>
        <w:pStyle w:val="SingleTxtG"/>
        <w:ind w:left="3402"/>
        <w:rPr>
          <w:lang w:val="en-US"/>
        </w:rPr>
      </w:pPr>
      <w:r w:rsidRPr="00D53F39">
        <w:rPr>
          <w:lang w:val="en-US"/>
        </w:rPr>
        <w:t>i-1, i-1, i-1, i-2 ;</w:t>
      </w:r>
    </w:p>
    <w:p w:rsidR="00E24DB7" w:rsidRPr="002C5876" w:rsidRDefault="00E24DB7" w:rsidP="00E24DB7">
      <w:pPr>
        <w:pStyle w:val="SingleTxtG"/>
        <w:ind w:left="3402"/>
      </w:pPr>
      <w:r w:rsidRPr="002C5876">
        <w:t>La séquence i-2, i, i, i-1 doit être remplacée par :</w:t>
      </w:r>
    </w:p>
    <w:p w:rsidR="00E24DB7" w:rsidRPr="00D53F39" w:rsidRDefault="00E24DB7" w:rsidP="00E24DB7">
      <w:pPr>
        <w:pStyle w:val="SingleTxtG"/>
        <w:ind w:left="3402"/>
        <w:rPr>
          <w:lang w:val="en-US"/>
        </w:rPr>
      </w:pPr>
      <w:r w:rsidRPr="00D53F39">
        <w:rPr>
          <w:lang w:val="en-US"/>
        </w:rPr>
        <w:t>i-2, i-1, i-1, i-1.</w:t>
      </w:r>
    </w:p>
    <w:p w:rsidR="00E24DB7" w:rsidRPr="00D53F39" w:rsidRDefault="00E24DB7" w:rsidP="00E24DB7">
      <w:pPr>
        <w:pStyle w:val="SingleTxtG"/>
        <w:ind w:left="2835"/>
        <w:rPr>
          <w:lang w:val="en-US"/>
        </w:rPr>
      </w:pPr>
      <w:r w:rsidRPr="00D53F39">
        <w:rPr>
          <w:lang w:val="en-US"/>
        </w:rPr>
        <w:t>iii)</w:t>
      </w:r>
      <w:r w:rsidRPr="00D53F39">
        <w:rPr>
          <w:lang w:val="en-US"/>
        </w:rPr>
        <w:tab/>
        <w:t>La séquence i-1, i, i,i, i-1 doit être remplacée par :</w:t>
      </w:r>
    </w:p>
    <w:p w:rsidR="00E24DB7" w:rsidRPr="00D53F39" w:rsidRDefault="00E24DB7" w:rsidP="00E24DB7">
      <w:pPr>
        <w:pStyle w:val="SingleTxtG"/>
        <w:ind w:left="3402"/>
        <w:rPr>
          <w:lang w:val="en-US"/>
        </w:rPr>
      </w:pPr>
      <w:r w:rsidRPr="00D53F39">
        <w:rPr>
          <w:lang w:val="en-US"/>
        </w:rPr>
        <w:t>i-1, i-1,i-1, i-1, i-1 ;</w:t>
      </w:r>
    </w:p>
    <w:p w:rsidR="00E24DB7" w:rsidRPr="002C5876" w:rsidRDefault="00E24DB7" w:rsidP="00E24DB7">
      <w:pPr>
        <w:pStyle w:val="SingleTxtG"/>
        <w:ind w:left="3402"/>
      </w:pPr>
      <w:r w:rsidRPr="002C5876">
        <w:t>La séquence i-1, i, i, i, i-2 doit être remplacée par :</w:t>
      </w:r>
    </w:p>
    <w:p w:rsidR="00E24DB7" w:rsidRPr="00D53F39" w:rsidRDefault="00E24DB7" w:rsidP="00E24DB7">
      <w:pPr>
        <w:pStyle w:val="SingleTxtG"/>
        <w:ind w:left="3402"/>
        <w:rPr>
          <w:lang w:val="en-US"/>
        </w:rPr>
      </w:pPr>
      <w:r w:rsidRPr="00D53F39">
        <w:rPr>
          <w:lang w:val="en-US"/>
        </w:rPr>
        <w:t>i-1, i-1, i-1, i-1, i-2 ;</w:t>
      </w:r>
    </w:p>
    <w:p w:rsidR="00E24DB7" w:rsidRPr="00D53F39" w:rsidRDefault="00E24DB7" w:rsidP="00E24DB7">
      <w:pPr>
        <w:pStyle w:val="SingleTxtG"/>
        <w:ind w:left="3402"/>
        <w:rPr>
          <w:lang w:val="en-US"/>
        </w:rPr>
      </w:pPr>
      <w:r w:rsidRPr="00D53F39">
        <w:rPr>
          <w:lang w:val="en-US"/>
        </w:rPr>
        <w:t>La séquence i-2, i, i, i, i-1 doit être remplacée par :</w:t>
      </w:r>
    </w:p>
    <w:p w:rsidR="00E24DB7" w:rsidRPr="00D53F39" w:rsidRDefault="00E24DB7" w:rsidP="00E24DB7">
      <w:pPr>
        <w:pStyle w:val="SingleTxtG"/>
        <w:ind w:left="3402"/>
        <w:rPr>
          <w:lang w:val="en-US"/>
        </w:rPr>
      </w:pPr>
      <w:r w:rsidRPr="00D53F39">
        <w:rPr>
          <w:lang w:val="en-US"/>
        </w:rPr>
        <w:t>i-2, i-1, i-1, i-1, i-1.</w:t>
      </w:r>
    </w:p>
    <w:p w:rsidR="00E24DB7" w:rsidRPr="002C5876" w:rsidRDefault="00E24DB7" w:rsidP="00E24DB7">
      <w:pPr>
        <w:pStyle w:val="SingleTxtG"/>
        <w:ind w:left="2835"/>
      </w:pPr>
      <w:r w:rsidRPr="002C5876">
        <w:t>iv)</w:t>
      </w:r>
      <w:r w:rsidRPr="002C5876">
        <w:tab/>
        <w:t xml:space="preserve"> La séquence i-1, i, i, i, i, i-1 doit être remplacée par :</w:t>
      </w:r>
    </w:p>
    <w:p w:rsidR="00E24DB7" w:rsidRPr="00D53F39" w:rsidRDefault="00E24DB7" w:rsidP="00E24DB7">
      <w:pPr>
        <w:pStyle w:val="SingleTxtG"/>
        <w:ind w:left="3402"/>
        <w:rPr>
          <w:lang w:val="en-US"/>
        </w:rPr>
      </w:pPr>
      <w:r w:rsidRPr="00D53F39">
        <w:rPr>
          <w:lang w:val="en-US"/>
        </w:rPr>
        <w:t>i-1, i-1, i-1, i-1, i-1, i-1 ;</w:t>
      </w:r>
    </w:p>
    <w:p w:rsidR="00E24DB7" w:rsidRPr="00D53F39" w:rsidRDefault="00E24DB7" w:rsidP="00E24DB7">
      <w:pPr>
        <w:pStyle w:val="SingleTxtG"/>
        <w:ind w:left="3402"/>
        <w:rPr>
          <w:lang w:val="en-US"/>
        </w:rPr>
      </w:pPr>
      <w:r w:rsidRPr="00D53F39">
        <w:rPr>
          <w:lang w:val="en-US"/>
        </w:rPr>
        <w:t>La séquence i-1, i, i, i, i, i-2 doit être remplacée par :</w:t>
      </w:r>
    </w:p>
    <w:p w:rsidR="00E24DB7" w:rsidRPr="00D53F39" w:rsidRDefault="00E24DB7" w:rsidP="00E24DB7">
      <w:pPr>
        <w:pStyle w:val="SingleTxtG"/>
        <w:ind w:left="3402"/>
        <w:rPr>
          <w:lang w:val="en-US"/>
        </w:rPr>
      </w:pPr>
      <w:r w:rsidRPr="00D53F39">
        <w:rPr>
          <w:lang w:val="en-US"/>
        </w:rPr>
        <w:t>i-1, i-1, i-1, i-1, i-1, i-2 ;</w:t>
      </w:r>
    </w:p>
    <w:p w:rsidR="00E24DB7" w:rsidRPr="00D53F39" w:rsidRDefault="00E24DB7" w:rsidP="00E24DB7">
      <w:pPr>
        <w:pStyle w:val="SingleTxtG"/>
        <w:ind w:left="3402"/>
        <w:rPr>
          <w:lang w:val="en-US"/>
        </w:rPr>
      </w:pPr>
      <w:r w:rsidRPr="00D53F39">
        <w:rPr>
          <w:lang w:val="en-US"/>
        </w:rPr>
        <w:t>La séquence i-2, i, i, i, i, i-1 doit être  remplacée par :</w:t>
      </w:r>
    </w:p>
    <w:p w:rsidR="00E24DB7" w:rsidRPr="00D53F39" w:rsidRDefault="00E24DB7" w:rsidP="00E24DB7">
      <w:pPr>
        <w:pStyle w:val="SingleTxtG"/>
        <w:ind w:left="3402"/>
        <w:rPr>
          <w:lang w:val="en-US"/>
        </w:rPr>
      </w:pPr>
      <w:r w:rsidRPr="00D53F39">
        <w:rPr>
          <w:lang w:val="en-US"/>
        </w:rPr>
        <w:t>i-2, i-1, i-1, i-1, i-1, i-1, i-1.</w:t>
      </w:r>
    </w:p>
    <w:p w:rsidR="00E24DB7" w:rsidRPr="00D53F39" w:rsidRDefault="00E24DB7" w:rsidP="00E24DB7">
      <w:pPr>
        <w:pStyle w:val="SingleTxtG"/>
        <w:keepNext/>
        <w:ind w:left="2835"/>
        <w:rPr>
          <w:lang w:val="en-US"/>
        </w:rPr>
      </w:pPr>
      <w:r w:rsidRPr="00D53F39">
        <w:rPr>
          <w:lang w:val="en-US"/>
        </w:rPr>
        <w:lastRenderedPageBreak/>
        <w:t xml:space="preserve">v) </w:t>
      </w:r>
      <w:r w:rsidRPr="00D53F39">
        <w:rPr>
          <w:lang w:val="en-US"/>
        </w:rPr>
        <w:tab/>
        <w:t>La séquence i-1, i, i, i, i, i, i-1 doit être remplacée par :</w:t>
      </w:r>
    </w:p>
    <w:p w:rsidR="00E24DB7" w:rsidRPr="00D53F39" w:rsidRDefault="00E24DB7" w:rsidP="00E24DB7">
      <w:pPr>
        <w:pStyle w:val="SingleTxtG"/>
        <w:ind w:left="3402"/>
        <w:rPr>
          <w:lang w:val="en-US"/>
        </w:rPr>
      </w:pPr>
      <w:r w:rsidRPr="00D53F39">
        <w:rPr>
          <w:lang w:val="en-US"/>
        </w:rPr>
        <w:t>i-1, i-1, i-1, i-1, i-1, i-1, i-1.</w:t>
      </w:r>
    </w:p>
    <w:p w:rsidR="00E24DB7" w:rsidRPr="00D53F39" w:rsidRDefault="00E24DB7" w:rsidP="00E24DB7">
      <w:pPr>
        <w:pStyle w:val="SingleTxtG"/>
        <w:ind w:left="3402"/>
        <w:rPr>
          <w:lang w:val="en-US"/>
        </w:rPr>
      </w:pPr>
      <w:r w:rsidRPr="00D53F39">
        <w:rPr>
          <w:lang w:val="en-US"/>
        </w:rPr>
        <w:t>La séquence i-1, i, i, i, i, i, i-2 doit être  remplacée par :</w:t>
      </w:r>
    </w:p>
    <w:p w:rsidR="00E24DB7" w:rsidRPr="00D53F39" w:rsidRDefault="00E24DB7" w:rsidP="00E24DB7">
      <w:pPr>
        <w:pStyle w:val="SingleTxtG"/>
        <w:ind w:left="3402"/>
        <w:rPr>
          <w:lang w:val="en-US"/>
        </w:rPr>
      </w:pPr>
      <w:r w:rsidRPr="00D53F39">
        <w:rPr>
          <w:lang w:val="en-US"/>
        </w:rPr>
        <w:t>i-1, i-1, i-1, i-1, i-1, i-1, i-2 ;</w:t>
      </w:r>
    </w:p>
    <w:p w:rsidR="00E24DB7" w:rsidRPr="00D53F39" w:rsidRDefault="00E24DB7" w:rsidP="00E24DB7">
      <w:pPr>
        <w:pStyle w:val="SingleTxtG"/>
        <w:ind w:left="3402"/>
        <w:rPr>
          <w:lang w:val="en-US"/>
        </w:rPr>
      </w:pPr>
      <w:r w:rsidRPr="00D53F39">
        <w:rPr>
          <w:lang w:val="en-US"/>
        </w:rPr>
        <w:t>La séquence i-2, i, i, i, i, i, i-1 doit être remplacée par :</w:t>
      </w:r>
    </w:p>
    <w:p w:rsidR="00E24DB7" w:rsidRPr="002C5876" w:rsidRDefault="00E24DB7" w:rsidP="00E24DB7">
      <w:pPr>
        <w:pStyle w:val="SingleTxtG"/>
        <w:ind w:left="3402"/>
      </w:pPr>
      <w:r w:rsidRPr="002C5876">
        <w:t>i-2, i-1, i-1, i-1, i-1, i-1, i-1.</w:t>
      </w:r>
    </w:p>
    <w:p w:rsidR="00E24DB7" w:rsidRPr="002C5876" w:rsidRDefault="00E24DB7" w:rsidP="00E24DB7">
      <w:pPr>
        <w:pStyle w:val="SingleTxtG"/>
        <w:ind w:left="3402"/>
      </w:pPr>
      <w:r w:rsidRPr="002C5876">
        <w:t>Dans tous les cas i) à v), i-1 ≥ i</w:t>
      </w:r>
      <w:r w:rsidRPr="002C5876">
        <w:rPr>
          <w:vertAlign w:val="subscript"/>
        </w:rPr>
        <w:t xml:space="preserve">min </w:t>
      </w:r>
      <w:r w:rsidRPr="002C5876">
        <w:t>doit</w:t>
      </w:r>
      <w:r w:rsidRPr="002C5876">
        <w:rPr>
          <w:vertAlign w:val="subscript"/>
        </w:rPr>
        <w:t xml:space="preserve"> </w:t>
      </w:r>
      <w:r w:rsidRPr="002C5876">
        <w:t>être respecté.</w:t>
      </w:r>
    </w:p>
    <w:p w:rsidR="00E24DB7" w:rsidRPr="002C5876" w:rsidRDefault="00E24DB7" w:rsidP="00E24DB7">
      <w:pPr>
        <w:pStyle w:val="SingleTxtG"/>
        <w:ind w:left="2835" w:hanging="567"/>
      </w:pPr>
      <w:r w:rsidRPr="002C5876">
        <w:t>d)</w:t>
      </w:r>
      <w:r w:rsidRPr="002C5876">
        <w:tab/>
        <w:t>Il ne doit y avoir aucun changement de rapport vers le haut lors de la transition entre une phase d’accélération ou de vitesse constante et une phase de décélération si le rapport utilisé pendant la phase consécutive à la phase de décélération est inférieur au rapport passé vers le haut.</w:t>
      </w:r>
    </w:p>
    <w:p w:rsidR="00E24DB7" w:rsidRPr="002C5876" w:rsidRDefault="00E24DB7" w:rsidP="00E24DB7">
      <w:pPr>
        <w:pStyle w:val="SingleTxtG"/>
        <w:ind w:left="2835"/>
      </w:pPr>
      <w:r w:rsidRPr="002C5876">
        <w:tab/>
        <w:t>Exemple :</w:t>
      </w:r>
    </w:p>
    <w:p w:rsidR="00E24DB7" w:rsidRPr="002C5876" w:rsidRDefault="00E24DB7" w:rsidP="00E24DB7">
      <w:pPr>
        <w:pStyle w:val="SingleTxtG"/>
        <w:ind w:left="2835"/>
      </w:pPr>
      <w:r w:rsidRPr="002C5876">
        <w:t>Si v</w:t>
      </w:r>
      <w:r w:rsidRPr="002C5876">
        <w:rPr>
          <w:vertAlign w:val="subscript"/>
        </w:rPr>
        <w:t>i</w:t>
      </w:r>
      <w:r w:rsidRPr="002C5876">
        <w:t xml:space="preserve"> ≤ v</w:t>
      </w:r>
      <w:r w:rsidRPr="002C5876">
        <w:rPr>
          <w:vertAlign w:val="subscript"/>
        </w:rPr>
        <w:t>i+1</w:t>
      </w:r>
      <w:r w:rsidRPr="002C5876">
        <w:t xml:space="preserve"> et v</w:t>
      </w:r>
      <w:r w:rsidRPr="002C5876">
        <w:rPr>
          <w:vertAlign w:val="subscript"/>
        </w:rPr>
        <w:t xml:space="preserve">i+2 </w:t>
      </w:r>
      <w:r w:rsidRPr="002C5876">
        <w:t>&lt;vi+1, le rapport i étant égal à 4, le rapport i+1 étant égal à 5 et le rapport i+2 étant aussi égal à 5, les rapports (i+1) et (i+2) doivent être fixés à 4 si le rapport utilisé pour la phase qui suit la phase de décélération est le rapport 4 ou un rapport inférieur. Pour tous les points de référence de la courbe du cycle suivant, le rapport étant égal à</w:t>
      </w:r>
      <w:r w:rsidR="00BB0445" w:rsidRPr="002C5876">
        <w:t> </w:t>
      </w:r>
      <w:r w:rsidRPr="002C5876">
        <w:t>5 dans la phase de décélération, le rapport doit également être fixé à 4. Si le rapport</w:t>
      </w:r>
      <w:r w:rsidR="00BB0445" w:rsidRPr="002C5876">
        <w:t> </w:t>
      </w:r>
      <w:r w:rsidRPr="002C5876">
        <w:t>5 est utilisé à l’issue de la phase de décélération, on passera sur un rapport supérieur.</w:t>
      </w:r>
    </w:p>
    <w:p w:rsidR="00E24DB7" w:rsidRPr="002C5876" w:rsidRDefault="00E24DB7" w:rsidP="00E24DB7">
      <w:pPr>
        <w:pStyle w:val="SingleTxtG"/>
        <w:ind w:left="2835"/>
      </w:pPr>
      <w:r w:rsidRPr="002C5876">
        <w:tab/>
        <w:t>En cas de montée de</w:t>
      </w:r>
      <w:r w:rsidR="00BB0445" w:rsidRPr="002C5876">
        <w:t> </w:t>
      </w:r>
      <w:r w:rsidRPr="002C5876">
        <w:t>2 rapports pendant la transition et la première phase de décélération, on passera sur un rapport immédiatement supérieur.</w:t>
      </w:r>
    </w:p>
    <w:p w:rsidR="00E24DB7" w:rsidRPr="002C5876" w:rsidRDefault="00E24DB7" w:rsidP="00E24DB7">
      <w:pPr>
        <w:pStyle w:val="SingleTxtG"/>
        <w:ind w:left="2835"/>
      </w:pPr>
      <w:r w:rsidRPr="002C5876">
        <w:tab/>
        <w:t xml:space="preserve">Il ne doit y avoir aucun changement de rapport vers le haut dans une phase de décélération. </w:t>
      </w:r>
    </w:p>
    <w:p w:rsidR="00E24DB7" w:rsidRPr="002C5876" w:rsidRDefault="00E24DB7" w:rsidP="00E24DB7">
      <w:pPr>
        <w:pStyle w:val="SingleTxtG"/>
        <w:ind w:left="2835" w:hanging="567"/>
      </w:pPr>
      <w:r w:rsidRPr="002C5876">
        <w:t>e)</w:t>
      </w:r>
      <w:r w:rsidRPr="002C5876">
        <w:tab/>
        <w:t>Au cours d’une phase de décélération, les rapports pour lesquels n</w:t>
      </w:r>
      <w:r w:rsidRPr="002C5876">
        <w:rPr>
          <w:vertAlign w:val="subscript"/>
        </w:rPr>
        <w:t>gear</w:t>
      </w:r>
      <w:r w:rsidRPr="002C5876">
        <w:t xml:space="preserve"> est supérieur à</w:t>
      </w:r>
      <w:r w:rsidR="00BB0445" w:rsidRPr="002C5876">
        <w:t> </w:t>
      </w:r>
      <w:r w:rsidRPr="002C5876">
        <w:t>2 doivent être utilisés tant que le régime moteur ne tombe pas en-dessous de n</w:t>
      </w:r>
      <w:r w:rsidRPr="002C5876">
        <w:rPr>
          <w:vertAlign w:val="subscript"/>
        </w:rPr>
        <w:t>min_drive</w:t>
      </w:r>
      <w:r w:rsidRPr="002C5876">
        <w:t xml:space="preserve">. </w:t>
      </w:r>
    </w:p>
    <w:p w:rsidR="00E24DB7" w:rsidRPr="002C5876" w:rsidRDefault="00E24DB7" w:rsidP="00E24DB7">
      <w:pPr>
        <w:pStyle w:val="SingleTxtG"/>
        <w:ind w:left="2835"/>
      </w:pPr>
      <w:r w:rsidRPr="002C5876">
        <w:t>Le rapport 2 doit être utilisé au cours d’une phase de décélération sur une courte section du cycle tant que le régime moteur ne tombe pas en-dessous de (0,9 × n</w:t>
      </w:r>
      <w:r w:rsidRPr="002C5876">
        <w:rPr>
          <w:vertAlign w:val="subscript"/>
        </w:rPr>
        <w:t>idle</w:t>
      </w:r>
      <w:r w:rsidRPr="002C5876">
        <w:t>).</w:t>
      </w:r>
    </w:p>
    <w:p w:rsidR="00E24DB7" w:rsidRPr="002C5876" w:rsidRDefault="00E24DB7" w:rsidP="00E24DB7">
      <w:pPr>
        <w:pStyle w:val="SingleTxtG"/>
        <w:ind w:left="2835"/>
      </w:pPr>
      <w:r w:rsidRPr="002C5876">
        <w:t>Si le régime moteur tombe en-dessous de n</w:t>
      </w:r>
      <w:r w:rsidRPr="002C5876">
        <w:rPr>
          <w:vertAlign w:val="subscript"/>
        </w:rPr>
        <w:t>idle</w:t>
      </w:r>
      <w:r w:rsidRPr="002C5876">
        <w:t>, l’embrayage doit être débrayé.</w:t>
      </w:r>
    </w:p>
    <w:p w:rsidR="00E24DB7" w:rsidRPr="002C5876" w:rsidRDefault="00E24DB7" w:rsidP="00E24DB7">
      <w:pPr>
        <w:pStyle w:val="SingleTxtG"/>
        <w:ind w:left="2835"/>
      </w:pPr>
      <w:r w:rsidRPr="002C5876">
        <w:t>Si la phase de décélération est la dernière partie d’une courte section précédant de peu une phase d’arrêt, le deuxième rapport de la phase de décélération doit être utilisé tant que le régime moteur ne tombe pas en-dessous de (0,9 × n</w:t>
      </w:r>
      <w:r w:rsidRPr="002C5876">
        <w:rPr>
          <w:vertAlign w:val="subscript"/>
        </w:rPr>
        <w:t>idle</w:t>
      </w:r>
      <w:r w:rsidRPr="002C5876">
        <w:t>).</w:t>
      </w:r>
    </w:p>
    <w:p w:rsidR="00E24DB7" w:rsidRPr="002C5876" w:rsidRDefault="00E24DB7" w:rsidP="00E24DB7">
      <w:pPr>
        <w:pStyle w:val="SingleTxtG"/>
        <w:ind w:left="2835" w:hanging="567"/>
      </w:pPr>
      <w:r w:rsidRPr="002C5876">
        <w:t>f)</w:t>
      </w:r>
      <w:r w:rsidRPr="002C5876">
        <w:tab/>
        <w:t>Si lors d’une phase de décélération la durée d’utilisation d’un rapport entre deux rapports de 3 s ou plus n’est que de 1 s, il doit être remplacé par le rapport 0 et l’embrayage doit être débrayé.</w:t>
      </w:r>
    </w:p>
    <w:p w:rsidR="00E24DB7" w:rsidRPr="002C5876" w:rsidRDefault="00E24DB7" w:rsidP="00E24DB7">
      <w:pPr>
        <w:pStyle w:val="SingleTxtG"/>
        <w:ind w:left="2835"/>
      </w:pPr>
      <w:r w:rsidRPr="002C5876">
        <w:tab/>
        <w:t>Si lors d’une phase de décélération la durée d’utilisation d’un rapport entre deux rapports de 3 s ou plus est de 2 s, ce rapport est remplacé pour la première seconde par le rapport 0 et pour la deuxième seconde par le rapport qui suit la période de 2 s. L’embrayage doit être débrayé pendant la première seconde.</w:t>
      </w:r>
    </w:p>
    <w:p w:rsidR="00E24DB7" w:rsidRPr="002C5876" w:rsidRDefault="00E24DB7" w:rsidP="00E24DB7">
      <w:pPr>
        <w:pStyle w:val="SingleTxtG"/>
        <w:ind w:left="2835"/>
      </w:pPr>
      <w:r w:rsidRPr="002C5876">
        <w:tab/>
        <w:t>Exemple</w:t>
      </w:r>
      <w:r w:rsidR="00BB0445" w:rsidRPr="002C5876">
        <w:t> </w:t>
      </w:r>
      <w:r w:rsidRPr="002C5876">
        <w:t>: Une séquence 5, 4, 4, 2 est remplacée par 5, 0, 2, 2.</w:t>
      </w:r>
    </w:p>
    <w:p w:rsidR="00E24DB7" w:rsidRPr="002C5876" w:rsidRDefault="00E24DB7" w:rsidP="00E24DB7">
      <w:pPr>
        <w:pStyle w:val="SingleTxtG"/>
        <w:ind w:left="2835"/>
      </w:pPr>
      <w:r w:rsidRPr="002C5876">
        <w:tab/>
        <w:t>Cette prescription s’applique uniquement si le rapport qui suit après la période de 2 s est supérieur à 0.</w:t>
      </w:r>
    </w:p>
    <w:p w:rsidR="00E24DB7" w:rsidRPr="002C5876" w:rsidRDefault="00E24DB7" w:rsidP="00E24DB7">
      <w:pPr>
        <w:pStyle w:val="SingleTxtG"/>
        <w:keepNext/>
        <w:spacing w:line="220" w:lineRule="atLeast"/>
        <w:ind w:left="2835"/>
      </w:pPr>
      <w:r w:rsidRPr="002C5876">
        <w:lastRenderedPageBreak/>
        <w:tab/>
        <w:t>Si plusieurs séquences d’une durée d’1 ou 2 s se succèdent, des corrections doivent être apportées comme suit :</w:t>
      </w:r>
    </w:p>
    <w:p w:rsidR="00E24DB7" w:rsidRPr="00D53F39" w:rsidRDefault="00E24DB7" w:rsidP="00E24DB7">
      <w:pPr>
        <w:pStyle w:val="SingleTxtG"/>
        <w:spacing w:line="220" w:lineRule="atLeast"/>
        <w:ind w:left="2835"/>
        <w:rPr>
          <w:lang w:val="en-US"/>
        </w:rPr>
      </w:pPr>
      <w:r w:rsidRPr="002C5876">
        <w:tab/>
      </w:r>
      <w:r w:rsidRPr="00D53F39">
        <w:rPr>
          <w:lang w:val="en-US"/>
        </w:rPr>
        <w:t xml:space="preserve">Une séquence i, i, i, i - 1, i - 1, i - 2 ou i, i, i, i - 1, i - 2, i - 2 doit être modifiée en to i, i, i, 0, i - 2, i - 2. </w:t>
      </w:r>
    </w:p>
    <w:p w:rsidR="00E24DB7" w:rsidRPr="00D53F39" w:rsidRDefault="00E24DB7" w:rsidP="00E24DB7">
      <w:pPr>
        <w:pStyle w:val="SingleTxtG"/>
        <w:spacing w:line="220" w:lineRule="atLeast"/>
        <w:ind w:left="2835"/>
        <w:rPr>
          <w:lang w:val="en-US"/>
        </w:rPr>
      </w:pPr>
      <w:r w:rsidRPr="00D53F39">
        <w:rPr>
          <w:lang w:val="en-US"/>
        </w:rPr>
        <w:tab/>
        <w:t xml:space="preserve">Une séquence telle que i, i, i, i - 1, i - 2, i - 3 ou i, i, i, i - 2, i - 2, i - 3 doit être modifiée en i, i, i, 0, i - 3, i - 3. </w:t>
      </w:r>
    </w:p>
    <w:p w:rsidR="00E24DB7" w:rsidRPr="002C5876" w:rsidRDefault="00E24DB7" w:rsidP="00E24DB7">
      <w:pPr>
        <w:pStyle w:val="SingleTxtG"/>
        <w:spacing w:line="220" w:lineRule="atLeast"/>
        <w:ind w:left="2835"/>
      </w:pPr>
      <w:r w:rsidRPr="00D53F39">
        <w:rPr>
          <w:lang w:val="en-US"/>
        </w:rPr>
        <w:tab/>
      </w:r>
      <w:r w:rsidRPr="002C5876">
        <w:t>Ce changement s’applique aussi aux séquences pour lesquelles l’accélération est supérieure ou égale à 0 pour les deux premières secondes et inférieure à 0 pour la troisième seconde ou pour laquelle l’accélération est supérieure ou égale à 0 pour les deux dernières secondes.</w:t>
      </w:r>
    </w:p>
    <w:p w:rsidR="00E24DB7" w:rsidRPr="002C5876" w:rsidRDefault="00E24DB7" w:rsidP="00E24DB7">
      <w:pPr>
        <w:pStyle w:val="SingleTxtG"/>
        <w:spacing w:line="220" w:lineRule="atLeast"/>
        <w:ind w:left="2835"/>
      </w:pPr>
      <w:r w:rsidRPr="002C5876">
        <w:tab/>
        <w:t>Pour les types de transmission extrêmes, il est possible que des séquences d’une durée d’1 ou 2 s se succèdent pendant une période pouvant aller jusqu’à 7 s. Dans ce cas, la correction présentée ci</w:t>
      </w:r>
      <w:r w:rsidRPr="002C5876">
        <w:noBreakHyphen/>
        <w:t>dessus doit être complétée dans une deuxième phase par les prescriptions suivantes en matière de correction :</w:t>
      </w:r>
    </w:p>
    <w:p w:rsidR="00E24DB7" w:rsidRPr="002C5876" w:rsidRDefault="00E24DB7" w:rsidP="00E24DB7">
      <w:pPr>
        <w:pStyle w:val="SingleTxtG"/>
        <w:spacing w:line="220" w:lineRule="atLeast"/>
        <w:ind w:left="2835"/>
      </w:pPr>
      <w:r w:rsidRPr="002C5876">
        <w:tab/>
        <w:t>Une séquence de j, 0, i, i, i - 1, k avec j &gt; (i + 1) et k ≤ (i – 1) devient j, 0, i - 1, i - 1, i - 1, k, si le rapport (i – 1) est inférieur d’un ou deux échelons à i</w:t>
      </w:r>
      <w:r w:rsidRPr="002C5876">
        <w:rPr>
          <w:vertAlign w:val="subscript"/>
        </w:rPr>
        <w:t xml:space="preserve">max </w:t>
      </w:r>
      <w:r w:rsidRPr="002C5876">
        <w:t>à la seconde</w:t>
      </w:r>
      <w:r w:rsidR="00DA3EC1" w:rsidRPr="002C5876">
        <w:t> </w:t>
      </w:r>
      <w:r w:rsidRPr="002C5876">
        <w:t>3 de la séquence (un après le rapport 0).</w:t>
      </w:r>
    </w:p>
    <w:p w:rsidR="00E24DB7" w:rsidRPr="002C5876" w:rsidRDefault="00E24DB7" w:rsidP="00E24DB7">
      <w:pPr>
        <w:pStyle w:val="SingleTxtG"/>
        <w:spacing w:line="220" w:lineRule="atLeast"/>
        <w:ind w:left="2835"/>
        <w:rPr>
          <w:vertAlign w:val="superscript"/>
        </w:rPr>
      </w:pPr>
      <w:r w:rsidRPr="002C5876">
        <w:tab/>
        <w:t>Si le rapport (i – 1) est inférieur de plus de deux échelons à i</w:t>
      </w:r>
      <w:r w:rsidRPr="002C5876">
        <w:rPr>
          <w:vertAlign w:val="subscript"/>
        </w:rPr>
        <w:t>max</w:t>
      </w:r>
      <w:r w:rsidRPr="002C5876">
        <w:t xml:space="preserve"> à la seconde 3 de cette séquence, une séquence j, 0, i, i, i - 1, k avec j</w:t>
      </w:r>
      <w:r w:rsidR="00DA3EC1" w:rsidRPr="002C5876">
        <w:t> </w:t>
      </w:r>
      <w:r w:rsidRPr="002C5876">
        <w:t>&gt;</w:t>
      </w:r>
      <w:r w:rsidR="00DA3EC1" w:rsidRPr="002C5876">
        <w:t> </w:t>
      </w:r>
      <w:r w:rsidRPr="002C5876">
        <w:t>(i</w:t>
      </w:r>
      <w:r w:rsidR="00DA3EC1" w:rsidRPr="002C5876">
        <w:t> </w:t>
      </w:r>
      <w:r w:rsidRPr="002C5876">
        <w:t>+ 1) et k</w:t>
      </w:r>
      <w:r w:rsidR="00DA3EC1" w:rsidRPr="002C5876">
        <w:t> </w:t>
      </w:r>
      <w:r w:rsidRPr="002C5876">
        <w:t>≤</w:t>
      </w:r>
      <w:r w:rsidR="00DA3EC1" w:rsidRPr="002C5876">
        <w:t> </w:t>
      </w:r>
      <w:r w:rsidRPr="002C5876">
        <w:t>(i – 1) devient j, 0, 0, k, k, k.</w:t>
      </w:r>
    </w:p>
    <w:p w:rsidR="00E24DB7" w:rsidRPr="002C5876" w:rsidRDefault="00E24DB7" w:rsidP="00E24DB7">
      <w:pPr>
        <w:pStyle w:val="SingleTxtG"/>
        <w:spacing w:line="220" w:lineRule="atLeast"/>
        <w:ind w:left="2835"/>
      </w:pPr>
      <w:r w:rsidRPr="002C5876">
        <w:tab/>
        <w:t>Une séquence j, 0, i, i, i-2, k avec j &gt; (i + 1) et k</w:t>
      </w:r>
      <w:r w:rsidR="00DA3EC1" w:rsidRPr="002C5876">
        <w:t> </w:t>
      </w:r>
      <w:r w:rsidRPr="002C5876">
        <w:t>≤ (i – 2) devient j, 0, i - 2, i - 2 , i - 2, k, si  (i – 2) si le rapport (i – 2) est inférieur d’un ou deux échelons à i</w:t>
      </w:r>
      <w:r w:rsidRPr="002C5876">
        <w:rPr>
          <w:vertAlign w:val="subscript"/>
        </w:rPr>
        <w:t>max</w:t>
      </w:r>
      <w:r w:rsidRPr="002C5876">
        <w:t xml:space="preserve"> à la seconde 3 de cette séquence (un après le rapport 0).</w:t>
      </w:r>
    </w:p>
    <w:p w:rsidR="00E24DB7" w:rsidRPr="002C5876" w:rsidRDefault="00E24DB7" w:rsidP="00E24DB7">
      <w:pPr>
        <w:pStyle w:val="SingleTxtG"/>
        <w:spacing w:line="220" w:lineRule="atLeast"/>
        <w:ind w:left="2835"/>
      </w:pPr>
      <w:r w:rsidRPr="002C5876">
        <w:tab/>
        <w:t>Si le rapport (i – 2) est inférieur de plus de deux échelons à i</w:t>
      </w:r>
      <w:r w:rsidRPr="002C5876">
        <w:rPr>
          <w:vertAlign w:val="subscript"/>
        </w:rPr>
        <w:t xml:space="preserve">max </w:t>
      </w:r>
      <w:r w:rsidRPr="002C5876">
        <w:t>à la seconde 3 de cette séquence, une séquence j, 0, i, i, i - 2, k avec j &gt; (i + 1) et k ≤ (i – 2) devient j, 0, 0, k, k, k.</w:t>
      </w:r>
    </w:p>
    <w:p w:rsidR="00E24DB7" w:rsidRPr="002C5876" w:rsidRDefault="00E24DB7" w:rsidP="00E24DB7">
      <w:pPr>
        <w:pStyle w:val="SingleTxtG"/>
        <w:spacing w:line="220" w:lineRule="atLeast"/>
        <w:ind w:left="2835"/>
      </w:pPr>
      <w:r w:rsidRPr="002C5876">
        <w:tab/>
        <w:t>Dans tous les cas décrits ci-dessus, le débrayage (rapport</w:t>
      </w:r>
      <w:r w:rsidR="00DA3EC1" w:rsidRPr="002C5876">
        <w:t> </w:t>
      </w:r>
      <w:r w:rsidRPr="002C5876">
        <w:t>0) pour 1 s est utilisé afin d’éviter que la vitesse du moteur ne soit trop élevée pendant cette seconde. Si cela ne pose pas de problème et à la demande du constructeur, il est autorisé d’utiliser directement le rapport inférieur de la seconde suivante au lieu du rapport</w:t>
      </w:r>
      <w:r w:rsidR="00DA3EC1" w:rsidRPr="002C5876">
        <w:t> </w:t>
      </w:r>
      <w:r w:rsidRPr="002C5876">
        <w:t>0 pour les changements de rapport vers le bas allant jusqu’à 3 échelons. Le</w:t>
      </w:r>
      <w:r w:rsidR="00DA3EC1" w:rsidRPr="002C5876">
        <w:t> </w:t>
      </w:r>
      <w:r w:rsidRPr="002C5876">
        <w:t>recours à cette possibilité doit être enregistré.</w:t>
      </w:r>
    </w:p>
    <w:p w:rsidR="00E24DB7" w:rsidRPr="002C5876" w:rsidRDefault="00E24DB7" w:rsidP="00E24DB7">
      <w:pPr>
        <w:pStyle w:val="SingleTxtG"/>
        <w:spacing w:line="220" w:lineRule="atLeast"/>
        <w:ind w:left="2835"/>
      </w:pPr>
      <w:r w:rsidRPr="002C5876">
        <w:tab/>
        <w:t>Si la phase de décélération est la dernière partie d’une courte section précédant de peu une phase d’arrêt et que le dernier rapport supérieur à 0 avant la phase d’arrêt n’est utilisé que pendant une période de 2 s au maximum, le rapport</w:t>
      </w:r>
      <w:r w:rsidR="00DA3EC1" w:rsidRPr="002C5876">
        <w:t> </w:t>
      </w:r>
      <w:r w:rsidRPr="002C5876">
        <w:t>0 est utilisé à la place et l’embrayage est embrayé boîte au point mort.</w:t>
      </w:r>
    </w:p>
    <w:p w:rsidR="00E24DB7" w:rsidRPr="002C5876" w:rsidRDefault="00E24DB7" w:rsidP="00E24DB7">
      <w:pPr>
        <w:pStyle w:val="SingleTxtG"/>
        <w:spacing w:line="220" w:lineRule="atLeast"/>
        <w:ind w:left="2835"/>
      </w:pPr>
      <w:r w:rsidRPr="002C5876">
        <w:tab/>
        <w:t>Exemples : Une séquence 4, 0, 2, 2, 0 pour les 5 dernières s avant une phase d’arrêt est remplacée par 4, 0, 0, 0, 0. Une séquence 4, 3, 3, 0 pour les 4</w:t>
      </w:r>
      <w:r w:rsidR="00DA3EC1" w:rsidRPr="002C5876">
        <w:rPr>
          <w:sz w:val="16"/>
          <w:szCs w:val="16"/>
        </w:rPr>
        <w:t> </w:t>
      </w:r>
      <w:r w:rsidRPr="002C5876">
        <w:t>dernières s avant une phase d’arrêt est remplacée par</w:t>
      </w:r>
      <w:r w:rsidR="00DA3EC1" w:rsidRPr="002C5876">
        <w:t> </w:t>
      </w:r>
      <w:r w:rsidRPr="002C5876">
        <w:t>4,</w:t>
      </w:r>
      <w:r w:rsidRPr="002C5876">
        <w:rPr>
          <w:sz w:val="16"/>
          <w:szCs w:val="16"/>
        </w:rPr>
        <w:t> </w:t>
      </w:r>
      <w:r w:rsidRPr="002C5876">
        <w:t>0,</w:t>
      </w:r>
      <w:r w:rsidRPr="002C5876">
        <w:rPr>
          <w:sz w:val="16"/>
          <w:szCs w:val="16"/>
        </w:rPr>
        <w:t> </w:t>
      </w:r>
      <w:r w:rsidRPr="002C5876">
        <w:t>0,</w:t>
      </w:r>
      <w:r w:rsidRPr="002C5876">
        <w:rPr>
          <w:sz w:val="16"/>
          <w:szCs w:val="16"/>
        </w:rPr>
        <w:t> </w:t>
      </w:r>
      <w:r w:rsidRPr="002C5876">
        <w:t>0.</w:t>
      </w:r>
    </w:p>
    <w:p w:rsidR="00E24DB7" w:rsidRPr="002C5876" w:rsidRDefault="00E24DB7" w:rsidP="00E24DB7">
      <w:pPr>
        <w:pStyle w:val="SingleTxtG"/>
        <w:spacing w:line="220" w:lineRule="atLeast"/>
        <w:ind w:left="2835"/>
      </w:pPr>
      <w:r w:rsidRPr="002C5876">
        <w:t>Un rétrogradage sur le premier rapport n’est pas admis pendant ces phases de décélération.</w:t>
      </w:r>
    </w:p>
    <w:p w:rsidR="00E24DB7" w:rsidRPr="002C5876" w:rsidRDefault="00E24DB7" w:rsidP="00E24DB7">
      <w:pPr>
        <w:pStyle w:val="SingleTxtG"/>
        <w:spacing w:line="220" w:lineRule="atLeast"/>
        <w:ind w:left="2268" w:hanging="1134"/>
      </w:pPr>
      <w:r w:rsidRPr="002C5876">
        <w:t>5.</w:t>
      </w:r>
      <w:r w:rsidRPr="002C5876">
        <w:tab/>
        <w:t>Les paragraphes 4 a) à 4 f) de la présente annexe doivent être appliqués dans l’ordre, avec lecture de la courbe complète du cycle dans chaque cas. Étant donné que les modifications apportées auxdits paragraphes peuvent engendrer de nouvelles séquences d’utilisation des rapports, ces nouvelles séquences doivent être vérifiées trois fois et modifiées si nécessaire.</w:t>
      </w:r>
    </w:p>
    <w:p w:rsidR="00DA3EC1" w:rsidRPr="002C5876" w:rsidRDefault="00E24DB7" w:rsidP="00E24DB7">
      <w:pPr>
        <w:pStyle w:val="SingleTxtG"/>
        <w:spacing w:line="220" w:lineRule="atLeast"/>
        <w:ind w:left="2268"/>
        <w:sectPr w:rsidR="00DA3EC1" w:rsidRPr="002C5876" w:rsidSect="00CE537D">
          <w:headerReference w:type="even" r:id="rId40"/>
          <w:headerReference w:type="default" r:id="rId41"/>
          <w:endnotePr>
            <w:numFmt w:val="decimal"/>
          </w:endnotePr>
          <w:pgSz w:w="11907" w:h="16840" w:code="9"/>
          <w:pgMar w:top="1418" w:right="1134" w:bottom="1134" w:left="1134" w:header="680" w:footer="567" w:gutter="0"/>
          <w:cols w:space="720"/>
          <w:docGrid w:linePitch="272"/>
        </w:sectPr>
      </w:pPr>
      <w:r w:rsidRPr="002C5876">
        <w:t>Pour permettre d’évaluer la justesse des calculs, le rapport moyen pour v ≥ 1 km/h, arrondi à la quatrième décimale, doit être calculé et enregistré.</w:t>
      </w:r>
    </w:p>
    <w:p w:rsidR="00E24DB7" w:rsidRPr="002C5876" w:rsidRDefault="00E24DB7" w:rsidP="00E24DB7">
      <w:pPr>
        <w:pStyle w:val="HChG"/>
      </w:pPr>
      <w:r w:rsidRPr="002C5876">
        <w:lastRenderedPageBreak/>
        <w:t>Annexe 3</w:t>
      </w:r>
    </w:p>
    <w:p w:rsidR="00E24DB7" w:rsidRPr="002C5876" w:rsidRDefault="00E24DB7" w:rsidP="00E24DB7">
      <w:pPr>
        <w:pStyle w:val="HChG"/>
      </w:pPr>
      <w:r w:rsidRPr="002C5876">
        <w:tab/>
      </w:r>
      <w:r w:rsidRPr="002C5876">
        <w:tab/>
        <w:t>Carburants de référence</w:t>
      </w:r>
    </w:p>
    <w:p w:rsidR="00E24DB7" w:rsidRPr="002C5876" w:rsidRDefault="00E24DB7" w:rsidP="00E24DB7">
      <w:pPr>
        <w:pStyle w:val="SingleTxtG"/>
        <w:ind w:left="2268" w:hanging="1134"/>
      </w:pPr>
      <w:r w:rsidRPr="002C5876">
        <w:t>1.</w:t>
      </w:r>
      <w:r w:rsidRPr="002C5876">
        <w:tab/>
        <w:t>Sachant que les spécifications des carburants du marché varient d’une région à une autre, il est logique qu’il existe des carburants de référence différents selon les régions. Des carburants de référence sont cependant nécessaires dans le présent RTM ONU aux fins du calcul des émissions d’hydrocarbures et de la consommation de carburant. On trouvera donc ci-après des carburants de référence présentés à titre d’exemple.</w:t>
      </w:r>
    </w:p>
    <w:p w:rsidR="00E24DB7" w:rsidRPr="002C5876" w:rsidRDefault="00E24DB7" w:rsidP="00E24DB7">
      <w:pPr>
        <w:pStyle w:val="SingleTxtG"/>
        <w:ind w:left="2268" w:hanging="1134"/>
      </w:pPr>
      <w:r w:rsidRPr="002C5876">
        <w:t>2.</w:t>
      </w:r>
      <w:r w:rsidRPr="002C5876">
        <w:tab/>
        <w:t>Il est recommandé que les Parties contractantes choisissent leurs carburants de référence sur la base de la présente annexe et introduisent par amendement des modifications ou d’autres choix convenus à l’échelon régional. Les Parties contractantes conservent le droit de définir leurs propres carburants de référence en fonction des spécifications des carburants proposés sur le marché local.</w:t>
      </w:r>
    </w:p>
    <w:p w:rsidR="00E24DB7" w:rsidRPr="002C5876" w:rsidRDefault="00E24DB7" w:rsidP="00E24DB7">
      <w:pPr>
        <w:pStyle w:val="SingleTxtG"/>
        <w:ind w:left="2268" w:hanging="1134"/>
      </w:pPr>
      <w:r w:rsidRPr="002C5876">
        <w:t>3.</w:t>
      </w:r>
      <w:r w:rsidRPr="002C5876">
        <w:tab/>
        <w:t>Carburants liquides pour moteurs à allumage commandé</w:t>
      </w:r>
    </w:p>
    <w:p w:rsidR="00E24DB7" w:rsidRPr="002C5876" w:rsidRDefault="00E24DB7" w:rsidP="00E24DB7">
      <w:pPr>
        <w:pStyle w:val="SingleTxtG"/>
        <w:ind w:left="2268" w:hanging="1134"/>
      </w:pPr>
      <w:r w:rsidRPr="002C5876">
        <w:t>3.1</w:t>
      </w:r>
      <w:r w:rsidRPr="002C5876">
        <w:tab/>
        <w:t>Essence (indice d’octane recherche nominal</w:t>
      </w:r>
      <w:r w:rsidR="00DF654F" w:rsidRPr="002C5876">
        <w:t> </w:t>
      </w:r>
      <w:r w:rsidRPr="002C5876">
        <w:t>90, E0)</w:t>
      </w:r>
    </w:p>
    <w:p w:rsidR="00E24DB7" w:rsidRPr="002C5876" w:rsidRDefault="00E24DB7" w:rsidP="00E24DB7">
      <w:pPr>
        <w:pStyle w:val="H23G"/>
        <w:ind w:left="0" w:firstLine="0"/>
      </w:pPr>
      <w:r w:rsidRPr="002C5876">
        <w:br w:type="page"/>
      </w:r>
      <w:r w:rsidRPr="002C5876">
        <w:rPr>
          <w:b w:val="0"/>
        </w:rPr>
        <w:lastRenderedPageBreak/>
        <w:t>Tableau A3/1</w:t>
      </w:r>
      <w:r w:rsidRPr="002C5876">
        <w:t xml:space="preserve"> </w:t>
      </w:r>
      <w:r w:rsidRPr="002C5876">
        <w:br/>
        <w:t>Essence (indice d’octane recherche nominal 90, E0)</w:t>
      </w:r>
    </w:p>
    <w:tbl>
      <w:tblPr>
        <w:tblW w:w="96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3538"/>
        <w:gridCol w:w="1362"/>
        <w:gridCol w:w="1362"/>
        <w:gridCol w:w="1362"/>
        <w:gridCol w:w="2015"/>
      </w:tblGrid>
      <w:tr w:rsidR="00E24DB7" w:rsidRPr="002C5876" w:rsidTr="00E24DB7">
        <w:trPr>
          <w:tblHeader/>
        </w:trPr>
        <w:tc>
          <w:tcPr>
            <w:tcW w:w="3540" w:type="dxa"/>
            <w:vMerge w:val="restart"/>
            <w:tcBorders>
              <w:top w:val="single" w:sz="2" w:space="0" w:color="auto"/>
              <w:left w:val="single" w:sz="2" w:space="0" w:color="auto"/>
              <w:bottom w:val="single" w:sz="4" w:space="0" w:color="auto"/>
              <w:right w:val="single" w:sz="2" w:space="0" w:color="auto"/>
            </w:tcBorders>
            <w:tcMar>
              <w:top w:w="0" w:type="dxa"/>
              <w:left w:w="0" w:type="dxa"/>
              <w:bottom w:w="0" w:type="dxa"/>
              <w:right w:w="0" w:type="dxa"/>
            </w:tcMar>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Propriété du carburant/Composé</w:t>
            </w:r>
          </w:p>
        </w:tc>
        <w:tc>
          <w:tcPr>
            <w:tcW w:w="1363" w:type="dxa"/>
            <w:vMerge w:val="restart"/>
            <w:tcBorders>
              <w:top w:val="single" w:sz="2" w:space="0" w:color="auto"/>
              <w:left w:val="single" w:sz="2" w:space="0" w:color="auto"/>
              <w:bottom w:val="single" w:sz="4" w:space="0" w:color="auto"/>
              <w:right w:val="single" w:sz="2" w:space="0" w:color="auto"/>
            </w:tcBorders>
            <w:tcMar>
              <w:top w:w="0" w:type="dxa"/>
              <w:left w:w="0" w:type="dxa"/>
              <w:bottom w:w="0" w:type="dxa"/>
              <w:right w:w="0" w:type="dxa"/>
            </w:tcMar>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Unité</w:t>
            </w:r>
          </w:p>
        </w:tc>
        <w:tc>
          <w:tcPr>
            <w:tcW w:w="2726" w:type="dxa"/>
            <w:gridSpan w:val="2"/>
            <w:tcBorders>
              <w:top w:val="single" w:sz="2"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80" w:after="80" w:line="200" w:lineRule="exact"/>
              <w:ind w:left="57" w:right="57"/>
              <w:jc w:val="center"/>
              <w:rPr>
                <w:i/>
                <w:sz w:val="16"/>
                <w:szCs w:val="16"/>
              </w:rPr>
            </w:pPr>
            <w:r w:rsidRPr="002C5876">
              <w:rPr>
                <w:i/>
                <w:sz w:val="16"/>
                <w:szCs w:val="16"/>
              </w:rPr>
              <w:t>Norme</w:t>
            </w:r>
          </w:p>
        </w:tc>
        <w:tc>
          <w:tcPr>
            <w:tcW w:w="2016" w:type="dxa"/>
            <w:vMerge w:val="restart"/>
            <w:tcBorders>
              <w:top w:val="single" w:sz="2" w:space="0" w:color="auto"/>
              <w:left w:val="single" w:sz="2" w:space="0" w:color="auto"/>
              <w:bottom w:val="single" w:sz="4" w:space="0" w:color="auto"/>
              <w:right w:val="single" w:sz="2" w:space="0" w:color="auto"/>
            </w:tcBorders>
            <w:tcMar>
              <w:top w:w="0" w:type="dxa"/>
              <w:left w:w="0" w:type="dxa"/>
              <w:bottom w:w="0" w:type="dxa"/>
              <w:right w:w="0" w:type="dxa"/>
            </w:tcMar>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Méthode d’essai</w:t>
            </w:r>
          </w:p>
        </w:tc>
      </w:tr>
      <w:tr w:rsidR="00E24DB7" w:rsidRPr="002C5876" w:rsidTr="00E24DB7">
        <w:trPr>
          <w:tblHeader/>
        </w:trPr>
        <w:tc>
          <w:tcPr>
            <w:tcW w:w="3540" w:type="dxa"/>
            <w:vMerge/>
            <w:tcBorders>
              <w:top w:val="single" w:sz="2" w:space="0" w:color="auto"/>
              <w:left w:val="single" w:sz="2" w:space="0" w:color="auto"/>
              <w:bottom w:val="single" w:sz="12" w:space="0" w:color="auto"/>
              <w:right w:val="single" w:sz="2" w:space="0" w:color="auto"/>
            </w:tcBorders>
            <w:vAlign w:val="center"/>
            <w:hideMark/>
          </w:tcPr>
          <w:p w:rsidR="00E24DB7" w:rsidRPr="002C5876" w:rsidRDefault="00E24DB7" w:rsidP="00E24DB7">
            <w:pPr>
              <w:suppressAutoHyphens w:val="0"/>
              <w:spacing w:before="80" w:after="80" w:line="200" w:lineRule="exact"/>
              <w:rPr>
                <w:i/>
                <w:sz w:val="18"/>
                <w:szCs w:val="18"/>
              </w:rPr>
            </w:pPr>
          </w:p>
        </w:tc>
        <w:tc>
          <w:tcPr>
            <w:tcW w:w="1363" w:type="dxa"/>
            <w:vMerge/>
            <w:tcBorders>
              <w:top w:val="single" w:sz="2" w:space="0" w:color="auto"/>
              <w:left w:val="single" w:sz="2" w:space="0" w:color="auto"/>
              <w:bottom w:val="single" w:sz="12" w:space="0" w:color="auto"/>
              <w:right w:val="single" w:sz="2" w:space="0" w:color="auto"/>
            </w:tcBorders>
            <w:vAlign w:val="center"/>
            <w:hideMark/>
          </w:tcPr>
          <w:p w:rsidR="00E24DB7" w:rsidRPr="002C5876" w:rsidRDefault="00E24DB7" w:rsidP="00E24DB7">
            <w:pPr>
              <w:suppressAutoHyphens w:val="0"/>
              <w:spacing w:before="80" w:after="80" w:line="200" w:lineRule="exact"/>
              <w:rPr>
                <w:i/>
                <w:sz w:val="18"/>
                <w:szCs w:val="18"/>
              </w:rPr>
            </w:pPr>
          </w:p>
        </w:tc>
        <w:tc>
          <w:tcPr>
            <w:tcW w:w="1363" w:type="dxa"/>
            <w:tcBorders>
              <w:top w:val="single" w:sz="4" w:space="0" w:color="auto"/>
              <w:left w:val="single" w:sz="2" w:space="0" w:color="auto"/>
              <w:bottom w:val="single" w:sz="12" w:space="0" w:color="auto"/>
              <w:right w:val="single" w:sz="2" w:space="0" w:color="auto"/>
            </w:tcBorders>
            <w:tcMar>
              <w:top w:w="0" w:type="dxa"/>
              <w:left w:w="0" w:type="dxa"/>
              <w:bottom w:w="0" w:type="dxa"/>
              <w:right w:w="0" w:type="dxa"/>
            </w:tcMar>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Minimum</w:t>
            </w:r>
          </w:p>
        </w:tc>
        <w:tc>
          <w:tcPr>
            <w:tcW w:w="1363" w:type="dxa"/>
            <w:tcBorders>
              <w:top w:val="single" w:sz="4" w:space="0" w:color="auto"/>
              <w:left w:val="single" w:sz="2" w:space="0" w:color="auto"/>
              <w:bottom w:val="single" w:sz="12" w:space="0" w:color="auto"/>
              <w:right w:val="single" w:sz="2" w:space="0" w:color="auto"/>
            </w:tcBorders>
            <w:tcMar>
              <w:top w:w="0" w:type="dxa"/>
              <w:left w:w="0" w:type="dxa"/>
              <w:bottom w:w="0" w:type="dxa"/>
              <w:right w:w="0" w:type="dxa"/>
            </w:tcMar>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Maximum</w:t>
            </w:r>
          </w:p>
        </w:tc>
        <w:tc>
          <w:tcPr>
            <w:tcW w:w="2016" w:type="dxa"/>
            <w:vMerge/>
            <w:tcBorders>
              <w:top w:val="single" w:sz="2" w:space="0" w:color="auto"/>
              <w:left w:val="single" w:sz="2" w:space="0" w:color="auto"/>
              <w:bottom w:val="single" w:sz="12" w:space="0" w:color="auto"/>
              <w:right w:val="single" w:sz="2" w:space="0" w:color="auto"/>
            </w:tcBorders>
            <w:vAlign w:val="center"/>
            <w:hideMark/>
          </w:tcPr>
          <w:p w:rsidR="00E24DB7" w:rsidRPr="002C5876" w:rsidRDefault="00E24DB7" w:rsidP="00E24DB7">
            <w:pPr>
              <w:suppressAutoHyphens w:val="0"/>
              <w:spacing w:before="80" w:after="80" w:line="200" w:lineRule="exact"/>
              <w:rPr>
                <w:i/>
                <w:sz w:val="18"/>
                <w:szCs w:val="18"/>
              </w:rPr>
            </w:pPr>
          </w:p>
        </w:tc>
      </w:tr>
      <w:tr w:rsidR="00E24DB7" w:rsidRPr="002C5876" w:rsidTr="00E24DB7">
        <w:tc>
          <w:tcPr>
            <w:tcW w:w="3540" w:type="dxa"/>
            <w:tcBorders>
              <w:top w:val="single" w:sz="12"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Indice d’octane recherche (IOR)</w:t>
            </w:r>
          </w:p>
        </w:tc>
        <w:tc>
          <w:tcPr>
            <w:tcW w:w="1363" w:type="dxa"/>
            <w:tcBorders>
              <w:top w:val="single" w:sz="12" w:space="0" w:color="auto"/>
              <w:left w:val="single" w:sz="2" w:space="0" w:color="auto"/>
              <w:bottom w:val="single" w:sz="4" w:space="0" w:color="auto"/>
              <w:right w:val="single" w:sz="2" w:space="0" w:color="auto"/>
            </w:tcBorders>
            <w:tcMar>
              <w:top w:w="0" w:type="dxa"/>
              <w:left w:w="0" w:type="dxa"/>
              <w:bottom w:w="0" w:type="dxa"/>
              <w:right w:w="0" w:type="dxa"/>
            </w:tcMar>
          </w:tcPr>
          <w:p w:rsidR="00E24DB7" w:rsidRPr="002C5876" w:rsidRDefault="00E24DB7" w:rsidP="00E24DB7">
            <w:pPr>
              <w:suppressAutoHyphens w:val="0"/>
              <w:spacing w:before="60" w:after="60" w:line="220" w:lineRule="atLeast"/>
              <w:ind w:left="57" w:right="57"/>
              <w:rPr>
                <w:sz w:val="18"/>
                <w:szCs w:val="18"/>
              </w:rPr>
            </w:pPr>
          </w:p>
        </w:tc>
        <w:tc>
          <w:tcPr>
            <w:tcW w:w="1363" w:type="dxa"/>
            <w:tcBorders>
              <w:top w:val="single" w:sz="12"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90</w:t>
            </w:r>
          </w:p>
        </w:tc>
        <w:tc>
          <w:tcPr>
            <w:tcW w:w="1363" w:type="dxa"/>
            <w:tcBorders>
              <w:top w:val="single" w:sz="12"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92</w:t>
            </w:r>
          </w:p>
        </w:tc>
        <w:tc>
          <w:tcPr>
            <w:tcW w:w="2016" w:type="dxa"/>
            <w:tcBorders>
              <w:top w:val="single" w:sz="12"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JIS K2280</w:t>
            </w:r>
          </w:p>
        </w:tc>
      </w:tr>
      <w:tr w:rsidR="00E24DB7" w:rsidRPr="002C5876" w:rsidTr="00E24DB7">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Indice d’octane moteur (IOM)</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E24DB7" w:rsidRPr="002C5876" w:rsidRDefault="00E24DB7" w:rsidP="00E24DB7">
            <w:pPr>
              <w:suppressAutoHyphens w:val="0"/>
              <w:spacing w:before="60" w:after="60" w:line="220" w:lineRule="atLeast"/>
              <w:ind w:left="57" w:right="57"/>
              <w:rPr>
                <w:sz w:val="18"/>
                <w:szCs w:val="18"/>
              </w:rPr>
            </w:pP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80</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82</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JIS K2280</w:t>
            </w:r>
          </w:p>
        </w:tc>
      </w:tr>
      <w:tr w:rsidR="00E24DB7" w:rsidRPr="002C5876" w:rsidTr="00E24DB7">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Densité </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g/cm³</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0,720</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0,734</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JIS K2249</w:t>
            </w:r>
          </w:p>
        </w:tc>
      </w:tr>
      <w:tr w:rsidR="00E24DB7" w:rsidRPr="002C5876" w:rsidTr="00E24DB7">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Pression de vapeur</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kPa</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56</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60</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JIS K2258</w:t>
            </w:r>
          </w:p>
        </w:tc>
      </w:tr>
      <w:tr w:rsidR="00E24DB7" w:rsidRPr="002C5876" w:rsidTr="00E24DB7">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Distillation :</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E24DB7" w:rsidRPr="002C5876" w:rsidRDefault="00E24DB7" w:rsidP="00E24DB7">
            <w:pPr>
              <w:suppressAutoHyphens w:val="0"/>
              <w:spacing w:before="60" w:after="60" w:line="220" w:lineRule="atLeast"/>
              <w:ind w:left="57" w:right="57"/>
              <w:rPr>
                <w:sz w:val="18"/>
                <w:szCs w:val="18"/>
              </w:rPr>
            </w:pP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E24DB7" w:rsidRPr="002C5876" w:rsidRDefault="00E24DB7" w:rsidP="00E24DB7">
            <w:pPr>
              <w:suppressAutoHyphens w:val="0"/>
              <w:spacing w:before="60" w:after="60" w:line="220" w:lineRule="atLeast"/>
              <w:ind w:left="57" w:right="57"/>
              <w:rPr>
                <w:sz w:val="18"/>
                <w:szCs w:val="18"/>
              </w:rPr>
            </w:pP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E24DB7" w:rsidRPr="002C5876" w:rsidRDefault="00E24DB7" w:rsidP="00E24DB7">
            <w:pPr>
              <w:suppressAutoHyphens w:val="0"/>
              <w:spacing w:before="60" w:after="60" w:line="220" w:lineRule="atLeast"/>
              <w:ind w:left="57" w:right="57"/>
              <w:rPr>
                <w:sz w:val="18"/>
                <w:szCs w:val="18"/>
              </w:rPr>
            </w:pP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E24DB7" w:rsidRPr="002C5876" w:rsidRDefault="00E24DB7" w:rsidP="00E24DB7">
            <w:pPr>
              <w:suppressAutoHyphens w:val="0"/>
              <w:spacing w:before="60" w:after="60" w:line="220" w:lineRule="atLeast"/>
              <w:ind w:left="57" w:right="57"/>
              <w:rPr>
                <w:sz w:val="18"/>
                <w:szCs w:val="18"/>
              </w:rPr>
            </w:pPr>
          </w:p>
        </w:tc>
      </w:tr>
      <w:tr w:rsidR="00E24DB7" w:rsidRPr="002C5876" w:rsidTr="00E24DB7">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pStyle w:val="Bullet1G"/>
              <w:numPr>
                <w:ilvl w:val="0"/>
                <w:numId w:val="1"/>
              </w:numPr>
              <w:ind w:left="340" w:right="57"/>
              <w:rPr>
                <w:sz w:val="18"/>
                <w:szCs w:val="18"/>
              </w:rPr>
            </w:pPr>
            <w:r w:rsidRPr="002C5876">
              <w:rPr>
                <w:sz w:val="18"/>
                <w:szCs w:val="18"/>
              </w:rPr>
              <w:t>Température de distillation à 10 %</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 (°C)</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318 (45)</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328 (55)</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JIS K2254</w:t>
            </w:r>
          </w:p>
        </w:tc>
      </w:tr>
      <w:tr w:rsidR="00E24DB7" w:rsidRPr="002C5876" w:rsidTr="00E24DB7">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pStyle w:val="Bullet1G"/>
              <w:numPr>
                <w:ilvl w:val="0"/>
                <w:numId w:val="1"/>
              </w:numPr>
              <w:ind w:left="340" w:right="57"/>
              <w:rPr>
                <w:sz w:val="18"/>
                <w:szCs w:val="18"/>
              </w:rPr>
            </w:pPr>
            <w:r w:rsidRPr="002C5876">
              <w:rPr>
                <w:sz w:val="18"/>
                <w:szCs w:val="18"/>
              </w:rPr>
              <w:t>Température de distillation à 50 %</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 (°C)</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363 (90)</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373 (100)</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JIS K2254</w:t>
            </w:r>
          </w:p>
        </w:tc>
      </w:tr>
      <w:tr w:rsidR="00E24DB7" w:rsidRPr="002C5876" w:rsidTr="00E24DB7">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pStyle w:val="Bullet1G"/>
              <w:numPr>
                <w:ilvl w:val="0"/>
                <w:numId w:val="1"/>
              </w:numPr>
              <w:ind w:left="340" w:right="57"/>
              <w:rPr>
                <w:sz w:val="18"/>
                <w:szCs w:val="18"/>
              </w:rPr>
            </w:pPr>
            <w:r w:rsidRPr="002C5876">
              <w:rPr>
                <w:sz w:val="18"/>
                <w:szCs w:val="18"/>
              </w:rPr>
              <w:t>Température de distillation à 90 %</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 (°C)</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413 (140)</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443 (170)</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JIS K2254</w:t>
            </w:r>
          </w:p>
        </w:tc>
      </w:tr>
      <w:tr w:rsidR="00E24DB7" w:rsidRPr="002C5876" w:rsidTr="00E24DB7">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pStyle w:val="Bullet1G"/>
              <w:numPr>
                <w:ilvl w:val="0"/>
                <w:numId w:val="1"/>
              </w:numPr>
              <w:ind w:left="340" w:right="57"/>
              <w:rPr>
                <w:sz w:val="18"/>
                <w:szCs w:val="18"/>
              </w:rPr>
            </w:pPr>
            <w:r w:rsidRPr="002C5876">
              <w:rPr>
                <w:sz w:val="18"/>
                <w:szCs w:val="18"/>
              </w:rPr>
              <w:t>Point d’ébullition final</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 (°C)</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E24DB7" w:rsidRPr="002C5876" w:rsidRDefault="00E24DB7" w:rsidP="00E24DB7">
            <w:pPr>
              <w:suppressAutoHyphens w:val="0"/>
              <w:spacing w:before="60" w:after="60" w:line="220" w:lineRule="atLeast"/>
              <w:ind w:left="57" w:right="57"/>
              <w:rPr>
                <w:sz w:val="18"/>
                <w:szCs w:val="18"/>
              </w:rPr>
            </w:pP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488 (215)</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JIS K2254</w:t>
            </w:r>
          </w:p>
        </w:tc>
      </w:tr>
      <w:tr w:rsidR="00E24DB7" w:rsidRPr="002C5876" w:rsidTr="00E24DB7">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pStyle w:val="Bullet1G"/>
              <w:numPr>
                <w:ilvl w:val="0"/>
                <w:numId w:val="1"/>
              </w:numPr>
              <w:ind w:left="340" w:right="57"/>
              <w:rPr>
                <w:sz w:val="18"/>
                <w:szCs w:val="18"/>
              </w:rPr>
            </w:pPr>
            <w:r w:rsidRPr="002C5876">
              <w:rPr>
                <w:sz w:val="18"/>
                <w:szCs w:val="18"/>
              </w:rPr>
              <w:t>Oléfines</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v/v</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15</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25</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JIS K2536-1 </w:t>
            </w:r>
            <w:r w:rsidRPr="002C5876">
              <w:rPr>
                <w:sz w:val="18"/>
                <w:szCs w:val="18"/>
              </w:rPr>
              <w:br/>
              <w:t>JIS K2536-2</w:t>
            </w:r>
          </w:p>
        </w:tc>
      </w:tr>
      <w:tr w:rsidR="00E24DB7" w:rsidRPr="00D53F39" w:rsidTr="00E24DB7">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pStyle w:val="Bullet1G"/>
              <w:numPr>
                <w:ilvl w:val="0"/>
                <w:numId w:val="1"/>
              </w:numPr>
              <w:ind w:left="340" w:right="57"/>
              <w:rPr>
                <w:sz w:val="18"/>
                <w:szCs w:val="18"/>
              </w:rPr>
            </w:pPr>
            <w:r w:rsidRPr="002C5876">
              <w:rPr>
                <w:sz w:val="18"/>
                <w:szCs w:val="18"/>
              </w:rPr>
              <w:t>Aromatiques</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v/v</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20</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45</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D53F39" w:rsidRDefault="00E24DB7" w:rsidP="00E24DB7">
            <w:pPr>
              <w:suppressAutoHyphens w:val="0"/>
              <w:spacing w:before="60" w:after="60" w:line="220" w:lineRule="atLeast"/>
              <w:ind w:left="57" w:right="57"/>
              <w:rPr>
                <w:sz w:val="18"/>
                <w:szCs w:val="18"/>
                <w:lang w:val="en-US"/>
              </w:rPr>
            </w:pPr>
            <w:r w:rsidRPr="00D53F39">
              <w:rPr>
                <w:sz w:val="18"/>
                <w:szCs w:val="18"/>
                <w:lang w:val="en-US"/>
              </w:rPr>
              <w:t xml:space="preserve">JIS K2536-1 </w:t>
            </w:r>
            <w:r w:rsidRPr="00D53F39">
              <w:rPr>
                <w:sz w:val="18"/>
                <w:szCs w:val="18"/>
                <w:lang w:val="en-US"/>
              </w:rPr>
              <w:br/>
              <w:t xml:space="preserve">JIS K2536-2 </w:t>
            </w:r>
            <w:r w:rsidRPr="00D53F39">
              <w:rPr>
                <w:sz w:val="18"/>
                <w:szCs w:val="18"/>
                <w:lang w:val="en-US"/>
              </w:rPr>
              <w:br/>
              <w:t>JIS K2536-3</w:t>
            </w:r>
          </w:p>
        </w:tc>
      </w:tr>
      <w:tr w:rsidR="00E24DB7" w:rsidRPr="00D53F39" w:rsidTr="00E24DB7">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pStyle w:val="Bullet1G"/>
              <w:numPr>
                <w:ilvl w:val="0"/>
                <w:numId w:val="1"/>
              </w:numPr>
              <w:ind w:left="340" w:right="57"/>
              <w:rPr>
                <w:sz w:val="18"/>
                <w:szCs w:val="18"/>
              </w:rPr>
            </w:pPr>
            <w:r w:rsidRPr="002C5876">
              <w:rPr>
                <w:sz w:val="18"/>
                <w:szCs w:val="18"/>
              </w:rPr>
              <w:t>Benzène</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v/v</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E24DB7" w:rsidRPr="002C5876" w:rsidRDefault="00E24DB7" w:rsidP="00E24DB7">
            <w:pPr>
              <w:suppressAutoHyphens w:val="0"/>
              <w:spacing w:before="60" w:after="60" w:line="220" w:lineRule="atLeast"/>
              <w:ind w:left="57" w:right="57"/>
              <w:rPr>
                <w:sz w:val="18"/>
                <w:szCs w:val="18"/>
              </w:rPr>
            </w:pP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1,0</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D53F39" w:rsidRDefault="00E24DB7" w:rsidP="00E24DB7">
            <w:pPr>
              <w:suppressAutoHyphens w:val="0"/>
              <w:spacing w:before="60" w:after="60" w:line="220" w:lineRule="atLeast"/>
              <w:ind w:left="57" w:right="57"/>
              <w:rPr>
                <w:sz w:val="18"/>
                <w:szCs w:val="18"/>
                <w:lang w:val="en-US"/>
              </w:rPr>
            </w:pPr>
            <w:r w:rsidRPr="00D53F39">
              <w:rPr>
                <w:sz w:val="18"/>
                <w:szCs w:val="18"/>
                <w:lang w:val="en-US"/>
              </w:rPr>
              <w:t xml:space="preserve">JIS K2536-2 </w:t>
            </w:r>
            <w:r w:rsidRPr="00D53F39">
              <w:rPr>
                <w:sz w:val="18"/>
                <w:szCs w:val="18"/>
                <w:lang w:val="en-US"/>
              </w:rPr>
              <w:br/>
              <w:t xml:space="preserve">JIS K2536-3 </w:t>
            </w:r>
            <w:r w:rsidRPr="00D53F39">
              <w:rPr>
                <w:sz w:val="18"/>
                <w:szCs w:val="18"/>
                <w:lang w:val="en-US"/>
              </w:rPr>
              <w:br/>
              <w:t>JIS K2536-4</w:t>
            </w:r>
          </w:p>
        </w:tc>
      </w:tr>
      <w:tr w:rsidR="00E24DB7" w:rsidRPr="00D53F39" w:rsidTr="00E24DB7">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Teneur en oxygène</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E24DB7" w:rsidRPr="002C5876" w:rsidRDefault="00E24DB7" w:rsidP="00E24DB7">
            <w:pPr>
              <w:suppressAutoHyphens w:val="0"/>
              <w:spacing w:before="60" w:after="60" w:line="220" w:lineRule="atLeast"/>
              <w:ind w:left="57" w:right="57"/>
              <w:rPr>
                <w:sz w:val="18"/>
                <w:szCs w:val="18"/>
              </w:rPr>
            </w:pPr>
          </w:p>
        </w:tc>
        <w:tc>
          <w:tcPr>
            <w:tcW w:w="2726" w:type="dxa"/>
            <w:gridSpan w:val="2"/>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jc w:val="center"/>
              <w:rPr>
                <w:sz w:val="18"/>
                <w:szCs w:val="18"/>
              </w:rPr>
            </w:pPr>
            <w:r w:rsidRPr="002C5876">
              <w:rPr>
                <w:sz w:val="18"/>
                <w:szCs w:val="18"/>
              </w:rPr>
              <w:t>À ignorer</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D53F39" w:rsidRDefault="00E24DB7" w:rsidP="00E24DB7">
            <w:pPr>
              <w:suppressAutoHyphens w:val="0"/>
              <w:spacing w:before="60" w:after="60" w:line="220" w:lineRule="atLeast"/>
              <w:ind w:left="57" w:right="57"/>
              <w:rPr>
                <w:sz w:val="18"/>
                <w:szCs w:val="18"/>
                <w:lang w:val="en-US"/>
              </w:rPr>
            </w:pPr>
            <w:r w:rsidRPr="00D53F39">
              <w:rPr>
                <w:sz w:val="18"/>
                <w:szCs w:val="18"/>
                <w:lang w:val="en-US"/>
              </w:rPr>
              <w:t xml:space="preserve">JIS K2536-2 </w:t>
            </w:r>
            <w:r w:rsidRPr="00D53F39">
              <w:rPr>
                <w:sz w:val="18"/>
                <w:szCs w:val="18"/>
                <w:lang w:val="en-US"/>
              </w:rPr>
              <w:br/>
              <w:t xml:space="preserve">JIS K2536-4 </w:t>
            </w:r>
            <w:r w:rsidRPr="00D53F39">
              <w:rPr>
                <w:sz w:val="18"/>
                <w:szCs w:val="18"/>
                <w:lang w:val="en-US"/>
              </w:rPr>
              <w:br/>
              <w:t>JIS K2536-6</w:t>
            </w:r>
          </w:p>
        </w:tc>
      </w:tr>
      <w:tr w:rsidR="00E24DB7" w:rsidRPr="002C5876" w:rsidTr="00E24DB7">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Gomme existante</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mg/100 ml</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E24DB7" w:rsidRPr="002C5876" w:rsidRDefault="00E24DB7" w:rsidP="00E24DB7">
            <w:pPr>
              <w:suppressAutoHyphens w:val="0"/>
              <w:spacing w:before="60" w:after="60" w:line="220" w:lineRule="atLeast"/>
              <w:ind w:left="57" w:right="57"/>
              <w:rPr>
                <w:sz w:val="18"/>
                <w:szCs w:val="18"/>
              </w:rPr>
            </w:pP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5</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JIS K2261</w:t>
            </w:r>
          </w:p>
        </w:tc>
      </w:tr>
      <w:tr w:rsidR="00E24DB7" w:rsidRPr="00D53F39" w:rsidTr="00E24DB7">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Teneur en soufre</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ppm en poids</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E24DB7" w:rsidRPr="002C5876" w:rsidRDefault="00E24DB7" w:rsidP="00E24DB7">
            <w:pPr>
              <w:suppressAutoHyphens w:val="0"/>
              <w:spacing w:before="60" w:after="60" w:line="220" w:lineRule="atLeast"/>
              <w:ind w:left="57" w:right="57"/>
              <w:rPr>
                <w:sz w:val="18"/>
                <w:szCs w:val="18"/>
              </w:rPr>
            </w:pP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10</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D53F39" w:rsidRDefault="00E24DB7" w:rsidP="00E24DB7">
            <w:pPr>
              <w:suppressAutoHyphens w:val="0"/>
              <w:spacing w:before="60" w:after="60" w:line="220" w:lineRule="atLeast"/>
              <w:ind w:left="57" w:right="57"/>
              <w:rPr>
                <w:sz w:val="18"/>
                <w:szCs w:val="18"/>
                <w:lang w:val="en-US"/>
              </w:rPr>
            </w:pPr>
            <w:r w:rsidRPr="00D53F39">
              <w:rPr>
                <w:sz w:val="18"/>
                <w:szCs w:val="18"/>
                <w:lang w:val="en-US"/>
              </w:rPr>
              <w:t xml:space="preserve">JIS K2541-1 </w:t>
            </w:r>
            <w:r w:rsidRPr="00D53F39">
              <w:rPr>
                <w:sz w:val="18"/>
                <w:szCs w:val="18"/>
                <w:lang w:val="en-US"/>
              </w:rPr>
              <w:br/>
              <w:t xml:space="preserve">JIS K2541-2 </w:t>
            </w:r>
            <w:r w:rsidRPr="00D53F39">
              <w:rPr>
                <w:sz w:val="18"/>
                <w:szCs w:val="18"/>
                <w:lang w:val="en-US"/>
              </w:rPr>
              <w:br/>
              <w:t xml:space="preserve">JIS K2541-6 </w:t>
            </w:r>
            <w:r w:rsidRPr="00D53F39">
              <w:rPr>
                <w:sz w:val="18"/>
                <w:szCs w:val="18"/>
                <w:lang w:val="en-US"/>
              </w:rPr>
              <w:br/>
              <w:t>JIS K2541-7</w:t>
            </w:r>
          </w:p>
        </w:tc>
      </w:tr>
      <w:tr w:rsidR="00E24DB7" w:rsidRPr="002C5876" w:rsidTr="00E24DB7">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Teneur en plomb</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E24DB7" w:rsidRPr="002C5876" w:rsidRDefault="00E24DB7" w:rsidP="00E24DB7">
            <w:pPr>
              <w:suppressAutoHyphens w:val="0"/>
              <w:spacing w:before="60" w:after="60" w:line="220" w:lineRule="atLeast"/>
              <w:ind w:left="57" w:right="57"/>
              <w:rPr>
                <w:sz w:val="18"/>
                <w:szCs w:val="18"/>
              </w:rPr>
            </w:pPr>
          </w:p>
        </w:tc>
        <w:tc>
          <w:tcPr>
            <w:tcW w:w="2726" w:type="dxa"/>
            <w:gridSpan w:val="2"/>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jc w:val="center"/>
              <w:rPr>
                <w:sz w:val="18"/>
                <w:szCs w:val="18"/>
              </w:rPr>
            </w:pPr>
            <w:r w:rsidRPr="002C5876">
              <w:rPr>
                <w:sz w:val="18"/>
                <w:szCs w:val="18"/>
              </w:rPr>
              <w:t>À ignorer</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JIS K2255</w:t>
            </w:r>
          </w:p>
        </w:tc>
      </w:tr>
      <w:tr w:rsidR="00E24DB7" w:rsidRPr="00D53F39" w:rsidTr="00E24DB7">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Éthanol</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E24DB7" w:rsidRPr="002C5876" w:rsidRDefault="00E24DB7" w:rsidP="00E24DB7">
            <w:pPr>
              <w:suppressAutoHyphens w:val="0"/>
              <w:spacing w:before="60" w:after="60" w:line="220" w:lineRule="atLeast"/>
              <w:ind w:left="57" w:right="57"/>
              <w:rPr>
                <w:sz w:val="18"/>
                <w:szCs w:val="18"/>
              </w:rPr>
            </w:pPr>
          </w:p>
        </w:tc>
        <w:tc>
          <w:tcPr>
            <w:tcW w:w="2726" w:type="dxa"/>
            <w:gridSpan w:val="2"/>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jc w:val="center"/>
              <w:rPr>
                <w:sz w:val="18"/>
                <w:szCs w:val="18"/>
              </w:rPr>
            </w:pPr>
            <w:r w:rsidRPr="002C5876">
              <w:rPr>
                <w:sz w:val="18"/>
                <w:szCs w:val="18"/>
              </w:rPr>
              <w:t>À ignorer</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D53F39" w:rsidRDefault="00E24DB7" w:rsidP="00E24DB7">
            <w:pPr>
              <w:suppressAutoHyphens w:val="0"/>
              <w:spacing w:before="60" w:after="60" w:line="220" w:lineRule="atLeast"/>
              <w:ind w:left="57" w:right="57"/>
              <w:rPr>
                <w:sz w:val="18"/>
                <w:szCs w:val="18"/>
                <w:lang w:val="en-US"/>
              </w:rPr>
            </w:pPr>
            <w:r w:rsidRPr="00D53F39">
              <w:rPr>
                <w:sz w:val="18"/>
                <w:szCs w:val="18"/>
                <w:lang w:val="en-US"/>
              </w:rPr>
              <w:t xml:space="preserve">JIS K2536-2 </w:t>
            </w:r>
            <w:r w:rsidRPr="00D53F39">
              <w:rPr>
                <w:sz w:val="18"/>
                <w:szCs w:val="18"/>
                <w:lang w:val="en-US"/>
              </w:rPr>
              <w:br/>
              <w:t xml:space="preserve">JIS K2536-4 </w:t>
            </w:r>
            <w:r w:rsidRPr="00D53F39">
              <w:rPr>
                <w:sz w:val="18"/>
                <w:szCs w:val="18"/>
                <w:lang w:val="en-US"/>
              </w:rPr>
              <w:br/>
              <w:t>JIS K2536-6</w:t>
            </w:r>
          </w:p>
        </w:tc>
      </w:tr>
      <w:tr w:rsidR="00E24DB7" w:rsidRPr="00D53F39" w:rsidTr="00E24DB7">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Méthanol</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E24DB7" w:rsidRPr="002C5876" w:rsidRDefault="00E24DB7" w:rsidP="00E24DB7">
            <w:pPr>
              <w:suppressAutoHyphens w:val="0"/>
              <w:spacing w:before="60" w:after="60" w:line="220" w:lineRule="atLeast"/>
              <w:ind w:left="57" w:right="57"/>
              <w:rPr>
                <w:sz w:val="18"/>
                <w:szCs w:val="18"/>
              </w:rPr>
            </w:pPr>
          </w:p>
        </w:tc>
        <w:tc>
          <w:tcPr>
            <w:tcW w:w="2726" w:type="dxa"/>
            <w:gridSpan w:val="2"/>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jc w:val="center"/>
              <w:rPr>
                <w:sz w:val="18"/>
                <w:szCs w:val="18"/>
              </w:rPr>
            </w:pPr>
            <w:r w:rsidRPr="002C5876">
              <w:rPr>
                <w:sz w:val="18"/>
                <w:szCs w:val="18"/>
              </w:rPr>
              <w:t>À ignorer</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D53F39" w:rsidRDefault="00E24DB7" w:rsidP="00E24DB7">
            <w:pPr>
              <w:suppressAutoHyphens w:val="0"/>
              <w:spacing w:before="60" w:after="60" w:line="220" w:lineRule="atLeast"/>
              <w:ind w:left="57" w:right="57"/>
              <w:rPr>
                <w:sz w:val="18"/>
                <w:szCs w:val="18"/>
                <w:lang w:val="en-US"/>
              </w:rPr>
            </w:pPr>
            <w:r w:rsidRPr="00D53F39">
              <w:rPr>
                <w:sz w:val="18"/>
                <w:szCs w:val="18"/>
                <w:lang w:val="en-US"/>
              </w:rPr>
              <w:t xml:space="preserve">JIS K2536-2 </w:t>
            </w:r>
            <w:r w:rsidRPr="00D53F39">
              <w:rPr>
                <w:sz w:val="18"/>
                <w:szCs w:val="18"/>
                <w:lang w:val="en-US"/>
              </w:rPr>
              <w:br/>
              <w:t xml:space="preserve">JIS K2536-4 </w:t>
            </w:r>
            <w:r w:rsidRPr="00D53F39">
              <w:rPr>
                <w:sz w:val="18"/>
                <w:szCs w:val="18"/>
                <w:lang w:val="en-US"/>
              </w:rPr>
              <w:br/>
              <w:t xml:space="preserve">JIS K2536-5 </w:t>
            </w:r>
            <w:r w:rsidRPr="00D53F39">
              <w:rPr>
                <w:sz w:val="18"/>
                <w:szCs w:val="18"/>
                <w:lang w:val="en-US"/>
              </w:rPr>
              <w:br/>
              <w:t>JIS K2536-6</w:t>
            </w:r>
          </w:p>
        </w:tc>
      </w:tr>
      <w:tr w:rsidR="00E24DB7" w:rsidRPr="00D53F39" w:rsidTr="00E24DB7">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MTBE</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E24DB7" w:rsidRPr="002C5876" w:rsidRDefault="00E24DB7" w:rsidP="00E24DB7">
            <w:pPr>
              <w:suppressAutoHyphens w:val="0"/>
              <w:spacing w:before="60" w:after="60" w:line="220" w:lineRule="atLeast"/>
              <w:ind w:left="57" w:right="57"/>
              <w:rPr>
                <w:sz w:val="18"/>
                <w:szCs w:val="18"/>
              </w:rPr>
            </w:pPr>
          </w:p>
        </w:tc>
        <w:tc>
          <w:tcPr>
            <w:tcW w:w="2726" w:type="dxa"/>
            <w:gridSpan w:val="2"/>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jc w:val="center"/>
              <w:rPr>
                <w:sz w:val="18"/>
                <w:szCs w:val="18"/>
              </w:rPr>
            </w:pPr>
            <w:r w:rsidRPr="002C5876">
              <w:rPr>
                <w:sz w:val="18"/>
                <w:szCs w:val="18"/>
              </w:rPr>
              <w:t>À ignorer</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E24DB7" w:rsidRPr="00D53F39" w:rsidRDefault="00E24DB7" w:rsidP="00E24DB7">
            <w:pPr>
              <w:suppressAutoHyphens w:val="0"/>
              <w:spacing w:before="60" w:after="60" w:line="220" w:lineRule="atLeast"/>
              <w:ind w:left="57" w:right="57"/>
              <w:rPr>
                <w:sz w:val="18"/>
                <w:szCs w:val="18"/>
                <w:lang w:val="en-US"/>
              </w:rPr>
            </w:pPr>
            <w:r w:rsidRPr="00D53F39">
              <w:rPr>
                <w:sz w:val="18"/>
                <w:szCs w:val="18"/>
                <w:lang w:val="en-US"/>
              </w:rPr>
              <w:t xml:space="preserve">JIS K2536-2 </w:t>
            </w:r>
            <w:r w:rsidRPr="00D53F39">
              <w:rPr>
                <w:sz w:val="18"/>
                <w:szCs w:val="18"/>
                <w:lang w:val="en-US"/>
              </w:rPr>
              <w:br/>
              <w:t xml:space="preserve">JIS K2536-4 </w:t>
            </w:r>
            <w:r w:rsidRPr="00D53F39">
              <w:rPr>
                <w:sz w:val="18"/>
                <w:szCs w:val="18"/>
                <w:lang w:val="en-US"/>
              </w:rPr>
              <w:br/>
              <w:t xml:space="preserve">JIS K2536-5 </w:t>
            </w:r>
            <w:r w:rsidRPr="00D53F39">
              <w:rPr>
                <w:sz w:val="18"/>
                <w:szCs w:val="18"/>
                <w:lang w:val="en-US"/>
              </w:rPr>
              <w:br/>
              <w:t>JIS K2536-6</w:t>
            </w:r>
          </w:p>
        </w:tc>
      </w:tr>
      <w:tr w:rsidR="00E24DB7" w:rsidRPr="002C5876" w:rsidTr="00E24DB7">
        <w:tc>
          <w:tcPr>
            <w:tcW w:w="3540" w:type="dxa"/>
            <w:tcBorders>
              <w:top w:val="single" w:sz="4" w:space="0" w:color="auto"/>
              <w:left w:val="single" w:sz="2" w:space="0" w:color="auto"/>
              <w:bottom w:val="single" w:sz="12"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Kérosène</w:t>
            </w:r>
          </w:p>
        </w:tc>
        <w:tc>
          <w:tcPr>
            <w:tcW w:w="1363" w:type="dxa"/>
            <w:tcBorders>
              <w:top w:val="single" w:sz="4" w:space="0" w:color="auto"/>
              <w:left w:val="single" w:sz="2" w:space="0" w:color="auto"/>
              <w:bottom w:val="single" w:sz="12" w:space="0" w:color="auto"/>
              <w:right w:val="single" w:sz="2" w:space="0" w:color="auto"/>
            </w:tcBorders>
            <w:tcMar>
              <w:top w:w="0" w:type="dxa"/>
              <w:left w:w="0" w:type="dxa"/>
              <w:bottom w:w="0" w:type="dxa"/>
              <w:right w:w="0" w:type="dxa"/>
            </w:tcMar>
          </w:tcPr>
          <w:p w:rsidR="00E24DB7" w:rsidRPr="002C5876" w:rsidRDefault="00E24DB7" w:rsidP="00E24DB7">
            <w:pPr>
              <w:suppressAutoHyphens w:val="0"/>
              <w:spacing w:before="60" w:after="60" w:line="220" w:lineRule="atLeast"/>
              <w:ind w:left="57" w:right="57"/>
              <w:rPr>
                <w:sz w:val="18"/>
                <w:szCs w:val="18"/>
              </w:rPr>
            </w:pPr>
          </w:p>
        </w:tc>
        <w:tc>
          <w:tcPr>
            <w:tcW w:w="2726" w:type="dxa"/>
            <w:gridSpan w:val="2"/>
            <w:tcBorders>
              <w:top w:val="single" w:sz="4" w:space="0" w:color="auto"/>
              <w:left w:val="single" w:sz="2" w:space="0" w:color="auto"/>
              <w:bottom w:val="single" w:sz="12"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jc w:val="center"/>
              <w:rPr>
                <w:sz w:val="18"/>
                <w:szCs w:val="18"/>
              </w:rPr>
            </w:pPr>
            <w:r w:rsidRPr="002C5876">
              <w:rPr>
                <w:sz w:val="18"/>
                <w:szCs w:val="18"/>
              </w:rPr>
              <w:t>À ignorer</w:t>
            </w:r>
          </w:p>
        </w:tc>
        <w:tc>
          <w:tcPr>
            <w:tcW w:w="2016" w:type="dxa"/>
            <w:tcBorders>
              <w:top w:val="single" w:sz="4" w:space="0" w:color="auto"/>
              <w:left w:val="single" w:sz="2" w:space="0" w:color="auto"/>
              <w:bottom w:val="single" w:sz="12" w:space="0" w:color="auto"/>
              <w:right w:val="single" w:sz="2" w:space="0" w:color="auto"/>
            </w:tcBorders>
            <w:tcMar>
              <w:top w:w="0" w:type="dxa"/>
              <w:left w:w="0" w:type="dxa"/>
              <w:bottom w:w="0" w:type="dxa"/>
              <w:right w:w="0" w:type="dxa"/>
            </w:tcMa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JIS K2536-2 </w:t>
            </w:r>
            <w:r w:rsidRPr="002C5876">
              <w:rPr>
                <w:sz w:val="18"/>
                <w:szCs w:val="18"/>
              </w:rPr>
              <w:br/>
              <w:t xml:space="preserve">JIS K2536-4 </w:t>
            </w:r>
          </w:p>
        </w:tc>
      </w:tr>
    </w:tbl>
    <w:p w:rsidR="00E24DB7" w:rsidRPr="002C5876" w:rsidRDefault="00E24DB7" w:rsidP="00E24DB7">
      <w:pPr>
        <w:pStyle w:val="SingleTxtG"/>
      </w:pPr>
    </w:p>
    <w:p w:rsidR="00E24DB7" w:rsidRPr="002C5876" w:rsidRDefault="00E24DB7" w:rsidP="00E24DB7">
      <w:pPr>
        <w:pStyle w:val="SingleTxtG"/>
        <w:ind w:left="2268" w:hanging="1134"/>
      </w:pPr>
      <w:r w:rsidRPr="002C5876">
        <w:br w:type="page"/>
      </w:r>
      <w:r w:rsidRPr="002C5876">
        <w:lastRenderedPageBreak/>
        <w:t>3.2</w:t>
      </w:r>
      <w:r w:rsidRPr="002C5876">
        <w:tab/>
      </w:r>
      <w:r w:rsidRPr="002C5876">
        <w:tab/>
        <w:t>Essence (indice d’octane recherche nominal 91, E0)</w:t>
      </w:r>
    </w:p>
    <w:p w:rsidR="00E24DB7" w:rsidRPr="002C5876" w:rsidRDefault="00E24DB7" w:rsidP="00E24DB7">
      <w:pPr>
        <w:pStyle w:val="H23G"/>
        <w:ind w:left="0" w:firstLine="0"/>
      </w:pPr>
      <w:r w:rsidRPr="002C5876">
        <w:rPr>
          <w:b w:val="0"/>
        </w:rPr>
        <w:t>Tableau A3/2</w:t>
      </w:r>
      <w:r w:rsidRPr="002C5876">
        <w:t xml:space="preserve"> </w:t>
      </w:r>
      <w:r w:rsidRPr="002C5876">
        <w:br/>
        <w:t>Essence (indice d’octane recherche nominal 91, E0)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6"/>
        <w:gridCol w:w="682"/>
        <w:gridCol w:w="682"/>
        <w:gridCol w:w="1362"/>
        <w:gridCol w:w="1361"/>
        <w:gridCol w:w="2016"/>
      </w:tblGrid>
      <w:tr w:rsidR="00E24DB7" w:rsidRPr="002C5876" w:rsidTr="00E24DB7">
        <w:trPr>
          <w:trHeight w:val="306"/>
          <w:tblHeader/>
        </w:trPr>
        <w:tc>
          <w:tcPr>
            <w:tcW w:w="3539" w:type="dxa"/>
            <w:vMerge w:val="restart"/>
            <w:vAlign w:val="bottom"/>
            <w:hideMark/>
          </w:tcPr>
          <w:p w:rsidR="00E24DB7" w:rsidRPr="002C5876" w:rsidRDefault="00E24DB7" w:rsidP="00DF654F">
            <w:pPr>
              <w:suppressAutoHyphens w:val="0"/>
              <w:spacing w:before="80" w:after="80" w:line="200" w:lineRule="exact"/>
              <w:ind w:left="57" w:right="57"/>
              <w:rPr>
                <w:i/>
                <w:sz w:val="16"/>
                <w:szCs w:val="16"/>
              </w:rPr>
            </w:pPr>
            <w:r w:rsidRPr="002C5876">
              <w:rPr>
                <w:i/>
                <w:sz w:val="16"/>
                <w:szCs w:val="16"/>
              </w:rPr>
              <w:t>Propriété du carburant/Composé</w:t>
            </w:r>
          </w:p>
        </w:tc>
        <w:tc>
          <w:tcPr>
            <w:tcW w:w="1364" w:type="dxa"/>
            <w:gridSpan w:val="2"/>
            <w:vMerge w:val="restart"/>
            <w:vAlign w:val="bottom"/>
            <w:hideMark/>
          </w:tcPr>
          <w:p w:rsidR="00E24DB7" w:rsidRPr="002C5876" w:rsidRDefault="00E24DB7" w:rsidP="00DF654F">
            <w:pPr>
              <w:suppressAutoHyphens w:val="0"/>
              <w:spacing w:before="80" w:after="80" w:line="200" w:lineRule="exact"/>
              <w:ind w:left="57" w:right="57"/>
              <w:rPr>
                <w:i/>
                <w:sz w:val="16"/>
                <w:szCs w:val="16"/>
              </w:rPr>
            </w:pPr>
            <w:r w:rsidRPr="002C5876">
              <w:rPr>
                <w:i/>
                <w:sz w:val="16"/>
                <w:szCs w:val="16"/>
              </w:rPr>
              <w:t>Unité</w:t>
            </w:r>
          </w:p>
        </w:tc>
        <w:tc>
          <w:tcPr>
            <w:tcW w:w="2725" w:type="dxa"/>
            <w:gridSpan w:val="2"/>
            <w:hideMark/>
          </w:tcPr>
          <w:p w:rsidR="00E24DB7" w:rsidRPr="002C5876" w:rsidRDefault="00E24DB7" w:rsidP="00DF654F">
            <w:pPr>
              <w:suppressAutoHyphens w:val="0"/>
              <w:spacing w:before="80" w:after="80" w:line="200" w:lineRule="exact"/>
              <w:ind w:left="57" w:right="57"/>
              <w:jc w:val="center"/>
              <w:rPr>
                <w:i/>
                <w:sz w:val="16"/>
                <w:szCs w:val="16"/>
              </w:rPr>
            </w:pPr>
            <w:r w:rsidRPr="002C5876">
              <w:rPr>
                <w:i/>
                <w:sz w:val="16"/>
                <w:szCs w:val="16"/>
              </w:rPr>
              <w:t>Norme</w:t>
            </w:r>
          </w:p>
        </w:tc>
        <w:tc>
          <w:tcPr>
            <w:tcW w:w="2017" w:type="dxa"/>
            <w:vMerge w:val="restart"/>
            <w:vAlign w:val="bottom"/>
            <w:hideMark/>
          </w:tcPr>
          <w:p w:rsidR="00E24DB7" w:rsidRPr="002C5876" w:rsidRDefault="00E24DB7" w:rsidP="00DF654F">
            <w:pPr>
              <w:suppressAutoHyphens w:val="0"/>
              <w:spacing w:before="80" w:after="80" w:line="200" w:lineRule="exact"/>
              <w:ind w:left="57" w:right="57"/>
              <w:rPr>
                <w:i/>
                <w:sz w:val="16"/>
                <w:szCs w:val="16"/>
              </w:rPr>
            </w:pPr>
            <w:r w:rsidRPr="002C5876">
              <w:rPr>
                <w:i/>
                <w:sz w:val="16"/>
                <w:szCs w:val="16"/>
              </w:rPr>
              <w:t>Méthode d’essai</w:t>
            </w:r>
          </w:p>
        </w:tc>
      </w:tr>
      <w:tr w:rsidR="00E24DB7" w:rsidRPr="002C5876" w:rsidTr="00E24DB7">
        <w:trPr>
          <w:trHeight w:val="187"/>
          <w:tblHeader/>
        </w:trPr>
        <w:tc>
          <w:tcPr>
            <w:tcW w:w="3539" w:type="dxa"/>
            <w:vMerge/>
            <w:tcBorders>
              <w:bottom w:val="single" w:sz="12" w:space="0" w:color="auto"/>
            </w:tcBorders>
            <w:vAlign w:val="center"/>
            <w:hideMark/>
          </w:tcPr>
          <w:p w:rsidR="00E24DB7" w:rsidRPr="002C5876" w:rsidRDefault="00E24DB7" w:rsidP="00E24DB7">
            <w:pPr>
              <w:suppressAutoHyphens w:val="0"/>
              <w:spacing w:before="80" w:after="80" w:line="200" w:lineRule="exact"/>
              <w:ind w:left="57" w:right="57"/>
              <w:rPr>
                <w:i/>
                <w:sz w:val="18"/>
                <w:szCs w:val="18"/>
              </w:rPr>
            </w:pPr>
          </w:p>
        </w:tc>
        <w:tc>
          <w:tcPr>
            <w:tcW w:w="1364" w:type="dxa"/>
            <w:gridSpan w:val="2"/>
            <w:vMerge/>
            <w:tcBorders>
              <w:bottom w:val="single" w:sz="12" w:space="0" w:color="auto"/>
            </w:tcBorders>
            <w:vAlign w:val="center"/>
            <w:hideMark/>
          </w:tcPr>
          <w:p w:rsidR="00E24DB7" w:rsidRPr="002C5876" w:rsidRDefault="00E24DB7" w:rsidP="00E24DB7">
            <w:pPr>
              <w:suppressAutoHyphens w:val="0"/>
              <w:spacing w:before="80" w:after="80" w:line="200" w:lineRule="exact"/>
              <w:ind w:left="57" w:right="57"/>
              <w:rPr>
                <w:i/>
                <w:sz w:val="18"/>
                <w:szCs w:val="18"/>
              </w:rPr>
            </w:pPr>
          </w:p>
        </w:tc>
        <w:tc>
          <w:tcPr>
            <w:tcW w:w="1363" w:type="dxa"/>
            <w:tcBorders>
              <w:bottom w:val="single" w:sz="12"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Minimum</w:t>
            </w:r>
          </w:p>
        </w:tc>
        <w:tc>
          <w:tcPr>
            <w:tcW w:w="1362" w:type="dxa"/>
            <w:tcBorders>
              <w:bottom w:val="single" w:sz="12"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Maximum</w:t>
            </w:r>
          </w:p>
        </w:tc>
        <w:tc>
          <w:tcPr>
            <w:tcW w:w="2017" w:type="dxa"/>
            <w:vMerge/>
            <w:tcBorders>
              <w:bottom w:val="single" w:sz="12" w:space="0" w:color="auto"/>
            </w:tcBorders>
            <w:vAlign w:val="center"/>
            <w:hideMark/>
          </w:tcPr>
          <w:p w:rsidR="00E24DB7" w:rsidRPr="002C5876" w:rsidRDefault="00E24DB7" w:rsidP="00E24DB7">
            <w:pPr>
              <w:suppressAutoHyphens w:val="0"/>
              <w:spacing w:before="80" w:after="80" w:line="200" w:lineRule="exact"/>
              <w:ind w:left="57" w:right="57"/>
              <w:rPr>
                <w:i/>
                <w:sz w:val="18"/>
                <w:szCs w:val="18"/>
              </w:rPr>
            </w:pPr>
          </w:p>
        </w:tc>
      </w:tr>
      <w:tr w:rsidR="00E24DB7" w:rsidRPr="002C5876" w:rsidTr="00E24DB7">
        <w:tc>
          <w:tcPr>
            <w:tcW w:w="3539" w:type="dxa"/>
            <w:tcBorders>
              <w:top w:val="single" w:sz="12"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Indice d’octane recherche (IOR)</w:t>
            </w:r>
          </w:p>
        </w:tc>
        <w:tc>
          <w:tcPr>
            <w:tcW w:w="1364" w:type="dxa"/>
            <w:gridSpan w:val="2"/>
            <w:tcBorders>
              <w:top w:val="single" w:sz="12"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3" w:type="dxa"/>
            <w:tcBorders>
              <w:top w:val="single" w:sz="12"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91</w:t>
            </w:r>
          </w:p>
        </w:tc>
        <w:tc>
          <w:tcPr>
            <w:tcW w:w="1362" w:type="dxa"/>
            <w:tcBorders>
              <w:top w:val="single" w:sz="12"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94</w:t>
            </w:r>
          </w:p>
        </w:tc>
        <w:tc>
          <w:tcPr>
            <w:tcW w:w="2017" w:type="dxa"/>
            <w:tcBorders>
              <w:top w:val="single" w:sz="12"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KS M 2039</w:t>
            </w:r>
          </w:p>
        </w:tc>
      </w:tr>
      <w:tr w:rsidR="00E24DB7" w:rsidRPr="002C5876" w:rsidTr="00E24DB7">
        <w:tc>
          <w:tcPr>
            <w:tcW w:w="3539" w:type="dxa"/>
            <w:vMerge w:val="restart"/>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Pression de vapeur</w:t>
            </w:r>
          </w:p>
        </w:tc>
        <w:tc>
          <w:tcPr>
            <w:tcW w:w="682" w:type="dxa"/>
            <w:vMerge w:val="restart"/>
            <w:vAlign w:val="cente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kPa</w:t>
            </w:r>
          </w:p>
        </w:tc>
        <w:tc>
          <w:tcPr>
            <w:tcW w:w="682"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Hiver</w:t>
            </w:r>
          </w:p>
        </w:tc>
        <w:tc>
          <w:tcPr>
            <w:tcW w:w="1363"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44</w:t>
            </w:r>
          </w:p>
        </w:tc>
        <w:tc>
          <w:tcPr>
            <w:tcW w:w="1362"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60</w:t>
            </w:r>
          </w:p>
        </w:tc>
        <w:tc>
          <w:tcPr>
            <w:tcW w:w="2017" w:type="dxa"/>
            <w:vMerge w:val="restart"/>
            <w:vAlign w:val="cente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KS M ISO 3007</w:t>
            </w:r>
          </w:p>
        </w:tc>
      </w:tr>
      <w:tr w:rsidR="00E24DB7" w:rsidRPr="002C5876" w:rsidTr="00E24DB7">
        <w:tc>
          <w:tcPr>
            <w:tcW w:w="3539" w:type="dxa"/>
            <w:vMerge/>
            <w:vAlign w:val="center"/>
            <w:hideMark/>
          </w:tcPr>
          <w:p w:rsidR="00E24DB7" w:rsidRPr="002C5876" w:rsidRDefault="00E24DB7" w:rsidP="00E24DB7">
            <w:pPr>
              <w:suppressAutoHyphens w:val="0"/>
              <w:spacing w:before="60" w:after="60" w:line="220" w:lineRule="atLeast"/>
              <w:ind w:left="57" w:right="57"/>
              <w:rPr>
                <w:sz w:val="18"/>
                <w:szCs w:val="18"/>
              </w:rPr>
            </w:pPr>
          </w:p>
        </w:tc>
        <w:tc>
          <w:tcPr>
            <w:tcW w:w="682" w:type="dxa"/>
            <w:vMerge/>
            <w:vAlign w:val="center"/>
            <w:hideMark/>
          </w:tcPr>
          <w:p w:rsidR="00E24DB7" w:rsidRPr="002C5876" w:rsidRDefault="00E24DB7" w:rsidP="00E24DB7">
            <w:pPr>
              <w:suppressAutoHyphens w:val="0"/>
              <w:spacing w:before="60" w:after="60" w:line="220" w:lineRule="atLeast"/>
              <w:ind w:left="57" w:right="57"/>
              <w:rPr>
                <w:sz w:val="18"/>
                <w:szCs w:val="18"/>
              </w:rPr>
            </w:pPr>
          </w:p>
        </w:tc>
        <w:tc>
          <w:tcPr>
            <w:tcW w:w="682"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Été</w:t>
            </w:r>
          </w:p>
        </w:tc>
        <w:tc>
          <w:tcPr>
            <w:tcW w:w="1363"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44</w:t>
            </w:r>
          </w:p>
        </w:tc>
        <w:tc>
          <w:tcPr>
            <w:tcW w:w="1362"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96</w:t>
            </w:r>
          </w:p>
        </w:tc>
        <w:tc>
          <w:tcPr>
            <w:tcW w:w="2017" w:type="dxa"/>
            <w:vMerge/>
            <w:vAlign w:val="center"/>
            <w:hideMark/>
          </w:tcPr>
          <w:p w:rsidR="00E24DB7" w:rsidRPr="002C5876" w:rsidRDefault="00E24DB7" w:rsidP="00E24DB7">
            <w:pPr>
              <w:suppressAutoHyphens w:val="0"/>
              <w:spacing w:before="60" w:after="60" w:line="220" w:lineRule="atLeast"/>
              <w:ind w:left="57" w:right="57"/>
              <w:rPr>
                <w:sz w:val="18"/>
                <w:szCs w:val="18"/>
              </w:rPr>
            </w:pPr>
          </w:p>
        </w:tc>
      </w:tr>
      <w:tr w:rsidR="00E24DB7" w:rsidRPr="002C5876" w:rsidTr="00E24DB7">
        <w:tc>
          <w:tcPr>
            <w:tcW w:w="3539"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Distillation :</w:t>
            </w:r>
          </w:p>
        </w:tc>
        <w:tc>
          <w:tcPr>
            <w:tcW w:w="1364" w:type="dxa"/>
            <w:gridSpan w:val="2"/>
          </w:tcPr>
          <w:p w:rsidR="00E24DB7" w:rsidRPr="002C5876" w:rsidRDefault="00E24DB7" w:rsidP="00E24DB7">
            <w:pPr>
              <w:suppressAutoHyphens w:val="0"/>
              <w:spacing w:before="60" w:after="60" w:line="220" w:lineRule="atLeast"/>
              <w:ind w:left="57" w:right="57"/>
              <w:rPr>
                <w:sz w:val="18"/>
                <w:szCs w:val="18"/>
              </w:rPr>
            </w:pPr>
          </w:p>
        </w:tc>
        <w:tc>
          <w:tcPr>
            <w:tcW w:w="1363" w:type="dxa"/>
          </w:tcPr>
          <w:p w:rsidR="00E24DB7" w:rsidRPr="002C5876" w:rsidRDefault="00E24DB7" w:rsidP="00E24DB7">
            <w:pPr>
              <w:suppressAutoHyphens w:val="0"/>
              <w:spacing w:before="60" w:after="60" w:line="220" w:lineRule="atLeast"/>
              <w:ind w:left="57" w:right="57"/>
              <w:rPr>
                <w:sz w:val="18"/>
                <w:szCs w:val="18"/>
              </w:rPr>
            </w:pPr>
          </w:p>
        </w:tc>
        <w:tc>
          <w:tcPr>
            <w:tcW w:w="1362" w:type="dxa"/>
          </w:tcPr>
          <w:p w:rsidR="00E24DB7" w:rsidRPr="002C5876" w:rsidRDefault="00E24DB7" w:rsidP="00E24DB7">
            <w:pPr>
              <w:suppressAutoHyphens w:val="0"/>
              <w:spacing w:before="60" w:after="60" w:line="220" w:lineRule="atLeast"/>
              <w:ind w:left="57" w:right="57"/>
              <w:rPr>
                <w:sz w:val="18"/>
                <w:szCs w:val="18"/>
              </w:rPr>
            </w:pPr>
          </w:p>
        </w:tc>
        <w:tc>
          <w:tcPr>
            <w:tcW w:w="2017" w:type="dxa"/>
          </w:tcPr>
          <w:p w:rsidR="00E24DB7" w:rsidRPr="002C5876" w:rsidRDefault="00E24DB7" w:rsidP="00E24DB7">
            <w:pPr>
              <w:suppressAutoHyphens w:val="0"/>
              <w:spacing w:before="60" w:after="60" w:line="220" w:lineRule="atLeast"/>
              <w:ind w:left="57" w:right="57"/>
              <w:rPr>
                <w:sz w:val="18"/>
                <w:szCs w:val="18"/>
              </w:rPr>
            </w:pPr>
          </w:p>
        </w:tc>
      </w:tr>
      <w:tr w:rsidR="00E24DB7" w:rsidRPr="002C5876" w:rsidTr="00E24DB7">
        <w:tc>
          <w:tcPr>
            <w:tcW w:w="3539" w:type="dxa"/>
            <w:hideMark/>
          </w:tcPr>
          <w:p w:rsidR="00E24DB7" w:rsidRPr="002C5876" w:rsidRDefault="00E24DB7" w:rsidP="00E24DB7">
            <w:pPr>
              <w:pStyle w:val="Bullet1G"/>
              <w:numPr>
                <w:ilvl w:val="0"/>
                <w:numId w:val="1"/>
              </w:numPr>
              <w:ind w:left="340" w:right="57"/>
              <w:rPr>
                <w:sz w:val="18"/>
                <w:szCs w:val="18"/>
              </w:rPr>
            </w:pPr>
            <w:r w:rsidRPr="002C5876">
              <w:rPr>
                <w:sz w:val="18"/>
                <w:szCs w:val="18"/>
              </w:rPr>
              <w:t>Température de distillation à 10 %</w:t>
            </w:r>
          </w:p>
        </w:tc>
        <w:tc>
          <w:tcPr>
            <w:tcW w:w="1364" w:type="dxa"/>
            <w:gridSpan w:val="2"/>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w:t>
            </w:r>
          </w:p>
        </w:tc>
        <w:tc>
          <w:tcPr>
            <w:tcW w:w="1363"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362"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70</w:t>
            </w:r>
          </w:p>
        </w:tc>
        <w:tc>
          <w:tcPr>
            <w:tcW w:w="2017"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ASTM D86</w:t>
            </w:r>
          </w:p>
        </w:tc>
      </w:tr>
      <w:tr w:rsidR="00E24DB7" w:rsidRPr="002C5876" w:rsidTr="00E24DB7">
        <w:tc>
          <w:tcPr>
            <w:tcW w:w="3539" w:type="dxa"/>
            <w:hideMark/>
          </w:tcPr>
          <w:p w:rsidR="00E24DB7" w:rsidRPr="002C5876" w:rsidRDefault="00E24DB7" w:rsidP="00E24DB7">
            <w:pPr>
              <w:pStyle w:val="Bullet1G"/>
              <w:numPr>
                <w:ilvl w:val="0"/>
                <w:numId w:val="1"/>
              </w:numPr>
              <w:ind w:left="340" w:right="57"/>
              <w:rPr>
                <w:sz w:val="18"/>
                <w:szCs w:val="18"/>
              </w:rPr>
            </w:pPr>
            <w:r w:rsidRPr="002C5876">
              <w:rPr>
                <w:sz w:val="18"/>
                <w:szCs w:val="18"/>
              </w:rPr>
              <w:t>Température de distillation à 50 %</w:t>
            </w:r>
          </w:p>
        </w:tc>
        <w:tc>
          <w:tcPr>
            <w:tcW w:w="1364" w:type="dxa"/>
            <w:gridSpan w:val="2"/>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w:t>
            </w:r>
          </w:p>
        </w:tc>
        <w:tc>
          <w:tcPr>
            <w:tcW w:w="1363"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362"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125</w:t>
            </w:r>
          </w:p>
        </w:tc>
        <w:tc>
          <w:tcPr>
            <w:tcW w:w="2017"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ASTM D86</w:t>
            </w:r>
          </w:p>
        </w:tc>
      </w:tr>
      <w:tr w:rsidR="00E24DB7" w:rsidRPr="002C5876" w:rsidTr="00E24DB7">
        <w:tc>
          <w:tcPr>
            <w:tcW w:w="3539" w:type="dxa"/>
            <w:hideMark/>
          </w:tcPr>
          <w:p w:rsidR="00E24DB7" w:rsidRPr="002C5876" w:rsidRDefault="00E24DB7" w:rsidP="00E24DB7">
            <w:pPr>
              <w:pStyle w:val="Bullet1G"/>
              <w:numPr>
                <w:ilvl w:val="0"/>
                <w:numId w:val="1"/>
              </w:numPr>
              <w:ind w:left="340" w:right="57"/>
              <w:rPr>
                <w:sz w:val="18"/>
                <w:szCs w:val="18"/>
              </w:rPr>
            </w:pPr>
            <w:r w:rsidRPr="002C5876">
              <w:rPr>
                <w:sz w:val="18"/>
                <w:szCs w:val="18"/>
              </w:rPr>
              <w:t>Température de distillation à 90 %</w:t>
            </w:r>
          </w:p>
        </w:tc>
        <w:tc>
          <w:tcPr>
            <w:tcW w:w="1364" w:type="dxa"/>
            <w:gridSpan w:val="2"/>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w:t>
            </w:r>
          </w:p>
        </w:tc>
        <w:tc>
          <w:tcPr>
            <w:tcW w:w="1363"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362"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170</w:t>
            </w:r>
          </w:p>
        </w:tc>
        <w:tc>
          <w:tcPr>
            <w:tcW w:w="2017"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ASTM D86</w:t>
            </w:r>
          </w:p>
        </w:tc>
      </w:tr>
      <w:tr w:rsidR="00E24DB7" w:rsidRPr="002C5876" w:rsidTr="00E24DB7">
        <w:tc>
          <w:tcPr>
            <w:tcW w:w="3539" w:type="dxa"/>
            <w:hideMark/>
          </w:tcPr>
          <w:p w:rsidR="00E24DB7" w:rsidRPr="002C5876" w:rsidRDefault="00E24DB7" w:rsidP="00E24DB7">
            <w:pPr>
              <w:pStyle w:val="Bullet1G"/>
              <w:numPr>
                <w:ilvl w:val="0"/>
                <w:numId w:val="1"/>
              </w:numPr>
              <w:ind w:left="340" w:right="57"/>
              <w:rPr>
                <w:sz w:val="18"/>
                <w:szCs w:val="18"/>
              </w:rPr>
            </w:pPr>
            <w:r w:rsidRPr="002C5876">
              <w:rPr>
                <w:sz w:val="18"/>
                <w:szCs w:val="18"/>
              </w:rPr>
              <w:t>Point d’ébullition final</w:t>
            </w:r>
          </w:p>
        </w:tc>
        <w:tc>
          <w:tcPr>
            <w:tcW w:w="1364" w:type="dxa"/>
            <w:gridSpan w:val="2"/>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w:t>
            </w:r>
          </w:p>
        </w:tc>
        <w:tc>
          <w:tcPr>
            <w:tcW w:w="1363"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362"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225</w:t>
            </w:r>
          </w:p>
        </w:tc>
        <w:tc>
          <w:tcPr>
            <w:tcW w:w="2017"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ASTM D86</w:t>
            </w:r>
          </w:p>
        </w:tc>
      </w:tr>
      <w:tr w:rsidR="00E24DB7" w:rsidRPr="002C5876" w:rsidTr="00E24DB7">
        <w:tc>
          <w:tcPr>
            <w:tcW w:w="3539"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Résidus</w:t>
            </w:r>
          </w:p>
        </w:tc>
        <w:tc>
          <w:tcPr>
            <w:tcW w:w="1364" w:type="dxa"/>
            <w:gridSpan w:val="2"/>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v/v</w:t>
            </w:r>
          </w:p>
        </w:tc>
        <w:tc>
          <w:tcPr>
            <w:tcW w:w="1363"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362"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2,0</w:t>
            </w:r>
          </w:p>
        </w:tc>
        <w:tc>
          <w:tcPr>
            <w:tcW w:w="2017"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ASTM D86</w:t>
            </w:r>
          </w:p>
        </w:tc>
      </w:tr>
      <w:tr w:rsidR="00E24DB7" w:rsidRPr="002C5876" w:rsidTr="00E24DB7">
        <w:tc>
          <w:tcPr>
            <w:tcW w:w="3539"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Teneur en eau</w:t>
            </w:r>
          </w:p>
        </w:tc>
        <w:tc>
          <w:tcPr>
            <w:tcW w:w="1364" w:type="dxa"/>
            <w:gridSpan w:val="2"/>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v/v</w:t>
            </w:r>
          </w:p>
        </w:tc>
        <w:tc>
          <w:tcPr>
            <w:tcW w:w="1363"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362"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0,01</w:t>
            </w:r>
          </w:p>
        </w:tc>
        <w:tc>
          <w:tcPr>
            <w:tcW w:w="2017"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KS M 2115</w:t>
            </w:r>
          </w:p>
        </w:tc>
      </w:tr>
      <w:tr w:rsidR="00E24DB7" w:rsidRPr="002C5876" w:rsidTr="00E24DB7">
        <w:tc>
          <w:tcPr>
            <w:tcW w:w="3539" w:type="dxa"/>
            <w:hideMark/>
          </w:tcPr>
          <w:p w:rsidR="00E24DB7" w:rsidRPr="002C5876" w:rsidRDefault="00E24DB7" w:rsidP="00E24DB7">
            <w:pPr>
              <w:pStyle w:val="Bullet1G"/>
              <w:numPr>
                <w:ilvl w:val="0"/>
                <w:numId w:val="1"/>
              </w:numPr>
              <w:ind w:left="340" w:right="57"/>
              <w:rPr>
                <w:sz w:val="18"/>
                <w:szCs w:val="18"/>
              </w:rPr>
            </w:pPr>
            <w:r w:rsidRPr="002C5876">
              <w:rPr>
                <w:sz w:val="18"/>
                <w:szCs w:val="18"/>
              </w:rPr>
              <w:t>Oléfines</w:t>
            </w:r>
            <w:r w:rsidRPr="002C5876">
              <w:rPr>
                <w:i/>
                <w:sz w:val="18"/>
                <w:szCs w:val="18"/>
                <w:vertAlign w:val="superscript"/>
              </w:rPr>
              <w:t>1</w:t>
            </w:r>
          </w:p>
        </w:tc>
        <w:tc>
          <w:tcPr>
            <w:tcW w:w="1364" w:type="dxa"/>
            <w:gridSpan w:val="2"/>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v/v</w:t>
            </w:r>
          </w:p>
        </w:tc>
        <w:tc>
          <w:tcPr>
            <w:tcW w:w="1363"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362"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16 (19)</w:t>
            </w:r>
          </w:p>
        </w:tc>
        <w:tc>
          <w:tcPr>
            <w:tcW w:w="2017"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KS M 2085, </w:t>
            </w:r>
            <w:r w:rsidRPr="002C5876">
              <w:rPr>
                <w:sz w:val="18"/>
                <w:szCs w:val="18"/>
              </w:rPr>
              <w:br/>
              <w:t xml:space="preserve">ASTM D6296, </w:t>
            </w:r>
            <w:r w:rsidRPr="002C5876">
              <w:rPr>
                <w:sz w:val="18"/>
                <w:szCs w:val="18"/>
              </w:rPr>
              <w:br/>
              <w:t>D6293 et D6839</w:t>
            </w:r>
          </w:p>
        </w:tc>
      </w:tr>
      <w:tr w:rsidR="00E24DB7" w:rsidRPr="002C5876" w:rsidTr="00E24DB7">
        <w:tc>
          <w:tcPr>
            <w:tcW w:w="3539" w:type="dxa"/>
            <w:hideMark/>
          </w:tcPr>
          <w:p w:rsidR="00E24DB7" w:rsidRPr="002C5876" w:rsidRDefault="00E24DB7" w:rsidP="00E24DB7">
            <w:pPr>
              <w:pStyle w:val="Bullet1G"/>
              <w:numPr>
                <w:ilvl w:val="0"/>
                <w:numId w:val="1"/>
              </w:numPr>
              <w:ind w:left="340" w:right="57"/>
              <w:rPr>
                <w:sz w:val="18"/>
                <w:szCs w:val="18"/>
              </w:rPr>
            </w:pPr>
            <w:r w:rsidRPr="002C5876">
              <w:rPr>
                <w:sz w:val="18"/>
                <w:szCs w:val="18"/>
              </w:rPr>
              <w:t>Aromatiques</w:t>
            </w:r>
            <w:r w:rsidRPr="002C5876">
              <w:rPr>
                <w:i/>
                <w:sz w:val="18"/>
                <w:szCs w:val="18"/>
                <w:vertAlign w:val="superscript"/>
              </w:rPr>
              <w:t>1</w:t>
            </w:r>
          </w:p>
        </w:tc>
        <w:tc>
          <w:tcPr>
            <w:tcW w:w="1364" w:type="dxa"/>
            <w:gridSpan w:val="2"/>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v/v</w:t>
            </w:r>
          </w:p>
        </w:tc>
        <w:tc>
          <w:tcPr>
            <w:tcW w:w="1363"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362"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24 (21) </w:t>
            </w:r>
          </w:p>
        </w:tc>
        <w:tc>
          <w:tcPr>
            <w:tcW w:w="2017"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KS M 2407 </w:t>
            </w:r>
            <w:r w:rsidRPr="002C5876">
              <w:rPr>
                <w:sz w:val="18"/>
                <w:szCs w:val="18"/>
              </w:rPr>
              <w:br/>
              <w:t>ASTM D3606, D5580, D6293 et D6839, PIONA</w:t>
            </w:r>
          </w:p>
        </w:tc>
      </w:tr>
      <w:tr w:rsidR="00E24DB7" w:rsidRPr="002C5876" w:rsidTr="00E24DB7">
        <w:tc>
          <w:tcPr>
            <w:tcW w:w="3539" w:type="dxa"/>
            <w:hideMark/>
          </w:tcPr>
          <w:p w:rsidR="00E24DB7" w:rsidRPr="002C5876" w:rsidRDefault="00E24DB7" w:rsidP="00E24DB7">
            <w:pPr>
              <w:pStyle w:val="Bullet1G"/>
              <w:numPr>
                <w:ilvl w:val="0"/>
                <w:numId w:val="1"/>
              </w:numPr>
              <w:ind w:left="340" w:right="57"/>
              <w:rPr>
                <w:sz w:val="18"/>
                <w:szCs w:val="18"/>
              </w:rPr>
            </w:pPr>
            <w:r w:rsidRPr="002C5876">
              <w:rPr>
                <w:sz w:val="18"/>
                <w:szCs w:val="18"/>
              </w:rPr>
              <w:t>Benzène</w:t>
            </w:r>
          </w:p>
        </w:tc>
        <w:tc>
          <w:tcPr>
            <w:tcW w:w="1364" w:type="dxa"/>
            <w:gridSpan w:val="2"/>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v/v</w:t>
            </w:r>
          </w:p>
        </w:tc>
        <w:tc>
          <w:tcPr>
            <w:tcW w:w="1363"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362"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0,7</w:t>
            </w:r>
          </w:p>
        </w:tc>
        <w:tc>
          <w:tcPr>
            <w:tcW w:w="2017"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KS M 2407, </w:t>
            </w:r>
            <w:r w:rsidRPr="002C5876">
              <w:rPr>
                <w:sz w:val="18"/>
                <w:szCs w:val="18"/>
              </w:rPr>
              <w:br/>
              <w:t>ASTM D3606, D5580, D6293 et D6839, PIONA</w:t>
            </w:r>
          </w:p>
        </w:tc>
      </w:tr>
      <w:tr w:rsidR="00E24DB7" w:rsidRPr="002C5876" w:rsidTr="00E24DB7">
        <w:tc>
          <w:tcPr>
            <w:tcW w:w="3539"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Teneur en oxygène</w:t>
            </w:r>
          </w:p>
        </w:tc>
        <w:tc>
          <w:tcPr>
            <w:tcW w:w="1364" w:type="dxa"/>
            <w:gridSpan w:val="2"/>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poids</w:t>
            </w:r>
          </w:p>
        </w:tc>
        <w:tc>
          <w:tcPr>
            <w:tcW w:w="1363"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362"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2,3</w:t>
            </w:r>
          </w:p>
        </w:tc>
        <w:tc>
          <w:tcPr>
            <w:tcW w:w="2017"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KS M 2408, ASTM D4815 et D6839</w:t>
            </w:r>
          </w:p>
        </w:tc>
      </w:tr>
      <w:tr w:rsidR="00E24DB7" w:rsidRPr="002C5876" w:rsidTr="00E24DB7">
        <w:tc>
          <w:tcPr>
            <w:tcW w:w="3539"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Gomme non lavée</w:t>
            </w:r>
          </w:p>
        </w:tc>
        <w:tc>
          <w:tcPr>
            <w:tcW w:w="1364" w:type="dxa"/>
            <w:gridSpan w:val="2"/>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mg/100 ml</w:t>
            </w:r>
          </w:p>
        </w:tc>
        <w:tc>
          <w:tcPr>
            <w:tcW w:w="1363"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362"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5</w:t>
            </w:r>
          </w:p>
        </w:tc>
        <w:tc>
          <w:tcPr>
            <w:tcW w:w="2017"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KS M 2041</w:t>
            </w:r>
          </w:p>
        </w:tc>
      </w:tr>
      <w:tr w:rsidR="00E24DB7" w:rsidRPr="002C5876" w:rsidTr="00E24DB7">
        <w:tc>
          <w:tcPr>
            <w:tcW w:w="3539"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Teneur en soufre</w:t>
            </w:r>
          </w:p>
        </w:tc>
        <w:tc>
          <w:tcPr>
            <w:tcW w:w="1364" w:type="dxa"/>
            <w:gridSpan w:val="2"/>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ppm en poids</w:t>
            </w:r>
          </w:p>
        </w:tc>
        <w:tc>
          <w:tcPr>
            <w:tcW w:w="1363"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362"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10</w:t>
            </w:r>
          </w:p>
        </w:tc>
        <w:tc>
          <w:tcPr>
            <w:tcW w:w="2017"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KS M 2027, </w:t>
            </w:r>
            <w:r w:rsidRPr="002C5876">
              <w:rPr>
                <w:sz w:val="18"/>
                <w:szCs w:val="18"/>
              </w:rPr>
              <w:br/>
              <w:t>ASTM D5453</w:t>
            </w:r>
          </w:p>
        </w:tc>
      </w:tr>
      <w:tr w:rsidR="00E24DB7" w:rsidRPr="002C5876" w:rsidTr="00E24DB7">
        <w:tc>
          <w:tcPr>
            <w:tcW w:w="3539"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Teneur en plomb</w:t>
            </w:r>
          </w:p>
        </w:tc>
        <w:tc>
          <w:tcPr>
            <w:tcW w:w="1364" w:type="dxa"/>
            <w:gridSpan w:val="2"/>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mg/l</w:t>
            </w:r>
          </w:p>
        </w:tc>
        <w:tc>
          <w:tcPr>
            <w:tcW w:w="1363"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362"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13</w:t>
            </w:r>
          </w:p>
        </w:tc>
        <w:tc>
          <w:tcPr>
            <w:tcW w:w="2017"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KS M 2402, </w:t>
            </w:r>
            <w:r w:rsidRPr="002C5876">
              <w:rPr>
                <w:sz w:val="18"/>
                <w:szCs w:val="18"/>
              </w:rPr>
              <w:br/>
              <w:t>ASTM D3237</w:t>
            </w:r>
          </w:p>
        </w:tc>
      </w:tr>
      <w:tr w:rsidR="00E24DB7" w:rsidRPr="002C5876" w:rsidTr="00E24DB7">
        <w:tc>
          <w:tcPr>
            <w:tcW w:w="3539"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Teneur en phosphore</w:t>
            </w:r>
          </w:p>
        </w:tc>
        <w:tc>
          <w:tcPr>
            <w:tcW w:w="1364" w:type="dxa"/>
            <w:gridSpan w:val="2"/>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mg/l</w:t>
            </w:r>
          </w:p>
        </w:tc>
        <w:tc>
          <w:tcPr>
            <w:tcW w:w="1363"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362"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1,3</w:t>
            </w:r>
          </w:p>
        </w:tc>
        <w:tc>
          <w:tcPr>
            <w:tcW w:w="2017"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KS M 2403, </w:t>
            </w:r>
            <w:r w:rsidRPr="002C5876">
              <w:rPr>
                <w:sz w:val="18"/>
                <w:szCs w:val="18"/>
              </w:rPr>
              <w:br/>
              <w:t>ASTM D3231</w:t>
            </w:r>
          </w:p>
        </w:tc>
      </w:tr>
      <w:tr w:rsidR="00E24DB7" w:rsidRPr="002C5876" w:rsidTr="00E24DB7">
        <w:tc>
          <w:tcPr>
            <w:tcW w:w="3539"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Méthanol</w:t>
            </w:r>
          </w:p>
        </w:tc>
        <w:tc>
          <w:tcPr>
            <w:tcW w:w="1364" w:type="dxa"/>
            <w:gridSpan w:val="2"/>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poids</w:t>
            </w:r>
          </w:p>
        </w:tc>
        <w:tc>
          <w:tcPr>
            <w:tcW w:w="1363"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362"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0,01</w:t>
            </w:r>
          </w:p>
        </w:tc>
        <w:tc>
          <w:tcPr>
            <w:tcW w:w="2017"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KS M 2408</w:t>
            </w:r>
          </w:p>
        </w:tc>
      </w:tr>
      <w:tr w:rsidR="00E24DB7" w:rsidRPr="002C5876" w:rsidTr="00E24DB7">
        <w:tc>
          <w:tcPr>
            <w:tcW w:w="3539"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Stabilité à l’oxydation</w:t>
            </w:r>
          </w:p>
        </w:tc>
        <w:tc>
          <w:tcPr>
            <w:tcW w:w="1364" w:type="dxa"/>
            <w:gridSpan w:val="2"/>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min.</w:t>
            </w:r>
          </w:p>
        </w:tc>
        <w:tc>
          <w:tcPr>
            <w:tcW w:w="1363"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480</w:t>
            </w:r>
          </w:p>
        </w:tc>
        <w:tc>
          <w:tcPr>
            <w:tcW w:w="1362"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2017"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KS M 2043</w:t>
            </w:r>
          </w:p>
        </w:tc>
      </w:tr>
      <w:tr w:rsidR="00E24DB7" w:rsidRPr="002C5876" w:rsidTr="00E24DB7">
        <w:tc>
          <w:tcPr>
            <w:tcW w:w="3539" w:type="dxa"/>
            <w:tcBorders>
              <w:bottom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Corrosion du cuivre</w:t>
            </w:r>
          </w:p>
        </w:tc>
        <w:tc>
          <w:tcPr>
            <w:tcW w:w="1364" w:type="dxa"/>
            <w:gridSpan w:val="2"/>
            <w:tcBorders>
              <w:bottom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50 °C, 3 h</w:t>
            </w:r>
          </w:p>
        </w:tc>
        <w:tc>
          <w:tcPr>
            <w:tcW w:w="1363" w:type="dxa"/>
            <w:tcBorders>
              <w:bottom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362" w:type="dxa"/>
            <w:tcBorders>
              <w:bottom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w:t>
            </w:r>
          </w:p>
        </w:tc>
        <w:tc>
          <w:tcPr>
            <w:tcW w:w="2017" w:type="dxa"/>
            <w:tcBorders>
              <w:bottom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KS M 2018</w:t>
            </w:r>
          </w:p>
        </w:tc>
      </w:tr>
      <w:tr w:rsidR="00E24DB7" w:rsidRPr="002C5876" w:rsidTr="00E24DB7">
        <w:tc>
          <w:tcPr>
            <w:tcW w:w="3539" w:type="dxa"/>
            <w:tcBorders>
              <w:bottom w:val="single" w:sz="12"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Couleur</w:t>
            </w:r>
          </w:p>
        </w:tc>
        <w:tc>
          <w:tcPr>
            <w:tcW w:w="1364" w:type="dxa"/>
            <w:gridSpan w:val="2"/>
            <w:tcBorders>
              <w:bottom w:val="single" w:sz="12"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Jaune</w:t>
            </w:r>
          </w:p>
        </w:tc>
        <w:tc>
          <w:tcPr>
            <w:tcW w:w="1363" w:type="dxa"/>
            <w:tcBorders>
              <w:bottom w:val="single" w:sz="12"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362" w:type="dxa"/>
            <w:tcBorders>
              <w:bottom w:val="single" w:sz="12"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2017" w:type="dxa"/>
            <w:tcBorders>
              <w:bottom w:val="single" w:sz="12"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Essai de perception</w:t>
            </w:r>
          </w:p>
        </w:tc>
      </w:tr>
    </w:tbl>
    <w:p w:rsidR="00E24DB7" w:rsidRPr="002C5876" w:rsidRDefault="00E24DB7" w:rsidP="00E24DB7">
      <w:pPr>
        <w:pStyle w:val="SingleTxtG"/>
        <w:spacing w:before="120" w:after="240"/>
        <w:ind w:left="0" w:right="0" w:firstLine="170"/>
        <w:jc w:val="left"/>
        <w:rPr>
          <w:sz w:val="18"/>
          <w:szCs w:val="18"/>
        </w:rPr>
      </w:pPr>
      <w:r w:rsidRPr="002C5876">
        <w:rPr>
          <w:i/>
          <w:sz w:val="18"/>
          <w:szCs w:val="18"/>
          <w:vertAlign w:val="superscript"/>
        </w:rPr>
        <w:t>1</w:t>
      </w:r>
      <w:r w:rsidRPr="002C5876">
        <w:rPr>
          <w:sz w:val="18"/>
          <w:szCs w:val="18"/>
        </w:rPr>
        <w:t xml:space="preserve">  La norme entre parenthèses peut s’appliquer aux oléfines. Dans ce cas, la valeur entre parenthèses pour les aromatiques s’applique.</w:t>
      </w:r>
    </w:p>
    <w:p w:rsidR="00E24DB7" w:rsidRPr="002C5876" w:rsidRDefault="00E24DB7" w:rsidP="00E24DB7">
      <w:pPr>
        <w:pStyle w:val="SingleTxtG"/>
        <w:keepNext/>
        <w:ind w:left="2268" w:hanging="1134"/>
      </w:pPr>
      <w:r w:rsidRPr="002C5876">
        <w:br w:type="page"/>
      </w:r>
      <w:r w:rsidRPr="002C5876">
        <w:lastRenderedPageBreak/>
        <w:t>3.3</w:t>
      </w:r>
      <w:r w:rsidRPr="002C5876">
        <w:tab/>
      </w:r>
      <w:r w:rsidRPr="002C5876">
        <w:tab/>
        <w:t>Essence (indice d’octane recherche nominal 100, E0)</w:t>
      </w:r>
    </w:p>
    <w:p w:rsidR="00E24DB7" w:rsidRPr="002C5876" w:rsidRDefault="00E24DB7" w:rsidP="00E24DB7">
      <w:pPr>
        <w:pStyle w:val="H23G"/>
        <w:ind w:left="0" w:firstLine="0"/>
      </w:pPr>
      <w:r w:rsidRPr="002C5876">
        <w:rPr>
          <w:b w:val="0"/>
        </w:rPr>
        <w:t>Tableau A3/3</w:t>
      </w:r>
      <w:r w:rsidRPr="002C5876">
        <w:t xml:space="preserve"> </w:t>
      </w:r>
      <w:r w:rsidRPr="002C5876">
        <w:br/>
        <w:t>Essence (indice d’octane recherche nominal 100, E0)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7"/>
        <w:gridCol w:w="1362"/>
        <w:gridCol w:w="1362"/>
        <w:gridCol w:w="1362"/>
        <w:gridCol w:w="2016"/>
      </w:tblGrid>
      <w:tr w:rsidR="00E24DB7" w:rsidRPr="002C5876" w:rsidTr="00E24DB7">
        <w:trPr>
          <w:tblHeader/>
        </w:trPr>
        <w:tc>
          <w:tcPr>
            <w:tcW w:w="3539" w:type="dxa"/>
            <w:vMerge w:val="restart"/>
            <w:tcBorders>
              <w:top w:val="single" w:sz="4" w:space="0" w:color="auto"/>
              <w:left w:val="single" w:sz="4" w:space="0" w:color="auto"/>
              <w:bottom w:val="single" w:sz="4" w:space="0" w:color="auto"/>
              <w:right w:val="single" w:sz="4" w:space="0" w:color="auto"/>
            </w:tcBorders>
            <w:vAlign w:val="bottom"/>
            <w:hideMark/>
          </w:tcPr>
          <w:p w:rsidR="00E24DB7" w:rsidRPr="002C5876" w:rsidRDefault="00E24DB7" w:rsidP="00E24DB7">
            <w:pPr>
              <w:keepNext/>
              <w:suppressAutoHyphens w:val="0"/>
              <w:spacing w:before="80" w:after="80" w:line="200" w:lineRule="exact"/>
              <w:ind w:left="57" w:right="57"/>
              <w:rPr>
                <w:i/>
                <w:sz w:val="16"/>
                <w:szCs w:val="16"/>
              </w:rPr>
            </w:pPr>
            <w:r w:rsidRPr="002C5876">
              <w:rPr>
                <w:i/>
                <w:sz w:val="16"/>
                <w:szCs w:val="16"/>
              </w:rPr>
              <w:t>Propriété du carburant/Composé</w:t>
            </w:r>
          </w:p>
        </w:tc>
        <w:tc>
          <w:tcPr>
            <w:tcW w:w="1363" w:type="dxa"/>
            <w:vMerge w:val="restart"/>
            <w:tcBorders>
              <w:top w:val="single" w:sz="4" w:space="0" w:color="auto"/>
              <w:left w:val="single" w:sz="4" w:space="0" w:color="auto"/>
              <w:bottom w:val="single" w:sz="4" w:space="0" w:color="auto"/>
              <w:right w:val="single" w:sz="4" w:space="0" w:color="auto"/>
            </w:tcBorders>
            <w:vAlign w:val="bottom"/>
            <w:hideMark/>
          </w:tcPr>
          <w:p w:rsidR="00E24DB7" w:rsidRPr="002C5876" w:rsidRDefault="00E24DB7" w:rsidP="00E24DB7">
            <w:pPr>
              <w:keepNext/>
              <w:suppressAutoHyphens w:val="0"/>
              <w:spacing w:before="80" w:after="80" w:line="200" w:lineRule="exact"/>
              <w:ind w:left="57" w:right="57"/>
              <w:rPr>
                <w:i/>
                <w:sz w:val="16"/>
                <w:szCs w:val="16"/>
              </w:rPr>
            </w:pPr>
            <w:r w:rsidRPr="002C5876">
              <w:rPr>
                <w:i/>
                <w:sz w:val="16"/>
                <w:szCs w:val="16"/>
              </w:rPr>
              <w:t>Unité</w:t>
            </w:r>
          </w:p>
        </w:tc>
        <w:tc>
          <w:tcPr>
            <w:tcW w:w="2726"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keepNext/>
              <w:suppressAutoHyphens w:val="0"/>
              <w:spacing w:before="80" w:after="80" w:line="200" w:lineRule="exact"/>
              <w:ind w:left="57" w:right="57"/>
              <w:jc w:val="center"/>
              <w:rPr>
                <w:i/>
                <w:sz w:val="16"/>
                <w:szCs w:val="16"/>
              </w:rPr>
            </w:pPr>
            <w:r w:rsidRPr="002C5876">
              <w:rPr>
                <w:i/>
                <w:sz w:val="16"/>
                <w:szCs w:val="16"/>
              </w:rPr>
              <w:t>Norme</w:t>
            </w:r>
          </w:p>
        </w:tc>
        <w:tc>
          <w:tcPr>
            <w:tcW w:w="2017" w:type="dxa"/>
            <w:vMerge w:val="restart"/>
            <w:tcBorders>
              <w:top w:val="single" w:sz="4" w:space="0" w:color="auto"/>
              <w:left w:val="single" w:sz="4" w:space="0" w:color="auto"/>
              <w:bottom w:val="single" w:sz="4" w:space="0" w:color="auto"/>
              <w:right w:val="single" w:sz="4" w:space="0" w:color="auto"/>
            </w:tcBorders>
            <w:vAlign w:val="bottom"/>
            <w:hideMark/>
          </w:tcPr>
          <w:p w:rsidR="00E24DB7" w:rsidRPr="002C5876" w:rsidRDefault="00E24DB7" w:rsidP="00E24DB7">
            <w:pPr>
              <w:keepNext/>
              <w:suppressAutoHyphens w:val="0"/>
              <w:spacing w:before="80" w:after="80" w:line="200" w:lineRule="exact"/>
              <w:ind w:left="57" w:right="57"/>
              <w:rPr>
                <w:i/>
                <w:sz w:val="16"/>
                <w:szCs w:val="16"/>
              </w:rPr>
            </w:pPr>
            <w:r w:rsidRPr="002C5876">
              <w:rPr>
                <w:i/>
                <w:sz w:val="16"/>
                <w:szCs w:val="16"/>
              </w:rPr>
              <w:t>Méthode d’essai</w:t>
            </w:r>
          </w:p>
        </w:tc>
      </w:tr>
      <w:tr w:rsidR="00E24DB7" w:rsidRPr="002C5876" w:rsidTr="00E24DB7">
        <w:trPr>
          <w:tblHeader/>
        </w:trPr>
        <w:tc>
          <w:tcPr>
            <w:tcW w:w="3539" w:type="dxa"/>
            <w:vMerge/>
            <w:tcBorders>
              <w:top w:val="single" w:sz="4" w:space="0" w:color="auto"/>
              <w:left w:val="single" w:sz="4" w:space="0" w:color="auto"/>
              <w:bottom w:val="single" w:sz="12" w:space="0" w:color="auto"/>
              <w:right w:val="single" w:sz="4" w:space="0" w:color="auto"/>
            </w:tcBorders>
            <w:vAlign w:val="center"/>
            <w:hideMark/>
          </w:tcPr>
          <w:p w:rsidR="00E24DB7" w:rsidRPr="002C5876" w:rsidRDefault="00E24DB7" w:rsidP="00E24DB7">
            <w:pPr>
              <w:keepNext/>
              <w:suppressAutoHyphens w:val="0"/>
              <w:spacing w:before="80" w:after="80" w:line="200" w:lineRule="exact"/>
              <w:ind w:left="57" w:right="57"/>
              <w:rPr>
                <w:i/>
                <w:sz w:val="16"/>
                <w:szCs w:val="16"/>
              </w:rPr>
            </w:pPr>
          </w:p>
        </w:tc>
        <w:tc>
          <w:tcPr>
            <w:tcW w:w="1363" w:type="dxa"/>
            <w:vMerge/>
            <w:tcBorders>
              <w:top w:val="single" w:sz="4" w:space="0" w:color="auto"/>
              <w:left w:val="single" w:sz="4" w:space="0" w:color="auto"/>
              <w:bottom w:val="single" w:sz="12" w:space="0" w:color="auto"/>
              <w:right w:val="single" w:sz="4" w:space="0" w:color="auto"/>
            </w:tcBorders>
            <w:vAlign w:val="center"/>
            <w:hideMark/>
          </w:tcPr>
          <w:p w:rsidR="00E24DB7" w:rsidRPr="002C5876" w:rsidRDefault="00E24DB7" w:rsidP="00E24DB7">
            <w:pPr>
              <w:keepNext/>
              <w:suppressAutoHyphens w:val="0"/>
              <w:spacing w:before="80" w:after="80" w:line="200" w:lineRule="exact"/>
              <w:ind w:left="57" w:right="57"/>
              <w:rPr>
                <w:i/>
                <w:sz w:val="16"/>
                <w:szCs w:val="16"/>
              </w:rPr>
            </w:pPr>
          </w:p>
        </w:tc>
        <w:tc>
          <w:tcPr>
            <w:tcW w:w="1363" w:type="dxa"/>
            <w:tcBorders>
              <w:top w:val="single" w:sz="4" w:space="0" w:color="auto"/>
              <w:left w:val="single" w:sz="4" w:space="0" w:color="auto"/>
              <w:bottom w:val="single" w:sz="12" w:space="0" w:color="auto"/>
              <w:right w:val="single" w:sz="4" w:space="0" w:color="auto"/>
            </w:tcBorders>
            <w:vAlign w:val="bottom"/>
            <w:hideMark/>
          </w:tcPr>
          <w:p w:rsidR="00E24DB7" w:rsidRPr="002C5876" w:rsidRDefault="00E24DB7" w:rsidP="00E24DB7">
            <w:pPr>
              <w:keepNext/>
              <w:suppressAutoHyphens w:val="0"/>
              <w:spacing w:before="80" w:after="80" w:line="200" w:lineRule="exact"/>
              <w:ind w:left="57" w:right="57"/>
              <w:rPr>
                <w:i/>
                <w:sz w:val="16"/>
                <w:szCs w:val="16"/>
              </w:rPr>
            </w:pPr>
            <w:r w:rsidRPr="002C5876">
              <w:rPr>
                <w:i/>
                <w:sz w:val="16"/>
                <w:szCs w:val="16"/>
              </w:rPr>
              <w:t>Minimum</w:t>
            </w:r>
          </w:p>
        </w:tc>
        <w:tc>
          <w:tcPr>
            <w:tcW w:w="1363" w:type="dxa"/>
            <w:tcBorders>
              <w:top w:val="single" w:sz="4" w:space="0" w:color="auto"/>
              <w:left w:val="single" w:sz="4" w:space="0" w:color="auto"/>
              <w:bottom w:val="single" w:sz="12" w:space="0" w:color="auto"/>
              <w:right w:val="single" w:sz="4" w:space="0" w:color="auto"/>
            </w:tcBorders>
            <w:vAlign w:val="bottom"/>
            <w:hideMark/>
          </w:tcPr>
          <w:p w:rsidR="00E24DB7" w:rsidRPr="002C5876" w:rsidRDefault="00E24DB7" w:rsidP="00E24DB7">
            <w:pPr>
              <w:keepNext/>
              <w:suppressAutoHyphens w:val="0"/>
              <w:spacing w:before="80" w:after="80" w:line="200" w:lineRule="exact"/>
              <w:ind w:left="57" w:right="57"/>
              <w:rPr>
                <w:i/>
                <w:sz w:val="16"/>
                <w:szCs w:val="16"/>
              </w:rPr>
            </w:pPr>
            <w:r w:rsidRPr="002C5876">
              <w:rPr>
                <w:i/>
                <w:sz w:val="16"/>
                <w:szCs w:val="16"/>
              </w:rPr>
              <w:t>Maximum</w:t>
            </w:r>
          </w:p>
        </w:tc>
        <w:tc>
          <w:tcPr>
            <w:tcW w:w="2017" w:type="dxa"/>
            <w:vMerge/>
            <w:tcBorders>
              <w:top w:val="single" w:sz="4" w:space="0" w:color="auto"/>
              <w:left w:val="single" w:sz="4" w:space="0" w:color="auto"/>
              <w:bottom w:val="single" w:sz="12" w:space="0" w:color="auto"/>
              <w:right w:val="single" w:sz="4" w:space="0" w:color="auto"/>
            </w:tcBorders>
            <w:vAlign w:val="center"/>
            <w:hideMark/>
          </w:tcPr>
          <w:p w:rsidR="00E24DB7" w:rsidRPr="002C5876" w:rsidRDefault="00E24DB7" w:rsidP="00E24DB7">
            <w:pPr>
              <w:keepNext/>
              <w:suppressAutoHyphens w:val="0"/>
              <w:spacing w:before="80" w:after="80" w:line="200" w:lineRule="exact"/>
              <w:ind w:left="57" w:right="57"/>
              <w:rPr>
                <w:i/>
                <w:sz w:val="16"/>
                <w:szCs w:val="16"/>
              </w:rPr>
            </w:pPr>
          </w:p>
        </w:tc>
      </w:tr>
      <w:tr w:rsidR="00E24DB7" w:rsidRPr="002C5876" w:rsidTr="00E24DB7">
        <w:tc>
          <w:tcPr>
            <w:tcW w:w="3539"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Indice d’octane recherche (IOR)</w:t>
            </w:r>
          </w:p>
        </w:tc>
        <w:tc>
          <w:tcPr>
            <w:tcW w:w="1363" w:type="dxa"/>
            <w:tcBorders>
              <w:top w:val="single" w:sz="12"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3"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99</w:t>
            </w:r>
          </w:p>
        </w:tc>
        <w:tc>
          <w:tcPr>
            <w:tcW w:w="1363"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101</w:t>
            </w:r>
          </w:p>
        </w:tc>
        <w:tc>
          <w:tcPr>
            <w:tcW w:w="2017"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JIS K2280</w:t>
            </w:r>
          </w:p>
        </w:tc>
      </w:tr>
      <w:tr w:rsidR="00E24DB7" w:rsidRPr="002C5876" w:rsidTr="00E24DB7">
        <w:tc>
          <w:tcPr>
            <w:tcW w:w="3539"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Indice d’octane moteur (IOM)</w:t>
            </w:r>
          </w:p>
        </w:tc>
        <w:tc>
          <w:tcPr>
            <w:tcW w:w="1363"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86</w:t>
            </w:r>
          </w:p>
        </w:tc>
        <w:tc>
          <w:tcPr>
            <w:tcW w:w="136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88</w:t>
            </w:r>
          </w:p>
        </w:tc>
        <w:tc>
          <w:tcPr>
            <w:tcW w:w="201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JIS K2280</w:t>
            </w:r>
          </w:p>
        </w:tc>
      </w:tr>
      <w:tr w:rsidR="00E24DB7" w:rsidRPr="002C5876" w:rsidTr="00E24DB7">
        <w:tc>
          <w:tcPr>
            <w:tcW w:w="3539"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Densité</w:t>
            </w:r>
          </w:p>
        </w:tc>
        <w:tc>
          <w:tcPr>
            <w:tcW w:w="136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g/cm³</w:t>
            </w:r>
          </w:p>
        </w:tc>
        <w:tc>
          <w:tcPr>
            <w:tcW w:w="136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0,740</w:t>
            </w:r>
          </w:p>
        </w:tc>
        <w:tc>
          <w:tcPr>
            <w:tcW w:w="136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0,754</w:t>
            </w:r>
          </w:p>
        </w:tc>
        <w:tc>
          <w:tcPr>
            <w:tcW w:w="201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JIS K2249</w:t>
            </w:r>
          </w:p>
        </w:tc>
      </w:tr>
      <w:tr w:rsidR="00E24DB7" w:rsidRPr="002C5876" w:rsidTr="00E24DB7">
        <w:tc>
          <w:tcPr>
            <w:tcW w:w="3539"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Pression de vapeur</w:t>
            </w:r>
          </w:p>
        </w:tc>
        <w:tc>
          <w:tcPr>
            <w:tcW w:w="136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kPa</w:t>
            </w:r>
          </w:p>
        </w:tc>
        <w:tc>
          <w:tcPr>
            <w:tcW w:w="136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56</w:t>
            </w:r>
          </w:p>
        </w:tc>
        <w:tc>
          <w:tcPr>
            <w:tcW w:w="136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60</w:t>
            </w:r>
          </w:p>
        </w:tc>
        <w:tc>
          <w:tcPr>
            <w:tcW w:w="201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JIS K2258</w:t>
            </w:r>
          </w:p>
        </w:tc>
      </w:tr>
      <w:tr w:rsidR="00E24DB7" w:rsidRPr="002C5876" w:rsidTr="00E24DB7">
        <w:tc>
          <w:tcPr>
            <w:tcW w:w="3539"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Distillation :</w:t>
            </w:r>
          </w:p>
        </w:tc>
        <w:tc>
          <w:tcPr>
            <w:tcW w:w="1363"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3"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3"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2017"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r>
      <w:tr w:rsidR="00E24DB7" w:rsidRPr="002C5876" w:rsidTr="00E24DB7">
        <w:tc>
          <w:tcPr>
            <w:tcW w:w="3539"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pStyle w:val="Bullet1G"/>
              <w:numPr>
                <w:ilvl w:val="0"/>
                <w:numId w:val="1"/>
              </w:numPr>
              <w:ind w:left="340" w:right="57"/>
              <w:rPr>
                <w:sz w:val="18"/>
                <w:szCs w:val="18"/>
              </w:rPr>
            </w:pPr>
            <w:r w:rsidRPr="002C5876">
              <w:rPr>
                <w:sz w:val="18"/>
                <w:szCs w:val="18"/>
              </w:rPr>
              <w:t>Température de distillation à 10 %</w:t>
            </w:r>
          </w:p>
        </w:tc>
        <w:tc>
          <w:tcPr>
            <w:tcW w:w="136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 (°C)</w:t>
            </w:r>
          </w:p>
        </w:tc>
        <w:tc>
          <w:tcPr>
            <w:tcW w:w="136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318 (45)</w:t>
            </w:r>
          </w:p>
        </w:tc>
        <w:tc>
          <w:tcPr>
            <w:tcW w:w="136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328 (55)</w:t>
            </w:r>
          </w:p>
        </w:tc>
        <w:tc>
          <w:tcPr>
            <w:tcW w:w="201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JIS K2254</w:t>
            </w:r>
          </w:p>
        </w:tc>
      </w:tr>
      <w:tr w:rsidR="00E24DB7" w:rsidRPr="002C5876" w:rsidTr="00E24DB7">
        <w:tc>
          <w:tcPr>
            <w:tcW w:w="3539"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pStyle w:val="Bullet1G"/>
              <w:numPr>
                <w:ilvl w:val="0"/>
                <w:numId w:val="1"/>
              </w:numPr>
              <w:ind w:left="340" w:right="57"/>
              <w:rPr>
                <w:sz w:val="18"/>
                <w:szCs w:val="18"/>
              </w:rPr>
            </w:pPr>
            <w:r w:rsidRPr="002C5876">
              <w:rPr>
                <w:sz w:val="18"/>
                <w:szCs w:val="18"/>
              </w:rPr>
              <w:t>Température de distillation à 50 %</w:t>
            </w:r>
          </w:p>
        </w:tc>
        <w:tc>
          <w:tcPr>
            <w:tcW w:w="136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 (°C)</w:t>
            </w:r>
          </w:p>
        </w:tc>
        <w:tc>
          <w:tcPr>
            <w:tcW w:w="136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363 (90)</w:t>
            </w:r>
          </w:p>
        </w:tc>
        <w:tc>
          <w:tcPr>
            <w:tcW w:w="136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373 (100)</w:t>
            </w:r>
          </w:p>
        </w:tc>
        <w:tc>
          <w:tcPr>
            <w:tcW w:w="201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JIS K2254</w:t>
            </w:r>
          </w:p>
        </w:tc>
      </w:tr>
      <w:tr w:rsidR="00E24DB7" w:rsidRPr="002C5876" w:rsidTr="00E24DB7">
        <w:tc>
          <w:tcPr>
            <w:tcW w:w="3539"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pStyle w:val="Bullet1G"/>
              <w:numPr>
                <w:ilvl w:val="0"/>
                <w:numId w:val="1"/>
              </w:numPr>
              <w:ind w:left="340" w:right="57"/>
              <w:rPr>
                <w:sz w:val="18"/>
                <w:szCs w:val="18"/>
              </w:rPr>
            </w:pPr>
            <w:r w:rsidRPr="002C5876">
              <w:rPr>
                <w:sz w:val="18"/>
                <w:szCs w:val="18"/>
              </w:rPr>
              <w:t>Température de distillation à 90 %</w:t>
            </w:r>
          </w:p>
        </w:tc>
        <w:tc>
          <w:tcPr>
            <w:tcW w:w="136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 (°C)</w:t>
            </w:r>
          </w:p>
        </w:tc>
        <w:tc>
          <w:tcPr>
            <w:tcW w:w="136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413 (140)</w:t>
            </w:r>
          </w:p>
        </w:tc>
        <w:tc>
          <w:tcPr>
            <w:tcW w:w="136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443 (170)</w:t>
            </w:r>
          </w:p>
        </w:tc>
        <w:tc>
          <w:tcPr>
            <w:tcW w:w="201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JIS K2254</w:t>
            </w:r>
          </w:p>
        </w:tc>
      </w:tr>
      <w:tr w:rsidR="00E24DB7" w:rsidRPr="002C5876" w:rsidTr="00E24DB7">
        <w:tc>
          <w:tcPr>
            <w:tcW w:w="3539"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pStyle w:val="Bullet1G"/>
              <w:numPr>
                <w:ilvl w:val="0"/>
                <w:numId w:val="1"/>
              </w:numPr>
              <w:ind w:left="340" w:right="57"/>
              <w:rPr>
                <w:sz w:val="18"/>
                <w:szCs w:val="18"/>
              </w:rPr>
            </w:pPr>
            <w:r w:rsidRPr="002C5876">
              <w:rPr>
                <w:sz w:val="18"/>
                <w:szCs w:val="18"/>
              </w:rPr>
              <w:t>Point d’ébullition final</w:t>
            </w:r>
          </w:p>
        </w:tc>
        <w:tc>
          <w:tcPr>
            <w:tcW w:w="136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 (°C)</w:t>
            </w:r>
          </w:p>
        </w:tc>
        <w:tc>
          <w:tcPr>
            <w:tcW w:w="1363"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488 (215)</w:t>
            </w:r>
          </w:p>
        </w:tc>
        <w:tc>
          <w:tcPr>
            <w:tcW w:w="201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JIS K2254</w:t>
            </w:r>
          </w:p>
        </w:tc>
      </w:tr>
      <w:tr w:rsidR="00E24DB7" w:rsidRPr="002C5876" w:rsidTr="00E24DB7">
        <w:tc>
          <w:tcPr>
            <w:tcW w:w="3539"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pStyle w:val="Bullet1G"/>
              <w:numPr>
                <w:ilvl w:val="0"/>
                <w:numId w:val="1"/>
              </w:numPr>
              <w:ind w:left="340" w:right="57"/>
              <w:rPr>
                <w:sz w:val="18"/>
                <w:szCs w:val="18"/>
              </w:rPr>
            </w:pPr>
            <w:r w:rsidRPr="002C5876">
              <w:rPr>
                <w:sz w:val="18"/>
                <w:szCs w:val="18"/>
              </w:rPr>
              <w:t>Oléfines</w:t>
            </w:r>
          </w:p>
        </w:tc>
        <w:tc>
          <w:tcPr>
            <w:tcW w:w="136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v/v</w:t>
            </w:r>
          </w:p>
        </w:tc>
        <w:tc>
          <w:tcPr>
            <w:tcW w:w="136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15</w:t>
            </w:r>
          </w:p>
        </w:tc>
        <w:tc>
          <w:tcPr>
            <w:tcW w:w="136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25</w:t>
            </w:r>
          </w:p>
        </w:tc>
        <w:tc>
          <w:tcPr>
            <w:tcW w:w="201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JIS K2536-1 </w:t>
            </w:r>
            <w:r w:rsidRPr="002C5876">
              <w:rPr>
                <w:sz w:val="18"/>
                <w:szCs w:val="18"/>
              </w:rPr>
              <w:br/>
              <w:t>JIS K2536-2</w:t>
            </w:r>
          </w:p>
        </w:tc>
      </w:tr>
      <w:tr w:rsidR="00E24DB7" w:rsidRPr="00D53F39" w:rsidTr="00E24DB7">
        <w:tc>
          <w:tcPr>
            <w:tcW w:w="3539"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pStyle w:val="Bullet1G"/>
              <w:numPr>
                <w:ilvl w:val="0"/>
                <w:numId w:val="1"/>
              </w:numPr>
              <w:ind w:left="340" w:right="57"/>
              <w:rPr>
                <w:sz w:val="18"/>
                <w:szCs w:val="18"/>
              </w:rPr>
            </w:pPr>
            <w:r w:rsidRPr="002C5876">
              <w:rPr>
                <w:sz w:val="18"/>
                <w:szCs w:val="18"/>
              </w:rPr>
              <w:t>Aromatiques</w:t>
            </w:r>
          </w:p>
        </w:tc>
        <w:tc>
          <w:tcPr>
            <w:tcW w:w="136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v/v</w:t>
            </w:r>
          </w:p>
        </w:tc>
        <w:tc>
          <w:tcPr>
            <w:tcW w:w="136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20</w:t>
            </w:r>
          </w:p>
        </w:tc>
        <w:tc>
          <w:tcPr>
            <w:tcW w:w="136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45</w:t>
            </w:r>
          </w:p>
        </w:tc>
        <w:tc>
          <w:tcPr>
            <w:tcW w:w="2017" w:type="dxa"/>
            <w:tcBorders>
              <w:top w:val="single" w:sz="4" w:space="0" w:color="auto"/>
              <w:left w:val="single" w:sz="4" w:space="0" w:color="auto"/>
              <w:bottom w:val="single" w:sz="4" w:space="0" w:color="auto"/>
              <w:right w:val="single" w:sz="4" w:space="0" w:color="auto"/>
            </w:tcBorders>
            <w:hideMark/>
          </w:tcPr>
          <w:p w:rsidR="00E24DB7" w:rsidRPr="00D53F39" w:rsidRDefault="00E24DB7" w:rsidP="00E24DB7">
            <w:pPr>
              <w:suppressAutoHyphens w:val="0"/>
              <w:spacing w:before="60" w:after="60" w:line="220" w:lineRule="atLeast"/>
              <w:ind w:left="57" w:right="57"/>
              <w:rPr>
                <w:sz w:val="18"/>
                <w:szCs w:val="18"/>
                <w:lang w:val="en-US"/>
              </w:rPr>
            </w:pPr>
            <w:r w:rsidRPr="00D53F39">
              <w:rPr>
                <w:sz w:val="18"/>
                <w:szCs w:val="18"/>
                <w:lang w:val="en-US"/>
              </w:rPr>
              <w:t xml:space="preserve">JIS K2536-1 </w:t>
            </w:r>
            <w:r w:rsidRPr="00D53F39">
              <w:rPr>
                <w:sz w:val="18"/>
                <w:szCs w:val="18"/>
                <w:lang w:val="en-US"/>
              </w:rPr>
              <w:br/>
              <w:t xml:space="preserve">JIS K2536-2 </w:t>
            </w:r>
            <w:r w:rsidRPr="00D53F39">
              <w:rPr>
                <w:sz w:val="18"/>
                <w:szCs w:val="18"/>
                <w:lang w:val="en-US"/>
              </w:rPr>
              <w:br/>
              <w:t>JIS K2536-3</w:t>
            </w:r>
          </w:p>
        </w:tc>
      </w:tr>
      <w:tr w:rsidR="00E24DB7" w:rsidRPr="00D53F39" w:rsidTr="00E24DB7">
        <w:tc>
          <w:tcPr>
            <w:tcW w:w="3539"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pStyle w:val="Bullet1G"/>
              <w:numPr>
                <w:ilvl w:val="0"/>
                <w:numId w:val="1"/>
              </w:numPr>
              <w:ind w:left="340" w:right="57"/>
              <w:rPr>
                <w:sz w:val="18"/>
                <w:szCs w:val="18"/>
              </w:rPr>
            </w:pPr>
            <w:r w:rsidRPr="002C5876">
              <w:rPr>
                <w:sz w:val="18"/>
                <w:szCs w:val="18"/>
              </w:rPr>
              <w:t>Benzène</w:t>
            </w:r>
          </w:p>
        </w:tc>
        <w:tc>
          <w:tcPr>
            <w:tcW w:w="136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v/v</w:t>
            </w:r>
          </w:p>
        </w:tc>
        <w:tc>
          <w:tcPr>
            <w:tcW w:w="1363"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1,0</w:t>
            </w:r>
          </w:p>
        </w:tc>
        <w:tc>
          <w:tcPr>
            <w:tcW w:w="2017" w:type="dxa"/>
            <w:tcBorders>
              <w:top w:val="single" w:sz="4" w:space="0" w:color="auto"/>
              <w:left w:val="single" w:sz="4" w:space="0" w:color="auto"/>
              <w:bottom w:val="single" w:sz="4" w:space="0" w:color="auto"/>
              <w:right w:val="single" w:sz="4" w:space="0" w:color="auto"/>
            </w:tcBorders>
            <w:hideMark/>
          </w:tcPr>
          <w:p w:rsidR="00E24DB7" w:rsidRPr="00D53F39" w:rsidRDefault="00E24DB7" w:rsidP="00E24DB7">
            <w:pPr>
              <w:suppressAutoHyphens w:val="0"/>
              <w:spacing w:before="60" w:after="60" w:line="220" w:lineRule="atLeast"/>
              <w:ind w:left="57" w:right="57"/>
              <w:rPr>
                <w:sz w:val="18"/>
                <w:szCs w:val="18"/>
                <w:lang w:val="en-US"/>
              </w:rPr>
            </w:pPr>
            <w:r w:rsidRPr="00D53F39">
              <w:rPr>
                <w:sz w:val="18"/>
                <w:szCs w:val="18"/>
                <w:lang w:val="en-US"/>
              </w:rPr>
              <w:t xml:space="preserve">JIS K2536-2 </w:t>
            </w:r>
            <w:r w:rsidRPr="00D53F39">
              <w:rPr>
                <w:sz w:val="18"/>
                <w:szCs w:val="18"/>
                <w:lang w:val="en-US"/>
              </w:rPr>
              <w:br/>
              <w:t xml:space="preserve">JIS K2536-3 </w:t>
            </w:r>
            <w:r w:rsidRPr="00D53F39">
              <w:rPr>
                <w:sz w:val="18"/>
                <w:szCs w:val="18"/>
                <w:lang w:val="en-US"/>
              </w:rPr>
              <w:br/>
              <w:t>JIS K2536-4</w:t>
            </w:r>
          </w:p>
        </w:tc>
      </w:tr>
      <w:tr w:rsidR="00E24DB7" w:rsidRPr="00D53F39" w:rsidTr="00E24DB7">
        <w:tc>
          <w:tcPr>
            <w:tcW w:w="3539"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Teneur en oxygène</w:t>
            </w:r>
          </w:p>
        </w:tc>
        <w:tc>
          <w:tcPr>
            <w:tcW w:w="1363"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2726"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jc w:val="center"/>
              <w:rPr>
                <w:sz w:val="18"/>
                <w:szCs w:val="18"/>
              </w:rPr>
            </w:pPr>
            <w:r w:rsidRPr="002C5876">
              <w:rPr>
                <w:sz w:val="18"/>
                <w:szCs w:val="18"/>
              </w:rPr>
              <w:t>À ignorer</w:t>
            </w:r>
          </w:p>
        </w:tc>
        <w:tc>
          <w:tcPr>
            <w:tcW w:w="2017" w:type="dxa"/>
            <w:tcBorders>
              <w:top w:val="single" w:sz="4" w:space="0" w:color="auto"/>
              <w:left w:val="single" w:sz="4" w:space="0" w:color="auto"/>
              <w:bottom w:val="single" w:sz="4" w:space="0" w:color="auto"/>
              <w:right w:val="single" w:sz="4" w:space="0" w:color="auto"/>
            </w:tcBorders>
            <w:hideMark/>
          </w:tcPr>
          <w:p w:rsidR="00E24DB7" w:rsidRPr="00D53F39" w:rsidRDefault="00E24DB7" w:rsidP="00E24DB7">
            <w:pPr>
              <w:suppressAutoHyphens w:val="0"/>
              <w:spacing w:before="60" w:after="60" w:line="220" w:lineRule="atLeast"/>
              <w:ind w:left="57" w:right="57"/>
              <w:rPr>
                <w:sz w:val="18"/>
                <w:szCs w:val="18"/>
                <w:lang w:val="en-US"/>
              </w:rPr>
            </w:pPr>
            <w:r w:rsidRPr="00D53F39">
              <w:rPr>
                <w:sz w:val="18"/>
                <w:szCs w:val="18"/>
                <w:lang w:val="en-US"/>
              </w:rPr>
              <w:t xml:space="preserve">JIS K2536-2 </w:t>
            </w:r>
            <w:r w:rsidRPr="00D53F39">
              <w:rPr>
                <w:sz w:val="18"/>
                <w:szCs w:val="18"/>
                <w:lang w:val="en-US"/>
              </w:rPr>
              <w:br/>
              <w:t xml:space="preserve">JIS K2536-4 </w:t>
            </w:r>
            <w:r w:rsidRPr="00D53F39">
              <w:rPr>
                <w:sz w:val="18"/>
                <w:szCs w:val="18"/>
                <w:lang w:val="en-US"/>
              </w:rPr>
              <w:br/>
              <w:t>JIS K2536-6</w:t>
            </w:r>
          </w:p>
        </w:tc>
      </w:tr>
      <w:tr w:rsidR="00E24DB7" w:rsidRPr="002C5876" w:rsidTr="00E24DB7">
        <w:tc>
          <w:tcPr>
            <w:tcW w:w="3539"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Gomme existante</w:t>
            </w:r>
          </w:p>
        </w:tc>
        <w:tc>
          <w:tcPr>
            <w:tcW w:w="136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mg/100 ml</w:t>
            </w:r>
          </w:p>
        </w:tc>
        <w:tc>
          <w:tcPr>
            <w:tcW w:w="1363"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5</w:t>
            </w:r>
          </w:p>
        </w:tc>
        <w:tc>
          <w:tcPr>
            <w:tcW w:w="201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JIS K2261</w:t>
            </w:r>
          </w:p>
        </w:tc>
      </w:tr>
      <w:tr w:rsidR="00E24DB7" w:rsidRPr="00D53F39" w:rsidTr="00E24DB7">
        <w:tc>
          <w:tcPr>
            <w:tcW w:w="3539"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Teneur en soufre</w:t>
            </w:r>
          </w:p>
        </w:tc>
        <w:tc>
          <w:tcPr>
            <w:tcW w:w="136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ppm en poids</w:t>
            </w:r>
          </w:p>
        </w:tc>
        <w:tc>
          <w:tcPr>
            <w:tcW w:w="1363"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10</w:t>
            </w:r>
          </w:p>
        </w:tc>
        <w:tc>
          <w:tcPr>
            <w:tcW w:w="2017" w:type="dxa"/>
            <w:tcBorders>
              <w:top w:val="single" w:sz="4" w:space="0" w:color="auto"/>
              <w:left w:val="single" w:sz="4" w:space="0" w:color="auto"/>
              <w:bottom w:val="single" w:sz="4" w:space="0" w:color="auto"/>
              <w:right w:val="single" w:sz="4" w:space="0" w:color="auto"/>
            </w:tcBorders>
            <w:hideMark/>
          </w:tcPr>
          <w:p w:rsidR="00E24DB7" w:rsidRPr="00D53F39" w:rsidRDefault="00E24DB7" w:rsidP="00E24DB7">
            <w:pPr>
              <w:suppressAutoHyphens w:val="0"/>
              <w:spacing w:before="60" w:after="60" w:line="220" w:lineRule="atLeast"/>
              <w:ind w:left="57" w:right="57"/>
              <w:rPr>
                <w:sz w:val="18"/>
                <w:szCs w:val="18"/>
                <w:lang w:val="en-US"/>
              </w:rPr>
            </w:pPr>
            <w:r w:rsidRPr="00D53F39">
              <w:rPr>
                <w:sz w:val="18"/>
                <w:szCs w:val="18"/>
                <w:lang w:val="en-US"/>
              </w:rPr>
              <w:t xml:space="preserve">JIS K2541-1 </w:t>
            </w:r>
            <w:r w:rsidRPr="00D53F39">
              <w:rPr>
                <w:sz w:val="18"/>
                <w:szCs w:val="18"/>
                <w:lang w:val="en-US"/>
              </w:rPr>
              <w:br/>
              <w:t xml:space="preserve">JIS K2541-2 </w:t>
            </w:r>
            <w:r w:rsidRPr="00D53F39">
              <w:rPr>
                <w:sz w:val="18"/>
                <w:szCs w:val="18"/>
                <w:lang w:val="en-US"/>
              </w:rPr>
              <w:br/>
              <w:t xml:space="preserve">JIS K2541-6 </w:t>
            </w:r>
            <w:r w:rsidRPr="00D53F39">
              <w:rPr>
                <w:sz w:val="18"/>
                <w:szCs w:val="18"/>
                <w:lang w:val="en-US"/>
              </w:rPr>
              <w:br/>
              <w:t>JIS K2541-7</w:t>
            </w:r>
          </w:p>
        </w:tc>
      </w:tr>
      <w:tr w:rsidR="00E24DB7" w:rsidRPr="002C5876" w:rsidTr="00E24DB7">
        <w:tc>
          <w:tcPr>
            <w:tcW w:w="3539"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Teneur en plomb</w:t>
            </w:r>
          </w:p>
        </w:tc>
        <w:tc>
          <w:tcPr>
            <w:tcW w:w="1363"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2726"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jc w:val="center"/>
              <w:rPr>
                <w:sz w:val="18"/>
                <w:szCs w:val="18"/>
              </w:rPr>
            </w:pPr>
            <w:r w:rsidRPr="002C5876">
              <w:rPr>
                <w:sz w:val="18"/>
                <w:szCs w:val="18"/>
              </w:rPr>
              <w:t>À ignorer</w:t>
            </w:r>
          </w:p>
        </w:tc>
        <w:tc>
          <w:tcPr>
            <w:tcW w:w="201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JIS K2255</w:t>
            </w:r>
          </w:p>
        </w:tc>
      </w:tr>
      <w:tr w:rsidR="00E24DB7" w:rsidRPr="00D53F39" w:rsidTr="00E24DB7">
        <w:tc>
          <w:tcPr>
            <w:tcW w:w="3539"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Éthanol</w:t>
            </w:r>
          </w:p>
        </w:tc>
        <w:tc>
          <w:tcPr>
            <w:tcW w:w="1363"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2726"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jc w:val="center"/>
              <w:rPr>
                <w:sz w:val="18"/>
                <w:szCs w:val="18"/>
              </w:rPr>
            </w:pPr>
            <w:r w:rsidRPr="002C5876">
              <w:rPr>
                <w:sz w:val="18"/>
                <w:szCs w:val="18"/>
              </w:rPr>
              <w:t>À ignorer</w:t>
            </w:r>
          </w:p>
        </w:tc>
        <w:tc>
          <w:tcPr>
            <w:tcW w:w="2017" w:type="dxa"/>
            <w:tcBorders>
              <w:top w:val="single" w:sz="4" w:space="0" w:color="auto"/>
              <w:left w:val="single" w:sz="4" w:space="0" w:color="auto"/>
              <w:bottom w:val="single" w:sz="4" w:space="0" w:color="auto"/>
              <w:right w:val="single" w:sz="4" w:space="0" w:color="auto"/>
            </w:tcBorders>
            <w:hideMark/>
          </w:tcPr>
          <w:p w:rsidR="00E24DB7" w:rsidRPr="00D53F39" w:rsidRDefault="00E24DB7" w:rsidP="00E24DB7">
            <w:pPr>
              <w:suppressAutoHyphens w:val="0"/>
              <w:spacing w:before="60" w:after="60" w:line="220" w:lineRule="atLeast"/>
              <w:ind w:left="57" w:right="57"/>
              <w:rPr>
                <w:sz w:val="18"/>
                <w:szCs w:val="18"/>
                <w:lang w:val="en-US"/>
              </w:rPr>
            </w:pPr>
            <w:r w:rsidRPr="00D53F39">
              <w:rPr>
                <w:sz w:val="18"/>
                <w:szCs w:val="18"/>
                <w:lang w:val="en-US"/>
              </w:rPr>
              <w:t xml:space="preserve">JIS K2536-2 </w:t>
            </w:r>
            <w:r w:rsidRPr="00D53F39">
              <w:rPr>
                <w:sz w:val="18"/>
                <w:szCs w:val="18"/>
                <w:lang w:val="en-US"/>
              </w:rPr>
              <w:br/>
              <w:t xml:space="preserve">JIS K2536-4 </w:t>
            </w:r>
            <w:r w:rsidRPr="00D53F39">
              <w:rPr>
                <w:sz w:val="18"/>
                <w:szCs w:val="18"/>
                <w:lang w:val="en-US"/>
              </w:rPr>
              <w:br/>
              <w:t>JIS K2536-6</w:t>
            </w:r>
          </w:p>
        </w:tc>
      </w:tr>
      <w:tr w:rsidR="00E24DB7" w:rsidRPr="00D53F39" w:rsidTr="00E24DB7">
        <w:tc>
          <w:tcPr>
            <w:tcW w:w="3539"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Méthanol</w:t>
            </w:r>
          </w:p>
        </w:tc>
        <w:tc>
          <w:tcPr>
            <w:tcW w:w="1363"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2726"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jc w:val="center"/>
              <w:rPr>
                <w:sz w:val="18"/>
                <w:szCs w:val="18"/>
              </w:rPr>
            </w:pPr>
            <w:r w:rsidRPr="002C5876">
              <w:rPr>
                <w:sz w:val="18"/>
                <w:szCs w:val="18"/>
              </w:rPr>
              <w:t>À ignorer</w:t>
            </w:r>
          </w:p>
        </w:tc>
        <w:tc>
          <w:tcPr>
            <w:tcW w:w="2017" w:type="dxa"/>
            <w:tcBorders>
              <w:top w:val="single" w:sz="4" w:space="0" w:color="auto"/>
              <w:left w:val="single" w:sz="4" w:space="0" w:color="auto"/>
              <w:bottom w:val="single" w:sz="4" w:space="0" w:color="auto"/>
              <w:right w:val="single" w:sz="4" w:space="0" w:color="auto"/>
            </w:tcBorders>
            <w:hideMark/>
          </w:tcPr>
          <w:p w:rsidR="00E24DB7" w:rsidRPr="00D53F39" w:rsidRDefault="00E24DB7" w:rsidP="00E24DB7">
            <w:pPr>
              <w:suppressAutoHyphens w:val="0"/>
              <w:spacing w:before="60" w:after="60" w:line="220" w:lineRule="atLeast"/>
              <w:ind w:left="57" w:right="57"/>
              <w:rPr>
                <w:sz w:val="18"/>
                <w:szCs w:val="18"/>
                <w:lang w:val="en-US"/>
              </w:rPr>
            </w:pPr>
            <w:r w:rsidRPr="00D53F39">
              <w:rPr>
                <w:sz w:val="18"/>
                <w:szCs w:val="18"/>
                <w:lang w:val="en-US"/>
              </w:rPr>
              <w:t xml:space="preserve">JIS K2536-2 </w:t>
            </w:r>
            <w:r w:rsidRPr="00D53F39">
              <w:rPr>
                <w:sz w:val="18"/>
                <w:szCs w:val="18"/>
                <w:lang w:val="en-US"/>
              </w:rPr>
              <w:br/>
              <w:t xml:space="preserve">JIS K2536-4 </w:t>
            </w:r>
            <w:r w:rsidRPr="00D53F39">
              <w:rPr>
                <w:sz w:val="18"/>
                <w:szCs w:val="18"/>
                <w:lang w:val="en-US"/>
              </w:rPr>
              <w:br/>
              <w:t xml:space="preserve">JIS K2536-5 </w:t>
            </w:r>
            <w:r w:rsidRPr="00D53F39">
              <w:rPr>
                <w:sz w:val="18"/>
                <w:szCs w:val="18"/>
                <w:lang w:val="en-US"/>
              </w:rPr>
              <w:br/>
              <w:t>JIS K2536-6</w:t>
            </w:r>
          </w:p>
        </w:tc>
      </w:tr>
      <w:tr w:rsidR="00E24DB7" w:rsidRPr="00D53F39" w:rsidTr="00E24DB7">
        <w:tc>
          <w:tcPr>
            <w:tcW w:w="3539"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MTBE</w:t>
            </w:r>
          </w:p>
        </w:tc>
        <w:tc>
          <w:tcPr>
            <w:tcW w:w="1363"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2726"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jc w:val="center"/>
              <w:rPr>
                <w:sz w:val="18"/>
                <w:szCs w:val="18"/>
              </w:rPr>
            </w:pPr>
            <w:r w:rsidRPr="002C5876">
              <w:rPr>
                <w:sz w:val="18"/>
                <w:szCs w:val="18"/>
              </w:rPr>
              <w:t>À ignorer</w:t>
            </w:r>
          </w:p>
        </w:tc>
        <w:tc>
          <w:tcPr>
            <w:tcW w:w="2017" w:type="dxa"/>
            <w:tcBorders>
              <w:top w:val="single" w:sz="4" w:space="0" w:color="auto"/>
              <w:left w:val="single" w:sz="4" w:space="0" w:color="auto"/>
              <w:bottom w:val="single" w:sz="4" w:space="0" w:color="auto"/>
              <w:right w:val="single" w:sz="4" w:space="0" w:color="auto"/>
            </w:tcBorders>
            <w:hideMark/>
          </w:tcPr>
          <w:p w:rsidR="00E24DB7" w:rsidRPr="00D53F39" w:rsidRDefault="00E24DB7" w:rsidP="00E24DB7">
            <w:pPr>
              <w:suppressAutoHyphens w:val="0"/>
              <w:spacing w:before="60" w:after="60" w:line="220" w:lineRule="atLeast"/>
              <w:ind w:left="57" w:right="57"/>
              <w:rPr>
                <w:sz w:val="18"/>
                <w:szCs w:val="18"/>
                <w:lang w:val="en-US"/>
              </w:rPr>
            </w:pPr>
            <w:r w:rsidRPr="00D53F39">
              <w:rPr>
                <w:sz w:val="18"/>
                <w:szCs w:val="18"/>
                <w:lang w:val="en-US"/>
              </w:rPr>
              <w:t xml:space="preserve">JIS K2536-2 </w:t>
            </w:r>
            <w:r w:rsidRPr="00D53F39">
              <w:rPr>
                <w:sz w:val="18"/>
                <w:szCs w:val="18"/>
                <w:lang w:val="en-US"/>
              </w:rPr>
              <w:br/>
              <w:t xml:space="preserve">JIS K2536-4 </w:t>
            </w:r>
            <w:r w:rsidRPr="00D53F39">
              <w:rPr>
                <w:sz w:val="18"/>
                <w:szCs w:val="18"/>
                <w:lang w:val="en-US"/>
              </w:rPr>
              <w:br/>
              <w:t xml:space="preserve">JIS K2536-5 </w:t>
            </w:r>
            <w:r w:rsidRPr="00D53F39">
              <w:rPr>
                <w:sz w:val="18"/>
                <w:szCs w:val="18"/>
                <w:lang w:val="en-US"/>
              </w:rPr>
              <w:br/>
              <w:t>JIS K2536-6</w:t>
            </w:r>
          </w:p>
        </w:tc>
      </w:tr>
      <w:tr w:rsidR="00E24DB7" w:rsidRPr="002C5876" w:rsidTr="00E24DB7">
        <w:tc>
          <w:tcPr>
            <w:tcW w:w="3539"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Kérosène</w:t>
            </w:r>
          </w:p>
        </w:tc>
        <w:tc>
          <w:tcPr>
            <w:tcW w:w="1363" w:type="dxa"/>
            <w:tcBorders>
              <w:top w:val="single" w:sz="4" w:space="0" w:color="auto"/>
              <w:left w:val="single" w:sz="4" w:space="0" w:color="auto"/>
              <w:bottom w:val="single" w:sz="12"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2726" w:type="dxa"/>
            <w:gridSpan w:val="2"/>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jc w:val="center"/>
              <w:rPr>
                <w:sz w:val="18"/>
                <w:szCs w:val="18"/>
              </w:rPr>
            </w:pPr>
            <w:r w:rsidRPr="002C5876">
              <w:rPr>
                <w:sz w:val="18"/>
                <w:szCs w:val="18"/>
              </w:rPr>
              <w:t>À ignorer</w:t>
            </w:r>
          </w:p>
        </w:tc>
        <w:tc>
          <w:tcPr>
            <w:tcW w:w="2017"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JIS K2536-2 </w:t>
            </w:r>
            <w:r w:rsidRPr="002C5876">
              <w:rPr>
                <w:sz w:val="18"/>
                <w:szCs w:val="18"/>
              </w:rPr>
              <w:br/>
              <w:t xml:space="preserve">JIS K2536-4 </w:t>
            </w:r>
          </w:p>
        </w:tc>
      </w:tr>
    </w:tbl>
    <w:p w:rsidR="00E24DB7" w:rsidRPr="002C5876" w:rsidRDefault="00E24DB7" w:rsidP="00E24DB7">
      <w:pPr>
        <w:pStyle w:val="SingleTxtG"/>
      </w:pPr>
    </w:p>
    <w:p w:rsidR="00E24DB7" w:rsidRPr="002C5876" w:rsidRDefault="00E24DB7" w:rsidP="00E24DB7">
      <w:pPr>
        <w:pStyle w:val="SingleTxtG"/>
        <w:ind w:left="2268" w:hanging="1134"/>
      </w:pPr>
      <w:r w:rsidRPr="002C5876">
        <w:br w:type="page"/>
      </w:r>
      <w:r w:rsidRPr="002C5876">
        <w:lastRenderedPageBreak/>
        <w:t>3.4</w:t>
      </w:r>
      <w:r w:rsidRPr="002C5876">
        <w:tab/>
      </w:r>
      <w:r w:rsidRPr="002C5876">
        <w:tab/>
        <w:t>Essence (indice d’octane recherche nominal 94, E0)</w:t>
      </w:r>
    </w:p>
    <w:p w:rsidR="00E24DB7" w:rsidRPr="002C5876" w:rsidRDefault="00E24DB7" w:rsidP="00E24DB7">
      <w:pPr>
        <w:pStyle w:val="H23G"/>
        <w:ind w:left="0" w:firstLine="0"/>
      </w:pPr>
      <w:r w:rsidRPr="002C5876">
        <w:rPr>
          <w:b w:val="0"/>
        </w:rPr>
        <w:t>Tableau A3/4</w:t>
      </w:r>
      <w:r w:rsidRPr="002C5876">
        <w:t xml:space="preserve"> </w:t>
      </w:r>
      <w:r w:rsidRPr="002C5876">
        <w:br/>
        <w:t>Essence (indice d’octane recherche nominal 94, E0)</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40"/>
        <w:gridCol w:w="682"/>
        <w:gridCol w:w="682"/>
        <w:gridCol w:w="1362"/>
        <w:gridCol w:w="1362"/>
        <w:gridCol w:w="2017"/>
      </w:tblGrid>
      <w:tr w:rsidR="00E24DB7" w:rsidRPr="002C5876" w:rsidTr="00E24DB7">
        <w:trPr>
          <w:tblHeader/>
        </w:trPr>
        <w:tc>
          <w:tcPr>
            <w:tcW w:w="3540" w:type="dxa"/>
            <w:vMerge w:val="restart"/>
            <w:tcBorders>
              <w:top w:val="single" w:sz="4" w:space="0" w:color="auto"/>
              <w:left w:val="single" w:sz="4" w:space="0" w:color="auto"/>
              <w:bottom w:val="single" w:sz="4" w:space="0" w:color="auto"/>
              <w:right w:val="single" w:sz="4" w:space="0" w:color="auto"/>
            </w:tcBorders>
            <w:vAlign w:val="bottom"/>
            <w:hideMark/>
          </w:tcPr>
          <w:p w:rsidR="00E24DB7" w:rsidRPr="002C5876" w:rsidRDefault="00E24DB7" w:rsidP="00E24DB7">
            <w:pPr>
              <w:keepNext/>
              <w:suppressAutoHyphens w:val="0"/>
              <w:spacing w:before="80" w:after="80" w:line="200" w:lineRule="exact"/>
              <w:ind w:left="57" w:right="57"/>
              <w:rPr>
                <w:i/>
                <w:sz w:val="16"/>
                <w:szCs w:val="16"/>
              </w:rPr>
            </w:pPr>
            <w:r w:rsidRPr="002C5876">
              <w:rPr>
                <w:i/>
                <w:sz w:val="16"/>
                <w:szCs w:val="16"/>
              </w:rPr>
              <w:t>Propriété du carburant/Composé</w:t>
            </w:r>
          </w:p>
        </w:tc>
        <w:tc>
          <w:tcPr>
            <w:tcW w:w="1364" w:type="dxa"/>
            <w:gridSpan w:val="2"/>
            <w:vMerge w:val="restart"/>
            <w:tcBorders>
              <w:top w:val="single" w:sz="4" w:space="0" w:color="auto"/>
              <w:left w:val="single" w:sz="4" w:space="0" w:color="auto"/>
              <w:bottom w:val="single" w:sz="4" w:space="0" w:color="auto"/>
              <w:right w:val="single" w:sz="4" w:space="0" w:color="auto"/>
            </w:tcBorders>
            <w:vAlign w:val="bottom"/>
            <w:hideMark/>
          </w:tcPr>
          <w:p w:rsidR="00E24DB7" w:rsidRPr="002C5876" w:rsidRDefault="00E24DB7" w:rsidP="00E24DB7">
            <w:pPr>
              <w:keepNext/>
              <w:suppressAutoHyphens w:val="0"/>
              <w:spacing w:before="80" w:after="80" w:line="200" w:lineRule="exact"/>
              <w:ind w:left="57" w:right="57"/>
              <w:rPr>
                <w:i/>
                <w:sz w:val="16"/>
                <w:szCs w:val="16"/>
              </w:rPr>
            </w:pPr>
            <w:r w:rsidRPr="002C5876">
              <w:rPr>
                <w:i/>
                <w:sz w:val="16"/>
                <w:szCs w:val="16"/>
              </w:rPr>
              <w:t>Unité</w:t>
            </w:r>
          </w:p>
        </w:tc>
        <w:tc>
          <w:tcPr>
            <w:tcW w:w="2724"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keepNext/>
              <w:suppressAutoHyphens w:val="0"/>
              <w:spacing w:before="80" w:after="80" w:line="200" w:lineRule="exact"/>
              <w:ind w:left="57" w:right="57"/>
              <w:jc w:val="center"/>
              <w:rPr>
                <w:i/>
                <w:sz w:val="16"/>
                <w:szCs w:val="16"/>
              </w:rPr>
            </w:pPr>
            <w:r w:rsidRPr="002C5876">
              <w:rPr>
                <w:i/>
                <w:sz w:val="16"/>
                <w:szCs w:val="16"/>
              </w:rPr>
              <w:t>Norme</w:t>
            </w:r>
          </w:p>
        </w:tc>
        <w:tc>
          <w:tcPr>
            <w:tcW w:w="2017" w:type="dxa"/>
            <w:vMerge w:val="restart"/>
            <w:tcBorders>
              <w:top w:val="single" w:sz="4" w:space="0" w:color="auto"/>
              <w:left w:val="single" w:sz="4" w:space="0" w:color="auto"/>
              <w:bottom w:val="single" w:sz="4" w:space="0" w:color="auto"/>
              <w:right w:val="single" w:sz="4" w:space="0" w:color="auto"/>
            </w:tcBorders>
            <w:vAlign w:val="bottom"/>
            <w:hideMark/>
          </w:tcPr>
          <w:p w:rsidR="00E24DB7" w:rsidRPr="002C5876" w:rsidRDefault="00E24DB7" w:rsidP="00E24DB7">
            <w:pPr>
              <w:keepNext/>
              <w:suppressAutoHyphens w:val="0"/>
              <w:spacing w:before="80" w:after="80" w:line="200" w:lineRule="exact"/>
              <w:ind w:left="57" w:right="57"/>
              <w:rPr>
                <w:i/>
                <w:sz w:val="16"/>
                <w:szCs w:val="16"/>
              </w:rPr>
            </w:pPr>
            <w:r w:rsidRPr="002C5876">
              <w:rPr>
                <w:i/>
                <w:sz w:val="16"/>
                <w:szCs w:val="16"/>
              </w:rPr>
              <w:t>Méthode d’essai</w:t>
            </w:r>
          </w:p>
        </w:tc>
      </w:tr>
      <w:tr w:rsidR="00E24DB7" w:rsidRPr="002C5876" w:rsidTr="00E24DB7">
        <w:trPr>
          <w:tblHeader/>
        </w:trPr>
        <w:tc>
          <w:tcPr>
            <w:tcW w:w="3540" w:type="dxa"/>
            <w:vMerge/>
            <w:tcBorders>
              <w:top w:val="single" w:sz="4" w:space="0" w:color="auto"/>
              <w:left w:val="single" w:sz="4" w:space="0" w:color="auto"/>
              <w:bottom w:val="single" w:sz="12" w:space="0" w:color="auto"/>
              <w:right w:val="single" w:sz="4" w:space="0" w:color="auto"/>
            </w:tcBorders>
            <w:vAlign w:val="center"/>
            <w:hideMark/>
          </w:tcPr>
          <w:p w:rsidR="00E24DB7" w:rsidRPr="002C5876" w:rsidRDefault="00E24DB7" w:rsidP="00E24DB7">
            <w:pPr>
              <w:suppressAutoHyphens w:val="0"/>
              <w:spacing w:before="80" w:after="80" w:line="200" w:lineRule="exact"/>
              <w:ind w:left="57" w:right="57"/>
              <w:rPr>
                <w:i/>
                <w:sz w:val="18"/>
                <w:szCs w:val="18"/>
              </w:rPr>
            </w:pPr>
          </w:p>
        </w:tc>
        <w:tc>
          <w:tcPr>
            <w:tcW w:w="1364" w:type="dxa"/>
            <w:gridSpan w:val="2"/>
            <w:vMerge/>
            <w:tcBorders>
              <w:top w:val="single" w:sz="4" w:space="0" w:color="auto"/>
              <w:left w:val="single" w:sz="4" w:space="0" w:color="auto"/>
              <w:bottom w:val="single" w:sz="12" w:space="0" w:color="auto"/>
              <w:right w:val="single" w:sz="4" w:space="0" w:color="auto"/>
            </w:tcBorders>
            <w:vAlign w:val="center"/>
            <w:hideMark/>
          </w:tcPr>
          <w:p w:rsidR="00E24DB7" w:rsidRPr="002C5876" w:rsidRDefault="00E24DB7" w:rsidP="00E24DB7">
            <w:pPr>
              <w:suppressAutoHyphens w:val="0"/>
              <w:spacing w:before="80" w:after="80" w:line="200" w:lineRule="exact"/>
              <w:ind w:left="57" w:right="57"/>
              <w:rPr>
                <w:i/>
                <w:sz w:val="18"/>
                <w:szCs w:val="18"/>
              </w:rPr>
            </w:pPr>
          </w:p>
        </w:tc>
        <w:tc>
          <w:tcPr>
            <w:tcW w:w="1362" w:type="dxa"/>
            <w:tcBorders>
              <w:top w:val="single" w:sz="4" w:space="0" w:color="auto"/>
              <w:left w:val="single" w:sz="4" w:space="0" w:color="auto"/>
              <w:bottom w:val="single" w:sz="12"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Minimum</w:t>
            </w:r>
          </w:p>
        </w:tc>
        <w:tc>
          <w:tcPr>
            <w:tcW w:w="1362" w:type="dxa"/>
            <w:tcBorders>
              <w:top w:val="single" w:sz="4" w:space="0" w:color="auto"/>
              <w:left w:val="single" w:sz="4" w:space="0" w:color="auto"/>
              <w:bottom w:val="single" w:sz="12"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Maximum</w:t>
            </w:r>
          </w:p>
        </w:tc>
        <w:tc>
          <w:tcPr>
            <w:tcW w:w="2017" w:type="dxa"/>
            <w:vMerge/>
            <w:tcBorders>
              <w:top w:val="single" w:sz="4" w:space="0" w:color="auto"/>
              <w:left w:val="single" w:sz="4" w:space="0" w:color="auto"/>
              <w:bottom w:val="single" w:sz="12" w:space="0" w:color="auto"/>
              <w:right w:val="single" w:sz="4" w:space="0" w:color="auto"/>
            </w:tcBorders>
            <w:vAlign w:val="center"/>
            <w:hideMark/>
          </w:tcPr>
          <w:p w:rsidR="00E24DB7" w:rsidRPr="002C5876" w:rsidRDefault="00E24DB7" w:rsidP="00E24DB7">
            <w:pPr>
              <w:suppressAutoHyphens w:val="0"/>
              <w:spacing w:before="80" w:after="80" w:line="200" w:lineRule="exact"/>
              <w:ind w:left="57" w:right="57"/>
              <w:rPr>
                <w:i/>
                <w:sz w:val="18"/>
                <w:szCs w:val="18"/>
              </w:rPr>
            </w:pPr>
          </w:p>
        </w:tc>
      </w:tr>
      <w:tr w:rsidR="00E24DB7" w:rsidRPr="002C5876" w:rsidTr="00E24DB7">
        <w:tc>
          <w:tcPr>
            <w:tcW w:w="3540"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Indice d’octane recherche (IOR)</w:t>
            </w:r>
          </w:p>
        </w:tc>
        <w:tc>
          <w:tcPr>
            <w:tcW w:w="1364" w:type="dxa"/>
            <w:gridSpan w:val="2"/>
            <w:tcBorders>
              <w:top w:val="single" w:sz="12"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2"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94</w:t>
            </w:r>
          </w:p>
        </w:tc>
        <w:tc>
          <w:tcPr>
            <w:tcW w:w="1362"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2017"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KS M 2039</w:t>
            </w:r>
          </w:p>
        </w:tc>
      </w:tr>
      <w:tr w:rsidR="00E24DB7" w:rsidRPr="002C5876" w:rsidTr="00E24DB7">
        <w:tc>
          <w:tcPr>
            <w:tcW w:w="3540" w:type="dxa"/>
            <w:vMerge w:val="restart"/>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Pression de vapeur</w:t>
            </w:r>
          </w:p>
        </w:tc>
        <w:tc>
          <w:tcPr>
            <w:tcW w:w="682" w:type="dxa"/>
            <w:vMerge w:val="restart"/>
            <w:tcBorders>
              <w:top w:val="single" w:sz="4" w:space="0" w:color="auto"/>
              <w:left w:val="single" w:sz="4" w:space="0" w:color="auto"/>
              <w:bottom w:val="single" w:sz="4" w:space="0" w:color="auto"/>
              <w:right w:val="single" w:sz="4" w:space="0" w:color="auto"/>
            </w:tcBorders>
            <w:vAlign w:val="cente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kPa</w:t>
            </w:r>
          </w:p>
        </w:tc>
        <w:tc>
          <w:tcPr>
            <w:tcW w:w="68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Hiver</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44</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60</w:t>
            </w:r>
          </w:p>
        </w:tc>
        <w:tc>
          <w:tcPr>
            <w:tcW w:w="2017" w:type="dxa"/>
            <w:vMerge w:val="restart"/>
            <w:tcBorders>
              <w:top w:val="single" w:sz="4" w:space="0" w:color="auto"/>
              <w:left w:val="single" w:sz="4" w:space="0" w:color="auto"/>
              <w:bottom w:val="single" w:sz="4" w:space="0" w:color="auto"/>
              <w:right w:val="single" w:sz="4" w:space="0" w:color="auto"/>
            </w:tcBorders>
            <w:vAlign w:val="center"/>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KS M ISO 3007</w:t>
            </w:r>
          </w:p>
        </w:tc>
      </w:tr>
      <w:tr w:rsidR="00E24DB7" w:rsidRPr="002C5876" w:rsidTr="00E24DB7">
        <w:tc>
          <w:tcPr>
            <w:tcW w:w="3540" w:type="dxa"/>
            <w:vMerge/>
            <w:tcBorders>
              <w:top w:val="single" w:sz="4" w:space="0" w:color="auto"/>
              <w:left w:val="single" w:sz="4" w:space="0" w:color="auto"/>
              <w:bottom w:val="single" w:sz="4" w:space="0" w:color="auto"/>
              <w:right w:val="single" w:sz="4" w:space="0" w:color="auto"/>
            </w:tcBorders>
            <w:vAlign w:val="center"/>
            <w:hideMark/>
          </w:tcPr>
          <w:p w:rsidR="00E24DB7" w:rsidRPr="002C5876" w:rsidRDefault="00E24DB7" w:rsidP="00E24DB7">
            <w:pPr>
              <w:suppressAutoHyphens w:val="0"/>
              <w:spacing w:before="60" w:after="60" w:line="220" w:lineRule="atLeast"/>
              <w:ind w:left="57" w:right="57"/>
              <w:rPr>
                <w:sz w:val="18"/>
                <w:szCs w:val="18"/>
              </w:rPr>
            </w:pPr>
          </w:p>
        </w:tc>
        <w:tc>
          <w:tcPr>
            <w:tcW w:w="682" w:type="dxa"/>
            <w:vMerge/>
            <w:tcBorders>
              <w:top w:val="single" w:sz="4" w:space="0" w:color="auto"/>
              <w:left w:val="single" w:sz="4" w:space="0" w:color="auto"/>
              <w:bottom w:val="single" w:sz="4" w:space="0" w:color="auto"/>
              <w:right w:val="single" w:sz="4" w:space="0" w:color="auto"/>
            </w:tcBorders>
            <w:vAlign w:val="center"/>
            <w:hideMark/>
          </w:tcPr>
          <w:p w:rsidR="00E24DB7" w:rsidRPr="002C5876" w:rsidRDefault="00E24DB7" w:rsidP="00E24DB7">
            <w:pPr>
              <w:suppressAutoHyphens w:val="0"/>
              <w:spacing w:before="60" w:after="60" w:line="220" w:lineRule="atLeast"/>
              <w:ind w:left="57" w:right="57"/>
              <w:rPr>
                <w:sz w:val="18"/>
                <w:szCs w:val="18"/>
              </w:rPr>
            </w:pPr>
          </w:p>
        </w:tc>
        <w:tc>
          <w:tcPr>
            <w:tcW w:w="68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Été</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44</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96</w:t>
            </w:r>
          </w:p>
        </w:tc>
        <w:tc>
          <w:tcPr>
            <w:tcW w:w="2017" w:type="dxa"/>
            <w:vMerge/>
            <w:tcBorders>
              <w:top w:val="single" w:sz="4" w:space="0" w:color="auto"/>
              <w:left w:val="single" w:sz="4" w:space="0" w:color="auto"/>
              <w:bottom w:val="single" w:sz="4" w:space="0" w:color="auto"/>
              <w:right w:val="single" w:sz="4" w:space="0" w:color="auto"/>
            </w:tcBorders>
            <w:vAlign w:val="center"/>
            <w:hideMark/>
          </w:tcPr>
          <w:p w:rsidR="00E24DB7" w:rsidRPr="002C5876" w:rsidRDefault="00E24DB7" w:rsidP="00E24DB7">
            <w:pPr>
              <w:suppressAutoHyphens w:val="0"/>
              <w:spacing w:before="60" w:after="60" w:line="220" w:lineRule="atLeast"/>
              <w:ind w:left="57" w:right="57"/>
              <w:rPr>
                <w:sz w:val="18"/>
                <w:szCs w:val="18"/>
              </w:rPr>
            </w:pPr>
          </w:p>
        </w:tc>
      </w:tr>
      <w:tr w:rsidR="00E24DB7" w:rsidRPr="002C5876" w:rsidTr="00E24DB7">
        <w:tc>
          <w:tcPr>
            <w:tcW w:w="354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Distillation :</w:t>
            </w:r>
          </w:p>
        </w:tc>
        <w:tc>
          <w:tcPr>
            <w:tcW w:w="1364" w:type="dxa"/>
            <w:gridSpan w:val="2"/>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2017"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r>
      <w:tr w:rsidR="00E24DB7" w:rsidRPr="002C5876" w:rsidTr="00E24DB7">
        <w:tc>
          <w:tcPr>
            <w:tcW w:w="354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pStyle w:val="Bullet1G"/>
              <w:numPr>
                <w:ilvl w:val="0"/>
                <w:numId w:val="1"/>
              </w:numPr>
              <w:ind w:left="340" w:right="57"/>
              <w:rPr>
                <w:sz w:val="18"/>
                <w:szCs w:val="18"/>
              </w:rPr>
            </w:pPr>
            <w:r w:rsidRPr="002C5876">
              <w:rPr>
                <w:sz w:val="18"/>
                <w:szCs w:val="18"/>
              </w:rPr>
              <w:t>Température de distillation à 10 %</w:t>
            </w:r>
          </w:p>
        </w:tc>
        <w:tc>
          <w:tcPr>
            <w:tcW w:w="1364"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70</w:t>
            </w:r>
          </w:p>
        </w:tc>
        <w:tc>
          <w:tcPr>
            <w:tcW w:w="201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ASTM D86</w:t>
            </w:r>
          </w:p>
        </w:tc>
      </w:tr>
      <w:tr w:rsidR="00E24DB7" w:rsidRPr="002C5876" w:rsidTr="00E24DB7">
        <w:tc>
          <w:tcPr>
            <w:tcW w:w="354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pStyle w:val="Bullet1G"/>
              <w:numPr>
                <w:ilvl w:val="0"/>
                <w:numId w:val="1"/>
              </w:numPr>
              <w:ind w:left="340" w:right="57"/>
              <w:rPr>
                <w:sz w:val="18"/>
                <w:szCs w:val="18"/>
              </w:rPr>
            </w:pPr>
            <w:r w:rsidRPr="002C5876">
              <w:rPr>
                <w:sz w:val="18"/>
                <w:szCs w:val="18"/>
              </w:rPr>
              <w:t>Température de distillation à 50 %</w:t>
            </w:r>
          </w:p>
        </w:tc>
        <w:tc>
          <w:tcPr>
            <w:tcW w:w="1364"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125</w:t>
            </w:r>
          </w:p>
        </w:tc>
        <w:tc>
          <w:tcPr>
            <w:tcW w:w="201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ASTM D86</w:t>
            </w:r>
          </w:p>
        </w:tc>
      </w:tr>
      <w:tr w:rsidR="00E24DB7" w:rsidRPr="002C5876" w:rsidTr="00E24DB7">
        <w:tc>
          <w:tcPr>
            <w:tcW w:w="354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pStyle w:val="Bullet1G"/>
              <w:numPr>
                <w:ilvl w:val="0"/>
                <w:numId w:val="1"/>
              </w:numPr>
              <w:ind w:left="340" w:right="57"/>
              <w:rPr>
                <w:sz w:val="18"/>
                <w:szCs w:val="18"/>
              </w:rPr>
            </w:pPr>
            <w:r w:rsidRPr="002C5876">
              <w:rPr>
                <w:sz w:val="18"/>
                <w:szCs w:val="18"/>
              </w:rPr>
              <w:t>Température de distillation à 90 %</w:t>
            </w:r>
          </w:p>
        </w:tc>
        <w:tc>
          <w:tcPr>
            <w:tcW w:w="1364"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170</w:t>
            </w:r>
          </w:p>
        </w:tc>
        <w:tc>
          <w:tcPr>
            <w:tcW w:w="201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ASTM D86</w:t>
            </w:r>
          </w:p>
        </w:tc>
      </w:tr>
      <w:tr w:rsidR="00E24DB7" w:rsidRPr="002C5876" w:rsidTr="00E24DB7">
        <w:tc>
          <w:tcPr>
            <w:tcW w:w="354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pStyle w:val="Bullet1G"/>
              <w:numPr>
                <w:ilvl w:val="0"/>
                <w:numId w:val="1"/>
              </w:numPr>
              <w:ind w:left="340" w:right="57"/>
              <w:rPr>
                <w:sz w:val="18"/>
                <w:szCs w:val="18"/>
              </w:rPr>
            </w:pPr>
            <w:r w:rsidRPr="002C5876">
              <w:rPr>
                <w:sz w:val="18"/>
                <w:szCs w:val="18"/>
              </w:rPr>
              <w:t>Point d’ébullition final</w:t>
            </w:r>
          </w:p>
        </w:tc>
        <w:tc>
          <w:tcPr>
            <w:tcW w:w="1364"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225</w:t>
            </w:r>
          </w:p>
        </w:tc>
        <w:tc>
          <w:tcPr>
            <w:tcW w:w="201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ASTM D86</w:t>
            </w:r>
          </w:p>
        </w:tc>
      </w:tr>
      <w:tr w:rsidR="00E24DB7" w:rsidRPr="002C5876" w:rsidTr="00E24DB7">
        <w:tc>
          <w:tcPr>
            <w:tcW w:w="354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Résidus</w:t>
            </w:r>
          </w:p>
        </w:tc>
        <w:tc>
          <w:tcPr>
            <w:tcW w:w="1364"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v/v</w:t>
            </w:r>
          </w:p>
        </w:tc>
        <w:tc>
          <w:tcPr>
            <w:tcW w:w="1362"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2,0</w:t>
            </w:r>
          </w:p>
        </w:tc>
        <w:tc>
          <w:tcPr>
            <w:tcW w:w="201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ASTM D86</w:t>
            </w:r>
          </w:p>
        </w:tc>
      </w:tr>
      <w:tr w:rsidR="00E24DB7" w:rsidRPr="002C5876" w:rsidTr="00E24DB7">
        <w:tc>
          <w:tcPr>
            <w:tcW w:w="354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Teneur en eau</w:t>
            </w:r>
          </w:p>
        </w:tc>
        <w:tc>
          <w:tcPr>
            <w:tcW w:w="1364"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v/v</w:t>
            </w:r>
          </w:p>
        </w:tc>
        <w:tc>
          <w:tcPr>
            <w:tcW w:w="1362"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0,01</w:t>
            </w:r>
          </w:p>
        </w:tc>
        <w:tc>
          <w:tcPr>
            <w:tcW w:w="201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KS M 2115</w:t>
            </w:r>
          </w:p>
        </w:tc>
      </w:tr>
      <w:tr w:rsidR="00E24DB7" w:rsidRPr="002C5876" w:rsidTr="00E24DB7">
        <w:tc>
          <w:tcPr>
            <w:tcW w:w="354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pStyle w:val="Bullet1G"/>
              <w:numPr>
                <w:ilvl w:val="0"/>
                <w:numId w:val="1"/>
              </w:numPr>
              <w:ind w:left="340" w:right="57"/>
              <w:rPr>
                <w:sz w:val="18"/>
                <w:szCs w:val="18"/>
              </w:rPr>
            </w:pPr>
            <w:r w:rsidRPr="002C5876">
              <w:rPr>
                <w:sz w:val="18"/>
                <w:szCs w:val="18"/>
              </w:rPr>
              <w:t>Oléfines</w:t>
            </w:r>
            <w:r w:rsidRPr="002C5876">
              <w:rPr>
                <w:i/>
                <w:sz w:val="18"/>
                <w:szCs w:val="18"/>
                <w:vertAlign w:val="superscript"/>
              </w:rPr>
              <w:t>1</w:t>
            </w:r>
          </w:p>
        </w:tc>
        <w:tc>
          <w:tcPr>
            <w:tcW w:w="1364"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v/v</w:t>
            </w:r>
          </w:p>
        </w:tc>
        <w:tc>
          <w:tcPr>
            <w:tcW w:w="1362"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16 (19)</w:t>
            </w:r>
          </w:p>
        </w:tc>
        <w:tc>
          <w:tcPr>
            <w:tcW w:w="201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KS M 2085, </w:t>
            </w:r>
            <w:r w:rsidRPr="002C5876">
              <w:rPr>
                <w:sz w:val="18"/>
                <w:szCs w:val="18"/>
              </w:rPr>
              <w:br/>
              <w:t xml:space="preserve">ASTM D6296, D6293 </w:t>
            </w:r>
            <w:r w:rsidRPr="002C5876">
              <w:rPr>
                <w:sz w:val="18"/>
                <w:szCs w:val="18"/>
              </w:rPr>
              <w:br/>
              <w:t>et D6839</w:t>
            </w:r>
          </w:p>
        </w:tc>
      </w:tr>
      <w:tr w:rsidR="00E24DB7" w:rsidRPr="002C5876" w:rsidTr="00E24DB7">
        <w:tc>
          <w:tcPr>
            <w:tcW w:w="354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pStyle w:val="Bullet1G"/>
              <w:numPr>
                <w:ilvl w:val="0"/>
                <w:numId w:val="1"/>
              </w:numPr>
              <w:ind w:left="340" w:right="57"/>
              <w:rPr>
                <w:sz w:val="18"/>
                <w:szCs w:val="18"/>
              </w:rPr>
            </w:pPr>
            <w:r w:rsidRPr="002C5876">
              <w:rPr>
                <w:sz w:val="18"/>
                <w:szCs w:val="18"/>
              </w:rPr>
              <w:t>Aromatiques</w:t>
            </w:r>
            <w:r w:rsidRPr="002C5876">
              <w:rPr>
                <w:i/>
                <w:sz w:val="18"/>
                <w:szCs w:val="18"/>
                <w:vertAlign w:val="superscript"/>
              </w:rPr>
              <w:t>1</w:t>
            </w:r>
          </w:p>
        </w:tc>
        <w:tc>
          <w:tcPr>
            <w:tcW w:w="1364"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v/v</w:t>
            </w:r>
          </w:p>
        </w:tc>
        <w:tc>
          <w:tcPr>
            <w:tcW w:w="1362"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24 (21) </w:t>
            </w:r>
          </w:p>
        </w:tc>
        <w:tc>
          <w:tcPr>
            <w:tcW w:w="201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KS M 2407, </w:t>
            </w:r>
            <w:r w:rsidRPr="002C5876">
              <w:rPr>
                <w:sz w:val="18"/>
                <w:szCs w:val="18"/>
              </w:rPr>
              <w:br/>
              <w:t>ASTM D3606, D5580, D6293 et D6839, PIONA</w:t>
            </w:r>
          </w:p>
        </w:tc>
      </w:tr>
      <w:tr w:rsidR="00E24DB7" w:rsidRPr="002C5876" w:rsidTr="00E24DB7">
        <w:tc>
          <w:tcPr>
            <w:tcW w:w="354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pStyle w:val="Bullet1G"/>
              <w:numPr>
                <w:ilvl w:val="0"/>
                <w:numId w:val="1"/>
              </w:numPr>
              <w:ind w:left="340" w:right="57"/>
              <w:rPr>
                <w:sz w:val="18"/>
                <w:szCs w:val="18"/>
              </w:rPr>
            </w:pPr>
            <w:r w:rsidRPr="002C5876">
              <w:rPr>
                <w:sz w:val="18"/>
                <w:szCs w:val="18"/>
              </w:rPr>
              <w:t>Benzène</w:t>
            </w:r>
          </w:p>
        </w:tc>
        <w:tc>
          <w:tcPr>
            <w:tcW w:w="1364"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v/v</w:t>
            </w:r>
          </w:p>
        </w:tc>
        <w:tc>
          <w:tcPr>
            <w:tcW w:w="1362"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0,7</w:t>
            </w:r>
          </w:p>
        </w:tc>
        <w:tc>
          <w:tcPr>
            <w:tcW w:w="201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KS M 2407, </w:t>
            </w:r>
            <w:r w:rsidRPr="002C5876">
              <w:rPr>
                <w:sz w:val="18"/>
                <w:szCs w:val="18"/>
              </w:rPr>
              <w:br/>
              <w:t>ASTM D3606, D5580, D6293 et D6839, PIONA</w:t>
            </w:r>
          </w:p>
        </w:tc>
      </w:tr>
      <w:tr w:rsidR="00E24DB7" w:rsidRPr="002C5876" w:rsidTr="00E24DB7">
        <w:tc>
          <w:tcPr>
            <w:tcW w:w="354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Teneur en oxygène</w:t>
            </w:r>
          </w:p>
        </w:tc>
        <w:tc>
          <w:tcPr>
            <w:tcW w:w="1364"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poids</w:t>
            </w:r>
          </w:p>
        </w:tc>
        <w:tc>
          <w:tcPr>
            <w:tcW w:w="1362"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2,3</w:t>
            </w:r>
          </w:p>
        </w:tc>
        <w:tc>
          <w:tcPr>
            <w:tcW w:w="201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KS M 2408, </w:t>
            </w:r>
            <w:r w:rsidRPr="002C5876">
              <w:rPr>
                <w:sz w:val="18"/>
                <w:szCs w:val="18"/>
              </w:rPr>
              <w:br/>
              <w:t>ASTM D4815 et D6839</w:t>
            </w:r>
          </w:p>
        </w:tc>
      </w:tr>
      <w:tr w:rsidR="00E24DB7" w:rsidRPr="002C5876" w:rsidTr="00E24DB7">
        <w:tc>
          <w:tcPr>
            <w:tcW w:w="354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Gomme non lavée</w:t>
            </w:r>
          </w:p>
        </w:tc>
        <w:tc>
          <w:tcPr>
            <w:tcW w:w="1364"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mg/100 ml</w:t>
            </w:r>
          </w:p>
        </w:tc>
        <w:tc>
          <w:tcPr>
            <w:tcW w:w="1362"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5</w:t>
            </w:r>
          </w:p>
        </w:tc>
        <w:tc>
          <w:tcPr>
            <w:tcW w:w="201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KS M 2041</w:t>
            </w:r>
          </w:p>
        </w:tc>
      </w:tr>
      <w:tr w:rsidR="00E24DB7" w:rsidRPr="002C5876" w:rsidTr="00E24DB7">
        <w:tc>
          <w:tcPr>
            <w:tcW w:w="354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Teneur en soufre</w:t>
            </w:r>
          </w:p>
        </w:tc>
        <w:tc>
          <w:tcPr>
            <w:tcW w:w="1364"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ppm en poids</w:t>
            </w:r>
          </w:p>
        </w:tc>
        <w:tc>
          <w:tcPr>
            <w:tcW w:w="1362"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10</w:t>
            </w:r>
          </w:p>
        </w:tc>
        <w:tc>
          <w:tcPr>
            <w:tcW w:w="201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KS M 2027, </w:t>
            </w:r>
            <w:r w:rsidRPr="002C5876">
              <w:rPr>
                <w:sz w:val="18"/>
                <w:szCs w:val="18"/>
              </w:rPr>
              <w:br/>
              <w:t>ASTM D5453</w:t>
            </w:r>
          </w:p>
        </w:tc>
      </w:tr>
      <w:tr w:rsidR="00E24DB7" w:rsidRPr="002C5876" w:rsidTr="00E24DB7">
        <w:tc>
          <w:tcPr>
            <w:tcW w:w="354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Teneur en plomb</w:t>
            </w:r>
          </w:p>
        </w:tc>
        <w:tc>
          <w:tcPr>
            <w:tcW w:w="1364"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mg/l</w:t>
            </w:r>
          </w:p>
        </w:tc>
        <w:tc>
          <w:tcPr>
            <w:tcW w:w="1362"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13</w:t>
            </w:r>
          </w:p>
        </w:tc>
        <w:tc>
          <w:tcPr>
            <w:tcW w:w="201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KS M 2402, </w:t>
            </w:r>
            <w:r w:rsidRPr="002C5876">
              <w:rPr>
                <w:sz w:val="18"/>
                <w:szCs w:val="18"/>
              </w:rPr>
              <w:br/>
              <w:t>ASTM D3237</w:t>
            </w:r>
          </w:p>
        </w:tc>
      </w:tr>
      <w:tr w:rsidR="00E24DB7" w:rsidRPr="002C5876" w:rsidTr="00E24DB7">
        <w:tc>
          <w:tcPr>
            <w:tcW w:w="354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Teneur en phosphore</w:t>
            </w:r>
          </w:p>
        </w:tc>
        <w:tc>
          <w:tcPr>
            <w:tcW w:w="1364"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mg/l</w:t>
            </w:r>
          </w:p>
        </w:tc>
        <w:tc>
          <w:tcPr>
            <w:tcW w:w="1362"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1,3</w:t>
            </w:r>
          </w:p>
        </w:tc>
        <w:tc>
          <w:tcPr>
            <w:tcW w:w="201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KS M 2403, </w:t>
            </w:r>
            <w:r w:rsidRPr="002C5876">
              <w:rPr>
                <w:sz w:val="18"/>
                <w:szCs w:val="18"/>
              </w:rPr>
              <w:br/>
              <w:t>ASTM D3231</w:t>
            </w:r>
          </w:p>
        </w:tc>
      </w:tr>
      <w:tr w:rsidR="00E24DB7" w:rsidRPr="002C5876" w:rsidTr="00E24DB7">
        <w:tc>
          <w:tcPr>
            <w:tcW w:w="354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Méthanol</w:t>
            </w:r>
          </w:p>
        </w:tc>
        <w:tc>
          <w:tcPr>
            <w:tcW w:w="1364"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poids</w:t>
            </w:r>
          </w:p>
        </w:tc>
        <w:tc>
          <w:tcPr>
            <w:tcW w:w="1362"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0,01</w:t>
            </w:r>
          </w:p>
        </w:tc>
        <w:tc>
          <w:tcPr>
            <w:tcW w:w="201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KS M 2408</w:t>
            </w:r>
          </w:p>
        </w:tc>
      </w:tr>
      <w:tr w:rsidR="00E24DB7" w:rsidRPr="002C5876" w:rsidTr="00E24DB7">
        <w:tc>
          <w:tcPr>
            <w:tcW w:w="354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Stabilité à l’oxydation</w:t>
            </w:r>
          </w:p>
        </w:tc>
        <w:tc>
          <w:tcPr>
            <w:tcW w:w="1364"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min.</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480</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201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KS M 2043</w:t>
            </w:r>
          </w:p>
        </w:tc>
      </w:tr>
      <w:tr w:rsidR="00E24DB7" w:rsidRPr="002C5876" w:rsidTr="00E24DB7">
        <w:tc>
          <w:tcPr>
            <w:tcW w:w="354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Corrosion du cuivre</w:t>
            </w:r>
          </w:p>
        </w:tc>
        <w:tc>
          <w:tcPr>
            <w:tcW w:w="1364"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50 °C, 3 h</w:t>
            </w:r>
          </w:p>
        </w:tc>
        <w:tc>
          <w:tcPr>
            <w:tcW w:w="1362"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w:t>
            </w:r>
          </w:p>
        </w:tc>
        <w:tc>
          <w:tcPr>
            <w:tcW w:w="201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KS M 2018</w:t>
            </w:r>
          </w:p>
        </w:tc>
      </w:tr>
      <w:tr w:rsidR="00E24DB7" w:rsidRPr="002C5876" w:rsidTr="00E24DB7">
        <w:tc>
          <w:tcPr>
            <w:tcW w:w="3540"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Couleur</w:t>
            </w:r>
          </w:p>
        </w:tc>
        <w:tc>
          <w:tcPr>
            <w:tcW w:w="1364" w:type="dxa"/>
            <w:gridSpan w:val="2"/>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Vert</w:t>
            </w:r>
          </w:p>
        </w:tc>
        <w:tc>
          <w:tcPr>
            <w:tcW w:w="1362"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362"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2017"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Essai de perception</w:t>
            </w:r>
          </w:p>
        </w:tc>
      </w:tr>
    </w:tbl>
    <w:p w:rsidR="00E24DB7" w:rsidRPr="002C5876" w:rsidRDefault="00E24DB7" w:rsidP="00E24DB7">
      <w:pPr>
        <w:pStyle w:val="SingleTxtG"/>
        <w:spacing w:before="120" w:after="240"/>
        <w:ind w:left="0" w:right="0" w:firstLine="170"/>
        <w:jc w:val="left"/>
        <w:rPr>
          <w:sz w:val="18"/>
          <w:szCs w:val="18"/>
        </w:rPr>
      </w:pPr>
      <w:r w:rsidRPr="002C5876">
        <w:rPr>
          <w:i/>
          <w:sz w:val="18"/>
          <w:szCs w:val="18"/>
          <w:vertAlign w:val="superscript"/>
        </w:rPr>
        <w:t>1</w:t>
      </w:r>
      <w:r w:rsidRPr="002C5876">
        <w:rPr>
          <w:i/>
          <w:sz w:val="18"/>
          <w:szCs w:val="18"/>
        </w:rPr>
        <w:t xml:space="preserve">  </w:t>
      </w:r>
      <w:r w:rsidRPr="002C5876">
        <w:rPr>
          <w:sz w:val="18"/>
          <w:szCs w:val="18"/>
        </w:rPr>
        <w:t>La norme entre parenthèses peut s’appliquer aux oléfines. Dans ce cas, la valeur entre parenthèses pour les aromatiques s’applique.</w:t>
      </w:r>
    </w:p>
    <w:p w:rsidR="00E24DB7" w:rsidRPr="002C5876" w:rsidRDefault="00E24DB7" w:rsidP="00E24DB7">
      <w:pPr>
        <w:pStyle w:val="SingleTxtG"/>
        <w:ind w:left="2268" w:hanging="1134"/>
      </w:pPr>
      <w:r w:rsidRPr="002C5876">
        <w:br w:type="page"/>
      </w:r>
      <w:r w:rsidRPr="002C5876">
        <w:lastRenderedPageBreak/>
        <w:t>3.5</w:t>
      </w:r>
      <w:r w:rsidRPr="002C5876">
        <w:tab/>
      </w:r>
      <w:r w:rsidRPr="002C5876">
        <w:tab/>
        <w:t>Essence (indice d’octane recherche nominal 95, E5)</w:t>
      </w:r>
    </w:p>
    <w:p w:rsidR="00E24DB7" w:rsidRPr="002C5876" w:rsidRDefault="00E24DB7" w:rsidP="00E24DB7">
      <w:pPr>
        <w:pStyle w:val="H23G"/>
        <w:ind w:left="0" w:firstLine="0"/>
      </w:pPr>
      <w:r w:rsidRPr="002C5876">
        <w:rPr>
          <w:b w:val="0"/>
        </w:rPr>
        <w:t>Tableau A3/5</w:t>
      </w:r>
      <w:r w:rsidRPr="002C5876">
        <w:t xml:space="preserve"> </w:t>
      </w:r>
      <w:r w:rsidRPr="002C5876">
        <w:br/>
        <w:t>Essence (indice d’octane recherche nominal 95, E5)</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7"/>
        <w:gridCol w:w="1362"/>
        <w:gridCol w:w="1362"/>
        <w:gridCol w:w="1362"/>
        <w:gridCol w:w="2016"/>
      </w:tblGrid>
      <w:tr w:rsidR="00E24DB7" w:rsidRPr="002C5876" w:rsidTr="00E24DB7">
        <w:trPr>
          <w:trHeight w:val="154"/>
          <w:tblHeader/>
        </w:trPr>
        <w:tc>
          <w:tcPr>
            <w:tcW w:w="3537" w:type="dxa"/>
            <w:vMerge w:val="restart"/>
            <w:tcBorders>
              <w:top w:val="single" w:sz="4" w:space="0" w:color="auto"/>
              <w:left w:val="single" w:sz="4" w:space="0" w:color="auto"/>
              <w:bottom w:val="single" w:sz="4" w:space="0" w:color="auto"/>
              <w:right w:val="single" w:sz="4" w:space="0" w:color="auto"/>
            </w:tcBorders>
            <w:vAlign w:val="bottom"/>
            <w:hideMark/>
          </w:tcPr>
          <w:p w:rsidR="00E24DB7" w:rsidRPr="002C5876" w:rsidRDefault="00E24DB7" w:rsidP="00E24DB7">
            <w:pPr>
              <w:keepNext/>
              <w:suppressAutoHyphens w:val="0"/>
              <w:spacing w:before="80" w:after="80" w:line="200" w:lineRule="exact"/>
              <w:ind w:left="57" w:right="57"/>
              <w:rPr>
                <w:i/>
                <w:sz w:val="16"/>
                <w:szCs w:val="16"/>
              </w:rPr>
            </w:pPr>
            <w:r w:rsidRPr="002C5876">
              <w:rPr>
                <w:i/>
                <w:sz w:val="16"/>
                <w:szCs w:val="16"/>
              </w:rPr>
              <w:t>Paramètre</w:t>
            </w:r>
          </w:p>
        </w:tc>
        <w:tc>
          <w:tcPr>
            <w:tcW w:w="1362" w:type="dxa"/>
            <w:vMerge w:val="restart"/>
            <w:tcBorders>
              <w:top w:val="single" w:sz="4" w:space="0" w:color="auto"/>
              <w:left w:val="single" w:sz="4" w:space="0" w:color="auto"/>
              <w:bottom w:val="single" w:sz="4" w:space="0" w:color="auto"/>
              <w:right w:val="single" w:sz="4" w:space="0" w:color="auto"/>
            </w:tcBorders>
            <w:vAlign w:val="bottom"/>
            <w:hideMark/>
          </w:tcPr>
          <w:p w:rsidR="00E24DB7" w:rsidRPr="002C5876" w:rsidRDefault="00E24DB7" w:rsidP="00E24DB7">
            <w:pPr>
              <w:keepNext/>
              <w:suppressAutoHyphens w:val="0"/>
              <w:spacing w:before="80" w:after="80" w:line="200" w:lineRule="exact"/>
              <w:ind w:left="57" w:right="57"/>
              <w:rPr>
                <w:i/>
                <w:sz w:val="16"/>
                <w:szCs w:val="16"/>
              </w:rPr>
            </w:pPr>
            <w:r w:rsidRPr="002C5876">
              <w:rPr>
                <w:i/>
                <w:sz w:val="16"/>
                <w:szCs w:val="16"/>
              </w:rPr>
              <w:t>Unité</w:t>
            </w:r>
          </w:p>
        </w:tc>
        <w:tc>
          <w:tcPr>
            <w:tcW w:w="2724"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keepNext/>
              <w:suppressAutoHyphens w:val="0"/>
              <w:spacing w:before="80" w:after="80" w:line="200" w:lineRule="exact"/>
              <w:ind w:left="57" w:right="57"/>
              <w:jc w:val="center"/>
              <w:rPr>
                <w:i/>
                <w:sz w:val="16"/>
                <w:szCs w:val="16"/>
              </w:rPr>
            </w:pPr>
            <w:r w:rsidRPr="002C5876">
              <w:rPr>
                <w:i/>
                <w:sz w:val="16"/>
                <w:szCs w:val="16"/>
              </w:rPr>
              <w:t>Limites</w:t>
            </w:r>
            <w:r w:rsidRPr="002C5876">
              <w:rPr>
                <w:i/>
                <w:sz w:val="16"/>
                <w:szCs w:val="16"/>
                <w:vertAlign w:val="superscript"/>
              </w:rPr>
              <w:t>1</w:t>
            </w:r>
          </w:p>
        </w:tc>
        <w:tc>
          <w:tcPr>
            <w:tcW w:w="2016" w:type="dxa"/>
            <w:vMerge w:val="restart"/>
            <w:tcBorders>
              <w:top w:val="single" w:sz="4" w:space="0" w:color="auto"/>
              <w:left w:val="single" w:sz="4" w:space="0" w:color="auto"/>
              <w:bottom w:val="single" w:sz="4" w:space="0" w:color="auto"/>
              <w:right w:val="single" w:sz="4" w:space="0" w:color="auto"/>
            </w:tcBorders>
            <w:vAlign w:val="bottom"/>
            <w:hideMark/>
          </w:tcPr>
          <w:p w:rsidR="00E24DB7" w:rsidRPr="002C5876" w:rsidRDefault="00E24DB7" w:rsidP="00E24DB7">
            <w:pPr>
              <w:keepNext/>
              <w:suppressAutoHyphens w:val="0"/>
              <w:spacing w:before="80" w:after="80" w:line="200" w:lineRule="exact"/>
              <w:ind w:left="57" w:right="57"/>
              <w:rPr>
                <w:i/>
                <w:sz w:val="16"/>
                <w:szCs w:val="16"/>
              </w:rPr>
            </w:pPr>
            <w:r w:rsidRPr="002C5876">
              <w:rPr>
                <w:i/>
                <w:sz w:val="16"/>
                <w:szCs w:val="16"/>
              </w:rPr>
              <w:t>Méthode d’essai</w:t>
            </w:r>
          </w:p>
        </w:tc>
      </w:tr>
      <w:tr w:rsidR="00E24DB7" w:rsidRPr="002C5876" w:rsidTr="00E24DB7">
        <w:trPr>
          <w:trHeight w:val="213"/>
          <w:tblHeader/>
        </w:trPr>
        <w:tc>
          <w:tcPr>
            <w:tcW w:w="3537" w:type="dxa"/>
            <w:vMerge/>
            <w:tcBorders>
              <w:top w:val="single" w:sz="4" w:space="0" w:color="auto"/>
              <w:left w:val="single" w:sz="4" w:space="0" w:color="auto"/>
              <w:bottom w:val="single" w:sz="12" w:space="0" w:color="auto"/>
              <w:right w:val="single" w:sz="4" w:space="0" w:color="auto"/>
            </w:tcBorders>
            <w:vAlign w:val="center"/>
            <w:hideMark/>
          </w:tcPr>
          <w:p w:rsidR="00E24DB7" w:rsidRPr="002C5876" w:rsidRDefault="00E24DB7" w:rsidP="00E24DB7">
            <w:pPr>
              <w:suppressAutoHyphens w:val="0"/>
              <w:spacing w:before="80" w:after="80" w:line="200" w:lineRule="exact"/>
              <w:ind w:left="57" w:right="57"/>
              <w:rPr>
                <w:i/>
                <w:sz w:val="18"/>
                <w:szCs w:val="18"/>
              </w:rPr>
            </w:pPr>
          </w:p>
        </w:tc>
        <w:tc>
          <w:tcPr>
            <w:tcW w:w="1362" w:type="dxa"/>
            <w:vMerge/>
            <w:tcBorders>
              <w:top w:val="single" w:sz="4" w:space="0" w:color="auto"/>
              <w:left w:val="single" w:sz="4" w:space="0" w:color="auto"/>
              <w:bottom w:val="single" w:sz="12" w:space="0" w:color="auto"/>
              <w:right w:val="single" w:sz="4" w:space="0" w:color="auto"/>
            </w:tcBorders>
            <w:vAlign w:val="center"/>
            <w:hideMark/>
          </w:tcPr>
          <w:p w:rsidR="00E24DB7" w:rsidRPr="002C5876" w:rsidRDefault="00E24DB7" w:rsidP="00E24DB7">
            <w:pPr>
              <w:suppressAutoHyphens w:val="0"/>
              <w:spacing w:before="80" w:after="80" w:line="200" w:lineRule="exact"/>
              <w:ind w:left="57" w:right="57"/>
              <w:rPr>
                <w:i/>
                <w:sz w:val="18"/>
                <w:szCs w:val="18"/>
              </w:rPr>
            </w:pPr>
          </w:p>
        </w:tc>
        <w:tc>
          <w:tcPr>
            <w:tcW w:w="1362" w:type="dxa"/>
            <w:tcBorders>
              <w:top w:val="single" w:sz="4" w:space="0" w:color="auto"/>
              <w:left w:val="single" w:sz="4" w:space="0" w:color="auto"/>
              <w:bottom w:val="single" w:sz="12"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Minimale</w:t>
            </w:r>
          </w:p>
        </w:tc>
        <w:tc>
          <w:tcPr>
            <w:tcW w:w="1362" w:type="dxa"/>
            <w:tcBorders>
              <w:top w:val="single" w:sz="4" w:space="0" w:color="auto"/>
              <w:left w:val="single" w:sz="4" w:space="0" w:color="auto"/>
              <w:bottom w:val="single" w:sz="12"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Maximale</w:t>
            </w:r>
          </w:p>
        </w:tc>
        <w:tc>
          <w:tcPr>
            <w:tcW w:w="2016" w:type="dxa"/>
            <w:vMerge/>
            <w:tcBorders>
              <w:top w:val="single" w:sz="4" w:space="0" w:color="auto"/>
              <w:left w:val="single" w:sz="4" w:space="0" w:color="auto"/>
              <w:bottom w:val="single" w:sz="12" w:space="0" w:color="auto"/>
              <w:right w:val="single" w:sz="4" w:space="0" w:color="auto"/>
            </w:tcBorders>
            <w:vAlign w:val="center"/>
            <w:hideMark/>
          </w:tcPr>
          <w:p w:rsidR="00E24DB7" w:rsidRPr="002C5876" w:rsidRDefault="00E24DB7" w:rsidP="00E24DB7">
            <w:pPr>
              <w:suppressAutoHyphens w:val="0"/>
              <w:spacing w:before="80" w:after="80" w:line="200" w:lineRule="exact"/>
              <w:ind w:left="57" w:right="57"/>
              <w:rPr>
                <w:i/>
                <w:sz w:val="18"/>
                <w:szCs w:val="18"/>
              </w:rPr>
            </w:pPr>
          </w:p>
        </w:tc>
      </w:tr>
      <w:tr w:rsidR="00E24DB7" w:rsidRPr="002C5876" w:rsidTr="00E24DB7">
        <w:tc>
          <w:tcPr>
            <w:tcW w:w="3537"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Indice d’octane recherche (IOR)</w:t>
            </w:r>
          </w:p>
        </w:tc>
        <w:tc>
          <w:tcPr>
            <w:tcW w:w="1362" w:type="dxa"/>
            <w:tcBorders>
              <w:top w:val="single" w:sz="12"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2"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95,0</w:t>
            </w:r>
          </w:p>
        </w:tc>
        <w:tc>
          <w:tcPr>
            <w:tcW w:w="1362" w:type="dxa"/>
            <w:tcBorders>
              <w:top w:val="single" w:sz="12"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2016"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EN 25164 </w:t>
            </w:r>
            <w:r w:rsidRPr="002C5876">
              <w:rPr>
                <w:sz w:val="18"/>
                <w:szCs w:val="18"/>
              </w:rPr>
              <w:br/>
              <w:t>EN ISO 5164</w:t>
            </w: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Indice d’octane moteur (IOM)</w:t>
            </w:r>
          </w:p>
        </w:tc>
        <w:tc>
          <w:tcPr>
            <w:tcW w:w="1362"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85,0</w:t>
            </w:r>
          </w:p>
        </w:tc>
        <w:tc>
          <w:tcPr>
            <w:tcW w:w="1362"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EN 25163 </w:t>
            </w:r>
            <w:r w:rsidRPr="002C5876">
              <w:rPr>
                <w:sz w:val="18"/>
                <w:szCs w:val="18"/>
              </w:rPr>
              <w:br/>
              <w:t>EN ISO 5163</w:t>
            </w: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Densité à 15 °C</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kg/m</w:t>
            </w:r>
            <w:r w:rsidRPr="002C5876">
              <w:rPr>
                <w:sz w:val="18"/>
                <w:szCs w:val="18"/>
                <w:vertAlign w:val="superscript"/>
              </w:rPr>
              <w:t>3</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743</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756</w:t>
            </w: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EN ISO 3675 </w:t>
            </w:r>
            <w:r w:rsidRPr="002C5876">
              <w:rPr>
                <w:sz w:val="18"/>
                <w:szCs w:val="18"/>
              </w:rPr>
              <w:br/>
              <w:t>EN ISO 12185</w:t>
            </w: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Pression de vapeur </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kPa</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56,0</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60,0</w:t>
            </w: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 ISO 13016-1 (DVPE)</w:t>
            </w: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Teneur en eau </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v/v</w:t>
            </w:r>
          </w:p>
        </w:tc>
        <w:tc>
          <w:tcPr>
            <w:tcW w:w="1362"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0,015</w:t>
            </w: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ASTM E 1064</w:t>
            </w: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Distillation :</w:t>
            </w:r>
          </w:p>
        </w:tc>
        <w:tc>
          <w:tcPr>
            <w:tcW w:w="1362"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2016"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pStyle w:val="Bullet1G"/>
              <w:numPr>
                <w:ilvl w:val="0"/>
                <w:numId w:val="1"/>
              </w:numPr>
              <w:ind w:left="340"/>
              <w:rPr>
                <w:sz w:val="18"/>
                <w:szCs w:val="18"/>
              </w:rPr>
            </w:pPr>
            <w:r w:rsidRPr="002C5876">
              <w:rPr>
                <w:sz w:val="18"/>
                <w:szCs w:val="18"/>
              </w:rPr>
              <w:t>Évaporé à 70 °C</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v/v</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24,0</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44,0</w:t>
            </w: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EN-ISO 3405</w:t>
            </w: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pStyle w:val="Bullet1G"/>
              <w:numPr>
                <w:ilvl w:val="0"/>
                <w:numId w:val="1"/>
              </w:numPr>
              <w:ind w:left="340"/>
              <w:rPr>
                <w:sz w:val="18"/>
                <w:szCs w:val="18"/>
              </w:rPr>
            </w:pPr>
            <w:r w:rsidRPr="002C5876">
              <w:rPr>
                <w:sz w:val="18"/>
                <w:szCs w:val="18"/>
              </w:rPr>
              <w:t>Évaporé à 100 °C</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v/v</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48,0</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60,0</w:t>
            </w: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EN-ISO 3405</w:t>
            </w: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pStyle w:val="Bullet1G"/>
              <w:numPr>
                <w:ilvl w:val="0"/>
                <w:numId w:val="1"/>
              </w:numPr>
              <w:ind w:left="340"/>
              <w:rPr>
                <w:sz w:val="18"/>
                <w:szCs w:val="18"/>
              </w:rPr>
            </w:pPr>
            <w:r w:rsidRPr="002C5876">
              <w:rPr>
                <w:sz w:val="18"/>
                <w:szCs w:val="18"/>
              </w:rPr>
              <w:t>Évaporé à 150 °C</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v/v</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82,0</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90,0</w:t>
            </w: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EN-ISO 3405</w:t>
            </w: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pStyle w:val="Bullet1G"/>
              <w:numPr>
                <w:ilvl w:val="0"/>
                <w:numId w:val="1"/>
              </w:numPr>
              <w:ind w:left="340"/>
              <w:rPr>
                <w:sz w:val="18"/>
                <w:szCs w:val="18"/>
              </w:rPr>
            </w:pPr>
            <w:r w:rsidRPr="002C5876">
              <w:rPr>
                <w:sz w:val="18"/>
                <w:szCs w:val="18"/>
              </w:rPr>
              <w:t>Point d’ébullition final</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190</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210</w:t>
            </w: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EN-ISO 3405</w:t>
            </w: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Résidus</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v/v</w:t>
            </w:r>
          </w:p>
        </w:tc>
        <w:tc>
          <w:tcPr>
            <w:tcW w:w="1362"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2,0</w:t>
            </w: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EN-ISO 3405</w:t>
            </w: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Analyse des hydrocarbures :</w:t>
            </w:r>
          </w:p>
        </w:tc>
        <w:tc>
          <w:tcPr>
            <w:tcW w:w="1362"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2016"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pStyle w:val="Bullet1G"/>
              <w:numPr>
                <w:ilvl w:val="0"/>
                <w:numId w:val="1"/>
              </w:numPr>
              <w:ind w:left="340"/>
              <w:rPr>
                <w:sz w:val="18"/>
                <w:szCs w:val="18"/>
              </w:rPr>
            </w:pPr>
            <w:r w:rsidRPr="002C5876">
              <w:rPr>
                <w:sz w:val="18"/>
                <w:szCs w:val="18"/>
              </w:rPr>
              <w:t>Oléfines</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v/v</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3,0</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13,0</w:t>
            </w: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ASTM D 1319</w:t>
            </w: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pStyle w:val="Bullet1G"/>
              <w:numPr>
                <w:ilvl w:val="0"/>
                <w:numId w:val="1"/>
              </w:numPr>
              <w:ind w:left="340"/>
              <w:rPr>
                <w:sz w:val="18"/>
                <w:szCs w:val="18"/>
              </w:rPr>
            </w:pPr>
            <w:r w:rsidRPr="002C5876">
              <w:rPr>
                <w:sz w:val="18"/>
                <w:szCs w:val="18"/>
              </w:rPr>
              <w:t>Aromatiques</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v/v</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29,0</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35,0</w:t>
            </w: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ASTM D 1319</w:t>
            </w: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pStyle w:val="Bullet1G"/>
              <w:numPr>
                <w:ilvl w:val="0"/>
                <w:numId w:val="1"/>
              </w:numPr>
              <w:ind w:left="340"/>
              <w:rPr>
                <w:sz w:val="18"/>
                <w:szCs w:val="18"/>
              </w:rPr>
            </w:pPr>
            <w:r w:rsidRPr="002C5876">
              <w:rPr>
                <w:sz w:val="18"/>
                <w:szCs w:val="18"/>
              </w:rPr>
              <w:t>Benzène</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v/v</w:t>
            </w:r>
          </w:p>
        </w:tc>
        <w:tc>
          <w:tcPr>
            <w:tcW w:w="1362"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1,0</w:t>
            </w: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 12177</w:t>
            </w: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pStyle w:val="Bullet1G"/>
              <w:numPr>
                <w:ilvl w:val="0"/>
                <w:numId w:val="1"/>
              </w:numPr>
              <w:ind w:left="340"/>
              <w:rPr>
                <w:sz w:val="18"/>
                <w:szCs w:val="18"/>
              </w:rPr>
            </w:pPr>
            <w:r w:rsidRPr="002C5876">
              <w:rPr>
                <w:sz w:val="18"/>
                <w:szCs w:val="18"/>
              </w:rPr>
              <w:t>Saturés</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v/v</w:t>
            </w:r>
          </w:p>
        </w:tc>
        <w:tc>
          <w:tcPr>
            <w:tcW w:w="2724"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jc w:val="center"/>
              <w:rPr>
                <w:sz w:val="18"/>
                <w:szCs w:val="18"/>
              </w:rPr>
            </w:pPr>
            <w:r w:rsidRPr="002C5876">
              <w:rPr>
                <w:sz w:val="18"/>
                <w:szCs w:val="18"/>
              </w:rPr>
              <w:t>Valeur à enregistrer</w:t>
            </w: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ASTM D 1319</w:t>
            </w: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Rapport carbone/hydrogène</w:t>
            </w:r>
          </w:p>
        </w:tc>
        <w:tc>
          <w:tcPr>
            <w:tcW w:w="1362"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2724"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jc w:val="center"/>
              <w:rPr>
                <w:sz w:val="18"/>
                <w:szCs w:val="18"/>
              </w:rPr>
            </w:pPr>
            <w:r w:rsidRPr="002C5876">
              <w:rPr>
                <w:sz w:val="18"/>
                <w:szCs w:val="18"/>
              </w:rPr>
              <w:t>Valeur à enregistrer</w:t>
            </w:r>
          </w:p>
        </w:tc>
        <w:tc>
          <w:tcPr>
            <w:tcW w:w="2016"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Rapport carbone/oxygène</w:t>
            </w:r>
          </w:p>
        </w:tc>
        <w:tc>
          <w:tcPr>
            <w:tcW w:w="1362"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2724"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jc w:val="center"/>
              <w:rPr>
                <w:sz w:val="18"/>
                <w:szCs w:val="18"/>
              </w:rPr>
            </w:pPr>
            <w:r w:rsidRPr="002C5876">
              <w:rPr>
                <w:sz w:val="18"/>
                <w:szCs w:val="18"/>
              </w:rPr>
              <w:t>Valeur à enregistrer</w:t>
            </w:r>
          </w:p>
        </w:tc>
        <w:tc>
          <w:tcPr>
            <w:tcW w:w="2016"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Période d’induction</w:t>
            </w:r>
            <w:r w:rsidRPr="002C5876">
              <w:rPr>
                <w:i/>
                <w:sz w:val="18"/>
                <w:szCs w:val="18"/>
                <w:vertAlign w:val="superscript"/>
              </w:rPr>
              <w:t>2</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min.</w:t>
            </w:r>
          </w:p>
        </w:tc>
        <w:tc>
          <w:tcPr>
            <w:tcW w:w="2724"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480</w:t>
            </w: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EN-ISO 7536</w:t>
            </w: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Teneur en oxygène</w:t>
            </w:r>
            <w:r w:rsidRPr="002C5876">
              <w:rPr>
                <w:i/>
                <w:sz w:val="18"/>
                <w:szCs w:val="18"/>
                <w:vertAlign w:val="superscript"/>
              </w:rPr>
              <w:t>3</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m/m</w:t>
            </w:r>
          </w:p>
        </w:tc>
        <w:tc>
          <w:tcPr>
            <w:tcW w:w="2724"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jc w:val="center"/>
              <w:rPr>
                <w:sz w:val="18"/>
                <w:szCs w:val="18"/>
              </w:rPr>
            </w:pPr>
            <w:r w:rsidRPr="002C5876">
              <w:rPr>
                <w:sz w:val="18"/>
                <w:szCs w:val="18"/>
              </w:rPr>
              <w:t>Valeur à enregistrer</w:t>
            </w: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 1601</w:t>
            </w: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Gomme existante</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mg/ml</w:t>
            </w:r>
          </w:p>
        </w:tc>
        <w:tc>
          <w:tcPr>
            <w:tcW w:w="1362"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0,04</w:t>
            </w: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EN-ISO 6246</w:t>
            </w: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Teneur en soufre</w:t>
            </w:r>
            <w:r w:rsidRPr="002C5876">
              <w:rPr>
                <w:i/>
                <w:sz w:val="18"/>
                <w:szCs w:val="18"/>
                <w:vertAlign w:val="superscript"/>
              </w:rPr>
              <w:t>4</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mg/kg</w:t>
            </w:r>
          </w:p>
        </w:tc>
        <w:tc>
          <w:tcPr>
            <w:tcW w:w="1362"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10</w:t>
            </w: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EN ISO 20846 </w:t>
            </w:r>
            <w:r w:rsidRPr="002C5876">
              <w:rPr>
                <w:sz w:val="18"/>
                <w:szCs w:val="18"/>
              </w:rPr>
              <w:br/>
              <w:t>EN ISO 20884</w:t>
            </w: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Corrosion du cuivre</w:t>
            </w:r>
          </w:p>
        </w:tc>
        <w:tc>
          <w:tcPr>
            <w:tcW w:w="1362"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Classe 1</w:t>
            </w: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EN-ISO 2160</w:t>
            </w: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Teneur en plomb</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mg/l</w:t>
            </w:r>
          </w:p>
        </w:tc>
        <w:tc>
          <w:tcPr>
            <w:tcW w:w="1362"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5</w:t>
            </w: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 237</w:t>
            </w: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Teneur en phosphore</w:t>
            </w:r>
            <w:r w:rsidRPr="002C5876">
              <w:rPr>
                <w:i/>
                <w:sz w:val="18"/>
                <w:szCs w:val="18"/>
                <w:vertAlign w:val="superscript"/>
              </w:rPr>
              <w:t>5</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mg/l</w:t>
            </w:r>
          </w:p>
        </w:tc>
        <w:tc>
          <w:tcPr>
            <w:tcW w:w="1362"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1,3</w:t>
            </w: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ASTM D 3231</w:t>
            </w:r>
          </w:p>
        </w:tc>
      </w:tr>
      <w:tr w:rsidR="00E24DB7" w:rsidRPr="002C5876" w:rsidTr="00E24DB7">
        <w:tc>
          <w:tcPr>
            <w:tcW w:w="3537"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Éthanol</w:t>
            </w:r>
            <w:r w:rsidRPr="002C5876">
              <w:rPr>
                <w:i/>
                <w:sz w:val="18"/>
                <w:szCs w:val="18"/>
                <w:vertAlign w:val="superscript"/>
              </w:rPr>
              <w:t>3</w:t>
            </w:r>
          </w:p>
        </w:tc>
        <w:tc>
          <w:tcPr>
            <w:tcW w:w="1362"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v/v</w:t>
            </w:r>
          </w:p>
        </w:tc>
        <w:tc>
          <w:tcPr>
            <w:tcW w:w="1362"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4,7</w:t>
            </w:r>
          </w:p>
        </w:tc>
        <w:tc>
          <w:tcPr>
            <w:tcW w:w="1362"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5,3</w:t>
            </w:r>
          </w:p>
        </w:tc>
        <w:tc>
          <w:tcPr>
            <w:tcW w:w="2016"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EN 1601 </w:t>
            </w:r>
            <w:r w:rsidRPr="002C5876">
              <w:rPr>
                <w:sz w:val="18"/>
                <w:szCs w:val="18"/>
              </w:rPr>
              <w:br/>
              <w:t>EN 13132</w:t>
            </w:r>
          </w:p>
        </w:tc>
      </w:tr>
    </w:tbl>
    <w:p w:rsidR="00E24DB7" w:rsidRPr="002C5876" w:rsidRDefault="00E24DB7" w:rsidP="00E24DB7">
      <w:pPr>
        <w:spacing w:before="120"/>
        <w:ind w:firstLine="170"/>
        <w:rPr>
          <w:sz w:val="18"/>
          <w:szCs w:val="18"/>
        </w:rPr>
      </w:pPr>
      <w:r w:rsidRPr="002C5876">
        <w:rPr>
          <w:i/>
          <w:sz w:val="18"/>
          <w:szCs w:val="18"/>
          <w:vertAlign w:val="superscript"/>
        </w:rPr>
        <w:t>1</w:t>
      </w:r>
      <w:r w:rsidRPr="002C5876">
        <w:rPr>
          <w:sz w:val="18"/>
          <w:szCs w:val="18"/>
        </w:rPr>
        <w:t xml:space="preserve">  Les valeurs mentionnées dans les spécifications sont des « valeurs vraies ». Les valeurs limites ont été déterminées conformément à la norme ISO 4259, intitulée « Produits pétroliers − Détermination et application des valeurs de fidélité relatives aux méthodes d’essai ». Pour la fixation d’un minimum, une différence minimale de 2R par rapport à la valeur zéro a été prise en compte ; pour la fixation d’un maximum et d’un minimum, la différence minimale entre ces valeurs est de 4R (R = reproductibilité). Malgré cette mesure, qui est nécessaire pour des raisons techniques, le fabricant de carburant doit néanmoins viser la valeur zéro lorsque la valeur maximale indiquée est de 2R ou la valeur moyenne lorsqu’il existe un minimum et un maximum. S’il est nécessaire de vérifier qu’un carburant est conforme aux spécifications, les termes de la norme ISO 4259 doivent être appliqués.</w:t>
      </w:r>
    </w:p>
    <w:p w:rsidR="00E24DB7" w:rsidRPr="002C5876" w:rsidRDefault="00E24DB7" w:rsidP="00E24DB7">
      <w:pPr>
        <w:ind w:firstLine="170"/>
        <w:rPr>
          <w:sz w:val="18"/>
          <w:szCs w:val="18"/>
        </w:rPr>
      </w:pPr>
      <w:r w:rsidRPr="002C5876">
        <w:rPr>
          <w:i/>
          <w:sz w:val="18"/>
          <w:szCs w:val="18"/>
          <w:vertAlign w:val="superscript"/>
        </w:rPr>
        <w:lastRenderedPageBreak/>
        <w:t>2</w:t>
      </w:r>
      <w:r w:rsidRPr="002C5876">
        <w:rPr>
          <w:sz w:val="18"/>
          <w:szCs w:val="18"/>
        </w:rPr>
        <w:t xml:space="preserve">  Le carburant peut contenir des additifs antioxydants et des inhibiteurs de catalyse métallique normalement utilisés pour stabiliser les flux d’essence en raffinerie ; il ne doit cependant pas y être ajouté d’additifs détergents ou dispersants ni d’huiles solvantes.</w:t>
      </w:r>
    </w:p>
    <w:p w:rsidR="00E24DB7" w:rsidRPr="002C5876" w:rsidRDefault="00E24DB7" w:rsidP="00E24DB7">
      <w:pPr>
        <w:ind w:firstLine="170"/>
        <w:rPr>
          <w:sz w:val="18"/>
          <w:szCs w:val="18"/>
        </w:rPr>
      </w:pPr>
      <w:r w:rsidRPr="002C5876">
        <w:rPr>
          <w:i/>
          <w:sz w:val="18"/>
          <w:szCs w:val="18"/>
          <w:vertAlign w:val="superscript"/>
        </w:rPr>
        <w:t>3</w:t>
      </w:r>
      <w:r w:rsidRPr="002C5876">
        <w:rPr>
          <w:sz w:val="18"/>
          <w:szCs w:val="18"/>
        </w:rPr>
        <w:t xml:space="preserve">  Le seul oxygénant pouvant être ajouté intentionnellement au carburant de référence est l’éthanol conforme à la spécification EN 15376.</w:t>
      </w:r>
    </w:p>
    <w:p w:rsidR="00E24DB7" w:rsidRPr="002C5876" w:rsidRDefault="00E24DB7" w:rsidP="00E24DB7">
      <w:pPr>
        <w:suppressAutoHyphens w:val="0"/>
        <w:ind w:firstLine="170"/>
        <w:rPr>
          <w:sz w:val="18"/>
          <w:szCs w:val="18"/>
        </w:rPr>
      </w:pPr>
      <w:r w:rsidRPr="002C5876">
        <w:rPr>
          <w:i/>
          <w:sz w:val="18"/>
          <w:szCs w:val="18"/>
          <w:vertAlign w:val="superscript"/>
        </w:rPr>
        <w:t>4</w:t>
      </w:r>
      <w:r w:rsidRPr="002C5876">
        <w:rPr>
          <w:sz w:val="18"/>
          <w:szCs w:val="18"/>
        </w:rPr>
        <w:t xml:space="preserve">  Il convient d’enregistrer la teneur en soufre effective du carburant utilisé pour les essais de type 1.</w:t>
      </w:r>
    </w:p>
    <w:p w:rsidR="00E24DB7" w:rsidRPr="002C5876" w:rsidRDefault="00E24DB7" w:rsidP="00E24DB7">
      <w:pPr>
        <w:suppressAutoHyphens w:val="0"/>
        <w:ind w:firstLine="170"/>
        <w:rPr>
          <w:sz w:val="18"/>
          <w:szCs w:val="18"/>
        </w:rPr>
      </w:pPr>
      <w:r w:rsidRPr="002C5876">
        <w:rPr>
          <w:i/>
          <w:sz w:val="18"/>
          <w:szCs w:val="18"/>
          <w:vertAlign w:val="superscript"/>
        </w:rPr>
        <w:t>5</w:t>
      </w:r>
      <w:r w:rsidRPr="002C5876">
        <w:rPr>
          <w:sz w:val="18"/>
          <w:szCs w:val="18"/>
        </w:rPr>
        <w:t xml:space="preserve">  Aucun composant contenant du phosphore, du fer, du manganèse ou du plomb ne doit être ajouté intentionnellement au carburant de référence.</w:t>
      </w:r>
    </w:p>
    <w:p w:rsidR="00E24DB7" w:rsidRPr="002C5876" w:rsidRDefault="00E24DB7" w:rsidP="00E24DB7">
      <w:pPr>
        <w:pStyle w:val="SingleTxtG"/>
        <w:ind w:left="2268" w:hanging="1134"/>
      </w:pPr>
      <w:r w:rsidRPr="002C5876">
        <w:rPr>
          <w:sz w:val="18"/>
          <w:szCs w:val="18"/>
        </w:rPr>
        <w:br w:type="page"/>
      </w:r>
      <w:r w:rsidRPr="002C5876">
        <w:lastRenderedPageBreak/>
        <w:t>3.6</w:t>
      </w:r>
      <w:r w:rsidRPr="002C5876">
        <w:tab/>
        <w:t>Essence (indice d’octane recherche nominal 95, E10)</w:t>
      </w:r>
    </w:p>
    <w:p w:rsidR="00E24DB7" w:rsidRPr="002C5876" w:rsidRDefault="00E24DB7" w:rsidP="00E24DB7">
      <w:pPr>
        <w:pStyle w:val="H23G"/>
        <w:ind w:left="0" w:firstLine="0"/>
      </w:pPr>
      <w:r w:rsidRPr="002C5876">
        <w:rPr>
          <w:b w:val="0"/>
        </w:rPr>
        <w:t>Tableau A3/6</w:t>
      </w:r>
      <w:r w:rsidRPr="002C5876">
        <w:t xml:space="preserve"> </w:t>
      </w:r>
      <w:r w:rsidRPr="002C5876">
        <w:br/>
        <w:t>Essence (indice d’octane recherche nominal 95, E10)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974"/>
        <w:gridCol w:w="1418"/>
        <w:gridCol w:w="1276"/>
        <w:gridCol w:w="1270"/>
        <w:gridCol w:w="1701"/>
      </w:tblGrid>
      <w:tr w:rsidR="00E24DB7" w:rsidRPr="002C5876" w:rsidTr="00E24DB7">
        <w:trPr>
          <w:tblHeader/>
        </w:trPr>
        <w:tc>
          <w:tcPr>
            <w:tcW w:w="3974" w:type="dxa"/>
            <w:vMerge w:val="restart"/>
            <w:tcBorders>
              <w:top w:val="single" w:sz="4" w:space="0" w:color="auto"/>
              <w:left w:val="single" w:sz="4" w:space="0" w:color="auto"/>
              <w:bottom w:val="single" w:sz="4"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Paramètre</w:t>
            </w:r>
          </w:p>
        </w:tc>
        <w:tc>
          <w:tcPr>
            <w:tcW w:w="1418" w:type="dxa"/>
            <w:vMerge w:val="restart"/>
            <w:tcBorders>
              <w:top w:val="single" w:sz="4" w:space="0" w:color="auto"/>
              <w:left w:val="single" w:sz="4" w:space="0" w:color="auto"/>
              <w:bottom w:val="single" w:sz="4"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Unité</w:t>
            </w:r>
          </w:p>
        </w:tc>
        <w:tc>
          <w:tcPr>
            <w:tcW w:w="2546"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80" w:after="80" w:line="200" w:lineRule="exact"/>
              <w:ind w:left="57" w:right="57"/>
              <w:jc w:val="center"/>
              <w:rPr>
                <w:i/>
                <w:sz w:val="16"/>
                <w:szCs w:val="16"/>
              </w:rPr>
            </w:pPr>
            <w:r w:rsidRPr="002C5876">
              <w:rPr>
                <w:i/>
                <w:sz w:val="16"/>
                <w:szCs w:val="16"/>
              </w:rPr>
              <w:t>Limites</w:t>
            </w:r>
            <w:r w:rsidRPr="002C5876">
              <w:rPr>
                <w:i/>
                <w:sz w:val="16"/>
                <w:szCs w:val="16"/>
                <w:vertAlign w:val="superscript"/>
              </w:rPr>
              <w:t>1</w:t>
            </w:r>
          </w:p>
        </w:tc>
        <w:tc>
          <w:tcPr>
            <w:tcW w:w="1701" w:type="dxa"/>
            <w:vMerge w:val="restart"/>
            <w:tcBorders>
              <w:top w:val="single" w:sz="4" w:space="0" w:color="auto"/>
              <w:left w:val="single" w:sz="4" w:space="0" w:color="auto"/>
              <w:bottom w:val="single" w:sz="4"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Méthode d’essai</w:t>
            </w:r>
            <w:r w:rsidRPr="002C5876">
              <w:rPr>
                <w:i/>
                <w:sz w:val="16"/>
                <w:szCs w:val="16"/>
                <w:vertAlign w:val="superscript"/>
              </w:rPr>
              <w:t>2</w:t>
            </w:r>
          </w:p>
        </w:tc>
      </w:tr>
      <w:tr w:rsidR="00E24DB7" w:rsidRPr="002C5876" w:rsidTr="00E24DB7">
        <w:trPr>
          <w:tblHeader/>
        </w:trPr>
        <w:tc>
          <w:tcPr>
            <w:tcW w:w="3974" w:type="dxa"/>
            <w:vMerge/>
            <w:tcBorders>
              <w:top w:val="single" w:sz="4" w:space="0" w:color="auto"/>
              <w:left w:val="single" w:sz="4" w:space="0" w:color="auto"/>
              <w:bottom w:val="single" w:sz="12" w:space="0" w:color="auto"/>
              <w:right w:val="single" w:sz="4" w:space="0" w:color="auto"/>
            </w:tcBorders>
            <w:vAlign w:val="center"/>
            <w:hideMark/>
          </w:tcPr>
          <w:p w:rsidR="00E24DB7" w:rsidRPr="002C5876" w:rsidRDefault="00E24DB7" w:rsidP="00E24DB7">
            <w:pPr>
              <w:suppressAutoHyphens w:val="0"/>
              <w:spacing w:before="80" w:after="80" w:line="200" w:lineRule="exact"/>
              <w:ind w:left="57" w:right="57"/>
              <w:rPr>
                <w:i/>
                <w:sz w:val="18"/>
                <w:szCs w:val="18"/>
              </w:rPr>
            </w:pPr>
          </w:p>
        </w:tc>
        <w:tc>
          <w:tcPr>
            <w:tcW w:w="1418" w:type="dxa"/>
            <w:vMerge/>
            <w:tcBorders>
              <w:top w:val="single" w:sz="4" w:space="0" w:color="auto"/>
              <w:left w:val="single" w:sz="4" w:space="0" w:color="auto"/>
              <w:bottom w:val="single" w:sz="12" w:space="0" w:color="auto"/>
              <w:right w:val="single" w:sz="4" w:space="0" w:color="auto"/>
            </w:tcBorders>
            <w:vAlign w:val="center"/>
            <w:hideMark/>
          </w:tcPr>
          <w:p w:rsidR="00E24DB7" w:rsidRPr="002C5876" w:rsidRDefault="00E24DB7" w:rsidP="00E24DB7">
            <w:pPr>
              <w:suppressAutoHyphens w:val="0"/>
              <w:spacing w:before="80" w:after="80" w:line="200" w:lineRule="exact"/>
              <w:ind w:left="57" w:right="57"/>
              <w:rPr>
                <w:i/>
                <w:sz w:val="18"/>
                <w:szCs w:val="18"/>
              </w:rPr>
            </w:pPr>
          </w:p>
        </w:tc>
        <w:tc>
          <w:tcPr>
            <w:tcW w:w="1276" w:type="dxa"/>
            <w:tcBorders>
              <w:top w:val="single" w:sz="4" w:space="0" w:color="auto"/>
              <w:left w:val="single" w:sz="4" w:space="0" w:color="auto"/>
              <w:bottom w:val="single" w:sz="12"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Minimale</w:t>
            </w:r>
          </w:p>
        </w:tc>
        <w:tc>
          <w:tcPr>
            <w:tcW w:w="1270" w:type="dxa"/>
            <w:tcBorders>
              <w:top w:val="single" w:sz="4" w:space="0" w:color="auto"/>
              <w:left w:val="single" w:sz="4" w:space="0" w:color="auto"/>
              <w:bottom w:val="single" w:sz="12"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Maximale</w:t>
            </w:r>
          </w:p>
        </w:tc>
        <w:tc>
          <w:tcPr>
            <w:tcW w:w="1701" w:type="dxa"/>
            <w:vMerge/>
            <w:tcBorders>
              <w:top w:val="single" w:sz="4" w:space="0" w:color="auto"/>
              <w:left w:val="single" w:sz="4" w:space="0" w:color="auto"/>
              <w:bottom w:val="single" w:sz="12" w:space="0" w:color="auto"/>
              <w:right w:val="single" w:sz="4" w:space="0" w:color="auto"/>
            </w:tcBorders>
            <w:vAlign w:val="center"/>
            <w:hideMark/>
          </w:tcPr>
          <w:p w:rsidR="00E24DB7" w:rsidRPr="002C5876" w:rsidRDefault="00E24DB7" w:rsidP="00E24DB7">
            <w:pPr>
              <w:suppressAutoHyphens w:val="0"/>
              <w:spacing w:before="80" w:after="80" w:line="200" w:lineRule="exact"/>
              <w:ind w:left="57" w:right="57"/>
              <w:rPr>
                <w:i/>
                <w:sz w:val="18"/>
                <w:szCs w:val="18"/>
              </w:rPr>
            </w:pPr>
          </w:p>
        </w:tc>
      </w:tr>
      <w:tr w:rsidR="00E24DB7" w:rsidRPr="002C5876" w:rsidTr="00E24DB7">
        <w:tc>
          <w:tcPr>
            <w:tcW w:w="3974"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Indice d’octane recherche (IOR)</w:t>
            </w:r>
            <w:r w:rsidRPr="002C5876">
              <w:rPr>
                <w:i/>
                <w:sz w:val="18"/>
                <w:szCs w:val="18"/>
                <w:vertAlign w:val="superscript"/>
              </w:rPr>
              <w:t>3</w:t>
            </w:r>
          </w:p>
        </w:tc>
        <w:tc>
          <w:tcPr>
            <w:tcW w:w="1418" w:type="dxa"/>
            <w:tcBorders>
              <w:top w:val="single" w:sz="12"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276"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95,0</w:t>
            </w:r>
          </w:p>
        </w:tc>
        <w:tc>
          <w:tcPr>
            <w:tcW w:w="1270"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98,0</w:t>
            </w:r>
          </w:p>
        </w:tc>
        <w:tc>
          <w:tcPr>
            <w:tcW w:w="1701"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 ISO 5164</w:t>
            </w:r>
          </w:p>
        </w:tc>
      </w:tr>
      <w:tr w:rsidR="00E24DB7" w:rsidRPr="002C5876" w:rsidTr="00E24DB7">
        <w:tc>
          <w:tcPr>
            <w:tcW w:w="397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Indice d’octane moteur (IOM)</w:t>
            </w:r>
            <w:r w:rsidRPr="002C5876">
              <w:rPr>
                <w:i/>
                <w:sz w:val="18"/>
                <w:szCs w:val="18"/>
                <w:vertAlign w:val="superscript"/>
              </w:rPr>
              <w:t>3</w:t>
            </w:r>
          </w:p>
        </w:tc>
        <w:tc>
          <w:tcPr>
            <w:tcW w:w="1418"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85,0</w:t>
            </w:r>
          </w:p>
        </w:tc>
        <w:tc>
          <w:tcPr>
            <w:tcW w:w="127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89,0</w:t>
            </w:r>
          </w:p>
        </w:tc>
        <w:tc>
          <w:tcPr>
            <w:tcW w:w="1701"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 ISO 5163</w:t>
            </w:r>
          </w:p>
        </w:tc>
      </w:tr>
      <w:tr w:rsidR="00E24DB7" w:rsidRPr="002C5876" w:rsidTr="00E24DB7">
        <w:tc>
          <w:tcPr>
            <w:tcW w:w="397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Densité à 15 °C</w:t>
            </w:r>
          </w:p>
        </w:tc>
        <w:tc>
          <w:tcPr>
            <w:tcW w:w="141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kg/m</w:t>
            </w:r>
            <w:r w:rsidRPr="002C5876">
              <w:rPr>
                <w:sz w:val="18"/>
                <w:szCs w:val="18"/>
                <w:vertAlign w:val="superscript"/>
              </w:rPr>
              <w:t>3</w:t>
            </w:r>
          </w:p>
        </w:tc>
        <w:tc>
          <w:tcPr>
            <w:tcW w:w="127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743,0</w:t>
            </w:r>
          </w:p>
        </w:tc>
        <w:tc>
          <w:tcPr>
            <w:tcW w:w="127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756,0</w:t>
            </w:r>
          </w:p>
        </w:tc>
        <w:tc>
          <w:tcPr>
            <w:tcW w:w="1701"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 ISO 12185</w:t>
            </w:r>
          </w:p>
        </w:tc>
      </w:tr>
      <w:tr w:rsidR="00E24DB7" w:rsidRPr="002C5876" w:rsidTr="00E24DB7">
        <w:tc>
          <w:tcPr>
            <w:tcW w:w="397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Pression de vapeur </w:t>
            </w:r>
          </w:p>
        </w:tc>
        <w:tc>
          <w:tcPr>
            <w:tcW w:w="141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kPa</w:t>
            </w:r>
          </w:p>
        </w:tc>
        <w:tc>
          <w:tcPr>
            <w:tcW w:w="127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56,0</w:t>
            </w:r>
          </w:p>
        </w:tc>
        <w:tc>
          <w:tcPr>
            <w:tcW w:w="127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60,0</w:t>
            </w:r>
          </w:p>
        </w:tc>
        <w:tc>
          <w:tcPr>
            <w:tcW w:w="1701"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 13016-1</w:t>
            </w:r>
          </w:p>
        </w:tc>
      </w:tr>
      <w:tr w:rsidR="00E24DB7" w:rsidRPr="002C5876" w:rsidTr="00E24DB7">
        <w:tc>
          <w:tcPr>
            <w:tcW w:w="397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Teneur en eau </w:t>
            </w:r>
          </w:p>
        </w:tc>
        <w:tc>
          <w:tcPr>
            <w:tcW w:w="141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v/v</w:t>
            </w:r>
          </w:p>
        </w:tc>
        <w:tc>
          <w:tcPr>
            <w:tcW w:w="1276"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27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0,05</w:t>
            </w:r>
          </w:p>
        </w:tc>
        <w:tc>
          <w:tcPr>
            <w:tcW w:w="1701"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 12937</w:t>
            </w:r>
          </w:p>
        </w:tc>
      </w:tr>
      <w:tr w:rsidR="00E24DB7" w:rsidRPr="002C5876" w:rsidTr="00E24DB7">
        <w:tc>
          <w:tcPr>
            <w:tcW w:w="397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Apparence à -7 °C</w:t>
            </w:r>
          </w:p>
        </w:tc>
        <w:tc>
          <w:tcPr>
            <w:tcW w:w="1418"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2546"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jc w:val="center"/>
              <w:rPr>
                <w:sz w:val="18"/>
                <w:szCs w:val="18"/>
              </w:rPr>
            </w:pPr>
            <w:r w:rsidRPr="002C5876">
              <w:rPr>
                <w:sz w:val="18"/>
                <w:szCs w:val="18"/>
              </w:rPr>
              <w:t>Limpide et brillante</w:t>
            </w:r>
          </w:p>
        </w:tc>
        <w:tc>
          <w:tcPr>
            <w:tcW w:w="1701"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r>
      <w:tr w:rsidR="00E24DB7" w:rsidRPr="002C5876" w:rsidTr="00E24DB7">
        <w:tc>
          <w:tcPr>
            <w:tcW w:w="397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Distillation :</w:t>
            </w:r>
          </w:p>
        </w:tc>
        <w:tc>
          <w:tcPr>
            <w:tcW w:w="1418"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270"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r>
      <w:tr w:rsidR="00E24DB7" w:rsidRPr="002C5876" w:rsidTr="00E24DB7">
        <w:tc>
          <w:tcPr>
            <w:tcW w:w="397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pStyle w:val="Bullet1G"/>
              <w:numPr>
                <w:ilvl w:val="0"/>
                <w:numId w:val="1"/>
              </w:numPr>
              <w:ind w:left="340"/>
              <w:rPr>
                <w:sz w:val="18"/>
                <w:szCs w:val="18"/>
              </w:rPr>
            </w:pPr>
            <w:r w:rsidRPr="002C5876">
              <w:rPr>
                <w:sz w:val="18"/>
                <w:szCs w:val="18"/>
              </w:rPr>
              <w:t>Évaporé à 70 °C</w:t>
            </w:r>
          </w:p>
        </w:tc>
        <w:tc>
          <w:tcPr>
            <w:tcW w:w="141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v/v</w:t>
            </w:r>
          </w:p>
        </w:tc>
        <w:tc>
          <w:tcPr>
            <w:tcW w:w="127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34,0</w:t>
            </w:r>
          </w:p>
        </w:tc>
        <w:tc>
          <w:tcPr>
            <w:tcW w:w="127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46,0</w:t>
            </w:r>
          </w:p>
        </w:tc>
        <w:tc>
          <w:tcPr>
            <w:tcW w:w="1701"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EN-ISO 3405</w:t>
            </w:r>
          </w:p>
        </w:tc>
      </w:tr>
      <w:tr w:rsidR="00E24DB7" w:rsidRPr="002C5876" w:rsidTr="00E24DB7">
        <w:tc>
          <w:tcPr>
            <w:tcW w:w="397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pStyle w:val="Bullet1G"/>
              <w:numPr>
                <w:ilvl w:val="0"/>
                <w:numId w:val="1"/>
              </w:numPr>
              <w:ind w:left="340"/>
              <w:rPr>
                <w:sz w:val="18"/>
                <w:szCs w:val="18"/>
              </w:rPr>
            </w:pPr>
            <w:r w:rsidRPr="002C5876">
              <w:rPr>
                <w:sz w:val="18"/>
                <w:szCs w:val="18"/>
              </w:rPr>
              <w:t>Évaporé à 100 °C</w:t>
            </w:r>
          </w:p>
        </w:tc>
        <w:tc>
          <w:tcPr>
            <w:tcW w:w="141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v/v</w:t>
            </w:r>
          </w:p>
        </w:tc>
        <w:tc>
          <w:tcPr>
            <w:tcW w:w="127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54,0</w:t>
            </w:r>
          </w:p>
        </w:tc>
        <w:tc>
          <w:tcPr>
            <w:tcW w:w="127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62,0</w:t>
            </w:r>
          </w:p>
        </w:tc>
        <w:tc>
          <w:tcPr>
            <w:tcW w:w="1701"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EN-ISO 3405</w:t>
            </w:r>
          </w:p>
        </w:tc>
      </w:tr>
      <w:tr w:rsidR="00E24DB7" w:rsidRPr="002C5876" w:rsidTr="00E24DB7">
        <w:tc>
          <w:tcPr>
            <w:tcW w:w="397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pStyle w:val="Bullet1G"/>
              <w:numPr>
                <w:ilvl w:val="0"/>
                <w:numId w:val="1"/>
              </w:numPr>
              <w:ind w:left="340"/>
              <w:rPr>
                <w:sz w:val="18"/>
                <w:szCs w:val="18"/>
              </w:rPr>
            </w:pPr>
            <w:r w:rsidRPr="002C5876">
              <w:rPr>
                <w:sz w:val="18"/>
                <w:szCs w:val="18"/>
              </w:rPr>
              <w:t>Évaporé à 150 °C</w:t>
            </w:r>
          </w:p>
        </w:tc>
        <w:tc>
          <w:tcPr>
            <w:tcW w:w="141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v/v</w:t>
            </w:r>
          </w:p>
        </w:tc>
        <w:tc>
          <w:tcPr>
            <w:tcW w:w="127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86,0</w:t>
            </w:r>
          </w:p>
        </w:tc>
        <w:tc>
          <w:tcPr>
            <w:tcW w:w="127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94,0</w:t>
            </w:r>
          </w:p>
        </w:tc>
        <w:tc>
          <w:tcPr>
            <w:tcW w:w="1701"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EN-ISO 3405</w:t>
            </w:r>
          </w:p>
        </w:tc>
      </w:tr>
      <w:tr w:rsidR="00E24DB7" w:rsidRPr="002C5876" w:rsidTr="00E24DB7">
        <w:tc>
          <w:tcPr>
            <w:tcW w:w="397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pStyle w:val="Bullet1G"/>
              <w:numPr>
                <w:ilvl w:val="0"/>
                <w:numId w:val="1"/>
              </w:numPr>
              <w:ind w:left="340"/>
              <w:rPr>
                <w:sz w:val="18"/>
                <w:szCs w:val="18"/>
              </w:rPr>
            </w:pPr>
            <w:r w:rsidRPr="002C5876">
              <w:rPr>
                <w:sz w:val="18"/>
                <w:szCs w:val="18"/>
              </w:rPr>
              <w:t>Point d’ébullition final</w:t>
            </w:r>
          </w:p>
        </w:tc>
        <w:tc>
          <w:tcPr>
            <w:tcW w:w="141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170</w:t>
            </w:r>
          </w:p>
        </w:tc>
        <w:tc>
          <w:tcPr>
            <w:tcW w:w="127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195</w:t>
            </w:r>
          </w:p>
        </w:tc>
        <w:tc>
          <w:tcPr>
            <w:tcW w:w="1701"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EN-ISO 3405</w:t>
            </w:r>
          </w:p>
        </w:tc>
      </w:tr>
      <w:tr w:rsidR="00E24DB7" w:rsidRPr="002C5876" w:rsidTr="00E24DB7">
        <w:tc>
          <w:tcPr>
            <w:tcW w:w="397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Résidus</w:t>
            </w:r>
          </w:p>
        </w:tc>
        <w:tc>
          <w:tcPr>
            <w:tcW w:w="141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v/v</w:t>
            </w:r>
          </w:p>
        </w:tc>
        <w:tc>
          <w:tcPr>
            <w:tcW w:w="1276"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27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2,0</w:t>
            </w:r>
          </w:p>
        </w:tc>
        <w:tc>
          <w:tcPr>
            <w:tcW w:w="1701"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EN-ISO 3405</w:t>
            </w:r>
          </w:p>
        </w:tc>
      </w:tr>
      <w:tr w:rsidR="00E24DB7" w:rsidRPr="002C5876" w:rsidTr="00E24DB7">
        <w:tc>
          <w:tcPr>
            <w:tcW w:w="397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Analyse des hydrocarbures :</w:t>
            </w:r>
          </w:p>
        </w:tc>
        <w:tc>
          <w:tcPr>
            <w:tcW w:w="1418"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270"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r>
      <w:tr w:rsidR="00E24DB7" w:rsidRPr="002C5876" w:rsidTr="00E24DB7">
        <w:tc>
          <w:tcPr>
            <w:tcW w:w="397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pStyle w:val="Bullet1G"/>
              <w:numPr>
                <w:ilvl w:val="0"/>
                <w:numId w:val="1"/>
              </w:numPr>
              <w:ind w:left="340"/>
              <w:rPr>
                <w:sz w:val="18"/>
                <w:szCs w:val="18"/>
              </w:rPr>
            </w:pPr>
            <w:r w:rsidRPr="002C5876">
              <w:rPr>
                <w:sz w:val="18"/>
                <w:szCs w:val="18"/>
              </w:rPr>
              <w:t>Oléfines</w:t>
            </w:r>
          </w:p>
        </w:tc>
        <w:tc>
          <w:tcPr>
            <w:tcW w:w="141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v/v</w:t>
            </w:r>
          </w:p>
        </w:tc>
        <w:tc>
          <w:tcPr>
            <w:tcW w:w="127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6,0</w:t>
            </w:r>
          </w:p>
        </w:tc>
        <w:tc>
          <w:tcPr>
            <w:tcW w:w="127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13,0</w:t>
            </w:r>
          </w:p>
        </w:tc>
        <w:tc>
          <w:tcPr>
            <w:tcW w:w="1701"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 22854</w:t>
            </w:r>
          </w:p>
        </w:tc>
      </w:tr>
      <w:tr w:rsidR="00E24DB7" w:rsidRPr="002C5876" w:rsidTr="00E24DB7">
        <w:tc>
          <w:tcPr>
            <w:tcW w:w="397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pStyle w:val="Bullet1G"/>
              <w:numPr>
                <w:ilvl w:val="0"/>
                <w:numId w:val="1"/>
              </w:numPr>
              <w:ind w:left="340"/>
              <w:rPr>
                <w:sz w:val="18"/>
                <w:szCs w:val="18"/>
              </w:rPr>
            </w:pPr>
            <w:r w:rsidRPr="002C5876">
              <w:rPr>
                <w:sz w:val="18"/>
                <w:szCs w:val="18"/>
              </w:rPr>
              <w:t>Aromatiques</w:t>
            </w:r>
          </w:p>
        </w:tc>
        <w:tc>
          <w:tcPr>
            <w:tcW w:w="141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v/v</w:t>
            </w:r>
          </w:p>
        </w:tc>
        <w:tc>
          <w:tcPr>
            <w:tcW w:w="127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25,0</w:t>
            </w:r>
          </w:p>
        </w:tc>
        <w:tc>
          <w:tcPr>
            <w:tcW w:w="127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32,0</w:t>
            </w:r>
          </w:p>
        </w:tc>
        <w:tc>
          <w:tcPr>
            <w:tcW w:w="1701"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 22854</w:t>
            </w:r>
          </w:p>
        </w:tc>
      </w:tr>
      <w:tr w:rsidR="00E24DB7" w:rsidRPr="002C5876" w:rsidTr="00E24DB7">
        <w:tc>
          <w:tcPr>
            <w:tcW w:w="397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pStyle w:val="Bullet1G"/>
              <w:numPr>
                <w:ilvl w:val="0"/>
                <w:numId w:val="1"/>
              </w:numPr>
              <w:ind w:left="340"/>
              <w:rPr>
                <w:sz w:val="18"/>
                <w:szCs w:val="18"/>
              </w:rPr>
            </w:pPr>
            <w:r w:rsidRPr="002C5876">
              <w:rPr>
                <w:sz w:val="18"/>
                <w:szCs w:val="18"/>
              </w:rPr>
              <w:t>Benzène</w:t>
            </w:r>
          </w:p>
        </w:tc>
        <w:tc>
          <w:tcPr>
            <w:tcW w:w="141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v/v</w:t>
            </w:r>
          </w:p>
        </w:tc>
        <w:tc>
          <w:tcPr>
            <w:tcW w:w="1276"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27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1,00</w:t>
            </w:r>
          </w:p>
        </w:tc>
        <w:tc>
          <w:tcPr>
            <w:tcW w:w="1701"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EN 22854 </w:t>
            </w:r>
            <w:r w:rsidRPr="002C5876">
              <w:rPr>
                <w:sz w:val="18"/>
                <w:szCs w:val="18"/>
              </w:rPr>
              <w:br/>
              <w:t>EN 238</w:t>
            </w:r>
          </w:p>
        </w:tc>
      </w:tr>
      <w:tr w:rsidR="00E24DB7" w:rsidRPr="002C5876" w:rsidTr="00E24DB7">
        <w:tc>
          <w:tcPr>
            <w:tcW w:w="397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pStyle w:val="Bullet1G"/>
              <w:numPr>
                <w:ilvl w:val="0"/>
                <w:numId w:val="1"/>
              </w:numPr>
              <w:ind w:left="340"/>
              <w:rPr>
                <w:sz w:val="18"/>
                <w:szCs w:val="18"/>
              </w:rPr>
            </w:pPr>
            <w:r w:rsidRPr="002C5876">
              <w:rPr>
                <w:sz w:val="18"/>
                <w:szCs w:val="18"/>
              </w:rPr>
              <w:t>Saturés</w:t>
            </w:r>
          </w:p>
        </w:tc>
        <w:tc>
          <w:tcPr>
            <w:tcW w:w="141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v/v</w:t>
            </w:r>
          </w:p>
        </w:tc>
        <w:tc>
          <w:tcPr>
            <w:tcW w:w="2546"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jc w:val="center"/>
              <w:rPr>
                <w:sz w:val="18"/>
                <w:szCs w:val="18"/>
              </w:rPr>
            </w:pPr>
            <w:r w:rsidRPr="002C5876">
              <w:rPr>
                <w:sz w:val="18"/>
                <w:szCs w:val="18"/>
              </w:rPr>
              <w:t>Valeur à enregistrer</w:t>
            </w:r>
          </w:p>
        </w:tc>
        <w:tc>
          <w:tcPr>
            <w:tcW w:w="1701"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 22854</w:t>
            </w:r>
          </w:p>
        </w:tc>
      </w:tr>
      <w:tr w:rsidR="00E24DB7" w:rsidRPr="002C5876" w:rsidTr="00E24DB7">
        <w:tc>
          <w:tcPr>
            <w:tcW w:w="397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Rapport carbone/hydrogène</w:t>
            </w:r>
          </w:p>
        </w:tc>
        <w:tc>
          <w:tcPr>
            <w:tcW w:w="1418"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2546"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jc w:val="center"/>
              <w:rPr>
                <w:sz w:val="18"/>
                <w:szCs w:val="18"/>
              </w:rPr>
            </w:pPr>
            <w:r w:rsidRPr="002C5876">
              <w:rPr>
                <w:sz w:val="18"/>
                <w:szCs w:val="18"/>
              </w:rPr>
              <w:t>Valeur à enregistrer</w:t>
            </w:r>
          </w:p>
        </w:tc>
        <w:tc>
          <w:tcPr>
            <w:tcW w:w="1701"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r>
      <w:tr w:rsidR="00E24DB7" w:rsidRPr="002C5876" w:rsidTr="00E24DB7">
        <w:tc>
          <w:tcPr>
            <w:tcW w:w="397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Rapport carbone/oxygène</w:t>
            </w:r>
          </w:p>
        </w:tc>
        <w:tc>
          <w:tcPr>
            <w:tcW w:w="1418"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2546"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jc w:val="center"/>
              <w:rPr>
                <w:sz w:val="18"/>
                <w:szCs w:val="18"/>
              </w:rPr>
            </w:pPr>
            <w:r w:rsidRPr="002C5876">
              <w:rPr>
                <w:sz w:val="18"/>
                <w:szCs w:val="18"/>
              </w:rPr>
              <w:t>Valeur à enregistrer</w:t>
            </w:r>
          </w:p>
        </w:tc>
        <w:tc>
          <w:tcPr>
            <w:tcW w:w="1701"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r>
      <w:tr w:rsidR="00E24DB7" w:rsidRPr="002C5876" w:rsidTr="00E24DB7">
        <w:tc>
          <w:tcPr>
            <w:tcW w:w="397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Période d’induction</w:t>
            </w:r>
            <w:r w:rsidRPr="002C5876">
              <w:rPr>
                <w:i/>
                <w:sz w:val="18"/>
                <w:szCs w:val="18"/>
                <w:vertAlign w:val="superscript"/>
              </w:rPr>
              <w:t>4</w:t>
            </w:r>
          </w:p>
        </w:tc>
        <w:tc>
          <w:tcPr>
            <w:tcW w:w="141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min.</w:t>
            </w:r>
          </w:p>
        </w:tc>
        <w:tc>
          <w:tcPr>
            <w:tcW w:w="127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480</w:t>
            </w:r>
          </w:p>
        </w:tc>
        <w:tc>
          <w:tcPr>
            <w:tcW w:w="1270"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EN-ISO 7536</w:t>
            </w:r>
          </w:p>
        </w:tc>
      </w:tr>
      <w:tr w:rsidR="00E24DB7" w:rsidRPr="002C5876" w:rsidTr="00E24DB7">
        <w:tc>
          <w:tcPr>
            <w:tcW w:w="397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Teneur en oxygène</w:t>
            </w:r>
            <w:r w:rsidRPr="002C5876">
              <w:rPr>
                <w:i/>
                <w:sz w:val="18"/>
                <w:szCs w:val="18"/>
                <w:vertAlign w:val="superscript"/>
              </w:rPr>
              <w:t>5</w:t>
            </w:r>
          </w:p>
        </w:tc>
        <w:tc>
          <w:tcPr>
            <w:tcW w:w="141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m/m</w:t>
            </w:r>
          </w:p>
        </w:tc>
        <w:tc>
          <w:tcPr>
            <w:tcW w:w="127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3,3</w:t>
            </w:r>
          </w:p>
        </w:tc>
        <w:tc>
          <w:tcPr>
            <w:tcW w:w="127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3,7</w:t>
            </w:r>
          </w:p>
        </w:tc>
        <w:tc>
          <w:tcPr>
            <w:tcW w:w="1701"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 22854</w:t>
            </w:r>
          </w:p>
        </w:tc>
      </w:tr>
      <w:tr w:rsidR="00E24DB7" w:rsidRPr="002C5876" w:rsidTr="00E24DB7">
        <w:tc>
          <w:tcPr>
            <w:tcW w:w="397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Gomme nettoyée avec un solvant (gomme existante)</w:t>
            </w:r>
          </w:p>
        </w:tc>
        <w:tc>
          <w:tcPr>
            <w:tcW w:w="141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mg/100 ml</w:t>
            </w:r>
          </w:p>
        </w:tc>
        <w:tc>
          <w:tcPr>
            <w:tcW w:w="1276"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27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4</w:t>
            </w:r>
          </w:p>
        </w:tc>
        <w:tc>
          <w:tcPr>
            <w:tcW w:w="1701"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EN-ISO 6246</w:t>
            </w:r>
          </w:p>
        </w:tc>
      </w:tr>
      <w:tr w:rsidR="00E24DB7" w:rsidRPr="002C5876" w:rsidTr="00E24DB7">
        <w:tc>
          <w:tcPr>
            <w:tcW w:w="397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Teneur en soufre</w:t>
            </w:r>
            <w:r w:rsidRPr="002C5876">
              <w:rPr>
                <w:i/>
                <w:sz w:val="18"/>
                <w:szCs w:val="18"/>
                <w:vertAlign w:val="superscript"/>
              </w:rPr>
              <w:t>6</w:t>
            </w:r>
          </w:p>
        </w:tc>
        <w:tc>
          <w:tcPr>
            <w:tcW w:w="141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mg/kg</w:t>
            </w:r>
          </w:p>
        </w:tc>
        <w:tc>
          <w:tcPr>
            <w:tcW w:w="1276"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27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10</w:t>
            </w:r>
          </w:p>
        </w:tc>
        <w:tc>
          <w:tcPr>
            <w:tcW w:w="1701"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 ISO 20846</w:t>
            </w:r>
            <w:r w:rsidRPr="002C5876">
              <w:rPr>
                <w:sz w:val="18"/>
                <w:szCs w:val="18"/>
              </w:rPr>
              <w:br/>
              <w:t>EN ISO 20884</w:t>
            </w:r>
          </w:p>
        </w:tc>
      </w:tr>
      <w:tr w:rsidR="00E24DB7" w:rsidRPr="002C5876" w:rsidTr="00E24DB7">
        <w:tc>
          <w:tcPr>
            <w:tcW w:w="397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Corrosion du cuivre</w:t>
            </w:r>
          </w:p>
        </w:tc>
        <w:tc>
          <w:tcPr>
            <w:tcW w:w="1418"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27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Classe 1</w:t>
            </w:r>
          </w:p>
        </w:tc>
        <w:tc>
          <w:tcPr>
            <w:tcW w:w="1701"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EN-ISO 2160</w:t>
            </w:r>
          </w:p>
        </w:tc>
      </w:tr>
      <w:tr w:rsidR="00E24DB7" w:rsidRPr="002C5876" w:rsidTr="00E24DB7">
        <w:tc>
          <w:tcPr>
            <w:tcW w:w="397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Teneur en plomb</w:t>
            </w:r>
          </w:p>
        </w:tc>
        <w:tc>
          <w:tcPr>
            <w:tcW w:w="141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mg/l</w:t>
            </w:r>
          </w:p>
        </w:tc>
        <w:tc>
          <w:tcPr>
            <w:tcW w:w="1276"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27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5</w:t>
            </w:r>
          </w:p>
        </w:tc>
        <w:tc>
          <w:tcPr>
            <w:tcW w:w="1701"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 237</w:t>
            </w:r>
          </w:p>
        </w:tc>
      </w:tr>
      <w:tr w:rsidR="00E24DB7" w:rsidRPr="002C5876" w:rsidTr="00E24DB7">
        <w:tc>
          <w:tcPr>
            <w:tcW w:w="397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Teneur en phosphore</w:t>
            </w:r>
            <w:r w:rsidRPr="002C5876">
              <w:rPr>
                <w:i/>
                <w:sz w:val="18"/>
                <w:szCs w:val="18"/>
                <w:vertAlign w:val="superscript"/>
              </w:rPr>
              <w:t>7</w:t>
            </w:r>
          </w:p>
        </w:tc>
        <w:tc>
          <w:tcPr>
            <w:tcW w:w="141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mg/l</w:t>
            </w:r>
          </w:p>
        </w:tc>
        <w:tc>
          <w:tcPr>
            <w:tcW w:w="1276"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27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1,3</w:t>
            </w:r>
          </w:p>
        </w:tc>
        <w:tc>
          <w:tcPr>
            <w:tcW w:w="1701"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ASTM D 3231</w:t>
            </w:r>
          </w:p>
        </w:tc>
      </w:tr>
      <w:tr w:rsidR="00E24DB7" w:rsidRPr="002C5876" w:rsidTr="00E24DB7">
        <w:tc>
          <w:tcPr>
            <w:tcW w:w="3974"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Éthanol</w:t>
            </w:r>
            <w:r w:rsidRPr="002C5876">
              <w:rPr>
                <w:i/>
                <w:sz w:val="18"/>
                <w:szCs w:val="18"/>
                <w:vertAlign w:val="superscript"/>
              </w:rPr>
              <w:t>5</w:t>
            </w:r>
          </w:p>
        </w:tc>
        <w:tc>
          <w:tcPr>
            <w:tcW w:w="1418"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v/v</w:t>
            </w:r>
          </w:p>
        </w:tc>
        <w:tc>
          <w:tcPr>
            <w:tcW w:w="1276"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9,0</w:t>
            </w:r>
          </w:p>
        </w:tc>
        <w:tc>
          <w:tcPr>
            <w:tcW w:w="1270"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10,0</w:t>
            </w:r>
          </w:p>
        </w:tc>
        <w:tc>
          <w:tcPr>
            <w:tcW w:w="1701"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 22854</w:t>
            </w:r>
          </w:p>
        </w:tc>
      </w:tr>
    </w:tbl>
    <w:p w:rsidR="00E24DB7" w:rsidRPr="002C5876" w:rsidRDefault="00E24DB7" w:rsidP="00E24DB7">
      <w:pPr>
        <w:spacing w:before="120"/>
        <w:ind w:firstLine="170"/>
        <w:rPr>
          <w:sz w:val="18"/>
          <w:szCs w:val="18"/>
        </w:rPr>
      </w:pPr>
      <w:r w:rsidRPr="002C5876">
        <w:rPr>
          <w:i/>
          <w:sz w:val="18"/>
          <w:szCs w:val="18"/>
          <w:vertAlign w:val="superscript"/>
        </w:rPr>
        <w:t>1</w:t>
      </w:r>
      <w:r w:rsidRPr="002C5876">
        <w:rPr>
          <w:sz w:val="18"/>
          <w:szCs w:val="18"/>
        </w:rPr>
        <w:t xml:space="preserve">  Les valeurs mentionnées dans les spécifications sont des « valeurs vraies ». Les valeurs limites ont été déterminées conformément à la norme ISO 4259, intitulée « Produits pétroliers − Détermination et application des valeurs de fidélité relatives aux méthodes d’essai ». Pour la fixation d’un minimum, une différence minimale de 2R par rapport à la valeur zéro a été prise en compte ; pour la fixation d’un maximum et d’un minimum, la différence minimale entre ces valeurs est de 4R (R = reproductibilité). Malgré cette mesure, qui est nécessaire pour des raisons techniques, le fabricant de carburant doit néanmoins viser la valeur zéro lorsque la valeur maximale indiquée est de 2R ou la valeur moyenne lorsqu’il existe un minimum et un maximum. S’il est nécessaire de vérifier qu’un carburant est conforme aux spécifications, les termes de la norme ISO 4259 doivent être appliqués.</w:t>
      </w:r>
    </w:p>
    <w:p w:rsidR="00E24DB7" w:rsidRPr="002C5876" w:rsidRDefault="00E24DB7" w:rsidP="00E24DB7">
      <w:pPr>
        <w:ind w:firstLine="170"/>
        <w:rPr>
          <w:sz w:val="18"/>
          <w:szCs w:val="18"/>
        </w:rPr>
      </w:pPr>
      <w:r w:rsidRPr="002C5876">
        <w:rPr>
          <w:i/>
          <w:sz w:val="18"/>
          <w:szCs w:val="18"/>
          <w:vertAlign w:val="superscript"/>
        </w:rPr>
        <w:t>2</w:t>
      </w:r>
      <w:r w:rsidRPr="002C5876">
        <w:rPr>
          <w:sz w:val="18"/>
          <w:szCs w:val="18"/>
        </w:rPr>
        <w:t xml:space="preserve">  Des méthodes EN/ISO équivalentes seront adoptées dès leur publication pour les paramètres ci-dessus.</w:t>
      </w:r>
    </w:p>
    <w:p w:rsidR="00E24DB7" w:rsidRPr="002C5876" w:rsidRDefault="00E24DB7" w:rsidP="00E24DB7">
      <w:pPr>
        <w:ind w:firstLine="170"/>
        <w:rPr>
          <w:sz w:val="18"/>
          <w:szCs w:val="18"/>
        </w:rPr>
      </w:pPr>
      <w:r w:rsidRPr="002C5876">
        <w:rPr>
          <w:i/>
          <w:sz w:val="18"/>
          <w:szCs w:val="18"/>
          <w:vertAlign w:val="superscript"/>
        </w:rPr>
        <w:lastRenderedPageBreak/>
        <w:t>3</w:t>
      </w:r>
      <w:r w:rsidRPr="002C5876">
        <w:rPr>
          <w:sz w:val="18"/>
          <w:szCs w:val="18"/>
        </w:rPr>
        <w:t xml:space="preserve">  Pour l’indice d’octane moteur et l’indice d’octane recherche, le facteur de correction 0,2 doit être soustrait aux fins du calcul du résultat final conformément à la norme EN 228:2008.</w:t>
      </w:r>
    </w:p>
    <w:p w:rsidR="00E24DB7" w:rsidRPr="002C5876" w:rsidRDefault="00E24DB7" w:rsidP="00E24DB7">
      <w:pPr>
        <w:ind w:firstLine="170"/>
        <w:rPr>
          <w:sz w:val="18"/>
          <w:szCs w:val="18"/>
        </w:rPr>
      </w:pPr>
      <w:r w:rsidRPr="002C5876">
        <w:rPr>
          <w:i/>
          <w:sz w:val="18"/>
          <w:szCs w:val="18"/>
          <w:vertAlign w:val="superscript"/>
        </w:rPr>
        <w:t>4</w:t>
      </w:r>
      <w:r w:rsidRPr="002C5876">
        <w:rPr>
          <w:sz w:val="18"/>
          <w:szCs w:val="18"/>
        </w:rPr>
        <w:t xml:space="preserve">  Le carburant peut contenir des additifs antioxydants et des inhibiteurs de catalyse métallique normalement utilisés pour stabiliser les flux d’essence en raffinerie ; il ne doit cependant pas y être ajouté d’additifs détergents ou dispersants ni d’huiles solvantes.</w:t>
      </w:r>
    </w:p>
    <w:p w:rsidR="00E24DB7" w:rsidRPr="002C5876" w:rsidRDefault="00E24DB7" w:rsidP="00E24DB7">
      <w:pPr>
        <w:ind w:firstLine="170"/>
        <w:rPr>
          <w:sz w:val="18"/>
          <w:szCs w:val="18"/>
        </w:rPr>
      </w:pPr>
      <w:r w:rsidRPr="002C5876">
        <w:rPr>
          <w:i/>
          <w:sz w:val="18"/>
          <w:szCs w:val="18"/>
          <w:vertAlign w:val="superscript"/>
        </w:rPr>
        <w:t>5</w:t>
      </w:r>
      <w:r w:rsidRPr="002C5876">
        <w:rPr>
          <w:sz w:val="18"/>
          <w:szCs w:val="18"/>
        </w:rPr>
        <w:t xml:space="preserve">  Le seul oxygénant pouvant être ajouté intentionnellement au carburant de référence est l’éthanol. L’éthanol employé doit être conforme à la norme EN 15376.</w:t>
      </w:r>
    </w:p>
    <w:p w:rsidR="00E24DB7" w:rsidRPr="002C5876" w:rsidRDefault="00E24DB7" w:rsidP="00E24DB7">
      <w:pPr>
        <w:ind w:firstLine="170"/>
        <w:rPr>
          <w:sz w:val="18"/>
          <w:szCs w:val="18"/>
        </w:rPr>
      </w:pPr>
      <w:r w:rsidRPr="002C5876">
        <w:rPr>
          <w:i/>
          <w:sz w:val="18"/>
          <w:szCs w:val="18"/>
          <w:vertAlign w:val="superscript"/>
        </w:rPr>
        <w:t>6</w:t>
      </w:r>
      <w:r w:rsidRPr="002C5876">
        <w:rPr>
          <w:sz w:val="18"/>
          <w:szCs w:val="18"/>
        </w:rPr>
        <w:t xml:space="preserve">  Il convient d’enregistrer la teneur en soufre effective du carburant utilisé pour les essais de type 1.</w:t>
      </w:r>
    </w:p>
    <w:p w:rsidR="00E24DB7" w:rsidRPr="002C5876" w:rsidRDefault="00E24DB7" w:rsidP="00E24DB7">
      <w:pPr>
        <w:suppressAutoHyphens w:val="0"/>
        <w:ind w:firstLine="170"/>
        <w:rPr>
          <w:sz w:val="18"/>
          <w:szCs w:val="18"/>
        </w:rPr>
      </w:pPr>
      <w:r w:rsidRPr="002C5876">
        <w:rPr>
          <w:i/>
          <w:sz w:val="18"/>
          <w:szCs w:val="18"/>
          <w:vertAlign w:val="superscript"/>
        </w:rPr>
        <w:t>7</w:t>
      </w:r>
      <w:r w:rsidRPr="002C5876">
        <w:rPr>
          <w:sz w:val="18"/>
          <w:szCs w:val="18"/>
        </w:rPr>
        <w:t xml:space="preserve">  Aucun composant contenant du phosphore, du fer, du manganèse ou du plomb ne doit être ajouté intentionnellement au carburant de référence.</w:t>
      </w:r>
    </w:p>
    <w:p w:rsidR="00E24DB7" w:rsidRPr="002C5876" w:rsidRDefault="00E24DB7" w:rsidP="00E24DB7">
      <w:pPr>
        <w:pStyle w:val="SingleTxtG"/>
        <w:ind w:left="2268" w:hanging="1134"/>
      </w:pPr>
      <w:r w:rsidRPr="002C5876">
        <w:rPr>
          <w:sz w:val="18"/>
          <w:szCs w:val="18"/>
        </w:rPr>
        <w:br w:type="page"/>
      </w:r>
      <w:r w:rsidRPr="002C5876">
        <w:lastRenderedPageBreak/>
        <w:t>3.7</w:t>
      </w:r>
      <w:r w:rsidRPr="002C5876">
        <w:tab/>
      </w:r>
      <w:r w:rsidRPr="002C5876">
        <w:tab/>
        <w:t>Éthanol (indice d’octane recherche nominal 95, E85)</w:t>
      </w:r>
    </w:p>
    <w:p w:rsidR="00E24DB7" w:rsidRPr="002C5876" w:rsidRDefault="00E24DB7" w:rsidP="00E24DB7">
      <w:pPr>
        <w:pStyle w:val="H23G"/>
        <w:ind w:left="0" w:firstLine="0"/>
      </w:pPr>
      <w:r w:rsidRPr="002C5876">
        <w:rPr>
          <w:b w:val="0"/>
        </w:rPr>
        <w:t>Tableau A3/7</w:t>
      </w:r>
      <w:r w:rsidRPr="002C5876">
        <w:br/>
        <w:t>Éthanol (indice d’octane recherche nominal 95, E85)</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7"/>
        <w:gridCol w:w="1288"/>
        <w:gridCol w:w="1436"/>
        <w:gridCol w:w="1362"/>
        <w:gridCol w:w="2016"/>
      </w:tblGrid>
      <w:tr w:rsidR="00E24DB7" w:rsidRPr="002C5876" w:rsidTr="00E24DB7">
        <w:trPr>
          <w:tblHeader/>
        </w:trPr>
        <w:tc>
          <w:tcPr>
            <w:tcW w:w="3537" w:type="dxa"/>
            <w:vMerge w:val="restart"/>
            <w:tcBorders>
              <w:top w:val="single" w:sz="4" w:space="0" w:color="auto"/>
              <w:left w:val="single" w:sz="4" w:space="0" w:color="auto"/>
              <w:bottom w:val="single" w:sz="4"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Paramètre</w:t>
            </w:r>
          </w:p>
        </w:tc>
        <w:tc>
          <w:tcPr>
            <w:tcW w:w="1288" w:type="dxa"/>
            <w:vMerge w:val="restart"/>
            <w:tcBorders>
              <w:top w:val="single" w:sz="4" w:space="0" w:color="auto"/>
              <w:left w:val="single" w:sz="4" w:space="0" w:color="auto"/>
              <w:bottom w:val="single" w:sz="4"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Unité</w:t>
            </w:r>
          </w:p>
        </w:tc>
        <w:tc>
          <w:tcPr>
            <w:tcW w:w="2798"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80" w:after="80" w:line="200" w:lineRule="exact"/>
              <w:ind w:left="57" w:right="57"/>
              <w:jc w:val="center"/>
              <w:rPr>
                <w:i/>
                <w:sz w:val="16"/>
                <w:szCs w:val="16"/>
              </w:rPr>
            </w:pPr>
            <w:r w:rsidRPr="002C5876">
              <w:rPr>
                <w:i/>
                <w:sz w:val="16"/>
                <w:szCs w:val="16"/>
              </w:rPr>
              <w:t>Limites</w:t>
            </w:r>
            <w:r w:rsidRPr="002C5876">
              <w:rPr>
                <w:i/>
                <w:sz w:val="16"/>
                <w:szCs w:val="16"/>
                <w:vertAlign w:val="superscript"/>
              </w:rPr>
              <w:t>1</w:t>
            </w:r>
          </w:p>
        </w:tc>
        <w:tc>
          <w:tcPr>
            <w:tcW w:w="2016" w:type="dxa"/>
            <w:vMerge w:val="restart"/>
            <w:tcBorders>
              <w:top w:val="single" w:sz="4" w:space="0" w:color="auto"/>
              <w:left w:val="single" w:sz="4" w:space="0" w:color="auto"/>
              <w:bottom w:val="single" w:sz="4"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Méthode d’essai</w:t>
            </w:r>
            <w:r w:rsidRPr="002C5876">
              <w:rPr>
                <w:i/>
                <w:sz w:val="16"/>
                <w:szCs w:val="16"/>
                <w:vertAlign w:val="superscript"/>
              </w:rPr>
              <w:t>2</w:t>
            </w:r>
          </w:p>
        </w:tc>
      </w:tr>
      <w:tr w:rsidR="00E24DB7" w:rsidRPr="002C5876" w:rsidTr="00E24DB7">
        <w:trPr>
          <w:tblHeader/>
        </w:trPr>
        <w:tc>
          <w:tcPr>
            <w:tcW w:w="3537" w:type="dxa"/>
            <w:vMerge/>
            <w:tcBorders>
              <w:top w:val="single" w:sz="4" w:space="0" w:color="auto"/>
              <w:left w:val="single" w:sz="4" w:space="0" w:color="auto"/>
              <w:bottom w:val="single" w:sz="12" w:space="0" w:color="auto"/>
              <w:right w:val="single" w:sz="4" w:space="0" w:color="auto"/>
            </w:tcBorders>
            <w:vAlign w:val="center"/>
            <w:hideMark/>
          </w:tcPr>
          <w:p w:rsidR="00E24DB7" w:rsidRPr="002C5876" w:rsidRDefault="00E24DB7" w:rsidP="00E24DB7">
            <w:pPr>
              <w:suppressAutoHyphens w:val="0"/>
              <w:spacing w:before="80" w:after="80" w:line="200" w:lineRule="exact"/>
              <w:ind w:left="57" w:right="57"/>
              <w:rPr>
                <w:i/>
                <w:sz w:val="18"/>
                <w:szCs w:val="18"/>
              </w:rPr>
            </w:pPr>
          </w:p>
        </w:tc>
        <w:tc>
          <w:tcPr>
            <w:tcW w:w="1288" w:type="dxa"/>
            <w:vMerge/>
            <w:tcBorders>
              <w:top w:val="single" w:sz="4" w:space="0" w:color="auto"/>
              <w:left w:val="single" w:sz="4" w:space="0" w:color="auto"/>
              <w:bottom w:val="single" w:sz="12" w:space="0" w:color="auto"/>
              <w:right w:val="single" w:sz="4" w:space="0" w:color="auto"/>
            </w:tcBorders>
            <w:vAlign w:val="center"/>
            <w:hideMark/>
          </w:tcPr>
          <w:p w:rsidR="00E24DB7" w:rsidRPr="002C5876" w:rsidRDefault="00E24DB7" w:rsidP="00E24DB7">
            <w:pPr>
              <w:suppressAutoHyphens w:val="0"/>
              <w:spacing w:before="80" w:after="80" w:line="200" w:lineRule="exact"/>
              <w:ind w:left="57" w:right="57"/>
              <w:rPr>
                <w:i/>
                <w:sz w:val="18"/>
                <w:szCs w:val="18"/>
              </w:rPr>
            </w:pPr>
          </w:p>
        </w:tc>
        <w:tc>
          <w:tcPr>
            <w:tcW w:w="1436" w:type="dxa"/>
            <w:tcBorders>
              <w:top w:val="single" w:sz="4" w:space="0" w:color="auto"/>
              <w:left w:val="single" w:sz="4" w:space="0" w:color="auto"/>
              <w:bottom w:val="single" w:sz="12"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Minimale</w:t>
            </w:r>
          </w:p>
        </w:tc>
        <w:tc>
          <w:tcPr>
            <w:tcW w:w="1362" w:type="dxa"/>
            <w:tcBorders>
              <w:top w:val="single" w:sz="4" w:space="0" w:color="auto"/>
              <w:left w:val="single" w:sz="4" w:space="0" w:color="auto"/>
              <w:bottom w:val="single" w:sz="12"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Maximale</w:t>
            </w:r>
          </w:p>
        </w:tc>
        <w:tc>
          <w:tcPr>
            <w:tcW w:w="2016" w:type="dxa"/>
            <w:vMerge/>
            <w:tcBorders>
              <w:top w:val="single" w:sz="4" w:space="0" w:color="auto"/>
              <w:left w:val="single" w:sz="4" w:space="0" w:color="auto"/>
              <w:bottom w:val="single" w:sz="12" w:space="0" w:color="auto"/>
              <w:right w:val="single" w:sz="4" w:space="0" w:color="auto"/>
            </w:tcBorders>
            <w:vAlign w:val="center"/>
            <w:hideMark/>
          </w:tcPr>
          <w:p w:rsidR="00E24DB7" w:rsidRPr="002C5876" w:rsidRDefault="00E24DB7" w:rsidP="00E24DB7">
            <w:pPr>
              <w:suppressAutoHyphens w:val="0"/>
              <w:spacing w:before="80" w:after="80" w:line="200" w:lineRule="exact"/>
              <w:ind w:left="57" w:right="57"/>
              <w:rPr>
                <w:i/>
                <w:sz w:val="18"/>
                <w:szCs w:val="18"/>
              </w:rPr>
            </w:pPr>
          </w:p>
        </w:tc>
      </w:tr>
      <w:tr w:rsidR="00E24DB7" w:rsidRPr="002C5876" w:rsidTr="00E24DB7">
        <w:tc>
          <w:tcPr>
            <w:tcW w:w="3537"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Indice d’octane recherche (IOR)</w:t>
            </w:r>
          </w:p>
        </w:tc>
        <w:tc>
          <w:tcPr>
            <w:tcW w:w="1288" w:type="dxa"/>
            <w:tcBorders>
              <w:top w:val="single" w:sz="12"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436"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95</w:t>
            </w:r>
          </w:p>
        </w:tc>
        <w:tc>
          <w:tcPr>
            <w:tcW w:w="1362" w:type="dxa"/>
            <w:tcBorders>
              <w:top w:val="single" w:sz="12"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2016"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 ISO 5164</w:t>
            </w: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Indice d’octane moteur (IOM)</w:t>
            </w:r>
          </w:p>
        </w:tc>
        <w:tc>
          <w:tcPr>
            <w:tcW w:w="1288"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43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85</w:t>
            </w:r>
          </w:p>
        </w:tc>
        <w:tc>
          <w:tcPr>
            <w:tcW w:w="1362"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 ISO 5163</w:t>
            </w: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Densité à 15 °C</w:t>
            </w:r>
          </w:p>
        </w:tc>
        <w:tc>
          <w:tcPr>
            <w:tcW w:w="128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kg/m</w:t>
            </w:r>
            <w:r w:rsidRPr="002C5876">
              <w:rPr>
                <w:sz w:val="18"/>
                <w:szCs w:val="18"/>
                <w:vertAlign w:val="superscript"/>
              </w:rPr>
              <w:t>3</w:t>
            </w:r>
          </w:p>
        </w:tc>
        <w:tc>
          <w:tcPr>
            <w:tcW w:w="2798"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jc w:val="center"/>
              <w:rPr>
                <w:sz w:val="18"/>
                <w:szCs w:val="18"/>
              </w:rPr>
            </w:pPr>
            <w:r w:rsidRPr="002C5876">
              <w:rPr>
                <w:sz w:val="18"/>
                <w:szCs w:val="18"/>
              </w:rPr>
              <w:t>Valeur à enregistrer</w:t>
            </w: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ISO 3675</w:t>
            </w: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Pression de vapeur</w:t>
            </w:r>
          </w:p>
        </w:tc>
        <w:tc>
          <w:tcPr>
            <w:tcW w:w="128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kPa</w:t>
            </w:r>
          </w:p>
        </w:tc>
        <w:tc>
          <w:tcPr>
            <w:tcW w:w="143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40</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60</w:t>
            </w: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 ISO 13016-1 (DVPE)</w:t>
            </w: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Teneur en soufre</w:t>
            </w:r>
            <w:r w:rsidRPr="002C5876">
              <w:rPr>
                <w:i/>
                <w:sz w:val="18"/>
                <w:szCs w:val="18"/>
                <w:vertAlign w:val="superscript"/>
              </w:rPr>
              <w:t>3</w:t>
            </w:r>
            <w:r w:rsidRPr="002C5876">
              <w:rPr>
                <w:sz w:val="18"/>
                <w:szCs w:val="18"/>
                <w:vertAlign w:val="superscript"/>
              </w:rPr>
              <w:t xml:space="preserve">, </w:t>
            </w:r>
            <w:r w:rsidRPr="002C5876">
              <w:rPr>
                <w:i/>
                <w:sz w:val="18"/>
                <w:szCs w:val="18"/>
                <w:vertAlign w:val="superscript"/>
              </w:rPr>
              <w:t>4</w:t>
            </w:r>
          </w:p>
        </w:tc>
        <w:tc>
          <w:tcPr>
            <w:tcW w:w="128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mg/kg</w:t>
            </w:r>
          </w:p>
        </w:tc>
        <w:tc>
          <w:tcPr>
            <w:tcW w:w="1436"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10</w:t>
            </w: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EN ISO 20846 </w:t>
            </w:r>
            <w:r w:rsidRPr="002C5876">
              <w:rPr>
                <w:sz w:val="18"/>
                <w:szCs w:val="18"/>
              </w:rPr>
              <w:br/>
              <w:t>EN ISO 20884</w:t>
            </w: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Stabilité à l’oxydation</w:t>
            </w:r>
          </w:p>
        </w:tc>
        <w:tc>
          <w:tcPr>
            <w:tcW w:w="128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min.</w:t>
            </w:r>
          </w:p>
        </w:tc>
        <w:tc>
          <w:tcPr>
            <w:tcW w:w="143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360</w:t>
            </w:r>
          </w:p>
        </w:tc>
        <w:tc>
          <w:tcPr>
            <w:tcW w:w="1362"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 ISO 7536</w:t>
            </w: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Gomme existante (nettoyage avec un solvant) </w:t>
            </w:r>
          </w:p>
        </w:tc>
        <w:tc>
          <w:tcPr>
            <w:tcW w:w="128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mg/100 ml</w:t>
            </w:r>
          </w:p>
        </w:tc>
        <w:tc>
          <w:tcPr>
            <w:tcW w:w="1436"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5</w:t>
            </w: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EN-ISO 6246</w:t>
            </w: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Apparence : Elle est déterminée à température ambiante ou à 15 °C si celle-ci est supérieure.</w:t>
            </w:r>
          </w:p>
        </w:tc>
        <w:tc>
          <w:tcPr>
            <w:tcW w:w="1288"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2798"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jc w:val="center"/>
              <w:rPr>
                <w:sz w:val="18"/>
                <w:szCs w:val="18"/>
              </w:rPr>
            </w:pPr>
            <w:r w:rsidRPr="002C5876">
              <w:rPr>
                <w:sz w:val="18"/>
                <w:szCs w:val="18"/>
              </w:rPr>
              <w:t>Limpide et brillant, visiblement non contaminé par des matières en suspension ou des précipitations</w:t>
            </w: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Inspection visuelle</w:t>
            </w: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Éthanol et alcools supérieurs</w:t>
            </w:r>
            <w:r w:rsidRPr="002C5876">
              <w:rPr>
                <w:sz w:val="18"/>
                <w:szCs w:val="18"/>
                <w:vertAlign w:val="superscript"/>
              </w:rPr>
              <w:t>7</w:t>
            </w:r>
          </w:p>
        </w:tc>
        <w:tc>
          <w:tcPr>
            <w:tcW w:w="128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v/v</w:t>
            </w:r>
          </w:p>
        </w:tc>
        <w:tc>
          <w:tcPr>
            <w:tcW w:w="143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83</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85</w:t>
            </w: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EN 1601 </w:t>
            </w:r>
            <w:r w:rsidRPr="002C5876">
              <w:rPr>
                <w:sz w:val="18"/>
                <w:szCs w:val="18"/>
              </w:rPr>
              <w:br/>
              <w:t xml:space="preserve">EN 13132 </w:t>
            </w:r>
            <w:r w:rsidRPr="002C5876">
              <w:rPr>
                <w:sz w:val="18"/>
                <w:szCs w:val="18"/>
              </w:rPr>
              <w:br/>
              <w:t>EN 14517</w:t>
            </w: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Alcools supérieurs (C3-C8) </w:t>
            </w:r>
          </w:p>
        </w:tc>
        <w:tc>
          <w:tcPr>
            <w:tcW w:w="128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v/v</w:t>
            </w:r>
          </w:p>
        </w:tc>
        <w:tc>
          <w:tcPr>
            <w:tcW w:w="1436"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2</w:t>
            </w:r>
          </w:p>
        </w:tc>
        <w:tc>
          <w:tcPr>
            <w:tcW w:w="2016"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Méthanol </w:t>
            </w:r>
          </w:p>
        </w:tc>
        <w:tc>
          <w:tcPr>
            <w:tcW w:w="128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v/v</w:t>
            </w:r>
          </w:p>
        </w:tc>
        <w:tc>
          <w:tcPr>
            <w:tcW w:w="1436"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0,5</w:t>
            </w:r>
          </w:p>
        </w:tc>
        <w:tc>
          <w:tcPr>
            <w:tcW w:w="2016"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Essence</w:t>
            </w:r>
            <w:r w:rsidRPr="002C5876">
              <w:rPr>
                <w:i/>
                <w:sz w:val="18"/>
                <w:szCs w:val="18"/>
                <w:vertAlign w:val="superscript"/>
              </w:rPr>
              <w:t>5</w:t>
            </w:r>
          </w:p>
        </w:tc>
        <w:tc>
          <w:tcPr>
            <w:tcW w:w="128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v/v</w:t>
            </w:r>
          </w:p>
        </w:tc>
        <w:tc>
          <w:tcPr>
            <w:tcW w:w="2798"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Reste</w:t>
            </w: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 228</w:t>
            </w: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Phosphore </w:t>
            </w:r>
          </w:p>
        </w:tc>
        <w:tc>
          <w:tcPr>
            <w:tcW w:w="128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mg/l </w:t>
            </w:r>
          </w:p>
        </w:tc>
        <w:tc>
          <w:tcPr>
            <w:tcW w:w="2798"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0,3</w:t>
            </w:r>
            <w:r w:rsidRPr="002C5876">
              <w:rPr>
                <w:i/>
                <w:sz w:val="18"/>
                <w:szCs w:val="18"/>
                <w:vertAlign w:val="superscript"/>
              </w:rPr>
              <w:t>6</w:t>
            </w: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ASTM D 3231</w:t>
            </w: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Teneur en eau </w:t>
            </w:r>
          </w:p>
        </w:tc>
        <w:tc>
          <w:tcPr>
            <w:tcW w:w="128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v/v</w:t>
            </w:r>
          </w:p>
        </w:tc>
        <w:tc>
          <w:tcPr>
            <w:tcW w:w="1436"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0,3</w:t>
            </w: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ASTM E 1064</w:t>
            </w: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Teneur en chlorures inorganiques </w:t>
            </w:r>
          </w:p>
        </w:tc>
        <w:tc>
          <w:tcPr>
            <w:tcW w:w="128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mg/l </w:t>
            </w:r>
          </w:p>
        </w:tc>
        <w:tc>
          <w:tcPr>
            <w:tcW w:w="1436"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w:t>
            </w: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ISO 6227</w:t>
            </w: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pHe </w:t>
            </w:r>
          </w:p>
        </w:tc>
        <w:tc>
          <w:tcPr>
            <w:tcW w:w="1288"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43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6,5</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9</w:t>
            </w: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ASTM D 6423</w:t>
            </w: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Corrosion sur lame de cuivre (3 h à 50 °C) </w:t>
            </w:r>
          </w:p>
        </w:tc>
        <w:tc>
          <w:tcPr>
            <w:tcW w:w="128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Évaluation </w:t>
            </w:r>
          </w:p>
        </w:tc>
        <w:tc>
          <w:tcPr>
            <w:tcW w:w="143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Classe 1</w:t>
            </w:r>
          </w:p>
        </w:tc>
        <w:tc>
          <w:tcPr>
            <w:tcW w:w="1362"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 ISO 2160</w:t>
            </w: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Acidité (acide acétique CH3COOH)</w:t>
            </w:r>
          </w:p>
        </w:tc>
        <w:tc>
          <w:tcPr>
            <w:tcW w:w="128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(m/m)</w:t>
            </w:r>
          </w:p>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mg/l </w:t>
            </w:r>
          </w:p>
        </w:tc>
        <w:tc>
          <w:tcPr>
            <w:tcW w:w="1436"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0,005-40</w:t>
            </w: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ASTM D 1613</w:t>
            </w: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Rapport carbone/hydrogène </w:t>
            </w:r>
          </w:p>
        </w:tc>
        <w:tc>
          <w:tcPr>
            <w:tcW w:w="1288"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2798"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jc w:val="center"/>
              <w:rPr>
                <w:sz w:val="18"/>
                <w:szCs w:val="18"/>
              </w:rPr>
            </w:pPr>
            <w:r w:rsidRPr="002C5876">
              <w:rPr>
                <w:sz w:val="18"/>
                <w:szCs w:val="18"/>
              </w:rPr>
              <w:t>Valeur enregistrée</w:t>
            </w:r>
          </w:p>
        </w:tc>
        <w:tc>
          <w:tcPr>
            <w:tcW w:w="2016"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r>
      <w:tr w:rsidR="00E24DB7" w:rsidRPr="002C5876" w:rsidTr="00E24DB7">
        <w:tc>
          <w:tcPr>
            <w:tcW w:w="3537"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Rapport carbone/oxygène</w:t>
            </w:r>
          </w:p>
        </w:tc>
        <w:tc>
          <w:tcPr>
            <w:tcW w:w="1288" w:type="dxa"/>
            <w:tcBorders>
              <w:top w:val="single" w:sz="4" w:space="0" w:color="auto"/>
              <w:left w:val="single" w:sz="4" w:space="0" w:color="auto"/>
              <w:bottom w:val="single" w:sz="12"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2798" w:type="dxa"/>
            <w:gridSpan w:val="2"/>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jc w:val="center"/>
              <w:rPr>
                <w:sz w:val="18"/>
                <w:szCs w:val="18"/>
              </w:rPr>
            </w:pPr>
            <w:r w:rsidRPr="002C5876">
              <w:rPr>
                <w:sz w:val="18"/>
                <w:szCs w:val="18"/>
              </w:rPr>
              <w:t>Valeur enregistrée</w:t>
            </w:r>
          </w:p>
        </w:tc>
        <w:tc>
          <w:tcPr>
            <w:tcW w:w="2016" w:type="dxa"/>
            <w:tcBorders>
              <w:top w:val="single" w:sz="4" w:space="0" w:color="auto"/>
              <w:left w:val="single" w:sz="4" w:space="0" w:color="auto"/>
              <w:bottom w:val="single" w:sz="12"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r>
    </w:tbl>
    <w:p w:rsidR="00E24DB7" w:rsidRPr="002C5876" w:rsidRDefault="00E24DB7" w:rsidP="00E24DB7">
      <w:pPr>
        <w:spacing w:before="120" w:line="200" w:lineRule="exact"/>
        <w:ind w:firstLine="170"/>
        <w:rPr>
          <w:sz w:val="18"/>
          <w:szCs w:val="18"/>
        </w:rPr>
      </w:pPr>
      <w:r w:rsidRPr="002C5876">
        <w:rPr>
          <w:i/>
          <w:sz w:val="18"/>
          <w:szCs w:val="18"/>
          <w:vertAlign w:val="superscript"/>
        </w:rPr>
        <w:t>1</w:t>
      </w:r>
      <w:r w:rsidRPr="002C5876">
        <w:rPr>
          <w:sz w:val="18"/>
          <w:szCs w:val="18"/>
        </w:rPr>
        <w:t xml:space="preserve">  Les valeurs mentionnées dans les spécifications sont des « valeurs vraies ». Les valeurs limites ont été déterminées conformément à la norme ISO 4259, intitulée « Produits pétroliers − Détermination et application des valeurs de fidélité relatives aux méthodes d’essai ». Pour la fixation d’un minimum, une différence minimale de 2R par rapport à la valeur zéro a été prise en compte ; pour la fixation d’un maximum et d’un minimum, la différence minimale entre ces valeurs est de 4R (R = reproductibilité). Malgré cette mesure, qui est nécessaire pour des raisons techniques, le fabricant de carburant doit néanmoins viser la valeur zéro lorsque la valeur maximale indiquée est de 2R ou la valeur moyenne lorsqu’il existe un minimum et un maximum. S’il est nécessaire de vérifier qu’un carburant est conforme aux spécifications, les termes de la norme ISO 4259 doivent être appliqués.</w:t>
      </w:r>
    </w:p>
    <w:p w:rsidR="00E24DB7" w:rsidRPr="002C5876" w:rsidRDefault="00E24DB7" w:rsidP="00E24DB7">
      <w:pPr>
        <w:spacing w:line="200" w:lineRule="exact"/>
        <w:ind w:firstLine="170"/>
        <w:rPr>
          <w:sz w:val="18"/>
          <w:szCs w:val="18"/>
        </w:rPr>
      </w:pPr>
      <w:r w:rsidRPr="002C5876">
        <w:rPr>
          <w:i/>
          <w:sz w:val="18"/>
          <w:szCs w:val="18"/>
          <w:vertAlign w:val="superscript"/>
        </w:rPr>
        <w:t>2</w:t>
      </w:r>
      <w:r w:rsidRPr="002C5876">
        <w:rPr>
          <w:sz w:val="18"/>
          <w:szCs w:val="18"/>
        </w:rPr>
        <w:t xml:space="preserve">  En cas de différend, il convient de recourir aux procédures de règlement des différends et d’interprétation des résultats fondées sur la précision de la méthode d’essai, décrites dans la norme EN ISO 4259.</w:t>
      </w:r>
    </w:p>
    <w:p w:rsidR="00E24DB7" w:rsidRPr="002C5876" w:rsidRDefault="00E24DB7" w:rsidP="00E24DB7">
      <w:pPr>
        <w:spacing w:line="200" w:lineRule="exact"/>
        <w:ind w:firstLine="170"/>
        <w:rPr>
          <w:sz w:val="18"/>
          <w:szCs w:val="18"/>
        </w:rPr>
      </w:pPr>
      <w:r w:rsidRPr="002C5876">
        <w:rPr>
          <w:i/>
          <w:sz w:val="18"/>
          <w:szCs w:val="18"/>
          <w:vertAlign w:val="superscript"/>
        </w:rPr>
        <w:t>3</w:t>
      </w:r>
      <w:r w:rsidRPr="002C5876">
        <w:rPr>
          <w:sz w:val="18"/>
          <w:szCs w:val="18"/>
        </w:rPr>
        <w:t xml:space="preserve">  En cas de différend national concernant la teneur en soufre, les normes EN ISO 20846 ou EN ISO 20884 sont invoquées (de manière similaire à la référence dans l’annexe de la norme EN 228).</w:t>
      </w:r>
    </w:p>
    <w:p w:rsidR="00E24DB7" w:rsidRPr="002C5876" w:rsidRDefault="00E24DB7" w:rsidP="00E24DB7">
      <w:pPr>
        <w:spacing w:line="200" w:lineRule="exact"/>
        <w:ind w:firstLine="170"/>
        <w:rPr>
          <w:sz w:val="18"/>
          <w:szCs w:val="18"/>
        </w:rPr>
      </w:pPr>
      <w:r w:rsidRPr="002C5876">
        <w:rPr>
          <w:i/>
          <w:sz w:val="18"/>
          <w:szCs w:val="18"/>
          <w:vertAlign w:val="superscript"/>
        </w:rPr>
        <w:t>4</w:t>
      </w:r>
      <w:r w:rsidRPr="002C5876">
        <w:rPr>
          <w:sz w:val="18"/>
          <w:szCs w:val="18"/>
        </w:rPr>
        <w:t xml:space="preserve">  Il convient d’enregistrer la teneur en soufre effective du carburant utilisé pour les essais de type 1.</w:t>
      </w:r>
    </w:p>
    <w:p w:rsidR="00E24DB7" w:rsidRPr="002C5876" w:rsidRDefault="00E24DB7" w:rsidP="00E24DB7">
      <w:pPr>
        <w:spacing w:line="200" w:lineRule="exact"/>
        <w:ind w:firstLine="170"/>
        <w:rPr>
          <w:sz w:val="18"/>
          <w:szCs w:val="18"/>
        </w:rPr>
      </w:pPr>
      <w:r w:rsidRPr="002C5876">
        <w:rPr>
          <w:i/>
          <w:sz w:val="18"/>
          <w:szCs w:val="18"/>
          <w:vertAlign w:val="superscript"/>
        </w:rPr>
        <w:t>5</w:t>
      </w:r>
      <w:r w:rsidRPr="002C5876">
        <w:rPr>
          <w:sz w:val="18"/>
          <w:szCs w:val="18"/>
        </w:rPr>
        <w:t xml:space="preserve">  La teneur en essence sans plomb peut être déterminée comme 100 moins la somme de la teneur en pourcentage d’eau et d’alcools.</w:t>
      </w:r>
    </w:p>
    <w:p w:rsidR="00E24DB7" w:rsidRPr="002C5876" w:rsidRDefault="00E24DB7" w:rsidP="00E24DB7">
      <w:pPr>
        <w:spacing w:line="200" w:lineRule="exact"/>
        <w:ind w:firstLine="170"/>
        <w:rPr>
          <w:sz w:val="18"/>
          <w:szCs w:val="18"/>
        </w:rPr>
      </w:pPr>
      <w:r w:rsidRPr="002C5876">
        <w:rPr>
          <w:i/>
          <w:sz w:val="18"/>
          <w:szCs w:val="18"/>
          <w:vertAlign w:val="superscript"/>
        </w:rPr>
        <w:t>6</w:t>
      </w:r>
      <w:r w:rsidRPr="002C5876">
        <w:rPr>
          <w:sz w:val="18"/>
          <w:szCs w:val="18"/>
        </w:rPr>
        <w:t xml:space="preserve">  Aucun composant contenant du phosphore, du fer, du manganèse ou du plomb ne doit être ajouté intentionnellement au carburant de référence.</w:t>
      </w:r>
    </w:p>
    <w:p w:rsidR="00E24DB7" w:rsidRPr="002C5876" w:rsidRDefault="00E24DB7" w:rsidP="00E24DB7">
      <w:pPr>
        <w:suppressAutoHyphens w:val="0"/>
        <w:spacing w:line="200" w:lineRule="exact"/>
        <w:ind w:firstLine="170"/>
        <w:rPr>
          <w:sz w:val="18"/>
          <w:szCs w:val="18"/>
        </w:rPr>
      </w:pPr>
      <w:r w:rsidRPr="002C5876">
        <w:rPr>
          <w:i/>
          <w:sz w:val="18"/>
          <w:szCs w:val="18"/>
          <w:vertAlign w:val="superscript"/>
        </w:rPr>
        <w:t>7</w:t>
      </w:r>
      <w:r w:rsidRPr="002C5876">
        <w:rPr>
          <w:sz w:val="18"/>
          <w:szCs w:val="18"/>
        </w:rPr>
        <w:t xml:space="preserve">  Le seul oxygénant pouvant être ajouté intentionnellement au carburant de référence est l’éthanol conforme à la spécification EN 15376.</w:t>
      </w:r>
    </w:p>
    <w:p w:rsidR="00E24DB7" w:rsidRPr="002C5876" w:rsidRDefault="00E24DB7" w:rsidP="00E24DB7">
      <w:pPr>
        <w:pStyle w:val="SingleTxtG"/>
        <w:ind w:left="2268" w:hanging="1134"/>
      </w:pPr>
      <w:r w:rsidRPr="002C5876">
        <w:rPr>
          <w:sz w:val="18"/>
          <w:szCs w:val="18"/>
        </w:rPr>
        <w:br w:type="page"/>
      </w:r>
      <w:r w:rsidRPr="002C5876">
        <w:lastRenderedPageBreak/>
        <w:t>4.</w:t>
      </w:r>
      <w:r w:rsidRPr="002C5876">
        <w:tab/>
      </w:r>
      <w:r w:rsidRPr="002C5876">
        <w:tab/>
        <w:t>Carburants gazeux pour moteurs à allumage commandé</w:t>
      </w:r>
    </w:p>
    <w:p w:rsidR="00E24DB7" w:rsidRPr="002C5876" w:rsidRDefault="00E24DB7" w:rsidP="00E24DB7">
      <w:pPr>
        <w:pStyle w:val="SingleTxtG"/>
        <w:keepNext/>
        <w:ind w:left="2268" w:hanging="1134"/>
      </w:pPr>
      <w:r w:rsidRPr="002C5876">
        <w:t>4.1</w:t>
      </w:r>
      <w:r w:rsidRPr="002C5876">
        <w:tab/>
      </w:r>
      <w:r w:rsidRPr="002C5876">
        <w:tab/>
        <w:t>GPL (A et B)</w:t>
      </w:r>
    </w:p>
    <w:p w:rsidR="00E24DB7" w:rsidRPr="002C5876" w:rsidRDefault="00E24DB7" w:rsidP="00E24DB7">
      <w:pPr>
        <w:pStyle w:val="H23G"/>
        <w:ind w:left="0" w:firstLine="0"/>
      </w:pPr>
      <w:r w:rsidRPr="002C5876">
        <w:rPr>
          <w:b w:val="0"/>
        </w:rPr>
        <w:t>Tableau A3/8</w:t>
      </w:r>
      <w:r w:rsidRPr="002C5876">
        <w:t xml:space="preserve"> </w:t>
      </w:r>
      <w:r w:rsidRPr="002C5876">
        <w:br/>
        <w:t>GPL (A et B)</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48"/>
        <w:gridCol w:w="1023"/>
        <w:gridCol w:w="1176"/>
        <w:gridCol w:w="70"/>
        <w:gridCol w:w="1095"/>
        <w:gridCol w:w="1104"/>
        <w:gridCol w:w="1413"/>
        <w:gridCol w:w="1710"/>
      </w:tblGrid>
      <w:tr w:rsidR="00E24DB7" w:rsidRPr="002C5876" w:rsidTr="00E24DB7">
        <w:trPr>
          <w:tblHeader/>
        </w:trPr>
        <w:tc>
          <w:tcPr>
            <w:tcW w:w="2048" w:type="dxa"/>
            <w:tcBorders>
              <w:top w:val="single" w:sz="4" w:space="0" w:color="auto"/>
              <w:left w:val="single" w:sz="4" w:space="0" w:color="auto"/>
              <w:bottom w:val="single" w:sz="12"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Paramètre</w:t>
            </w:r>
          </w:p>
        </w:tc>
        <w:tc>
          <w:tcPr>
            <w:tcW w:w="1023" w:type="dxa"/>
            <w:tcBorders>
              <w:top w:val="single" w:sz="4" w:space="0" w:color="auto"/>
              <w:left w:val="single" w:sz="4" w:space="0" w:color="auto"/>
              <w:bottom w:val="single" w:sz="12"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Unité</w:t>
            </w:r>
          </w:p>
        </w:tc>
        <w:tc>
          <w:tcPr>
            <w:tcW w:w="1176" w:type="dxa"/>
            <w:tcBorders>
              <w:top w:val="single" w:sz="4" w:space="0" w:color="auto"/>
              <w:left w:val="single" w:sz="4" w:space="0" w:color="auto"/>
              <w:bottom w:val="single" w:sz="12"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Carburant E1</w:t>
            </w:r>
          </w:p>
        </w:tc>
        <w:tc>
          <w:tcPr>
            <w:tcW w:w="1165" w:type="dxa"/>
            <w:gridSpan w:val="2"/>
            <w:tcBorders>
              <w:top w:val="single" w:sz="4" w:space="0" w:color="auto"/>
              <w:left w:val="single" w:sz="4" w:space="0" w:color="auto"/>
              <w:bottom w:val="single" w:sz="12"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Carburant E2</w:t>
            </w:r>
          </w:p>
        </w:tc>
        <w:tc>
          <w:tcPr>
            <w:tcW w:w="1104" w:type="dxa"/>
            <w:tcBorders>
              <w:top w:val="single" w:sz="4" w:space="0" w:color="auto"/>
              <w:left w:val="single" w:sz="4" w:space="0" w:color="auto"/>
              <w:bottom w:val="single" w:sz="12"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Carburant J</w:t>
            </w:r>
          </w:p>
        </w:tc>
        <w:tc>
          <w:tcPr>
            <w:tcW w:w="1413" w:type="dxa"/>
            <w:tcBorders>
              <w:top w:val="single" w:sz="4" w:space="0" w:color="auto"/>
              <w:left w:val="single" w:sz="4" w:space="0" w:color="auto"/>
              <w:bottom w:val="single" w:sz="12"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Carburant K</w:t>
            </w:r>
          </w:p>
        </w:tc>
        <w:tc>
          <w:tcPr>
            <w:tcW w:w="1710" w:type="dxa"/>
            <w:tcBorders>
              <w:top w:val="single" w:sz="4" w:space="0" w:color="auto"/>
              <w:left w:val="single" w:sz="4" w:space="0" w:color="auto"/>
              <w:bottom w:val="single" w:sz="12"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Méthode d’essai</w:t>
            </w:r>
          </w:p>
        </w:tc>
      </w:tr>
      <w:tr w:rsidR="00E24DB7" w:rsidRPr="002C5876" w:rsidTr="00E24DB7">
        <w:tc>
          <w:tcPr>
            <w:tcW w:w="2048"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Composition :</w:t>
            </w:r>
          </w:p>
        </w:tc>
        <w:tc>
          <w:tcPr>
            <w:tcW w:w="1023" w:type="dxa"/>
            <w:tcBorders>
              <w:top w:val="single" w:sz="12"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176" w:type="dxa"/>
            <w:tcBorders>
              <w:top w:val="single" w:sz="12"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165" w:type="dxa"/>
            <w:gridSpan w:val="2"/>
            <w:tcBorders>
              <w:top w:val="single" w:sz="12"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104" w:type="dxa"/>
            <w:tcBorders>
              <w:top w:val="single" w:sz="12"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413" w:type="dxa"/>
            <w:tcBorders>
              <w:top w:val="single" w:sz="12"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710"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ISO 7941</w:t>
            </w:r>
          </w:p>
        </w:tc>
      </w:tr>
      <w:tr w:rsidR="00E24DB7" w:rsidRPr="002C5876" w:rsidTr="00E24DB7">
        <w:tc>
          <w:tcPr>
            <w:tcW w:w="204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Teneur en C3</w:t>
            </w:r>
          </w:p>
        </w:tc>
        <w:tc>
          <w:tcPr>
            <w:tcW w:w="102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 vol. </w:t>
            </w:r>
          </w:p>
        </w:tc>
        <w:tc>
          <w:tcPr>
            <w:tcW w:w="117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30 </w:t>
            </w:r>
            <w:r w:rsidRPr="002C5876">
              <w:rPr>
                <w:sz w:val="18"/>
                <w:szCs w:val="18"/>
              </w:rPr>
              <w:sym w:font="Symbol" w:char="F0B1"/>
            </w:r>
            <w:r w:rsidRPr="002C5876">
              <w:rPr>
                <w:sz w:val="18"/>
                <w:szCs w:val="18"/>
              </w:rPr>
              <w:t xml:space="preserve"> 2</w:t>
            </w:r>
          </w:p>
        </w:tc>
        <w:tc>
          <w:tcPr>
            <w:tcW w:w="1165"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85 </w:t>
            </w:r>
            <w:r w:rsidRPr="002C5876">
              <w:rPr>
                <w:sz w:val="18"/>
                <w:szCs w:val="18"/>
              </w:rPr>
              <w:sym w:font="Symbol" w:char="F0B1"/>
            </w:r>
            <w:r w:rsidRPr="002C5876">
              <w:rPr>
                <w:sz w:val="18"/>
                <w:szCs w:val="18"/>
              </w:rPr>
              <w:t xml:space="preserve"> 2</w:t>
            </w:r>
          </w:p>
        </w:tc>
        <w:tc>
          <w:tcPr>
            <w:tcW w:w="1104"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Hiver : min. 15, max. 35</w:t>
            </w:r>
          </w:p>
          <w:p w:rsidR="00E24DB7" w:rsidRPr="002C5876" w:rsidRDefault="00E24DB7" w:rsidP="00E24DB7">
            <w:pPr>
              <w:suppressAutoHyphens w:val="0"/>
              <w:spacing w:before="60" w:after="60" w:line="220" w:lineRule="atLeast"/>
              <w:ind w:left="57" w:right="57"/>
              <w:rPr>
                <w:sz w:val="18"/>
                <w:szCs w:val="18"/>
              </w:rPr>
            </w:pPr>
            <w:r w:rsidRPr="002C5876">
              <w:rPr>
                <w:sz w:val="18"/>
                <w:szCs w:val="18"/>
              </w:rPr>
              <w:t>Été : max. 10</w:t>
            </w:r>
          </w:p>
        </w:tc>
        <w:tc>
          <w:tcPr>
            <w:tcW w:w="171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KS M ISO 7941</w:t>
            </w:r>
          </w:p>
        </w:tc>
      </w:tr>
      <w:tr w:rsidR="00E24DB7" w:rsidRPr="002C5876" w:rsidTr="00E24DB7">
        <w:tc>
          <w:tcPr>
            <w:tcW w:w="204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Teneur en propane </w:t>
            </w:r>
            <w:r w:rsidRPr="002C5876">
              <w:rPr>
                <w:sz w:val="18"/>
                <w:szCs w:val="18"/>
              </w:rPr>
              <w:br/>
              <w:t>et en propylène</w:t>
            </w:r>
          </w:p>
        </w:tc>
        <w:tc>
          <w:tcPr>
            <w:tcW w:w="102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mol</w:t>
            </w:r>
          </w:p>
        </w:tc>
        <w:tc>
          <w:tcPr>
            <w:tcW w:w="1176"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165" w:type="dxa"/>
            <w:gridSpan w:val="2"/>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10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min. 20,</w:t>
            </w:r>
            <w:r w:rsidRPr="002C5876">
              <w:rPr>
                <w:sz w:val="18"/>
                <w:szCs w:val="18"/>
              </w:rPr>
              <w:br/>
              <w:t>max. 30</w:t>
            </w:r>
          </w:p>
        </w:tc>
        <w:tc>
          <w:tcPr>
            <w:tcW w:w="1413"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JIS K2240</w:t>
            </w:r>
          </w:p>
        </w:tc>
      </w:tr>
      <w:tr w:rsidR="00E24DB7" w:rsidRPr="002C5876" w:rsidTr="00E24DB7">
        <w:tc>
          <w:tcPr>
            <w:tcW w:w="204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Teneur en C4</w:t>
            </w:r>
          </w:p>
        </w:tc>
        <w:tc>
          <w:tcPr>
            <w:tcW w:w="102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vol.</w:t>
            </w:r>
          </w:p>
        </w:tc>
        <w:tc>
          <w:tcPr>
            <w:tcW w:w="2341" w:type="dxa"/>
            <w:gridSpan w:val="3"/>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jc w:val="center"/>
              <w:rPr>
                <w:sz w:val="18"/>
                <w:szCs w:val="18"/>
              </w:rPr>
            </w:pPr>
            <w:r w:rsidRPr="002C5876">
              <w:rPr>
                <w:sz w:val="18"/>
                <w:szCs w:val="18"/>
              </w:rPr>
              <w:t>Reste</w:t>
            </w:r>
          </w:p>
        </w:tc>
        <w:tc>
          <w:tcPr>
            <w:tcW w:w="1104"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Hiver : min. 60 </w:t>
            </w:r>
          </w:p>
          <w:p w:rsidR="00E24DB7" w:rsidRPr="002C5876" w:rsidRDefault="00E24DB7" w:rsidP="00E24DB7">
            <w:pPr>
              <w:suppressAutoHyphens w:val="0"/>
              <w:spacing w:before="60" w:after="60" w:line="220" w:lineRule="atLeast"/>
              <w:ind w:left="57" w:right="57"/>
              <w:rPr>
                <w:sz w:val="18"/>
                <w:szCs w:val="18"/>
              </w:rPr>
            </w:pPr>
            <w:r w:rsidRPr="002C5876">
              <w:rPr>
                <w:sz w:val="18"/>
                <w:szCs w:val="18"/>
              </w:rPr>
              <w:t>Été : min. 85</w:t>
            </w:r>
          </w:p>
        </w:tc>
        <w:tc>
          <w:tcPr>
            <w:tcW w:w="171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KS M ISO 7941</w:t>
            </w:r>
          </w:p>
        </w:tc>
      </w:tr>
      <w:tr w:rsidR="00E24DB7" w:rsidRPr="002C5876" w:rsidTr="00E24DB7">
        <w:tc>
          <w:tcPr>
            <w:tcW w:w="204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Teneur en butane </w:t>
            </w:r>
            <w:r w:rsidRPr="002C5876">
              <w:rPr>
                <w:sz w:val="18"/>
                <w:szCs w:val="18"/>
              </w:rPr>
              <w:br/>
              <w:t>et en butylène</w:t>
            </w:r>
          </w:p>
        </w:tc>
        <w:tc>
          <w:tcPr>
            <w:tcW w:w="1023"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246" w:type="dxa"/>
            <w:gridSpan w:val="2"/>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095"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10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min. 70,</w:t>
            </w:r>
            <w:r w:rsidRPr="002C5876">
              <w:rPr>
                <w:sz w:val="18"/>
                <w:szCs w:val="18"/>
              </w:rPr>
              <w:br/>
              <w:t>max. 80</w:t>
            </w:r>
          </w:p>
        </w:tc>
        <w:tc>
          <w:tcPr>
            <w:tcW w:w="1413"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JIS K2240</w:t>
            </w:r>
          </w:p>
        </w:tc>
      </w:tr>
      <w:tr w:rsidR="00E24DB7" w:rsidRPr="002C5876" w:rsidTr="00E24DB7">
        <w:tc>
          <w:tcPr>
            <w:tcW w:w="204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Butadiène</w:t>
            </w:r>
          </w:p>
        </w:tc>
        <w:tc>
          <w:tcPr>
            <w:tcW w:w="1023"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246" w:type="dxa"/>
            <w:gridSpan w:val="2"/>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095"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104"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max. 0,5</w:t>
            </w:r>
          </w:p>
        </w:tc>
        <w:tc>
          <w:tcPr>
            <w:tcW w:w="171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KS M ISO 7941</w:t>
            </w:r>
          </w:p>
        </w:tc>
      </w:tr>
      <w:tr w:rsidR="00E24DB7" w:rsidRPr="002C5876" w:rsidTr="00E24DB7">
        <w:tc>
          <w:tcPr>
            <w:tcW w:w="204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&lt; C3, &gt; C4</w:t>
            </w:r>
          </w:p>
        </w:tc>
        <w:tc>
          <w:tcPr>
            <w:tcW w:w="102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vol.</w:t>
            </w:r>
          </w:p>
        </w:tc>
        <w:tc>
          <w:tcPr>
            <w:tcW w:w="1246"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max. 2</w:t>
            </w:r>
          </w:p>
        </w:tc>
        <w:tc>
          <w:tcPr>
            <w:tcW w:w="1095"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max. 2</w:t>
            </w:r>
          </w:p>
        </w:tc>
        <w:tc>
          <w:tcPr>
            <w:tcW w:w="1104"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r>
      <w:tr w:rsidR="00E24DB7" w:rsidRPr="002C5876" w:rsidTr="00E24DB7">
        <w:tc>
          <w:tcPr>
            <w:tcW w:w="204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Oléfines</w:t>
            </w:r>
          </w:p>
        </w:tc>
        <w:tc>
          <w:tcPr>
            <w:tcW w:w="102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vol.</w:t>
            </w:r>
          </w:p>
        </w:tc>
        <w:tc>
          <w:tcPr>
            <w:tcW w:w="1246"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max. 12</w:t>
            </w:r>
          </w:p>
        </w:tc>
        <w:tc>
          <w:tcPr>
            <w:tcW w:w="1095"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max. 15</w:t>
            </w:r>
          </w:p>
        </w:tc>
        <w:tc>
          <w:tcPr>
            <w:tcW w:w="1104"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r>
      <w:tr w:rsidR="00E24DB7" w:rsidRPr="002C5876" w:rsidTr="00E24DB7">
        <w:tc>
          <w:tcPr>
            <w:tcW w:w="204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Résidu d’évaporation</w:t>
            </w:r>
          </w:p>
        </w:tc>
        <w:tc>
          <w:tcPr>
            <w:tcW w:w="102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mg/kg</w:t>
            </w:r>
          </w:p>
        </w:tc>
        <w:tc>
          <w:tcPr>
            <w:tcW w:w="1246"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max. 50</w:t>
            </w:r>
          </w:p>
        </w:tc>
        <w:tc>
          <w:tcPr>
            <w:tcW w:w="1095"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max. 50</w:t>
            </w:r>
          </w:p>
        </w:tc>
        <w:tc>
          <w:tcPr>
            <w:tcW w:w="1104"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 15470</w:t>
            </w:r>
          </w:p>
        </w:tc>
      </w:tr>
      <w:tr w:rsidR="00E24DB7" w:rsidRPr="002C5876" w:rsidTr="00E24DB7">
        <w:tc>
          <w:tcPr>
            <w:tcW w:w="204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Résidu d’évaporation </w:t>
            </w:r>
            <w:r w:rsidRPr="002C5876">
              <w:rPr>
                <w:sz w:val="18"/>
                <w:szCs w:val="18"/>
              </w:rPr>
              <w:br/>
              <w:t>(100 ml)</w:t>
            </w:r>
          </w:p>
        </w:tc>
        <w:tc>
          <w:tcPr>
            <w:tcW w:w="102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ml</w:t>
            </w:r>
          </w:p>
        </w:tc>
        <w:tc>
          <w:tcPr>
            <w:tcW w:w="1246"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104"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0,05</w:t>
            </w:r>
          </w:p>
        </w:tc>
        <w:tc>
          <w:tcPr>
            <w:tcW w:w="171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ASTM D2158</w:t>
            </w:r>
          </w:p>
        </w:tc>
      </w:tr>
      <w:tr w:rsidR="00E24DB7" w:rsidRPr="002C5876" w:rsidTr="00E24DB7">
        <w:tc>
          <w:tcPr>
            <w:tcW w:w="204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Eau à 0 °C </w:t>
            </w:r>
          </w:p>
        </w:tc>
        <w:tc>
          <w:tcPr>
            <w:tcW w:w="1023"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2341" w:type="dxa"/>
            <w:gridSpan w:val="3"/>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Néant</w:t>
            </w:r>
          </w:p>
        </w:tc>
        <w:tc>
          <w:tcPr>
            <w:tcW w:w="1104"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 15469</w:t>
            </w:r>
          </w:p>
        </w:tc>
      </w:tr>
      <w:tr w:rsidR="00E24DB7" w:rsidRPr="002C5876" w:rsidTr="00E24DB7">
        <w:tc>
          <w:tcPr>
            <w:tcW w:w="2048" w:type="dxa"/>
            <w:vMerge w:val="restart"/>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Teneur totale en soufre</w:t>
            </w:r>
          </w:p>
        </w:tc>
        <w:tc>
          <w:tcPr>
            <w:tcW w:w="102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mg/kg</w:t>
            </w:r>
          </w:p>
        </w:tc>
        <w:tc>
          <w:tcPr>
            <w:tcW w:w="1246"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max. 10</w:t>
            </w:r>
          </w:p>
        </w:tc>
        <w:tc>
          <w:tcPr>
            <w:tcW w:w="1095"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max. 10</w:t>
            </w:r>
          </w:p>
        </w:tc>
        <w:tc>
          <w:tcPr>
            <w:tcW w:w="1104"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ASTM D 6667</w:t>
            </w:r>
          </w:p>
        </w:tc>
      </w:tr>
      <w:tr w:rsidR="00E24DB7" w:rsidRPr="002C5876" w:rsidTr="00E24DB7">
        <w:tc>
          <w:tcPr>
            <w:tcW w:w="2048" w:type="dxa"/>
            <w:vMerge/>
            <w:tcBorders>
              <w:top w:val="single" w:sz="4" w:space="0" w:color="auto"/>
              <w:left w:val="single" w:sz="4" w:space="0" w:color="auto"/>
              <w:bottom w:val="single" w:sz="4" w:space="0" w:color="auto"/>
              <w:right w:val="single" w:sz="4" w:space="0" w:color="auto"/>
            </w:tcBorders>
            <w:vAlign w:val="center"/>
            <w:hideMark/>
          </w:tcPr>
          <w:p w:rsidR="00E24DB7" w:rsidRPr="002C5876" w:rsidRDefault="00E24DB7" w:rsidP="00E24DB7">
            <w:pPr>
              <w:suppressAutoHyphens w:val="0"/>
              <w:spacing w:before="60" w:after="60" w:line="220" w:lineRule="atLeast"/>
              <w:ind w:left="57" w:right="57"/>
              <w:rPr>
                <w:sz w:val="18"/>
                <w:szCs w:val="18"/>
              </w:rPr>
            </w:pPr>
          </w:p>
        </w:tc>
        <w:tc>
          <w:tcPr>
            <w:tcW w:w="1023"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246" w:type="dxa"/>
            <w:gridSpan w:val="2"/>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095"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104"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max. 40</w:t>
            </w:r>
          </w:p>
        </w:tc>
        <w:tc>
          <w:tcPr>
            <w:tcW w:w="171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KS M 2150, </w:t>
            </w:r>
            <w:r w:rsidRPr="002C5876">
              <w:rPr>
                <w:sz w:val="18"/>
                <w:szCs w:val="18"/>
              </w:rPr>
              <w:br/>
              <w:t xml:space="preserve">ASTM D4486 </w:t>
            </w:r>
            <w:r w:rsidRPr="002C5876">
              <w:rPr>
                <w:sz w:val="18"/>
                <w:szCs w:val="18"/>
              </w:rPr>
              <w:br/>
              <w:t>et ASTM D5504</w:t>
            </w:r>
          </w:p>
        </w:tc>
      </w:tr>
      <w:tr w:rsidR="00E24DB7" w:rsidRPr="002C5876" w:rsidTr="00E24DB7">
        <w:tc>
          <w:tcPr>
            <w:tcW w:w="204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Sulfure d’hydrogène </w:t>
            </w:r>
          </w:p>
        </w:tc>
        <w:tc>
          <w:tcPr>
            <w:tcW w:w="1023"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246"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Néant</w:t>
            </w:r>
          </w:p>
        </w:tc>
        <w:tc>
          <w:tcPr>
            <w:tcW w:w="1095"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Néant</w:t>
            </w:r>
          </w:p>
        </w:tc>
        <w:tc>
          <w:tcPr>
            <w:tcW w:w="1104"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ISO 8819</w:t>
            </w:r>
          </w:p>
        </w:tc>
      </w:tr>
      <w:tr w:rsidR="00E24DB7" w:rsidRPr="002C5876" w:rsidTr="00E24DB7">
        <w:tc>
          <w:tcPr>
            <w:tcW w:w="204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Corrosion sur lame </w:t>
            </w:r>
            <w:r w:rsidRPr="002C5876">
              <w:rPr>
                <w:sz w:val="18"/>
                <w:szCs w:val="18"/>
              </w:rPr>
              <w:br/>
              <w:t xml:space="preserve">de cuivre </w:t>
            </w:r>
          </w:p>
        </w:tc>
        <w:tc>
          <w:tcPr>
            <w:tcW w:w="102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Évaluation</w:t>
            </w:r>
          </w:p>
        </w:tc>
        <w:tc>
          <w:tcPr>
            <w:tcW w:w="1246"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Classe 1</w:t>
            </w:r>
          </w:p>
        </w:tc>
        <w:tc>
          <w:tcPr>
            <w:tcW w:w="1095"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Classe 1</w:t>
            </w:r>
          </w:p>
        </w:tc>
        <w:tc>
          <w:tcPr>
            <w:tcW w:w="1104"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ISO 6251</w:t>
            </w:r>
            <w:r w:rsidRPr="002C5876">
              <w:rPr>
                <w:i/>
                <w:sz w:val="18"/>
                <w:szCs w:val="18"/>
                <w:vertAlign w:val="superscript"/>
              </w:rPr>
              <w:t>1</w:t>
            </w:r>
          </w:p>
        </w:tc>
      </w:tr>
      <w:tr w:rsidR="00E24DB7" w:rsidRPr="002C5876" w:rsidTr="00E24DB7">
        <w:tc>
          <w:tcPr>
            <w:tcW w:w="204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Corrosion du cuivre</w:t>
            </w:r>
          </w:p>
        </w:tc>
        <w:tc>
          <w:tcPr>
            <w:tcW w:w="102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40 °C, 1 h</w:t>
            </w:r>
          </w:p>
        </w:tc>
        <w:tc>
          <w:tcPr>
            <w:tcW w:w="1246"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104"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w:t>
            </w:r>
          </w:p>
        </w:tc>
        <w:tc>
          <w:tcPr>
            <w:tcW w:w="171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KS M ISO 6251</w:t>
            </w:r>
          </w:p>
        </w:tc>
      </w:tr>
      <w:tr w:rsidR="00E24DB7" w:rsidRPr="002C5876" w:rsidTr="00E24DB7">
        <w:tc>
          <w:tcPr>
            <w:tcW w:w="204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Odeur</w:t>
            </w:r>
          </w:p>
        </w:tc>
        <w:tc>
          <w:tcPr>
            <w:tcW w:w="1023"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2341" w:type="dxa"/>
            <w:gridSpan w:val="3"/>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jc w:val="center"/>
              <w:rPr>
                <w:sz w:val="18"/>
                <w:szCs w:val="18"/>
              </w:rPr>
            </w:pPr>
            <w:r w:rsidRPr="002C5876">
              <w:rPr>
                <w:sz w:val="18"/>
                <w:szCs w:val="18"/>
              </w:rPr>
              <w:t>Caractéristique</w:t>
            </w:r>
          </w:p>
        </w:tc>
        <w:tc>
          <w:tcPr>
            <w:tcW w:w="1104"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r>
      <w:tr w:rsidR="00E24DB7" w:rsidRPr="002C5876" w:rsidTr="00E24DB7">
        <w:tc>
          <w:tcPr>
            <w:tcW w:w="204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Indice d’octane moteur</w:t>
            </w:r>
          </w:p>
        </w:tc>
        <w:tc>
          <w:tcPr>
            <w:tcW w:w="1023"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246"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min. 89</w:t>
            </w:r>
          </w:p>
        </w:tc>
        <w:tc>
          <w:tcPr>
            <w:tcW w:w="1095"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min. 89</w:t>
            </w:r>
          </w:p>
        </w:tc>
        <w:tc>
          <w:tcPr>
            <w:tcW w:w="1104"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 589</w:t>
            </w:r>
            <w:r w:rsidRPr="002C5876">
              <w:rPr>
                <w:sz w:val="18"/>
                <w:szCs w:val="18"/>
              </w:rPr>
              <w:br/>
              <w:t>annexe B</w:t>
            </w:r>
          </w:p>
        </w:tc>
      </w:tr>
      <w:tr w:rsidR="00E24DB7" w:rsidRPr="002C5876" w:rsidTr="00E24DB7">
        <w:tc>
          <w:tcPr>
            <w:tcW w:w="204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Pression de vapeur (40 °C)</w:t>
            </w:r>
          </w:p>
        </w:tc>
        <w:tc>
          <w:tcPr>
            <w:tcW w:w="102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MPa</w:t>
            </w:r>
          </w:p>
        </w:tc>
        <w:tc>
          <w:tcPr>
            <w:tcW w:w="1246"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095"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1,27</w:t>
            </w:r>
          </w:p>
        </w:tc>
        <w:tc>
          <w:tcPr>
            <w:tcW w:w="1104"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KS M ISO 4256 </w:t>
            </w:r>
            <w:r w:rsidRPr="002C5876">
              <w:rPr>
                <w:sz w:val="18"/>
                <w:szCs w:val="18"/>
              </w:rPr>
              <w:br/>
              <w:t>KS M ISO 8973</w:t>
            </w:r>
          </w:p>
        </w:tc>
      </w:tr>
      <w:tr w:rsidR="00E24DB7" w:rsidRPr="002C5876" w:rsidTr="00E24DB7">
        <w:tc>
          <w:tcPr>
            <w:tcW w:w="2048"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Densité (15 °C)</w:t>
            </w:r>
          </w:p>
        </w:tc>
        <w:tc>
          <w:tcPr>
            <w:tcW w:w="1023"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kg/m</w:t>
            </w:r>
            <w:r w:rsidRPr="002C5876">
              <w:rPr>
                <w:sz w:val="18"/>
                <w:szCs w:val="18"/>
                <w:vertAlign w:val="superscript"/>
              </w:rPr>
              <w:t>3</w:t>
            </w:r>
          </w:p>
        </w:tc>
        <w:tc>
          <w:tcPr>
            <w:tcW w:w="1246" w:type="dxa"/>
            <w:gridSpan w:val="2"/>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500</w:t>
            </w:r>
          </w:p>
        </w:tc>
        <w:tc>
          <w:tcPr>
            <w:tcW w:w="1095" w:type="dxa"/>
            <w:tcBorders>
              <w:top w:val="single" w:sz="4" w:space="0" w:color="auto"/>
              <w:left w:val="single" w:sz="4" w:space="0" w:color="auto"/>
              <w:bottom w:val="single" w:sz="12"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104" w:type="dxa"/>
            <w:tcBorders>
              <w:top w:val="single" w:sz="4" w:space="0" w:color="auto"/>
              <w:left w:val="single" w:sz="4" w:space="0" w:color="auto"/>
              <w:bottom w:val="single" w:sz="12"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413"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620</w:t>
            </w:r>
          </w:p>
        </w:tc>
        <w:tc>
          <w:tcPr>
            <w:tcW w:w="1710"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KS M 2150</w:t>
            </w:r>
            <w:r w:rsidRPr="002C5876">
              <w:rPr>
                <w:sz w:val="18"/>
                <w:szCs w:val="18"/>
              </w:rPr>
              <w:br/>
              <w:t xml:space="preserve">KS M ISO 3993 </w:t>
            </w:r>
            <w:r w:rsidRPr="002C5876">
              <w:rPr>
                <w:sz w:val="18"/>
                <w:szCs w:val="18"/>
              </w:rPr>
              <w:br/>
              <w:t>KS M ISO 8973</w:t>
            </w:r>
          </w:p>
        </w:tc>
      </w:tr>
    </w:tbl>
    <w:p w:rsidR="00E24DB7" w:rsidRPr="002C5876" w:rsidRDefault="00E24DB7" w:rsidP="00E24DB7">
      <w:pPr>
        <w:suppressAutoHyphens w:val="0"/>
        <w:spacing w:before="120" w:after="240"/>
        <w:ind w:firstLine="170"/>
        <w:rPr>
          <w:sz w:val="18"/>
          <w:szCs w:val="18"/>
        </w:rPr>
      </w:pPr>
      <w:r w:rsidRPr="002C5876">
        <w:rPr>
          <w:i/>
          <w:sz w:val="18"/>
          <w:szCs w:val="18"/>
          <w:vertAlign w:val="superscript"/>
        </w:rPr>
        <w:t>1</w:t>
      </w:r>
      <w:r w:rsidRPr="002C5876">
        <w:rPr>
          <w:sz w:val="18"/>
          <w:szCs w:val="18"/>
        </w:rPr>
        <w:t xml:space="preserve">  Si l’échantillon contient des inhibiteurs de corrosion ou d’autres produits chimiques qui diminuent l’action corrosive de l’échantillon sur la lame de cuivre, cette méthode perd sa précision. L’ajout de tels composés à la seule fin de fausser les résultats de l’essai est donc interdit.</w:t>
      </w:r>
    </w:p>
    <w:p w:rsidR="00E24DB7" w:rsidRPr="002C5876" w:rsidRDefault="00E24DB7" w:rsidP="00E24DB7">
      <w:pPr>
        <w:pStyle w:val="SingleTxtG"/>
        <w:keepNext/>
        <w:ind w:left="2268" w:hanging="1134"/>
      </w:pPr>
      <w:r w:rsidRPr="002C5876">
        <w:rPr>
          <w:sz w:val="18"/>
          <w:szCs w:val="18"/>
        </w:rPr>
        <w:br w:type="page"/>
      </w:r>
      <w:r w:rsidRPr="002C5876">
        <w:lastRenderedPageBreak/>
        <w:t>4.2</w:t>
      </w:r>
      <w:r w:rsidRPr="002C5876">
        <w:tab/>
      </w:r>
      <w:r w:rsidRPr="002C5876">
        <w:tab/>
        <w:t>GN/biométhane</w:t>
      </w:r>
    </w:p>
    <w:p w:rsidR="00E24DB7" w:rsidRPr="002C5876" w:rsidRDefault="00E24DB7" w:rsidP="00E24DB7">
      <w:pPr>
        <w:pStyle w:val="SingleTxtG"/>
        <w:ind w:left="2268" w:hanging="1134"/>
      </w:pPr>
      <w:r w:rsidRPr="002C5876">
        <w:t>4.2.1</w:t>
      </w:r>
      <w:r w:rsidRPr="002C5876">
        <w:tab/>
      </w:r>
      <w:r w:rsidRPr="002C5876">
        <w:tab/>
        <w:t>« G20 » (méthane 100 % (nominal))</w:t>
      </w:r>
    </w:p>
    <w:p w:rsidR="00E24DB7" w:rsidRPr="002C5876" w:rsidRDefault="00E24DB7" w:rsidP="00E24DB7">
      <w:pPr>
        <w:pStyle w:val="H23G"/>
        <w:ind w:left="0" w:firstLine="0"/>
      </w:pPr>
      <w:r w:rsidRPr="002C5876">
        <w:rPr>
          <w:b w:val="0"/>
        </w:rPr>
        <w:t>Tableau A3/9</w:t>
      </w:r>
      <w:r w:rsidRPr="002C5876">
        <w:t xml:space="preserve"> </w:t>
      </w:r>
      <w:r w:rsidRPr="002C5876">
        <w:br/>
        <w:t>« G20 » (méthane 100 % (nominal))</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51"/>
        <w:gridCol w:w="1362"/>
        <w:gridCol w:w="1361"/>
        <w:gridCol w:w="1361"/>
        <w:gridCol w:w="1361"/>
        <w:gridCol w:w="1743"/>
      </w:tblGrid>
      <w:tr w:rsidR="00E24DB7" w:rsidRPr="002C5876" w:rsidTr="00E24DB7">
        <w:trPr>
          <w:tblHeader/>
        </w:trPr>
        <w:tc>
          <w:tcPr>
            <w:tcW w:w="2452" w:type="dxa"/>
            <w:vMerge w:val="restart"/>
            <w:tcBorders>
              <w:top w:val="single" w:sz="4" w:space="0" w:color="auto"/>
              <w:left w:val="single" w:sz="4" w:space="0" w:color="auto"/>
              <w:bottom w:val="single" w:sz="4"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Caractéristique</w:t>
            </w:r>
          </w:p>
        </w:tc>
        <w:tc>
          <w:tcPr>
            <w:tcW w:w="1363" w:type="dxa"/>
            <w:vMerge w:val="restart"/>
            <w:tcBorders>
              <w:top w:val="single" w:sz="4" w:space="0" w:color="auto"/>
              <w:left w:val="single" w:sz="4" w:space="0" w:color="auto"/>
              <w:bottom w:val="single" w:sz="4"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Unité</w:t>
            </w:r>
          </w:p>
        </w:tc>
        <w:tc>
          <w:tcPr>
            <w:tcW w:w="1362" w:type="dxa"/>
            <w:vMerge w:val="restart"/>
            <w:tcBorders>
              <w:top w:val="single" w:sz="4" w:space="0" w:color="auto"/>
              <w:left w:val="single" w:sz="4" w:space="0" w:color="auto"/>
              <w:bottom w:val="single" w:sz="4"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Base</w:t>
            </w:r>
          </w:p>
        </w:tc>
        <w:tc>
          <w:tcPr>
            <w:tcW w:w="2724"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80" w:after="80" w:line="200" w:lineRule="exact"/>
              <w:ind w:left="57" w:right="57"/>
              <w:jc w:val="center"/>
              <w:rPr>
                <w:i/>
                <w:sz w:val="16"/>
                <w:szCs w:val="16"/>
              </w:rPr>
            </w:pPr>
            <w:r w:rsidRPr="002C5876">
              <w:rPr>
                <w:i/>
                <w:sz w:val="16"/>
                <w:szCs w:val="16"/>
              </w:rPr>
              <w:t>Limites</w:t>
            </w:r>
          </w:p>
        </w:tc>
        <w:tc>
          <w:tcPr>
            <w:tcW w:w="1744" w:type="dxa"/>
            <w:vMerge w:val="restart"/>
            <w:tcBorders>
              <w:top w:val="single" w:sz="4" w:space="0" w:color="auto"/>
              <w:left w:val="single" w:sz="4" w:space="0" w:color="auto"/>
              <w:bottom w:val="single" w:sz="4"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Méthode d’essai</w:t>
            </w:r>
          </w:p>
        </w:tc>
      </w:tr>
      <w:tr w:rsidR="00E24DB7" w:rsidRPr="002C5876" w:rsidTr="00E24DB7">
        <w:trPr>
          <w:tblHeader/>
        </w:trPr>
        <w:tc>
          <w:tcPr>
            <w:tcW w:w="2452" w:type="dxa"/>
            <w:vMerge/>
            <w:tcBorders>
              <w:top w:val="single" w:sz="4" w:space="0" w:color="auto"/>
              <w:left w:val="single" w:sz="4" w:space="0" w:color="auto"/>
              <w:bottom w:val="single" w:sz="12" w:space="0" w:color="auto"/>
              <w:right w:val="single" w:sz="4" w:space="0" w:color="auto"/>
            </w:tcBorders>
            <w:vAlign w:val="center"/>
            <w:hideMark/>
          </w:tcPr>
          <w:p w:rsidR="00E24DB7" w:rsidRPr="002C5876" w:rsidRDefault="00E24DB7" w:rsidP="00E24DB7">
            <w:pPr>
              <w:suppressAutoHyphens w:val="0"/>
              <w:spacing w:before="60" w:after="120" w:line="240" w:lineRule="auto"/>
              <w:ind w:left="57" w:right="57"/>
              <w:rPr>
                <w:i/>
                <w:sz w:val="18"/>
                <w:szCs w:val="18"/>
              </w:rPr>
            </w:pPr>
          </w:p>
        </w:tc>
        <w:tc>
          <w:tcPr>
            <w:tcW w:w="1363" w:type="dxa"/>
            <w:vMerge/>
            <w:tcBorders>
              <w:top w:val="single" w:sz="4" w:space="0" w:color="auto"/>
              <w:left w:val="single" w:sz="4" w:space="0" w:color="auto"/>
              <w:bottom w:val="single" w:sz="12" w:space="0" w:color="auto"/>
              <w:right w:val="single" w:sz="4" w:space="0" w:color="auto"/>
            </w:tcBorders>
            <w:vAlign w:val="center"/>
            <w:hideMark/>
          </w:tcPr>
          <w:p w:rsidR="00E24DB7" w:rsidRPr="002C5876" w:rsidRDefault="00E24DB7" w:rsidP="00E24DB7">
            <w:pPr>
              <w:suppressAutoHyphens w:val="0"/>
              <w:spacing w:before="60" w:after="120" w:line="240" w:lineRule="auto"/>
              <w:ind w:left="57" w:right="57"/>
              <w:rPr>
                <w:i/>
                <w:sz w:val="18"/>
                <w:szCs w:val="18"/>
              </w:rPr>
            </w:pPr>
          </w:p>
        </w:tc>
        <w:tc>
          <w:tcPr>
            <w:tcW w:w="1362" w:type="dxa"/>
            <w:vMerge/>
            <w:tcBorders>
              <w:top w:val="single" w:sz="4" w:space="0" w:color="auto"/>
              <w:left w:val="single" w:sz="4" w:space="0" w:color="auto"/>
              <w:bottom w:val="single" w:sz="12" w:space="0" w:color="auto"/>
              <w:right w:val="single" w:sz="4" w:space="0" w:color="auto"/>
            </w:tcBorders>
            <w:vAlign w:val="center"/>
            <w:hideMark/>
          </w:tcPr>
          <w:p w:rsidR="00E24DB7" w:rsidRPr="002C5876" w:rsidRDefault="00E24DB7" w:rsidP="00E24DB7">
            <w:pPr>
              <w:suppressAutoHyphens w:val="0"/>
              <w:spacing w:before="60" w:after="120" w:line="240" w:lineRule="auto"/>
              <w:ind w:left="57" w:right="57"/>
              <w:rPr>
                <w:i/>
                <w:sz w:val="18"/>
                <w:szCs w:val="18"/>
              </w:rPr>
            </w:pPr>
          </w:p>
        </w:tc>
        <w:tc>
          <w:tcPr>
            <w:tcW w:w="1362"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Minimale</w:t>
            </w:r>
          </w:p>
        </w:tc>
        <w:tc>
          <w:tcPr>
            <w:tcW w:w="1362"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Maximale</w:t>
            </w:r>
          </w:p>
        </w:tc>
        <w:tc>
          <w:tcPr>
            <w:tcW w:w="1744" w:type="dxa"/>
            <w:vMerge/>
            <w:tcBorders>
              <w:top w:val="single" w:sz="4" w:space="0" w:color="auto"/>
              <w:left w:val="single" w:sz="4" w:space="0" w:color="auto"/>
              <w:bottom w:val="single" w:sz="12" w:space="0" w:color="auto"/>
              <w:right w:val="single" w:sz="4" w:space="0" w:color="auto"/>
            </w:tcBorders>
            <w:vAlign w:val="center"/>
            <w:hideMark/>
          </w:tcPr>
          <w:p w:rsidR="00E24DB7" w:rsidRPr="002C5876" w:rsidRDefault="00E24DB7" w:rsidP="00E24DB7">
            <w:pPr>
              <w:suppressAutoHyphens w:val="0"/>
              <w:spacing w:before="60" w:after="120" w:line="240" w:lineRule="auto"/>
              <w:ind w:left="57" w:right="57"/>
              <w:rPr>
                <w:i/>
                <w:sz w:val="18"/>
                <w:szCs w:val="18"/>
              </w:rPr>
            </w:pPr>
          </w:p>
        </w:tc>
      </w:tr>
      <w:tr w:rsidR="00E24DB7" w:rsidRPr="002C5876" w:rsidTr="00E24DB7">
        <w:tc>
          <w:tcPr>
            <w:tcW w:w="2452"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Composition :</w:t>
            </w:r>
          </w:p>
        </w:tc>
        <w:tc>
          <w:tcPr>
            <w:tcW w:w="1363" w:type="dxa"/>
            <w:tcBorders>
              <w:top w:val="single" w:sz="12"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2" w:type="dxa"/>
            <w:tcBorders>
              <w:top w:val="single" w:sz="12"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2" w:type="dxa"/>
            <w:tcBorders>
              <w:top w:val="single" w:sz="12"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2" w:type="dxa"/>
            <w:tcBorders>
              <w:top w:val="single" w:sz="12"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744" w:type="dxa"/>
            <w:tcBorders>
              <w:top w:val="single" w:sz="12"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r>
      <w:tr w:rsidR="00E24DB7" w:rsidRPr="002C5876" w:rsidTr="00E24DB7">
        <w:tc>
          <w:tcPr>
            <w:tcW w:w="245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Méthane </w:t>
            </w:r>
          </w:p>
        </w:tc>
        <w:tc>
          <w:tcPr>
            <w:tcW w:w="136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mol</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100</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99</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100</w:t>
            </w:r>
          </w:p>
        </w:tc>
        <w:tc>
          <w:tcPr>
            <w:tcW w:w="174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ISO 6974</w:t>
            </w:r>
          </w:p>
        </w:tc>
      </w:tr>
      <w:tr w:rsidR="00E24DB7" w:rsidRPr="002C5876" w:rsidTr="00E24DB7">
        <w:tc>
          <w:tcPr>
            <w:tcW w:w="245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Autres</w:t>
            </w:r>
            <w:r w:rsidRPr="002C5876">
              <w:rPr>
                <w:i/>
                <w:sz w:val="18"/>
                <w:szCs w:val="18"/>
                <w:vertAlign w:val="superscript"/>
              </w:rPr>
              <w:t>1</w:t>
            </w:r>
          </w:p>
        </w:tc>
        <w:tc>
          <w:tcPr>
            <w:tcW w:w="136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mol</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w:t>
            </w:r>
          </w:p>
        </w:tc>
        <w:tc>
          <w:tcPr>
            <w:tcW w:w="174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ISO 6974</w:t>
            </w:r>
          </w:p>
        </w:tc>
      </w:tr>
      <w:tr w:rsidR="00E24DB7" w:rsidRPr="002C5876" w:rsidTr="00E24DB7">
        <w:tc>
          <w:tcPr>
            <w:tcW w:w="245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N</w:t>
            </w:r>
            <w:r w:rsidRPr="002C5876">
              <w:rPr>
                <w:sz w:val="18"/>
                <w:szCs w:val="18"/>
                <w:vertAlign w:val="subscript"/>
              </w:rPr>
              <w:t>2</w:t>
            </w:r>
          </w:p>
        </w:tc>
        <w:tc>
          <w:tcPr>
            <w:tcW w:w="136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mol</w:t>
            </w:r>
          </w:p>
        </w:tc>
        <w:tc>
          <w:tcPr>
            <w:tcW w:w="1362"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74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ISO 6974</w:t>
            </w:r>
          </w:p>
        </w:tc>
      </w:tr>
      <w:tr w:rsidR="00E24DB7" w:rsidRPr="002C5876" w:rsidTr="00E24DB7">
        <w:tc>
          <w:tcPr>
            <w:tcW w:w="245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Teneur en soufre </w:t>
            </w:r>
          </w:p>
        </w:tc>
        <w:tc>
          <w:tcPr>
            <w:tcW w:w="136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mg/m</w:t>
            </w:r>
            <w:r w:rsidRPr="002C5876">
              <w:rPr>
                <w:sz w:val="18"/>
                <w:szCs w:val="18"/>
                <w:vertAlign w:val="superscript"/>
              </w:rPr>
              <w:t>3</w:t>
            </w:r>
            <w:r w:rsidRPr="002C5876">
              <w:rPr>
                <w:i/>
                <w:sz w:val="18"/>
                <w:szCs w:val="18"/>
                <w:vertAlign w:val="superscript"/>
              </w:rPr>
              <w:t>2</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10</w:t>
            </w:r>
          </w:p>
        </w:tc>
        <w:tc>
          <w:tcPr>
            <w:tcW w:w="174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ISO 6326-5</w:t>
            </w:r>
          </w:p>
        </w:tc>
      </w:tr>
      <w:tr w:rsidR="00E24DB7" w:rsidRPr="002C5876" w:rsidTr="00E24DB7">
        <w:tc>
          <w:tcPr>
            <w:tcW w:w="2452"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Indice de Wobbe (net) </w:t>
            </w:r>
          </w:p>
        </w:tc>
        <w:tc>
          <w:tcPr>
            <w:tcW w:w="1363"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MJ/m</w:t>
            </w:r>
            <w:r w:rsidRPr="002C5876">
              <w:rPr>
                <w:sz w:val="18"/>
                <w:szCs w:val="18"/>
                <w:vertAlign w:val="superscript"/>
              </w:rPr>
              <w:t>3</w:t>
            </w:r>
            <w:r w:rsidRPr="002C5876">
              <w:rPr>
                <w:i/>
                <w:sz w:val="18"/>
                <w:szCs w:val="18"/>
                <w:vertAlign w:val="superscript"/>
              </w:rPr>
              <w:t>3</w:t>
            </w:r>
          </w:p>
        </w:tc>
        <w:tc>
          <w:tcPr>
            <w:tcW w:w="1362"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48,2</w:t>
            </w:r>
          </w:p>
        </w:tc>
        <w:tc>
          <w:tcPr>
            <w:tcW w:w="1362"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47,2</w:t>
            </w:r>
          </w:p>
        </w:tc>
        <w:tc>
          <w:tcPr>
            <w:tcW w:w="1362"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49,2</w:t>
            </w:r>
          </w:p>
        </w:tc>
        <w:tc>
          <w:tcPr>
            <w:tcW w:w="1744" w:type="dxa"/>
            <w:tcBorders>
              <w:top w:val="single" w:sz="4" w:space="0" w:color="auto"/>
              <w:left w:val="single" w:sz="4" w:space="0" w:color="auto"/>
              <w:bottom w:val="single" w:sz="12"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r>
    </w:tbl>
    <w:p w:rsidR="00E24DB7" w:rsidRPr="002C5876" w:rsidRDefault="00E24DB7" w:rsidP="00E24DB7">
      <w:pPr>
        <w:spacing w:before="120"/>
        <w:ind w:firstLine="170"/>
        <w:rPr>
          <w:sz w:val="18"/>
          <w:szCs w:val="18"/>
        </w:rPr>
      </w:pPr>
      <w:r w:rsidRPr="002C5876">
        <w:rPr>
          <w:i/>
          <w:sz w:val="18"/>
          <w:szCs w:val="18"/>
          <w:vertAlign w:val="superscript"/>
        </w:rPr>
        <w:t>1</w:t>
      </w:r>
      <w:r w:rsidRPr="002C5876">
        <w:rPr>
          <w:sz w:val="18"/>
          <w:szCs w:val="18"/>
        </w:rPr>
        <w:t xml:space="preserve">  Inertes (autres que N2) + C2 + C2+.</w:t>
      </w:r>
    </w:p>
    <w:p w:rsidR="00E24DB7" w:rsidRPr="002C5876" w:rsidRDefault="00E24DB7" w:rsidP="00E24DB7">
      <w:pPr>
        <w:ind w:firstLine="170"/>
        <w:rPr>
          <w:sz w:val="18"/>
          <w:szCs w:val="18"/>
        </w:rPr>
      </w:pPr>
      <w:r w:rsidRPr="002C5876">
        <w:rPr>
          <w:i/>
          <w:sz w:val="18"/>
          <w:szCs w:val="18"/>
          <w:vertAlign w:val="superscript"/>
        </w:rPr>
        <w:t>2</w:t>
      </w:r>
      <w:r w:rsidRPr="002C5876">
        <w:rPr>
          <w:sz w:val="18"/>
          <w:szCs w:val="18"/>
        </w:rPr>
        <w:t xml:space="preserve">  Valeur à déterminer à 293,15 K (20 °C) et 101,325 kPa.</w:t>
      </w:r>
    </w:p>
    <w:p w:rsidR="00E24DB7" w:rsidRPr="002C5876" w:rsidRDefault="00E24DB7" w:rsidP="00E24DB7">
      <w:pPr>
        <w:spacing w:after="240"/>
        <w:ind w:firstLine="170"/>
        <w:rPr>
          <w:sz w:val="18"/>
          <w:szCs w:val="18"/>
        </w:rPr>
      </w:pPr>
      <w:r w:rsidRPr="002C5876">
        <w:rPr>
          <w:i/>
          <w:sz w:val="18"/>
          <w:szCs w:val="18"/>
          <w:vertAlign w:val="superscript"/>
        </w:rPr>
        <w:t>3</w:t>
      </w:r>
      <w:r w:rsidRPr="002C5876">
        <w:rPr>
          <w:i/>
          <w:sz w:val="18"/>
          <w:szCs w:val="18"/>
        </w:rPr>
        <w:t xml:space="preserve"> </w:t>
      </w:r>
      <w:r w:rsidRPr="002C5876">
        <w:rPr>
          <w:sz w:val="18"/>
          <w:szCs w:val="18"/>
        </w:rPr>
        <w:t xml:space="preserve"> Valeur à déterminer à 273,15 K (0 °C) et 101,325 kPa.</w:t>
      </w:r>
    </w:p>
    <w:p w:rsidR="00E24DB7" w:rsidRPr="002C5876" w:rsidRDefault="00E24DB7" w:rsidP="00E24DB7">
      <w:pPr>
        <w:pStyle w:val="SingleTxtG"/>
        <w:keepNext/>
        <w:spacing w:before="240"/>
        <w:ind w:left="2268" w:hanging="1134"/>
      </w:pPr>
      <w:r w:rsidRPr="002C5876">
        <w:t>4.2.2</w:t>
      </w:r>
      <w:r w:rsidRPr="002C5876">
        <w:tab/>
      </w:r>
      <w:r w:rsidRPr="002C5876">
        <w:tab/>
        <w:t>« Gaz K » (méthane 88 % (nominal))</w:t>
      </w:r>
    </w:p>
    <w:p w:rsidR="00E24DB7" w:rsidRPr="002C5876" w:rsidRDefault="00E24DB7" w:rsidP="00E24DB7">
      <w:pPr>
        <w:pStyle w:val="H23G"/>
        <w:ind w:left="0" w:firstLine="0"/>
      </w:pPr>
      <w:r w:rsidRPr="002C5876">
        <w:rPr>
          <w:b w:val="0"/>
        </w:rPr>
        <w:t>Tableau A3/10</w:t>
      </w:r>
      <w:r w:rsidRPr="002C5876">
        <w:t xml:space="preserve"> </w:t>
      </w:r>
      <w:r w:rsidRPr="002C5876">
        <w:br/>
        <w:t>« Gaz K » (méthane 88 % (nominal))</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32"/>
        <w:gridCol w:w="1553"/>
        <w:gridCol w:w="1094"/>
        <w:gridCol w:w="1094"/>
        <w:gridCol w:w="3766"/>
      </w:tblGrid>
      <w:tr w:rsidR="00E24DB7" w:rsidRPr="002C5876" w:rsidTr="00E24DB7">
        <w:trPr>
          <w:tblHeader/>
        </w:trPr>
        <w:tc>
          <w:tcPr>
            <w:tcW w:w="2132" w:type="dxa"/>
            <w:vMerge w:val="restart"/>
            <w:tcBorders>
              <w:top w:val="single" w:sz="4" w:space="0" w:color="auto"/>
              <w:left w:val="single" w:sz="4" w:space="0" w:color="auto"/>
              <w:bottom w:val="single" w:sz="4"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Caractéristique</w:t>
            </w:r>
          </w:p>
        </w:tc>
        <w:tc>
          <w:tcPr>
            <w:tcW w:w="1553" w:type="dxa"/>
            <w:vMerge w:val="restart"/>
            <w:tcBorders>
              <w:top w:val="single" w:sz="4" w:space="0" w:color="auto"/>
              <w:left w:val="single" w:sz="4" w:space="0" w:color="auto"/>
              <w:bottom w:val="single" w:sz="4"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Unité</w:t>
            </w:r>
          </w:p>
        </w:tc>
        <w:tc>
          <w:tcPr>
            <w:tcW w:w="2188"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80" w:after="80" w:line="200" w:lineRule="exact"/>
              <w:ind w:left="57" w:right="57"/>
              <w:jc w:val="center"/>
              <w:rPr>
                <w:i/>
                <w:sz w:val="16"/>
                <w:szCs w:val="16"/>
              </w:rPr>
            </w:pPr>
            <w:r w:rsidRPr="002C5876">
              <w:rPr>
                <w:i/>
                <w:sz w:val="16"/>
                <w:szCs w:val="16"/>
              </w:rPr>
              <w:t>Limites</w:t>
            </w:r>
          </w:p>
        </w:tc>
        <w:tc>
          <w:tcPr>
            <w:tcW w:w="3766" w:type="dxa"/>
            <w:vMerge w:val="restart"/>
            <w:tcBorders>
              <w:top w:val="single" w:sz="4" w:space="0" w:color="auto"/>
              <w:left w:val="single" w:sz="4" w:space="0" w:color="auto"/>
              <w:bottom w:val="single" w:sz="4"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Méthode d’essai</w:t>
            </w:r>
          </w:p>
        </w:tc>
      </w:tr>
      <w:tr w:rsidR="00E24DB7" w:rsidRPr="002C5876" w:rsidTr="00E24DB7">
        <w:trPr>
          <w:tblHeader/>
        </w:trPr>
        <w:tc>
          <w:tcPr>
            <w:tcW w:w="2132" w:type="dxa"/>
            <w:vMerge/>
            <w:tcBorders>
              <w:top w:val="single" w:sz="4" w:space="0" w:color="auto"/>
              <w:left w:val="single" w:sz="4" w:space="0" w:color="auto"/>
              <w:bottom w:val="single" w:sz="12" w:space="0" w:color="auto"/>
              <w:right w:val="single" w:sz="4" w:space="0" w:color="auto"/>
            </w:tcBorders>
            <w:vAlign w:val="center"/>
            <w:hideMark/>
          </w:tcPr>
          <w:p w:rsidR="00E24DB7" w:rsidRPr="002C5876" w:rsidRDefault="00E24DB7" w:rsidP="00E24DB7">
            <w:pPr>
              <w:suppressAutoHyphens w:val="0"/>
              <w:spacing w:before="80" w:after="80" w:line="200" w:lineRule="exact"/>
              <w:ind w:left="57" w:right="57"/>
              <w:rPr>
                <w:i/>
                <w:sz w:val="18"/>
                <w:szCs w:val="18"/>
              </w:rPr>
            </w:pPr>
          </w:p>
        </w:tc>
        <w:tc>
          <w:tcPr>
            <w:tcW w:w="1553" w:type="dxa"/>
            <w:vMerge/>
            <w:tcBorders>
              <w:top w:val="single" w:sz="4" w:space="0" w:color="auto"/>
              <w:left w:val="single" w:sz="4" w:space="0" w:color="auto"/>
              <w:bottom w:val="single" w:sz="12" w:space="0" w:color="auto"/>
              <w:right w:val="single" w:sz="4" w:space="0" w:color="auto"/>
            </w:tcBorders>
            <w:vAlign w:val="center"/>
            <w:hideMark/>
          </w:tcPr>
          <w:p w:rsidR="00E24DB7" w:rsidRPr="002C5876" w:rsidRDefault="00E24DB7" w:rsidP="00E24DB7">
            <w:pPr>
              <w:suppressAutoHyphens w:val="0"/>
              <w:spacing w:before="80" w:after="80" w:line="200" w:lineRule="exact"/>
              <w:ind w:left="57" w:right="57"/>
              <w:rPr>
                <w:i/>
                <w:sz w:val="18"/>
                <w:szCs w:val="18"/>
              </w:rPr>
            </w:pPr>
          </w:p>
        </w:tc>
        <w:tc>
          <w:tcPr>
            <w:tcW w:w="1094" w:type="dxa"/>
            <w:tcBorders>
              <w:top w:val="single" w:sz="4" w:space="0" w:color="auto"/>
              <w:left w:val="single" w:sz="4" w:space="0" w:color="auto"/>
              <w:bottom w:val="single" w:sz="12"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Minimale</w:t>
            </w:r>
          </w:p>
        </w:tc>
        <w:tc>
          <w:tcPr>
            <w:tcW w:w="1094" w:type="dxa"/>
            <w:tcBorders>
              <w:top w:val="single" w:sz="4" w:space="0" w:color="auto"/>
              <w:left w:val="single" w:sz="4" w:space="0" w:color="auto"/>
              <w:bottom w:val="single" w:sz="12"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Maximale</w:t>
            </w:r>
          </w:p>
        </w:tc>
        <w:tc>
          <w:tcPr>
            <w:tcW w:w="3766" w:type="dxa"/>
            <w:vMerge/>
            <w:tcBorders>
              <w:top w:val="single" w:sz="4" w:space="0" w:color="auto"/>
              <w:left w:val="single" w:sz="4" w:space="0" w:color="auto"/>
              <w:bottom w:val="single" w:sz="12" w:space="0" w:color="auto"/>
              <w:right w:val="single" w:sz="4" w:space="0" w:color="auto"/>
            </w:tcBorders>
            <w:vAlign w:val="center"/>
            <w:hideMark/>
          </w:tcPr>
          <w:p w:rsidR="00E24DB7" w:rsidRPr="002C5876" w:rsidRDefault="00E24DB7" w:rsidP="00E24DB7">
            <w:pPr>
              <w:suppressAutoHyphens w:val="0"/>
              <w:spacing w:before="80" w:after="80" w:line="200" w:lineRule="exact"/>
              <w:ind w:left="57" w:right="57"/>
              <w:rPr>
                <w:i/>
                <w:sz w:val="18"/>
                <w:szCs w:val="18"/>
              </w:rPr>
            </w:pPr>
          </w:p>
        </w:tc>
      </w:tr>
      <w:tr w:rsidR="00E24DB7" w:rsidRPr="002C5876" w:rsidTr="00E24DB7">
        <w:tc>
          <w:tcPr>
            <w:tcW w:w="2132"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Méthane</w:t>
            </w:r>
          </w:p>
        </w:tc>
        <w:tc>
          <w:tcPr>
            <w:tcW w:w="1553"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v/v</w:t>
            </w:r>
          </w:p>
        </w:tc>
        <w:tc>
          <w:tcPr>
            <w:tcW w:w="1094"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88,0</w:t>
            </w:r>
          </w:p>
        </w:tc>
        <w:tc>
          <w:tcPr>
            <w:tcW w:w="1094"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3766"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KS M ISO 6974 ; ASTM D1946 et ASTM D1945-81 ; JIS K 0114</w:t>
            </w:r>
          </w:p>
        </w:tc>
      </w:tr>
      <w:tr w:rsidR="00E24DB7" w:rsidRPr="002C5876" w:rsidTr="00E24DB7">
        <w:tc>
          <w:tcPr>
            <w:tcW w:w="213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Éthane</w:t>
            </w:r>
          </w:p>
        </w:tc>
        <w:tc>
          <w:tcPr>
            <w:tcW w:w="155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v/v</w:t>
            </w:r>
          </w:p>
        </w:tc>
        <w:tc>
          <w:tcPr>
            <w:tcW w:w="109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09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7,0</w:t>
            </w:r>
          </w:p>
        </w:tc>
        <w:tc>
          <w:tcPr>
            <w:tcW w:w="376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KS M ISO 6974 ; ASTM D1946 et ASTM D1945-81 ; JIS K 0114</w:t>
            </w:r>
          </w:p>
        </w:tc>
      </w:tr>
      <w:tr w:rsidR="00E24DB7" w:rsidRPr="002C5876" w:rsidTr="00E24DB7">
        <w:tc>
          <w:tcPr>
            <w:tcW w:w="213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w:t>
            </w:r>
            <w:r w:rsidRPr="002C5876">
              <w:rPr>
                <w:sz w:val="18"/>
                <w:szCs w:val="18"/>
                <w:vertAlign w:val="subscript"/>
              </w:rPr>
              <w:t>3</w:t>
            </w:r>
            <w:r w:rsidRPr="002C5876">
              <w:rPr>
                <w:sz w:val="18"/>
                <w:szCs w:val="18"/>
              </w:rPr>
              <w:t xml:space="preserve"> + hydrocarbure</w:t>
            </w:r>
          </w:p>
        </w:tc>
        <w:tc>
          <w:tcPr>
            <w:tcW w:w="155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v/v</w:t>
            </w:r>
          </w:p>
        </w:tc>
        <w:tc>
          <w:tcPr>
            <w:tcW w:w="109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09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5,0</w:t>
            </w:r>
          </w:p>
        </w:tc>
        <w:tc>
          <w:tcPr>
            <w:tcW w:w="376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KS M ISO 6974 ; ASTM D1946 et ASTM D1945-81 ; JIS K 0114</w:t>
            </w:r>
          </w:p>
        </w:tc>
      </w:tr>
      <w:tr w:rsidR="00E24DB7" w:rsidRPr="002C5876" w:rsidTr="00E24DB7">
        <w:tc>
          <w:tcPr>
            <w:tcW w:w="213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keepNext/>
              <w:suppressAutoHyphens w:val="0"/>
              <w:spacing w:before="60" w:after="60" w:line="220" w:lineRule="atLeast"/>
              <w:ind w:left="57" w:right="57"/>
              <w:rPr>
                <w:sz w:val="18"/>
                <w:szCs w:val="18"/>
              </w:rPr>
            </w:pPr>
            <w:r w:rsidRPr="002C5876">
              <w:rPr>
                <w:sz w:val="18"/>
                <w:szCs w:val="18"/>
              </w:rPr>
              <w:t>C</w:t>
            </w:r>
            <w:r w:rsidRPr="002C5876">
              <w:rPr>
                <w:sz w:val="18"/>
                <w:szCs w:val="18"/>
                <w:vertAlign w:val="subscript"/>
              </w:rPr>
              <w:t>6</w:t>
            </w:r>
            <w:r w:rsidRPr="002C5876">
              <w:rPr>
                <w:sz w:val="18"/>
                <w:szCs w:val="18"/>
              </w:rPr>
              <w:t xml:space="preserve"> + hydrocarbure</w:t>
            </w:r>
          </w:p>
        </w:tc>
        <w:tc>
          <w:tcPr>
            <w:tcW w:w="155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keepNext/>
              <w:suppressAutoHyphens w:val="0"/>
              <w:spacing w:before="60" w:after="60" w:line="220" w:lineRule="atLeast"/>
              <w:ind w:left="57" w:right="57"/>
              <w:rPr>
                <w:sz w:val="18"/>
                <w:szCs w:val="18"/>
              </w:rPr>
            </w:pPr>
            <w:r w:rsidRPr="002C5876">
              <w:rPr>
                <w:sz w:val="18"/>
                <w:szCs w:val="18"/>
              </w:rPr>
              <w:t>% v/v</w:t>
            </w:r>
          </w:p>
        </w:tc>
        <w:tc>
          <w:tcPr>
            <w:tcW w:w="109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keepNext/>
              <w:suppressAutoHyphens w:val="0"/>
              <w:spacing w:before="60" w:after="60" w:line="220" w:lineRule="atLeast"/>
              <w:ind w:left="57" w:right="57"/>
              <w:rPr>
                <w:sz w:val="18"/>
                <w:szCs w:val="18"/>
              </w:rPr>
            </w:pPr>
            <w:r w:rsidRPr="002C5876">
              <w:rPr>
                <w:sz w:val="18"/>
                <w:szCs w:val="18"/>
              </w:rPr>
              <w:t>-</w:t>
            </w:r>
          </w:p>
        </w:tc>
        <w:tc>
          <w:tcPr>
            <w:tcW w:w="109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keepNext/>
              <w:suppressAutoHyphens w:val="0"/>
              <w:spacing w:before="60" w:after="60" w:line="220" w:lineRule="atLeast"/>
              <w:ind w:left="57" w:right="57"/>
              <w:rPr>
                <w:sz w:val="18"/>
                <w:szCs w:val="18"/>
              </w:rPr>
            </w:pPr>
            <w:r w:rsidRPr="002C5876">
              <w:rPr>
                <w:sz w:val="18"/>
                <w:szCs w:val="18"/>
              </w:rPr>
              <w:t>0,2</w:t>
            </w:r>
          </w:p>
        </w:tc>
        <w:tc>
          <w:tcPr>
            <w:tcW w:w="376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keepNext/>
              <w:suppressAutoHyphens w:val="0"/>
              <w:spacing w:before="60" w:after="60" w:line="220" w:lineRule="atLeast"/>
              <w:ind w:left="57" w:right="57"/>
              <w:rPr>
                <w:sz w:val="18"/>
                <w:szCs w:val="18"/>
              </w:rPr>
            </w:pPr>
            <w:r w:rsidRPr="002C5876">
              <w:rPr>
                <w:sz w:val="18"/>
                <w:szCs w:val="18"/>
              </w:rPr>
              <w:t>KS M ISO 6974 ; ASTM D1946 et ASTM D1945-81 ; JIS K 0114</w:t>
            </w:r>
          </w:p>
        </w:tc>
      </w:tr>
      <w:tr w:rsidR="00E24DB7" w:rsidRPr="002C5876" w:rsidTr="00E24DB7">
        <w:tc>
          <w:tcPr>
            <w:tcW w:w="213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Teneur en soufre</w:t>
            </w:r>
          </w:p>
        </w:tc>
        <w:tc>
          <w:tcPr>
            <w:tcW w:w="155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ppm</w:t>
            </w:r>
          </w:p>
        </w:tc>
        <w:tc>
          <w:tcPr>
            <w:tcW w:w="109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09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40</w:t>
            </w:r>
          </w:p>
        </w:tc>
        <w:tc>
          <w:tcPr>
            <w:tcW w:w="376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KS M ISO 6326-1 et KS M ISO 19739 ; ASTM D5504 ; JIS K 0127</w:t>
            </w:r>
          </w:p>
        </w:tc>
      </w:tr>
      <w:tr w:rsidR="00E24DB7" w:rsidRPr="002C5876" w:rsidTr="00E24DB7">
        <w:tc>
          <w:tcPr>
            <w:tcW w:w="2132" w:type="dxa"/>
            <w:tcBorders>
              <w:top w:val="single" w:sz="4" w:space="0" w:color="auto"/>
              <w:left w:val="single" w:sz="4" w:space="0" w:color="auto"/>
              <w:bottom w:val="single" w:sz="12" w:space="0" w:color="auto"/>
              <w:right w:val="single" w:sz="4" w:space="0" w:color="auto"/>
            </w:tcBorders>
            <w:hideMark/>
          </w:tcPr>
          <w:p w:rsidR="00E24DB7" w:rsidRPr="00D53F39" w:rsidRDefault="00E24DB7" w:rsidP="00E24DB7">
            <w:pPr>
              <w:suppressAutoHyphens w:val="0"/>
              <w:spacing w:before="60" w:after="60" w:line="220" w:lineRule="atLeast"/>
              <w:ind w:left="57" w:right="57"/>
              <w:rPr>
                <w:sz w:val="18"/>
                <w:szCs w:val="18"/>
                <w:lang w:val="es-ES"/>
              </w:rPr>
            </w:pPr>
            <w:r w:rsidRPr="00D53F39">
              <w:rPr>
                <w:sz w:val="18"/>
                <w:szCs w:val="18"/>
                <w:lang w:val="es-ES"/>
              </w:rPr>
              <w:t>Gaz inerte (CO</w:t>
            </w:r>
            <w:r w:rsidRPr="00D53F39">
              <w:rPr>
                <w:sz w:val="18"/>
                <w:szCs w:val="18"/>
                <w:vertAlign w:val="subscript"/>
                <w:lang w:val="es-ES"/>
              </w:rPr>
              <w:t>2</w:t>
            </w:r>
            <w:r w:rsidRPr="00D53F39">
              <w:rPr>
                <w:sz w:val="18"/>
                <w:szCs w:val="18"/>
                <w:lang w:val="es-ES"/>
              </w:rPr>
              <w:t>, N</w:t>
            </w:r>
            <w:r w:rsidRPr="00D53F39">
              <w:rPr>
                <w:sz w:val="18"/>
                <w:szCs w:val="18"/>
                <w:vertAlign w:val="subscript"/>
                <w:lang w:val="es-ES"/>
              </w:rPr>
              <w:t>2</w:t>
            </w:r>
            <w:r w:rsidRPr="00D53F39">
              <w:rPr>
                <w:sz w:val="18"/>
                <w:szCs w:val="18"/>
                <w:lang w:val="es-ES"/>
              </w:rPr>
              <w:t>, etc.)</w:t>
            </w:r>
          </w:p>
        </w:tc>
        <w:tc>
          <w:tcPr>
            <w:tcW w:w="1553"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vol.</w:t>
            </w:r>
          </w:p>
        </w:tc>
        <w:tc>
          <w:tcPr>
            <w:tcW w:w="1094"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094"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4,5</w:t>
            </w:r>
          </w:p>
        </w:tc>
        <w:tc>
          <w:tcPr>
            <w:tcW w:w="3766"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KS M ISO 6974 ; ASTM D1946 et ASTM D1945-81 ; JIS K 0114</w:t>
            </w:r>
          </w:p>
        </w:tc>
      </w:tr>
    </w:tbl>
    <w:p w:rsidR="00E24DB7" w:rsidRPr="002C5876" w:rsidRDefault="00E24DB7" w:rsidP="00E24DB7">
      <w:pPr>
        <w:pStyle w:val="SingleTxtG"/>
        <w:keepNext/>
        <w:spacing w:before="120" w:line="240" w:lineRule="exact"/>
        <w:ind w:left="2268" w:hanging="1134"/>
      </w:pPr>
      <w:r w:rsidRPr="002C5876">
        <w:lastRenderedPageBreak/>
        <w:t>4.2.3</w:t>
      </w:r>
      <w:r w:rsidRPr="002C5876">
        <w:tab/>
      </w:r>
      <w:r w:rsidRPr="002C5876">
        <w:tab/>
        <w:t>« G25 » (méthane 86 % (nominal))</w:t>
      </w:r>
    </w:p>
    <w:p w:rsidR="00E24DB7" w:rsidRPr="002C5876" w:rsidRDefault="00E24DB7" w:rsidP="00E24DB7">
      <w:pPr>
        <w:pStyle w:val="H23G"/>
        <w:ind w:left="0" w:firstLine="0"/>
      </w:pPr>
      <w:r w:rsidRPr="002C5876">
        <w:rPr>
          <w:b w:val="0"/>
        </w:rPr>
        <w:t>Tableau A3/11</w:t>
      </w:r>
      <w:r w:rsidRPr="002C5876">
        <w:br/>
        <w:t>« G25 » (méthane 86 % (nominal))</w:t>
      </w:r>
    </w:p>
    <w:tbl>
      <w:tblPr>
        <w:tblW w:w="9639"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17"/>
        <w:gridCol w:w="1313"/>
        <w:gridCol w:w="1313"/>
        <w:gridCol w:w="1313"/>
        <w:gridCol w:w="1313"/>
        <w:gridCol w:w="1870"/>
      </w:tblGrid>
      <w:tr w:rsidR="00E24DB7" w:rsidRPr="002C5876" w:rsidTr="00E24DB7">
        <w:trPr>
          <w:tblHeader/>
        </w:trPr>
        <w:tc>
          <w:tcPr>
            <w:tcW w:w="1924" w:type="dxa"/>
            <w:vMerge w:val="restart"/>
            <w:vAlign w:val="bottom"/>
            <w:hideMark/>
          </w:tcPr>
          <w:p w:rsidR="00E24DB7" w:rsidRPr="002C5876" w:rsidRDefault="00E24DB7" w:rsidP="00E24DB7">
            <w:pPr>
              <w:keepNext/>
              <w:suppressAutoHyphens w:val="0"/>
              <w:spacing w:before="80" w:after="80" w:line="200" w:lineRule="exact"/>
              <w:ind w:left="57" w:right="57"/>
              <w:rPr>
                <w:i/>
                <w:sz w:val="16"/>
                <w:szCs w:val="16"/>
              </w:rPr>
            </w:pPr>
            <w:r w:rsidRPr="002C5876">
              <w:rPr>
                <w:i/>
                <w:sz w:val="16"/>
                <w:szCs w:val="16"/>
              </w:rPr>
              <w:t>Caractéristiques</w:t>
            </w:r>
          </w:p>
        </w:tc>
        <w:tc>
          <w:tcPr>
            <w:tcW w:w="1003" w:type="dxa"/>
            <w:vMerge w:val="restart"/>
            <w:vAlign w:val="bottom"/>
            <w:hideMark/>
          </w:tcPr>
          <w:p w:rsidR="00E24DB7" w:rsidRPr="002C5876" w:rsidRDefault="00E24DB7" w:rsidP="00E24DB7">
            <w:pPr>
              <w:keepNext/>
              <w:suppressAutoHyphens w:val="0"/>
              <w:spacing w:before="80" w:after="80" w:line="200" w:lineRule="exact"/>
              <w:ind w:left="57" w:right="57"/>
              <w:rPr>
                <w:i/>
                <w:sz w:val="16"/>
                <w:szCs w:val="16"/>
              </w:rPr>
            </w:pPr>
            <w:r w:rsidRPr="002C5876">
              <w:rPr>
                <w:i/>
                <w:sz w:val="16"/>
                <w:szCs w:val="16"/>
              </w:rPr>
              <w:t>Unité</w:t>
            </w:r>
          </w:p>
        </w:tc>
        <w:tc>
          <w:tcPr>
            <w:tcW w:w="1003" w:type="dxa"/>
            <w:vMerge w:val="restart"/>
            <w:vAlign w:val="bottom"/>
            <w:hideMark/>
          </w:tcPr>
          <w:p w:rsidR="00E24DB7" w:rsidRPr="002C5876" w:rsidRDefault="00E24DB7" w:rsidP="00E24DB7">
            <w:pPr>
              <w:keepNext/>
              <w:suppressAutoHyphens w:val="0"/>
              <w:spacing w:before="80" w:after="80" w:line="200" w:lineRule="exact"/>
              <w:ind w:left="57" w:right="57"/>
              <w:rPr>
                <w:i/>
                <w:sz w:val="16"/>
                <w:szCs w:val="16"/>
              </w:rPr>
            </w:pPr>
            <w:r w:rsidRPr="002C5876">
              <w:rPr>
                <w:i/>
                <w:sz w:val="16"/>
                <w:szCs w:val="16"/>
              </w:rPr>
              <w:t>Base</w:t>
            </w:r>
          </w:p>
        </w:tc>
        <w:tc>
          <w:tcPr>
            <w:tcW w:w="2006" w:type="dxa"/>
            <w:gridSpan w:val="2"/>
            <w:hideMark/>
          </w:tcPr>
          <w:p w:rsidR="00E24DB7" w:rsidRPr="002C5876" w:rsidRDefault="00E24DB7" w:rsidP="00E24DB7">
            <w:pPr>
              <w:keepNext/>
              <w:suppressAutoHyphens w:val="0"/>
              <w:spacing w:before="80" w:after="80" w:line="200" w:lineRule="exact"/>
              <w:ind w:left="57" w:right="57"/>
              <w:jc w:val="center"/>
              <w:rPr>
                <w:i/>
                <w:sz w:val="16"/>
                <w:szCs w:val="16"/>
              </w:rPr>
            </w:pPr>
            <w:r w:rsidRPr="002C5876">
              <w:rPr>
                <w:i/>
                <w:sz w:val="16"/>
                <w:szCs w:val="16"/>
              </w:rPr>
              <w:t>Limites</w:t>
            </w:r>
          </w:p>
        </w:tc>
        <w:tc>
          <w:tcPr>
            <w:tcW w:w="1429" w:type="dxa"/>
            <w:vMerge w:val="restart"/>
            <w:vAlign w:val="bottom"/>
            <w:hideMark/>
          </w:tcPr>
          <w:p w:rsidR="00E24DB7" w:rsidRPr="002C5876" w:rsidRDefault="00E24DB7" w:rsidP="00E24DB7">
            <w:pPr>
              <w:keepNext/>
              <w:suppressAutoHyphens w:val="0"/>
              <w:spacing w:before="80" w:after="80" w:line="200" w:lineRule="exact"/>
              <w:ind w:left="57" w:right="57"/>
              <w:rPr>
                <w:i/>
                <w:sz w:val="16"/>
                <w:szCs w:val="16"/>
              </w:rPr>
            </w:pPr>
            <w:r w:rsidRPr="002C5876">
              <w:rPr>
                <w:i/>
                <w:sz w:val="16"/>
                <w:szCs w:val="16"/>
              </w:rPr>
              <w:t>Méthode d’essai</w:t>
            </w:r>
          </w:p>
        </w:tc>
      </w:tr>
      <w:tr w:rsidR="00E24DB7" w:rsidRPr="002C5876" w:rsidTr="00E24DB7">
        <w:trPr>
          <w:tblHeader/>
        </w:trPr>
        <w:tc>
          <w:tcPr>
            <w:tcW w:w="1924" w:type="dxa"/>
            <w:vMerge/>
            <w:tcBorders>
              <w:bottom w:val="single" w:sz="12" w:space="0" w:color="auto"/>
            </w:tcBorders>
            <w:vAlign w:val="center"/>
            <w:hideMark/>
          </w:tcPr>
          <w:p w:rsidR="00E24DB7" w:rsidRPr="002C5876" w:rsidRDefault="00E24DB7" w:rsidP="00E24DB7">
            <w:pPr>
              <w:keepNext/>
              <w:suppressAutoHyphens w:val="0"/>
              <w:spacing w:before="80" w:after="80" w:line="200" w:lineRule="exact"/>
              <w:ind w:left="57" w:right="57"/>
              <w:rPr>
                <w:i/>
                <w:sz w:val="18"/>
                <w:szCs w:val="18"/>
              </w:rPr>
            </w:pPr>
          </w:p>
        </w:tc>
        <w:tc>
          <w:tcPr>
            <w:tcW w:w="1003" w:type="dxa"/>
            <w:vMerge/>
            <w:tcBorders>
              <w:bottom w:val="single" w:sz="12" w:space="0" w:color="auto"/>
            </w:tcBorders>
            <w:vAlign w:val="center"/>
            <w:hideMark/>
          </w:tcPr>
          <w:p w:rsidR="00E24DB7" w:rsidRPr="002C5876" w:rsidRDefault="00E24DB7" w:rsidP="00E24DB7">
            <w:pPr>
              <w:keepNext/>
              <w:suppressAutoHyphens w:val="0"/>
              <w:spacing w:before="80" w:after="80" w:line="200" w:lineRule="exact"/>
              <w:ind w:left="57" w:right="57"/>
              <w:rPr>
                <w:i/>
                <w:sz w:val="18"/>
                <w:szCs w:val="18"/>
              </w:rPr>
            </w:pPr>
          </w:p>
        </w:tc>
        <w:tc>
          <w:tcPr>
            <w:tcW w:w="1003" w:type="dxa"/>
            <w:vMerge/>
            <w:tcBorders>
              <w:bottom w:val="single" w:sz="12" w:space="0" w:color="auto"/>
            </w:tcBorders>
            <w:vAlign w:val="center"/>
            <w:hideMark/>
          </w:tcPr>
          <w:p w:rsidR="00E24DB7" w:rsidRPr="002C5876" w:rsidRDefault="00E24DB7" w:rsidP="00E24DB7">
            <w:pPr>
              <w:keepNext/>
              <w:suppressAutoHyphens w:val="0"/>
              <w:spacing w:before="80" w:after="80" w:line="200" w:lineRule="exact"/>
              <w:ind w:left="57" w:right="57"/>
              <w:rPr>
                <w:i/>
                <w:sz w:val="18"/>
                <w:szCs w:val="18"/>
              </w:rPr>
            </w:pPr>
          </w:p>
        </w:tc>
        <w:tc>
          <w:tcPr>
            <w:tcW w:w="1003" w:type="dxa"/>
            <w:tcBorders>
              <w:bottom w:val="single" w:sz="12" w:space="0" w:color="auto"/>
            </w:tcBorders>
            <w:vAlign w:val="bottom"/>
            <w:hideMark/>
          </w:tcPr>
          <w:p w:rsidR="00E24DB7" w:rsidRPr="002C5876" w:rsidRDefault="00E24DB7" w:rsidP="00E24DB7">
            <w:pPr>
              <w:keepNext/>
              <w:suppressAutoHyphens w:val="0"/>
              <w:spacing w:before="80" w:after="80" w:line="200" w:lineRule="exact"/>
              <w:ind w:left="57" w:right="57"/>
              <w:rPr>
                <w:i/>
                <w:sz w:val="16"/>
                <w:szCs w:val="16"/>
              </w:rPr>
            </w:pPr>
            <w:r w:rsidRPr="002C5876">
              <w:rPr>
                <w:i/>
                <w:sz w:val="16"/>
                <w:szCs w:val="16"/>
              </w:rPr>
              <w:t>Minimale</w:t>
            </w:r>
          </w:p>
        </w:tc>
        <w:tc>
          <w:tcPr>
            <w:tcW w:w="1003" w:type="dxa"/>
            <w:tcBorders>
              <w:bottom w:val="single" w:sz="12" w:space="0" w:color="auto"/>
            </w:tcBorders>
            <w:vAlign w:val="bottom"/>
            <w:hideMark/>
          </w:tcPr>
          <w:p w:rsidR="00E24DB7" w:rsidRPr="002C5876" w:rsidRDefault="00E24DB7" w:rsidP="00E24DB7">
            <w:pPr>
              <w:keepNext/>
              <w:suppressAutoHyphens w:val="0"/>
              <w:spacing w:before="80" w:after="80" w:line="200" w:lineRule="exact"/>
              <w:ind w:left="57" w:right="57"/>
              <w:rPr>
                <w:i/>
                <w:sz w:val="16"/>
                <w:szCs w:val="16"/>
              </w:rPr>
            </w:pPr>
            <w:r w:rsidRPr="002C5876">
              <w:rPr>
                <w:i/>
                <w:sz w:val="16"/>
                <w:szCs w:val="16"/>
              </w:rPr>
              <w:t>Maximale</w:t>
            </w:r>
          </w:p>
        </w:tc>
        <w:tc>
          <w:tcPr>
            <w:tcW w:w="1429" w:type="dxa"/>
            <w:vMerge/>
            <w:tcBorders>
              <w:bottom w:val="single" w:sz="12" w:space="0" w:color="auto"/>
            </w:tcBorders>
            <w:vAlign w:val="center"/>
            <w:hideMark/>
          </w:tcPr>
          <w:p w:rsidR="00E24DB7" w:rsidRPr="002C5876" w:rsidRDefault="00E24DB7" w:rsidP="00E24DB7">
            <w:pPr>
              <w:keepNext/>
              <w:suppressAutoHyphens w:val="0"/>
              <w:spacing w:before="80" w:after="80" w:line="200" w:lineRule="exact"/>
              <w:ind w:left="57" w:right="57"/>
              <w:rPr>
                <w:i/>
                <w:sz w:val="18"/>
                <w:szCs w:val="18"/>
              </w:rPr>
            </w:pPr>
          </w:p>
        </w:tc>
      </w:tr>
      <w:tr w:rsidR="00E24DB7" w:rsidRPr="002C5876" w:rsidTr="00E24DB7">
        <w:tc>
          <w:tcPr>
            <w:tcW w:w="1924" w:type="dxa"/>
            <w:tcBorders>
              <w:top w:val="single" w:sz="12" w:space="0" w:color="auto"/>
              <w:bottom w:val="single" w:sz="4" w:space="0" w:color="auto"/>
            </w:tcBorders>
            <w:hideMark/>
          </w:tcPr>
          <w:p w:rsidR="00E24DB7" w:rsidRPr="002C5876" w:rsidRDefault="00E24DB7" w:rsidP="00E24DB7">
            <w:pPr>
              <w:keepNext/>
              <w:suppressAutoHyphens w:val="0"/>
              <w:spacing w:before="60" w:after="60" w:line="220" w:lineRule="atLeast"/>
              <w:ind w:left="57" w:right="57"/>
              <w:rPr>
                <w:sz w:val="18"/>
                <w:szCs w:val="18"/>
              </w:rPr>
            </w:pPr>
            <w:r w:rsidRPr="002C5876">
              <w:rPr>
                <w:sz w:val="18"/>
                <w:szCs w:val="18"/>
              </w:rPr>
              <w:t>Composition :</w:t>
            </w:r>
          </w:p>
        </w:tc>
        <w:tc>
          <w:tcPr>
            <w:tcW w:w="1003" w:type="dxa"/>
            <w:tcBorders>
              <w:top w:val="single" w:sz="12" w:space="0" w:color="auto"/>
              <w:bottom w:val="single" w:sz="4" w:space="0" w:color="auto"/>
            </w:tcBorders>
          </w:tcPr>
          <w:p w:rsidR="00E24DB7" w:rsidRPr="002C5876" w:rsidRDefault="00E24DB7" w:rsidP="00E24DB7">
            <w:pPr>
              <w:keepNext/>
              <w:suppressAutoHyphens w:val="0"/>
              <w:spacing w:before="60" w:after="60" w:line="220" w:lineRule="atLeast"/>
              <w:ind w:left="57" w:right="57"/>
              <w:rPr>
                <w:sz w:val="18"/>
                <w:szCs w:val="18"/>
              </w:rPr>
            </w:pPr>
          </w:p>
        </w:tc>
        <w:tc>
          <w:tcPr>
            <w:tcW w:w="1003" w:type="dxa"/>
            <w:tcBorders>
              <w:top w:val="single" w:sz="12" w:space="0" w:color="auto"/>
              <w:bottom w:val="single" w:sz="4" w:space="0" w:color="auto"/>
            </w:tcBorders>
          </w:tcPr>
          <w:p w:rsidR="00E24DB7" w:rsidRPr="002C5876" w:rsidRDefault="00E24DB7" w:rsidP="00E24DB7">
            <w:pPr>
              <w:keepNext/>
              <w:suppressAutoHyphens w:val="0"/>
              <w:spacing w:before="60" w:after="60" w:line="220" w:lineRule="atLeast"/>
              <w:ind w:left="57" w:right="57"/>
              <w:rPr>
                <w:sz w:val="18"/>
                <w:szCs w:val="18"/>
              </w:rPr>
            </w:pPr>
          </w:p>
        </w:tc>
        <w:tc>
          <w:tcPr>
            <w:tcW w:w="1003" w:type="dxa"/>
            <w:tcBorders>
              <w:top w:val="single" w:sz="12" w:space="0" w:color="auto"/>
              <w:bottom w:val="single" w:sz="4" w:space="0" w:color="auto"/>
            </w:tcBorders>
          </w:tcPr>
          <w:p w:rsidR="00E24DB7" w:rsidRPr="002C5876" w:rsidRDefault="00E24DB7" w:rsidP="00E24DB7">
            <w:pPr>
              <w:keepNext/>
              <w:suppressAutoHyphens w:val="0"/>
              <w:spacing w:before="60" w:after="60" w:line="220" w:lineRule="atLeast"/>
              <w:ind w:left="57" w:right="57"/>
              <w:rPr>
                <w:sz w:val="18"/>
                <w:szCs w:val="18"/>
              </w:rPr>
            </w:pPr>
          </w:p>
        </w:tc>
        <w:tc>
          <w:tcPr>
            <w:tcW w:w="1003" w:type="dxa"/>
            <w:tcBorders>
              <w:top w:val="single" w:sz="12" w:space="0" w:color="auto"/>
              <w:bottom w:val="single" w:sz="4" w:space="0" w:color="auto"/>
            </w:tcBorders>
          </w:tcPr>
          <w:p w:rsidR="00E24DB7" w:rsidRPr="002C5876" w:rsidRDefault="00E24DB7" w:rsidP="00E24DB7">
            <w:pPr>
              <w:keepNext/>
              <w:suppressAutoHyphens w:val="0"/>
              <w:spacing w:before="60" w:after="60" w:line="220" w:lineRule="atLeast"/>
              <w:ind w:left="57" w:right="57"/>
              <w:rPr>
                <w:sz w:val="18"/>
                <w:szCs w:val="18"/>
              </w:rPr>
            </w:pPr>
          </w:p>
        </w:tc>
        <w:tc>
          <w:tcPr>
            <w:tcW w:w="1429" w:type="dxa"/>
            <w:tcBorders>
              <w:top w:val="single" w:sz="12" w:space="0" w:color="auto"/>
              <w:bottom w:val="single" w:sz="4" w:space="0" w:color="auto"/>
            </w:tcBorders>
          </w:tcPr>
          <w:p w:rsidR="00E24DB7" w:rsidRPr="002C5876" w:rsidRDefault="00E24DB7" w:rsidP="00E24DB7">
            <w:pPr>
              <w:keepNext/>
              <w:suppressAutoHyphens w:val="0"/>
              <w:spacing w:before="60" w:after="60" w:line="220" w:lineRule="atLeast"/>
              <w:ind w:left="57" w:right="57"/>
              <w:rPr>
                <w:sz w:val="18"/>
                <w:szCs w:val="18"/>
              </w:rPr>
            </w:pPr>
          </w:p>
        </w:tc>
      </w:tr>
      <w:tr w:rsidR="00E24DB7" w:rsidRPr="002C5876" w:rsidTr="00E24DB7">
        <w:tc>
          <w:tcPr>
            <w:tcW w:w="1924" w:type="dxa"/>
            <w:tcBorders>
              <w:top w:val="single" w:sz="4" w:space="0" w:color="auto"/>
            </w:tcBorders>
            <w:hideMark/>
          </w:tcPr>
          <w:p w:rsidR="00E24DB7" w:rsidRPr="002C5876" w:rsidRDefault="00E24DB7" w:rsidP="00E24DB7">
            <w:pPr>
              <w:keepNext/>
              <w:suppressAutoHyphens w:val="0"/>
              <w:spacing w:before="60" w:after="60" w:line="220" w:lineRule="atLeast"/>
              <w:ind w:left="57" w:right="57"/>
              <w:rPr>
                <w:sz w:val="18"/>
                <w:szCs w:val="18"/>
              </w:rPr>
            </w:pPr>
            <w:r w:rsidRPr="002C5876">
              <w:rPr>
                <w:sz w:val="18"/>
                <w:szCs w:val="18"/>
              </w:rPr>
              <w:t>Méthane</w:t>
            </w:r>
          </w:p>
        </w:tc>
        <w:tc>
          <w:tcPr>
            <w:tcW w:w="1003" w:type="dxa"/>
            <w:tcBorders>
              <w:top w:val="single" w:sz="4" w:space="0" w:color="auto"/>
            </w:tcBorders>
            <w:hideMark/>
          </w:tcPr>
          <w:p w:rsidR="00E24DB7" w:rsidRPr="002C5876" w:rsidRDefault="00E24DB7" w:rsidP="00E24DB7">
            <w:pPr>
              <w:keepNext/>
              <w:suppressAutoHyphens w:val="0"/>
              <w:spacing w:before="60" w:after="60" w:line="220" w:lineRule="atLeast"/>
              <w:ind w:left="57" w:right="57"/>
              <w:rPr>
                <w:sz w:val="18"/>
                <w:szCs w:val="18"/>
              </w:rPr>
            </w:pPr>
            <w:r w:rsidRPr="002C5876">
              <w:rPr>
                <w:sz w:val="18"/>
                <w:szCs w:val="18"/>
              </w:rPr>
              <w:t>% mol</w:t>
            </w:r>
          </w:p>
        </w:tc>
        <w:tc>
          <w:tcPr>
            <w:tcW w:w="1003" w:type="dxa"/>
            <w:tcBorders>
              <w:top w:val="single" w:sz="4" w:space="0" w:color="auto"/>
            </w:tcBorders>
            <w:hideMark/>
          </w:tcPr>
          <w:p w:rsidR="00E24DB7" w:rsidRPr="002C5876" w:rsidRDefault="00E24DB7" w:rsidP="00E24DB7">
            <w:pPr>
              <w:keepNext/>
              <w:suppressAutoHyphens w:val="0"/>
              <w:spacing w:before="60" w:after="60" w:line="220" w:lineRule="atLeast"/>
              <w:ind w:left="57" w:right="57"/>
              <w:rPr>
                <w:sz w:val="18"/>
                <w:szCs w:val="18"/>
              </w:rPr>
            </w:pPr>
            <w:r w:rsidRPr="002C5876">
              <w:rPr>
                <w:sz w:val="18"/>
                <w:szCs w:val="18"/>
              </w:rPr>
              <w:t>86</w:t>
            </w:r>
          </w:p>
        </w:tc>
        <w:tc>
          <w:tcPr>
            <w:tcW w:w="1003" w:type="dxa"/>
            <w:tcBorders>
              <w:top w:val="single" w:sz="4" w:space="0" w:color="auto"/>
            </w:tcBorders>
            <w:hideMark/>
          </w:tcPr>
          <w:p w:rsidR="00E24DB7" w:rsidRPr="002C5876" w:rsidRDefault="00E24DB7" w:rsidP="00E24DB7">
            <w:pPr>
              <w:keepNext/>
              <w:suppressAutoHyphens w:val="0"/>
              <w:spacing w:before="60" w:after="60" w:line="220" w:lineRule="atLeast"/>
              <w:ind w:left="57" w:right="57"/>
              <w:rPr>
                <w:sz w:val="18"/>
                <w:szCs w:val="18"/>
              </w:rPr>
            </w:pPr>
            <w:r w:rsidRPr="002C5876">
              <w:rPr>
                <w:sz w:val="18"/>
                <w:szCs w:val="18"/>
              </w:rPr>
              <w:t>84</w:t>
            </w:r>
          </w:p>
        </w:tc>
        <w:tc>
          <w:tcPr>
            <w:tcW w:w="1003" w:type="dxa"/>
            <w:tcBorders>
              <w:top w:val="single" w:sz="4" w:space="0" w:color="auto"/>
            </w:tcBorders>
            <w:hideMark/>
          </w:tcPr>
          <w:p w:rsidR="00E24DB7" w:rsidRPr="002C5876" w:rsidRDefault="00E24DB7" w:rsidP="00E24DB7">
            <w:pPr>
              <w:keepNext/>
              <w:suppressAutoHyphens w:val="0"/>
              <w:spacing w:before="60" w:after="60" w:line="220" w:lineRule="atLeast"/>
              <w:ind w:left="57" w:right="57"/>
              <w:rPr>
                <w:sz w:val="18"/>
                <w:szCs w:val="18"/>
              </w:rPr>
            </w:pPr>
            <w:r w:rsidRPr="002C5876">
              <w:rPr>
                <w:sz w:val="18"/>
                <w:szCs w:val="18"/>
              </w:rPr>
              <w:t>88</w:t>
            </w:r>
          </w:p>
        </w:tc>
        <w:tc>
          <w:tcPr>
            <w:tcW w:w="1429" w:type="dxa"/>
            <w:tcBorders>
              <w:top w:val="single" w:sz="4" w:space="0" w:color="auto"/>
            </w:tcBorders>
            <w:hideMark/>
          </w:tcPr>
          <w:p w:rsidR="00E24DB7" w:rsidRPr="002C5876" w:rsidRDefault="00E24DB7" w:rsidP="00E24DB7">
            <w:pPr>
              <w:keepNext/>
              <w:suppressAutoHyphens w:val="0"/>
              <w:spacing w:before="60" w:after="60" w:line="220" w:lineRule="atLeast"/>
              <w:ind w:left="57" w:right="57"/>
              <w:rPr>
                <w:sz w:val="18"/>
                <w:szCs w:val="18"/>
              </w:rPr>
            </w:pPr>
            <w:r w:rsidRPr="002C5876">
              <w:rPr>
                <w:sz w:val="18"/>
                <w:szCs w:val="18"/>
              </w:rPr>
              <w:t>ISO 6974</w:t>
            </w:r>
          </w:p>
        </w:tc>
      </w:tr>
      <w:tr w:rsidR="00E24DB7" w:rsidRPr="002C5876" w:rsidTr="00E24DB7">
        <w:tc>
          <w:tcPr>
            <w:tcW w:w="1924" w:type="dxa"/>
            <w:hideMark/>
          </w:tcPr>
          <w:p w:rsidR="00E24DB7" w:rsidRPr="002C5876" w:rsidRDefault="00E24DB7" w:rsidP="00E24DB7">
            <w:pPr>
              <w:keepNext/>
              <w:suppressAutoHyphens w:val="0"/>
              <w:spacing w:before="60" w:after="60" w:line="220" w:lineRule="atLeast"/>
              <w:ind w:left="57" w:right="57"/>
              <w:rPr>
                <w:sz w:val="18"/>
                <w:szCs w:val="18"/>
              </w:rPr>
            </w:pPr>
            <w:r w:rsidRPr="002C5876">
              <w:rPr>
                <w:sz w:val="18"/>
                <w:szCs w:val="18"/>
              </w:rPr>
              <w:t>Autres</w:t>
            </w:r>
            <w:r w:rsidRPr="002C5876">
              <w:rPr>
                <w:i/>
                <w:sz w:val="18"/>
                <w:szCs w:val="18"/>
                <w:vertAlign w:val="superscript"/>
              </w:rPr>
              <w:t>1</w:t>
            </w:r>
          </w:p>
        </w:tc>
        <w:tc>
          <w:tcPr>
            <w:tcW w:w="1003" w:type="dxa"/>
            <w:hideMark/>
          </w:tcPr>
          <w:p w:rsidR="00E24DB7" w:rsidRPr="002C5876" w:rsidRDefault="00E24DB7" w:rsidP="00E24DB7">
            <w:pPr>
              <w:keepNext/>
              <w:suppressAutoHyphens w:val="0"/>
              <w:spacing w:before="60" w:after="60" w:line="220" w:lineRule="atLeast"/>
              <w:ind w:left="57" w:right="57"/>
              <w:rPr>
                <w:sz w:val="18"/>
                <w:szCs w:val="18"/>
              </w:rPr>
            </w:pPr>
            <w:r w:rsidRPr="002C5876">
              <w:rPr>
                <w:sz w:val="18"/>
                <w:szCs w:val="18"/>
              </w:rPr>
              <w:t>% mol</w:t>
            </w:r>
          </w:p>
        </w:tc>
        <w:tc>
          <w:tcPr>
            <w:tcW w:w="1003" w:type="dxa"/>
            <w:hideMark/>
          </w:tcPr>
          <w:p w:rsidR="00E24DB7" w:rsidRPr="002C5876" w:rsidRDefault="00E24DB7" w:rsidP="00E24DB7">
            <w:pPr>
              <w:keepNext/>
              <w:suppressAutoHyphens w:val="0"/>
              <w:spacing w:before="60" w:after="60" w:line="220" w:lineRule="atLeast"/>
              <w:ind w:left="57" w:right="57"/>
              <w:rPr>
                <w:sz w:val="18"/>
                <w:szCs w:val="18"/>
              </w:rPr>
            </w:pPr>
            <w:r w:rsidRPr="002C5876">
              <w:rPr>
                <w:sz w:val="18"/>
                <w:szCs w:val="18"/>
              </w:rPr>
              <w:t>-</w:t>
            </w:r>
          </w:p>
        </w:tc>
        <w:tc>
          <w:tcPr>
            <w:tcW w:w="1003" w:type="dxa"/>
            <w:hideMark/>
          </w:tcPr>
          <w:p w:rsidR="00E24DB7" w:rsidRPr="002C5876" w:rsidRDefault="00E24DB7" w:rsidP="00E24DB7">
            <w:pPr>
              <w:keepNext/>
              <w:suppressAutoHyphens w:val="0"/>
              <w:spacing w:before="60" w:after="60" w:line="220" w:lineRule="atLeast"/>
              <w:ind w:left="57" w:right="57"/>
              <w:rPr>
                <w:sz w:val="18"/>
                <w:szCs w:val="18"/>
              </w:rPr>
            </w:pPr>
            <w:r w:rsidRPr="002C5876">
              <w:rPr>
                <w:sz w:val="18"/>
                <w:szCs w:val="18"/>
              </w:rPr>
              <w:t>-</w:t>
            </w:r>
          </w:p>
        </w:tc>
        <w:tc>
          <w:tcPr>
            <w:tcW w:w="1003" w:type="dxa"/>
            <w:hideMark/>
          </w:tcPr>
          <w:p w:rsidR="00E24DB7" w:rsidRPr="002C5876" w:rsidRDefault="00E24DB7" w:rsidP="00E24DB7">
            <w:pPr>
              <w:keepNext/>
              <w:suppressAutoHyphens w:val="0"/>
              <w:spacing w:before="60" w:after="60" w:line="220" w:lineRule="atLeast"/>
              <w:ind w:left="57" w:right="57"/>
              <w:rPr>
                <w:sz w:val="18"/>
                <w:szCs w:val="18"/>
              </w:rPr>
            </w:pPr>
            <w:r w:rsidRPr="002C5876">
              <w:rPr>
                <w:sz w:val="18"/>
                <w:szCs w:val="18"/>
              </w:rPr>
              <w:t>1</w:t>
            </w:r>
          </w:p>
        </w:tc>
        <w:tc>
          <w:tcPr>
            <w:tcW w:w="1429" w:type="dxa"/>
            <w:hideMark/>
          </w:tcPr>
          <w:p w:rsidR="00E24DB7" w:rsidRPr="002C5876" w:rsidRDefault="00E24DB7" w:rsidP="00E24DB7">
            <w:pPr>
              <w:keepNext/>
              <w:suppressAutoHyphens w:val="0"/>
              <w:spacing w:before="60" w:after="60" w:line="220" w:lineRule="atLeast"/>
              <w:ind w:left="57" w:right="57"/>
              <w:rPr>
                <w:sz w:val="18"/>
                <w:szCs w:val="18"/>
              </w:rPr>
            </w:pPr>
            <w:r w:rsidRPr="002C5876">
              <w:rPr>
                <w:sz w:val="18"/>
                <w:szCs w:val="18"/>
              </w:rPr>
              <w:t>ISO 6974</w:t>
            </w:r>
          </w:p>
        </w:tc>
      </w:tr>
      <w:tr w:rsidR="00E24DB7" w:rsidRPr="002C5876" w:rsidTr="00E24DB7">
        <w:tc>
          <w:tcPr>
            <w:tcW w:w="1924" w:type="dxa"/>
            <w:hideMark/>
          </w:tcPr>
          <w:p w:rsidR="00E24DB7" w:rsidRPr="002C5876" w:rsidRDefault="00E24DB7" w:rsidP="00E24DB7">
            <w:pPr>
              <w:keepNext/>
              <w:suppressAutoHyphens w:val="0"/>
              <w:spacing w:before="60" w:after="60" w:line="220" w:lineRule="atLeast"/>
              <w:ind w:left="57" w:right="57"/>
              <w:rPr>
                <w:sz w:val="18"/>
                <w:szCs w:val="18"/>
              </w:rPr>
            </w:pPr>
            <w:r w:rsidRPr="002C5876">
              <w:rPr>
                <w:sz w:val="18"/>
                <w:szCs w:val="18"/>
              </w:rPr>
              <w:t>N</w:t>
            </w:r>
            <w:r w:rsidRPr="002C5876">
              <w:rPr>
                <w:sz w:val="18"/>
                <w:szCs w:val="18"/>
                <w:vertAlign w:val="subscript"/>
              </w:rPr>
              <w:t>2</w:t>
            </w:r>
          </w:p>
        </w:tc>
        <w:tc>
          <w:tcPr>
            <w:tcW w:w="1003" w:type="dxa"/>
            <w:hideMark/>
          </w:tcPr>
          <w:p w:rsidR="00E24DB7" w:rsidRPr="002C5876" w:rsidRDefault="00E24DB7" w:rsidP="00E24DB7">
            <w:pPr>
              <w:keepNext/>
              <w:suppressAutoHyphens w:val="0"/>
              <w:spacing w:before="60" w:after="60" w:line="220" w:lineRule="atLeast"/>
              <w:ind w:left="57" w:right="57"/>
              <w:rPr>
                <w:sz w:val="18"/>
                <w:szCs w:val="18"/>
              </w:rPr>
            </w:pPr>
            <w:r w:rsidRPr="002C5876">
              <w:rPr>
                <w:sz w:val="18"/>
                <w:szCs w:val="18"/>
              </w:rPr>
              <w:t>% mol</w:t>
            </w:r>
          </w:p>
        </w:tc>
        <w:tc>
          <w:tcPr>
            <w:tcW w:w="1003" w:type="dxa"/>
            <w:hideMark/>
          </w:tcPr>
          <w:p w:rsidR="00E24DB7" w:rsidRPr="002C5876" w:rsidRDefault="00E24DB7" w:rsidP="00E24DB7">
            <w:pPr>
              <w:keepNext/>
              <w:suppressAutoHyphens w:val="0"/>
              <w:spacing w:before="60" w:after="60" w:line="220" w:lineRule="atLeast"/>
              <w:ind w:left="57" w:right="57"/>
              <w:rPr>
                <w:sz w:val="18"/>
                <w:szCs w:val="18"/>
              </w:rPr>
            </w:pPr>
            <w:r w:rsidRPr="002C5876">
              <w:rPr>
                <w:sz w:val="18"/>
                <w:szCs w:val="18"/>
              </w:rPr>
              <w:t>14</w:t>
            </w:r>
          </w:p>
        </w:tc>
        <w:tc>
          <w:tcPr>
            <w:tcW w:w="1003" w:type="dxa"/>
            <w:hideMark/>
          </w:tcPr>
          <w:p w:rsidR="00E24DB7" w:rsidRPr="002C5876" w:rsidRDefault="00E24DB7" w:rsidP="00E24DB7">
            <w:pPr>
              <w:keepNext/>
              <w:suppressAutoHyphens w:val="0"/>
              <w:spacing w:before="60" w:after="60" w:line="220" w:lineRule="atLeast"/>
              <w:ind w:left="57" w:right="57"/>
              <w:rPr>
                <w:sz w:val="18"/>
                <w:szCs w:val="18"/>
              </w:rPr>
            </w:pPr>
            <w:r w:rsidRPr="002C5876">
              <w:rPr>
                <w:sz w:val="18"/>
                <w:szCs w:val="18"/>
              </w:rPr>
              <w:t>12</w:t>
            </w:r>
          </w:p>
        </w:tc>
        <w:tc>
          <w:tcPr>
            <w:tcW w:w="1003" w:type="dxa"/>
            <w:hideMark/>
          </w:tcPr>
          <w:p w:rsidR="00E24DB7" w:rsidRPr="002C5876" w:rsidRDefault="00E24DB7" w:rsidP="00E24DB7">
            <w:pPr>
              <w:keepNext/>
              <w:suppressAutoHyphens w:val="0"/>
              <w:spacing w:before="60" w:after="60" w:line="220" w:lineRule="atLeast"/>
              <w:ind w:left="57" w:right="57"/>
              <w:rPr>
                <w:sz w:val="18"/>
                <w:szCs w:val="18"/>
              </w:rPr>
            </w:pPr>
            <w:r w:rsidRPr="002C5876">
              <w:rPr>
                <w:sz w:val="18"/>
                <w:szCs w:val="18"/>
              </w:rPr>
              <w:t>16</w:t>
            </w:r>
          </w:p>
        </w:tc>
        <w:tc>
          <w:tcPr>
            <w:tcW w:w="1429" w:type="dxa"/>
            <w:hideMark/>
          </w:tcPr>
          <w:p w:rsidR="00E24DB7" w:rsidRPr="002C5876" w:rsidRDefault="00E24DB7" w:rsidP="00E24DB7">
            <w:pPr>
              <w:keepNext/>
              <w:suppressAutoHyphens w:val="0"/>
              <w:spacing w:before="60" w:after="60" w:line="220" w:lineRule="atLeast"/>
              <w:ind w:left="57" w:right="57"/>
              <w:rPr>
                <w:sz w:val="18"/>
                <w:szCs w:val="18"/>
              </w:rPr>
            </w:pPr>
            <w:r w:rsidRPr="002C5876">
              <w:rPr>
                <w:sz w:val="18"/>
                <w:szCs w:val="18"/>
              </w:rPr>
              <w:t>ISO 6974</w:t>
            </w:r>
          </w:p>
        </w:tc>
      </w:tr>
      <w:tr w:rsidR="00E24DB7" w:rsidRPr="002C5876" w:rsidTr="00E24DB7">
        <w:tc>
          <w:tcPr>
            <w:tcW w:w="1924" w:type="dxa"/>
            <w:hideMark/>
          </w:tcPr>
          <w:p w:rsidR="00E24DB7" w:rsidRPr="002C5876" w:rsidRDefault="00E24DB7" w:rsidP="00E24DB7">
            <w:pPr>
              <w:keepNext/>
              <w:suppressAutoHyphens w:val="0"/>
              <w:spacing w:before="60" w:after="60" w:line="220" w:lineRule="atLeast"/>
              <w:ind w:left="57" w:right="57"/>
              <w:rPr>
                <w:sz w:val="18"/>
                <w:szCs w:val="18"/>
              </w:rPr>
            </w:pPr>
            <w:r w:rsidRPr="002C5876">
              <w:rPr>
                <w:sz w:val="18"/>
                <w:szCs w:val="18"/>
              </w:rPr>
              <w:t>Teneur en soufre</w:t>
            </w:r>
          </w:p>
        </w:tc>
        <w:tc>
          <w:tcPr>
            <w:tcW w:w="1003" w:type="dxa"/>
            <w:hideMark/>
          </w:tcPr>
          <w:p w:rsidR="00E24DB7" w:rsidRPr="002C5876" w:rsidRDefault="00E24DB7" w:rsidP="00E24DB7">
            <w:pPr>
              <w:keepNext/>
              <w:suppressAutoHyphens w:val="0"/>
              <w:spacing w:before="60" w:after="60" w:line="220" w:lineRule="atLeast"/>
              <w:ind w:left="57" w:right="57"/>
              <w:rPr>
                <w:sz w:val="18"/>
                <w:szCs w:val="18"/>
              </w:rPr>
            </w:pPr>
            <w:r w:rsidRPr="002C5876">
              <w:rPr>
                <w:sz w:val="18"/>
                <w:szCs w:val="18"/>
              </w:rPr>
              <w:t>mg/m</w:t>
            </w:r>
            <w:r w:rsidRPr="002C5876">
              <w:rPr>
                <w:sz w:val="18"/>
                <w:szCs w:val="18"/>
                <w:vertAlign w:val="superscript"/>
              </w:rPr>
              <w:t>3</w:t>
            </w:r>
            <w:r w:rsidRPr="002C5876">
              <w:rPr>
                <w:i/>
                <w:sz w:val="18"/>
                <w:szCs w:val="18"/>
                <w:vertAlign w:val="superscript"/>
              </w:rPr>
              <w:t>2</w:t>
            </w:r>
          </w:p>
        </w:tc>
        <w:tc>
          <w:tcPr>
            <w:tcW w:w="1003" w:type="dxa"/>
            <w:hideMark/>
          </w:tcPr>
          <w:p w:rsidR="00E24DB7" w:rsidRPr="002C5876" w:rsidRDefault="00E24DB7" w:rsidP="00E24DB7">
            <w:pPr>
              <w:keepNext/>
              <w:suppressAutoHyphens w:val="0"/>
              <w:spacing w:before="60" w:after="60" w:line="220" w:lineRule="atLeast"/>
              <w:ind w:left="57" w:right="57"/>
              <w:rPr>
                <w:sz w:val="18"/>
                <w:szCs w:val="18"/>
              </w:rPr>
            </w:pPr>
            <w:r w:rsidRPr="002C5876">
              <w:rPr>
                <w:sz w:val="18"/>
                <w:szCs w:val="18"/>
              </w:rPr>
              <w:t>-</w:t>
            </w:r>
          </w:p>
        </w:tc>
        <w:tc>
          <w:tcPr>
            <w:tcW w:w="1003" w:type="dxa"/>
            <w:hideMark/>
          </w:tcPr>
          <w:p w:rsidR="00E24DB7" w:rsidRPr="002C5876" w:rsidRDefault="00E24DB7" w:rsidP="00E24DB7">
            <w:pPr>
              <w:keepNext/>
              <w:suppressAutoHyphens w:val="0"/>
              <w:spacing w:before="60" w:after="60" w:line="220" w:lineRule="atLeast"/>
              <w:ind w:left="57" w:right="57"/>
              <w:rPr>
                <w:sz w:val="18"/>
                <w:szCs w:val="18"/>
              </w:rPr>
            </w:pPr>
            <w:r w:rsidRPr="002C5876">
              <w:rPr>
                <w:sz w:val="18"/>
                <w:szCs w:val="18"/>
              </w:rPr>
              <w:t>-</w:t>
            </w:r>
          </w:p>
        </w:tc>
        <w:tc>
          <w:tcPr>
            <w:tcW w:w="1003" w:type="dxa"/>
            <w:hideMark/>
          </w:tcPr>
          <w:p w:rsidR="00E24DB7" w:rsidRPr="002C5876" w:rsidRDefault="00E24DB7" w:rsidP="00E24DB7">
            <w:pPr>
              <w:keepNext/>
              <w:suppressAutoHyphens w:val="0"/>
              <w:spacing w:before="60" w:after="60" w:line="220" w:lineRule="atLeast"/>
              <w:ind w:left="57" w:right="57"/>
              <w:rPr>
                <w:sz w:val="18"/>
                <w:szCs w:val="18"/>
              </w:rPr>
            </w:pPr>
            <w:r w:rsidRPr="002C5876">
              <w:rPr>
                <w:sz w:val="18"/>
                <w:szCs w:val="18"/>
              </w:rPr>
              <w:t>10</w:t>
            </w:r>
          </w:p>
        </w:tc>
        <w:tc>
          <w:tcPr>
            <w:tcW w:w="1429" w:type="dxa"/>
            <w:hideMark/>
          </w:tcPr>
          <w:p w:rsidR="00E24DB7" w:rsidRPr="002C5876" w:rsidRDefault="00E24DB7" w:rsidP="00E24DB7">
            <w:pPr>
              <w:keepNext/>
              <w:suppressAutoHyphens w:val="0"/>
              <w:spacing w:before="60" w:after="60" w:line="220" w:lineRule="atLeast"/>
              <w:ind w:left="57" w:right="57"/>
              <w:rPr>
                <w:sz w:val="18"/>
                <w:szCs w:val="18"/>
              </w:rPr>
            </w:pPr>
            <w:r w:rsidRPr="002C5876">
              <w:rPr>
                <w:sz w:val="18"/>
                <w:szCs w:val="18"/>
              </w:rPr>
              <w:t>ISO 6326-5</w:t>
            </w:r>
          </w:p>
        </w:tc>
      </w:tr>
      <w:tr w:rsidR="00E24DB7" w:rsidRPr="002C5876" w:rsidTr="00E24DB7">
        <w:tc>
          <w:tcPr>
            <w:tcW w:w="1924" w:type="dxa"/>
            <w:hideMark/>
          </w:tcPr>
          <w:p w:rsidR="00E24DB7" w:rsidRPr="002C5876" w:rsidRDefault="00E24DB7" w:rsidP="00E24DB7">
            <w:pPr>
              <w:keepNext/>
              <w:suppressAutoHyphens w:val="0"/>
              <w:spacing w:before="60" w:after="60" w:line="220" w:lineRule="atLeast"/>
              <w:ind w:left="57" w:right="57"/>
              <w:rPr>
                <w:sz w:val="18"/>
                <w:szCs w:val="18"/>
              </w:rPr>
            </w:pPr>
            <w:r w:rsidRPr="002C5876">
              <w:rPr>
                <w:sz w:val="18"/>
                <w:szCs w:val="18"/>
              </w:rPr>
              <w:t>Indice de Wobbe (net)</w:t>
            </w:r>
          </w:p>
        </w:tc>
        <w:tc>
          <w:tcPr>
            <w:tcW w:w="1003" w:type="dxa"/>
            <w:hideMark/>
          </w:tcPr>
          <w:p w:rsidR="00E24DB7" w:rsidRPr="002C5876" w:rsidRDefault="00E24DB7" w:rsidP="00E24DB7">
            <w:pPr>
              <w:keepNext/>
              <w:suppressAutoHyphens w:val="0"/>
              <w:spacing w:before="60" w:after="60" w:line="220" w:lineRule="atLeast"/>
              <w:ind w:left="57" w:right="57"/>
              <w:rPr>
                <w:sz w:val="18"/>
                <w:szCs w:val="18"/>
              </w:rPr>
            </w:pPr>
            <w:r w:rsidRPr="002C5876">
              <w:rPr>
                <w:sz w:val="18"/>
                <w:szCs w:val="18"/>
              </w:rPr>
              <w:t>MJ/m</w:t>
            </w:r>
            <w:r w:rsidRPr="002C5876">
              <w:rPr>
                <w:sz w:val="18"/>
                <w:szCs w:val="18"/>
                <w:vertAlign w:val="superscript"/>
              </w:rPr>
              <w:t>3</w:t>
            </w:r>
            <w:r w:rsidRPr="002C5876">
              <w:rPr>
                <w:i/>
                <w:sz w:val="18"/>
                <w:szCs w:val="18"/>
                <w:vertAlign w:val="superscript"/>
              </w:rPr>
              <w:t>3</w:t>
            </w:r>
          </w:p>
        </w:tc>
        <w:tc>
          <w:tcPr>
            <w:tcW w:w="1003" w:type="dxa"/>
            <w:hideMark/>
          </w:tcPr>
          <w:p w:rsidR="00E24DB7" w:rsidRPr="002C5876" w:rsidRDefault="00E24DB7" w:rsidP="00E24DB7">
            <w:pPr>
              <w:keepNext/>
              <w:suppressAutoHyphens w:val="0"/>
              <w:spacing w:before="60" w:after="60" w:line="220" w:lineRule="atLeast"/>
              <w:ind w:left="57" w:right="57"/>
              <w:rPr>
                <w:sz w:val="18"/>
                <w:szCs w:val="18"/>
              </w:rPr>
            </w:pPr>
            <w:r w:rsidRPr="002C5876">
              <w:rPr>
                <w:sz w:val="18"/>
                <w:szCs w:val="18"/>
              </w:rPr>
              <w:t>39,4</w:t>
            </w:r>
          </w:p>
        </w:tc>
        <w:tc>
          <w:tcPr>
            <w:tcW w:w="1003" w:type="dxa"/>
            <w:hideMark/>
          </w:tcPr>
          <w:p w:rsidR="00E24DB7" w:rsidRPr="002C5876" w:rsidRDefault="00E24DB7" w:rsidP="00E24DB7">
            <w:pPr>
              <w:keepNext/>
              <w:suppressAutoHyphens w:val="0"/>
              <w:spacing w:before="60" w:after="60" w:line="220" w:lineRule="atLeast"/>
              <w:ind w:left="57" w:right="57"/>
              <w:rPr>
                <w:sz w:val="18"/>
                <w:szCs w:val="18"/>
              </w:rPr>
            </w:pPr>
            <w:r w:rsidRPr="002C5876">
              <w:rPr>
                <w:sz w:val="18"/>
                <w:szCs w:val="18"/>
              </w:rPr>
              <w:t>38,2</w:t>
            </w:r>
          </w:p>
        </w:tc>
        <w:tc>
          <w:tcPr>
            <w:tcW w:w="1003" w:type="dxa"/>
            <w:hideMark/>
          </w:tcPr>
          <w:p w:rsidR="00E24DB7" w:rsidRPr="002C5876" w:rsidRDefault="00E24DB7" w:rsidP="00E24DB7">
            <w:pPr>
              <w:keepNext/>
              <w:suppressAutoHyphens w:val="0"/>
              <w:spacing w:before="60" w:after="60" w:line="220" w:lineRule="atLeast"/>
              <w:ind w:left="57" w:right="57"/>
              <w:rPr>
                <w:sz w:val="18"/>
                <w:szCs w:val="18"/>
              </w:rPr>
            </w:pPr>
            <w:r w:rsidRPr="002C5876">
              <w:rPr>
                <w:sz w:val="18"/>
                <w:szCs w:val="18"/>
              </w:rPr>
              <w:t>40,6</w:t>
            </w:r>
          </w:p>
        </w:tc>
        <w:tc>
          <w:tcPr>
            <w:tcW w:w="1429" w:type="dxa"/>
          </w:tcPr>
          <w:p w:rsidR="00E24DB7" w:rsidRPr="002C5876" w:rsidRDefault="00E24DB7" w:rsidP="00E24DB7">
            <w:pPr>
              <w:keepNext/>
              <w:suppressAutoHyphens w:val="0"/>
              <w:spacing w:before="60" w:after="60" w:line="220" w:lineRule="atLeast"/>
              <w:ind w:left="57" w:right="57"/>
              <w:rPr>
                <w:sz w:val="18"/>
                <w:szCs w:val="18"/>
              </w:rPr>
            </w:pPr>
          </w:p>
        </w:tc>
      </w:tr>
    </w:tbl>
    <w:p w:rsidR="00E24DB7" w:rsidRPr="002C5876" w:rsidRDefault="00E24DB7" w:rsidP="00E24DB7">
      <w:pPr>
        <w:spacing w:before="120"/>
        <w:ind w:firstLine="170"/>
        <w:rPr>
          <w:sz w:val="18"/>
          <w:szCs w:val="18"/>
        </w:rPr>
      </w:pPr>
      <w:r w:rsidRPr="002C5876">
        <w:rPr>
          <w:i/>
          <w:sz w:val="18"/>
          <w:szCs w:val="18"/>
          <w:vertAlign w:val="superscript"/>
        </w:rPr>
        <w:t>1</w:t>
      </w:r>
      <w:r w:rsidRPr="002C5876">
        <w:rPr>
          <w:i/>
          <w:sz w:val="18"/>
          <w:szCs w:val="18"/>
        </w:rPr>
        <w:t xml:space="preserve">  </w:t>
      </w:r>
      <w:r w:rsidRPr="002C5876">
        <w:rPr>
          <w:sz w:val="18"/>
          <w:szCs w:val="18"/>
        </w:rPr>
        <w:t>Inertes (autres que N</w:t>
      </w:r>
      <w:r w:rsidRPr="002C5876">
        <w:rPr>
          <w:sz w:val="18"/>
          <w:szCs w:val="18"/>
          <w:vertAlign w:val="subscript"/>
        </w:rPr>
        <w:t>2</w:t>
      </w:r>
      <w:r w:rsidRPr="002C5876">
        <w:rPr>
          <w:sz w:val="18"/>
          <w:szCs w:val="18"/>
        </w:rPr>
        <w:t>) + C2 + C2+.</w:t>
      </w:r>
    </w:p>
    <w:p w:rsidR="00E24DB7" w:rsidRPr="002C5876" w:rsidRDefault="00E24DB7" w:rsidP="00E24DB7">
      <w:pPr>
        <w:ind w:firstLine="170"/>
        <w:rPr>
          <w:sz w:val="18"/>
          <w:szCs w:val="18"/>
        </w:rPr>
      </w:pPr>
      <w:r w:rsidRPr="002C5876">
        <w:rPr>
          <w:i/>
          <w:sz w:val="18"/>
          <w:szCs w:val="18"/>
          <w:vertAlign w:val="superscript"/>
        </w:rPr>
        <w:t>2</w:t>
      </w:r>
      <w:r w:rsidRPr="002C5876">
        <w:rPr>
          <w:sz w:val="18"/>
          <w:szCs w:val="18"/>
        </w:rPr>
        <w:t xml:space="preserve">  Valeur à déterminer à 293,15 K (20 °C) et 101,325 kPa.</w:t>
      </w:r>
    </w:p>
    <w:p w:rsidR="00E24DB7" w:rsidRPr="002C5876" w:rsidRDefault="00E24DB7" w:rsidP="00E24DB7">
      <w:pPr>
        <w:spacing w:after="120"/>
        <w:ind w:firstLine="170"/>
        <w:rPr>
          <w:sz w:val="18"/>
          <w:szCs w:val="18"/>
        </w:rPr>
      </w:pPr>
      <w:r w:rsidRPr="002C5876">
        <w:rPr>
          <w:i/>
          <w:sz w:val="18"/>
          <w:szCs w:val="18"/>
          <w:vertAlign w:val="superscript"/>
        </w:rPr>
        <w:t>3</w:t>
      </w:r>
      <w:r w:rsidRPr="002C5876">
        <w:rPr>
          <w:sz w:val="18"/>
          <w:szCs w:val="18"/>
        </w:rPr>
        <w:t xml:space="preserve">  Valeur à déterminer à 273,15 K (0 °C) et 101,325 kPa.</w:t>
      </w:r>
    </w:p>
    <w:p w:rsidR="00E24DB7" w:rsidRPr="002C5876" w:rsidRDefault="00E24DB7" w:rsidP="00E24DB7">
      <w:pPr>
        <w:pStyle w:val="SingleTxtG"/>
        <w:spacing w:before="240"/>
        <w:ind w:left="2268" w:hanging="1134"/>
      </w:pPr>
      <w:r w:rsidRPr="002C5876">
        <w:t>4.2.4</w:t>
      </w:r>
      <w:r w:rsidRPr="002C5876">
        <w:tab/>
      </w:r>
      <w:r w:rsidRPr="002C5876">
        <w:tab/>
        <w:t>« Gaz J » (méthane 85 % (nominal))</w:t>
      </w:r>
    </w:p>
    <w:p w:rsidR="00E24DB7" w:rsidRPr="002C5876" w:rsidRDefault="00E24DB7" w:rsidP="00E24DB7">
      <w:pPr>
        <w:pStyle w:val="H23G"/>
        <w:ind w:left="0" w:firstLine="0"/>
      </w:pPr>
      <w:r w:rsidRPr="002C5876">
        <w:rPr>
          <w:b w:val="0"/>
        </w:rPr>
        <w:t>Tableau A3/12</w:t>
      </w:r>
      <w:r w:rsidRPr="002C5876">
        <w:t xml:space="preserve"> </w:t>
      </w:r>
      <w:r w:rsidRPr="002C5876">
        <w:br/>
        <w:t>« Gaz J » (méthane 85 % (nominal))</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558"/>
        <w:gridCol w:w="1823"/>
        <w:gridCol w:w="1458"/>
        <w:gridCol w:w="1800"/>
      </w:tblGrid>
      <w:tr w:rsidR="00E24DB7" w:rsidRPr="002C5876" w:rsidTr="00E24DB7">
        <w:trPr>
          <w:tblHeader/>
        </w:trPr>
        <w:tc>
          <w:tcPr>
            <w:tcW w:w="3483" w:type="dxa"/>
            <w:vMerge w:val="restart"/>
            <w:tcBorders>
              <w:top w:val="single" w:sz="4" w:space="0" w:color="auto"/>
              <w:left w:val="single" w:sz="4" w:space="0" w:color="auto"/>
              <w:bottom w:val="single" w:sz="4"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Caractéristique</w:t>
            </w:r>
          </w:p>
        </w:tc>
        <w:tc>
          <w:tcPr>
            <w:tcW w:w="1393" w:type="dxa"/>
            <w:vMerge w:val="restart"/>
            <w:tcBorders>
              <w:top w:val="single" w:sz="4" w:space="0" w:color="auto"/>
              <w:left w:val="single" w:sz="4" w:space="0" w:color="auto"/>
              <w:bottom w:val="single" w:sz="4"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Unité</w:t>
            </w:r>
          </w:p>
        </w:tc>
        <w:tc>
          <w:tcPr>
            <w:tcW w:w="2489"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80" w:after="80" w:line="200" w:lineRule="exact"/>
              <w:ind w:left="57" w:right="57"/>
              <w:jc w:val="center"/>
              <w:rPr>
                <w:i/>
                <w:sz w:val="16"/>
                <w:szCs w:val="16"/>
              </w:rPr>
            </w:pPr>
            <w:r w:rsidRPr="002C5876">
              <w:rPr>
                <w:i/>
                <w:sz w:val="16"/>
                <w:szCs w:val="16"/>
              </w:rPr>
              <w:t>Limites</w:t>
            </w:r>
          </w:p>
        </w:tc>
      </w:tr>
      <w:tr w:rsidR="00E24DB7" w:rsidRPr="002C5876" w:rsidTr="00E24DB7">
        <w:trPr>
          <w:tblHeader/>
        </w:trPr>
        <w:tc>
          <w:tcPr>
            <w:tcW w:w="3483" w:type="dxa"/>
            <w:vMerge/>
            <w:tcBorders>
              <w:top w:val="single" w:sz="4" w:space="0" w:color="auto"/>
              <w:left w:val="single" w:sz="4" w:space="0" w:color="auto"/>
              <w:bottom w:val="single" w:sz="12" w:space="0" w:color="auto"/>
              <w:right w:val="single" w:sz="4" w:space="0" w:color="auto"/>
            </w:tcBorders>
            <w:vAlign w:val="center"/>
            <w:hideMark/>
          </w:tcPr>
          <w:p w:rsidR="00E24DB7" w:rsidRPr="002C5876" w:rsidRDefault="00E24DB7" w:rsidP="00E24DB7">
            <w:pPr>
              <w:suppressAutoHyphens w:val="0"/>
              <w:spacing w:before="80" w:after="80" w:line="200" w:lineRule="exact"/>
              <w:ind w:left="57" w:right="57"/>
              <w:rPr>
                <w:i/>
                <w:sz w:val="16"/>
                <w:szCs w:val="16"/>
              </w:rPr>
            </w:pPr>
          </w:p>
        </w:tc>
        <w:tc>
          <w:tcPr>
            <w:tcW w:w="1393" w:type="dxa"/>
            <w:vMerge/>
            <w:tcBorders>
              <w:top w:val="single" w:sz="4" w:space="0" w:color="auto"/>
              <w:left w:val="single" w:sz="4" w:space="0" w:color="auto"/>
              <w:bottom w:val="single" w:sz="12" w:space="0" w:color="auto"/>
              <w:right w:val="single" w:sz="4" w:space="0" w:color="auto"/>
            </w:tcBorders>
            <w:vAlign w:val="center"/>
            <w:hideMark/>
          </w:tcPr>
          <w:p w:rsidR="00E24DB7" w:rsidRPr="002C5876" w:rsidRDefault="00E24DB7" w:rsidP="00E24DB7">
            <w:pPr>
              <w:suppressAutoHyphens w:val="0"/>
              <w:spacing w:before="80" w:after="80" w:line="200" w:lineRule="exact"/>
              <w:ind w:left="57" w:right="57"/>
              <w:rPr>
                <w:i/>
                <w:sz w:val="16"/>
                <w:szCs w:val="16"/>
              </w:rPr>
            </w:pPr>
          </w:p>
        </w:tc>
        <w:tc>
          <w:tcPr>
            <w:tcW w:w="1114" w:type="dxa"/>
            <w:tcBorders>
              <w:top w:val="single" w:sz="4" w:space="0" w:color="auto"/>
              <w:left w:val="single" w:sz="4" w:space="0" w:color="auto"/>
              <w:bottom w:val="single" w:sz="12"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Minimale</w:t>
            </w:r>
          </w:p>
        </w:tc>
        <w:tc>
          <w:tcPr>
            <w:tcW w:w="1375" w:type="dxa"/>
            <w:tcBorders>
              <w:top w:val="single" w:sz="4" w:space="0" w:color="auto"/>
              <w:left w:val="single" w:sz="4" w:space="0" w:color="auto"/>
              <w:bottom w:val="single" w:sz="12"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Maximale</w:t>
            </w:r>
          </w:p>
        </w:tc>
      </w:tr>
      <w:tr w:rsidR="00E24DB7" w:rsidRPr="002C5876" w:rsidTr="00E24DB7">
        <w:tc>
          <w:tcPr>
            <w:tcW w:w="3483"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Méthane </w:t>
            </w:r>
          </w:p>
        </w:tc>
        <w:tc>
          <w:tcPr>
            <w:tcW w:w="1393"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mol</w:t>
            </w:r>
          </w:p>
        </w:tc>
        <w:tc>
          <w:tcPr>
            <w:tcW w:w="1114"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85</w:t>
            </w:r>
          </w:p>
        </w:tc>
        <w:tc>
          <w:tcPr>
            <w:tcW w:w="1375" w:type="dxa"/>
            <w:tcBorders>
              <w:top w:val="single" w:sz="12"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r>
      <w:tr w:rsidR="00E24DB7" w:rsidRPr="002C5876" w:rsidTr="00E24DB7">
        <w:tc>
          <w:tcPr>
            <w:tcW w:w="348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Éthane</w:t>
            </w:r>
          </w:p>
        </w:tc>
        <w:tc>
          <w:tcPr>
            <w:tcW w:w="139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mol</w:t>
            </w:r>
          </w:p>
        </w:tc>
        <w:tc>
          <w:tcPr>
            <w:tcW w:w="1114"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75"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10</w:t>
            </w:r>
          </w:p>
        </w:tc>
      </w:tr>
      <w:tr w:rsidR="00E24DB7" w:rsidRPr="002C5876" w:rsidTr="00E24DB7">
        <w:tc>
          <w:tcPr>
            <w:tcW w:w="348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Propane</w:t>
            </w:r>
          </w:p>
        </w:tc>
        <w:tc>
          <w:tcPr>
            <w:tcW w:w="139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mol</w:t>
            </w:r>
          </w:p>
        </w:tc>
        <w:tc>
          <w:tcPr>
            <w:tcW w:w="1114"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75"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6</w:t>
            </w:r>
          </w:p>
        </w:tc>
      </w:tr>
      <w:tr w:rsidR="00E24DB7" w:rsidRPr="002C5876" w:rsidTr="00E24DB7">
        <w:tc>
          <w:tcPr>
            <w:tcW w:w="348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Butane</w:t>
            </w:r>
          </w:p>
        </w:tc>
        <w:tc>
          <w:tcPr>
            <w:tcW w:w="139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mol</w:t>
            </w:r>
          </w:p>
        </w:tc>
        <w:tc>
          <w:tcPr>
            <w:tcW w:w="1114"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75"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4</w:t>
            </w:r>
          </w:p>
        </w:tc>
      </w:tr>
      <w:tr w:rsidR="00E24DB7" w:rsidRPr="002C5876" w:rsidTr="00E24DB7">
        <w:tc>
          <w:tcPr>
            <w:tcW w:w="348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HC de C</w:t>
            </w:r>
            <w:r w:rsidRPr="002C5876">
              <w:rPr>
                <w:sz w:val="18"/>
                <w:szCs w:val="18"/>
                <w:vertAlign w:val="subscript"/>
              </w:rPr>
              <w:t>3</w:t>
            </w:r>
            <w:r w:rsidRPr="002C5876">
              <w:rPr>
                <w:sz w:val="18"/>
                <w:szCs w:val="18"/>
              </w:rPr>
              <w:t> + C</w:t>
            </w:r>
            <w:r w:rsidRPr="002C5876">
              <w:rPr>
                <w:sz w:val="18"/>
                <w:szCs w:val="18"/>
                <w:vertAlign w:val="subscript"/>
              </w:rPr>
              <w:t>4</w:t>
            </w:r>
          </w:p>
        </w:tc>
        <w:tc>
          <w:tcPr>
            <w:tcW w:w="139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mol</w:t>
            </w:r>
          </w:p>
        </w:tc>
        <w:tc>
          <w:tcPr>
            <w:tcW w:w="1114"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75"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8</w:t>
            </w:r>
          </w:p>
        </w:tc>
      </w:tr>
      <w:tr w:rsidR="00E24DB7" w:rsidRPr="002C5876" w:rsidTr="00E24DB7">
        <w:tc>
          <w:tcPr>
            <w:tcW w:w="348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HC de C</w:t>
            </w:r>
            <w:r w:rsidRPr="002C5876">
              <w:rPr>
                <w:sz w:val="18"/>
                <w:szCs w:val="18"/>
                <w:vertAlign w:val="subscript"/>
              </w:rPr>
              <w:t>5</w:t>
            </w:r>
            <w:r w:rsidRPr="002C5876">
              <w:rPr>
                <w:sz w:val="18"/>
                <w:szCs w:val="18"/>
              </w:rPr>
              <w:t xml:space="preserve"> ou plus</w:t>
            </w:r>
          </w:p>
        </w:tc>
        <w:tc>
          <w:tcPr>
            <w:tcW w:w="139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mol</w:t>
            </w:r>
          </w:p>
        </w:tc>
        <w:tc>
          <w:tcPr>
            <w:tcW w:w="1114"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75"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0,1</w:t>
            </w:r>
          </w:p>
        </w:tc>
      </w:tr>
      <w:tr w:rsidR="00E24DB7" w:rsidRPr="002C5876" w:rsidTr="00E24DB7">
        <w:tc>
          <w:tcPr>
            <w:tcW w:w="348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Autres gaz (H</w:t>
            </w:r>
            <w:r w:rsidRPr="002C5876">
              <w:rPr>
                <w:sz w:val="18"/>
                <w:szCs w:val="18"/>
                <w:vertAlign w:val="subscript"/>
              </w:rPr>
              <w:t>2</w:t>
            </w:r>
            <w:r w:rsidRPr="002C5876">
              <w:rPr>
                <w:sz w:val="18"/>
                <w:szCs w:val="18"/>
              </w:rPr>
              <w:t> + O</w:t>
            </w:r>
            <w:r w:rsidRPr="002C5876">
              <w:rPr>
                <w:sz w:val="18"/>
                <w:szCs w:val="18"/>
                <w:vertAlign w:val="subscript"/>
              </w:rPr>
              <w:t>2</w:t>
            </w:r>
            <w:r w:rsidRPr="002C5876">
              <w:rPr>
                <w:sz w:val="18"/>
                <w:szCs w:val="18"/>
              </w:rPr>
              <w:t> +N</w:t>
            </w:r>
            <w:r w:rsidRPr="002C5876">
              <w:rPr>
                <w:sz w:val="18"/>
                <w:szCs w:val="18"/>
                <w:vertAlign w:val="subscript"/>
              </w:rPr>
              <w:t>2</w:t>
            </w:r>
            <w:r w:rsidRPr="002C5876">
              <w:rPr>
                <w:sz w:val="18"/>
                <w:szCs w:val="18"/>
              </w:rPr>
              <w:t> + CO + CO</w:t>
            </w:r>
            <w:r w:rsidRPr="002C5876">
              <w:rPr>
                <w:sz w:val="18"/>
                <w:szCs w:val="18"/>
                <w:vertAlign w:val="subscript"/>
              </w:rPr>
              <w:t>2</w:t>
            </w:r>
            <w:r w:rsidRPr="002C5876">
              <w:rPr>
                <w:sz w:val="18"/>
                <w:szCs w:val="18"/>
              </w:rPr>
              <w:t>)</w:t>
            </w:r>
          </w:p>
        </w:tc>
        <w:tc>
          <w:tcPr>
            <w:tcW w:w="139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mol</w:t>
            </w:r>
          </w:p>
        </w:tc>
        <w:tc>
          <w:tcPr>
            <w:tcW w:w="1114"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75"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1,0</w:t>
            </w:r>
          </w:p>
        </w:tc>
      </w:tr>
      <w:tr w:rsidR="00E24DB7" w:rsidRPr="002C5876" w:rsidTr="00E24DB7">
        <w:tc>
          <w:tcPr>
            <w:tcW w:w="348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Teneur en soufre</w:t>
            </w:r>
          </w:p>
        </w:tc>
        <w:tc>
          <w:tcPr>
            <w:tcW w:w="139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mg/Nm</w:t>
            </w:r>
            <w:r w:rsidRPr="002C5876">
              <w:rPr>
                <w:sz w:val="18"/>
                <w:szCs w:val="18"/>
                <w:vertAlign w:val="superscript"/>
              </w:rPr>
              <w:t>3</w:t>
            </w:r>
          </w:p>
        </w:tc>
        <w:tc>
          <w:tcPr>
            <w:tcW w:w="1114"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75"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10</w:t>
            </w:r>
          </w:p>
        </w:tc>
      </w:tr>
      <w:tr w:rsidR="00E24DB7" w:rsidRPr="002C5876" w:rsidTr="00E24DB7">
        <w:tc>
          <w:tcPr>
            <w:tcW w:w="348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Indice de Wobbe </w:t>
            </w:r>
          </w:p>
        </w:tc>
        <w:tc>
          <w:tcPr>
            <w:tcW w:w="139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w:t>
            </w:r>
          </w:p>
        </w:tc>
        <w:tc>
          <w:tcPr>
            <w:tcW w:w="111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13,260</w:t>
            </w:r>
          </w:p>
        </w:tc>
        <w:tc>
          <w:tcPr>
            <w:tcW w:w="1375"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13,730</w:t>
            </w:r>
          </w:p>
        </w:tc>
      </w:tr>
      <w:tr w:rsidR="00E24DB7" w:rsidRPr="002C5876" w:rsidTr="00E24DB7">
        <w:tc>
          <w:tcPr>
            <w:tcW w:w="348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Pouvoir calorifique supérieur</w:t>
            </w:r>
          </w:p>
        </w:tc>
        <w:tc>
          <w:tcPr>
            <w:tcW w:w="139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kcal/Nm</w:t>
            </w:r>
            <w:r w:rsidRPr="002C5876">
              <w:rPr>
                <w:sz w:val="18"/>
                <w:szCs w:val="18"/>
                <w:vertAlign w:val="superscript"/>
              </w:rPr>
              <w:t>3</w:t>
            </w:r>
          </w:p>
        </w:tc>
        <w:tc>
          <w:tcPr>
            <w:tcW w:w="111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10,410</w:t>
            </w:r>
          </w:p>
        </w:tc>
        <w:tc>
          <w:tcPr>
            <w:tcW w:w="1375"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11,050</w:t>
            </w:r>
          </w:p>
        </w:tc>
      </w:tr>
      <w:tr w:rsidR="00E24DB7" w:rsidRPr="002C5876" w:rsidTr="00E24DB7">
        <w:tc>
          <w:tcPr>
            <w:tcW w:w="3483"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Vitesse maximale de combustion</w:t>
            </w:r>
          </w:p>
        </w:tc>
        <w:tc>
          <w:tcPr>
            <w:tcW w:w="1393"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MCP</w:t>
            </w:r>
          </w:p>
        </w:tc>
        <w:tc>
          <w:tcPr>
            <w:tcW w:w="1114"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36,8</w:t>
            </w:r>
          </w:p>
        </w:tc>
        <w:tc>
          <w:tcPr>
            <w:tcW w:w="1375"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37,5</w:t>
            </w:r>
          </w:p>
        </w:tc>
      </w:tr>
    </w:tbl>
    <w:p w:rsidR="00E24DB7" w:rsidRPr="002C5876" w:rsidRDefault="00E24DB7" w:rsidP="00E24DB7">
      <w:pPr>
        <w:pStyle w:val="SingleTxtG"/>
        <w:keepNext/>
        <w:ind w:left="2268" w:hanging="1134"/>
      </w:pPr>
      <w:r w:rsidRPr="002C5876">
        <w:lastRenderedPageBreak/>
        <w:t>4.2.5</w:t>
      </w:r>
      <w:r w:rsidRPr="002C5876">
        <w:tab/>
      </w:r>
      <w:r w:rsidRPr="002C5876">
        <w:tab/>
        <w:t>Hydrogène</w:t>
      </w:r>
    </w:p>
    <w:p w:rsidR="00E24DB7" w:rsidRPr="002C5876" w:rsidRDefault="00E24DB7" w:rsidP="00E24DB7">
      <w:pPr>
        <w:pStyle w:val="H23G"/>
        <w:ind w:left="0" w:firstLine="0"/>
      </w:pPr>
      <w:r w:rsidRPr="002C5876">
        <w:rPr>
          <w:b w:val="0"/>
        </w:rPr>
        <w:t>Tableau A3/13</w:t>
      </w:r>
      <w:r w:rsidRPr="002C5876">
        <w:t xml:space="preserve"> </w:t>
      </w:r>
      <w:r w:rsidRPr="002C5876">
        <w:br/>
        <w:t>Hydrogène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24"/>
        <w:gridCol w:w="1417"/>
        <w:gridCol w:w="1134"/>
        <w:gridCol w:w="1133"/>
        <w:gridCol w:w="2831"/>
      </w:tblGrid>
      <w:tr w:rsidR="00E24DB7" w:rsidRPr="002C5876" w:rsidTr="00E24DB7">
        <w:trPr>
          <w:trHeight w:val="20"/>
        </w:trPr>
        <w:tc>
          <w:tcPr>
            <w:tcW w:w="3124" w:type="dxa"/>
            <w:vMerge w:val="restart"/>
            <w:tcBorders>
              <w:top w:val="single" w:sz="4" w:space="0" w:color="auto"/>
              <w:left w:val="single" w:sz="4" w:space="0" w:color="auto"/>
              <w:bottom w:val="single" w:sz="12" w:space="0" w:color="auto"/>
              <w:right w:val="single" w:sz="4" w:space="0" w:color="auto"/>
            </w:tcBorders>
            <w:vAlign w:val="bottom"/>
            <w:hideMark/>
          </w:tcPr>
          <w:p w:rsidR="00E24DB7" w:rsidRPr="002C5876" w:rsidRDefault="00E24DB7" w:rsidP="00E24DB7">
            <w:pPr>
              <w:keepNext/>
              <w:suppressAutoHyphens w:val="0"/>
              <w:spacing w:before="80" w:after="80" w:line="200" w:lineRule="exact"/>
              <w:ind w:left="57" w:right="57"/>
              <w:rPr>
                <w:i/>
                <w:sz w:val="16"/>
                <w:szCs w:val="16"/>
              </w:rPr>
            </w:pPr>
            <w:r w:rsidRPr="002C5876">
              <w:rPr>
                <w:i/>
                <w:sz w:val="16"/>
                <w:szCs w:val="16"/>
              </w:rPr>
              <w:t>Caractéristique</w:t>
            </w:r>
          </w:p>
        </w:tc>
        <w:tc>
          <w:tcPr>
            <w:tcW w:w="1417" w:type="dxa"/>
            <w:vMerge w:val="restart"/>
            <w:tcBorders>
              <w:top w:val="single" w:sz="4" w:space="0" w:color="auto"/>
              <w:left w:val="single" w:sz="4" w:space="0" w:color="auto"/>
              <w:bottom w:val="single" w:sz="12" w:space="0" w:color="auto"/>
              <w:right w:val="single" w:sz="4" w:space="0" w:color="auto"/>
            </w:tcBorders>
            <w:vAlign w:val="bottom"/>
            <w:hideMark/>
          </w:tcPr>
          <w:p w:rsidR="00E24DB7" w:rsidRPr="002C5876" w:rsidRDefault="00E24DB7" w:rsidP="00E24DB7">
            <w:pPr>
              <w:keepNext/>
              <w:suppressAutoHyphens w:val="0"/>
              <w:spacing w:before="80" w:after="80" w:line="200" w:lineRule="exact"/>
              <w:ind w:left="57" w:right="57"/>
              <w:rPr>
                <w:i/>
                <w:sz w:val="16"/>
                <w:szCs w:val="16"/>
              </w:rPr>
            </w:pPr>
            <w:r w:rsidRPr="002C5876">
              <w:rPr>
                <w:i/>
                <w:sz w:val="16"/>
                <w:szCs w:val="16"/>
              </w:rPr>
              <w:t>Unité</w:t>
            </w:r>
          </w:p>
        </w:tc>
        <w:tc>
          <w:tcPr>
            <w:tcW w:w="2267"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keepNext/>
              <w:suppressAutoHyphens w:val="0"/>
              <w:spacing w:before="80" w:after="80" w:line="200" w:lineRule="exact"/>
              <w:ind w:left="57" w:right="57"/>
              <w:jc w:val="center"/>
              <w:rPr>
                <w:i/>
                <w:sz w:val="16"/>
                <w:szCs w:val="16"/>
              </w:rPr>
            </w:pPr>
            <w:r w:rsidRPr="002C5876">
              <w:rPr>
                <w:i/>
                <w:sz w:val="16"/>
                <w:szCs w:val="16"/>
              </w:rPr>
              <w:t>Limites</w:t>
            </w:r>
          </w:p>
        </w:tc>
        <w:tc>
          <w:tcPr>
            <w:tcW w:w="2831" w:type="dxa"/>
            <w:vMerge w:val="restart"/>
            <w:tcBorders>
              <w:top w:val="single" w:sz="4" w:space="0" w:color="auto"/>
              <w:left w:val="single" w:sz="4" w:space="0" w:color="auto"/>
              <w:bottom w:val="single" w:sz="12" w:space="0" w:color="auto"/>
              <w:right w:val="single" w:sz="4" w:space="0" w:color="auto"/>
            </w:tcBorders>
            <w:vAlign w:val="bottom"/>
            <w:hideMark/>
          </w:tcPr>
          <w:p w:rsidR="00E24DB7" w:rsidRPr="002C5876" w:rsidRDefault="00E24DB7" w:rsidP="00E24DB7">
            <w:pPr>
              <w:keepNext/>
              <w:suppressAutoHyphens w:val="0"/>
              <w:spacing w:before="80" w:after="80" w:line="200" w:lineRule="exact"/>
              <w:ind w:left="57" w:right="57"/>
              <w:rPr>
                <w:i/>
                <w:sz w:val="16"/>
                <w:szCs w:val="16"/>
              </w:rPr>
            </w:pPr>
            <w:r w:rsidRPr="002C5876">
              <w:rPr>
                <w:i/>
                <w:sz w:val="16"/>
                <w:szCs w:val="16"/>
              </w:rPr>
              <w:t>Méthode d’essai</w:t>
            </w:r>
          </w:p>
        </w:tc>
      </w:tr>
      <w:tr w:rsidR="00E24DB7" w:rsidRPr="002C5876" w:rsidTr="00E24DB7">
        <w:trPr>
          <w:trHeight w:val="20"/>
        </w:trPr>
        <w:tc>
          <w:tcPr>
            <w:tcW w:w="3124" w:type="dxa"/>
            <w:vMerge/>
            <w:tcBorders>
              <w:top w:val="single" w:sz="12" w:space="0" w:color="auto"/>
              <w:left w:val="single" w:sz="4" w:space="0" w:color="auto"/>
              <w:bottom w:val="single" w:sz="12" w:space="0" w:color="auto"/>
              <w:right w:val="single" w:sz="4" w:space="0" w:color="auto"/>
            </w:tcBorders>
            <w:vAlign w:val="center"/>
            <w:hideMark/>
          </w:tcPr>
          <w:p w:rsidR="00E24DB7" w:rsidRPr="002C5876" w:rsidRDefault="00E24DB7" w:rsidP="00E24DB7">
            <w:pPr>
              <w:keepNext/>
              <w:suppressAutoHyphens w:val="0"/>
              <w:spacing w:before="40" w:after="120" w:line="240" w:lineRule="auto"/>
              <w:ind w:left="57" w:right="57"/>
              <w:rPr>
                <w:i/>
                <w:sz w:val="18"/>
                <w:szCs w:val="18"/>
              </w:rPr>
            </w:pPr>
          </w:p>
        </w:tc>
        <w:tc>
          <w:tcPr>
            <w:tcW w:w="1417" w:type="dxa"/>
            <w:vMerge/>
            <w:tcBorders>
              <w:top w:val="single" w:sz="12" w:space="0" w:color="auto"/>
              <w:left w:val="single" w:sz="4" w:space="0" w:color="auto"/>
              <w:bottom w:val="single" w:sz="12" w:space="0" w:color="auto"/>
              <w:right w:val="single" w:sz="4" w:space="0" w:color="auto"/>
            </w:tcBorders>
            <w:vAlign w:val="center"/>
            <w:hideMark/>
          </w:tcPr>
          <w:p w:rsidR="00E24DB7" w:rsidRPr="002C5876" w:rsidRDefault="00E24DB7" w:rsidP="00E24DB7">
            <w:pPr>
              <w:keepNext/>
              <w:suppressAutoHyphens w:val="0"/>
              <w:spacing w:before="40" w:after="120" w:line="240" w:lineRule="auto"/>
              <w:ind w:left="57" w:right="57"/>
              <w:rPr>
                <w:i/>
                <w:sz w:val="18"/>
                <w:szCs w:val="18"/>
              </w:rPr>
            </w:pPr>
          </w:p>
        </w:tc>
        <w:tc>
          <w:tcPr>
            <w:tcW w:w="1134" w:type="dxa"/>
            <w:tcBorders>
              <w:top w:val="single" w:sz="4" w:space="0" w:color="auto"/>
              <w:left w:val="single" w:sz="4" w:space="0" w:color="auto"/>
              <w:bottom w:val="single" w:sz="12" w:space="0" w:color="auto"/>
              <w:right w:val="single" w:sz="4" w:space="0" w:color="auto"/>
            </w:tcBorders>
            <w:vAlign w:val="bottom"/>
            <w:hideMark/>
          </w:tcPr>
          <w:p w:rsidR="00E24DB7" w:rsidRPr="002C5876" w:rsidRDefault="00E24DB7" w:rsidP="00E24DB7">
            <w:pPr>
              <w:keepNext/>
              <w:suppressAutoHyphens w:val="0"/>
              <w:spacing w:before="80" w:after="80" w:line="200" w:lineRule="exact"/>
              <w:ind w:left="57" w:right="57"/>
              <w:jc w:val="right"/>
              <w:rPr>
                <w:i/>
                <w:sz w:val="16"/>
                <w:szCs w:val="16"/>
              </w:rPr>
            </w:pPr>
            <w:r w:rsidRPr="002C5876">
              <w:rPr>
                <w:i/>
                <w:sz w:val="16"/>
                <w:szCs w:val="16"/>
              </w:rPr>
              <w:t>Minimale</w:t>
            </w:r>
          </w:p>
        </w:tc>
        <w:tc>
          <w:tcPr>
            <w:tcW w:w="1133" w:type="dxa"/>
            <w:tcBorders>
              <w:top w:val="single" w:sz="4" w:space="0" w:color="auto"/>
              <w:left w:val="single" w:sz="4" w:space="0" w:color="auto"/>
              <w:bottom w:val="single" w:sz="12" w:space="0" w:color="auto"/>
              <w:right w:val="single" w:sz="4" w:space="0" w:color="auto"/>
            </w:tcBorders>
            <w:vAlign w:val="bottom"/>
            <w:hideMark/>
          </w:tcPr>
          <w:p w:rsidR="00E24DB7" w:rsidRPr="002C5876" w:rsidRDefault="00E24DB7" w:rsidP="00E24DB7">
            <w:pPr>
              <w:keepNext/>
              <w:suppressAutoHyphens w:val="0"/>
              <w:spacing w:before="80" w:after="80" w:line="200" w:lineRule="exact"/>
              <w:ind w:left="57" w:right="57"/>
              <w:jc w:val="right"/>
              <w:rPr>
                <w:i/>
                <w:sz w:val="16"/>
                <w:szCs w:val="16"/>
              </w:rPr>
            </w:pPr>
            <w:r w:rsidRPr="002C5876">
              <w:rPr>
                <w:i/>
                <w:sz w:val="16"/>
                <w:szCs w:val="16"/>
              </w:rPr>
              <w:t>Maximale</w:t>
            </w:r>
          </w:p>
        </w:tc>
        <w:tc>
          <w:tcPr>
            <w:tcW w:w="2831" w:type="dxa"/>
            <w:vMerge/>
            <w:tcBorders>
              <w:top w:val="single" w:sz="12" w:space="0" w:color="auto"/>
              <w:left w:val="single" w:sz="4" w:space="0" w:color="auto"/>
              <w:bottom w:val="single" w:sz="12" w:space="0" w:color="auto"/>
              <w:right w:val="single" w:sz="4" w:space="0" w:color="auto"/>
            </w:tcBorders>
            <w:vAlign w:val="center"/>
            <w:hideMark/>
          </w:tcPr>
          <w:p w:rsidR="00E24DB7" w:rsidRPr="002C5876" w:rsidRDefault="00E24DB7" w:rsidP="00E24DB7">
            <w:pPr>
              <w:keepNext/>
              <w:suppressAutoHyphens w:val="0"/>
              <w:spacing w:before="40" w:after="120" w:line="240" w:lineRule="auto"/>
              <w:ind w:left="57" w:right="57"/>
              <w:rPr>
                <w:i/>
                <w:sz w:val="18"/>
                <w:szCs w:val="18"/>
              </w:rPr>
            </w:pPr>
          </w:p>
        </w:tc>
      </w:tr>
      <w:tr w:rsidR="00E24DB7" w:rsidRPr="002C5876" w:rsidTr="00E24DB7">
        <w:trPr>
          <w:trHeight w:val="20"/>
        </w:trPr>
        <w:tc>
          <w:tcPr>
            <w:tcW w:w="3124"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keepNext/>
              <w:suppressAutoHyphens w:val="0"/>
              <w:spacing w:before="60" w:after="60" w:line="220" w:lineRule="exact"/>
              <w:ind w:left="57" w:right="57"/>
              <w:rPr>
                <w:sz w:val="18"/>
                <w:szCs w:val="18"/>
              </w:rPr>
            </w:pPr>
            <w:r w:rsidRPr="002C5876">
              <w:rPr>
                <w:sz w:val="18"/>
                <w:szCs w:val="18"/>
              </w:rPr>
              <w:t xml:space="preserve">Pureté de l’hydrogène </w:t>
            </w:r>
          </w:p>
        </w:tc>
        <w:tc>
          <w:tcPr>
            <w:tcW w:w="1417"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keepNext/>
              <w:suppressAutoHyphens w:val="0"/>
              <w:spacing w:before="60" w:after="60" w:line="220" w:lineRule="exact"/>
              <w:ind w:left="57" w:right="57"/>
              <w:rPr>
                <w:sz w:val="18"/>
                <w:szCs w:val="18"/>
              </w:rPr>
            </w:pPr>
            <w:r w:rsidRPr="002C5876">
              <w:rPr>
                <w:sz w:val="18"/>
                <w:szCs w:val="18"/>
              </w:rPr>
              <w:t>% mole</w:t>
            </w:r>
          </w:p>
        </w:tc>
        <w:tc>
          <w:tcPr>
            <w:tcW w:w="1134"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keepNext/>
              <w:suppressAutoHyphens w:val="0"/>
              <w:spacing w:before="60" w:after="60" w:line="220" w:lineRule="exact"/>
              <w:ind w:left="57" w:right="57"/>
              <w:jc w:val="right"/>
              <w:rPr>
                <w:sz w:val="18"/>
                <w:szCs w:val="18"/>
              </w:rPr>
            </w:pPr>
            <w:r w:rsidRPr="002C5876">
              <w:rPr>
                <w:sz w:val="18"/>
                <w:szCs w:val="18"/>
              </w:rPr>
              <w:t>98</w:t>
            </w:r>
          </w:p>
        </w:tc>
        <w:tc>
          <w:tcPr>
            <w:tcW w:w="1133"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keepNext/>
              <w:suppressAutoHyphens w:val="0"/>
              <w:spacing w:before="60" w:after="60" w:line="220" w:lineRule="exact"/>
              <w:ind w:left="57" w:right="57"/>
              <w:jc w:val="right"/>
              <w:rPr>
                <w:sz w:val="18"/>
                <w:szCs w:val="18"/>
              </w:rPr>
            </w:pPr>
            <w:r w:rsidRPr="002C5876">
              <w:rPr>
                <w:sz w:val="18"/>
                <w:szCs w:val="18"/>
              </w:rPr>
              <w:t>100</w:t>
            </w:r>
          </w:p>
        </w:tc>
        <w:tc>
          <w:tcPr>
            <w:tcW w:w="2831"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keepNext/>
              <w:suppressAutoHyphens w:val="0"/>
              <w:spacing w:before="60" w:after="60" w:line="220" w:lineRule="exact"/>
              <w:ind w:left="57" w:right="57"/>
              <w:rPr>
                <w:sz w:val="18"/>
                <w:szCs w:val="18"/>
              </w:rPr>
            </w:pPr>
            <w:r w:rsidRPr="002C5876">
              <w:rPr>
                <w:sz w:val="18"/>
                <w:szCs w:val="18"/>
              </w:rPr>
              <w:t>ISO 14687-1</w:t>
            </w:r>
          </w:p>
        </w:tc>
      </w:tr>
      <w:tr w:rsidR="00E24DB7" w:rsidRPr="002C5876" w:rsidTr="00E24DB7">
        <w:trPr>
          <w:trHeight w:val="20"/>
        </w:trPr>
        <w:tc>
          <w:tcPr>
            <w:tcW w:w="312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keepNext/>
              <w:suppressAutoHyphens w:val="0"/>
              <w:spacing w:before="60" w:after="60" w:line="220" w:lineRule="exact"/>
              <w:ind w:left="57" w:right="57"/>
              <w:rPr>
                <w:sz w:val="18"/>
                <w:szCs w:val="18"/>
              </w:rPr>
            </w:pPr>
            <w:r w:rsidRPr="002C5876">
              <w:rPr>
                <w:sz w:val="18"/>
                <w:szCs w:val="18"/>
              </w:rPr>
              <w:t xml:space="preserve">Hydrocarbures totaux </w:t>
            </w:r>
          </w:p>
        </w:tc>
        <w:tc>
          <w:tcPr>
            <w:tcW w:w="141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keepNext/>
              <w:suppressAutoHyphens w:val="0"/>
              <w:spacing w:before="60" w:after="60" w:line="220" w:lineRule="exact"/>
              <w:ind w:left="57" w:right="57"/>
              <w:rPr>
                <w:sz w:val="18"/>
                <w:szCs w:val="18"/>
              </w:rPr>
            </w:pPr>
            <w:r w:rsidRPr="002C5876">
              <w:rPr>
                <w:sz w:val="18"/>
                <w:szCs w:val="18"/>
              </w:rPr>
              <w:t>μmol/mol</w:t>
            </w:r>
          </w:p>
        </w:tc>
        <w:tc>
          <w:tcPr>
            <w:tcW w:w="113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keepNext/>
              <w:suppressAutoHyphens w:val="0"/>
              <w:spacing w:before="60" w:after="60" w:line="220" w:lineRule="exact"/>
              <w:ind w:left="57" w:right="57"/>
              <w:jc w:val="right"/>
              <w:rPr>
                <w:sz w:val="18"/>
                <w:szCs w:val="18"/>
              </w:rPr>
            </w:pPr>
            <w:r w:rsidRPr="002C5876">
              <w:rPr>
                <w:sz w:val="18"/>
                <w:szCs w:val="18"/>
              </w:rPr>
              <w:t>0</w:t>
            </w:r>
          </w:p>
        </w:tc>
        <w:tc>
          <w:tcPr>
            <w:tcW w:w="113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keepNext/>
              <w:suppressAutoHyphens w:val="0"/>
              <w:spacing w:before="60" w:after="60" w:line="220" w:lineRule="exact"/>
              <w:ind w:left="57" w:right="57"/>
              <w:jc w:val="right"/>
              <w:rPr>
                <w:sz w:val="18"/>
                <w:szCs w:val="18"/>
              </w:rPr>
            </w:pPr>
            <w:r w:rsidRPr="002C5876">
              <w:rPr>
                <w:sz w:val="18"/>
                <w:szCs w:val="18"/>
              </w:rPr>
              <w:t>100</w:t>
            </w:r>
          </w:p>
        </w:tc>
        <w:tc>
          <w:tcPr>
            <w:tcW w:w="2831"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keepNext/>
              <w:suppressAutoHyphens w:val="0"/>
              <w:spacing w:before="60" w:after="60" w:line="220" w:lineRule="exact"/>
              <w:ind w:left="57" w:right="57"/>
              <w:rPr>
                <w:sz w:val="18"/>
                <w:szCs w:val="18"/>
              </w:rPr>
            </w:pPr>
            <w:r w:rsidRPr="002C5876">
              <w:rPr>
                <w:sz w:val="18"/>
                <w:szCs w:val="18"/>
              </w:rPr>
              <w:t>ISO 14687-1</w:t>
            </w:r>
          </w:p>
        </w:tc>
      </w:tr>
      <w:tr w:rsidR="00E24DB7" w:rsidRPr="002C5876" w:rsidTr="00E24DB7">
        <w:tc>
          <w:tcPr>
            <w:tcW w:w="312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keepNext/>
              <w:suppressAutoHyphens w:val="0"/>
              <w:spacing w:before="60" w:after="60" w:line="220" w:lineRule="exact"/>
              <w:ind w:left="57" w:right="57"/>
              <w:rPr>
                <w:sz w:val="18"/>
                <w:szCs w:val="18"/>
              </w:rPr>
            </w:pPr>
            <w:r w:rsidRPr="002C5876">
              <w:rPr>
                <w:sz w:val="18"/>
                <w:szCs w:val="18"/>
              </w:rPr>
              <w:t>Eau</w:t>
            </w:r>
            <w:r w:rsidRPr="002C5876">
              <w:rPr>
                <w:i/>
                <w:sz w:val="18"/>
                <w:szCs w:val="18"/>
                <w:vertAlign w:val="superscript"/>
              </w:rPr>
              <w:t>1</w:t>
            </w:r>
          </w:p>
        </w:tc>
        <w:tc>
          <w:tcPr>
            <w:tcW w:w="141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keepNext/>
              <w:suppressAutoHyphens w:val="0"/>
              <w:spacing w:before="60" w:after="60" w:line="220" w:lineRule="exact"/>
              <w:ind w:left="57" w:right="57"/>
              <w:rPr>
                <w:sz w:val="18"/>
                <w:szCs w:val="18"/>
              </w:rPr>
            </w:pPr>
            <w:r w:rsidRPr="002C5876">
              <w:rPr>
                <w:sz w:val="18"/>
                <w:szCs w:val="18"/>
              </w:rPr>
              <w:t>μmol/mol</w:t>
            </w:r>
          </w:p>
        </w:tc>
        <w:tc>
          <w:tcPr>
            <w:tcW w:w="113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keepNext/>
              <w:suppressAutoHyphens w:val="0"/>
              <w:spacing w:before="60" w:after="60" w:line="220" w:lineRule="exact"/>
              <w:ind w:left="57" w:right="57"/>
              <w:jc w:val="right"/>
              <w:rPr>
                <w:sz w:val="18"/>
                <w:szCs w:val="18"/>
              </w:rPr>
            </w:pPr>
            <w:r w:rsidRPr="002C5876">
              <w:rPr>
                <w:sz w:val="18"/>
                <w:szCs w:val="18"/>
              </w:rPr>
              <w:t>0</w:t>
            </w:r>
          </w:p>
        </w:tc>
        <w:tc>
          <w:tcPr>
            <w:tcW w:w="113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keepNext/>
              <w:suppressAutoHyphens w:val="0"/>
              <w:spacing w:before="60" w:after="60" w:line="220" w:lineRule="exact"/>
              <w:ind w:left="57" w:right="57"/>
              <w:jc w:val="right"/>
              <w:rPr>
                <w:i/>
                <w:sz w:val="18"/>
                <w:szCs w:val="18"/>
                <w:vertAlign w:val="superscript"/>
              </w:rPr>
            </w:pPr>
            <w:r w:rsidRPr="002C5876">
              <w:rPr>
                <w:i/>
                <w:sz w:val="18"/>
                <w:szCs w:val="18"/>
                <w:vertAlign w:val="superscript"/>
              </w:rPr>
              <w:t>2</w:t>
            </w:r>
          </w:p>
        </w:tc>
        <w:tc>
          <w:tcPr>
            <w:tcW w:w="2831"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keepNext/>
              <w:suppressAutoHyphens w:val="0"/>
              <w:spacing w:before="60" w:after="60" w:line="220" w:lineRule="exact"/>
              <w:ind w:left="57" w:right="57"/>
              <w:rPr>
                <w:sz w:val="18"/>
                <w:szCs w:val="18"/>
              </w:rPr>
            </w:pPr>
            <w:r w:rsidRPr="002C5876">
              <w:rPr>
                <w:sz w:val="18"/>
                <w:szCs w:val="18"/>
              </w:rPr>
              <w:t>ISO 14687-1</w:t>
            </w:r>
          </w:p>
        </w:tc>
      </w:tr>
      <w:tr w:rsidR="00E24DB7" w:rsidRPr="002C5876" w:rsidTr="00E24DB7">
        <w:tc>
          <w:tcPr>
            <w:tcW w:w="312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keepNext/>
              <w:suppressAutoHyphens w:val="0"/>
              <w:spacing w:before="60" w:after="60" w:line="220" w:lineRule="exact"/>
              <w:ind w:left="57" w:right="57"/>
              <w:rPr>
                <w:sz w:val="18"/>
                <w:szCs w:val="18"/>
              </w:rPr>
            </w:pPr>
            <w:r w:rsidRPr="002C5876">
              <w:rPr>
                <w:sz w:val="18"/>
                <w:szCs w:val="18"/>
              </w:rPr>
              <w:t>Oxygène</w:t>
            </w:r>
          </w:p>
        </w:tc>
        <w:tc>
          <w:tcPr>
            <w:tcW w:w="141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keepNext/>
              <w:suppressAutoHyphens w:val="0"/>
              <w:spacing w:before="60" w:after="60" w:line="220" w:lineRule="exact"/>
              <w:ind w:left="57" w:right="57"/>
              <w:rPr>
                <w:sz w:val="18"/>
                <w:szCs w:val="18"/>
              </w:rPr>
            </w:pPr>
            <w:r w:rsidRPr="002C5876">
              <w:rPr>
                <w:sz w:val="18"/>
                <w:szCs w:val="18"/>
              </w:rPr>
              <w:t>μmol/mol</w:t>
            </w:r>
          </w:p>
        </w:tc>
        <w:tc>
          <w:tcPr>
            <w:tcW w:w="113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keepNext/>
              <w:suppressAutoHyphens w:val="0"/>
              <w:spacing w:before="60" w:after="60" w:line="220" w:lineRule="exact"/>
              <w:ind w:left="57" w:right="57"/>
              <w:jc w:val="right"/>
              <w:rPr>
                <w:sz w:val="18"/>
                <w:szCs w:val="18"/>
              </w:rPr>
            </w:pPr>
            <w:r w:rsidRPr="002C5876">
              <w:rPr>
                <w:sz w:val="18"/>
                <w:szCs w:val="18"/>
              </w:rPr>
              <w:t>0</w:t>
            </w:r>
          </w:p>
        </w:tc>
        <w:tc>
          <w:tcPr>
            <w:tcW w:w="113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keepNext/>
              <w:suppressAutoHyphens w:val="0"/>
              <w:spacing w:before="60" w:after="60" w:line="220" w:lineRule="exact"/>
              <w:ind w:left="57" w:right="57"/>
              <w:jc w:val="right"/>
              <w:rPr>
                <w:i/>
                <w:sz w:val="18"/>
                <w:szCs w:val="18"/>
                <w:vertAlign w:val="superscript"/>
              </w:rPr>
            </w:pPr>
            <w:r w:rsidRPr="002C5876">
              <w:rPr>
                <w:i/>
                <w:sz w:val="18"/>
                <w:szCs w:val="18"/>
                <w:vertAlign w:val="superscript"/>
              </w:rPr>
              <w:t>2</w:t>
            </w:r>
          </w:p>
        </w:tc>
        <w:tc>
          <w:tcPr>
            <w:tcW w:w="2831"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keepNext/>
              <w:suppressAutoHyphens w:val="0"/>
              <w:spacing w:before="60" w:after="60" w:line="220" w:lineRule="exact"/>
              <w:ind w:left="57" w:right="57"/>
              <w:rPr>
                <w:sz w:val="18"/>
                <w:szCs w:val="18"/>
              </w:rPr>
            </w:pPr>
            <w:r w:rsidRPr="002C5876">
              <w:rPr>
                <w:sz w:val="18"/>
                <w:szCs w:val="18"/>
              </w:rPr>
              <w:t>ISO 14687-1</w:t>
            </w:r>
          </w:p>
        </w:tc>
      </w:tr>
      <w:tr w:rsidR="00E24DB7" w:rsidRPr="002C5876" w:rsidTr="00E24DB7">
        <w:tc>
          <w:tcPr>
            <w:tcW w:w="312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keepNext/>
              <w:suppressAutoHyphens w:val="0"/>
              <w:spacing w:before="60" w:after="60" w:line="220" w:lineRule="exact"/>
              <w:ind w:left="57" w:right="57"/>
              <w:rPr>
                <w:sz w:val="18"/>
                <w:szCs w:val="18"/>
              </w:rPr>
            </w:pPr>
            <w:r w:rsidRPr="002C5876">
              <w:rPr>
                <w:sz w:val="18"/>
                <w:szCs w:val="18"/>
              </w:rPr>
              <w:t>Argon</w:t>
            </w:r>
          </w:p>
        </w:tc>
        <w:tc>
          <w:tcPr>
            <w:tcW w:w="141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keepNext/>
              <w:suppressAutoHyphens w:val="0"/>
              <w:spacing w:before="60" w:after="60" w:line="220" w:lineRule="exact"/>
              <w:ind w:left="57" w:right="57"/>
              <w:rPr>
                <w:sz w:val="18"/>
                <w:szCs w:val="18"/>
              </w:rPr>
            </w:pPr>
            <w:r w:rsidRPr="002C5876">
              <w:rPr>
                <w:sz w:val="18"/>
                <w:szCs w:val="18"/>
              </w:rPr>
              <w:t>μmol/mol</w:t>
            </w:r>
          </w:p>
        </w:tc>
        <w:tc>
          <w:tcPr>
            <w:tcW w:w="113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keepNext/>
              <w:suppressAutoHyphens w:val="0"/>
              <w:spacing w:before="60" w:after="60" w:line="220" w:lineRule="exact"/>
              <w:ind w:left="57" w:right="57"/>
              <w:jc w:val="right"/>
              <w:rPr>
                <w:sz w:val="18"/>
                <w:szCs w:val="18"/>
              </w:rPr>
            </w:pPr>
            <w:r w:rsidRPr="002C5876">
              <w:rPr>
                <w:sz w:val="18"/>
                <w:szCs w:val="18"/>
              </w:rPr>
              <w:t>0</w:t>
            </w:r>
          </w:p>
        </w:tc>
        <w:tc>
          <w:tcPr>
            <w:tcW w:w="113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keepNext/>
              <w:suppressAutoHyphens w:val="0"/>
              <w:spacing w:before="60" w:after="60" w:line="220" w:lineRule="exact"/>
              <w:ind w:left="57" w:right="57"/>
              <w:jc w:val="right"/>
              <w:rPr>
                <w:i/>
                <w:sz w:val="18"/>
                <w:szCs w:val="18"/>
                <w:vertAlign w:val="superscript"/>
              </w:rPr>
            </w:pPr>
            <w:r w:rsidRPr="002C5876">
              <w:rPr>
                <w:i/>
                <w:sz w:val="18"/>
                <w:szCs w:val="18"/>
                <w:vertAlign w:val="superscript"/>
              </w:rPr>
              <w:t>2</w:t>
            </w:r>
          </w:p>
        </w:tc>
        <w:tc>
          <w:tcPr>
            <w:tcW w:w="2831"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keepNext/>
              <w:suppressAutoHyphens w:val="0"/>
              <w:spacing w:before="60" w:after="60" w:line="220" w:lineRule="exact"/>
              <w:ind w:left="57" w:right="57"/>
              <w:rPr>
                <w:sz w:val="18"/>
                <w:szCs w:val="18"/>
              </w:rPr>
            </w:pPr>
            <w:r w:rsidRPr="002C5876">
              <w:rPr>
                <w:sz w:val="18"/>
                <w:szCs w:val="18"/>
              </w:rPr>
              <w:t>ISO 14687-1</w:t>
            </w:r>
          </w:p>
        </w:tc>
      </w:tr>
      <w:tr w:rsidR="00E24DB7" w:rsidRPr="002C5876" w:rsidTr="00E24DB7">
        <w:tc>
          <w:tcPr>
            <w:tcW w:w="312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keepNext/>
              <w:suppressAutoHyphens w:val="0"/>
              <w:spacing w:before="60" w:after="60" w:line="220" w:lineRule="exact"/>
              <w:ind w:left="57" w:right="57"/>
              <w:rPr>
                <w:sz w:val="18"/>
                <w:szCs w:val="18"/>
              </w:rPr>
            </w:pPr>
            <w:r w:rsidRPr="002C5876">
              <w:rPr>
                <w:sz w:val="18"/>
                <w:szCs w:val="18"/>
              </w:rPr>
              <w:t>Azote</w:t>
            </w:r>
          </w:p>
        </w:tc>
        <w:tc>
          <w:tcPr>
            <w:tcW w:w="141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keepNext/>
              <w:suppressAutoHyphens w:val="0"/>
              <w:spacing w:before="60" w:after="60" w:line="220" w:lineRule="exact"/>
              <w:ind w:left="57" w:right="57"/>
              <w:rPr>
                <w:sz w:val="18"/>
                <w:szCs w:val="18"/>
              </w:rPr>
            </w:pPr>
            <w:r w:rsidRPr="002C5876">
              <w:rPr>
                <w:sz w:val="18"/>
                <w:szCs w:val="18"/>
              </w:rPr>
              <w:t>μmol/mol</w:t>
            </w:r>
          </w:p>
        </w:tc>
        <w:tc>
          <w:tcPr>
            <w:tcW w:w="113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keepNext/>
              <w:suppressAutoHyphens w:val="0"/>
              <w:spacing w:before="60" w:after="60" w:line="220" w:lineRule="exact"/>
              <w:ind w:left="57" w:right="57"/>
              <w:jc w:val="right"/>
              <w:rPr>
                <w:sz w:val="18"/>
                <w:szCs w:val="18"/>
              </w:rPr>
            </w:pPr>
            <w:r w:rsidRPr="002C5876">
              <w:rPr>
                <w:sz w:val="18"/>
                <w:szCs w:val="18"/>
              </w:rPr>
              <w:t>0</w:t>
            </w:r>
          </w:p>
        </w:tc>
        <w:tc>
          <w:tcPr>
            <w:tcW w:w="113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keepNext/>
              <w:suppressAutoHyphens w:val="0"/>
              <w:spacing w:before="60" w:after="60" w:line="220" w:lineRule="exact"/>
              <w:ind w:left="57" w:right="57"/>
              <w:jc w:val="right"/>
              <w:rPr>
                <w:i/>
                <w:sz w:val="18"/>
                <w:szCs w:val="18"/>
              </w:rPr>
            </w:pPr>
            <w:r w:rsidRPr="002C5876">
              <w:rPr>
                <w:i/>
                <w:sz w:val="18"/>
                <w:szCs w:val="18"/>
                <w:vertAlign w:val="superscript"/>
              </w:rPr>
              <w:t>2</w:t>
            </w:r>
          </w:p>
        </w:tc>
        <w:tc>
          <w:tcPr>
            <w:tcW w:w="2831"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keepNext/>
              <w:suppressAutoHyphens w:val="0"/>
              <w:spacing w:before="60" w:after="60" w:line="220" w:lineRule="exact"/>
              <w:ind w:left="57" w:right="57"/>
              <w:rPr>
                <w:sz w:val="18"/>
                <w:szCs w:val="18"/>
              </w:rPr>
            </w:pPr>
            <w:r w:rsidRPr="002C5876">
              <w:rPr>
                <w:sz w:val="18"/>
                <w:szCs w:val="18"/>
              </w:rPr>
              <w:t>ISO 14687-1</w:t>
            </w:r>
          </w:p>
        </w:tc>
      </w:tr>
      <w:tr w:rsidR="00E24DB7" w:rsidRPr="002C5876" w:rsidTr="00E24DB7">
        <w:tc>
          <w:tcPr>
            <w:tcW w:w="312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keepNext/>
              <w:suppressAutoHyphens w:val="0"/>
              <w:spacing w:before="60" w:after="60" w:line="220" w:lineRule="exact"/>
              <w:ind w:left="57" w:right="57"/>
              <w:rPr>
                <w:sz w:val="18"/>
                <w:szCs w:val="18"/>
              </w:rPr>
            </w:pPr>
            <w:r w:rsidRPr="002C5876">
              <w:rPr>
                <w:sz w:val="18"/>
                <w:szCs w:val="18"/>
              </w:rPr>
              <w:t>CO</w:t>
            </w:r>
          </w:p>
        </w:tc>
        <w:tc>
          <w:tcPr>
            <w:tcW w:w="141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keepNext/>
              <w:suppressAutoHyphens w:val="0"/>
              <w:spacing w:before="60" w:after="60" w:line="220" w:lineRule="exact"/>
              <w:ind w:left="57" w:right="57"/>
              <w:rPr>
                <w:sz w:val="18"/>
                <w:szCs w:val="18"/>
              </w:rPr>
            </w:pPr>
            <w:r w:rsidRPr="002C5876">
              <w:rPr>
                <w:sz w:val="18"/>
                <w:szCs w:val="18"/>
              </w:rPr>
              <w:t>μmol/mol</w:t>
            </w:r>
          </w:p>
        </w:tc>
        <w:tc>
          <w:tcPr>
            <w:tcW w:w="113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keepNext/>
              <w:suppressAutoHyphens w:val="0"/>
              <w:spacing w:before="60" w:after="60" w:line="220" w:lineRule="exact"/>
              <w:ind w:left="57" w:right="57"/>
              <w:jc w:val="right"/>
              <w:rPr>
                <w:sz w:val="18"/>
                <w:szCs w:val="18"/>
              </w:rPr>
            </w:pPr>
            <w:r w:rsidRPr="002C5876">
              <w:rPr>
                <w:sz w:val="18"/>
                <w:szCs w:val="18"/>
              </w:rPr>
              <w:t>0</w:t>
            </w:r>
          </w:p>
        </w:tc>
        <w:tc>
          <w:tcPr>
            <w:tcW w:w="113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keepNext/>
              <w:suppressAutoHyphens w:val="0"/>
              <w:spacing w:before="60" w:after="60" w:line="220" w:lineRule="exact"/>
              <w:ind w:left="57" w:right="57"/>
              <w:jc w:val="right"/>
              <w:rPr>
                <w:sz w:val="18"/>
                <w:szCs w:val="18"/>
              </w:rPr>
            </w:pPr>
            <w:r w:rsidRPr="002C5876">
              <w:rPr>
                <w:sz w:val="18"/>
                <w:szCs w:val="18"/>
              </w:rPr>
              <w:t>1</w:t>
            </w:r>
          </w:p>
        </w:tc>
        <w:tc>
          <w:tcPr>
            <w:tcW w:w="2831"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keepNext/>
              <w:suppressAutoHyphens w:val="0"/>
              <w:spacing w:before="60" w:after="60" w:line="220" w:lineRule="exact"/>
              <w:ind w:left="57" w:right="57"/>
              <w:rPr>
                <w:sz w:val="18"/>
                <w:szCs w:val="18"/>
              </w:rPr>
            </w:pPr>
            <w:r w:rsidRPr="002C5876">
              <w:rPr>
                <w:sz w:val="18"/>
                <w:szCs w:val="18"/>
              </w:rPr>
              <w:t>ISO 14687-1</w:t>
            </w:r>
          </w:p>
        </w:tc>
      </w:tr>
      <w:tr w:rsidR="00E24DB7" w:rsidRPr="002C5876" w:rsidTr="00E24DB7">
        <w:tc>
          <w:tcPr>
            <w:tcW w:w="312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keepNext/>
              <w:suppressAutoHyphens w:val="0"/>
              <w:spacing w:before="60" w:after="60" w:line="220" w:lineRule="exact"/>
              <w:ind w:left="57" w:right="57"/>
              <w:rPr>
                <w:sz w:val="18"/>
                <w:szCs w:val="18"/>
              </w:rPr>
            </w:pPr>
            <w:r w:rsidRPr="002C5876">
              <w:rPr>
                <w:sz w:val="18"/>
                <w:szCs w:val="18"/>
              </w:rPr>
              <w:t>Soufre</w:t>
            </w:r>
          </w:p>
        </w:tc>
        <w:tc>
          <w:tcPr>
            <w:tcW w:w="141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keepNext/>
              <w:suppressAutoHyphens w:val="0"/>
              <w:spacing w:before="60" w:after="60" w:line="220" w:lineRule="exact"/>
              <w:ind w:left="57" w:right="57"/>
              <w:rPr>
                <w:sz w:val="18"/>
                <w:szCs w:val="18"/>
              </w:rPr>
            </w:pPr>
            <w:r w:rsidRPr="002C5876">
              <w:rPr>
                <w:sz w:val="18"/>
                <w:szCs w:val="18"/>
              </w:rPr>
              <w:t>μmol/mol</w:t>
            </w:r>
          </w:p>
        </w:tc>
        <w:tc>
          <w:tcPr>
            <w:tcW w:w="113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keepNext/>
              <w:suppressAutoHyphens w:val="0"/>
              <w:spacing w:before="60" w:after="60" w:line="220" w:lineRule="exact"/>
              <w:ind w:left="57" w:right="57"/>
              <w:jc w:val="right"/>
              <w:rPr>
                <w:sz w:val="18"/>
                <w:szCs w:val="18"/>
              </w:rPr>
            </w:pPr>
            <w:r w:rsidRPr="002C5876">
              <w:rPr>
                <w:sz w:val="18"/>
                <w:szCs w:val="18"/>
              </w:rPr>
              <w:t>0</w:t>
            </w:r>
          </w:p>
        </w:tc>
        <w:tc>
          <w:tcPr>
            <w:tcW w:w="113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keepNext/>
              <w:suppressAutoHyphens w:val="0"/>
              <w:spacing w:before="60" w:after="60" w:line="220" w:lineRule="exact"/>
              <w:ind w:left="57" w:right="57"/>
              <w:jc w:val="right"/>
              <w:rPr>
                <w:sz w:val="18"/>
                <w:szCs w:val="18"/>
              </w:rPr>
            </w:pPr>
            <w:r w:rsidRPr="002C5876">
              <w:rPr>
                <w:sz w:val="18"/>
                <w:szCs w:val="18"/>
              </w:rPr>
              <w:t>2</w:t>
            </w:r>
          </w:p>
        </w:tc>
        <w:tc>
          <w:tcPr>
            <w:tcW w:w="2831"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keepNext/>
              <w:suppressAutoHyphens w:val="0"/>
              <w:spacing w:before="60" w:after="60" w:line="220" w:lineRule="exact"/>
              <w:ind w:left="57" w:right="57"/>
              <w:rPr>
                <w:sz w:val="18"/>
                <w:szCs w:val="18"/>
              </w:rPr>
            </w:pPr>
            <w:r w:rsidRPr="002C5876">
              <w:rPr>
                <w:sz w:val="18"/>
                <w:szCs w:val="18"/>
              </w:rPr>
              <w:t>ISO 14687-1</w:t>
            </w:r>
          </w:p>
        </w:tc>
      </w:tr>
      <w:tr w:rsidR="00E24DB7" w:rsidRPr="002C5876" w:rsidTr="00E24DB7">
        <w:tc>
          <w:tcPr>
            <w:tcW w:w="3124"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keepNext/>
              <w:suppressAutoHyphens w:val="0"/>
              <w:spacing w:before="60" w:after="60" w:line="220" w:lineRule="exact"/>
              <w:ind w:left="57" w:right="57"/>
              <w:rPr>
                <w:sz w:val="18"/>
                <w:szCs w:val="18"/>
              </w:rPr>
            </w:pPr>
            <w:r w:rsidRPr="002C5876">
              <w:rPr>
                <w:sz w:val="18"/>
                <w:szCs w:val="18"/>
              </w:rPr>
              <w:t>Particules permanentes</w:t>
            </w:r>
            <w:r w:rsidRPr="002C5876">
              <w:rPr>
                <w:i/>
                <w:sz w:val="18"/>
                <w:szCs w:val="18"/>
                <w:vertAlign w:val="superscript"/>
              </w:rPr>
              <w:t>3</w:t>
            </w:r>
          </w:p>
        </w:tc>
        <w:tc>
          <w:tcPr>
            <w:tcW w:w="1417" w:type="dxa"/>
            <w:tcBorders>
              <w:top w:val="single" w:sz="4" w:space="0" w:color="auto"/>
              <w:left w:val="single" w:sz="4" w:space="0" w:color="auto"/>
              <w:bottom w:val="single" w:sz="12" w:space="0" w:color="auto"/>
              <w:right w:val="single" w:sz="4" w:space="0" w:color="auto"/>
            </w:tcBorders>
          </w:tcPr>
          <w:p w:rsidR="00E24DB7" w:rsidRPr="002C5876" w:rsidRDefault="00E24DB7" w:rsidP="00E24DB7">
            <w:pPr>
              <w:keepNext/>
              <w:suppressAutoHyphens w:val="0"/>
              <w:spacing w:before="60" w:after="60" w:line="220" w:lineRule="exact"/>
              <w:ind w:left="57" w:right="57"/>
              <w:rPr>
                <w:sz w:val="18"/>
                <w:szCs w:val="18"/>
              </w:rPr>
            </w:pPr>
          </w:p>
        </w:tc>
        <w:tc>
          <w:tcPr>
            <w:tcW w:w="1134" w:type="dxa"/>
            <w:tcBorders>
              <w:top w:val="single" w:sz="4" w:space="0" w:color="auto"/>
              <w:left w:val="single" w:sz="4" w:space="0" w:color="auto"/>
              <w:bottom w:val="single" w:sz="12" w:space="0" w:color="auto"/>
              <w:right w:val="single" w:sz="4" w:space="0" w:color="auto"/>
            </w:tcBorders>
          </w:tcPr>
          <w:p w:rsidR="00E24DB7" w:rsidRPr="002C5876" w:rsidRDefault="00E24DB7" w:rsidP="00E24DB7">
            <w:pPr>
              <w:keepNext/>
              <w:suppressAutoHyphens w:val="0"/>
              <w:spacing w:before="60" w:after="60" w:line="220" w:lineRule="exact"/>
              <w:ind w:left="57" w:right="57"/>
              <w:jc w:val="right"/>
              <w:rPr>
                <w:sz w:val="18"/>
                <w:szCs w:val="18"/>
              </w:rPr>
            </w:pPr>
          </w:p>
        </w:tc>
        <w:tc>
          <w:tcPr>
            <w:tcW w:w="1133" w:type="dxa"/>
            <w:tcBorders>
              <w:top w:val="single" w:sz="4" w:space="0" w:color="auto"/>
              <w:left w:val="single" w:sz="4" w:space="0" w:color="auto"/>
              <w:bottom w:val="single" w:sz="12" w:space="0" w:color="auto"/>
              <w:right w:val="single" w:sz="4" w:space="0" w:color="auto"/>
            </w:tcBorders>
          </w:tcPr>
          <w:p w:rsidR="00E24DB7" w:rsidRPr="002C5876" w:rsidRDefault="00E24DB7" w:rsidP="00E24DB7">
            <w:pPr>
              <w:keepNext/>
              <w:suppressAutoHyphens w:val="0"/>
              <w:spacing w:before="60" w:after="60" w:line="220" w:lineRule="exact"/>
              <w:ind w:left="57" w:right="57"/>
              <w:jc w:val="right"/>
              <w:rPr>
                <w:sz w:val="18"/>
                <w:szCs w:val="18"/>
              </w:rPr>
            </w:pPr>
          </w:p>
        </w:tc>
        <w:tc>
          <w:tcPr>
            <w:tcW w:w="2831"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keepNext/>
              <w:suppressAutoHyphens w:val="0"/>
              <w:spacing w:before="60" w:after="60" w:line="220" w:lineRule="exact"/>
              <w:ind w:left="57" w:right="57"/>
              <w:rPr>
                <w:sz w:val="18"/>
                <w:szCs w:val="18"/>
              </w:rPr>
            </w:pPr>
            <w:r w:rsidRPr="002C5876">
              <w:rPr>
                <w:sz w:val="18"/>
                <w:szCs w:val="18"/>
              </w:rPr>
              <w:t>ISO 14687-1</w:t>
            </w:r>
          </w:p>
        </w:tc>
      </w:tr>
    </w:tbl>
    <w:p w:rsidR="00E24DB7" w:rsidRPr="002C5876" w:rsidRDefault="00E24DB7" w:rsidP="00E24DB7">
      <w:pPr>
        <w:spacing w:before="120"/>
        <w:ind w:firstLine="170"/>
        <w:rPr>
          <w:sz w:val="18"/>
          <w:szCs w:val="18"/>
        </w:rPr>
      </w:pPr>
      <w:r w:rsidRPr="002C5876">
        <w:rPr>
          <w:i/>
          <w:sz w:val="18"/>
          <w:szCs w:val="18"/>
          <w:vertAlign w:val="superscript"/>
        </w:rPr>
        <w:t>1</w:t>
      </w:r>
      <w:r w:rsidRPr="002C5876">
        <w:rPr>
          <w:sz w:val="18"/>
          <w:szCs w:val="18"/>
        </w:rPr>
        <w:t xml:space="preserve">  Ne doit pas être condensée.</w:t>
      </w:r>
    </w:p>
    <w:p w:rsidR="00E24DB7" w:rsidRPr="002C5876" w:rsidRDefault="00E24DB7" w:rsidP="00E24DB7">
      <w:pPr>
        <w:ind w:firstLine="170"/>
        <w:rPr>
          <w:sz w:val="18"/>
          <w:szCs w:val="18"/>
        </w:rPr>
      </w:pPr>
      <w:r w:rsidRPr="002C5876">
        <w:rPr>
          <w:i/>
          <w:sz w:val="18"/>
          <w:szCs w:val="18"/>
          <w:vertAlign w:val="superscript"/>
        </w:rPr>
        <w:t>2</w:t>
      </w:r>
      <w:r w:rsidRPr="002C5876">
        <w:rPr>
          <w:sz w:val="18"/>
          <w:szCs w:val="18"/>
        </w:rPr>
        <w:t xml:space="preserve">  Eau, oxygène, azote et argon combinés : 1,900 μmol/mol.</w:t>
      </w:r>
    </w:p>
    <w:p w:rsidR="00E24DB7" w:rsidRPr="002C5876" w:rsidRDefault="00E24DB7" w:rsidP="00E24DB7">
      <w:pPr>
        <w:spacing w:after="120"/>
        <w:ind w:firstLine="170"/>
      </w:pPr>
      <w:r w:rsidRPr="002C5876">
        <w:rPr>
          <w:i/>
          <w:sz w:val="18"/>
          <w:szCs w:val="18"/>
          <w:vertAlign w:val="superscript"/>
        </w:rPr>
        <w:t>3</w:t>
      </w:r>
      <w:r w:rsidRPr="002C5876">
        <w:rPr>
          <w:sz w:val="18"/>
          <w:szCs w:val="18"/>
        </w:rPr>
        <w:t xml:space="preserve">  L’hydrogène ne doit pas contenir de poussières, de sable, d’impuretés, de gommes, d’huiles ou d’autres substances en quantités suffisantes pour endommager l’équipement de la station de distribution ou le véhicule (moteur) qui est ravitaillé.</w:t>
      </w:r>
    </w:p>
    <w:p w:rsidR="00E24DB7" w:rsidRPr="002C5876" w:rsidRDefault="00E24DB7" w:rsidP="00E24DB7">
      <w:pPr>
        <w:pStyle w:val="SingleTxtG"/>
        <w:spacing w:before="240"/>
        <w:ind w:left="2268" w:hanging="1134"/>
      </w:pPr>
      <w:r w:rsidRPr="002C5876">
        <w:br w:type="page"/>
      </w:r>
      <w:r w:rsidRPr="002C5876">
        <w:lastRenderedPageBreak/>
        <w:t>5.</w:t>
      </w:r>
      <w:r w:rsidRPr="002C5876">
        <w:tab/>
      </w:r>
      <w:r w:rsidRPr="002C5876">
        <w:tab/>
        <w:t>Carburants liquides pour moteurs à allumage par compression</w:t>
      </w:r>
    </w:p>
    <w:p w:rsidR="00E24DB7" w:rsidRPr="002C5876" w:rsidRDefault="00E24DB7" w:rsidP="00E24DB7">
      <w:pPr>
        <w:pStyle w:val="SingleTxtG"/>
        <w:ind w:left="2268" w:hanging="1134"/>
      </w:pPr>
      <w:r w:rsidRPr="002C5876">
        <w:t>5.1</w:t>
      </w:r>
      <w:r w:rsidRPr="002C5876">
        <w:tab/>
      </w:r>
      <w:r w:rsidRPr="002C5876">
        <w:tab/>
        <w:t>Gazole J (cétane nominal 53, B0)</w:t>
      </w:r>
    </w:p>
    <w:p w:rsidR="00E24DB7" w:rsidRPr="002C5876" w:rsidRDefault="00E24DB7" w:rsidP="00E24DB7">
      <w:pPr>
        <w:pStyle w:val="H23G"/>
        <w:ind w:left="0" w:firstLine="0"/>
      </w:pPr>
      <w:r w:rsidRPr="002C5876">
        <w:rPr>
          <w:b w:val="0"/>
        </w:rPr>
        <w:t>Tableau A3/14</w:t>
      </w:r>
      <w:r w:rsidRPr="002C5876">
        <w:t xml:space="preserve"> </w:t>
      </w:r>
      <w:r w:rsidRPr="002C5876">
        <w:br/>
        <w:t>Gazole J (cétane nominal 53, B0)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8"/>
        <w:gridCol w:w="1362"/>
        <w:gridCol w:w="1362"/>
        <w:gridCol w:w="1197"/>
        <w:gridCol w:w="2180"/>
      </w:tblGrid>
      <w:tr w:rsidR="00E24DB7" w:rsidRPr="002C5876" w:rsidTr="00E24DB7">
        <w:trPr>
          <w:tblHeader/>
        </w:trPr>
        <w:tc>
          <w:tcPr>
            <w:tcW w:w="3538" w:type="dxa"/>
            <w:vMerge w:val="restart"/>
            <w:tcBorders>
              <w:top w:val="single" w:sz="4" w:space="0" w:color="auto"/>
              <w:left w:val="single" w:sz="4" w:space="0" w:color="auto"/>
              <w:bottom w:val="single" w:sz="4"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Propriété du carburant/Composé</w:t>
            </w:r>
          </w:p>
        </w:tc>
        <w:tc>
          <w:tcPr>
            <w:tcW w:w="1362" w:type="dxa"/>
            <w:vMerge w:val="restart"/>
            <w:tcBorders>
              <w:top w:val="single" w:sz="4" w:space="0" w:color="auto"/>
              <w:left w:val="single" w:sz="4" w:space="0" w:color="auto"/>
              <w:bottom w:val="single" w:sz="4"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Unité</w:t>
            </w:r>
          </w:p>
        </w:tc>
        <w:tc>
          <w:tcPr>
            <w:tcW w:w="2559"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80" w:after="80" w:line="200" w:lineRule="exact"/>
              <w:ind w:left="57" w:right="57"/>
              <w:jc w:val="center"/>
              <w:rPr>
                <w:i/>
                <w:sz w:val="16"/>
                <w:szCs w:val="16"/>
              </w:rPr>
            </w:pPr>
            <w:r w:rsidRPr="002C5876">
              <w:rPr>
                <w:i/>
                <w:sz w:val="16"/>
                <w:szCs w:val="16"/>
              </w:rPr>
              <w:t>Spécification</w:t>
            </w:r>
          </w:p>
        </w:tc>
        <w:tc>
          <w:tcPr>
            <w:tcW w:w="2180" w:type="dxa"/>
            <w:vMerge w:val="restart"/>
            <w:tcBorders>
              <w:top w:val="single" w:sz="4" w:space="0" w:color="auto"/>
              <w:left w:val="single" w:sz="4" w:space="0" w:color="auto"/>
              <w:bottom w:val="single" w:sz="4"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Méthode d’essai</w:t>
            </w:r>
          </w:p>
        </w:tc>
      </w:tr>
      <w:tr w:rsidR="00E24DB7" w:rsidRPr="002C5876" w:rsidTr="00E24DB7">
        <w:trPr>
          <w:tblHeader/>
        </w:trPr>
        <w:tc>
          <w:tcPr>
            <w:tcW w:w="3538" w:type="dxa"/>
            <w:vMerge/>
            <w:tcBorders>
              <w:top w:val="single" w:sz="4" w:space="0" w:color="auto"/>
              <w:left w:val="single" w:sz="4" w:space="0" w:color="auto"/>
              <w:bottom w:val="single" w:sz="12" w:space="0" w:color="auto"/>
              <w:right w:val="single" w:sz="4" w:space="0" w:color="auto"/>
            </w:tcBorders>
            <w:vAlign w:val="center"/>
            <w:hideMark/>
          </w:tcPr>
          <w:p w:rsidR="00E24DB7" w:rsidRPr="002C5876" w:rsidRDefault="00E24DB7" w:rsidP="00E24DB7">
            <w:pPr>
              <w:suppressAutoHyphens w:val="0"/>
              <w:spacing w:before="40" w:after="120" w:line="240" w:lineRule="auto"/>
              <w:ind w:right="57"/>
              <w:rPr>
                <w:i/>
                <w:sz w:val="18"/>
                <w:szCs w:val="18"/>
              </w:rPr>
            </w:pPr>
          </w:p>
        </w:tc>
        <w:tc>
          <w:tcPr>
            <w:tcW w:w="1362" w:type="dxa"/>
            <w:vMerge/>
            <w:tcBorders>
              <w:top w:val="single" w:sz="4" w:space="0" w:color="auto"/>
              <w:left w:val="single" w:sz="4" w:space="0" w:color="auto"/>
              <w:bottom w:val="single" w:sz="12" w:space="0" w:color="auto"/>
              <w:right w:val="single" w:sz="4" w:space="0" w:color="auto"/>
            </w:tcBorders>
            <w:vAlign w:val="center"/>
            <w:hideMark/>
          </w:tcPr>
          <w:p w:rsidR="00E24DB7" w:rsidRPr="002C5876" w:rsidRDefault="00E24DB7" w:rsidP="00E24DB7">
            <w:pPr>
              <w:suppressAutoHyphens w:val="0"/>
              <w:spacing w:before="40" w:after="120" w:line="240" w:lineRule="auto"/>
              <w:rPr>
                <w:i/>
                <w:sz w:val="18"/>
                <w:szCs w:val="18"/>
              </w:rPr>
            </w:pPr>
          </w:p>
        </w:tc>
        <w:tc>
          <w:tcPr>
            <w:tcW w:w="1362" w:type="dxa"/>
            <w:tcBorders>
              <w:top w:val="single" w:sz="4" w:space="0" w:color="auto"/>
              <w:left w:val="single" w:sz="4" w:space="0" w:color="auto"/>
              <w:bottom w:val="single" w:sz="12"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Minimum</w:t>
            </w:r>
          </w:p>
        </w:tc>
        <w:tc>
          <w:tcPr>
            <w:tcW w:w="1197" w:type="dxa"/>
            <w:tcBorders>
              <w:top w:val="single" w:sz="4" w:space="0" w:color="auto"/>
              <w:left w:val="single" w:sz="4" w:space="0" w:color="auto"/>
              <w:bottom w:val="single" w:sz="12"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Maximum</w:t>
            </w:r>
          </w:p>
        </w:tc>
        <w:tc>
          <w:tcPr>
            <w:tcW w:w="2180" w:type="dxa"/>
            <w:vMerge/>
            <w:tcBorders>
              <w:top w:val="single" w:sz="4" w:space="0" w:color="auto"/>
              <w:left w:val="single" w:sz="4" w:space="0" w:color="auto"/>
              <w:bottom w:val="single" w:sz="12" w:space="0" w:color="auto"/>
              <w:right w:val="single" w:sz="4" w:space="0" w:color="auto"/>
            </w:tcBorders>
            <w:vAlign w:val="center"/>
            <w:hideMark/>
          </w:tcPr>
          <w:p w:rsidR="00E24DB7" w:rsidRPr="002C5876" w:rsidRDefault="00E24DB7" w:rsidP="00E24DB7">
            <w:pPr>
              <w:suppressAutoHyphens w:val="0"/>
              <w:spacing w:before="40" w:after="120" w:line="240" w:lineRule="auto"/>
              <w:rPr>
                <w:i/>
                <w:sz w:val="18"/>
                <w:szCs w:val="18"/>
              </w:rPr>
            </w:pPr>
          </w:p>
        </w:tc>
      </w:tr>
      <w:tr w:rsidR="00E24DB7" w:rsidRPr="002C5876" w:rsidTr="00E24DB7">
        <w:tc>
          <w:tcPr>
            <w:tcW w:w="3538"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Indice de cétane</w:t>
            </w:r>
          </w:p>
        </w:tc>
        <w:tc>
          <w:tcPr>
            <w:tcW w:w="1362" w:type="dxa"/>
            <w:tcBorders>
              <w:top w:val="single" w:sz="12"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2"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53</w:t>
            </w:r>
          </w:p>
        </w:tc>
        <w:tc>
          <w:tcPr>
            <w:tcW w:w="1197"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57</w:t>
            </w:r>
          </w:p>
        </w:tc>
        <w:tc>
          <w:tcPr>
            <w:tcW w:w="2180"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JIS K2280</w:t>
            </w:r>
          </w:p>
        </w:tc>
      </w:tr>
      <w:tr w:rsidR="00E24DB7" w:rsidRPr="002C5876" w:rsidTr="00E24DB7">
        <w:tc>
          <w:tcPr>
            <w:tcW w:w="353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Densité </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g/cm</w:t>
            </w:r>
            <w:r w:rsidRPr="002C5876">
              <w:rPr>
                <w:sz w:val="18"/>
                <w:szCs w:val="18"/>
                <w:vertAlign w:val="superscript"/>
              </w:rPr>
              <w:t>3</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0,824</w:t>
            </w:r>
          </w:p>
        </w:tc>
        <w:tc>
          <w:tcPr>
            <w:tcW w:w="119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0,840</w:t>
            </w:r>
          </w:p>
        </w:tc>
        <w:tc>
          <w:tcPr>
            <w:tcW w:w="218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JIS K2249</w:t>
            </w:r>
          </w:p>
        </w:tc>
      </w:tr>
      <w:tr w:rsidR="00E24DB7" w:rsidRPr="002C5876" w:rsidTr="00E24DB7">
        <w:tc>
          <w:tcPr>
            <w:tcW w:w="353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Distillation :</w:t>
            </w:r>
          </w:p>
        </w:tc>
        <w:tc>
          <w:tcPr>
            <w:tcW w:w="1362"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197"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2180"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r>
      <w:tr w:rsidR="00E24DB7" w:rsidRPr="002C5876" w:rsidTr="00E24DB7">
        <w:tc>
          <w:tcPr>
            <w:tcW w:w="353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pStyle w:val="Bullet1G"/>
              <w:numPr>
                <w:ilvl w:val="0"/>
                <w:numId w:val="1"/>
              </w:numPr>
              <w:spacing w:before="60" w:after="60" w:line="220" w:lineRule="atLeast"/>
              <w:ind w:left="340" w:right="57"/>
              <w:rPr>
                <w:sz w:val="18"/>
                <w:szCs w:val="18"/>
              </w:rPr>
            </w:pPr>
            <w:r w:rsidRPr="002C5876">
              <w:rPr>
                <w:sz w:val="18"/>
                <w:szCs w:val="18"/>
              </w:rPr>
              <w:t>Température de distillation à 50 %</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 (°C)</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528 (255)</w:t>
            </w:r>
          </w:p>
        </w:tc>
        <w:tc>
          <w:tcPr>
            <w:tcW w:w="119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568 (295)</w:t>
            </w:r>
          </w:p>
        </w:tc>
        <w:tc>
          <w:tcPr>
            <w:tcW w:w="218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JIS K2254</w:t>
            </w:r>
          </w:p>
        </w:tc>
      </w:tr>
      <w:tr w:rsidR="00E24DB7" w:rsidRPr="002C5876" w:rsidTr="00E24DB7">
        <w:tc>
          <w:tcPr>
            <w:tcW w:w="353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pStyle w:val="Bullet1G"/>
              <w:numPr>
                <w:ilvl w:val="0"/>
                <w:numId w:val="1"/>
              </w:numPr>
              <w:spacing w:before="60" w:after="60" w:line="220" w:lineRule="atLeast"/>
              <w:ind w:left="340" w:right="57"/>
              <w:rPr>
                <w:sz w:val="18"/>
                <w:szCs w:val="18"/>
              </w:rPr>
            </w:pPr>
            <w:r w:rsidRPr="002C5876">
              <w:rPr>
                <w:sz w:val="18"/>
                <w:szCs w:val="18"/>
              </w:rPr>
              <w:t>Température de distillation à 90 %</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 (°C)</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573 (300)</w:t>
            </w:r>
          </w:p>
        </w:tc>
        <w:tc>
          <w:tcPr>
            <w:tcW w:w="119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618 (345)</w:t>
            </w:r>
          </w:p>
        </w:tc>
        <w:tc>
          <w:tcPr>
            <w:tcW w:w="218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JIS K2254</w:t>
            </w:r>
          </w:p>
        </w:tc>
      </w:tr>
      <w:tr w:rsidR="00E24DB7" w:rsidRPr="002C5876" w:rsidTr="00E24DB7">
        <w:tc>
          <w:tcPr>
            <w:tcW w:w="353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pStyle w:val="Bullet1G"/>
              <w:numPr>
                <w:ilvl w:val="0"/>
                <w:numId w:val="1"/>
              </w:numPr>
              <w:spacing w:before="60" w:after="60" w:line="220" w:lineRule="atLeast"/>
              <w:ind w:left="340" w:right="57"/>
              <w:rPr>
                <w:sz w:val="18"/>
                <w:szCs w:val="18"/>
              </w:rPr>
            </w:pPr>
            <w:r w:rsidRPr="002C5876">
              <w:rPr>
                <w:sz w:val="18"/>
                <w:szCs w:val="18"/>
              </w:rPr>
              <w:t>Point d’ébullition final</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 (°C)</w:t>
            </w:r>
          </w:p>
        </w:tc>
        <w:tc>
          <w:tcPr>
            <w:tcW w:w="1362"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19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643 (370)</w:t>
            </w:r>
          </w:p>
        </w:tc>
        <w:tc>
          <w:tcPr>
            <w:tcW w:w="218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JIS K2254</w:t>
            </w:r>
          </w:p>
        </w:tc>
      </w:tr>
      <w:tr w:rsidR="00E24DB7" w:rsidRPr="002C5876" w:rsidTr="00E24DB7">
        <w:tc>
          <w:tcPr>
            <w:tcW w:w="353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Point éclair</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 (°C)</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331 (58)</w:t>
            </w:r>
          </w:p>
        </w:tc>
        <w:tc>
          <w:tcPr>
            <w:tcW w:w="1197"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218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JIS K2265-3</w:t>
            </w:r>
          </w:p>
        </w:tc>
      </w:tr>
      <w:tr w:rsidR="00E24DB7" w:rsidRPr="002C5876" w:rsidTr="00E24DB7">
        <w:tc>
          <w:tcPr>
            <w:tcW w:w="353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Viscosité cinématique à 30 °C</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mm</w:t>
            </w:r>
            <w:r w:rsidRPr="002C5876">
              <w:rPr>
                <w:sz w:val="18"/>
                <w:szCs w:val="18"/>
                <w:vertAlign w:val="superscript"/>
              </w:rPr>
              <w:t>2</w:t>
            </w:r>
            <w:r w:rsidRPr="002C5876">
              <w:rPr>
                <w:sz w:val="18"/>
                <w:szCs w:val="18"/>
              </w:rPr>
              <w:t>/s</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3,0</w:t>
            </w:r>
          </w:p>
        </w:tc>
        <w:tc>
          <w:tcPr>
            <w:tcW w:w="119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4,5</w:t>
            </w:r>
          </w:p>
        </w:tc>
        <w:tc>
          <w:tcPr>
            <w:tcW w:w="218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JIS K2283</w:t>
            </w:r>
          </w:p>
        </w:tc>
      </w:tr>
      <w:tr w:rsidR="00E24DB7" w:rsidRPr="002C5876" w:rsidTr="00E24DB7">
        <w:tc>
          <w:tcPr>
            <w:tcW w:w="353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Toutes les séries aromatiques</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vol.</w:t>
            </w:r>
          </w:p>
        </w:tc>
        <w:tc>
          <w:tcPr>
            <w:tcW w:w="1362"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19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25</w:t>
            </w:r>
          </w:p>
        </w:tc>
        <w:tc>
          <w:tcPr>
            <w:tcW w:w="218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Méthode JIS HPLC </w:t>
            </w:r>
          </w:p>
        </w:tc>
      </w:tr>
      <w:tr w:rsidR="00E24DB7" w:rsidRPr="002C5876" w:rsidTr="00E24DB7">
        <w:tc>
          <w:tcPr>
            <w:tcW w:w="353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Hydrocarbures aromatiques polycycliques</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vol.</w:t>
            </w:r>
          </w:p>
        </w:tc>
        <w:tc>
          <w:tcPr>
            <w:tcW w:w="1362"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19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5,0</w:t>
            </w:r>
          </w:p>
        </w:tc>
        <w:tc>
          <w:tcPr>
            <w:tcW w:w="218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Méthode JIS HPLC</w:t>
            </w:r>
          </w:p>
        </w:tc>
      </w:tr>
      <w:tr w:rsidR="00E24DB7" w:rsidRPr="00D53F39" w:rsidTr="00E24DB7">
        <w:tc>
          <w:tcPr>
            <w:tcW w:w="353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Teneur en soufre</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ppm en poids</w:t>
            </w:r>
          </w:p>
        </w:tc>
        <w:tc>
          <w:tcPr>
            <w:tcW w:w="1362"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19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10</w:t>
            </w:r>
          </w:p>
        </w:tc>
        <w:tc>
          <w:tcPr>
            <w:tcW w:w="2180" w:type="dxa"/>
            <w:tcBorders>
              <w:top w:val="single" w:sz="4" w:space="0" w:color="auto"/>
              <w:left w:val="single" w:sz="4" w:space="0" w:color="auto"/>
              <w:bottom w:val="single" w:sz="4" w:space="0" w:color="auto"/>
              <w:right w:val="single" w:sz="4" w:space="0" w:color="auto"/>
            </w:tcBorders>
            <w:hideMark/>
          </w:tcPr>
          <w:p w:rsidR="00E24DB7" w:rsidRPr="00D53F39" w:rsidRDefault="00E24DB7" w:rsidP="00E24DB7">
            <w:pPr>
              <w:suppressAutoHyphens w:val="0"/>
              <w:spacing w:before="60" w:after="60" w:line="220" w:lineRule="atLeast"/>
              <w:ind w:left="57" w:right="57"/>
              <w:rPr>
                <w:sz w:val="18"/>
                <w:szCs w:val="18"/>
                <w:lang w:val="en-US"/>
              </w:rPr>
            </w:pPr>
            <w:r w:rsidRPr="00D53F39">
              <w:rPr>
                <w:sz w:val="18"/>
                <w:szCs w:val="18"/>
                <w:lang w:val="en-US"/>
              </w:rPr>
              <w:t xml:space="preserve">JIS K2541-1 </w:t>
            </w:r>
            <w:r w:rsidRPr="00D53F39">
              <w:rPr>
                <w:sz w:val="18"/>
                <w:szCs w:val="18"/>
                <w:lang w:val="en-US"/>
              </w:rPr>
              <w:br/>
              <w:t xml:space="preserve">JIS K2541-2 </w:t>
            </w:r>
            <w:r w:rsidRPr="00D53F39">
              <w:rPr>
                <w:sz w:val="18"/>
                <w:szCs w:val="18"/>
                <w:lang w:val="en-US"/>
              </w:rPr>
              <w:br/>
              <w:t xml:space="preserve">JIS K2541-6 </w:t>
            </w:r>
            <w:r w:rsidRPr="00D53F39">
              <w:rPr>
                <w:sz w:val="18"/>
                <w:szCs w:val="18"/>
                <w:lang w:val="en-US"/>
              </w:rPr>
              <w:br/>
              <w:t>JIS K2541-7</w:t>
            </w:r>
          </w:p>
        </w:tc>
      </w:tr>
      <w:tr w:rsidR="00E24DB7" w:rsidRPr="002C5876" w:rsidTr="00E24DB7">
        <w:tc>
          <w:tcPr>
            <w:tcW w:w="353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keepNext/>
              <w:keepLines/>
              <w:suppressAutoHyphens w:val="0"/>
              <w:spacing w:before="60" w:after="60" w:line="220" w:lineRule="atLeast"/>
              <w:ind w:left="57" w:right="57"/>
              <w:rPr>
                <w:sz w:val="18"/>
                <w:szCs w:val="18"/>
              </w:rPr>
            </w:pPr>
            <w:r w:rsidRPr="002C5876">
              <w:rPr>
                <w:sz w:val="18"/>
                <w:szCs w:val="18"/>
              </w:rPr>
              <w:t>Esters méthyliques d’acides gras</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keepNext/>
              <w:keepLines/>
              <w:suppressAutoHyphens w:val="0"/>
              <w:spacing w:before="60" w:after="60" w:line="220" w:lineRule="atLeast"/>
              <w:ind w:left="57" w:right="57"/>
              <w:rPr>
                <w:sz w:val="18"/>
                <w:szCs w:val="18"/>
              </w:rPr>
            </w:pPr>
            <w:r w:rsidRPr="002C5876">
              <w:rPr>
                <w:sz w:val="18"/>
                <w:szCs w:val="18"/>
              </w:rPr>
              <w:t>%</w:t>
            </w:r>
          </w:p>
        </w:tc>
        <w:tc>
          <w:tcPr>
            <w:tcW w:w="1362"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keepNext/>
              <w:keepLines/>
              <w:suppressAutoHyphens w:val="0"/>
              <w:spacing w:before="60" w:after="60" w:line="220" w:lineRule="atLeast"/>
              <w:ind w:left="57" w:right="57"/>
              <w:rPr>
                <w:sz w:val="18"/>
                <w:szCs w:val="18"/>
              </w:rPr>
            </w:pPr>
          </w:p>
        </w:tc>
        <w:tc>
          <w:tcPr>
            <w:tcW w:w="119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keepNext/>
              <w:keepLines/>
              <w:suppressAutoHyphens w:val="0"/>
              <w:spacing w:before="60" w:after="60" w:line="220" w:lineRule="atLeast"/>
              <w:ind w:left="57" w:right="57"/>
              <w:rPr>
                <w:sz w:val="18"/>
                <w:szCs w:val="18"/>
              </w:rPr>
            </w:pPr>
            <w:r w:rsidRPr="002C5876">
              <w:rPr>
                <w:sz w:val="18"/>
                <w:szCs w:val="18"/>
              </w:rPr>
              <w:t>0,1</w:t>
            </w:r>
          </w:p>
        </w:tc>
        <w:tc>
          <w:tcPr>
            <w:tcW w:w="2180"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keepNext/>
              <w:keepLines/>
              <w:suppressAutoHyphens w:val="0"/>
              <w:spacing w:before="60" w:after="60" w:line="220" w:lineRule="atLeast"/>
              <w:ind w:left="57" w:right="57"/>
              <w:rPr>
                <w:sz w:val="18"/>
                <w:szCs w:val="18"/>
              </w:rPr>
            </w:pPr>
            <w:r w:rsidRPr="002C5876">
              <w:rPr>
                <w:sz w:val="18"/>
                <w:szCs w:val="18"/>
              </w:rPr>
              <w:t>Méthode prescrite dans la notification japonaise relative à la procédure de mesure de la concentration</w:t>
            </w:r>
          </w:p>
        </w:tc>
      </w:tr>
      <w:tr w:rsidR="00E24DB7" w:rsidRPr="002C5876" w:rsidTr="00E24DB7">
        <w:tc>
          <w:tcPr>
            <w:tcW w:w="3538"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Triglycérides</w:t>
            </w:r>
          </w:p>
        </w:tc>
        <w:tc>
          <w:tcPr>
            <w:tcW w:w="1362"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362" w:type="dxa"/>
            <w:tcBorders>
              <w:top w:val="single" w:sz="4" w:space="0" w:color="auto"/>
              <w:left w:val="single" w:sz="4" w:space="0" w:color="auto"/>
              <w:bottom w:val="single" w:sz="12"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197"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0,01</w:t>
            </w:r>
          </w:p>
        </w:tc>
        <w:tc>
          <w:tcPr>
            <w:tcW w:w="2180"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Méthode prescrite dans la notification japonaise relative à la procédure de mesure de la concentration</w:t>
            </w:r>
          </w:p>
        </w:tc>
      </w:tr>
    </w:tbl>
    <w:p w:rsidR="00E24DB7" w:rsidRPr="002C5876" w:rsidRDefault="00E24DB7" w:rsidP="00E24DB7">
      <w:pPr>
        <w:pStyle w:val="SingleTxtG"/>
        <w:spacing w:before="240"/>
        <w:ind w:left="2268" w:hanging="1134"/>
      </w:pPr>
    </w:p>
    <w:p w:rsidR="00E24DB7" w:rsidRPr="002C5876" w:rsidRDefault="00E24DB7" w:rsidP="00E24DB7">
      <w:pPr>
        <w:pStyle w:val="SingleTxtG"/>
        <w:spacing w:before="240"/>
        <w:ind w:left="2268" w:hanging="1134"/>
      </w:pPr>
      <w:r w:rsidRPr="002C5876">
        <w:br w:type="page"/>
      </w:r>
      <w:r w:rsidRPr="002C5876">
        <w:lastRenderedPageBreak/>
        <w:t>5.2</w:t>
      </w:r>
      <w:r w:rsidRPr="002C5876">
        <w:tab/>
      </w:r>
      <w:r w:rsidRPr="002C5876">
        <w:tab/>
        <w:t>Gazole E (cétane nominal 52, B5)</w:t>
      </w:r>
    </w:p>
    <w:p w:rsidR="00E24DB7" w:rsidRPr="002C5876" w:rsidRDefault="00E24DB7" w:rsidP="00E24DB7">
      <w:pPr>
        <w:pStyle w:val="H23G"/>
        <w:ind w:left="0" w:firstLine="0"/>
      </w:pPr>
      <w:r w:rsidRPr="002C5876">
        <w:rPr>
          <w:b w:val="0"/>
        </w:rPr>
        <w:t>Tableau A3/15</w:t>
      </w:r>
      <w:r w:rsidRPr="002C5876">
        <w:t xml:space="preserve"> </w:t>
      </w:r>
      <w:r w:rsidRPr="002C5876">
        <w:br/>
        <w:t>Gazole E (cétane nominal 52, B5)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833"/>
        <w:gridCol w:w="1275"/>
        <w:gridCol w:w="1276"/>
        <w:gridCol w:w="1244"/>
        <w:gridCol w:w="2017"/>
      </w:tblGrid>
      <w:tr w:rsidR="00E24DB7" w:rsidRPr="002C5876" w:rsidTr="00E24DB7">
        <w:trPr>
          <w:tblHeader/>
        </w:trPr>
        <w:tc>
          <w:tcPr>
            <w:tcW w:w="3833" w:type="dxa"/>
            <w:vMerge w:val="restart"/>
            <w:tcBorders>
              <w:top w:val="single" w:sz="4" w:space="0" w:color="auto"/>
              <w:left w:val="single" w:sz="4" w:space="0" w:color="auto"/>
              <w:bottom w:val="single" w:sz="4"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Paramètre</w:t>
            </w:r>
          </w:p>
        </w:tc>
        <w:tc>
          <w:tcPr>
            <w:tcW w:w="1275" w:type="dxa"/>
            <w:vMerge w:val="restart"/>
            <w:tcBorders>
              <w:top w:val="single" w:sz="4" w:space="0" w:color="auto"/>
              <w:left w:val="single" w:sz="4" w:space="0" w:color="auto"/>
              <w:bottom w:val="single" w:sz="4"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Unité</w:t>
            </w:r>
          </w:p>
        </w:tc>
        <w:tc>
          <w:tcPr>
            <w:tcW w:w="2520"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80" w:after="80" w:line="200" w:lineRule="exact"/>
              <w:ind w:left="57" w:right="57"/>
              <w:jc w:val="center"/>
              <w:rPr>
                <w:i/>
                <w:sz w:val="16"/>
                <w:szCs w:val="16"/>
              </w:rPr>
            </w:pPr>
            <w:r w:rsidRPr="002C5876">
              <w:rPr>
                <w:i/>
                <w:sz w:val="16"/>
                <w:szCs w:val="16"/>
              </w:rPr>
              <w:t>Limites</w:t>
            </w:r>
            <w:r w:rsidRPr="002C5876">
              <w:rPr>
                <w:i/>
                <w:sz w:val="16"/>
                <w:szCs w:val="16"/>
                <w:vertAlign w:val="superscript"/>
              </w:rPr>
              <w:t>1</w:t>
            </w:r>
          </w:p>
        </w:tc>
        <w:tc>
          <w:tcPr>
            <w:tcW w:w="2017" w:type="dxa"/>
            <w:vMerge w:val="restart"/>
            <w:tcBorders>
              <w:top w:val="single" w:sz="4" w:space="0" w:color="auto"/>
              <w:left w:val="single" w:sz="4" w:space="0" w:color="auto"/>
              <w:bottom w:val="single" w:sz="4"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Méthode d’essai</w:t>
            </w:r>
          </w:p>
        </w:tc>
      </w:tr>
      <w:tr w:rsidR="00E24DB7" w:rsidRPr="002C5876" w:rsidTr="00E24DB7">
        <w:trPr>
          <w:tblHeader/>
        </w:trPr>
        <w:tc>
          <w:tcPr>
            <w:tcW w:w="3833" w:type="dxa"/>
            <w:vMerge/>
            <w:tcBorders>
              <w:top w:val="single" w:sz="4" w:space="0" w:color="auto"/>
              <w:left w:val="single" w:sz="4" w:space="0" w:color="auto"/>
              <w:bottom w:val="single" w:sz="12" w:space="0" w:color="auto"/>
              <w:right w:val="single" w:sz="4" w:space="0" w:color="auto"/>
            </w:tcBorders>
            <w:vAlign w:val="center"/>
            <w:hideMark/>
          </w:tcPr>
          <w:p w:rsidR="00E24DB7" w:rsidRPr="002C5876" w:rsidRDefault="00E24DB7" w:rsidP="00E24DB7">
            <w:pPr>
              <w:suppressAutoHyphens w:val="0"/>
              <w:spacing w:before="60" w:after="120" w:line="240" w:lineRule="auto"/>
              <w:ind w:right="57"/>
              <w:rPr>
                <w:i/>
                <w:sz w:val="18"/>
                <w:szCs w:val="18"/>
              </w:rPr>
            </w:pPr>
          </w:p>
        </w:tc>
        <w:tc>
          <w:tcPr>
            <w:tcW w:w="1275" w:type="dxa"/>
            <w:vMerge/>
            <w:tcBorders>
              <w:top w:val="single" w:sz="4" w:space="0" w:color="auto"/>
              <w:left w:val="single" w:sz="4" w:space="0" w:color="auto"/>
              <w:bottom w:val="single" w:sz="12" w:space="0" w:color="auto"/>
              <w:right w:val="single" w:sz="4" w:space="0" w:color="auto"/>
            </w:tcBorders>
            <w:vAlign w:val="center"/>
            <w:hideMark/>
          </w:tcPr>
          <w:p w:rsidR="00E24DB7" w:rsidRPr="002C5876" w:rsidRDefault="00E24DB7" w:rsidP="00E24DB7">
            <w:pPr>
              <w:suppressAutoHyphens w:val="0"/>
              <w:spacing w:before="60" w:after="120" w:line="240" w:lineRule="auto"/>
              <w:rPr>
                <w:i/>
                <w:sz w:val="18"/>
                <w:szCs w:val="18"/>
              </w:rPr>
            </w:pPr>
          </w:p>
        </w:tc>
        <w:tc>
          <w:tcPr>
            <w:tcW w:w="1276" w:type="dxa"/>
            <w:tcBorders>
              <w:top w:val="single" w:sz="4" w:space="0" w:color="auto"/>
              <w:left w:val="single" w:sz="4" w:space="0" w:color="auto"/>
              <w:bottom w:val="single" w:sz="12"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Minimum</w:t>
            </w:r>
          </w:p>
        </w:tc>
        <w:tc>
          <w:tcPr>
            <w:tcW w:w="1244" w:type="dxa"/>
            <w:tcBorders>
              <w:top w:val="single" w:sz="4" w:space="0" w:color="auto"/>
              <w:left w:val="single" w:sz="4" w:space="0" w:color="auto"/>
              <w:bottom w:val="single" w:sz="12"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Maximum</w:t>
            </w:r>
          </w:p>
        </w:tc>
        <w:tc>
          <w:tcPr>
            <w:tcW w:w="2017" w:type="dxa"/>
            <w:vMerge/>
            <w:tcBorders>
              <w:top w:val="single" w:sz="4" w:space="0" w:color="auto"/>
              <w:left w:val="single" w:sz="4" w:space="0" w:color="auto"/>
              <w:bottom w:val="single" w:sz="12" w:space="0" w:color="auto"/>
              <w:right w:val="single" w:sz="4" w:space="0" w:color="auto"/>
            </w:tcBorders>
            <w:vAlign w:val="center"/>
            <w:hideMark/>
          </w:tcPr>
          <w:p w:rsidR="00E24DB7" w:rsidRPr="002C5876" w:rsidRDefault="00E24DB7" w:rsidP="00E24DB7">
            <w:pPr>
              <w:suppressAutoHyphens w:val="0"/>
              <w:spacing w:before="60" w:after="120" w:line="240" w:lineRule="auto"/>
              <w:rPr>
                <w:i/>
                <w:sz w:val="18"/>
                <w:szCs w:val="18"/>
              </w:rPr>
            </w:pPr>
          </w:p>
        </w:tc>
      </w:tr>
      <w:tr w:rsidR="00E24DB7" w:rsidRPr="002C5876" w:rsidTr="00E24DB7">
        <w:tc>
          <w:tcPr>
            <w:tcW w:w="3833"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Indice de cétane</w:t>
            </w:r>
            <w:r w:rsidRPr="002C5876">
              <w:rPr>
                <w:i/>
                <w:sz w:val="18"/>
                <w:szCs w:val="18"/>
                <w:vertAlign w:val="superscript"/>
              </w:rPr>
              <w:t>2</w:t>
            </w:r>
          </w:p>
        </w:tc>
        <w:tc>
          <w:tcPr>
            <w:tcW w:w="1275" w:type="dxa"/>
            <w:tcBorders>
              <w:top w:val="single" w:sz="12"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276"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52,0</w:t>
            </w:r>
          </w:p>
        </w:tc>
        <w:tc>
          <w:tcPr>
            <w:tcW w:w="1244"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54,0</w:t>
            </w:r>
          </w:p>
        </w:tc>
        <w:tc>
          <w:tcPr>
            <w:tcW w:w="2017"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EN-ISO 5165</w:t>
            </w:r>
          </w:p>
        </w:tc>
      </w:tr>
      <w:tr w:rsidR="00E24DB7" w:rsidRPr="002C5876" w:rsidTr="00E24DB7">
        <w:tc>
          <w:tcPr>
            <w:tcW w:w="383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Densité à 15 °C</w:t>
            </w:r>
          </w:p>
        </w:tc>
        <w:tc>
          <w:tcPr>
            <w:tcW w:w="1275"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kg/m</w:t>
            </w:r>
            <w:r w:rsidRPr="002C5876">
              <w:rPr>
                <w:sz w:val="18"/>
                <w:szCs w:val="18"/>
                <w:vertAlign w:val="superscript"/>
              </w:rPr>
              <w:t>3</w:t>
            </w:r>
          </w:p>
        </w:tc>
        <w:tc>
          <w:tcPr>
            <w:tcW w:w="127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833</w:t>
            </w:r>
          </w:p>
        </w:tc>
        <w:tc>
          <w:tcPr>
            <w:tcW w:w="124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837</w:t>
            </w:r>
          </w:p>
        </w:tc>
        <w:tc>
          <w:tcPr>
            <w:tcW w:w="201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EN-ISO 3675</w:t>
            </w:r>
          </w:p>
        </w:tc>
      </w:tr>
      <w:tr w:rsidR="00E24DB7" w:rsidRPr="002C5876" w:rsidTr="00E24DB7">
        <w:tc>
          <w:tcPr>
            <w:tcW w:w="383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Distillation :</w:t>
            </w:r>
          </w:p>
        </w:tc>
        <w:tc>
          <w:tcPr>
            <w:tcW w:w="1275"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244"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2017"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r>
      <w:tr w:rsidR="00E24DB7" w:rsidRPr="002C5876" w:rsidTr="00E24DB7">
        <w:tc>
          <w:tcPr>
            <w:tcW w:w="383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pStyle w:val="Bullet1G"/>
              <w:numPr>
                <w:ilvl w:val="0"/>
                <w:numId w:val="1"/>
              </w:numPr>
              <w:spacing w:before="60" w:after="60" w:line="220" w:lineRule="atLeast"/>
              <w:ind w:left="340" w:right="57"/>
              <w:rPr>
                <w:sz w:val="18"/>
                <w:szCs w:val="18"/>
              </w:rPr>
            </w:pPr>
            <w:r w:rsidRPr="002C5876">
              <w:rPr>
                <w:sz w:val="18"/>
                <w:szCs w:val="18"/>
              </w:rPr>
              <w:t>À 50 % du volume</w:t>
            </w:r>
          </w:p>
        </w:tc>
        <w:tc>
          <w:tcPr>
            <w:tcW w:w="1275"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245</w:t>
            </w:r>
          </w:p>
        </w:tc>
        <w:tc>
          <w:tcPr>
            <w:tcW w:w="124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201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EN-ISO 3405</w:t>
            </w:r>
          </w:p>
        </w:tc>
      </w:tr>
      <w:tr w:rsidR="00E24DB7" w:rsidRPr="002C5876" w:rsidTr="00E24DB7">
        <w:tc>
          <w:tcPr>
            <w:tcW w:w="383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pStyle w:val="Bullet1G"/>
              <w:numPr>
                <w:ilvl w:val="0"/>
                <w:numId w:val="1"/>
              </w:numPr>
              <w:spacing w:before="60" w:after="60" w:line="220" w:lineRule="atLeast"/>
              <w:ind w:left="340" w:right="57"/>
              <w:rPr>
                <w:sz w:val="18"/>
                <w:szCs w:val="18"/>
              </w:rPr>
            </w:pPr>
            <w:r w:rsidRPr="002C5876">
              <w:rPr>
                <w:sz w:val="18"/>
                <w:szCs w:val="18"/>
              </w:rPr>
              <w:t>À 95 % du volume</w:t>
            </w:r>
          </w:p>
        </w:tc>
        <w:tc>
          <w:tcPr>
            <w:tcW w:w="1275"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345</w:t>
            </w:r>
          </w:p>
        </w:tc>
        <w:tc>
          <w:tcPr>
            <w:tcW w:w="124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350</w:t>
            </w:r>
          </w:p>
        </w:tc>
        <w:tc>
          <w:tcPr>
            <w:tcW w:w="201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EN-ISO 3405</w:t>
            </w:r>
          </w:p>
        </w:tc>
      </w:tr>
      <w:tr w:rsidR="00E24DB7" w:rsidRPr="002C5876" w:rsidTr="00E24DB7">
        <w:tc>
          <w:tcPr>
            <w:tcW w:w="383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pStyle w:val="Bullet1G"/>
              <w:numPr>
                <w:ilvl w:val="0"/>
                <w:numId w:val="1"/>
              </w:numPr>
              <w:spacing w:before="60" w:after="60" w:line="220" w:lineRule="atLeast"/>
              <w:ind w:left="340" w:right="57"/>
              <w:rPr>
                <w:sz w:val="18"/>
                <w:szCs w:val="18"/>
              </w:rPr>
            </w:pPr>
            <w:r w:rsidRPr="002C5876">
              <w:rPr>
                <w:sz w:val="18"/>
                <w:szCs w:val="18"/>
              </w:rPr>
              <w:t>Point d’ébullition final</w:t>
            </w:r>
          </w:p>
        </w:tc>
        <w:tc>
          <w:tcPr>
            <w:tcW w:w="1275"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24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370</w:t>
            </w:r>
          </w:p>
        </w:tc>
        <w:tc>
          <w:tcPr>
            <w:tcW w:w="201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EN-ISO 3405</w:t>
            </w:r>
          </w:p>
        </w:tc>
      </w:tr>
      <w:tr w:rsidR="00E24DB7" w:rsidRPr="002C5876" w:rsidTr="00E24DB7">
        <w:tc>
          <w:tcPr>
            <w:tcW w:w="383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Point éclair</w:t>
            </w:r>
          </w:p>
        </w:tc>
        <w:tc>
          <w:tcPr>
            <w:tcW w:w="1275"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55</w:t>
            </w:r>
          </w:p>
        </w:tc>
        <w:tc>
          <w:tcPr>
            <w:tcW w:w="124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201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 22719</w:t>
            </w:r>
          </w:p>
        </w:tc>
      </w:tr>
      <w:tr w:rsidR="00E24DB7" w:rsidRPr="002C5876" w:rsidTr="00E24DB7">
        <w:tc>
          <w:tcPr>
            <w:tcW w:w="383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Température limite de filtrabilité</w:t>
            </w:r>
          </w:p>
        </w:tc>
        <w:tc>
          <w:tcPr>
            <w:tcW w:w="1275"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24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-5</w:t>
            </w:r>
          </w:p>
        </w:tc>
        <w:tc>
          <w:tcPr>
            <w:tcW w:w="201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 116</w:t>
            </w:r>
          </w:p>
        </w:tc>
      </w:tr>
      <w:tr w:rsidR="00E24DB7" w:rsidRPr="002C5876" w:rsidTr="00E24DB7">
        <w:tc>
          <w:tcPr>
            <w:tcW w:w="383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Viscosité à 40 °C</w:t>
            </w:r>
          </w:p>
        </w:tc>
        <w:tc>
          <w:tcPr>
            <w:tcW w:w="1275"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mm</w:t>
            </w:r>
            <w:r w:rsidRPr="002C5876">
              <w:rPr>
                <w:sz w:val="18"/>
                <w:szCs w:val="18"/>
                <w:vertAlign w:val="superscript"/>
              </w:rPr>
              <w:t>2</w:t>
            </w:r>
            <w:r w:rsidRPr="002C5876">
              <w:rPr>
                <w:sz w:val="18"/>
                <w:szCs w:val="18"/>
              </w:rPr>
              <w:t>/s</w:t>
            </w:r>
          </w:p>
        </w:tc>
        <w:tc>
          <w:tcPr>
            <w:tcW w:w="127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2,3</w:t>
            </w:r>
          </w:p>
        </w:tc>
        <w:tc>
          <w:tcPr>
            <w:tcW w:w="124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3,3</w:t>
            </w:r>
          </w:p>
        </w:tc>
        <w:tc>
          <w:tcPr>
            <w:tcW w:w="201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EN-ISO 3104</w:t>
            </w:r>
          </w:p>
        </w:tc>
      </w:tr>
      <w:tr w:rsidR="00E24DB7" w:rsidRPr="002C5876" w:rsidTr="00E24DB7">
        <w:tc>
          <w:tcPr>
            <w:tcW w:w="383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Hydrocarbures aromatiques polycycliques</w:t>
            </w:r>
          </w:p>
        </w:tc>
        <w:tc>
          <w:tcPr>
            <w:tcW w:w="1275"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m/m</w:t>
            </w:r>
          </w:p>
        </w:tc>
        <w:tc>
          <w:tcPr>
            <w:tcW w:w="127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2,0</w:t>
            </w:r>
          </w:p>
        </w:tc>
        <w:tc>
          <w:tcPr>
            <w:tcW w:w="124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6,0</w:t>
            </w:r>
          </w:p>
        </w:tc>
        <w:tc>
          <w:tcPr>
            <w:tcW w:w="201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 12916</w:t>
            </w:r>
          </w:p>
        </w:tc>
      </w:tr>
      <w:tr w:rsidR="00E24DB7" w:rsidRPr="002C5876" w:rsidTr="00E24DB7">
        <w:tc>
          <w:tcPr>
            <w:tcW w:w="383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Teneur en soufre</w:t>
            </w:r>
            <w:r w:rsidRPr="002C5876">
              <w:rPr>
                <w:i/>
                <w:sz w:val="18"/>
                <w:szCs w:val="18"/>
                <w:vertAlign w:val="superscript"/>
              </w:rPr>
              <w:t>3</w:t>
            </w:r>
          </w:p>
        </w:tc>
        <w:tc>
          <w:tcPr>
            <w:tcW w:w="1275"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mg/kg</w:t>
            </w:r>
          </w:p>
        </w:tc>
        <w:tc>
          <w:tcPr>
            <w:tcW w:w="127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24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10</w:t>
            </w:r>
          </w:p>
        </w:tc>
        <w:tc>
          <w:tcPr>
            <w:tcW w:w="201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EN ISO 20846/ </w:t>
            </w:r>
            <w:r w:rsidRPr="002C5876">
              <w:rPr>
                <w:sz w:val="18"/>
                <w:szCs w:val="18"/>
              </w:rPr>
              <w:br/>
              <w:t>EN ISO 20884</w:t>
            </w:r>
          </w:p>
        </w:tc>
      </w:tr>
      <w:tr w:rsidR="00E24DB7" w:rsidRPr="002C5876" w:rsidTr="00E24DB7">
        <w:tc>
          <w:tcPr>
            <w:tcW w:w="383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Corrosion du cuivre</w:t>
            </w:r>
          </w:p>
        </w:tc>
        <w:tc>
          <w:tcPr>
            <w:tcW w:w="1275"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24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Classe 1</w:t>
            </w:r>
          </w:p>
        </w:tc>
        <w:tc>
          <w:tcPr>
            <w:tcW w:w="201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EN-ISO 2160</w:t>
            </w:r>
          </w:p>
        </w:tc>
      </w:tr>
      <w:tr w:rsidR="00E24DB7" w:rsidRPr="002C5876" w:rsidTr="00E24DB7">
        <w:tc>
          <w:tcPr>
            <w:tcW w:w="383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Résidus de carbone Conradson (10 % DR)</w:t>
            </w:r>
          </w:p>
        </w:tc>
        <w:tc>
          <w:tcPr>
            <w:tcW w:w="1275"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m/m</w:t>
            </w:r>
          </w:p>
        </w:tc>
        <w:tc>
          <w:tcPr>
            <w:tcW w:w="127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24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0,2</w:t>
            </w:r>
          </w:p>
        </w:tc>
        <w:tc>
          <w:tcPr>
            <w:tcW w:w="201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EN-ISO 10370</w:t>
            </w:r>
          </w:p>
        </w:tc>
      </w:tr>
      <w:tr w:rsidR="00E24DB7" w:rsidRPr="002C5876" w:rsidTr="00E24DB7">
        <w:tc>
          <w:tcPr>
            <w:tcW w:w="383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Teneur en cendres</w:t>
            </w:r>
          </w:p>
        </w:tc>
        <w:tc>
          <w:tcPr>
            <w:tcW w:w="1275"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m/m</w:t>
            </w:r>
          </w:p>
        </w:tc>
        <w:tc>
          <w:tcPr>
            <w:tcW w:w="127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24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0,01</w:t>
            </w:r>
          </w:p>
        </w:tc>
        <w:tc>
          <w:tcPr>
            <w:tcW w:w="201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EN-ISO 6245</w:t>
            </w:r>
          </w:p>
        </w:tc>
      </w:tr>
      <w:tr w:rsidR="00E24DB7" w:rsidRPr="002C5876" w:rsidTr="00E24DB7">
        <w:tc>
          <w:tcPr>
            <w:tcW w:w="383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Teneur en eau</w:t>
            </w:r>
          </w:p>
        </w:tc>
        <w:tc>
          <w:tcPr>
            <w:tcW w:w="1275"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m/m</w:t>
            </w:r>
          </w:p>
        </w:tc>
        <w:tc>
          <w:tcPr>
            <w:tcW w:w="127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24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0,02</w:t>
            </w:r>
          </w:p>
        </w:tc>
        <w:tc>
          <w:tcPr>
            <w:tcW w:w="201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EN-ISO 12937</w:t>
            </w:r>
          </w:p>
        </w:tc>
      </w:tr>
      <w:tr w:rsidR="00E24DB7" w:rsidRPr="002C5876" w:rsidTr="00E24DB7">
        <w:tc>
          <w:tcPr>
            <w:tcW w:w="383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Indice de neutralisation (acide fort)</w:t>
            </w:r>
          </w:p>
        </w:tc>
        <w:tc>
          <w:tcPr>
            <w:tcW w:w="1275"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mg KOH/g</w:t>
            </w:r>
          </w:p>
        </w:tc>
        <w:tc>
          <w:tcPr>
            <w:tcW w:w="127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24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0,02</w:t>
            </w:r>
          </w:p>
        </w:tc>
        <w:tc>
          <w:tcPr>
            <w:tcW w:w="201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ASTM D 974</w:t>
            </w:r>
          </w:p>
        </w:tc>
      </w:tr>
      <w:tr w:rsidR="00E24DB7" w:rsidRPr="002C5876" w:rsidTr="00E24DB7">
        <w:tc>
          <w:tcPr>
            <w:tcW w:w="383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Stabilité à l’oxydation</w:t>
            </w:r>
            <w:r w:rsidRPr="002C5876">
              <w:rPr>
                <w:i/>
                <w:sz w:val="18"/>
                <w:szCs w:val="18"/>
                <w:vertAlign w:val="superscript"/>
              </w:rPr>
              <w:t>4</w:t>
            </w:r>
          </w:p>
        </w:tc>
        <w:tc>
          <w:tcPr>
            <w:tcW w:w="1275"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mg/ml</w:t>
            </w:r>
          </w:p>
        </w:tc>
        <w:tc>
          <w:tcPr>
            <w:tcW w:w="127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24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0,025</w:t>
            </w:r>
          </w:p>
        </w:tc>
        <w:tc>
          <w:tcPr>
            <w:tcW w:w="201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EN-ISO 12205</w:t>
            </w:r>
          </w:p>
        </w:tc>
      </w:tr>
      <w:tr w:rsidR="00E24DB7" w:rsidRPr="002C5876" w:rsidTr="00E24DB7">
        <w:tc>
          <w:tcPr>
            <w:tcW w:w="383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Lubrifiance (diamètre de la marque d’usure à l’issue de l’essai HFRR à 60 °C)</w:t>
            </w:r>
          </w:p>
        </w:tc>
        <w:tc>
          <w:tcPr>
            <w:tcW w:w="1275"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μm</w:t>
            </w:r>
          </w:p>
        </w:tc>
        <w:tc>
          <w:tcPr>
            <w:tcW w:w="127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24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400</w:t>
            </w:r>
          </w:p>
        </w:tc>
        <w:tc>
          <w:tcPr>
            <w:tcW w:w="201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 ISO 12156</w:t>
            </w:r>
          </w:p>
        </w:tc>
      </w:tr>
      <w:tr w:rsidR="00E24DB7" w:rsidRPr="002C5876" w:rsidTr="00E24DB7">
        <w:tc>
          <w:tcPr>
            <w:tcW w:w="383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Stabilité à l’oxydation à 110 °C</w:t>
            </w:r>
            <w:r w:rsidRPr="002C5876">
              <w:rPr>
                <w:i/>
                <w:sz w:val="18"/>
                <w:szCs w:val="18"/>
                <w:vertAlign w:val="superscript"/>
              </w:rPr>
              <w:t>4</w:t>
            </w:r>
            <w:r w:rsidRPr="002C5876">
              <w:rPr>
                <w:sz w:val="18"/>
                <w:szCs w:val="18"/>
                <w:vertAlign w:val="superscript"/>
              </w:rPr>
              <w:t xml:space="preserve">, </w:t>
            </w:r>
            <w:r w:rsidRPr="002C5876">
              <w:rPr>
                <w:i/>
                <w:sz w:val="18"/>
                <w:szCs w:val="18"/>
                <w:vertAlign w:val="superscript"/>
              </w:rPr>
              <w:t>6</w:t>
            </w:r>
          </w:p>
        </w:tc>
        <w:tc>
          <w:tcPr>
            <w:tcW w:w="1275"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h</w:t>
            </w:r>
          </w:p>
        </w:tc>
        <w:tc>
          <w:tcPr>
            <w:tcW w:w="127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20,0</w:t>
            </w:r>
          </w:p>
        </w:tc>
        <w:tc>
          <w:tcPr>
            <w:tcW w:w="1244"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201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 14112</w:t>
            </w:r>
          </w:p>
        </w:tc>
      </w:tr>
      <w:tr w:rsidR="00E24DB7" w:rsidRPr="002C5876" w:rsidTr="00E24DB7">
        <w:tc>
          <w:tcPr>
            <w:tcW w:w="3833"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Esters méthyliques d’acides gras</w:t>
            </w:r>
            <w:r w:rsidRPr="002C5876">
              <w:rPr>
                <w:i/>
                <w:sz w:val="18"/>
                <w:szCs w:val="18"/>
                <w:vertAlign w:val="superscript"/>
              </w:rPr>
              <w:t>5</w:t>
            </w:r>
          </w:p>
        </w:tc>
        <w:tc>
          <w:tcPr>
            <w:tcW w:w="1275"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v/v</w:t>
            </w:r>
          </w:p>
        </w:tc>
        <w:tc>
          <w:tcPr>
            <w:tcW w:w="1276"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4,5</w:t>
            </w:r>
          </w:p>
        </w:tc>
        <w:tc>
          <w:tcPr>
            <w:tcW w:w="1244"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5,5</w:t>
            </w:r>
          </w:p>
        </w:tc>
        <w:tc>
          <w:tcPr>
            <w:tcW w:w="2017"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 14078</w:t>
            </w:r>
          </w:p>
        </w:tc>
      </w:tr>
    </w:tbl>
    <w:p w:rsidR="00E24DB7" w:rsidRPr="002C5876" w:rsidRDefault="00E24DB7" w:rsidP="00E24DB7">
      <w:pPr>
        <w:spacing w:before="120"/>
        <w:ind w:firstLine="170"/>
        <w:rPr>
          <w:sz w:val="18"/>
          <w:szCs w:val="18"/>
        </w:rPr>
      </w:pPr>
      <w:r w:rsidRPr="002C5876">
        <w:rPr>
          <w:i/>
          <w:sz w:val="18"/>
          <w:szCs w:val="18"/>
          <w:vertAlign w:val="superscript"/>
        </w:rPr>
        <w:t>1</w:t>
      </w:r>
      <w:r w:rsidRPr="002C5876">
        <w:rPr>
          <w:sz w:val="18"/>
          <w:szCs w:val="18"/>
        </w:rPr>
        <w:t xml:space="preserve">  Les valeurs mentionnées dans les spécifications sont des « valeurs vraies ». Les valeurs limites ont été déterminées conformément à la norme ISO 4259, intitulée « Produits pétroliers − Détermination et application des valeurs de fidélité relatives aux méthodes d’essai ». Pour la fixation d’un minimum, une différence minimale de 2R par rapport à la valeur zéro a été prise en compte ; pour la fixation d’un maximum et d’un minimum, la différence minimale entre ces valeurs est de 4R (R = reproductibilité). Malgré cette mesure, qui est nécessaire pour des raisons techniques, le fabricant de carburant doit néanmoins viser la valeur zéro lorsque la valeur maximale indiquée est de 2R ou la valeur moyenne lorsqu’il existe un minimum et un maximum. S’il est nécessaire de vérifier qu’un carburant est conforme aux spécifications, les termes de la norme ISO 4259 doivent être appliqués.</w:t>
      </w:r>
    </w:p>
    <w:p w:rsidR="00E24DB7" w:rsidRPr="002C5876" w:rsidRDefault="00E24DB7" w:rsidP="00E24DB7">
      <w:pPr>
        <w:ind w:firstLine="170"/>
        <w:rPr>
          <w:sz w:val="18"/>
          <w:szCs w:val="18"/>
        </w:rPr>
      </w:pPr>
      <w:r w:rsidRPr="002C5876">
        <w:rPr>
          <w:i/>
          <w:sz w:val="18"/>
          <w:szCs w:val="18"/>
          <w:vertAlign w:val="superscript"/>
        </w:rPr>
        <w:t>2</w:t>
      </w:r>
      <w:r w:rsidRPr="002C5876">
        <w:rPr>
          <w:sz w:val="18"/>
          <w:szCs w:val="18"/>
        </w:rPr>
        <w:t xml:space="preserve">  L’intervalle indiqué pour l’indice de cétane n’est pas conforme à l’exigence d’un minimum de 4R. Toutefois, pour trancher toute contestation éventuelle entre le fournisseur et l’utilisateur, on pourra se conformer aux termes de la norme ISO 4259, à condition qu’il soit effectué un nombre suffisant de mesures pour obtenir la précision nécessaire, et non pas seulement des mesures individuelles.</w:t>
      </w:r>
    </w:p>
    <w:p w:rsidR="00E24DB7" w:rsidRPr="002C5876" w:rsidRDefault="00E24DB7" w:rsidP="00E24DB7">
      <w:pPr>
        <w:ind w:firstLine="170"/>
        <w:rPr>
          <w:sz w:val="18"/>
          <w:szCs w:val="18"/>
        </w:rPr>
      </w:pPr>
      <w:r w:rsidRPr="002C5876">
        <w:rPr>
          <w:i/>
          <w:sz w:val="18"/>
          <w:szCs w:val="18"/>
          <w:vertAlign w:val="superscript"/>
        </w:rPr>
        <w:t>3</w:t>
      </w:r>
      <w:r w:rsidRPr="002C5876">
        <w:rPr>
          <w:sz w:val="18"/>
          <w:szCs w:val="18"/>
        </w:rPr>
        <w:t xml:space="preserve">  Il convient d’enregistrer la teneur en soufre effective du carburant utilisé pour les essais de type 1.</w:t>
      </w:r>
    </w:p>
    <w:p w:rsidR="00E24DB7" w:rsidRPr="002C5876" w:rsidRDefault="00E24DB7" w:rsidP="00E24DB7">
      <w:pPr>
        <w:ind w:firstLine="170"/>
        <w:rPr>
          <w:sz w:val="18"/>
          <w:szCs w:val="18"/>
        </w:rPr>
      </w:pPr>
      <w:r w:rsidRPr="002C5876">
        <w:rPr>
          <w:i/>
          <w:sz w:val="18"/>
          <w:szCs w:val="18"/>
          <w:vertAlign w:val="superscript"/>
        </w:rPr>
        <w:t>4</w:t>
      </w:r>
      <w:r w:rsidRPr="002C5876">
        <w:rPr>
          <w:sz w:val="18"/>
          <w:szCs w:val="18"/>
        </w:rPr>
        <w:t xml:space="preserve">  Bien que des mesures soient prises pour assurer la stabilité à l’oxydation, il est probable que la durée de stockage du produit soit limitée. Il est recommandé de demander conseil au fournisseur quant aux conditions et à la durée de stockage.</w:t>
      </w:r>
    </w:p>
    <w:p w:rsidR="00E24DB7" w:rsidRPr="002C5876" w:rsidRDefault="00E24DB7" w:rsidP="00E24DB7">
      <w:pPr>
        <w:ind w:firstLine="170"/>
        <w:rPr>
          <w:sz w:val="18"/>
          <w:szCs w:val="18"/>
        </w:rPr>
      </w:pPr>
      <w:r w:rsidRPr="002C5876">
        <w:rPr>
          <w:i/>
          <w:sz w:val="18"/>
          <w:szCs w:val="18"/>
          <w:vertAlign w:val="superscript"/>
        </w:rPr>
        <w:t>5</w:t>
      </w:r>
      <w:r w:rsidRPr="002C5876">
        <w:rPr>
          <w:sz w:val="18"/>
          <w:szCs w:val="18"/>
        </w:rPr>
        <w:t xml:space="preserve">  La teneur en esters méthyliques d’acides gras doit satisfaire aux spécifications de la norme EN 14214.</w:t>
      </w:r>
    </w:p>
    <w:p w:rsidR="00E24DB7" w:rsidRPr="002C5876" w:rsidRDefault="00E24DB7" w:rsidP="00E24DB7">
      <w:pPr>
        <w:suppressAutoHyphens w:val="0"/>
        <w:ind w:firstLine="170"/>
        <w:rPr>
          <w:sz w:val="18"/>
          <w:szCs w:val="18"/>
        </w:rPr>
      </w:pPr>
      <w:r w:rsidRPr="002C5876">
        <w:rPr>
          <w:i/>
          <w:sz w:val="18"/>
          <w:szCs w:val="18"/>
          <w:vertAlign w:val="superscript"/>
        </w:rPr>
        <w:t>6</w:t>
      </w:r>
      <w:r w:rsidRPr="002C5876">
        <w:rPr>
          <w:sz w:val="18"/>
          <w:szCs w:val="18"/>
        </w:rPr>
        <w:t xml:space="preserve">  La stabilité à l’oxydation peut être démontrée conformément à la norme EN-ISO 12205 ou EN 14112. Cette prescription sera réexaminée sur la base d’évaluations du CEN/TC19 sur les performances de stabilité à l’oxydation et les limites d’essai.</w:t>
      </w:r>
    </w:p>
    <w:p w:rsidR="00E24DB7" w:rsidRPr="002C5876" w:rsidRDefault="00E24DB7" w:rsidP="00E24DB7">
      <w:pPr>
        <w:pStyle w:val="SingleTxtG"/>
        <w:keepNext/>
        <w:ind w:left="2268" w:hanging="1134"/>
      </w:pPr>
      <w:r w:rsidRPr="002C5876">
        <w:br w:type="page"/>
      </w:r>
      <w:r w:rsidRPr="002C5876">
        <w:lastRenderedPageBreak/>
        <w:t>5.3</w:t>
      </w:r>
      <w:r w:rsidRPr="002C5876">
        <w:tab/>
      </w:r>
      <w:r w:rsidRPr="002C5876">
        <w:tab/>
        <w:t>Gazole K (cétane nominal 52, B5)</w:t>
      </w:r>
    </w:p>
    <w:p w:rsidR="00E24DB7" w:rsidRPr="002C5876" w:rsidRDefault="00E24DB7" w:rsidP="00E24DB7">
      <w:pPr>
        <w:pStyle w:val="H23G"/>
        <w:ind w:left="0" w:firstLine="0"/>
      </w:pPr>
      <w:r w:rsidRPr="002C5876">
        <w:rPr>
          <w:b w:val="0"/>
        </w:rPr>
        <w:t>Tableau A3/16</w:t>
      </w:r>
      <w:r w:rsidRPr="002C5876">
        <w:t xml:space="preserve"> </w:t>
      </w:r>
      <w:r w:rsidRPr="002C5876">
        <w:br/>
        <w:t>Gazole K (cétane nominal 52, B5)</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7"/>
        <w:gridCol w:w="1362"/>
        <w:gridCol w:w="1202"/>
        <w:gridCol w:w="1842"/>
        <w:gridCol w:w="1696"/>
      </w:tblGrid>
      <w:tr w:rsidR="00E24DB7" w:rsidRPr="002C5876" w:rsidTr="00E24DB7">
        <w:trPr>
          <w:tblHeader/>
        </w:trPr>
        <w:tc>
          <w:tcPr>
            <w:tcW w:w="3537" w:type="dxa"/>
            <w:vMerge w:val="restart"/>
            <w:tcBorders>
              <w:top w:val="single" w:sz="4" w:space="0" w:color="auto"/>
              <w:left w:val="single" w:sz="4" w:space="0" w:color="auto"/>
              <w:bottom w:val="single" w:sz="4"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Propriété du carburant/Composé</w:t>
            </w:r>
          </w:p>
        </w:tc>
        <w:tc>
          <w:tcPr>
            <w:tcW w:w="1362" w:type="dxa"/>
            <w:vMerge w:val="restart"/>
            <w:tcBorders>
              <w:top w:val="single" w:sz="4" w:space="0" w:color="auto"/>
              <w:left w:val="single" w:sz="4" w:space="0" w:color="auto"/>
              <w:bottom w:val="single" w:sz="4"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Unité</w:t>
            </w:r>
          </w:p>
        </w:tc>
        <w:tc>
          <w:tcPr>
            <w:tcW w:w="3044"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80" w:after="80" w:line="200" w:lineRule="exact"/>
              <w:ind w:left="57" w:right="57"/>
              <w:jc w:val="center"/>
              <w:rPr>
                <w:i/>
                <w:sz w:val="16"/>
                <w:szCs w:val="16"/>
              </w:rPr>
            </w:pPr>
            <w:r w:rsidRPr="002C5876">
              <w:rPr>
                <w:i/>
                <w:sz w:val="16"/>
                <w:szCs w:val="16"/>
              </w:rPr>
              <w:t>Spécification</w:t>
            </w:r>
          </w:p>
        </w:tc>
        <w:tc>
          <w:tcPr>
            <w:tcW w:w="1696" w:type="dxa"/>
            <w:vMerge w:val="restart"/>
            <w:tcBorders>
              <w:top w:val="single" w:sz="4" w:space="0" w:color="auto"/>
              <w:left w:val="single" w:sz="4" w:space="0" w:color="auto"/>
              <w:bottom w:val="single" w:sz="4"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Méthode d’essai</w:t>
            </w:r>
          </w:p>
        </w:tc>
      </w:tr>
      <w:tr w:rsidR="00E24DB7" w:rsidRPr="002C5876" w:rsidTr="00E24DB7">
        <w:trPr>
          <w:tblHeader/>
        </w:trPr>
        <w:tc>
          <w:tcPr>
            <w:tcW w:w="3537" w:type="dxa"/>
            <w:vMerge/>
            <w:tcBorders>
              <w:top w:val="single" w:sz="4" w:space="0" w:color="auto"/>
              <w:left w:val="single" w:sz="4" w:space="0" w:color="auto"/>
              <w:bottom w:val="single" w:sz="12" w:space="0" w:color="auto"/>
              <w:right w:val="single" w:sz="4" w:space="0" w:color="auto"/>
            </w:tcBorders>
            <w:vAlign w:val="center"/>
            <w:hideMark/>
          </w:tcPr>
          <w:p w:rsidR="00E24DB7" w:rsidRPr="002C5876" w:rsidRDefault="00E24DB7" w:rsidP="00E24DB7">
            <w:pPr>
              <w:suppressAutoHyphens w:val="0"/>
              <w:spacing w:before="60" w:after="120" w:line="240" w:lineRule="auto"/>
              <w:ind w:left="57" w:right="57"/>
              <w:rPr>
                <w:i/>
                <w:sz w:val="18"/>
                <w:szCs w:val="18"/>
              </w:rPr>
            </w:pPr>
          </w:p>
        </w:tc>
        <w:tc>
          <w:tcPr>
            <w:tcW w:w="1362" w:type="dxa"/>
            <w:vMerge/>
            <w:tcBorders>
              <w:top w:val="single" w:sz="4" w:space="0" w:color="auto"/>
              <w:left w:val="single" w:sz="4" w:space="0" w:color="auto"/>
              <w:bottom w:val="single" w:sz="12" w:space="0" w:color="auto"/>
              <w:right w:val="single" w:sz="4" w:space="0" w:color="auto"/>
            </w:tcBorders>
            <w:vAlign w:val="center"/>
            <w:hideMark/>
          </w:tcPr>
          <w:p w:rsidR="00E24DB7" w:rsidRPr="002C5876" w:rsidRDefault="00E24DB7" w:rsidP="00E24DB7">
            <w:pPr>
              <w:suppressAutoHyphens w:val="0"/>
              <w:spacing w:before="60" w:after="120" w:line="240" w:lineRule="auto"/>
              <w:ind w:left="57" w:right="57"/>
              <w:rPr>
                <w:i/>
                <w:sz w:val="18"/>
                <w:szCs w:val="18"/>
              </w:rPr>
            </w:pPr>
          </w:p>
        </w:tc>
        <w:tc>
          <w:tcPr>
            <w:tcW w:w="1202" w:type="dxa"/>
            <w:tcBorders>
              <w:top w:val="single" w:sz="4" w:space="0" w:color="auto"/>
              <w:left w:val="single" w:sz="4" w:space="0" w:color="auto"/>
              <w:bottom w:val="single" w:sz="12"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Minimum</w:t>
            </w:r>
          </w:p>
        </w:tc>
        <w:tc>
          <w:tcPr>
            <w:tcW w:w="1842" w:type="dxa"/>
            <w:tcBorders>
              <w:top w:val="single" w:sz="4" w:space="0" w:color="auto"/>
              <w:left w:val="single" w:sz="4" w:space="0" w:color="auto"/>
              <w:bottom w:val="single" w:sz="12"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Maximum</w:t>
            </w:r>
          </w:p>
        </w:tc>
        <w:tc>
          <w:tcPr>
            <w:tcW w:w="1696" w:type="dxa"/>
            <w:vMerge/>
            <w:tcBorders>
              <w:top w:val="single" w:sz="4" w:space="0" w:color="auto"/>
              <w:left w:val="single" w:sz="4" w:space="0" w:color="auto"/>
              <w:bottom w:val="single" w:sz="12" w:space="0" w:color="auto"/>
              <w:right w:val="single" w:sz="4" w:space="0" w:color="auto"/>
            </w:tcBorders>
            <w:vAlign w:val="center"/>
            <w:hideMark/>
          </w:tcPr>
          <w:p w:rsidR="00E24DB7" w:rsidRPr="002C5876" w:rsidRDefault="00E24DB7" w:rsidP="00E24DB7">
            <w:pPr>
              <w:suppressAutoHyphens w:val="0"/>
              <w:spacing w:before="60" w:after="120" w:line="240" w:lineRule="auto"/>
              <w:ind w:left="57" w:right="57"/>
              <w:rPr>
                <w:i/>
                <w:sz w:val="18"/>
                <w:szCs w:val="18"/>
              </w:rPr>
            </w:pPr>
          </w:p>
        </w:tc>
      </w:tr>
      <w:tr w:rsidR="00E24DB7" w:rsidRPr="002C5876" w:rsidTr="00E24DB7">
        <w:tc>
          <w:tcPr>
            <w:tcW w:w="3537"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Point d’écoulement</w:t>
            </w:r>
          </w:p>
        </w:tc>
        <w:tc>
          <w:tcPr>
            <w:tcW w:w="1362"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w:t>
            </w:r>
          </w:p>
        </w:tc>
        <w:tc>
          <w:tcPr>
            <w:tcW w:w="1202"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842"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0,0 (hiver : </w:t>
            </w:r>
            <w:r w:rsidRPr="002C5876">
              <w:rPr>
                <w:spacing w:val="-6"/>
                <w:sz w:val="18"/>
                <w:szCs w:val="18"/>
              </w:rPr>
              <w:t>-17,5 °C)</w:t>
            </w:r>
          </w:p>
        </w:tc>
        <w:tc>
          <w:tcPr>
            <w:tcW w:w="1696"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ASTM D6749</w:t>
            </w: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Point éclair</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w:t>
            </w:r>
          </w:p>
        </w:tc>
        <w:tc>
          <w:tcPr>
            <w:tcW w:w="120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40</w:t>
            </w:r>
          </w:p>
        </w:tc>
        <w:tc>
          <w:tcPr>
            <w:tcW w:w="184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69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KS M ISO 2719</w:t>
            </w: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Viscosité cinématique à 40 °C</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mm</w:t>
            </w:r>
            <w:r w:rsidRPr="002C5876">
              <w:rPr>
                <w:sz w:val="18"/>
                <w:szCs w:val="18"/>
                <w:vertAlign w:val="superscript"/>
              </w:rPr>
              <w:t>2</w:t>
            </w:r>
            <w:r w:rsidRPr="002C5876">
              <w:rPr>
                <w:sz w:val="18"/>
                <w:szCs w:val="18"/>
              </w:rPr>
              <w:t>/s</w:t>
            </w:r>
          </w:p>
        </w:tc>
        <w:tc>
          <w:tcPr>
            <w:tcW w:w="120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1,9</w:t>
            </w:r>
          </w:p>
        </w:tc>
        <w:tc>
          <w:tcPr>
            <w:tcW w:w="184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5,5</w:t>
            </w:r>
          </w:p>
        </w:tc>
        <w:tc>
          <w:tcPr>
            <w:tcW w:w="169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KS M 2014</w:t>
            </w: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Température de distillation à 90 %</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w:t>
            </w:r>
          </w:p>
        </w:tc>
        <w:tc>
          <w:tcPr>
            <w:tcW w:w="120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360</w:t>
            </w:r>
          </w:p>
        </w:tc>
        <w:tc>
          <w:tcPr>
            <w:tcW w:w="169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ASTM D86</w:t>
            </w:r>
          </w:p>
        </w:tc>
      </w:tr>
      <w:tr w:rsidR="00E24DB7" w:rsidRPr="00D53F39"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Résidu de carbone à 10 %</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poids</w:t>
            </w:r>
          </w:p>
        </w:tc>
        <w:tc>
          <w:tcPr>
            <w:tcW w:w="120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0,15</w:t>
            </w:r>
          </w:p>
        </w:tc>
        <w:tc>
          <w:tcPr>
            <w:tcW w:w="1696" w:type="dxa"/>
            <w:tcBorders>
              <w:top w:val="single" w:sz="4" w:space="0" w:color="auto"/>
              <w:left w:val="single" w:sz="4" w:space="0" w:color="auto"/>
              <w:bottom w:val="single" w:sz="4" w:space="0" w:color="auto"/>
              <w:right w:val="single" w:sz="4" w:space="0" w:color="auto"/>
            </w:tcBorders>
            <w:hideMark/>
          </w:tcPr>
          <w:p w:rsidR="00E24DB7" w:rsidRPr="00D53F39" w:rsidRDefault="00E24DB7" w:rsidP="00E24DB7">
            <w:pPr>
              <w:suppressAutoHyphens w:val="0"/>
              <w:spacing w:before="60" w:after="60" w:line="220" w:lineRule="atLeast"/>
              <w:ind w:left="57" w:right="57"/>
              <w:rPr>
                <w:sz w:val="18"/>
                <w:szCs w:val="18"/>
                <w:lang w:val="en-US"/>
              </w:rPr>
            </w:pPr>
            <w:r w:rsidRPr="00D53F39">
              <w:rPr>
                <w:sz w:val="18"/>
                <w:szCs w:val="18"/>
                <w:lang w:val="en-US"/>
              </w:rPr>
              <w:t>KS M 2017,</w:t>
            </w:r>
            <w:r w:rsidRPr="00D53F39">
              <w:rPr>
                <w:sz w:val="18"/>
                <w:szCs w:val="18"/>
                <w:lang w:val="en-US"/>
              </w:rPr>
              <w:br/>
              <w:t>ISO 4262, IP 14,</w:t>
            </w:r>
            <w:r w:rsidRPr="00D53F39">
              <w:rPr>
                <w:sz w:val="18"/>
                <w:szCs w:val="18"/>
                <w:lang w:val="en-US"/>
              </w:rPr>
              <w:br/>
              <w:t>ASTM D524</w:t>
            </w: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Teneur en eau</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vol.</w:t>
            </w:r>
          </w:p>
        </w:tc>
        <w:tc>
          <w:tcPr>
            <w:tcW w:w="120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0,02</w:t>
            </w:r>
          </w:p>
        </w:tc>
        <w:tc>
          <w:tcPr>
            <w:tcW w:w="169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KS M 2115</w:t>
            </w: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Teneur en soufre</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mg/kg</w:t>
            </w:r>
          </w:p>
        </w:tc>
        <w:tc>
          <w:tcPr>
            <w:tcW w:w="120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10</w:t>
            </w:r>
          </w:p>
        </w:tc>
        <w:tc>
          <w:tcPr>
            <w:tcW w:w="169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KS M 2027,</w:t>
            </w:r>
            <w:r w:rsidRPr="002C5876">
              <w:rPr>
                <w:sz w:val="18"/>
                <w:szCs w:val="18"/>
              </w:rPr>
              <w:br/>
              <w:t>ASTM D5453</w:t>
            </w: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Cendres</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poids</w:t>
            </w:r>
          </w:p>
        </w:tc>
        <w:tc>
          <w:tcPr>
            <w:tcW w:w="120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0,02</w:t>
            </w:r>
          </w:p>
        </w:tc>
        <w:tc>
          <w:tcPr>
            <w:tcW w:w="169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KS M ISO 6245</w:t>
            </w: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Indice de cétane</w:t>
            </w:r>
          </w:p>
        </w:tc>
        <w:tc>
          <w:tcPr>
            <w:tcW w:w="1362"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20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52</w:t>
            </w:r>
          </w:p>
        </w:tc>
        <w:tc>
          <w:tcPr>
            <w:tcW w:w="184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69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KS M 2610</w:t>
            </w: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Corrosion du cuivre</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100 °C, 3 h</w:t>
            </w:r>
          </w:p>
        </w:tc>
        <w:tc>
          <w:tcPr>
            <w:tcW w:w="120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w:t>
            </w:r>
          </w:p>
        </w:tc>
        <w:tc>
          <w:tcPr>
            <w:tcW w:w="169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KS M 2018</w:t>
            </w: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Lubrifiance (60 °C, micron) (HFRR)</w:t>
            </w:r>
          </w:p>
        </w:tc>
        <w:tc>
          <w:tcPr>
            <w:tcW w:w="1362"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20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400</w:t>
            </w:r>
          </w:p>
        </w:tc>
        <w:tc>
          <w:tcPr>
            <w:tcW w:w="169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CFC F-06-A,</w:t>
            </w:r>
            <w:r w:rsidRPr="002C5876">
              <w:rPr>
                <w:sz w:val="18"/>
                <w:szCs w:val="18"/>
              </w:rPr>
              <w:br/>
              <w:t>ASTM D6079</w:t>
            </w: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Densité (15 °C)</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kg/cm</w:t>
            </w:r>
            <w:r w:rsidRPr="002C5876">
              <w:rPr>
                <w:sz w:val="18"/>
                <w:szCs w:val="18"/>
                <w:vertAlign w:val="superscript"/>
              </w:rPr>
              <w:t>3</w:t>
            </w:r>
          </w:p>
        </w:tc>
        <w:tc>
          <w:tcPr>
            <w:tcW w:w="120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815</w:t>
            </w:r>
          </w:p>
        </w:tc>
        <w:tc>
          <w:tcPr>
            <w:tcW w:w="184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835</w:t>
            </w:r>
          </w:p>
        </w:tc>
        <w:tc>
          <w:tcPr>
            <w:tcW w:w="169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KS M 2002,</w:t>
            </w:r>
            <w:r w:rsidRPr="002C5876">
              <w:rPr>
                <w:sz w:val="18"/>
                <w:szCs w:val="18"/>
              </w:rPr>
              <w:br/>
              <w:t>ASTM D4052</w:t>
            </w: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Hydrocarbures aromatiques polycycliques</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poids</w:t>
            </w:r>
          </w:p>
        </w:tc>
        <w:tc>
          <w:tcPr>
            <w:tcW w:w="120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5</w:t>
            </w:r>
          </w:p>
        </w:tc>
        <w:tc>
          <w:tcPr>
            <w:tcW w:w="169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KS M 2456</w:t>
            </w:r>
          </w:p>
        </w:tc>
      </w:tr>
      <w:tr w:rsidR="00E24DB7" w:rsidRPr="002C5876" w:rsidTr="00E24DB7">
        <w:tc>
          <w:tcPr>
            <w:tcW w:w="353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Toutes les séries aromatiques</w:t>
            </w:r>
          </w:p>
        </w:tc>
        <w:tc>
          <w:tcPr>
            <w:tcW w:w="136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poids</w:t>
            </w:r>
          </w:p>
        </w:tc>
        <w:tc>
          <w:tcPr>
            <w:tcW w:w="120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30</w:t>
            </w:r>
          </w:p>
        </w:tc>
        <w:tc>
          <w:tcPr>
            <w:tcW w:w="169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IP 391,</w:t>
            </w:r>
            <w:r w:rsidRPr="002C5876">
              <w:rPr>
                <w:sz w:val="18"/>
                <w:szCs w:val="18"/>
              </w:rPr>
              <w:br/>
              <w:t>ASTM D5186</w:t>
            </w:r>
          </w:p>
        </w:tc>
      </w:tr>
      <w:tr w:rsidR="00E24DB7" w:rsidRPr="002C5876" w:rsidTr="00E24DB7">
        <w:tc>
          <w:tcPr>
            <w:tcW w:w="3537"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Teneur en esters méthyliques d’acides gras</w:t>
            </w:r>
          </w:p>
        </w:tc>
        <w:tc>
          <w:tcPr>
            <w:tcW w:w="1362"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vol.</w:t>
            </w:r>
          </w:p>
        </w:tc>
        <w:tc>
          <w:tcPr>
            <w:tcW w:w="1202"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842"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5</w:t>
            </w:r>
          </w:p>
        </w:tc>
        <w:tc>
          <w:tcPr>
            <w:tcW w:w="1696"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 14078</w:t>
            </w:r>
          </w:p>
        </w:tc>
      </w:tr>
    </w:tbl>
    <w:p w:rsidR="00E24DB7" w:rsidRPr="002C5876" w:rsidRDefault="00E24DB7" w:rsidP="00E24DB7">
      <w:pPr>
        <w:suppressAutoHyphens w:val="0"/>
        <w:ind w:firstLine="170"/>
      </w:pPr>
    </w:p>
    <w:p w:rsidR="00E24DB7" w:rsidRPr="002C5876" w:rsidRDefault="00E24DB7" w:rsidP="00E24DB7">
      <w:pPr>
        <w:pStyle w:val="SingleTxtG"/>
        <w:keepNext/>
        <w:ind w:left="2268" w:hanging="1134"/>
      </w:pPr>
      <w:r w:rsidRPr="002C5876">
        <w:br w:type="page"/>
      </w:r>
      <w:r w:rsidRPr="002C5876">
        <w:lastRenderedPageBreak/>
        <w:t>5.4</w:t>
      </w:r>
      <w:r w:rsidRPr="002C5876">
        <w:tab/>
        <w:t>Gazole E (cétane nominal 52, B7)</w:t>
      </w:r>
    </w:p>
    <w:p w:rsidR="00E24DB7" w:rsidRPr="002C5876" w:rsidRDefault="00E24DB7" w:rsidP="00E24DB7">
      <w:pPr>
        <w:pStyle w:val="H23G"/>
        <w:ind w:left="0" w:firstLine="0"/>
      </w:pPr>
      <w:r w:rsidRPr="002C5876">
        <w:rPr>
          <w:b w:val="0"/>
        </w:rPr>
        <w:t>Tableau A3/17</w:t>
      </w:r>
      <w:r w:rsidRPr="002C5876">
        <w:t xml:space="preserve"> </w:t>
      </w:r>
      <w:r w:rsidRPr="002C5876">
        <w:br/>
        <w:t>Gazole E (cétane nominal 52, B7)</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833"/>
        <w:gridCol w:w="1275"/>
        <w:gridCol w:w="1276"/>
        <w:gridCol w:w="1239"/>
        <w:gridCol w:w="2016"/>
      </w:tblGrid>
      <w:tr w:rsidR="00E24DB7" w:rsidRPr="002C5876" w:rsidTr="00E24DB7">
        <w:trPr>
          <w:tblHeader/>
        </w:trPr>
        <w:tc>
          <w:tcPr>
            <w:tcW w:w="3833" w:type="dxa"/>
            <w:vMerge w:val="restart"/>
            <w:tcBorders>
              <w:top w:val="single" w:sz="4" w:space="0" w:color="auto"/>
              <w:left w:val="single" w:sz="4" w:space="0" w:color="auto"/>
              <w:bottom w:val="single" w:sz="4"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Paramètre</w:t>
            </w:r>
          </w:p>
        </w:tc>
        <w:tc>
          <w:tcPr>
            <w:tcW w:w="1275" w:type="dxa"/>
            <w:vMerge w:val="restart"/>
            <w:tcBorders>
              <w:top w:val="single" w:sz="4" w:space="0" w:color="auto"/>
              <w:left w:val="single" w:sz="4" w:space="0" w:color="auto"/>
              <w:bottom w:val="single" w:sz="4"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Unité</w:t>
            </w:r>
          </w:p>
        </w:tc>
        <w:tc>
          <w:tcPr>
            <w:tcW w:w="2515" w:type="dxa"/>
            <w:gridSpan w:val="2"/>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80" w:after="80" w:line="200" w:lineRule="exact"/>
              <w:ind w:left="57" w:right="57"/>
              <w:jc w:val="center"/>
              <w:rPr>
                <w:i/>
                <w:sz w:val="16"/>
                <w:szCs w:val="16"/>
              </w:rPr>
            </w:pPr>
            <w:r w:rsidRPr="002C5876">
              <w:rPr>
                <w:i/>
                <w:sz w:val="16"/>
                <w:szCs w:val="16"/>
              </w:rPr>
              <w:t>Limites</w:t>
            </w:r>
            <w:r w:rsidRPr="002C5876">
              <w:rPr>
                <w:i/>
                <w:sz w:val="18"/>
                <w:szCs w:val="18"/>
                <w:vertAlign w:val="superscript"/>
              </w:rPr>
              <w:t>1</w:t>
            </w:r>
          </w:p>
        </w:tc>
        <w:tc>
          <w:tcPr>
            <w:tcW w:w="2016" w:type="dxa"/>
            <w:vMerge w:val="restart"/>
            <w:tcBorders>
              <w:top w:val="single" w:sz="4" w:space="0" w:color="auto"/>
              <w:left w:val="single" w:sz="4" w:space="0" w:color="auto"/>
              <w:bottom w:val="single" w:sz="4"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Méthode d’essai</w:t>
            </w:r>
          </w:p>
        </w:tc>
      </w:tr>
      <w:tr w:rsidR="00E24DB7" w:rsidRPr="002C5876" w:rsidTr="00E24DB7">
        <w:trPr>
          <w:tblHeader/>
        </w:trPr>
        <w:tc>
          <w:tcPr>
            <w:tcW w:w="3833" w:type="dxa"/>
            <w:vMerge/>
            <w:tcBorders>
              <w:top w:val="single" w:sz="4" w:space="0" w:color="auto"/>
              <w:left w:val="single" w:sz="4" w:space="0" w:color="auto"/>
              <w:bottom w:val="single" w:sz="12" w:space="0" w:color="auto"/>
              <w:right w:val="single" w:sz="4" w:space="0" w:color="auto"/>
            </w:tcBorders>
            <w:vAlign w:val="center"/>
            <w:hideMark/>
          </w:tcPr>
          <w:p w:rsidR="00E24DB7" w:rsidRPr="002C5876" w:rsidRDefault="00E24DB7" w:rsidP="00E24DB7">
            <w:pPr>
              <w:suppressAutoHyphens w:val="0"/>
              <w:spacing w:before="60" w:after="120" w:line="240" w:lineRule="auto"/>
              <w:ind w:left="57" w:right="57"/>
              <w:rPr>
                <w:i/>
                <w:sz w:val="18"/>
                <w:szCs w:val="18"/>
              </w:rPr>
            </w:pPr>
          </w:p>
        </w:tc>
        <w:tc>
          <w:tcPr>
            <w:tcW w:w="1275" w:type="dxa"/>
            <w:vMerge/>
            <w:tcBorders>
              <w:top w:val="single" w:sz="4" w:space="0" w:color="auto"/>
              <w:left w:val="single" w:sz="4" w:space="0" w:color="auto"/>
              <w:bottom w:val="single" w:sz="12" w:space="0" w:color="auto"/>
              <w:right w:val="single" w:sz="4" w:space="0" w:color="auto"/>
            </w:tcBorders>
            <w:vAlign w:val="center"/>
            <w:hideMark/>
          </w:tcPr>
          <w:p w:rsidR="00E24DB7" w:rsidRPr="002C5876" w:rsidRDefault="00E24DB7" w:rsidP="00E24DB7">
            <w:pPr>
              <w:suppressAutoHyphens w:val="0"/>
              <w:spacing w:before="60" w:after="120" w:line="240" w:lineRule="auto"/>
              <w:ind w:left="57" w:right="57"/>
              <w:rPr>
                <w:i/>
                <w:sz w:val="18"/>
                <w:szCs w:val="18"/>
              </w:rPr>
            </w:pPr>
          </w:p>
        </w:tc>
        <w:tc>
          <w:tcPr>
            <w:tcW w:w="1276"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Minimum</w:t>
            </w:r>
          </w:p>
        </w:tc>
        <w:tc>
          <w:tcPr>
            <w:tcW w:w="1239"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Maximum</w:t>
            </w:r>
          </w:p>
        </w:tc>
        <w:tc>
          <w:tcPr>
            <w:tcW w:w="2016" w:type="dxa"/>
            <w:vMerge/>
            <w:tcBorders>
              <w:top w:val="single" w:sz="4" w:space="0" w:color="auto"/>
              <w:left w:val="single" w:sz="4" w:space="0" w:color="auto"/>
              <w:bottom w:val="single" w:sz="12" w:space="0" w:color="auto"/>
              <w:right w:val="single" w:sz="4" w:space="0" w:color="auto"/>
            </w:tcBorders>
            <w:vAlign w:val="center"/>
            <w:hideMark/>
          </w:tcPr>
          <w:p w:rsidR="00E24DB7" w:rsidRPr="002C5876" w:rsidRDefault="00E24DB7" w:rsidP="00E24DB7">
            <w:pPr>
              <w:suppressAutoHyphens w:val="0"/>
              <w:spacing w:before="60" w:after="120" w:line="240" w:lineRule="auto"/>
              <w:ind w:left="57" w:right="57"/>
              <w:rPr>
                <w:i/>
                <w:sz w:val="18"/>
                <w:szCs w:val="18"/>
              </w:rPr>
            </w:pPr>
          </w:p>
        </w:tc>
      </w:tr>
      <w:tr w:rsidR="00E24DB7" w:rsidRPr="002C5876" w:rsidTr="00E24DB7">
        <w:tc>
          <w:tcPr>
            <w:tcW w:w="3833"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Indice de cétane calculé</w:t>
            </w:r>
          </w:p>
        </w:tc>
        <w:tc>
          <w:tcPr>
            <w:tcW w:w="1275" w:type="dxa"/>
            <w:tcBorders>
              <w:top w:val="single" w:sz="12"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276"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46,0</w:t>
            </w:r>
          </w:p>
        </w:tc>
        <w:tc>
          <w:tcPr>
            <w:tcW w:w="1239" w:type="dxa"/>
            <w:tcBorders>
              <w:top w:val="single" w:sz="12"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2016"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EN-ISO 4264</w:t>
            </w:r>
          </w:p>
        </w:tc>
      </w:tr>
      <w:tr w:rsidR="00E24DB7" w:rsidRPr="002C5876" w:rsidTr="00E24DB7">
        <w:tc>
          <w:tcPr>
            <w:tcW w:w="383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Indice de cétane mesuré</w:t>
            </w:r>
            <w:r w:rsidRPr="002C5876">
              <w:rPr>
                <w:i/>
                <w:sz w:val="18"/>
                <w:szCs w:val="18"/>
                <w:vertAlign w:val="superscript"/>
              </w:rPr>
              <w:t>2</w:t>
            </w:r>
          </w:p>
        </w:tc>
        <w:tc>
          <w:tcPr>
            <w:tcW w:w="1275"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52,0</w:t>
            </w:r>
          </w:p>
        </w:tc>
        <w:tc>
          <w:tcPr>
            <w:tcW w:w="1239"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56,0</w:t>
            </w: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EN-ISO 5165</w:t>
            </w:r>
          </w:p>
        </w:tc>
      </w:tr>
      <w:tr w:rsidR="00E24DB7" w:rsidRPr="002C5876" w:rsidTr="00E24DB7">
        <w:tc>
          <w:tcPr>
            <w:tcW w:w="383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Densité à 15 °C</w:t>
            </w:r>
          </w:p>
        </w:tc>
        <w:tc>
          <w:tcPr>
            <w:tcW w:w="1275"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kg/m</w:t>
            </w:r>
            <w:r w:rsidRPr="002C5876">
              <w:rPr>
                <w:sz w:val="18"/>
                <w:szCs w:val="18"/>
                <w:vertAlign w:val="superscript"/>
              </w:rPr>
              <w:t>3</w:t>
            </w:r>
          </w:p>
        </w:tc>
        <w:tc>
          <w:tcPr>
            <w:tcW w:w="127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833,0</w:t>
            </w:r>
          </w:p>
        </w:tc>
        <w:tc>
          <w:tcPr>
            <w:tcW w:w="1239"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837,0</w:t>
            </w: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EN-ISO 12185</w:t>
            </w:r>
          </w:p>
        </w:tc>
      </w:tr>
      <w:tr w:rsidR="00E24DB7" w:rsidRPr="002C5876" w:rsidTr="00E24DB7">
        <w:tc>
          <w:tcPr>
            <w:tcW w:w="383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Distillation :</w:t>
            </w:r>
          </w:p>
        </w:tc>
        <w:tc>
          <w:tcPr>
            <w:tcW w:w="1275"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239"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2016"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r>
      <w:tr w:rsidR="00E24DB7" w:rsidRPr="002C5876" w:rsidTr="00E24DB7">
        <w:tc>
          <w:tcPr>
            <w:tcW w:w="383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pStyle w:val="Bullet1G"/>
              <w:numPr>
                <w:ilvl w:val="0"/>
                <w:numId w:val="1"/>
              </w:numPr>
              <w:spacing w:before="60" w:after="60" w:line="220" w:lineRule="atLeast"/>
              <w:ind w:left="340" w:right="57"/>
              <w:rPr>
                <w:sz w:val="18"/>
                <w:szCs w:val="18"/>
              </w:rPr>
            </w:pPr>
            <w:r w:rsidRPr="002C5876">
              <w:rPr>
                <w:sz w:val="18"/>
                <w:szCs w:val="18"/>
              </w:rPr>
              <w:t>À 50 % du volume</w:t>
            </w:r>
          </w:p>
        </w:tc>
        <w:tc>
          <w:tcPr>
            <w:tcW w:w="1275"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245,0</w:t>
            </w:r>
          </w:p>
        </w:tc>
        <w:tc>
          <w:tcPr>
            <w:tcW w:w="1239"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EN-ISO 3405</w:t>
            </w:r>
          </w:p>
        </w:tc>
      </w:tr>
      <w:tr w:rsidR="00E24DB7" w:rsidRPr="002C5876" w:rsidTr="00E24DB7">
        <w:tc>
          <w:tcPr>
            <w:tcW w:w="383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pStyle w:val="Bullet1G"/>
              <w:numPr>
                <w:ilvl w:val="0"/>
                <w:numId w:val="1"/>
              </w:numPr>
              <w:spacing w:before="60" w:after="60" w:line="220" w:lineRule="atLeast"/>
              <w:ind w:left="340" w:right="57"/>
              <w:rPr>
                <w:sz w:val="18"/>
                <w:szCs w:val="18"/>
              </w:rPr>
            </w:pPr>
            <w:r w:rsidRPr="002C5876">
              <w:rPr>
                <w:sz w:val="18"/>
                <w:szCs w:val="18"/>
              </w:rPr>
              <w:t>À 95 % du volume</w:t>
            </w:r>
          </w:p>
        </w:tc>
        <w:tc>
          <w:tcPr>
            <w:tcW w:w="1275"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345,0</w:t>
            </w:r>
          </w:p>
        </w:tc>
        <w:tc>
          <w:tcPr>
            <w:tcW w:w="1239"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360,0</w:t>
            </w: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EN-ISO 3405</w:t>
            </w:r>
          </w:p>
        </w:tc>
      </w:tr>
      <w:tr w:rsidR="00E24DB7" w:rsidRPr="002C5876" w:rsidTr="00E24DB7">
        <w:tc>
          <w:tcPr>
            <w:tcW w:w="383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pStyle w:val="Bullet1G"/>
              <w:numPr>
                <w:ilvl w:val="0"/>
                <w:numId w:val="1"/>
              </w:numPr>
              <w:spacing w:before="60" w:after="60" w:line="220" w:lineRule="atLeast"/>
              <w:ind w:left="340" w:right="57"/>
              <w:rPr>
                <w:sz w:val="18"/>
                <w:szCs w:val="18"/>
              </w:rPr>
            </w:pPr>
            <w:r w:rsidRPr="002C5876">
              <w:rPr>
                <w:sz w:val="18"/>
                <w:szCs w:val="18"/>
              </w:rPr>
              <w:t>Point d’ébullition final</w:t>
            </w:r>
          </w:p>
        </w:tc>
        <w:tc>
          <w:tcPr>
            <w:tcW w:w="1275"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239"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370,0</w:t>
            </w: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EN-ISO 3405</w:t>
            </w:r>
          </w:p>
        </w:tc>
      </w:tr>
      <w:tr w:rsidR="00E24DB7" w:rsidRPr="002C5876" w:rsidTr="00E24DB7">
        <w:tc>
          <w:tcPr>
            <w:tcW w:w="383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Point éclair</w:t>
            </w:r>
          </w:p>
        </w:tc>
        <w:tc>
          <w:tcPr>
            <w:tcW w:w="1275"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55</w:t>
            </w:r>
          </w:p>
        </w:tc>
        <w:tc>
          <w:tcPr>
            <w:tcW w:w="1239"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 ISO 2719</w:t>
            </w:r>
          </w:p>
        </w:tc>
      </w:tr>
      <w:tr w:rsidR="00E24DB7" w:rsidRPr="002C5876" w:rsidTr="00E24DB7">
        <w:tc>
          <w:tcPr>
            <w:tcW w:w="383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Point de trouble</w:t>
            </w:r>
          </w:p>
        </w:tc>
        <w:tc>
          <w:tcPr>
            <w:tcW w:w="1275"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239"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-10</w:t>
            </w: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 116</w:t>
            </w:r>
          </w:p>
        </w:tc>
      </w:tr>
      <w:tr w:rsidR="00E24DB7" w:rsidRPr="002C5876" w:rsidTr="00E24DB7">
        <w:tc>
          <w:tcPr>
            <w:tcW w:w="383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Viscosité à 40 °C</w:t>
            </w:r>
          </w:p>
        </w:tc>
        <w:tc>
          <w:tcPr>
            <w:tcW w:w="1275"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mm</w:t>
            </w:r>
            <w:r w:rsidRPr="002C5876">
              <w:rPr>
                <w:sz w:val="18"/>
                <w:szCs w:val="18"/>
                <w:vertAlign w:val="superscript"/>
              </w:rPr>
              <w:t>2</w:t>
            </w:r>
            <w:r w:rsidRPr="002C5876">
              <w:rPr>
                <w:sz w:val="18"/>
                <w:szCs w:val="18"/>
              </w:rPr>
              <w:t>/s</w:t>
            </w:r>
          </w:p>
        </w:tc>
        <w:tc>
          <w:tcPr>
            <w:tcW w:w="127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2,30</w:t>
            </w:r>
          </w:p>
        </w:tc>
        <w:tc>
          <w:tcPr>
            <w:tcW w:w="1239"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3,30</w:t>
            </w: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EN-ISO 3104</w:t>
            </w:r>
          </w:p>
        </w:tc>
      </w:tr>
      <w:tr w:rsidR="00E24DB7" w:rsidRPr="002C5876" w:rsidTr="00E24DB7">
        <w:tc>
          <w:tcPr>
            <w:tcW w:w="383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Hydrocarbures aromatiques polycycliques</w:t>
            </w:r>
          </w:p>
        </w:tc>
        <w:tc>
          <w:tcPr>
            <w:tcW w:w="1275"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m/m</w:t>
            </w:r>
          </w:p>
        </w:tc>
        <w:tc>
          <w:tcPr>
            <w:tcW w:w="127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2,0</w:t>
            </w:r>
          </w:p>
        </w:tc>
        <w:tc>
          <w:tcPr>
            <w:tcW w:w="1239"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4,0</w:t>
            </w: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 12916</w:t>
            </w:r>
          </w:p>
        </w:tc>
      </w:tr>
      <w:tr w:rsidR="00E24DB7" w:rsidRPr="002C5876" w:rsidTr="00E24DB7">
        <w:tc>
          <w:tcPr>
            <w:tcW w:w="383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Teneur en soufre</w:t>
            </w:r>
          </w:p>
        </w:tc>
        <w:tc>
          <w:tcPr>
            <w:tcW w:w="1275"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mg/kg</w:t>
            </w:r>
          </w:p>
        </w:tc>
        <w:tc>
          <w:tcPr>
            <w:tcW w:w="127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239"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10,0</w:t>
            </w: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EN ISO 20846/ </w:t>
            </w:r>
            <w:r w:rsidRPr="002C5876">
              <w:rPr>
                <w:sz w:val="18"/>
                <w:szCs w:val="18"/>
              </w:rPr>
              <w:br/>
              <w:t>EN ISO 20884</w:t>
            </w:r>
          </w:p>
        </w:tc>
      </w:tr>
      <w:tr w:rsidR="00E24DB7" w:rsidRPr="002C5876" w:rsidTr="00E24DB7">
        <w:tc>
          <w:tcPr>
            <w:tcW w:w="383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Corrosion du cuivre (3 h, 50 °C)</w:t>
            </w:r>
          </w:p>
        </w:tc>
        <w:tc>
          <w:tcPr>
            <w:tcW w:w="1275"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239"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Classe 1</w:t>
            </w: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EN-ISO 2160</w:t>
            </w:r>
          </w:p>
        </w:tc>
      </w:tr>
      <w:tr w:rsidR="00E24DB7" w:rsidRPr="002C5876" w:rsidTr="00E24DB7">
        <w:tc>
          <w:tcPr>
            <w:tcW w:w="383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Résidus de carbone Conradson (10 % DR)</w:t>
            </w:r>
          </w:p>
        </w:tc>
        <w:tc>
          <w:tcPr>
            <w:tcW w:w="1275"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m/m</w:t>
            </w:r>
          </w:p>
        </w:tc>
        <w:tc>
          <w:tcPr>
            <w:tcW w:w="127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239"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0,20</w:t>
            </w: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EN-ISO 10370</w:t>
            </w:r>
          </w:p>
        </w:tc>
      </w:tr>
      <w:tr w:rsidR="00E24DB7" w:rsidRPr="002C5876" w:rsidTr="00E24DB7">
        <w:tc>
          <w:tcPr>
            <w:tcW w:w="383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Teneur en cendres</w:t>
            </w:r>
          </w:p>
        </w:tc>
        <w:tc>
          <w:tcPr>
            <w:tcW w:w="1275"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m/m</w:t>
            </w:r>
          </w:p>
        </w:tc>
        <w:tc>
          <w:tcPr>
            <w:tcW w:w="127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239"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0,010</w:t>
            </w: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EN-ISO 6245</w:t>
            </w:r>
          </w:p>
        </w:tc>
      </w:tr>
      <w:tr w:rsidR="00E24DB7" w:rsidRPr="002C5876" w:rsidTr="00E24DB7">
        <w:tc>
          <w:tcPr>
            <w:tcW w:w="383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Contamination totale</w:t>
            </w:r>
          </w:p>
        </w:tc>
        <w:tc>
          <w:tcPr>
            <w:tcW w:w="1275"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mg/kg</w:t>
            </w:r>
          </w:p>
        </w:tc>
        <w:tc>
          <w:tcPr>
            <w:tcW w:w="1276"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239"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24</w:t>
            </w: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 12662</w:t>
            </w:r>
          </w:p>
        </w:tc>
      </w:tr>
      <w:tr w:rsidR="00E24DB7" w:rsidRPr="002C5876" w:rsidTr="00E24DB7">
        <w:tc>
          <w:tcPr>
            <w:tcW w:w="383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Teneur en eau</w:t>
            </w:r>
          </w:p>
        </w:tc>
        <w:tc>
          <w:tcPr>
            <w:tcW w:w="1275"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mg/kg</w:t>
            </w:r>
          </w:p>
        </w:tc>
        <w:tc>
          <w:tcPr>
            <w:tcW w:w="127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239"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200</w:t>
            </w: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EN-ISO 12937</w:t>
            </w:r>
          </w:p>
        </w:tc>
      </w:tr>
      <w:tr w:rsidR="00E24DB7" w:rsidRPr="002C5876" w:rsidTr="00E24DB7">
        <w:tc>
          <w:tcPr>
            <w:tcW w:w="383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Indice d’acide</w:t>
            </w:r>
          </w:p>
        </w:tc>
        <w:tc>
          <w:tcPr>
            <w:tcW w:w="1275"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mg KOH/g</w:t>
            </w:r>
          </w:p>
        </w:tc>
        <w:tc>
          <w:tcPr>
            <w:tcW w:w="127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239"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0,10</w:t>
            </w: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 ISO 6618</w:t>
            </w:r>
          </w:p>
        </w:tc>
      </w:tr>
      <w:tr w:rsidR="00E24DB7" w:rsidRPr="002C5876" w:rsidTr="00E24DB7">
        <w:tc>
          <w:tcPr>
            <w:tcW w:w="383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Lubrifiance (diamètre de la marque d’usure à l’issue de l’essai HFRR à 60 °C)</w:t>
            </w:r>
          </w:p>
        </w:tc>
        <w:tc>
          <w:tcPr>
            <w:tcW w:w="1275"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μm</w:t>
            </w:r>
          </w:p>
        </w:tc>
        <w:tc>
          <w:tcPr>
            <w:tcW w:w="127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w:t>
            </w:r>
          </w:p>
        </w:tc>
        <w:tc>
          <w:tcPr>
            <w:tcW w:w="1239"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400</w:t>
            </w: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 ISO 12156</w:t>
            </w:r>
          </w:p>
        </w:tc>
      </w:tr>
      <w:tr w:rsidR="00E24DB7" w:rsidRPr="002C5876" w:rsidTr="00E24DB7">
        <w:tc>
          <w:tcPr>
            <w:tcW w:w="3833"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Stabilité à l’oxydation à 110 °C</w:t>
            </w:r>
            <w:r w:rsidRPr="002C5876">
              <w:rPr>
                <w:i/>
                <w:sz w:val="18"/>
                <w:szCs w:val="18"/>
                <w:vertAlign w:val="superscript"/>
              </w:rPr>
              <w:t>3</w:t>
            </w:r>
          </w:p>
        </w:tc>
        <w:tc>
          <w:tcPr>
            <w:tcW w:w="1275"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h</w:t>
            </w:r>
          </w:p>
        </w:tc>
        <w:tc>
          <w:tcPr>
            <w:tcW w:w="127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20,0</w:t>
            </w:r>
          </w:p>
        </w:tc>
        <w:tc>
          <w:tcPr>
            <w:tcW w:w="1239" w:type="dxa"/>
            <w:tcBorders>
              <w:top w:val="single" w:sz="4" w:space="0" w:color="auto"/>
              <w:left w:val="single" w:sz="4" w:space="0" w:color="auto"/>
              <w:bottom w:val="single" w:sz="4" w:space="0" w:color="auto"/>
              <w:right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2016"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 15751</w:t>
            </w:r>
          </w:p>
        </w:tc>
      </w:tr>
      <w:tr w:rsidR="00E24DB7" w:rsidRPr="002C5876" w:rsidTr="00E24DB7">
        <w:tc>
          <w:tcPr>
            <w:tcW w:w="3833"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Esters méthyliques d’acides gras</w:t>
            </w:r>
            <w:r w:rsidRPr="002C5876">
              <w:rPr>
                <w:i/>
                <w:sz w:val="18"/>
                <w:szCs w:val="18"/>
                <w:vertAlign w:val="superscript"/>
              </w:rPr>
              <w:t>4</w:t>
            </w:r>
          </w:p>
        </w:tc>
        <w:tc>
          <w:tcPr>
            <w:tcW w:w="1275"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v/v</w:t>
            </w:r>
          </w:p>
        </w:tc>
        <w:tc>
          <w:tcPr>
            <w:tcW w:w="1276"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6,0</w:t>
            </w:r>
          </w:p>
        </w:tc>
        <w:tc>
          <w:tcPr>
            <w:tcW w:w="1239"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7,0</w:t>
            </w:r>
          </w:p>
        </w:tc>
        <w:tc>
          <w:tcPr>
            <w:tcW w:w="2016"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EN 14078</w:t>
            </w:r>
          </w:p>
        </w:tc>
      </w:tr>
    </w:tbl>
    <w:p w:rsidR="00E24DB7" w:rsidRPr="002C5876" w:rsidRDefault="00E24DB7" w:rsidP="00E24DB7">
      <w:pPr>
        <w:spacing w:before="120"/>
        <w:ind w:firstLine="170"/>
        <w:rPr>
          <w:sz w:val="18"/>
          <w:szCs w:val="18"/>
        </w:rPr>
      </w:pPr>
      <w:r w:rsidRPr="002C5876">
        <w:rPr>
          <w:i/>
          <w:sz w:val="18"/>
          <w:szCs w:val="18"/>
          <w:vertAlign w:val="superscript"/>
        </w:rPr>
        <w:t>1</w:t>
      </w:r>
      <w:r w:rsidRPr="002C5876">
        <w:rPr>
          <w:sz w:val="18"/>
          <w:szCs w:val="18"/>
        </w:rPr>
        <w:t xml:space="preserve">  Les valeurs mentionnées dans les spécifications sont des « valeurs vraies ». Les valeurs limites ont été déterminées conformément à la norme ISO 4259, intitulée « Produits pétroliers − Détermination et application des valeurs de fidélité relatives aux méthodes d’essai ». Pour la fixation d’un minimum, une différence minimale de 2R par rapport à la valeur zéro a été prise en compte ; pour la fixation d’un maximum et d’un minimum, la différence minimale entre ces valeurs est de 4R (R = reproductibilité). Malgré cette mesure, qui est nécessaire pour des raisons techniques, le fabricant de carburant doit néanmoins viser la valeur zéro lorsque la valeur maximale indiquée est de 2R ou la valeur moyenne lorsqu’il existe un minimum et un maximum. S’il est nécessaire de vérifier qu’un carburant est conforme aux spécifications, les termes de la norme ISO 4259 doivent être appliqués.</w:t>
      </w:r>
    </w:p>
    <w:p w:rsidR="00E24DB7" w:rsidRPr="002C5876" w:rsidRDefault="00E24DB7" w:rsidP="00E24DB7">
      <w:pPr>
        <w:ind w:firstLine="170"/>
        <w:rPr>
          <w:sz w:val="18"/>
          <w:szCs w:val="18"/>
        </w:rPr>
      </w:pPr>
      <w:r w:rsidRPr="002C5876">
        <w:rPr>
          <w:i/>
          <w:sz w:val="18"/>
          <w:szCs w:val="18"/>
          <w:vertAlign w:val="superscript"/>
        </w:rPr>
        <w:t>2</w:t>
      </w:r>
      <w:r w:rsidRPr="002C5876">
        <w:rPr>
          <w:sz w:val="18"/>
          <w:szCs w:val="18"/>
        </w:rPr>
        <w:t xml:space="preserve">  L’intervalle indiqué pour l’indice de cétane n’est pas conforme à l’exigence d’un minimum de 4R. Cependant, en cas de différend entre le fournisseur et l’utilisateur, la norme ISO 4259 peut être appliquée, à condition qu’un nombre suffisant de mesures soit effectué pour atteindre la précision nécessaire, ceci étant préférable à des mesures uniques.</w:t>
      </w:r>
    </w:p>
    <w:p w:rsidR="00E24DB7" w:rsidRPr="002C5876" w:rsidRDefault="00E24DB7" w:rsidP="00E24DB7">
      <w:pPr>
        <w:ind w:firstLine="170"/>
        <w:rPr>
          <w:sz w:val="18"/>
          <w:szCs w:val="18"/>
        </w:rPr>
      </w:pPr>
      <w:r w:rsidRPr="002C5876">
        <w:rPr>
          <w:i/>
          <w:sz w:val="18"/>
          <w:szCs w:val="18"/>
          <w:vertAlign w:val="superscript"/>
        </w:rPr>
        <w:t>3</w:t>
      </w:r>
      <w:r w:rsidRPr="002C5876">
        <w:rPr>
          <w:sz w:val="18"/>
          <w:szCs w:val="18"/>
        </w:rPr>
        <w:t xml:space="preserve">  Bien que des mesures soient prises pour assurer la stabilité à l’oxydation, il est probable que la durée de stockage du produit soit limitée. Il est recommandé de demander conseil au fournisseur quant aux conditions et à la durée de stockage.</w:t>
      </w:r>
    </w:p>
    <w:p w:rsidR="00E24DB7" w:rsidRPr="002C5876" w:rsidRDefault="00E24DB7" w:rsidP="00E24DB7">
      <w:pPr>
        <w:suppressAutoHyphens w:val="0"/>
        <w:ind w:firstLine="170"/>
        <w:rPr>
          <w:sz w:val="18"/>
          <w:szCs w:val="18"/>
        </w:rPr>
      </w:pPr>
      <w:r w:rsidRPr="002C5876">
        <w:rPr>
          <w:i/>
          <w:sz w:val="18"/>
          <w:szCs w:val="18"/>
          <w:vertAlign w:val="superscript"/>
        </w:rPr>
        <w:t>4</w:t>
      </w:r>
      <w:r w:rsidRPr="002C5876">
        <w:rPr>
          <w:sz w:val="18"/>
          <w:szCs w:val="18"/>
        </w:rPr>
        <w:t xml:space="preserve">  La teneur en esters méthyliques d’acides gras doit satisfaire aux spécifications de la norme EN 14214.</w:t>
      </w:r>
    </w:p>
    <w:p w:rsidR="00E24DB7" w:rsidRPr="002C5876" w:rsidRDefault="00E24DB7" w:rsidP="00E24DB7">
      <w:pPr>
        <w:pStyle w:val="SingleTxtG"/>
        <w:ind w:left="2268" w:hanging="1134"/>
      </w:pPr>
      <w:r w:rsidRPr="002C5876">
        <w:rPr>
          <w:sz w:val="18"/>
          <w:szCs w:val="18"/>
        </w:rPr>
        <w:br w:type="page"/>
      </w:r>
      <w:r w:rsidRPr="002C5876">
        <w:lastRenderedPageBreak/>
        <w:t>6.</w:t>
      </w:r>
      <w:r w:rsidRPr="002C5876">
        <w:tab/>
        <w:t>Combustibles pour piles à combustible</w:t>
      </w:r>
    </w:p>
    <w:p w:rsidR="00E24DB7" w:rsidRPr="002C5876" w:rsidRDefault="00E24DB7" w:rsidP="00E24DB7">
      <w:pPr>
        <w:pStyle w:val="SingleTxtG"/>
        <w:ind w:left="2268" w:hanging="1134"/>
      </w:pPr>
      <w:r w:rsidRPr="002C5876">
        <w:t>6.1</w:t>
      </w:r>
      <w:r w:rsidRPr="002C5876">
        <w:tab/>
      </w:r>
      <w:r w:rsidRPr="002C5876">
        <w:tab/>
        <w:t>Hydrogène comprimé pour véhicules à pile à combustible</w:t>
      </w:r>
    </w:p>
    <w:p w:rsidR="00E24DB7" w:rsidRPr="002C5876" w:rsidRDefault="00E24DB7" w:rsidP="00E24DB7">
      <w:pPr>
        <w:pStyle w:val="H23G"/>
        <w:ind w:left="0" w:firstLine="0"/>
      </w:pPr>
      <w:r w:rsidRPr="002C5876">
        <w:rPr>
          <w:b w:val="0"/>
        </w:rPr>
        <w:t>Tableau A3/18</w:t>
      </w:r>
      <w:r w:rsidRPr="002C5876">
        <w:t xml:space="preserve"> </w:t>
      </w:r>
      <w:r w:rsidRPr="002C5876">
        <w:br/>
        <w:t xml:space="preserve">Hydrogène pour véhicules à pile à combustible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71"/>
        <w:gridCol w:w="1362"/>
        <w:gridCol w:w="1226"/>
        <w:gridCol w:w="17"/>
        <w:gridCol w:w="1212"/>
        <w:gridCol w:w="2151"/>
      </w:tblGrid>
      <w:tr w:rsidR="00E24DB7" w:rsidRPr="002C5876" w:rsidTr="00E24DB7">
        <w:trPr>
          <w:cantSplit/>
        </w:trPr>
        <w:tc>
          <w:tcPr>
            <w:tcW w:w="3671" w:type="dxa"/>
            <w:vMerge w:val="restart"/>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Caractéristique</w:t>
            </w:r>
          </w:p>
        </w:tc>
        <w:tc>
          <w:tcPr>
            <w:tcW w:w="1362" w:type="dxa"/>
            <w:vMerge w:val="restart"/>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Unités</w:t>
            </w:r>
          </w:p>
        </w:tc>
        <w:tc>
          <w:tcPr>
            <w:tcW w:w="2455" w:type="dxa"/>
            <w:gridSpan w:val="3"/>
            <w:hideMark/>
          </w:tcPr>
          <w:p w:rsidR="00E24DB7" w:rsidRPr="002C5876" w:rsidRDefault="00E24DB7" w:rsidP="00E24DB7">
            <w:pPr>
              <w:suppressAutoHyphens w:val="0"/>
              <w:spacing w:before="80" w:after="80" w:line="200" w:lineRule="exact"/>
              <w:ind w:left="57" w:right="57"/>
              <w:jc w:val="center"/>
              <w:rPr>
                <w:i/>
                <w:sz w:val="16"/>
                <w:szCs w:val="16"/>
              </w:rPr>
            </w:pPr>
            <w:r w:rsidRPr="002C5876">
              <w:rPr>
                <w:i/>
                <w:sz w:val="16"/>
                <w:szCs w:val="16"/>
              </w:rPr>
              <w:t>Limites</w:t>
            </w:r>
          </w:p>
        </w:tc>
        <w:tc>
          <w:tcPr>
            <w:tcW w:w="2151" w:type="dxa"/>
            <w:vMerge w:val="restart"/>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Méthode d’essai</w:t>
            </w:r>
          </w:p>
        </w:tc>
      </w:tr>
      <w:tr w:rsidR="00E24DB7" w:rsidRPr="002C5876" w:rsidTr="00E24DB7">
        <w:trPr>
          <w:cantSplit/>
        </w:trPr>
        <w:tc>
          <w:tcPr>
            <w:tcW w:w="3671" w:type="dxa"/>
            <w:vMerge/>
            <w:tcBorders>
              <w:bottom w:val="single" w:sz="12" w:space="0" w:color="auto"/>
            </w:tcBorders>
            <w:vAlign w:val="center"/>
            <w:hideMark/>
          </w:tcPr>
          <w:p w:rsidR="00E24DB7" w:rsidRPr="002C5876" w:rsidRDefault="00E24DB7" w:rsidP="00E24DB7">
            <w:pPr>
              <w:suppressAutoHyphens w:val="0"/>
              <w:spacing w:before="80" w:after="80" w:line="200" w:lineRule="exact"/>
              <w:rPr>
                <w:i/>
                <w:sz w:val="18"/>
                <w:szCs w:val="18"/>
              </w:rPr>
            </w:pPr>
          </w:p>
        </w:tc>
        <w:tc>
          <w:tcPr>
            <w:tcW w:w="1362" w:type="dxa"/>
            <w:vMerge/>
            <w:tcBorders>
              <w:bottom w:val="single" w:sz="12" w:space="0" w:color="auto"/>
            </w:tcBorders>
            <w:vAlign w:val="center"/>
            <w:hideMark/>
          </w:tcPr>
          <w:p w:rsidR="00E24DB7" w:rsidRPr="002C5876" w:rsidRDefault="00E24DB7" w:rsidP="00E24DB7">
            <w:pPr>
              <w:suppressAutoHyphens w:val="0"/>
              <w:spacing w:before="80" w:after="80" w:line="200" w:lineRule="exact"/>
              <w:rPr>
                <w:i/>
                <w:sz w:val="18"/>
                <w:szCs w:val="18"/>
              </w:rPr>
            </w:pPr>
          </w:p>
        </w:tc>
        <w:tc>
          <w:tcPr>
            <w:tcW w:w="1243" w:type="dxa"/>
            <w:gridSpan w:val="2"/>
            <w:tcBorders>
              <w:bottom w:val="single" w:sz="12" w:space="0" w:color="auto"/>
            </w:tcBorders>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Minimale</w:t>
            </w:r>
          </w:p>
        </w:tc>
        <w:tc>
          <w:tcPr>
            <w:tcW w:w="1212" w:type="dxa"/>
            <w:tcBorders>
              <w:bottom w:val="single" w:sz="12" w:space="0" w:color="auto"/>
            </w:tcBorders>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Maximale</w:t>
            </w:r>
          </w:p>
        </w:tc>
        <w:tc>
          <w:tcPr>
            <w:tcW w:w="2151" w:type="dxa"/>
            <w:vMerge/>
            <w:tcBorders>
              <w:bottom w:val="single" w:sz="12" w:space="0" w:color="auto"/>
            </w:tcBorders>
            <w:vAlign w:val="center"/>
            <w:hideMark/>
          </w:tcPr>
          <w:p w:rsidR="00E24DB7" w:rsidRPr="002C5876" w:rsidRDefault="00E24DB7" w:rsidP="00E24DB7">
            <w:pPr>
              <w:suppressAutoHyphens w:val="0"/>
              <w:spacing w:before="80" w:after="80" w:line="200" w:lineRule="exact"/>
              <w:rPr>
                <w:i/>
                <w:sz w:val="18"/>
                <w:szCs w:val="18"/>
              </w:rPr>
            </w:pPr>
          </w:p>
        </w:tc>
      </w:tr>
      <w:tr w:rsidR="00E24DB7" w:rsidRPr="002C5876" w:rsidTr="00E24DB7">
        <w:trPr>
          <w:cantSplit/>
        </w:trPr>
        <w:tc>
          <w:tcPr>
            <w:tcW w:w="3671" w:type="dxa"/>
            <w:tcBorders>
              <w:top w:val="single" w:sz="12" w:space="0" w:color="auto"/>
            </w:tcBorders>
            <w:hideMark/>
          </w:tcPr>
          <w:p w:rsidR="00E24DB7" w:rsidRPr="002C5876" w:rsidRDefault="00E24DB7" w:rsidP="00E24DB7">
            <w:pPr>
              <w:spacing w:before="60" w:after="60" w:line="220" w:lineRule="atLeast"/>
              <w:ind w:left="57"/>
              <w:rPr>
                <w:sz w:val="18"/>
                <w:szCs w:val="18"/>
              </w:rPr>
            </w:pPr>
            <w:r w:rsidRPr="002C5876">
              <w:rPr>
                <w:sz w:val="18"/>
                <w:szCs w:val="18"/>
              </w:rPr>
              <w:t>Indice du combustible hydrogène</w:t>
            </w:r>
            <w:r w:rsidRPr="002C5876">
              <w:rPr>
                <w:i/>
                <w:sz w:val="18"/>
                <w:szCs w:val="18"/>
                <w:vertAlign w:val="superscript"/>
              </w:rPr>
              <w:t>a</w:t>
            </w:r>
          </w:p>
        </w:tc>
        <w:tc>
          <w:tcPr>
            <w:tcW w:w="1362" w:type="dxa"/>
            <w:tcBorders>
              <w:top w:val="single" w:sz="12"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mole</w:t>
            </w:r>
          </w:p>
        </w:tc>
        <w:tc>
          <w:tcPr>
            <w:tcW w:w="1243" w:type="dxa"/>
            <w:gridSpan w:val="2"/>
            <w:tcBorders>
              <w:top w:val="single" w:sz="12"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99,97</w:t>
            </w:r>
          </w:p>
        </w:tc>
        <w:tc>
          <w:tcPr>
            <w:tcW w:w="1212" w:type="dxa"/>
            <w:tcBorders>
              <w:top w:val="single" w:sz="12"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2151" w:type="dxa"/>
            <w:tcBorders>
              <w:top w:val="single" w:sz="12" w:space="0" w:color="auto"/>
            </w:tcBorders>
          </w:tcPr>
          <w:p w:rsidR="00E24DB7" w:rsidRPr="002C5876" w:rsidRDefault="00E24DB7" w:rsidP="00E24DB7">
            <w:pPr>
              <w:suppressAutoHyphens w:val="0"/>
              <w:spacing w:before="60" w:after="60" w:line="220" w:lineRule="atLeast"/>
              <w:ind w:left="57" w:right="57"/>
              <w:rPr>
                <w:sz w:val="18"/>
                <w:szCs w:val="18"/>
                <w:vertAlign w:val="superscript"/>
              </w:rPr>
            </w:pPr>
          </w:p>
        </w:tc>
      </w:tr>
      <w:tr w:rsidR="00E24DB7" w:rsidRPr="002C5876" w:rsidTr="00E24DB7">
        <w:trPr>
          <w:cantSplit/>
        </w:trPr>
        <w:tc>
          <w:tcPr>
            <w:tcW w:w="3671"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Gaz totaux autres que l’hydrogène </w:t>
            </w:r>
          </w:p>
        </w:tc>
        <w:tc>
          <w:tcPr>
            <w:tcW w:w="1362"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μmol/mol</w:t>
            </w:r>
          </w:p>
        </w:tc>
        <w:tc>
          <w:tcPr>
            <w:tcW w:w="1243" w:type="dxa"/>
            <w:gridSpan w:val="2"/>
          </w:tcPr>
          <w:p w:rsidR="00E24DB7" w:rsidRPr="002C5876" w:rsidRDefault="00E24DB7" w:rsidP="00E24DB7">
            <w:pPr>
              <w:suppressAutoHyphens w:val="0"/>
              <w:spacing w:before="60" w:after="60" w:line="220" w:lineRule="atLeast"/>
              <w:ind w:left="57" w:right="57"/>
              <w:rPr>
                <w:sz w:val="18"/>
                <w:szCs w:val="18"/>
              </w:rPr>
            </w:pPr>
          </w:p>
        </w:tc>
        <w:tc>
          <w:tcPr>
            <w:tcW w:w="1212"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300</w:t>
            </w:r>
          </w:p>
        </w:tc>
        <w:tc>
          <w:tcPr>
            <w:tcW w:w="2151" w:type="dxa"/>
          </w:tcPr>
          <w:p w:rsidR="00E24DB7" w:rsidRPr="002C5876" w:rsidRDefault="00E24DB7" w:rsidP="00E24DB7">
            <w:pPr>
              <w:suppressAutoHyphens w:val="0"/>
              <w:spacing w:before="60" w:after="60" w:line="220" w:lineRule="atLeast"/>
              <w:ind w:left="57" w:right="57"/>
              <w:rPr>
                <w:sz w:val="18"/>
                <w:szCs w:val="18"/>
              </w:rPr>
            </w:pPr>
          </w:p>
        </w:tc>
      </w:tr>
      <w:tr w:rsidR="00E24DB7" w:rsidRPr="002C5876" w:rsidTr="00E24DB7">
        <w:trPr>
          <w:cantSplit/>
        </w:trPr>
        <w:tc>
          <w:tcPr>
            <w:tcW w:w="7488" w:type="dxa"/>
            <w:gridSpan w:val="5"/>
            <w:hideMark/>
          </w:tcPr>
          <w:p w:rsidR="00E24DB7" w:rsidRPr="002C5876" w:rsidRDefault="00E24DB7" w:rsidP="00E24DB7">
            <w:pPr>
              <w:suppressAutoHyphens w:val="0"/>
              <w:spacing w:before="80" w:after="80" w:line="220" w:lineRule="atLeast"/>
              <w:ind w:left="57" w:right="57"/>
              <w:jc w:val="center"/>
              <w:rPr>
                <w:sz w:val="18"/>
                <w:szCs w:val="18"/>
              </w:rPr>
            </w:pPr>
            <w:r w:rsidRPr="002C5876">
              <w:rPr>
                <w:b/>
                <w:bCs/>
                <w:sz w:val="18"/>
                <w:szCs w:val="18"/>
              </w:rPr>
              <w:t>Concentration maximale de contaminants individuels</w:t>
            </w:r>
          </w:p>
        </w:tc>
        <w:tc>
          <w:tcPr>
            <w:tcW w:w="2151" w:type="dxa"/>
          </w:tcPr>
          <w:p w:rsidR="00E24DB7" w:rsidRPr="002C5876" w:rsidRDefault="00E24DB7" w:rsidP="00E24DB7">
            <w:pPr>
              <w:suppressAutoHyphens w:val="0"/>
              <w:spacing w:before="80" w:after="80" w:line="220" w:lineRule="atLeast"/>
              <w:ind w:left="57" w:right="57"/>
              <w:rPr>
                <w:b/>
                <w:bCs/>
                <w:sz w:val="18"/>
                <w:szCs w:val="18"/>
              </w:rPr>
            </w:pPr>
          </w:p>
        </w:tc>
      </w:tr>
      <w:tr w:rsidR="00E24DB7" w:rsidRPr="002C5876" w:rsidTr="00E24DB7">
        <w:trPr>
          <w:cantSplit/>
        </w:trPr>
        <w:tc>
          <w:tcPr>
            <w:tcW w:w="3671"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Eau (H</w:t>
            </w:r>
            <w:r w:rsidRPr="002C5876">
              <w:rPr>
                <w:sz w:val="18"/>
                <w:szCs w:val="18"/>
                <w:vertAlign w:val="subscript"/>
              </w:rPr>
              <w:t>2</w:t>
            </w:r>
            <w:r w:rsidRPr="002C5876">
              <w:rPr>
                <w:sz w:val="18"/>
                <w:szCs w:val="18"/>
              </w:rPr>
              <w:t>O)</w:t>
            </w:r>
          </w:p>
        </w:tc>
        <w:tc>
          <w:tcPr>
            <w:tcW w:w="1362"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μmol/mol</w:t>
            </w:r>
          </w:p>
        </w:tc>
        <w:tc>
          <w:tcPr>
            <w:tcW w:w="1226" w:type="dxa"/>
          </w:tcPr>
          <w:p w:rsidR="00E24DB7" w:rsidRPr="002C5876" w:rsidRDefault="00E24DB7" w:rsidP="00E24DB7">
            <w:pPr>
              <w:suppressAutoHyphens w:val="0"/>
              <w:spacing w:before="60" w:after="60" w:line="220" w:lineRule="atLeast"/>
              <w:ind w:left="57" w:right="57"/>
              <w:rPr>
                <w:sz w:val="18"/>
                <w:szCs w:val="18"/>
              </w:rPr>
            </w:pPr>
          </w:p>
        </w:tc>
        <w:tc>
          <w:tcPr>
            <w:tcW w:w="1229" w:type="dxa"/>
            <w:gridSpan w:val="2"/>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5</w:t>
            </w:r>
          </w:p>
        </w:tc>
        <w:tc>
          <w:tcPr>
            <w:tcW w:w="2151" w:type="dxa"/>
            <w:hideMark/>
          </w:tcPr>
          <w:p w:rsidR="00E24DB7" w:rsidRPr="002C5876" w:rsidRDefault="00E24DB7" w:rsidP="00E24DB7">
            <w:pPr>
              <w:suppressAutoHyphens w:val="0"/>
              <w:spacing w:before="60" w:after="60" w:line="220" w:lineRule="atLeast"/>
              <w:ind w:left="57" w:right="57"/>
              <w:rPr>
                <w:sz w:val="18"/>
                <w:szCs w:val="18"/>
              </w:rPr>
            </w:pPr>
            <w:r w:rsidRPr="002C5876">
              <w:rPr>
                <w:i/>
                <w:sz w:val="18"/>
                <w:szCs w:val="18"/>
                <w:vertAlign w:val="superscript"/>
              </w:rPr>
              <w:t>e</w:t>
            </w:r>
          </w:p>
        </w:tc>
      </w:tr>
      <w:tr w:rsidR="00E24DB7" w:rsidRPr="002C5876" w:rsidTr="00E24DB7">
        <w:trPr>
          <w:cantSplit/>
        </w:trPr>
        <w:tc>
          <w:tcPr>
            <w:tcW w:w="3671" w:type="dxa"/>
            <w:hideMark/>
          </w:tcPr>
          <w:p w:rsidR="00E24DB7" w:rsidRPr="002C5876" w:rsidRDefault="00E24DB7" w:rsidP="00E24DB7">
            <w:pPr>
              <w:spacing w:before="60" w:after="60" w:line="220" w:lineRule="atLeast"/>
              <w:ind w:left="57"/>
              <w:rPr>
                <w:sz w:val="18"/>
                <w:szCs w:val="18"/>
              </w:rPr>
            </w:pPr>
            <w:r w:rsidRPr="002C5876">
              <w:rPr>
                <w:sz w:val="18"/>
                <w:szCs w:val="18"/>
              </w:rPr>
              <w:t>Hydrocarbures totaux</w:t>
            </w:r>
            <w:r w:rsidRPr="002C5876">
              <w:rPr>
                <w:i/>
                <w:sz w:val="18"/>
                <w:szCs w:val="18"/>
                <w:vertAlign w:val="superscript"/>
              </w:rPr>
              <w:t>b</w:t>
            </w:r>
            <w:r w:rsidRPr="002C5876">
              <w:rPr>
                <w:sz w:val="18"/>
                <w:szCs w:val="18"/>
                <w:vertAlign w:val="superscript"/>
              </w:rPr>
              <w:t xml:space="preserve"> </w:t>
            </w:r>
            <w:r w:rsidRPr="002C5876">
              <w:rPr>
                <w:sz w:val="18"/>
                <w:szCs w:val="18"/>
              </w:rPr>
              <w:t>(Base méthane)</w:t>
            </w:r>
          </w:p>
        </w:tc>
        <w:tc>
          <w:tcPr>
            <w:tcW w:w="1362"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μmol/mol</w:t>
            </w:r>
          </w:p>
        </w:tc>
        <w:tc>
          <w:tcPr>
            <w:tcW w:w="1226" w:type="dxa"/>
          </w:tcPr>
          <w:p w:rsidR="00E24DB7" w:rsidRPr="002C5876" w:rsidRDefault="00E24DB7" w:rsidP="00E24DB7">
            <w:pPr>
              <w:suppressAutoHyphens w:val="0"/>
              <w:spacing w:before="60" w:after="60" w:line="220" w:lineRule="atLeast"/>
              <w:ind w:left="57" w:right="57"/>
              <w:rPr>
                <w:sz w:val="18"/>
                <w:szCs w:val="18"/>
              </w:rPr>
            </w:pPr>
          </w:p>
        </w:tc>
        <w:tc>
          <w:tcPr>
            <w:tcW w:w="1229" w:type="dxa"/>
            <w:gridSpan w:val="2"/>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2</w:t>
            </w:r>
          </w:p>
        </w:tc>
        <w:tc>
          <w:tcPr>
            <w:tcW w:w="2151" w:type="dxa"/>
            <w:hideMark/>
          </w:tcPr>
          <w:p w:rsidR="00E24DB7" w:rsidRPr="002C5876" w:rsidRDefault="00E24DB7" w:rsidP="00E24DB7">
            <w:pPr>
              <w:suppressAutoHyphens w:val="0"/>
              <w:spacing w:before="60" w:after="60" w:line="220" w:lineRule="atLeast"/>
              <w:ind w:left="57" w:right="57"/>
              <w:rPr>
                <w:sz w:val="18"/>
                <w:szCs w:val="18"/>
              </w:rPr>
            </w:pPr>
            <w:r w:rsidRPr="002C5876">
              <w:rPr>
                <w:i/>
                <w:sz w:val="18"/>
                <w:szCs w:val="18"/>
                <w:vertAlign w:val="superscript"/>
              </w:rPr>
              <w:t>e</w:t>
            </w:r>
          </w:p>
        </w:tc>
      </w:tr>
      <w:tr w:rsidR="00E24DB7" w:rsidRPr="002C5876" w:rsidTr="00E24DB7">
        <w:trPr>
          <w:cantSplit/>
        </w:trPr>
        <w:tc>
          <w:tcPr>
            <w:tcW w:w="3671" w:type="dxa"/>
            <w:hideMark/>
          </w:tcPr>
          <w:p w:rsidR="00E24DB7" w:rsidRPr="002C5876" w:rsidRDefault="00E24DB7" w:rsidP="00E24DB7">
            <w:pPr>
              <w:suppressAutoHyphens w:val="0"/>
              <w:spacing w:before="60" w:after="60" w:line="220" w:lineRule="atLeast"/>
              <w:ind w:left="113" w:right="57"/>
              <w:rPr>
                <w:sz w:val="18"/>
                <w:szCs w:val="18"/>
              </w:rPr>
            </w:pPr>
            <w:r w:rsidRPr="002C5876">
              <w:rPr>
                <w:sz w:val="18"/>
                <w:szCs w:val="18"/>
              </w:rPr>
              <w:t>Oxygène (O</w:t>
            </w:r>
            <w:r w:rsidRPr="002C5876">
              <w:rPr>
                <w:sz w:val="18"/>
                <w:szCs w:val="18"/>
                <w:vertAlign w:val="subscript"/>
              </w:rPr>
              <w:t>2</w:t>
            </w:r>
            <w:r w:rsidRPr="002C5876">
              <w:rPr>
                <w:sz w:val="18"/>
                <w:szCs w:val="18"/>
              </w:rPr>
              <w:t>)</w:t>
            </w:r>
          </w:p>
        </w:tc>
        <w:tc>
          <w:tcPr>
            <w:tcW w:w="1362"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μmol/mol</w:t>
            </w:r>
          </w:p>
        </w:tc>
        <w:tc>
          <w:tcPr>
            <w:tcW w:w="1226" w:type="dxa"/>
          </w:tcPr>
          <w:p w:rsidR="00E24DB7" w:rsidRPr="002C5876" w:rsidRDefault="00E24DB7" w:rsidP="00E24DB7">
            <w:pPr>
              <w:suppressAutoHyphens w:val="0"/>
              <w:spacing w:before="60" w:after="60" w:line="220" w:lineRule="atLeast"/>
              <w:ind w:left="57" w:right="57"/>
              <w:rPr>
                <w:sz w:val="18"/>
                <w:szCs w:val="18"/>
              </w:rPr>
            </w:pPr>
          </w:p>
        </w:tc>
        <w:tc>
          <w:tcPr>
            <w:tcW w:w="1229" w:type="dxa"/>
            <w:gridSpan w:val="2"/>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5</w:t>
            </w:r>
          </w:p>
        </w:tc>
        <w:tc>
          <w:tcPr>
            <w:tcW w:w="2151" w:type="dxa"/>
            <w:hideMark/>
          </w:tcPr>
          <w:p w:rsidR="00E24DB7" w:rsidRPr="002C5876" w:rsidRDefault="00E24DB7" w:rsidP="00E24DB7">
            <w:pPr>
              <w:suppressAutoHyphens w:val="0"/>
              <w:spacing w:before="60" w:after="60" w:line="220" w:lineRule="atLeast"/>
              <w:ind w:left="57" w:right="57"/>
              <w:rPr>
                <w:sz w:val="18"/>
                <w:szCs w:val="18"/>
              </w:rPr>
            </w:pPr>
            <w:r w:rsidRPr="002C5876">
              <w:rPr>
                <w:i/>
                <w:sz w:val="18"/>
                <w:szCs w:val="18"/>
                <w:vertAlign w:val="superscript"/>
              </w:rPr>
              <w:t>e</w:t>
            </w:r>
          </w:p>
        </w:tc>
      </w:tr>
      <w:tr w:rsidR="00E24DB7" w:rsidRPr="002C5876" w:rsidTr="00E24DB7">
        <w:trPr>
          <w:cantSplit/>
        </w:trPr>
        <w:tc>
          <w:tcPr>
            <w:tcW w:w="3671" w:type="dxa"/>
            <w:hideMark/>
          </w:tcPr>
          <w:p w:rsidR="00E24DB7" w:rsidRPr="002C5876" w:rsidRDefault="00E24DB7" w:rsidP="00E24DB7">
            <w:pPr>
              <w:suppressAutoHyphens w:val="0"/>
              <w:spacing w:before="60" w:after="60" w:line="220" w:lineRule="atLeast"/>
              <w:ind w:left="113" w:right="57"/>
              <w:rPr>
                <w:sz w:val="18"/>
                <w:szCs w:val="18"/>
              </w:rPr>
            </w:pPr>
            <w:r w:rsidRPr="002C5876">
              <w:rPr>
                <w:sz w:val="18"/>
                <w:szCs w:val="18"/>
              </w:rPr>
              <w:t>Hélium (He)</w:t>
            </w:r>
          </w:p>
        </w:tc>
        <w:tc>
          <w:tcPr>
            <w:tcW w:w="1362"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μmol/mol</w:t>
            </w:r>
          </w:p>
        </w:tc>
        <w:tc>
          <w:tcPr>
            <w:tcW w:w="1226" w:type="dxa"/>
          </w:tcPr>
          <w:p w:rsidR="00E24DB7" w:rsidRPr="002C5876" w:rsidRDefault="00E24DB7" w:rsidP="00E24DB7">
            <w:pPr>
              <w:suppressAutoHyphens w:val="0"/>
              <w:spacing w:before="60" w:after="60" w:line="220" w:lineRule="atLeast"/>
              <w:ind w:left="57" w:right="57"/>
              <w:rPr>
                <w:sz w:val="18"/>
                <w:szCs w:val="18"/>
              </w:rPr>
            </w:pPr>
          </w:p>
        </w:tc>
        <w:tc>
          <w:tcPr>
            <w:tcW w:w="1229" w:type="dxa"/>
            <w:gridSpan w:val="2"/>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300</w:t>
            </w:r>
          </w:p>
        </w:tc>
        <w:tc>
          <w:tcPr>
            <w:tcW w:w="2151" w:type="dxa"/>
            <w:hideMark/>
          </w:tcPr>
          <w:p w:rsidR="00E24DB7" w:rsidRPr="002C5876" w:rsidRDefault="00E24DB7" w:rsidP="00E24DB7">
            <w:pPr>
              <w:suppressAutoHyphens w:val="0"/>
              <w:spacing w:before="60" w:after="60" w:line="220" w:lineRule="atLeast"/>
              <w:ind w:left="57" w:right="57"/>
              <w:rPr>
                <w:sz w:val="18"/>
                <w:szCs w:val="18"/>
              </w:rPr>
            </w:pPr>
            <w:r w:rsidRPr="002C5876">
              <w:rPr>
                <w:i/>
                <w:sz w:val="18"/>
                <w:szCs w:val="18"/>
                <w:vertAlign w:val="superscript"/>
              </w:rPr>
              <w:t>e</w:t>
            </w:r>
          </w:p>
        </w:tc>
      </w:tr>
      <w:tr w:rsidR="00E24DB7" w:rsidRPr="002C5876" w:rsidTr="00E24DB7">
        <w:trPr>
          <w:cantSplit/>
        </w:trPr>
        <w:tc>
          <w:tcPr>
            <w:tcW w:w="3671" w:type="dxa"/>
            <w:hideMark/>
          </w:tcPr>
          <w:p w:rsidR="00E24DB7" w:rsidRPr="002C5876" w:rsidRDefault="00E24DB7" w:rsidP="00E24DB7">
            <w:pPr>
              <w:spacing w:before="60" w:after="60" w:line="220" w:lineRule="atLeast"/>
              <w:ind w:left="57"/>
              <w:rPr>
                <w:sz w:val="18"/>
                <w:szCs w:val="18"/>
              </w:rPr>
            </w:pPr>
            <w:r w:rsidRPr="002C5876">
              <w:rPr>
                <w:sz w:val="18"/>
                <w:szCs w:val="18"/>
              </w:rPr>
              <w:t>Total azote (N</w:t>
            </w:r>
            <w:r w:rsidRPr="002C5876">
              <w:rPr>
                <w:sz w:val="18"/>
                <w:szCs w:val="18"/>
                <w:vertAlign w:val="subscript"/>
              </w:rPr>
              <w:t>2</w:t>
            </w:r>
            <w:r w:rsidRPr="002C5876">
              <w:rPr>
                <w:sz w:val="18"/>
                <w:szCs w:val="18"/>
              </w:rPr>
              <w:t>) et argon (Ar)</w:t>
            </w:r>
            <w:r w:rsidRPr="002C5876">
              <w:rPr>
                <w:i/>
                <w:sz w:val="18"/>
                <w:szCs w:val="18"/>
                <w:vertAlign w:val="superscript"/>
              </w:rPr>
              <w:t>b</w:t>
            </w:r>
          </w:p>
        </w:tc>
        <w:tc>
          <w:tcPr>
            <w:tcW w:w="1362"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μmol/mol</w:t>
            </w:r>
          </w:p>
        </w:tc>
        <w:tc>
          <w:tcPr>
            <w:tcW w:w="1226" w:type="dxa"/>
          </w:tcPr>
          <w:p w:rsidR="00E24DB7" w:rsidRPr="002C5876" w:rsidRDefault="00E24DB7" w:rsidP="00E24DB7">
            <w:pPr>
              <w:suppressAutoHyphens w:val="0"/>
              <w:spacing w:before="60" w:after="60" w:line="220" w:lineRule="atLeast"/>
              <w:ind w:left="57" w:right="57"/>
              <w:rPr>
                <w:sz w:val="18"/>
                <w:szCs w:val="18"/>
              </w:rPr>
            </w:pPr>
          </w:p>
        </w:tc>
        <w:tc>
          <w:tcPr>
            <w:tcW w:w="1229" w:type="dxa"/>
            <w:gridSpan w:val="2"/>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100</w:t>
            </w:r>
          </w:p>
        </w:tc>
        <w:tc>
          <w:tcPr>
            <w:tcW w:w="2151" w:type="dxa"/>
            <w:hideMark/>
          </w:tcPr>
          <w:p w:rsidR="00E24DB7" w:rsidRPr="002C5876" w:rsidRDefault="00E24DB7" w:rsidP="00E24DB7">
            <w:pPr>
              <w:suppressAutoHyphens w:val="0"/>
              <w:spacing w:before="60" w:after="60" w:line="220" w:lineRule="atLeast"/>
              <w:ind w:left="57" w:right="57"/>
              <w:rPr>
                <w:sz w:val="18"/>
                <w:szCs w:val="18"/>
              </w:rPr>
            </w:pPr>
            <w:r w:rsidRPr="002C5876">
              <w:rPr>
                <w:i/>
                <w:sz w:val="18"/>
                <w:szCs w:val="18"/>
                <w:vertAlign w:val="superscript"/>
              </w:rPr>
              <w:t>e</w:t>
            </w:r>
          </w:p>
        </w:tc>
      </w:tr>
      <w:tr w:rsidR="00E24DB7" w:rsidRPr="002C5876" w:rsidTr="00E24DB7">
        <w:trPr>
          <w:cantSplit/>
        </w:trPr>
        <w:tc>
          <w:tcPr>
            <w:tcW w:w="3671" w:type="dxa"/>
            <w:hideMark/>
          </w:tcPr>
          <w:p w:rsidR="00E24DB7" w:rsidRPr="002C5876" w:rsidRDefault="00E24DB7" w:rsidP="00E24DB7">
            <w:pPr>
              <w:suppressAutoHyphens w:val="0"/>
              <w:spacing w:before="60" w:after="60" w:line="220" w:lineRule="atLeast"/>
              <w:ind w:left="113" w:right="57"/>
              <w:rPr>
                <w:sz w:val="18"/>
                <w:szCs w:val="18"/>
              </w:rPr>
            </w:pPr>
            <w:r w:rsidRPr="002C5876">
              <w:rPr>
                <w:sz w:val="18"/>
                <w:szCs w:val="18"/>
              </w:rPr>
              <w:t>Dioxyde de carbone (CO</w:t>
            </w:r>
            <w:r w:rsidRPr="002C5876">
              <w:rPr>
                <w:sz w:val="18"/>
                <w:szCs w:val="18"/>
                <w:vertAlign w:val="subscript"/>
              </w:rPr>
              <w:t>2</w:t>
            </w:r>
            <w:r w:rsidRPr="002C5876">
              <w:rPr>
                <w:sz w:val="18"/>
                <w:szCs w:val="18"/>
              </w:rPr>
              <w:t>)</w:t>
            </w:r>
          </w:p>
        </w:tc>
        <w:tc>
          <w:tcPr>
            <w:tcW w:w="1362"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μmol/mol</w:t>
            </w:r>
          </w:p>
        </w:tc>
        <w:tc>
          <w:tcPr>
            <w:tcW w:w="1226" w:type="dxa"/>
          </w:tcPr>
          <w:p w:rsidR="00E24DB7" w:rsidRPr="002C5876" w:rsidRDefault="00E24DB7" w:rsidP="00E24DB7">
            <w:pPr>
              <w:suppressAutoHyphens w:val="0"/>
              <w:spacing w:before="60" w:after="60" w:line="220" w:lineRule="atLeast"/>
              <w:ind w:left="57" w:right="57"/>
              <w:rPr>
                <w:sz w:val="18"/>
                <w:szCs w:val="18"/>
              </w:rPr>
            </w:pPr>
          </w:p>
        </w:tc>
        <w:tc>
          <w:tcPr>
            <w:tcW w:w="1229" w:type="dxa"/>
            <w:gridSpan w:val="2"/>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2</w:t>
            </w:r>
          </w:p>
        </w:tc>
        <w:tc>
          <w:tcPr>
            <w:tcW w:w="2151" w:type="dxa"/>
            <w:hideMark/>
          </w:tcPr>
          <w:p w:rsidR="00E24DB7" w:rsidRPr="002C5876" w:rsidRDefault="00E24DB7" w:rsidP="00E24DB7">
            <w:pPr>
              <w:suppressAutoHyphens w:val="0"/>
              <w:spacing w:before="60" w:after="60" w:line="220" w:lineRule="atLeast"/>
              <w:ind w:left="57" w:right="57"/>
              <w:rPr>
                <w:sz w:val="18"/>
                <w:szCs w:val="18"/>
              </w:rPr>
            </w:pPr>
            <w:r w:rsidRPr="002C5876">
              <w:rPr>
                <w:i/>
                <w:sz w:val="18"/>
                <w:szCs w:val="18"/>
                <w:vertAlign w:val="superscript"/>
              </w:rPr>
              <w:t>e</w:t>
            </w:r>
          </w:p>
        </w:tc>
      </w:tr>
      <w:tr w:rsidR="00E24DB7" w:rsidRPr="002C5876" w:rsidTr="00E24DB7">
        <w:trPr>
          <w:cantSplit/>
        </w:trPr>
        <w:tc>
          <w:tcPr>
            <w:tcW w:w="3671" w:type="dxa"/>
            <w:hideMark/>
          </w:tcPr>
          <w:p w:rsidR="00E24DB7" w:rsidRPr="002C5876" w:rsidRDefault="00E24DB7" w:rsidP="00E24DB7">
            <w:pPr>
              <w:suppressAutoHyphens w:val="0"/>
              <w:spacing w:before="60" w:after="60" w:line="220" w:lineRule="atLeast"/>
              <w:ind w:left="113" w:right="57"/>
              <w:rPr>
                <w:sz w:val="18"/>
                <w:szCs w:val="18"/>
              </w:rPr>
            </w:pPr>
            <w:r w:rsidRPr="002C5876">
              <w:rPr>
                <w:sz w:val="18"/>
                <w:szCs w:val="18"/>
              </w:rPr>
              <w:t>Monoxyde de carbone (CO)</w:t>
            </w:r>
          </w:p>
        </w:tc>
        <w:tc>
          <w:tcPr>
            <w:tcW w:w="1362"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μmol/mol</w:t>
            </w:r>
          </w:p>
        </w:tc>
        <w:tc>
          <w:tcPr>
            <w:tcW w:w="1226" w:type="dxa"/>
          </w:tcPr>
          <w:p w:rsidR="00E24DB7" w:rsidRPr="002C5876" w:rsidRDefault="00E24DB7" w:rsidP="00E24DB7">
            <w:pPr>
              <w:suppressAutoHyphens w:val="0"/>
              <w:spacing w:before="60" w:after="60" w:line="220" w:lineRule="atLeast"/>
              <w:ind w:left="57" w:right="57"/>
              <w:rPr>
                <w:sz w:val="18"/>
                <w:szCs w:val="18"/>
              </w:rPr>
            </w:pPr>
          </w:p>
        </w:tc>
        <w:tc>
          <w:tcPr>
            <w:tcW w:w="1229" w:type="dxa"/>
            <w:gridSpan w:val="2"/>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0,2</w:t>
            </w:r>
          </w:p>
        </w:tc>
        <w:tc>
          <w:tcPr>
            <w:tcW w:w="2151" w:type="dxa"/>
            <w:hideMark/>
          </w:tcPr>
          <w:p w:rsidR="00E24DB7" w:rsidRPr="002C5876" w:rsidRDefault="00E24DB7" w:rsidP="00E24DB7">
            <w:pPr>
              <w:suppressAutoHyphens w:val="0"/>
              <w:spacing w:before="60" w:after="60" w:line="220" w:lineRule="atLeast"/>
              <w:ind w:left="57" w:right="57"/>
              <w:rPr>
                <w:sz w:val="18"/>
                <w:szCs w:val="18"/>
              </w:rPr>
            </w:pPr>
            <w:r w:rsidRPr="002C5876">
              <w:rPr>
                <w:i/>
                <w:sz w:val="18"/>
                <w:szCs w:val="18"/>
                <w:vertAlign w:val="superscript"/>
              </w:rPr>
              <w:t>e</w:t>
            </w:r>
          </w:p>
        </w:tc>
      </w:tr>
      <w:tr w:rsidR="00E24DB7" w:rsidRPr="002C5876" w:rsidTr="00E24DB7">
        <w:trPr>
          <w:cantSplit/>
        </w:trPr>
        <w:tc>
          <w:tcPr>
            <w:tcW w:w="3671" w:type="dxa"/>
            <w:hideMark/>
          </w:tcPr>
          <w:p w:rsidR="00E24DB7" w:rsidRPr="002C5876" w:rsidRDefault="00E24DB7" w:rsidP="00E24DB7">
            <w:pPr>
              <w:spacing w:before="60" w:after="60" w:line="220" w:lineRule="atLeast"/>
              <w:ind w:left="57"/>
              <w:rPr>
                <w:sz w:val="18"/>
                <w:szCs w:val="18"/>
              </w:rPr>
            </w:pPr>
            <w:r w:rsidRPr="002C5876">
              <w:rPr>
                <w:sz w:val="18"/>
                <w:szCs w:val="18"/>
              </w:rPr>
              <w:t>Total composés sulfurés</w:t>
            </w:r>
            <w:r w:rsidRPr="002C5876">
              <w:rPr>
                <w:i/>
                <w:sz w:val="18"/>
                <w:szCs w:val="18"/>
                <w:vertAlign w:val="superscript"/>
              </w:rPr>
              <w:t xml:space="preserve">c </w:t>
            </w:r>
            <w:r w:rsidRPr="002C5876">
              <w:rPr>
                <w:sz w:val="18"/>
                <w:szCs w:val="18"/>
              </w:rPr>
              <w:t>(Base H</w:t>
            </w:r>
            <w:r w:rsidRPr="002C5876">
              <w:rPr>
                <w:sz w:val="18"/>
                <w:szCs w:val="18"/>
                <w:vertAlign w:val="subscript"/>
              </w:rPr>
              <w:t>2</w:t>
            </w:r>
            <w:r w:rsidRPr="002C5876">
              <w:rPr>
                <w:sz w:val="18"/>
                <w:szCs w:val="18"/>
              </w:rPr>
              <w:t>S)</w:t>
            </w:r>
          </w:p>
        </w:tc>
        <w:tc>
          <w:tcPr>
            <w:tcW w:w="1362"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μmol/mol</w:t>
            </w:r>
          </w:p>
        </w:tc>
        <w:tc>
          <w:tcPr>
            <w:tcW w:w="1226" w:type="dxa"/>
          </w:tcPr>
          <w:p w:rsidR="00E24DB7" w:rsidRPr="002C5876" w:rsidRDefault="00E24DB7" w:rsidP="00E24DB7">
            <w:pPr>
              <w:suppressAutoHyphens w:val="0"/>
              <w:spacing w:before="60" w:after="60" w:line="220" w:lineRule="atLeast"/>
              <w:ind w:left="57" w:right="57"/>
              <w:rPr>
                <w:sz w:val="18"/>
                <w:szCs w:val="18"/>
              </w:rPr>
            </w:pPr>
          </w:p>
        </w:tc>
        <w:tc>
          <w:tcPr>
            <w:tcW w:w="1229" w:type="dxa"/>
            <w:gridSpan w:val="2"/>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0,004</w:t>
            </w:r>
          </w:p>
        </w:tc>
        <w:tc>
          <w:tcPr>
            <w:tcW w:w="2151" w:type="dxa"/>
            <w:hideMark/>
          </w:tcPr>
          <w:p w:rsidR="00E24DB7" w:rsidRPr="002C5876" w:rsidRDefault="00E24DB7" w:rsidP="00E24DB7">
            <w:pPr>
              <w:suppressAutoHyphens w:val="0"/>
              <w:spacing w:before="60" w:after="60" w:line="220" w:lineRule="atLeast"/>
              <w:ind w:left="57" w:right="57"/>
              <w:rPr>
                <w:sz w:val="18"/>
                <w:szCs w:val="18"/>
              </w:rPr>
            </w:pPr>
            <w:r w:rsidRPr="002C5876">
              <w:rPr>
                <w:i/>
                <w:sz w:val="18"/>
                <w:szCs w:val="18"/>
                <w:vertAlign w:val="superscript"/>
              </w:rPr>
              <w:t>e</w:t>
            </w:r>
          </w:p>
        </w:tc>
      </w:tr>
      <w:tr w:rsidR="00E24DB7" w:rsidRPr="002C5876" w:rsidTr="00E24DB7">
        <w:trPr>
          <w:cantSplit/>
        </w:trPr>
        <w:tc>
          <w:tcPr>
            <w:tcW w:w="3671" w:type="dxa"/>
            <w:hideMark/>
          </w:tcPr>
          <w:p w:rsidR="00E24DB7" w:rsidRPr="002C5876" w:rsidRDefault="00E24DB7" w:rsidP="00E24DB7">
            <w:pPr>
              <w:suppressAutoHyphens w:val="0"/>
              <w:spacing w:before="60" w:after="60" w:line="220" w:lineRule="atLeast"/>
              <w:ind w:left="113" w:right="57"/>
              <w:rPr>
                <w:sz w:val="18"/>
                <w:szCs w:val="18"/>
              </w:rPr>
            </w:pPr>
            <w:r w:rsidRPr="002C5876">
              <w:rPr>
                <w:sz w:val="18"/>
                <w:szCs w:val="18"/>
              </w:rPr>
              <w:t>Formaldéhyde (HCHO)</w:t>
            </w:r>
          </w:p>
        </w:tc>
        <w:tc>
          <w:tcPr>
            <w:tcW w:w="1362"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μmol/mol</w:t>
            </w:r>
          </w:p>
        </w:tc>
        <w:tc>
          <w:tcPr>
            <w:tcW w:w="1226" w:type="dxa"/>
          </w:tcPr>
          <w:p w:rsidR="00E24DB7" w:rsidRPr="002C5876" w:rsidRDefault="00E24DB7" w:rsidP="00E24DB7">
            <w:pPr>
              <w:suppressAutoHyphens w:val="0"/>
              <w:spacing w:before="60" w:after="60" w:line="220" w:lineRule="atLeast"/>
              <w:ind w:left="57" w:right="57"/>
              <w:rPr>
                <w:sz w:val="18"/>
                <w:szCs w:val="18"/>
              </w:rPr>
            </w:pPr>
          </w:p>
        </w:tc>
        <w:tc>
          <w:tcPr>
            <w:tcW w:w="1229" w:type="dxa"/>
            <w:gridSpan w:val="2"/>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0,01</w:t>
            </w:r>
          </w:p>
        </w:tc>
        <w:tc>
          <w:tcPr>
            <w:tcW w:w="2151" w:type="dxa"/>
            <w:hideMark/>
          </w:tcPr>
          <w:p w:rsidR="00E24DB7" w:rsidRPr="002C5876" w:rsidRDefault="00E24DB7" w:rsidP="00E24DB7">
            <w:pPr>
              <w:suppressAutoHyphens w:val="0"/>
              <w:spacing w:before="60" w:after="60" w:line="220" w:lineRule="atLeast"/>
              <w:ind w:left="57" w:right="57"/>
              <w:rPr>
                <w:sz w:val="18"/>
                <w:szCs w:val="18"/>
              </w:rPr>
            </w:pPr>
            <w:r w:rsidRPr="002C5876">
              <w:rPr>
                <w:i/>
                <w:sz w:val="18"/>
                <w:szCs w:val="18"/>
                <w:vertAlign w:val="superscript"/>
              </w:rPr>
              <w:t>e</w:t>
            </w:r>
          </w:p>
        </w:tc>
      </w:tr>
      <w:tr w:rsidR="00E24DB7" w:rsidRPr="002C5876" w:rsidTr="00E24DB7">
        <w:trPr>
          <w:cantSplit/>
        </w:trPr>
        <w:tc>
          <w:tcPr>
            <w:tcW w:w="3671" w:type="dxa"/>
            <w:hideMark/>
          </w:tcPr>
          <w:p w:rsidR="00E24DB7" w:rsidRPr="002C5876" w:rsidRDefault="00E24DB7" w:rsidP="00E24DB7">
            <w:pPr>
              <w:suppressAutoHyphens w:val="0"/>
              <w:spacing w:before="60" w:after="60" w:line="220" w:lineRule="atLeast"/>
              <w:ind w:left="113" w:right="57"/>
              <w:rPr>
                <w:sz w:val="18"/>
                <w:szCs w:val="18"/>
              </w:rPr>
            </w:pPr>
            <w:r w:rsidRPr="002C5876">
              <w:rPr>
                <w:sz w:val="18"/>
                <w:szCs w:val="18"/>
              </w:rPr>
              <w:t xml:space="preserve">Acide formique (HCOOH) </w:t>
            </w:r>
          </w:p>
        </w:tc>
        <w:tc>
          <w:tcPr>
            <w:tcW w:w="1362" w:type="dxa"/>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μmol/mol</w:t>
            </w:r>
          </w:p>
        </w:tc>
        <w:tc>
          <w:tcPr>
            <w:tcW w:w="1226" w:type="dxa"/>
          </w:tcPr>
          <w:p w:rsidR="00E24DB7" w:rsidRPr="002C5876" w:rsidRDefault="00E24DB7" w:rsidP="00E24DB7">
            <w:pPr>
              <w:suppressAutoHyphens w:val="0"/>
              <w:spacing w:before="60" w:after="60" w:line="220" w:lineRule="atLeast"/>
              <w:ind w:left="57" w:right="57"/>
              <w:rPr>
                <w:sz w:val="18"/>
                <w:szCs w:val="18"/>
              </w:rPr>
            </w:pPr>
          </w:p>
        </w:tc>
        <w:tc>
          <w:tcPr>
            <w:tcW w:w="1229" w:type="dxa"/>
            <w:gridSpan w:val="2"/>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0,2</w:t>
            </w:r>
          </w:p>
        </w:tc>
        <w:tc>
          <w:tcPr>
            <w:tcW w:w="2151" w:type="dxa"/>
            <w:hideMark/>
          </w:tcPr>
          <w:p w:rsidR="00E24DB7" w:rsidRPr="002C5876" w:rsidRDefault="00E24DB7" w:rsidP="00E24DB7">
            <w:pPr>
              <w:suppressAutoHyphens w:val="0"/>
              <w:spacing w:before="60" w:after="60" w:line="220" w:lineRule="atLeast"/>
              <w:ind w:left="57" w:right="57"/>
              <w:rPr>
                <w:sz w:val="18"/>
                <w:szCs w:val="18"/>
              </w:rPr>
            </w:pPr>
            <w:r w:rsidRPr="002C5876">
              <w:rPr>
                <w:i/>
                <w:sz w:val="18"/>
                <w:szCs w:val="18"/>
                <w:vertAlign w:val="superscript"/>
              </w:rPr>
              <w:t>e</w:t>
            </w:r>
          </w:p>
        </w:tc>
      </w:tr>
      <w:tr w:rsidR="00E24DB7" w:rsidRPr="002C5876" w:rsidTr="00E24DB7">
        <w:trPr>
          <w:cantSplit/>
        </w:trPr>
        <w:tc>
          <w:tcPr>
            <w:tcW w:w="3671" w:type="dxa"/>
            <w:tcBorders>
              <w:bottom w:val="single" w:sz="4" w:space="0" w:color="auto"/>
            </w:tcBorders>
            <w:hideMark/>
          </w:tcPr>
          <w:p w:rsidR="00E24DB7" w:rsidRPr="002C5876" w:rsidRDefault="00E24DB7" w:rsidP="00E24DB7">
            <w:pPr>
              <w:suppressAutoHyphens w:val="0"/>
              <w:spacing w:before="60" w:after="60" w:line="220" w:lineRule="atLeast"/>
              <w:ind w:left="113" w:right="57"/>
              <w:rPr>
                <w:sz w:val="18"/>
                <w:szCs w:val="18"/>
              </w:rPr>
            </w:pPr>
            <w:r w:rsidRPr="002C5876">
              <w:rPr>
                <w:sz w:val="18"/>
                <w:szCs w:val="18"/>
              </w:rPr>
              <w:t>Ammoniac (NH</w:t>
            </w:r>
            <w:r w:rsidRPr="002C5876">
              <w:rPr>
                <w:sz w:val="18"/>
                <w:szCs w:val="18"/>
                <w:vertAlign w:val="subscript"/>
              </w:rPr>
              <w:t>3</w:t>
            </w:r>
            <w:r w:rsidRPr="002C5876">
              <w:rPr>
                <w:sz w:val="18"/>
                <w:szCs w:val="18"/>
              </w:rPr>
              <w:t>)</w:t>
            </w:r>
          </w:p>
        </w:tc>
        <w:tc>
          <w:tcPr>
            <w:tcW w:w="1362" w:type="dxa"/>
            <w:tcBorders>
              <w:bottom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μmol/mol</w:t>
            </w:r>
          </w:p>
        </w:tc>
        <w:tc>
          <w:tcPr>
            <w:tcW w:w="1226" w:type="dxa"/>
            <w:tcBorders>
              <w:bottom w:val="single" w:sz="4"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229" w:type="dxa"/>
            <w:gridSpan w:val="2"/>
            <w:tcBorders>
              <w:bottom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0,1</w:t>
            </w:r>
          </w:p>
        </w:tc>
        <w:tc>
          <w:tcPr>
            <w:tcW w:w="2151" w:type="dxa"/>
            <w:tcBorders>
              <w:bottom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i/>
                <w:sz w:val="18"/>
                <w:szCs w:val="18"/>
                <w:vertAlign w:val="superscript"/>
              </w:rPr>
              <w:t>e</w:t>
            </w:r>
          </w:p>
        </w:tc>
      </w:tr>
      <w:tr w:rsidR="00E24DB7" w:rsidRPr="002C5876" w:rsidTr="00E24DB7">
        <w:trPr>
          <w:cantSplit/>
        </w:trPr>
        <w:tc>
          <w:tcPr>
            <w:tcW w:w="3671" w:type="dxa"/>
            <w:tcBorders>
              <w:bottom w:val="single" w:sz="12"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Total composés halogénés</w:t>
            </w:r>
            <w:r w:rsidRPr="002C5876">
              <w:rPr>
                <w:i/>
                <w:sz w:val="18"/>
                <w:szCs w:val="18"/>
                <w:vertAlign w:val="superscript"/>
              </w:rPr>
              <w:t>d</w:t>
            </w:r>
          </w:p>
          <w:p w:rsidR="00E24DB7" w:rsidRPr="002C5876" w:rsidRDefault="00E24DB7" w:rsidP="00E24DB7">
            <w:pPr>
              <w:suppressAutoHyphens w:val="0"/>
              <w:spacing w:before="60" w:after="60" w:line="220" w:lineRule="atLeast"/>
              <w:ind w:left="57" w:right="57"/>
              <w:rPr>
                <w:sz w:val="18"/>
                <w:szCs w:val="18"/>
              </w:rPr>
            </w:pPr>
            <w:r w:rsidRPr="002C5876">
              <w:rPr>
                <w:sz w:val="18"/>
                <w:szCs w:val="18"/>
              </w:rPr>
              <w:t>(Base halogène ion)</w:t>
            </w:r>
          </w:p>
        </w:tc>
        <w:tc>
          <w:tcPr>
            <w:tcW w:w="1362" w:type="dxa"/>
            <w:tcBorders>
              <w:bottom w:val="single" w:sz="12"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μmol/mol</w:t>
            </w:r>
          </w:p>
        </w:tc>
        <w:tc>
          <w:tcPr>
            <w:tcW w:w="1226" w:type="dxa"/>
            <w:tcBorders>
              <w:bottom w:val="single" w:sz="12" w:space="0" w:color="auto"/>
            </w:tcBorders>
          </w:tcPr>
          <w:p w:rsidR="00E24DB7" w:rsidRPr="002C5876" w:rsidRDefault="00E24DB7" w:rsidP="00E24DB7">
            <w:pPr>
              <w:suppressAutoHyphens w:val="0"/>
              <w:spacing w:before="60" w:after="60" w:line="220" w:lineRule="atLeast"/>
              <w:ind w:left="57" w:right="57"/>
              <w:rPr>
                <w:sz w:val="18"/>
                <w:szCs w:val="18"/>
              </w:rPr>
            </w:pPr>
          </w:p>
        </w:tc>
        <w:tc>
          <w:tcPr>
            <w:tcW w:w="1229" w:type="dxa"/>
            <w:gridSpan w:val="2"/>
            <w:tcBorders>
              <w:bottom w:val="single" w:sz="12"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0,05</w:t>
            </w:r>
          </w:p>
        </w:tc>
        <w:tc>
          <w:tcPr>
            <w:tcW w:w="2151" w:type="dxa"/>
            <w:tcBorders>
              <w:bottom w:val="single" w:sz="12"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i/>
                <w:sz w:val="18"/>
                <w:szCs w:val="18"/>
                <w:vertAlign w:val="superscript"/>
              </w:rPr>
              <w:t>e</w:t>
            </w:r>
          </w:p>
        </w:tc>
      </w:tr>
    </w:tbl>
    <w:p w:rsidR="00E24DB7" w:rsidRPr="002C5876" w:rsidRDefault="00E24DB7" w:rsidP="00E24DB7">
      <w:pPr>
        <w:suppressAutoHyphens w:val="0"/>
        <w:spacing w:before="120" w:after="120"/>
        <w:ind w:firstLine="170"/>
        <w:rPr>
          <w:sz w:val="18"/>
          <w:szCs w:val="18"/>
        </w:rPr>
      </w:pPr>
      <w:r w:rsidRPr="002C5876">
        <w:rPr>
          <w:sz w:val="18"/>
          <w:szCs w:val="18"/>
        </w:rPr>
        <w:t>Pour les constituants qui sont additifs, tels que les hydrocarbures totaux et les composés sulfurés totaux, la somme des constituants doit être inférieure ou égale à la limite acceptable.</w:t>
      </w:r>
    </w:p>
    <w:p w:rsidR="00E24DB7" w:rsidRPr="002C5876" w:rsidRDefault="00E24DB7" w:rsidP="00E24DB7">
      <w:pPr>
        <w:ind w:firstLine="170"/>
        <w:rPr>
          <w:sz w:val="18"/>
          <w:szCs w:val="18"/>
        </w:rPr>
      </w:pPr>
      <w:r w:rsidRPr="002C5876">
        <w:rPr>
          <w:i/>
          <w:sz w:val="18"/>
          <w:szCs w:val="18"/>
          <w:vertAlign w:val="superscript"/>
        </w:rPr>
        <w:t>a</w:t>
      </w:r>
      <w:r w:rsidRPr="002C5876">
        <w:rPr>
          <w:sz w:val="18"/>
          <w:szCs w:val="18"/>
        </w:rPr>
        <w:t xml:space="preserve">  On calcule l’indice du combustible hydrogène en soustrayant de 100 mole % le contenu total, exprimé en mole %, des constituants gazeux autres que l’hydrogène énumérés dans le tableau (gaz totaux).</w:t>
      </w:r>
    </w:p>
    <w:p w:rsidR="00E24DB7" w:rsidRPr="002C5876" w:rsidRDefault="00E24DB7" w:rsidP="00E24DB7">
      <w:pPr>
        <w:ind w:firstLine="170"/>
        <w:rPr>
          <w:sz w:val="18"/>
          <w:szCs w:val="18"/>
        </w:rPr>
      </w:pPr>
      <w:r w:rsidRPr="002C5876">
        <w:rPr>
          <w:i/>
          <w:sz w:val="18"/>
          <w:szCs w:val="18"/>
          <w:vertAlign w:val="superscript"/>
        </w:rPr>
        <w:t>b</w:t>
      </w:r>
      <w:r w:rsidRPr="002C5876">
        <w:rPr>
          <w:sz w:val="18"/>
          <w:szCs w:val="18"/>
        </w:rPr>
        <w:t xml:space="preserve">  Les hydrocarbures totaux incluent les espèces organiques oxygénées. Les hydrocarbures totaux doivent être mesurés sur la base carbone (μmolC/mol). Les hydrocarbures totaux peuvent seulement dépasser 2</w:t>
      </w:r>
      <w:r w:rsidR="00C574AA">
        <w:rPr>
          <w:sz w:val="18"/>
          <w:szCs w:val="18"/>
        </w:rPr>
        <w:t> </w:t>
      </w:r>
      <w:r w:rsidRPr="002C5876">
        <w:rPr>
          <w:sz w:val="18"/>
          <w:szCs w:val="18"/>
        </w:rPr>
        <w:t>μmol/mol du fait de la présence de méthane, auquel cas la somme du méthane, de l’azote et de l’argon ne doit pas dépasser 100</w:t>
      </w:r>
      <w:r w:rsidR="00C574AA">
        <w:rPr>
          <w:sz w:val="18"/>
          <w:szCs w:val="18"/>
        </w:rPr>
        <w:t> </w:t>
      </w:r>
      <w:r w:rsidRPr="002C5876">
        <w:rPr>
          <w:sz w:val="18"/>
          <w:szCs w:val="18"/>
        </w:rPr>
        <w:t>μmol/mol.</w:t>
      </w:r>
    </w:p>
    <w:p w:rsidR="00E24DB7" w:rsidRPr="002C5876" w:rsidRDefault="00E24DB7" w:rsidP="00E24DB7">
      <w:pPr>
        <w:ind w:firstLine="170"/>
        <w:rPr>
          <w:sz w:val="18"/>
          <w:szCs w:val="18"/>
        </w:rPr>
      </w:pPr>
      <w:r w:rsidRPr="002C5876">
        <w:rPr>
          <w:i/>
          <w:sz w:val="18"/>
          <w:szCs w:val="18"/>
          <w:vertAlign w:val="superscript"/>
        </w:rPr>
        <w:t>c</w:t>
      </w:r>
      <w:r w:rsidRPr="002C5876">
        <w:rPr>
          <w:sz w:val="18"/>
          <w:szCs w:val="18"/>
        </w:rPr>
        <w:t xml:space="preserve">  Au minimum, les composés sulfurés totaux incluent H</w:t>
      </w:r>
      <w:r w:rsidRPr="002C5876">
        <w:rPr>
          <w:sz w:val="18"/>
          <w:szCs w:val="18"/>
          <w:vertAlign w:val="subscript"/>
        </w:rPr>
        <w:t>2</w:t>
      </w:r>
      <w:r w:rsidRPr="002C5876">
        <w:rPr>
          <w:sz w:val="18"/>
          <w:szCs w:val="18"/>
        </w:rPr>
        <w:t>S, COS, CS</w:t>
      </w:r>
      <w:r w:rsidRPr="002C5876">
        <w:rPr>
          <w:sz w:val="18"/>
          <w:szCs w:val="18"/>
          <w:vertAlign w:val="subscript"/>
        </w:rPr>
        <w:t>2</w:t>
      </w:r>
      <w:r w:rsidRPr="002C5876">
        <w:rPr>
          <w:sz w:val="18"/>
          <w:szCs w:val="18"/>
        </w:rPr>
        <w:t xml:space="preserve"> et les mercaptans, qui sont normalement présents dans le gaz naturel.</w:t>
      </w:r>
    </w:p>
    <w:p w:rsidR="00E24DB7" w:rsidRPr="002C5876" w:rsidRDefault="00E24DB7" w:rsidP="00E24DB7">
      <w:pPr>
        <w:ind w:firstLine="170"/>
        <w:rPr>
          <w:sz w:val="18"/>
          <w:szCs w:val="18"/>
        </w:rPr>
      </w:pPr>
      <w:r w:rsidRPr="002C5876">
        <w:rPr>
          <w:i/>
          <w:sz w:val="18"/>
          <w:szCs w:val="18"/>
          <w:vertAlign w:val="superscript"/>
        </w:rPr>
        <w:t>d</w:t>
      </w:r>
      <w:r w:rsidRPr="002C5876">
        <w:rPr>
          <w:sz w:val="18"/>
          <w:szCs w:val="18"/>
        </w:rPr>
        <w:t xml:space="preserve">  Les composés halogénés totaux incluent, par exemple, le bromure d’hydrogène (HBr), le chlorure d’hydrogène (HCl), le chlore (Cl</w:t>
      </w:r>
      <w:r w:rsidRPr="002C5876">
        <w:rPr>
          <w:sz w:val="18"/>
          <w:szCs w:val="18"/>
          <w:vertAlign w:val="subscript"/>
        </w:rPr>
        <w:t>2</w:t>
      </w:r>
      <w:r w:rsidRPr="002C5876">
        <w:rPr>
          <w:sz w:val="18"/>
          <w:szCs w:val="18"/>
        </w:rPr>
        <w:t>), et les halogénures organiques (R-X).</w:t>
      </w:r>
    </w:p>
    <w:p w:rsidR="00DF2453" w:rsidRPr="002C5876" w:rsidRDefault="00E24DB7" w:rsidP="00E24DB7">
      <w:pPr>
        <w:suppressAutoHyphens w:val="0"/>
        <w:ind w:firstLine="170"/>
        <w:rPr>
          <w:sz w:val="18"/>
          <w:szCs w:val="18"/>
        </w:rPr>
        <w:sectPr w:rsidR="00DF2453" w:rsidRPr="002C5876" w:rsidSect="00CE537D">
          <w:headerReference w:type="even" r:id="rId42"/>
          <w:headerReference w:type="default" r:id="rId43"/>
          <w:endnotePr>
            <w:numFmt w:val="decimal"/>
          </w:endnotePr>
          <w:pgSz w:w="11907" w:h="16840" w:code="9"/>
          <w:pgMar w:top="1418" w:right="1134" w:bottom="1134" w:left="1134" w:header="680" w:footer="567" w:gutter="0"/>
          <w:cols w:space="720"/>
          <w:docGrid w:linePitch="272"/>
        </w:sectPr>
      </w:pPr>
      <w:r w:rsidRPr="002C5876">
        <w:rPr>
          <w:i/>
          <w:sz w:val="18"/>
          <w:szCs w:val="18"/>
          <w:vertAlign w:val="superscript"/>
        </w:rPr>
        <w:t>e</w:t>
      </w:r>
      <w:r w:rsidRPr="002C5876">
        <w:rPr>
          <w:sz w:val="18"/>
          <w:szCs w:val="18"/>
        </w:rPr>
        <w:t xml:space="preserve">  La méthode d’essai doit être spécifiée.</w:t>
      </w:r>
    </w:p>
    <w:p w:rsidR="00E24DB7" w:rsidRPr="002C5876" w:rsidRDefault="00E24DB7" w:rsidP="00E24DB7">
      <w:pPr>
        <w:pStyle w:val="HChG"/>
        <w:rPr>
          <w:color w:val="000000" w:themeColor="text1"/>
          <w:w w:val="103"/>
        </w:rPr>
      </w:pPr>
      <w:r w:rsidRPr="002C5876">
        <w:rPr>
          <w:color w:val="000000" w:themeColor="text1"/>
        </w:rPr>
        <w:lastRenderedPageBreak/>
        <w:t>Annexe</w:t>
      </w:r>
      <w:r w:rsidRPr="002C5876">
        <w:rPr>
          <w:color w:val="000000" w:themeColor="text1"/>
          <w:w w:val="103"/>
        </w:rPr>
        <w:t> 4</w:t>
      </w:r>
    </w:p>
    <w:p w:rsidR="00E24DB7" w:rsidRPr="002C5876" w:rsidRDefault="00E24DB7" w:rsidP="00E24DB7">
      <w:pPr>
        <w:pStyle w:val="HChG"/>
        <w:rPr>
          <w:color w:val="000000" w:themeColor="text1"/>
        </w:rPr>
      </w:pPr>
      <w:r w:rsidRPr="002C5876">
        <w:rPr>
          <w:color w:val="000000" w:themeColor="text1"/>
        </w:rPr>
        <w:tab/>
      </w:r>
      <w:r w:rsidRPr="002C5876">
        <w:rPr>
          <w:color w:val="000000" w:themeColor="text1"/>
        </w:rPr>
        <w:tab/>
        <w:t>Résistance à l’avancement sur route et réglage du dynamomètre</w:t>
      </w:r>
    </w:p>
    <w:p w:rsidR="00E24DB7" w:rsidRPr="002C5876" w:rsidRDefault="00E24DB7" w:rsidP="00E24DB7">
      <w:pPr>
        <w:pStyle w:val="SingleTxtG"/>
        <w:ind w:left="2268" w:hanging="1134"/>
        <w:rPr>
          <w:color w:val="000000" w:themeColor="text1"/>
        </w:rPr>
      </w:pPr>
      <w:r w:rsidRPr="002C5876">
        <w:rPr>
          <w:color w:val="000000" w:themeColor="text1"/>
        </w:rPr>
        <w:t>1.</w:t>
      </w:r>
      <w:r w:rsidRPr="002C5876">
        <w:rPr>
          <w:color w:val="000000" w:themeColor="text1"/>
        </w:rPr>
        <w:tab/>
        <w:t>Domaine d’application</w:t>
      </w:r>
    </w:p>
    <w:p w:rsidR="00E24DB7" w:rsidRPr="002C5876" w:rsidRDefault="00E24DB7" w:rsidP="00E24DB7">
      <w:pPr>
        <w:pStyle w:val="SingleTxtG"/>
        <w:ind w:left="2268"/>
        <w:rPr>
          <w:color w:val="000000" w:themeColor="text1"/>
        </w:rPr>
      </w:pPr>
      <w:r w:rsidRPr="002C5876">
        <w:rPr>
          <w:color w:val="000000" w:themeColor="text1"/>
        </w:rPr>
        <w:t xml:space="preserve">La présente annexe décrit la procédure de détermination de la résistance à l’avancement sur route </w:t>
      </w:r>
      <w:r w:rsidRPr="002C5876">
        <w:rPr>
          <w:bCs/>
          <w:color w:val="000000" w:themeColor="text1"/>
        </w:rPr>
        <w:t xml:space="preserve">d’un </w:t>
      </w:r>
      <w:r w:rsidRPr="002C5876">
        <w:rPr>
          <w:color w:val="000000" w:themeColor="text1"/>
        </w:rPr>
        <w:t>véhicule d’essai et la transposition de la force résistante sur un banc à rouleaux.</w:t>
      </w:r>
    </w:p>
    <w:p w:rsidR="00E24DB7" w:rsidRPr="002C5876" w:rsidRDefault="00E24DB7" w:rsidP="00E24DB7">
      <w:pPr>
        <w:pStyle w:val="SingleTxtG"/>
        <w:ind w:left="2268" w:hanging="1134"/>
        <w:jc w:val="left"/>
        <w:rPr>
          <w:color w:val="000000" w:themeColor="text1"/>
        </w:rPr>
      </w:pPr>
      <w:r w:rsidRPr="002C5876">
        <w:rPr>
          <w:color w:val="000000" w:themeColor="text1"/>
        </w:rPr>
        <w:t>2.</w:t>
      </w:r>
      <w:r w:rsidRPr="002C5876">
        <w:rPr>
          <w:color w:val="000000" w:themeColor="text1"/>
        </w:rPr>
        <w:tab/>
        <w:t>Termes et définitions</w:t>
      </w:r>
    </w:p>
    <w:p w:rsidR="00E24DB7" w:rsidRPr="002C5876" w:rsidRDefault="00E24DB7" w:rsidP="00E24DB7">
      <w:pPr>
        <w:pStyle w:val="SingleTxtG"/>
        <w:ind w:left="2268" w:hanging="1134"/>
        <w:rPr>
          <w:color w:val="000000" w:themeColor="text1"/>
        </w:rPr>
      </w:pPr>
      <w:r w:rsidRPr="002C5876">
        <w:rPr>
          <w:color w:val="000000" w:themeColor="text1"/>
        </w:rPr>
        <w:t>2.1</w:t>
      </w:r>
      <w:r w:rsidRPr="002C5876">
        <w:rPr>
          <w:color w:val="000000" w:themeColor="text1"/>
        </w:rPr>
        <w:tab/>
        <w:t>Aux fins du présent document, les termes et définitions du paragraphe 3 du présent RTM ONU ont prépondérance. En l’absence de définitions données au paragraphe</w:t>
      </w:r>
      <w:r w:rsidR="000B4750" w:rsidRPr="002C5876">
        <w:rPr>
          <w:color w:val="000000" w:themeColor="text1"/>
        </w:rPr>
        <w:t> </w:t>
      </w:r>
      <w:r w:rsidRPr="002C5876">
        <w:rPr>
          <w:color w:val="000000" w:themeColor="text1"/>
        </w:rPr>
        <w:t>3, les définitions de la norme ISO 3833:1977 « Véhicules routiers − Types − Termes et définitions » s’appliquent.</w:t>
      </w:r>
    </w:p>
    <w:p w:rsidR="00E24DB7" w:rsidRPr="002C5876" w:rsidRDefault="00E24DB7" w:rsidP="00E24DB7">
      <w:pPr>
        <w:pStyle w:val="SingleTxtG"/>
        <w:keepNext/>
        <w:ind w:left="2268" w:hanging="1134"/>
      </w:pPr>
      <w:r w:rsidRPr="002C5876">
        <w:t>2.2</w:t>
      </w:r>
      <w:r w:rsidRPr="002C5876">
        <w:tab/>
        <w:t xml:space="preserve">Les points de vitesse de référence doivent aller de 20 km/h par paliers de 10 km/h jusqu’à la vitesse de référence la plus élevée conformément aux dispositions ci-après : </w:t>
      </w:r>
    </w:p>
    <w:p w:rsidR="00E24DB7" w:rsidRPr="002C5876" w:rsidRDefault="00E24DB7" w:rsidP="00E24DB7">
      <w:pPr>
        <w:pStyle w:val="SingleTxtG"/>
        <w:ind w:left="2835" w:hanging="567"/>
      </w:pPr>
      <w:r w:rsidRPr="002C5876">
        <w:t>a)</w:t>
      </w:r>
      <w:r w:rsidRPr="002C5876">
        <w:tab/>
        <w:t xml:space="preserve">La vitesse de référence la plus élevée doit être 130 km/h ou le point de vitesse de référence situé immédiatement au-dessus de la vitesse maximale du cycle d’essai applicable si cette valeur est inférieure à 130 km/h. Dans le cas où le cycle d’essai applicable comprend moins que les 4 phases du cycle (Low, Medium, High et Extra High), à la demande du constructeur et avec l’accord de l’autorité compétente, la vitesse de référence la plus élevée peut relever jusqu’au point de vitesse de référence situé immédiatement au-dessus de la vitesse maximale de la phase la plus élevée suivante, mais sans dépasser la valeur limite de 130 km/h ; dans ce cas la détermination de la résistance à l’avancement sur route </w:t>
      </w:r>
      <w:r w:rsidRPr="002C5876">
        <w:rPr>
          <w:bCs/>
        </w:rPr>
        <w:t xml:space="preserve">et le réglage </w:t>
      </w:r>
      <w:r w:rsidRPr="002C5876">
        <w:t>de la force résistante sur banc à rouleaux doivent être effectués avec les mêmes points de vitesse de référence ;</w:t>
      </w:r>
    </w:p>
    <w:p w:rsidR="00E24DB7" w:rsidRPr="002C5876" w:rsidRDefault="00E24DB7" w:rsidP="00E24DB7">
      <w:pPr>
        <w:pStyle w:val="SingleTxtG"/>
        <w:ind w:left="2835" w:hanging="567"/>
      </w:pPr>
      <w:r w:rsidRPr="002C5876">
        <w:t>b)</w:t>
      </w:r>
      <w:r w:rsidRPr="002C5876">
        <w:tab/>
        <w:t>Si un point de vitesse de référence applicable pour le cycle plus 14 km/h correspond à une valeur supérieure ou égale à la vitesse maximale du véhicule v</w:t>
      </w:r>
      <w:r w:rsidRPr="002C5876">
        <w:rPr>
          <w:vertAlign w:val="subscript"/>
        </w:rPr>
        <w:t>max</w:t>
      </w:r>
      <w:r w:rsidRPr="002C5876">
        <w:t xml:space="preserve">, ce point de vitesse de référence doit être exclu de l’essai de décélération libre et de la procédure </w:t>
      </w:r>
      <w:r w:rsidRPr="002C5876">
        <w:rPr>
          <w:bCs/>
        </w:rPr>
        <w:t xml:space="preserve">de réglage </w:t>
      </w:r>
      <w:r w:rsidRPr="002C5876">
        <w:t>du banc à rouleaux. Le point de vitesse de référence immédiatement inférieur devient le point de vitesse de référence le plus élevé pour le véhicule.</w:t>
      </w:r>
    </w:p>
    <w:p w:rsidR="00E24DB7" w:rsidRPr="002C5876" w:rsidRDefault="00E24DB7" w:rsidP="00E24DB7">
      <w:pPr>
        <w:pStyle w:val="SingleTxtG"/>
        <w:ind w:left="2268" w:hanging="1134"/>
      </w:pPr>
      <w:r w:rsidRPr="002C5876">
        <w:t>2.3</w:t>
      </w:r>
      <w:r w:rsidRPr="002C5876">
        <w:tab/>
        <w:t>Sauf autre spécification, une valeur de la demande d’énergie sur le cycle doit être calculée conformément au paragraphe 5 de l’annexe 7 sur la courbe de vitesse visée du cycle d’essai applicable.</w:t>
      </w:r>
    </w:p>
    <w:p w:rsidR="00E24DB7" w:rsidRPr="002C5876" w:rsidRDefault="00E24DB7" w:rsidP="00E24DB7">
      <w:pPr>
        <w:pStyle w:val="SingleTxtG"/>
        <w:ind w:left="2268" w:hanging="1134"/>
      </w:pPr>
      <w:r w:rsidRPr="002C5876">
        <w:t>2.4</w:t>
      </w:r>
      <w:r w:rsidRPr="002C5876">
        <w:tab/>
      </w:r>
      <m:oMath>
        <m:sSub>
          <m:sSubPr>
            <m:ctrlPr>
              <w:rPr>
                <w:rFonts w:ascii="Cambria Math" w:hAnsi="Cambria Math"/>
              </w:rPr>
            </m:ctrlPr>
          </m:sSubPr>
          <m:e>
            <m:r>
              <m:rPr>
                <m:sty m:val="p"/>
              </m:rPr>
              <w:rPr>
                <w:rFonts w:ascii="Cambria Math"/>
              </w:rPr>
              <m:t>f</m:t>
            </m:r>
          </m:e>
          <m:sub>
            <m:r>
              <m:rPr>
                <m:sty m:val="p"/>
              </m:rPr>
              <w:rPr>
                <w:rFonts w:ascii="Cambria Math"/>
              </w:rPr>
              <m:t>0</m:t>
            </m:r>
          </m:sub>
        </m:sSub>
      </m:oMath>
      <w:r w:rsidRPr="002C5876">
        <w:t xml:space="preserve">, </w:t>
      </w:r>
      <m:oMath>
        <m:sSub>
          <m:sSubPr>
            <m:ctrlPr>
              <w:rPr>
                <w:rFonts w:ascii="Cambria Math" w:hAnsi="Cambria Math"/>
              </w:rPr>
            </m:ctrlPr>
          </m:sSubPr>
          <m:e>
            <m:r>
              <m:rPr>
                <m:sty m:val="p"/>
              </m:rPr>
              <w:rPr>
                <w:rFonts w:ascii="Cambria Math"/>
              </w:rPr>
              <m:t>f</m:t>
            </m:r>
          </m:e>
          <m:sub>
            <m:r>
              <m:rPr>
                <m:sty m:val="p"/>
              </m:rPr>
              <w:rPr>
                <w:rFonts w:ascii="Cambria Math"/>
              </w:rPr>
              <m:t>1</m:t>
            </m:r>
          </m:sub>
        </m:sSub>
      </m:oMath>
      <w:r w:rsidRPr="002C5876">
        <w:t xml:space="preserve">, </w:t>
      </w:r>
      <m:oMath>
        <m:sSub>
          <m:sSubPr>
            <m:ctrlPr>
              <w:rPr>
                <w:rFonts w:ascii="Cambria Math" w:hAnsi="Cambria Math"/>
              </w:rPr>
            </m:ctrlPr>
          </m:sSubPr>
          <m:e>
            <m:r>
              <m:rPr>
                <m:sty m:val="p"/>
              </m:rPr>
              <w:rPr>
                <w:rFonts w:ascii="Cambria Math"/>
              </w:rPr>
              <m:t>f</m:t>
            </m:r>
          </m:e>
          <m:sub>
            <m:r>
              <m:rPr>
                <m:sty m:val="p"/>
              </m:rPr>
              <w:rPr>
                <w:rFonts w:ascii="Cambria Math"/>
              </w:rPr>
              <m:t>2</m:t>
            </m:r>
          </m:sub>
        </m:sSub>
      </m:oMath>
      <w:r w:rsidRPr="002C5876">
        <w:t xml:space="preserve"> sont les coefficients de résistance à l’avancement sur route de l’équation de résistance à l’avancement sur route F = f</w:t>
      </w:r>
      <w:r w:rsidRPr="002C5876">
        <w:rPr>
          <w:vertAlign w:val="subscript"/>
        </w:rPr>
        <w:t>0 </w:t>
      </w:r>
      <w:r w:rsidRPr="002C5876">
        <w:t>+ f</w:t>
      </w:r>
      <w:r w:rsidRPr="002C5876">
        <w:rPr>
          <w:vertAlign w:val="subscript"/>
        </w:rPr>
        <w:t>1 </w:t>
      </w:r>
      <w:r w:rsidRPr="002C5876">
        <w:t>× v + f</w:t>
      </w:r>
      <w:r w:rsidRPr="002C5876">
        <w:rPr>
          <w:vertAlign w:val="subscript"/>
        </w:rPr>
        <w:t>2 </w:t>
      </w:r>
      <w:r w:rsidRPr="002C5876">
        <w:t>× v</w:t>
      </w:r>
      <w:r w:rsidRPr="002C5876">
        <w:rPr>
          <w:vertAlign w:val="superscript"/>
        </w:rPr>
        <w:t>2</w:t>
      </w:r>
      <w:r w:rsidRPr="002C5876">
        <w:t xml:space="preserve">, déterminés conformément à la présente annexe. </w:t>
      </w:r>
    </w:p>
    <w:p w:rsidR="00E24DB7" w:rsidRPr="002C5876" w:rsidRDefault="00E24DB7" w:rsidP="00E24DB7">
      <w:pPr>
        <w:pStyle w:val="SingleTxtG"/>
        <w:ind w:left="3402" w:hanging="1134"/>
      </w:pPr>
      <w:r w:rsidRPr="002C5876">
        <w:t>f</w:t>
      </w:r>
      <w:r w:rsidRPr="002C5876">
        <w:rPr>
          <w:vertAlign w:val="subscript"/>
        </w:rPr>
        <w:t>0</w:t>
      </w:r>
      <w:r w:rsidRPr="002C5876">
        <w:tab/>
        <w:t>est le coefficient constant de résistance à l’avancement sur route, arrondi à une décimale, en N ;</w:t>
      </w:r>
    </w:p>
    <w:p w:rsidR="00E24DB7" w:rsidRPr="002C5876" w:rsidRDefault="00E24DB7" w:rsidP="00E24DB7">
      <w:pPr>
        <w:pStyle w:val="SingleTxtG"/>
        <w:ind w:left="3402" w:hanging="1134"/>
      </w:pPr>
      <w:r w:rsidRPr="002C5876">
        <w:t>f</w:t>
      </w:r>
      <w:r w:rsidRPr="002C5876">
        <w:rPr>
          <w:vertAlign w:val="subscript"/>
        </w:rPr>
        <w:t>1</w:t>
      </w:r>
      <w:r w:rsidRPr="002C5876">
        <w:rPr>
          <w:vertAlign w:val="subscript"/>
        </w:rPr>
        <w:tab/>
      </w:r>
      <w:r w:rsidRPr="002C5876">
        <w:t>est le coefficient du premier ordre de résistance à l’avancement sur route, arrondi à 3 décimales, en N/(km/h) ;</w:t>
      </w:r>
    </w:p>
    <w:p w:rsidR="00E24DB7" w:rsidRPr="002C5876" w:rsidRDefault="00E24DB7" w:rsidP="00E24DB7">
      <w:pPr>
        <w:pStyle w:val="SingleTxtG"/>
        <w:ind w:left="3402" w:hanging="1134"/>
      </w:pPr>
      <w:r w:rsidRPr="002C5876">
        <w:t>f</w:t>
      </w:r>
      <w:r w:rsidRPr="002C5876">
        <w:rPr>
          <w:vertAlign w:val="subscript"/>
        </w:rPr>
        <w:t>2</w:t>
      </w:r>
      <w:r w:rsidRPr="002C5876">
        <w:tab/>
        <w:t>est le coefficient du second ordre de résistance à l’avancement sur route, arrondi à cinq décimales, en N/(km/h)².</w:t>
      </w:r>
    </w:p>
    <w:p w:rsidR="00E24DB7" w:rsidRPr="002C5876" w:rsidRDefault="00E24DB7" w:rsidP="00E24DB7">
      <w:pPr>
        <w:pStyle w:val="SingleTxtG"/>
        <w:ind w:left="2268"/>
      </w:pPr>
      <w:r w:rsidRPr="002C5876">
        <w:t>Sauf autre spécification, les coefficients de résistance à l’avancement sur route doivent être calculés par une analyse de régression par les moindres carrés sur la plage de points de vitesse de référence.</w:t>
      </w:r>
    </w:p>
    <w:p w:rsidR="00E24DB7" w:rsidRPr="002C5876" w:rsidRDefault="00E24DB7" w:rsidP="00E24DB7">
      <w:pPr>
        <w:pStyle w:val="SingleTxtG"/>
        <w:keepNext/>
        <w:ind w:left="2268" w:hanging="1134"/>
        <w:jc w:val="left"/>
      </w:pPr>
      <w:r w:rsidRPr="002C5876">
        <w:lastRenderedPageBreak/>
        <w:t>2.5</w:t>
      </w:r>
      <w:r w:rsidRPr="002C5876">
        <w:tab/>
        <w:t>Masse rotative</w:t>
      </w:r>
    </w:p>
    <w:p w:rsidR="00E24DB7" w:rsidRPr="002C5876" w:rsidRDefault="00E24DB7" w:rsidP="00E24DB7">
      <w:pPr>
        <w:pStyle w:val="SingleTxtG"/>
        <w:keepNext/>
        <w:ind w:left="2268" w:hanging="1134"/>
        <w:jc w:val="left"/>
      </w:pPr>
      <w:r w:rsidRPr="002C5876">
        <w:t>2.5.1</w:t>
      </w:r>
      <w:r w:rsidRPr="002C5876">
        <w:tab/>
        <w:t>Détermination de m</w:t>
      </w:r>
      <w:r w:rsidRPr="002C5876">
        <w:rPr>
          <w:vertAlign w:val="subscript"/>
        </w:rPr>
        <w:t>r</w:t>
      </w:r>
    </w:p>
    <w:p w:rsidR="00E24DB7" w:rsidRPr="002C5876" w:rsidRDefault="00E24DB7" w:rsidP="00E24DB7">
      <w:pPr>
        <w:pStyle w:val="SingleTxtG"/>
        <w:ind w:left="2268"/>
      </w:pPr>
      <w:r w:rsidRPr="002C5876">
        <w:t>m</w:t>
      </w:r>
      <w:r w:rsidRPr="002C5876">
        <w:rPr>
          <w:vertAlign w:val="subscript"/>
        </w:rPr>
        <w:t>r</w:t>
      </w:r>
      <w:r w:rsidRPr="002C5876">
        <w:t xml:space="preserve"> est la masse effective équivalente de toutes les roues et composants du véhicule en rotation avec les roues au cours de la décélération libre sur route, en kg ; m</w:t>
      </w:r>
      <w:r w:rsidRPr="002C5876">
        <w:rPr>
          <w:vertAlign w:val="subscript"/>
        </w:rPr>
        <w:t>r</w:t>
      </w:r>
      <w:r w:rsidRPr="002C5876">
        <w:t xml:space="preserve"> doit être mesuré ou calculé par une technique appropriée, approuvée par l’autorité compétente. Par défaut, m</w:t>
      </w:r>
      <w:r w:rsidRPr="002C5876">
        <w:rPr>
          <w:vertAlign w:val="subscript"/>
        </w:rPr>
        <w:t>r</w:t>
      </w:r>
      <w:r w:rsidRPr="002C5876">
        <w:t xml:space="preserve"> peut être estimé à 3 % de la somme de la masse en ordre de marche du véhicule pour la famille du véhicule et de 25 kg.</w:t>
      </w:r>
    </w:p>
    <w:p w:rsidR="00E24DB7" w:rsidRPr="002C5876" w:rsidRDefault="00E24DB7" w:rsidP="00E24DB7">
      <w:pPr>
        <w:pStyle w:val="SingleTxtG"/>
        <w:ind w:left="2268" w:hanging="1134"/>
        <w:jc w:val="left"/>
      </w:pPr>
      <w:r w:rsidRPr="002C5876">
        <w:t>2.5.2</w:t>
      </w:r>
      <w:r w:rsidRPr="002C5876">
        <w:tab/>
        <w:t xml:space="preserve">Application de la masse rotative à la mesure de la résistance </w:t>
      </w:r>
      <w:r w:rsidRPr="002C5876">
        <w:br/>
        <w:t>à l’avancement sur route</w:t>
      </w:r>
    </w:p>
    <w:p w:rsidR="00E24DB7" w:rsidRPr="002C5876" w:rsidRDefault="00E24DB7" w:rsidP="00E24DB7">
      <w:pPr>
        <w:pStyle w:val="SingleTxtG"/>
        <w:ind w:left="2268"/>
      </w:pPr>
      <w:r w:rsidRPr="002C5876">
        <w:t>Les temps de décélération libre sont convertis en forces et inversement par prise en compte de la masse d’essai applicable plus m</w:t>
      </w:r>
      <w:r w:rsidRPr="002C5876">
        <w:rPr>
          <w:vertAlign w:val="subscript"/>
        </w:rPr>
        <w:t>r</w:t>
      </w:r>
      <w:r w:rsidRPr="002C5876">
        <w:t>. Cette méthode est applicable aux mesures sur route et sur banc à rouleaux.</w:t>
      </w:r>
    </w:p>
    <w:p w:rsidR="00E24DB7" w:rsidRPr="002C5876" w:rsidRDefault="00E24DB7" w:rsidP="00E24DB7">
      <w:pPr>
        <w:pStyle w:val="SingleTxtG"/>
        <w:keepNext/>
        <w:ind w:left="2268" w:hanging="1134"/>
        <w:jc w:val="left"/>
      </w:pPr>
      <w:r w:rsidRPr="002C5876">
        <w:t>2.5.3</w:t>
      </w:r>
      <w:r w:rsidRPr="002C5876">
        <w:tab/>
        <w:t>Application de la masse rotative au réglage d’inertie</w:t>
      </w:r>
    </w:p>
    <w:p w:rsidR="00E24DB7" w:rsidRPr="002C5876" w:rsidRDefault="00E24DB7" w:rsidP="00E24DB7">
      <w:pPr>
        <w:pStyle w:val="SingleTxtG"/>
        <w:ind w:left="2268"/>
      </w:pPr>
      <w:r w:rsidRPr="002C5876">
        <w:t>Si le véhicule est essayé sur un banc à 4 roues entraînées et si les deux essieux sont en rotation et influent sur les résultats de mesure du banc, la masse d’inertie équivalente du banc doit être réglée à la masse d’essai applicable.</w:t>
      </w:r>
    </w:p>
    <w:p w:rsidR="00E24DB7" w:rsidRPr="002C5876" w:rsidRDefault="00E24DB7" w:rsidP="00E24DB7">
      <w:pPr>
        <w:pStyle w:val="SingleTxtG"/>
        <w:ind w:left="2268"/>
      </w:pPr>
      <w:r w:rsidRPr="002C5876">
        <w:t>Dans les autres cas, la masse d’inertie équivalente du banc doit être réglée à la masse d’essai plus soit la masse effective équivalente des roues qui n’influent pas sur les résultats de mesure, soit 50 % de m</w:t>
      </w:r>
      <w:r w:rsidRPr="002C5876">
        <w:rPr>
          <w:vertAlign w:val="subscript"/>
        </w:rPr>
        <w:t>r</w:t>
      </w:r>
      <w:r w:rsidRPr="002C5876">
        <w:t>.</w:t>
      </w:r>
    </w:p>
    <w:p w:rsidR="00E24DB7" w:rsidRPr="002C5876" w:rsidRDefault="00E24DB7" w:rsidP="00E24DB7">
      <w:pPr>
        <w:pStyle w:val="SingleTxtG"/>
        <w:keepNext/>
        <w:ind w:left="2268" w:hanging="1134"/>
      </w:pPr>
      <w:r w:rsidRPr="002C5876">
        <w:t>2.6</w:t>
      </w:r>
      <w:r w:rsidRPr="002C5876">
        <w:tab/>
        <w:t>Les masses supplémentaires rajoutées pour obtenir la masse d’essai du véhicule doivent être disposées de telle sorte que la répartition des masses dans le véhicule soit approximativement la même que sur un véhicule en ordre de marche. Dans le cas des véhicules de la catégorie 2 ou des voitures particulières dérivant de cette catégorie, les masses supplémentaires doivent être placées de façon représentative et leur emplacement doit pouvoir être justifié devant les autorités responsables si elles en font la demande. La répartition des masses sur le véhicule doit être consignée et utilisée pour tout essai ultérieur de résistance à l’avancement.</w:t>
      </w:r>
    </w:p>
    <w:p w:rsidR="00E24DB7" w:rsidRPr="002C5876" w:rsidRDefault="00E24DB7" w:rsidP="00E24DB7">
      <w:pPr>
        <w:pStyle w:val="SingleTxtG"/>
        <w:keepNext/>
        <w:ind w:left="2268" w:hanging="1134"/>
        <w:jc w:val="left"/>
      </w:pPr>
      <w:r w:rsidRPr="002C5876">
        <w:t>3.</w:t>
      </w:r>
      <w:r w:rsidRPr="002C5876">
        <w:tab/>
        <w:t>Prescriptions générales</w:t>
      </w:r>
    </w:p>
    <w:p w:rsidR="00E24DB7" w:rsidRPr="002C5876" w:rsidRDefault="00E24DB7" w:rsidP="00E24DB7">
      <w:pPr>
        <w:pStyle w:val="SingleTxtG"/>
        <w:ind w:left="2268"/>
      </w:pPr>
      <w:r w:rsidRPr="002C5876">
        <w:t>Le constructeur doit être responsable de l’exactitude des coefficients de résistance à l’avancement sur route et doit veiller à ce que cette condition soit remplie pour chaque véhicule de série au sein de la famille de résistance à l’avancement sur route. Les tolérances admises dans les méthodes de détermination, de simulation et de calcul de celle-ci ne doivent pas être utilisées pour sous-évaluer la résistance à l’avancement sur route des véhicules de série. À la demande de l’autorité compétente, l’exactitude des coefficients de résistance à l’avancement sur route d’un véhicule donné doit être démontrée.</w:t>
      </w:r>
    </w:p>
    <w:p w:rsidR="00E24DB7" w:rsidRPr="002C5876" w:rsidRDefault="00E24DB7" w:rsidP="00E24DB7">
      <w:pPr>
        <w:pStyle w:val="SingleTxtG"/>
        <w:keepNext/>
        <w:ind w:left="2268" w:hanging="1134"/>
        <w:jc w:val="left"/>
      </w:pPr>
      <w:r w:rsidRPr="002C5876">
        <w:t>3.1</w:t>
      </w:r>
      <w:r w:rsidRPr="002C5876">
        <w:tab/>
        <w:t>Exactitude, précision, résolution et fréquence</w:t>
      </w:r>
      <w:r w:rsidRPr="002C5876" w:rsidDel="001702F4">
        <w:t xml:space="preserve"> </w:t>
      </w:r>
      <w:r w:rsidRPr="002C5876">
        <w:t>des mesures</w:t>
      </w:r>
    </w:p>
    <w:p w:rsidR="00E24DB7" w:rsidRPr="002C5876" w:rsidRDefault="00E24DB7" w:rsidP="00E24DB7">
      <w:pPr>
        <w:pStyle w:val="SingleTxtG"/>
        <w:ind w:left="2268"/>
      </w:pPr>
      <w:r w:rsidRPr="002C5876">
        <w:t>Les mesures doivent satisfaire aux conditions ci-après en ce qui concerne l’exactitude globale :</w:t>
      </w:r>
    </w:p>
    <w:p w:rsidR="00E24DB7" w:rsidRPr="002C5876" w:rsidRDefault="00E24DB7" w:rsidP="00E24DB7">
      <w:pPr>
        <w:pStyle w:val="SingleTxtG"/>
        <w:ind w:left="2835" w:hanging="567"/>
      </w:pPr>
      <w:r w:rsidRPr="002C5876">
        <w:t>a)</w:t>
      </w:r>
      <w:r w:rsidRPr="002C5876">
        <w:tab/>
        <w:t xml:space="preserve">Vitesse du véhicule : </w:t>
      </w:r>
      <w:r w:rsidRPr="002C5876">
        <w:sym w:font="Symbol" w:char="F0B1"/>
      </w:r>
      <w:r w:rsidRPr="002C5876">
        <w:t>0,2 km/h, avec une fréquence de mesure d’au moins 10 Hz ;</w:t>
      </w:r>
    </w:p>
    <w:p w:rsidR="00E24DB7" w:rsidRPr="002C5876" w:rsidRDefault="00E24DB7" w:rsidP="00E24DB7">
      <w:pPr>
        <w:pStyle w:val="SingleTxtG"/>
        <w:ind w:left="2835" w:hanging="567"/>
      </w:pPr>
      <w:r w:rsidRPr="002C5876">
        <w:t>b)</w:t>
      </w:r>
      <w:r w:rsidRPr="002C5876">
        <w:tab/>
        <w:t xml:space="preserve">Temps : exactitude min. : </w:t>
      </w:r>
      <w:r w:rsidRPr="002C5876">
        <w:sym w:font="Symbol" w:char="F0B1"/>
      </w:r>
      <w:r w:rsidRPr="002C5876">
        <w:t>10 ms ; précision et résolution min. : 10 ms ;</w:t>
      </w:r>
    </w:p>
    <w:p w:rsidR="00E24DB7" w:rsidRPr="002C5876" w:rsidRDefault="00E24DB7" w:rsidP="00E24DB7">
      <w:pPr>
        <w:pStyle w:val="SingleTxtG"/>
        <w:ind w:left="2835" w:hanging="567"/>
      </w:pPr>
      <w:r w:rsidRPr="002C5876">
        <w:t>c)</w:t>
      </w:r>
      <w:r w:rsidRPr="002C5876">
        <w:tab/>
        <w:t xml:space="preserve">Couple à la roue : </w:t>
      </w:r>
      <w:r w:rsidRPr="002C5876">
        <w:sym w:font="Symbol" w:char="F0B1"/>
      </w:r>
      <w:r w:rsidRPr="002C5876">
        <w:t xml:space="preserve">6 Nm ou </w:t>
      </w:r>
      <w:r w:rsidRPr="002C5876">
        <w:sym w:font="Symbol" w:char="F0B1"/>
      </w:r>
      <w:r w:rsidRPr="002C5876">
        <w:t>0,5 % du couple maximal mesuré, si cette valeur est plus grande, pour le véhicule entier, avec une fréquence de mesure d’au moins 10 Hz ;</w:t>
      </w:r>
    </w:p>
    <w:p w:rsidR="00E24DB7" w:rsidRPr="002C5876" w:rsidRDefault="00E24DB7" w:rsidP="00E24DB7">
      <w:pPr>
        <w:pStyle w:val="SingleTxtG"/>
        <w:ind w:left="2835" w:hanging="567"/>
      </w:pPr>
      <w:r w:rsidRPr="002C5876">
        <w:t>d)</w:t>
      </w:r>
      <w:r w:rsidRPr="002C5876">
        <w:tab/>
        <w:t xml:space="preserve">Vitesse du vent : </w:t>
      </w:r>
      <w:r w:rsidRPr="002C5876">
        <w:sym w:font="Symbol" w:char="F0B1"/>
      </w:r>
      <w:r w:rsidRPr="002C5876">
        <w:t>0,3 m/s, avec une fréquence de mesure d’au moins 1 Hz ;</w:t>
      </w:r>
    </w:p>
    <w:p w:rsidR="00E24DB7" w:rsidRPr="002C5876" w:rsidRDefault="00E24DB7" w:rsidP="00E24DB7">
      <w:pPr>
        <w:pStyle w:val="SingleTxtG"/>
        <w:ind w:left="2835" w:hanging="567"/>
      </w:pPr>
      <w:r w:rsidRPr="002C5876">
        <w:lastRenderedPageBreak/>
        <w:t>e)</w:t>
      </w:r>
      <w:r w:rsidRPr="002C5876">
        <w:tab/>
        <w:t xml:space="preserve">Direction du vent : </w:t>
      </w:r>
      <w:r w:rsidRPr="002C5876">
        <w:sym w:font="Symbol" w:char="F0B1"/>
      </w:r>
      <w:r w:rsidRPr="002C5876">
        <w:t>3°, avec une fréquence de mesure d’au moins 1 Hz ;</w:t>
      </w:r>
    </w:p>
    <w:p w:rsidR="00E24DB7" w:rsidRPr="002C5876" w:rsidRDefault="00E24DB7" w:rsidP="00E24DB7">
      <w:pPr>
        <w:pStyle w:val="SingleTxtG"/>
        <w:ind w:left="2835" w:hanging="567"/>
      </w:pPr>
      <w:r w:rsidRPr="002C5876">
        <w:t>f)</w:t>
      </w:r>
      <w:r w:rsidRPr="002C5876">
        <w:tab/>
        <w:t xml:space="preserve">Température atmosphérique : </w:t>
      </w:r>
      <w:r w:rsidRPr="002C5876">
        <w:sym w:font="Symbol" w:char="F0B1"/>
      </w:r>
      <w:r w:rsidRPr="002C5876">
        <w:t>1 °C, avec une fréquence de mesure d’au moins 0,1 Hz ;</w:t>
      </w:r>
    </w:p>
    <w:p w:rsidR="00E24DB7" w:rsidRPr="002C5876" w:rsidRDefault="00E24DB7" w:rsidP="00E24DB7">
      <w:pPr>
        <w:pStyle w:val="SingleTxtG"/>
        <w:ind w:left="2835" w:hanging="567"/>
      </w:pPr>
      <w:r w:rsidRPr="002C5876">
        <w:t>g)</w:t>
      </w:r>
      <w:r w:rsidRPr="002C5876">
        <w:tab/>
        <w:t xml:space="preserve">Pression atmosphérique : </w:t>
      </w:r>
      <w:r w:rsidRPr="002C5876">
        <w:sym w:font="Symbol" w:char="F0B1"/>
      </w:r>
      <w:r w:rsidRPr="002C5876">
        <w:t>0,3 kPa, avec une fréquence de mesure d’au moins 0,1 Hz ;</w:t>
      </w:r>
    </w:p>
    <w:p w:rsidR="00E24DB7" w:rsidRPr="002C5876" w:rsidRDefault="00E24DB7" w:rsidP="00E24DB7">
      <w:pPr>
        <w:pStyle w:val="SingleTxtG"/>
        <w:ind w:left="2835" w:hanging="567"/>
      </w:pPr>
      <w:r w:rsidRPr="002C5876">
        <w:t>h)</w:t>
      </w:r>
      <w:r w:rsidRPr="002C5876">
        <w:tab/>
        <w:t xml:space="preserve">Masse du véhicule mesurée sur la même balance avant et après l’essai : </w:t>
      </w:r>
      <w:r w:rsidRPr="002C5876">
        <w:sym w:font="Symbol" w:char="F0B1"/>
      </w:r>
      <w:r w:rsidRPr="002C5876">
        <w:t>10 kg (</w:t>
      </w:r>
      <w:r w:rsidRPr="002C5876">
        <w:sym w:font="Symbol" w:char="F0B1"/>
      </w:r>
      <w:r w:rsidRPr="002C5876">
        <w:t>20 kg pour les véhicules &gt; 4 000 kg) ;</w:t>
      </w:r>
    </w:p>
    <w:p w:rsidR="00E24DB7" w:rsidRPr="002C5876" w:rsidRDefault="00E24DB7" w:rsidP="00E24DB7">
      <w:pPr>
        <w:pStyle w:val="SingleTxtG"/>
        <w:ind w:left="2835" w:hanging="567"/>
      </w:pPr>
      <w:r w:rsidRPr="002C5876">
        <w:t>i)</w:t>
      </w:r>
      <w:r w:rsidRPr="002C5876">
        <w:tab/>
        <w:t xml:space="preserve">Pression des pneumatiques : </w:t>
      </w:r>
      <w:r w:rsidRPr="002C5876">
        <w:sym w:font="Symbol" w:char="F0B1"/>
      </w:r>
      <w:r w:rsidRPr="002C5876">
        <w:t>5 kPa ;</w:t>
      </w:r>
    </w:p>
    <w:p w:rsidR="00E24DB7" w:rsidRPr="002C5876" w:rsidRDefault="00E24DB7" w:rsidP="00E24DB7">
      <w:pPr>
        <w:pStyle w:val="SingleTxtG"/>
        <w:ind w:left="2835" w:hanging="567"/>
      </w:pPr>
      <w:r w:rsidRPr="002C5876">
        <w:t>j)</w:t>
      </w:r>
      <w:r w:rsidRPr="002C5876">
        <w:tab/>
        <w:t xml:space="preserve">Rotation de la roue : </w:t>
      </w:r>
      <w:r w:rsidRPr="002C5876">
        <w:sym w:font="Symbol" w:char="F0B1"/>
      </w:r>
      <w:r w:rsidRPr="002C5876">
        <w:t>0,05 s-1 ou 1 %, si cette valeur est plus grande.</w:t>
      </w:r>
    </w:p>
    <w:p w:rsidR="00E24DB7" w:rsidRPr="002C5876" w:rsidRDefault="00E24DB7" w:rsidP="00E24DB7">
      <w:pPr>
        <w:pStyle w:val="SingleTxtG"/>
        <w:keepNext/>
        <w:keepLines/>
        <w:ind w:left="2268" w:hanging="1134"/>
        <w:jc w:val="left"/>
      </w:pPr>
      <w:r w:rsidRPr="002C5876">
        <w:t>3.2</w:t>
      </w:r>
      <w:r w:rsidRPr="002C5876">
        <w:tab/>
        <w:t>Critères s’appliquant à la soufflerie</w:t>
      </w:r>
    </w:p>
    <w:p w:rsidR="00E24DB7" w:rsidRPr="002C5876" w:rsidRDefault="00E24DB7" w:rsidP="00E24DB7">
      <w:pPr>
        <w:pStyle w:val="SingleTxtG"/>
        <w:keepNext/>
        <w:keepLines/>
        <w:ind w:left="2268" w:hanging="1134"/>
        <w:jc w:val="left"/>
      </w:pPr>
      <w:r w:rsidRPr="002C5876">
        <w:t>3.2.1</w:t>
      </w:r>
      <w:r w:rsidRPr="002C5876">
        <w:tab/>
        <w:t>Vitesse du vent</w:t>
      </w:r>
    </w:p>
    <w:p w:rsidR="00E24DB7" w:rsidRPr="002C5876" w:rsidRDefault="00E24DB7" w:rsidP="00E24DB7">
      <w:pPr>
        <w:pStyle w:val="SingleTxtG"/>
        <w:ind w:left="2268"/>
      </w:pPr>
      <w:r w:rsidRPr="002C5876">
        <w:t xml:space="preserve">La vitesse du vent au cours d’une mesure doit demeurer dans une fourchette de </w:t>
      </w:r>
      <w:r w:rsidRPr="002C5876">
        <w:sym w:font="Symbol" w:char="F0B1"/>
      </w:r>
      <w:r w:rsidRPr="002C5876">
        <w:t>2 km/h au centre de la veine d’essai. La vitesse maximale possible du vent doit être au moins égale à 140 km/h.</w:t>
      </w:r>
    </w:p>
    <w:p w:rsidR="00E24DB7" w:rsidRPr="002C5876" w:rsidRDefault="00E24DB7" w:rsidP="00E24DB7">
      <w:pPr>
        <w:pStyle w:val="SingleTxtG"/>
        <w:keepNext/>
        <w:keepLines/>
        <w:ind w:left="2268" w:hanging="1134"/>
        <w:jc w:val="left"/>
      </w:pPr>
      <w:r w:rsidRPr="002C5876">
        <w:t>3.2.2</w:t>
      </w:r>
      <w:r w:rsidRPr="002C5876">
        <w:tab/>
        <w:t xml:space="preserve">Température de l’air </w:t>
      </w:r>
    </w:p>
    <w:p w:rsidR="00E24DB7" w:rsidRPr="002C5876" w:rsidRDefault="00E24DB7" w:rsidP="00E24DB7">
      <w:pPr>
        <w:pStyle w:val="SingleTxtG"/>
        <w:ind w:left="2268"/>
      </w:pPr>
      <w:r w:rsidRPr="002C5876">
        <w:t>La t</w:t>
      </w:r>
      <w:r w:rsidRPr="002C5876">
        <w:rPr>
          <w:bCs/>
          <w:iCs/>
        </w:rPr>
        <w:t xml:space="preserve">empérature de l’air au </w:t>
      </w:r>
      <w:r w:rsidRPr="002C5876">
        <w:t xml:space="preserve">cours d’une mesure doit demeurer dans une fourchette de </w:t>
      </w:r>
      <w:r w:rsidRPr="002C5876">
        <w:sym w:font="Symbol" w:char="F0B1"/>
      </w:r>
      <w:r w:rsidRPr="002C5876">
        <w:t xml:space="preserve">3 °C au centre de la veine d’essai. La variation de la température de l’air à la sortie de la buse doit demeurer dans une fourchette de </w:t>
      </w:r>
      <w:r w:rsidRPr="002C5876">
        <w:sym w:font="Symbol" w:char="F0B1"/>
      </w:r>
      <w:r w:rsidRPr="002C5876">
        <w:t>3 °C.</w:t>
      </w:r>
    </w:p>
    <w:p w:rsidR="00E24DB7" w:rsidRPr="002C5876" w:rsidRDefault="00E24DB7" w:rsidP="00E24DB7">
      <w:pPr>
        <w:pStyle w:val="SingleTxtG"/>
        <w:keepNext/>
        <w:keepLines/>
        <w:ind w:left="2268" w:hanging="1134"/>
        <w:jc w:val="left"/>
      </w:pPr>
      <w:r w:rsidRPr="002C5876">
        <w:t>3.2.3</w:t>
      </w:r>
      <w:r w:rsidRPr="002C5876">
        <w:tab/>
        <w:t>Turbulence</w:t>
      </w:r>
    </w:p>
    <w:p w:rsidR="00E24DB7" w:rsidRPr="002C5876" w:rsidRDefault="00E24DB7" w:rsidP="00E24DB7">
      <w:pPr>
        <w:pStyle w:val="SingleTxtG"/>
        <w:ind w:left="2268"/>
      </w:pPr>
      <w:r w:rsidRPr="002C5876">
        <w:t>Sur une grille de 3 x 3 cases équidistantes réparties sur l’ensemble de la sortie de la buse, l’intensité de turbulence ne doit pas dépasser 1 % (voir fig. A4/1 ci-après).</w:t>
      </w:r>
    </w:p>
    <w:p w:rsidR="00E24DB7" w:rsidRPr="002C5876" w:rsidRDefault="00E24DB7" w:rsidP="00E24DB7">
      <w:pPr>
        <w:pStyle w:val="H23G"/>
      </w:pPr>
      <w:r w:rsidRPr="002C5876">
        <w:tab/>
      </w:r>
      <w:r w:rsidRPr="002C5876">
        <w:rPr>
          <w:b w:val="0"/>
        </w:rPr>
        <w:tab/>
        <w:t>Figure A4/1</w:t>
      </w:r>
      <w:r w:rsidRPr="002C5876">
        <w:t xml:space="preserve"> </w:t>
      </w:r>
      <w:r w:rsidRPr="002C5876">
        <w:br/>
        <w:t>Intensité de turbulence</w:t>
      </w:r>
    </w:p>
    <w:p w:rsidR="00E24DB7" w:rsidRPr="002C5876" w:rsidRDefault="00E24DB7" w:rsidP="00E24DB7">
      <w:pPr>
        <w:pStyle w:val="SingleTxtG"/>
        <w:jc w:val="left"/>
      </w:pPr>
      <w:r w:rsidRPr="002C5876">
        <w:rPr>
          <w:noProof/>
          <w:lang w:val="en-GB" w:eastAsia="zh-CN"/>
        </w:rPr>
        <w:drawing>
          <wp:inline distT="0" distB="0" distL="0" distR="0" wp14:anchorId="0E29C730" wp14:editId="73CB414B">
            <wp:extent cx="2916000" cy="2100510"/>
            <wp:effectExtent l="0" t="0" r="0" b="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16000" cy="2100510"/>
                    </a:xfrm>
                    <a:prstGeom prst="rect">
                      <a:avLst/>
                    </a:prstGeom>
                    <a:noFill/>
                    <a:ln w="6350" cmpd="sng">
                      <a:noFill/>
                      <a:miter lim="800000"/>
                      <a:headEnd/>
                      <a:tailEnd/>
                    </a:ln>
                    <a:effectLst/>
                  </pic:spPr>
                </pic:pic>
              </a:graphicData>
            </a:graphic>
          </wp:inline>
        </w:drawing>
      </w:r>
    </w:p>
    <w:p w:rsidR="00E24DB7" w:rsidRPr="002C5876" w:rsidRDefault="00E24DB7" w:rsidP="00E24DB7">
      <w:pPr>
        <w:spacing w:before="120"/>
      </w:pPr>
      <m:oMathPara>
        <m:oMath>
          <m:r>
            <m:rPr>
              <m:nor/>
            </m:rPr>
            <w:rPr>
              <w:rFonts w:asciiTheme="majorBidi" w:hAnsiTheme="majorBidi" w:cstheme="majorBidi"/>
            </w:rPr>
            <m:t>Tu</m:t>
          </m:r>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f>
            <m:fPr>
              <m:ctrlPr>
                <w:rPr>
                  <w:rFonts w:ascii="Cambria Math" w:hAnsi="Cambria Math" w:cstheme="majorBidi"/>
                </w:rPr>
              </m:ctrlPr>
            </m:fPr>
            <m:num>
              <m:sSup>
                <m:sSupPr>
                  <m:ctrlPr>
                    <w:rPr>
                      <w:rFonts w:ascii="Cambria Math" w:hAnsi="Cambria Math" w:cstheme="majorBidi"/>
                    </w:rPr>
                  </m:ctrlPr>
                </m:sSupPr>
                <m:e>
                  <m:r>
                    <m:rPr>
                      <m:nor/>
                    </m:rPr>
                    <w:rPr>
                      <w:rFonts w:asciiTheme="majorBidi" w:hAnsiTheme="majorBidi" w:cstheme="majorBidi"/>
                    </w:rPr>
                    <m:t>u</m:t>
                  </m:r>
                </m:e>
                <m:sup>
                  <m:r>
                    <m:rPr>
                      <m:nor/>
                    </m:rPr>
                    <w:rPr>
                      <w:rFonts w:asciiTheme="majorBidi" w:hAnsiTheme="majorBidi" w:cstheme="majorBidi"/>
                    </w:rPr>
                    <m:t>'</m:t>
                  </m:r>
                </m:sup>
              </m:sSup>
            </m:num>
            <m:den>
              <m:sSub>
                <m:sSubPr>
                  <m:ctrlPr>
                    <w:rPr>
                      <w:rFonts w:ascii="Cambria Math" w:hAnsi="Cambria Math" w:cstheme="majorBidi"/>
                    </w:rPr>
                  </m:ctrlPr>
                </m:sSubPr>
                <m:e>
                  <m:r>
                    <m:rPr>
                      <m:nor/>
                    </m:rPr>
                    <w:rPr>
                      <w:rFonts w:asciiTheme="majorBidi" w:hAnsiTheme="majorBidi" w:cstheme="majorBidi"/>
                    </w:rPr>
                    <m:t>U</m:t>
                  </m:r>
                </m:e>
                <m:sub>
                  <m:r>
                    <m:rPr>
                      <m:nor/>
                    </m:rPr>
                    <w:rPr>
                      <w:rFonts w:asciiTheme="majorBidi" w:hAnsiTheme="majorBidi" w:cstheme="majorBidi"/>
                    </w:rPr>
                    <m:t>∞</m:t>
                  </m:r>
                </m:sub>
              </m:sSub>
            </m:den>
          </m:f>
        </m:oMath>
      </m:oMathPara>
    </w:p>
    <w:p w:rsidR="00E24DB7" w:rsidRPr="002C5876" w:rsidRDefault="00E24DB7" w:rsidP="00E24DB7">
      <w:pPr>
        <w:pStyle w:val="SingleTxtG"/>
        <w:keepNext/>
        <w:keepLines/>
        <w:ind w:left="2268"/>
      </w:pPr>
      <w:r w:rsidRPr="002C5876">
        <w:t>où :</w:t>
      </w:r>
    </w:p>
    <w:p w:rsidR="00E24DB7" w:rsidRPr="002C5876" w:rsidRDefault="00E24DB7" w:rsidP="00E24DB7">
      <w:pPr>
        <w:pStyle w:val="SingleTxtG"/>
        <w:keepNext/>
        <w:keepLines/>
        <w:ind w:left="3402" w:hanging="1134"/>
      </w:pPr>
      <w:r w:rsidRPr="002C5876">
        <w:t>Tu</w:t>
      </w:r>
      <w:r w:rsidRPr="002C5876">
        <w:tab/>
        <w:t>est l’intensité de turbulence ;</w:t>
      </w:r>
    </w:p>
    <w:p w:rsidR="00E24DB7" w:rsidRPr="002C5876" w:rsidRDefault="00E24DB7" w:rsidP="00E24DB7">
      <w:pPr>
        <w:pStyle w:val="SingleTxtG"/>
        <w:ind w:left="3402" w:hanging="1134"/>
      </w:pPr>
      <w:r w:rsidRPr="002C5876">
        <w:t>u’</w:t>
      </w:r>
      <w:r w:rsidRPr="002C5876">
        <w:tab/>
        <w:t>est la fluctuation de vitesse en turbulence, en m/s ;</w:t>
      </w:r>
    </w:p>
    <w:p w:rsidR="00E24DB7" w:rsidRPr="002C5876" w:rsidRDefault="00E24DB7" w:rsidP="00E24DB7">
      <w:pPr>
        <w:pStyle w:val="SingleTxtG"/>
        <w:ind w:left="3402" w:hanging="1134"/>
      </w:pPr>
      <w:r w:rsidRPr="002C5876">
        <w:rPr>
          <w:noProof/>
          <w:lang w:val="en-GB" w:eastAsia="zh-CN"/>
        </w:rPr>
        <w:drawing>
          <wp:inline distT="0" distB="0" distL="0" distR="0" wp14:anchorId="5794D7AD" wp14:editId="0422E463">
            <wp:extent cx="247650" cy="142875"/>
            <wp:effectExtent l="0" t="0" r="0" b="9525"/>
            <wp:docPr id="97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solidFill>
                      <a:schemeClr val="bg1">
                        <a:lumMod val="100000"/>
                        <a:lumOff val="0"/>
                      </a:schemeClr>
                    </a:solidFill>
                    <a:ln>
                      <a:noFill/>
                    </a:ln>
                  </pic:spPr>
                </pic:pic>
              </a:graphicData>
            </a:graphic>
          </wp:inline>
        </w:drawing>
      </w:r>
      <w:r w:rsidRPr="002C5876">
        <w:tab/>
        <w:t>est la vitesse en écoulement libre, en m/s.</w:t>
      </w:r>
    </w:p>
    <w:p w:rsidR="00E24DB7" w:rsidRPr="002C5876" w:rsidRDefault="00E24DB7" w:rsidP="00E24DB7">
      <w:pPr>
        <w:pStyle w:val="SingleTxtG"/>
        <w:keepNext/>
        <w:ind w:left="2268" w:hanging="1134"/>
        <w:jc w:val="left"/>
      </w:pPr>
      <w:r w:rsidRPr="002C5876">
        <w:lastRenderedPageBreak/>
        <w:t>3.2.4</w:t>
      </w:r>
      <w:r w:rsidRPr="002C5876">
        <w:tab/>
        <w:t>Rapport d’obstruction physique</w:t>
      </w:r>
    </w:p>
    <w:p w:rsidR="00E24DB7" w:rsidRPr="002C5876" w:rsidRDefault="00E24DB7" w:rsidP="00E24DB7">
      <w:pPr>
        <w:pStyle w:val="SingleTxtG"/>
        <w:ind w:left="2268"/>
      </w:pPr>
      <w:r w:rsidRPr="002C5876">
        <w:t xml:space="preserve">Le rapport d’obstruction </w:t>
      </w:r>
      <w:r w:rsidRPr="002C5876">
        <w:rPr>
          <w:bCs/>
          <w:iCs/>
        </w:rPr>
        <w:t xml:space="preserve">imputable </w:t>
      </w:r>
      <w:r w:rsidRPr="002C5876">
        <w:t>au véhicule ε</w:t>
      </w:r>
      <w:r w:rsidRPr="002C5876">
        <w:rPr>
          <w:vertAlign w:val="subscript"/>
        </w:rPr>
        <w:t>sb</w:t>
      </w:r>
      <w:r w:rsidRPr="002C5876">
        <w:t>, exprimé en tant que quotient du maître couple du véhicule et de l’aire de sortie de la buse calculé au moyen de l’équation qui suit, ne doit pas dépasser 0,35.</w:t>
      </w:r>
    </w:p>
    <w:p w:rsidR="00E24DB7" w:rsidRPr="002C5876" w:rsidRDefault="00731CA6" w:rsidP="00E24DB7">
      <w:pPr>
        <w:pStyle w:val="SingleTxtG"/>
        <w:spacing w:after="240"/>
        <w:ind w:left="2268"/>
        <w:jc w:val="center"/>
        <w:rPr>
          <w:rFonts w:eastAsiaTheme="minorEastAsia"/>
        </w:rPr>
      </w:pPr>
      <m:oMathPara>
        <m:oMathParaPr>
          <m:jc m:val="center"/>
        </m:oMathParaPr>
        <m:oMath>
          <m:sSub>
            <m:sSubPr>
              <m:ctrlPr>
                <w:rPr>
                  <w:rFonts w:ascii="Cambria Math" w:hAnsi="Cambria Math" w:cstheme="majorBidi"/>
                </w:rPr>
              </m:ctrlPr>
            </m:sSubPr>
            <m:e>
              <m:r>
                <m:rPr>
                  <m:nor/>
                </m:rPr>
                <w:rPr>
                  <w:rFonts w:asciiTheme="majorBidi" w:hAnsiTheme="majorBidi" w:cstheme="majorBidi"/>
                </w:rPr>
                <m:t>ε</m:t>
              </m:r>
            </m:e>
            <m:sub>
              <m:r>
                <m:rPr>
                  <m:nor/>
                </m:rPr>
                <w:rPr>
                  <w:rFonts w:asciiTheme="majorBidi" w:hAnsiTheme="majorBidi" w:cstheme="majorBidi"/>
                </w:rPr>
                <m:t>sb</m:t>
              </m:r>
            </m:sub>
          </m:sSub>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f>
            <m:fPr>
              <m:ctrlPr>
                <w:rPr>
                  <w:rFonts w:ascii="Cambria Math" w:hAnsi="Cambria Math" w:cstheme="majorBidi"/>
                </w:rPr>
              </m:ctrlPr>
            </m:fPr>
            <m:num>
              <m:sSub>
                <m:sSubPr>
                  <m:ctrlPr>
                    <w:rPr>
                      <w:rFonts w:ascii="Cambria Math" w:hAnsi="Cambria Math" w:cstheme="majorBidi"/>
                    </w:rPr>
                  </m:ctrlPr>
                </m:sSubPr>
                <m:e>
                  <m:r>
                    <m:rPr>
                      <m:nor/>
                    </m:rPr>
                    <w:rPr>
                      <w:rFonts w:asciiTheme="majorBidi" w:hAnsiTheme="majorBidi" w:cstheme="majorBidi"/>
                    </w:rPr>
                    <m:t>A</m:t>
                  </m:r>
                </m:e>
                <m:sub>
                  <m:r>
                    <m:rPr>
                      <m:nor/>
                    </m:rPr>
                    <w:rPr>
                      <w:rFonts w:asciiTheme="majorBidi" w:hAnsiTheme="majorBidi" w:cstheme="majorBidi"/>
                    </w:rPr>
                    <m:t>f</m:t>
                  </m:r>
                </m:sub>
              </m:sSub>
            </m:num>
            <m:den>
              <m:sSub>
                <m:sSubPr>
                  <m:ctrlPr>
                    <w:rPr>
                      <w:rFonts w:ascii="Cambria Math" w:hAnsi="Cambria Math" w:cstheme="majorBidi"/>
                    </w:rPr>
                  </m:ctrlPr>
                </m:sSubPr>
                <m:e>
                  <m:r>
                    <m:rPr>
                      <m:nor/>
                    </m:rPr>
                    <w:rPr>
                      <w:rFonts w:asciiTheme="majorBidi" w:hAnsiTheme="majorBidi" w:cstheme="majorBidi"/>
                    </w:rPr>
                    <m:t>A</m:t>
                  </m:r>
                </m:e>
                <m:sub>
                  <m:r>
                    <m:rPr>
                      <m:nor/>
                    </m:rPr>
                    <w:rPr>
                      <w:rFonts w:asciiTheme="majorBidi" w:hAnsiTheme="majorBidi" w:cstheme="majorBidi"/>
                    </w:rPr>
                    <m:t>nozzle</m:t>
                  </m:r>
                </m:sub>
              </m:sSub>
            </m:den>
          </m:f>
        </m:oMath>
      </m:oMathPara>
    </w:p>
    <w:p w:rsidR="00E24DB7" w:rsidRPr="002C5876" w:rsidRDefault="00E24DB7" w:rsidP="00E24DB7">
      <w:pPr>
        <w:pStyle w:val="SingleTxtG"/>
        <w:ind w:left="2268"/>
      </w:pPr>
      <w:r w:rsidRPr="002C5876">
        <w:t>où :</w:t>
      </w:r>
    </w:p>
    <w:p w:rsidR="00E24DB7" w:rsidRPr="002C5876" w:rsidRDefault="00E24DB7" w:rsidP="00E24DB7">
      <w:pPr>
        <w:pStyle w:val="SingleTxtG"/>
        <w:ind w:left="3402" w:hanging="1134"/>
      </w:pPr>
      <w:r w:rsidRPr="002C5876">
        <w:rPr>
          <w:noProof/>
          <w:lang w:val="en-GB" w:eastAsia="zh-CN"/>
        </w:rPr>
        <w:drawing>
          <wp:inline distT="0" distB="0" distL="0" distR="0" wp14:anchorId="49A069F4" wp14:editId="2A0D9420">
            <wp:extent cx="200025" cy="200025"/>
            <wp:effectExtent l="0" t="0" r="9525" b="9525"/>
            <wp:docPr id="97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solidFill>
                      <a:schemeClr val="bg1">
                        <a:lumMod val="100000"/>
                        <a:lumOff val="0"/>
                      </a:schemeClr>
                    </a:solidFill>
                    <a:ln>
                      <a:noFill/>
                    </a:ln>
                  </pic:spPr>
                </pic:pic>
              </a:graphicData>
            </a:graphic>
          </wp:inline>
        </w:drawing>
      </w:r>
      <w:r w:rsidRPr="002C5876">
        <w:tab/>
        <w:t xml:space="preserve">est </w:t>
      </w:r>
      <w:r w:rsidRPr="002C5876">
        <w:rPr>
          <w:bCs/>
          <w:iCs/>
        </w:rPr>
        <w:t xml:space="preserve">le </w:t>
      </w:r>
      <w:r w:rsidRPr="002C5876">
        <w:t>rapport d’o</w:t>
      </w:r>
      <w:r w:rsidRPr="002C5876">
        <w:rPr>
          <w:bCs/>
          <w:iCs/>
        </w:rPr>
        <w:t xml:space="preserve">bstruction imputable </w:t>
      </w:r>
      <w:r w:rsidRPr="002C5876">
        <w:t>au véhicule ;</w:t>
      </w:r>
    </w:p>
    <w:p w:rsidR="00E24DB7" w:rsidRPr="002C5876" w:rsidRDefault="00E24DB7" w:rsidP="00E24DB7">
      <w:pPr>
        <w:pStyle w:val="SingleTxtG"/>
        <w:ind w:left="3402" w:hanging="1134"/>
      </w:pPr>
      <w:r w:rsidRPr="002C5876">
        <w:t>A</w:t>
      </w:r>
      <w:r w:rsidRPr="002C5876">
        <w:rPr>
          <w:vertAlign w:val="subscript"/>
        </w:rPr>
        <w:t>f</w:t>
      </w:r>
      <w:r w:rsidRPr="002C5876">
        <w:tab/>
        <w:t>est le maître couple du véhicule, en m</w:t>
      </w:r>
      <w:r w:rsidRPr="002C5876">
        <w:rPr>
          <w:vertAlign w:val="superscript"/>
        </w:rPr>
        <w:t>2</w:t>
      </w:r>
      <w:r w:rsidRPr="002C5876">
        <w:t> ;</w:t>
      </w:r>
    </w:p>
    <w:p w:rsidR="00E24DB7" w:rsidRPr="002C5876" w:rsidRDefault="00E24DB7" w:rsidP="00E24DB7">
      <w:pPr>
        <w:pStyle w:val="SingleTxtG"/>
        <w:ind w:left="3402" w:hanging="1134"/>
      </w:pPr>
      <w:r w:rsidRPr="002C5876">
        <w:t>A</w:t>
      </w:r>
      <w:r w:rsidRPr="002C5876">
        <w:rPr>
          <w:vertAlign w:val="subscript"/>
        </w:rPr>
        <w:t>nozzle</w:t>
      </w:r>
      <w:r w:rsidRPr="002C5876">
        <w:tab/>
        <w:t>est l’aire de sortie de la buse, en m</w:t>
      </w:r>
      <w:r w:rsidRPr="002C5876">
        <w:rPr>
          <w:vertAlign w:val="superscript"/>
        </w:rPr>
        <w:t>2</w:t>
      </w:r>
      <w:r w:rsidRPr="002C5876">
        <w:t>.</w:t>
      </w:r>
    </w:p>
    <w:p w:rsidR="00E24DB7" w:rsidRPr="002C5876" w:rsidRDefault="00E24DB7" w:rsidP="00E24DB7">
      <w:pPr>
        <w:pStyle w:val="SingleTxtG"/>
        <w:keepNext/>
        <w:ind w:left="2268" w:hanging="1134"/>
        <w:jc w:val="left"/>
      </w:pPr>
      <w:r w:rsidRPr="002C5876">
        <w:t>3.2.5</w:t>
      </w:r>
      <w:r w:rsidRPr="002C5876">
        <w:tab/>
        <w:t>Roues en rotation</w:t>
      </w:r>
    </w:p>
    <w:p w:rsidR="00E24DB7" w:rsidRPr="002C5876" w:rsidRDefault="00E24DB7" w:rsidP="00E24DB7">
      <w:pPr>
        <w:pStyle w:val="SingleTxtG"/>
        <w:ind w:left="2268"/>
      </w:pPr>
      <w:r w:rsidRPr="002C5876">
        <w:t xml:space="preserve">Pour permettre de déterminer correctement l’influence aérodynamique des </w:t>
      </w:r>
      <w:r w:rsidRPr="002C5876">
        <w:rPr>
          <w:bCs/>
          <w:iCs/>
        </w:rPr>
        <w:t>roues</w:t>
      </w:r>
      <w:r w:rsidRPr="002C5876">
        <w:t xml:space="preserve">, les </w:t>
      </w:r>
      <w:r w:rsidRPr="002C5876">
        <w:rPr>
          <w:bCs/>
          <w:iCs/>
        </w:rPr>
        <w:t xml:space="preserve">roues du </w:t>
      </w:r>
      <w:r w:rsidRPr="002C5876">
        <w:t xml:space="preserve">véhicule d’essai doivent tourner à une vitesse telle que la vitesse </w:t>
      </w:r>
      <w:r w:rsidRPr="002C5876">
        <w:rPr>
          <w:bCs/>
          <w:iCs/>
        </w:rPr>
        <w:t xml:space="preserve">du </w:t>
      </w:r>
      <w:r w:rsidRPr="002C5876">
        <w:t xml:space="preserve">véhicule demeure dans une fourchette de </w:t>
      </w:r>
      <w:r w:rsidRPr="002C5876">
        <w:sym w:font="Symbol" w:char="F0B1"/>
      </w:r>
      <w:r w:rsidRPr="002C5876">
        <w:t>3 km/h par rapport à la vitesse du vent.</w:t>
      </w:r>
    </w:p>
    <w:p w:rsidR="00E24DB7" w:rsidRPr="002C5876" w:rsidRDefault="00E24DB7" w:rsidP="00E24DB7">
      <w:pPr>
        <w:pStyle w:val="SingleTxtG"/>
        <w:keepNext/>
        <w:ind w:left="2268" w:hanging="1134"/>
        <w:jc w:val="left"/>
      </w:pPr>
      <w:r w:rsidRPr="002C5876">
        <w:t>3.2.6</w:t>
      </w:r>
      <w:r w:rsidRPr="002C5876">
        <w:tab/>
        <w:t>Tapis roulant</w:t>
      </w:r>
    </w:p>
    <w:p w:rsidR="00E24DB7" w:rsidRPr="002C5876" w:rsidRDefault="00E24DB7" w:rsidP="00E24DB7">
      <w:pPr>
        <w:pStyle w:val="SingleTxtG"/>
        <w:ind w:left="2268"/>
      </w:pPr>
      <w:r w:rsidRPr="002C5876">
        <w:t>Pour simuler l’écoulement de l’air contre le soubassement du véhicule, la soufflerie doit être équipée d’un t</w:t>
      </w:r>
      <w:r w:rsidRPr="002C5876">
        <w:rPr>
          <w:bCs/>
          <w:iCs/>
        </w:rPr>
        <w:t xml:space="preserve">apis roulant </w:t>
      </w:r>
      <w:r w:rsidRPr="002C5876">
        <w:t xml:space="preserve">s’étendant de l’avant jusqu’à l’arrière </w:t>
      </w:r>
      <w:r w:rsidRPr="002C5876">
        <w:rPr>
          <w:bCs/>
          <w:iCs/>
        </w:rPr>
        <w:t>du</w:t>
      </w:r>
      <w:r w:rsidRPr="002C5876">
        <w:t xml:space="preserve"> véhicule. La vitesse du t</w:t>
      </w:r>
      <w:r w:rsidRPr="002C5876">
        <w:rPr>
          <w:bCs/>
          <w:iCs/>
        </w:rPr>
        <w:t xml:space="preserve">apis roulant doit </w:t>
      </w:r>
      <w:r w:rsidRPr="002C5876">
        <w:t xml:space="preserve">demeurer dans une fourchette de </w:t>
      </w:r>
      <w:r w:rsidRPr="002C5876">
        <w:sym w:font="Symbol" w:char="F0B1"/>
      </w:r>
      <w:r w:rsidRPr="002C5876">
        <w:t>3 km/h par rapport à la vitesse du vent.</w:t>
      </w:r>
    </w:p>
    <w:p w:rsidR="00E24DB7" w:rsidRPr="002C5876" w:rsidRDefault="00E24DB7" w:rsidP="00E24DB7">
      <w:pPr>
        <w:pStyle w:val="SingleTxtG"/>
        <w:keepNext/>
        <w:ind w:left="2268" w:hanging="1134"/>
        <w:jc w:val="left"/>
      </w:pPr>
      <w:r w:rsidRPr="002C5876">
        <w:t>3.2.7</w:t>
      </w:r>
      <w:r w:rsidRPr="002C5876">
        <w:tab/>
        <w:t>Angle d’écoulement fluide</w:t>
      </w:r>
    </w:p>
    <w:p w:rsidR="00E24DB7" w:rsidRPr="002C5876" w:rsidRDefault="00E24DB7" w:rsidP="00E24DB7">
      <w:pPr>
        <w:pStyle w:val="SingleTxtG"/>
        <w:ind w:left="2268"/>
      </w:pPr>
      <w:r w:rsidRPr="002C5876">
        <w:t>En neuf </w:t>
      </w:r>
      <w:r w:rsidRPr="002C5876">
        <w:rPr>
          <w:bCs/>
          <w:iCs/>
        </w:rPr>
        <w:t>points</w:t>
      </w:r>
      <w:r w:rsidRPr="002C5876">
        <w:t xml:space="preserve"> également répartis sur l’aire de sortie de la buse, l’écart type moyen quadratique de l’angle de tangage α et de l’angle de lacet β (plan</w:t>
      </w:r>
      <w:r w:rsidRPr="002C5876">
        <w:noBreakHyphen/>
        <w:t xml:space="preserve">Y, </w:t>
      </w:r>
      <w:r w:rsidRPr="002C5876">
        <w:noBreakHyphen/>
        <w:t>Z) à la sortie de la buse ne doit pas dépasser 1°.</w:t>
      </w:r>
    </w:p>
    <w:p w:rsidR="00E24DB7" w:rsidRPr="002C5876" w:rsidRDefault="00E24DB7" w:rsidP="00E24DB7">
      <w:pPr>
        <w:pStyle w:val="SingleTxtG"/>
        <w:keepNext/>
        <w:ind w:left="2268" w:hanging="1134"/>
        <w:jc w:val="left"/>
      </w:pPr>
      <w:r w:rsidRPr="002C5876">
        <w:t>3.2.8</w:t>
      </w:r>
      <w:r w:rsidRPr="002C5876">
        <w:tab/>
        <w:t>Pression de l’air</w:t>
      </w:r>
    </w:p>
    <w:p w:rsidR="00E24DB7" w:rsidRPr="002C5876" w:rsidRDefault="00E24DB7" w:rsidP="00E24DB7">
      <w:pPr>
        <w:pStyle w:val="SingleTxtG"/>
        <w:ind w:left="2268"/>
      </w:pPr>
      <w:r w:rsidRPr="002C5876">
        <w:t xml:space="preserve">En neuf points également répartis sur l’aire de sortie de la buse, l’écart type de la </w:t>
      </w:r>
      <w:r w:rsidRPr="002C5876">
        <w:rPr>
          <w:bCs/>
          <w:iCs/>
        </w:rPr>
        <w:t>p</w:t>
      </w:r>
      <w:r w:rsidRPr="002C5876">
        <w:t>ression totale à la sortie de la buse ne doit pas dépasser 0,02.</w:t>
      </w:r>
    </w:p>
    <w:p w:rsidR="00E24DB7" w:rsidRPr="002C5876" w:rsidRDefault="00E24DB7" w:rsidP="004A278B">
      <w:pPr>
        <w:pStyle w:val="SingleTxtG"/>
        <w:ind w:left="2268"/>
        <w:jc w:val="center"/>
        <w:rPr>
          <w:rFonts w:eastAsiaTheme="minorEastAsia"/>
        </w:rPr>
      </w:pPr>
      <m:oMathPara>
        <m:oMath>
          <m:r>
            <m:rPr>
              <m:nor/>
            </m:rPr>
            <w:rPr>
              <w:rFonts w:asciiTheme="majorBidi" w:hAnsiTheme="majorBidi" w:cstheme="majorBidi"/>
            </w:rPr>
            <m:t>σ</m:t>
          </m:r>
          <m:d>
            <m:dPr>
              <m:ctrlPr>
                <w:rPr>
                  <w:rFonts w:ascii="Cambria Math" w:hAnsi="Cambria Math" w:cstheme="majorBidi"/>
                </w:rPr>
              </m:ctrlPr>
            </m:dPr>
            <m:e>
              <m:f>
                <m:fPr>
                  <m:ctrlPr>
                    <w:rPr>
                      <w:rFonts w:ascii="Cambria Math" w:hAnsi="Cambria Math" w:cstheme="majorBidi"/>
                    </w:rPr>
                  </m:ctrlPr>
                </m:fPr>
                <m:num>
                  <m:sSub>
                    <m:sSubPr>
                      <m:ctrlPr>
                        <w:rPr>
                          <w:rFonts w:ascii="Cambria Math" w:hAnsi="Cambria Math" w:cstheme="majorBidi"/>
                        </w:rPr>
                      </m:ctrlPr>
                    </m:sSubPr>
                    <m:e>
                      <m:r>
                        <m:rPr>
                          <m:nor/>
                        </m:rPr>
                        <w:rPr>
                          <w:rFonts w:asciiTheme="majorBidi" w:hAnsiTheme="majorBidi" w:cstheme="majorBidi"/>
                        </w:rPr>
                        <m:t>∆P</m:t>
                      </m:r>
                    </m:e>
                    <m:sub>
                      <m:r>
                        <m:rPr>
                          <m:nor/>
                        </m:rPr>
                        <w:rPr>
                          <w:rFonts w:asciiTheme="majorBidi" w:hAnsiTheme="majorBidi" w:cstheme="majorBidi"/>
                        </w:rPr>
                        <m:t>t</m:t>
                      </m:r>
                    </m:sub>
                  </m:sSub>
                </m:num>
                <m:den>
                  <m:r>
                    <m:rPr>
                      <m:nor/>
                    </m:rPr>
                    <w:rPr>
                      <w:rFonts w:asciiTheme="majorBidi" w:hAnsiTheme="majorBidi" w:cstheme="majorBidi"/>
                    </w:rPr>
                    <m:t>q</m:t>
                  </m:r>
                </m:den>
              </m:f>
            </m:e>
          </m:d>
          <m:r>
            <m:rPr>
              <m:nor/>
            </m:rPr>
            <w:rPr>
              <w:rFonts w:asciiTheme="majorBidi" w:hAnsiTheme="majorBidi" w:cstheme="majorBidi"/>
            </w:rPr>
            <m:t>≤</m:t>
          </m:r>
          <m:r>
            <m:rPr>
              <m:nor/>
            </m:rPr>
            <w:rPr>
              <w:rFonts w:ascii="Cambria Math" w:hAnsiTheme="majorBidi" w:cstheme="majorBidi"/>
            </w:rPr>
            <m:t xml:space="preserve">  </m:t>
          </m:r>
          <m:r>
            <m:rPr>
              <m:nor/>
            </m:rPr>
            <w:rPr>
              <w:rFonts w:asciiTheme="majorBidi" w:hAnsiTheme="majorBidi" w:cstheme="majorBidi"/>
            </w:rPr>
            <m:t>0,02</m:t>
          </m:r>
        </m:oMath>
      </m:oMathPara>
    </w:p>
    <w:p w:rsidR="00E24DB7" w:rsidRPr="002C5876" w:rsidRDefault="00E24DB7" w:rsidP="00E24DB7">
      <w:pPr>
        <w:pStyle w:val="SingleTxtG"/>
        <w:keepNext/>
        <w:ind w:left="2268"/>
      </w:pPr>
      <w:r w:rsidRPr="002C5876">
        <w:t>où :</w:t>
      </w:r>
    </w:p>
    <w:p w:rsidR="00E24DB7" w:rsidRPr="002C5876" w:rsidRDefault="00E24DB7" w:rsidP="00E24DB7">
      <w:pPr>
        <w:pStyle w:val="SingleTxtG"/>
        <w:ind w:left="3402" w:hanging="1134"/>
      </w:pPr>
      <w:r w:rsidRPr="002C5876">
        <w:t>σ</w:t>
      </w:r>
      <w:r w:rsidRPr="002C5876">
        <w:tab/>
        <w:t xml:space="preserve">est l’écart type du rapport de pression totale </w:t>
      </w:r>
      <w:r w:rsidRPr="002C5876">
        <w:rPr>
          <w:noProof/>
          <w:position w:val="-26"/>
          <w:lang w:val="en-GB" w:eastAsia="zh-CN"/>
        </w:rPr>
        <w:drawing>
          <wp:inline distT="0" distB="0" distL="0" distR="0" wp14:anchorId="65F86B56" wp14:editId="063AA8AC">
            <wp:extent cx="381000" cy="390525"/>
            <wp:effectExtent l="0" t="0" r="0" b="9525"/>
            <wp:docPr id="971"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2C5876">
        <w:t> ;</w:t>
      </w:r>
    </w:p>
    <w:p w:rsidR="00E24DB7" w:rsidRPr="002C5876" w:rsidRDefault="00E24DB7" w:rsidP="00E24DB7">
      <w:pPr>
        <w:pStyle w:val="SingleTxtG"/>
        <w:ind w:left="3402" w:hanging="1134"/>
      </w:pPr>
      <w:r w:rsidRPr="002C5876">
        <w:rPr>
          <w:noProof/>
          <w:position w:val="-10"/>
          <w:lang w:val="en-GB" w:eastAsia="zh-CN"/>
        </w:rPr>
        <w:drawing>
          <wp:inline distT="0" distB="0" distL="0" distR="0" wp14:anchorId="13658D94" wp14:editId="39F517FF">
            <wp:extent cx="219075" cy="200025"/>
            <wp:effectExtent l="0" t="0" r="9525" b="9525"/>
            <wp:docPr id="97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2C5876">
        <w:tab/>
        <w:t>est la variation de la pression totale entre les points de mesure, en N/m2 ;</w:t>
      </w:r>
    </w:p>
    <w:p w:rsidR="00E24DB7" w:rsidRPr="002C5876" w:rsidRDefault="00E24DB7" w:rsidP="00E24DB7">
      <w:pPr>
        <w:pStyle w:val="SingleTxtG"/>
        <w:ind w:left="3402" w:hanging="1134"/>
      </w:pPr>
      <w:r w:rsidRPr="002C5876">
        <w:t>q</w:t>
      </w:r>
      <w:r w:rsidRPr="002C5876">
        <w:tab/>
        <w:t>est la pression dynamique, en N/m</w:t>
      </w:r>
      <w:r w:rsidRPr="002C5876">
        <w:rPr>
          <w:vertAlign w:val="subscript"/>
        </w:rPr>
        <w:t>2</w:t>
      </w:r>
      <w:r w:rsidRPr="002C5876">
        <w:t>.</w:t>
      </w:r>
    </w:p>
    <w:p w:rsidR="00E24DB7" w:rsidRPr="002C5876" w:rsidRDefault="00E24DB7" w:rsidP="00E24DB7">
      <w:pPr>
        <w:pStyle w:val="SingleTxtG"/>
        <w:ind w:left="2268"/>
      </w:pPr>
      <w:r w:rsidRPr="002C5876">
        <w:t>La différence absolue du coefficient de pression cp sur une distance de 3 m en avant et 3 m en arrière du centre d’équilibre dans la section d’essai à vide et à une hauteur du centre de la sortie de la buse ne doit pas varier de plus de </w:t>
      </w:r>
      <w:r w:rsidRPr="002C5876">
        <w:sym w:font="Symbol" w:char="F0B1"/>
      </w:r>
      <w:r w:rsidRPr="002C5876">
        <w:t>0,02.</w:t>
      </w:r>
    </w:p>
    <w:p w:rsidR="00E24DB7" w:rsidRPr="002C5876" w:rsidRDefault="00731CA6" w:rsidP="00E24DB7">
      <w:pPr>
        <w:pStyle w:val="SingleTxtG"/>
        <w:spacing w:after="240"/>
        <w:ind w:left="2268"/>
        <w:jc w:val="center"/>
        <w:rPr>
          <w:rFonts w:eastAsiaTheme="minorEastAsia"/>
        </w:rPr>
      </w:pPr>
      <m:oMathPara>
        <m:oMath>
          <m:d>
            <m:dPr>
              <m:begChr m:val="|"/>
              <m:endChr m:val="|"/>
              <m:ctrlPr>
                <w:rPr>
                  <w:rFonts w:ascii="Cambria Math" w:hAnsi="Cambria Math" w:cstheme="majorBidi"/>
                </w:rPr>
              </m:ctrlPr>
            </m:dPr>
            <m:e>
              <m:sSub>
                <m:sSubPr>
                  <m:ctrlPr>
                    <w:rPr>
                      <w:rFonts w:ascii="Cambria Math" w:hAnsi="Cambria Math" w:cstheme="majorBidi"/>
                    </w:rPr>
                  </m:ctrlPr>
                </m:sSubPr>
                <m:e>
                  <m:r>
                    <m:rPr>
                      <m:nor/>
                    </m:rPr>
                    <w:rPr>
                      <w:rFonts w:asciiTheme="majorBidi" w:hAnsiTheme="majorBidi" w:cstheme="majorBidi"/>
                    </w:rPr>
                    <m:t>cp</m:t>
                  </m:r>
                </m:e>
                <m:sub>
                  <m:r>
                    <m:rPr>
                      <m:nor/>
                    </m:rPr>
                    <w:rPr>
                      <w:rFonts w:asciiTheme="majorBidi" w:hAnsiTheme="majorBidi" w:cstheme="majorBidi"/>
                    </w:rPr>
                    <m:t>x=+3</m:t>
                  </m:r>
                  <m:r>
                    <m:rPr>
                      <m:nor/>
                    </m:rPr>
                    <w:rPr>
                      <w:rFonts w:ascii="Cambria Math" w:hAnsiTheme="majorBidi" w:cstheme="majorBidi"/>
                    </w:rPr>
                    <m:t>m</m:t>
                  </m:r>
                </m:sub>
              </m:sSub>
              <m:r>
                <m:rPr>
                  <m:nor/>
                </m:rPr>
                <w:rPr>
                  <w:rFonts w:asciiTheme="majorBidi" w:hAnsiTheme="majorBidi" w:cstheme="majorBidi"/>
                </w:rPr>
                <m:t xml:space="preserve"> – </m:t>
              </m:r>
              <m:sSub>
                <m:sSubPr>
                  <m:ctrlPr>
                    <w:rPr>
                      <w:rFonts w:ascii="Cambria Math" w:hAnsi="Cambria Math" w:cstheme="majorBidi"/>
                    </w:rPr>
                  </m:ctrlPr>
                </m:sSubPr>
                <m:e>
                  <m:r>
                    <m:rPr>
                      <m:nor/>
                    </m:rPr>
                    <w:rPr>
                      <w:rFonts w:asciiTheme="majorBidi" w:hAnsiTheme="majorBidi" w:cstheme="majorBidi"/>
                    </w:rPr>
                    <m:t>cp</m:t>
                  </m:r>
                </m:e>
                <m:sub>
                  <m:r>
                    <m:rPr>
                      <m:nor/>
                    </m:rPr>
                    <w:rPr>
                      <w:rFonts w:asciiTheme="majorBidi" w:hAnsiTheme="majorBidi" w:cstheme="majorBidi"/>
                    </w:rPr>
                    <m:t>x=–3m</m:t>
                  </m:r>
                </m:sub>
              </m:sSub>
            </m:e>
          </m:d>
          <m:r>
            <m:rPr>
              <m:sty m:val="p"/>
            </m:rPr>
            <w:rPr>
              <w:rFonts w:ascii="Cambria Math" w:hAnsi="Cambria Math"/>
            </w:rPr>
            <m:t>≤ 0,02</m:t>
          </m:r>
        </m:oMath>
      </m:oMathPara>
    </w:p>
    <w:p w:rsidR="00E24DB7" w:rsidRPr="002C5876" w:rsidRDefault="00E24DB7" w:rsidP="00E24DB7">
      <w:pPr>
        <w:pStyle w:val="SingleTxtG"/>
        <w:keepNext/>
        <w:ind w:left="2268"/>
      </w:pPr>
      <w:r w:rsidRPr="002C5876">
        <w:t>où :</w:t>
      </w:r>
    </w:p>
    <w:p w:rsidR="00E24DB7" w:rsidRPr="002C5876" w:rsidRDefault="00E24DB7" w:rsidP="00E24DB7">
      <w:pPr>
        <w:pStyle w:val="SingleTxtG"/>
        <w:ind w:left="3402" w:hanging="1134"/>
      </w:pPr>
      <w:r w:rsidRPr="002C5876">
        <w:t>cp</w:t>
      </w:r>
      <w:r w:rsidRPr="002C5876">
        <w:tab/>
        <w:t>est le coefficient de pression.</w:t>
      </w:r>
    </w:p>
    <w:p w:rsidR="00E24DB7" w:rsidRPr="002C5876" w:rsidRDefault="00E24DB7" w:rsidP="00E24DB7">
      <w:pPr>
        <w:pStyle w:val="SingleTxtG"/>
        <w:keepNext/>
        <w:ind w:left="2268" w:hanging="1134"/>
        <w:jc w:val="left"/>
      </w:pPr>
      <w:r w:rsidRPr="002C5876">
        <w:t>3.2.9</w:t>
      </w:r>
      <w:r w:rsidRPr="002C5876">
        <w:tab/>
        <w:t>Épaisseur de la couche limite</w:t>
      </w:r>
    </w:p>
    <w:p w:rsidR="00E24DB7" w:rsidRPr="002C5876" w:rsidRDefault="00E24DB7" w:rsidP="00E24DB7">
      <w:pPr>
        <w:pStyle w:val="SingleTxtG"/>
        <w:ind w:left="2268"/>
      </w:pPr>
      <w:r w:rsidRPr="002C5876">
        <w:t>À x = 0 (point central d’équilibre), la vitesse du vent doit être d’au moins 99 % de la vitesse d’entrée à 30 mm au-dessus du sol de la soufflerie.</w:t>
      </w:r>
    </w:p>
    <w:p w:rsidR="00E24DB7" w:rsidRPr="002C5876" w:rsidRDefault="00731CA6" w:rsidP="004A278B">
      <w:pPr>
        <w:pStyle w:val="SingleTxtG"/>
        <w:spacing w:after="240"/>
        <w:ind w:left="2268"/>
        <w:jc w:val="center"/>
      </w:pPr>
      <m:oMathPara>
        <m:oMathParaPr>
          <m:jc m:val="center"/>
        </m:oMathParaPr>
        <m:oMath>
          <m:sSub>
            <m:sSubPr>
              <m:ctrlPr>
                <w:rPr>
                  <w:rFonts w:ascii="Cambria Math" w:hAnsi="Cambria Math" w:cstheme="majorBidi"/>
                </w:rPr>
              </m:ctrlPr>
            </m:sSubPr>
            <m:e>
              <m:r>
                <m:rPr>
                  <m:nor/>
                </m:rPr>
                <w:rPr>
                  <w:rFonts w:asciiTheme="majorBidi" w:hAnsiTheme="majorBidi" w:cstheme="majorBidi"/>
                </w:rPr>
                <m:t>δ</m:t>
              </m:r>
            </m:e>
            <m:sub>
              <m:r>
                <m:rPr>
                  <m:nor/>
                </m:rPr>
                <w:rPr>
                  <w:rFonts w:asciiTheme="majorBidi" w:hAnsiTheme="majorBidi" w:cstheme="majorBidi"/>
                </w:rPr>
                <m:t>99</m:t>
              </m:r>
            </m:sub>
          </m:sSub>
          <m:d>
            <m:dPr>
              <m:ctrlPr>
                <w:rPr>
                  <w:rFonts w:ascii="Cambria Math" w:hAnsi="Cambria Math" w:cstheme="majorBidi"/>
                </w:rPr>
              </m:ctrlPr>
            </m:dPr>
            <m:e>
              <m:r>
                <m:rPr>
                  <m:nor/>
                </m:rPr>
                <w:rPr>
                  <w:rFonts w:asciiTheme="majorBidi" w:hAnsiTheme="majorBidi" w:cstheme="majorBidi"/>
                </w:rPr>
                <m:t>x</m:t>
              </m:r>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r>
                <m:rPr>
                  <m:nor/>
                </m:rPr>
                <w:rPr>
                  <w:rFonts w:asciiTheme="majorBidi" w:hAnsiTheme="majorBidi" w:cstheme="majorBidi"/>
                </w:rPr>
                <m:t xml:space="preserve">0 </m:t>
              </m:r>
              <m:r>
                <m:rPr>
                  <m:nor/>
                </m:rPr>
                <w:rPr>
                  <w:rFonts w:ascii="Cambria Math" w:hAnsiTheme="majorBidi" w:cstheme="majorBidi"/>
                </w:rPr>
                <m:t>m</m:t>
              </m:r>
            </m:e>
          </m:d>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r>
            <m:rPr>
              <m:nor/>
            </m:rPr>
            <w:rPr>
              <w:rFonts w:asciiTheme="majorBidi" w:hAnsiTheme="majorBidi" w:cstheme="majorBidi"/>
            </w:rPr>
            <m:t>30</m:t>
          </m:r>
          <m:r>
            <m:rPr>
              <m:nor/>
            </m:rPr>
            <w:rPr>
              <w:rFonts w:ascii="Cambria Math" w:hAnsiTheme="majorBidi" w:cstheme="majorBidi"/>
            </w:rPr>
            <m:t xml:space="preserve"> </m:t>
          </m:r>
          <m:r>
            <m:rPr>
              <m:nor/>
            </m:rPr>
            <m:t>mm</m:t>
          </m:r>
        </m:oMath>
      </m:oMathPara>
    </w:p>
    <w:p w:rsidR="00E24DB7" w:rsidRPr="002C5876" w:rsidRDefault="00E24DB7" w:rsidP="00E24DB7">
      <w:pPr>
        <w:pStyle w:val="SingleTxtG"/>
        <w:keepNext/>
        <w:ind w:left="2268"/>
      </w:pPr>
      <w:r w:rsidRPr="002C5876">
        <w:t>où :</w:t>
      </w:r>
    </w:p>
    <w:p w:rsidR="00E24DB7" w:rsidRPr="002C5876" w:rsidRDefault="00E24DB7" w:rsidP="00E24DB7">
      <w:pPr>
        <w:pStyle w:val="SingleTxtG"/>
        <w:ind w:left="3402" w:hanging="1134"/>
      </w:pPr>
      <w:r w:rsidRPr="002C5876">
        <w:t>δ</w:t>
      </w:r>
      <w:r w:rsidRPr="002C5876">
        <w:rPr>
          <w:vertAlign w:val="subscript"/>
        </w:rPr>
        <w:t>99</w:t>
      </w:r>
      <w:r w:rsidRPr="002C5876">
        <w:tab/>
        <w:t xml:space="preserve">est la distance perpendiculaire à la route où 99 % de la vitesse </w:t>
      </w:r>
      <w:r w:rsidRPr="002C5876">
        <w:br/>
        <w:t>d’écoulement libre est atteinte (épaisseur de la couche limite).</w:t>
      </w:r>
    </w:p>
    <w:p w:rsidR="00E24DB7" w:rsidRPr="002C5876" w:rsidRDefault="00E24DB7" w:rsidP="00E24DB7">
      <w:pPr>
        <w:pStyle w:val="SingleTxtG"/>
        <w:keepNext/>
        <w:keepLines/>
        <w:ind w:left="2268" w:hanging="1134"/>
        <w:jc w:val="left"/>
      </w:pPr>
      <w:r w:rsidRPr="002C5876">
        <w:t>3.2.10</w:t>
      </w:r>
      <w:r w:rsidRPr="002C5876">
        <w:tab/>
        <w:t>Le rapport d’obstruction imputable au système de maintien du véhicule</w:t>
      </w:r>
    </w:p>
    <w:p w:rsidR="00E24DB7" w:rsidRPr="002C5876" w:rsidRDefault="00E24DB7" w:rsidP="00E24DB7">
      <w:pPr>
        <w:pStyle w:val="SingleTxtG"/>
        <w:keepNext/>
        <w:keepLines/>
        <w:ind w:left="2268"/>
      </w:pPr>
      <w:r w:rsidRPr="002C5876">
        <w:t>Le système de maintien du véhicule ne doit pas être positionné en avant du véhicule. Le rapport d’obstruction relative de la surface frontale du véhicule imputable au système de maintien du véhicule, ε</w:t>
      </w:r>
      <w:r w:rsidRPr="002C5876">
        <w:rPr>
          <w:vertAlign w:val="subscript"/>
        </w:rPr>
        <w:t>restr</w:t>
      </w:r>
      <w:r w:rsidRPr="002C5876">
        <w:t>, ne doit pas dépasser 0,10.</w:t>
      </w:r>
    </w:p>
    <w:p w:rsidR="00E24DB7" w:rsidRPr="002C5876" w:rsidRDefault="00731CA6" w:rsidP="00E24DB7">
      <w:pPr>
        <w:pStyle w:val="SingleTxtG"/>
        <w:spacing w:after="240"/>
        <w:ind w:left="2268"/>
      </w:pPr>
      <m:oMathPara>
        <m:oMathParaPr>
          <m:jc m:val="center"/>
        </m:oMathParaPr>
        <m:oMath>
          <m:sSub>
            <m:sSubPr>
              <m:ctrlPr>
                <w:rPr>
                  <w:rFonts w:ascii="Cambria Math" w:hAnsi="Cambria Math" w:cstheme="majorBidi"/>
                </w:rPr>
              </m:ctrlPr>
            </m:sSubPr>
            <m:e>
              <m:r>
                <m:rPr>
                  <m:nor/>
                </m:rPr>
                <w:rPr>
                  <w:rFonts w:asciiTheme="majorBidi" w:hAnsiTheme="majorBidi" w:cstheme="majorBidi"/>
                </w:rPr>
                <m:t>ε</m:t>
              </m:r>
            </m:e>
            <m:sub>
              <m:r>
                <m:rPr>
                  <m:nor/>
                </m:rPr>
                <w:rPr>
                  <w:rFonts w:asciiTheme="majorBidi" w:hAnsiTheme="majorBidi" w:cstheme="majorBidi"/>
                </w:rPr>
                <m:t>restr</m:t>
              </m:r>
            </m:sub>
          </m:sSub>
          <m:r>
            <m:rPr>
              <m:nor/>
            </m:rPr>
            <w:rPr>
              <w:rFonts w:asciiTheme="majorBidi" w:hAnsiTheme="majorBidi" w:cstheme="majorBidi"/>
            </w:rPr>
            <m:t>=</m:t>
          </m:r>
          <m:f>
            <m:fPr>
              <m:ctrlPr>
                <w:rPr>
                  <w:rFonts w:ascii="Cambria Math" w:hAnsi="Cambria Math" w:cstheme="majorBidi"/>
                </w:rPr>
              </m:ctrlPr>
            </m:fPr>
            <m:num>
              <m:sSub>
                <m:sSubPr>
                  <m:ctrlPr>
                    <w:rPr>
                      <w:rFonts w:ascii="Cambria Math" w:hAnsi="Cambria Math" w:cstheme="majorBidi"/>
                    </w:rPr>
                  </m:ctrlPr>
                </m:sSubPr>
                <m:e>
                  <m:r>
                    <m:rPr>
                      <m:nor/>
                    </m:rPr>
                    <w:rPr>
                      <w:rFonts w:asciiTheme="majorBidi" w:hAnsiTheme="majorBidi" w:cstheme="majorBidi"/>
                    </w:rPr>
                    <m:t>A</m:t>
                  </m:r>
                </m:e>
                <m:sub>
                  <m:r>
                    <m:rPr>
                      <m:nor/>
                    </m:rPr>
                    <w:rPr>
                      <w:rFonts w:asciiTheme="majorBidi" w:hAnsiTheme="majorBidi" w:cstheme="majorBidi"/>
                    </w:rPr>
                    <m:t>restr</m:t>
                  </m:r>
                </m:sub>
              </m:sSub>
            </m:num>
            <m:den>
              <m:sSub>
                <m:sSubPr>
                  <m:ctrlPr>
                    <w:rPr>
                      <w:rFonts w:ascii="Cambria Math" w:hAnsi="Cambria Math" w:cstheme="majorBidi"/>
                    </w:rPr>
                  </m:ctrlPr>
                </m:sSubPr>
                <m:e>
                  <m:r>
                    <m:rPr>
                      <m:nor/>
                    </m:rPr>
                    <w:rPr>
                      <w:rFonts w:asciiTheme="majorBidi" w:hAnsiTheme="majorBidi" w:cstheme="majorBidi"/>
                    </w:rPr>
                    <m:t>A</m:t>
                  </m:r>
                </m:e>
                <m:sub>
                  <m:r>
                    <m:rPr>
                      <m:nor/>
                    </m:rPr>
                    <w:rPr>
                      <w:rFonts w:asciiTheme="majorBidi" w:hAnsiTheme="majorBidi" w:cstheme="majorBidi"/>
                    </w:rPr>
                    <m:t>f</m:t>
                  </m:r>
                </m:sub>
              </m:sSub>
            </m:den>
          </m:f>
        </m:oMath>
      </m:oMathPara>
    </w:p>
    <w:p w:rsidR="00E24DB7" w:rsidRPr="002C5876" w:rsidRDefault="00E24DB7" w:rsidP="00E24DB7">
      <w:pPr>
        <w:keepNext/>
        <w:spacing w:after="120"/>
        <w:ind w:left="2268" w:right="1134"/>
        <w:jc w:val="both"/>
      </w:pPr>
      <w:r w:rsidRPr="002C5876">
        <w:t>où :</w:t>
      </w:r>
    </w:p>
    <w:p w:rsidR="00E24DB7" w:rsidRPr="002C5876" w:rsidRDefault="00E24DB7" w:rsidP="00E24DB7">
      <w:pPr>
        <w:pStyle w:val="SingleTxtG"/>
        <w:ind w:left="3402" w:hanging="1134"/>
      </w:pPr>
      <w:r w:rsidRPr="002C5876">
        <w:t>ε</w:t>
      </w:r>
      <w:r w:rsidRPr="002C5876">
        <w:rPr>
          <w:vertAlign w:val="subscript"/>
        </w:rPr>
        <w:t>restr</w:t>
      </w:r>
      <w:r w:rsidRPr="002C5876">
        <w:tab/>
        <w:t xml:space="preserve">est le rapport d’obstruction relative </w:t>
      </w:r>
      <w:r w:rsidRPr="002C5876">
        <w:rPr>
          <w:bCs/>
          <w:iCs/>
        </w:rPr>
        <w:t xml:space="preserve">imputable </w:t>
      </w:r>
      <w:r w:rsidRPr="002C5876">
        <w:t>au système de maintien du véhicule ;</w:t>
      </w:r>
    </w:p>
    <w:p w:rsidR="00E24DB7" w:rsidRPr="002C5876" w:rsidRDefault="00E24DB7" w:rsidP="00E24DB7">
      <w:pPr>
        <w:pStyle w:val="SingleTxtG"/>
        <w:ind w:left="3402" w:hanging="1134"/>
      </w:pPr>
      <w:r w:rsidRPr="002C5876">
        <w:t>A</w:t>
      </w:r>
      <w:r w:rsidRPr="002C5876">
        <w:rPr>
          <w:vertAlign w:val="subscript"/>
        </w:rPr>
        <w:t>restr</w:t>
      </w:r>
      <w:r w:rsidRPr="002C5876">
        <w:tab/>
        <w:t>est la surface frontale du système de maintien du véhicule projetée sur la surface de la buse, en m</w:t>
      </w:r>
      <w:r w:rsidRPr="002C5876">
        <w:rPr>
          <w:vertAlign w:val="superscript"/>
        </w:rPr>
        <w:t>2</w:t>
      </w:r>
      <w:r w:rsidRPr="002C5876">
        <w:t> ;</w:t>
      </w:r>
    </w:p>
    <w:p w:rsidR="00E24DB7" w:rsidRPr="002C5876" w:rsidRDefault="00E24DB7" w:rsidP="00E24DB7">
      <w:pPr>
        <w:pStyle w:val="SingleTxtG"/>
        <w:ind w:left="3402" w:hanging="1134"/>
      </w:pPr>
      <w:r w:rsidRPr="002C5876">
        <w:t>A</w:t>
      </w:r>
      <w:r w:rsidRPr="002C5876">
        <w:rPr>
          <w:vertAlign w:val="subscript"/>
        </w:rPr>
        <w:t>f</w:t>
      </w:r>
      <w:r w:rsidRPr="002C5876">
        <w:tab/>
        <w:t>est la surface frontale du véhicule, en m</w:t>
      </w:r>
      <w:r w:rsidRPr="002C5876">
        <w:rPr>
          <w:vertAlign w:val="superscript"/>
        </w:rPr>
        <w:t>2</w:t>
      </w:r>
      <w:r w:rsidRPr="002C5876">
        <w:t>.</w:t>
      </w:r>
    </w:p>
    <w:p w:rsidR="00E24DB7" w:rsidRPr="002C5876" w:rsidRDefault="00E24DB7" w:rsidP="00E24DB7">
      <w:pPr>
        <w:pStyle w:val="SingleTxtG"/>
        <w:keepNext/>
        <w:ind w:left="2268" w:hanging="1134"/>
        <w:jc w:val="left"/>
      </w:pPr>
      <w:r w:rsidRPr="002C5876">
        <w:t>3.2.11</w:t>
      </w:r>
      <w:r w:rsidRPr="002C5876">
        <w:tab/>
        <w:t>Exactitude de mesure de la force résultante dans la direction-x</w:t>
      </w:r>
    </w:p>
    <w:p w:rsidR="00E24DB7" w:rsidRPr="002C5876" w:rsidRDefault="00E24DB7" w:rsidP="00E24DB7">
      <w:pPr>
        <w:spacing w:after="120"/>
        <w:ind w:left="2268" w:right="1134"/>
        <w:jc w:val="both"/>
      </w:pPr>
      <w:r w:rsidRPr="002C5876">
        <w:t xml:space="preserve">L’inexactitude </w:t>
      </w:r>
      <w:r w:rsidRPr="002C5876">
        <w:rPr>
          <w:bCs/>
          <w:iCs/>
        </w:rPr>
        <w:t xml:space="preserve">de mesure </w:t>
      </w:r>
      <w:r w:rsidRPr="002C5876">
        <w:t xml:space="preserve">de la force résultante </w:t>
      </w:r>
      <w:r w:rsidRPr="002C5876">
        <w:rPr>
          <w:bCs/>
          <w:iCs/>
        </w:rPr>
        <w:t>dans la direction-x</w:t>
      </w:r>
      <w:r w:rsidRPr="002C5876">
        <w:t xml:space="preserve"> ne doit pas dépasser </w:t>
      </w:r>
      <w:r w:rsidRPr="002C5876">
        <w:sym w:font="Symbol" w:char="F0B1"/>
      </w:r>
      <w:r w:rsidRPr="002C5876">
        <w:t xml:space="preserve">5 N. La résolution </w:t>
      </w:r>
      <w:r w:rsidRPr="002C5876">
        <w:rPr>
          <w:bCs/>
          <w:iCs/>
        </w:rPr>
        <w:t xml:space="preserve">de la mesure de la </w:t>
      </w:r>
      <w:r w:rsidRPr="002C5876">
        <w:t xml:space="preserve">force doit demeurer dans une fourchette de </w:t>
      </w:r>
      <w:r w:rsidRPr="002C5876">
        <w:sym w:font="Symbol" w:char="F0B1"/>
      </w:r>
      <w:r w:rsidRPr="002C5876">
        <w:t>3 N.</w:t>
      </w:r>
    </w:p>
    <w:p w:rsidR="00E24DB7" w:rsidRPr="002C5876" w:rsidRDefault="00E24DB7" w:rsidP="00E24DB7">
      <w:pPr>
        <w:pStyle w:val="SingleTxtG"/>
        <w:keepNext/>
        <w:ind w:left="2268" w:hanging="1134"/>
        <w:jc w:val="left"/>
      </w:pPr>
      <w:r w:rsidRPr="002C5876">
        <w:t>3.2.12</w:t>
      </w:r>
      <w:r w:rsidRPr="002C5876">
        <w:tab/>
        <w:t>Précision de la mesure</w:t>
      </w:r>
    </w:p>
    <w:p w:rsidR="00E24DB7" w:rsidRPr="002C5876" w:rsidRDefault="00E24DB7" w:rsidP="00E24DB7">
      <w:pPr>
        <w:pStyle w:val="SingleTxtG"/>
        <w:ind w:left="2268"/>
      </w:pPr>
      <w:r w:rsidRPr="002C5876">
        <w:t xml:space="preserve">La </w:t>
      </w:r>
      <w:r w:rsidRPr="002C5876">
        <w:rPr>
          <w:bCs/>
          <w:iCs/>
        </w:rPr>
        <w:t>précision</w:t>
      </w:r>
      <w:r w:rsidRPr="002C5876">
        <w:t xml:space="preserve"> </w:t>
      </w:r>
      <w:r w:rsidRPr="002C5876">
        <w:rPr>
          <w:bCs/>
          <w:iCs/>
        </w:rPr>
        <w:t xml:space="preserve">de la mesure de la </w:t>
      </w:r>
      <w:r w:rsidRPr="002C5876">
        <w:t>force doit demeurer dans une fourchette de </w:t>
      </w:r>
      <w:r w:rsidRPr="002C5876">
        <w:sym w:font="Symbol" w:char="F0B1"/>
      </w:r>
      <w:r w:rsidRPr="002C5876">
        <w:t>3 N.</w:t>
      </w:r>
    </w:p>
    <w:p w:rsidR="00E24DB7" w:rsidRPr="002C5876" w:rsidRDefault="00E24DB7" w:rsidP="00E24DB7">
      <w:pPr>
        <w:pStyle w:val="SingleTxtG"/>
        <w:keepNext/>
        <w:ind w:left="2268" w:hanging="1134"/>
        <w:jc w:val="left"/>
      </w:pPr>
      <w:r w:rsidRPr="002C5876">
        <w:t>4.</w:t>
      </w:r>
      <w:r w:rsidRPr="002C5876">
        <w:tab/>
        <w:t>Mesure de la résistance à l’avancement sur route</w:t>
      </w:r>
    </w:p>
    <w:p w:rsidR="00E24DB7" w:rsidRPr="002C5876" w:rsidRDefault="00E24DB7" w:rsidP="00E24DB7">
      <w:pPr>
        <w:pStyle w:val="SingleTxtG"/>
        <w:keepNext/>
        <w:ind w:left="2268" w:hanging="1134"/>
        <w:jc w:val="left"/>
      </w:pPr>
      <w:r w:rsidRPr="002C5876">
        <w:t>4.1</w:t>
      </w:r>
      <w:r w:rsidRPr="002C5876">
        <w:tab/>
      </w:r>
      <w:r w:rsidRPr="002C5876">
        <w:rPr>
          <w:bCs/>
          <w:iCs/>
        </w:rPr>
        <w:t>Prescriptions</w:t>
      </w:r>
      <w:r w:rsidRPr="002C5876">
        <w:t xml:space="preserve"> concernant l’essai sur route</w:t>
      </w:r>
    </w:p>
    <w:p w:rsidR="00E24DB7" w:rsidRPr="002C5876" w:rsidRDefault="00E24DB7" w:rsidP="00E24DB7">
      <w:pPr>
        <w:pStyle w:val="SingleTxtG"/>
        <w:keepNext/>
        <w:ind w:left="2268" w:hanging="1134"/>
        <w:jc w:val="left"/>
      </w:pPr>
      <w:r w:rsidRPr="002C5876">
        <w:t>4.1.1</w:t>
      </w:r>
      <w:r w:rsidRPr="002C5876">
        <w:tab/>
        <w:t>Conditions atmosphériques pour l’essai sur route</w:t>
      </w:r>
    </w:p>
    <w:p w:rsidR="00E24DB7" w:rsidRPr="002C5876" w:rsidRDefault="00E24DB7" w:rsidP="00E24DB7">
      <w:pPr>
        <w:pStyle w:val="SingleTxtG"/>
        <w:keepNext/>
        <w:ind w:left="2268" w:hanging="1134"/>
        <w:jc w:val="left"/>
      </w:pPr>
      <w:r w:rsidRPr="002C5876">
        <w:t>4.1.1.1</w:t>
      </w:r>
      <w:r w:rsidRPr="002C5876">
        <w:tab/>
        <w:t>Conditions admissibles relatives au vent</w:t>
      </w:r>
    </w:p>
    <w:p w:rsidR="00E24DB7" w:rsidRPr="002C5876" w:rsidRDefault="00E24DB7" w:rsidP="00E24DB7">
      <w:pPr>
        <w:pStyle w:val="SingleTxtG"/>
        <w:ind w:left="2268"/>
      </w:pPr>
      <w:r w:rsidRPr="002C5876">
        <w:t>Les conditions limites relatives au vent admissibles pour la détermination de la résistance à l’avancement sur route sont indiquées aux paragraphes 4.1.1.1.1 et 4.1.1.1.2 de la présente annexe.</w:t>
      </w:r>
    </w:p>
    <w:p w:rsidR="00E24DB7" w:rsidRPr="002C5876" w:rsidRDefault="00E24DB7" w:rsidP="00E24DB7">
      <w:pPr>
        <w:pStyle w:val="SingleTxtG"/>
        <w:ind w:left="2268"/>
      </w:pPr>
      <w:r w:rsidRPr="002C5876">
        <w:t>Afin de déterminer si le type de mesures anémométriques utilisé convient, la vitesse moyenne arithmétique du vent doit être déterminée par une mesure continue de la vitesse, effectuée avec un instrument météorologique agréé, installé le long de la piste d’essai à l’emplacement et à la hauteur les plus représentatifs des conditions de vent que l’on peut rencontrer.</w:t>
      </w:r>
    </w:p>
    <w:p w:rsidR="00E24DB7" w:rsidRPr="002C5876" w:rsidRDefault="00E24DB7" w:rsidP="00E24DB7">
      <w:pPr>
        <w:pStyle w:val="SingleTxtG"/>
        <w:ind w:left="2268"/>
      </w:pPr>
      <w:r w:rsidRPr="002C5876">
        <w:t>S’il n’est pas possible d’effectuer des essais dans les deux sens opposés sur la même partie de la piste d’essai (par exemple, dans le cas d’une piste d’essai ovale avec sens de circulation unique), la vitesse et la direction du vent sur chaque partie de la piste d’essai doivent être mesurées. Dans ce cas la vitesse moyenne arithmétique du vent mesurée la plus élevée détermine le type de mesures anémométriques à utiliser et la vitesse moyenne arithmétique  du vent mesurée la plus faible détermine les critères en fonction desquels la correction pour le vent peut être omise.</w:t>
      </w:r>
    </w:p>
    <w:p w:rsidR="00E24DB7" w:rsidRPr="002C5876" w:rsidRDefault="00E24DB7" w:rsidP="00E24DB7">
      <w:pPr>
        <w:pStyle w:val="SingleTxtG"/>
        <w:keepNext/>
        <w:ind w:left="2268" w:hanging="1134"/>
        <w:jc w:val="left"/>
      </w:pPr>
      <w:r w:rsidRPr="002C5876">
        <w:t>4.1.1.1.1</w:t>
      </w:r>
      <w:r w:rsidRPr="002C5876">
        <w:tab/>
        <w:t>Conditions relatives au vent admises dans le cas des mesures anémométriques stationnaires</w:t>
      </w:r>
    </w:p>
    <w:p w:rsidR="00E24DB7" w:rsidRPr="002C5876" w:rsidRDefault="00E24DB7" w:rsidP="00E24DB7">
      <w:pPr>
        <w:pStyle w:val="SingleTxtG"/>
        <w:ind w:left="2268"/>
      </w:pPr>
      <w:r w:rsidRPr="002C5876">
        <w:t xml:space="preserve">Les mesures anémométriques stationnaires ne doivent être utilisées que si les vitesses du vent en valeur moyenne sur 5 s sont inférieures à 5 m/s et en pointe </w:t>
      </w:r>
      <w:r w:rsidRPr="002C5876">
        <w:lastRenderedPageBreak/>
        <w:t>à 8 m/s pendant moins de 2 s. En outre, la composante du vecteur moyen de la vitesse du vent transversalement à la piste d’essai doit être de moins de 2 m/s pendant chaque paire de parcours valable. Les paires de parcours qui ne répondent pas aux critères ci-dessus ne sont pas prises en compte dans l’analyse. Tout facteur de correction pour le vent doit être appliqué comme indiqué au paragraphe 4.5.3 de la présente annexe. La</w:t>
      </w:r>
      <w:r w:rsidR="004A278B" w:rsidRPr="002C5876">
        <w:t> </w:t>
      </w:r>
      <w:r w:rsidRPr="002C5876">
        <w:t>correction pour le vent peut être omise lorsque la plus basse valeur moyenne arithmétique de vitesse du vent est inférieure ou égale à 2 m/s.</w:t>
      </w:r>
    </w:p>
    <w:p w:rsidR="00E24DB7" w:rsidRPr="002C5876" w:rsidRDefault="00E24DB7" w:rsidP="00E24DB7">
      <w:pPr>
        <w:pStyle w:val="SingleTxtG"/>
        <w:keepNext/>
        <w:ind w:left="2268" w:hanging="1134"/>
        <w:jc w:val="left"/>
      </w:pPr>
      <w:r w:rsidRPr="002C5876">
        <w:t>4.1.1.1.2</w:t>
      </w:r>
      <w:r w:rsidRPr="002C5876">
        <w:tab/>
        <w:t>Conditions relatives au vent admises dans le cas des mesures anémométriques avec équipement embarqué</w:t>
      </w:r>
    </w:p>
    <w:p w:rsidR="00E24DB7" w:rsidRPr="002C5876" w:rsidRDefault="00E24DB7" w:rsidP="00E24DB7">
      <w:pPr>
        <w:pStyle w:val="SingleTxtG"/>
        <w:ind w:left="2268"/>
      </w:pPr>
      <w:r w:rsidRPr="002C5876">
        <w:t>Pour les essais avec instruments anémométriques embarqués, un dispositif tel qu’indiqué au paragraphe 4.3.2 de la présente annexe doit être utilisé. La</w:t>
      </w:r>
      <w:r w:rsidR="004A278B" w:rsidRPr="002C5876">
        <w:t> </w:t>
      </w:r>
      <w:r w:rsidRPr="002C5876">
        <w:t>vitesse moyenne arithmétique du vent pendant chaque paire de parcours valable sur la piste d’essai doit être inférieure à 7 m/s et les valeurs de pointe inférieures à 10 m/s pendant plus de 2 s. En outre, la composante du vecteur moyen de la vitesse du vent transversalement à la piste d’essai doit être inférieure à 4 m/s pendant chaque paire de parcours valable. Les paires de parcours qui ne répondent pas aux critères ci-dessus ne sont pas prises en compte dans l’analyse.</w:t>
      </w:r>
    </w:p>
    <w:p w:rsidR="00E24DB7" w:rsidRPr="002C5876" w:rsidRDefault="00E24DB7" w:rsidP="00E24DB7">
      <w:pPr>
        <w:pStyle w:val="SingleTxtG"/>
        <w:keepNext/>
        <w:ind w:left="2268" w:hanging="1134"/>
        <w:jc w:val="left"/>
      </w:pPr>
      <w:r w:rsidRPr="002C5876">
        <w:t>4.1.1.2</w:t>
      </w:r>
      <w:r w:rsidRPr="002C5876">
        <w:tab/>
        <w:t>Température atmosphérique</w:t>
      </w:r>
    </w:p>
    <w:p w:rsidR="00E24DB7" w:rsidRPr="002C5876" w:rsidRDefault="00E24DB7" w:rsidP="00E24DB7">
      <w:pPr>
        <w:pStyle w:val="SingleTxtG"/>
        <w:ind w:left="2268"/>
      </w:pPr>
      <w:r w:rsidRPr="002C5876">
        <w:t>La température atmosphérique doit rester comprise dans une plage de 5 °C à 40 °C (inclus).</w:t>
      </w:r>
    </w:p>
    <w:p w:rsidR="00E24DB7" w:rsidRPr="002C5876" w:rsidRDefault="00E24DB7" w:rsidP="00E24DB7">
      <w:pPr>
        <w:pStyle w:val="SingleTxtG"/>
        <w:ind w:left="2268"/>
        <w:rPr>
          <w:spacing w:val="-1"/>
        </w:rPr>
      </w:pPr>
      <w:r w:rsidRPr="002C5876">
        <w:rPr>
          <w:spacing w:val="-1"/>
        </w:rPr>
        <w:t xml:space="preserve">Si la différence entre les températures la plus haute et la plus basse mesurées au cours de l’essai de décélération libre est de plus de 5 °C, la correction de température doit être appliquée séparément pour chaque parcours d’essai avec la moyenne arithmétique des températures ambiantes au cours de ce parcours. </w:t>
      </w:r>
    </w:p>
    <w:p w:rsidR="00E24DB7" w:rsidRPr="002C5876" w:rsidRDefault="00E24DB7" w:rsidP="00E24DB7">
      <w:pPr>
        <w:pStyle w:val="SingleTxtG"/>
        <w:ind w:left="2268"/>
      </w:pPr>
      <w:r w:rsidRPr="002C5876">
        <w:t>Dans ce cas les valeurs des coefficients de résistance à l’avancement sur route f</w:t>
      </w:r>
      <w:r w:rsidRPr="002C5876">
        <w:rPr>
          <w:vertAlign w:val="subscript"/>
        </w:rPr>
        <w:t>0</w:t>
      </w:r>
      <w:r w:rsidRPr="002C5876">
        <w:t>, f</w:t>
      </w:r>
      <w:r w:rsidRPr="002C5876">
        <w:rPr>
          <w:vertAlign w:val="subscript"/>
        </w:rPr>
        <w:t>1</w:t>
      </w:r>
      <w:r w:rsidRPr="002C5876">
        <w:t xml:space="preserve"> et f</w:t>
      </w:r>
      <w:r w:rsidRPr="002C5876">
        <w:rPr>
          <w:vertAlign w:val="subscript"/>
        </w:rPr>
        <w:t>2</w:t>
      </w:r>
      <w:r w:rsidRPr="002C5876">
        <w:t xml:space="preserve"> doivent être déterminés et corrigés pour chaque parcours d’essai. Le jeu final de valeurs f</w:t>
      </w:r>
      <w:r w:rsidRPr="002C5876">
        <w:rPr>
          <w:vertAlign w:val="subscript"/>
        </w:rPr>
        <w:t>0</w:t>
      </w:r>
      <w:r w:rsidRPr="002C5876">
        <w:t>, f</w:t>
      </w:r>
      <w:r w:rsidRPr="002C5876">
        <w:rPr>
          <w:vertAlign w:val="subscript"/>
        </w:rPr>
        <w:t>1</w:t>
      </w:r>
      <w:r w:rsidRPr="002C5876">
        <w:t xml:space="preserve"> et f</w:t>
      </w:r>
      <w:r w:rsidRPr="002C5876">
        <w:rPr>
          <w:vertAlign w:val="subscript"/>
        </w:rPr>
        <w:t>2</w:t>
      </w:r>
      <w:r w:rsidRPr="002C5876">
        <w:t xml:space="preserve"> doit être constitué des valeurs moyennes arithmétiques des coefficients individuellement corrigés f</w:t>
      </w:r>
      <w:r w:rsidRPr="002C5876">
        <w:rPr>
          <w:vertAlign w:val="subscript"/>
        </w:rPr>
        <w:t>0</w:t>
      </w:r>
      <w:r w:rsidRPr="002C5876">
        <w:t>, f</w:t>
      </w:r>
      <w:r w:rsidRPr="002C5876">
        <w:rPr>
          <w:vertAlign w:val="subscript"/>
        </w:rPr>
        <w:t>1</w:t>
      </w:r>
      <w:r w:rsidRPr="002C5876">
        <w:t xml:space="preserve"> et f</w:t>
      </w:r>
      <w:r w:rsidRPr="002C5876">
        <w:rPr>
          <w:vertAlign w:val="subscript"/>
        </w:rPr>
        <w:t>2</w:t>
      </w:r>
      <w:r w:rsidRPr="002C5876">
        <w:t xml:space="preserve"> respectivement. Les Parties contractantes peuvent s’écarter des limites supérieures de </w:t>
      </w:r>
      <w:r w:rsidRPr="002C5876">
        <w:sym w:font="Symbol" w:char="F0B1"/>
      </w:r>
      <w:r w:rsidRPr="002C5876">
        <w:t>5 °C au niveau régional.</w:t>
      </w:r>
    </w:p>
    <w:p w:rsidR="00E24DB7" w:rsidRPr="002C5876" w:rsidRDefault="00E24DB7" w:rsidP="00E24DB7">
      <w:pPr>
        <w:pStyle w:val="SingleTxtG"/>
        <w:ind w:left="2268"/>
      </w:pPr>
      <w:r w:rsidRPr="002C5876">
        <w:t>À sa discrétion, un constructeur peut choisir d’effectuer l’essai de décélération libre entre 1 °C et 5 °C.</w:t>
      </w:r>
    </w:p>
    <w:p w:rsidR="00E24DB7" w:rsidRPr="002C5876" w:rsidRDefault="00E24DB7" w:rsidP="00E24DB7">
      <w:pPr>
        <w:pStyle w:val="SingleTxtG"/>
        <w:keepNext/>
        <w:ind w:left="2268" w:hanging="1134"/>
        <w:jc w:val="left"/>
      </w:pPr>
      <w:r w:rsidRPr="002C5876">
        <w:t>4.1.2</w:t>
      </w:r>
      <w:r w:rsidRPr="002C5876">
        <w:tab/>
        <w:t xml:space="preserve">Piste d’essai </w:t>
      </w:r>
    </w:p>
    <w:p w:rsidR="00E24DB7" w:rsidRPr="002C5876" w:rsidRDefault="00E24DB7" w:rsidP="00E24DB7">
      <w:pPr>
        <w:pStyle w:val="SingleTxtG"/>
        <w:spacing w:line="238" w:lineRule="atLeast"/>
        <w:ind w:left="2268"/>
      </w:pPr>
      <w:r w:rsidRPr="002C5876">
        <w:t xml:space="preserve">Le revêtement de la route doit être plan, lisse, propre, sec et libre d’obstacles ou d’écrans pare-vent qui puissent interférer avec la mesure de la résistance à l’avancement sur route, et de par sa texture et sa composition être représentatif des revêtements actuellement utilisés sur les routes urbaines et grandes routes (à l’exclusion, donc, des revêtements spéciaux pour pistes d’atterrissage). La pente longitudinale de la piste d’essai ne doit pas dépasser </w:t>
      </w:r>
      <w:r w:rsidRPr="002C5876">
        <w:sym w:font="Symbol" w:char="F0B1"/>
      </w:r>
      <w:r w:rsidRPr="002C5876">
        <w:t xml:space="preserve">1 %. La pente locale de la piste entre deux points quelconques distants de 3 m ne doit pas s’écarter de plus de </w:t>
      </w:r>
      <w:r w:rsidRPr="002C5876">
        <w:sym w:font="Symbol" w:char="F0B1"/>
      </w:r>
      <w:r w:rsidRPr="002C5876">
        <w:t>0,5 % de la valeur de la pente longitudinale. S’il n’est pas possible d’effectuer des essais dans les deux sens opposés sur la même partie de la piste d’essai (par exemple, dans le cas d’une piste d’essai ovale avec sens de circulation unique), la somme des pentes longitudinales des segments parallèles de piste d’essai doit être comprise entre 0 et une pente ascendante de 0,1 %. La cambrure maximale de la piste d’essai doit être de 1,5 %.</w:t>
      </w:r>
    </w:p>
    <w:p w:rsidR="00E24DB7" w:rsidRPr="002C5876" w:rsidRDefault="00E24DB7" w:rsidP="00E24DB7">
      <w:pPr>
        <w:pStyle w:val="SingleTxtG"/>
        <w:keepNext/>
        <w:ind w:left="2268" w:hanging="1134"/>
        <w:jc w:val="left"/>
      </w:pPr>
      <w:r w:rsidRPr="002C5876">
        <w:t>4.2</w:t>
      </w:r>
      <w:r w:rsidRPr="002C5876">
        <w:tab/>
        <w:t>Préparation</w:t>
      </w:r>
    </w:p>
    <w:p w:rsidR="00E24DB7" w:rsidRPr="002C5876" w:rsidRDefault="00E24DB7" w:rsidP="00E24DB7">
      <w:pPr>
        <w:pStyle w:val="SingleTxtG"/>
        <w:keepNext/>
        <w:ind w:left="2268" w:hanging="1134"/>
        <w:jc w:val="left"/>
      </w:pPr>
      <w:r w:rsidRPr="002C5876">
        <w:t>4.2.1</w:t>
      </w:r>
      <w:r w:rsidRPr="002C5876">
        <w:tab/>
        <w:t>Véhicule d’essai</w:t>
      </w:r>
    </w:p>
    <w:p w:rsidR="00E24DB7" w:rsidRPr="002C5876" w:rsidRDefault="00E24DB7" w:rsidP="00E24DB7">
      <w:pPr>
        <w:pStyle w:val="SingleTxtG"/>
        <w:ind w:left="2268"/>
      </w:pPr>
      <w:r w:rsidRPr="002C5876">
        <w:t>Chaque véhicule d’essai doit être conforme dans tous ses composants avec la production de série, ou, si le véhicule diffère de celle-ci, une description complète du véhicule doit être enregistrée.</w:t>
      </w:r>
    </w:p>
    <w:p w:rsidR="00E24DB7" w:rsidRPr="002C5876" w:rsidRDefault="00E24DB7" w:rsidP="00E24DB7">
      <w:pPr>
        <w:pStyle w:val="SingleTxtG"/>
        <w:keepNext/>
        <w:ind w:left="2268" w:hanging="1134"/>
        <w:jc w:val="left"/>
      </w:pPr>
      <w:r w:rsidRPr="002C5876">
        <w:lastRenderedPageBreak/>
        <w:t>4.2.1.1</w:t>
      </w:r>
      <w:r w:rsidRPr="002C5876">
        <w:tab/>
        <w:t>Prescriptions pour la sélection du véhicule d’essai</w:t>
      </w:r>
    </w:p>
    <w:p w:rsidR="00E24DB7" w:rsidRPr="002C5876" w:rsidRDefault="00E24DB7" w:rsidP="00E24DB7">
      <w:pPr>
        <w:pStyle w:val="SingleTxtG"/>
        <w:keepNext/>
        <w:ind w:left="2268" w:hanging="1134"/>
        <w:jc w:val="left"/>
      </w:pPr>
      <w:r w:rsidRPr="002C5876">
        <w:t>4.2.1.1.1</w:t>
      </w:r>
      <w:r w:rsidRPr="002C5876">
        <w:tab/>
        <w:t>Si la méthode d’interpolation n’est pas utilisée</w:t>
      </w:r>
    </w:p>
    <w:p w:rsidR="00E24DB7" w:rsidRPr="002C5876" w:rsidRDefault="00E24DB7" w:rsidP="00E24DB7">
      <w:pPr>
        <w:pStyle w:val="SingleTxtG"/>
        <w:ind w:left="2268"/>
      </w:pPr>
      <w:r w:rsidRPr="002C5876">
        <w:rPr>
          <w:spacing w:val="-1"/>
        </w:rPr>
        <w:t>Un véhicule d’essai (véhicule H présentant la combinaison de caractéristiques influant sur la résistance à l’avancement sur route (c’est-à-dire, masse</w:t>
      </w:r>
      <w:r w:rsidRPr="002C5876">
        <w:t>, traînée aérodynamique et résistance au roulement des pneumatiques) qui produit la plus forte demande d’énergie par cycle doit être sélectionné dans la famille (voir par. 5.6 et 5.7 du présent RTM</w:t>
      </w:r>
      <w:r w:rsidR="004E07C9">
        <w:t xml:space="preserve"> ONU</w:t>
      </w:r>
      <w:r w:rsidRPr="002C5876">
        <w:t>).</w:t>
      </w:r>
    </w:p>
    <w:p w:rsidR="00E24DB7" w:rsidRPr="002C5876" w:rsidRDefault="00E24DB7" w:rsidP="00E24DB7">
      <w:pPr>
        <w:pStyle w:val="SingleTxtG"/>
        <w:ind w:left="2268"/>
      </w:pPr>
      <w:r w:rsidRPr="002C5876">
        <w:t>Si l’influence aérodynamique des différentes roues à l’intérieur d’une famille d’interpolation n’est pas connue, la sélection doit être basée sur la traînée aérodynamique prévisible la plus élevée. En principe, la valeur la plus élevée de traînée aérodynamique devrait être obtenue pour les roues ayant a) la plus grande largeur, b) le plus grand diamètre, et c) la structure la plus ajourée (dans cet ordre d’importance).</w:t>
      </w:r>
    </w:p>
    <w:p w:rsidR="00E24DB7" w:rsidRPr="002C5876" w:rsidRDefault="00E24DB7" w:rsidP="00E24DB7">
      <w:pPr>
        <w:pStyle w:val="SingleTxtG"/>
        <w:ind w:left="2268"/>
      </w:pPr>
      <w:r w:rsidRPr="002C5876">
        <w:t>La sélection des roues doit être effectuée en sus de la disposition prescrivant de sélectionner la demande d’énergie la plus élevée sur le cycle.</w:t>
      </w:r>
    </w:p>
    <w:p w:rsidR="00E24DB7" w:rsidRPr="002C5876" w:rsidRDefault="00E24DB7" w:rsidP="00E24DB7">
      <w:pPr>
        <w:pStyle w:val="SingleTxtG"/>
        <w:keepNext/>
        <w:keepLines/>
        <w:ind w:left="2268" w:hanging="1134"/>
        <w:jc w:val="left"/>
      </w:pPr>
      <w:r w:rsidRPr="002C5876">
        <w:t>4.2.1.1.2</w:t>
      </w:r>
      <w:r w:rsidRPr="002C5876">
        <w:tab/>
        <w:t>Si une méthode d’interpolation est utilisée</w:t>
      </w:r>
    </w:p>
    <w:p w:rsidR="00E24DB7" w:rsidRPr="002C5876" w:rsidRDefault="00E24DB7" w:rsidP="00E24DB7">
      <w:pPr>
        <w:pStyle w:val="SingleTxtG"/>
        <w:keepLines/>
        <w:ind w:left="2268"/>
      </w:pPr>
      <w:r w:rsidRPr="002C5876">
        <w:t xml:space="preserve">À la demande du constructeur, une méthode d’interpolation peut être appliquée. </w:t>
      </w:r>
    </w:p>
    <w:p w:rsidR="00E24DB7" w:rsidRPr="002C5876" w:rsidRDefault="00E24DB7" w:rsidP="00E24DB7">
      <w:pPr>
        <w:pStyle w:val="SingleTxtG"/>
        <w:ind w:left="2268"/>
      </w:pPr>
      <w:r w:rsidRPr="002C5876">
        <w:t>Dans ce cas, deux véhicules d’essai doivent être sélectionnés dans la famille conformément aux prescriptions correspondantes.</w:t>
      </w:r>
    </w:p>
    <w:p w:rsidR="00E24DB7" w:rsidRPr="002C5876" w:rsidRDefault="00E24DB7" w:rsidP="00E24DB7">
      <w:pPr>
        <w:pStyle w:val="SingleTxtG"/>
        <w:ind w:left="2268"/>
      </w:pPr>
      <w:r w:rsidRPr="002C5876">
        <w:t>Le véhicule d’essai H doit être le véhicule produisant la demande d’énergie sur le cycle la plus élevée, et de préférence maximale, de cette sélection ; le véhicule d’essai L est le véhicule produisant la demande d’énergie sur le cycle la plus basse, et de préférence minimale, de cette sélection.</w:t>
      </w:r>
    </w:p>
    <w:p w:rsidR="00E24DB7" w:rsidRPr="002C5876" w:rsidRDefault="00E24DB7" w:rsidP="00E24DB7">
      <w:pPr>
        <w:pStyle w:val="SingleTxtG"/>
        <w:ind w:left="2268"/>
      </w:pPr>
      <w:r w:rsidRPr="002C5876">
        <w:t>Tous les éléments de l’équipement optionnel et/ou les formes de carrosserie qui sont exclus lors de l’application de la méthode d’interpolation doivent être identiques pour les deux véhicules d’essai H et L, de telle sorte que ces éléments d’équipements optionnels produisent la combinaison de demande d’énergie sur le cycle la plus élevée du fait de leurs caractéristiques influant sur la résistance à l’avancement sur route (c’est-à-dire, masse, traînée aérodynamique et résistance au roulement des pneumatiques).</w:t>
      </w:r>
    </w:p>
    <w:p w:rsidR="00E24DB7" w:rsidRPr="002C5876" w:rsidRDefault="00E24DB7" w:rsidP="00E24DB7">
      <w:pPr>
        <w:pStyle w:val="SingleTxtG"/>
        <w:ind w:left="2268"/>
      </w:pPr>
      <w:r w:rsidRPr="002C5876">
        <w:t>À titre indicatif, les écarts minimum suivants entre les véhicules</w:t>
      </w:r>
      <w:r w:rsidR="00C574AA">
        <w:t> </w:t>
      </w:r>
      <w:r w:rsidRPr="002C5876">
        <w:t>H et</w:t>
      </w:r>
      <w:r w:rsidR="00C574AA">
        <w:t> </w:t>
      </w:r>
      <w:r w:rsidRPr="002C5876">
        <w:t>L devraient être respectés pour les caractéristiques ayant une influence sur la résistance à l’avancement suivantes :</w:t>
      </w:r>
    </w:p>
    <w:p w:rsidR="00E24DB7" w:rsidRPr="002C5876" w:rsidRDefault="00E24DB7" w:rsidP="00E24DB7">
      <w:pPr>
        <w:pStyle w:val="SingleTxtG"/>
        <w:ind w:left="2268"/>
      </w:pPr>
      <w:r w:rsidRPr="002C5876">
        <w:t>i)</w:t>
      </w:r>
      <w:r w:rsidRPr="002C5876">
        <w:tab/>
        <w:t>Masse d’au moins 30</w:t>
      </w:r>
      <w:r w:rsidR="004A278B" w:rsidRPr="002C5876">
        <w:t> </w:t>
      </w:r>
      <w:r w:rsidRPr="002C5876">
        <w:t>kg ;</w:t>
      </w:r>
    </w:p>
    <w:p w:rsidR="00E24DB7" w:rsidRPr="002C5876" w:rsidRDefault="00E24DB7" w:rsidP="00E24DB7">
      <w:pPr>
        <w:pStyle w:val="SingleTxtG"/>
        <w:ind w:left="2268"/>
      </w:pPr>
      <w:r w:rsidRPr="002C5876">
        <w:t>ii)</w:t>
      </w:r>
      <w:r w:rsidRPr="002C5876">
        <w:tab/>
        <w:t>Résistance au roulement d’au moins 1,0</w:t>
      </w:r>
      <w:r w:rsidR="004A278B" w:rsidRPr="002C5876">
        <w:t> </w:t>
      </w:r>
      <w:r w:rsidRPr="002C5876">
        <w:t>kg par tonne :</w:t>
      </w:r>
    </w:p>
    <w:p w:rsidR="00E24DB7" w:rsidRPr="002C5876" w:rsidRDefault="00E24DB7" w:rsidP="00E24DB7">
      <w:pPr>
        <w:pStyle w:val="SingleTxtG"/>
        <w:ind w:left="2268"/>
      </w:pPr>
      <w:r w:rsidRPr="002C5876">
        <w:t>iii)</w:t>
      </w:r>
      <w:r w:rsidRPr="002C5876">
        <w:tab/>
        <w:t>Traînée aérodynamique (C</w:t>
      </w:r>
      <w:r w:rsidRPr="002C5876">
        <w:rPr>
          <w:vertAlign w:val="subscript"/>
        </w:rPr>
        <w:t>D</w:t>
      </w:r>
      <w:r w:rsidRPr="002C5876">
        <w:t xml:space="preserve"> ×</w:t>
      </w:r>
      <w:r w:rsidR="004A278B" w:rsidRPr="002C5876">
        <w:t> </w:t>
      </w:r>
      <w:r w:rsidRPr="002C5876">
        <w:t>A</w:t>
      </w:r>
      <w:r w:rsidRPr="002C5876">
        <w:rPr>
          <w:vertAlign w:val="subscript"/>
        </w:rPr>
        <w:t>f</w:t>
      </w:r>
      <w:r w:rsidRPr="002C5876">
        <w:t>) d’au moins 0,05</w:t>
      </w:r>
      <w:r w:rsidR="004A278B" w:rsidRPr="002C5876">
        <w:t> </w:t>
      </w:r>
      <w:r w:rsidRPr="002C5876">
        <w:t>m².</w:t>
      </w:r>
    </w:p>
    <w:p w:rsidR="00E24DB7" w:rsidRPr="002C5876" w:rsidRDefault="00E24DB7" w:rsidP="00E24DB7">
      <w:pPr>
        <w:pStyle w:val="SingleTxtG"/>
        <w:keepNext/>
        <w:ind w:left="2268" w:hanging="1134"/>
        <w:jc w:val="left"/>
      </w:pPr>
      <w:r w:rsidRPr="002C5876">
        <w:t>4.2.1.2</w:t>
      </w:r>
      <w:r w:rsidRPr="002C5876">
        <w:tab/>
        <w:t>Prescriptions pour les familles</w:t>
      </w:r>
    </w:p>
    <w:p w:rsidR="00E24DB7" w:rsidRPr="002C5876" w:rsidRDefault="00E24DB7" w:rsidP="00E24DB7">
      <w:pPr>
        <w:pStyle w:val="SingleTxtG"/>
        <w:ind w:left="2268" w:hanging="1134"/>
        <w:jc w:val="left"/>
        <w:rPr>
          <w:rStyle w:val="SingleTxtGChar"/>
        </w:rPr>
      </w:pPr>
      <w:r w:rsidRPr="002C5876">
        <w:t>4.2.1.2.1</w:t>
      </w:r>
      <w:r w:rsidRPr="002C5876">
        <w:tab/>
        <w:t xml:space="preserve">Prescriptions pour l’application de la famille d’interpolation sans utilisation </w:t>
      </w:r>
      <w:r w:rsidRPr="002C5876">
        <w:rPr>
          <w:rStyle w:val="SingleTxtGChar"/>
        </w:rPr>
        <w:t>d’une méthode d’interpolation</w:t>
      </w:r>
    </w:p>
    <w:p w:rsidR="00E24DB7" w:rsidRPr="002C5876" w:rsidRDefault="00E24DB7" w:rsidP="00E24DB7">
      <w:pPr>
        <w:pStyle w:val="SingleTxtG"/>
        <w:ind w:left="2268"/>
      </w:pPr>
      <w:r w:rsidRPr="002C5876">
        <w:t>On trouvera les critères de définition d’une famille d’interpolation au paragraphe</w:t>
      </w:r>
      <w:r w:rsidR="004A278B" w:rsidRPr="002C5876">
        <w:t> </w:t>
      </w:r>
      <w:r w:rsidRPr="002C5876">
        <w:t>5.6 du présent RTM</w:t>
      </w:r>
      <w:r w:rsidR="004A278B" w:rsidRPr="002C5876">
        <w:t xml:space="preserve"> ONU</w:t>
      </w:r>
      <w:r w:rsidRPr="002C5876">
        <w:t>.</w:t>
      </w:r>
    </w:p>
    <w:p w:rsidR="00E24DB7" w:rsidRPr="002C5876" w:rsidRDefault="00E24DB7" w:rsidP="00E24DB7">
      <w:pPr>
        <w:pStyle w:val="SingleTxtG"/>
        <w:keepNext/>
        <w:ind w:left="2268" w:hanging="1134"/>
      </w:pPr>
      <w:r w:rsidRPr="002C5876">
        <w:t>4.2.1.2.2</w:t>
      </w:r>
      <w:r w:rsidRPr="002C5876">
        <w:tab/>
        <w:t>Les prescriptions pour l’application de la famille d’interpolation avec utilisation d’une méthode d’interpolation sont les suivantes :</w:t>
      </w:r>
    </w:p>
    <w:p w:rsidR="00E24DB7" w:rsidRPr="002C5876" w:rsidRDefault="00E24DB7" w:rsidP="00E24DB7">
      <w:pPr>
        <w:pStyle w:val="SingleTxtG"/>
        <w:ind w:left="2835" w:hanging="567"/>
      </w:pPr>
      <w:r w:rsidRPr="002C5876">
        <w:t>a)</w:t>
      </w:r>
      <w:r w:rsidRPr="002C5876">
        <w:tab/>
        <w:t>Satisfaire aux critères de définition d’une famille d’interpolation énoncés au paragraphe 5.6 du présent RTM ONU ;</w:t>
      </w:r>
    </w:p>
    <w:p w:rsidR="00E24DB7" w:rsidRPr="002C5876" w:rsidRDefault="00E24DB7" w:rsidP="00E24DB7">
      <w:pPr>
        <w:pStyle w:val="SingleTxtG"/>
        <w:ind w:left="2835" w:hanging="567"/>
      </w:pPr>
      <w:r w:rsidRPr="002C5876">
        <w:t>b)</w:t>
      </w:r>
      <w:r w:rsidRPr="002C5876">
        <w:tab/>
        <w:t>Satisfaire aux prescriptions du paragraphe</w:t>
      </w:r>
      <w:r w:rsidR="004A278B" w:rsidRPr="002C5876">
        <w:t> </w:t>
      </w:r>
      <w:r w:rsidRPr="002C5876">
        <w:t>2.3.1 et 2.3.2 de l’annexe 6 ;</w:t>
      </w:r>
    </w:p>
    <w:p w:rsidR="00E24DB7" w:rsidRPr="002C5876" w:rsidRDefault="00E24DB7" w:rsidP="00E24DB7">
      <w:pPr>
        <w:pStyle w:val="SingleTxtG"/>
        <w:ind w:left="2835" w:hanging="567"/>
      </w:pPr>
      <w:r w:rsidRPr="002C5876">
        <w:t>c)</w:t>
      </w:r>
      <w:r w:rsidRPr="002C5876">
        <w:tab/>
        <w:t>Effectuer les calculs visés au paragraphe 3.2.3.2 de l’annexe 7.</w:t>
      </w:r>
    </w:p>
    <w:p w:rsidR="00E24DB7" w:rsidRPr="002C5876" w:rsidRDefault="00E24DB7" w:rsidP="00E24DB7">
      <w:pPr>
        <w:pStyle w:val="SingleTxtG"/>
        <w:ind w:left="2268" w:hanging="1134"/>
        <w:jc w:val="left"/>
      </w:pPr>
      <w:r w:rsidRPr="002C5876">
        <w:lastRenderedPageBreak/>
        <w:t>4.2.1.2.3</w:t>
      </w:r>
      <w:r w:rsidRPr="002C5876">
        <w:tab/>
        <w:t>Prescriptions pour l’application de la famille de véhicules du point de vue de la résistance à l’avancement sur route</w:t>
      </w:r>
    </w:p>
    <w:p w:rsidR="00E24DB7" w:rsidRPr="002C5876" w:rsidRDefault="00E24DB7" w:rsidP="00E24DB7">
      <w:pPr>
        <w:pStyle w:val="SingleTxtG"/>
        <w:ind w:left="2268" w:hanging="1134"/>
      </w:pPr>
      <w:r w:rsidRPr="002C5876">
        <w:t>4.2.1.2.3.1</w:t>
      </w:r>
      <w:r w:rsidRPr="002C5876">
        <w:tab/>
        <w:t>À la demande du constructeur et à condition que soient remplis les critères du paragraphe 5.7 du présent RTM</w:t>
      </w:r>
      <w:r w:rsidR="004A278B" w:rsidRPr="002C5876">
        <w:t xml:space="preserve"> ONU</w:t>
      </w:r>
      <w:r w:rsidRPr="002C5876">
        <w:t>, les valeurs de résistance à l’avancement sur route pour les véhicules H et L d’une famille d’interpolation doivent être calculées.</w:t>
      </w:r>
    </w:p>
    <w:p w:rsidR="00E24DB7" w:rsidRPr="002C5876" w:rsidRDefault="00E24DB7" w:rsidP="00E24DB7">
      <w:pPr>
        <w:pStyle w:val="SingleTxtG"/>
        <w:ind w:left="2268" w:hanging="1134"/>
      </w:pPr>
      <w:r w:rsidRPr="002C5876">
        <w:t>4.2.1.2.3.2</w:t>
      </w:r>
      <w:r w:rsidRPr="002C5876">
        <w:tab/>
        <w:t>Aux fins de l’application de la famille de résistance à l’avancement sur route, les véhicules d’essai H et L définis au paragraphe 4.2.1.1.2 de la présente annexe doivent être désignés H</w:t>
      </w:r>
      <w:r w:rsidRPr="002C5876">
        <w:rPr>
          <w:vertAlign w:val="subscript"/>
        </w:rPr>
        <w:t>R</w:t>
      </w:r>
      <w:r w:rsidRPr="002C5876">
        <w:t xml:space="preserve"> et L</w:t>
      </w:r>
      <w:r w:rsidRPr="002C5876">
        <w:rPr>
          <w:vertAlign w:val="subscript"/>
        </w:rPr>
        <w:t>R</w:t>
      </w:r>
      <w:r w:rsidRPr="002C5876">
        <w:t>.</w:t>
      </w:r>
    </w:p>
    <w:p w:rsidR="00E24DB7" w:rsidRPr="002C5876" w:rsidRDefault="00E24DB7" w:rsidP="00E24DB7">
      <w:pPr>
        <w:pStyle w:val="SingleTxtG"/>
        <w:ind w:left="2268" w:hanging="1134"/>
      </w:pPr>
      <w:r w:rsidRPr="002C5876">
        <w:t>4.2.1.2.3.3</w:t>
      </w:r>
      <w:r w:rsidRPr="002C5876">
        <w:tab/>
        <w:t>Outre les prescriptions relatives à une famille d’interpolation visées aux paragraphes 2.3.1 et 2.3.2 de l’annexe 6, la différence de demande d’énergie sur le cycle entre le véhicule H</w:t>
      </w:r>
      <w:r w:rsidRPr="002C5876">
        <w:rPr>
          <w:vertAlign w:val="subscript"/>
        </w:rPr>
        <w:t xml:space="preserve">R </w:t>
      </w:r>
      <w:r w:rsidRPr="002C5876">
        <w:t>et le véhicule L</w:t>
      </w:r>
      <w:r w:rsidRPr="002C5876">
        <w:rPr>
          <w:vertAlign w:val="subscript"/>
        </w:rPr>
        <w:t xml:space="preserve">R </w:t>
      </w:r>
      <w:r w:rsidRPr="002C5876">
        <w:t>de la famille de résistance à l’avancement sur route doit être d’au moins 4 % et d’au plus 35 %, déterminée sur la base du véhicule H</w:t>
      </w:r>
      <w:r w:rsidRPr="002C5876">
        <w:rPr>
          <w:vertAlign w:val="subscript"/>
        </w:rPr>
        <w:t xml:space="preserve">R </w:t>
      </w:r>
      <w:r w:rsidRPr="002C5876">
        <w:t>au cours d’un cycle complet WLTC pour véhicule de la classe 3.</w:t>
      </w:r>
    </w:p>
    <w:p w:rsidR="00E24DB7" w:rsidRPr="002C5876" w:rsidRDefault="00E24DB7" w:rsidP="00E24DB7">
      <w:pPr>
        <w:pStyle w:val="SingleTxtG"/>
        <w:ind w:left="2268"/>
      </w:pPr>
      <w:r w:rsidRPr="002C5876">
        <w:t>Si plusieurs transmissions sont incluses dans la famille de résistance à l’avancement sur route, une transmission présentant les pertes de puissance les plus élevées doit être utilisée pour la détermination de la résistance à l’avancement sur route.</w:t>
      </w:r>
    </w:p>
    <w:p w:rsidR="00E24DB7" w:rsidRPr="002C5876" w:rsidRDefault="00E24DB7" w:rsidP="00E24DB7">
      <w:pPr>
        <w:pStyle w:val="SingleTxtG"/>
        <w:ind w:left="2268" w:hanging="1134"/>
      </w:pPr>
      <w:r w:rsidRPr="002C5876">
        <w:t>4.2.1.2.3.4</w:t>
      </w:r>
      <w:r w:rsidRPr="002C5876">
        <w:tab/>
        <w:t>Si l’écart de résistance à l’avancement sur route de l’équipement optionnel provoquant la différence de frottement est déterminé conformément au paragraphe 6.8 de la présente annexe, une nouvelle famille de résistance à l’avancement sur route doit être calculée en y intégrant l’écart de résistance à l’avancement sur route pour le véhicule L et le véhicule H de cette nouvelle famille :</w:t>
      </w:r>
    </w:p>
    <w:p w:rsidR="00E24DB7" w:rsidRPr="00D53F39" w:rsidRDefault="00731CA6" w:rsidP="00E24DB7">
      <w:pPr>
        <w:pStyle w:val="SingleTxtG"/>
        <w:ind w:left="2268"/>
        <w:jc w:val="center"/>
        <w:rPr>
          <w:lang w:val="es-ES"/>
        </w:rPr>
      </w:pPr>
      <m:oMathPara>
        <m:oMath>
          <m:sSub>
            <m:sSubPr>
              <m:ctrlPr>
                <w:rPr>
                  <w:rFonts w:ascii="Cambria Math" w:hAnsi="Cambria Math" w:cstheme="majorBidi"/>
                </w:rPr>
              </m:ctrlPr>
            </m:sSubPr>
            <m:e>
              <m:r>
                <m:rPr>
                  <m:nor/>
                </m:rPr>
                <w:rPr>
                  <w:rFonts w:asciiTheme="majorBidi" w:hAnsiTheme="majorBidi" w:cstheme="majorBidi"/>
                  <w:lang w:val="es-ES"/>
                </w:rPr>
                <m:t>f</m:t>
              </m:r>
            </m:e>
            <m:sub>
              <m:r>
                <m:rPr>
                  <m:nor/>
                </m:rPr>
                <w:rPr>
                  <w:rFonts w:asciiTheme="majorBidi" w:hAnsiTheme="majorBidi" w:cstheme="majorBidi"/>
                  <w:lang w:val="es-ES"/>
                </w:rPr>
                <m:t>0,N</m:t>
              </m:r>
            </m:sub>
          </m:sSub>
          <m:r>
            <m:rPr>
              <m:nor/>
            </m:rPr>
            <w:rPr>
              <w:rFonts w:ascii="Cambria Math" w:hAnsiTheme="majorBidi" w:cstheme="majorBidi"/>
              <w:lang w:val="es-ES"/>
            </w:rPr>
            <m:t xml:space="preserve"> </m:t>
          </m:r>
          <m:r>
            <m:rPr>
              <m:nor/>
            </m:rPr>
            <w:rPr>
              <w:rFonts w:asciiTheme="majorBidi" w:hAnsiTheme="majorBidi" w:cstheme="majorBidi"/>
              <w:lang w:val="es-ES"/>
            </w:rPr>
            <m:t>=</m:t>
          </m:r>
          <m:sSub>
            <m:sSubPr>
              <m:ctrlPr>
                <w:rPr>
                  <w:rFonts w:ascii="Cambria Math" w:hAnsi="Cambria Math" w:cstheme="majorBidi"/>
                </w:rPr>
              </m:ctrlPr>
            </m:sSubPr>
            <m:e>
              <m:r>
                <m:rPr>
                  <m:nor/>
                </m:rPr>
                <w:rPr>
                  <w:rFonts w:ascii="Cambria Math" w:hAnsiTheme="majorBidi" w:cstheme="majorBidi"/>
                  <w:lang w:val="es-ES"/>
                </w:rPr>
                <m:t xml:space="preserve"> </m:t>
              </m:r>
              <m:r>
                <m:rPr>
                  <m:nor/>
                </m:rPr>
                <w:rPr>
                  <w:rFonts w:asciiTheme="majorBidi" w:hAnsiTheme="majorBidi" w:cstheme="majorBidi"/>
                  <w:lang w:val="es-ES"/>
                </w:rPr>
                <m:t>f</m:t>
              </m:r>
            </m:e>
            <m:sub>
              <m:r>
                <m:rPr>
                  <m:nor/>
                </m:rPr>
                <w:rPr>
                  <w:rFonts w:asciiTheme="majorBidi" w:hAnsiTheme="majorBidi" w:cstheme="majorBidi"/>
                  <w:lang w:val="es-ES"/>
                </w:rPr>
                <m:t>0,R</m:t>
              </m:r>
            </m:sub>
          </m:sSub>
          <m:r>
            <m:rPr>
              <m:nor/>
            </m:rPr>
            <w:rPr>
              <w:rFonts w:ascii="Cambria Math" w:hAnsiTheme="majorBidi" w:cstheme="majorBidi"/>
              <w:lang w:val="es-ES"/>
            </w:rPr>
            <m:t xml:space="preserve"> </m:t>
          </m:r>
          <m:r>
            <m:rPr>
              <m:nor/>
            </m:rPr>
            <w:rPr>
              <w:rFonts w:asciiTheme="majorBidi" w:hAnsiTheme="majorBidi" w:cstheme="majorBidi"/>
              <w:lang w:val="es-ES"/>
            </w:rPr>
            <m:t>+</m:t>
          </m:r>
          <m:r>
            <m:rPr>
              <m:nor/>
            </m:rPr>
            <w:rPr>
              <w:rFonts w:ascii="Cambria Math" w:hAnsiTheme="majorBidi" w:cstheme="majorBidi"/>
              <w:lang w:val="es-ES"/>
            </w:rPr>
            <m:t xml:space="preserve"> </m:t>
          </m:r>
          <m:sSub>
            <m:sSubPr>
              <m:ctrlPr>
                <w:rPr>
                  <w:rFonts w:ascii="Cambria Math" w:hAnsi="Cambria Math" w:cstheme="majorBidi"/>
                </w:rPr>
              </m:ctrlPr>
            </m:sSubPr>
            <m:e>
              <m:r>
                <m:rPr>
                  <m:nor/>
                </m:rPr>
                <w:rPr>
                  <w:rFonts w:asciiTheme="majorBidi" w:hAnsiTheme="majorBidi" w:cstheme="majorBidi"/>
                  <w:lang w:val="es-ES"/>
                </w:rPr>
                <m:t>f</m:t>
              </m:r>
            </m:e>
            <m:sub>
              <m:r>
                <m:rPr>
                  <m:nor/>
                </m:rPr>
                <w:rPr>
                  <w:rFonts w:asciiTheme="majorBidi" w:hAnsiTheme="majorBidi" w:cstheme="majorBidi"/>
                  <w:lang w:val="es-ES"/>
                </w:rPr>
                <m:t>0,Delta</m:t>
              </m:r>
            </m:sub>
          </m:sSub>
        </m:oMath>
      </m:oMathPara>
    </w:p>
    <w:p w:rsidR="00E24DB7" w:rsidRPr="00D53F39" w:rsidRDefault="00731CA6" w:rsidP="00E24DB7">
      <w:pPr>
        <w:pStyle w:val="SingleTxtG"/>
        <w:ind w:left="2268"/>
        <w:jc w:val="center"/>
        <w:rPr>
          <w:lang w:val="es-ES"/>
        </w:rPr>
      </w:pPr>
      <m:oMathPara>
        <m:oMath>
          <m:sSub>
            <m:sSubPr>
              <m:ctrlPr>
                <w:rPr>
                  <w:rFonts w:ascii="Cambria Math" w:hAnsi="Cambria Math" w:cstheme="majorBidi"/>
                </w:rPr>
              </m:ctrlPr>
            </m:sSubPr>
            <m:e>
              <m:r>
                <m:rPr>
                  <m:nor/>
                </m:rPr>
                <w:rPr>
                  <w:rFonts w:asciiTheme="majorBidi" w:hAnsiTheme="majorBidi" w:cstheme="majorBidi"/>
                  <w:lang w:val="es-ES"/>
                </w:rPr>
                <m:t>f</m:t>
              </m:r>
            </m:e>
            <m:sub>
              <m:r>
                <m:rPr>
                  <m:nor/>
                </m:rPr>
                <w:rPr>
                  <w:rFonts w:asciiTheme="majorBidi" w:hAnsiTheme="majorBidi" w:cstheme="majorBidi"/>
                  <w:lang w:val="es-ES"/>
                </w:rPr>
                <m:t>1,N</m:t>
              </m:r>
              <m:r>
                <m:rPr>
                  <m:nor/>
                </m:rPr>
                <w:rPr>
                  <w:rFonts w:ascii="Cambria Math" w:hAnsiTheme="majorBidi" w:cstheme="majorBidi"/>
                  <w:lang w:val="es-ES"/>
                </w:rPr>
                <m:t xml:space="preserve"> </m:t>
              </m:r>
            </m:sub>
          </m:sSub>
          <m:r>
            <m:rPr>
              <m:nor/>
            </m:rPr>
            <w:rPr>
              <w:rFonts w:asciiTheme="majorBidi" w:hAnsiTheme="majorBidi" w:cstheme="majorBidi"/>
              <w:lang w:val="es-ES"/>
            </w:rPr>
            <m:t>=</m:t>
          </m:r>
          <m:r>
            <m:rPr>
              <m:nor/>
            </m:rPr>
            <w:rPr>
              <w:rFonts w:ascii="Cambria Math" w:hAnsiTheme="majorBidi" w:cstheme="majorBidi"/>
              <w:lang w:val="es-ES"/>
            </w:rPr>
            <m:t xml:space="preserve"> </m:t>
          </m:r>
          <m:sSub>
            <m:sSubPr>
              <m:ctrlPr>
                <w:rPr>
                  <w:rFonts w:ascii="Cambria Math" w:hAnsi="Cambria Math" w:cstheme="majorBidi"/>
                </w:rPr>
              </m:ctrlPr>
            </m:sSubPr>
            <m:e>
              <m:r>
                <m:rPr>
                  <m:nor/>
                </m:rPr>
                <w:rPr>
                  <w:rFonts w:asciiTheme="majorBidi" w:hAnsiTheme="majorBidi" w:cstheme="majorBidi"/>
                  <w:lang w:val="es-ES"/>
                </w:rPr>
                <m:t>f</m:t>
              </m:r>
            </m:e>
            <m:sub>
              <m:r>
                <m:rPr>
                  <m:nor/>
                </m:rPr>
                <w:rPr>
                  <w:rFonts w:asciiTheme="majorBidi" w:hAnsiTheme="majorBidi" w:cstheme="majorBidi"/>
                  <w:lang w:val="es-ES"/>
                </w:rPr>
                <m:t>1,R</m:t>
              </m:r>
            </m:sub>
          </m:sSub>
          <m:r>
            <m:rPr>
              <m:nor/>
            </m:rPr>
            <w:rPr>
              <w:rFonts w:ascii="Cambria Math" w:hAnsiTheme="majorBidi" w:cstheme="majorBidi"/>
              <w:lang w:val="es-ES"/>
            </w:rPr>
            <m:t xml:space="preserve"> </m:t>
          </m:r>
          <m:r>
            <m:rPr>
              <m:nor/>
            </m:rPr>
            <w:rPr>
              <w:rFonts w:asciiTheme="majorBidi" w:hAnsiTheme="majorBidi" w:cstheme="majorBidi"/>
              <w:lang w:val="es-ES"/>
            </w:rPr>
            <m:t>+</m:t>
          </m:r>
          <m:sSub>
            <m:sSubPr>
              <m:ctrlPr>
                <w:rPr>
                  <w:rFonts w:ascii="Cambria Math" w:hAnsi="Cambria Math" w:cstheme="majorBidi"/>
                </w:rPr>
              </m:ctrlPr>
            </m:sSubPr>
            <m:e>
              <m:r>
                <m:rPr>
                  <m:nor/>
                </m:rPr>
                <w:rPr>
                  <w:rFonts w:ascii="Cambria Math" w:hAnsiTheme="majorBidi" w:cstheme="majorBidi"/>
                  <w:lang w:val="es-ES"/>
                </w:rPr>
                <m:t xml:space="preserve"> </m:t>
              </m:r>
              <m:r>
                <m:rPr>
                  <m:nor/>
                </m:rPr>
                <w:rPr>
                  <w:rFonts w:asciiTheme="majorBidi" w:hAnsiTheme="majorBidi" w:cstheme="majorBidi"/>
                  <w:lang w:val="es-ES"/>
                </w:rPr>
                <m:t>f</m:t>
              </m:r>
            </m:e>
            <m:sub>
              <m:r>
                <m:rPr>
                  <m:nor/>
                </m:rPr>
                <w:rPr>
                  <w:rFonts w:asciiTheme="majorBidi" w:hAnsiTheme="majorBidi" w:cstheme="majorBidi"/>
                  <w:lang w:val="es-ES"/>
                </w:rPr>
                <m:t>1,Delta</m:t>
              </m:r>
            </m:sub>
          </m:sSub>
        </m:oMath>
      </m:oMathPara>
    </w:p>
    <w:p w:rsidR="00E24DB7" w:rsidRPr="00D53F39" w:rsidRDefault="00731CA6" w:rsidP="00E24DB7">
      <w:pPr>
        <w:pStyle w:val="SingleTxtG"/>
        <w:spacing w:after="240"/>
        <w:ind w:left="2268"/>
        <w:jc w:val="center"/>
        <w:rPr>
          <w:lang w:val="es-ES"/>
        </w:rPr>
      </w:pPr>
      <m:oMathPara>
        <m:oMath>
          <m:sSub>
            <m:sSubPr>
              <m:ctrlPr>
                <w:rPr>
                  <w:rFonts w:ascii="Cambria Math" w:hAnsi="Cambria Math" w:cstheme="majorBidi"/>
                </w:rPr>
              </m:ctrlPr>
            </m:sSubPr>
            <m:e>
              <m:r>
                <m:rPr>
                  <m:nor/>
                </m:rPr>
                <w:rPr>
                  <w:rFonts w:asciiTheme="majorBidi" w:hAnsiTheme="majorBidi" w:cstheme="majorBidi"/>
                  <w:lang w:val="es-ES"/>
                </w:rPr>
                <m:t>f</m:t>
              </m:r>
            </m:e>
            <m:sub>
              <m:r>
                <m:rPr>
                  <m:nor/>
                </m:rPr>
                <w:rPr>
                  <w:rFonts w:asciiTheme="majorBidi" w:hAnsiTheme="majorBidi" w:cstheme="majorBidi"/>
                  <w:lang w:val="es-ES"/>
                </w:rPr>
                <m:t>2,N</m:t>
              </m:r>
              <m:r>
                <m:rPr>
                  <m:nor/>
                </m:rPr>
                <w:rPr>
                  <w:rFonts w:ascii="Cambria Math" w:hAnsiTheme="majorBidi" w:cstheme="majorBidi"/>
                  <w:lang w:val="es-ES"/>
                </w:rPr>
                <m:t xml:space="preserve"> </m:t>
              </m:r>
            </m:sub>
          </m:sSub>
          <m:r>
            <m:rPr>
              <m:nor/>
            </m:rPr>
            <w:rPr>
              <w:rFonts w:asciiTheme="majorBidi" w:hAnsiTheme="majorBidi" w:cstheme="majorBidi"/>
              <w:lang w:val="es-ES"/>
            </w:rPr>
            <m:t>=</m:t>
          </m:r>
          <m:r>
            <m:rPr>
              <m:nor/>
            </m:rPr>
            <w:rPr>
              <w:rFonts w:ascii="Cambria Math" w:hAnsiTheme="majorBidi" w:cstheme="majorBidi"/>
              <w:lang w:val="es-ES"/>
            </w:rPr>
            <m:t xml:space="preserve"> </m:t>
          </m:r>
          <m:sSub>
            <m:sSubPr>
              <m:ctrlPr>
                <w:rPr>
                  <w:rFonts w:ascii="Cambria Math" w:hAnsi="Cambria Math" w:cstheme="majorBidi"/>
                </w:rPr>
              </m:ctrlPr>
            </m:sSubPr>
            <m:e>
              <m:r>
                <m:rPr>
                  <m:nor/>
                </m:rPr>
                <w:rPr>
                  <w:rFonts w:asciiTheme="majorBidi" w:hAnsiTheme="majorBidi" w:cstheme="majorBidi"/>
                  <w:lang w:val="es-ES"/>
                </w:rPr>
                <m:t>f</m:t>
              </m:r>
            </m:e>
            <m:sub>
              <m:r>
                <m:rPr>
                  <m:nor/>
                </m:rPr>
                <w:rPr>
                  <w:rFonts w:asciiTheme="majorBidi" w:hAnsiTheme="majorBidi" w:cstheme="majorBidi"/>
                  <w:lang w:val="es-ES"/>
                </w:rPr>
                <m:t>2,R</m:t>
              </m:r>
            </m:sub>
          </m:sSub>
          <m:r>
            <m:rPr>
              <m:nor/>
            </m:rPr>
            <w:rPr>
              <w:rFonts w:ascii="Cambria Math" w:hAnsiTheme="majorBidi" w:cstheme="majorBidi"/>
              <w:lang w:val="es-ES"/>
            </w:rPr>
            <m:t xml:space="preserve"> </m:t>
          </m:r>
          <m:r>
            <m:rPr>
              <m:nor/>
            </m:rPr>
            <w:rPr>
              <w:rFonts w:asciiTheme="majorBidi" w:hAnsiTheme="majorBidi" w:cstheme="majorBidi"/>
              <w:lang w:val="es-ES"/>
            </w:rPr>
            <m:t>+</m:t>
          </m:r>
          <m:sSub>
            <m:sSubPr>
              <m:ctrlPr>
                <w:rPr>
                  <w:rFonts w:ascii="Cambria Math" w:hAnsi="Cambria Math" w:cstheme="majorBidi"/>
                </w:rPr>
              </m:ctrlPr>
            </m:sSubPr>
            <m:e>
              <m:r>
                <m:rPr>
                  <m:nor/>
                </m:rPr>
                <w:rPr>
                  <w:rFonts w:ascii="Cambria Math" w:hAnsiTheme="majorBidi" w:cstheme="majorBidi"/>
                  <w:lang w:val="es-ES"/>
                </w:rPr>
                <m:t xml:space="preserve"> </m:t>
              </m:r>
              <m:r>
                <m:rPr>
                  <m:nor/>
                </m:rPr>
                <w:rPr>
                  <w:rFonts w:asciiTheme="majorBidi" w:hAnsiTheme="majorBidi" w:cstheme="majorBidi"/>
                  <w:lang w:val="es-ES"/>
                </w:rPr>
                <m:t>f</m:t>
              </m:r>
            </m:e>
            <m:sub>
              <m:r>
                <m:rPr>
                  <m:nor/>
                </m:rPr>
                <w:rPr>
                  <w:rFonts w:asciiTheme="majorBidi" w:hAnsiTheme="majorBidi" w:cstheme="majorBidi"/>
                  <w:lang w:val="es-ES"/>
                </w:rPr>
                <m:t>2,Delta</m:t>
              </m:r>
            </m:sub>
          </m:sSub>
        </m:oMath>
      </m:oMathPara>
    </w:p>
    <w:p w:rsidR="00E24DB7" w:rsidRPr="002C5876" w:rsidRDefault="00E24DB7" w:rsidP="00E24DB7">
      <w:pPr>
        <w:pStyle w:val="SingleTxtG"/>
        <w:ind w:left="2268"/>
      </w:pPr>
      <w:r w:rsidRPr="002C5876">
        <w:t>où :</w:t>
      </w:r>
    </w:p>
    <w:p w:rsidR="00E24DB7" w:rsidRPr="002C5876" w:rsidRDefault="00E24DB7" w:rsidP="00E24DB7">
      <w:pPr>
        <w:pStyle w:val="SingleTxtG"/>
        <w:ind w:left="3402" w:hanging="1134"/>
      </w:pPr>
      <w:r w:rsidRPr="002C5876">
        <w:t xml:space="preserve">N </w:t>
      </w:r>
      <w:r w:rsidRPr="002C5876">
        <w:tab/>
        <w:t>désigne les coefficients de résistance à l’avancement sur route de la nouvelle famille de résistance à l’avancement ;</w:t>
      </w:r>
    </w:p>
    <w:p w:rsidR="00E24DB7" w:rsidRPr="002C5876" w:rsidRDefault="00E24DB7" w:rsidP="00E24DB7">
      <w:pPr>
        <w:pStyle w:val="SingleTxtG"/>
        <w:ind w:left="3402" w:hanging="1134"/>
      </w:pPr>
      <w:r w:rsidRPr="002C5876">
        <w:t xml:space="preserve">R </w:t>
      </w:r>
      <w:r w:rsidRPr="002C5876">
        <w:tab/>
        <w:t>désigne les coefficients de résistance à l’avancement sur route de la famille de résistance à l’avancement de référence ;</w:t>
      </w:r>
    </w:p>
    <w:p w:rsidR="00E24DB7" w:rsidRPr="002C5876" w:rsidRDefault="00E24DB7" w:rsidP="00E24DB7">
      <w:pPr>
        <w:pStyle w:val="SingleTxtG"/>
        <w:ind w:left="3402" w:hanging="1134"/>
      </w:pPr>
      <w:r w:rsidRPr="002C5876">
        <w:t>Delta</w:t>
      </w:r>
      <w:r w:rsidRPr="002C5876">
        <w:tab/>
        <w:t>désigne les coefficients delta de résistance à l’avancement sur route tels que déterminés conformément au paragraphe 6.8.1 de la présente annexe.</w:t>
      </w:r>
    </w:p>
    <w:p w:rsidR="00E24DB7" w:rsidRPr="002C5876" w:rsidRDefault="00E24DB7" w:rsidP="00E24DB7">
      <w:pPr>
        <w:pStyle w:val="SingleTxtG"/>
        <w:keepNext/>
        <w:ind w:left="2268" w:hanging="1134"/>
        <w:jc w:val="left"/>
      </w:pPr>
      <w:r w:rsidRPr="002C5876">
        <w:t>4.2.1.3</w:t>
      </w:r>
      <w:r w:rsidRPr="002C5876">
        <w:tab/>
      </w:r>
      <w:r w:rsidRPr="002C5876">
        <w:tab/>
        <w:t>Combinaisons admissibles de prescriptions relatives à la sélection des véhicules d’essai et aux familles</w:t>
      </w:r>
    </w:p>
    <w:p w:rsidR="00E24DB7" w:rsidRPr="002C5876" w:rsidRDefault="00E24DB7" w:rsidP="00E24DB7">
      <w:pPr>
        <w:pStyle w:val="SingleTxtG"/>
        <w:ind w:left="2268"/>
        <w:jc w:val="left"/>
      </w:pPr>
      <w:r w:rsidRPr="002C5876">
        <w:t>Le tableau A4/1 décrit les combinaisons admissibles de prescriptions relatives à la sélection de véhicules d’essai et aux familles énoncées aux paragraphes 4.2.1.1 et 4.2.1.2 de la présente annexe.</w:t>
      </w:r>
    </w:p>
    <w:p w:rsidR="00E24DB7" w:rsidRPr="002C5876" w:rsidRDefault="00E24DB7" w:rsidP="00E24DB7">
      <w:pPr>
        <w:pStyle w:val="H23G"/>
        <w:keepNext w:val="0"/>
        <w:keepLines w:val="0"/>
        <w:ind w:left="0" w:firstLine="0"/>
      </w:pPr>
      <w:r w:rsidRPr="002C5876">
        <w:rPr>
          <w:lang w:eastAsia="ru-RU"/>
        </w:rPr>
        <w:br w:type="page"/>
      </w:r>
      <w:r w:rsidRPr="002C5876">
        <w:rPr>
          <w:b w:val="0"/>
        </w:rPr>
        <w:lastRenderedPageBreak/>
        <w:t>Tableau A4/1</w:t>
      </w:r>
      <w:r w:rsidRPr="002C5876">
        <w:t xml:space="preserve"> </w:t>
      </w:r>
      <w:r w:rsidRPr="002C5876">
        <w:br/>
        <w:t xml:space="preserve">Combinaisons admissibles de prescriptions relatives à la sélection des véhicules d’essai </w:t>
      </w:r>
      <w:r w:rsidRPr="002C5876">
        <w:br/>
        <w:t>et aux familles</w:t>
      </w:r>
    </w:p>
    <w:tbl>
      <w:tblPr>
        <w:tblW w:w="9639" w:type="dxa"/>
        <w:jc w:val="center"/>
        <w:tblLayout w:type="fixed"/>
        <w:tblCellMar>
          <w:left w:w="0" w:type="dxa"/>
          <w:right w:w="0" w:type="dxa"/>
        </w:tblCellMar>
        <w:tblLook w:val="04A0" w:firstRow="1" w:lastRow="0" w:firstColumn="1" w:lastColumn="0" w:noHBand="0" w:noVBand="1"/>
      </w:tblPr>
      <w:tblGrid>
        <w:gridCol w:w="1927"/>
        <w:gridCol w:w="1928"/>
        <w:gridCol w:w="1928"/>
        <w:gridCol w:w="1928"/>
        <w:gridCol w:w="1928"/>
      </w:tblGrid>
      <w:tr w:rsidR="00E24DB7" w:rsidRPr="002C5876" w:rsidTr="00E24DB7">
        <w:trPr>
          <w:jc w:val="center"/>
        </w:trPr>
        <w:tc>
          <w:tcPr>
            <w:tcW w:w="1927" w:type="dxa"/>
            <w:tcBorders>
              <w:top w:val="single" w:sz="4" w:space="0" w:color="auto"/>
              <w:left w:val="single" w:sz="4" w:space="0" w:color="auto"/>
              <w:bottom w:val="single" w:sz="12"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Prescriptions à respecter</w:t>
            </w:r>
          </w:p>
        </w:tc>
        <w:tc>
          <w:tcPr>
            <w:tcW w:w="1928" w:type="dxa"/>
            <w:tcBorders>
              <w:top w:val="single" w:sz="4" w:space="0" w:color="auto"/>
              <w:left w:val="single" w:sz="4" w:space="0" w:color="auto"/>
              <w:bottom w:val="single" w:sz="12"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1) Sans méthode d’interpolation</w:t>
            </w:r>
          </w:p>
        </w:tc>
        <w:tc>
          <w:tcPr>
            <w:tcW w:w="1928" w:type="dxa"/>
            <w:tcBorders>
              <w:top w:val="single" w:sz="4" w:space="0" w:color="auto"/>
              <w:left w:val="single" w:sz="4" w:space="0" w:color="auto"/>
              <w:bottom w:val="single" w:sz="12"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2) Méthode d’interpolation sans famille de résistance à l’avancement sur route</w:t>
            </w:r>
          </w:p>
        </w:tc>
        <w:tc>
          <w:tcPr>
            <w:tcW w:w="1928" w:type="dxa"/>
            <w:tcBorders>
              <w:top w:val="single" w:sz="4" w:space="0" w:color="auto"/>
              <w:left w:val="single" w:sz="4" w:space="0" w:color="auto"/>
              <w:bottom w:val="single" w:sz="12"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3) Application de la famille de résistance à l’avancement sur route</w:t>
            </w:r>
          </w:p>
        </w:tc>
        <w:tc>
          <w:tcPr>
            <w:tcW w:w="1928" w:type="dxa"/>
            <w:tcBorders>
              <w:top w:val="single" w:sz="4" w:space="0" w:color="auto"/>
              <w:left w:val="single" w:sz="4" w:space="0" w:color="auto"/>
              <w:bottom w:val="single" w:sz="12"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 xml:space="preserve">4) Méthode d’interpolation avec utilisation d’une </w:t>
            </w:r>
            <w:r w:rsidRPr="002C5876">
              <w:rPr>
                <w:i/>
                <w:sz w:val="16"/>
                <w:szCs w:val="16"/>
              </w:rPr>
              <w:br/>
              <w:t>ou plusieurs familles de résistance à l’avancement sur route</w:t>
            </w:r>
          </w:p>
        </w:tc>
      </w:tr>
      <w:tr w:rsidR="00E24DB7" w:rsidRPr="002C5876" w:rsidTr="00E24DB7">
        <w:trPr>
          <w:jc w:val="center"/>
        </w:trPr>
        <w:tc>
          <w:tcPr>
            <w:tcW w:w="1927"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Véhicule d’essai pour la résistance à l’avancement sur route</w:t>
            </w:r>
          </w:p>
        </w:tc>
        <w:tc>
          <w:tcPr>
            <w:tcW w:w="1928"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Par. 4.2.1.1.1 de la présente annexe</w:t>
            </w:r>
          </w:p>
        </w:tc>
        <w:tc>
          <w:tcPr>
            <w:tcW w:w="1928"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Par. 4.2.1.1.2 de la présente annexe</w:t>
            </w:r>
          </w:p>
        </w:tc>
        <w:tc>
          <w:tcPr>
            <w:tcW w:w="1928"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Par. 4.2.1.1.2 de la présente annexe</w:t>
            </w:r>
          </w:p>
        </w:tc>
        <w:tc>
          <w:tcPr>
            <w:tcW w:w="1928"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s.o.</w:t>
            </w:r>
          </w:p>
        </w:tc>
      </w:tr>
      <w:tr w:rsidR="00E24DB7" w:rsidRPr="002C5876" w:rsidTr="00E24DB7">
        <w:trPr>
          <w:jc w:val="center"/>
        </w:trPr>
        <w:tc>
          <w:tcPr>
            <w:tcW w:w="1927"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Famille</w:t>
            </w:r>
          </w:p>
        </w:tc>
        <w:tc>
          <w:tcPr>
            <w:tcW w:w="192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Par. 4.2.1.2.1 de la présente annexe</w:t>
            </w:r>
          </w:p>
        </w:tc>
        <w:tc>
          <w:tcPr>
            <w:tcW w:w="192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Par. 4.2.1.2.2 de la présente annexe</w:t>
            </w:r>
          </w:p>
        </w:tc>
        <w:tc>
          <w:tcPr>
            <w:tcW w:w="192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Par. 4.2.1.2.3 de la présente annexe</w:t>
            </w:r>
          </w:p>
        </w:tc>
        <w:tc>
          <w:tcPr>
            <w:tcW w:w="1928"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Par. 4.2.1.2.2 de la présente annexe</w:t>
            </w:r>
          </w:p>
        </w:tc>
      </w:tr>
      <w:tr w:rsidR="00E24DB7" w:rsidRPr="002C5876" w:rsidTr="00E24DB7">
        <w:trPr>
          <w:jc w:val="center"/>
        </w:trPr>
        <w:tc>
          <w:tcPr>
            <w:tcW w:w="1927"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Prescriptions supplémentaires</w:t>
            </w:r>
          </w:p>
        </w:tc>
        <w:tc>
          <w:tcPr>
            <w:tcW w:w="1928"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néant</w:t>
            </w:r>
          </w:p>
        </w:tc>
        <w:tc>
          <w:tcPr>
            <w:tcW w:w="1928"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néant</w:t>
            </w:r>
          </w:p>
        </w:tc>
        <w:tc>
          <w:tcPr>
            <w:tcW w:w="1928"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néant</w:t>
            </w:r>
          </w:p>
        </w:tc>
        <w:tc>
          <w:tcPr>
            <w:tcW w:w="1928"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Colonne 3) </w:t>
            </w:r>
            <w:r w:rsidRPr="002C5876">
              <w:rPr>
                <w:sz w:val="18"/>
                <w:szCs w:val="18"/>
              </w:rPr>
              <w:br/>
              <w:t>(Application de la famille de résistance à l’avancement sur route) et par. 4.2.1.3.1 de la présente annexe</w:t>
            </w:r>
          </w:p>
        </w:tc>
      </w:tr>
    </w:tbl>
    <w:p w:rsidR="00E24DB7" w:rsidRPr="002C5876" w:rsidRDefault="00E24DB7" w:rsidP="00E24DB7">
      <w:pPr>
        <w:pStyle w:val="SingleTxtG"/>
        <w:keepNext/>
        <w:spacing w:before="240"/>
        <w:ind w:left="2268" w:hanging="1134"/>
        <w:jc w:val="left"/>
      </w:pPr>
      <w:r w:rsidRPr="002C5876">
        <w:t>4.2.1.3.1</w:t>
      </w:r>
      <w:r w:rsidRPr="002C5876">
        <w:tab/>
        <w:t xml:space="preserve">Déduction des résistances à l’avancement sur route d’une famille d’interpolation à partir d’une famille de résistance </w:t>
      </w:r>
      <w:r w:rsidRPr="002C5876">
        <w:br/>
        <w:t>à l’avancement sur route</w:t>
      </w:r>
    </w:p>
    <w:p w:rsidR="00E24DB7" w:rsidRPr="002C5876" w:rsidRDefault="00E24DB7" w:rsidP="00E24DB7">
      <w:pPr>
        <w:pStyle w:val="SingleTxtG"/>
        <w:ind w:left="2268"/>
      </w:pPr>
      <w:r w:rsidRPr="002C5876">
        <w:tab/>
        <w:t>Les résistances à l’avancement sur route de H</w:t>
      </w:r>
      <w:r w:rsidRPr="002C5876">
        <w:rPr>
          <w:vertAlign w:val="subscript"/>
        </w:rPr>
        <w:t>R</w:t>
      </w:r>
      <w:r w:rsidRPr="002C5876">
        <w:t xml:space="preserve"> et/ou de L</w:t>
      </w:r>
      <w:r w:rsidRPr="002C5876">
        <w:rPr>
          <w:vertAlign w:val="subscript"/>
        </w:rPr>
        <w:t>R</w:t>
      </w:r>
      <w:r w:rsidRPr="002C5876">
        <w:t xml:space="preserve"> doivent être déterminées conformément à la présente annexe.</w:t>
      </w:r>
    </w:p>
    <w:p w:rsidR="00E24DB7" w:rsidRPr="002C5876" w:rsidRDefault="00E24DB7" w:rsidP="00E24DB7">
      <w:pPr>
        <w:pStyle w:val="SingleTxtG"/>
        <w:keepNext/>
        <w:ind w:left="2268"/>
      </w:pPr>
      <w:r w:rsidRPr="002C5876">
        <w:t>La résistance à l’avancement sur route des véhicules H et L d’une famille d’interpolation à l’intérieur de la famille de résistance à l’avancement sur route doit être calculée conformément aux paragraphes 3.2.3.2.2 à 3.2.3.2.2.4 de l’annexe 7 :</w:t>
      </w:r>
    </w:p>
    <w:p w:rsidR="00E24DB7" w:rsidRPr="002C5876" w:rsidRDefault="00E24DB7" w:rsidP="00E24DB7">
      <w:pPr>
        <w:pStyle w:val="SingleTxtG"/>
        <w:ind w:left="2835" w:hanging="567"/>
      </w:pPr>
      <w:r w:rsidRPr="002C5876">
        <w:t>a)</w:t>
      </w:r>
      <w:r w:rsidRPr="002C5876">
        <w:tab/>
        <w:t>En utilisant les valeurs H</w:t>
      </w:r>
      <w:r w:rsidRPr="002C5876">
        <w:rPr>
          <w:vertAlign w:val="subscript"/>
        </w:rPr>
        <w:t>R</w:t>
      </w:r>
      <w:r w:rsidRPr="002C5876">
        <w:t xml:space="preserve"> et L</w:t>
      </w:r>
      <w:r w:rsidRPr="002C5876">
        <w:rPr>
          <w:vertAlign w:val="subscript"/>
        </w:rPr>
        <w:t>R</w:t>
      </w:r>
      <w:r w:rsidRPr="002C5876">
        <w:t xml:space="preserve"> de la famille de résistance à l’avancement sur route au lieu de H et L comme paramètres d’entrée pour les équations ;</w:t>
      </w:r>
    </w:p>
    <w:p w:rsidR="00E24DB7" w:rsidRPr="002C5876" w:rsidRDefault="00E24DB7" w:rsidP="00E24DB7">
      <w:pPr>
        <w:pStyle w:val="SingleTxtG"/>
        <w:ind w:left="2835" w:hanging="567"/>
      </w:pPr>
      <w:r w:rsidRPr="002C5876">
        <w:t>b)</w:t>
      </w:r>
      <w:r w:rsidRPr="002C5876">
        <w:tab/>
        <w:t>En utilisant les paramètres de résistance à l’avancement sur route (c’est à dire masse d’essai, ∆(C</w:t>
      </w:r>
      <w:r w:rsidRPr="002C5876">
        <w:rPr>
          <w:vertAlign w:val="subscript"/>
        </w:rPr>
        <w:t>p</w:t>
      </w:r>
      <w:r w:rsidRPr="002C5876">
        <w:t>xA</w:t>
      </w:r>
      <w:r w:rsidRPr="002C5876">
        <w:rPr>
          <w:vertAlign w:val="subscript"/>
        </w:rPr>
        <w:t>f</w:t>
      </w:r>
      <w:r w:rsidRPr="002C5876">
        <w:t>) comparé au véhicule L</w:t>
      </w:r>
      <w:r w:rsidRPr="002C5876">
        <w:rPr>
          <w:vertAlign w:val="subscript"/>
        </w:rPr>
        <w:t>R</w:t>
      </w:r>
      <w:r w:rsidRPr="002C5876">
        <w:t>,</w:t>
      </w:r>
      <w:r w:rsidRPr="002C5876">
        <w:rPr>
          <w:vertAlign w:val="subscript"/>
        </w:rPr>
        <w:t xml:space="preserve"> </w:t>
      </w:r>
      <w:r w:rsidRPr="002C5876">
        <w:t>et résistance aux roulements des pneumatiques) du véhicule H (ou L) de la famille d’interpolation, comme paramètres d’entrée pour le véhicule donné ;</w:t>
      </w:r>
    </w:p>
    <w:p w:rsidR="00E24DB7" w:rsidRPr="002C5876" w:rsidRDefault="00E24DB7" w:rsidP="00E24DB7">
      <w:pPr>
        <w:pStyle w:val="SingleTxtG"/>
        <w:ind w:left="2835" w:hanging="567"/>
      </w:pPr>
      <w:r w:rsidRPr="002C5876">
        <w:t>c)</w:t>
      </w:r>
      <w:r w:rsidRPr="002C5876">
        <w:tab/>
        <w:t>En répétant ce calcul pour chaque véhicule H et L de chaque famille d’interpolation au sein de la famille de résistance à l’avancement sur route.</w:t>
      </w:r>
    </w:p>
    <w:p w:rsidR="00E24DB7" w:rsidRPr="002C5876" w:rsidRDefault="00E24DB7" w:rsidP="00E24DB7">
      <w:pPr>
        <w:pStyle w:val="SingleTxtG"/>
        <w:ind w:left="2268"/>
      </w:pPr>
      <w:r w:rsidRPr="002C5876">
        <w:t>L’interpolation de la résistance à l’avancement sur route doit seulement être appliquée aux caractéristiques influant sur la résistance à l’avancement sur route dont on a constaté la différence entre les véhicules d’essai L</w:t>
      </w:r>
      <w:r w:rsidRPr="002C5876">
        <w:rPr>
          <w:vertAlign w:val="subscript"/>
        </w:rPr>
        <w:t>R</w:t>
      </w:r>
      <w:r w:rsidRPr="002C5876">
        <w:t xml:space="preserve"> et H</w:t>
      </w:r>
      <w:r w:rsidRPr="002C5876">
        <w:rPr>
          <w:vertAlign w:val="subscript"/>
        </w:rPr>
        <w:t>R</w:t>
      </w:r>
      <w:r w:rsidRPr="002C5876">
        <w:t>. Pour toutes les autres caractéristiques influant sur la résistance à l’avancement sur route, la valeur du véhicule H</w:t>
      </w:r>
      <w:r w:rsidRPr="002C5876">
        <w:rPr>
          <w:vertAlign w:val="subscript"/>
        </w:rPr>
        <w:t xml:space="preserve">R </w:t>
      </w:r>
      <w:r w:rsidRPr="002C5876">
        <w:t>doit s’appliquer.</w:t>
      </w:r>
    </w:p>
    <w:p w:rsidR="00E24DB7" w:rsidRPr="002C5876" w:rsidRDefault="00E24DB7" w:rsidP="00E24DB7">
      <w:pPr>
        <w:pStyle w:val="SingleTxtG"/>
        <w:ind w:left="2268"/>
      </w:pPr>
      <w:r w:rsidRPr="002C5876">
        <w:t>Les véhicules H et L de la famille d’interpolation peuvent être tirés de familles de résistance à l’avancement sur route différentes. Si la différence entre ces familles découle de l’application de la méthode des écarts, se reporter au paragraphe 4.2.1.2.3.4 de la présente annexe.</w:t>
      </w:r>
    </w:p>
    <w:p w:rsidR="00E24DB7" w:rsidRPr="002C5876" w:rsidRDefault="00E24DB7" w:rsidP="00E24DB7">
      <w:pPr>
        <w:pStyle w:val="SingleTxtG"/>
        <w:keepNext/>
        <w:keepLines/>
        <w:ind w:left="2268" w:hanging="1134"/>
      </w:pPr>
      <w:r w:rsidRPr="002C5876">
        <w:t>4.2.1.4</w:t>
      </w:r>
      <w:r w:rsidRPr="002C5876">
        <w:tab/>
        <w:t>Application de la famille de matrices de résistance à l’avancement sur route</w:t>
      </w:r>
    </w:p>
    <w:p w:rsidR="00E24DB7" w:rsidRPr="002C5876" w:rsidRDefault="00E24DB7" w:rsidP="00E24DB7">
      <w:pPr>
        <w:pStyle w:val="SingleTxtG"/>
        <w:keepNext/>
        <w:keepLines/>
        <w:ind w:left="2268"/>
      </w:pPr>
      <w:r w:rsidRPr="002C5876">
        <w:t>Un véhicule qui satisfait aux critères du paragraphe 5.8 du présent RTM</w:t>
      </w:r>
      <w:r w:rsidR="004E07C9">
        <w:t xml:space="preserve"> ONU</w:t>
      </w:r>
      <w:r w:rsidRPr="002C5876">
        <w:t>, et qui est :</w:t>
      </w:r>
    </w:p>
    <w:p w:rsidR="00E24DB7" w:rsidRPr="002C5876" w:rsidRDefault="00E24DB7" w:rsidP="00E24DB7">
      <w:pPr>
        <w:pStyle w:val="SingleTxtG"/>
        <w:ind w:left="2835" w:hanging="567"/>
        <w:rPr>
          <w:u w:val="single"/>
        </w:rPr>
      </w:pPr>
      <w:r w:rsidRPr="002C5876">
        <w:t>a)</w:t>
      </w:r>
      <w:r w:rsidRPr="002C5876">
        <w:tab/>
        <w:t xml:space="preserve">Représentatif de la série prévue de véhicules complets devant être couverts par la famille de matrices de résistance à l’avancement sur </w:t>
      </w:r>
      <w:r w:rsidRPr="002C5876">
        <w:lastRenderedPageBreak/>
        <w:t>route du point de vue de la plus mauvaise valeur estimée du coefficient C</w:t>
      </w:r>
      <w:r w:rsidRPr="002C5876">
        <w:rPr>
          <w:vertAlign w:val="subscript"/>
        </w:rPr>
        <w:t>D</w:t>
      </w:r>
      <w:r w:rsidRPr="002C5876">
        <w:t xml:space="preserve"> et de la forme de la carrosserie ; et</w:t>
      </w:r>
    </w:p>
    <w:p w:rsidR="00E24DB7" w:rsidRPr="002C5876" w:rsidRDefault="00E24DB7" w:rsidP="00E24DB7">
      <w:pPr>
        <w:pStyle w:val="SingleTxtG"/>
        <w:ind w:left="2835" w:hanging="567"/>
      </w:pPr>
      <w:r w:rsidRPr="002C5876">
        <w:t>b)</w:t>
      </w:r>
      <w:r w:rsidRPr="002C5876">
        <w:tab/>
        <w:t>Représentatif de la série prévue de véhicules devant être couverts par la famille de matrices de résistance à l’avancement sur route du point de vue de la valeur moyenne estimée de la masse de l’équipement optionnel ;</w:t>
      </w:r>
    </w:p>
    <w:p w:rsidR="00E24DB7" w:rsidRPr="002C5876" w:rsidRDefault="00E24DB7" w:rsidP="00E24DB7">
      <w:pPr>
        <w:pStyle w:val="SingleTxtG"/>
        <w:ind w:left="2268"/>
      </w:pPr>
      <w:r w:rsidRPr="002C5876">
        <w:t>doit être utilisé pour déterminer la résistance à l’avancement sur route.</w:t>
      </w:r>
    </w:p>
    <w:p w:rsidR="00E24DB7" w:rsidRPr="002C5876" w:rsidRDefault="00E24DB7" w:rsidP="00E24DB7">
      <w:pPr>
        <w:pStyle w:val="SingleTxtG"/>
        <w:ind w:left="2268"/>
      </w:pPr>
      <w:r w:rsidRPr="002C5876">
        <w:t xml:space="preserve">S’il n’est pas possible de déterminer une forme de carrosserie représentative pour un véhicule complet, le véhicule d’essai doit être équipé d’une caisse carrée avec angles arrondis d’un rayon maximal de 25 mm, d’une largeur égale à la largeur maximale des véhicules couvert par la famille de matrices de résistance à l’avancement sur route et d’une hauteur telle que la hauteur totale du véhicule d’essai soit de 3,0 m </w:t>
      </w:r>
      <w:r w:rsidRPr="002C5876">
        <w:sym w:font="Symbol" w:char="F0B1"/>
      </w:r>
      <w:r w:rsidRPr="002C5876">
        <w:t>0,1 m, caisse comprise.</w:t>
      </w:r>
    </w:p>
    <w:p w:rsidR="00E24DB7" w:rsidRPr="002C5876" w:rsidRDefault="00E24DB7" w:rsidP="00E24DB7">
      <w:pPr>
        <w:pStyle w:val="SingleTxtG"/>
        <w:ind w:left="2268"/>
      </w:pPr>
      <w:r w:rsidRPr="002C5876">
        <w:t>Le constructeur et l’autorité compétente doivent se mettre d’accord sur le modèle de véhicule d’essai censé être représentatif.</w:t>
      </w:r>
    </w:p>
    <w:p w:rsidR="00E24DB7" w:rsidRPr="002C5876" w:rsidRDefault="00E24DB7" w:rsidP="00E24DB7">
      <w:pPr>
        <w:pStyle w:val="SingleTxtG"/>
        <w:ind w:left="2268"/>
      </w:pPr>
      <w:r w:rsidRPr="002C5876">
        <w:t>Les paramètres du véhicule d’essai (masse, résistance au roulement des pneumatiques et maître couple), aussi bien d’un véhicule H</w:t>
      </w:r>
      <w:r w:rsidRPr="002C5876">
        <w:rPr>
          <w:vertAlign w:val="subscript"/>
        </w:rPr>
        <w:t>M</w:t>
      </w:r>
      <w:r w:rsidRPr="002C5876">
        <w:t xml:space="preserve"> que d’un véhicule L</w:t>
      </w:r>
      <w:r w:rsidRPr="002C5876">
        <w:rPr>
          <w:vertAlign w:val="subscript"/>
        </w:rPr>
        <w:t>M</w:t>
      </w:r>
      <w:r w:rsidRPr="002C5876">
        <w:t>, doivent être choisis de telle manière que le véhicule H</w:t>
      </w:r>
      <w:r w:rsidRPr="002C5876">
        <w:rPr>
          <w:vertAlign w:val="subscript"/>
        </w:rPr>
        <w:t>M</w:t>
      </w:r>
      <w:r w:rsidRPr="002C5876">
        <w:t xml:space="preserve"> produise la demande d’énergie sur le cycle la plus élevée et le véhicule L</w:t>
      </w:r>
      <w:r w:rsidRPr="002C5876">
        <w:rPr>
          <w:vertAlign w:val="subscript"/>
        </w:rPr>
        <w:t>M</w:t>
      </w:r>
      <w:r w:rsidRPr="002C5876">
        <w:t xml:space="preserve"> la demande d’énergie sur le cycle la plus basse d’un véhicule de famille de matrices de résistance à l’avancement sur route. Le constructeur et l’autorité compétente devront convenir des paramètres du véhicule à attribuer au véhicule H</w:t>
      </w:r>
      <w:r w:rsidRPr="002C5876">
        <w:rPr>
          <w:vertAlign w:val="subscript"/>
        </w:rPr>
        <w:t>M</w:t>
      </w:r>
      <w:r w:rsidRPr="002C5876">
        <w:t xml:space="preserve"> et au véhicule L</w:t>
      </w:r>
      <w:r w:rsidRPr="002C5876">
        <w:rPr>
          <w:vertAlign w:val="subscript"/>
        </w:rPr>
        <w:t>M</w:t>
      </w:r>
      <w:r w:rsidRPr="002C5876">
        <w:t>.</w:t>
      </w:r>
    </w:p>
    <w:p w:rsidR="00E24DB7" w:rsidRPr="002C5876" w:rsidRDefault="00E24DB7" w:rsidP="00E24DB7">
      <w:pPr>
        <w:pStyle w:val="SingleTxtG"/>
        <w:ind w:left="2268"/>
      </w:pPr>
      <w:r w:rsidRPr="002C5876">
        <w:t>La résistance à l’avancement sur route de tous les véhicules donnés de la famille de matrices de résistance à l’avancement sur route, y compris les véhicules H</w:t>
      </w:r>
      <w:r w:rsidRPr="002C5876">
        <w:rPr>
          <w:vertAlign w:val="subscript"/>
        </w:rPr>
        <w:t>M</w:t>
      </w:r>
      <w:r w:rsidRPr="002C5876">
        <w:t xml:space="preserve"> et L</w:t>
      </w:r>
      <w:r w:rsidRPr="002C5876">
        <w:rPr>
          <w:vertAlign w:val="subscript"/>
        </w:rPr>
        <w:t>M</w:t>
      </w:r>
      <w:r w:rsidRPr="002C5876">
        <w:t>, doit être calculée conformément au paragraphe 5.1 de la présente annexe.</w:t>
      </w:r>
    </w:p>
    <w:p w:rsidR="00E24DB7" w:rsidRPr="002C5876" w:rsidRDefault="00E24DB7" w:rsidP="00E24DB7">
      <w:pPr>
        <w:pStyle w:val="SingleTxtG"/>
        <w:keepNext/>
        <w:ind w:left="2268" w:hanging="1134"/>
        <w:jc w:val="left"/>
      </w:pPr>
      <w:r w:rsidRPr="002C5876">
        <w:t>4.2.1.5</w:t>
      </w:r>
      <w:r w:rsidRPr="002C5876">
        <w:tab/>
        <w:t>Parties aérodynamiques mobiles de la carrosserie</w:t>
      </w:r>
    </w:p>
    <w:p w:rsidR="00E24DB7" w:rsidRPr="002C5876" w:rsidRDefault="00E24DB7" w:rsidP="00E24DB7">
      <w:pPr>
        <w:pStyle w:val="SingleTxtG"/>
        <w:ind w:left="2268"/>
      </w:pPr>
      <w:r w:rsidRPr="002C5876">
        <w:t>Les parties aérodynamiques mobiles de la carrosserie du véhicule d’essai doivent fonctionner pendant la détermination de la résistance à l’avancement sur route comme prévu dans les conditions de l’essai WLTP type 1 (température d’essai, vitesse du véhicule et plage d’accélération, charge moteur, etc.).</w:t>
      </w:r>
    </w:p>
    <w:p w:rsidR="00E24DB7" w:rsidRPr="002C5876" w:rsidRDefault="00E24DB7" w:rsidP="00E24DB7">
      <w:pPr>
        <w:pStyle w:val="SingleTxtG"/>
        <w:ind w:left="2268"/>
      </w:pPr>
      <w:r w:rsidRPr="002C5876">
        <w:t>Tout système du véhicule qui modifie en conditions dynamiques la traînée aérodynamique du véhicule (par exemple, une commande de réglage de hauteur du véhicule) doit être considéré comme étant une partie aérodynamique mobile de la carrosserie. Des prescriptions appropriées seront ajoutées à l’avenir si les véhicules sont équipés d’éléments aérodynamiques mobiles de l’équipement optionnel, dont l’influence sur la traînée aérodynamique justifie qu’ils soient soumis à d’autres prescriptions.</w:t>
      </w:r>
    </w:p>
    <w:p w:rsidR="00E24DB7" w:rsidRPr="002C5876" w:rsidRDefault="00E24DB7" w:rsidP="00E24DB7">
      <w:pPr>
        <w:pStyle w:val="SingleTxtG"/>
        <w:keepNext/>
        <w:ind w:left="2268" w:hanging="1134"/>
        <w:jc w:val="left"/>
      </w:pPr>
      <w:r w:rsidRPr="002C5876">
        <w:t>4.2.1.6</w:t>
      </w:r>
      <w:r w:rsidRPr="002C5876">
        <w:tab/>
        <w:t>Pesage</w:t>
      </w:r>
    </w:p>
    <w:p w:rsidR="00E24DB7" w:rsidRPr="002C5876" w:rsidRDefault="00E24DB7" w:rsidP="00E24DB7">
      <w:pPr>
        <w:pStyle w:val="SingleTxtG"/>
        <w:ind w:left="2268"/>
      </w:pPr>
      <w:r w:rsidRPr="002C5876">
        <w:t>Avant et après la procédure de détermination de la résistance à l’avancement sur route, le véhicule sélectionné doit être pesé, y compris le conducteur d’essai et l’équipement d’essai, pour déterminer la masse moyenne arithmétique m</w:t>
      </w:r>
      <w:r w:rsidRPr="002C5876">
        <w:rPr>
          <w:vertAlign w:val="subscript"/>
        </w:rPr>
        <w:t>av</w:t>
      </w:r>
      <w:r w:rsidRPr="002C5876">
        <w:t xml:space="preserve">. La masse du véhicule doit être supérieure ou égale à la masse d’essai </w:t>
      </w:r>
      <w:r w:rsidRPr="002C5876">
        <w:rPr>
          <w:bCs/>
        </w:rPr>
        <w:t>du véhicule H ou du véhicule L</w:t>
      </w:r>
      <w:r w:rsidRPr="002C5876">
        <w:t>, au début de la procédure de détermination de la résistance à l’avancement sur route.</w:t>
      </w:r>
    </w:p>
    <w:p w:rsidR="00E24DB7" w:rsidRPr="002C5876" w:rsidRDefault="00E24DB7" w:rsidP="00E24DB7">
      <w:pPr>
        <w:pStyle w:val="SingleTxtG"/>
        <w:keepNext/>
        <w:ind w:left="2268" w:hanging="1134"/>
        <w:jc w:val="left"/>
      </w:pPr>
      <w:r w:rsidRPr="002C5876">
        <w:t>4.2.1.7</w:t>
      </w:r>
      <w:r w:rsidRPr="002C5876">
        <w:tab/>
        <w:t>Configuration du véhicule d’essai</w:t>
      </w:r>
    </w:p>
    <w:p w:rsidR="00E24DB7" w:rsidRPr="002C5876" w:rsidRDefault="00E24DB7" w:rsidP="00E24DB7">
      <w:pPr>
        <w:pStyle w:val="SingleTxtG"/>
        <w:ind w:left="2268"/>
        <w:rPr>
          <w:bCs/>
        </w:rPr>
      </w:pPr>
      <w:r w:rsidRPr="002C5876">
        <w:rPr>
          <w:bCs/>
        </w:rPr>
        <w:t xml:space="preserve">La </w:t>
      </w:r>
      <w:r w:rsidRPr="002C5876">
        <w:t>configuration</w:t>
      </w:r>
      <w:r w:rsidRPr="002C5876">
        <w:rPr>
          <w:bCs/>
        </w:rPr>
        <w:t xml:space="preserve"> du véhicule d’essai doit être enregistrée et reproduite pour tous les essais ultérieurs de décélération libre.</w:t>
      </w:r>
    </w:p>
    <w:p w:rsidR="00E24DB7" w:rsidRPr="002C5876" w:rsidRDefault="00E24DB7" w:rsidP="00E24DB7">
      <w:pPr>
        <w:pStyle w:val="SingleTxtG"/>
        <w:keepNext/>
        <w:ind w:left="2268" w:hanging="1134"/>
        <w:jc w:val="left"/>
      </w:pPr>
      <w:r w:rsidRPr="002C5876">
        <w:lastRenderedPageBreak/>
        <w:t>4.2.1.8</w:t>
      </w:r>
      <w:r w:rsidRPr="002C5876">
        <w:tab/>
        <w:t>État du véhicule d’essai</w:t>
      </w:r>
    </w:p>
    <w:p w:rsidR="00E24DB7" w:rsidRPr="002C5876" w:rsidRDefault="00E24DB7" w:rsidP="00E24DB7">
      <w:pPr>
        <w:pStyle w:val="SingleTxtG"/>
        <w:keepNext/>
        <w:ind w:left="2268" w:hanging="1134"/>
        <w:jc w:val="left"/>
      </w:pPr>
      <w:r w:rsidRPr="002C5876">
        <w:t>4.2.1.8.1</w:t>
      </w:r>
      <w:r w:rsidRPr="002C5876">
        <w:tab/>
        <w:t>Rodage</w:t>
      </w:r>
    </w:p>
    <w:p w:rsidR="00E24DB7" w:rsidRPr="002C5876" w:rsidRDefault="00E24DB7" w:rsidP="00E24DB7">
      <w:pPr>
        <w:pStyle w:val="SingleTxtG"/>
        <w:ind w:left="2268"/>
      </w:pPr>
      <w:r w:rsidRPr="002C5876">
        <w:t xml:space="preserve">Le véhicule d’essai doit avoir subi un rodage aux fins de l’essai </w:t>
      </w:r>
      <w:r w:rsidRPr="002C5876">
        <w:rPr>
          <w:bCs/>
        </w:rPr>
        <w:t xml:space="preserve">ultérieur </w:t>
      </w:r>
      <w:r w:rsidRPr="002C5876">
        <w:t>sur au moins 10 000 mais au plus 80 000 km.</w:t>
      </w:r>
    </w:p>
    <w:p w:rsidR="00E24DB7" w:rsidRPr="002C5876" w:rsidRDefault="00E24DB7" w:rsidP="00E24DB7">
      <w:pPr>
        <w:pStyle w:val="SingleTxtG"/>
        <w:ind w:left="2268"/>
      </w:pPr>
      <w:r w:rsidRPr="002C5876">
        <w:tab/>
        <w:t>À la demande du constructeur, un véhicule ayant parcouru une distance minimale de 3 000 km peut être utilisé.</w:t>
      </w:r>
    </w:p>
    <w:p w:rsidR="00E24DB7" w:rsidRPr="002C5876" w:rsidRDefault="00E24DB7" w:rsidP="00E24DB7">
      <w:pPr>
        <w:pStyle w:val="SingleTxtG"/>
        <w:keepNext/>
        <w:ind w:left="2268" w:hanging="1134"/>
        <w:jc w:val="left"/>
      </w:pPr>
      <w:r w:rsidRPr="002C5876">
        <w:t>4.2.1.8.2</w:t>
      </w:r>
      <w:r w:rsidRPr="002C5876">
        <w:tab/>
        <w:t>Spécifications du constructeur</w:t>
      </w:r>
    </w:p>
    <w:p w:rsidR="00E24DB7" w:rsidRPr="002C5876" w:rsidRDefault="00E24DB7" w:rsidP="00E24DB7">
      <w:pPr>
        <w:pStyle w:val="SingleTxtG"/>
        <w:ind w:left="2268"/>
      </w:pPr>
      <w:r w:rsidRPr="002C5876">
        <w:t>Le véhicule doit être conforme aux spécifications nominales du constructeur pour les véhicules de série en ce qui concerne les pressions des pneumatiques comme défini au paragraphe 4.2.2.3 de la présente annexe, le parallélisme comme défini au paragraphe 4.2.1.8.3 de la présente annexe, la garde au sol, la hauteur du véhicule, les lubrifiants du train de roulement et des roulements de roues, et le réglage des freins pour éviter les frottements parasites non représentatifs.</w:t>
      </w:r>
    </w:p>
    <w:p w:rsidR="00E24DB7" w:rsidRPr="002C5876" w:rsidRDefault="00E24DB7" w:rsidP="00E24DB7">
      <w:pPr>
        <w:pStyle w:val="SingleTxtG"/>
        <w:keepNext/>
        <w:ind w:left="2268" w:hanging="1134"/>
        <w:jc w:val="left"/>
      </w:pPr>
      <w:r w:rsidRPr="002C5876">
        <w:t>4.2.1.8.3</w:t>
      </w:r>
      <w:r w:rsidRPr="002C5876">
        <w:tab/>
        <w:t>Paramètres du parallélisme</w:t>
      </w:r>
    </w:p>
    <w:p w:rsidR="00E24DB7" w:rsidRPr="002C5876" w:rsidRDefault="00E24DB7" w:rsidP="00E24DB7">
      <w:pPr>
        <w:pStyle w:val="SingleTxtG"/>
        <w:ind w:left="2268"/>
      </w:pPr>
      <w:r w:rsidRPr="002C5876">
        <w:t xml:space="preserve">Les valeurs de pincement et de carrossage doivent être réglées à l’écart maximal par rapport à l’axe longitudinal du véhicule dans la plage définie par le constructeur. Si un constructeur prescrit des valeurs nominales de pincement et de carrossage pour le véhicule, ces valeurs doivent être appliquées. À la demande du constructeur, des valeurs correspondant à des écarts plus grands par rapport à l’axe longitudinal que les valeurs prescrites peuvent être utilisées. Les valeurs prescrites doivent servir de références pour toutes les opérations d’entretien au cours de la durée de vie du véhicule. </w:t>
      </w:r>
    </w:p>
    <w:p w:rsidR="00E24DB7" w:rsidRPr="002C5876" w:rsidRDefault="00E24DB7" w:rsidP="00E24DB7">
      <w:pPr>
        <w:pStyle w:val="SingleTxtG"/>
        <w:ind w:left="2268"/>
      </w:pPr>
      <w:r w:rsidRPr="002C5876">
        <w:t>Les autres paramètres réglables du parallélisme (tels que la chasse) doivent être réglés à la valeur recommandée par le constructeur. En l’absence de valeur recommandée, ils doivent être réglés à la valeur moyenne arithmétique de la plage spécifiée par le constructeur.</w:t>
      </w:r>
    </w:p>
    <w:p w:rsidR="00E24DB7" w:rsidRPr="002C5876" w:rsidRDefault="00E24DB7" w:rsidP="00E24DB7">
      <w:pPr>
        <w:pStyle w:val="SingleTxtG"/>
        <w:ind w:left="2268"/>
      </w:pPr>
      <w:r w:rsidRPr="002C5876">
        <w:t>Les possibilités de réglage de ces paramètres et leurs valeurs de réglage doivent être enregistrées.</w:t>
      </w:r>
    </w:p>
    <w:p w:rsidR="00E24DB7" w:rsidRPr="002C5876" w:rsidRDefault="00E24DB7" w:rsidP="00E24DB7">
      <w:pPr>
        <w:pStyle w:val="SingleTxtG"/>
        <w:keepNext/>
        <w:ind w:left="2268" w:hanging="1134"/>
        <w:jc w:val="left"/>
      </w:pPr>
      <w:r w:rsidRPr="002C5876">
        <w:t>4.2.1.8.4</w:t>
      </w:r>
      <w:r w:rsidRPr="002C5876">
        <w:tab/>
        <w:t>Fermeture des panneaux mobiles</w:t>
      </w:r>
    </w:p>
    <w:p w:rsidR="00E24DB7" w:rsidRPr="002C5876" w:rsidRDefault="00E24DB7" w:rsidP="00E24DB7">
      <w:pPr>
        <w:pStyle w:val="SingleTxtG"/>
        <w:ind w:left="2268"/>
      </w:pPr>
      <w:r w:rsidRPr="002C5876">
        <w:t xml:space="preserve">Pendant l’essai de détermination de la résistance à l’avancement sur route, le capot moteur, le couvercle du compartiment à bagages, les panneaux mobiles actionnés manuellement et toutes les fenêtres doivent être fermées. </w:t>
      </w:r>
    </w:p>
    <w:p w:rsidR="00E24DB7" w:rsidRPr="002C5876" w:rsidRDefault="00E24DB7" w:rsidP="00E24DB7">
      <w:pPr>
        <w:pStyle w:val="SingleTxtG"/>
        <w:keepNext/>
        <w:ind w:left="2268" w:hanging="1134"/>
        <w:jc w:val="left"/>
      </w:pPr>
      <w:r w:rsidRPr="002C5876">
        <w:t>4.2.1.8.5</w:t>
      </w:r>
      <w:r w:rsidRPr="002C5876">
        <w:tab/>
        <w:t>Mode décélération libre</w:t>
      </w:r>
    </w:p>
    <w:p w:rsidR="00E24DB7" w:rsidRPr="002C5876" w:rsidRDefault="00E24DB7" w:rsidP="00E24DB7">
      <w:pPr>
        <w:pStyle w:val="SingleTxtG"/>
        <w:ind w:left="2268"/>
      </w:pPr>
      <w:r w:rsidRPr="002C5876">
        <w:t>Si l’essai de détermination du réglage du dynamomètre ne permet pas de satisfaire aux critères définis aux paragraphes 8.1.3 ou 8.2.3 de la présente annexe du fait de l’influence de forces non reproductibles, le véhicule doit être équipé d’un mode décélération libre. Le mode décélération libre doit être approuvé et son utilisation enregistrée par l’autorité compétente.</w:t>
      </w:r>
    </w:p>
    <w:p w:rsidR="00E24DB7" w:rsidRPr="002C5876" w:rsidRDefault="00E24DB7" w:rsidP="00E24DB7">
      <w:pPr>
        <w:pStyle w:val="SingleTxtG"/>
        <w:ind w:left="2268"/>
      </w:pPr>
      <w:r w:rsidRPr="002C5876">
        <w:tab/>
        <w:t>Si un véhicule est équipé d’un mode décélération libre, ce dernier doit être en fonction aussi bien pendant l’essai de détermination de la résistance à l’avancement sur route que pendant l’essai sur banc à rouleaux.</w:t>
      </w:r>
    </w:p>
    <w:p w:rsidR="00E24DB7" w:rsidRPr="002C5876" w:rsidRDefault="00E24DB7" w:rsidP="00E24DB7">
      <w:pPr>
        <w:pStyle w:val="SingleTxtG"/>
        <w:keepNext/>
        <w:ind w:left="2268" w:hanging="1134"/>
        <w:jc w:val="left"/>
      </w:pPr>
      <w:r w:rsidRPr="002C5876">
        <w:t>4.2.2</w:t>
      </w:r>
      <w:r w:rsidRPr="002C5876">
        <w:tab/>
        <w:t>Pneumatiques</w:t>
      </w:r>
    </w:p>
    <w:p w:rsidR="00E24DB7" w:rsidRPr="002C5876" w:rsidRDefault="00E24DB7" w:rsidP="00E24DB7">
      <w:pPr>
        <w:pStyle w:val="SingleTxtG"/>
        <w:keepNext/>
        <w:ind w:left="2268" w:hanging="1134"/>
        <w:jc w:val="left"/>
      </w:pPr>
      <w:r w:rsidRPr="002C5876">
        <w:t>4.2.2.1</w:t>
      </w:r>
      <w:r w:rsidRPr="002C5876">
        <w:tab/>
        <w:t>Résistance au roulement des pneumatiques</w:t>
      </w:r>
    </w:p>
    <w:p w:rsidR="00E24DB7" w:rsidRPr="002C5876" w:rsidRDefault="00E24DB7" w:rsidP="00E24DB7">
      <w:pPr>
        <w:pStyle w:val="SingleTxtG"/>
        <w:ind w:left="2268"/>
      </w:pPr>
      <w:r w:rsidRPr="002C5876">
        <w:t>La résistance au roulement des pneumatiques doit être mesurée conformément à l’annexe 6 du Règlement ONU n</w:t>
      </w:r>
      <w:r w:rsidRPr="002C5876">
        <w:rPr>
          <w:vertAlign w:val="superscript"/>
        </w:rPr>
        <w:t>o</w:t>
      </w:r>
      <w:r w:rsidRPr="002C5876">
        <w:t> 117-02, ou à une norme équivalente internationalement reconnue. Les coefficients de résistance au roulement doivent être alignés conformément aux procédures régionales respectives (par exemple, EU</w:t>
      </w:r>
      <w:r w:rsidR="00220AD2" w:rsidRPr="002C5876">
        <w:t> </w:t>
      </w:r>
      <w:r w:rsidRPr="002C5876">
        <w:t>1235/2011), et catégorisés par classes de résistance au roulement selon le tableau A4/2).</w:t>
      </w:r>
    </w:p>
    <w:p w:rsidR="00E24DB7" w:rsidRPr="002C5876" w:rsidRDefault="00E24DB7" w:rsidP="00E24DB7">
      <w:pPr>
        <w:pStyle w:val="H23G"/>
        <w:ind w:left="0" w:firstLine="0"/>
      </w:pPr>
      <w:r w:rsidRPr="002C5876">
        <w:rPr>
          <w:b w:val="0"/>
        </w:rPr>
        <w:lastRenderedPageBreak/>
        <w:t>Tableau A4/2</w:t>
      </w:r>
      <w:r w:rsidRPr="002C5876">
        <w:rPr>
          <w:b w:val="0"/>
        </w:rPr>
        <w:br/>
      </w:r>
      <w:r w:rsidRPr="002C5876">
        <w:t>Classes d’efficacité énergétique correspondant aux coefficients de résistance au roulement (CRR) pour les pneumatiques des classes C1, C2 et C3, et valeurs de CRR à utiliser pour ces classes d’efficacité énergétique aux fins de l’interpolation, en kg/t</w:t>
      </w:r>
    </w:p>
    <w:p w:rsidR="00E24DB7" w:rsidRPr="002C5876" w:rsidRDefault="00E24DB7" w:rsidP="00E24DB7"/>
    <w:tbl>
      <w:tblPr>
        <w:tblW w:w="9637" w:type="dxa"/>
        <w:tblLayout w:type="fixed"/>
        <w:tblCellMar>
          <w:left w:w="0" w:type="dxa"/>
          <w:right w:w="0" w:type="dxa"/>
        </w:tblCellMar>
        <w:tblLook w:val="01E0" w:firstRow="1" w:lastRow="1" w:firstColumn="1" w:lastColumn="1" w:noHBand="0" w:noVBand="0"/>
      </w:tblPr>
      <w:tblGrid>
        <w:gridCol w:w="1133"/>
        <w:gridCol w:w="2890"/>
        <w:gridCol w:w="2890"/>
        <w:gridCol w:w="2724"/>
      </w:tblGrid>
      <w:tr w:rsidR="00E24DB7" w:rsidRPr="002C5876" w:rsidTr="00E24DB7">
        <w:trPr>
          <w:tblHeader/>
        </w:trPr>
        <w:tc>
          <w:tcPr>
            <w:tcW w:w="867" w:type="dxa"/>
            <w:tcBorders>
              <w:top w:val="single" w:sz="4" w:space="0" w:color="auto"/>
              <w:bottom w:val="single" w:sz="12" w:space="0" w:color="auto"/>
            </w:tcBorders>
            <w:shd w:val="clear" w:color="auto" w:fill="auto"/>
            <w:vAlign w:val="bottom"/>
            <w:hideMark/>
          </w:tcPr>
          <w:p w:rsidR="00E24DB7" w:rsidRPr="002C5876" w:rsidRDefault="00E24DB7" w:rsidP="00E24DB7">
            <w:pPr>
              <w:suppressAutoHyphens w:val="0"/>
              <w:spacing w:before="80" w:after="80" w:line="200" w:lineRule="exact"/>
              <w:ind w:left="57" w:right="57"/>
              <w:rPr>
                <w:i/>
                <w:sz w:val="16"/>
              </w:rPr>
            </w:pPr>
            <w:r w:rsidRPr="002C5876">
              <w:rPr>
                <w:i/>
                <w:sz w:val="16"/>
              </w:rPr>
              <w:t>Classe d’efficacité énergétique</w:t>
            </w:r>
          </w:p>
        </w:tc>
        <w:tc>
          <w:tcPr>
            <w:tcW w:w="2210" w:type="dxa"/>
            <w:tcBorders>
              <w:top w:val="single" w:sz="4" w:space="0" w:color="auto"/>
              <w:bottom w:val="single" w:sz="12" w:space="0" w:color="auto"/>
            </w:tcBorders>
            <w:shd w:val="clear" w:color="auto" w:fill="auto"/>
            <w:vAlign w:val="bottom"/>
            <w:hideMark/>
          </w:tcPr>
          <w:p w:rsidR="00E24DB7" w:rsidRPr="002C5876" w:rsidRDefault="00E24DB7" w:rsidP="00E24DB7">
            <w:pPr>
              <w:suppressAutoHyphens w:val="0"/>
              <w:spacing w:before="80" w:after="80" w:line="200" w:lineRule="exact"/>
              <w:ind w:left="57" w:right="57"/>
              <w:rPr>
                <w:i/>
                <w:sz w:val="16"/>
              </w:rPr>
            </w:pPr>
            <w:r w:rsidRPr="002C5876">
              <w:rPr>
                <w:i/>
                <w:sz w:val="16"/>
              </w:rPr>
              <w:t xml:space="preserve">Plage de CRR pour les pneumatiques </w:t>
            </w:r>
            <w:r w:rsidRPr="002C5876">
              <w:rPr>
                <w:i/>
                <w:sz w:val="16"/>
              </w:rPr>
              <w:br/>
              <w:t>de la classe C1</w:t>
            </w:r>
          </w:p>
        </w:tc>
        <w:tc>
          <w:tcPr>
            <w:tcW w:w="2210" w:type="dxa"/>
            <w:tcBorders>
              <w:top w:val="single" w:sz="4" w:space="0" w:color="auto"/>
              <w:bottom w:val="single" w:sz="12" w:space="0" w:color="auto"/>
            </w:tcBorders>
            <w:shd w:val="clear" w:color="auto" w:fill="auto"/>
            <w:vAlign w:val="bottom"/>
            <w:hideMark/>
          </w:tcPr>
          <w:p w:rsidR="00E24DB7" w:rsidRPr="002C5876" w:rsidRDefault="00E24DB7" w:rsidP="00E24DB7">
            <w:pPr>
              <w:suppressAutoHyphens w:val="0"/>
              <w:spacing w:before="80" w:after="80" w:line="200" w:lineRule="exact"/>
              <w:ind w:left="57" w:right="57"/>
              <w:rPr>
                <w:i/>
                <w:sz w:val="16"/>
              </w:rPr>
            </w:pPr>
            <w:r w:rsidRPr="002C5876">
              <w:rPr>
                <w:i/>
                <w:sz w:val="16"/>
              </w:rPr>
              <w:t xml:space="preserve">Plage de CRR pour les pneumatiques </w:t>
            </w:r>
            <w:r w:rsidRPr="002C5876">
              <w:rPr>
                <w:i/>
                <w:sz w:val="16"/>
              </w:rPr>
              <w:br/>
              <w:t>de la classe C2</w:t>
            </w:r>
          </w:p>
        </w:tc>
        <w:tc>
          <w:tcPr>
            <w:tcW w:w="2083" w:type="dxa"/>
            <w:tcBorders>
              <w:top w:val="single" w:sz="4" w:space="0" w:color="auto"/>
              <w:bottom w:val="single" w:sz="12" w:space="0" w:color="auto"/>
            </w:tcBorders>
            <w:shd w:val="clear" w:color="auto" w:fill="auto"/>
            <w:vAlign w:val="bottom"/>
            <w:hideMark/>
          </w:tcPr>
          <w:p w:rsidR="00E24DB7" w:rsidRPr="002C5876" w:rsidRDefault="00E24DB7" w:rsidP="00E24DB7">
            <w:pPr>
              <w:suppressAutoHyphens w:val="0"/>
              <w:spacing w:before="80" w:after="80" w:line="200" w:lineRule="exact"/>
              <w:ind w:left="57" w:right="57"/>
              <w:rPr>
                <w:i/>
                <w:sz w:val="16"/>
              </w:rPr>
            </w:pPr>
            <w:r w:rsidRPr="002C5876">
              <w:rPr>
                <w:i/>
                <w:sz w:val="16"/>
              </w:rPr>
              <w:t xml:space="preserve">Plage de CRR pour les pneumatiques </w:t>
            </w:r>
            <w:r w:rsidRPr="002C5876">
              <w:rPr>
                <w:i/>
                <w:sz w:val="16"/>
              </w:rPr>
              <w:br/>
              <w:t>de la classe C3</w:t>
            </w:r>
          </w:p>
        </w:tc>
      </w:tr>
      <w:tr w:rsidR="00E24DB7" w:rsidRPr="002C5876" w:rsidTr="00E24DB7">
        <w:tc>
          <w:tcPr>
            <w:tcW w:w="867" w:type="dxa"/>
            <w:tcBorders>
              <w:top w:val="single" w:sz="12" w:space="0" w:color="auto"/>
            </w:tcBorders>
            <w:shd w:val="clear" w:color="auto" w:fill="auto"/>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w:t>
            </w:r>
          </w:p>
        </w:tc>
        <w:tc>
          <w:tcPr>
            <w:tcW w:w="2210" w:type="dxa"/>
            <w:tcBorders>
              <w:top w:val="single" w:sz="12" w:space="0" w:color="auto"/>
            </w:tcBorders>
            <w:shd w:val="clear" w:color="auto" w:fill="auto"/>
            <w:vAlign w:val="bottom"/>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CRR ≤ 6,5</w:t>
            </w:r>
          </w:p>
        </w:tc>
        <w:tc>
          <w:tcPr>
            <w:tcW w:w="2210" w:type="dxa"/>
            <w:tcBorders>
              <w:top w:val="single" w:sz="12" w:space="0" w:color="auto"/>
            </w:tcBorders>
            <w:shd w:val="clear" w:color="auto" w:fill="auto"/>
            <w:vAlign w:val="bottom"/>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CRR ≤ 5,5</w:t>
            </w:r>
          </w:p>
        </w:tc>
        <w:tc>
          <w:tcPr>
            <w:tcW w:w="2083" w:type="dxa"/>
            <w:tcBorders>
              <w:top w:val="single" w:sz="12" w:space="0" w:color="auto"/>
            </w:tcBorders>
            <w:shd w:val="clear" w:color="auto" w:fill="auto"/>
            <w:vAlign w:val="bottom"/>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CRR ≤ 4,0</w:t>
            </w:r>
          </w:p>
        </w:tc>
      </w:tr>
      <w:tr w:rsidR="00E24DB7" w:rsidRPr="002C5876" w:rsidTr="00E24DB7">
        <w:tc>
          <w:tcPr>
            <w:tcW w:w="867" w:type="dxa"/>
            <w:shd w:val="clear" w:color="auto" w:fill="auto"/>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2</w:t>
            </w:r>
          </w:p>
        </w:tc>
        <w:tc>
          <w:tcPr>
            <w:tcW w:w="2210" w:type="dxa"/>
            <w:shd w:val="clear" w:color="auto" w:fill="auto"/>
            <w:vAlign w:val="bottom"/>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6,5 &lt; CRR ≤ 7,7</w:t>
            </w:r>
          </w:p>
        </w:tc>
        <w:tc>
          <w:tcPr>
            <w:tcW w:w="2210" w:type="dxa"/>
            <w:shd w:val="clear" w:color="auto" w:fill="auto"/>
            <w:vAlign w:val="bottom"/>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5,5 &lt; CRR ≤ 6,7</w:t>
            </w:r>
          </w:p>
        </w:tc>
        <w:tc>
          <w:tcPr>
            <w:tcW w:w="2083" w:type="dxa"/>
            <w:shd w:val="clear" w:color="auto" w:fill="auto"/>
            <w:vAlign w:val="bottom"/>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4,0 &lt; CRR ≤ 5,0</w:t>
            </w:r>
          </w:p>
        </w:tc>
      </w:tr>
      <w:tr w:rsidR="00E24DB7" w:rsidRPr="002C5876" w:rsidTr="00E24DB7">
        <w:tc>
          <w:tcPr>
            <w:tcW w:w="867" w:type="dxa"/>
            <w:shd w:val="clear" w:color="auto" w:fill="auto"/>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3</w:t>
            </w:r>
          </w:p>
        </w:tc>
        <w:tc>
          <w:tcPr>
            <w:tcW w:w="2210" w:type="dxa"/>
            <w:shd w:val="clear" w:color="auto" w:fill="auto"/>
            <w:vAlign w:val="bottom"/>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7,7 &lt; CRR ≤ 9,0</w:t>
            </w:r>
          </w:p>
        </w:tc>
        <w:tc>
          <w:tcPr>
            <w:tcW w:w="2210" w:type="dxa"/>
            <w:shd w:val="clear" w:color="auto" w:fill="auto"/>
            <w:vAlign w:val="bottom"/>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6,7 &lt; CRR ≤ 8,0</w:t>
            </w:r>
          </w:p>
        </w:tc>
        <w:tc>
          <w:tcPr>
            <w:tcW w:w="2083" w:type="dxa"/>
            <w:shd w:val="clear" w:color="auto" w:fill="auto"/>
            <w:vAlign w:val="bottom"/>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5,0 &lt; CRR ≤ 6,0</w:t>
            </w:r>
          </w:p>
        </w:tc>
      </w:tr>
      <w:tr w:rsidR="00E24DB7" w:rsidRPr="002C5876" w:rsidTr="00E24DB7">
        <w:tc>
          <w:tcPr>
            <w:tcW w:w="867" w:type="dxa"/>
            <w:shd w:val="clear" w:color="auto" w:fill="auto"/>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4</w:t>
            </w:r>
          </w:p>
        </w:tc>
        <w:tc>
          <w:tcPr>
            <w:tcW w:w="2210" w:type="dxa"/>
            <w:shd w:val="clear" w:color="auto" w:fill="auto"/>
            <w:vAlign w:val="bottom"/>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9,0 &lt; CRR ≤ 10,5</w:t>
            </w:r>
          </w:p>
        </w:tc>
        <w:tc>
          <w:tcPr>
            <w:tcW w:w="2210" w:type="dxa"/>
            <w:shd w:val="clear" w:color="auto" w:fill="auto"/>
            <w:vAlign w:val="bottom"/>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8,0 &lt; CRR ≤ 9,2</w:t>
            </w:r>
          </w:p>
        </w:tc>
        <w:tc>
          <w:tcPr>
            <w:tcW w:w="2083" w:type="dxa"/>
            <w:shd w:val="clear" w:color="auto" w:fill="auto"/>
            <w:vAlign w:val="bottom"/>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6,0 &lt; CRR ≤ 7,0</w:t>
            </w:r>
          </w:p>
        </w:tc>
      </w:tr>
      <w:tr w:rsidR="00E24DB7" w:rsidRPr="002C5876" w:rsidTr="00E24DB7">
        <w:tc>
          <w:tcPr>
            <w:tcW w:w="867" w:type="dxa"/>
            <w:shd w:val="clear" w:color="auto" w:fill="auto"/>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5</w:t>
            </w:r>
          </w:p>
        </w:tc>
        <w:tc>
          <w:tcPr>
            <w:tcW w:w="2210" w:type="dxa"/>
            <w:shd w:val="clear" w:color="auto" w:fill="auto"/>
            <w:vAlign w:val="bottom"/>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10,5 &lt; CRR ≤ 12,0</w:t>
            </w:r>
          </w:p>
        </w:tc>
        <w:tc>
          <w:tcPr>
            <w:tcW w:w="2210" w:type="dxa"/>
            <w:shd w:val="clear" w:color="auto" w:fill="auto"/>
            <w:vAlign w:val="bottom"/>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9,2 &lt; CRR ≤ 10,5</w:t>
            </w:r>
          </w:p>
        </w:tc>
        <w:tc>
          <w:tcPr>
            <w:tcW w:w="2083" w:type="dxa"/>
            <w:shd w:val="clear" w:color="auto" w:fill="auto"/>
            <w:vAlign w:val="bottom"/>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7,0 &lt; CRR ≤ 8,0</w:t>
            </w:r>
          </w:p>
        </w:tc>
      </w:tr>
      <w:tr w:rsidR="00E24DB7" w:rsidRPr="002C5876" w:rsidTr="00E24DB7">
        <w:tc>
          <w:tcPr>
            <w:tcW w:w="867" w:type="dxa"/>
            <w:tcBorders>
              <w:bottom w:val="single" w:sz="4" w:space="0" w:color="auto"/>
            </w:tcBorders>
            <w:shd w:val="clear" w:color="auto" w:fill="auto"/>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6</w:t>
            </w:r>
          </w:p>
        </w:tc>
        <w:tc>
          <w:tcPr>
            <w:tcW w:w="2210" w:type="dxa"/>
            <w:tcBorders>
              <w:bottom w:val="single" w:sz="4" w:space="0" w:color="auto"/>
            </w:tcBorders>
            <w:shd w:val="clear" w:color="auto" w:fill="auto"/>
            <w:vAlign w:val="bottom"/>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CRR &gt; 12,0</w:t>
            </w:r>
          </w:p>
        </w:tc>
        <w:tc>
          <w:tcPr>
            <w:tcW w:w="2210" w:type="dxa"/>
            <w:tcBorders>
              <w:bottom w:val="single" w:sz="4" w:space="0" w:color="auto"/>
            </w:tcBorders>
            <w:shd w:val="clear" w:color="auto" w:fill="auto"/>
            <w:vAlign w:val="bottom"/>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CRR &gt; 10,5</w:t>
            </w:r>
          </w:p>
        </w:tc>
        <w:tc>
          <w:tcPr>
            <w:tcW w:w="2083" w:type="dxa"/>
            <w:tcBorders>
              <w:bottom w:val="single" w:sz="4" w:space="0" w:color="auto"/>
            </w:tcBorders>
            <w:shd w:val="clear" w:color="auto" w:fill="auto"/>
            <w:vAlign w:val="bottom"/>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CRR &gt; 8,0</w:t>
            </w:r>
          </w:p>
        </w:tc>
      </w:tr>
      <w:tr w:rsidR="00E24DB7" w:rsidRPr="002C5876" w:rsidTr="00E24DB7">
        <w:tc>
          <w:tcPr>
            <w:tcW w:w="867" w:type="dxa"/>
            <w:tcBorders>
              <w:top w:val="single" w:sz="4" w:space="0" w:color="auto"/>
              <w:bottom w:val="single" w:sz="12" w:space="0" w:color="auto"/>
            </w:tcBorders>
            <w:shd w:val="clear" w:color="auto" w:fill="auto"/>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Classe d’efficacité énergétique</w:t>
            </w:r>
          </w:p>
        </w:tc>
        <w:tc>
          <w:tcPr>
            <w:tcW w:w="2210" w:type="dxa"/>
            <w:tcBorders>
              <w:top w:val="single" w:sz="4" w:space="0" w:color="auto"/>
              <w:bottom w:val="single" w:sz="12" w:space="0" w:color="auto"/>
            </w:tcBorders>
            <w:shd w:val="clear" w:color="auto" w:fill="auto"/>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 xml:space="preserve">Valeur de CRR à utiliser aux fins </w:t>
            </w:r>
            <w:r w:rsidRPr="002C5876">
              <w:rPr>
                <w:i/>
                <w:sz w:val="16"/>
                <w:szCs w:val="16"/>
              </w:rPr>
              <w:br/>
              <w:t>de l’interpolation pour les pneumatiques de la classe C1</w:t>
            </w:r>
          </w:p>
        </w:tc>
        <w:tc>
          <w:tcPr>
            <w:tcW w:w="2210" w:type="dxa"/>
            <w:tcBorders>
              <w:top w:val="single" w:sz="4" w:space="0" w:color="auto"/>
              <w:bottom w:val="single" w:sz="12" w:space="0" w:color="auto"/>
            </w:tcBorders>
            <w:shd w:val="clear" w:color="auto" w:fill="auto"/>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 xml:space="preserve">Valeur de CRR à utiliser aux fins </w:t>
            </w:r>
            <w:r w:rsidRPr="002C5876">
              <w:rPr>
                <w:i/>
                <w:sz w:val="16"/>
                <w:szCs w:val="16"/>
              </w:rPr>
              <w:br/>
              <w:t>de l’interpolation pour les pneumatiques de la classe C2</w:t>
            </w:r>
          </w:p>
        </w:tc>
        <w:tc>
          <w:tcPr>
            <w:tcW w:w="2083" w:type="dxa"/>
            <w:tcBorders>
              <w:top w:val="single" w:sz="4" w:space="0" w:color="auto"/>
              <w:bottom w:val="single" w:sz="12" w:space="0" w:color="auto"/>
            </w:tcBorders>
            <w:shd w:val="clear" w:color="auto" w:fill="auto"/>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 xml:space="preserve">Valeur de CRR à utiliser aux fins </w:t>
            </w:r>
            <w:r w:rsidRPr="002C5876">
              <w:rPr>
                <w:i/>
                <w:sz w:val="16"/>
                <w:szCs w:val="16"/>
              </w:rPr>
              <w:br/>
              <w:t>de l’interpolation pour les pneumatiques de la classe C3</w:t>
            </w:r>
          </w:p>
        </w:tc>
      </w:tr>
      <w:tr w:rsidR="00E24DB7" w:rsidRPr="002C5876" w:rsidTr="00E24DB7">
        <w:tc>
          <w:tcPr>
            <w:tcW w:w="867" w:type="dxa"/>
            <w:tcBorders>
              <w:top w:val="single" w:sz="12" w:space="0" w:color="auto"/>
            </w:tcBorders>
            <w:shd w:val="clear" w:color="auto" w:fill="auto"/>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w:t>
            </w:r>
          </w:p>
        </w:tc>
        <w:tc>
          <w:tcPr>
            <w:tcW w:w="2210" w:type="dxa"/>
            <w:tcBorders>
              <w:top w:val="single" w:sz="12" w:space="0" w:color="auto"/>
            </w:tcBorders>
            <w:shd w:val="clear" w:color="auto" w:fill="auto"/>
            <w:vAlign w:val="bottom"/>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CRR = 5,9</w:t>
            </w:r>
          </w:p>
        </w:tc>
        <w:tc>
          <w:tcPr>
            <w:tcW w:w="2210" w:type="dxa"/>
            <w:tcBorders>
              <w:top w:val="single" w:sz="12" w:space="0" w:color="auto"/>
            </w:tcBorders>
            <w:shd w:val="clear" w:color="auto" w:fill="auto"/>
            <w:vAlign w:val="bottom"/>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CRR = 4,9</w:t>
            </w:r>
          </w:p>
        </w:tc>
        <w:tc>
          <w:tcPr>
            <w:tcW w:w="2083" w:type="dxa"/>
            <w:tcBorders>
              <w:top w:val="single" w:sz="12" w:space="0" w:color="auto"/>
            </w:tcBorders>
            <w:shd w:val="clear" w:color="auto" w:fill="auto"/>
            <w:vAlign w:val="bottom"/>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CRR = 3,5</w:t>
            </w:r>
          </w:p>
        </w:tc>
      </w:tr>
      <w:tr w:rsidR="00E24DB7" w:rsidRPr="002C5876" w:rsidTr="00E24DB7">
        <w:tc>
          <w:tcPr>
            <w:tcW w:w="867" w:type="dxa"/>
            <w:shd w:val="clear" w:color="auto" w:fill="auto"/>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2</w:t>
            </w:r>
          </w:p>
        </w:tc>
        <w:tc>
          <w:tcPr>
            <w:tcW w:w="2210" w:type="dxa"/>
            <w:shd w:val="clear" w:color="auto" w:fill="auto"/>
            <w:vAlign w:val="bottom"/>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CRR = 7,1</w:t>
            </w:r>
          </w:p>
        </w:tc>
        <w:tc>
          <w:tcPr>
            <w:tcW w:w="2210" w:type="dxa"/>
            <w:shd w:val="clear" w:color="auto" w:fill="auto"/>
            <w:vAlign w:val="bottom"/>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CRR = 6,1</w:t>
            </w:r>
          </w:p>
        </w:tc>
        <w:tc>
          <w:tcPr>
            <w:tcW w:w="2083" w:type="dxa"/>
            <w:shd w:val="clear" w:color="auto" w:fill="auto"/>
            <w:vAlign w:val="bottom"/>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CRR = 4,5</w:t>
            </w:r>
          </w:p>
        </w:tc>
      </w:tr>
      <w:tr w:rsidR="00E24DB7" w:rsidRPr="002C5876" w:rsidTr="00E24DB7">
        <w:tc>
          <w:tcPr>
            <w:tcW w:w="867" w:type="dxa"/>
            <w:shd w:val="clear" w:color="auto" w:fill="auto"/>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3</w:t>
            </w:r>
          </w:p>
        </w:tc>
        <w:tc>
          <w:tcPr>
            <w:tcW w:w="2210" w:type="dxa"/>
            <w:shd w:val="clear" w:color="auto" w:fill="auto"/>
            <w:vAlign w:val="bottom"/>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CRR = 8,4</w:t>
            </w:r>
          </w:p>
        </w:tc>
        <w:tc>
          <w:tcPr>
            <w:tcW w:w="2210" w:type="dxa"/>
            <w:shd w:val="clear" w:color="auto" w:fill="auto"/>
            <w:vAlign w:val="bottom"/>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CRR = 7,4</w:t>
            </w:r>
          </w:p>
        </w:tc>
        <w:tc>
          <w:tcPr>
            <w:tcW w:w="2083" w:type="dxa"/>
            <w:shd w:val="clear" w:color="auto" w:fill="auto"/>
            <w:vAlign w:val="bottom"/>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CRR = 5,5</w:t>
            </w:r>
          </w:p>
        </w:tc>
      </w:tr>
      <w:tr w:rsidR="00E24DB7" w:rsidRPr="002C5876" w:rsidTr="00E24DB7">
        <w:tc>
          <w:tcPr>
            <w:tcW w:w="867" w:type="dxa"/>
            <w:shd w:val="clear" w:color="auto" w:fill="auto"/>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4</w:t>
            </w:r>
          </w:p>
        </w:tc>
        <w:tc>
          <w:tcPr>
            <w:tcW w:w="2210" w:type="dxa"/>
            <w:shd w:val="clear" w:color="auto" w:fill="auto"/>
            <w:vAlign w:val="bottom"/>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CRR = 9,8</w:t>
            </w:r>
          </w:p>
        </w:tc>
        <w:tc>
          <w:tcPr>
            <w:tcW w:w="2210" w:type="dxa"/>
            <w:shd w:val="clear" w:color="auto" w:fill="auto"/>
            <w:vAlign w:val="bottom"/>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CRR = 8,6</w:t>
            </w:r>
          </w:p>
        </w:tc>
        <w:tc>
          <w:tcPr>
            <w:tcW w:w="2083" w:type="dxa"/>
            <w:shd w:val="clear" w:color="auto" w:fill="auto"/>
            <w:vAlign w:val="bottom"/>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CRR = 6,5</w:t>
            </w:r>
          </w:p>
        </w:tc>
      </w:tr>
      <w:tr w:rsidR="00E24DB7" w:rsidRPr="002C5876" w:rsidTr="00E24DB7">
        <w:tc>
          <w:tcPr>
            <w:tcW w:w="867" w:type="dxa"/>
            <w:shd w:val="clear" w:color="auto" w:fill="auto"/>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5</w:t>
            </w:r>
          </w:p>
        </w:tc>
        <w:tc>
          <w:tcPr>
            <w:tcW w:w="2210" w:type="dxa"/>
            <w:shd w:val="clear" w:color="auto" w:fill="auto"/>
            <w:vAlign w:val="bottom"/>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CRR = 11,3</w:t>
            </w:r>
          </w:p>
        </w:tc>
        <w:tc>
          <w:tcPr>
            <w:tcW w:w="2210" w:type="dxa"/>
            <w:shd w:val="clear" w:color="auto" w:fill="auto"/>
            <w:vAlign w:val="bottom"/>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CRR = 9,9</w:t>
            </w:r>
          </w:p>
        </w:tc>
        <w:tc>
          <w:tcPr>
            <w:tcW w:w="2083" w:type="dxa"/>
            <w:shd w:val="clear" w:color="auto" w:fill="auto"/>
            <w:vAlign w:val="bottom"/>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CRR = 7,5</w:t>
            </w:r>
          </w:p>
        </w:tc>
      </w:tr>
      <w:tr w:rsidR="00E24DB7" w:rsidRPr="002C5876" w:rsidTr="00E24DB7">
        <w:tc>
          <w:tcPr>
            <w:tcW w:w="867" w:type="dxa"/>
            <w:tcBorders>
              <w:bottom w:val="single" w:sz="12" w:space="0" w:color="auto"/>
            </w:tcBorders>
            <w:shd w:val="clear" w:color="auto" w:fill="auto"/>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6</w:t>
            </w:r>
          </w:p>
        </w:tc>
        <w:tc>
          <w:tcPr>
            <w:tcW w:w="2210" w:type="dxa"/>
            <w:tcBorders>
              <w:bottom w:val="single" w:sz="12" w:space="0" w:color="auto"/>
            </w:tcBorders>
            <w:shd w:val="clear" w:color="auto" w:fill="auto"/>
            <w:vAlign w:val="bottom"/>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CRR = 12,9</w:t>
            </w:r>
          </w:p>
        </w:tc>
        <w:tc>
          <w:tcPr>
            <w:tcW w:w="2210" w:type="dxa"/>
            <w:tcBorders>
              <w:bottom w:val="single" w:sz="12" w:space="0" w:color="auto"/>
            </w:tcBorders>
            <w:shd w:val="clear" w:color="auto" w:fill="auto"/>
            <w:vAlign w:val="bottom"/>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CRR = 11,2</w:t>
            </w:r>
          </w:p>
        </w:tc>
        <w:tc>
          <w:tcPr>
            <w:tcW w:w="2083" w:type="dxa"/>
            <w:tcBorders>
              <w:bottom w:val="single" w:sz="12" w:space="0" w:color="auto"/>
            </w:tcBorders>
            <w:shd w:val="clear" w:color="auto" w:fill="auto"/>
            <w:vAlign w:val="bottom"/>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CRR = 8,5</w:t>
            </w:r>
          </w:p>
        </w:tc>
      </w:tr>
    </w:tbl>
    <w:p w:rsidR="00E24DB7" w:rsidRPr="002C5876" w:rsidRDefault="00E24DB7" w:rsidP="00E24DB7">
      <w:pPr>
        <w:pStyle w:val="SingleTxtG"/>
        <w:spacing w:before="240"/>
        <w:ind w:left="2268"/>
      </w:pPr>
      <w:r w:rsidRPr="002C5876">
        <w:t>Si la méthode d’interpolation est appliquée à la résistance au roulement, aux fins des calculs visés au paragraphe 3.2.3.2 de l’annexe 7, les valeurs réelles de résistance au roulement pour les pneumatiques montés sur les véhicules d’essai L et H doivent être utilisées comme valeurs d’entrée pour la procédure de calcul. Dans le cas d’un véhicule donné d’une famille d’interpolation, le calcul doit être basé sur la valeur de CRR spécifiée pour la classe d’efficacité énergétique des pneumatiques montés sur ledit véhicule.</w:t>
      </w:r>
    </w:p>
    <w:p w:rsidR="00E24DB7" w:rsidRPr="002C5876" w:rsidRDefault="00E24DB7" w:rsidP="00E24DB7">
      <w:pPr>
        <w:pStyle w:val="SingleTxtG"/>
        <w:keepNext/>
        <w:ind w:left="2268" w:hanging="1134"/>
        <w:jc w:val="left"/>
      </w:pPr>
      <w:r w:rsidRPr="002C5876">
        <w:t>4.2.2.2</w:t>
      </w:r>
      <w:r w:rsidRPr="002C5876">
        <w:tab/>
        <w:t>État des pneumatiques</w:t>
      </w:r>
    </w:p>
    <w:p w:rsidR="00E24DB7" w:rsidRPr="002C5876" w:rsidRDefault="00E24DB7" w:rsidP="00E24DB7">
      <w:pPr>
        <w:pStyle w:val="SingleTxtG"/>
        <w:keepNext/>
        <w:keepLines/>
        <w:ind w:left="2268"/>
      </w:pPr>
      <w:r w:rsidRPr="002C5876">
        <w:t>Les pneumatiques utilisés pour l’essai doivent répondre aux conditions suivantes :</w:t>
      </w:r>
    </w:p>
    <w:p w:rsidR="00E24DB7" w:rsidRPr="002C5876" w:rsidRDefault="00E24DB7" w:rsidP="00E24DB7">
      <w:pPr>
        <w:pStyle w:val="SingleTxtG"/>
        <w:ind w:left="2835" w:hanging="567"/>
      </w:pPr>
      <w:r w:rsidRPr="002C5876">
        <w:t>a)</w:t>
      </w:r>
      <w:r w:rsidRPr="002C5876">
        <w:tab/>
        <w:t>Ne pas être âgés de plus de deux ans à compter de la date de production ;</w:t>
      </w:r>
    </w:p>
    <w:p w:rsidR="00E24DB7" w:rsidRPr="002C5876" w:rsidRDefault="00E24DB7" w:rsidP="00E24DB7">
      <w:pPr>
        <w:pStyle w:val="SingleTxtG"/>
        <w:ind w:left="2835" w:hanging="567"/>
      </w:pPr>
      <w:r w:rsidRPr="002C5876">
        <w:t>b)</w:t>
      </w:r>
      <w:r w:rsidRPr="002C5876">
        <w:tab/>
        <w:t>Ne pas avoir subi un conditionnement ou un traitement spécial (de chauffage ou de vieillissement artificiel), à l’exception de l’opération initiale de taille par meulage du dessin originel de la bande de roulement ;</w:t>
      </w:r>
    </w:p>
    <w:p w:rsidR="00E24DB7" w:rsidRPr="002C5876" w:rsidRDefault="00E24DB7" w:rsidP="00E24DB7">
      <w:pPr>
        <w:pStyle w:val="SingleTxtG"/>
        <w:ind w:left="2835" w:hanging="567"/>
      </w:pPr>
      <w:r w:rsidRPr="002C5876">
        <w:t>c)</w:t>
      </w:r>
      <w:r w:rsidRPr="002C5876">
        <w:tab/>
        <w:t>Avoir subi un rodage sur piste sur au moins 200 km avant l’essai de détermination de la résistance à l’avancement sur route ;</w:t>
      </w:r>
    </w:p>
    <w:p w:rsidR="00E24DB7" w:rsidRPr="002C5876" w:rsidRDefault="00E24DB7" w:rsidP="00E24DB7">
      <w:pPr>
        <w:pStyle w:val="SingleTxtG"/>
        <w:ind w:left="2835" w:hanging="567"/>
      </w:pPr>
      <w:r w:rsidRPr="002C5876">
        <w:t>d)</w:t>
      </w:r>
      <w:r w:rsidRPr="002C5876">
        <w:tab/>
        <w:t>Présenter une profondeur constante des sculptures avant l’essai comprise entre 100 et 80 % de la profondeur originelle en un point quelconque sur toute la largeur de la bande de roulement du pneumatique.</w:t>
      </w:r>
    </w:p>
    <w:p w:rsidR="00E24DB7" w:rsidRPr="002C5876" w:rsidRDefault="00E24DB7" w:rsidP="00E24DB7">
      <w:pPr>
        <w:pStyle w:val="SingleTxtG"/>
        <w:ind w:left="2268"/>
      </w:pPr>
      <w:r w:rsidRPr="002C5876">
        <w:tab/>
        <w:t>Après mesure de la profondeur du profil, la distance parcourue doit être limitée à 500 km. Au-delà de cette distance, la profondeur doit être mesurée à nouveau.</w:t>
      </w:r>
    </w:p>
    <w:p w:rsidR="00E24DB7" w:rsidRPr="002C5876" w:rsidRDefault="00E24DB7" w:rsidP="00E24DB7">
      <w:pPr>
        <w:pStyle w:val="SingleTxtG"/>
        <w:keepNext/>
        <w:ind w:left="2268" w:hanging="1134"/>
        <w:jc w:val="left"/>
      </w:pPr>
      <w:r w:rsidRPr="002C5876">
        <w:lastRenderedPageBreak/>
        <w:t>4.2.2.3</w:t>
      </w:r>
      <w:r w:rsidRPr="002C5876">
        <w:tab/>
        <w:t>Pression des pneumatiques</w:t>
      </w:r>
    </w:p>
    <w:p w:rsidR="00E24DB7" w:rsidRPr="002C5876" w:rsidRDefault="00E24DB7" w:rsidP="00E24DB7">
      <w:pPr>
        <w:pStyle w:val="SingleTxtG"/>
        <w:ind w:left="2268"/>
      </w:pPr>
      <w:r w:rsidRPr="002C5876">
        <w:t>Les pneumatiques avant et arrière doivent être gonflés à la limite inférieure de la plage de pression pour le pneumatique sélectionné de l’essieu considéré à la masse d’essai de décélération libre, comme spécifié par le constructeur du véhicule.</w:t>
      </w:r>
    </w:p>
    <w:p w:rsidR="00E24DB7" w:rsidRPr="002C5876" w:rsidRDefault="00E24DB7" w:rsidP="00E24DB7">
      <w:pPr>
        <w:pStyle w:val="SingleTxtG"/>
        <w:keepNext/>
        <w:ind w:left="2268" w:hanging="1134"/>
        <w:jc w:val="left"/>
      </w:pPr>
      <w:r w:rsidRPr="002C5876">
        <w:t>4.2.2.3.1</w:t>
      </w:r>
      <w:r w:rsidRPr="002C5876">
        <w:tab/>
        <w:t>Ajustement de la pression des pneumatiques</w:t>
      </w:r>
    </w:p>
    <w:p w:rsidR="00E24DB7" w:rsidRPr="002C5876" w:rsidRDefault="00E24DB7" w:rsidP="00E24DB7">
      <w:pPr>
        <w:pStyle w:val="SingleTxtG"/>
        <w:ind w:left="2268"/>
      </w:pPr>
      <w:r w:rsidRPr="002C5876">
        <w:t>Si la différence entre la température ambiante et la température de stabilisation est de plus de 5°C, la pression des pneumatiques doit être ajustée comme suit :</w:t>
      </w:r>
    </w:p>
    <w:p w:rsidR="00E24DB7" w:rsidRPr="002C5876" w:rsidRDefault="00E24DB7" w:rsidP="00E24DB7">
      <w:pPr>
        <w:pStyle w:val="SingleTxtG"/>
        <w:ind w:left="2835" w:hanging="567"/>
      </w:pPr>
      <w:r w:rsidRPr="002C5876">
        <w:t>a)</w:t>
      </w:r>
      <w:r w:rsidRPr="002C5876">
        <w:tab/>
        <w:t>Les pneumatiques doivent être stabilisés thermiquement pendant plus de 1 h à 10 % au-dessus de la pression visée ;</w:t>
      </w:r>
    </w:p>
    <w:p w:rsidR="00E24DB7" w:rsidRPr="002C5876" w:rsidRDefault="00E24DB7" w:rsidP="00E24DB7">
      <w:pPr>
        <w:pStyle w:val="SingleTxtG"/>
        <w:ind w:left="2835" w:hanging="567"/>
      </w:pPr>
      <w:r w:rsidRPr="002C5876">
        <w:t>b)</w:t>
      </w:r>
      <w:r w:rsidRPr="002C5876">
        <w:tab/>
        <w:t>Avant les essais, la pression des pneumatiques doit être ramenée à la pression de gonflage définie au paragraphe 4.2.2.3 de la présente annexe, ajustée pour tenir compte de la différence entre la température de l’environnement de stabilisation et la température ambiante d’essai conformément au facteur de 0,8 kPa par 1°C selon l’équation ci</w:t>
      </w:r>
      <w:r w:rsidRPr="002C5876">
        <w:noBreakHyphen/>
        <w:t>après :</w:t>
      </w:r>
    </w:p>
    <w:p w:rsidR="003953B0" w:rsidRPr="002C5876" w:rsidRDefault="003953B0" w:rsidP="003953B0">
      <w:pPr>
        <w:pStyle w:val="SingleTxtG"/>
        <w:ind w:left="2268"/>
      </w:pPr>
      <m:oMathPara>
        <m:oMath>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r>
            <m:rPr>
              <m:sty m:val="p"/>
            </m:rPr>
            <w:rPr>
              <w:rFonts w:ascii="Cambria Math" w:hAnsi="Cambria Math"/>
            </w:rPr>
            <m:t>=0.8 ×</m:t>
          </m:r>
          <m:d>
            <m:dPr>
              <m:ctrlPr>
                <w:rPr>
                  <w:rFonts w:ascii="Cambria Math" w:hAnsi="Cambria Math"/>
                </w:rPr>
              </m:ctrlPr>
            </m:dPr>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soak</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amb</m:t>
                  </m:r>
                </m:sub>
              </m:sSub>
            </m:e>
          </m:d>
        </m:oMath>
      </m:oMathPara>
    </w:p>
    <w:p w:rsidR="00E24DB7" w:rsidRPr="002C5876" w:rsidRDefault="00E24DB7" w:rsidP="00E24DB7">
      <w:pPr>
        <w:spacing w:after="100" w:line="220" w:lineRule="atLeast"/>
        <w:ind w:left="2835" w:right="1134"/>
        <w:jc w:val="both"/>
      </w:pPr>
      <w:r w:rsidRPr="002C5876">
        <w:t>où :</w:t>
      </w:r>
    </w:p>
    <w:p w:rsidR="00E24DB7" w:rsidRPr="002C5876" w:rsidRDefault="00E24DB7" w:rsidP="00E24DB7">
      <w:pPr>
        <w:pStyle w:val="SingleTxtG"/>
        <w:ind w:left="3969" w:hanging="1134"/>
      </w:pPr>
      <w:r w:rsidRPr="002C5876">
        <w:t>∆p</w:t>
      </w:r>
      <w:r w:rsidRPr="002C5876">
        <w:rPr>
          <w:vertAlign w:val="subscript"/>
        </w:rPr>
        <w:t>t</w:t>
      </w:r>
      <w:r w:rsidRPr="002C5876">
        <w:rPr>
          <w:iCs/>
        </w:rPr>
        <w:tab/>
      </w:r>
      <w:r w:rsidRPr="002C5876">
        <w:t>est la valeur de l’ajustement ajoutée à la pression du pneumatique définie au paragraphe 4.2.2.3 de la présente annexe, en kPa ;</w:t>
      </w:r>
    </w:p>
    <w:p w:rsidR="00E24DB7" w:rsidRPr="002C5876" w:rsidRDefault="00E24DB7" w:rsidP="00E24DB7">
      <w:pPr>
        <w:pStyle w:val="SingleTxtG"/>
        <w:ind w:left="3969" w:hanging="1134"/>
      </w:pPr>
      <w:r w:rsidRPr="002C5876">
        <w:t>0,8</w:t>
      </w:r>
      <w:r w:rsidRPr="002C5876">
        <w:tab/>
        <w:t>est le facteur d’ajustement de la pression, en kPa/°C ;</w:t>
      </w:r>
    </w:p>
    <w:p w:rsidR="00E24DB7" w:rsidRPr="002C5876" w:rsidRDefault="00E24DB7" w:rsidP="00E24DB7">
      <w:pPr>
        <w:pStyle w:val="SingleTxtG"/>
        <w:ind w:left="3969" w:hanging="1134"/>
      </w:pPr>
      <w:r w:rsidRPr="002C5876">
        <w:t>T</w:t>
      </w:r>
      <w:r w:rsidRPr="002C5876">
        <w:rPr>
          <w:vertAlign w:val="subscript"/>
        </w:rPr>
        <w:t>soak</w:t>
      </w:r>
      <w:r w:rsidRPr="002C5876">
        <w:tab/>
        <w:t>est la température de stabilisation du pneumatique, en °C ;</w:t>
      </w:r>
    </w:p>
    <w:p w:rsidR="00E24DB7" w:rsidRPr="002C5876" w:rsidRDefault="00E24DB7" w:rsidP="00E24DB7">
      <w:pPr>
        <w:pStyle w:val="SingleTxtG"/>
        <w:ind w:left="3969" w:hanging="1134"/>
      </w:pPr>
      <w:r w:rsidRPr="002C5876">
        <w:t>T</w:t>
      </w:r>
      <w:r w:rsidRPr="002C5876">
        <w:rPr>
          <w:vertAlign w:val="subscript"/>
        </w:rPr>
        <w:t>amb</w:t>
      </w:r>
      <w:r w:rsidRPr="002C5876">
        <w:tab/>
        <w:t>est la température ambiante d’essai, en °C ;</w:t>
      </w:r>
    </w:p>
    <w:p w:rsidR="00E24DB7" w:rsidRPr="002C5876" w:rsidRDefault="00E24DB7" w:rsidP="00E24DB7">
      <w:pPr>
        <w:pStyle w:val="SingleTxtG"/>
        <w:ind w:left="2835" w:hanging="567"/>
      </w:pPr>
      <w:r w:rsidRPr="002C5876">
        <w:t>c)</w:t>
      </w:r>
      <w:r w:rsidRPr="002C5876">
        <w:tab/>
        <w:t>Entre l’opération d’ajustement de la pression et celle de mise en température du véhicule, les pneumatiques doivent être protégés des sources de chaleur extérieures y compris le rayonnement solaire.</w:t>
      </w:r>
    </w:p>
    <w:p w:rsidR="00E24DB7" w:rsidRPr="002C5876" w:rsidRDefault="00E24DB7" w:rsidP="00E24DB7">
      <w:pPr>
        <w:pStyle w:val="SingleTxtG"/>
        <w:keepNext/>
        <w:ind w:left="2268" w:hanging="1134"/>
        <w:jc w:val="left"/>
      </w:pPr>
      <w:r w:rsidRPr="002C5876">
        <w:t>4.2.3</w:t>
      </w:r>
      <w:r w:rsidRPr="002C5876">
        <w:tab/>
        <w:t>Instruments</w:t>
      </w:r>
    </w:p>
    <w:p w:rsidR="00E24DB7" w:rsidRPr="002C5876" w:rsidRDefault="00E24DB7" w:rsidP="00E24DB7">
      <w:pPr>
        <w:pStyle w:val="SingleTxtG"/>
        <w:ind w:left="2268"/>
      </w:pPr>
      <w:r w:rsidRPr="002C5876">
        <w:t>Tous les instruments doivent être installés de manière à avoir le moins d’effet possible sur les caractéristiques aérodynamiques du véhicule.</w:t>
      </w:r>
    </w:p>
    <w:p w:rsidR="00E24DB7" w:rsidRPr="002C5876" w:rsidRDefault="00E24DB7" w:rsidP="00E24DB7">
      <w:pPr>
        <w:pStyle w:val="SingleTxtG"/>
        <w:ind w:left="2268"/>
      </w:pPr>
      <w:r w:rsidRPr="002C5876">
        <w:t>Si l’on prévoit que l’effet de l’instrument installé sur le coefficient (C</w:t>
      </w:r>
      <w:r w:rsidRPr="002C5876">
        <w:rPr>
          <w:vertAlign w:val="subscript"/>
        </w:rPr>
        <w:t>D</w:t>
      </w:r>
      <w:r w:rsidRPr="002C5876">
        <w:t xml:space="preserve"> × A</w:t>
      </w:r>
      <w:r w:rsidRPr="002C5876">
        <w:rPr>
          <w:vertAlign w:val="subscript"/>
        </w:rPr>
        <w:t>f</w:t>
      </w:r>
      <w:r w:rsidRPr="002C5876">
        <w:t>) sera supérieur à 0,015 m</w:t>
      </w:r>
      <w:r w:rsidRPr="002C5876">
        <w:rPr>
          <w:vertAlign w:val="superscript"/>
        </w:rPr>
        <w:t>2</w:t>
      </w:r>
      <w:r w:rsidRPr="002C5876">
        <w:t>,</w:t>
      </w:r>
      <w:r w:rsidRPr="002C5876">
        <w:rPr>
          <w:vertAlign w:val="superscript"/>
        </w:rPr>
        <w:t xml:space="preserve"> </w:t>
      </w:r>
      <w:r w:rsidRPr="002C5876">
        <w:t>le véhicule avec et sans l’instrument doit être mesuré dans une soufflerie répondant au critère du paragraphe 3.2 de la présente annexe. La différence correspondante doit être soustraite de f</w:t>
      </w:r>
      <w:r w:rsidRPr="002C5876">
        <w:rPr>
          <w:vertAlign w:val="subscript"/>
        </w:rPr>
        <w:t>2</w:t>
      </w:r>
      <w:r w:rsidRPr="002C5876">
        <w:t>. À la demande du constructeur, et avec l’accord de l’autorité compétente, la valeur déterminée pourra être utilisée pour des véhicules similaires pour lesquels l’on prévoit que l’effet de l’instrument installé sera le même.</w:t>
      </w:r>
    </w:p>
    <w:p w:rsidR="00E24DB7" w:rsidRPr="002C5876" w:rsidRDefault="00E24DB7" w:rsidP="00E24DB7">
      <w:pPr>
        <w:pStyle w:val="SingleTxtG"/>
        <w:keepNext/>
        <w:ind w:left="2268" w:hanging="1134"/>
        <w:jc w:val="left"/>
      </w:pPr>
      <w:r w:rsidRPr="002C5876">
        <w:t>4.2.4</w:t>
      </w:r>
      <w:r w:rsidRPr="002C5876">
        <w:tab/>
        <w:t>Mise en température du véhicule</w:t>
      </w:r>
    </w:p>
    <w:p w:rsidR="00E24DB7" w:rsidRPr="002C5876" w:rsidRDefault="00E24DB7" w:rsidP="00E24DB7">
      <w:pPr>
        <w:pStyle w:val="SingleTxtG"/>
        <w:keepNext/>
        <w:ind w:left="2268" w:hanging="1134"/>
        <w:jc w:val="left"/>
      </w:pPr>
      <w:r w:rsidRPr="002C5876">
        <w:t>4.2.4.1</w:t>
      </w:r>
      <w:r w:rsidRPr="002C5876">
        <w:tab/>
        <w:t>Sur route</w:t>
      </w:r>
    </w:p>
    <w:p w:rsidR="00E24DB7" w:rsidRPr="002C5876" w:rsidRDefault="00E24DB7" w:rsidP="00E24DB7">
      <w:pPr>
        <w:pStyle w:val="SingleTxtG"/>
        <w:ind w:left="2268"/>
      </w:pPr>
      <w:r w:rsidRPr="002C5876">
        <w:t>La mise en température doit être effectuée uniquement au moyen d’un parcours exécuté avec le véhicule.</w:t>
      </w:r>
    </w:p>
    <w:p w:rsidR="00E24DB7" w:rsidRPr="002C5876" w:rsidRDefault="00E24DB7" w:rsidP="00E24DB7">
      <w:pPr>
        <w:pStyle w:val="SingleTxtG"/>
        <w:keepNext/>
        <w:keepLines/>
        <w:ind w:left="2268" w:hanging="1134"/>
      </w:pPr>
      <w:r w:rsidRPr="002C5876">
        <w:t>4.2.4.1.1</w:t>
      </w:r>
      <w:r w:rsidRPr="002C5876">
        <w:tab/>
        <w:t>Avant la mise en température, le véhicule doit effectuer une décélération embrayage débrayé ou transmission automatique au point mort par un freinage modéré de 80 à 20 km/h en 5 à 10 s. Après ce freinage, il ne doit pas y avoir d’autre opération de freinage ni de réglage manuel du système de freinage.</w:t>
      </w:r>
    </w:p>
    <w:p w:rsidR="00E24DB7" w:rsidRPr="002C5876" w:rsidRDefault="00E24DB7" w:rsidP="00E24DB7">
      <w:pPr>
        <w:pStyle w:val="SingleTxtG"/>
        <w:ind w:left="2268"/>
      </w:pPr>
      <w:r w:rsidRPr="002C5876">
        <w:t>À la demande du constructeur, et avec l’accord de l’autorité compétente, un freinage peut aussi être effectué après la mise en température avec la même décélération comme décrit dans le présent paragraphe et seulement si nécessaire.</w:t>
      </w:r>
    </w:p>
    <w:p w:rsidR="00E24DB7" w:rsidRPr="002C5876" w:rsidRDefault="00E24DB7" w:rsidP="00E24DB7">
      <w:pPr>
        <w:pStyle w:val="SingleTxtG"/>
        <w:keepNext/>
        <w:ind w:left="2268" w:hanging="1134"/>
        <w:jc w:val="left"/>
        <w:rPr>
          <w:vertAlign w:val="subscript"/>
        </w:rPr>
      </w:pPr>
      <w:r w:rsidRPr="002C5876">
        <w:lastRenderedPageBreak/>
        <w:t>4.2.4.1.2</w:t>
      </w:r>
      <w:r w:rsidRPr="002C5876">
        <w:tab/>
        <w:t>Mise en température et stabilisation</w:t>
      </w:r>
    </w:p>
    <w:p w:rsidR="00E24DB7" w:rsidRPr="002C5876" w:rsidRDefault="00E24DB7" w:rsidP="00E24DB7">
      <w:pPr>
        <w:pStyle w:val="SingleTxtG"/>
        <w:ind w:left="2268"/>
      </w:pPr>
      <w:r w:rsidRPr="002C5876">
        <w:t>Tous les véhicules doivent effectuer un parcours à 90 % de la vitesse maximale du cycle WLTC applicable. Le véhicule peut effectuer un parcours à 90 % de la vitesse maximale de la phase supérieure suivante (voir tableau A4/3) si cette phase est ajoutée à la procédure de mise en température applicable du cycle WLTC comme indiqué au paragraphe 7.3.4 de la présente annexe. Le véhicule doit effectuer un parcours de mise en température d’au moins 20 min jusqu’à ce que des conditions stables soient atteintes.</w:t>
      </w:r>
    </w:p>
    <w:p w:rsidR="00E24DB7" w:rsidRPr="002C5876" w:rsidRDefault="00E24DB7" w:rsidP="00E24DB7">
      <w:pPr>
        <w:pStyle w:val="Heading1"/>
        <w:spacing w:after="120"/>
        <w:ind w:left="0"/>
        <w:rPr>
          <w:b/>
        </w:rPr>
      </w:pPr>
      <w:r w:rsidRPr="002C5876">
        <w:t>Tableau A4/3</w:t>
      </w:r>
      <w:r w:rsidRPr="002C5876">
        <w:br/>
      </w:r>
      <w:r w:rsidRPr="002C5876">
        <w:rPr>
          <w:b/>
        </w:rPr>
        <w:t>Mise en température et stabilisation entre phases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34"/>
        <w:gridCol w:w="3053"/>
        <w:gridCol w:w="2409"/>
        <w:gridCol w:w="2243"/>
      </w:tblGrid>
      <w:tr w:rsidR="00E24DB7" w:rsidRPr="002C5876" w:rsidTr="00E24DB7">
        <w:trPr>
          <w:tblHeader/>
        </w:trPr>
        <w:tc>
          <w:tcPr>
            <w:tcW w:w="1706" w:type="dxa"/>
            <w:tcBorders>
              <w:top w:val="single" w:sz="4" w:space="0" w:color="auto"/>
              <w:left w:val="single" w:sz="4" w:space="0" w:color="auto"/>
              <w:bottom w:val="single" w:sz="12"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Classe de véhicule</w:t>
            </w:r>
          </w:p>
        </w:tc>
        <w:tc>
          <w:tcPr>
            <w:tcW w:w="2694" w:type="dxa"/>
            <w:tcBorders>
              <w:top w:val="single" w:sz="4" w:space="0" w:color="auto"/>
              <w:left w:val="single" w:sz="4" w:space="0" w:color="auto"/>
              <w:bottom w:val="single" w:sz="12"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Cycle WLTC applicable</w:t>
            </w:r>
          </w:p>
        </w:tc>
        <w:tc>
          <w:tcPr>
            <w:tcW w:w="2126" w:type="dxa"/>
            <w:tcBorders>
              <w:top w:val="single" w:sz="4" w:space="0" w:color="auto"/>
              <w:left w:val="single" w:sz="4" w:space="0" w:color="auto"/>
              <w:bottom w:val="single" w:sz="12"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90 % de la vitesse maximale</w:t>
            </w:r>
          </w:p>
        </w:tc>
        <w:tc>
          <w:tcPr>
            <w:tcW w:w="1979" w:type="dxa"/>
            <w:tcBorders>
              <w:top w:val="single" w:sz="4" w:space="0" w:color="auto"/>
              <w:left w:val="single" w:sz="4" w:space="0" w:color="auto"/>
              <w:bottom w:val="single" w:sz="12" w:space="0" w:color="auto"/>
              <w:right w:val="single" w:sz="4" w:space="0" w:color="auto"/>
            </w:tcBorders>
            <w:vAlign w:val="bottom"/>
            <w:hideMark/>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Phase supérieure suivante</w:t>
            </w:r>
          </w:p>
        </w:tc>
      </w:tr>
      <w:tr w:rsidR="00E24DB7" w:rsidRPr="002C5876" w:rsidTr="00E24DB7">
        <w:tc>
          <w:tcPr>
            <w:tcW w:w="1706"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Classe 1</w:t>
            </w:r>
          </w:p>
        </w:tc>
        <w:tc>
          <w:tcPr>
            <w:tcW w:w="2694" w:type="dxa"/>
            <w:tcBorders>
              <w:top w:val="single" w:sz="12"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Low</w:t>
            </w:r>
            <w:r w:rsidRPr="002C5876">
              <w:rPr>
                <w:sz w:val="18"/>
                <w:szCs w:val="18"/>
                <w:vertAlign w:val="subscript"/>
              </w:rPr>
              <w:t xml:space="preserve">1 </w:t>
            </w:r>
            <w:r w:rsidRPr="002C5876">
              <w:rPr>
                <w:sz w:val="18"/>
                <w:szCs w:val="18"/>
              </w:rPr>
              <w:t>+ Medium</w:t>
            </w:r>
            <w:r w:rsidRPr="002C5876">
              <w:rPr>
                <w:sz w:val="18"/>
                <w:szCs w:val="18"/>
                <w:vertAlign w:val="subscript"/>
              </w:rPr>
              <w:t>1</w:t>
            </w:r>
          </w:p>
        </w:tc>
        <w:tc>
          <w:tcPr>
            <w:tcW w:w="2126" w:type="dxa"/>
            <w:tcBorders>
              <w:top w:val="single" w:sz="12" w:space="0" w:color="auto"/>
              <w:left w:val="single" w:sz="4" w:space="0" w:color="auto"/>
              <w:bottom w:val="single" w:sz="4" w:space="0" w:color="auto"/>
              <w:right w:val="single" w:sz="4" w:space="0" w:color="auto"/>
            </w:tcBorders>
            <w:vAlign w:val="bottom"/>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58 km/h</w:t>
            </w:r>
          </w:p>
        </w:tc>
        <w:tc>
          <w:tcPr>
            <w:tcW w:w="1979" w:type="dxa"/>
            <w:tcBorders>
              <w:top w:val="single" w:sz="12" w:space="0" w:color="auto"/>
              <w:left w:val="single" w:sz="4" w:space="0" w:color="auto"/>
              <w:bottom w:val="single" w:sz="4" w:space="0" w:color="auto"/>
              <w:right w:val="single" w:sz="4" w:space="0" w:color="auto"/>
            </w:tcBorders>
            <w:vAlign w:val="bottom"/>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s.o.</w:t>
            </w:r>
          </w:p>
        </w:tc>
      </w:tr>
      <w:tr w:rsidR="00E24DB7" w:rsidRPr="002C5876" w:rsidTr="00E24DB7">
        <w:tc>
          <w:tcPr>
            <w:tcW w:w="1706" w:type="dxa"/>
            <w:vMerge w:val="restart"/>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Classe 2</w:t>
            </w:r>
          </w:p>
        </w:tc>
        <w:tc>
          <w:tcPr>
            <w:tcW w:w="2694" w:type="dxa"/>
            <w:tcBorders>
              <w:top w:val="single" w:sz="4" w:space="0" w:color="auto"/>
              <w:left w:val="single" w:sz="4" w:space="0" w:color="auto"/>
              <w:bottom w:val="single" w:sz="4" w:space="0" w:color="auto"/>
              <w:right w:val="single" w:sz="4" w:space="0" w:color="auto"/>
            </w:tcBorders>
            <w:hideMark/>
          </w:tcPr>
          <w:p w:rsidR="00E24DB7" w:rsidRPr="00D53F39" w:rsidRDefault="00E24DB7" w:rsidP="00E24DB7">
            <w:pPr>
              <w:suppressAutoHyphens w:val="0"/>
              <w:spacing w:before="60" w:after="60" w:line="220" w:lineRule="atLeast"/>
              <w:ind w:left="57" w:right="57"/>
              <w:rPr>
                <w:sz w:val="18"/>
                <w:szCs w:val="18"/>
                <w:lang w:val="en-US"/>
              </w:rPr>
            </w:pPr>
            <w:r w:rsidRPr="00D53F39">
              <w:rPr>
                <w:sz w:val="18"/>
                <w:szCs w:val="18"/>
                <w:lang w:val="en-US"/>
              </w:rPr>
              <w:t>Low</w:t>
            </w:r>
            <w:r w:rsidRPr="00D53F39">
              <w:rPr>
                <w:sz w:val="18"/>
                <w:szCs w:val="18"/>
                <w:vertAlign w:val="subscript"/>
                <w:lang w:val="en-US"/>
              </w:rPr>
              <w:t xml:space="preserve">2 </w:t>
            </w:r>
            <w:r w:rsidRPr="00D53F39">
              <w:rPr>
                <w:sz w:val="18"/>
                <w:szCs w:val="18"/>
                <w:lang w:val="en-US"/>
              </w:rPr>
              <w:t>+ Medium</w:t>
            </w:r>
            <w:r w:rsidRPr="00D53F39">
              <w:rPr>
                <w:sz w:val="18"/>
                <w:szCs w:val="18"/>
                <w:vertAlign w:val="subscript"/>
                <w:lang w:val="en-US"/>
              </w:rPr>
              <w:t xml:space="preserve">2 </w:t>
            </w:r>
            <w:r w:rsidRPr="00D53F39">
              <w:rPr>
                <w:sz w:val="18"/>
                <w:szCs w:val="18"/>
                <w:lang w:val="en-US"/>
              </w:rPr>
              <w:t>+ High</w:t>
            </w:r>
            <w:r w:rsidRPr="00D53F39">
              <w:rPr>
                <w:sz w:val="18"/>
                <w:szCs w:val="18"/>
                <w:vertAlign w:val="subscript"/>
                <w:lang w:val="en-US"/>
              </w:rPr>
              <w:t>2</w:t>
            </w:r>
            <w:r w:rsidRPr="00D53F39">
              <w:rPr>
                <w:sz w:val="18"/>
                <w:szCs w:val="18"/>
                <w:lang w:val="en-US"/>
              </w:rPr>
              <w:t xml:space="preserve"> Extra High</w:t>
            </w:r>
            <w:r w:rsidRPr="00D53F39">
              <w:rPr>
                <w:sz w:val="18"/>
                <w:szCs w:val="18"/>
                <w:vertAlign w:val="subscript"/>
                <w:lang w:val="en-US"/>
              </w:rPr>
              <w:t>2</w:t>
            </w:r>
          </w:p>
        </w:tc>
        <w:tc>
          <w:tcPr>
            <w:tcW w:w="2126" w:type="dxa"/>
            <w:tcBorders>
              <w:top w:val="single" w:sz="4" w:space="0" w:color="auto"/>
              <w:left w:val="single" w:sz="4" w:space="0" w:color="auto"/>
              <w:bottom w:val="single" w:sz="4" w:space="0" w:color="auto"/>
              <w:right w:val="single" w:sz="4" w:space="0" w:color="auto"/>
            </w:tcBorders>
            <w:vAlign w:val="bottom"/>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111 km/h</w:t>
            </w:r>
          </w:p>
        </w:tc>
        <w:tc>
          <w:tcPr>
            <w:tcW w:w="1979" w:type="dxa"/>
            <w:tcBorders>
              <w:top w:val="single" w:sz="4" w:space="0" w:color="auto"/>
              <w:left w:val="single" w:sz="4" w:space="0" w:color="auto"/>
              <w:bottom w:val="single" w:sz="4" w:space="0" w:color="auto"/>
              <w:right w:val="single" w:sz="4" w:space="0" w:color="auto"/>
            </w:tcBorders>
            <w:vAlign w:val="bottom"/>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s.o.</w:t>
            </w:r>
          </w:p>
        </w:tc>
      </w:tr>
      <w:tr w:rsidR="00E24DB7" w:rsidRPr="002C5876" w:rsidTr="00E24DB7">
        <w:tc>
          <w:tcPr>
            <w:tcW w:w="1706" w:type="dxa"/>
            <w:vMerge/>
            <w:tcBorders>
              <w:top w:val="single" w:sz="4" w:space="0" w:color="auto"/>
              <w:left w:val="single" w:sz="4" w:space="0" w:color="auto"/>
              <w:bottom w:val="single" w:sz="4" w:space="0" w:color="auto"/>
              <w:right w:val="single" w:sz="4" w:space="0" w:color="auto"/>
            </w:tcBorders>
            <w:vAlign w:val="center"/>
            <w:hideMark/>
          </w:tcPr>
          <w:p w:rsidR="00E24DB7" w:rsidRPr="002C5876" w:rsidRDefault="00E24DB7" w:rsidP="00E24DB7">
            <w:pPr>
              <w:suppressAutoHyphens w:val="0"/>
              <w:spacing w:before="60" w:after="60" w:line="220" w:lineRule="atLeast"/>
              <w:ind w:left="57" w:right="57"/>
              <w:rPr>
                <w:sz w:val="18"/>
                <w:szCs w:val="18"/>
              </w:rPr>
            </w:pPr>
          </w:p>
        </w:tc>
        <w:tc>
          <w:tcPr>
            <w:tcW w:w="2694" w:type="dxa"/>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Low</w:t>
            </w:r>
            <w:r w:rsidRPr="002C5876">
              <w:rPr>
                <w:sz w:val="18"/>
                <w:szCs w:val="18"/>
                <w:vertAlign w:val="subscript"/>
              </w:rPr>
              <w:t xml:space="preserve">2 </w:t>
            </w:r>
            <w:r w:rsidRPr="002C5876">
              <w:rPr>
                <w:sz w:val="18"/>
                <w:szCs w:val="18"/>
              </w:rPr>
              <w:t>+ Medium</w:t>
            </w:r>
            <w:r w:rsidRPr="002C5876">
              <w:rPr>
                <w:sz w:val="18"/>
                <w:szCs w:val="18"/>
                <w:vertAlign w:val="subscript"/>
              </w:rPr>
              <w:t xml:space="preserve">2 </w:t>
            </w:r>
            <w:r w:rsidRPr="002C5876">
              <w:rPr>
                <w:sz w:val="18"/>
                <w:szCs w:val="18"/>
              </w:rPr>
              <w:t>+ High</w:t>
            </w:r>
            <w:r w:rsidRPr="002C5876">
              <w:rPr>
                <w:sz w:val="18"/>
                <w:szCs w:val="18"/>
                <w:vertAlign w:val="subscript"/>
              </w:rPr>
              <w:t>2</w:t>
            </w:r>
          </w:p>
        </w:tc>
        <w:tc>
          <w:tcPr>
            <w:tcW w:w="2126" w:type="dxa"/>
            <w:tcBorders>
              <w:top w:val="single" w:sz="4" w:space="0" w:color="auto"/>
              <w:left w:val="single" w:sz="4" w:space="0" w:color="auto"/>
              <w:bottom w:val="single" w:sz="4" w:space="0" w:color="auto"/>
              <w:right w:val="single" w:sz="4" w:space="0" w:color="auto"/>
            </w:tcBorders>
            <w:vAlign w:val="bottom"/>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77 km/h</w:t>
            </w:r>
          </w:p>
        </w:tc>
        <w:tc>
          <w:tcPr>
            <w:tcW w:w="1979" w:type="dxa"/>
            <w:tcBorders>
              <w:top w:val="single" w:sz="4" w:space="0" w:color="auto"/>
              <w:left w:val="single" w:sz="4" w:space="0" w:color="auto"/>
              <w:bottom w:val="single" w:sz="4" w:space="0" w:color="auto"/>
              <w:right w:val="single" w:sz="4" w:space="0" w:color="auto"/>
            </w:tcBorders>
            <w:vAlign w:val="bottom"/>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Extra High (111 km/h)</w:t>
            </w:r>
          </w:p>
        </w:tc>
      </w:tr>
      <w:tr w:rsidR="00E24DB7" w:rsidRPr="002C5876" w:rsidTr="00E24DB7">
        <w:tc>
          <w:tcPr>
            <w:tcW w:w="1706" w:type="dxa"/>
            <w:vMerge w:val="restart"/>
            <w:tcBorders>
              <w:top w:val="single" w:sz="4" w:space="0" w:color="auto"/>
              <w:left w:val="single" w:sz="4" w:space="0" w:color="auto"/>
              <w:bottom w:val="single" w:sz="4"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Classe 3</w:t>
            </w:r>
          </w:p>
        </w:tc>
        <w:tc>
          <w:tcPr>
            <w:tcW w:w="2694" w:type="dxa"/>
            <w:tcBorders>
              <w:top w:val="single" w:sz="4" w:space="0" w:color="auto"/>
              <w:left w:val="single" w:sz="4" w:space="0" w:color="auto"/>
              <w:bottom w:val="single" w:sz="4" w:space="0" w:color="auto"/>
              <w:right w:val="single" w:sz="4" w:space="0" w:color="auto"/>
            </w:tcBorders>
            <w:hideMark/>
          </w:tcPr>
          <w:p w:rsidR="00E24DB7" w:rsidRPr="00D53F39" w:rsidRDefault="00E24DB7" w:rsidP="00E24DB7">
            <w:pPr>
              <w:suppressAutoHyphens w:val="0"/>
              <w:spacing w:before="60" w:after="60" w:line="220" w:lineRule="atLeast"/>
              <w:ind w:left="57" w:right="57"/>
              <w:rPr>
                <w:sz w:val="18"/>
                <w:szCs w:val="18"/>
                <w:lang w:val="en-US"/>
              </w:rPr>
            </w:pPr>
            <w:r w:rsidRPr="00D53F39">
              <w:rPr>
                <w:sz w:val="18"/>
                <w:szCs w:val="18"/>
                <w:lang w:val="en-US"/>
              </w:rPr>
              <w:t>Low</w:t>
            </w:r>
            <w:r w:rsidRPr="00D53F39">
              <w:rPr>
                <w:sz w:val="18"/>
                <w:szCs w:val="18"/>
                <w:vertAlign w:val="subscript"/>
                <w:lang w:val="en-US"/>
              </w:rPr>
              <w:t xml:space="preserve">3 </w:t>
            </w:r>
            <w:r w:rsidRPr="00D53F39">
              <w:rPr>
                <w:sz w:val="18"/>
                <w:szCs w:val="18"/>
                <w:lang w:val="en-US"/>
              </w:rPr>
              <w:t>+ Medium</w:t>
            </w:r>
            <w:r w:rsidRPr="00D53F39">
              <w:rPr>
                <w:sz w:val="18"/>
                <w:szCs w:val="18"/>
                <w:vertAlign w:val="subscript"/>
                <w:lang w:val="en-US"/>
              </w:rPr>
              <w:t xml:space="preserve">3 </w:t>
            </w:r>
            <w:r w:rsidRPr="00D53F39">
              <w:rPr>
                <w:sz w:val="18"/>
                <w:szCs w:val="18"/>
                <w:lang w:val="en-US"/>
              </w:rPr>
              <w:t>+ High</w:t>
            </w:r>
            <w:r w:rsidRPr="00D53F39">
              <w:rPr>
                <w:sz w:val="18"/>
                <w:szCs w:val="18"/>
                <w:vertAlign w:val="subscript"/>
                <w:lang w:val="en-US"/>
              </w:rPr>
              <w:t xml:space="preserve">3 </w:t>
            </w:r>
            <w:r w:rsidRPr="00D53F39">
              <w:rPr>
                <w:sz w:val="18"/>
                <w:szCs w:val="18"/>
                <w:lang w:val="en-US"/>
              </w:rPr>
              <w:t>+ Extra High</w:t>
            </w:r>
            <w:r w:rsidRPr="00D53F39">
              <w:rPr>
                <w:sz w:val="18"/>
                <w:szCs w:val="18"/>
                <w:vertAlign w:val="subscript"/>
                <w:lang w:val="en-US"/>
              </w:rPr>
              <w:t>3</w:t>
            </w:r>
          </w:p>
        </w:tc>
        <w:tc>
          <w:tcPr>
            <w:tcW w:w="2126" w:type="dxa"/>
            <w:tcBorders>
              <w:top w:val="single" w:sz="4" w:space="0" w:color="auto"/>
              <w:left w:val="single" w:sz="4" w:space="0" w:color="auto"/>
              <w:bottom w:val="single" w:sz="4" w:space="0" w:color="auto"/>
              <w:right w:val="single" w:sz="4" w:space="0" w:color="auto"/>
            </w:tcBorders>
            <w:vAlign w:val="bottom"/>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118 km/h</w:t>
            </w:r>
          </w:p>
        </w:tc>
        <w:tc>
          <w:tcPr>
            <w:tcW w:w="1979" w:type="dxa"/>
            <w:tcBorders>
              <w:top w:val="single" w:sz="4" w:space="0" w:color="auto"/>
              <w:left w:val="single" w:sz="4" w:space="0" w:color="auto"/>
              <w:bottom w:val="single" w:sz="4" w:space="0" w:color="auto"/>
              <w:right w:val="single" w:sz="4" w:space="0" w:color="auto"/>
            </w:tcBorders>
            <w:vAlign w:val="bottom"/>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s.o.</w:t>
            </w:r>
          </w:p>
        </w:tc>
      </w:tr>
      <w:tr w:rsidR="00E24DB7" w:rsidRPr="002C5876" w:rsidTr="00E24DB7">
        <w:tc>
          <w:tcPr>
            <w:tcW w:w="1706" w:type="dxa"/>
            <w:vMerge/>
            <w:tcBorders>
              <w:top w:val="single" w:sz="4" w:space="0" w:color="auto"/>
              <w:left w:val="single" w:sz="4" w:space="0" w:color="auto"/>
              <w:bottom w:val="single" w:sz="12" w:space="0" w:color="auto"/>
              <w:right w:val="single" w:sz="4" w:space="0" w:color="auto"/>
            </w:tcBorders>
            <w:vAlign w:val="center"/>
            <w:hideMark/>
          </w:tcPr>
          <w:p w:rsidR="00E24DB7" w:rsidRPr="002C5876" w:rsidRDefault="00E24DB7" w:rsidP="00E24DB7">
            <w:pPr>
              <w:suppressAutoHyphens w:val="0"/>
              <w:spacing w:before="60" w:after="60" w:line="220" w:lineRule="atLeast"/>
              <w:ind w:left="57" w:right="57"/>
              <w:rPr>
                <w:sz w:val="18"/>
                <w:szCs w:val="18"/>
              </w:rPr>
            </w:pPr>
          </w:p>
        </w:tc>
        <w:tc>
          <w:tcPr>
            <w:tcW w:w="2694" w:type="dxa"/>
            <w:tcBorders>
              <w:top w:val="single" w:sz="4" w:space="0" w:color="auto"/>
              <w:left w:val="single" w:sz="4" w:space="0" w:color="auto"/>
              <w:bottom w:val="single" w:sz="12" w:space="0" w:color="auto"/>
              <w:right w:val="single" w:sz="4" w:space="0" w:color="auto"/>
            </w:tcBorders>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Low</w:t>
            </w:r>
            <w:r w:rsidRPr="002C5876">
              <w:rPr>
                <w:sz w:val="18"/>
                <w:szCs w:val="18"/>
                <w:vertAlign w:val="subscript"/>
              </w:rPr>
              <w:t xml:space="preserve">3 </w:t>
            </w:r>
            <w:r w:rsidRPr="002C5876">
              <w:rPr>
                <w:sz w:val="18"/>
                <w:szCs w:val="18"/>
              </w:rPr>
              <w:t>+ Medium</w:t>
            </w:r>
            <w:r w:rsidRPr="002C5876">
              <w:rPr>
                <w:sz w:val="18"/>
                <w:szCs w:val="18"/>
                <w:vertAlign w:val="subscript"/>
              </w:rPr>
              <w:t xml:space="preserve">3 </w:t>
            </w:r>
            <w:r w:rsidRPr="002C5876">
              <w:rPr>
                <w:sz w:val="18"/>
                <w:szCs w:val="18"/>
              </w:rPr>
              <w:t>+ High</w:t>
            </w:r>
            <w:r w:rsidRPr="002C5876">
              <w:rPr>
                <w:sz w:val="18"/>
                <w:szCs w:val="18"/>
                <w:vertAlign w:val="subscript"/>
              </w:rPr>
              <w:t>3</w:t>
            </w:r>
          </w:p>
        </w:tc>
        <w:tc>
          <w:tcPr>
            <w:tcW w:w="2126" w:type="dxa"/>
            <w:tcBorders>
              <w:top w:val="single" w:sz="4" w:space="0" w:color="auto"/>
              <w:left w:val="single" w:sz="4" w:space="0" w:color="auto"/>
              <w:bottom w:val="single" w:sz="12" w:space="0" w:color="auto"/>
              <w:right w:val="single" w:sz="4" w:space="0" w:color="auto"/>
            </w:tcBorders>
            <w:vAlign w:val="bottom"/>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88 km/h</w:t>
            </w:r>
          </w:p>
        </w:tc>
        <w:tc>
          <w:tcPr>
            <w:tcW w:w="1979" w:type="dxa"/>
            <w:tcBorders>
              <w:top w:val="single" w:sz="4" w:space="0" w:color="auto"/>
              <w:left w:val="single" w:sz="4" w:space="0" w:color="auto"/>
              <w:bottom w:val="single" w:sz="12" w:space="0" w:color="auto"/>
              <w:right w:val="single" w:sz="4" w:space="0" w:color="auto"/>
            </w:tcBorders>
            <w:vAlign w:val="bottom"/>
            <w:hideMark/>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Extra High (118 km/h)</w:t>
            </w:r>
          </w:p>
        </w:tc>
      </w:tr>
    </w:tbl>
    <w:p w:rsidR="00E24DB7" w:rsidRPr="002C5876" w:rsidRDefault="00E24DB7" w:rsidP="00E24DB7">
      <w:pPr>
        <w:pStyle w:val="SingleTxtG"/>
        <w:keepNext/>
        <w:spacing w:before="240"/>
        <w:ind w:left="2268" w:hanging="1134"/>
        <w:jc w:val="left"/>
      </w:pPr>
      <w:r w:rsidRPr="002C5876">
        <w:t>4.2.4.1.3</w:t>
      </w:r>
      <w:r w:rsidRPr="002C5876">
        <w:tab/>
        <w:t>Critères indiquant des conditions stables</w:t>
      </w:r>
    </w:p>
    <w:p w:rsidR="00E24DB7" w:rsidRPr="002C5876" w:rsidRDefault="00E24DB7" w:rsidP="00E24DB7">
      <w:pPr>
        <w:pStyle w:val="SingleTxtG"/>
        <w:ind w:left="2268"/>
      </w:pPr>
      <w:r w:rsidRPr="002C5876">
        <w:t>Voir le paragraphe 4.3.1.4.2 de la présente annexe.</w:t>
      </w:r>
    </w:p>
    <w:p w:rsidR="00E24DB7" w:rsidRPr="002C5876" w:rsidRDefault="00E24DB7" w:rsidP="00E24DB7">
      <w:pPr>
        <w:pStyle w:val="SingleTxtG"/>
        <w:keepNext/>
        <w:ind w:left="2268" w:hanging="1134"/>
        <w:jc w:val="left"/>
      </w:pPr>
      <w:r w:rsidRPr="002C5876">
        <w:t>4.3</w:t>
      </w:r>
      <w:r w:rsidRPr="002C5876">
        <w:tab/>
        <w:t xml:space="preserve">Mesure et calcul de la résistance à l’avancement sur route par la méthode de la décélération libre </w:t>
      </w:r>
    </w:p>
    <w:p w:rsidR="00E24DB7" w:rsidRPr="002C5876" w:rsidRDefault="00E24DB7" w:rsidP="00E24DB7">
      <w:pPr>
        <w:pStyle w:val="SingleTxtG"/>
        <w:ind w:left="2268"/>
      </w:pPr>
      <w:r w:rsidRPr="002C5876">
        <w:t>La résistance à l’avancement sur route doit être déterminée par la méthode avec mesure anémométrique stationnaire (par. 4.3.1 de la présente annexe) ou par la méthode avec anémomètre embarqué (par. 4.3.2 de la présente annexe).</w:t>
      </w:r>
    </w:p>
    <w:p w:rsidR="00E24DB7" w:rsidRPr="002C5876" w:rsidRDefault="00E24DB7" w:rsidP="00E24DB7">
      <w:pPr>
        <w:pStyle w:val="SingleTxtG"/>
        <w:keepNext/>
        <w:ind w:left="2268" w:hanging="1134"/>
        <w:jc w:val="left"/>
      </w:pPr>
      <w:r w:rsidRPr="002C5876">
        <w:t>4.3.1</w:t>
      </w:r>
      <w:r w:rsidRPr="002C5876">
        <w:tab/>
        <w:t>Méthode de la décélération libre avec mesure anémométrique stationnaire</w:t>
      </w:r>
    </w:p>
    <w:p w:rsidR="00E24DB7" w:rsidRPr="002C5876" w:rsidRDefault="00E24DB7" w:rsidP="00E24DB7">
      <w:pPr>
        <w:pStyle w:val="SingleTxtG"/>
        <w:keepNext/>
        <w:ind w:left="2268" w:hanging="1134"/>
        <w:jc w:val="left"/>
        <w:rPr>
          <w:rStyle w:val="SingleTxtGChar"/>
        </w:rPr>
      </w:pPr>
      <w:r w:rsidRPr="002C5876">
        <w:t>4.3.1.1</w:t>
      </w:r>
      <w:r w:rsidRPr="002C5876">
        <w:tab/>
        <w:t>Sélection des vitesses de référence pour la détermination de la courbe</w:t>
      </w:r>
      <w:r w:rsidRPr="002C5876">
        <w:rPr>
          <w:rStyle w:val="SingleTxtGChar"/>
        </w:rPr>
        <w:t xml:space="preserve"> de résistance à l’avancement sur route</w:t>
      </w:r>
    </w:p>
    <w:p w:rsidR="00E24DB7" w:rsidRPr="002C5876" w:rsidRDefault="00E24DB7" w:rsidP="00E24DB7">
      <w:pPr>
        <w:pStyle w:val="SingleTxtG"/>
        <w:ind w:left="2268"/>
      </w:pPr>
      <w:r w:rsidRPr="002C5876">
        <w:t>Les vitesses de référence pour la détermination de la résistance à l’avancement sur route doivent être sélectionnées conformément au paragraphe 2.2 de la présente annexe.</w:t>
      </w:r>
    </w:p>
    <w:p w:rsidR="00E24DB7" w:rsidRPr="002C5876" w:rsidRDefault="00E24DB7" w:rsidP="00E24DB7">
      <w:pPr>
        <w:pStyle w:val="SingleTxtG"/>
        <w:keepNext/>
        <w:ind w:left="2268" w:hanging="1134"/>
        <w:jc w:val="left"/>
      </w:pPr>
      <w:r w:rsidRPr="002C5876">
        <w:t>4.3.1.2</w:t>
      </w:r>
      <w:r w:rsidRPr="002C5876">
        <w:tab/>
        <w:t>Collecte des données</w:t>
      </w:r>
    </w:p>
    <w:p w:rsidR="00E24DB7" w:rsidRPr="002C5876" w:rsidRDefault="00E24DB7" w:rsidP="00E24DB7">
      <w:pPr>
        <w:pStyle w:val="SingleTxtG"/>
        <w:ind w:left="2268"/>
      </w:pPr>
      <w:r w:rsidRPr="002C5876">
        <w:t>Pendant l’essai, le temps écoulé et la vitesse du véhicule doivent être mesurés à la fréquence minimale de 10 Hz.</w:t>
      </w:r>
    </w:p>
    <w:p w:rsidR="00E24DB7" w:rsidRPr="002C5876" w:rsidRDefault="00E24DB7" w:rsidP="00E24DB7">
      <w:pPr>
        <w:pStyle w:val="SingleTxtG"/>
        <w:keepNext/>
        <w:ind w:left="2268" w:hanging="1134"/>
        <w:jc w:val="left"/>
      </w:pPr>
      <w:r w:rsidRPr="002C5876">
        <w:t>4.3.1.3</w:t>
      </w:r>
      <w:r w:rsidRPr="002C5876">
        <w:tab/>
        <w:t>Essai de décélération libre du véhicule</w:t>
      </w:r>
    </w:p>
    <w:p w:rsidR="00E24DB7" w:rsidRPr="002C5876" w:rsidRDefault="00E24DB7" w:rsidP="00E24DB7">
      <w:pPr>
        <w:pStyle w:val="SingleTxtG"/>
        <w:ind w:left="2268" w:hanging="1134"/>
      </w:pPr>
      <w:r w:rsidRPr="002C5876">
        <w:t>4.3.1.3.1</w:t>
      </w:r>
      <w:r w:rsidRPr="002C5876">
        <w:tab/>
        <w:t>Après l’opération de mise en température du véhicule (par. 4.2.4 de la présente annexe), et immédiatement avant chaque mesure d’essai, le véhicule doit être accéléré jusqu’à 10 à 15 km/h au-dessus de la plus haute vitesse de référence et effectuer un parcours à cette vitesse pendant 1 minute au maximum ; après quoi l’essai de décélération libre doit commencer immédiatement.</w:t>
      </w:r>
    </w:p>
    <w:p w:rsidR="00E24DB7" w:rsidRPr="002C5876" w:rsidRDefault="00E24DB7" w:rsidP="00E24DB7">
      <w:pPr>
        <w:pStyle w:val="SingleTxtG"/>
        <w:ind w:left="2268" w:hanging="1134"/>
      </w:pPr>
      <w:r w:rsidRPr="002C5876">
        <w:t>4.3.1.3.2</w:t>
      </w:r>
      <w:r w:rsidRPr="002C5876">
        <w:tab/>
        <w:t>Pendant la décélération libre, la transmission doit être au point mort. Tout mouvement du volant de direction doit être évité autant que possible, et les freins du véhicule ne doivent pas être actionnés.</w:t>
      </w:r>
    </w:p>
    <w:p w:rsidR="00E24DB7" w:rsidRPr="002C5876" w:rsidRDefault="00E24DB7" w:rsidP="00E24DB7">
      <w:pPr>
        <w:pStyle w:val="SingleTxtG"/>
        <w:ind w:left="2268" w:hanging="1134"/>
      </w:pPr>
      <w:r w:rsidRPr="002C5876">
        <w:t>4.3.1.3.3</w:t>
      </w:r>
      <w:r w:rsidRPr="002C5876">
        <w:tab/>
        <w:t>L’essai doit être répété jusqu’à ce que les données de décélération libre satisfassent aux conditions concernant la précision statistique comme spécifié au paragraphe 4.3.1.4.2 de la présente annexe.</w:t>
      </w:r>
    </w:p>
    <w:p w:rsidR="00E24DB7" w:rsidRPr="002C5876" w:rsidRDefault="00E24DB7" w:rsidP="00E24DB7">
      <w:pPr>
        <w:pStyle w:val="SingleTxtG"/>
        <w:ind w:left="2268" w:hanging="1134"/>
      </w:pPr>
      <w:r w:rsidRPr="002C5876">
        <w:t>4.3.1.3.4</w:t>
      </w:r>
      <w:r w:rsidRPr="002C5876">
        <w:tab/>
        <w:t xml:space="preserve">Bien qu’il soit recommandé que chaque essai de décélération libre soit effectué sans interruption, des essais fractionnés peuvent être exécutés s’il est impossible de collecter les données en une seule fois pour tous les points de </w:t>
      </w:r>
      <w:r w:rsidRPr="002C5876">
        <w:lastRenderedPageBreak/>
        <w:t>vitesse de référence. Dans le cas des essais fractionnés, les prescriptions supplémentaires suivantes s’appliquent :</w:t>
      </w:r>
    </w:p>
    <w:p w:rsidR="00E24DB7" w:rsidRPr="002C5876" w:rsidRDefault="00E24DB7" w:rsidP="00E24DB7">
      <w:pPr>
        <w:pStyle w:val="SingleTxtG"/>
        <w:ind w:left="2835" w:hanging="567"/>
      </w:pPr>
      <w:r w:rsidRPr="002C5876">
        <w:t>a)</w:t>
      </w:r>
      <w:r w:rsidRPr="002C5876">
        <w:tab/>
        <w:t>On doit veiller à ce que les conditions relatives au véhicule demeurent aussi stables que possible à chaque point de fractionnement ;</w:t>
      </w:r>
    </w:p>
    <w:p w:rsidR="00E24DB7" w:rsidRPr="002C5876" w:rsidRDefault="00E24DB7" w:rsidP="00E24DB7">
      <w:pPr>
        <w:pStyle w:val="SingleTxtG"/>
        <w:ind w:left="2835" w:hanging="567"/>
      </w:pPr>
      <w:r w:rsidRPr="002C5876">
        <w:t>b)</w:t>
      </w:r>
      <w:r w:rsidRPr="002C5876">
        <w:tab/>
        <w:t>Au moins un point de vitesse doit être situé à la fois dans une plage de vitesses donnée et dans la plage de vitesses supérieure ;</w:t>
      </w:r>
    </w:p>
    <w:p w:rsidR="00E24DB7" w:rsidRPr="002C5876" w:rsidRDefault="00E24DB7" w:rsidP="00E24DB7">
      <w:pPr>
        <w:pStyle w:val="SingleTxtG"/>
        <w:ind w:left="2835" w:hanging="567"/>
      </w:pPr>
      <w:r w:rsidRPr="002C5876">
        <w:t>c)</w:t>
      </w:r>
      <w:r w:rsidRPr="002C5876">
        <w:tab/>
        <w:t xml:space="preserve">Pour chacun de ces points de chevauchement, l’écart entre la force de décélération moyenne de la plage inférieure et la force de décélération moyenne de la plage supérieure ne doit pas excéder </w:t>
      </w:r>
      <w:r w:rsidRPr="002C5876">
        <w:sym w:font="Symbol" w:char="F0B1"/>
      </w:r>
      <w:r w:rsidRPr="002C5876">
        <w:t xml:space="preserve">10 N ou </w:t>
      </w:r>
      <w:r w:rsidRPr="002C5876">
        <w:sym w:font="Symbol" w:char="F0B1"/>
      </w:r>
      <w:r w:rsidRPr="002C5876">
        <w:t>5 %, la plus grande de ces deux valeurs étant retenue ;</w:t>
      </w:r>
    </w:p>
    <w:p w:rsidR="00E24DB7" w:rsidRPr="002C5876" w:rsidRDefault="00E24DB7" w:rsidP="00E24DB7">
      <w:pPr>
        <w:pStyle w:val="SingleTxtG"/>
        <w:ind w:left="2835" w:hanging="567"/>
      </w:pPr>
      <w:r w:rsidRPr="002C5876">
        <w:t>d)</w:t>
      </w:r>
      <w:r w:rsidRPr="002C5876">
        <w:tab/>
        <w:t>Si la piste n’est pas suffisamment longue pour que la condition énoncée à l’alinéa b) du présent paragraphe soit satisfaite, on doit ajouter un point de vitesse supplémentaire qui fera office de point de chevauchement.</w:t>
      </w:r>
    </w:p>
    <w:p w:rsidR="00E24DB7" w:rsidRPr="002C5876" w:rsidRDefault="00E24DB7" w:rsidP="00E24DB7">
      <w:pPr>
        <w:pStyle w:val="SingleTxtG"/>
        <w:keepNext/>
        <w:keepLines/>
        <w:ind w:left="2268" w:hanging="1134"/>
        <w:jc w:val="left"/>
      </w:pPr>
      <w:r w:rsidRPr="002C5876">
        <w:t>4.3.1.4</w:t>
      </w:r>
      <w:r w:rsidRPr="002C5876">
        <w:tab/>
        <w:t>Mesure du temps de décélération libre</w:t>
      </w:r>
    </w:p>
    <w:p w:rsidR="00E24DB7" w:rsidRPr="002C5876" w:rsidRDefault="00E24DB7" w:rsidP="00E24DB7">
      <w:pPr>
        <w:pStyle w:val="SingleTxtG"/>
        <w:ind w:left="2268" w:hanging="1134"/>
      </w:pPr>
      <w:r w:rsidRPr="002C5876">
        <w:t>4.3.1.4.1</w:t>
      </w:r>
      <w:r w:rsidRPr="002C5876">
        <w:tab/>
        <w:t>Le temps de décélération libre correspondant à la vitesse de référence v</w:t>
      </w:r>
      <w:r w:rsidRPr="002C5876">
        <w:rPr>
          <w:vertAlign w:val="subscript"/>
        </w:rPr>
        <w:t>j</w:t>
      </w:r>
      <w:r w:rsidRPr="002C5876">
        <w:t>, c’est-à-dire le temps écoulé entre les vitesses (v</w:t>
      </w:r>
      <w:r w:rsidRPr="002C5876">
        <w:rPr>
          <w:vertAlign w:val="subscript"/>
        </w:rPr>
        <w:t>j</w:t>
      </w:r>
      <w:r w:rsidRPr="002C5876">
        <w:t> + 5 km/h) et (v</w:t>
      </w:r>
      <w:r w:rsidRPr="002C5876">
        <w:rPr>
          <w:vertAlign w:val="subscript"/>
        </w:rPr>
        <w:t>j</w:t>
      </w:r>
      <w:r w:rsidRPr="002C5876">
        <w:t> - 5 km/h), doit être mesuré.</w:t>
      </w:r>
    </w:p>
    <w:p w:rsidR="00E24DB7" w:rsidRPr="002C5876" w:rsidRDefault="00E24DB7" w:rsidP="00E24DB7">
      <w:pPr>
        <w:pStyle w:val="SingleTxtG"/>
        <w:keepNext/>
        <w:keepLines/>
        <w:ind w:left="2268" w:hanging="1134"/>
        <w:rPr>
          <w:iCs/>
        </w:rPr>
      </w:pPr>
      <w:r w:rsidRPr="002C5876">
        <w:rPr>
          <w:bCs/>
        </w:rPr>
        <w:t>4.3.1.4.2</w:t>
      </w:r>
      <w:r w:rsidRPr="002C5876">
        <w:rPr>
          <w:bCs/>
        </w:rPr>
        <w:tab/>
        <w:t xml:space="preserve">Ces mesures </w:t>
      </w:r>
      <w:r w:rsidRPr="002C5876">
        <w:t>doivent</w:t>
      </w:r>
      <w:r w:rsidRPr="002C5876">
        <w:rPr>
          <w:bCs/>
        </w:rPr>
        <w:t xml:space="preserve"> être effectuées </w:t>
      </w:r>
      <w:r w:rsidRPr="002C5876">
        <w:t xml:space="preserve">dans les deux sens jusqu’à ce qu’un minimum de trois paires de mesures satisfaisant à la condition requise de précision statistique </w:t>
      </w:r>
      <w:r w:rsidRPr="002C5876">
        <w:rPr>
          <w:iCs/>
        </w:rPr>
        <w:t>p</w:t>
      </w:r>
      <w:r w:rsidRPr="002C5876">
        <w:rPr>
          <w:iCs/>
          <w:vertAlign w:val="subscript"/>
        </w:rPr>
        <w:t>j</w:t>
      </w:r>
      <w:r w:rsidRPr="002C5876">
        <w:t xml:space="preserve">, comme spécifié dans l’équation ci-après, ait été </w:t>
      </w:r>
      <w:r w:rsidRPr="002C5876">
        <w:rPr>
          <w:iCs/>
        </w:rPr>
        <w:t>obtenues :</w:t>
      </w:r>
    </w:p>
    <w:bookmarkStart w:id="27" w:name="_Hlk494967976"/>
    <w:p w:rsidR="00E24DB7" w:rsidRPr="002C5876" w:rsidRDefault="00731CA6" w:rsidP="00E24DB7">
      <w:pPr>
        <w:pStyle w:val="SingleTxtG"/>
        <w:spacing w:after="240"/>
        <w:ind w:left="2268"/>
        <w:jc w:val="center"/>
      </w:pPr>
      <m:oMathPara>
        <m:oMathParaPr>
          <m:jc m:val="center"/>
        </m:oMathParaPr>
        <m:oMath>
          <m:sSub>
            <m:sSubPr>
              <m:ctrlPr>
                <w:rPr>
                  <w:rFonts w:ascii="Cambria Math" w:hAnsi="Cambria Math" w:cstheme="majorBidi"/>
                </w:rPr>
              </m:ctrlPr>
            </m:sSubPr>
            <m:e>
              <m:r>
                <m:rPr>
                  <m:nor/>
                </m:rPr>
                <w:rPr>
                  <w:rFonts w:asciiTheme="majorBidi" w:hAnsiTheme="majorBidi" w:cstheme="majorBidi"/>
                </w:rPr>
                <m:t>p</m:t>
              </m:r>
            </m:e>
            <m:sub>
              <m:r>
                <m:rPr>
                  <m:nor/>
                </m:rPr>
                <w:rPr>
                  <w:rFonts w:asciiTheme="majorBidi" w:hAnsiTheme="majorBidi" w:cstheme="majorBidi"/>
                </w:rPr>
                <m:t>j</m:t>
              </m:r>
            </m:sub>
          </m:sSub>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f>
            <m:fPr>
              <m:ctrlPr>
                <w:rPr>
                  <w:rFonts w:ascii="Cambria Math" w:hAnsi="Cambria Math" w:cstheme="majorBidi"/>
                </w:rPr>
              </m:ctrlPr>
            </m:fPr>
            <m:num>
              <m:r>
                <m:rPr>
                  <m:nor/>
                </m:rPr>
                <w:rPr>
                  <w:rFonts w:asciiTheme="majorBidi" w:hAnsiTheme="majorBidi" w:cstheme="majorBidi"/>
                </w:rPr>
                <m:t>h×</m:t>
              </m:r>
              <m:sSub>
                <m:sSubPr>
                  <m:ctrlPr>
                    <w:rPr>
                      <w:rFonts w:ascii="Cambria Math" w:hAnsi="Cambria Math" w:cstheme="majorBidi"/>
                    </w:rPr>
                  </m:ctrlPr>
                </m:sSubPr>
                <m:e>
                  <m:r>
                    <m:rPr>
                      <m:nor/>
                    </m:rPr>
                    <w:rPr>
                      <w:rFonts w:asciiTheme="majorBidi" w:hAnsiTheme="majorBidi" w:cstheme="majorBidi"/>
                    </w:rPr>
                    <m:t>σ</m:t>
                  </m:r>
                </m:e>
                <m:sub>
                  <m:r>
                    <m:rPr>
                      <m:nor/>
                    </m:rPr>
                    <w:rPr>
                      <w:rFonts w:asciiTheme="majorBidi" w:hAnsiTheme="majorBidi" w:cstheme="majorBidi"/>
                    </w:rPr>
                    <m:t>j</m:t>
                  </m:r>
                </m:sub>
              </m:sSub>
            </m:num>
            <m:den>
              <m:r>
                <m:rPr>
                  <m:nor/>
                </m:rPr>
                <w:rPr>
                  <w:rFonts w:asciiTheme="majorBidi" w:hAnsiTheme="majorBidi" w:cstheme="majorBidi"/>
                </w:rPr>
                <m:t>√n×</m:t>
              </m:r>
              <m:sSub>
                <m:sSubPr>
                  <m:ctrlPr>
                    <w:rPr>
                      <w:rFonts w:ascii="Cambria Math" w:hAnsi="Cambria Math" w:cstheme="majorBidi"/>
                    </w:rPr>
                  </m:ctrlPr>
                </m:sSubPr>
                <m:e>
                  <m:r>
                    <m:rPr>
                      <m:nor/>
                    </m:rPr>
                    <w:rPr>
                      <w:rFonts w:asciiTheme="majorBidi" w:hAnsiTheme="majorBidi" w:cstheme="majorBidi"/>
                    </w:rPr>
                    <m:t>∆t</m:t>
                  </m:r>
                </m:e>
                <m:sub>
                  <m:r>
                    <m:rPr>
                      <m:nor/>
                    </m:rPr>
                    <w:rPr>
                      <w:rFonts w:asciiTheme="majorBidi" w:hAnsiTheme="majorBidi" w:cstheme="majorBidi"/>
                    </w:rPr>
                    <m:t>pj</m:t>
                  </m:r>
                </m:sub>
              </m:sSub>
            </m:den>
          </m:f>
          <m:r>
            <m:rPr>
              <m:nor/>
            </m:rPr>
            <w:rPr>
              <w:rFonts w:asciiTheme="majorBidi" w:hAnsiTheme="majorBidi" w:cstheme="majorBidi"/>
            </w:rPr>
            <m:t xml:space="preserve"> ≤</m:t>
          </m:r>
          <m:r>
            <m:rPr>
              <m:nor/>
            </m:rPr>
            <w:rPr>
              <w:rFonts w:ascii="Cambria Math" w:hAnsiTheme="majorBidi" w:cstheme="majorBidi"/>
            </w:rPr>
            <m:t xml:space="preserve"> </m:t>
          </m:r>
          <m:r>
            <m:rPr>
              <m:nor/>
            </m:rPr>
            <w:rPr>
              <w:rFonts w:asciiTheme="majorBidi" w:hAnsiTheme="majorBidi" w:cstheme="majorBidi"/>
            </w:rPr>
            <m:t>0,03</m:t>
          </m:r>
        </m:oMath>
      </m:oMathPara>
      <w:bookmarkEnd w:id="27"/>
    </w:p>
    <w:p w:rsidR="00E24DB7" w:rsidRPr="002C5876" w:rsidRDefault="00E24DB7" w:rsidP="00E24DB7">
      <w:pPr>
        <w:pStyle w:val="SingleTxtG"/>
        <w:ind w:left="2268"/>
      </w:pPr>
      <w:r w:rsidRPr="002C5876">
        <w:tab/>
        <w:t>où :</w:t>
      </w:r>
    </w:p>
    <w:p w:rsidR="00E24DB7" w:rsidRPr="002C5876" w:rsidRDefault="00E24DB7" w:rsidP="00E24DB7">
      <w:pPr>
        <w:pStyle w:val="SingleTxtG"/>
        <w:ind w:left="3402" w:hanging="1134"/>
        <w:rPr>
          <w:iCs/>
        </w:rPr>
      </w:pPr>
      <w:r w:rsidRPr="002C5876">
        <w:rPr>
          <w:noProof/>
          <w:position w:val="-12"/>
          <w:lang w:val="en-GB" w:eastAsia="zh-CN"/>
        </w:rPr>
        <w:drawing>
          <wp:inline distT="0" distB="0" distL="0" distR="0" wp14:anchorId="1A9FC8BB" wp14:editId="7EE4703E">
            <wp:extent cx="142875" cy="209550"/>
            <wp:effectExtent l="0" t="0" r="9525" b="0"/>
            <wp:docPr id="961"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sidRPr="002C5876">
        <w:rPr>
          <w:iCs/>
        </w:rPr>
        <w:tab/>
        <w:t>est la précision statistique d</w:t>
      </w:r>
      <w:r w:rsidRPr="002C5876">
        <w:rPr>
          <w:bCs/>
        </w:rPr>
        <w:t xml:space="preserve">es mesures faites </w:t>
      </w:r>
      <w:r w:rsidRPr="002C5876">
        <w:t>à la vitesse de référence v</w:t>
      </w:r>
      <w:r w:rsidRPr="002C5876">
        <w:rPr>
          <w:vertAlign w:val="subscript"/>
        </w:rPr>
        <w:t>i</w:t>
      </w:r>
      <w:r w:rsidRPr="002C5876">
        <w:rPr>
          <w:iCs/>
        </w:rPr>
        <w:t> ;</w:t>
      </w:r>
    </w:p>
    <w:p w:rsidR="00E24DB7" w:rsidRPr="002C5876" w:rsidRDefault="00E24DB7" w:rsidP="00E24DB7">
      <w:pPr>
        <w:pStyle w:val="SingleTxtG"/>
        <w:ind w:left="3402" w:hanging="1134"/>
      </w:pPr>
      <w:r w:rsidRPr="002C5876">
        <w:rPr>
          <w:iCs/>
        </w:rPr>
        <w:t>n</w:t>
      </w:r>
      <w:r w:rsidRPr="002C5876">
        <w:rPr>
          <w:iCs/>
        </w:rPr>
        <w:tab/>
      </w:r>
      <w:r w:rsidRPr="002C5876">
        <w:t>est le nombre de paires de mesures ;</w:t>
      </w:r>
    </w:p>
    <w:p w:rsidR="00E24DB7" w:rsidRPr="002C5876" w:rsidRDefault="00E24DB7" w:rsidP="00E24DB7">
      <w:pPr>
        <w:pStyle w:val="SingleTxtG"/>
        <w:ind w:left="3402" w:hanging="1134"/>
      </w:pPr>
      <w:r w:rsidRPr="002C5876">
        <w:rPr>
          <w:noProof/>
          <w:position w:val="-12"/>
          <w:lang w:val="en-GB" w:eastAsia="zh-CN"/>
        </w:rPr>
        <w:drawing>
          <wp:inline distT="0" distB="0" distL="0" distR="0" wp14:anchorId="1CB2F136" wp14:editId="17DC73AB">
            <wp:extent cx="247650" cy="209550"/>
            <wp:effectExtent l="0" t="0" r="0" b="0"/>
            <wp:docPr id="96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2C5876">
        <w:rPr>
          <w:iCs/>
        </w:rPr>
        <w:tab/>
      </w:r>
      <w:r w:rsidRPr="002C5876">
        <w:t>est la moyenne harmonique des temps de décélération libre à la vitesse de référence v</w:t>
      </w:r>
      <w:r w:rsidRPr="002C5876">
        <w:rPr>
          <w:vertAlign w:val="subscript"/>
        </w:rPr>
        <w:t>j</w:t>
      </w:r>
      <w:r w:rsidRPr="002C5876">
        <w:t>, en s, selon l’équation suivante :</w:t>
      </w:r>
    </w:p>
    <w:p w:rsidR="00E24DB7" w:rsidRPr="002C5876" w:rsidRDefault="00E24DB7" w:rsidP="006527BF">
      <w:pPr>
        <w:spacing w:before="120"/>
        <w:ind w:left="2268" w:right="1134"/>
        <w:jc w:val="center"/>
      </w:pPr>
      <m:oMathPara>
        <m:oMath>
          <m:r>
            <m:rPr>
              <m:nor/>
            </m:rPr>
            <w:rPr>
              <w:rFonts w:asciiTheme="majorBidi" w:hAnsiTheme="majorBidi" w:cstheme="majorBidi"/>
            </w:rPr>
            <m:t>∆</m:t>
          </m:r>
          <m:sSub>
            <m:sSubPr>
              <m:ctrlPr>
                <w:rPr>
                  <w:rFonts w:ascii="Cambria Math" w:hAnsi="Cambria Math" w:cstheme="majorBidi"/>
                </w:rPr>
              </m:ctrlPr>
            </m:sSubPr>
            <m:e>
              <m:r>
                <m:rPr>
                  <m:nor/>
                </m:rPr>
                <w:rPr>
                  <w:rFonts w:asciiTheme="majorBidi" w:hAnsiTheme="majorBidi" w:cstheme="majorBidi"/>
                </w:rPr>
                <m:t>t</m:t>
              </m:r>
            </m:e>
            <m:sub>
              <m:r>
                <m:rPr>
                  <m:nor/>
                </m:rPr>
                <w:rPr>
                  <w:rFonts w:asciiTheme="majorBidi" w:hAnsiTheme="majorBidi" w:cstheme="majorBidi"/>
                </w:rPr>
                <m:t>pj</m:t>
              </m:r>
            </m:sub>
          </m:sSub>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f>
            <m:fPr>
              <m:ctrlPr>
                <w:rPr>
                  <w:rFonts w:ascii="Cambria Math" w:hAnsi="Cambria Math" w:cstheme="majorBidi"/>
                </w:rPr>
              </m:ctrlPr>
            </m:fPr>
            <m:num>
              <m:r>
                <m:rPr>
                  <m:nor/>
                </m:rPr>
                <w:rPr>
                  <w:rFonts w:asciiTheme="majorBidi" w:hAnsiTheme="majorBidi" w:cstheme="majorBidi"/>
                </w:rPr>
                <m:t>n</m:t>
              </m:r>
            </m:num>
            <m:den>
              <m:nary>
                <m:naryPr>
                  <m:chr m:val="∑"/>
                  <m:limLoc m:val="undOvr"/>
                  <m:ctrlPr>
                    <w:rPr>
                      <w:rFonts w:ascii="Cambria Math" w:hAnsi="Cambria Math" w:cstheme="majorBidi"/>
                    </w:rPr>
                  </m:ctrlPr>
                </m:naryPr>
                <m:sub>
                  <m:r>
                    <m:rPr>
                      <m:nor/>
                    </m:rPr>
                    <w:rPr>
                      <w:rFonts w:asciiTheme="majorBidi" w:hAnsiTheme="majorBidi" w:cstheme="majorBidi"/>
                    </w:rPr>
                    <m:t>i=1</m:t>
                  </m:r>
                  <m:r>
                    <m:rPr>
                      <m:nor/>
                    </m:rPr>
                    <w:rPr>
                      <w:rFonts w:ascii="Cambria Math" w:hAnsiTheme="majorBidi" w:cstheme="majorBidi"/>
                    </w:rPr>
                    <m:t xml:space="preserve"> </m:t>
                  </m:r>
                </m:sub>
                <m:sup>
                  <m:r>
                    <m:rPr>
                      <m:nor/>
                    </m:rPr>
                    <w:rPr>
                      <w:rFonts w:asciiTheme="majorBidi" w:hAnsiTheme="majorBidi" w:cstheme="majorBidi"/>
                    </w:rPr>
                    <m:t>n</m:t>
                  </m:r>
                </m:sup>
                <m:e>
                  <m:f>
                    <m:fPr>
                      <m:ctrlPr>
                        <w:rPr>
                          <w:rFonts w:ascii="Cambria Math" w:hAnsi="Cambria Math" w:cstheme="majorBidi"/>
                        </w:rPr>
                      </m:ctrlPr>
                    </m:fPr>
                    <m:num>
                      <m:r>
                        <m:rPr>
                          <m:nor/>
                        </m:rPr>
                        <w:rPr>
                          <w:rFonts w:asciiTheme="majorBidi" w:hAnsiTheme="majorBidi" w:cstheme="majorBidi"/>
                        </w:rPr>
                        <m:t>1</m:t>
                      </m:r>
                    </m:num>
                    <m:den>
                      <m:r>
                        <m:rPr>
                          <m:nor/>
                        </m:rPr>
                        <w:rPr>
                          <w:rFonts w:asciiTheme="majorBidi" w:hAnsiTheme="majorBidi" w:cstheme="majorBidi"/>
                        </w:rPr>
                        <m:t>∆</m:t>
                      </m:r>
                      <m:sSub>
                        <m:sSubPr>
                          <m:ctrlPr>
                            <w:rPr>
                              <w:rFonts w:ascii="Cambria Math" w:hAnsi="Cambria Math" w:cstheme="majorBidi"/>
                            </w:rPr>
                          </m:ctrlPr>
                        </m:sSubPr>
                        <m:e>
                          <m:r>
                            <m:rPr>
                              <m:nor/>
                            </m:rPr>
                            <w:rPr>
                              <w:rFonts w:asciiTheme="majorBidi" w:hAnsiTheme="majorBidi" w:cstheme="majorBidi"/>
                            </w:rPr>
                            <m:t>t</m:t>
                          </m:r>
                        </m:e>
                        <m:sub>
                          <m:r>
                            <m:rPr>
                              <m:nor/>
                            </m:rPr>
                            <w:rPr>
                              <w:rFonts w:asciiTheme="majorBidi" w:hAnsiTheme="majorBidi" w:cstheme="majorBidi"/>
                            </w:rPr>
                            <m:t>ji</m:t>
                          </m:r>
                        </m:sub>
                      </m:sSub>
                    </m:den>
                  </m:f>
                </m:e>
              </m:nary>
            </m:den>
          </m:f>
        </m:oMath>
      </m:oMathPara>
    </w:p>
    <w:p w:rsidR="00E24DB7" w:rsidRPr="002C5876" w:rsidRDefault="00E24DB7" w:rsidP="00E24DB7">
      <w:pPr>
        <w:pStyle w:val="SingleTxtG"/>
        <w:keepNext/>
        <w:keepLines/>
        <w:ind w:left="2835" w:hanging="567"/>
      </w:pPr>
      <w:r w:rsidRPr="002C5876">
        <w:t>où :</w:t>
      </w:r>
    </w:p>
    <w:p w:rsidR="00E24DB7" w:rsidRPr="002C5876" w:rsidRDefault="00E24DB7" w:rsidP="00E24DB7">
      <w:pPr>
        <w:pStyle w:val="SingleTxtG"/>
        <w:keepNext/>
        <w:keepLines/>
        <w:ind w:left="3402" w:hanging="1134"/>
      </w:pPr>
      <w:r w:rsidRPr="002C5876">
        <w:t>∆t</w:t>
      </w:r>
      <w:r w:rsidRPr="002C5876">
        <w:rPr>
          <w:vertAlign w:val="subscript"/>
        </w:rPr>
        <w:t>ji</w:t>
      </w:r>
      <w:r w:rsidRPr="002C5876">
        <w:rPr>
          <w:iCs/>
        </w:rPr>
        <w:tab/>
      </w:r>
      <w:r w:rsidRPr="002C5876">
        <w:t xml:space="preserve">est la moyenne harmonique des temps de décélération libre pour la </w:t>
      </w:r>
      <w:r w:rsidRPr="002C5876">
        <w:rPr>
          <w:iCs/>
        </w:rPr>
        <w:t>i</w:t>
      </w:r>
      <w:r w:rsidRPr="002C5876">
        <w:rPr>
          <w:vertAlign w:val="superscript"/>
        </w:rPr>
        <w:t>e</w:t>
      </w:r>
      <w:r w:rsidRPr="002C5876">
        <w:t> paire de mesures à la vitesse v</w:t>
      </w:r>
      <w:r w:rsidRPr="002C5876">
        <w:rPr>
          <w:vertAlign w:val="subscript"/>
        </w:rPr>
        <w:t>j</w:t>
      </w:r>
      <w:r w:rsidRPr="002C5876">
        <w:t>, en s, selon l’équation suivante :</w:t>
      </w:r>
    </w:p>
    <w:p w:rsidR="00E24DB7" w:rsidRPr="002C5876" w:rsidRDefault="00E24DB7" w:rsidP="00E24DB7">
      <w:pPr>
        <w:pStyle w:val="SingleTxtG"/>
        <w:keepNext/>
        <w:keepLines/>
        <w:ind w:left="2268"/>
        <w:jc w:val="center"/>
        <w:rPr>
          <w:rFonts w:eastAsiaTheme="minorEastAsia"/>
          <w:lang w:eastAsia="es-ES"/>
        </w:rPr>
      </w:pPr>
      <m:oMathPara>
        <m:oMathParaPr>
          <m:jc m:val="center"/>
        </m:oMathParaPr>
        <m:oMath>
          <m:r>
            <m:rPr>
              <m:nor/>
            </m:rPr>
            <w:rPr>
              <w:rFonts w:asciiTheme="majorBidi" w:eastAsia="Times New Roman" w:hAnsiTheme="majorBidi" w:cstheme="majorBidi"/>
              <w:lang w:eastAsia="es-ES"/>
            </w:rPr>
            <m:t>∆</m:t>
          </m:r>
          <m:sSub>
            <m:sSubPr>
              <m:ctrlPr>
                <w:rPr>
                  <w:rFonts w:ascii="Cambria Math" w:eastAsia="Times New Roman" w:hAnsi="Cambria Math" w:cstheme="majorBidi"/>
                  <w:lang w:eastAsia="es-ES"/>
                </w:rPr>
              </m:ctrlPr>
            </m:sSubPr>
            <m:e>
              <m:r>
                <m:rPr>
                  <m:nor/>
                </m:rPr>
                <w:rPr>
                  <w:rFonts w:asciiTheme="majorBidi" w:eastAsia="Times New Roman" w:hAnsiTheme="majorBidi" w:cstheme="majorBidi"/>
                  <w:lang w:eastAsia="es-ES"/>
                </w:rPr>
                <m:t>t</m:t>
              </m:r>
            </m:e>
            <m:sub>
              <m:r>
                <m:rPr>
                  <m:nor/>
                </m:rPr>
                <w:rPr>
                  <w:rFonts w:asciiTheme="majorBidi" w:eastAsia="Times New Roman" w:hAnsiTheme="majorBidi" w:cstheme="majorBidi"/>
                  <w:lang w:eastAsia="es-ES"/>
                </w:rPr>
                <m:t>ji</m:t>
              </m:r>
            </m:sub>
          </m:sSub>
          <m:r>
            <m:rPr>
              <m:nor/>
            </m:rPr>
            <w:rPr>
              <w:rFonts w:ascii="Cambria Math" w:eastAsia="Times New Roman" w:hAnsiTheme="majorBidi" w:cstheme="majorBidi"/>
              <w:lang w:eastAsia="es-ES"/>
            </w:rPr>
            <m:t xml:space="preserve"> </m:t>
          </m:r>
          <m:r>
            <m:rPr>
              <m:nor/>
            </m:rPr>
            <w:rPr>
              <w:rFonts w:asciiTheme="majorBidi" w:eastAsia="Times New Roman" w:hAnsiTheme="majorBidi" w:cstheme="majorBidi"/>
              <w:lang w:eastAsia="es-ES"/>
            </w:rPr>
            <m:t xml:space="preserve">= </m:t>
          </m:r>
          <m:f>
            <m:fPr>
              <m:ctrlPr>
                <w:rPr>
                  <w:rFonts w:ascii="Cambria Math" w:eastAsia="Times New Roman" w:hAnsi="Cambria Math" w:cstheme="majorBidi"/>
                  <w:lang w:eastAsia="es-ES"/>
                </w:rPr>
              </m:ctrlPr>
            </m:fPr>
            <m:num>
              <m:r>
                <m:rPr>
                  <m:nor/>
                </m:rPr>
                <w:rPr>
                  <w:rFonts w:asciiTheme="majorBidi" w:eastAsia="Times New Roman" w:hAnsiTheme="majorBidi" w:cstheme="majorBidi"/>
                  <w:lang w:eastAsia="es-ES"/>
                </w:rPr>
                <m:t>2</m:t>
              </m:r>
            </m:num>
            <m:den>
              <m:d>
                <m:dPr>
                  <m:ctrlPr>
                    <w:rPr>
                      <w:rFonts w:ascii="Cambria Math" w:eastAsia="Times New Roman" w:hAnsi="Cambria Math" w:cstheme="majorBidi"/>
                      <w:lang w:eastAsia="es-ES"/>
                    </w:rPr>
                  </m:ctrlPr>
                </m:dPr>
                <m:e>
                  <m:f>
                    <m:fPr>
                      <m:ctrlPr>
                        <w:rPr>
                          <w:rFonts w:ascii="Cambria Math" w:eastAsia="Times New Roman" w:hAnsi="Cambria Math" w:cstheme="majorBidi"/>
                          <w:lang w:eastAsia="es-ES"/>
                        </w:rPr>
                      </m:ctrlPr>
                    </m:fPr>
                    <m:num>
                      <m:r>
                        <m:rPr>
                          <m:nor/>
                        </m:rPr>
                        <w:rPr>
                          <w:rFonts w:asciiTheme="majorBidi" w:eastAsia="Times New Roman" w:hAnsiTheme="majorBidi" w:cstheme="majorBidi"/>
                          <w:lang w:eastAsia="es-ES"/>
                        </w:rPr>
                        <m:t>1</m:t>
                      </m:r>
                    </m:num>
                    <m:den>
                      <m:sSub>
                        <m:sSubPr>
                          <m:ctrlPr>
                            <w:rPr>
                              <w:rFonts w:ascii="Cambria Math" w:eastAsia="Times New Roman" w:hAnsi="Cambria Math" w:cstheme="majorBidi"/>
                              <w:lang w:eastAsia="es-ES"/>
                            </w:rPr>
                          </m:ctrlPr>
                        </m:sSubPr>
                        <m:e>
                          <m:r>
                            <m:rPr>
                              <m:nor/>
                            </m:rPr>
                            <w:rPr>
                              <w:rFonts w:asciiTheme="majorBidi" w:eastAsia="Times New Roman" w:hAnsiTheme="majorBidi" w:cstheme="majorBidi"/>
                              <w:lang w:eastAsia="es-ES"/>
                            </w:rPr>
                            <m:t>∆t</m:t>
                          </m:r>
                        </m:e>
                        <m:sub>
                          <m:r>
                            <m:rPr>
                              <m:nor/>
                            </m:rPr>
                            <w:rPr>
                              <w:rFonts w:asciiTheme="majorBidi" w:eastAsia="Times New Roman" w:hAnsiTheme="majorBidi" w:cstheme="majorBidi"/>
                              <w:lang w:eastAsia="es-ES"/>
                            </w:rPr>
                            <m:t>jai</m:t>
                          </m:r>
                        </m:sub>
                      </m:sSub>
                    </m:den>
                  </m:f>
                </m:e>
              </m:d>
              <m:r>
                <m:rPr>
                  <m:nor/>
                </m:rPr>
                <w:rPr>
                  <w:rFonts w:ascii="Cambria Math" w:eastAsia="Times New Roman" w:hAnsiTheme="majorBidi" w:cstheme="majorBidi"/>
                  <w:lang w:eastAsia="es-ES"/>
                </w:rPr>
                <m:t xml:space="preserve"> </m:t>
              </m:r>
              <m:r>
                <m:rPr>
                  <m:nor/>
                </m:rPr>
                <w:rPr>
                  <w:rFonts w:asciiTheme="majorBidi" w:eastAsia="Times New Roman" w:hAnsiTheme="majorBidi" w:cstheme="majorBidi"/>
                  <w:lang w:eastAsia="es-ES"/>
                </w:rPr>
                <m:t xml:space="preserve">+ </m:t>
              </m:r>
              <m:r>
                <m:rPr>
                  <m:nor/>
                </m:rPr>
                <w:rPr>
                  <w:rFonts w:ascii="Cambria Math" w:eastAsia="Times New Roman" w:hAnsiTheme="majorBidi" w:cstheme="majorBidi"/>
                  <w:lang w:eastAsia="es-ES"/>
                </w:rPr>
                <m:t xml:space="preserve"> </m:t>
              </m:r>
              <m:d>
                <m:dPr>
                  <m:ctrlPr>
                    <w:rPr>
                      <w:rFonts w:ascii="Cambria Math" w:eastAsia="Times New Roman" w:hAnsi="Cambria Math" w:cstheme="majorBidi"/>
                      <w:lang w:eastAsia="es-ES"/>
                    </w:rPr>
                  </m:ctrlPr>
                </m:dPr>
                <m:e>
                  <m:f>
                    <m:fPr>
                      <m:ctrlPr>
                        <w:rPr>
                          <w:rFonts w:ascii="Cambria Math" w:eastAsia="Times New Roman" w:hAnsi="Cambria Math" w:cstheme="majorBidi"/>
                          <w:lang w:eastAsia="es-ES"/>
                        </w:rPr>
                      </m:ctrlPr>
                    </m:fPr>
                    <m:num>
                      <m:r>
                        <m:rPr>
                          <m:nor/>
                        </m:rPr>
                        <w:rPr>
                          <w:rFonts w:asciiTheme="majorBidi" w:eastAsia="Times New Roman" w:hAnsiTheme="majorBidi" w:cstheme="majorBidi"/>
                          <w:lang w:eastAsia="es-ES"/>
                        </w:rPr>
                        <m:t>1</m:t>
                      </m:r>
                    </m:num>
                    <m:den>
                      <m:sSub>
                        <m:sSubPr>
                          <m:ctrlPr>
                            <w:rPr>
                              <w:rFonts w:ascii="Cambria Math" w:eastAsia="Times New Roman" w:hAnsi="Cambria Math" w:cstheme="majorBidi"/>
                              <w:lang w:eastAsia="es-ES"/>
                            </w:rPr>
                          </m:ctrlPr>
                        </m:sSubPr>
                        <m:e>
                          <m:r>
                            <m:rPr>
                              <m:nor/>
                            </m:rPr>
                            <w:rPr>
                              <w:rFonts w:asciiTheme="majorBidi" w:eastAsia="Times New Roman" w:hAnsiTheme="majorBidi" w:cstheme="majorBidi"/>
                              <w:lang w:eastAsia="es-ES"/>
                            </w:rPr>
                            <m:t>∆t</m:t>
                          </m:r>
                        </m:e>
                        <m:sub>
                          <m:r>
                            <m:rPr>
                              <m:nor/>
                            </m:rPr>
                            <w:rPr>
                              <w:rFonts w:asciiTheme="majorBidi" w:eastAsia="Times New Roman" w:hAnsiTheme="majorBidi" w:cstheme="majorBidi"/>
                              <w:lang w:eastAsia="es-ES"/>
                            </w:rPr>
                            <m:t>jbi</m:t>
                          </m:r>
                        </m:sub>
                      </m:sSub>
                    </m:den>
                  </m:f>
                </m:e>
              </m:d>
            </m:den>
          </m:f>
        </m:oMath>
      </m:oMathPara>
    </w:p>
    <w:p w:rsidR="00E24DB7" w:rsidRPr="002C5876" w:rsidRDefault="00E24DB7" w:rsidP="00E24DB7">
      <w:pPr>
        <w:pStyle w:val="SingleTxtG"/>
        <w:ind w:left="2835" w:hanging="567"/>
      </w:pPr>
      <w:r w:rsidRPr="002C5876">
        <w:t>où :</w:t>
      </w:r>
    </w:p>
    <w:p w:rsidR="00E24DB7" w:rsidRPr="002C5876" w:rsidRDefault="00E24DB7" w:rsidP="00E24DB7">
      <w:pPr>
        <w:pStyle w:val="SingleTxtG"/>
        <w:ind w:left="3402" w:hanging="1134"/>
      </w:pPr>
      <w:r w:rsidRPr="002C5876">
        <w:t>∆t</w:t>
      </w:r>
      <w:r w:rsidRPr="002C5876">
        <w:rPr>
          <w:vertAlign w:val="subscript"/>
        </w:rPr>
        <w:t>jai</w:t>
      </w:r>
      <w:r w:rsidRPr="002C5876">
        <w:rPr>
          <w:iCs/>
        </w:rPr>
        <w:t xml:space="preserve"> </w:t>
      </w:r>
      <w:r w:rsidRPr="002C5876">
        <w:t>et ∆t</w:t>
      </w:r>
      <w:r w:rsidRPr="002C5876">
        <w:rPr>
          <w:vertAlign w:val="subscript"/>
        </w:rPr>
        <w:t>jbi</w:t>
      </w:r>
      <w:r w:rsidRPr="002C5876">
        <w:rPr>
          <w:iCs/>
        </w:rPr>
        <w:tab/>
      </w:r>
      <w:r w:rsidRPr="002C5876">
        <w:t xml:space="preserve">sont les temps de décélération libre pour la </w:t>
      </w:r>
      <w:r w:rsidRPr="002C5876">
        <w:rPr>
          <w:iCs/>
        </w:rPr>
        <w:t>i</w:t>
      </w:r>
      <w:r w:rsidRPr="002C5876">
        <w:rPr>
          <w:vertAlign w:val="superscript"/>
        </w:rPr>
        <w:t>e</w:t>
      </w:r>
      <w:r w:rsidRPr="002C5876">
        <w:t xml:space="preserve"> mesure à la vitesse de référence v</w:t>
      </w:r>
      <w:r w:rsidRPr="002C5876">
        <w:rPr>
          <w:vertAlign w:val="subscript"/>
        </w:rPr>
        <w:t>j</w:t>
      </w:r>
      <w:r w:rsidRPr="002C5876">
        <w:t>, en s,</w:t>
      </w:r>
      <w:r w:rsidRPr="002C5876">
        <w:rPr>
          <w:iCs/>
        </w:rPr>
        <w:t xml:space="preserve"> </w:t>
      </w:r>
      <w:r w:rsidRPr="002C5876">
        <w:t>dans les directions a et b, respectivement ;</w:t>
      </w:r>
    </w:p>
    <w:p w:rsidR="00E24DB7" w:rsidRPr="002C5876" w:rsidRDefault="00E24DB7" w:rsidP="00E24DB7">
      <w:pPr>
        <w:pStyle w:val="SingleTxtG"/>
        <w:ind w:left="2835" w:hanging="567"/>
      </w:pPr>
      <w:r w:rsidRPr="002C5876">
        <w:rPr>
          <w:iCs/>
        </w:rPr>
        <w:t>σ</w:t>
      </w:r>
      <w:r w:rsidRPr="002C5876">
        <w:rPr>
          <w:iCs/>
          <w:vertAlign w:val="subscript"/>
        </w:rPr>
        <w:t>j</w:t>
      </w:r>
      <w:r w:rsidRPr="002C5876">
        <w:rPr>
          <w:iCs/>
        </w:rPr>
        <w:tab/>
      </w:r>
      <w:r w:rsidRPr="002C5876">
        <w:rPr>
          <w:iCs/>
        </w:rPr>
        <w:tab/>
      </w:r>
      <w:r w:rsidRPr="002C5876">
        <w:rPr>
          <w:iCs/>
        </w:rPr>
        <w:tab/>
      </w:r>
      <w:r w:rsidRPr="002C5876">
        <w:t>est l’écart type, exprimé en s, comme défini par l’équation :</w:t>
      </w:r>
    </w:p>
    <w:p w:rsidR="00E24DB7" w:rsidRPr="002C5876" w:rsidRDefault="00E24DB7" w:rsidP="00E24DB7">
      <w:pPr>
        <w:spacing w:before="120" w:after="240"/>
        <w:ind w:left="2268" w:right="1134"/>
        <w:jc w:val="center"/>
        <w:rPr>
          <w:iCs/>
          <w:lang w:eastAsia="es-ES"/>
        </w:rPr>
      </w:pPr>
      <w:r w:rsidRPr="002C5876">
        <w:rPr>
          <w:rFonts w:eastAsia="Times New Roman"/>
          <w:lang w:eastAsia="es-ES"/>
        </w:rPr>
        <w:t>σ</w:t>
      </w:r>
      <w:r w:rsidRPr="002C5876">
        <w:rPr>
          <w:rFonts w:eastAsia="Times New Roman"/>
          <w:vertAlign w:val="subscript"/>
          <w:lang w:eastAsia="es-ES"/>
        </w:rPr>
        <w:t>j</w:t>
      </w:r>
      <m:oMath>
        <m:r>
          <w:rPr>
            <w:rFonts w:ascii="Cambria Math" w:hAnsi="Cambria Math"/>
            <w:vertAlign w:val="subscript"/>
            <w:lang w:eastAsia="es-ES"/>
          </w:rPr>
          <m:t xml:space="preserve">  </m:t>
        </m:r>
        <m:r>
          <m:rPr>
            <m:sty m:val="p"/>
          </m:rPr>
          <w:rPr>
            <w:rFonts w:ascii="Cambria Math" w:hAnsi="Cambria Math" w:cstheme="majorBidi"/>
            <w:lang w:eastAsia="es-ES"/>
          </w:rPr>
          <m:t>=</m:t>
        </m:r>
        <m:rad>
          <m:radPr>
            <m:degHide m:val="1"/>
            <m:ctrlPr>
              <w:rPr>
                <w:rFonts w:ascii="Cambria Math" w:eastAsia="Times New Roman" w:hAnsi="Cambria Math" w:cstheme="majorBidi"/>
                <w:iCs/>
                <w:lang w:eastAsia="es-ES"/>
              </w:rPr>
            </m:ctrlPr>
          </m:radPr>
          <m:deg/>
          <m:e>
            <m:f>
              <m:fPr>
                <m:ctrlPr>
                  <w:rPr>
                    <w:rFonts w:ascii="Cambria Math" w:eastAsia="Times New Roman" w:hAnsi="Cambria Math" w:cstheme="majorBidi"/>
                    <w:iCs/>
                    <w:lang w:eastAsia="es-ES"/>
                  </w:rPr>
                </m:ctrlPr>
              </m:fPr>
              <m:num>
                <m:r>
                  <m:rPr>
                    <m:nor/>
                  </m:rPr>
                  <w:rPr>
                    <w:rFonts w:asciiTheme="majorBidi" w:eastAsia="Times New Roman" w:hAnsiTheme="majorBidi" w:cstheme="majorBidi"/>
                    <w:lang w:eastAsia="es-ES"/>
                  </w:rPr>
                  <m:t>1</m:t>
                </m:r>
              </m:num>
              <m:den>
                <m:r>
                  <m:rPr>
                    <m:nor/>
                  </m:rPr>
                  <w:rPr>
                    <w:rFonts w:asciiTheme="majorBidi" w:eastAsia="Times New Roman" w:hAnsiTheme="majorBidi" w:cstheme="majorBidi"/>
                    <w:lang w:eastAsia="es-ES"/>
                  </w:rPr>
                  <m:t>n</m:t>
                </m:r>
                <m:r>
                  <m:rPr>
                    <m:nor/>
                  </m:rPr>
                  <w:rPr>
                    <w:rFonts w:ascii="Cambria Math" w:eastAsia="Times New Roman" w:hAnsiTheme="majorBidi" w:cstheme="majorBidi"/>
                    <w:lang w:eastAsia="es-ES"/>
                  </w:rPr>
                  <m:t>–</m:t>
                </m:r>
                <m:r>
                  <m:rPr>
                    <m:nor/>
                  </m:rPr>
                  <w:rPr>
                    <w:rFonts w:asciiTheme="majorBidi" w:eastAsia="Times New Roman" w:hAnsiTheme="majorBidi" w:cstheme="majorBidi"/>
                    <w:lang w:eastAsia="es-ES"/>
                  </w:rPr>
                  <m:t>1</m:t>
                </m:r>
              </m:den>
            </m:f>
            <m:nary>
              <m:naryPr>
                <m:chr m:val="∑"/>
                <m:limLoc m:val="undOvr"/>
                <m:ctrlPr>
                  <w:rPr>
                    <w:rFonts w:ascii="Cambria Math" w:eastAsia="Times New Roman" w:hAnsi="Cambria Math" w:cstheme="majorBidi"/>
                    <w:iCs/>
                    <w:lang w:eastAsia="es-ES"/>
                  </w:rPr>
                </m:ctrlPr>
              </m:naryPr>
              <m:sub>
                <m:r>
                  <m:rPr>
                    <m:nor/>
                  </m:rPr>
                  <w:rPr>
                    <w:rFonts w:asciiTheme="majorBidi" w:eastAsia="Times New Roman" w:hAnsiTheme="majorBidi" w:cstheme="majorBidi"/>
                    <w:lang w:eastAsia="es-ES"/>
                  </w:rPr>
                  <m:t>i=1</m:t>
                </m:r>
              </m:sub>
              <m:sup>
                <m:r>
                  <m:rPr>
                    <m:nor/>
                  </m:rPr>
                  <w:rPr>
                    <w:rFonts w:asciiTheme="majorBidi" w:eastAsia="Times New Roman" w:hAnsiTheme="majorBidi" w:cstheme="majorBidi"/>
                    <w:lang w:eastAsia="es-ES"/>
                  </w:rPr>
                  <m:t>n</m:t>
                </m:r>
              </m:sup>
              <m:e>
                <m:r>
                  <m:rPr>
                    <m:nor/>
                  </m:rPr>
                  <w:rPr>
                    <w:rFonts w:asciiTheme="majorBidi" w:eastAsia="Times New Roman" w:hAnsiTheme="majorBidi" w:cstheme="majorBidi"/>
                    <w:lang w:eastAsia="es-ES"/>
                  </w:rPr>
                  <m:t>(∆</m:t>
                </m:r>
                <m:sSub>
                  <m:sSubPr>
                    <m:ctrlPr>
                      <w:rPr>
                        <w:rFonts w:ascii="Cambria Math" w:eastAsia="Times New Roman" w:hAnsi="Cambria Math" w:cstheme="majorBidi"/>
                        <w:iCs/>
                        <w:lang w:eastAsia="es-ES"/>
                      </w:rPr>
                    </m:ctrlPr>
                  </m:sSubPr>
                  <m:e>
                    <m:r>
                      <m:rPr>
                        <m:nor/>
                      </m:rPr>
                      <w:rPr>
                        <w:rFonts w:asciiTheme="majorBidi" w:eastAsia="Times New Roman" w:hAnsiTheme="majorBidi" w:cstheme="majorBidi"/>
                        <w:lang w:eastAsia="es-ES"/>
                      </w:rPr>
                      <m:t>t</m:t>
                    </m:r>
                  </m:e>
                  <m:sub>
                    <m:r>
                      <m:rPr>
                        <m:nor/>
                      </m:rPr>
                      <w:rPr>
                        <w:rFonts w:asciiTheme="majorBidi" w:eastAsia="Times New Roman" w:hAnsiTheme="majorBidi" w:cstheme="majorBidi"/>
                        <w:lang w:eastAsia="es-ES"/>
                      </w:rPr>
                      <m:t>ji</m:t>
                    </m:r>
                  </m:sub>
                </m:sSub>
                <m:r>
                  <m:rPr>
                    <m:nor/>
                  </m:rPr>
                  <w:rPr>
                    <w:rFonts w:asciiTheme="majorBidi" w:eastAsia="Times New Roman" w:hAnsiTheme="majorBidi" w:cstheme="majorBidi"/>
                    <w:lang w:eastAsia="es-ES"/>
                  </w:rPr>
                  <m:t xml:space="preserve"> – ∆</m:t>
                </m:r>
                <m:sSub>
                  <m:sSubPr>
                    <m:ctrlPr>
                      <w:rPr>
                        <w:rFonts w:ascii="Cambria Math" w:eastAsia="Times New Roman" w:hAnsi="Cambria Math" w:cstheme="majorBidi"/>
                        <w:iCs/>
                        <w:lang w:eastAsia="es-ES"/>
                      </w:rPr>
                    </m:ctrlPr>
                  </m:sSubPr>
                  <m:e>
                    <m:r>
                      <m:rPr>
                        <m:nor/>
                      </m:rPr>
                      <w:rPr>
                        <w:rFonts w:asciiTheme="majorBidi" w:eastAsia="Times New Roman" w:hAnsiTheme="majorBidi" w:cstheme="majorBidi"/>
                        <w:lang w:eastAsia="es-ES"/>
                      </w:rPr>
                      <m:t>t</m:t>
                    </m:r>
                  </m:e>
                  <m:sub>
                    <m:r>
                      <m:rPr>
                        <m:nor/>
                      </m:rPr>
                      <w:rPr>
                        <w:rFonts w:asciiTheme="majorBidi" w:eastAsia="Times New Roman" w:hAnsiTheme="majorBidi" w:cstheme="majorBidi"/>
                        <w:lang w:eastAsia="es-ES"/>
                      </w:rPr>
                      <m:t>pj</m:t>
                    </m:r>
                  </m:sub>
                </m:sSub>
                <m:r>
                  <m:rPr>
                    <m:nor/>
                  </m:rPr>
                  <w:rPr>
                    <w:rFonts w:asciiTheme="majorBidi" w:eastAsia="Times New Roman" w:hAnsiTheme="majorBidi" w:cstheme="majorBidi"/>
                    <w:lang w:eastAsia="es-ES"/>
                  </w:rPr>
                  <m:t xml:space="preserve">)² </m:t>
                </m:r>
              </m:e>
            </m:nary>
          </m:e>
        </m:rad>
      </m:oMath>
    </w:p>
    <w:p w:rsidR="00E24DB7" w:rsidRPr="002C5876" w:rsidRDefault="00E24DB7" w:rsidP="00E24DB7">
      <w:pPr>
        <w:pStyle w:val="SingleTxtG"/>
        <w:ind w:left="2835" w:hanging="567"/>
      </w:pPr>
      <w:r w:rsidRPr="002C5876">
        <w:rPr>
          <w:iCs/>
        </w:rPr>
        <w:t>h</w:t>
      </w:r>
      <w:r w:rsidRPr="002C5876">
        <w:rPr>
          <w:iCs/>
        </w:rPr>
        <w:tab/>
      </w:r>
      <w:r w:rsidRPr="002C5876">
        <w:t>est un coefficient donné au tableau A4/4.</w:t>
      </w:r>
    </w:p>
    <w:p w:rsidR="00E24DB7" w:rsidRPr="002C5876" w:rsidRDefault="00E24DB7" w:rsidP="00E24DB7">
      <w:pPr>
        <w:pStyle w:val="H23G"/>
      </w:pPr>
      <w:r w:rsidRPr="002C5876">
        <w:lastRenderedPageBreak/>
        <w:tab/>
      </w:r>
      <w:r w:rsidRPr="002C5876">
        <w:tab/>
      </w:r>
      <w:r w:rsidRPr="002C5876">
        <w:rPr>
          <w:b w:val="0"/>
        </w:rPr>
        <w:t xml:space="preserve">Tableau A4/4 </w:t>
      </w:r>
      <w:r w:rsidRPr="002C5876">
        <w:rPr>
          <w:b w:val="0"/>
        </w:rPr>
        <w:br/>
      </w:r>
      <w:r w:rsidRPr="002C5876">
        <w:t>Coefficient h en fonction de n</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75"/>
        <w:gridCol w:w="1832"/>
        <w:gridCol w:w="1832"/>
        <w:gridCol w:w="1832"/>
      </w:tblGrid>
      <w:tr w:rsidR="00E24DB7" w:rsidRPr="002C5876" w:rsidTr="00E24DB7">
        <w:trPr>
          <w:tblHeader/>
        </w:trPr>
        <w:tc>
          <w:tcPr>
            <w:tcW w:w="1587" w:type="dxa"/>
            <w:tcBorders>
              <w:bottom w:val="single" w:sz="12" w:space="0" w:color="auto"/>
            </w:tcBorders>
            <w:shd w:val="clear" w:color="auto" w:fill="auto"/>
            <w:vAlign w:val="bottom"/>
            <w:hideMark/>
          </w:tcPr>
          <w:p w:rsidR="00E24DB7" w:rsidRPr="002C5876" w:rsidRDefault="00E24DB7" w:rsidP="00E24DB7">
            <w:pPr>
              <w:suppressAutoHyphens w:val="0"/>
              <w:spacing w:before="80" w:after="80" w:line="200" w:lineRule="exact"/>
              <w:jc w:val="center"/>
              <w:rPr>
                <w:i/>
                <w:sz w:val="16"/>
                <w:szCs w:val="16"/>
              </w:rPr>
            </w:pPr>
            <w:r w:rsidRPr="002C5876">
              <w:rPr>
                <w:i/>
                <w:sz w:val="16"/>
                <w:szCs w:val="16"/>
              </w:rPr>
              <w:t>n</w:t>
            </w:r>
          </w:p>
        </w:tc>
        <w:tc>
          <w:tcPr>
            <w:tcW w:w="1550" w:type="dxa"/>
            <w:tcBorders>
              <w:bottom w:val="single" w:sz="12" w:space="0" w:color="auto"/>
            </w:tcBorders>
            <w:shd w:val="clear" w:color="auto" w:fill="auto"/>
            <w:vAlign w:val="bottom"/>
            <w:hideMark/>
          </w:tcPr>
          <w:p w:rsidR="00E24DB7" w:rsidRPr="002C5876" w:rsidRDefault="00E24DB7" w:rsidP="00E24DB7">
            <w:pPr>
              <w:suppressAutoHyphens w:val="0"/>
              <w:spacing w:before="80" w:after="80" w:line="200" w:lineRule="exact"/>
              <w:jc w:val="center"/>
              <w:rPr>
                <w:i/>
                <w:sz w:val="16"/>
                <w:szCs w:val="16"/>
              </w:rPr>
            </w:pPr>
            <w:r w:rsidRPr="002C5876">
              <w:rPr>
                <w:i/>
                <w:sz w:val="16"/>
                <w:szCs w:val="16"/>
              </w:rPr>
              <w:t>h</w:t>
            </w:r>
          </w:p>
        </w:tc>
        <w:tc>
          <w:tcPr>
            <w:tcW w:w="1550" w:type="dxa"/>
            <w:tcBorders>
              <w:bottom w:val="single" w:sz="12" w:space="0" w:color="auto"/>
            </w:tcBorders>
            <w:shd w:val="clear" w:color="auto" w:fill="auto"/>
            <w:vAlign w:val="bottom"/>
            <w:hideMark/>
          </w:tcPr>
          <w:p w:rsidR="00E24DB7" w:rsidRPr="002C5876" w:rsidRDefault="00E24DB7" w:rsidP="00E24DB7">
            <w:pPr>
              <w:suppressAutoHyphens w:val="0"/>
              <w:spacing w:before="80" w:after="80" w:line="200" w:lineRule="exact"/>
              <w:jc w:val="center"/>
              <w:rPr>
                <w:i/>
                <w:sz w:val="16"/>
                <w:szCs w:val="16"/>
              </w:rPr>
            </w:pPr>
            <w:r w:rsidRPr="002C5876">
              <w:rPr>
                <w:i/>
                <w:sz w:val="16"/>
                <w:szCs w:val="16"/>
              </w:rPr>
              <w:t>n</w:t>
            </w:r>
          </w:p>
        </w:tc>
        <w:tc>
          <w:tcPr>
            <w:tcW w:w="1550" w:type="dxa"/>
            <w:tcBorders>
              <w:bottom w:val="single" w:sz="12" w:space="0" w:color="auto"/>
            </w:tcBorders>
            <w:shd w:val="clear" w:color="auto" w:fill="auto"/>
            <w:vAlign w:val="bottom"/>
            <w:hideMark/>
          </w:tcPr>
          <w:p w:rsidR="00E24DB7" w:rsidRPr="002C5876" w:rsidRDefault="00E24DB7" w:rsidP="00E24DB7">
            <w:pPr>
              <w:suppressAutoHyphens w:val="0"/>
              <w:spacing w:before="80" w:after="80" w:line="200" w:lineRule="exact"/>
              <w:jc w:val="center"/>
              <w:rPr>
                <w:i/>
                <w:sz w:val="16"/>
                <w:szCs w:val="16"/>
              </w:rPr>
            </w:pPr>
            <w:r w:rsidRPr="002C5876">
              <w:rPr>
                <w:i/>
                <w:sz w:val="16"/>
                <w:szCs w:val="16"/>
              </w:rPr>
              <w:t>h</w:t>
            </w:r>
          </w:p>
        </w:tc>
      </w:tr>
      <w:tr w:rsidR="00E24DB7" w:rsidRPr="002C5876" w:rsidTr="00E24DB7">
        <w:tc>
          <w:tcPr>
            <w:tcW w:w="1587" w:type="dxa"/>
            <w:tcBorders>
              <w:top w:val="single" w:sz="12" w:space="0" w:color="auto"/>
            </w:tcBorders>
            <w:shd w:val="clear" w:color="auto" w:fill="auto"/>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3</w:t>
            </w:r>
          </w:p>
        </w:tc>
        <w:tc>
          <w:tcPr>
            <w:tcW w:w="1550" w:type="dxa"/>
            <w:tcBorders>
              <w:top w:val="single" w:sz="12" w:space="0" w:color="auto"/>
            </w:tcBorders>
            <w:shd w:val="clear" w:color="auto" w:fill="auto"/>
            <w:vAlign w:val="bottom"/>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4,3</w:t>
            </w:r>
          </w:p>
        </w:tc>
        <w:tc>
          <w:tcPr>
            <w:tcW w:w="1550" w:type="dxa"/>
            <w:tcBorders>
              <w:top w:val="single" w:sz="12" w:space="0" w:color="auto"/>
            </w:tcBorders>
            <w:shd w:val="clear" w:color="auto" w:fill="auto"/>
            <w:vAlign w:val="bottom"/>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17</w:t>
            </w:r>
          </w:p>
        </w:tc>
        <w:tc>
          <w:tcPr>
            <w:tcW w:w="1550" w:type="dxa"/>
            <w:tcBorders>
              <w:top w:val="single" w:sz="12" w:space="0" w:color="auto"/>
            </w:tcBorders>
            <w:shd w:val="clear" w:color="auto" w:fill="auto"/>
            <w:vAlign w:val="bottom"/>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2,1</w:t>
            </w:r>
          </w:p>
        </w:tc>
      </w:tr>
      <w:tr w:rsidR="00E24DB7" w:rsidRPr="002C5876" w:rsidTr="00E24DB7">
        <w:tc>
          <w:tcPr>
            <w:tcW w:w="1587" w:type="dxa"/>
            <w:shd w:val="clear" w:color="auto" w:fill="auto"/>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4</w:t>
            </w:r>
          </w:p>
        </w:tc>
        <w:tc>
          <w:tcPr>
            <w:tcW w:w="1550" w:type="dxa"/>
            <w:shd w:val="clear" w:color="auto" w:fill="auto"/>
            <w:vAlign w:val="bottom"/>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3,2</w:t>
            </w:r>
          </w:p>
        </w:tc>
        <w:tc>
          <w:tcPr>
            <w:tcW w:w="1550" w:type="dxa"/>
            <w:shd w:val="clear" w:color="auto" w:fill="auto"/>
            <w:vAlign w:val="bottom"/>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18</w:t>
            </w:r>
          </w:p>
        </w:tc>
        <w:tc>
          <w:tcPr>
            <w:tcW w:w="1550" w:type="dxa"/>
            <w:shd w:val="clear" w:color="auto" w:fill="auto"/>
            <w:vAlign w:val="bottom"/>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2,1</w:t>
            </w:r>
          </w:p>
        </w:tc>
      </w:tr>
      <w:tr w:rsidR="00E24DB7" w:rsidRPr="002C5876" w:rsidTr="00E24DB7">
        <w:tc>
          <w:tcPr>
            <w:tcW w:w="1587" w:type="dxa"/>
            <w:shd w:val="clear" w:color="auto" w:fill="auto"/>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5</w:t>
            </w:r>
          </w:p>
        </w:tc>
        <w:tc>
          <w:tcPr>
            <w:tcW w:w="1550" w:type="dxa"/>
            <w:shd w:val="clear" w:color="auto" w:fill="auto"/>
            <w:vAlign w:val="bottom"/>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2,8</w:t>
            </w:r>
          </w:p>
        </w:tc>
        <w:tc>
          <w:tcPr>
            <w:tcW w:w="1550" w:type="dxa"/>
            <w:shd w:val="clear" w:color="auto" w:fill="auto"/>
            <w:vAlign w:val="bottom"/>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19</w:t>
            </w:r>
          </w:p>
        </w:tc>
        <w:tc>
          <w:tcPr>
            <w:tcW w:w="1550" w:type="dxa"/>
            <w:shd w:val="clear" w:color="auto" w:fill="auto"/>
            <w:vAlign w:val="bottom"/>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2,1</w:t>
            </w:r>
          </w:p>
        </w:tc>
      </w:tr>
      <w:tr w:rsidR="00E24DB7" w:rsidRPr="002C5876" w:rsidTr="00E24DB7">
        <w:tc>
          <w:tcPr>
            <w:tcW w:w="1587" w:type="dxa"/>
            <w:shd w:val="clear" w:color="auto" w:fill="auto"/>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6</w:t>
            </w:r>
          </w:p>
        </w:tc>
        <w:tc>
          <w:tcPr>
            <w:tcW w:w="1550" w:type="dxa"/>
            <w:shd w:val="clear" w:color="auto" w:fill="auto"/>
            <w:vAlign w:val="bottom"/>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2,6</w:t>
            </w:r>
          </w:p>
        </w:tc>
        <w:tc>
          <w:tcPr>
            <w:tcW w:w="1550" w:type="dxa"/>
            <w:shd w:val="clear" w:color="auto" w:fill="auto"/>
            <w:vAlign w:val="bottom"/>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20</w:t>
            </w:r>
          </w:p>
        </w:tc>
        <w:tc>
          <w:tcPr>
            <w:tcW w:w="1550" w:type="dxa"/>
            <w:shd w:val="clear" w:color="auto" w:fill="auto"/>
            <w:vAlign w:val="bottom"/>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2,1</w:t>
            </w:r>
          </w:p>
        </w:tc>
      </w:tr>
      <w:tr w:rsidR="00E24DB7" w:rsidRPr="002C5876" w:rsidTr="00E24DB7">
        <w:tc>
          <w:tcPr>
            <w:tcW w:w="1587" w:type="dxa"/>
            <w:shd w:val="clear" w:color="auto" w:fill="auto"/>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7</w:t>
            </w:r>
          </w:p>
        </w:tc>
        <w:tc>
          <w:tcPr>
            <w:tcW w:w="1550" w:type="dxa"/>
            <w:shd w:val="clear" w:color="auto" w:fill="auto"/>
            <w:vAlign w:val="bottom"/>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2,5</w:t>
            </w:r>
          </w:p>
        </w:tc>
        <w:tc>
          <w:tcPr>
            <w:tcW w:w="1550" w:type="dxa"/>
            <w:shd w:val="clear" w:color="auto" w:fill="auto"/>
            <w:vAlign w:val="bottom"/>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21</w:t>
            </w:r>
          </w:p>
        </w:tc>
        <w:tc>
          <w:tcPr>
            <w:tcW w:w="1550" w:type="dxa"/>
            <w:shd w:val="clear" w:color="auto" w:fill="auto"/>
            <w:vAlign w:val="bottom"/>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2,1</w:t>
            </w:r>
          </w:p>
        </w:tc>
      </w:tr>
      <w:tr w:rsidR="00E24DB7" w:rsidRPr="002C5876" w:rsidTr="00E24DB7">
        <w:tc>
          <w:tcPr>
            <w:tcW w:w="1587" w:type="dxa"/>
            <w:shd w:val="clear" w:color="auto" w:fill="auto"/>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8</w:t>
            </w:r>
          </w:p>
        </w:tc>
        <w:tc>
          <w:tcPr>
            <w:tcW w:w="1550" w:type="dxa"/>
            <w:shd w:val="clear" w:color="auto" w:fill="auto"/>
            <w:vAlign w:val="bottom"/>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2,4</w:t>
            </w:r>
          </w:p>
        </w:tc>
        <w:tc>
          <w:tcPr>
            <w:tcW w:w="1550" w:type="dxa"/>
            <w:shd w:val="clear" w:color="auto" w:fill="auto"/>
            <w:vAlign w:val="bottom"/>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22</w:t>
            </w:r>
          </w:p>
        </w:tc>
        <w:tc>
          <w:tcPr>
            <w:tcW w:w="1550" w:type="dxa"/>
            <w:shd w:val="clear" w:color="auto" w:fill="auto"/>
            <w:vAlign w:val="bottom"/>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2,1</w:t>
            </w:r>
          </w:p>
        </w:tc>
      </w:tr>
      <w:tr w:rsidR="00E24DB7" w:rsidRPr="002C5876" w:rsidTr="00E24DB7">
        <w:tc>
          <w:tcPr>
            <w:tcW w:w="1587" w:type="dxa"/>
            <w:shd w:val="clear" w:color="auto" w:fill="auto"/>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9</w:t>
            </w:r>
          </w:p>
        </w:tc>
        <w:tc>
          <w:tcPr>
            <w:tcW w:w="1550" w:type="dxa"/>
            <w:shd w:val="clear" w:color="auto" w:fill="auto"/>
            <w:vAlign w:val="bottom"/>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2,3</w:t>
            </w:r>
          </w:p>
        </w:tc>
        <w:tc>
          <w:tcPr>
            <w:tcW w:w="1550" w:type="dxa"/>
            <w:shd w:val="clear" w:color="auto" w:fill="auto"/>
            <w:vAlign w:val="bottom"/>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23</w:t>
            </w:r>
          </w:p>
        </w:tc>
        <w:tc>
          <w:tcPr>
            <w:tcW w:w="1550" w:type="dxa"/>
            <w:shd w:val="clear" w:color="auto" w:fill="auto"/>
            <w:vAlign w:val="bottom"/>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2,1</w:t>
            </w:r>
          </w:p>
        </w:tc>
      </w:tr>
      <w:tr w:rsidR="00E24DB7" w:rsidRPr="002C5876" w:rsidTr="00E24DB7">
        <w:tc>
          <w:tcPr>
            <w:tcW w:w="1587" w:type="dxa"/>
            <w:shd w:val="clear" w:color="auto" w:fill="auto"/>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10</w:t>
            </w:r>
          </w:p>
        </w:tc>
        <w:tc>
          <w:tcPr>
            <w:tcW w:w="1550" w:type="dxa"/>
            <w:shd w:val="clear" w:color="auto" w:fill="auto"/>
            <w:vAlign w:val="bottom"/>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2,3</w:t>
            </w:r>
          </w:p>
        </w:tc>
        <w:tc>
          <w:tcPr>
            <w:tcW w:w="1550" w:type="dxa"/>
            <w:shd w:val="clear" w:color="auto" w:fill="auto"/>
            <w:vAlign w:val="bottom"/>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24</w:t>
            </w:r>
          </w:p>
        </w:tc>
        <w:tc>
          <w:tcPr>
            <w:tcW w:w="1550" w:type="dxa"/>
            <w:shd w:val="clear" w:color="auto" w:fill="auto"/>
            <w:vAlign w:val="bottom"/>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2,1</w:t>
            </w:r>
          </w:p>
        </w:tc>
      </w:tr>
      <w:tr w:rsidR="00E24DB7" w:rsidRPr="002C5876" w:rsidTr="00E24DB7">
        <w:tc>
          <w:tcPr>
            <w:tcW w:w="1587" w:type="dxa"/>
            <w:shd w:val="clear" w:color="auto" w:fill="auto"/>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11</w:t>
            </w:r>
          </w:p>
        </w:tc>
        <w:tc>
          <w:tcPr>
            <w:tcW w:w="1550" w:type="dxa"/>
            <w:shd w:val="clear" w:color="auto" w:fill="auto"/>
            <w:vAlign w:val="bottom"/>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2,2</w:t>
            </w:r>
          </w:p>
        </w:tc>
        <w:tc>
          <w:tcPr>
            <w:tcW w:w="1550" w:type="dxa"/>
            <w:shd w:val="clear" w:color="auto" w:fill="auto"/>
            <w:vAlign w:val="bottom"/>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25</w:t>
            </w:r>
          </w:p>
        </w:tc>
        <w:tc>
          <w:tcPr>
            <w:tcW w:w="1550" w:type="dxa"/>
            <w:shd w:val="clear" w:color="auto" w:fill="auto"/>
            <w:vAlign w:val="bottom"/>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2,1</w:t>
            </w:r>
          </w:p>
        </w:tc>
      </w:tr>
      <w:tr w:rsidR="00E24DB7" w:rsidRPr="002C5876" w:rsidTr="00E24DB7">
        <w:tc>
          <w:tcPr>
            <w:tcW w:w="1587" w:type="dxa"/>
            <w:shd w:val="clear" w:color="auto" w:fill="auto"/>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12</w:t>
            </w:r>
          </w:p>
        </w:tc>
        <w:tc>
          <w:tcPr>
            <w:tcW w:w="1550" w:type="dxa"/>
            <w:shd w:val="clear" w:color="auto" w:fill="auto"/>
            <w:vAlign w:val="bottom"/>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2,2</w:t>
            </w:r>
          </w:p>
        </w:tc>
        <w:tc>
          <w:tcPr>
            <w:tcW w:w="1550" w:type="dxa"/>
            <w:shd w:val="clear" w:color="auto" w:fill="auto"/>
            <w:vAlign w:val="bottom"/>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26</w:t>
            </w:r>
          </w:p>
        </w:tc>
        <w:tc>
          <w:tcPr>
            <w:tcW w:w="1550" w:type="dxa"/>
            <w:shd w:val="clear" w:color="auto" w:fill="auto"/>
            <w:vAlign w:val="bottom"/>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2,1</w:t>
            </w:r>
          </w:p>
        </w:tc>
      </w:tr>
      <w:tr w:rsidR="00E24DB7" w:rsidRPr="002C5876" w:rsidTr="00E24DB7">
        <w:tc>
          <w:tcPr>
            <w:tcW w:w="1587" w:type="dxa"/>
            <w:shd w:val="clear" w:color="auto" w:fill="auto"/>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13</w:t>
            </w:r>
          </w:p>
        </w:tc>
        <w:tc>
          <w:tcPr>
            <w:tcW w:w="1550" w:type="dxa"/>
            <w:shd w:val="clear" w:color="auto" w:fill="auto"/>
            <w:vAlign w:val="bottom"/>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2,2</w:t>
            </w:r>
          </w:p>
        </w:tc>
        <w:tc>
          <w:tcPr>
            <w:tcW w:w="1550" w:type="dxa"/>
            <w:shd w:val="clear" w:color="auto" w:fill="auto"/>
            <w:vAlign w:val="bottom"/>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27</w:t>
            </w:r>
          </w:p>
        </w:tc>
        <w:tc>
          <w:tcPr>
            <w:tcW w:w="1550" w:type="dxa"/>
            <w:shd w:val="clear" w:color="auto" w:fill="auto"/>
            <w:vAlign w:val="bottom"/>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2,1</w:t>
            </w:r>
          </w:p>
        </w:tc>
      </w:tr>
      <w:tr w:rsidR="00E24DB7" w:rsidRPr="002C5876" w:rsidTr="00E24DB7">
        <w:tc>
          <w:tcPr>
            <w:tcW w:w="1587" w:type="dxa"/>
            <w:shd w:val="clear" w:color="auto" w:fill="auto"/>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14</w:t>
            </w:r>
          </w:p>
        </w:tc>
        <w:tc>
          <w:tcPr>
            <w:tcW w:w="1550" w:type="dxa"/>
            <w:shd w:val="clear" w:color="auto" w:fill="auto"/>
            <w:vAlign w:val="bottom"/>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2,2</w:t>
            </w:r>
          </w:p>
        </w:tc>
        <w:tc>
          <w:tcPr>
            <w:tcW w:w="1550" w:type="dxa"/>
            <w:shd w:val="clear" w:color="auto" w:fill="auto"/>
            <w:vAlign w:val="bottom"/>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28</w:t>
            </w:r>
          </w:p>
        </w:tc>
        <w:tc>
          <w:tcPr>
            <w:tcW w:w="1550" w:type="dxa"/>
            <w:shd w:val="clear" w:color="auto" w:fill="auto"/>
            <w:vAlign w:val="bottom"/>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2,1</w:t>
            </w:r>
          </w:p>
        </w:tc>
      </w:tr>
      <w:tr w:rsidR="00E24DB7" w:rsidRPr="002C5876" w:rsidTr="00E24DB7">
        <w:tc>
          <w:tcPr>
            <w:tcW w:w="1587" w:type="dxa"/>
            <w:tcBorders>
              <w:bottom w:val="single" w:sz="4" w:space="0" w:color="auto"/>
            </w:tcBorders>
            <w:shd w:val="clear" w:color="auto" w:fill="auto"/>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15</w:t>
            </w:r>
          </w:p>
        </w:tc>
        <w:tc>
          <w:tcPr>
            <w:tcW w:w="1550" w:type="dxa"/>
            <w:tcBorders>
              <w:bottom w:val="single" w:sz="4" w:space="0" w:color="auto"/>
            </w:tcBorders>
            <w:shd w:val="clear" w:color="auto" w:fill="auto"/>
            <w:vAlign w:val="bottom"/>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2,2</w:t>
            </w:r>
          </w:p>
        </w:tc>
        <w:tc>
          <w:tcPr>
            <w:tcW w:w="1550" w:type="dxa"/>
            <w:tcBorders>
              <w:bottom w:val="single" w:sz="4" w:space="0" w:color="auto"/>
            </w:tcBorders>
            <w:shd w:val="clear" w:color="auto" w:fill="auto"/>
            <w:vAlign w:val="bottom"/>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29</w:t>
            </w:r>
          </w:p>
        </w:tc>
        <w:tc>
          <w:tcPr>
            <w:tcW w:w="1550" w:type="dxa"/>
            <w:tcBorders>
              <w:bottom w:val="single" w:sz="4" w:space="0" w:color="auto"/>
            </w:tcBorders>
            <w:shd w:val="clear" w:color="auto" w:fill="auto"/>
            <w:vAlign w:val="bottom"/>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2,0</w:t>
            </w:r>
          </w:p>
        </w:tc>
      </w:tr>
      <w:tr w:rsidR="00E24DB7" w:rsidRPr="002C5876" w:rsidTr="00E24DB7">
        <w:tc>
          <w:tcPr>
            <w:tcW w:w="1587" w:type="dxa"/>
            <w:tcBorders>
              <w:bottom w:val="single" w:sz="12" w:space="0" w:color="auto"/>
            </w:tcBorders>
            <w:shd w:val="clear" w:color="auto" w:fill="auto"/>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16</w:t>
            </w:r>
          </w:p>
        </w:tc>
        <w:tc>
          <w:tcPr>
            <w:tcW w:w="1550" w:type="dxa"/>
            <w:tcBorders>
              <w:bottom w:val="single" w:sz="12" w:space="0" w:color="auto"/>
            </w:tcBorders>
            <w:shd w:val="clear" w:color="auto" w:fill="auto"/>
            <w:vAlign w:val="bottom"/>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2,1</w:t>
            </w:r>
          </w:p>
        </w:tc>
        <w:tc>
          <w:tcPr>
            <w:tcW w:w="1550" w:type="dxa"/>
            <w:tcBorders>
              <w:bottom w:val="single" w:sz="12" w:space="0" w:color="auto"/>
            </w:tcBorders>
            <w:shd w:val="clear" w:color="auto" w:fill="auto"/>
            <w:vAlign w:val="bottom"/>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30</w:t>
            </w:r>
          </w:p>
        </w:tc>
        <w:tc>
          <w:tcPr>
            <w:tcW w:w="1550" w:type="dxa"/>
            <w:tcBorders>
              <w:bottom w:val="single" w:sz="12" w:space="0" w:color="auto"/>
            </w:tcBorders>
            <w:shd w:val="clear" w:color="auto" w:fill="auto"/>
            <w:vAlign w:val="bottom"/>
            <w:hideMark/>
          </w:tcPr>
          <w:p w:rsidR="00E24DB7" w:rsidRPr="002C5876" w:rsidRDefault="00E24DB7" w:rsidP="00E24DB7">
            <w:pPr>
              <w:suppressAutoHyphens w:val="0"/>
              <w:spacing w:before="60" w:after="60" w:line="220" w:lineRule="exact"/>
              <w:ind w:right="851"/>
              <w:jc w:val="right"/>
              <w:rPr>
                <w:sz w:val="18"/>
                <w:szCs w:val="18"/>
              </w:rPr>
            </w:pPr>
            <w:r w:rsidRPr="002C5876">
              <w:rPr>
                <w:sz w:val="18"/>
                <w:szCs w:val="18"/>
              </w:rPr>
              <w:t>2,0</w:t>
            </w:r>
          </w:p>
        </w:tc>
      </w:tr>
    </w:tbl>
    <w:p w:rsidR="00E24DB7" w:rsidRPr="002C5876" w:rsidRDefault="00E24DB7" w:rsidP="00E24DB7">
      <w:pPr>
        <w:pStyle w:val="SingleTxtG"/>
        <w:spacing w:before="240"/>
        <w:ind w:left="2268" w:hanging="1134"/>
      </w:pPr>
      <w:r w:rsidRPr="002C5876">
        <w:rPr>
          <w:bCs/>
        </w:rPr>
        <w:t>4.3.1.4.3</w:t>
      </w:r>
      <w:r w:rsidRPr="002C5876">
        <w:rPr>
          <w:bCs/>
        </w:rPr>
        <w:tab/>
      </w:r>
      <w:r w:rsidRPr="002C5876">
        <w:t>Si pendant une mesure dans un sens il intervient un facteur extérieur ou une action du conducteur qui influe clairement sur le déroulement de l’essai de résistance à l’avancement sur route, cette mesure et la mesure correspondante dans le sens opposé doivent être invalidées. Toutes les données invalidées et les raisons de leur invalidation doivent être consignées, et le nombre de paires de mesures invalidées ne doit pas dépasser 1/3 du nombre total de paires. Le nombre maximal de paires qui restent conformes aux critères de précision</w:t>
      </w:r>
      <w:r w:rsidRPr="002C5876">
        <w:rPr>
          <w:iCs/>
        </w:rPr>
        <w:t xml:space="preserve"> statistique </w:t>
      </w:r>
      <w:r w:rsidRPr="002C5876">
        <w:t>comme défini au paragraphe 4.3.1.4.2 de la présente annexe doit être évalué. En cas d’exclusion, les paires doivent être exclues de l’évaluation en commençant par la paire présentant l’écart le plus grand par rapport à la moyenne.</w:t>
      </w:r>
    </w:p>
    <w:p w:rsidR="00E24DB7" w:rsidRPr="002C5876" w:rsidRDefault="00E24DB7" w:rsidP="00E24DB7">
      <w:pPr>
        <w:pStyle w:val="SingleTxtG"/>
        <w:ind w:left="2268" w:hanging="1134"/>
        <w:jc w:val="left"/>
      </w:pPr>
      <w:r w:rsidRPr="002C5876">
        <w:rPr>
          <w:bCs/>
        </w:rPr>
        <w:t>4.3.1.4.4</w:t>
      </w:r>
      <w:r w:rsidRPr="002C5876">
        <w:rPr>
          <w:bCs/>
        </w:rPr>
        <w:tab/>
        <w:t xml:space="preserve">L’équation suivante, </w:t>
      </w:r>
      <w:r w:rsidRPr="002C5876">
        <w:t>dans laquelle la moyenne arithmétique harmonique des temps alternés de décélération libre doit être utilisée, doit être appliquée pour calculer la moyenne de la résistance à l’avancement sur route :</w:t>
      </w:r>
    </w:p>
    <w:p w:rsidR="00E24DB7" w:rsidRPr="002C5876" w:rsidRDefault="00731CA6" w:rsidP="00E24DB7">
      <w:pPr>
        <w:pStyle w:val="SingleTxtG"/>
        <w:spacing w:after="240"/>
        <w:ind w:left="2268"/>
        <w:jc w:val="left"/>
        <w:rPr>
          <w:rFonts w:eastAsiaTheme="minorEastAsia"/>
        </w:rPr>
      </w:pPr>
      <m:oMathPara>
        <m:oMath>
          <m:sSub>
            <m:sSubPr>
              <m:ctrlPr>
                <w:rPr>
                  <w:rFonts w:ascii="Cambria Math" w:hAnsi="Cambria Math" w:cstheme="majorBidi"/>
                </w:rPr>
              </m:ctrlPr>
            </m:sSubPr>
            <m:e>
              <m:r>
                <m:rPr>
                  <m:nor/>
                </m:rPr>
                <w:rPr>
                  <w:rFonts w:asciiTheme="majorBidi" w:hAnsiTheme="majorBidi" w:cstheme="majorBidi"/>
                </w:rPr>
                <m:t>F</m:t>
              </m:r>
            </m:e>
            <m:sub>
              <m:r>
                <m:rPr>
                  <m:nor/>
                </m:rPr>
                <w:rPr>
                  <w:rFonts w:asciiTheme="majorBidi" w:hAnsiTheme="majorBidi" w:cstheme="majorBidi"/>
                </w:rPr>
                <m:t xml:space="preserve">j </m:t>
              </m:r>
            </m:sub>
          </m:sSub>
          <m:r>
            <m:rPr>
              <m:nor/>
            </m:rPr>
            <w:rPr>
              <w:rFonts w:asciiTheme="majorBidi" w:hAnsiTheme="majorBidi" w:cstheme="majorBidi"/>
            </w:rPr>
            <m:t>=</m:t>
          </m:r>
          <m:f>
            <m:fPr>
              <m:ctrlPr>
                <w:rPr>
                  <w:rFonts w:ascii="Cambria Math" w:hAnsi="Cambria Math" w:cstheme="majorBidi"/>
                </w:rPr>
              </m:ctrlPr>
            </m:fPr>
            <m:num>
              <m:r>
                <m:rPr>
                  <m:nor/>
                </m:rPr>
                <w:rPr>
                  <w:rFonts w:asciiTheme="majorBidi" w:hAnsiTheme="majorBidi" w:cstheme="majorBidi"/>
                </w:rPr>
                <m:t>1</m:t>
              </m:r>
            </m:num>
            <m:den>
              <m:r>
                <m:rPr>
                  <m:nor/>
                </m:rPr>
                <w:rPr>
                  <w:rFonts w:asciiTheme="majorBidi" w:hAnsiTheme="majorBidi" w:cstheme="majorBidi"/>
                </w:rPr>
                <m:t>3,6</m:t>
              </m:r>
            </m:den>
          </m:f>
          <m:r>
            <m:rPr>
              <m:nor/>
            </m:rPr>
            <w:rPr>
              <w:rFonts w:asciiTheme="majorBidi" w:hAnsiTheme="majorBidi" w:cstheme="majorBidi"/>
            </w:rPr>
            <m:t> × </m:t>
          </m:r>
          <m:d>
            <m:dPr>
              <m:ctrlPr>
                <w:rPr>
                  <w:rFonts w:ascii="Cambria Math" w:hAnsi="Cambria Math" w:cstheme="majorBidi"/>
                </w:rPr>
              </m:ctrlPr>
            </m:dPr>
            <m:e>
              <m:sSub>
                <m:sSubPr>
                  <m:ctrlPr>
                    <w:rPr>
                      <w:rFonts w:ascii="Cambria Math" w:hAnsi="Cambria Math" w:cstheme="majorBidi"/>
                    </w:rPr>
                  </m:ctrlPr>
                </m:sSubPr>
                <m:e>
                  <m:r>
                    <m:rPr>
                      <m:nor/>
                    </m:rPr>
                    <w:rPr>
                      <w:rFonts w:asciiTheme="majorBidi" w:hAnsiTheme="majorBidi" w:cstheme="majorBidi"/>
                    </w:rPr>
                    <m:t>m</m:t>
                  </m:r>
                </m:e>
                <m:sub>
                  <m:r>
                    <m:rPr>
                      <m:nor/>
                    </m:rPr>
                    <w:rPr>
                      <w:rFonts w:asciiTheme="majorBidi" w:hAnsiTheme="majorBidi" w:cstheme="majorBidi"/>
                    </w:rPr>
                    <m:t>av</m:t>
                  </m:r>
                </m:sub>
              </m:sSub>
              <m:r>
                <m:rPr>
                  <m:nor/>
                </m:rPr>
                <w:rPr>
                  <w:rFonts w:asciiTheme="majorBidi" w:hAnsiTheme="majorBidi" w:cstheme="majorBidi"/>
                </w:rPr>
                <m:t xml:space="preserve">+ </m:t>
              </m:r>
              <m:sSub>
                <m:sSubPr>
                  <m:ctrlPr>
                    <w:rPr>
                      <w:rFonts w:ascii="Cambria Math" w:hAnsi="Cambria Math" w:cstheme="majorBidi"/>
                    </w:rPr>
                  </m:ctrlPr>
                </m:sSubPr>
                <m:e>
                  <m:r>
                    <m:rPr>
                      <m:nor/>
                    </m:rPr>
                    <w:rPr>
                      <w:rFonts w:asciiTheme="majorBidi" w:hAnsiTheme="majorBidi" w:cstheme="majorBidi"/>
                    </w:rPr>
                    <m:t>m</m:t>
                  </m:r>
                </m:e>
                <m:sub>
                  <m:r>
                    <m:rPr>
                      <m:nor/>
                    </m:rPr>
                    <w:rPr>
                      <w:rFonts w:asciiTheme="majorBidi" w:hAnsiTheme="majorBidi" w:cstheme="majorBidi"/>
                    </w:rPr>
                    <m:t>r</m:t>
                  </m:r>
                </m:sub>
              </m:sSub>
            </m:e>
          </m:d>
          <m:r>
            <m:rPr>
              <m:nor/>
            </m:rPr>
            <w:rPr>
              <w:rFonts w:asciiTheme="majorBidi" w:hAnsiTheme="majorBidi" w:cstheme="majorBidi"/>
            </w:rPr>
            <m:t> × </m:t>
          </m:r>
          <m:f>
            <m:fPr>
              <m:ctrlPr>
                <w:rPr>
                  <w:rFonts w:ascii="Cambria Math" w:hAnsi="Cambria Math" w:cstheme="majorBidi"/>
                </w:rPr>
              </m:ctrlPr>
            </m:fPr>
            <m:num>
              <m:r>
                <m:rPr>
                  <m:nor/>
                </m:rPr>
                <w:rPr>
                  <w:rFonts w:asciiTheme="majorBidi" w:hAnsiTheme="majorBidi" w:cstheme="majorBidi"/>
                </w:rPr>
                <m:t>2 × ∆v</m:t>
              </m:r>
            </m:num>
            <m:den>
              <m:sSub>
                <m:sSubPr>
                  <m:ctrlPr>
                    <w:rPr>
                      <w:rFonts w:ascii="Cambria Math" w:hAnsi="Cambria Math" w:cstheme="majorBidi"/>
                    </w:rPr>
                  </m:ctrlPr>
                </m:sSubPr>
                <m:e>
                  <m:r>
                    <m:rPr>
                      <m:nor/>
                    </m:rPr>
                    <w:rPr>
                      <w:rFonts w:asciiTheme="majorBidi" w:hAnsiTheme="majorBidi" w:cstheme="majorBidi"/>
                    </w:rPr>
                    <m:t>∆t</m:t>
                  </m:r>
                </m:e>
                <m:sub>
                  <m:r>
                    <m:rPr>
                      <m:nor/>
                    </m:rPr>
                    <w:rPr>
                      <w:rFonts w:asciiTheme="majorBidi" w:hAnsiTheme="majorBidi" w:cstheme="majorBidi"/>
                    </w:rPr>
                    <m:t>j</m:t>
                  </m:r>
                </m:sub>
              </m:sSub>
            </m:den>
          </m:f>
        </m:oMath>
      </m:oMathPara>
    </w:p>
    <w:p w:rsidR="00E24DB7" w:rsidRPr="002C5876" w:rsidRDefault="00E24DB7" w:rsidP="00E24DB7">
      <w:pPr>
        <w:pStyle w:val="SingleTxtG"/>
        <w:keepNext/>
        <w:ind w:left="2268"/>
      </w:pPr>
      <w:r w:rsidRPr="002C5876">
        <w:t>où :</w:t>
      </w:r>
    </w:p>
    <w:p w:rsidR="00E24DB7" w:rsidRPr="002C5876" w:rsidRDefault="00E24DB7" w:rsidP="00E24DB7">
      <w:pPr>
        <w:pStyle w:val="SingleTxtG"/>
        <w:ind w:left="3402" w:hanging="1134"/>
        <w:jc w:val="left"/>
      </w:pPr>
      <w:r w:rsidRPr="002C5876">
        <w:rPr>
          <w:iCs/>
        </w:rPr>
        <w:t>∆t</w:t>
      </w:r>
      <w:r w:rsidRPr="002C5876">
        <w:rPr>
          <w:iCs/>
          <w:vertAlign w:val="subscript"/>
        </w:rPr>
        <w:t>j</w:t>
      </w:r>
      <w:r w:rsidRPr="002C5876">
        <w:rPr>
          <w:iCs/>
        </w:rPr>
        <w:tab/>
      </w:r>
      <w:r w:rsidRPr="002C5876">
        <w:t xml:space="preserve">est la moyenne harmonique des mesures de temps alternées de décélération libre à la vitesse </w:t>
      </w:r>
      <m:oMath>
        <m:sSub>
          <m:sSubPr>
            <m:ctrlPr>
              <w:rPr>
                <w:rFonts w:ascii="Cambria Math" w:hAnsi="Cambria Math"/>
              </w:rPr>
            </m:ctrlPr>
          </m:sSubPr>
          <m:e>
            <m:r>
              <m:rPr>
                <m:sty m:val="p"/>
              </m:rPr>
              <w:rPr>
                <w:rFonts w:ascii="Cambria Math"/>
              </w:rPr>
              <m:t>v</m:t>
            </m:r>
          </m:e>
          <m:sub>
            <m:r>
              <m:rPr>
                <m:sty m:val="p"/>
              </m:rPr>
              <w:rPr>
                <w:rFonts w:ascii="Cambria Math"/>
              </w:rPr>
              <m:t>j</m:t>
            </m:r>
          </m:sub>
        </m:sSub>
      </m:oMath>
      <w:r w:rsidRPr="002C5876">
        <w:t>, en s, selon l’équation :</w:t>
      </w:r>
    </w:p>
    <w:p w:rsidR="00E24DB7" w:rsidRPr="002C5876" w:rsidRDefault="00E24DB7" w:rsidP="00E24DB7">
      <w:pPr>
        <w:pStyle w:val="SingleTxtG"/>
        <w:spacing w:after="240"/>
        <w:ind w:left="2268"/>
        <w:jc w:val="center"/>
        <w:rPr>
          <w:rFonts w:eastAsiaTheme="minorEastAsia"/>
        </w:rPr>
      </w:pPr>
      <m:oMathPara>
        <m:oMath>
          <m:r>
            <m:rPr>
              <m:nor/>
            </m:rPr>
            <w:rPr>
              <w:rFonts w:asciiTheme="majorBidi" w:hAnsiTheme="majorBidi" w:cstheme="majorBidi"/>
            </w:rPr>
            <m:t>∆</m:t>
          </m:r>
          <m:sSub>
            <m:sSubPr>
              <m:ctrlPr>
                <w:rPr>
                  <w:rFonts w:ascii="Cambria Math" w:hAnsi="Cambria Math" w:cstheme="majorBidi"/>
                </w:rPr>
              </m:ctrlPr>
            </m:sSubPr>
            <m:e>
              <m:r>
                <m:rPr>
                  <m:nor/>
                </m:rPr>
                <w:rPr>
                  <w:rFonts w:asciiTheme="majorBidi" w:hAnsiTheme="majorBidi" w:cstheme="majorBidi"/>
                </w:rPr>
                <m:t>t</m:t>
              </m:r>
            </m:e>
            <m:sub>
              <m:r>
                <m:rPr>
                  <m:nor/>
                </m:rPr>
                <w:rPr>
                  <w:rFonts w:asciiTheme="majorBidi" w:hAnsiTheme="majorBidi" w:cstheme="majorBidi"/>
                </w:rPr>
                <m:t>j</m:t>
              </m:r>
            </m:sub>
          </m:sSub>
          <m:r>
            <m:rPr>
              <m:nor/>
            </m:rPr>
            <w:rPr>
              <w:rFonts w:ascii="Cambria Math" w:hAnsiTheme="majorBidi" w:cstheme="majorBidi"/>
            </w:rPr>
            <m:t xml:space="preserve"> </m:t>
          </m:r>
          <m:r>
            <m:rPr>
              <m:nor/>
            </m:rPr>
            <w:rPr>
              <w:rFonts w:asciiTheme="majorBidi" w:hAnsiTheme="majorBidi" w:cstheme="majorBidi"/>
            </w:rPr>
            <m:t xml:space="preserve">= </m:t>
          </m:r>
          <m:f>
            <m:fPr>
              <m:ctrlPr>
                <w:rPr>
                  <w:rFonts w:ascii="Cambria Math" w:hAnsi="Cambria Math" w:cstheme="majorBidi"/>
                </w:rPr>
              </m:ctrlPr>
            </m:fPr>
            <m:num>
              <m:r>
                <m:rPr>
                  <m:nor/>
                </m:rPr>
                <w:rPr>
                  <w:rFonts w:asciiTheme="majorBidi" w:hAnsiTheme="majorBidi" w:cstheme="majorBidi"/>
                </w:rPr>
                <m:t>2</m:t>
              </m:r>
            </m:num>
            <m:den>
              <m:f>
                <m:fPr>
                  <m:ctrlPr>
                    <w:rPr>
                      <w:rFonts w:ascii="Cambria Math" w:hAnsi="Cambria Math" w:cstheme="majorBidi"/>
                    </w:rPr>
                  </m:ctrlPr>
                </m:fPr>
                <m:num>
                  <m:r>
                    <m:rPr>
                      <m:nor/>
                    </m:rPr>
                    <w:rPr>
                      <w:rFonts w:asciiTheme="majorBidi" w:hAnsiTheme="majorBidi" w:cstheme="majorBidi"/>
                    </w:rPr>
                    <m:t>1</m:t>
                  </m:r>
                </m:num>
                <m:den>
                  <m:r>
                    <m:rPr>
                      <m:nor/>
                    </m:rPr>
                    <w:rPr>
                      <w:rFonts w:asciiTheme="majorBidi" w:hAnsiTheme="majorBidi" w:cstheme="majorBidi"/>
                    </w:rPr>
                    <m:t>∆</m:t>
                  </m:r>
                  <m:sSub>
                    <m:sSubPr>
                      <m:ctrlPr>
                        <w:rPr>
                          <w:rFonts w:ascii="Cambria Math" w:hAnsi="Cambria Math" w:cstheme="majorBidi"/>
                        </w:rPr>
                      </m:ctrlPr>
                    </m:sSubPr>
                    <m:e>
                      <m:r>
                        <m:rPr>
                          <m:nor/>
                        </m:rPr>
                        <w:rPr>
                          <w:rFonts w:asciiTheme="majorBidi" w:hAnsiTheme="majorBidi" w:cstheme="majorBidi"/>
                        </w:rPr>
                        <m:t>t</m:t>
                      </m:r>
                    </m:e>
                    <m:sub>
                      <m:r>
                        <m:rPr>
                          <m:nor/>
                        </m:rPr>
                        <w:rPr>
                          <w:rFonts w:asciiTheme="majorBidi" w:hAnsiTheme="majorBidi" w:cstheme="majorBidi"/>
                        </w:rPr>
                        <m:t>ja</m:t>
                      </m:r>
                    </m:sub>
                  </m:sSub>
                </m:den>
              </m:f>
              <m:r>
                <m:rPr>
                  <m:nor/>
                </m:rPr>
                <w:rPr>
                  <w:rFonts w:ascii="Cambria Math" w:hAnsiTheme="majorBidi" w:cstheme="majorBidi"/>
                </w:rPr>
                <m:t xml:space="preserve"> </m:t>
              </m:r>
              <m:r>
                <m:rPr>
                  <m:nor/>
                </m:rPr>
                <w:rPr>
                  <w:rFonts w:asciiTheme="majorBidi" w:hAnsiTheme="majorBidi" w:cstheme="majorBidi"/>
                </w:rPr>
                <m:t xml:space="preserve">+ </m:t>
              </m:r>
              <m:f>
                <m:fPr>
                  <m:ctrlPr>
                    <w:rPr>
                      <w:rFonts w:ascii="Cambria Math" w:hAnsi="Cambria Math" w:cstheme="majorBidi"/>
                    </w:rPr>
                  </m:ctrlPr>
                </m:fPr>
                <m:num>
                  <m:r>
                    <m:rPr>
                      <m:nor/>
                    </m:rPr>
                    <w:rPr>
                      <w:rFonts w:asciiTheme="majorBidi" w:hAnsiTheme="majorBidi" w:cstheme="majorBidi"/>
                    </w:rPr>
                    <m:t>1</m:t>
                  </m:r>
                </m:num>
                <m:den>
                  <m:r>
                    <m:rPr>
                      <m:nor/>
                    </m:rPr>
                    <w:rPr>
                      <w:rFonts w:asciiTheme="majorBidi" w:hAnsiTheme="majorBidi" w:cstheme="majorBidi"/>
                    </w:rPr>
                    <m:t>∆</m:t>
                  </m:r>
                  <m:sSub>
                    <m:sSubPr>
                      <m:ctrlPr>
                        <w:rPr>
                          <w:rFonts w:ascii="Cambria Math" w:hAnsi="Cambria Math" w:cstheme="majorBidi"/>
                        </w:rPr>
                      </m:ctrlPr>
                    </m:sSubPr>
                    <m:e>
                      <m:r>
                        <m:rPr>
                          <m:nor/>
                        </m:rPr>
                        <w:rPr>
                          <w:rFonts w:asciiTheme="majorBidi" w:hAnsiTheme="majorBidi" w:cstheme="majorBidi"/>
                        </w:rPr>
                        <m:t>t</m:t>
                      </m:r>
                    </m:e>
                    <m:sub>
                      <m:r>
                        <m:rPr>
                          <m:nor/>
                        </m:rPr>
                        <w:rPr>
                          <w:rFonts w:asciiTheme="majorBidi" w:hAnsiTheme="majorBidi" w:cstheme="majorBidi"/>
                        </w:rPr>
                        <m:t>jb</m:t>
                      </m:r>
                    </m:sub>
                  </m:sSub>
                </m:den>
              </m:f>
            </m:den>
          </m:f>
        </m:oMath>
      </m:oMathPara>
    </w:p>
    <w:p w:rsidR="00E24DB7" w:rsidRPr="002C5876" w:rsidRDefault="00E24DB7" w:rsidP="00E24DB7">
      <w:pPr>
        <w:pStyle w:val="SingleTxtG"/>
        <w:ind w:left="2268"/>
      </w:pPr>
      <w:r w:rsidRPr="002C5876">
        <w:t>où :</w:t>
      </w:r>
    </w:p>
    <w:p w:rsidR="00E24DB7" w:rsidRPr="002C5876" w:rsidRDefault="00E24DB7" w:rsidP="00E24DB7">
      <w:pPr>
        <w:pStyle w:val="SingleTxtG"/>
        <w:ind w:left="3402" w:hanging="1134"/>
        <w:jc w:val="left"/>
      </w:pPr>
      <m:oMath>
        <m:r>
          <m:rPr>
            <m:nor/>
          </m:rPr>
          <w:rPr>
            <w:rFonts w:asciiTheme="majorBidi" w:hAnsiTheme="majorBidi" w:cstheme="majorBidi"/>
            <w:szCs w:val="24"/>
          </w:rPr>
          <m:t>∆</m:t>
        </m:r>
        <m:sSub>
          <m:sSubPr>
            <m:ctrlPr>
              <w:rPr>
                <w:rFonts w:ascii="Cambria Math" w:hAnsi="Cambria Math" w:cstheme="majorBidi"/>
                <w:szCs w:val="24"/>
              </w:rPr>
            </m:ctrlPr>
          </m:sSubPr>
          <m:e>
            <m:r>
              <m:rPr>
                <m:nor/>
              </m:rPr>
              <w:rPr>
                <w:rFonts w:asciiTheme="majorBidi" w:hAnsiTheme="majorBidi" w:cstheme="majorBidi"/>
                <w:szCs w:val="24"/>
              </w:rPr>
              <m:t>t</m:t>
            </m:r>
          </m:e>
          <m:sub>
            <m:r>
              <m:rPr>
                <m:nor/>
              </m:rPr>
              <w:rPr>
                <w:rFonts w:asciiTheme="majorBidi" w:hAnsiTheme="majorBidi" w:cstheme="majorBidi"/>
                <w:szCs w:val="24"/>
              </w:rPr>
              <m:t>ja</m:t>
            </m:r>
          </m:sub>
        </m:sSub>
      </m:oMath>
      <w:r w:rsidRPr="002C5876">
        <w:t xml:space="preserve"> et </w:t>
      </w:r>
      <m:oMath>
        <m:r>
          <m:rPr>
            <m:nor/>
          </m:rPr>
          <w:rPr>
            <w:rFonts w:asciiTheme="majorBidi" w:hAnsiTheme="majorBidi" w:cstheme="majorBidi"/>
            <w:szCs w:val="24"/>
          </w:rPr>
          <m:t>∆</m:t>
        </m:r>
        <m:sSub>
          <m:sSubPr>
            <m:ctrlPr>
              <w:rPr>
                <w:rFonts w:ascii="Cambria Math" w:hAnsi="Cambria Math" w:cstheme="majorBidi"/>
                <w:szCs w:val="24"/>
              </w:rPr>
            </m:ctrlPr>
          </m:sSubPr>
          <m:e>
            <m:r>
              <m:rPr>
                <m:nor/>
              </m:rPr>
              <w:rPr>
                <w:rFonts w:asciiTheme="majorBidi" w:hAnsiTheme="majorBidi" w:cstheme="majorBidi"/>
                <w:szCs w:val="24"/>
              </w:rPr>
              <m:t>t</m:t>
            </m:r>
          </m:e>
          <m:sub>
            <m:r>
              <m:rPr>
                <m:nor/>
              </m:rPr>
              <w:rPr>
                <w:rFonts w:asciiTheme="majorBidi" w:hAnsiTheme="majorBidi" w:cstheme="majorBidi"/>
                <w:szCs w:val="24"/>
              </w:rPr>
              <m:t>jb</m:t>
            </m:r>
          </m:sub>
        </m:sSub>
      </m:oMath>
      <w:r w:rsidRPr="002C5876">
        <w:tab/>
        <w:t>sont les moyennes harmoniques des temps de décélération libre dans les directions a et b, respectivement, correspondant à la vitesse v</w:t>
      </w:r>
      <w:r w:rsidRPr="002C5876">
        <w:rPr>
          <w:vertAlign w:val="subscript"/>
        </w:rPr>
        <w:t>j</w:t>
      </w:r>
      <w:r w:rsidRPr="002C5876">
        <w:t>, en s, selon les deux équations suivantes :</w:t>
      </w:r>
    </w:p>
    <w:p w:rsidR="00E24DB7" w:rsidRPr="002C5876" w:rsidRDefault="00731CA6" w:rsidP="00E24DB7">
      <w:pPr>
        <w:pStyle w:val="SingleTxtG"/>
        <w:spacing w:after="240"/>
        <w:ind w:left="2268" w:hanging="1134"/>
        <w:rPr>
          <w:rFonts w:eastAsiaTheme="minorEastAsia"/>
        </w:rPr>
      </w:pPr>
      <m:oMathPara>
        <m:oMath>
          <m:sSub>
            <m:sSubPr>
              <m:ctrlPr>
                <w:rPr>
                  <w:rFonts w:ascii="Cambria Math" w:hAnsi="Cambria Math" w:cstheme="majorBidi"/>
                </w:rPr>
              </m:ctrlPr>
            </m:sSubPr>
            <m:e>
              <m:r>
                <m:rPr>
                  <m:nor/>
                </m:rPr>
                <w:rPr>
                  <w:rFonts w:asciiTheme="majorBidi" w:hAnsiTheme="majorBidi" w:cstheme="majorBidi"/>
                </w:rPr>
                <m:t>∆t</m:t>
              </m:r>
            </m:e>
            <m:sub>
              <m:r>
                <m:rPr>
                  <m:nor/>
                </m:rPr>
                <w:rPr>
                  <w:rFonts w:asciiTheme="majorBidi" w:hAnsiTheme="majorBidi" w:cstheme="majorBidi"/>
                </w:rPr>
                <m:t>ja</m:t>
              </m:r>
            </m:sub>
          </m:sSub>
          <m:r>
            <m:rPr>
              <m:nor/>
            </m:rPr>
            <w:rPr>
              <w:rFonts w:asciiTheme="majorBidi" w:hAnsiTheme="majorBidi" w:cstheme="majorBidi"/>
            </w:rPr>
            <m:t xml:space="preserve">= </m:t>
          </m:r>
          <m:f>
            <m:fPr>
              <m:ctrlPr>
                <w:rPr>
                  <w:rFonts w:ascii="Cambria Math" w:hAnsi="Cambria Math" w:cstheme="majorBidi"/>
                </w:rPr>
              </m:ctrlPr>
            </m:fPr>
            <m:num>
              <m:r>
                <m:rPr>
                  <m:nor/>
                </m:rPr>
                <w:rPr>
                  <w:rFonts w:asciiTheme="majorBidi" w:hAnsiTheme="majorBidi" w:cstheme="majorBidi"/>
                </w:rPr>
                <m:t>n</m:t>
              </m:r>
            </m:num>
            <m:den>
              <m:nary>
                <m:naryPr>
                  <m:chr m:val="∑"/>
                  <m:limLoc m:val="undOvr"/>
                  <m:ctrlPr>
                    <w:rPr>
                      <w:rFonts w:ascii="Cambria Math" w:hAnsi="Cambria Math" w:cstheme="majorBidi"/>
                    </w:rPr>
                  </m:ctrlPr>
                </m:naryPr>
                <m:sub>
                  <m:r>
                    <m:rPr>
                      <m:nor/>
                    </m:rPr>
                    <w:rPr>
                      <w:rFonts w:asciiTheme="majorBidi" w:hAnsiTheme="majorBidi" w:cstheme="majorBidi"/>
                    </w:rPr>
                    <m:t>i=1</m:t>
                  </m:r>
                </m:sub>
                <m:sup>
                  <m:r>
                    <m:rPr>
                      <m:nor/>
                    </m:rPr>
                    <w:rPr>
                      <w:rFonts w:asciiTheme="majorBidi" w:hAnsiTheme="majorBidi" w:cstheme="majorBidi"/>
                    </w:rPr>
                    <m:t>n</m:t>
                  </m:r>
                </m:sup>
                <m:e>
                  <m:f>
                    <m:fPr>
                      <m:ctrlPr>
                        <w:rPr>
                          <w:rFonts w:ascii="Cambria Math" w:hAnsi="Cambria Math" w:cstheme="majorBidi"/>
                        </w:rPr>
                      </m:ctrlPr>
                    </m:fPr>
                    <m:num>
                      <m:r>
                        <m:rPr>
                          <m:nor/>
                        </m:rPr>
                        <w:rPr>
                          <w:rFonts w:asciiTheme="majorBidi" w:hAnsiTheme="majorBidi" w:cstheme="majorBidi"/>
                        </w:rPr>
                        <m:t>1</m:t>
                      </m:r>
                    </m:num>
                    <m:den>
                      <m:sSub>
                        <m:sSubPr>
                          <m:ctrlPr>
                            <w:rPr>
                              <w:rFonts w:ascii="Cambria Math" w:hAnsi="Cambria Math" w:cstheme="majorBidi"/>
                            </w:rPr>
                          </m:ctrlPr>
                        </m:sSubPr>
                        <m:e>
                          <m:r>
                            <m:rPr>
                              <m:nor/>
                            </m:rPr>
                            <w:rPr>
                              <w:rFonts w:asciiTheme="majorBidi" w:hAnsiTheme="majorBidi" w:cstheme="majorBidi"/>
                            </w:rPr>
                            <m:t>t</m:t>
                          </m:r>
                        </m:e>
                        <m:sub>
                          <m:r>
                            <m:rPr>
                              <m:nor/>
                            </m:rPr>
                            <w:rPr>
                              <w:rFonts w:asciiTheme="majorBidi" w:hAnsiTheme="majorBidi" w:cstheme="majorBidi"/>
                            </w:rPr>
                            <m:t>jai</m:t>
                          </m:r>
                        </m:sub>
                      </m:sSub>
                    </m:den>
                  </m:f>
                </m:e>
              </m:nary>
            </m:den>
          </m:f>
        </m:oMath>
      </m:oMathPara>
    </w:p>
    <w:p w:rsidR="00E24DB7" w:rsidRPr="002C5876" w:rsidRDefault="00E24DB7" w:rsidP="00E24DB7">
      <w:pPr>
        <w:pStyle w:val="SingleTxtG"/>
        <w:spacing w:after="240"/>
        <w:ind w:left="2268"/>
        <w:rPr>
          <w:bCs/>
        </w:rPr>
      </w:pPr>
      <w:r w:rsidRPr="002C5876">
        <w:t>et </w:t>
      </w:r>
      <w:r w:rsidRPr="002C5876">
        <w:rPr>
          <w:bCs/>
        </w:rPr>
        <w:t>:</w:t>
      </w:r>
    </w:p>
    <w:p w:rsidR="00E24DB7" w:rsidRPr="002C5876" w:rsidRDefault="00731CA6" w:rsidP="00E24DB7">
      <w:pPr>
        <w:pStyle w:val="SingleTxtG"/>
        <w:spacing w:after="240"/>
        <w:ind w:left="2268"/>
        <w:rPr>
          <w:rFonts w:eastAsiaTheme="minorEastAsia"/>
        </w:rPr>
      </w:pPr>
      <m:oMathPara>
        <m:oMath>
          <m:sSub>
            <m:sSubPr>
              <m:ctrlPr>
                <w:rPr>
                  <w:rFonts w:ascii="Cambria Math" w:hAnsi="Cambria Math" w:cstheme="majorBidi"/>
                </w:rPr>
              </m:ctrlPr>
            </m:sSubPr>
            <m:e>
              <m:r>
                <m:rPr>
                  <m:nor/>
                </m:rPr>
                <w:rPr>
                  <w:rFonts w:asciiTheme="majorBidi" w:hAnsiTheme="majorBidi" w:cstheme="majorBidi"/>
                </w:rPr>
                <m:t>∆t</m:t>
              </m:r>
            </m:e>
            <m:sub>
              <m:r>
                <m:rPr>
                  <m:nor/>
                </m:rPr>
                <w:rPr>
                  <w:rFonts w:asciiTheme="majorBidi" w:hAnsiTheme="majorBidi" w:cstheme="majorBidi"/>
                </w:rPr>
                <m:t>jb</m:t>
              </m:r>
            </m:sub>
          </m:sSub>
          <m:r>
            <m:rPr>
              <m:nor/>
            </m:rPr>
            <w:rPr>
              <w:rFonts w:asciiTheme="majorBidi" w:hAnsiTheme="majorBidi" w:cstheme="majorBidi"/>
            </w:rPr>
            <m:t xml:space="preserve">= </m:t>
          </m:r>
          <m:f>
            <m:fPr>
              <m:ctrlPr>
                <w:rPr>
                  <w:rFonts w:ascii="Cambria Math" w:hAnsi="Cambria Math" w:cstheme="majorBidi"/>
                </w:rPr>
              </m:ctrlPr>
            </m:fPr>
            <m:num>
              <m:r>
                <m:rPr>
                  <m:nor/>
                </m:rPr>
                <w:rPr>
                  <w:rFonts w:asciiTheme="majorBidi" w:hAnsiTheme="majorBidi" w:cstheme="majorBidi"/>
                </w:rPr>
                <m:t>n</m:t>
              </m:r>
            </m:num>
            <m:den>
              <m:nary>
                <m:naryPr>
                  <m:chr m:val="∑"/>
                  <m:limLoc m:val="undOvr"/>
                  <m:ctrlPr>
                    <w:rPr>
                      <w:rFonts w:ascii="Cambria Math" w:hAnsi="Cambria Math" w:cstheme="majorBidi"/>
                    </w:rPr>
                  </m:ctrlPr>
                </m:naryPr>
                <m:sub>
                  <m:r>
                    <m:rPr>
                      <m:nor/>
                    </m:rPr>
                    <w:rPr>
                      <w:rFonts w:asciiTheme="majorBidi" w:hAnsiTheme="majorBidi" w:cstheme="majorBidi"/>
                    </w:rPr>
                    <m:t>i=1</m:t>
                  </m:r>
                </m:sub>
                <m:sup>
                  <m:r>
                    <m:rPr>
                      <m:nor/>
                    </m:rPr>
                    <w:rPr>
                      <w:rFonts w:asciiTheme="majorBidi" w:hAnsiTheme="majorBidi" w:cstheme="majorBidi"/>
                    </w:rPr>
                    <m:t>n</m:t>
                  </m:r>
                </m:sup>
                <m:e>
                  <m:f>
                    <m:fPr>
                      <m:ctrlPr>
                        <w:rPr>
                          <w:rFonts w:ascii="Cambria Math" w:hAnsi="Cambria Math" w:cstheme="majorBidi"/>
                        </w:rPr>
                      </m:ctrlPr>
                    </m:fPr>
                    <m:num>
                      <m:r>
                        <m:rPr>
                          <m:nor/>
                        </m:rPr>
                        <w:rPr>
                          <w:rFonts w:asciiTheme="majorBidi" w:hAnsiTheme="majorBidi" w:cstheme="majorBidi"/>
                        </w:rPr>
                        <m:t>1</m:t>
                      </m:r>
                    </m:num>
                    <m:den>
                      <m:sSub>
                        <m:sSubPr>
                          <m:ctrlPr>
                            <w:rPr>
                              <w:rFonts w:ascii="Cambria Math" w:hAnsi="Cambria Math" w:cstheme="majorBidi"/>
                            </w:rPr>
                          </m:ctrlPr>
                        </m:sSubPr>
                        <m:e>
                          <m:r>
                            <m:rPr>
                              <m:nor/>
                            </m:rPr>
                            <w:rPr>
                              <w:rFonts w:asciiTheme="majorBidi" w:hAnsiTheme="majorBidi" w:cstheme="majorBidi"/>
                            </w:rPr>
                            <m:t>t</m:t>
                          </m:r>
                        </m:e>
                        <m:sub>
                          <m:r>
                            <m:rPr>
                              <m:nor/>
                            </m:rPr>
                            <w:rPr>
                              <w:rFonts w:asciiTheme="majorBidi" w:hAnsiTheme="majorBidi" w:cstheme="majorBidi"/>
                            </w:rPr>
                            <m:t>jbi</m:t>
                          </m:r>
                        </m:sub>
                      </m:sSub>
                    </m:den>
                  </m:f>
                </m:e>
              </m:nary>
            </m:den>
          </m:f>
        </m:oMath>
      </m:oMathPara>
    </w:p>
    <w:p w:rsidR="00E24DB7" w:rsidRPr="002C5876" w:rsidRDefault="00E24DB7" w:rsidP="00E24DB7">
      <w:pPr>
        <w:pStyle w:val="SingleTxtG"/>
        <w:keepNext/>
        <w:ind w:left="2268"/>
        <w:rPr>
          <w:bCs/>
        </w:rPr>
      </w:pPr>
      <w:r w:rsidRPr="002C5876">
        <w:t>où </w:t>
      </w:r>
      <w:r w:rsidRPr="002C5876">
        <w:rPr>
          <w:bCs/>
        </w:rPr>
        <w:t>:</w:t>
      </w:r>
    </w:p>
    <w:p w:rsidR="00E24DB7" w:rsidRPr="002C5876" w:rsidRDefault="00E24DB7" w:rsidP="00E24DB7">
      <w:pPr>
        <w:pStyle w:val="SingleTxtG"/>
        <w:ind w:left="3402" w:hanging="1134"/>
      </w:pPr>
      <w:r w:rsidRPr="002C5876">
        <w:rPr>
          <w:iCs/>
        </w:rPr>
        <w:t>m</w:t>
      </w:r>
      <w:r w:rsidRPr="002C5876">
        <w:rPr>
          <w:iCs/>
          <w:vertAlign w:val="subscript"/>
        </w:rPr>
        <w:t>av</w:t>
      </w:r>
      <w:r w:rsidRPr="002C5876">
        <w:rPr>
          <w:i/>
          <w:iCs/>
        </w:rPr>
        <w:tab/>
      </w:r>
      <w:r w:rsidRPr="002C5876">
        <w:t>est la moyenne arithmétique des masses du véhicule d’essai au début et à la fin de l’essai de détermination de la résistance à l’avancement sur route, en kg ;</w:t>
      </w:r>
    </w:p>
    <w:p w:rsidR="00E24DB7" w:rsidRPr="002C5876" w:rsidRDefault="00E24DB7" w:rsidP="00E24DB7">
      <w:pPr>
        <w:pStyle w:val="SingleTxtG"/>
        <w:ind w:left="3402" w:hanging="1134"/>
      </w:pPr>
      <w:r w:rsidRPr="002C5876">
        <w:t>m</w:t>
      </w:r>
      <w:r w:rsidRPr="002C5876">
        <w:rPr>
          <w:vertAlign w:val="subscript"/>
        </w:rPr>
        <w:t>r</w:t>
      </w:r>
      <w:r w:rsidRPr="002C5876">
        <w:tab/>
        <w:t>est la masse effective équivalente des composants en rotation comme défini au paragraphe 2.5.1 de la présente annexe.</w:t>
      </w:r>
    </w:p>
    <w:p w:rsidR="00E24DB7" w:rsidRPr="002C5876" w:rsidRDefault="00E24DB7" w:rsidP="00E24DB7">
      <w:pPr>
        <w:pStyle w:val="SingleTxtG"/>
        <w:ind w:left="2268"/>
      </w:pPr>
      <w:r w:rsidRPr="002C5876">
        <w:t>Les coefficients f</w:t>
      </w:r>
      <w:r w:rsidRPr="002C5876">
        <w:rPr>
          <w:vertAlign w:val="subscript"/>
        </w:rPr>
        <w:t>0</w:t>
      </w:r>
      <w:r w:rsidRPr="002C5876">
        <w:t>, f</w:t>
      </w:r>
      <w:r w:rsidRPr="002C5876">
        <w:rPr>
          <w:vertAlign w:val="subscript"/>
        </w:rPr>
        <w:t>1</w:t>
      </w:r>
      <w:r w:rsidRPr="002C5876">
        <w:t xml:space="preserve"> et f</w:t>
      </w:r>
      <w:r w:rsidRPr="002C5876">
        <w:rPr>
          <w:vertAlign w:val="subscript"/>
        </w:rPr>
        <w:t>2</w:t>
      </w:r>
      <w:r w:rsidRPr="002C5876">
        <w:t xml:space="preserve"> de l’équation de résistance à l’avancement sur route doivent être calculés par une analyse de régression par la méthode des moindres carrés.</w:t>
      </w:r>
    </w:p>
    <w:p w:rsidR="00E24DB7" w:rsidRPr="002C5876" w:rsidRDefault="00E24DB7" w:rsidP="00E24DB7">
      <w:pPr>
        <w:pStyle w:val="SingleTxtG"/>
        <w:ind w:left="2268"/>
        <w:rPr>
          <w:iCs/>
        </w:rPr>
      </w:pPr>
      <w:r w:rsidRPr="002C5876">
        <w:t>Si le véhicule d’essai est le véhicule représentatif d’une famille de matrices de résistance à l’avancement sur route, le coefficient f</w:t>
      </w:r>
      <w:r w:rsidRPr="002C5876">
        <w:rPr>
          <w:vertAlign w:val="subscript"/>
        </w:rPr>
        <w:t>1</w:t>
      </w:r>
      <w:r w:rsidRPr="002C5876">
        <w:t xml:space="preserve"> est pris comme égal à zéro et les coefficients f</w:t>
      </w:r>
      <w:r w:rsidRPr="002C5876">
        <w:rPr>
          <w:vertAlign w:val="subscript"/>
        </w:rPr>
        <w:t>0</w:t>
      </w:r>
      <w:r w:rsidRPr="002C5876">
        <w:t xml:space="preserve"> et f</w:t>
      </w:r>
      <w:r w:rsidRPr="002C5876">
        <w:rPr>
          <w:vertAlign w:val="subscript"/>
        </w:rPr>
        <w:t>2</w:t>
      </w:r>
      <w:r w:rsidRPr="002C5876">
        <w:t xml:space="preserve"> doivent être recalculés par une analyse de régression par les moindres carrés.</w:t>
      </w:r>
    </w:p>
    <w:p w:rsidR="00E24DB7" w:rsidRPr="002C5876" w:rsidRDefault="00E24DB7" w:rsidP="00E24DB7">
      <w:pPr>
        <w:pStyle w:val="SingleTxtG"/>
        <w:keepNext/>
        <w:ind w:left="2268" w:hanging="1134"/>
        <w:jc w:val="left"/>
      </w:pPr>
      <w:r w:rsidRPr="002C5876">
        <w:t>4.3.2</w:t>
      </w:r>
      <w:r w:rsidRPr="002C5876">
        <w:tab/>
        <w:t>Méthode de la décélération libre avec mesures anémométriques par un équipement embarqué</w:t>
      </w:r>
    </w:p>
    <w:p w:rsidR="00E24DB7" w:rsidRPr="002C5876" w:rsidRDefault="00E24DB7" w:rsidP="00E24DB7">
      <w:pPr>
        <w:pStyle w:val="SingleTxtG"/>
        <w:ind w:left="2268"/>
      </w:pPr>
      <w:r w:rsidRPr="002C5876">
        <w:t xml:space="preserve">Le véhicule doit subir une procédure de mise en température et de stabilisation conformément au paragraphe 4.2.4 de la présente annexe. </w:t>
      </w:r>
    </w:p>
    <w:p w:rsidR="00E24DB7" w:rsidRPr="002C5876" w:rsidRDefault="00E24DB7" w:rsidP="00E24DB7">
      <w:pPr>
        <w:pStyle w:val="SingleTxtG"/>
        <w:keepNext/>
        <w:ind w:left="2268" w:hanging="1134"/>
        <w:jc w:val="left"/>
      </w:pPr>
      <w:r w:rsidRPr="002C5876">
        <w:t>4.3.2.1</w:t>
      </w:r>
      <w:r w:rsidRPr="002C5876">
        <w:tab/>
        <w:t>Instruments additionnels pour mesures anémométriques avec équipement embarqué</w:t>
      </w:r>
    </w:p>
    <w:p w:rsidR="00E24DB7" w:rsidRPr="002C5876" w:rsidRDefault="00E24DB7" w:rsidP="00E24DB7">
      <w:pPr>
        <w:pStyle w:val="SingleTxtG"/>
        <w:ind w:left="2268"/>
      </w:pPr>
      <w:r w:rsidRPr="002C5876">
        <w:t>L’anémomètre et les appareils embarqués doivent être étalonnés en cours de fonctionnement sur le véhicule soumis à l’essai, l’étalonnage s’effectuant durant la mise en température pour l’essai.</w:t>
      </w:r>
    </w:p>
    <w:p w:rsidR="00E24DB7" w:rsidRPr="002C5876" w:rsidRDefault="00E24DB7" w:rsidP="00E24DB7">
      <w:pPr>
        <w:pStyle w:val="SingleTxtG"/>
        <w:ind w:left="2268" w:hanging="1134"/>
      </w:pPr>
      <w:r w:rsidRPr="002C5876">
        <w:t>4.3.2.1.1</w:t>
      </w:r>
      <w:r w:rsidRPr="002C5876">
        <w:tab/>
        <w:t>La vitesse relative du vent doit être mesurée à une fréquence minimale de 1 Hz avec une exactitude de 0,3 m/s. L’étalonnage de l’anémomètre doit inclure les corrections pour l’effet d’obstruction causé par le véhicule.</w:t>
      </w:r>
    </w:p>
    <w:p w:rsidR="00E24DB7" w:rsidRPr="002C5876" w:rsidRDefault="00E24DB7" w:rsidP="00E24DB7">
      <w:pPr>
        <w:pStyle w:val="SingleTxtG"/>
        <w:ind w:left="2268" w:hanging="1134"/>
      </w:pPr>
      <w:r w:rsidRPr="002C5876">
        <w:t>4.3.2.1.2</w:t>
      </w:r>
      <w:r w:rsidRPr="002C5876">
        <w:tab/>
        <w:t>La direction du vent doit être déterminée relativement à la direction du véhicule. La direction relative du vent (en lacet) doit être mesurée avec une résolution de 1° et une exactitude de 3° ; l’angle mort de l’instrument ne doit pas dépasser 10° et doit être orienté vers l’arrière du véhicule.</w:t>
      </w:r>
    </w:p>
    <w:p w:rsidR="00E24DB7" w:rsidRPr="002C5876" w:rsidRDefault="00E24DB7" w:rsidP="00E24DB7">
      <w:pPr>
        <w:pStyle w:val="SingleTxtG"/>
        <w:ind w:left="2268" w:hanging="1134"/>
      </w:pPr>
      <w:r w:rsidRPr="002C5876">
        <w:t>4.3.2.1.3</w:t>
      </w:r>
      <w:r w:rsidRPr="002C5876">
        <w:tab/>
        <w:t>Avant la décélération libre, l’anémomètre doit être étalonné pour la vitesse et l’écart angulaire du vent comme spécifié dans la norme ISO 10521-1:2006(E) annexe A.</w:t>
      </w:r>
    </w:p>
    <w:p w:rsidR="00E24DB7" w:rsidRPr="002C5876" w:rsidRDefault="00E24DB7" w:rsidP="00E24DB7">
      <w:pPr>
        <w:pStyle w:val="SingleTxtG"/>
        <w:ind w:left="2268" w:hanging="1134"/>
      </w:pPr>
      <w:r w:rsidRPr="002C5876">
        <w:t>4.3.2.1.4</w:t>
      </w:r>
      <w:r w:rsidRPr="002C5876">
        <w:tab/>
        <w:t>Une correction de l’obstruction causée à la mesure anémométrique doit être appliquée dans la procédure d’étalonnage afin d’en minimiser les effets comme spécifié dans la norme ISO 10521-1:2006(E) annexe A.</w:t>
      </w:r>
    </w:p>
    <w:p w:rsidR="00E24DB7" w:rsidRPr="002C5876" w:rsidRDefault="00E24DB7" w:rsidP="00E24DB7">
      <w:pPr>
        <w:pStyle w:val="SingleTxtG"/>
        <w:keepNext/>
        <w:ind w:left="2268" w:hanging="1134"/>
        <w:jc w:val="left"/>
      </w:pPr>
      <w:r w:rsidRPr="002C5876">
        <w:t>4.3.2.2</w:t>
      </w:r>
      <w:r w:rsidRPr="002C5876">
        <w:tab/>
        <w:t>Sélection de la plage de vitesse du véhicule pour la détermination de la courbe de résistance à l’avancement sur route</w:t>
      </w:r>
    </w:p>
    <w:p w:rsidR="00E24DB7" w:rsidRPr="002C5876" w:rsidRDefault="00E24DB7" w:rsidP="00E24DB7">
      <w:pPr>
        <w:spacing w:after="120"/>
        <w:ind w:left="2268" w:right="1134"/>
        <w:jc w:val="both"/>
      </w:pPr>
      <w:r w:rsidRPr="002C5876">
        <w:t>La plage de vitesse d’essai du véhicule doit être sélectionnée conformément au paragraphe 2.2 de la présente annexe.</w:t>
      </w:r>
    </w:p>
    <w:p w:rsidR="00E24DB7" w:rsidRPr="002C5876" w:rsidRDefault="00E24DB7" w:rsidP="00E24DB7">
      <w:pPr>
        <w:pStyle w:val="SingleTxtG"/>
        <w:keepNext/>
        <w:ind w:left="2268" w:hanging="1134"/>
        <w:jc w:val="left"/>
      </w:pPr>
      <w:r w:rsidRPr="002C5876">
        <w:lastRenderedPageBreak/>
        <w:t>4.3.2.3</w:t>
      </w:r>
      <w:r w:rsidRPr="002C5876">
        <w:tab/>
        <w:t>Collecte des données</w:t>
      </w:r>
    </w:p>
    <w:p w:rsidR="00E24DB7" w:rsidRPr="002C5876" w:rsidRDefault="00E24DB7" w:rsidP="00E24DB7">
      <w:pPr>
        <w:pStyle w:val="SingleTxtG"/>
        <w:ind w:left="2268"/>
      </w:pPr>
      <w:r w:rsidRPr="002C5876">
        <w:t>Au cours de la procédure, le temps écoulé, la vitesse du véhicule, et la vitesse et la direction de l’air par rapport au véhicule, doivent être mesurés à la fréquence minimale de 5 Hz. La mesure de la température ambiante doit être synchronisée et effectuée à la fréquence minimale de 0,1 Hz.</w:t>
      </w:r>
    </w:p>
    <w:p w:rsidR="00E24DB7" w:rsidRPr="002C5876" w:rsidRDefault="00E24DB7" w:rsidP="00E24DB7">
      <w:pPr>
        <w:pStyle w:val="SingleTxtG"/>
        <w:keepNext/>
        <w:ind w:left="2268" w:hanging="1134"/>
        <w:jc w:val="left"/>
      </w:pPr>
      <w:r w:rsidRPr="002C5876">
        <w:t>4.3.2.4</w:t>
      </w:r>
      <w:r w:rsidRPr="002C5876">
        <w:tab/>
        <w:t>Essai de décélération libre du véhicule</w:t>
      </w:r>
    </w:p>
    <w:p w:rsidR="00E24DB7" w:rsidRPr="002C5876" w:rsidRDefault="00E24DB7" w:rsidP="00E24DB7">
      <w:pPr>
        <w:pStyle w:val="SingleTxtG"/>
        <w:ind w:left="2268"/>
      </w:pPr>
      <w:r w:rsidRPr="002C5876">
        <w:t>Les parcours de mesure doivent être effectués dans les deux sens opposés jusqu’à ce qu’un minimum de 10 parcours consécutifs ait été exécuté (à raison de cinq dans chaque sens). Si un parcours individuel ne satisfait pas aux conditions requises pour l’essai avec un anémomètre embarqué, ce parcours ainsi que le parcours correspondant en sens opposé doivent être invalidés. Toutes les paires valides doivent être prises en compte dans l’analyse finale, avec un nombre minimal de 5 paires. Les critères de validation statistique doivent satisfaire aux conditions spécifiées au paragraphe 4.3.2.6.10 de la présente annexe.</w:t>
      </w:r>
    </w:p>
    <w:p w:rsidR="00E24DB7" w:rsidRPr="002C5876" w:rsidRDefault="00E24DB7" w:rsidP="00E24DB7">
      <w:pPr>
        <w:pStyle w:val="SingleTxtG"/>
        <w:ind w:left="2268"/>
      </w:pPr>
      <w:r w:rsidRPr="002C5876">
        <w:t>L’anémomètre doit être installé dans une position telle que les effets de sa présence sur les caractéristiques du véhicule soient réduits au minimum.</w:t>
      </w:r>
    </w:p>
    <w:p w:rsidR="00E24DB7" w:rsidRPr="002C5876" w:rsidRDefault="00E24DB7" w:rsidP="00E24DB7">
      <w:pPr>
        <w:pStyle w:val="SingleTxtG"/>
        <w:keepNext/>
        <w:ind w:left="2268"/>
      </w:pPr>
      <w:r w:rsidRPr="002C5876">
        <w:t>L’anémomètre doit être installé dans l’une des positions ci-après :</w:t>
      </w:r>
    </w:p>
    <w:p w:rsidR="00E24DB7" w:rsidRPr="002C5876" w:rsidRDefault="00E24DB7" w:rsidP="00E24DB7">
      <w:pPr>
        <w:pStyle w:val="SingleTxtG"/>
        <w:ind w:left="2835" w:hanging="567"/>
      </w:pPr>
      <w:r w:rsidRPr="002C5876">
        <w:t>a)</w:t>
      </w:r>
      <w:r w:rsidRPr="002C5876">
        <w:tab/>
        <w:t>Sur une perche placée à environ 2 m en avant du point avant de stagnation aérodynamique du véhicule ;</w:t>
      </w:r>
    </w:p>
    <w:p w:rsidR="00E24DB7" w:rsidRPr="002C5876" w:rsidRDefault="00E24DB7" w:rsidP="00E24DB7">
      <w:pPr>
        <w:pStyle w:val="SingleTxtG"/>
        <w:ind w:left="2835" w:hanging="567"/>
      </w:pPr>
      <w:r w:rsidRPr="002C5876">
        <w:t>b)</w:t>
      </w:r>
      <w:r w:rsidRPr="002C5876">
        <w:tab/>
        <w:t>Sur le toit du véhicule sur l’axe médian. Si possible, l’instrument doit être monté à 30 cm ou moins du haut du pare-brise ;</w:t>
      </w:r>
    </w:p>
    <w:p w:rsidR="00E24DB7" w:rsidRPr="002C5876" w:rsidRDefault="00E24DB7" w:rsidP="00E24DB7">
      <w:pPr>
        <w:pStyle w:val="SingleTxtG"/>
        <w:ind w:left="2835" w:hanging="567"/>
      </w:pPr>
      <w:r w:rsidRPr="002C5876">
        <w:t>c)</w:t>
      </w:r>
      <w:r w:rsidRPr="002C5876">
        <w:tab/>
        <w:t>Sur le capot moteur du véhicule sur l’axe médian à mi-distance entre l’avant du véhicule et la base du pare-brise.</w:t>
      </w:r>
    </w:p>
    <w:p w:rsidR="00E24DB7" w:rsidRPr="002C5876" w:rsidRDefault="00E24DB7" w:rsidP="00E24DB7">
      <w:pPr>
        <w:pStyle w:val="SingleTxtG"/>
        <w:ind w:left="2268"/>
        <w:rPr>
          <w:highlight w:val="yellow"/>
        </w:rPr>
      </w:pPr>
      <w:r w:rsidRPr="002C5876">
        <w:t>Dans tous les cas, l’anémomètre doit être installé parallèlement à la surface de la route. Si les positions b) ou c) sont utilisées, les résultats de la décélération libre doivent être ajustés au cours de l’analyse pour tenir compte de la traînée aérodynamique additionnelle induite par l’anémomètre. L’ajustement se fait sur la base d’essais comparatifs de la décélération libre du véhicule en soufflerie avec et sans l’anémomètre monté (dans la même position que celle utilisée sur la piste) ; la différence calculée représentera le coefficient d’accroissement de la traînée (</w:t>
      </w:r>
      <m:oMath>
        <m:sSub>
          <m:sSubPr>
            <m:ctrlPr>
              <w:rPr>
                <w:rFonts w:ascii="Cambria Math" w:hAnsi="Cambria Math"/>
              </w:rPr>
            </m:ctrlPr>
          </m:sSubPr>
          <m:e>
            <m:r>
              <m:rPr>
                <m:sty m:val="p"/>
              </m:rPr>
              <w:rPr>
                <w:rFonts w:ascii="Cambria Math"/>
              </w:rPr>
              <m:t>C</m:t>
            </m:r>
          </m:e>
          <m:sub>
            <m:r>
              <m:rPr>
                <m:sty m:val="p"/>
              </m:rPr>
              <w:rPr>
                <w:rFonts w:ascii="Cambria Math"/>
              </w:rPr>
              <m:t>D</m:t>
            </m:r>
          </m:sub>
        </m:sSub>
      </m:oMath>
      <w:r w:rsidRPr="002C5876">
        <w:t>), qui, combiné avec la surface frontale, doit être utilisé pour corriger les résultats de la décélération libre.</w:t>
      </w:r>
    </w:p>
    <w:p w:rsidR="00E24DB7" w:rsidRPr="002C5876" w:rsidRDefault="00E24DB7" w:rsidP="00E24DB7">
      <w:pPr>
        <w:pStyle w:val="SingleTxtG"/>
        <w:ind w:left="2268" w:hanging="1134"/>
      </w:pPr>
      <w:r w:rsidRPr="002C5876">
        <w:t>4.3.2.4.1</w:t>
      </w:r>
      <w:r w:rsidRPr="002C5876">
        <w:tab/>
        <w:t>Après l’opération de mise en température du véhicule (par. 4.2.4 de la présente annexe), et immédiatement avant chaque mesure d’essai, le véhicule doit être accéléré jusqu’à 10 à 15 km/h au-dessus de la plus haute vitesse de référence et effectuer un parcours à cette vitesse pendant une durée maximale de 1 min ; après quoi l’essai de décélération libre doit commencer immédiatement.</w:t>
      </w:r>
    </w:p>
    <w:p w:rsidR="00E24DB7" w:rsidRPr="002C5876" w:rsidRDefault="00E24DB7" w:rsidP="00E24DB7">
      <w:pPr>
        <w:pStyle w:val="SingleTxtG"/>
        <w:ind w:left="2268" w:hanging="1134"/>
      </w:pPr>
      <w:r w:rsidRPr="002C5876">
        <w:t>4.3.2.4.2</w:t>
      </w:r>
      <w:r w:rsidRPr="002C5876">
        <w:tab/>
        <w:t>Pendant la décélération libre, la transmission doit être au point mort. Tout mouvement du volant de direction doit être évité autant que possible, et les freins du véhicule ne doivent pas être actionnés.</w:t>
      </w:r>
    </w:p>
    <w:p w:rsidR="00E24DB7" w:rsidRPr="002C5876" w:rsidRDefault="00E24DB7" w:rsidP="00E24DB7">
      <w:pPr>
        <w:pStyle w:val="SingleTxtG"/>
        <w:keepNext/>
        <w:ind w:left="2268" w:hanging="1134"/>
      </w:pPr>
      <w:r w:rsidRPr="002C5876">
        <w:t>4.3.2.4.3</w:t>
      </w:r>
      <w:r w:rsidRPr="002C5876">
        <w:tab/>
        <w:t>Bien qu’il soit recommandé que chaque essai de décélération libre soit effectué sans interruption, des essais fractionnés peuvent être exécutés s’il est impossible de collecter les données en une seule fois pour tous les points de vitesse de référence. Dans le cas des essais fractionnés, les prescriptions supplémentaires suivantes s’appliquent :</w:t>
      </w:r>
    </w:p>
    <w:p w:rsidR="00E24DB7" w:rsidRPr="002C5876" w:rsidRDefault="00E24DB7" w:rsidP="00E24DB7">
      <w:pPr>
        <w:pStyle w:val="SingleTxtG"/>
        <w:ind w:left="2835" w:hanging="567"/>
      </w:pPr>
      <w:r w:rsidRPr="002C5876">
        <w:t>a)</w:t>
      </w:r>
      <w:r w:rsidRPr="002C5876">
        <w:tab/>
        <w:t>On doit veiller à ce que les conditions relatives au véhicule demeurent aussi stables que possible à chaque point de fractionnement ;</w:t>
      </w:r>
    </w:p>
    <w:p w:rsidR="00E24DB7" w:rsidRPr="002C5876" w:rsidRDefault="00E24DB7" w:rsidP="00E24DB7">
      <w:pPr>
        <w:pStyle w:val="SingleTxtG"/>
        <w:ind w:left="2835" w:hanging="567"/>
      </w:pPr>
      <w:r w:rsidRPr="002C5876">
        <w:t>b)</w:t>
      </w:r>
      <w:r w:rsidRPr="002C5876">
        <w:tab/>
        <w:t>Au moins un point de vitesse doit être situé à la fois dans une plage de vitesses donnée et dans la plage de vitesses supérieure ;</w:t>
      </w:r>
    </w:p>
    <w:p w:rsidR="00E24DB7" w:rsidRPr="002C5876" w:rsidRDefault="00E24DB7" w:rsidP="00E24DB7">
      <w:pPr>
        <w:pStyle w:val="SingleTxtG"/>
        <w:ind w:left="2835" w:hanging="567"/>
      </w:pPr>
      <w:r w:rsidRPr="002C5876">
        <w:t>c)</w:t>
      </w:r>
      <w:r w:rsidRPr="002C5876">
        <w:tab/>
        <w:t xml:space="preserve">Pour chacun de ces points de chevauchement, l’écart entre la force de décélération moyenne de la plage inférieure et la force de décélération </w:t>
      </w:r>
      <w:r w:rsidRPr="002C5876">
        <w:lastRenderedPageBreak/>
        <w:t xml:space="preserve">moyenne de la plage supérieure ne doit pas excéder </w:t>
      </w:r>
      <w:r w:rsidRPr="002C5876">
        <w:sym w:font="Symbol" w:char="F0B1"/>
      </w:r>
      <w:r w:rsidRPr="002C5876">
        <w:t xml:space="preserve">10 N ou </w:t>
      </w:r>
      <w:r w:rsidRPr="002C5876">
        <w:sym w:font="Symbol" w:char="F0B1"/>
      </w:r>
      <w:r w:rsidRPr="002C5876">
        <w:t>5 %, la plus grande de ces deux valeurs étant retenue ;</w:t>
      </w:r>
    </w:p>
    <w:p w:rsidR="00E24DB7" w:rsidRPr="002C5876" w:rsidRDefault="00E24DB7" w:rsidP="00E24DB7">
      <w:pPr>
        <w:pStyle w:val="SingleTxtG"/>
        <w:ind w:left="2835" w:hanging="567"/>
      </w:pPr>
      <w:r w:rsidRPr="002C5876">
        <w:t>d)</w:t>
      </w:r>
      <w:r w:rsidRPr="002C5876">
        <w:tab/>
        <w:t>Si la piste n’est pas suffisamment longue pour que la condition énoncée à l’alinéa b) du présent paragraphe soit satisfaite, on doit ajouter un point de vitesse supplémentaire qui fera office de point de chevauchement.</w:t>
      </w:r>
    </w:p>
    <w:p w:rsidR="00E24DB7" w:rsidRPr="002C5876" w:rsidRDefault="00E24DB7" w:rsidP="00E24DB7">
      <w:pPr>
        <w:pStyle w:val="SingleTxtG"/>
        <w:ind w:left="2268" w:hanging="1134"/>
        <w:jc w:val="left"/>
      </w:pPr>
      <w:r w:rsidRPr="002C5876">
        <w:t>4.3.2.5</w:t>
      </w:r>
      <w:r w:rsidRPr="002C5876">
        <w:tab/>
        <w:t>Détermination de l’équation de mouvement</w:t>
      </w:r>
    </w:p>
    <w:p w:rsidR="00E24DB7" w:rsidRPr="002C5876" w:rsidRDefault="00E24DB7" w:rsidP="00E24DB7">
      <w:pPr>
        <w:pStyle w:val="SingleTxtG"/>
        <w:spacing w:after="240"/>
        <w:ind w:left="2268"/>
      </w:pPr>
      <w:r w:rsidRPr="002C5876">
        <w:t>Les symboles utilisés dans les équations de mouvement pour la mesure avec anémomètre embarqué sont passés en revue au tableau A4/5.</w:t>
      </w:r>
    </w:p>
    <w:p w:rsidR="00E24DB7" w:rsidRPr="002C5876" w:rsidRDefault="00E24DB7" w:rsidP="00E24DB7">
      <w:pPr>
        <w:pStyle w:val="H23G"/>
      </w:pPr>
      <w:r w:rsidRPr="002C5876">
        <w:tab/>
      </w:r>
      <w:r w:rsidRPr="002C5876">
        <w:rPr>
          <w:b w:val="0"/>
        </w:rPr>
        <w:tab/>
        <w:t xml:space="preserve">Tableau A4/5 </w:t>
      </w:r>
      <w:r w:rsidRPr="002C5876">
        <w:rPr>
          <w:b w:val="0"/>
        </w:rPr>
        <w:br/>
      </w:r>
      <w:r w:rsidRPr="002C5876">
        <w:t xml:space="preserve">Symboles utilisés dans les équations de mouvement pour la mesure </w:t>
      </w:r>
      <w:r w:rsidRPr="002C5876">
        <w:br/>
        <w:t>avec anémomètre embarqué</w:t>
      </w:r>
    </w:p>
    <w:tbl>
      <w:tblPr>
        <w:tblW w:w="8504" w:type="dxa"/>
        <w:tblInd w:w="1134" w:type="dxa"/>
        <w:tblLayout w:type="fixed"/>
        <w:tblCellMar>
          <w:left w:w="0" w:type="dxa"/>
          <w:right w:w="0" w:type="dxa"/>
        </w:tblCellMar>
        <w:tblLook w:val="01E0" w:firstRow="1" w:lastRow="1" w:firstColumn="1" w:lastColumn="1" w:noHBand="0" w:noVBand="0"/>
      </w:tblPr>
      <w:tblGrid>
        <w:gridCol w:w="1045"/>
        <w:gridCol w:w="1046"/>
        <w:gridCol w:w="6413"/>
      </w:tblGrid>
      <w:tr w:rsidR="00E24DB7" w:rsidRPr="002C5876" w:rsidTr="00E24DB7">
        <w:trPr>
          <w:tblHeader/>
        </w:trPr>
        <w:tc>
          <w:tcPr>
            <w:tcW w:w="1045" w:type="dxa"/>
            <w:tcBorders>
              <w:top w:val="single" w:sz="4" w:space="0" w:color="auto"/>
              <w:bottom w:val="single" w:sz="12" w:space="0" w:color="auto"/>
            </w:tcBorders>
            <w:shd w:val="clear" w:color="auto" w:fill="auto"/>
            <w:vAlign w:val="bottom"/>
            <w:hideMark/>
          </w:tcPr>
          <w:p w:rsidR="00E24DB7" w:rsidRPr="002C5876" w:rsidRDefault="00E24DB7" w:rsidP="00E24DB7">
            <w:pPr>
              <w:keepNext/>
              <w:keepLines/>
              <w:suppressAutoHyphens w:val="0"/>
              <w:spacing w:before="80" w:after="80" w:line="200" w:lineRule="exact"/>
              <w:rPr>
                <w:i/>
                <w:sz w:val="16"/>
              </w:rPr>
            </w:pPr>
            <w:r w:rsidRPr="002C5876">
              <w:rPr>
                <w:i/>
                <w:sz w:val="16"/>
              </w:rPr>
              <w:t>Symbole</w:t>
            </w:r>
          </w:p>
        </w:tc>
        <w:tc>
          <w:tcPr>
            <w:tcW w:w="1046" w:type="dxa"/>
            <w:tcBorders>
              <w:top w:val="single" w:sz="4" w:space="0" w:color="auto"/>
              <w:bottom w:val="single" w:sz="12" w:space="0" w:color="auto"/>
            </w:tcBorders>
            <w:shd w:val="clear" w:color="auto" w:fill="auto"/>
            <w:vAlign w:val="bottom"/>
            <w:hideMark/>
          </w:tcPr>
          <w:p w:rsidR="00E24DB7" w:rsidRPr="002C5876" w:rsidRDefault="00E24DB7" w:rsidP="00E24DB7">
            <w:pPr>
              <w:keepNext/>
              <w:keepLines/>
              <w:suppressAutoHyphens w:val="0"/>
              <w:spacing w:before="80" w:after="80" w:line="200" w:lineRule="exact"/>
              <w:jc w:val="center"/>
              <w:rPr>
                <w:i/>
                <w:sz w:val="16"/>
              </w:rPr>
            </w:pPr>
            <w:r w:rsidRPr="002C5876">
              <w:rPr>
                <w:i/>
                <w:sz w:val="16"/>
              </w:rPr>
              <w:t>Unité</w:t>
            </w:r>
          </w:p>
        </w:tc>
        <w:tc>
          <w:tcPr>
            <w:tcW w:w="6413" w:type="dxa"/>
            <w:tcBorders>
              <w:top w:val="single" w:sz="4" w:space="0" w:color="auto"/>
              <w:bottom w:val="single" w:sz="12" w:space="0" w:color="auto"/>
            </w:tcBorders>
            <w:shd w:val="clear" w:color="auto" w:fill="auto"/>
            <w:vAlign w:val="bottom"/>
            <w:hideMark/>
          </w:tcPr>
          <w:p w:rsidR="00E24DB7" w:rsidRPr="002C5876" w:rsidRDefault="00E24DB7" w:rsidP="00E24DB7">
            <w:pPr>
              <w:keepNext/>
              <w:keepLines/>
              <w:suppressAutoHyphens w:val="0"/>
              <w:spacing w:before="80" w:after="80" w:line="200" w:lineRule="exact"/>
              <w:rPr>
                <w:i/>
                <w:sz w:val="16"/>
              </w:rPr>
            </w:pPr>
            <w:r w:rsidRPr="002C5876">
              <w:rPr>
                <w:i/>
                <w:sz w:val="16"/>
              </w:rPr>
              <w:t>Désignation</w:t>
            </w:r>
          </w:p>
        </w:tc>
      </w:tr>
      <w:tr w:rsidR="00E24DB7" w:rsidRPr="002C5876" w:rsidTr="00E24DB7">
        <w:tc>
          <w:tcPr>
            <w:tcW w:w="1045" w:type="dxa"/>
            <w:tcBorders>
              <w:top w:val="single" w:sz="12" w:space="0" w:color="auto"/>
            </w:tcBorders>
            <w:shd w:val="clear" w:color="auto" w:fill="auto"/>
            <w:hideMark/>
          </w:tcPr>
          <w:p w:rsidR="00E24DB7" w:rsidRPr="002C5876" w:rsidRDefault="00E24DB7" w:rsidP="00E24DB7">
            <w:pPr>
              <w:keepNext/>
              <w:keepLines/>
              <w:suppressAutoHyphens w:val="0"/>
              <w:spacing w:before="40" w:after="40" w:line="220" w:lineRule="exact"/>
              <w:rPr>
                <w:sz w:val="18"/>
                <w:szCs w:val="18"/>
              </w:rPr>
            </w:pPr>
            <w:r w:rsidRPr="002C5876">
              <w:rPr>
                <w:sz w:val="18"/>
                <w:szCs w:val="18"/>
              </w:rPr>
              <w:t>A</w:t>
            </w:r>
            <w:r w:rsidRPr="002C5876">
              <w:rPr>
                <w:sz w:val="18"/>
                <w:szCs w:val="18"/>
                <w:vertAlign w:val="subscript"/>
              </w:rPr>
              <w:t>f</w:t>
            </w:r>
          </w:p>
        </w:tc>
        <w:tc>
          <w:tcPr>
            <w:tcW w:w="1046" w:type="dxa"/>
            <w:tcBorders>
              <w:top w:val="single" w:sz="12" w:space="0" w:color="auto"/>
            </w:tcBorders>
            <w:shd w:val="clear" w:color="auto" w:fill="auto"/>
            <w:vAlign w:val="bottom"/>
            <w:hideMark/>
          </w:tcPr>
          <w:p w:rsidR="00E24DB7" w:rsidRPr="002C5876" w:rsidRDefault="00E24DB7" w:rsidP="00E24DB7">
            <w:pPr>
              <w:keepNext/>
              <w:keepLines/>
              <w:suppressAutoHyphens w:val="0"/>
              <w:spacing w:before="40" w:after="40" w:line="220" w:lineRule="exact"/>
              <w:jc w:val="center"/>
              <w:rPr>
                <w:sz w:val="18"/>
                <w:szCs w:val="18"/>
                <w:vertAlign w:val="superscript"/>
              </w:rPr>
            </w:pPr>
            <w:r w:rsidRPr="002C5876">
              <w:rPr>
                <w:sz w:val="18"/>
                <w:szCs w:val="18"/>
              </w:rPr>
              <w:t>m</w:t>
            </w:r>
            <w:r w:rsidRPr="002C5876">
              <w:rPr>
                <w:sz w:val="18"/>
                <w:szCs w:val="18"/>
                <w:vertAlign w:val="superscript"/>
              </w:rPr>
              <w:t>2</w:t>
            </w:r>
          </w:p>
        </w:tc>
        <w:tc>
          <w:tcPr>
            <w:tcW w:w="6413" w:type="dxa"/>
            <w:tcBorders>
              <w:top w:val="single" w:sz="12" w:space="0" w:color="auto"/>
            </w:tcBorders>
            <w:shd w:val="clear" w:color="auto" w:fill="auto"/>
            <w:vAlign w:val="bottom"/>
            <w:hideMark/>
          </w:tcPr>
          <w:p w:rsidR="00E24DB7" w:rsidRPr="002C5876" w:rsidRDefault="00E24DB7" w:rsidP="00E24DB7">
            <w:pPr>
              <w:keepNext/>
              <w:keepLines/>
              <w:suppressAutoHyphens w:val="0"/>
              <w:spacing w:before="40" w:after="40" w:line="220" w:lineRule="exact"/>
              <w:rPr>
                <w:sz w:val="18"/>
                <w:szCs w:val="18"/>
              </w:rPr>
            </w:pPr>
            <w:r w:rsidRPr="002C5876">
              <w:rPr>
                <w:sz w:val="18"/>
                <w:szCs w:val="18"/>
              </w:rPr>
              <w:t>Surface frontale du véhicule</w:t>
            </w:r>
          </w:p>
        </w:tc>
      </w:tr>
      <w:tr w:rsidR="00E24DB7" w:rsidRPr="002C5876" w:rsidTr="00E24DB7">
        <w:tc>
          <w:tcPr>
            <w:tcW w:w="1045" w:type="dxa"/>
            <w:shd w:val="clear" w:color="auto" w:fill="auto"/>
            <w:hideMark/>
          </w:tcPr>
          <w:p w:rsidR="00E24DB7" w:rsidRPr="002C5876" w:rsidRDefault="00E24DB7" w:rsidP="00E24DB7">
            <w:pPr>
              <w:keepNext/>
              <w:keepLines/>
              <w:suppressAutoHyphens w:val="0"/>
              <w:spacing w:before="40" w:after="40" w:line="220" w:lineRule="exact"/>
              <w:rPr>
                <w:sz w:val="18"/>
                <w:szCs w:val="18"/>
              </w:rPr>
            </w:pPr>
            <w:r w:rsidRPr="002C5876">
              <w:rPr>
                <w:sz w:val="18"/>
                <w:szCs w:val="18"/>
              </w:rPr>
              <w:t>a</w:t>
            </w:r>
            <w:r w:rsidRPr="002C5876">
              <w:rPr>
                <w:sz w:val="18"/>
                <w:szCs w:val="18"/>
                <w:vertAlign w:val="subscript"/>
              </w:rPr>
              <w:t>0</w:t>
            </w:r>
            <w:r w:rsidRPr="002C5876">
              <w:rPr>
                <w:sz w:val="18"/>
                <w:szCs w:val="18"/>
              </w:rPr>
              <w:t xml:space="preserve"> … a</w:t>
            </w:r>
            <w:r w:rsidRPr="002C5876">
              <w:rPr>
                <w:sz w:val="18"/>
                <w:szCs w:val="18"/>
                <w:vertAlign w:val="subscript"/>
              </w:rPr>
              <w:t>n</w:t>
            </w:r>
          </w:p>
        </w:tc>
        <w:tc>
          <w:tcPr>
            <w:tcW w:w="1046" w:type="dxa"/>
            <w:shd w:val="clear" w:color="auto" w:fill="auto"/>
            <w:vAlign w:val="bottom"/>
            <w:hideMark/>
          </w:tcPr>
          <w:p w:rsidR="00E24DB7" w:rsidRPr="002C5876" w:rsidRDefault="00E24DB7" w:rsidP="00E24DB7">
            <w:pPr>
              <w:keepNext/>
              <w:keepLines/>
              <w:suppressAutoHyphens w:val="0"/>
              <w:spacing w:before="40" w:after="40" w:line="220" w:lineRule="exact"/>
              <w:jc w:val="center"/>
              <w:rPr>
                <w:sz w:val="18"/>
                <w:szCs w:val="18"/>
              </w:rPr>
            </w:pPr>
            <w:r w:rsidRPr="002C5876">
              <w:rPr>
                <w:sz w:val="18"/>
                <w:szCs w:val="18"/>
              </w:rPr>
              <w:t>degrés</w:t>
            </w:r>
            <w:r w:rsidRPr="002C5876">
              <w:rPr>
                <w:sz w:val="18"/>
                <w:szCs w:val="18"/>
                <w:vertAlign w:val="superscript"/>
              </w:rPr>
              <w:t>-1</w:t>
            </w:r>
          </w:p>
        </w:tc>
        <w:tc>
          <w:tcPr>
            <w:tcW w:w="6413" w:type="dxa"/>
            <w:shd w:val="clear" w:color="auto" w:fill="auto"/>
            <w:vAlign w:val="bottom"/>
            <w:hideMark/>
          </w:tcPr>
          <w:p w:rsidR="00E24DB7" w:rsidRPr="002C5876" w:rsidRDefault="00E24DB7" w:rsidP="00E24DB7">
            <w:pPr>
              <w:keepNext/>
              <w:keepLines/>
              <w:suppressAutoHyphens w:val="0"/>
              <w:spacing w:before="40" w:after="40" w:line="220" w:lineRule="exact"/>
              <w:rPr>
                <w:sz w:val="18"/>
                <w:szCs w:val="18"/>
              </w:rPr>
            </w:pPr>
            <w:r w:rsidRPr="002C5876">
              <w:rPr>
                <w:sz w:val="18"/>
                <w:szCs w:val="18"/>
              </w:rPr>
              <w:t>Coefficients de traînée aérodynamique en fonction de l’angle de lacet</w:t>
            </w:r>
          </w:p>
        </w:tc>
      </w:tr>
      <w:tr w:rsidR="00E24DB7" w:rsidRPr="002C5876" w:rsidTr="00E24DB7">
        <w:tc>
          <w:tcPr>
            <w:tcW w:w="1045" w:type="dxa"/>
            <w:shd w:val="clear" w:color="auto" w:fill="auto"/>
            <w:hideMark/>
          </w:tcPr>
          <w:p w:rsidR="00E24DB7" w:rsidRPr="002C5876" w:rsidRDefault="00E24DB7" w:rsidP="00E24DB7">
            <w:pPr>
              <w:suppressAutoHyphens w:val="0"/>
              <w:spacing w:before="40" w:after="40" w:line="220" w:lineRule="exact"/>
              <w:rPr>
                <w:sz w:val="18"/>
                <w:szCs w:val="18"/>
              </w:rPr>
            </w:pPr>
            <w:r w:rsidRPr="002C5876">
              <w:rPr>
                <w:sz w:val="18"/>
                <w:szCs w:val="18"/>
              </w:rPr>
              <w:t>A</w:t>
            </w:r>
            <w:r w:rsidRPr="002C5876">
              <w:rPr>
                <w:sz w:val="18"/>
                <w:szCs w:val="18"/>
                <w:vertAlign w:val="subscript"/>
              </w:rPr>
              <w:t>m</w:t>
            </w:r>
          </w:p>
        </w:tc>
        <w:tc>
          <w:tcPr>
            <w:tcW w:w="1046" w:type="dxa"/>
            <w:shd w:val="clear" w:color="auto" w:fill="auto"/>
            <w:vAlign w:val="bottom"/>
            <w:hideMark/>
          </w:tcPr>
          <w:p w:rsidR="00E24DB7" w:rsidRPr="002C5876" w:rsidRDefault="00E24DB7" w:rsidP="00E24DB7">
            <w:pPr>
              <w:suppressAutoHyphens w:val="0"/>
              <w:spacing w:before="40" w:after="40" w:line="220" w:lineRule="exact"/>
              <w:jc w:val="center"/>
              <w:rPr>
                <w:sz w:val="18"/>
                <w:szCs w:val="18"/>
              </w:rPr>
            </w:pPr>
            <w:r w:rsidRPr="002C5876">
              <w:rPr>
                <w:sz w:val="18"/>
                <w:szCs w:val="18"/>
              </w:rPr>
              <w:t>N</w:t>
            </w:r>
          </w:p>
        </w:tc>
        <w:tc>
          <w:tcPr>
            <w:tcW w:w="6413" w:type="dxa"/>
            <w:shd w:val="clear" w:color="auto" w:fill="auto"/>
            <w:vAlign w:val="bottom"/>
            <w:hideMark/>
          </w:tcPr>
          <w:p w:rsidR="00E24DB7" w:rsidRPr="002C5876" w:rsidRDefault="00E24DB7" w:rsidP="00E24DB7">
            <w:pPr>
              <w:suppressAutoHyphens w:val="0"/>
              <w:spacing w:before="40" w:after="40" w:line="220" w:lineRule="exact"/>
              <w:rPr>
                <w:sz w:val="18"/>
                <w:szCs w:val="18"/>
              </w:rPr>
            </w:pPr>
            <w:r w:rsidRPr="002C5876">
              <w:rPr>
                <w:sz w:val="18"/>
                <w:szCs w:val="18"/>
              </w:rPr>
              <w:t>Coefficient de résistance mécanique</w:t>
            </w:r>
          </w:p>
        </w:tc>
      </w:tr>
      <w:tr w:rsidR="00E24DB7" w:rsidRPr="002C5876" w:rsidTr="00E24DB7">
        <w:tc>
          <w:tcPr>
            <w:tcW w:w="1045" w:type="dxa"/>
            <w:shd w:val="clear" w:color="auto" w:fill="auto"/>
            <w:hideMark/>
          </w:tcPr>
          <w:p w:rsidR="00E24DB7" w:rsidRPr="002C5876" w:rsidRDefault="00E24DB7" w:rsidP="00E24DB7">
            <w:pPr>
              <w:suppressAutoHyphens w:val="0"/>
              <w:spacing w:before="40" w:after="40" w:line="220" w:lineRule="exact"/>
              <w:rPr>
                <w:sz w:val="18"/>
                <w:szCs w:val="18"/>
              </w:rPr>
            </w:pPr>
            <w:r w:rsidRPr="002C5876">
              <w:rPr>
                <w:sz w:val="18"/>
                <w:szCs w:val="18"/>
              </w:rPr>
              <w:t>B</w:t>
            </w:r>
            <w:r w:rsidRPr="002C5876">
              <w:rPr>
                <w:sz w:val="18"/>
                <w:szCs w:val="18"/>
                <w:vertAlign w:val="subscript"/>
              </w:rPr>
              <w:t>m</w:t>
            </w:r>
          </w:p>
        </w:tc>
        <w:tc>
          <w:tcPr>
            <w:tcW w:w="1046" w:type="dxa"/>
            <w:shd w:val="clear" w:color="auto" w:fill="auto"/>
            <w:vAlign w:val="bottom"/>
            <w:hideMark/>
          </w:tcPr>
          <w:p w:rsidR="00E24DB7" w:rsidRPr="002C5876" w:rsidRDefault="00E24DB7" w:rsidP="00E24DB7">
            <w:pPr>
              <w:suppressAutoHyphens w:val="0"/>
              <w:spacing w:before="40" w:after="40" w:line="220" w:lineRule="exact"/>
              <w:jc w:val="center"/>
              <w:rPr>
                <w:sz w:val="18"/>
                <w:szCs w:val="18"/>
              </w:rPr>
            </w:pPr>
            <w:r w:rsidRPr="002C5876">
              <w:rPr>
                <w:sz w:val="18"/>
                <w:szCs w:val="18"/>
              </w:rPr>
              <w:t>N/(km/h)</w:t>
            </w:r>
          </w:p>
        </w:tc>
        <w:tc>
          <w:tcPr>
            <w:tcW w:w="6413" w:type="dxa"/>
            <w:shd w:val="clear" w:color="auto" w:fill="auto"/>
            <w:vAlign w:val="bottom"/>
            <w:hideMark/>
          </w:tcPr>
          <w:p w:rsidR="00E24DB7" w:rsidRPr="002C5876" w:rsidRDefault="00E24DB7" w:rsidP="00E24DB7">
            <w:pPr>
              <w:suppressAutoHyphens w:val="0"/>
              <w:spacing w:before="40" w:after="40" w:line="220" w:lineRule="exact"/>
              <w:rPr>
                <w:sz w:val="18"/>
                <w:szCs w:val="18"/>
              </w:rPr>
            </w:pPr>
            <w:r w:rsidRPr="002C5876">
              <w:rPr>
                <w:sz w:val="18"/>
                <w:szCs w:val="18"/>
              </w:rPr>
              <w:t>Coefficient de résistance mécanique</w:t>
            </w:r>
          </w:p>
        </w:tc>
      </w:tr>
      <w:tr w:rsidR="00E24DB7" w:rsidRPr="002C5876" w:rsidTr="00E24DB7">
        <w:tc>
          <w:tcPr>
            <w:tcW w:w="1045" w:type="dxa"/>
            <w:shd w:val="clear" w:color="auto" w:fill="auto"/>
            <w:hideMark/>
          </w:tcPr>
          <w:p w:rsidR="00E24DB7" w:rsidRPr="002C5876" w:rsidRDefault="00E24DB7" w:rsidP="00E24DB7">
            <w:pPr>
              <w:suppressAutoHyphens w:val="0"/>
              <w:spacing w:before="40" w:after="40" w:line="220" w:lineRule="exact"/>
              <w:rPr>
                <w:sz w:val="18"/>
                <w:szCs w:val="18"/>
              </w:rPr>
            </w:pPr>
            <w:r w:rsidRPr="002C5876">
              <w:rPr>
                <w:sz w:val="18"/>
                <w:szCs w:val="18"/>
              </w:rPr>
              <w:t>C</w:t>
            </w:r>
            <w:r w:rsidRPr="002C5876">
              <w:rPr>
                <w:sz w:val="18"/>
                <w:szCs w:val="18"/>
                <w:vertAlign w:val="subscript"/>
              </w:rPr>
              <w:t>m</w:t>
            </w:r>
          </w:p>
        </w:tc>
        <w:tc>
          <w:tcPr>
            <w:tcW w:w="1046" w:type="dxa"/>
            <w:shd w:val="clear" w:color="auto" w:fill="auto"/>
            <w:vAlign w:val="bottom"/>
            <w:hideMark/>
          </w:tcPr>
          <w:p w:rsidR="00E24DB7" w:rsidRPr="002C5876" w:rsidRDefault="00E24DB7" w:rsidP="00E24DB7">
            <w:pPr>
              <w:suppressAutoHyphens w:val="0"/>
              <w:spacing w:before="40" w:after="40" w:line="220" w:lineRule="exact"/>
              <w:jc w:val="center"/>
              <w:rPr>
                <w:sz w:val="18"/>
                <w:szCs w:val="18"/>
                <w:vertAlign w:val="superscript"/>
              </w:rPr>
            </w:pPr>
            <w:r w:rsidRPr="002C5876">
              <w:rPr>
                <w:sz w:val="18"/>
                <w:szCs w:val="18"/>
              </w:rPr>
              <w:t>N/(km/h)</w:t>
            </w:r>
            <w:r w:rsidRPr="002C5876">
              <w:rPr>
                <w:sz w:val="18"/>
                <w:szCs w:val="18"/>
                <w:vertAlign w:val="superscript"/>
              </w:rPr>
              <w:t>2</w:t>
            </w:r>
          </w:p>
        </w:tc>
        <w:tc>
          <w:tcPr>
            <w:tcW w:w="6413" w:type="dxa"/>
            <w:shd w:val="clear" w:color="auto" w:fill="auto"/>
            <w:vAlign w:val="bottom"/>
            <w:hideMark/>
          </w:tcPr>
          <w:p w:rsidR="00E24DB7" w:rsidRPr="002C5876" w:rsidRDefault="00E24DB7" w:rsidP="00E24DB7">
            <w:pPr>
              <w:suppressAutoHyphens w:val="0"/>
              <w:spacing w:before="40" w:after="40" w:line="220" w:lineRule="exact"/>
              <w:rPr>
                <w:sz w:val="18"/>
                <w:szCs w:val="18"/>
              </w:rPr>
            </w:pPr>
            <w:r w:rsidRPr="002C5876">
              <w:rPr>
                <w:sz w:val="18"/>
                <w:szCs w:val="18"/>
              </w:rPr>
              <w:t>Coefficient de résistance mécanique</w:t>
            </w:r>
          </w:p>
        </w:tc>
      </w:tr>
      <w:tr w:rsidR="00E24DB7" w:rsidRPr="002C5876" w:rsidTr="00E24DB7">
        <w:tc>
          <w:tcPr>
            <w:tcW w:w="1045" w:type="dxa"/>
            <w:shd w:val="clear" w:color="auto" w:fill="auto"/>
            <w:hideMark/>
          </w:tcPr>
          <w:p w:rsidR="00E24DB7" w:rsidRPr="002C5876" w:rsidRDefault="00E24DB7" w:rsidP="00E24DB7">
            <w:pPr>
              <w:suppressAutoHyphens w:val="0"/>
              <w:spacing w:before="40" w:after="40" w:line="220" w:lineRule="exact"/>
              <w:rPr>
                <w:sz w:val="18"/>
                <w:szCs w:val="18"/>
              </w:rPr>
            </w:pPr>
            <w:r w:rsidRPr="002C5876">
              <w:rPr>
                <w:sz w:val="18"/>
                <w:szCs w:val="18"/>
              </w:rPr>
              <w:t>C</w:t>
            </w:r>
            <w:r w:rsidRPr="002C5876">
              <w:rPr>
                <w:sz w:val="18"/>
                <w:szCs w:val="18"/>
                <w:vertAlign w:val="subscript"/>
              </w:rPr>
              <w:t>d</w:t>
            </w:r>
            <w:r w:rsidRPr="002C5876">
              <w:rPr>
                <w:sz w:val="18"/>
                <w:szCs w:val="18"/>
              </w:rPr>
              <w:t>(Y)</w:t>
            </w:r>
          </w:p>
        </w:tc>
        <w:tc>
          <w:tcPr>
            <w:tcW w:w="1046" w:type="dxa"/>
            <w:shd w:val="clear" w:color="auto" w:fill="auto"/>
            <w:vAlign w:val="bottom"/>
          </w:tcPr>
          <w:p w:rsidR="00E24DB7" w:rsidRPr="002C5876" w:rsidRDefault="00E24DB7" w:rsidP="00E24DB7">
            <w:pPr>
              <w:suppressAutoHyphens w:val="0"/>
              <w:spacing w:before="40" w:after="40" w:line="220" w:lineRule="exact"/>
              <w:jc w:val="center"/>
              <w:rPr>
                <w:sz w:val="18"/>
                <w:szCs w:val="18"/>
              </w:rPr>
            </w:pPr>
          </w:p>
        </w:tc>
        <w:tc>
          <w:tcPr>
            <w:tcW w:w="6413" w:type="dxa"/>
            <w:shd w:val="clear" w:color="auto" w:fill="auto"/>
            <w:vAlign w:val="bottom"/>
            <w:hideMark/>
          </w:tcPr>
          <w:p w:rsidR="00E24DB7" w:rsidRPr="002C5876" w:rsidRDefault="00E24DB7" w:rsidP="00E24DB7">
            <w:pPr>
              <w:suppressAutoHyphens w:val="0"/>
              <w:spacing w:before="40" w:after="40" w:line="220" w:lineRule="exact"/>
              <w:rPr>
                <w:sz w:val="18"/>
                <w:szCs w:val="18"/>
              </w:rPr>
            </w:pPr>
            <w:r w:rsidRPr="002C5876">
              <w:rPr>
                <w:sz w:val="18"/>
                <w:szCs w:val="18"/>
              </w:rPr>
              <w:t>Coefficient de traînée aérodynamique à l’angle de lacet Y</w:t>
            </w:r>
          </w:p>
        </w:tc>
      </w:tr>
      <w:tr w:rsidR="00E24DB7" w:rsidRPr="002C5876" w:rsidTr="00E24DB7">
        <w:tc>
          <w:tcPr>
            <w:tcW w:w="1045" w:type="dxa"/>
            <w:shd w:val="clear" w:color="auto" w:fill="auto"/>
            <w:hideMark/>
          </w:tcPr>
          <w:p w:rsidR="00E24DB7" w:rsidRPr="002C5876" w:rsidRDefault="00E24DB7" w:rsidP="00E24DB7">
            <w:pPr>
              <w:suppressAutoHyphens w:val="0"/>
              <w:spacing w:before="40" w:after="40" w:line="220" w:lineRule="exact"/>
              <w:rPr>
                <w:sz w:val="18"/>
                <w:szCs w:val="18"/>
              </w:rPr>
            </w:pPr>
            <w:r w:rsidRPr="002C5876">
              <w:rPr>
                <w:sz w:val="18"/>
                <w:szCs w:val="18"/>
              </w:rPr>
              <w:t>D</w:t>
            </w:r>
          </w:p>
        </w:tc>
        <w:tc>
          <w:tcPr>
            <w:tcW w:w="1046" w:type="dxa"/>
            <w:shd w:val="clear" w:color="auto" w:fill="auto"/>
            <w:vAlign w:val="bottom"/>
            <w:hideMark/>
          </w:tcPr>
          <w:p w:rsidR="00E24DB7" w:rsidRPr="002C5876" w:rsidRDefault="00E24DB7" w:rsidP="00E24DB7">
            <w:pPr>
              <w:suppressAutoHyphens w:val="0"/>
              <w:spacing w:before="40" w:after="40" w:line="220" w:lineRule="exact"/>
              <w:jc w:val="center"/>
              <w:rPr>
                <w:sz w:val="18"/>
                <w:szCs w:val="18"/>
              </w:rPr>
            </w:pPr>
            <w:r w:rsidRPr="002C5876">
              <w:rPr>
                <w:sz w:val="18"/>
                <w:szCs w:val="18"/>
              </w:rPr>
              <w:t>N</w:t>
            </w:r>
          </w:p>
        </w:tc>
        <w:tc>
          <w:tcPr>
            <w:tcW w:w="6413" w:type="dxa"/>
            <w:shd w:val="clear" w:color="auto" w:fill="auto"/>
            <w:vAlign w:val="bottom"/>
            <w:hideMark/>
          </w:tcPr>
          <w:p w:rsidR="00E24DB7" w:rsidRPr="002C5876" w:rsidRDefault="00E24DB7" w:rsidP="00E24DB7">
            <w:pPr>
              <w:suppressAutoHyphens w:val="0"/>
              <w:spacing w:before="40" w:after="40" w:line="220" w:lineRule="exact"/>
              <w:rPr>
                <w:sz w:val="18"/>
                <w:szCs w:val="18"/>
              </w:rPr>
            </w:pPr>
            <w:r w:rsidRPr="002C5876">
              <w:rPr>
                <w:sz w:val="18"/>
                <w:szCs w:val="18"/>
              </w:rPr>
              <w:t>Résistance à l’avancement</w:t>
            </w:r>
          </w:p>
        </w:tc>
      </w:tr>
      <w:tr w:rsidR="00E24DB7" w:rsidRPr="002C5876" w:rsidTr="00E24DB7">
        <w:tc>
          <w:tcPr>
            <w:tcW w:w="1045" w:type="dxa"/>
            <w:shd w:val="clear" w:color="auto" w:fill="auto"/>
            <w:hideMark/>
          </w:tcPr>
          <w:p w:rsidR="00E24DB7" w:rsidRPr="002C5876" w:rsidRDefault="00E24DB7" w:rsidP="00E24DB7">
            <w:pPr>
              <w:suppressAutoHyphens w:val="0"/>
              <w:spacing w:before="40" w:after="40" w:line="220" w:lineRule="exact"/>
              <w:rPr>
                <w:sz w:val="18"/>
                <w:szCs w:val="18"/>
              </w:rPr>
            </w:pPr>
            <w:r w:rsidRPr="002C5876">
              <w:rPr>
                <w:sz w:val="18"/>
                <w:szCs w:val="18"/>
              </w:rPr>
              <w:t>D</w:t>
            </w:r>
            <w:r w:rsidRPr="002C5876">
              <w:rPr>
                <w:sz w:val="18"/>
                <w:szCs w:val="18"/>
                <w:vertAlign w:val="subscript"/>
              </w:rPr>
              <w:t>aero</w:t>
            </w:r>
          </w:p>
        </w:tc>
        <w:tc>
          <w:tcPr>
            <w:tcW w:w="1046" w:type="dxa"/>
            <w:shd w:val="clear" w:color="auto" w:fill="auto"/>
            <w:vAlign w:val="bottom"/>
            <w:hideMark/>
          </w:tcPr>
          <w:p w:rsidR="00E24DB7" w:rsidRPr="002C5876" w:rsidRDefault="00E24DB7" w:rsidP="00E24DB7">
            <w:pPr>
              <w:suppressAutoHyphens w:val="0"/>
              <w:spacing w:before="40" w:after="40" w:line="220" w:lineRule="exact"/>
              <w:jc w:val="center"/>
              <w:rPr>
                <w:sz w:val="18"/>
                <w:szCs w:val="18"/>
              </w:rPr>
            </w:pPr>
            <w:r w:rsidRPr="002C5876">
              <w:rPr>
                <w:sz w:val="18"/>
                <w:szCs w:val="18"/>
              </w:rPr>
              <w:t>N</w:t>
            </w:r>
          </w:p>
        </w:tc>
        <w:tc>
          <w:tcPr>
            <w:tcW w:w="6413" w:type="dxa"/>
            <w:shd w:val="clear" w:color="auto" w:fill="auto"/>
            <w:vAlign w:val="bottom"/>
            <w:hideMark/>
          </w:tcPr>
          <w:p w:rsidR="00E24DB7" w:rsidRPr="002C5876" w:rsidRDefault="00E24DB7" w:rsidP="00E24DB7">
            <w:pPr>
              <w:suppressAutoHyphens w:val="0"/>
              <w:spacing w:before="40" w:after="40" w:line="220" w:lineRule="exact"/>
              <w:rPr>
                <w:sz w:val="18"/>
                <w:szCs w:val="18"/>
              </w:rPr>
            </w:pPr>
            <w:r w:rsidRPr="002C5876">
              <w:rPr>
                <w:sz w:val="18"/>
                <w:szCs w:val="18"/>
              </w:rPr>
              <w:t>Traînée aérodynamique</w:t>
            </w:r>
          </w:p>
        </w:tc>
      </w:tr>
      <w:tr w:rsidR="00E24DB7" w:rsidRPr="002C5876" w:rsidTr="00E24DB7">
        <w:tc>
          <w:tcPr>
            <w:tcW w:w="1045" w:type="dxa"/>
            <w:shd w:val="clear" w:color="auto" w:fill="auto"/>
            <w:hideMark/>
          </w:tcPr>
          <w:p w:rsidR="00E24DB7" w:rsidRPr="002C5876" w:rsidRDefault="00E24DB7" w:rsidP="00E24DB7">
            <w:pPr>
              <w:suppressAutoHyphens w:val="0"/>
              <w:spacing w:before="40" w:after="40" w:line="220" w:lineRule="exact"/>
              <w:rPr>
                <w:sz w:val="18"/>
                <w:szCs w:val="18"/>
              </w:rPr>
            </w:pPr>
            <w:r w:rsidRPr="002C5876">
              <w:rPr>
                <w:sz w:val="18"/>
                <w:szCs w:val="18"/>
              </w:rPr>
              <w:t>D</w:t>
            </w:r>
            <w:r w:rsidRPr="002C5876">
              <w:rPr>
                <w:sz w:val="18"/>
                <w:szCs w:val="18"/>
                <w:vertAlign w:val="subscript"/>
              </w:rPr>
              <w:t>f</w:t>
            </w:r>
          </w:p>
        </w:tc>
        <w:tc>
          <w:tcPr>
            <w:tcW w:w="1046" w:type="dxa"/>
            <w:shd w:val="clear" w:color="auto" w:fill="auto"/>
            <w:vAlign w:val="bottom"/>
            <w:hideMark/>
          </w:tcPr>
          <w:p w:rsidR="00E24DB7" w:rsidRPr="002C5876" w:rsidRDefault="00E24DB7" w:rsidP="00E24DB7">
            <w:pPr>
              <w:suppressAutoHyphens w:val="0"/>
              <w:spacing w:before="40" w:after="40" w:line="220" w:lineRule="exact"/>
              <w:jc w:val="center"/>
              <w:rPr>
                <w:sz w:val="18"/>
                <w:szCs w:val="18"/>
              </w:rPr>
            </w:pPr>
            <w:r w:rsidRPr="002C5876">
              <w:rPr>
                <w:sz w:val="18"/>
                <w:szCs w:val="18"/>
              </w:rPr>
              <w:t>N</w:t>
            </w:r>
          </w:p>
        </w:tc>
        <w:tc>
          <w:tcPr>
            <w:tcW w:w="6413" w:type="dxa"/>
            <w:shd w:val="clear" w:color="auto" w:fill="auto"/>
            <w:vAlign w:val="bottom"/>
            <w:hideMark/>
          </w:tcPr>
          <w:p w:rsidR="00E24DB7" w:rsidRPr="002C5876" w:rsidRDefault="00E24DB7" w:rsidP="00E24DB7">
            <w:pPr>
              <w:suppressAutoHyphens w:val="0"/>
              <w:spacing w:before="40" w:after="40" w:line="220" w:lineRule="exact"/>
              <w:rPr>
                <w:sz w:val="18"/>
                <w:szCs w:val="18"/>
              </w:rPr>
            </w:pPr>
            <w:r w:rsidRPr="002C5876">
              <w:rPr>
                <w:sz w:val="18"/>
                <w:szCs w:val="18"/>
              </w:rPr>
              <w:t>Résistance au roulement de l’essieu avant (y compris la transmission)</w:t>
            </w:r>
          </w:p>
        </w:tc>
      </w:tr>
      <w:tr w:rsidR="00E24DB7" w:rsidRPr="002C5876" w:rsidTr="00E24DB7">
        <w:tc>
          <w:tcPr>
            <w:tcW w:w="1045" w:type="dxa"/>
            <w:shd w:val="clear" w:color="auto" w:fill="auto"/>
            <w:hideMark/>
          </w:tcPr>
          <w:p w:rsidR="00E24DB7" w:rsidRPr="002C5876" w:rsidRDefault="00E24DB7" w:rsidP="00E24DB7">
            <w:pPr>
              <w:suppressAutoHyphens w:val="0"/>
              <w:spacing w:before="40" w:after="40" w:line="220" w:lineRule="exact"/>
              <w:rPr>
                <w:sz w:val="18"/>
                <w:szCs w:val="18"/>
              </w:rPr>
            </w:pPr>
            <w:r w:rsidRPr="002C5876">
              <w:rPr>
                <w:sz w:val="18"/>
                <w:szCs w:val="18"/>
              </w:rPr>
              <w:t>D</w:t>
            </w:r>
            <w:r w:rsidRPr="002C5876">
              <w:rPr>
                <w:sz w:val="18"/>
                <w:szCs w:val="18"/>
                <w:vertAlign w:val="subscript"/>
              </w:rPr>
              <w:t>grav</w:t>
            </w:r>
          </w:p>
        </w:tc>
        <w:tc>
          <w:tcPr>
            <w:tcW w:w="1046" w:type="dxa"/>
            <w:shd w:val="clear" w:color="auto" w:fill="auto"/>
            <w:vAlign w:val="bottom"/>
            <w:hideMark/>
          </w:tcPr>
          <w:p w:rsidR="00E24DB7" w:rsidRPr="002C5876" w:rsidRDefault="00E24DB7" w:rsidP="00E24DB7">
            <w:pPr>
              <w:suppressAutoHyphens w:val="0"/>
              <w:spacing w:before="40" w:after="40" w:line="220" w:lineRule="exact"/>
              <w:jc w:val="center"/>
              <w:rPr>
                <w:sz w:val="18"/>
                <w:szCs w:val="18"/>
              </w:rPr>
            </w:pPr>
            <w:r w:rsidRPr="002C5876">
              <w:rPr>
                <w:sz w:val="18"/>
                <w:szCs w:val="18"/>
              </w:rPr>
              <w:t>N</w:t>
            </w:r>
          </w:p>
        </w:tc>
        <w:tc>
          <w:tcPr>
            <w:tcW w:w="6413" w:type="dxa"/>
            <w:shd w:val="clear" w:color="auto" w:fill="auto"/>
            <w:vAlign w:val="bottom"/>
            <w:hideMark/>
          </w:tcPr>
          <w:p w:rsidR="00E24DB7" w:rsidRPr="002C5876" w:rsidRDefault="00E24DB7" w:rsidP="00E24DB7">
            <w:pPr>
              <w:suppressAutoHyphens w:val="0"/>
              <w:spacing w:before="40" w:after="40" w:line="220" w:lineRule="exact"/>
              <w:rPr>
                <w:sz w:val="18"/>
                <w:szCs w:val="18"/>
              </w:rPr>
            </w:pPr>
            <w:r w:rsidRPr="002C5876">
              <w:rPr>
                <w:sz w:val="18"/>
                <w:szCs w:val="18"/>
              </w:rPr>
              <w:t>Résistance au roulement due à la gravité</w:t>
            </w:r>
          </w:p>
        </w:tc>
      </w:tr>
      <w:tr w:rsidR="00E24DB7" w:rsidRPr="002C5876" w:rsidTr="00E24DB7">
        <w:tc>
          <w:tcPr>
            <w:tcW w:w="1045" w:type="dxa"/>
            <w:shd w:val="clear" w:color="auto" w:fill="auto"/>
            <w:hideMark/>
          </w:tcPr>
          <w:p w:rsidR="00E24DB7" w:rsidRPr="002C5876" w:rsidRDefault="00E24DB7" w:rsidP="00E24DB7">
            <w:pPr>
              <w:suppressAutoHyphens w:val="0"/>
              <w:spacing w:before="40" w:after="40" w:line="220" w:lineRule="exact"/>
              <w:rPr>
                <w:sz w:val="18"/>
                <w:szCs w:val="18"/>
              </w:rPr>
            </w:pPr>
            <w:r w:rsidRPr="002C5876">
              <w:rPr>
                <w:sz w:val="18"/>
                <w:szCs w:val="18"/>
              </w:rPr>
              <w:t>D</w:t>
            </w:r>
            <w:r w:rsidRPr="002C5876">
              <w:rPr>
                <w:sz w:val="18"/>
                <w:szCs w:val="18"/>
                <w:vertAlign w:val="subscript"/>
              </w:rPr>
              <w:t>mech</w:t>
            </w:r>
          </w:p>
        </w:tc>
        <w:tc>
          <w:tcPr>
            <w:tcW w:w="1046" w:type="dxa"/>
            <w:shd w:val="clear" w:color="auto" w:fill="auto"/>
            <w:vAlign w:val="bottom"/>
            <w:hideMark/>
          </w:tcPr>
          <w:p w:rsidR="00E24DB7" w:rsidRPr="002C5876" w:rsidRDefault="00E24DB7" w:rsidP="00E24DB7">
            <w:pPr>
              <w:suppressAutoHyphens w:val="0"/>
              <w:spacing w:before="40" w:after="40" w:line="220" w:lineRule="exact"/>
              <w:jc w:val="center"/>
              <w:rPr>
                <w:sz w:val="18"/>
                <w:szCs w:val="18"/>
              </w:rPr>
            </w:pPr>
            <w:r w:rsidRPr="002C5876">
              <w:rPr>
                <w:sz w:val="18"/>
                <w:szCs w:val="18"/>
              </w:rPr>
              <w:t>N</w:t>
            </w:r>
          </w:p>
        </w:tc>
        <w:tc>
          <w:tcPr>
            <w:tcW w:w="6413" w:type="dxa"/>
            <w:shd w:val="clear" w:color="auto" w:fill="auto"/>
            <w:vAlign w:val="bottom"/>
            <w:hideMark/>
          </w:tcPr>
          <w:p w:rsidR="00E24DB7" w:rsidRPr="002C5876" w:rsidRDefault="00E24DB7" w:rsidP="00E24DB7">
            <w:pPr>
              <w:suppressAutoHyphens w:val="0"/>
              <w:spacing w:before="40" w:after="40" w:line="220" w:lineRule="exact"/>
              <w:rPr>
                <w:sz w:val="18"/>
                <w:szCs w:val="18"/>
              </w:rPr>
            </w:pPr>
            <w:r w:rsidRPr="002C5876">
              <w:rPr>
                <w:sz w:val="18"/>
                <w:szCs w:val="18"/>
              </w:rPr>
              <w:t>Résistance au roulement mécanique</w:t>
            </w:r>
          </w:p>
        </w:tc>
      </w:tr>
      <w:tr w:rsidR="00E24DB7" w:rsidRPr="002C5876" w:rsidTr="00E24DB7">
        <w:tc>
          <w:tcPr>
            <w:tcW w:w="1045" w:type="dxa"/>
            <w:shd w:val="clear" w:color="auto" w:fill="auto"/>
            <w:hideMark/>
          </w:tcPr>
          <w:p w:rsidR="00E24DB7" w:rsidRPr="002C5876" w:rsidRDefault="00E24DB7" w:rsidP="00E24DB7">
            <w:pPr>
              <w:suppressAutoHyphens w:val="0"/>
              <w:spacing w:before="40" w:after="40" w:line="220" w:lineRule="exact"/>
              <w:rPr>
                <w:sz w:val="18"/>
                <w:szCs w:val="18"/>
              </w:rPr>
            </w:pPr>
            <w:r w:rsidRPr="002C5876">
              <w:rPr>
                <w:sz w:val="18"/>
                <w:szCs w:val="18"/>
              </w:rPr>
              <w:t>D</w:t>
            </w:r>
            <w:r w:rsidRPr="002C5876">
              <w:rPr>
                <w:sz w:val="18"/>
                <w:szCs w:val="18"/>
                <w:vertAlign w:val="subscript"/>
              </w:rPr>
              <w:t>r</w:t>
            </w:r>
          </w:p>
        </w:tc>
        <w:tc>
          <w:tcPr>
            <w:tcW w:w="1046" w:type="dxa"/>
            <w:shd w:val="clear" w:color="auto" w:fill="auto"/>
            <w:vAlign w:val="bottom"/>
            <w:hideMark/>
          </w:tcPr>
          <w:p w:rsidR="00E24DB7" w:rsidRPr="002C5876" w:rsidRDefault="00E24DB7" w:rsidP="00E24DB7">
            <w:pPr>
              <w:suppressAutoHyphens w:val="0"/>
              <w:spacing w:before="40" w:after="40" w:line="220" w:lineRule="exact"/>
              <w:jc w:val="center"/>
              <w:rPr>
                <w:sz w:val="18"/>
                <w:szCs w:val="18"/>
              </w:rPr>
            </w:pPr>
            <w:r w:rsidRPr="002C5876">
              <w:rPr>
                <w:sz w:val="18"/>
                <w:szCs w:val="18"/>
              </w:rPr>
              <w:t>N</w:t>
            </w:r>
          </w:p>
        </w:tc>
        <w:tc>
          <w:tcPr>
            <w:tcW w:w="6413" w:type="dxa"/>
            <w:shd w:val="clear" w:color="auto" w:fill="auto"/>
            <w:vAlign w:val="bottom"/>
            <w:hideMark/>
          </w:tcPr>
          <w:p w:rsidR="00E24DB7" w:rsidRPr="002C5876" w:rsidRDefault="00E24DB7" w:rsidP="00E24DB7">
            <w:pPr>
              <w:suppressAutoHyphens w:val="0"/>
              <w:spacing w:before="40" w:after="40" w:line="220" w:lineRule="exact"/>
              <w:rPr>
                <w:sz w:val="18"/>
                <w:szCs w:val="18"/>
              </w:rPr>
            </w:pPr>
            <w:r w:rsidRPr="002C5876">
              <w:rPr>
                <w:sz w:val="18"/>
                <w:szCs w:val="18"/>
              </w:rPr>
              <w:t>Résistance au roulement de l’essieu arrière (y compris la transmission)</w:t>
            </w:r>
          </w:p>
        </w:tc>
      </w:tr>
      <w:tr w:rsidR="00E24DB7" w:rsidRPr="002C5876" w:rsidTr="00E24DB7">
        <w:tc>
          <w:tcPr>
            <w:tcW w:w="1045" w:type="dxa"/>
            <w:shd w:val="clear" w:color="auto" w:fill="auto"/>
            <w:hideMark/>
          </w:tcPr>
          <w:p w:rsidR="00E24DB7" w:rsidRPr="002C5876" w:rsidRDefault="00E24DB7" w:rsidP="00E24DB7">
            <w:pPr>
              <w:suppressAutoHyphens w:val="0"/>
              <w:spacing w:before="40" w:after="40" w:line="220" w:lineRule="exact"/>
              <w:rPr>
                <w:sz w:val="18"/>
                <w:szCs w:val="18"/>
              </w:rPr>
            </w:pPr>
            <w:r w:rsidRPr="002C5876">
              <w:rPr>
                <w:sz w:val="18"/>
                <w:szCs w:val="18"/>
              </w:rPr>
              <w:t>D</w:t>
            </w:r>
            <w:r w:rsidRPr="002C5876">
              <w:rPr>
                <w:sz w:val="18"/>
                <w:szCs w:val="18"/>
                <w:vertAlign w:val="subscript"/>
              </w:rPr>
              <w:t>tyre</w:t>
            </w:r>
          </w:p>
        </w:tc>
        <w:tc>
          <w:tcPr>
            <w:tcW w:w="1046" w:type="dxa"/>
            <w:shd w:val="clear" w:color="auto" w:fill="auto"/>
            <w:vAlign w:val="bottom"/>
            <w:hideMark/>
          </w:tcPr>
          <w:p w:rsidR="00E24DB7" w:rsidRPr="002C5876" w:rsidRDefault="00E24DB7" w:rsidP="00E24DB7">
            <w:pPr>
              <w:suppressAutoHyphens w:val="0"/>
              <w:spacing w:before="40" w:after="40" w:line="220" w:lineRule="exact"/>
              <w:jc w:val="center"/>
              <w:rPr>
                <w:sz w:val="18"/>
                <w:szCs w:val="18"/>
              </w:rPr>
            </w:pPr>
            <w:r w:rsidRPr="002C5876">
              <w:rPr>
                <w:sz w:val="18"/>
                <w:szCs w:val="18"/>
              </w:rPr>
              <w:t>N</w:t>
            </w:r>
          </w:p>
        </w:tc>
        <w:tc>
          <w:tcPr>
            <w:tcW w:w="6413" w:type="dxa"/>
            <w:shd w:val="clear" w:color="auto" w:fill="auto"/>
            <w:vAlign w:val="bottom"/>
            <w:hideMark/>
          </w:tcPr>
          <w:p w:rsidR="00E24DB7" w:rsidRPr="002C5876" w:rsidRDefault="00E24DB7" w:rsidP="00E24DB7">
            <w:pPr>
              <w:suppressAutoHyphens w:val="0"/>
              <w:spacing w:before="40" w:after="40" w:line="220" w:lineRule="exact"/>
              <w:rPr>
                <w:sz w:val="18"/>
                <w:szCs w:val="18"/>
              </w:rPr>
            </w:pPr>
            <w:r w:rsidRPr="002C5876">
              <w:rPr>
                <w:sz w:val="18"/>
                <w:szCs w:val="18"/>
              </w:rPr>
              <w:t>Résistance au roulement des pneumatiques</w:t>
            </w:r>
          </w:p>
        </w:tc>
      </w:tr>
      <w:tr w:rsidR="00E24DB7" w:rsidRPr="002C5876" w:rsidTr="00E24DB7">
        <w:tc>
          <w:tcPr>
            <w:tcW w:w="1045" w:type="dxa"/>
            <w:shd w:val="clear" w:color="auto" w:fill="auto"/>
            <w:hideMark/>
          </w:tcPr>
          <w:p w:rsidR="00E24DB7" w:rsidRPr="002C5876" w:rsidRDefault="00E24DB7" w:rsidP="00E24DB7">
            <w:pPr>
              <w:suppressAutoHyphens w:val="0"/>
              <w:spacing w:before="40" w:after="40" w:line="220" w:lineRule="exact"/>
              <w:rPr>
                <w:sz w:val="18"/>
                <w:szCs w:val="18"/>
              </w:rPr>
            </w:pPr>
            <w:r w:rsidRPr="002C5876">
              <w:rPr>
                <w:sz w:val="18"/>
                <w:szCs w:val="18"/>
              </w:rPr>
              <w:t>(dh/ds)</w:t>
            </w:r>
          </w:p>
        </w:tc>
        <w:tc>
          <w:tcPr>
            <w:tcW w:w="1046" w:type="dxa"/>
            <w:shd w:val="clear" w:color="auto" w:fill="auto"/>
            <w:hideMark/>
          </w:tcPr>
          <w:p w:rsidR="00E24DB7" w:rsidRPr="002C5876" w:rsidRDefault="00E24DB7" w:rsidP="00E24DB7">
            <w:pPr>
              <w:suppressAutoHyphens w:val="0"/>
              <w:spacing w:before="40" w:after="40" w:line="220" w:lineRule="exact"/>
              <w:jc w:val="center"/>
              <w:rPr>
                <w:sz w:val="18"/>
                <w:szCs w:val="18"/>
              </w:rPr>
            </w:pPr>
            <w:r w:rsidRPr="002C5876">
              <w:rPr>
                <w:sz w:val="18"/>
                <w:szCs w:val="18"/>
              </w:rPr>
              <w:t>-</w:t>
            </w:r>
          </w:p>
        </w:tc>
        <w:tc>
          <w:tcPr>
            <w:tcW w:w="6413" w:type="dxa"/>
            <w:shd w:val="clear" w:color="auto" w:fill="auto"/>
            <w:vAlign w:val="bottom"/>
            <w:hideMark/>
          </w:tcPr>
          <w:p w:rsidR="00E24DB7" w:rsidRPr="002C5876" w:rsidRDefault="00E24DB7" w:rsidP="00E24DB7">
            <w:pPr>
              <w:suppressAutoHyphens w:val="0"/>
              <w:spacing w:before="40" w:after="40" w:line="220" w:lineRule="exact"/>
              <w:rPr>
                <w:sz w:val="18"/>
                <w:szCs w:val="18"/>
              </w:rPr>
            </w:pPr>
            <w:r w:rsidRPr="002C5876">
              <w:rPr>
                <w:sz w:val="18"/>
                <w:szCs w:val="18"/>
              </w:rPr>
              <w:t>Sinus de la pente de la piste dans la direction de déplacement (+ indique une pente ascendante)</w:t>
            </w:r>
          </w:p>
        </w:tc>
      </w:tr>
      <w:tr w:rsidR="00E24DB7" w:rsidRPr="002C5876" w:rsidTr="00E24DB7">
        <w:tc>
          <w:tcPr>
            <w:tcW w:w="1045" w:type="dxa"/>
            <w:shd w:val="clear" w:color="auto" w:fill="auto"/>
            <w:hideMark/>
          </w:tcPr>
          <w:p w:rsidR="00E24DB7" w:rsidRPr="002C5876" w:rsidRDefault="00E24DB7" w:rsidP="00E24DB7">
            <w:pPr>
              <w:suppressAutoHyphens w:val="0"/>
              <w:spacing w:before="40" w:after="40" w:line="220" w:lineRule="exact"/>
              <w:rPr>
                <w:sz w:val="18"/>
                <w:szCs w:val="18"/>
              </w:rPr>
            </w:pPr>
            <w:r w:rsidRPr="002C5876">
              <w:rPr>
                <w:sz w:val="18"/>
                <w:szCs w:val="18"/>
              </w:rPr>
              <w:t>(dv/dt)</w:t>
            </w:r>
          </w:p>
        </w:tc>
        <w:tc>
          <w:tcPr>
            <w:tcW w:w="1046" w:type="dxa"/>
            <w:shd w:val="clear" w:color="auto" w:fill="auto"/>
            <w:vAlign w:val="bottom"/>
            <w:hideMark/>
          </w:tcPr>
          <w:p w:rsidR="00E24DB7" w:rsidRPr="002C5876" w:rsidRDefault="00E24DB7" w:rsidP="00E24DB7">
            <w:pPr>
              <w:suppressAutoHyphens w:val="0"/>
              <w:spacing w:before="40" w:after="40" w:line="220" w:lineRule="exact"/>
              <w:jc w:val="center"/>
              <w:rPr>
                <w:sz w:val="18"/>
                <w:szCs w:val="18"/>
                <w:vertAlign w:val="superscript"/>
              </w:rPr>
            </w:pPr>
            <w:r w:rsidRPr="002C5876">
              <w:rPr>
                <w:sz w:val="18"/>
                <w:szCs w:val="18"/>
              </w:rPr>
              <w:t>m/s</w:t>
            </w:r>
            <w:r w:rsidRPr="002C5876">
              <w:rPr>
                <w:sz w:val="18"/>
                <w:szCs w:val="18"/>
                <w:vertAlign w:val="superscript"/>
              </w:rPr>
              <w:t>2</w:t>
            </w:r>
          </w:p>
        </w:tc>
        <w:tc>
          <w:tcPr>
            <w:tcW w:w="6413" w:type="dxa"/>
            <w:shd w:val="clear" w:color="auto" w:fill="auto"/>
            <w:vAlign w:val="bottom"/>
            <w:hideMark/>
          </w:tcPr>
          <w:p w:rsidR="00E24DB7" w:rsidRPr="002C5876" w:rsidRDefault="00E24DB7" w:rsidP="00E24DB7">
            <w:pPr>
              <w:suppressAutoHyphens w:val="0"/>
              <w:spacing w:before="40" w:after="40" w:line="220" w:lineRule="exact"/>
              <w:rPr>
                <w:sz w:val="18"/>
                <w:szCs w:val="18"/>
              </w:rPr>
            </w:pPr>
            <w:r w:rsidRPr="002C5876">
              <w:rPr>
                <w:sz w:val="18"/>
                <w:szCs w:val="18"/>
              </w:rPr>
              <w:t>Accélération</w:t>
            </w:r>
          </w:p>
        </w:tc>
      </w:tr>
      <w:tr w:rsidR="00E24DB7" w:rsidRPr="002C5876" w:rsidTr="00E24DB7">
        <w:tc>
          <w:tcPr>
            <w:tcW w:w="1045" w:type="dxa"/>
            <w:shd w:val="clear" w:color="auto" w:fill="auto"/>
            <w:hideMark/>
          </w:tcPr>
          <w:p w:rsidR="00E24DB7" w:rsidRPr="002C5876" w:rsidRDefault="00E24DB7" w:rsidP="00E24DB7">
            <w:pPr>
              <w:suppressAutoHyphens w:val="0"/>
              <w:spacing w:before="40" w:after="40" w:line="220" w:lineRule="exact"/>
              <w:rPr>
                <w:sz w:val="18"/>
                <w:szCs w:val="18"/>
              </w:rPr>
            </w:pPr>
            <w:r w:rsidRPr="002C5876">
              <w:rPr>
                <w:sz w:val="18"/>
                <w:szCs w:val="18"/>
              </w:rPr>
              <w:t>g</w:t>
            </w:r>
          </w:p>
        </w:tc>
        <w:tc>
          <w:tcPr>
            <w:tcW w:w="1046" w:type="dxa"/>
            <w:shd w:val="clear" w:color="auto" w:fill="auto"/>
            <w:vAlign w:val="bottom"/>
            <w:hideMark/>
          </w:tcPr>
          <w:p w:rsidR="00E24DB7" w:rsidRPr="002C5876" w:rsidRDefault="00E24DB7" w:rsidP="00E24DB7">
            <w:pPr>
              <w:suppressAutoHyphens w:val="0"/>
              <w:spacing w:before="40" w:after="40" w:line="220" w:lineRule="exact"/>
              <w:jc w:val="center"/>
              <w:rPr>
                <w:sz w:val="18"/>
                <w:szCs w:val="18"/>
                <w:vertAlign w:val="superscript"/>
              </w:rPr>
            </w:pPr>
            <w:r w:rsidRPr="002C5876">
              <w:rPr>
                <w:sz w:val="18"/>
                <w:szCs w:val="18"/>
              </w:rPr>
              <w:t>m/s</w:t>
            </w:r>
            <w:r w:rsidRPr="002C5876">
              <w:rPr>
                <w:sz w:val="18"/>
                <w:szCs w:val="18"/>
                <w:vertAlign w:val="superscript"/>
              </w:rPr>
              <w:t>2</w:t>
            </w:r>
          </w:p>
        </w:tc>
        <w:tc>
          <w:tcPr>
            <w:tcW w:w="6413" w:type="dxa"/>
            <w:shd w:val="clear" w:color="auto" w:fill="auto"/>
            <w:vAlign w:val="bottom"/>
            <w:hideMark/>
          </w:tcPr>
          <w:p w:rsidR="00E24DB7" w:rsidRPr="002C5876" w:rsidRDefault="00E24DB7" w:rsidP="00E24DB7">
            <w:pPr>
              <w:suppressAutoHyphens w:val="0"/>
              <w:spacing w:before="40" w:after="40" w:line="220" w:lineRule="exact"/>
              <w:rPr>
                <w:sz w:val="18"/>
                <w:szCs w:val="18"/>
              </w:rPr>
            </w:pPr>
            <w:r w:rsidRPr="002C5876">
              <w:rPr>
                <w:sz w:val="18"/>
                <w:szCs w:val="18"/>
              </w:rPr>
              <w:t>Constante gravitationnelle</w:t>
            </w:r>
          </w:p>
        </w:tc>
      </w:tr>
      <w:tr w:rsidR="00E24DB7" w:rsidRPr="002C5876" w:rsidTr="00E24DB7">
        <w:tc>
          <w:tcPr>
            <w:tcW w:w="1045" w:type="dxa"/>
            <w:shd w:val="clear" w:color="auto" w:fill="auto"/>
            <w:hideMark/>
          </w:tcPr>
          <w:p w:rsidR="00E24DB7" w:rsidRPr="002C5876" w:rsidRDefault="00E24DB7" w:rsidP="00E24DB7">
            <w:pPr>
              <w:suppressAutoHyphens w:val="0"/>
              <w:spacing w:before="40" w:after="40" w:line="220" w:lineRule="exact"/>
              <w:rPr>
                <w:sz w:val="18"/>
                <w:szCs w:val="18"/>
              </w:rPr>
            </w:pPr>
            <w:r w:rsidRPr="002C5876">
              <w:rPr>
                <w:sz w:val="18"/>
                <w:szCs w:val="18"/>
              </w:rPr>
              <w:t>m</w:t>
            </w:r>
            <w:r w:rsidRPr="002C5876">
              <w:rPr>
                <w:sz w:val="18"/>
                <w:szCs w:val="18"/>
                <w:vertAlign w:val="subscript"/>
              </w:rPr>
              <w:t>av</w:t>
            </w:r>
          </w:p>
        </w:tc>
        <w:tc>
          <w:tcPr>
            <w:tcW w:w="1046" w:type="dxa"/>
            <w:shd w:val="clear" w:color="auto" w:fill="auto"/>
            <w:hideMark/>
          </w:tcPr>
          <w:p w:rsidR="00E24DB7" w:rsidRPr="002C5876" w:rsidRDefault="00E24DB7" w:rsidP="00E24DB7">
            <w:pPr>
              <w:suppressAutoHyphens w:val="0"/>
              <w:spacing w:before="40" w:after="40" w:line="220" w:lineRule="exact"/>
              <w:jc w:val="center"/>
              <w:rPr>
                <w:sz w:val="18"/>
                <w:szCs w:val="18"/>
              </w:rPr>
            </w:pPr>
            <w:r w:rsidRPr="002C5876">
              <w:rPr>
                <w:sz w:val="18"/>
                <w:szCs w:val="18"/>
              </w:rPr>
              <w:t>kg</w:t>
            </w:r>
          </w:p>
        </w:tc>
        <w:tc>
          <w:tcPr>
            <w:tcW w:w="6413" w:type="dxa"/>
            <w:shd w:val="clear" w:color="auto" w:fill="auto"/>
            <w:vAlign w:val="bottom"/>
            <w:hideMark/>
          </w:tcPr>
          <w:p w:rsidR="00E24DB7" w:rsidRPr="002C5876" w:rsidRDefault="00E24DB7" w:rsidP="00E24DB7">
            <w:pPr>
              <w:suppressAutoHyphens w:val="0"/>
              <w:spacing w:before="40" w:after="40" w:line="220" w:lineRule="exact"/>
              <w:rPr>
                <w:sz w:val="18"/>
                <w:szCs w:val="18"/>
              </w:rPr>
            </w:pPr>
            <w:r w:rsidRPr="002C5876">
              <w:rPr>
                <w:sz w:val="18"/>
                <w:szCs w:val="18"/>
              </w:rPr>
              <w:t>Masses moyennes arithmétiques du véhicule d’essai au début et à la fin de l’essai de détermination de la résistance à l’avancement sur route</w:t>
            </w:r>
          </w:p>
        </w:tc>
      </w:tr>
      <w:tr w:rsidR="00E24DB7" w:rsidRPr="002C5876" w:rsidTr="00E24DB7">
        <w:tc>
          <w:tcPr>
            <w:tcW w:w="1045" w:type="dxa"/>
            <w:shd w:val="clear" w:color="auto" w:fill="auto"/>
            <w:hideMark/>
          </w:tcPr>
          <w:p w:rsidR="00E24DB7" w:rsidRPr="002C5876" w:rsidRDefault="00E24DB7" w:rsidP="00E24DB7">
            <w:pPr>
              <w:suppressAutoHyphens w:val="0"/>
              <w:spacing w:before="40" w:after="40" w:line="220" w:lineRule="exact"/>
              <w:rPr>
                <w:sz w:val="18"/>
                <w:szCs w:val="18"/>
              </w:rPr>
            </w:pPr>
            <w:r w:rsidRPr="002C5876">
              <w:rPr>
                <w:sz w:val="18"/>
                <w:szCs w:val="18"/>
              </w:rPr>
              <w:t>m</w:t>
            </w:r>
            <w:r w:rsidRPr="002C5876">
              <w:rPr>
                <w:sz w:val="18"/>
                <w:szCs w:val="18"/>
                <w:vertAlign w:val="subscript"/>
              </w:rPr>
              <w:t>e</w:t>
            </w:r>
          </w:p>
        </w:tc>
        <w:tc>
          <w:tcPr>
            <w:tcW w:w="1046" w:type="dxa"/>
            <w:shd w:val="clear" w:color="auto" w:fill="auto"/>
            <w:vAlign w:val="bottom"/>
            <w:hideMark/>
          </w:tcPr>
          <w:p w:rsidR="00E24DB7" w:rsidRPr="002C5876" w:rsidRDefault="00E24DB7" w:rsidP="00E24DB7">
            <w:pPr>
              <w:suppressAutoHyphens w:val="0"/>
              <w:spacing w:before="40" w:after="40" w:line="220" w:lineRule="exact"/>
              <w:jc w:val="center"/>
              <w:rPr>
                <w:sz w:val="18"/>
                <w:szCs w:val="18"/>
              </w:rPr>
            </w:pPr>
            <w:r w:rsidRPr="002C5876">
              <w:rPr>
                <w:sz w:val="18"/>
                <w:szCs w:val="18"/>
              </w:rPr>
              <w:t>kg</w:t>
            </w:r>
          </w:p>
        </w:tc>
        <w:tc>
          <w:tcPr>
            <w:tcW w:w="6413" w:type="dxa"/>
            <w:shd w:val="clear" w:color="auto" w:fill="auto"/>
            <w:vAlign w:val="bottom"/>
            <w:hideMark/>
          </w:tcPr>
          <w:p w:rsidR="00E24DB7" w:rsidRPr="002C5876" w:rsidRDefault="00E24DB7" w:rsidP="00E24DB7">
            <w:pPr>
              <w:suppressAutoHyphens w:val="0"/>
              <w:spacing w:before="40" w:after="40" w:line="220" w:lineRule="exact"/>
              <w:rPr>
                <w:sz w:val="18"/>
                <w:szCs w:val="18"/>
              </w:rPr>
            </w:pPr>
            <w:r w:rsidRPr="002C5876">
              <w:rPr>
                <w:sz w:val="18"/>
                <w:szCs w:val="18"/>
              </w:rPr>
              <w:t>Masse effective du véhicule (y compris les composants en rotation)</w:t>
            </w:r>
          </w:p>
        </w:tc>
      </w:tr>
      <w:tr w:rsidR="00E24DB7" w:rsidRPr="002C5876" w:rsidTr="00E24DB7">
        <w:tc>
          <w:tcPr>
            <w:tcW w:w="1045" w:type="dxa"/>
            <w:shd w:val="clear" w:color="auto" w:fill="auto"/>
            <w:hideMark/>
          </w:tcPr>
          <w:p w:rsidR="00E24DB7" w:rsidRPr="002C5876" w:rsidRDefault="00E24DB7" w:rsidP="00E24DB7">
            <w:pPr>
              <w:suppressAutoHyphens w:val="0"/>
              <w:spacing w:before="40" w:after="40" w:line="220" w:lineRule="exact"/>
              <w:rPr>
                <w:sz w:val="18"/>
                <w:szCs w:val="18"/>
              </w:rPr>
            </w:pPr>
            <w:r w:rsidRPr="002C5876">
              <w:rPr>
                <w:sz w:val="18"/>
                <w:szCs w:val="18"/>
              </w:rPr>
              <w:t>ρ</w:t>
            </w:r>
          </w:p>
        </w:tc>
        <w:tc>
          <w:tcPr>
            <w:tcW w:w="1046" w:type="dxa"/>
            <w:shd w:val="clear" w:color="auto" w:fill="auto"/>
            <w:vAlign w:val="bottom"/>
            <w:hideMark/>
          </w:tcPr>
          <w:p w:rsidR="00E24DB7" w:rsidRPr="002C5876" w:rsidRDefault="00E24DB7" w:rsidP="00E24DB7">
            <w:pPr>
              <w:suppressAutoHyphens w:val="0"/>
              <w:spacing w:before="40" w:after="40" w:line="220" w:lineRule="exact"/>
              <w:jc w:val="center"/>
              <w:rPr>
                <w:sz w:val="18"/>
                <w:szCs w:val="18"/>
              </w:rPr>
            </w:pPr>
            <w:r w:rsidRPr="002C5876">
              <w:rPr>
                <w:sz w:val="18"/>
                <w:szCs w:val="18"/>
              </w:rPr>
              <w:t>kg/m</w:t>
            </w:r>
            <w:r w:rsidRPr="002C5876">
              <w:rPr>
                <w:sz w:val="18"/>
                <w:szCs w:val="18"/>
                <w:vertAlign w:val="superscript"/>
              </w:rPr>
              <w:t>3</w:t>
            </w:r>
          </w:p>
        </w:tc>
        <w:tc>
          <w:tcPr>
            <w:tcW w:w="6413" w:type="dxa"/>
            <w:shd w:val="clear" w:color="auto" w:fill="auto"/>
            <w:vAlign w:val="bottom"/>
            <w:hideMark/>
          </w:tcPr>
          <w:p w:rsidR="00E24DB7" w:rsidRPr="002C5876" w:rsidRDefault="00E24DB7" w:rsidP="00E24DB7">
            <w:pPr>
              <w:suppressAutoHyphens w:val="0"/>
              <w:spacing w:before="40" w:after="40" w:line="220" w:lineRule="exact"/>
              <w:rPr>
                <w:sz w:val="18"/>
                <w:szCs w:val="18"/>
              </w:rPr>
            </w:pPr>
            <w:r w:rsidRPr="002C5876">
              <w:rPr>
                <w:sz w:val="18"/>
                <w:szCs w:val="18"/>
              </w:rPr>
              <w:t>Masse volumique de l’air</w:t>
            </w:r>
          </w:p>
        </w:tc>
      </w:tr>
      <w:tr w:rsidR="00E24DB7" w:rsidRPr="002C5876" w:rsidTr="00E24DB7">
        <w:tc>
          <w:tcPr>
            <w:tcW w:w="1045" w:type="dxa"/>
            <w:shd w:val="clear" w:color="auto" w:fill="auto"/>
            <w:hideMark/>
          </w:tcPr>
          <w:p w:rsidR="00E24DB7" w:rsidRPr="002C5876" w:rsidRDefault="00E24DB7" w:rsidP="00E24DB7">
            <w:pPr>
              <w:suppressAutoHyphens w:val="0"/>
              <w:spacing w:before="40" w:after="40" w:line="220" w:lineRule="exact"/>
              <w:rPr>
                <w:sz w:val="18"/>
                <w:szCs w:val="18"/>
              </w:rPr>
            </w:pPr>
            <w:r w:rsidRPr="002C5876">
              <w:rPr>
                <w:sz w:val="18"/>
                <w:szCs w:val="18"/>
              </w:rPr>
              <w:t>t</w:t>
            </w:r>
          </w:p>
        </w:tc>
        <w:tc>
          <w:tcPr>
            <w:tcW w:w="1046" w:type="dxa"/>
            <w:shd w:val="clear" w:color="auto" w:fill="auto"/>
            <w:vAlign w:val="bottom"/>
            <w:hideMark/>
          </w:tcPr>
          <w:p w:rsidR="00E24DB7" w:rsidRPr="002C5876" w:rsidRDefault="00E24DB7" w:rsidP="00E24DB7">
            <w:pPr>
              <w:suppressAutoHyphens w:val="0"/>
              <w:spacing w:before="40" w:after="40" w:line="220" w:lineRule="exact"/>
              <w:jc w:val="center"/>
              <w:rPr>
                <w:sz w:val="18"/>
                <w:szCs w:val="18"/>
              </w:rPr>
            </w:pPr>
            <w:r w:rsidRPr="002C5876">
              <w:rPr>
                <w:sz w:val="18"/>
                <w:szCs w:val="18"/>
              </w:rPr>
              <w:t>s</w:t>
            </w:r>
          </w:p>
        </w:tc>
        <w:tc>
          <w:tcPr>
            <w:tcW w:w="6413" w:type="dxa"/>
            <w:shd w:val="clear" w:color="auto" w:fill="auto"/>
            <w:vAlign w:val="bottom"/>
            <w:hideMark/>
          </w:tcPr>
          <w:p w:rsidR="00E24DB7" w:rsidRPr="002C5876" w:rsidRDefault="00E24DB7" w:rsidP="00E24DB7">
            <w:pPr>
              <w:suppressAutoHyphens w:val="0"/>
              <w:spacing w:before="40" w:after="40" w:line="220" w:lineRule="exact"/>
              <w:rPr>
                <w:sz w:val="18"/>
                <w:szCs w:val="18"/>
              </w:rPr>
            </w:pPr>
            <w:r w:rsidRPr="002C5876">
              <w:rPr>
                <w:sz w:val="18"/>
                <w:szCs w:val="18"/>
              </w:rPr>
              <w:t>Temps</w:t>
            </w:r>
          </w:p>
        </w:tc>
      </w:tr>
      <w:tr w:rsidR="00E24DB7" w:rsidRPr="002C5876" w:rsidTr="00E24DB7">
        <w:tc>
          <w:tcPr>
            <w:tcW w:w="1045" w:type="dxa"/>
            <w:shd w:val="clear" w:color="auto" w:fill="auto"/>
            <w:hideMark/>
          </w:tcPr>
          <w:p w:rsidR="00E24DB7" w:rsidRPr="002C5876" w:rsidRDefault="00E24DB7" w:rsidP="00E24DB7">
            <w:pPr>
              <w:suppressAutoHyphens w:val="0"/>
              <w:spacing w:before="40" w:after="40" w:line="220" w:lineRule="exact"/>
              <w:rPr>
                <w:sz w:val="18"/>
                <w:szCs w:val="18"/>
              </w:rPr>
            </w:pPr>
            <w:r w:rsidRPr="002C5876">
              <w:rPr>
                <w:sz w:val="18"/>
                <w:szCs w:val="18"/>
              </w:rPr>
              <w:t>T</w:t>
            </w:r>
          </w:p>
        </w:tc>
        <w:tc>
          <w:tcPr>
            <w:tcW w:w="1046" w:type="dxa"/>
            <w:shd w:val="clear" w:color="auto" w:fill="auto"/>
            <w:vAlign w:val="bottom"/>
            <w:hideMark/>
          </w:tcPr>
          <w:p w:rsidR="00E24DB7" w:rsidRPr="002C5876" w:rsidRDefault="00E24DB7" w:rsidP="00E24DB7">
            <w:pPr>
              <w:suppressAutoHyphens w:val="0"/>
              <w:spacing w:before="40" w:after="40" w:line="220" w:lineRule="exact"/>
              <w:jc w:val="center"/>
              <w:rPr>
                <w:sz w:val="18"/>
                <w:szCs w:val="18"/>
              </w:rPr>
            </w:pPr>
            <w:r w:rsidRPr="002C5876">
              <w:rPr>
                <w:sz w:val="18"/>
                <w:szCs w:val="18"/>
              </w:rPr>
              <w:t>K</w:t>
            </w:r>
          </w:p>
        </w:tc>
        <w:tc>
          <w:tcPr>
            <w:tcW w:w="6413" w:type="dxa"/>
            <w:shd w:val="clear" w:color="auto" w:fill="auto"/>
            <w:vAlign w:val="bottom"/>
            <w:hideMark/>
          </w:tcPr>
          <w:p w:rsidR="00E24DB7" w:rsidRPr="002C5876" w:rsidRDefault="00E24DB7" w:rsidP="00E24DB7">
            <w:pPr>
              <w:suppressAutoHyphens w:val="0"/>
              <w:spacing w:before="40" w:after="40" w:line="220" w:lineRule="exact"/>
              <w:rPr>
                <w:sz w:val="18"/>
                <w:szCs w:val="18"/>
              </w:rPr>
            </w:pPr>
            <w:r w:rsidRPr="002C5876">
              <w:rPr>
                <w:sz w:val="18"/>
                <w:szCs w:val="18"/>
              </w:rPr>
              <w:t>Température</w:t>
            </w:r>
          </w:p>
        </w:tc>
      </w:tr>
      <w:tr w:rsidR="00E24DB7" w:rsidRPr="002C5876" w:rsidTr="00E24DB7">
        <w:tc>
          <w:tcPr>
            <w:tcW w:w="1045" w:type="dxa"/>
            <w:shd w:val="clear" w:color="auto" w:fill="auto"/>
            <w:hideMark/>
          </w:tcPr>
          <w:p w:rsidR="00E24DB7" w:rsidRPr="002C5876" w:rsidRDefault="00E24DB7" w:rsidP="00E24DB7">
            <w:pPr>
              <w:suppressAutoHyphens w:val="0"/>
              <w:spacing w:before="40" w:after="40" w:line="220" w:lineRule="exact"/>
              <w:rPr>
                <w:sz w:val="18"/>
                <w:szCs w:val="18"/>
              </w:rPr>
            </w:pPr>
            <w:r w:rsidRPr="002C5876">
              <w:rPr>
                <w:sz w:val="18"/>
                <w:szCs w:val="18"/>
              </w:rPr>
              <w:t>v</w:t>
            </w:r>
          </w:p>
        </w:tc>
        <w:tc>
          <w:tcPr>
            <w:tcW w:w="1046" w:type="dxa"/>
            <w:shd w:val="clear" w:color="auto" w:fill="auto"/>
            <w:vAlign w:val="bottom"/>
            <w:hideMark/>
          </w:tcPr>
          <w:p w:rsidR="00E24DB7" w:rsidRPr="002C5876" w:rsidRDefault="00E24DB7" w:rsidP="00E24DB7">
            <w:pPr>
              <w:suppressAutoHyphens w:val="0"/>
              <w:spacing w:before="40" w:after="40" w:line="220" w:lineRule="exact"/>
              <w:jc w:val="center"/>
              <w:rPr>
                <w:sz w:val="18"/>
                <w:szCs w:val="18"/>
              </w:rPr>
            </w:pPr>
            <w:r w:rsidRPr="002C5876">
              <w:rPr>
                <w:sz w:val="18"/>
                <w:szCs w:val="18"/>
              </w:rPr>
              <w:t>km/h</w:t>
            </w:r>
          </w:p>
        </w:tc>
        <w:tc>
          <w:tcPr>
            <w:tcW w:w="6413" w:type="dxa"/>
            <w:shd w:val="clear" w:color="auto" w:fill="auto"/>
            <w:vAlign w:val="bottom"/>
            <w:hideMark/>
          </w:tcPr>
          <w:p w:rsidR="00E24DB7" w:rsidRPr="002C5876" w:rsidRDefault="00E24DB7" w:rsidP="00E24DB7">
            <w:pPr>
              <w:suppressAutoHyphens w:val="0"/>
              <w:spacing w:before="40" w:after="40" w:line="220" w:lineRule="exact"/>
              <w:rPr>
                <w:sz w:val="18"/>
                <w:szCs w:val="18"/>
              </w:rPr>
            </w:pPr>
            <w:r w:rsidRPr="002C5876">
              <w:rPr>
                <w:sz w:val="18"/>
                <w:szCs w:val="18"/>
              </w:rPr>
              <w:t>Vitesse du véhicule</w:t>
            </w:r>
          </w:p>
        </w:tc>
      </w:tr>
      <w:tr w:rsidR="00E24DB7" w:rsidRPr="002C5876" w:rsidTr="00E24DB7">
        <w:tc>
          <w:tcPr>
            <w:tcW w:w="1045" w:type="dxa"/>
            <w:shd w:val="clear" w:color="auto" w:fill="auto"/>
            <w:hideMark/>
          </w:tcPr>
          <w:p w:rsidR="00E24DB7" w:rsidRPr="002C5876" w:rsidRDefault="00E24DB7" w:rsidP="00E24DB7">
            <w:pPr>
              <w:suppressAutoHyphens w:val="0"/>
              <w:spacing w:before="40" w:after="40" w:line="220" w:lineRule="exact"/>
              <w:rPr>
                <w:sz w:val="18"/>
                <w:szCs w:val="18"/>
              </w:rPr>
            </w:pPr>
            <w:r w:rsidRPr="002C5876">
              <w:rPr>
                <w:sz w:val="18"/>
                <w:szCs w:val="18"/>
              </w:rPr>
              <w:t>v</w:t>
            </w:r>
            <w:r w:rsidRPr="002C5876">
              <w:rPr>
                <w:sz w:val="18"/>
                <w:szCs w:val="18"/>
                <w:vertAlign w:val="subscript"/>
              </w:rPr>
              <w:t>r</w:t>
            </w:r>
          </w:p>
        </w:tc>
        <w:tc>
          <w:tcPr>
            <w:tcW w:w="1046" w:type="dxa"/>
            <w:shd w:val="clear" w:color="auto" w:fill="auto"/>
            <w:vAlign w:val="bottom"/>
            <w:hideMark/>
          </w:tcPr>
          <w:p w:rsidR="00E24DB7" w:rsidRPr="002C5876" w:rsidRDefault="00E24DB7" w:rsidP="00E24DB7">
            <w:pPr>
              <w:suppressAutoHyphens w:val="0"/>
              <w:spacing w:before="40" w:after="40" w:line="220" w:lineRule="exact"/>
              <w:jc w:val="center"/>
              <w:rPr>
                <w:sz w:val="18"/>
                <w:szCs w:val="18"/>
              </w:rPr>
            </w:pPr>
            <w:r w:rsidRPr="002C5876">
              <w:rPr>
                <w:sz w:val="18"/>
                <w:szCs w:val="18"/>
              </w:rPr>
              <w:t>km/h</w:t>
            </w:r>
          </w:p>
        </w:tc>
        <w:tc>
          <w:tcPr>
            <w:tcW w:w="6413" w:type="dxa"/>
            <w:shd w:val="clear" w:color="auto" w:fill="auto"/>
            <w:vAlign w:val="bottom"/>
            <w:hideMark/>
          </w:tcPr>
          <w:p w:rsidR="00E24DB7" w:rsidRPr="002C5876" w:rsidRDefault="00E24DB7" w:rsidP="00E24DB7">
            <w:pPr>
              <w:suppressAutoHyphens w:val="0"/>
              <w:spacing w:before="40" w:after="40" w:line="220" w:lineRule="exact"/>
              <w:rPr>
                <w:sz w:val="18"/>
                <w:szCs w:val="18"/>
              </w:rPr>
            </w:pPr>
            <w:r w:rsidRPr="002C5876">
              <w:rPr>
                <w:sz w:val="18"/>
                <w:szCs w:val="18"/>
              </w:rPr>
              <w:t>Vitesse du vent apparente par rapport au véhicule</w:t>
            </w:r>
          </w:p>
        </w:tc>
      </w:tr>
      <w:tr w:rsidR="00E24DB7" w:rsidRPr="002C5876" w:rsidTr="00E24DB7">
        <w:tc>
          <w:tcPr>
            <w:tcW w:w="1045" w:type="dxa"/>
            <w:tcBorders>
              <w:bottom w:val="single" w:sz="12" w:space="0" w:color="auto"/>
            </w:tcBorders>
            <w:shd w:val="clear" w:color="auto" w:fill="auto"/>
            <w:hideMark/>
          </w:tcPr>
          <w:p w:rsidR="00E24DB7" w:rsidRPr="002C5876" w:rsidRDefault="00E24DB7" w:rsidP="00E24DB7">
            <w:pPr>
              <w:suppressAutoHyphens w:val="0"/>
              <w:spacing w:before="40" w:after="40" w:line="220" w:lineRule="exact"/>
              <w:rPr>
                <w:sz w:val="18"/>
                <w:szCs w:val="18"/>
              </w:rPr>
            </w:pPr>
            <w:r w:rsidRPr="002C5876">
              <w:rPr>
                <w:sz w:val="18"/>
                <w:szCs w:val="18"/>
              </w:rPr>
              <w:t>Y</w:t>
            </w:r>
          </w:p>
        </w:tc>
        <w:tc>
          <w:tcPr>
            <w:tcW w:w="1046" w:type="dxa"/>
            <w:tcBorders>
              <w:bottom w:val="single" w:sz="12" w:space="0" w:color="auto"/>
            </w:tcBorders>
            <w:shd w:val="clear" w:color="auto" w:fill="auto"/>
            <w:hideMark/>
          </w:tcPr>
          <w:p w:rsidR="00E24DB7" w:rsidRPr="002C5876" w:rsidRDefault="00E24DB7" w:rsidP="00E24DB7">
            <w:pPr>
              <w:suppressAutoHyphens w:val="0"/>
              <w:spacing w:before="40" w:after="40" w:line="220" w:lineRule="exact"/>
              <w:jc w:val="center"/>
              <w:rPr>
                <w:sz w:val="18"/>
                <w:szCs w:val="18"/>
              </w:rPr>
            </w:pPr>
            <w:r w:rsidRPr="002C5876">
              <w:rPr>
                <w:sz w:val="18"/>
                <w:szCs w:val="18"/>
              </w:rPr>
              <w:t>degrés</w:t>
            </w:r>
          </w:p>
        </w:tc>
        <w:tc>
          <w:tcPr>
            <w:tcW w:w="6413" w:type="dxa"/>
            <w:tcBorders>
              <w:bottom w:val="single" w:sz="12" w:space="0" w:color="auto"/>
            </w:tcBorders>
            <w:shd w:val="clear" w:color="auto" w:fill="auto"/>
            <w:vAlign w:val="bottom"/>
            <w:hideMark/>
          </w:tcPr>
          <w:p w:rsidR="00E24DB7" w:rsidRPr="002C5876" w:rsidRDefault="00E24DB7" w:rsidP="00E24DB7">
            <w:pPr>
              <w:suppressAutoHyphens w:val="0"/>
              <w:spacing w:before="40" w:after="40" w:line="220" w:lineRule="exact"/>
              <w:rPr>
                <w:sz w:val="18"/>
                <w:szCs w:val="18"/>
              </w:rPr>
            </w:pPr>
            <w:r w:rsidRPr="002C5876">
              <w:rPr>
                <w:sz w:val="18"/>
                <w:szCs w:val="18"/>
              </w:rPr>
              <w:t>Angle de lacet du vent apparent par rapport à la direction de déplacement du véhicule</w:t>
            </w:r>
          </w:p>
        </w:tc>
      </w:tr>
    </w:tbl>
    <w:p w:rsidR="00E24DB7" w:rsidRPr="002C5876" w:rsidRDefault="00E24DB7" w:rsidP="00E24DB7">
      <w:pPr>
        <w:pStyle w:val="SingleTxtG"/>
        <w:keepNext/>
        <w:spacing w:before="240"/>
        <w:ind w:left="2268" w:hanging="1134"/>
        <w:jc w:val="left"/>
      </w:pPr>
      <w:r w:rsidRPr="002C5876">
        <w:t>4.3.2.5.1</w:t>
      </w:r>
      <w:r w:rsidRPr="002C5876">
        <w:tab/>
        <w:t>Forme générale</w:t>
      </w:r>
    </w:p>
    <w:p w:rsidR="00E24DB7" w:rsidRPr="002C5876" w:rsidRDefault="00E24DB7" w:rsidP="00E24DB7">
      <w:pPr>
        <w:pStyle w:val="SingleTxtG"/>
        <w:ind w:left="2268" w:hanging="1134"/>
      </w:pPr>
      <w:r w:rsidRPr="002C5876">
        <w:tab/>
        <w:t>La forme générale de l’équation de mouvement peut être transcrite comme suit :</w:t>
      </w:r>
    </w:p>
    <w:p w:rsidR="00E24DB7" w:rsidRPr="00D53F39" w:rsidRDefault="00731CA6" w:rsidP="00E24DB7">
      <w:pPr>
        <w:pStyle w:val="SingleTxtG"/>
        <w:spacing w:after="240"/>
        <w:ind w:left="2268"/>
        <w:rPr>
          <w:rFonts w:eastAsiaTheme="minorEastAsia"/>
          <w:lang w:val="es-ES"/>
        </w:rPr>
      </w:pPr>
      <m:oMathPara>
        <m:oMath>
          <m:sSub>
            <m:sSubPr>
              <m:ctrlPr>
                <w:rPr>
                  <w:rFonts w:ascii="Cambria Math" w:hAnsi="Cambria Math" w:cstheme="majorBidi"/>
                </w:rPr>
              </m:ctrlPr>
            </m:sSubPr>
            <m:e>
              <m:r>
                <m:rPr>
                  <m:nor/>
                </m:rPr>
                <w:rPr>
                  <w:rFonts w:asciiTheme="majorBidi" w:hAnsiTheme="majorBidi" w:cstheme="majorBidi"/>
                  <w:lang w:val="es-ES"/>
                </w:rPr>
                <m:t>–m</m:t>
              </m:r>
            </m:e>
            <m:sub>
              <m:r>
                <m:rPr>
                  <m:nor/>
                </m:rPr>
                <w:rPr>
                  <w:rFonts w:asciiTheme="majorBidi" w:hAnsiTheme="majorBidi" w:cstheme="majorBidi"/>
                  <w:lang w:val="es-ES"/>
                </w:rPr>
                <m:t>e</m:t>
              </m:r>
            </m:sub>
          </m:sSub>
          <m:d>
            <m:dPr>
              <m:ctrlPr>
                <w:rPr>
                  <w:rFonts w:ascii="Cambria Math" w:hAnsi="Cambria Math" w:cstheme="majorBidi"/>
                </w:rPr>
              </m:ctrlPr>
            </m:dPr>
            <m:e>
              <m:f>
                <m:fPr>
                  <m:ctrlPr>
                    <w:rPr>
                      <w:rFonts w:ascii="Cambria Math" w:hAnsi="Cambria Math" w:cstheme="majorBidi"/>
                    </w:rPr>
                  </m:ctrlPr>
                </m:fPr>
                <m:num>
                  <m:r>
                    <m:rPr>
                      <m:nor/>
                    </m:rPr>
                    <w:rPr>
                      <w:rFonts w:asciiTheme="majorBidi" w:hAnsiTheme="majorBidi" w:cstheme="majorBidi"/>
                      <w:lang w:val="es-ES"/>
                    </w:rPr>
                    <m:t>dv</m:t>
                  </m:r>
                </m:num>
                <m:den>
                  <m:r>
                    <m:rPr>
                      <m:nor/>
                    </m:rPr>
                    <w:rPr>
                      <w:rFonts w:asciiTheme="majorBidi" w:hAnsiTheme="majorBidi" w:cstheme="majorBidi"/>
                      <w:lang w:val="es-ES"/>
                    </w:rPr>
                    <m:t>dt</m:t>
                  </m:r>
                </m:den>
              </m:f>
            </m:e>
          </m:d>
          <m:r>
            <m:rPr>
              <m:nor/>
            </m:rPr>
            <w:rPr>
              <w:rFonts w:asciiTheme="majorBidi" w:hAnsiTheme="majorBidi" w:cstheme="majorBidi"/>
              <w:lang w:val="es-ES"/>
            </w:rPr>
            <m:t>=</m:t>
          </m:r>
          <m:sSub>
            <m:sSubPr>
              <m:ctrlPr>
                <w:rPr>
                  <w:rFonts w:ascii="Cambria Math" w:hAnsi="Cambria Math" w:cstheme="majorBidi"/>
                </w:rPr>
              </m:ctrlPr>
            </m:sSubPr>
            <m:e>
              <m:r>
                <m:rPr>
                  <m:nor/>
                </m:rPr>
                <w:rPr>
                  <w:rFonts w:ascii="Cambria Math" w:hAnsiTheme="majorBidi" w:cstheme="majorBidi"/>
                  <w:lang w:val="es-ES"/>
                </w:rPr>
                <m:t xml:space="preserve"> </m:t>
              </m:r>
              <m:r>
                <m:rPr>
                  <m:nor/>
                </m:rPr>
                <w:rPr>
                  <w:rFonts w:asciiTheme="majorBidi" w:hAnsiTheme="majorBidi" w:cstheme="majorBidi"/>
                  <w:lang w:val="es-ES"/>
                </w:rPr>
                <m:t>D</m:t>
              </m:r>
            </m:e>
            <m:sub>
              <m:r>
                <m:rPr>
                  <m:nor/>
                </m:rPr>
                <w:rPr>
                  <w:rFonts w:asciiTheme="majorBidi" w:hAnsiTheme="majorBidi" w:cstheme="majorBidi"/>
                  <w:lang w:val="es-ES"/>
                </w:rPr>
                <m:t>mech</m:t>
              </m:r>
            </m:sub>
          </m:sSub>
          <m:r>
            <m:rPr>
              <m:nor/>
            </m:rPr>
            <w:rPr>
              <w:rFonts w:ascii="Cambria Math" w:hAnsiTheme="majorBidi" w:cstheme="majorBidi"/>
              <w:lang w:val="es-ES"/>
            </w:rPr>
            <m:t xml:space="preserve"> </m:t>
          </m:r>
          <m:r>
            <m:rPr>
              <m:nor/>
            </m:rPr>
            <w:rPr>
              <w:rFonts w:asciiTheme="majorBidi" w:hAnsiTheme="majorBidi" w:cstheme="majorBidi"/>
              <w:lang w:val="es-ES"/>
            </w:rPr>
            <m:t>+</m:t>
          </m:r>
          <m:sSub>
            <m:sSubPr>
              <m:ctrlPr>
                <w:rPr>
                  <w:rFonts w:ascii="Cambria Math" w:hAnsi="Cambria Math" w:cstheme="majorBidi"/>
                </w:rPr>
              </m:ctrlPr>
            </m:sSubPr>
            <m:e>
              <m:r>
                <m:rPr>
                  <m:nor/>
                </m:rPr>
                <w:rPr>
                  <w:rFonts w:ascii="Cambria Math" w:hAnsiTheme="majorBidi" w:cstheme="majorBidi"/>
                  <w:lang w:val="es-ES"/>
                </w:rPr>
                <m:t xml:space="preserve"> </m:t>
              </m:r>
              <m:r>
                <m:rPr>
                  <m:nor/>
                </m:rPr>
                <w:rPr>
                  <w:rFonts w:asciiTheme="majorBidi" w:hAnsiTheme="majorBidi" w:cstheme="majorBidi"/>
                  <w:lang w:val="es-ES"/>
                </w:rPr>
                <m:t>D</m:t>
              </m:r>
            </m:e>
            <m:sub>
              <m:r>
                <m:rPr>
                  <m:nor/>
                </m:rPr>
                <w:rPr>
                  <w:rFonts w:asciiTheme="majorBidi" w:hAnsiTheme="majorBidi" w:cstheme="majorBidi"/>
                  <w:lang w:val="es-ES"/>
                </w:rPr>
                <m:t>aero</m:t>
              </m:r>
            </m:sub>
          </m:sSub>
          <m:r>
            <m:rPr>
              <m:nor/>
            </m:rPr>
            <w:rPr>
              <w:rFonts w:ascii="Cambria Math" w:hAnsiTheme="majorBidi" w:cstheme="majorBidi"/>
              <w:lang w:val="es-ES"/>
            </w:rPr>
            <m:t xml:space="preserve"> </m:t>
          </m:r>
          <m:r>
            <m:rPr>
              <m:nor/>
            </m:rPr>
            <w:rPr>
              <w:rFonts w:asciiTheme="majorBidi" w:hAnsiTheme="majorBidi" w:cstheme="majorBidi"/>
              <w:lang w:val="es-ES"/>
            </w:rPr>
            <m:t>+</m:t>
          </m:r>
          <m:r>
            <m:rPr>
              <m:nor/>
            </m:rPr>
            <w:rPr>
              <w:rFonts w:ascii="Cambria Math" w:hAnsiTheme="majorBidi" w:cstheme="majorBidi"/>
              <w:lang w:val="es-ES"/>
            </w:rPr>
            <m:t xml:space="preserve"> </m:t>
          </m:r>
          <m:sSub>
            <m:sSubPr>
              <m:ctrlPr>
                <w:rPr>
                  <w:rFonts w:ascii="Cambria Math" w:hAnsi="Cambria Math" w:cstheme="majorBidi"/>
                </w:rPr>
              </m:ctrlPr>
            </m:sSubPr>
            <m:e>
              <m:r>
                <m:rPr>
                  <m:nor/>
                </m:rPr>
                <w:rPr>
                  <w:rFonts w:asciiTheme="majorBidi" w:hAnsiTheme="majorBidi" w:cstheme="majorBidi"/>
                  <w:lang w:val="es-ES"/>
                </w:rPr>
                <m:t>D</m:t>
              </m:r>
            </m:e>
            <m:sub>
              <m:r>
                <m:rPr>
                  <m:nor/>
                </m:rPr>
                <w:rPr>
                  <w:rFonts w:asciiTheme="majorBidi" w:hAnsiTheme="majorBidi" w:cstheme="majorBidi"/>
                  <w:lang w:val="es-ES"/>
                </w:rPr>
                <m:t>grav</m:t>
              </m:r>
            </m:sub>
          </m:sSub>
        </m:oMath>
      </m:oMathPara>
    </w:p>
    <w:p w:rsidR="00E24DB7" w:rsidRPr="00D53F39" w:rsidRDefault="00E24DB7" w:rsidP="00E24DB7">
      <w:pPr>
        <w:pStyle w:val="SingleTxtG"/>
        <w:keepNext/>
        <w:keepLines/>
        <w:ind w:left="2268"/>
        <w:rPr>
          <w:lang w:val="en-US"/>
        </w:rPr>
      </w:pPr>
      <w:r w:rsidRPr="00D53F39">
        <w:rPr>
          <w:lang w:val="en-US"/>
        </w:rPr>
        <w:t>où :</w:t>
      </w:r>
    </w:p>
    <w:p w:rsidR="00E24DB7" w:rsidRPr="00D53F39" w:rsidRDefault="00731CA6" w:rsidP="00E24DB7">
      <w:pPr>
        <w:ind w:left="2268"/>
        <w:rPr>
          <w:lang w:val="en-US"/>
        </w:rPr>
      </w:pPr>
      <m:oMathPara>
        <m:oMathParaPr>
          <m:jc m:val="left"/>
        </m:oMathParaPr>
        <m:oMath>
          <m:sSub>
            <m:sSubPr>
              <m:ctrlPr>
                <w:rPr>
                  <w:rFonts w:ascii="Cambria Math" w:hAnsi="Cambria Math" w:cstheme="majorBidi"/>
                </w:rPr>
              </m:ctrlPr>
            </m:sSubPr>
            <m:e>
              <m:r>
                <m:rPr>
                  <m:nor/>
                </m:rPr>
                <w:rPr>
                  <w:rFonts w:asciiTheme="majorBidi" w:hAnsiTheme="majorBidi" w:cstheme="majorBidi"/>
                  <w:lang w:val="en-US"/>
                </w:rPr>
                <m:t>D</m:t>
              </m:r>
            </m:e>
            <m:sub>
              <m:r>
                <m:rPr>
                  <m:nor/>
                </m:rPr>
                <w:rPr>
                  <w:rFonts w:asciiTheme="majorBidi" w:hAnsiTheme="majorBidi" w:cstheme="majorBidi"/>
                  <w:lang w:val="en-US"/>
                </w:rPr>
                <m:t>mech</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D</m:t>
              </m:r>
            </m:e>
            <m:sub>
              <m:r>
                <m:rPr>
                  <m:nor/>
                </m:rPr>
                <w:rPr>
                  <w:rFonts w:asciiTheme="majorBidi" w:hAnsiTheme="majorBidi" w:cstheme="majorBidi"/>
                  <w:lang w:val="en-US"/>
                </w:rPr>
                <m:t>tyre</m:t>
              </m:r>
            </m:sub>
          </m:sSub>
          <m:r>
            <m:rPr>
              <m:nor/>
            </m:rPr>
            <w:rPr>
              <w:rFonts w:ascii="Cambria Math" w:hAnsiTheme="majorBidi" w:cstheme="majorBidi"/>
              <w:lang w:val="en-US"/>
            </w:rPr>
            <m:t xml:space="preserve"> </m:t>
          </m:r>
          <m:r>
            <m:rPr>
              <m:nor/>
            </m:rPr>
            <w:rPr>
              <w:rFonts w:asciiTheme="majorBidi" w:hAnsiTheme="majorBidi" w:cstheme="majorBidi"/>
              <w:lang w:val="en-US"/>
            </w:rPr>
            <m:t>+</m:t>
          </m:r>
          <m:sSub>
            <m:sSubPr>
              <m:ctrlPr>
                <w:rPr>
                  <w:rFonts w:ascii="Cambria Math" w:hAnsi="Cambria Math" w:cstheme="majorBidi"/>
                </w:rPr>
              </m:ctrlPr>
            </m:sSubPr>
            <m:e>
              <m:r>
                <m:rPr>
                  <m:nor/>
                </m:rPr>
                <w:rPr>
                  <w:rFonts w:ascii="Cambria Math" w:hAnsiTheme="majorBidi" w:cstheme="majorBidi"/>
                  <w:lang w:val="en-US"/>
                </w:rPr>
                <m:t xml:space="preserve"> </m:t>
              </m:r>
              <m:r>
                <m:rPr>
                  <m:nor/>
                </m:rPr>
                <w:rPr>
                  <w:rFonts w:asciiTheme="majorBidi" w:hAnsiTheme="majorBidi" w:cstheme="majorBidi"/>
                  <w:lang w:val="en-US"/>
                </w:rPr>
                <m:t>D</m:t>
              </m:r>
            </m:e>
            <m:sub>
              <m:r>
                <m:rPr>
                  <m:nor/>
                </m:rPr>
                <w:rPr>
                  <w:rFonts w:asciiTheme="majorBidi" w:hAnsiTheme="majorBidi" w:cstheme="majorBidi"/>
                  <w:lang w:val="en-US"/>
                </w:rPr>
                <m:t>f</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D</m:t>
              </m:r>
            </m:e>
            <m:sub>
              <m:r>
                <m:rPr>
                  <m:nor/>
                </m:rPr>
                <w:rPr>
                  <w:rFonts w:asciiTheme="majorBidi" w:hAnsiTheme="majorBidi" w:cstheme="majorBidi"/>
                  <w:lang w:val="en-US"/>
                </w:rPr>
                <m:t>r</m:t>
              </m:r>
            </m:sub>
          </m:sSub>
        </m:oMath>
      </m:oMathPara>
    </w:p>
    <w:p w:rsidR="00E24DB7" w:rsidRPr="00D53F39" w:rsidRDefault="00731CA6" w:rsidP="00E24DB7">
      <w:pPr>
        <w:pStyle w:val="SingleTxtG"/>
        <w:ind w:left="2268"/>
        <w:rPr>
          <w:rFonts w:eastAsiaTheme="minorEastAsia"/>
          <w:lang w:val="es-ES"/>
        </w:rPr>
      </w:pPr>
      <m:oMathPara>
        <m:oMathParaPr>
          <m:jc m:val="left"/>
        </m:oMathParaPr>
        <m:oMath>
          <m:sSub>
            <m:sSubPr>
              <m:ctrlPr>
                <w:rPr>
                  <w:rFonts w:ascii="Cambria Math" w:hAnsi="Cambria Math" w:cstheme="majorBidi"/>
                </w:rPr>
              </m:ctrlPr>
            </m:sSubPr>
            <m:e>
              <m:r>
                <m:rPr>
                  <m:nor/>
                </m:rPr>
                <w:rPr>
                  <w:rFonts w:asciiTheme="majorBidi" w:hAnsiTheme="majorBidi" w:cstheme="majorBidi"/>
                  <w:lang w:val="es-ES"/>
                </w:rPr>
                <m:t>D</m:t>
              </m:r>
            </m:e>
            <m:sub>
              <m:r>
                <m:rPr>
                  <m:nor/>
                </m:rPr>
                <w:rPr>
                  <w:rFonts w:asciiTheme="majorBidi" w:hAnsiTheme="majorBidi" w:cstheme="majorBidi"/>
                  <w:lang w:val="es-ES"/>
                </w:rPr>
                <m:t>aero</m:t>
              </m:r>
            </m:sub>
          </m:sSub>
          <m:r>
            <m:rPr>
              <m:nor/>
            </m:rPr>
            <w:rPr>
              <w:rFonts w:asciiTheme="majorBidi" w:hAnsiTheme="majorBidi" w:cstheme="majorBidi"/>
              <w:lang w:val="es-ES"/>
            </w:rPr>
            <m:t>=</m:t>
          </m:r>
          <m:d>
            <m:dPr>
              <m:ctrlPr>
                <w:rPr>
                  <w:rFonts w:ascii="Cambria Math" w:hAnsi="Cambria Math" w:cstheme="majorBidi"/>
                </w:rPr>
              </m:ctrlPr>
            </m:dPr>
            <m:e>
              <m:f>
                <m:fPr>
                  <m:ctrlPr>
                    <w:rPr>
                      <w:rFonts w:ascii="Cambria Math" w:hAnsi="Cambria Math" w:cstheme="majorBidi"/>
                    </w:rPr>
                  </m:ctrlPr>
                </m:fPr>
                <m:num>
                  <m:r>
                    <m:rPr>
                      <m:nor/>
                    </m:rPr>
                    <w:rPr>
                      <w:rFonts w:asciiTheme="majorBidi" w:hAnsiTheme="majorBidi" w:cstheme="majorBidi"/>
                      <w:lang w:val="es-ES"/>
                    </w:rPr>
                    <m:t>1</m:t>
                  </m:r>
                </m:num>
                <m:den>
                  <m:r>
                    <m:rPr>
                      <m:nor/>
                    </m:rPr>
                    <w:rPr>
                      <w:rFonts w:asciiTheme="majorBidi" w:hAnsiTheme="majorBidi" w:cstheme="majorBidi"/>
                      <w:lang w:val="es-ES"/>
                    </w:rPr>
                    <m:t>2</m:t>
                  </m:r>
                </m:den>
              </m:f>
            </m:e>
          </m:d>
          <m:r>
            <m:rPr>
              <m:nor/>
            </m:rPr>
            <w:rPr>
              <w:rFonts w:asciiTheme="majorBidi" w:eastAsia="Arial" w:hAnsiTheme="majorBidi" w:cstheme="majorBidi"/>
            </w:rPr>
            <m:t>ρ</m:t>
          </m:r>
          <m:sSub>
            <m:sSubPr>
              <m:ctrlPr>
                <w:rPr>
                  <w:rFonts w:ascii="Cambria Math" w:hAnsi="Cambria Math" w:cstheme="majorBidi"/>
                </w:rPr>
              </m:ctrlPr>
            </m:sSubPr>
            <m:e>
              <m:r>
                <m:rPr>
                  <m:nor/>
                </m:rPr>
                <w:rPr>
                  <w:rFonts w:asciiTheme="majorBidi" w:hAnsiTheme="majorBidi" w:cstheme="majorBidi"/>
                  <w:lang w:val="es-ES"/>
                </w:rPr>
                <m:t>C</m:t>
              </m:r>
            </m:e>
            <m:sub>
              <m:r>
                <m:rPr>
                  <m:nor/>
                </m:rPr>
                <w:rPr>
                  <w:rFonts w:asciiTheme="majorBidi" w:hAnsiTheme="majorBidi" w:cstheme="majorBidi"/>
                  <w:lang w:val="es-ES"/>
                </w:rPr>
                <m:t>D</m:t>
              </m:r>
            </m:sub>
          </m:sSub>
          <m:d>
            <m:dPr>
              <m:ctrlPr>
                <w:rPr>
                  <w:rFonts w:ascii="Cambria Math" w:hAnsi="Cambria Math" w:cstheme="majorBidi"/>
                </w:rPr>
              </m:ctrlPr>
            </m:dPr>
            <m:e>
              <m:r>
                <m:rPr>
                  <m:nor/>
                </m:rPr>
                <w:rPr>
                  <w:rFonts w:asciiTheme="majorBidi" w:hAnsiTheme="majorBidi" w:cstheme="majorBidi"/>
                  <w:lang w:val="es-ES"/>
                </w:rPr>
                <m:t>Y</m:t>
              </m:r>
            </m:e>
          </m:d>
          <m:sSub>
            <m:sSubPr>
              <m:ctrlPr>
                <w:rPr>
                  <w:rFonts w:ascii="Cambria Math" w:hAnsi="Cambria Math" w:cstheme="majorBidi"/>
                </w:rPr>
              </m:ctrlPr>
            </m:sSubPr>
            <m:e>
              <m:r>
                <m:rPr>
                  <m:nor/>
                </m:rPr>
                <w:rPr>
                  <w:rFonts w:asciiTheme="majorBidi" w:hAnsiTheme="majorBidi" w:cstheme="majorBidi"/>
                  <w:lang w:val="es-ES"/>
                </w:rPr>
                <m:t>A</m:t>
              </m:r>
            </m:e>
            <m:sub>
              <m:r>
                <m:rPr>
                  <m:nor/>
                </m:rPr>
                <w:rPr>
                  <w:rFonts w:asciiTheme="majorBidi" w:hAnsiTheme="majorBidi" w:cstheme="majorBidi"/>
                  <w:lang w:val="es-ES"/>
                </w:rPr>
                <m:t>f</m:t>
              </m:r>
            </m:sub>
          </m:sSub>
          <m:sSubSup>
            <m:sSubSupPr>
              <m:ctrlPr>
                <w:rPr>
                  <w:rFonts w:ascii="Cambria Math" w:hAnsi="Cambria Math" w:cstheme="majorBidi"/>
                </w:rPr>
              </m:ctrlPr>
            </m:sSubSupPr>
            <m:e>
              <m:r>
                <m:rPr>
                  <m:nor/>
                </m:rPr>
                <w:rPr>
                  <w:rFonts w:asciiTheme="majorBidi" w:hAnsiTheme="majorBidi" w:cstheme="majorBidi"/>
                  <w:lang w:val="es-ES"/>
                </w:rPr>
                <m:t>v</m:t>
              </m:r>
            </m:e>
            <m:sub>
              <m:r>
                <m:rPr>
                  <m:nor/>
                </m:rPr>
                <w:rPr>
                  <w:rFonts w:asciiTheme="majorBidi" w:hAnsiTheme="majorBidi" w:cstheme="majorBidi"/>
                  <w:lang w:val="es-ES"/>
                </w:rPr>
                <m:t>r</m:t>
              </m:r>
            </m:sub>
            <m:sup>
              <m:r>
                <m:rPr>
                  <m:nor/>
                </m:rPr>
                <w:rPr>
                  <w:rFonts w:asciiTheme="majorBidi" w:hAnsiTheme="majorBidi" w:cstheme="majorBidi"/>
                  <w:lang w:val="es-ES"/>
                </w:rPr>
                <m:t>2</m:t>
              </m:r>
            </m:sup>
          </m:sSubSup>
        </m:oMath>
      </m:oMathPara>
    </w:p>
    <w:p w:rsidR="00E24DB7" w:rsidRPr="00D53F39" w:rsidRDefault="00731CA6" w:rsidP="00E24DB7">
      <w:pPr>
        <w:pStyle w:val="SingleTxtG"/>
        <w:spacing w:after="240"/>
        <w:ind w:left="2268"/>
        <w:rPr>
          <w:rFonts w:eastAsiaTheme="minorEastAsia"/>
          <w:lang w:val="en-US"/>
        </w:rPr>
      </w:pPr>
      <m:oMathPara>
        <m:oMathParaPr>
          <m:jc m:val="left"/>
        </m:oMathParaPr>
        <m:oMath>
          <m:sSub>
            <m:sSubPr>
              <m:ctrlPr>
                <w:rPr>
                  <w:rFonts w:ascii="Cambria Math" w:hAnsi="Cambria Math" w:cstheme="majorBidi"/>
                </w:rPr>
              </m:ctrlPr>
            </m:sSubPr>
            <m:e>
              <m:r>
                <m:rPr>
                  <m:nor/>
                </m:rPr>
                <w:rPr>
                  <w:rFonts w:asciiTheme="majorBidi" w:hAnsiTheme="majorBidi" w:cstheme="majorBidi"/>
                  <w:lang w:val="en-US"/>
                </w:rPr>
                <m:t>D</m:t>
              </m:r>
            </m:e>
            <m:sub>
              <m:r>
                <m:rPr>
                  <m:nor/>
                </m:rPr>
                <w:rPr>
                  <w:rFonts w:asciiTheme="majorBidi" w:hAnsiTheme="majorBidi" w:cstheme="majorBidi"/>
                  <w:lang w:val="en-US"/>
                </w:rPr>
                <m:t>grav</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r>
            <m:rPr>
              <m:nor/>
            </m:rPr>
            <w:rPr>
              <w:rFonts w:asciiTheme="majorBidi" w:hAnsiTheme="majorBidi" w:cstheme="majorBidi"/>
              <w:lang w:val="en-US"/>
            </w:rPr>
            <m:t>m</m:t>
          </m:r>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r>
            <m:rPr>
              <m:nor/>
            </m:rPr>
            <w:rPr>
              <w:rFonts w:asciiTheme="majorBidi" w:hAnsiTheme="majorBidi" w:cstheme="majorBidi"/>
              <w:lang w:val="en-US"/>
            </w:rPr>
            <m:t>g</m:t>
          </m:r>
          <m:r>
            <m:rPr>
              <m:nor/>
            </m:rPr>
            <w:rPr>
              <w:rFonts w:ascii="Cambria Math" w:hAnsiTheme="majorBidi" w:cstheme="majorBidi"/>
              <w:lang w:val="en-US"/>
            </w:rPr>
            <m:t xml:space="preserve"> </m:t>
          </m:r>
          <m:r>
            <m:rPr>
              <m:nor/>
            </m:rPr>
            <w:rPr>
              <w:rFonts w:asciiTheme="majorBidi" w:hAnsiTheme="majorBidi" w:cstheme="majorBidi"/>
              <w:lang w:val="en-US"/>
            </w:rPr>
            <m:t>×</m:t>
          </m:r>
          <m:d>
            <m:dPr>
              <m:ctrlPr>
                <w:rPr>
                  <w:rFonts w:ascii="Cambria Math" w:hAnsi="Cambria Math" w:cstheme="majorBidi"/>
                </w:rPr>
              </m:ctrlPr>
            </m:dPr>
            <m:e>
              <m:f>
                <m:fPr>
                  <m:ctrlPr>
                    <w:rPr>
                      <w:rFonts w:ascii="Cambria Math" w:hAnsi="Cambria Math" w:cstheme="majorBidi"/>
                    </w:rPr>
                  </m:ctrlPr>
                </m:fPr>
                <m:num>
                  <m:r>
                    <m:rPr>
                      <m:nor/>
                    </m:rPr>
                    <w:rPr>
                      <w:rFonts w:asciiTheme="majorBidi" w:hAnsiTheme="majorBidi" w:cstheme="majorBidi"/>
                      <w:lang w:val="en-US"/>
                    </w:rPr>
                    <m:t>dh</m:t>
                  </m:r>
                </m:num>
                <m:den>
                  <m:r>
                    <m:rPr>
                      <m:nor/>
                    </m:rPr>
                    <w:rPr>
                      <w:rFonts w:asciiTheme="majorBidi" w:hAnsiTheme="majorBidi" w:cstheme="majorBidi"/>
                      <w:lang w:val="en-US"/>
                    </w:rPr>
                    <m:t>ds</m:t>
                  </m:r>
                </m:den>
              </m:f>
            </m:e>
          </m:d>
        </m:oMath>
      </m:oMathPara>
    </w:p>
    <w:p w:rsidR="00E24DB7" w:rsidRPr="002C5876" w:rsidRDefault="00E24DB7" w:rsidP="00E24DB7">
      <w:pPr>
        <w:pStyle w:val="SingleTxtG"/>
        <w:ind w:left="2268"/>
      </w:pPr>
      <w:r w:rsidRPr="002C5876">
        <w:t>Si la pente de la piste est égale ou inférieure à 0,1 % sur toute sa longueur, D</w:t>
      </w:r>
      <w:r w:rsidRPr="002C5876">
        <w:rPr>
          <w:vertAlign w:val="subscript"/>
        </w:rPr>
        <w:t xml:space="preserve">grav </w:t>
      </w:r>
      <w:r w:rsidRPr="002C5876">
        <w:t>peut être pris comme égal à zéro.</w:t>
      </w:r>
    </w:p>
    <w:p w:rsidR="00E24DB7" w:rsidRPr="002C5876" w:rsidRDefault="00E24DB7" w:rsidP="00E24DB7">
      <w:pPr>
        <w:pStyle w:val="SingleTxtG"/>
        <w:keepNext/>
        <w:ind w:left="2268" w:hanging="1134"/>
        <w:jc w:val="left"/>
      </w:pPr>
      <w:r w:rsidRPr="002C5876">
        <w:t>4.3.2.5.2</w:t>
      </w:r>
      <w:r w:rsidRPr="002C5876">
        <w:tab/>
        <w:t>Modélisation de la résistance au roulement mécanique</w:t>
      </w:r>
    </w:p>
    <w:p w:rsidR="00E24DB7" w:rsidRPr="002C5876" w:rsidRDefault="00E24DB7" w:rsidP="00E24DB7">
      <w:pPr>
        <w:pStyle w:val="SingleTxtG"/>
        <w:spacing w:after="240"/>
        <w:ind w:left="2268"/>
      </w:pPr>
      <w:r w:rsidRPr="002C5876">
        <w:t>Bien que la résistance au roulement mécanique soit constituée de plusieurs composants représentant la résistance au roulement des pneumatiques (D</w:t>
      </w:r>
      <w:r w:rsidRPr="002C5876">
        <w:rPr>
          <w:vertAlign w:val="subscript"/>
        </w:rPr>
        <w:t>tyre</w:t>
      </w:r>
      <w:r w:rsidRPr="002C5876">
        <w:t>), la résistance au roulement de l’essieu avant et de l’essieu arrière (D</w:t>
      </w:r>
      <w:r w:rsidRPr="002C5876">
        <w:rPr>
          <w:vertAlign w:val="subscript"/>
        </w:rPr>
        <w:t>f</w:t>
      </w:r>
      <w:r w:rsidRPr="002C5876">
        <w:t xml:space="preserve"> et D</w:t>
      </w:r>
      <w:r w:rsidRPr="002C5876">
        <w:rPr>
          <w:vertAlign w:val="subscript"/>
        </w:rPr>
        <w:t>r</w:t>
      </w:r>
      <w:r w:rsidRPr="002C5876">
        <w:t>, y compris les pertes dans la transmission), elle peut être modélisée comme une équation polynomique à trois termes en fonction de la vitesse v du véhicule, comme ci-après :</w:t>
      </w:r>
    </w:p>
    <w:p w:rsidR="00E24DB7" w:rsidRPr="00D53F39" w:rsidRDefault="00731CA6" w:rsidP="00E24DB7">
      <w:pPr>
        <w:pStyle w:val="SingleTxtG"/>
        <w:spacing w:after="240"/>
        <w:ind w:left="2268"/>
        <w:rPr>
          <w:rFonts w:eastAsiaTheme="minorEastAsia"/>
          <w:lang w:val="en-US"/>
        </w:rPr>
      </w:pPr>
      <m:oMathPara>
        <m:oMathParaPr>
          <m:jc m:val="center"/>
        </m:oMathParaPr>
        <m:oMath>
          <m:sSub>
            <m:sSubPr>
              <m:ctrlPr>
                <w:rPr>
                  <w:rFonts w:ascii="Cambria Math" w:hAnsi="Cambria Math" w:cstheme="majorBidi"/>
                </w:rPr>
              </m:ctrlPr>
            </m:sSubPr>
            <m:e>
              <m:r>
                <m:rPr>
                  <m:nor/>
                </m:rPr>
                <w:rPr>
                  <w:rFonts w:asciiTheme="majorBidi" w:hAnsiTheme="majorBidi" w:cstheme="majorBidi"/>
                  <w:lang w:val="en-US"/>
                </w:rPr>
                <m:t>D</m:t>
              </m:r>
            </m:e>
            <m:sub>
              <m:r>
                <m:rPr>
                  <m:nor/>
                </m:rPr>
                <w:rPr>
                  <w:rFonts w:asciiTheme="majorBidi" w:hAnsiTheme="majorBidi" w:cstheme="majorBidi"/>
                  <w:lang w:val="en-US"/>
                </w:rPr>
                <m:t>mech</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A</m:t>
              </m:r>
            </m:e>
            <m:sub>
              <m:r>
                <m:rPr>
                  <m:nor/>
                </m:rPr>
                <w:rPr>
                  <w:rFonts w:asciiTheme="majorBidi" w:hAnsiTheme="majorBidi" w:cstheme="majorBidi"/>
                  <w:lang w:val="en-US"/>
                </w:rPr>
                <m:t>m</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B</m:t>
              </m:r>
            </m:e>
            <m:sub>
              <m:r>
                <m:rPr>
                  <m:nor/>
                </m:rPr>
                <w:rPr>
                  <w:rFonts w:asciiTheme="majorBidi" w:hAnsiTheme="majorBidi" w:cstheme="majorBidi"/>
                  <w:lang w:val="en-US"/>
                </w:rPr>
                <m:t>m</m:t>
              </m:r>
            </m:sub>
          </m:sSub>
          <m:r>
            <m:rPr>
              <m:nor/>
            </m:rPr>
            <w:rPr>
              <w:rFonts w:asciiTheme="majorBidi" w:hAnsiTheme="majorBidi" w:cstheme="majorBidi"/>
              <w:lang w:val="en-US"/>
            </w:rPr>
            <m:t>v</m:t>
          </m:r>
          <m:r>
            <m:rPr>
              <m:nor/>
            </m:rPr>
            <w:rPr>
              <w:rFonts w:ascii="Cambria Math" w:hAnsiTheme="majorBidi" w:cstheme="majorBidi"/>
              <w:lang w:val="en-US"/>
            </w:rPr>
            <m:t xml:space="preserve"> </m:t>
          </m:r>
          <m:r>
            <m:rPr>
              <m:nor/>
            </m:rPr>
            <w:rPr>
              <w:rFonts w:asciiTheme="majorBidi" w:hAnsiTheme="majorBidi" w:cstheme="majorBidi"/>
              <w:lang w:val="en-US"/>
            </w:rPr>
            <m:t>+</m:t>
          </m:r>
          <m:sSub>
            <m:sSubPr>
              <m:ctrlPr>
                <w:rPr>
                  <w:rFonts w:ascii="Cambria Math" w:hAnsi="Cambria Math" w:cstheme="majorBidi"/>
                </w:rPr>
              </m:ctrlPr>
            </m:sSubPr>
            <m:e>
              <m:r>
                <m:rPr>
                  <m:nor/>
                </m:rPr>
                <w:rPr>
                  <w:rFonts w:ascii="Cambria Math" w:hAnsiTheme="majorBidi" w:cstheme="majorBidi"/>
                  <w:lang w:val="en-US"/>
                </w:rPr>
                <m:t xml:space="preserve"> </m:t>
              </m:r>
              <m:r>
                <m:rPr>
                  <m:nor/>
                </m:rPr>
                <w:rPr>
                  <w:rFonts w:asciiTheme="majorBidi" w:hAnsiTheme="majorBidi" w:cstheme="majorBidi"/>
                  <w:lang w:val="en-US"/>
                </w:rPr>
                <m:t>C</m:t>
              </m:r>
            </m:e>
            <m:sub>
              <m:r>
                <m:rPr>
                  <m:nor/>
                </m:rPr>
                <w:rPr>
                  <w:rFonts w:asciiTheme="majorBidi" w:hAnsiTheme="majorBidi" w:cstheme="majorBidi"/>
                  <w:lang w:val="en-US"/>
                </w:rPr>
                <m:t>m</m:t>
              </m:r>
            </m:sub>
          </m:sSub>
          <m:sSup>
            <m:sSupPr>
              <m:ctrlPr>
                <w:rPr>
                  <w:rFonts w:ascii="Cambria Math" w:hAnsi="Cambria Math" w:cstheme="majorBidi"/>
                </w:rPr>
              </m:ctrlPr>
            </m:sSupPr>
            <m:e>
              <m:r>
                <m:rPr>
                  <m:nor/>
                </m:rPr>
                <w:rPr>
                  <w:rFonts w:asciiTheme="majorBidi" w:hAnsiTheme="majorBidi" w:cstheme="majorBidi"/>
                  <w:lang w:val="en-US"/>
                </w:rPr>
                <m:t>v</m:t>
              </m:r>
            </m:e>
            <m:sup>
              <m:r>
                <m:rPr>
                  <m:nor/>
                </m:rPr>
                <w:rPr>
                  <w:rFonts w:asciiTheme="majorBidi" w:hAnsiTheme="majorBidi" w:cstheme="majorBidi"/>
                  <w:lang w:val="en-US"/>
                </w:rPr>
                <m:t>2</m:t>
              </m:r>
            </m:sup>
          </m:sSup>
        </m:oMath>
      </m:oMathPara>
    </w:p>
    <w:p w:rsidR="00E24DB7" w:rsidRPr="002C5876" w:rsidRDefault="00E24DB7" w:rsidP="00E24DB7">
      <w:pPr>
        <w:pStyle w:val="SingleTxtG"/>
        <w:ind w:left="2268"/>
      </w:pPr>
      <w:r w:rsidRPr="002C5876">
        <w:t>où :</w:t>
      </w:r>
    </w:p>
    <w:p w:rsidR="00E24DB7" w:rsidRPr="002C5876" w:rsidRDefault="00E24DB7" w:rsidP="00E24DB7">
      <w:pPr>
        <w:pStyle w:val="SingleTxtG"/>
        <w:ind w:left="2268"/>
      </w:pPr>
      <w:r w:rsidRPr="002C5876">
        <w:t>A</w:t>
      </w:r>
      <w:r w:rsidRPr="002C5876">
        <w:rPr>
          <w:vertAlign w:val="subscript"/>
        </w:rPr>
        <w:t>m</w:t>
      </w:r>
      <w:r w:rsidRPr="002C5876">
        <w:t>, B</w:t>
      </w:r>
      <w:r w:rsidRPr="002C5876">
        <w:rPr>
          <w:vertAlign w:val="subscript"/>
        </w:rPr>
        <w:t>m</w:t>
      </w:r>
      <w:r w:rsidRPr="002C5876">
        <w:t>, et C</w:t>
      </w:r>
      <w:r w:rsidRPr="002C5876">
        <w:rPr>
          <w:vertAlign w:val="subscript"/>
        </w:rPr>
        <w:t>m</w:t>
      </w:r>
      <w:r w:rsidRPr="002C5876">
        <w:t xml:space="preserve"> sont déterminés par la méthode des moindres carrés dans le cadre de l’analyse des données. Ces constantes reflètent la résistance combinée de la transmission et des pneumatiques.</w:t>
      </w:r>
    </w:p>
    <w:p w:rsidR="00E24DB7" w:rsidRPr="002C5876" w:rsidRDefault="00E24DB7" w:rsidP="00E24DB7">
      <w:pPr>
        <w:pStyle w:val="SingleTxtG"/>
        <w:ind w:left="2268"/>
      </w:pPr>
      <w:r w:rsidRPr="002C5876">
        <w:t>Si le véhicule d’essai est le véhicule représentatif d’une famille de matrices de résistance à l’avancement sur route, le coefficient B</w:t>
      </w:r>
      <w:r w:rsidRPr="002C5876">
        <w:rPr>
          <w:vertAlign w:val="subscript"/>
        </w:rPr>
        <w:t>m</w:t>
      </w:r>
      <w:r w:rsidRPr="002C5876">
        <w:t xml:space="preserve"> est pris comme égal à zéro et les coefficients A</w:t>
      </w:r>
      <w:r w:rsidRPr="002C5876">
        <w:rPr>
          <w:vertAlign w:val="subscript"/>
        </w:rPr>
        <w:t>m</w:t>
      </w:r>
      <w:r w:rsidRPr="002C5876">
        <w:t xml:space="preserve"> et C</w:t>
      </w:r>
      <w:r w:rsidRPr="002C5876">
        <w:rPr>
          <w:vertAlign w:val="subscript"/>
        </w:rPr>
        <w:t>m</w:t>
      </w:r>
      <w:r w:rsidRPr="002C5876">
        <w:t xml:space="preserve"> doivent être recalculés par une analyse de régression par les moindres carrés.</w:t>
      </w:r>
    </w:p>
    <w:p w:rsidR="00E24DB7" w:rsidRPr="002C5876" w:rsidRDefault="00E24DB7" w:rsidP="00E24DB7">
      <w:pPr>
        <w:pStyle w:val="SingleTxtG"/>
        <w:keepNext/>
        <w:ind w:left="2268" w:hanging="1134"/>
        <w:jc w:val="left"/>
      </w:pPr>
      <w:r w:rsidRPr="002C5876">
        <w:t>4.3.2.5.3</w:t>
      </w:r>
      <w:r w:rsidRPr="002C5876">
        <w:tab/>
        <w:t>Modélisation de la traînée aérodynamique</w:t>
      </w:r>
    </w:p>
    <w:p w:rsidR="00E24DB7" w:rsidRPr="002C5876" w:rsidRDefault="00E24DB7" w:rsidP="00E24DB7">
      <w:pPr>
        <w:pStyle w:val="SingleTxtG"/>
        <w:spacing w:after="240"/>
        <w:ind w:left="2268"/>
      </w:pPr>
      <w:r w:rsidRPr="002C5876">
        <w:t>Le coefficient de traînée aérodynamique, C</w:t>
      </w:r>
      <w:r w:rsidRPr="002C5876">
        <w:rPr>
          <w:vertAlign w:val="subscript"/>
        </w:rPr>
        <w:t>D</w:t>
      </w:r>
      <w:r w:rsidRPr="002C5876">
        <w:t>(Y), peut être modélisé comme une équation polynomique à quatre termes en fonction de l’angle de lacet Y, comme ci-après :</w:t>
      </w:r>
    </w:p>
    <w:p w:rsidR="00E24DB7" w:rsidRPr="00D53F39" w:rsidRDefault="00731CA6" w:rsidP="00E24DB7">
      <w:pPr>
        <w:pStyle w:val="SingleTxtG"/>
        <w:spacing w:after="240"/>
        <w:ind w:left="2268"/>
        <w:rPr>
          <w:rFonts w:eastAsiaTheme="minorEastAsia"/>
          <w:lang w:val="es-ES"/>
        </w:rPr>
      </w:pPr>
      <m:oMathPara>
        <m:oMathParaPr>
          <m:jc m:val="center"/>
        </m:oMathParaPr>
        <m:oMath>
          <m:sSub>
            <m:sSubPr>
              <m:ctrlPr>
                <w:rPr>
                  <w:rFonts w:ascii="Cambria Math" w:hAnsi="Cambria Math" w:cstheme="majorBidi"/>
                </w:rPr>
              </m:ctrlPr>
            </m:sSubPr>
            <m:e>
              <m:r>
                <m:rPr>
                  <m:nor/>
                </m:rPr>
                <w:rPr>
                  <w:rFonts w:asciiTheme="majorBidi" w:hAnsiTheme="majorBidi" w:cstheme="majorBidi"/>
                  <w:lang w:val="es-ES"/>
                </w:rPr>
                <m:t>C</m:t>
              </m:r>
            </m:e>
            <m:sub>
              <m:r>
                <m:rPr>
                  <m:nor/>
                </m:rPr>
                <w:rPr>
                  <w:rFonts w:asciiTheme="majorBidi" w:hAnsiTheme="majorBidi" w:cstheme="majorBidi"/>
                  <w:lang w:val="es-ES"/>
                </w:rPr>
                <m:t>D</m:t>
              </m:r>
            </m:sub>
          </m:sSub>
          <m:d>
            <m:dPr>
              <m:ctrlPr>
                <w:rPr>
                  <w:rFonts w:ascii="Cambria Math" w:hAnsi="Cambria Math" w:cstheme="majorBidi"/>
                </w:rPr>
              </m:ctrlPr>
            </m:dPr>
            <m:e>
              <m:r>
                <m:rPr>
                  <m:nor/>
                </m:rPr>
                <w:rPr>
                  <w:rFonts w:asciiTheme="majorBidi" w:hAnsiTheme="majorBidi" w:cstheme="majorBidi"/>
                  <w:lang w:val="es-ES"/>
                </w:rPr>
                <m:t>Y</m:t>
              </m:r>
            </m:e>
          </m:d>
          <m:r>
            <m:rPr>
              <m:nor/>
            </m:rPr>
            <w:rPr>
              <w:rFonts w:ascii="Cambria Math" w:hAnsiTheme="majorBidi" w:cstheme="majorBidi"/>
              <w:lang w:val="es-ES"/>
            </w:rPr>
            <m:t xml:space="preserve"> </m:t>
          </m:r>
          <m:r>
            <m:rPr>
              <m:nor/>
            </m:rPr>
            <w:rPr>
              <w:rFonts w:asciiTheme="majorBidi" w:hAnsiTheme="majorBidi" w:cstheme="majorBidi"/>
              <w:lang w:val="es-ES"/>
            </w:rPr>
            <m:t>=</m:t>
          </m:r>
          <m:r>
            <m:rPr>
              <m:nor/>
            </m:rPr>
            <w:rPr>
              <w:rFonts w:ascii="Cambria Math" w:hAnsiTheme="majorBidi" w:cstheme="majorBidi"/>
              <w:lang w:val="es-ES"/>
            </w:rPr>
            <m:t xml:space="preserve"> </m:t>
          </m:r>
          <m:sSub>
            <m:sSubPr>
              <m:ctrlPr>
                <w:rPr>
                  <w:rFonts w:ascii="Cambria Math" w:hAnsi="Cambria Math" w:cstheme="majorBidi"/>
                </w:rPr>
              </m:ctrlPr>
            </m:sSubPr>
            <m:e>
              <m:r>
                <m:rPr>
                  <m:nor/>
                </m:rPr>
                <w:rPr>
                  <w:rFonts w:asciiTheme="majorBidi" w:hAnsiTheme="majorBidi" w:cstheme="majorBidi"/>
                  <w:lang w:val="es-ES"/>
                </w:rPr>
                <m:t>a</m:t>
              </m:r>
            </m:e>
            <m:sub>
              <m:r>
                <m:rPr>
                  <m:nor/>
                </m:rPr>
                <w:rPr>
                  <w:rFonts w:asciiTheme="majorBidi" w:hAnsiTheme="majorBidi" w:cstheme="majorBidi"/>
                  <w:lang w:val="es-ES"/>
                </w:rPr>
                <m:t>0</m:t>
              </m:r>
            </m:sub>
          </m:sSub>
          <m:r>
            <m:rPr>
              <m:nor/>
            </m:rPr>
            <w:rPr>
              <w:rFonts w:ascii="Cambria Math" w:hAnsiTheme="majorBidi" w:cstheme="majorBidi"/>
              <w:lang w:val="es-ES"/>
            </w:rPr>
            <m:t xml:space="preserve"> </m:t>
          </m:r>
          <m:r>
            <m:rPr>
              <m:nor/>
            </m:rPr>
            <w:rPr>
              <w:rFonts w:asciiTheme="majorBidi" w:hAnsiTheme="majorBidi" w:cstheme="majorBidi"/>
              <w:lang w:val="es-ES"/>
            </w:rPr>
            <m:t>+</m:t>
          </m:r>
          <m:sSub>
            <m:sSubPr>
              <m:ctrlPr>
                <w:rPr>
                  <w:rFonts w:ascii="Cambria Math" w:hAnsi="Cambria Math" w:cstheme="majorBidi"/>
                </w:rPr>
              </m:ctrlPr>
            </m:sSubPr>
            <m:e>
              <m:r>
                <m:rPr>
                  <m:nor/>
                </m:rPr>
                <w:rPr>
                  <w:rFonts w:ascii="Cambria Math" w:hAnsiTheme="majorBidi" w:cstheme="majorBidi"/>
                  <w:lang w:val="es-ES"/>
                </w:rPr>
                <m:t xml:space="preserve"> </m:t>
              </m:r>
              <m:r>
                <m:rPr>
                  <m:nor/>
                </m:rPr>
                <w:rPr>
                  <w:rFonts w:asciiTheme="majorBidi" w:hAnsiTheme="majorBidi" w:cstheme="majorBidi"/>
                  <w:lang w:val="es-ES"/>
                </w:rPr>
                <m:t>a</m:t>
              </m:r>
            </m:e>
            <m:sub>
              <m:r>
                <m:rPr>
                  <m:nor/>
                </m:rPr>
                <w:rPr>
                  <w:rFonts w:asciiTheme="majorBidi" w:hAnsiTheme="majorBidi" w:cstheme="majorBidi"/>
                  <w:lang w:val="es-ES"/>
                </w:rPr>
                <m:t>1</m:t>
              </m:r>
            </m:sub>
          </m:sSub>
          <m:r>
            <m:rPr>
              <m:nor/>
            </m:rPr>
            <w:rPr>
              <w:rFonts w:asciiTheme="majorBidi" w:hAnsiTheme="majorBidi" w:cstheme="majorBidi"/>
              <w:lang w:val="es-ES"/>
            </w:rPr>
            <m:t>Y</m:t>
          </m:r>
          <m:r>
            <m:rPr>
              <m:nor/>
            </m:rPr>
            <w:rPr>
              <w:rFonts w:ascii="Cambria Math" w:hAnsiTheme="majorBidi" w:cstheme="majorBidi"/>
              <w:lang w:val="es-ES"/>
            </w:rPr>
            <m:t xml:space="preserve"> </m:t>
          </m:r>
          <m:r>
            <m:rPr>
              <m:nor/>
            </m:rPr>
            <w:rPr>
              <w:rFonts w:asciiTheme="majorBidi" w:hAnsiTheme="majorBidi" w:cstheme="majorBidi"/>
              <w:lang w:val="es-ES"/>
            </w:rPr>
            <m:t>+</m:t>
          </m:r>
          <m:r>
            <m:rPr>
              <m:nor/>
            </m:rPr>
            <w:rPr>
              <w:rFonts w:ascii="Cambria Math" w:hAnsiTheme="majorBidi" w:cstheme="majorBidi"/>
              <w:lang w:val="es-ES"/>
            </w:rPr>
            <m:t xml:space="preserve"> </m:t>
          </m:r>
          <m:sSub>
            <m:sSubPr>
              <m:ctrlPr>
                <w:rPr>
                  <w:rFonts w:ascii="Cambria Math" w:hAnsi="Cambria Math" w:cstheme="majorBidi"/>
                </w:rPr>
              </m:ctrlPr>
            </m:sSubPr>
            <m:e>
              <m:r>
                <m:rPr>
                  <m:nor/>
                </m:rPr>
                <w:rPr>
                  <w:rFonts w:asciiTheme="majorBidi" w:hAnsiTheme="majorBidi" w:cstheme="majorBidi"/>
                  <w:lang w:val="es-ES"/>
                </w:rPr>
                <m:t>a</m:t>
              </m:r>
            </m:e>
            <m:sub>
              <m:r>
                <m:rPr>
                  <m:nor/>
                </m:rPr>
                <w:rPr>
                  <w:rFonts w:asciiTheme="majorBidi" w:hAnsiTheme="majorBidi" w:cstheme="majorBidi"/>
                  <w:lang w:val="es-ES"/>
                </w:rPr>
                <m:t>2</m:t>
              </m:r>
            </m:sub>
          </m:sSub>
          <m:sSup>
            <m:sSupPr>
              <m:ctrlPr>
                <w:rPr>
                  <w:rFonts w:ascii="Cambria Math" w:hAnsi="Cambria Math" w:cstheme="majorBidi"/>
                </w:rPr>
              </m:ctrlPr>
            </m:sSupPr>
            <m:e>
              <m:r>
                <m:rPr>
                  <m:nor/>
                </m:rPr>
                <w:rPr>
                  <w:rFonts w:asciiTheme="majorBidi" w:hAnsiTheme="majorBidi" w:cstheme="majorBidi"/>
                  <w:lang w:val="es-ES"/>
                </w:rPr>
                <m:t>Y</m:t>
              </m:r>
            </m:e>
            <m:sup>
              <m:r>
                <m:rPr>
                  <m:nor/>
                </m:rPr>
                <w:rPr>
                  <w:rFonts w:asciiTheme="majorBidi" w:hAnsiTheme="majorBidi" w:cstheme="majorBidi"/>
                  <w:lang w:val="es-ES"/>
                </w:rPr>
                <m:t>2</m:t>
              </m:r>
            </m:sup>
          </m:sSup>
          <m:r>
            <m:rPr>
              <m:nor/>
            </m:rPr>
            <w:rPr>
              <w:rFonts w:ascii="Cambria Math" w:hAnsiTheme="majorBidi" w:cstheme="majorBidi"/>
              <w:lang w:val="es-ES"/>
            </w:rPr>
            <m:t xml:space="preserve"> </m:t>
          </m:r>
          <m:r>
            <m:rPr>
              <m:nor/>
            </m:rPr>
            <w:rPr>
              <w:rFonts w:asciiTheme="majorBidi" w:hAnsiTheme="majorBidi" w:cstheme="majorBidi"/>
              <w:lang w:val="es-ES"/>
            </w:rPr>
            <m:t>+</m:t>
          </m:r>
          <m:r>
            <m:rPr>
              <m:nor/>
            </m:rPr>
            <w:rPr>
              <w:rFonts w:ascii="Cambria Math" w:hAnsiTheme="majorBidi" w:cstheme="majorBidi"/>
              <w:lang w:val="es-ES"/>
            </w:rPr>
            <m:t xml:space="preserve"> </m:t>
          </m:r>
          <m:sSub>
            <m:sSubPr>
              <m:ctrlPr>
                <w:rPr>
                  <w:rFonts w:ascii="Cambria Math" w:hAnsi="Cambria Math" w:cstheme="majorBidi"/>
                </w:rPr>
              </m:ctrlPr>
            </m:sSubPr>
            <m:e>
              <m:r>
                <m:rPr>
                  <m:nor/>
                </m:rPr>
                <w:rPr>
                  <w:rFonts w:asciiTheme="majorBidi" w:hAnsiTheme="majorBidi" w:cstheme="majorBidi"/>
                  <w:lang w:val="es-ES"/>
                </w:rPr>
                <m:t>a</m:t>
              </m:r>
            </m:e>
            <m:sub>
              <m:r>
                <m:rPr>
                  <m:nor/>
                </m:rPr>
                <w:rPr>
                  <w:rFonts w:asciiTheme="majorBidi" w:hAnsiTheme="majorBidi" w:cstheme="majorBidi"/>
                  <w:lang w:val="es-ES"/>
                </w:rPr>
                <m:t>3</m:t>
              </m:r>
            </m:sub>
          </m:sSub>
          <m:sSup>
            <m:sSupPr>
              <m:ctrlPr>
                <w:rPr>
                  <w:rFonts w:ascii="Cambria Math" w:hAnsi="Cambria Math" w:cstheme="majorBidi"/>
                </w:rPr>
              </m:ctrlPr>
            </m:sSupPr>
            <m:e>
              <m:r>
                <m:rPr>
                  <m:nor/>
                </m:rPr>
                <w:rPr>
                  <w:rFonts w:asciiTheme="majorBidi" w:hAnsiTheme="majorBidi" w:cstheme="majorBidi"/>
                  <w:lang w:val="es-ES"/>
                </w:rPr>
                <m:t>Y</m:t>
              </m:r>
            </m:e>
            <m:sup>
              <m:r>
                <m:rPr>
                  <m:nor/>
                </m:rPr>
                <w:rPr>
                  <w:rFonts w:asciiTheme="majorBidi" w:hAnsiTheme="majorBidi" w:cstheme="majorBidi"/>
                  <w:lang w:val="es-ES"/>
                </w:rPr>
                <m:t>3</m:t>
              </m:r>
            </m:sup>
          </m:sSup>
          <m:r>
            <m:rPr>
              <m:nor/>
            </m:rPr>
            <w:rPr>
              <w:rFonts w:ascii="Cambria Math" w:hAnsiTheme="majorBidi" w:cstheme="majorBidi"/>
              <w:lang w:val="es-ES"/>
            </w:rPr>
            <m:t xml:space="preserve"> </m:t>
          </m:r>
          <m:r>
            <m:rPr>
              <m:nor/>
            </m:rPr>
            <w:rPr>
              <w:rFonts w:asciiTheme="majorBidi" w:hAnsiTheme="majorBidi" w:cstheme="majorBidi"/>
              <w:lang w:val="es-ES"/>
            </w:rPr>
            <m:t>+</m:t>
          </m:r>
          <m:r>
            <m:rPr>
              <m:nor/>
            </m:rPr>
            <w:rPr>
              <w:rFonts w:ascii="Cambria Math" w:hAnsiTheme="majorBidi" w:cstheme="majorBidi"/>
              <w:lang w:val="es-ES"/>
            </w:rPr>
            <m:t xml:space="preserve"> </m:t>
          </m:r>
          <m:sSub>
            <m:sSubPr>
              <m:ctrlPr>
                <w:rPr>
                  <w:rFonts w:ascii="Cambria Math" w:hAnsi="Cambria Math" w:cstheme="majorBidi"/>
                </w:rPr>
              </m:ctrlPr>
            </m:sSubPr>
            <m:e>
              <m:r>
                <m:rPr>
                  <m:nor/>
                </m:rPr>
                <w:rPr>
                  <w:rFonts w:asciiTheme="majorBidi" w:hAnsiTheme="majorBidi" w:cstheme="majorBidi"/>
                  <w:lang w:val="es-ES"/>
                </w:rPr>
                <m:t>a</m:t>
              </m:r>
            </m:e>
            <m:sub>
              <m:r>
                <m:rPr>
                  <m:nor/>
                </m:rPr>
                <w:rPr>
                  <w:rFonts w:asciiTheme="majorBidi" w:hAnsiTheme="majorBidi" w:cstheme="majorBidi"/>
                  <w:lang w:val="es-ES"/>
                </w:rPr>
                <m:t>4</m:t>
              </m:r>
            </m:sub>
          </m:sSub>
          <m:sSup>
            <m:sSupPr>
              <m:ctrlPr>
                <w:rPr>
                  <w:rFonts w:ascii="Cambria Math" w:hAnsi="Cambria Math" w:cstheme="majorBidi"/>
                </w:rPr>
              </m:ctrlPr>
            </m:sSupPr>
            <m:e>
              <m:r>
                <m:rPr>
                  <m:nor/>
                </m:rPr>
                <w:rPr>
                  <w:rFonts w:asciiTheme="majorBidi" w:hAnsiTheme="majorBidi" w:cstheme="majorBidi"/>
                  <w:lang w:val="es-ES"/>
                </w:rPr>
                <m:t>Y</m:t>
              </m:r>
            </m:e>
            <m:sup>
              <m:r>
                <m:rPr>
                  <m:nor/>
                </m:rPr>
                <w:rPr>
                  <w:rFonts w:asciiTheme="majorBidi" w:hAnsiTheme="majorBidi" w:cstheme="majorBidi"/>
                  <w:lang w:val="es-ES"/>
                </w:rPr>
                <m:t>4</m:t>
              </m:r>
            </m:sup>
          </m:sSup>
        </m:oMath>
      </m:oMathPara>
    </w:p>
    <w:p w:rsidR="00E24DB7" w:rsidRPr="002C5876" w:rsidRDefault="00E24DB7" w:rsidP="00E24DB7">
      <w:pPr>
        <w:pStyle w:val="SingleTxtG"/>
        <w:ind w:left="2268"/>
      </w:pPr>
      <w:r w:rsidRPr="002C5876">
        <w:t>a</w:t>
      </w:r>
      <w:r w:rsidRPr="002C5876">
        <w:rPr>
          <w:vertAlign w:val="subscript"/>
        </w:rPr>
        <w:t>0</w:t>
      </w:r>
      <w:r w:rsidRPr="002C5876">
        <w:t xml:space="preserve"> à a</w:t>
      </w:r>
      <w:r w:rsidRPr="002C5876">
        <w:rPr>
          <w:vertAlign w:val="subscript"/>
        </w:rPr>
        <w:t>4</w:t>
      </w:r>
      <w:r w:rsidRPr="002C5876">
        <w:t xml:space="preserve"> sont des coefficients constants dont les valeurs sont déterminées dans le cadre de l’analyse des données. </w:t>
      </w:r>
    </w:p>
    <w:p w:rsidR="00E24DB7" w:rsidRPr="002C5876" w:rsidRDefault="00E24DB7" w:rsidP="00E24DB7">
      <w:pPr>
        <w:pStyle w:val="SingleTxtG"/>
        <w:spacing w:after="240"/>
        <w:ind w:left="2268"/>
      </w:pPr>
      <w:r w:rsidRPr="002C5876">
        <w:t>On détermine la traînée aérodynamique en combinant le coefficient de traînée avec la surface frontale du véhicule A</w:t>
      </w:r>
      <w:r w:rsidRPr="002C5876">
        <w:rPr>
          <w:vertAlign w:val="subscript"/>
        </w:rPr>
        <w:t>f</w:t>
      </w:r>
      <w:r w:rsidRPr="002C5876">
        <w:t>, et la vitesse du vent relative v</w:t>
      </w:r>
      <w:r w:rsidRPr="002C5876">
        <w:rPr>
          <w:vertAlign w:val="subscript"/>
        </w:rPr>
        <w:t>r</w:t>
      </w:r>
      <w:r w:rsidRPr="002C5876">
        <w:t> :</w:t>
      </w:r>
    </w:p>
    <w:p w:rsidR="00E24DB7" w:rsidRPr="00D53F39" w:rsidRDefault="00731CA6" w:rsidP="00E24DB7">
      <w:pPr>
        <w:pStyle w:val="SingleTxtG"/>
        <w:spacing w:after="240"/>
        <w:ind w:left="2268"/>
        <w:rPr>
          <w:rFonts w:eastAsiaTheme="minorEastAsia"/>
          <w:lang w:val="es-ES"/>
        </w:rPr>
      </w:pPr>
      <m:oMathPara>
        <m:oMathParaPr>
          <m:jc m:val="center"/>
        </m:oMathParaPr>
        <m:oMath>
          <m:sSub>
            <m:sSubPr>
              <m:ctrlPr>
                <w:rPr>
                  <w:rFonts w:ascii="Cambria Math" w:hAnsi="Cambria Math" w:cstheme="majorBidi"/>
                </w:rPr>
              </m:ctrlPr>
            </m:sSubPr>
            <m:e>
              <m:r>
                <m:rPr>
                  <m:nor/>
                </m:rPr>
                <w:rPr>
                  <w:rFonts w:asciiTheme="majorBidi" w:hAnsiTheme="majorBidi" w:cstheme="majorBidi"/>
                  <w:lang w:val="es-ES"/>
                </w:rPr>
                <m:t>D</m:t>
              </m:r>
            </m:e>
            <m:sub>
              <m:r>
                <m:rPr>
                  <m:nor/>
                </m:rPr>
                <w:rPr>
                  <w:rFonts w:asciiTheme="majorBidi" w:hAnsiTheme="majorBidi" w:cstheme="majorBidi"/>
                  <w:lang w:val="es-ES"/>
                </w:rPr>
                <m:t>aero</m:t>
              </m:r>
            </m:sub>
          </m:sSub>
          <m:r>
            <m:rPr>
              <m:nor/>
            </m:rPr>
            <w:rPr>
              <w:rFonts w:ascii="Cambria Math" w:hAnsiTheme="majorBidi" w:cstheme="majorBidi"/>
              <w:lang w:val="es-ES"/>
            </w:rPr>
            <m:t xml:space="preserve"> </m:t>
          </m:r>
          <m:r>
            <m:rPr>
              <m:nor/>
            </m:rPr>
            <w:rPr>
              <w:rFonts w:asciiTheme="majorBidi" w:hAnsiTheme="majorBidi" w:cstheme="majorBidi"/>
              <w:lang w:val="es-ES"/>
            </w:rPr>
            <m:t>=</m:t>
          </m:r>
          <m:d>
            <m:dPr>
              <m:ctrlPr>
                <w:rPr>
                  <w:rFonts w:ascii="Cambria Math" w:hAnsi="Cambria Math" w:cstheme="majorBidi"/>
                </w:rPr>
              </m:ctrlPr>
            </m:dPr>
            <m:e>
              <m:f>
                <m:fPr>
                  <m:ctrlPr>
                    <w:rPr>
                      <w:rFonts w:ascii="Cambria Math" w:hAnsi="Cambria Math" w:cstheme="majorBidi"/>
                    </w:rPr>
                  </m:ctrlPr>
                </m:fPr>
                <m:num>
                  <m:r>
                    <m:rPr>
                      <m:nor/>
                    </m:rPr>
                    <w:rPr>
                      <w:rFonts w:asciiTheme="majorBidi" w:hAnsiTheme="majorBidi" w:cstheme="majorBidi"/>
                      <w:lang w:val="es-ES"/>
                    </w:rPr>
                    <m:t>1</m:t>
                  </m:r>
                </m:num>
                <m:den>
                  <m:r>
                    <m:rPr>
                      <m:nor/>
                    </m:rPr>
                    <w:rPr>
                      <w:rFonts w:asciiTheme="majorBidi" w:hAnsiTheme="majorBidi" w:cstheme="majorBidi"/>
                      <w:lang w:val="es-ES"/>
                    </w:rPr>
                    <m:t>2</m:t>
                  </m:r>
                </m:den>
              </m:f>
            </m:e>
          </m:d>
          <m:r>
            <m:rPr>
              <m:nor/>
            </m:rPr>
            <w:rPr>
              <w:rFonts w:asciiTheme="majorBidi" w:eastAsia="Arial" w:hAnsiTheme="majorBidi" w:cstheme="majorBidi"/>
              <w:lang w:val="es-ES"/>
            </w:rPr>
            <m:t>×</m:t>
          </m:r>
          <m:r>
            <m:rPr>
              <m:nor/>
            </m:rPr>
            <w:rPr>
              <w:rFonts w:ascii="Cambria Math" w:eastAsia="Arial" w:hAnsiTheme="majorBidi" w:cstheme="majorBidi"/>
              <w:lang w:val="es-ES"/>
            </w:rPr>
            <m:t xml:space="preserve"> </m:t>
          </m:r>
          <m:r>
            <m:rPr>
              <m:nor/>
            </m:rPr>
            <w:rPr>
              <w:rFonts w:asciiTheme="majorBidi" w:eastAsia="Arial" w:hAnsiTheme="majorBidi" w:cstheme="majorBidi"/>
            </w:rPr>
            <m:t>ρ</m:t>
          </m:r>
          <m:r>
            <m:rPr>
              <m:nor/>
            </m:rPr>
            <w:rPr>
              <w:rFonts w:ascii="Cambria Math" w:eastAsia="Arial" w:hAnsiTheme="majorBidi" w:cstheme="majorBidi"/>
              <w:lang w:val="es-ES"/>
            </w:rPr>
            <m:t xml:space="preserve"> </m:t>
          </m:r>
          <m:r>
            <m:rPr>
              <m:nor/>
            </m:rPr>
            <w:rPr>
              <w:rFonts w:asciiTheme="majorBidi" w:eastAsia="Arial" w:hAnsiTheme="majorBidi" w:cstheme="majorBidi"/>
              <w:lang w:val="es-ES"/>
            </w:rPr>
            <m:t>×</m:t>
          </m:r>
          <m:sSub>
            <m:sSubPr>
              <m:ctrlPr>
                <w:rPr>
                  <w:rFonts w:ascii="Cambria Math" w:hAnsi="Cambria Math" w:cstheme="majorBidi"/>
                </w:rPr>
              </m:ctrlPr>
            </m:sSubPr>
            <m:e>
              <m:r>
                <m:rPr>
                  <m:nor/>
                </m:rPr>
                <w:rPr>
                  <w:rFonts w:ascii="Cambria Math" w:hAnsiTheme="majorBidi" w:cstheme="majorBidi"/>
                  <w:lang w:val="es-ES"/>
                </w:rPr>
                <m:t xml:space="preserve"> </m:t>
              </m:r>
              <m:r>
                <m:rPr>
                  <m:nor/>
                </m:rPr>
                <w:rPr>
                  <w:rFonts w:asciiTheme="majorBidi" w:hAnsiTheme="majorBidi" w:cstheme="majorBidi"/>
                  <w:lang w:val="es-ES"/>
                </w:rPr>
                <m:t>A</m:t>
              </m:r>
            </m:e>
            <m:sub>
              <m:r>
                <m:rPr>
                  <m:nor/>
                </m:rPr>
                <w:rPr>
                  <w:rFonts w:asciiTheme="majorBidi" w:hAnsiTheme="majorBidi" w:cstheme="majorBidi"/>
                  <w:lang w:val="es-ES"/>
                </w:rPr>
                <m:t>f</m:t>
              </m:r>
            </m:sub>
          </m:sSub>
          <m:r>
            <m:rPr>
              <m:nor/>
            </m:rPr>
            <w:rPr>
              <w:rFonts w:ascii="Cambria Math" w:hAnsiTheme="majorBidi" w:cstheme="majorBidi"/>
              <w:lang w:val="es-ES"/>
            </w:rPr>
            <m:t xml:space="preserve"> </m:t>
          </m:r>
          <m:r>
            <m:rPr>
              <m:nor/>
            </m:rPr>
            <w:rPr>
              <w:rFonts w:asciiTheme="majorBidi" w:hAnsiTheme="majorBidi" w:cstheme="majorBidi"/>
              <w:lang w:val="es-ES"/>
            </w:rPr>
            <m:t>×</m:t>
          </m:r>
          <m:r>
            <m:rPr>
              <m:nor/>
            </m:rPr>
            <w:rPr>
              <w:rFonts w:ascii="Cambria Math" w:hAnsiTheme="majorBidi" w:cstheme="majorBidi"/>
              <w:lang w:val="es-ES"/>
            </w:rPr>
            <m:t xml:space="preserve"> </m:t>
          </m:r>
          <m:sSubSup>
            <m:sSubSupPr>
              <m:ctrlPr>
                <w:rPr>
                  <w:rFonts w:ascii="Cambria Math" w:hAnsi="Cambria Math" w:cstheme="majorBidi"/>
                </w:rPr>
              </m:ctrlPr>
            </m:sSubSupPr>
            <m:e>
              <m:r>
                <m:rPr>
                  <m:nor/>
                </m:rPr>
                <w:rPr>
                  <w:rFonts w:asciiTheme="majorBidi" w:hAnsiTheme="majorBidi" w:cstheme="majorBidi"/>
                  <w:lang w:val="es-ES"/>
                </w:rPr>
                <m:t>v</m:t>
              </m:r>
            </m:e>
            <m:sub>
              <m:r>
                <m:rPr>
                  <m:nor/>
                </m:rPr>
                <w:rPr>
                  <w:rFonts w:asciiTheme="majorBidi" w:hAnsiTheme="majorBidi" w:cstheme="majorBidi"/>
                  <w:lang w:val="es-ES"/>
                </w:rPr>
                <m:t>r</m:t>
              </m:r>
            </m:sub>
            <m:sup>
              <m:r>
                <m:rPr>
                  <m:nor/>
                </m:rPr>
                <w:rPr>
                  <w:rFonts w:asciiTheme="majorBidi" w:hAnsiTheme="majorBidi" w:cstheme="majorBidi"/>
                  <w:lang w:val="es-ES"/>
                </w:rPr>
                <m:t>2</m:t>
              </m:r>
            </m:sup>
          </m:sSubSup>
          <m:r>
            <m:rPr>
              <m:nor/>
            </m:rPr>
            <w:rPr>
              <w:rFonts w:ascii="Cambria Math" w:hAnsiTheme="majorBidi" w:cstheme="majorBidi"/>
              <w:lang w:val="es-ES"/>
            </w:rPr>
            <m:t xml:space="preserve"> </m:t>
          </m:r>
          <m:r>
            <m:rPr>
              <m:nor/>
            </m:rPr>
            <w:rPr>
              <w:rFonts w:asciiTheme="majorBidi" w:hAnsiTheme="majorBidi" w:cstheme="majorBidi"/>
              <w:lang w:val="es-ES"/>
            </w:rPr>
            <m:t>×</m:t>
          </m:r>
          <m:sSub>
            <m:sSubPr>
              <m:ctrlPr>
                <w:rPr>
                  <w:rFonts w:ascii="Cambria Math" w:eastAsia="Arial" w:hAnsi="Cambria Math" w:cstheme="majorBidi"/>
                </w:rPr>
              </m:ctrlPr>
            </m:sSubPr>
            <m:e>
              <m:r>
                <m:rPr>
                  <m:nor/>
                </m:rPr>
                <w:rPr>
                  <w:rFonts w:ascii="Cambria Math" w:eastAsia="Arial" w:hAnsiTheme="majorBidi" w:cstheme="majorBidi"/>
                  <w:lang w:val="es-ES"/>
                </w:rPr>
                <m:t xml:space="preserve"> </m:t>
              </m:r>
              <m:r>
                <m:rPr>
                  <m:nor/>
                </m:rPr>
                <w:rPr>
                  <w:rFonts w:asciiTheme="majorBidi" w:eastAsia="Arial" w:hAnsiTheme="majorBidi" w:cstheme="majorBidi"/>
                  <w:lang w:val="es-ES"/>
                </w:rPr>
                <m:t>C</m:t>
              </m:r>
            </m:e>
            <m:sub>
              <m:r>
                <m:rPr>
                  <m:nor/>
                </m:rPr>
                <w:rPr>
                  <w:rFonts w:asciiTheme="majorBidi" w:eastAsia="Arial" w:hAnsiTheme="majorBidi" w:cstheme="majorBidi"/>
                  <w:lang w:val="es-ES"/>
                </w:rPr>
                <m:t>D</m:t>
              </m:r>
            </m:sub>
          </m:sSub>
          <m:r>
            <m:rPr>
              <m:nor/>
            </m:rPr>
            <w:rPr>
              <w:rFonts w:asciiTheme="majorBidi" w:eastAsia="Arial" w:hAnsiTheme="majorBidi" w:cstheme="majorBidi"/>
              <w:lang w:val="es-ES"/>
            </w:rPr>
            <m:t>(Y)</m:t>
          </m:r>
        </m:oMath>
      </m:oMathPara>
    </w:p>
    <w:p w:rsidR="00E24DB7" w:rsidRPr="00D53F39" w:rsidRDefault="00731CA6" w:rsidP="00E24DB7">
      <w:pPr>
        <w:pStyle w:val="SingleTxtG"/>
        <w:spacing w:after="240"/>
        <w:ind w:left="2268"/>
        <w:rPr>
          <w:rFonts w:eastAsiaTheme="minorEastAsia"/>
          <w:lang w:val="es-ES"/>
        </w:rPr>
      </w:pPr>
      <m:oMathPara>
        <m:oMathParaPr>
          <m:jc m:val="center"/>
        </m:oMathParaPr>
        <m:oMath>
          <m:sSub>
            <m:sSubPr>
              <m:ctrlPr>
                <w:rPr>
                  <w:rFonts w:ascii="Cambria Math" w:hAnsi="Cambria Math" w:cstheme="majorBidi"/>
                </w:rPr>
              </m:ctrlPr>
            </m:sSubPr>
            <m:e>
              <m:r>
                <m:rPr>
                  <m:nor/>
                </m:rPr>
                <w:rPr>
                  <w:rFonts w:asciiTheme="majorBidi" w:hAnsiTheme="majorBidi" w:cstheme="majorBidi"/>
                  <w:lang w:val="es-ES"/>
                </w:rPr>
                <m:t>D</m:t>
              </m:r>
            </m:e>
            <m:sub>
              <m:r>
                <m:rPr>
                  <m:nor/>
                </m:rPr>
                <w:rPr>
                  <w:rFonts w:asciiTheme="majorBidi" w:hAnsiTheme="majorBidi" w:cstheme="majorBidi"/>
                  <w:lang w:val="es-ES"/>
                </w:rPr>
                <m:t>aero</m:t>
              </m:r>
            </m:sub>
          </m:sSub>
          <m:r>
            <m:rPr>
              <m:nor/>
            </m:rPr>
            <w:rPr>
              <w:rFonts w:ascii="Cambria Math" w:hAnsiTheme="majorBidi" w:cstheme="majorBidi"/>
              <w:lang w:val="es-ES"/>
            </w:rPr>
            <m:t xml:space="preserve"> </m:t>
          </m:r>
          <m:r>
            <m:rPr>
              <m:nor/>
            </m:rPr>
            <w:rPr>
              <w:rFonts w:asciiTheme="majorBidi" w:hAnsiTheme="majorBidi" w:cstheme="majorBidi"/>
              <w:lang w:val="es-ES"/>
            </w:rPr>
            <m:t>=</m:t>
          </m:r>
          <m:d>
            <m:dPr>
              <m:ctrlPr>
                <w:rPr>
                  <w:rFonts w:ascii="Cambria Math" w:hAnsi="Cambria Math" w:cstheme="majorBidi"/>
                </w:rPr>
              </m:ctrlPr>
            </m:dPr>
            <m:e>
              <m:f>
                <m:fPr>
                  <m:ctrlPr>
                    <w:rPr>
                      <w:rFonts w:ascii="Cambria Math" w:hAnsi="Cambria Math" w:cstheme="majorBidi"/>
                    </w:rPr>
                  </m:ctrlPr>
                </m:fPr>
                <m:num>
                  <m:r>
                    <m:rPr>
                      <m:nor/>
                    </m:rPr>
                    <w:rPr>
                      <w:rFonts w:asciiTheme="majorBidi" w:hAnsiTheme="majorBidi" w:cstheme="majorBidi"/>
                      <w:lang w:val="es-ES"/>
                    </w:rPr>
                    <m:t>1</m:t>
                  </m:r>
                </m:num>
                <m:den>
                  <m:r>
                    <m:rPr>
                      <m:nor/>
                    </m:rPr>
                    <w:rPr>
                      <w:rFonts w:asciiTheme="majorBidi" w:hAnsiTheme="majorBidi" w:cstheme="majorBidi"/>
                      <w:lang w:val="es-ES"/>
                    </w:rPr>
                    <m:t>2</m:t>
                  </m:r>
                </m:den>
              </m:f>
            </m:e>
          </m:d>
          <m:r>
            <m:rPr>
              <m:nor/>
            </m:rPr>
            <w:rPr>
              <w:rFonts w:asciiTheme="majorBidi" w:eastAsia="Arial" w:hAnsiTheme="majorBidi" w:cstheme="majorBidi"/>
              <w:lang w:val="es-ES"/>
            </w:rPr>
            <m:t>×</m:t>
          </m:r>
          <m:r>
            <m:rPr>
              <m:nor/>
            </m:rPr>
            <w:rPr>
              <w:rFonts w:ascii="Cambria Math" w:eastAsia="Arial" w:hAnsiTheme="majorBidi" w:cstheme="majorBidi"/>
              <w:lang w:val="es-ES"/>
            </w:rPr>
            <m:t xml:space="preserve"> </m:t>
          </m:r>
          <m:r>
            <m:rPr>
              <m:nor/>
            </m:rPr>
            <w:rPr>
              <w:rFonts w:asciiTheme="majorBidi" w:eastAsia="Arial" w:hAnsiTheme="majorBidi" w:cstheme="majorBidi"/>
            </w:rPr>
            <m:t>ρ</m:t>
          </m:r>
          <m:r>
            <m:rPr>
              <m:nor/>
            </m:rPr>
            <w:rPr>
              <w:rFonts w:ascii="Cambria Math" w:eastAsia="Arial" w:hAnsiTheme="majorBidi" w:cstheme="majorBidi"/>
              <w:lang w:val="es-ES"/>
            </w:rPr>
            <m:t xml:space="preserve"> </m:t>
          </m:r>
          <m:r>
            <m:rPr>
              <m:nor/>
            </m:rPr>
            <w:rPr>
              <w:rFonts w:asciiTheme="majorBidi" w:eastAsia="Arial" w:hAnsiTheme="majorBidi" w:cstheme="majorBidi"/>
              <w:lang w:val="es-ES"/>
            </w:rPr>
            <m:t>×</m:t>
          </m:r>
          <m:sSub>
            <m:sSubPr>
              <m:ctrlPr>
                <w:rPr>
                  <w:rFonts w:ascii="Cambria Math" w:hAnsi="Cambria Math" w:cstheme="majorBidi"/>
                </w:rPr>
              </m:ctrlPr>
            </m:sSubPr>
            <m:e>
              <m:r>
                <m:rPr>
                  <m:nor/>
                </m:rPr>
                <w:rPr>
                  <w:rFonts w:ascii="Cambria Math" w:hAnsiTheme="majorBidi" w:cstheme="majorBidi"/>
                  <w:lang w:val="es-ES"/>
                </w:rPr>
                <m:t xml:space="preserve"> </m:t>
              </m:r>
              <m:r>
                <m:rPr>
                  <m:nor/>
                </m:rPr>
                <w:rPr>
                  <w:rFonts w:asciiTheme="majorBidi" w:hAnsiTheme="majorBidi" w:cstheme="majorBidi"/>
                  <w:lang w:val="es-ES"/>
                </w:rPr>
                <m:t>A</m:t>
              </m:r>
            </m:e>
            <m:sub>
              <m:r>
                <m:rPr>
                  <m:nor/>
                </m:rPr>
                <w:rPr>
                  <w:rFonts w:asciiTheme="majorBidi" w:hAnsiTheme="majorBidi" w:cstheme="majorBidi"/>
                  <w:lang w:val="es-ES"/>
                </w:rPr>
                <m:t>f</m:t>
              </m:r>
            </m:sub>
          </m:sSub>
          <m:r>
            <m:rPr>
              <m:nor/>
            </m:rPr>
            <w:rPr>
              <w:rFonts w:ascii="Cambria Math" w:hAnsiTheme="majorBidi" w:cstheme="majorBidi"/>
              <w:lang w:val="es-ES"/>
            </w:rPr>
            <m:t xml:space="preserve"> </m:t>
          </m:r>
          <m:r>
            <m:rPr>
              <m:nor/>
            </m:rPr>
            <w:rPr>
              <w:rFonts w:asciiTheme="majorBidi" w:hAnsiTheme="majorBidi" w:cstheme="majorBidi"/>
              <w:lang w:val="es-ES"/>
            </w:rPr>
            <m:t>×</m:t>
          </m:r>
          <m:r>
            <m:rPr>
              <m:nor/>
            </m:rPr>
            <w:rPr>
              <w:rFonts w:ascii="Cambria Math" w:hAnsiTheme="majorBidi" w:cstheme="majorBidi"/>
              <w:lang w:val="es-ES"/>
            </w:rPr>
            <m:t xml:space="preserve"> </m:t>
          </m:r>
          <m:sSubSup>
            <m:sSubSupPr>
              <m:ctrlPr>
                <w:rPr>
                  <w:rFonts w:ascii="Cambria Math" w:eastAsia="Arial" w:hAnsi="Cambria Math" w:cstheme="majorBidi"/>
                </w:rPr>
              </m:ctrlPr>
            </m:sSubSupPr>
            <m:e>
              <m:r>
                <m:rPr>
                  <m:nor/>
                </m:rPr>
                <w:rPr>
                  <w:rFonts w:asciiTheme="majorBidi" w:eastAsia="Arial" w:hAnsiTheme="majorBidi" w:cstheme="majorBidi"/>
                  <w:lang w:val="es-ES"/>
                </w:rPr>
                <m:t>v</m:t>
              </m:r>
            </m:e>
            <m:sub>
              <m:r>
                <m:rPr>
                  <m:nor/>
                </m:rPr>
                <w:rPr>
                  <w:rFonts w:asciiTheme="majorBidi" w:eastAsia="Arial" w:hAnsiTheme="majorBidi" w:cstheme="majorBidi"/>
                  <w:lang w:val="es-ES"/>
                </w:rPr>
                <m:t>r</m:t>
              </m:r>
            </m:sub>
            <m:sup>
              <m:r>
                <m:rPr>
                  <m:nor/>
                </m:rPr>
                <w:rPr>
                  <w:rFonts w:asciiTheme="majorBidi" w:eastAsia="Arial" w:hAnsiTheme="majorBidi" w:cstheme="majorBidi"/>
                  <w:lang w:val="es-ES"/>
                </w:rPr>
                <m:t>2</m:t>
              </m:r>
            </m:sup>
          </m:sSubSup>
          <m:r>
            <m:rPr>
              <m:nor/>
            </m:rPr>
            <w:rPr>
              <w:rFonts w:asciiTheme="majorBidi" w:eastAsia="Arial" w:hAnsiTheme="majorBidi" w:cstheme="majorBidi"/>
              <w:lang w:val="es-ES"/>
            </w:rPr>
            <m:t>(</m:t>
          </m:r>
          <m:sSub>
            <m:sSubPr>
              <m:ctrlPr>
                <w:rPr>
                  <w:rFonts w:ascii="Cambria Math" w:hAnsi="Cambria Math" w:cstheme="majorBidi"/>
                </w:rPr>
              </m:ctrlPr>
            </m:sSubPr>
            <m:e>
              <m:r>
                <m:rPr>
                  <m:nor/>
                </m:rPr>
                <w:rPr>
                  <w:rFonts w:asciiTheme="majorBidi" w:hAnsiTheme="majorBidi" w:cstheme="majorBidi"/>
                  <w:lang w:val="es-ES"/>
                </w:rPr>
                <m:t>a</m:t>
              </m:r>
            </m:e>
            <m:sub>
              <m:r>
                <m:rPr>
                  <m:nor/>
                </m:rPr>
                <w:rPr>
                  <w:rFonts w:asciiTheme="majorBidi" w:hAnsiTheme="majorBidi" w:cstheme="majorBidi"/>
                  <w:lang w:val="es-ES"/>
                </w:rPr>
                <m:t>0</m:t>
              </m:r>
            </m:sub>
          </m:sSub>
          <m:r>
            <m:rPr>
              <m:nor/>
            </m:rPr>
            <w:rPr>
              <w:rFonts w:ascii="Cambria Math" w:hAnsiTheme="majorBidi" w:cstheme="majorBidi"/>
              <w:lang w:val="es-ES"/>
            </w:rPr>
            <m:t xml:space="preserve"> </m:t>
          </m:r>
          <m:r>
            <m:rPr>
              <m:nor/>
            </m:rPr>
            <w:rPr>
              <w:rFonts w:asciiTheme="majorBidi" w:hAnsiTheme="majorBidi" w:cstheme="majorBidi"/>
              <w:lang w:val="es-ES"/>
            </w:rPr>
            <m:t>+</m:t>
          </m:r>
          <m:sSub>
            <m:sSubPr>
              <m:ctrlPr>
                <w:rPr>
                  <w:rFonts w:ascii="Cambria Math" w:hAnsi="Cambria Math" w:cstheme="majorBidi"/>
                </w:rPr>
              </m:ctrlPr>
            </m:sSubPr>
            <m:e>
              <m:r>
                <m:rPr>
                  <m:nor/>
                </m:rPr>
                <w:rPr>
                  <w:rFonts w:ascii="Cambria Math" w:hAnsiTheme="majorBidi" w:cstheme="majorBidi"/>
                  <w:lang w:val="es-ES"/>
                </w:rPr>
                <m:t xml:space="preserve"> </m:t>
              </m:r>
              <m:r>
                <m:rPr>
                  <m:nor/>
                </m:rPr>
                <w:rPr>
                  <w:rFonts w:asciiTheme="majorBidi" w:hAnsiTheme="majorBidi" w:cstheme="majorBidi"/>
                  <w:lang w:val="es-ES"/>
                </w:rPr>
                <m:t>a</m:t>
              </m:r>
            </m:e>
            <m:sub>
              <m:r>
                <m:rPr>
                  <m:nor/>
                </m:rPr>
                <w:rPr>
                  <w:rFonts w:asciiTheme="majorBidi" w:hAnsiTheme="majorBidi" w:cstheme="majorBidi"/>
                  <w:lang w:val="es-ES"/>
                </w:rPr>
                <m:t>1</m:t>
              </m:r>
            </m:sub>
          </m:sSub>
          <m:r>
            <m:rPr>
              <m:nor/>
            </m:rPr>
            <w:rPr>
              <w:rFonts w:asciiTheme="majorBidi" w:hAnsiTheme="majorBidi" w:cstheme="majorBidi"/>
              <w:lang w:val="es-ES"/>
            </w:rPr>
            <m:t>Y</m:t>
          </m:r>
          <m:r>
            <m:rPr>
              <m:nor/>
            </m:rPr>
            <w:rPr>
              <w:rFonts w:ascii="Cambria Math" w:hAnsiTheme="majorBidi" w:cstheme="majorBidi"/>
              <w:lang w:val="es-ES"/>
            </w:rPr>
            <m:t xml:space="preserve"> </m:t>
          </m:r>
          <m:r>
            <m:rPr>
              <m:nor/>
            </m:rPr>
            <w:rPr>
              <w:rFonts w:asciiTheme="majorBidi" w:hAnsiTheme="majorBidi" w:cstheme="majorBidi"/>
              <w:lang w:val="es-ES"/>
            </w:rPr>
            <m:t>+</m:t>
          </m:r>
          <m:r>
            <m:rPr>
              <m:nor/>
            </m:rPr>
            <w:rPr>
              <w:rFonts w:ascii="Cambria Math" w:hAnsiTheme="majorBidi" w:cstheme="majorBidi"/>
              <w:lang w:val="es-ES"/>
            </w:rPr>
            <m:t xml:space="preserve"> </m:t>
          </m:r>
          <m:sSub>
            <m:sSubPr>
              <m:ctrlPr>
                <w:rPr>
                  <w:rFonts w:ascii="Cambria Math" w:hAnsi="Cambria Math" w:cstheme="majorBidi"/>
                </w:rPr>
              </m:ctrlPr>
            </m:sSubPr>
            <m:e>
              <m:r>
                <m:rPr>
                  <m:nor/>
                </m:rPr>
                <w:rPr>
                  <w:rFonts w:asciiTheme="majorBidi" w:hAnsiTheme="majorBidi" w:cstheme="majorBidi"/>
                  <w:lang w:val="es-ES"/>
                </w:rPr>
                <m:t>a</m:t>
              </m:r>
            </m:e>
            <m:sub>
              <m:r>
                <m:rPr>
                  <m:nor/>
                </m:rPr>
                <w:rPr>
                  <w:rFonts w:asciiTheme="majorBidi" w:hAnsiTheme="majorBidi" w:cstheme="majorBidi"/>
                  <w:lang w:val="es-ES"/>
                </w:rPr>
                <m:t>2</m:t>
              </m:r>
            </m:sub>
          </m:sSub>
          <m:sSup>
            <m:sSupPr>
              <m:ctrlPr>
                <w:rPr>
                  <w:rFonts w:ascii="Cambria Math" w:hAnsi="Cambria Math" w:cstheme="majorBidi"/>
                </w:rPr>
              </m:ctrlPr>
            </m:sSupPr>
            <m:e>
              <m:r>
                <m:rPr>
                  <m:nor/>
                </m:rPr>
                <w:rPr>
                  <w:rFonts w:asciiTheme="majorBidi" w:hAnsiTheme="majorBidi" w:cstheme="majorBidi"/>
                  <w:lang w:val="es-ES"/>
                </w:rPr>
                <m:t>Y</m:t>
              </m:r>
            </m:e>
            <m:sup>
              <m:r>
                <m:rPr>
                  <m:nor/>
                </m:rPr>
                <w:rPr>
                  <w:rFonts w:asciiTheme="majorBidi" w:hAnsiTheme="majorBidi" w:cstheme="majorBidi"/>
                  <w:lang w:val="es-ES"/>
                </w:rPr>
                <m:t>2</m:t>
              </m:r>
            </m:sup>
          </m:sSup>
          <m:r>
            <m:rPr>
              <m:nor/>
            </m:rPr>
            <w:rPr>
              <w:rFonts w:ascii="Cambria Math" w:hAnsiTheme="majorBidi" w:cstheme="majorBidi"/>
              <w:lang w:val="es-ES"/>
            </w:rPr>
            <m:t xml:space="preserve"> </m:t>
          </m:r>
          <m:r>
            <m:rPr>
              <m:nor/>
            </m:rPr>
            <w:rPr>
              <w:rFonts w:asciiTheme="majorBidi" w:hAnsiTheme="majorBidi" w:cstheme="majorBidi"/>
              <w:lang w:val="es-ES"/>
            </w:rPr>
            <m:t>+</m:t>
          </m:r>
          <m:sSub>
            <m:sSubPr>
              <m:ctrlPr>
                <w:rPr>
                  <w:rFonts w:ascii="Cambria Math" w:hAnsi="Cambria Math" w:cstheme="majorBidi"/>
                </w:rPr>
              </m:ctrlPr>
            </m:sSubPr>
            <m:e>
              <m:r>
                <m:rPr>
                  <m:nor/>
                </m:rPr>
                <w:rPr>
                  <w:rFonts w:ascii="Cambria Math" w:hAnsiTheme="majorBidi" w:cstheme="majorBidi"/>
                  <w:lang w:val="es-ES"/>
                </w:rPr>
                <m:t xml:space="preserve"> </m:t>
              </m:r>
              <m:r>
                <m:rPr>
                  <m:nor/>
                </m:rPr>
                <w:rPr>
                  <w:rFonts w:asciiTheme="majorBidi" w:hAnsiTheme="majorBidi" w:cstheme="majorBidi"/>
                  <w:lang w:val="es-ES"/>
                </w:rPr>
                <m:t>a</m:t>
              </m:r>
            </m:e>
            <m:sub>
              <m:r>
                <m:rPr>
                  <m:nor/>
                </m:rPr>
                <w:rPr>
                  <w:rFonts w:asciiTheme="majorBidi" w:hAnsiTheme="majorBidi" w:cstheme="majorBidi"/>
                  <w:lang w:val="es-ES"/>
                </w:rPr>
                <m:t>3</m:t>
              </m:r>
            </m:sub>
          </m:sSub>
          <m:sSup>
            <m:sSupPr>
              <m:ctrlPr>
                <w:rPr>
                  <w:rFonts w:ascii="Cambria Math" w:hAnsi="Cambria Math" w:cstheme="majorBidi"/>
                </w:rPr>
              </m:ctrlPr>
            </m:sSupPr>
            <m:e>
              <m:r>
                <m:rPr>
                  <m:nor/>
                </m:rPr>
                <w:rPr>
                  <w:rFonts w:asciiTheme="majorBidi" w:hAnsiTheme="majorBidi" w:cstheme="majorBidi"/>
                  <w:lang w:val="es-ES"/>
                </w:rPr>
                <m:t>Y</m:t>
              </m:r>
            </m:e>
            <m:sup>
              <m:r>
                <m:rPr>
                  <m:nor/>
                </m:rPr>
                <w:rPr>
                  <w:rFonts w:asciiTheme="majorBidi" w:hAnsiTheme="majorBidi" w:cstheme="majorBidi"/>
                  <w:lang w:val="es-ES"/>
                </w:rPr>
                <m:t>3</m:t>
              </m:r>
            </m:sup>
          </m:sSup>
          <m:r>
            <m:rPr>
              <m:nor/>
            </m:rPr>
            <w:rPr>
              <w:rFonts w:ascii="Cambria Math" w:hAnsiTheme="majorBidi" w:cstheme="majorBidi"/>
              <w:lang w:val="es-ES"/>
            </w:rPr>
            <m:t xml:space="preserve"> </m:t>
          </m:r>
          <m:r>
            <m:rPr>
              <m:nor/>
            </m:rPr>
            <w:rPr>
              <w:rFonts w:asciiTheme="majorBidi" w:hAnsiTheme="majorBidi" w:cstheme="majorBidi"/>
              <w:lang w:val="es-ES"/>
            </w:rPr>
            <m:t>+</m:t>
          </m:r>
          <m:r>
            <m:rPr>
              <m:nor/>
            </m:rPr>
            <w:rPr>
              <w:rFonts w:ascii="Cambria Math" w:hAnsiTheme="majorBidi" w:cstheme="majorBidi"/>
              <w:lang w:val="es-ES"/>
            </w:rPr>
            <m:t xml:space="preserve"> </m:t>
          </m:r>
          <m:sSub>
            <m:sSubPr>
              <m:ctrlPr>
                <w:rPr>
                  <w:rFonts w:ascii="Cambria Math" w:hAnsi="Cambria Math" w:cstheme="majorBidi"/>
                </w:rPr>
              </m:ctrlPr>
            </m:sSubPr>
            <m:e>
              <m:r>
                <m:rPr>
                  <m:nor/>
                </m:rPr>
                <w:rPr>
                  <w:rFonts w:asciiTheme="majorBidi" w:hAnsiTheme="majorBidi" w:cstheme="majorBidi"/>
                  <w:lang w:val="es-ES"/>
                </w:rPr>
                <m:t>a</m:t>
              </m:r>
            </m:e>
            <m:sub>
              <m:r>
                <m:rPr>
                  <m:nor/>
                </m:rPr>
                <w:rPr>
                  <w:rFonts w:asciiTheme="majorBidi" w:hAnsiTheme="majorBidi" w:cstheme="majorBidi"/>
                  <w:lang w:val="es-ES"/>
                </w:rPr>
                <m:t>4</m:t>
              </m:r>
            </m:sub>
          </m:sSub>
          <m:sSup>
            <m:sSupPr>
              <m:ctrlPr>
                <w:rPr>
                  <w:rFonts w:ascii="Cambria Math" w:hAnsi="Cambria Math" w:cstheme="majorBidi"/>
                </w:rPr>
              </m:ctrlPr>
            </m:sSupPr>
            <m:e>
              <m:r>
                <m:rPr>
                  <m:nor/>
                </m:rPr>
                <w:rPr>
                  <w:rFonts w:asciiTheme="majorBidi" w:hAnsiTheme="majorBidi" w:cstheme="majorBidi"/>
                  <w:lang w:val="es-ES"/>
                </w:rPr>
                <m:t>Y</m:t>
              </m:r>
            </m:e>
            <m:sup>
              <m:r>
                <m:rPr>
                  <m:nor/>
                </m:rPr>
                <w:rPr>
                  <w:rFonts w:asciiTheme="majorBidi" w:hAnsiTheme="majorBidi" w:cstheme="majorBidi"/>
                  <w:lang w:val="es-ES"/>
                </w:rPr>
                <m:t>4</m:t>
              </m:r>
            </m:sup>
          </m:sSup>
          <m:r>
            <m:rPr>
              <m:nor/>
            </m:rPr>
            <w:rPr>
              <w:rFonts w:asciiTheme="majorBidi" w:hAnsiTheme="majorBidi" w:cstheme="majorBidi"/>
              <w:lang w:val="es-ES"/>
            </w:rPr>
            <m:t>)</m:t>
          </m:r>
        </m:oMath>
      </m:oMathPara>
    </w:p>
    <w:p w:rsidR="00E24DB7" w:rsidRPr="002C5876" w:rsidRDefault="00E24DB7" w:rsidP="00E24DB7">
      <w:pPr>
        <w:pStyle w:val="SingleTxtG"/>
        <w:keepNext/>
        <w:ind w:left="2268" w:hanging="1134"/>
        <w:jc w:val="left"/>
      </w:pPr>
      <w:r w:rsidRPr="002C5876">
        <w:t>4.3.2.5.4</w:t>
      </w:r>
      <w:r w:rsidRPr="002C5876">
        <w:tab/>
        <w:t>Forme finale de l’équation de mouvement</w:t>
      </w:r>
    </w:p>
    <w:p w:rsidR="00E24DB7" w:rsidRPr="002C5876" w:rsidRDefault="00E24DB7" w:rsidP="00E24DB7">
      <w:pPr>
        <w:pStyle w:val="SingleTxtG"/>
        <w:spacing w:after="240"/>
        <w:ind w:left="2268"/>
      </w:pPr>
      <w:r w:rsidRPr="002C5876">
        <w:t>On détermine par substitution la forme finale de l’équation de mouvement comme suit :</w:t>
      </w:r>
    </w:p>
    <w:p w:rsidR="00E24DB7" w:rsidRPr="00D53F39" w:rsidRDefault="00731CA6" w:rsidP="00E24DB7">
      <w:pPr>
        <w:pStyle w:val="SingleTxtG"/>
        <w:spacing w:after="240"/>
        <w:ind w:left="2268"/>
        <w:rPr>
          <w:rFonts w:eastAsiaTheme="minorEastAsia"/>
          <w:lang w:val="es-ES" w:eastAsia="es-ES"/>
        </w:rPr>
      </w:pPr>
      <m:oMathPara>
        <m:oMathParaPr>
          <m:jc m:val="center"/>
        </m:oMathParaPr>
        <m:oMath>
          <m:sSub>
            <m:sSubPr>
              <m:ctrlPr>
                <w:rPr>
                  <w:rFonts w:ascii="Cambria Math" w:eastAsia="Times New Roman" w:hAnsi="Cambria Math" w:cstheme="majorBidi"/>
                  <w:lang w:eastAsia="es-ES"/>
                </w:rPr>
              </m:ctrlPr>
            </m:sSubPr>
            <m:e>
              <m:r>
                <m:rPr>
                  <m:nor/>
                </m:rPr>
                <w:rPr>
                  <w:rFonts w:ascii="Cambria Math" w:eastAsia="Times New Roman" w:hAnsiTheme="majorBidi" w:cstheme="majorBidi"/>
                  <w:lang w:val="es-ES" w:eastAsia="es-ES"/>
                </w:rPr>
                <m:t>-</m:t>
              </m:r>
              <m:r>
                <m:rPr>
                  <m:nor/>
                </m:rPr>
                <w:rPr>
                  <w:rFonts w:asciiTheme="majorBidi" w:eastAsia="Times New Roman" w:hAnsiTheme="majorBidi" w:cstheme="majorBidi"/>
                  <w:lang w:val="es-ES" w:eastAsia="es-ES"/>
                </w:rPr>
                <m:t>m</m:t>
              </m:r>
            </m:e>
            <m:sub>
              <m:r>
                <m:rPr>
                  <m:nor/>
                </m:rPr>
                <w:rPr>
                  <w:rFonts w:asciiTheme="majorBidi" w:eastAsia="Times New Roman" w:hAnsiTheme="majorBidi" w:cstheme="majorBidi"/>
                  <w:lang w:val="es-ES" w:eastAsia="es-ES"/>
                </w:rPr>
                <m:t>e</m:t>
              </m:r>
            </m:sub>
          </m:sSub>
          <m:d>
            <m:dPr>
              <m:ctrlPr>
                <w:rPr>
                  <w:rFonts w:ascii="Cambria Math" w:eastAsia="Times New Roman" w:hAnsi="Cambria Math" w:cstheme="majorBidi"/>
                  <w:lang w:eastAsia="es-ES"/>
                </w:rPr>
              </m:ctrlPr>
            </m:dPr>
            <m:e>
              <m:f>
                <m:fPr>
                  <m:ctrlPr>
                    <w:rPr>
                      <w:rFonts w:ascii="Cambria Math" w:eastAsia="Times New Roman" w:hAnsi="Cambria Math" w:cstheme="majorBidi"/>
                      <w:lang w:eastAsia="es-ES"/>
                    </w:rPr>
                  </m:ctrlPr>
                </m:fPr>
                <m:num>
                  <m:r>
                    <m:rPr>
                      <m:nor/>
                    </m:rPr>
                    <w:rPr>
                      <w:rFonts w:asciiTheme="majorBidi" w:eastAsia="Times New Roman" w:hAnsiTheme="majorBidi" w:cstheme="majorBidi"/>
                      <w:lang w:val="es-ES" w:eastAsia="es-ES"/>
                    </w:rPr>
                    <m:t>dv</m:t>
                  </m:r>
                </m:num>
                <m:den>
                  <m:r>
                    <m:rPr>
                      <m:nor/>
                    </m:rPr>
                    <w:rPr>
                      <w:rFonts w:asciiTheme="majorBidi" w:eastAsia="Times New Roman" w:hAnsiTheme="majorBidi" w:cstheme="majorBidi"/>
                      <w:lang w:val="es-ES" w:eastAsia="es-ES"/>
                    </w:rPr>
                    <m:t>dt</m:t>
                  </m:r>
                </m:den>
              </m:f>
            </m:e>
          </m:d>
          <m:r>
            <m:rPr>
              <m:nor/>
            </m:rPr>
            <w:rPr>
              <w:rFonts w:asciiTheme="majorBidi" w:eastAsia="Times New Roman" w:hAnsiTheme="majorBidi" w:cstheme="majorBidi"/>
              <w:lang w:val="es-ES" w:eastAsia="es-ES"/>
            </w:rPr>
            <m:t xml:space="preserve">= </m:t>
          </m:r>
          <m:sSub>
            <m:sSubPr>
              <m:ctrlPr>
                <w:rPr>
                  <w:rFonts w:ascii="Cambria Math" w:eastAsia="Times New Roman" w:hAnsi="Cambria Math" w:cstheme="majorBidi"/>
                  <w:lang w:eastAsia="es-ES"/>
                </w:rPr>
              </m:ctrlPr>
            </m:sSubPr>
            <m:e>
              <m:r>
                <m:rPr>
                  <m:nor/>
                </m:rPr>
                <w:rPr>
                  <w:rFonts w:asciiTheme="majorBidi" w:eastAsia="Times New Roman" w:hAnsiTheme="majorBidi" w:cstheme="majorBidi"/>
                  <w:lang w:val="es-ES" w:eastAsia="es-ES"/>
                </w:rPr>
                <m:t>A</m:t>
              </m:r>
            </m:e>
            <m:sub>
              <m:r>
                <m:rPr>
                  <m:nor/>
                </m:rPr>
                <w:rPr>
                  <w:rFonts w:asciiTheme="majorBidi" w:eastAsia="Times New Roman" w:hAnsiTheme="majorBidi" w:cstheme="majorBidi"/>
                  <w:lang w:val="es-ES" w:eastAsia="es-ES"/>
                </w:rPr>
                <m:t>m</m:t>
              </m:r>
            </m:sub>
          </m:sSub>
          <m:r>
            <m:rPr>
              <m:nor/>
            </m:rPr>
            <w:rPr>
              <w:rFonts w:ascii="Cambria Math" w:eastAsia="Times New Roman" w:hAnsiTheme="majorBidi" w:cstheme="majorBidi"/>
              <w:lang w:val="es-ES" w:eastAsia="es-ES"/>
            </w:rPr>
            <m:t xml:space="preserve"> </m:t>
          </m:r>
          <m:r>
            <m:rPr>
              <m:nor/>
            </m:rPr>
            <w:rPr>
              <w:rFonts w:asciiTheme="majorBidi" w:eastAsia="Times New Roman" w:hAnsiTheme="majorBidi" w:cstheme="majorBidi"/>
              <w:lang w:val="es-ES" w:eastAsia="es-ES"/>
            </w:rPr>
            <m:t>+</m:t>
          </m:r>
          <m:r>
            <m:rPr>
              <m:nor/>
            </m:rPr>
            <w:rPr>
              <w:rFonts w:ascii="Cambria Math" w:eastAsia="Times New Roman" w:hAnsiTheme="majorBidi" w:cstheme="majorBidi"/>
              <w:lang w:val="es-ES" w:eastAsia="es-ES"/>
            </w:rPr>
            <m:t xml:space="preserve"> </m:t>
          </m:r>
          <m:sSub>
            <m:sSubPr>
              <m:ctrlPr>
                <w:rPr>
                  <w:rFonts w:ascii="Cambria Math" w:eastAsia="Times New Roman" w:hAnsi="Cambria Math" w:cstheme="majorBidi"/>
                  <w:lang w:eastAsia="es-ES"/>
                </w:rPr>
              </m:ctrlPr>
            </m:sSubPr>
            <m:e>
              <m:r>
                <m:rPr>
                  <m:nor/>
                </m:rPr>
                <w:rPr>
                  <w:rFonts w:asciiTheme="majorBidi" w:eastAsia="Times New Roman" w:hAnsiTheme="majorBidi" w:cstheme="majorBidi"/>
                  <w:lang w:val="es-ES" w:eastAsia="es-ES"/>
                </w:rPr>
                <m:t>B</m:t>
              </m:r>
            </m:e>
            <m:sub>
              <m:r>
                <m:rPr>
                  <m:nor/>
                </m:rPr>
                <w:rPr>
                  <w:rFonts w:asciiTheme="majorBidi" w:eastAsia="Times New Roman" w:hAnsiTheme="majorBidi" w:cstheme="majorBidi"/>
                  <w:lang w:val="es-ES" w:eastAsia="es-ES"/>
                </w:rPr>
                <m:t>m</m:t>
              </m:r>
            </m:sub>
          </m:sSub>
          <m:r>
            <m:rPr>
              <m:nor/>
            </m:rPr>
            <w:rPr>
              <w:rFonts w:asciiTheme="majorBidi" w:eastAsia="Times New Roman" w:hAnsiTheme="majorBidi" w:cstheme="majorBidi"/>
              <w:lang w:val="es-ES" w:eastAsia="es-ES"/>
            </w:rPr>
            <m:t>v</m:t>
          </m:r>
          <m:r>
            <m:rPr>
              <m:nor/>
            </m:rPr>
            <w:rPr>
              <w:rFonts w:ascii="Cambria Math" w:eastAsia="Times New Roman" w:hAnsiTheme="majorBidi" w:cstheme="majorBidi"/>
              <w:lang w:val="es-ES" w:eastAsia="es-ES"/>
            </w:rPr>
            <m:t xml:space="preserve"> </m:t>
          </m:r>
          <m:r>
            <m:rPr>
              <m:nor/>
            </m:rPr>
            <w:rPr>
              <w:rFonts w:asciiTheme="majorBidi" w:eastAsia="Times New Roman" w:hAnsiTheme="majorBidi" w:cstheme="majorBidi"/>
              <w:lang w:val="es-ES" w:eastAsia="es-ES"/>
            </w:rPr>
            <m:t>+</m:t>
          </m:r>
          <m:sSub>
            <m:sSubPr>
              <m:ctrlPr>
                <w:rPr>
                  <w:rFonts w:ascii="Cambria Math" w:eastAsia="Times New Roman" w:hAnsi="Cambria Math" w:cstheme="majorBidi"/>
                  <w:lang w:eastAsia="es-ES"/>
                </w:rPr>
              </m:ctrlPr>
            </m:sSubPr>
            <m:e>
              <m:r>
                <m:rPr>
                  <m:nor/>
                </m:rPr>
                <w:rPr>
                  <w:rFonts w:ascii="Cambria Math" w:eastAsia="Times New Roman" w:hAnsiTheme="majorBidi" w:cstheme="majorBidi"/>
                  <w:lang w:val="es-ES" w:eastAsia="es-ES"/>
                </w:rPr>
                <m:t xml:space="preserve"> </m:t>
              </m:r>
              <m:r>
                <m:rPr>
                  <m:nor/>
                </m:rPr>
                <w:rPr>
                  <w:rFonts w:asciiTheme="majorBidi" w:eastAsia="Times New Roman" w:hAnsiTheme="majorBidi" w:cstheme="majorBidi"/>
                  <w:lang w:val="es-ES" w:eastAsia="es-ES"/>
                </w:rPr>
                <m:t>C</m:t>
              </m:r>
            </m:e>
            <m:sub>
              <m:r>
                <m:rPr>
                  <m:nor/>
                </m:rPr>
                <w:rPr>
                  <w:rFonts w:asciiTheme="majorBidi" w:eastAsia="Times New Roman" w:hAnsiTheme="majorBidi" w:cstheme="majorBidi"/>
                  <w:lang w:val="es-ES" w:eastAsia="es-ES"/>
                </w:rPr>
                <m:t>m</m:t>
              </m:r>
            </m:sub>
          </m:sSub>
          <m:sSup>
            <m:sSupPr>
              <m:ctrlPr>
                <w:rPr>
                  <w:rFonts w:ascii="Cambria Math" w:eastAsia="Times New Roman" w:hAnsi="Cambria Math" w:cstheme="majorBidi"/>
                  <w:lang w:eastAsia="es-ES"/>
                </w:rPr>
              </m:ctrlPr>
            </m:sSupPr>
            <m:e>
              <m:r>
                <m:rPr>
                  <m:nor/>
                </m:rPr>
                <w:rPr>
                  <w:rFonts w:asciiTheme="majorBidi" w:eastAsia="Times New Roman" w:hAnsiTheme="majorBidi" w:cstheme="majorBidi"/>
                  <w:lang w:val="es-ES" w:eastAsia="es-ES"/>
                </w:rPr>
                <m:t>v</m:t>
              </m:r>
            </m:e>
            <m:sup>
              <m:r>
                <m:rPr>
                  <m:nor/>
                </m:rPr>
                <w:rPr>
                  <w:rFonts w:asciiTheme="majorBidi" w:eastAsia="Times New Roman" w:hAnsiTheme="majorBidi" w:cstheme="majorBidi"/>
                  <w:lang w:val="es-ES" w:eastAsia="es-ES"/>
                </w:rPr>
                <m:t>2</m:t>
              </m:r>
            </m:sup>
          </m:sSup>
          <m:r>
            <m:rPr>
              <m:nor/>
            </m:rPr>
            <w:rPr>
              <w:rFonts w:ascii="Cambria Math" w:eastAsia="Times New Roman" w:hAnsiTheme="majorBidi" w:cstheme="majorBidi"/>
              <w:lang w:val="es-ES" w:eastAsia="es-ES"/>
            </w:rPr>
            <m:t xml:space="preserve"> </m:t>
          </m:r>
          <m:r>
            <m:rPr>
              <m:nor/>
            </m:rPr>
            <w:rPr>
              <w:rFonts w:asciiTheme="majorBidi" w:eastAsia="Times New Roman" w:hAnsiTheme="majorBidi" w:cstheme="majorBidi"/>
              <w:lang w:val="es-ES" w:eastAsia="es-ES"/>
            </w:rPr>
            <m:t xml:space="preserve">+ </m:t>
          </m:r>
          <m:d>
            <m:dPr>
              <m:ctrlPr>
                <w:rPr>
                  <w:rFonts w:ascii="Cambria Math" w:eastAsia="Times New Roman" w:hAnsi="Cambria Math" w:cstheme="majorBidi"/>
                  <w:lang w:eastAsia="es-ES"/>
                </w:rPr>
              </m:ctrlPr>
            </m:dPr>
            <m:e>
              <m:f>
                <m:fPr>
                  <m:ctrlPr>
                    <w:rPr>
                      <w:rFonts w:ascii="Cambria Math" w:eastAsia="Times New Roman" w:hAnsi="Cambria Math" w:cstheme="majorBidi"/>
                      <w:lang w:eastAsia="es-ES"/>
                    </w:rPr>
                  </m:ctrlPr>
                </m:fPr>
                <m:num>
                  <m:r>
                    <m:rPr>
                      <m:nor/>
                    </m:rPr>
                    <w:rPr>
                      <w:rFonts w:asciiTheme="majorBidi" w:eastAsia="Times New Roman" w:hAnsiTheme="majorBidi" w:cstheme="majorBidi"/>
                      <w:lang w:val="es-ES" w:eastAsia="es-ES"/>
                    </w:rPr>
                    <m:t>1</m:t>
                  </m:r>
                </m:num>
                <m:den>
                  <m:r>
                    <m:rPr>
                      <m:nor/>
                    </m:rPr>
                    <w:rPr>
                      <w:rFonts w:asciiTheme="majorBidi" w:eastAsia="Times New Roman" w:hAnsiTheme="majorBidi" w:cstheme="majorBidi"/>
                      <w:lang w:val="es-ES" w:eastAsia="es-ES"/>
                    </w:rPr>
                    <m:t>2</m:t>
                  </m:r>
                </m:den>
              </m:f>
            </m:e>
          </m:d>
          <m:r>
            <m:rPr>
              <m:nor/>
            </m:rPr>
            <w:rPr>
              <w:rFonts w:asciiTheme="majorBidi" w:eastAsia="Arial" w:hAnsiTheme="majorBidi" w:cstheme="majorBidi"/>
              <w:lang w:val="es-ES" w:eastAsia="es-ES"/>
            </w:rPr>
            <m:t>×</m:t>
          </m:r>
          <m:r>
            <m:rPr>
              <m:nor/>
            </m:rPr>
            <w:rPr>
              <w:rFonts w:ascii="Cambria Math" w:eastAsia="Arial" w:hAnsiTheme="majorBidi" w:cstheme="majorBidi"/>
              <w:lang w:val="es-ES" w:eastAsia="es-ES"/>
            </w:rPr>
            <m:t xml:space="preserve"> </m:t>
          </m:r>
          <m:r>
            <m:rPr>
              <m:nor/>
            </m:rPr>
            <w:rPr>
              <w:rFonts w:asciiTheme="majorBidi" w:eastAsia="Arial" w:hAnsiTheme="majorBidi" w:cstheme="majorBidi"/>
              <w:lang w:eastAsia="es-ES"/>
            </w:rPr>
            <m:t>ρ</m:t>
          </m:r>
          <m:r>
            <m:rPr>
              <m:nor/>
            </m:rPr>
            <w:rPr>
              <w:rFonts w:ascii="Cambria Math" w:eastAsia="Arial" w:hAnsiTheme="majorBidi" w:cstheme="majorBidi"/>
              <w:lang w:val="es-ES" w:eastAsia="es-ES"/>
            </w:rPr>
            <m:t xml:space="preserve"> </m:t>
          </m:r>
          <m:r>
            <m:rPr>
              <m:nor/>
            </m:rPr>
            <w:rPr>
              <w:rFonts w:asciiTheme="majorBidi" w:eastAsia="Arial" w:hAnsiTheme="majorBidi" w:cstheme="majorBidi"/>
              <w:lang w:val="es-ES" w:eastAsia="es-ES"/>
            </w:rPr>
            <m:t>×</m:t>
          </m:r>
          <m:sSubSup>
            <m:sSubSupPr>
              <m:ctrlPr>
                <w:rPr>
                  <w:rFonts w:ascii="Cambria Math" w:eastAsia="Arial" w:hAnsi="Cambria Math" w:cstheme="majorBidi"/>
                  <w:lang w:eastAsia="es-ES"/>
                </w:rPr>
              </m:ctrlPr>
            </m:sSubSupPr>
            <m:e>
              <m:sSub>
                <m:sSubPr>
                  <m:ctrlPr>
                    <w:rPr>
                      <w:rFonts w:ascii="Cambria Math" w:eastAsia="Arial" w:hAnsi="Cambria Math" w:cstheme="majorBidi"/>
                      <w:lang w:eastAsia="es-ES"/>
                    </w:rPr>
                  </m:ctrlPr>
                </m:sSubPr>
                <m:e>
                  <m:r>
                    <m:rPr>
                      <m:nor/>
                    </m:rPr>
                    <w:rPr>
                      <w:rFonts w:ascii="Cambria Math" w:eastAsia="Arial" w:hAnsiTheme="majorBidi" w:cstheme="majorBidi"/>
                      <w:lang w:val="es-ES" w:eastAsia="es-ES"/>
                    </w:rPr>
                    <m:t xml:space="preserve"> </m:t>
                  </m:r>
                  <m:r>
                    <m:rPr>
                      <m:nor/>
                    </m:rPr>
                    <w:rPr>
                      <w:rFonts w:asciiTheme="majorBidi" w:eastAsia="Arial" w:hAnsiTheme="majorBidi" w:cstheme="majorBidi"/>
                      <w:lang w:val="es-ES" w:eastAsia="es-ES"/>
                    </w:rPr>
                    <m:t>A</m:t>
                  </m:r>
                </m:e>
                <m:sub>
                  <m:r>
                    <m:rPr>
                      <m:nor/>
                    </m:rPr>
                    <w:rPr>
                      <w:rFonts w:asciiTheme="majorBidi" w:eastAsia="Arial" w:hAnsiTheme="majorBidi" w:cstheme="majorBidi"/>
                      <w:lang w:val="es-ES" w:eastAsia="es-ES"/>
                    </w:rPr>
                    <m:t>f</m:t>
                  </m:r>
                </m:sub>
              </m:sSub>
              <m:r>
                <m:rPr>
                  <m:nor/>
                </m:rPr>
                <w:rPr>
                  <w:rFonts w:ascii="Cambria Math" w:eastAsia="Arial" w:hAnsiTheme="majorBidi" w:cstheme="majorBidi"/>
                  <w:lang w:val="es-ES" w:eastAsia="es-ES"/>
                </w:rPr>
                <m:t xml:space="preserve"> </m:t>
              </m:r>
              <m:r>
                <m:rPr>
                  <m:nor/>
                </m:rPr>
                <w:rPr>
                  <w:rFonts w:asciiTheme="majorBidi" w:eastAsia="Arial" w:hAnsiTheme="majorBidi" w:cstheme="majorBidi"/>
                  <w:lang w:val="es-ES" w:eastAsia="es-ES"/>
                </w:rPr>
                <m:t>×</m:t>
              </m:r>
              <m:r>
                <m:rPr>
                  <m:nor/>
                </m:rPr>
                <w:rPr>
                  <w:rFonts w:ascii="Cambria Math" w:eastAsia="Arial" w:hAnsiTheme="majorBidi" w:cstheme="majorBidi"/>
                  <w:lang w:val="es-ES" w:eastAsia="es-ES"/>
                </w:rPr>
                <m:t xml:space="preserve"> </m:t>
              </m:r>
              <m:r>
                <m:rPr>
                  <m:nor/>
                </m:rPr>
                <w:rPr>
                  <w:rFonts w:asciiTheme="majorBidi" w:eastAsia="Arial" w:hAnsiTheme="majorBidi" w:cstheme="majorBidi"/>
                  <w:lang w:val="es-ES" w:eastAsia="es-ES"/>
                </w:rPr>
                <m:t>v</m:t>
              </m:r>
            </m:e>
            <m:sub>
              <m:r>
                <m:rPr>
                  <m:nor/>
                </m:rPr>
                <w:rPr>
                  <w:rFonts w:asciiTheme="majorBidi" w:eastAsia="Arial" w:hAnsiTheme="majorBidi" w:cstheme="majorBidi"/>
                  <w:lang w:val="es-ES" w:eastAsia="es-ES"/>
                </w:rPr>
                <m:t>r</m:t>
              </m:r>
            </m:sub>
            <m:sup>
              <m:r>
                <m:rPr>
                  <m:nor/>
                </m:rPr>
                <w:rPr>
                  <w:rFonts w:asciiTheme="majorBidi" w:eastAsia="Arial" w:hAnsiTheme="majorBidi" w:cstheme="majorBidi"/>
                  <w:lang w:val="es-ES" w:eastAsia="es-ES"/>
                </w:rPr>
                <m:t>2</m:t>
              </m:r>
            </m:sup>
          </m:sSubSup>
          <m:r>
            <m:rPr>
              <m:nor/>
            </m:rPr>
            <w:rPr>
              <w:rFonts w:asciiTheme="majorBidi" w:eastAsia="Arial" w:hAnsiTheme="majorBidi" w:cstheme="majorBidi"/>
              <w:lang w:val="es-ES" w:eastAsia="es-ES"/>
            </w:rPr>
            <m:t>(</m:t>
          </m:r>
          <m:sSub>
            <m:sSubPr>
              <m:ctrlPr>
                <w:rPr>
                  <w:rFonts w:ascii="Cambria Math" w:eastAsia="Times New Roman" w:hAnsi="Cambria Math" w:cstheme="majorBidi"/>
                  <w:lang w:eastAsia="es-ES"/>
                </w:rPr>
              </m:ctrlPr>
            </m:sSubPr>
            <m:e>
              <m:r>
                <m:rPr>
                  <m:nor/>
                </m:rPr>
                <w:rPr>
                  <w:rFonts w:asciiTheme="majorBidi" w:eastAsia="Times New Roman" w:hAnsiTheme="majorBidi" w:cstheme="majorBidi"/>
                  <w:lang w:val="es-ES" w:eastAsia="es-ES"/>
                </w:rPr>
                <m:t>a</m:t>
              </m:r>
            </m:e>
            <m:sub>
              <m:r>
                <m:rPr>
                  <m:nor/>
                </m:rPr>
                <w:rPr>
                  <w:rFonts w:asciiTheme="majorBidi" w:eastAsia="Times New Roman" w:hAnsiTheme="majorBidi" w:cstheme="majorBidi"/>
                  <w:lang w:val="es-ES" w:eastAsia="es-ES"/>
                </w:rPr>
                <m:t>0</m:t>
              </m:r>
            </m:sub>
          </m:sSub>
          <m:r>
            <m:rPr>
              <m:nor/>
            </m:rPr>
            <w:rPr>
              <w:rFonts w:ascii="Cambria Math" w:eastAsia="Times New Roman" w:hAnsiTheme="majorBidi" w:cstheme="majorBidi"/>
              <w:lang w:val="es-ES" w:eastAsia="es-ES"/>
            </w:rPr>
            <m:t xml:space="preserve"> </m:t>
          </m:r>
          <m:r>
            <m:rPr>
              <m:nor/>
            </m:rPr>
            <w:rPr>
              <w:rFonts w:asciiTheme="majorBidi" w:eastAsia="Times New Roman" w:hAnsiTheme="majorBidi" w:cstheme="majorBidi"/>
              <w:lang w:val="es-ES" w:eastAsia="es-ES"/>
            </w:rPr>
            <m:t>+</m:t>
          </m:r>
          <m:r>
            <m:rPr>
              <m:nor/>
            </m:rPr>
            <w:rPr>
              <w:rFonts w:ascii="Cambria Math" w:eastAsia="Times New Roman" w:hAnsiTheme="majorBidi" w:cstheme="majorBidi"/>
              <w:lang w:val="es-ES" w:eastAsia="es-ES"/>
            </w:rPr>
            <m:t xml:space="preserve"> </m:t>
          </m:r>
          <m:sSub>
            <m:sSubPr>
              <m:ctrlPr>
                <w:rPr>
                  <w:rFonts w:ascii="Cambria Math" w:eastAsia="Times New Roman" w:hAnsi="Cambria Math" w:cstheme="majorBidi"/>
                  <w:lang w:eastAsia="es-ES"/>
                </w:rPr>
              </m:ctrlPr>
            </m:sSubPr>
            <m:e>
              <m:r>
                <m:rPr>
                  <m:nor/>
                </m:rPr>
                <w:rPr>
                  <w:rFonts w:asciiTheme="majorBidi" w:eastAsia="Times New Roman" w:hAnsiTheme="majorBidi" w:cstheme="majorBidi"/>
                  <w:lang w:val="es-ES" w:eastAsia="es-ES"/>
                </w:rPr>
                <m:t>a</m:t>
              </m:r>
            </m:e>
            <m:sub>
              <m:r>
                <m:rPr>
                  <m:nor/>
                </m:rPr>
                <w:rPr>
                  <w:rFonts w:asciiTheme="majorBidi" w:eastAsia="Times New Roman" w:hAnsiTheme="majorBidi" w:cstheme="majorBidi"/>
                  <w:lang w:val="es-ES" w:eastAsia="es-ES"/>
                </w:rPr>
                <m:t>1</m:t>
              </m:r>
            </m:sub>
          </m:sSub>
          <m:r>
            <m:rPr>
              <m:nor/>
            </m:rPr>
            <w:rPr>
              <w:rFonts w:asciiTheme="majorBidi" w:eastAsia="Times New Roman" w:hAnsiTheme="majorBidi" w:cstheme="majorBidi"/>
              <w:lang w:val="es-ES" w:eastAsia="es-ES"/>
            </w:rPr>
            <m:t>Y</m:t>
          </m:r>
          <m:r>
            <m:rPr>
              <m:nor/>
            </m:rPr>
            <w:rPr>
              <w:rFonts w:ascii="Cambria Math" w:eastAsia="Times New Roman" w:hAnsiTheme="majorBidi" w:cstheme="majorBidi"/>
              <w:lang w:val="es-ES" w:eastAsia="es-ES"/>
            </w:rPr>
            <m:t xml:space="preserve"> </m:t>
          </m:r>
          <m:r>
            <m:rPr>
              <m:nor/>
            </m:rPr>
            <w:rPr>
              <w:rFonts w:asciiTheme="majorBidi" w:eastAsia="Times New Roman" w:hAnsiTheme="majorBidi" w:cstheme="majorBidi"/>
              <w:lang w:val="es-ES" w:eastAsia="es-ES"/>
            </w:rPr>
            <m:t>+</m:t>
          </m:r>
          <m:sSub>
            <m:sSubPr>
              <m:ctrlPr>
                <w:rPr>
                  <w:rFonts w:ascii="Cambria Math" w:eastAsia="Times New Roman" w:hAnsi="Cambria Math" w:cstheme="majorBidi"/>
                  <w:lang w:eastAsia="es-ES"/>
                </w:rPr>
              </m:ctrlPr>
            </m:sSubPr>
            <m:e>
              <m:r>
                <m:rPr>
                  <m:nor/>
                </m:rPr>
                <w:rPr>
                  <w:rFonts w:ascii="Cambria Math" w:eastAsia="Times New Roman" w:hAnsiTheme="majorBidi" w:cstheme="majorBidi"/>
                  <w:lang w:val="es-ES" w:eastAsia="es-ES"/>
                </w:rPr>
                <m:t xml:space="preserve"> </m:t>
              </m:r>
              <m:r>
                <m:rPr>
                  <m:nor/>
                </m:rPr>
                <w:rPr>
                  <w:rFonts w:asciiTheme="majorBidi" w:eastAsia="Times New Roman" w:hAnsiTheme="majorBidi" w:cstheme="majorBidi"/>
                  <w:lang w:val="es-ES" w:eastAsia="es-ES"/>
                </w:rPr>
                <m:t>a</m:t>
              </m:r>
            </m:e>
            <m:sub>
              <m:r>
                <m:rPr>
                  <m:nor/>
                </m:rPr>
                <w:rPr>
                  <w:rFonts w:asciiTheme="majorBidi" w:eastAsia="Times New Roman" w:hAnsiTheme="majorBidi" w:cstheme="majorBidi"/>
                  <w:lang w:val="es-ES" w:eastAsia="es-ES"/>
                </w:rPr>
                <m:t>2</m:t>
              </m:r>
            </m:sub>
          </m:sSub>
          <m:sSup>
            <m:sSupPr>
              <m:ctrlPr>
                <w:rPr>
                  <w:rFonts w:ascii="Cambria Math" w:eastAsia="Times New Roman" w:hAnsi="Cambria Math" w:cstheme="majorBidi"/>
                  <w:lang w:eastAsia="es-ES"/>
                </w:rPr>
              </m:ctrlPr>
            </m:sSupPr>
            <m:e>
              <m:r>
                <m:rPr>
                  <m:nor/>
                </m:rPr>
                <w:rPr>
                  <w:rFonts w:asciiTheme="majorBidi" w:eastAsia="Times New Roman" w:hAnsiTheme="majorBidi" w:cstheme="majorBidi"/>
                  <w:lang w:val="es-ES" w:eastAsia="es-ES"/>
                </w:rPr>
                <m:t>Y</m:t>
              </m:r>
            </m:e>
            <m:sup>
              <m:r>
                <m:rPr>
                  <m:nor/>
                </m:rPr>
                <w:rPr>
                  <w:rFonts w:asciiTheme="majorBidi" w:eastAsia="Times New Roman" w:hAnsiTheme="majorBidi" w:cstheme="majorBidi"/>
                  <w:lang w:val="es-ES" w:eastAsia="es-ES"/>
                </w:rPr>
                <m:t>2</m:t>
              </m:r>
            </m:sup>
          </m:sSup>
          <m:r>
            <m:rPr>
              <m:nor/>
            </m:rPr>
            <w:rPr>
              <w:rFonts w:ascii="Cambria Math" w:eastAsia="Times New Roman" w:hAnsiTheme="majorBidi" w:cstheme="majorBidi"/>
              <w:lang w:val="es-ES" w:eastAsia="es-ES"/>
            </w:rPr>
            <m:t xml:space="preserve"> </m:t>
          </m:r>
          <m:r>
            <m:rPr>
              <m:nor/>
            </m:rPr>
            <w:rPr>
              <w:rFonts w:asciiTheme="majorBidi" w:eastAsia="Times New Roman" w:hAnsiTheme="majorBidi" w:cstheme="majorBidi"/>
              <w:lang w:val="es-ES" w:eastAsia="es-ES"/>
            </w:rPr>
            <m:t>+</m:t>
          </m:r>
          <m:r>
            <m:rPr>
              <m:nor/>
            </m:rPr>
            <w:rPr>
              <w:rFonts w:ascii="Cambria Math" w:eastAsia="Times New Roman" w:hAnsiTheme="majorBidi" w:cstheme="majorBidi"/>
              <w:lang w:val="es-ES" w:eastAsia="es-ES"/>
            </w:rPr>
            <m:t xml:space="preserve"> </m:t>
          </m:r>
          <m:sSub>
            <m:sSubPr>
              <m:ctrlPr>
                <w:rPr>
                  <w:rFonts w:ascii="Cambria Math" w:eastAsia="Times New Roman" w:hAnsi="Cambria Math" w:cstheme="majorBidi"/>
                  <w:lang w:eastAsia="es-ES"/>
                </w:rPr>
              </m:ctrlPr>
            </m:sSubPr>
            <m:e>
              <m:r>
                <m:rPr>
                  <m:nor/>
                </m:rPr>
                <w:rPr>
                  <w:rFonts w:asciiTheme="majorBidi" w:eastAsia="Times New Roman" w:hAnsiTheme="majorBidi" w:cstheme="majorBidi"/>
                  <w:lang w:val="es-ES" w:eastAsia="es-ES"/>
                </w:rPr>
                <m:t>a</m:t>
              </m:r>
            </m:e>
            <m:sub>
              <m:r>
                <m:rPr>
                  <m:nor/>
                </m:rPr>
                <w:rPr>
                  <w:rFonts w:asciiTheme="majorBidi" w:eastAsia="Times New Roman" w:hAnsiTheme="majorBidi" w:cstheme="majorBidi"/>
                  <w:lang w:val="es-ES" w:eastAsia="es-ES"/>
                </w:rPr>
                <m:t>3</m:t>
              </m:r>
            </m:sub>
          </m:sSub>
          <m:sSup>
            <m:sSupPr>
              <m:ctrlPr>
                <w:rPr>
                  <w:rFonts w:ascii="Cambria Math" w:eastAsia="Times New Roman" w:hAnsi="Cambria Math" w:cstheme="majorBidi"/>
                  <w:lang w:eastAsia="es-ES"/>
                </w:rPr>
              </m:ctrlPr>
            </m:sSupPr>
            <m:e>
              <m:r>
                <m:rPr>
                  <m:nor/>
                </m:rPr>
                <w:rPr>
                  <w:rFonts w:asciiTheme="majorBidi" w:eastAsia="Times New Roman" w:hAnsiTheme="majorBidi" w:cstheme="majorBidi"/>
                  <w:lang w:val="es-ES" w:eastAsia="es-ES"/>
                </w:rPr>
                <m:t>Y</m:t>
              </m:r>
            </m:e>
            <m:sup>
              <m:r>
                <m:rPr>
                  <m:nor/>
                </m:rPr>
                <w:rPr>
                  <w:rFonts w:asciiTheme="majorBidi" w:eastAsia="Times New Roman" w:hAnsiTheme="majorBidi" w:cstheme="majorBidi"/>
                  <w:lang w:val="es-ES" w:eastAsia="es-ES"/>
                </w:rPr>
                <m:t>3</m:t>
              </m:r>
            </m:sup>
          </m:sSup>
          <m:r>
            <m:rPr>
              <m:nor/>
            </m:rPr>
            <w:rPr>
              <w:rFonts w:ascii="Cambria Math" w:eastAsia="Times New Roman" w:hAnsiTheme="majorBidi" w:cstheme="majorBidi"/>
              <w:lang w:val="es-ES" w:eastAsia="es-ES"/>
            </w:rPr>
            <m:t xml:space="preserve"> </m:t>
          </m:r>
          <m:r>
            <m:rPr>
              <m:nor/>
            </m:rPr>
            <w:rPr>
              <w:rFonts w:asciiTheme="majorBidi" w:eastAsia="Times New Roman" w:hAnsiTheme="majorBidi" w:cstheme="majorBidi"/>
              <w:lang w:val="es-ES" w:eastAsia="es-ES"/>
            </w:rPr>
            <m:t>+</m:t>
          </m:r>
          <m:r>
            <m:rPr>
              <m:nor/>
            </m:rPr>
            <w:rPr>
              <w:rFonts w:ascii="Cambria Math" w:eastAsia="Times New Roman" w:hAnsiTheme="majorBidi" w:cstheme="majorBidi"/>
              <w:lang w:val="es-ES" w:eastAsia="es-ES"/>
            </w:rPr>
            <m:t xml:space="preserve"> </m:t>
          </m:r>
          <m:sSub>
            <m:sSubPr>
              <m:ctrlPr>
                <w:rPr>
                  <w:rFonts w:ascii="Cambria Math" w:eastAsia="Times New Roman" w:hAnsi="Cambria Math" w:cstheme="majorBidi"/>
                  <w:lang w:eastAsia="es-ES"/>
                </w:rPr>
              </m:ctrlPr>
            </m:sSubPr>
            <m:e>
              <m:r>
                <m:rPr>
                  <m:nor/>
                </m:rPr>
                <w:rPr>
                  <w:rFonts w:asciiTheme="majorBidi" w:eastAsia="Times New Roman" w:hAnsiTheme="majorBidi" w:cstheme="majorBidi"/>
                  <w:lang w:val="es-ES" w:eastAsia="es-ES"/>
                </w:rPr>
                <m:t>a</m:t>
              </m:r>
            </m:e>
            <m:sub>
              <m:r>
                <m:rPr>
                  <m:nor/>
                </m:rPr>
                <w:rPr>
                  <w:rFonts w:asciiTheme="majorBidi" w:eastAsia="Times New Roman" w:hAnsiTheme="majorBidi" w:cstheme="majorBidi"/>
                  <w:lang w:val="es-ES" w:eastAsia="es-ES"/>
                </w:rPr>
                <m:t>4</m:t>
              </m:r>
            </m:sub>
          </m:sSub>
          <m:sSup>
            <m:sSupPr>
              <m:ctrlPr>
                <w:rPr>
                  <w:rFonts w:ascii="Cambria Math" w:eastAsia="Times New Roman" w:hAnsi="Cambria Math" w:cstheme="majorBidi"/>
                  <w:lang w:eastAsia="es-ES"/>
                </w:rPr>
              </m:ctrlPr>
            </m:sSupPr>
            <m:e>
              <m:r>
                <m:rPr>
                  <m:nor/>
                </m:rPr>
                <w:rPr>
                  <w:rFonts w:asciiTheme="majorBidi" w:eastAsia="Times New Roman" w:hAnsiTheme="majorBidi" w:cstheme="majorBidi"/>
                  <w:lang w:val="es-ES" w:eastAsia="es-ES"/>
                </w:rPr>
                <m:t>Y</m:t>
              </m:r>
            </m:e>
            <m:sup>
              <m:r>
                <m:rPr>
                  <m:nor/>
                </m:rPr>
                <w:rPr>
                  <w:rFonts w:asciiTheme="majorBidi" w:eastAsia="Times New Roman" w:hAnsiTheme="majorBidi" w:cstheme="majorBidi"/>
                  <w:lang w:val="es-ES" w:eastAsia="es-ES"/>
                </w:rPr>
                <m:t>4</m:t>
              </m:r>
            </m:sup>
          </m:sSup>
          <m:r>
            <m:rPr>
              <m:nor/>
            </m:rPr>
            <w:rPr>
              <w:rFonts w:ascii="Cambria Math" w:eastAsia="Times New Roman" w:hAnsiTheme="majorBidi" w:cstheme="majorBidi"/>
              <w:lang w:val="es-ES" w:eastAsia="es-ES"/>
            </w:rPr>
            <m:t xml:space="preserve"> </m:t>
          </m:r>
          <m:r>
            <m:rPr>
              <m:nor/>
            </m:rPr>
            <w:rPr>
              <w:rFonts w:asciiTheme="majorBidi" w:eastAsia="Times New Roman" w:hAnsiTheme="majorBidi" w:cstheme="majorBidi"/>
              <w:lang w:val="es-ES" w:eastAsia="es-ES"/>
            </w:rPr>
            <m:t>+</m:t>
          </m:r>
          <m:r>
            <m:rPr>
              <m:nor/>
            </m:rPr>
            <w:rPr>
              <w:rFonts w:ascii="Cambria Math" w:eastAsia="Times New Roman" w:hAnsiTheme="majorBidi" w:cstheme="majorBidi"/>
              <w:lang w:val="es-ES" w:eastAsia="es-ES"/>
            </w:rPr>
            <m:t xml:space="preserve"> </m:t>
          </m:r>
          <m:r>
            <m:rPr>
              <m:nor/>
            </m:rPr>
            <w:rPr>
              <w:rFonts w:asciiTheme="majorBidi" w:eastAsia="Times New Roman" w:hAnsiTheme="majorBidi" w:cstheme="majorBidi"/>
              <w:lang w:val="es-ES" w:eastAsia="es-ES"/>
            </w:rPr>
            <m:t>(m</m:t>
          </m:r>
          <m:r>
            <m:rPr>
              <m:nor/>
            </m:rPr>
            <w:rPr>
              <w:rFonts w:ascii="Cambria Math" w:eastAsia="Times New Roman" w:hAnsiTheme="majorBidi" w:cstheme="majorBidi"/>
              <w:lang w:val="es-ES" w:eastAsia="es-ES"/>
            </w:rPr>
            <m:t xml:space="preserve"> </m:t>
          </m:r>
          <m:r>
            <m:rPr>
              <m:nor/>
            </m:rPr>
            <w:rPr>
              <w:rFonts w:asciiTheme="majorBidi" w:eastAsia="Times New Roman" w:hAnsiTheme="majorBidi" w:cstheme="majorBidi"/>
              <w:lang w:val="es-ES" w:eastAsia="es-ES"/>
            </w:rPr>
            <m:t>×</m:t>
          </m:r>
          <m:r>
            <m:rPr>
              <m:nor/>
            </m:rPr>
            <w:rPr>
              <w:rFonts w:ascii="Cambria Math" w:eastAsia="Times New Roman" w:hAnsiTheme="majorBidi" w:cstheme="majorBidi"/>
              <w:lang w:val="es-ES" w:eastAsia="es-ES"/>
            </w:rPr>
            <m:t xml:space="preserve"> </m:t>
          </m:r>
          <m:r>
            <m:rPr>
              <m:nor/>
            </m:rPr>
            <w:rPr>
              <w:rFonts w:asciiTheme="majorBidi" w:eastAsia="Times New Roman" w:hAnsiTheme="majorBidi" w:cstheme="majorBidi"/>
              <w:lang w:val="es-ES" w:eastAsia="es-ES"/>
            </w:rPr>
            <m:t>g</m:t>
          </m:r>
          <m:r>
            <m:rPr>
              <m:nor/>
            </m:rPr>
            <w:rPr>
              <w:rFonts w:ascii="Cambria Math" w:eastAsia="Times New Roman" w:hAnsiTheme="majorBidi" w:cstheme="majorBidi"/>
              <w:lang w:val="es-ES" w:eastAsia="es-ES"/>
            </w:rPr>
            <m:t xml:space="preserve"> </m:t>
          </m:r>
          <m:r>
            <m:rPr>
              <m:nor/>
            </m:rPr>
            <w:rPr>
              <w:rFonts w:asciiTheme="majorBidi" w:eastAsia="Times New Roman" w:hAnsiTheme="majorBidi" w:cstheme="majorBidi"/>
              <w:lang w:val="es-ES" w:eastAsia="es-ES"/>
            </w:rPr>
            <m:t>×</m:t>
          </m:r>
          <m:r>
            <m:rPr>
              <m:nor/>
            </m:rPr>
            <w:rPr>
              <w:rFonts w:ascii="Cambria Math" w:eastAsia="Times New Roman" w:hAnsiTheme="majorBidi" w:cstheme="majorBidi"/>
              <w:lang w:val="es-ES" w:eastAsia="es-ES"/>
            </w:rPr>
            <m:t xml:space="preserve"> </m:t>
          </m:r>
          <m:f>
            <m:fPr>
              <m:ctrlPr>
                <w:rPr>
                  <w:rFonts w:ascii="Cambria Math" w:eastAsia="Times New Roman" w:hAnsi="Cambria Math" w:cstheme="majorBidi"/>
                  <w:lang w:eastAsia="es-ES"/>
                </w:rPr>
              </m:ctrlPr>
            </m:fPr>
            <m:num>
              <m:r>
                <m:rPr>
                  <m:nor/>
                </m:rPr>
                <w:rPr>
                  <w:rFonts w:asciiTheme="majorBidi" w:eastAsia="Times New Roman" w:hAnsiTheme="majorBidi" w:cstheme="majorBidi"/>
                  <w:lang w:val="es-ES" w:eastAsia="es-ES"/>
                </w:rPr>
                <m:t>dh</m:t>
              </m:r>
            </m:num>
            <m:den>
              <m:r>
                <m:rPr>
                  <m:nor/>
                </m:rPr>
                <w:rPr>
                  <w:rFonts w:asciiTheme="majorBidi" w:eastAsia="Times New Roman" w:hAnsiTheme="majorBidi" w:cstheme="majorBidi"/>
                  <w:lang w:val="es-ES" w:eastAsia="es-ES"/>
                </w:rPr>
                <m:t>ds</m:t>
              </m:r>
            </m:den>
          </m:f>
          <m:r>
            <m:rPr>
              <m:nor/>
            </m:rPr>
            <w:rPr>
              <w:rFonts w:asciiTheme="majorBidi" w:eastAsia="Times New Roman" w:hAnsiTheme="majorBidi" w:cstheme="majorBidi"/>
              <w:lang w:val="es-ES" w:eastAsia="es-ES"/>
            </w:rPr>
            <m:t>)</m:t>
          </m:r>
        </m:oMath>
      </m:oMathPara>
    </w:p>
    <w:p w:rsidR="00E24DB7" w:rsidRPr="002C5876" w:rsidRDefault="00E24DB7" w:rsidP="00E24DB7">
      <w:pPr>
        <w:pStyle w:val="SingleTxtG"/>
        <w:keepNext/>
        <w:ind w:left="2268" w:hanging="1134"/>
        <w:jc w:val="left"/>
      </w:pPr>
      <w:r w:rsidRPr="002C5876">
        <w:t>4.3.2.6</w:t>
      </w:r>
      <w:r w:rsidRPr="002C5876">
        <w:tab/>
        <w:t>Réduction des données</w:t>
      </w:r>
    </w:p>
    <w:p w:rsidR="00E24DB7" w:rsidRPr="002C5876" w:rsidRDefault="00E24DB7" w:rsidP="00E24DB7">
      <w:pPr>
        <w:pStyle w:val="SingleTxtG"/>
        <w:ind w:left="2268"/>
      </w:pPr>
      <w:r w:rsidRPr="002C5876">
        <w:t>Une équation à trois termes doit être établie pour décrire la force de résistance à l’avancement sur route en fonction de la vitesse, F = A + Bv + Cv</w:t>
      </w:r>
      <w:r w:rsidRPr="002C5876">
        <w:rPr>
          <w:vertAlign w:val="superscript"/>
        </w:rPr>
        <w:t>2</w:t>
      </w:r>
      <w:r w:rsidRPr="002C5876">
        <w:t xml:space="preserve">, corrigée pour la rapporter aux conditions normales de température ambiante et de </w:t>
      </w:r>
      <w:r w:rsidRPr="002C5876">
        <w:lastRenderedPageBreak/>
        <w:t xml:space="preserve">pression, et en air calme. La méthode à appliquer pour cette analyse est décrite aux paragraphes 4.3.2.6.1 à 4.3.2.6.10 de la présente annexe. </w:t>
      </w:r>
    </w:p>
    <w:p w:rsidR="00E24DB7" w:rsidRPr="002C5876" w:rsidRDefault="00E24DB7" w:rsidP="00E24DB7">
      <w:pPr>
        <w:pStyle w:val="SingleTxtG"/>
        <w:keepNext/>
        <w:ind w:left="2268" w:hanging="1134"/>
        <w:jc w:val="left"/>
      </w:pPr>
      <w:r w:rsidRPr="002C5876">
        <w:t>4.3.2.6.1</w:t>
      </w:r>
      <w:r w:rsidRPr="002C5876">
        <w:tab/>
        <w:t>Détermination des coefficients d’étalonnage</w:t>
      </w:r>
    </w:p>
    <w:p w:rsidR="00E24DB7" w:rsidRPr="002C5876" w:rsidRDefault="00E24DB7" w:rsidP="00E24DB7">
      <w:pPr>
        <w:pStyle w:val="SingleTxtG"/>
        <w:ind w:left="2268"/>
      </w:pPr>
      <w:r w:rsidRPr="002C5876">
        <w:t>S’ils n’ont pas été précédemment déterminés, les facteurs d’étalonnage pour la correction pour l’obstruction causée par le véhicule doivent être déterminés pour la vitesse du vent relative et l’angle de lacet. Les mesures de la vitesse du véhicule (v), de la vitesse du vent relative (v</w:t>
      </w:r>
      <w:r w:rsidRPr="002C5876">
        <w:rPr>
          <w:vertAlign w:val="subscript"/>
        </w:rPr>
        <w:t>r</w:t>
      </w:r>
      <w:r w:rsidRPr="002C5876">
        <w:t>) et du lacet (Y) faites pendant la phase de mise en température de la procédure d’essai doivent être enregistrées. Des paires de parcours dans les deux sens sur la piste d’essai à vitesse constante de 80 km/h doivent être effectuées, et les valeurs moyennes arithmétiques de v, v</w:t>
      </w:r>
      <w:r w:rsidRPr="002C5876">
        <w:rPr>
          <w:vertAlign w:val="subscript"/>
        </w:rPr>
        <w:t>r</w:t>
      </w:r>
      <w:r w:rsidRPr="002C5876">
        <w:t xml:space="preserve"> et Y pour chaque parcours doivent être déterminées. Des facteurs d’étalonnage qui réduisent au minimum les erreurs totales dues aux vents opposés et transversaux sur toutes les paires de parcours (somme de (head</w:t>
      </w:r>
      <w:r w:rsidRPr="002C5876">
        <w:rPr>
          <w:vertAlign w:val="subscript"/>
        </w:rPr>
        <w:t>i</w:t>
      </w:r>
      <w:r w:rsidRPr="002C5876">
        <w:t> - head</w:t>
      </w:r>
      <w:r w:rsidRPr="002C5876">
        <w:rPr>
          <w:vertAlign w:val="subscript"/>
        </w:rPr>
        <w:t>i+1</w:t>
      </w:r>
      <w:r w:rsidRPr="002C5876">
        <w:t>)</w:t>
      </w:r>
      <w:r w:rsidRPr="002C5876">
        <w:rPr>
          <w:vertAlign w:val="superscript"/>
        </w:rPr>
        <w:t>2</w:t>
      </w:r>
      <w:r w:rsidRPr="002C5876">
        <w:t>), etc., doivent être sélectionnés, head</w:t>
      </w:r>
      <w:r w:rsidRPr="002C5876">
        <w:rPr>
          <w:vertAlign w:val="subscript"/>
        </w:rPr>
        <w:t>i</w:t>
      </w:r>
      <w:r w:rsidRPr="002C5876">
        <w:t xml:space="preserve"> et head</w:t>
      </w:r>
      <w:r w:rsidRPr="002C5876">
        <w:rPr>
          <w:vertAlign w:val="subscript"/>
        </w:rPr>
        <w:t>i+1</w:t>
      </w:r>
      <w:r w:rsidRPr="002C5876">
        <w:t xml:space="preserve"> étant la vitesse du vent et le sens du vent dans les paires de parcours effectués dans des sens opposés pendant la mise en température/stabilisation du véhicule. </w:t>
      </w:r>
    </w:p>
    <w:p w:rsidR="00E24DB7" w:rsidRPr="002C5876" w:rsidRDefault="00E24DB7" w:rsidP="00E24DB7">
      <w:pPr>
        <w:pStyle w:val="SingleTxtG"/>
        <w:keepNext/>
        <w:ind w:left="2268" w:hanging="1134"/>
        <w:jc w:val="left"/>
      </w:pPr>
      <w:r w:rsidRPr="002C5876">
        <w:t>4.3.2.6.2</w:t>
      </w:r>
      <w:r w:rsidRPr="002C5876">
        <w:tab/>
        <w:t>Relevé seconde par seconde des données</w:t>
      </w:r>
    </w:p>
    <w:p w:rsidR="00E24DB7" w:rsidRPr="002C5876" w:rsidRDefault="00E24DB7" w:rsidP="00E24DB7">
      <w:pPr>
        <w:keepLines/>
        <w:spacing w:after="120"/>
        <w:ind w:left="2268" w:right="1134"/>
        <w:jc w:val="both"/>
      </w:pPr>
      <w:r w:rsidRPr="002C5876">
        <w:t xml:space="preserve">À partir des données recueillies pendant les parcours de décélération libre, les valeurs de v, </w:t>
      </w:r>
      <w:r w:rsidRPr="002C5876">
        <w:rPr>
          <w:noProof/>
          <w:position w:val="-24"/>
          <w:lang w:val="en-GB" w:eastAsia="zh-CN"/>
        </w:rPr>
        <w:drawing>
          <wp:inline distT="0" distB="0" distL="0" distR="0" wp14:anchorId="7F4E32CC" wp14:editId="75FFA77B">
            <wp:extent cx="647700" cy="304800"/>
            <wp:effectExtent l="0" t="0" r="0" b="0"/>
            <wp:docPr id="814"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2C5876">
        <w:t xml:space="preserve">, </w:t>
      </w:r>
      <w:r w:rsidRPr="002C5876">
        <w:rPr>
          <w:noProof/>
          <w:position w:val="-10"/>
          <w:lang w:val="en-GB" w:eastAsia="zh-CN"/>
        </w:rPr>
        <w:drawing>
          <wp:inline distT="0" distB="0" distL="0" distR="0" wp14:anchorId="6BC8FEC2" wp14:editId="18E25A08">
            <wp:extent cx="180975" cy="219075"/>
            <wp:effectExtent l="0" t="0" r="9525" b="9525"/>
            <wp:docPr id="813"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2C5876">
        <w:t xml:space="preserve"> et Y doivent être déterminées par application des facteurs d’étalonnage obtenus selon les paragraphes 4.3.2.1.3 et 4.3.2.1.4 de la présente annexe. Un filtrage des données doit être appliqué pour ajuster les échantillons à une fréquence d’1 Hz.</w:t>
      </w:r>
    </w:p>
    <w:p w:rsidR="00E24DB7" w:rsidRPr="002C5876" w:rsidRDefault="00E24DB7" w:rsidP="00E24DB7">
      <w:pPr>
        <w:pStyle w:val="SingleTxtG"/>
        <w:keepNext/>
        <w:ind w:left="2268" w:hanging="1134"/>
        <w:jc w:val="left"/>
      </w:pPr>
      <w:r w:rsidRPr="002C5876">
        <w:t>4.3.2.6.3</w:t>
      </w:r>
      <w:r w:rsidRPr="002C5876">
        <w:tab/>
        <w:t>Analyse préliminaire</w:t>
      </w:r>
    </w:p>
    <w:p w:rsidR="00E24DB7" w:rsidRPr="002C5876" w:rsidRDefault="00E24DB7" w:rsidP="00E24DB7">
      <w:pPr>
        <w:pStyle w:val="SingleTxtG"/>
        <w:ind w:left="2268"/>
      </w:pPr>
      <w:r w:rsidRPr="002C5876">
        <w:t>Par application d’une technique de régression linéaire par les moindres carrés, tous les points de données doivent être analysés en même temps pour déterminer A</w:t>
      </w:r>
      <w:r w:rsidRPr="002C5876">
        <w:rPr>
          <w:vertAlign w:val="subscript"/>
        </w:rPr>
        <w:t>m</w:t>
      </w:r>
      <w:r w:rsidRPr="002C5876">
        <w:t>, B</w:t>
      </w:r>
      <w:r w:rsidRPr="002C5876">
        <w:rPr>
          <w:vertAlign w:val="subscript"/>
        </w:rPr>
        <w:t>m</w:t>
      </w:r>
      <w:r w:rsidRPr="002C5876">
        <w:t>, C</w:t>
      </w:r>
      <w:r w:rsidRPr="002C5876">
        <w:rPr>
          <w:vertAlign w:val="subscript"/>
        </w:rPr>
        <w:t>m</w:t>
      </w:r>
      <w:r w:rsidRPr="002C5876">
        <w:t>, a</w:t>
      </w:r>
      <w:r w:rsidRPr="002C5876">
        <w:rPr>
          <w:vertAlign w:val="subscript"/>
        </w:rPr>
        <w:t>0</w:t>
      </w:r>
      <w:r w:rsidRPr="002C5876">
        <w:t>, a</w:t>
      </w:r>
      <w:r w:rsidRPr="002C5876">
        <w:rPr>
          <w:vertAlign w:val="subscript"/>
        </w:rPr>
        <w:t>1</w:t>
      </w:r>
      <w:r w:rsidRPr="002C5876">
        <w:t>, a</w:t>
      </w:r>
      <w:r w:rsidRPr="002C5876">
        <w:rPr>
          <w:vertAlign w:val="subscript"/>
        </w:rPr>
        <w:t>2</w:t>
      </w:r>
      <w:r w:rsidRPr="002C5876">
        <w:t>, a</w:t>
      </w:r>
      <w:r w:rsidRPr="002C5876">
        <w:rPr>
          <w:vertAlign w:val="subscript"/>
        </w:rPr>
        <w:t>3</w:t>
      </w:r>
      <w:r w:rsidRPr="002C5876">
        <w:t xml:space="preserve"> et a</w:t>
      </w:r>
      <w:r w:rsidRPr="002C5876">
        <w:rPr>
          <w:vertAlign w:val="subscript"/>
        </w:rPr>
        <w:t>4</w:t>
      </w:r>
      <w:r w:rsidRPr="002C5876">
        <w:t>, M</w:t>
      </w:r>
      <w:r w:rsidRPr="002C5876">
        <w:rPr>
          <w:vertAlign w:val="subscript"/>
        </w:rPr>
        <w:t>e</w:t>
      </w:r>
      <w:r w:rsidRPr="002C5876">
        <w:t xml:space="preserve">, </w:t>
      </w:r>
      <w:r w:rsidRPr="002C5876">
        <w:rPr>
          <w:noProof/>
          <w:position w:val="-24"/>
          <w:lang w:val="en-GB" w:eastAsia="zh-CN"/>
        </w:rPr>
        <w:drawing>
          <wp:inline distT="0" distB="0" distL="0" distR="0" wp14:anchorId="3EA49AA1" wp14:editId="4BCCF565">
            <wp:extent cx="647700" cy="304800"/>
            <wp:effectExtent l="0" t="0" r="0" b="0"/>
            <wp:docPr id="812"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2C5876">
        <w:t>, v, v</w:t>
      </w:r>
      <w:r w:rsidRPr="002C5876">
        <w:rPr>
          <w:vertAlign w:val="subscript"/>
        </w:rPr>
        <w:t>r</w:t>
      </w:r>
      <w:r w:rsidRPr="002C5876">
        <w:t xml:space="preserve"> et p. </w:t>
      </w:r>
    </w:p>
    <w:p w:rsidR="00E24DB7" w:rsidRPr="002C5876" w:rsidRDefault="00E24DB7" w:rsidP="00E24DB7">
      <w:pPr>
        <w:pStyle w:val="SingleTxtG"/>
        <w:keepNext/>
        <w:ind w:left="2268" w:hanging="1134"/>
        <w:jc w:val="left"/>
      </w:pPr>
      <w:r w:rsidRPr="002C5876">
        <w:t>4.3.2.6.4</w:t>
      </w:r>
      <w:r w:rsidRPr="002C5876">
        <w:tab/>
        <w:t>Valeurs aberrantes</w:t>
      </w:r>
    </w:p>
    <w:p w:rsidR="00E24DB7" w:rsidRPr="002C5876" w:rsidRDefault="00E24DB7" w:rsidP="00E24DB7">
      <w:pPr>
        <w:pStyle w:val="SingleTxtG"/>
        <w:ind w:left="2268"/>
      </w:pPr>
      <w:r w:rsidRPr="002C5876">
        <w:t xml:space="preserve">La valeur prédictive de force </w:t>
      </w:r>
      <w:r w:rsidRPr="002C5876">
        <w:rPr>
          <w:noProof/>
          <w:position w:val="-24"/>
          <w:lang w:val="en-GB" w:eastAsia="zh-CN"/>
        </w:rPr>
        <w:drawing>
          <wp:inline distT="0" distB="0" distL="0" distR="0" wp14:anchorId="10EEF48B" wp14:editId="3A282B99">
            <wp:extent cx="495300" cy="371475"/>
            <wp:effectExtent l="0" t="0" r="0" b="9525"/>
            <wp:docPr id="81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5300" cy="371475"/>
                    </a:xfrm>
                    <a:prstGeom prst="rect">
                      <a:avLst/>
                    </a:prstGeom>
                    <a:noFill/>
                    <a:ln>
                      <a:noFill/>
                    </a:ln>
                  </pic:spPr>
                </pic:pic>
              </a:graphicData>
            </a:graphic>
          </wp:inline>
        </w:drawing>
      </w:r>
      <w:r w:rsidRPr="002C5876">
        <w:t xml:space="preserve"> doit être calculée et comparée aux points de données observés. Les points de données présentant des écarts excessifs, par exemple supérieurs à trois écarts types, doivent être marqués d’un repère.</w:t>
      </w:r>
    </w:p>
    <w:p w:rsidR="00E24DB7" w:rsidRPr="002C5876" w:rsidRDefault="00E24DB7" w:rsidP="00E24DB7">
      <w:pPr>
        <w:pStyle w:val="SingleTxtG"/>
        <w:keepNext/>
        <w:ind w:left="2268" w:hanging="1134"/>
        <w:jc w:val="left"/>
      </w:pPr>
      <w:r w:rsidRPr="002C5876">
        <w:t>4.3.2.6.5</w:t>
      </w:r>
      <w:r w:rsidRPr="002C5876">
        <w:tab/>
        <w:t>Filtrage des données (optionnel)</w:t>
      </w:r>
    </w:p>
    <w:p w:rsidR="00E24DB7" w:rsidRPr="002C5876" w:rsidRDefault="00E24DB7" w:rsidP="00E24DB7">
      <w:pPr>
        <w:pStyle w:val="SingleTxtG"/>
        <w:ind w:left="2268"/>
      </w:pPr>
      <w:r w:rsidRPr="002C5876">
        <w:t>Des techniques appropriées de filtrage des données peuvent être employées ; les points de données restants doivent être lissés.</w:t>
      </w:r>
    </w:p>
    <w:p w:rsidR="00E24DB7" w:rsidRPr="002C5876" w:rsidRDefault="00E24DB7" w:rsidP="00E24DB7">
      <w:pPr>
        <w:pStyle w:val="SingleTxtG"/>
        <w:keepNext/>
        <w:ind w:left="2268" w:hanging="1134"/>
        <w:jc w:val="left"/>
      </w:pPr>
      <w:r w:rsidRPr="002C5876">
        <w:t>4.3.2.6.6</w:t>
      </w:r>
      <w:r w:rsidRPr="002C5876">
        <w:tab/>
        <w:t>Élimination de données</w:t>
      </w:r>
    </w:p>
    <w:p w:rsidR="00E24DB7" w:rsidRPr="002C5876" w:rsidRDefault="00E24DB7" w:rsidP="00E24DB7">
      <w:pPr>
        <w:pStyle w:val="SingleTxtG"/>
        <w:ind w:left="2268"/>
      </w:pPr>
      <w:r w:rsidRPr="002C5876">
        <w:t xml:space="preserve">Les points de données pour lesquels les angles de lacet sont supérieurs à </w:t>
      </w:r>
      <w:r w:rsidRPr="002C5876">
        <w:sym w:font="Symbol" w:char="F0B1"/>
      </w:r>
      <w:r w:rsidRPr="002C5876">
        <w:t>20° par rapport à la direction de déplacement du véhicule doivent être marqués d’un repère. Les points de données pour lesquels les valeurs de vent relatif sont de moins de +5 km/h (afin d’éviter des conditions où la vitesse d’un vent arrière est supérieure à la vitesse du véhicule) doivent aussi être marqués d’un repère. L’analyse des données doit être limitée aux vitesses du véhicule comprises dans la plage de vitesse sélectionnée conformément au paragraphe 4.3.2.2 de la présente annexe.</w:t>
      </w:r>
    </w:p>
    <w:p w:rsidR="00E24DB7" w:rsidRPr="002C5876" w:rsidRDefault="00E24DB7" w:rsidP="00E24DB7">
      <w:pPr>
        <w:pStyle w:val="SingleTxtG"/>
        <w:keepNext/>
        <w:ind w:left="2268" w:hanging="1134"/>
        <w:jc w:val="left"/>
      </w:pPr>
      <w:r w:rsidRPr="002C5876">
        <w:t>4.3.2.6.7</w:t>
      </w:r>
      <w:r w:rsidRPr="002C5876">
        <w:tab/>
        <w:t>Analyse des données finales</w:t>
      </w:r>
    </w:p>
    <w:p w:rsidR="00E24DB7" w:rsidRPr="002C5876" w:rsidRDefault="00E24DB7" w:rsidP="00E24DB7">
      <w:pPr>
        <w:pStyle w:val="SingleTxtG"/>
        <w:ind w:left="2268"/>
      </w:pPr>
      <w:r w:rsidRPr="002C5876">
        <w:t xml:space="preserve">Toutes les données qui n’ont pas été marquées d’un repère doivent être analysées par une technique de régression linéaire par la méthode des moindres </w:t>
      </w:r>
      <w:r w:rsidRPr="002C5876">
        <w:lastRenderedPageBreak/>
        <w:t>carrés. M</w:t>
      </w:r>
      <w:r w:rsidRPr="002C5876">
        <w:rPr>
          <w:vertAlign w:val="subscript"/>
        </w:rPr>
        <w:t>e</w:t>
      </w:r>
      <w:r w:rsidRPr="002C5876">
        <w:t xml:space="preserve">, </w:t>
      </w:r>
      <w:r w:rsidRPr="002C5876">
        <w:rPr>
          <w:noProof/>
          <w:position w:val="-24"/>
          <w:lang w:val="en-GB" w:eastAsia="zh-CN"/>
        </w:rPr>
        <w:drawing>
          <wp:inline distT="0" distB="0" distL="0" distR="0" wp14:anchorId="321D61C7" wp14:editId="2C3CD6ED">
            <wp:extent cx="647700" cy="304800"/>
            <wp:effectExtent l="0" t="0" r="0" b="0"/>
            <wp:docPr id="810"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2C5876">
        <w:t>, v, v</w:t>
      </w:r>
      <w:r w:rsidRPr="002C5876">
        <w:rPr>
          <w:vertAlign w:val="subscript"/>
        </w:rPr>
        <w:t>r</w:t>
      </w:r>
      <w:r w:rsidRPr="002C5876">
        <w:t xml:space="preserve"> et ρ étant connus, A</w:t>
      </w:r>
      <w:r w:rsidRPr="002C5876">
        <w:rPr>
          <w:vertAlign w:val="subscript"/>
        </w:rPr>
        <w:t>m</w:t>
      </w:r>
      <w:r w:rsidRPr="002C5876">
        <w:t>, B</w:t>
      </w:r>
      <w:r w:rsidRPr="002C5876">
        <w:rPr>
          <w:vertAlign w:val="subscript"/>
        </w:rPr>
        <w:t>m</w:t>
      </w:r>
      <w:r w:rsidRPr="002C5876">
        <w:t>, C</w:t>
      </w:r>
      <w:r w:rsidRPr="002C5876">
        <w:rPr>
          <w:vertAlign w:val="subscript"/>
        </w:rPr>
        <w:t>m</w:t>
      </w:r>
      <w:r w:rsidRPr="002C5876">
        <w:t>, a</w:t>
      </w:r>
      <w:r w:rsidRPr="002C5876">
        <w:rPr>
          <w:vertAlign w:val="subscript"/>
        </w:rPr>
        <w:t>0</w:t>
      </w:r>
      <w:r w:rsidRPr="002C5876">
        <w:t>, a</w:t>
      </w:r>
      <w:r w:rsidRPr="002C5876">
        <w:rPr>
          <w:vertAlign w:val="subscript"/>
        </w:rPr>
        <w:t>1</w:t>
      </w:r>
      <w:r w:rsidRPr="002C5876">
        <w:t>, a</w:t>
      </w:r>
      <w:r w:rsidRPr="002C5876">
        <w:rPr>
          <w:vertAlign w:val="subscript"/>
        </w:rPr>
        <w:t>2</w:t>
      </w:r>
      <w:r w:rsidRPr="002C5876">
        <w:t>, a</w:t>
      </w:r>
      <w:r w:rsidRPr="002C5876">
        <w:rPr>
          <w:vertAlign w:val="subscript"/>
        </w:rPr>
        <w:t>3</w:t>
      </w:r>
      <w:r w:rsidRPr="002C5876">
        <w:t xml:space="preserve"> et a</w:t>
      </w:r>
      <w:r w:rsidRPr="002C5876">
        <w:rPr>
          <w:vertAlign w:val="subscript"/>
        </w:rPr>
        <w:t>4</w:t>
      </w:r>
      <w:r w:rsidRPr="002C5876">
        <w:t xml:space="preserve"> doivent être déterminés.</w:t>
      </w:r>
    </w:p>
    <w:p w:rsidR="00E24DB7" w:rsidRPr="002C5876" w:rsidRDefault="00E24DB7" w:rsidP="00E24DB7">
      <w:pPr>
        <w:pStyle w:val="SingleTxtG"/>
        <w:keepNext/>
        <w:ind w:left="2268" w:hanging="1134"/>
        <w:jc w:val="left"/>
      </w:pPr>
      <w:r w:rsidRPr="002C5876">
        <w:t>4.3.2.6.8</w:t>
      </w:r>
      <w:r w:rsidRPr="002C5876">
        <w:tab/>
        <w:t>Méthode de l’analyse contrainte</w:t>
      </w:r>
    </w:p>
    <w:p w:rsidR="00E24DB7" w:rsidRPr="002C5876" w:rsidRDefault="00E24DB7" w:rsidP="00E24DB7">
      <w:pPr>
        <w:pStyle w:val="SingleTxtG"/>
        <w:ind w:left="2268"/>
      </w:pPr>
      <w:r w:rsidRPr="002C5876">
        <w:t>Afin de mieux dissocier la traînée aérodynamique et la résistance au roulement mécanique, une analyse contrainte peut être appliquée de manière à pouvoir donner à la surface frontale du véhicule A</w:t>
      </w:r>
      <w:r w:rsidRPr="002C5876">
        <w:rPr>
          <w:vertAlign w:val="subscript"/>
        </w:rPr>
        <w:t>f</w:t>
      </w:r>
      <w:r w:rsidRPr="002C5876">
        <w:t xml:space="preserve"> et au coefficient de traînée C</w:t>
      </w:r>
      <w:r w:rsidRPr="002C5876">
        <w:rPr>
          <w:vertAlign w:val="subscript"/>
        </w:rPr>
        <w:t>D</w:t>
      </w:r>
      <w:r w:rsidRPr="002C5876">
        <w:t xml:space="preserve"> des valeurs fixes précédemment déterminées.</w:t>
      </w:r>
    </w:p>
    <w:p w:rsidR="00E24DB7" w:rsidRPr="002C5876" w:rsidRDefault="00E24DB7" w:rsidP="00E24DB7">
      <w:pPr>
        <w:pStyle w:val="SingleTxtG"/>
        <w:keepNext/>
        <w:ind w:left="2268" w:hanging="1134"/>
        <w:jc w:val="left"/>
      </w:pPr>
      <w:r w:rsidRPr="002C5876">
        <w:t>4.3.2.6.9</w:t>
      </w:r>
      <w:r w:rsidRPr="002C5876">
        <w:tab/>
        <w:t>Correction pour rapporter les mesures aux conditions de référence</w:t>
      </w:r>
    </w:p>
    <w:p w:rsidR="00E24DB7" w:rsidRPr="002C5876" w:rsidRDefault="00E24DB7" w:rsidP="00E24DB7">
      <w:pPr>
        <w:pStyle w:val="SingleTxtG"/>
        <w:ind w:left="2268"/>
      </w:pPr>
      <w:r w:rsidRPr="002C5876">
        <w:t>Les équations de mouvement doivent être corrigées pour rapporter les mesures aux conditions de référence comme spécifié au paragraphe 4.5 de la présente annexe.</w:t>
      </w:r>
    </w:p>
    <w:p w:rsidR="00E24DB7" w:rsidRPr="002C5876" w:rsidRDefault="00E24DB7" w:rsidP="00E24DB7">
      <w:pPr>
        <w:pStyle w:val="SingleTxtG"/>
        <w:keepNext/>
        <w:ind w:left="2268" w:hanging="1134"/>
        <w:jc w:val="left"/>
      </w:pPr>
      <w:r w:rsidRPr="002C5876">
        <w:t>4.3.2.6.10</w:t>
      </w:r>
      <w:r w:rsidRPr="002C5876">
        <w:tab/>
        <w:t>Critères statistiques pour les essais avec instruments anémométriques embarqués</w:t>
      </w:r>
    </w:p>
    <w:p w:rsidR="00E24DB7" w:rsidRPr="002C5876" w:rsidRDefault="00E24DB7" w:rsidP="00E24DB7">
      <w:pPr>
        <w:pStyle w:val="SingleTxtG"/>
        <w:spacing w:after="240"/>
        <w:ind w:left="2268"/>
      </w:pPr>
      <w:r w:rsidRPr="002C5876">
        <w:t xml:space="preserve">L’exclusion de chaque paire individuelle de parcours de décélération libre doit modifier la résistance à l’avancement sur route calculée pour chaque vitesse de référence de décélération libre </w:t>
      </w:r>
      <m:oMath>
        <m:sSub>
          <m:sSubPr>
            <m:ctrlPr>
              <w:rPr>
                <w:rFonts w:ascii="Cambria Math" w:hAnsi="Cambria Math"/>
              </w:rPr>
            </m:ctrlPr>
          </m:sSubPr>
          <m:e>
            <m:r>
              <m:rPr>
                <m:sty m:val="p"/>
              </m:rPr>
              <w:rPr>
                <w:rFonts w:ascii="Cambria Math"/>
              </w:rPr>
              <m:t>v</m:t>
            </m:r>
          </m:e>
          <m:sub>
            <m:r>
              <m:rPr>
                <m:sty m:val="p"/>
              </m:rPr>
              <w:rPr>
                <w:rFonts w:ascii="Cambria Math"/>
              </w:rPr>
              <m:t>j</m:t>
            </m:r>
          </m:sub>
        </m:sSub>
      </m:oMath>
      <w:r w:rsidRPr="002C5876">
        <w:t xml:space="preserve"> d’une valeur moindre que la condition de convergence, pour toutes les valeurs </w:t>
      </w:r>
      <m:oMath>
        <m:r>
          <m:rPr>
            <m:sty m:val="p"/>
          </m:rPr>
          <w:rPr>
            <w:rFonts w:ascii="Cambria Math"/>
          </w:rPr>
          <m:t xml:space="preserve">i </m:t>
        </m:r>
      </m:oMath>
      <w:r w:rsidRPr="002C5876">
        <w:t xml:space="preserve">et </w:t>
      </w:r>
      <m:oMath>
        <m:r>
          <m:rPr>
            <m:sty m:val="p"/>
          </m:rPr>
          <w:rPr>
            <w:rFonts w:ascii="Cambria Math"/>
          </w:rPr>
          <m:t>j</m:t>
        </m:r>
        <m:r>
          <m:rPr>
            <m:sty m:val="p"/>
          </m:rPr>
          <w:rPr>
            <w:rFonts w:ascii="Cambria Math"/>
          </w:rPr>
          <m:t> </m:t>
        </m:r>
      </m:oMath>
      <w:r w:rsidRPr="002C5876">
        <w:t>:</w:t>
      </w:r>
    </w:p>
    <w:p w:rsidR="00E24DB7" w:rsidRPr="00D53F39" w:rsidRDefault="00E24DB7" w:rsidP="00E24DB7">
      <w:pPr>
        <w:pStyle w:val="SingleTxtG"/>
        <w:spacing w:after="240"/>
        <w:ind w:left="2268"/>
        <w:rPr>
          <w:rFonts w:eastAsiaTheme="minorEastAsia"/>
          <w:lang w:val="en-US"/>
        </w:rPr>
      </w:pPr>
      <m:oMathPara>
        <m:oMathParaPr>
          <m:jc m:val="center"/>
        </m:oMathParaPr>
        <m:oMath>
          <m:r>
            <m:rPr>
              <m:nor/>
            </m:rPr>
            <w:rPr>
              <w:rFonts w:asciiTheme="majorBidi" w:hAnsiTheme="majorBidi" w:cstheme="majorBidi"/>
              <w:lang w:val="en-US"/>
            </w:rPr>
            <m:t>∆</m:t>
          </m:r>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i</m:t>
              </m:r>
            </m:sub>
          </m:sSub>
          <m:r>
            <m:rPr>
              <m:nor/>
            </m:rPr>
            <w:rPr>
              <w:rFonts w:asciiTheme="majorBidi" w:hAnsiTheme="majorBidi" w:cstheme="majorBidi"/>
              <w:lang w:val="en-US"/>
            </w:rPr>
            <m:t>(</m:t>
          </m:r>
          <m:sSub>
            <m:sSubPr>
              <m:ctrlPr>
                <w:rPr>
                  <w:rFonts w:ascii="Cambria Math" w:hAnsi="Cambria Math" w:cstheme="majorBidi"/>
                </w:rPr>
              </m:ctrlPr>
            </m:sSubPr>
            <m:e>
              <m:r>
                <m:rPr>
                  <m:nor/>
                </m:rPr>
                <w:rPr>
                  <w:rFonts w:asciiTheme="majorBidi" w:hAnsiTheme="majorBidi" w:cstheme="majorBidi"/>
                  <w:lang w:val="en-US"/>
                </w:rPr>
                <m:t>v</m:t>
              </m:r>
            </m:e>
            <m:sub>
              <m:r>
                <m:rPr>
                  <m:nor/>
                </m:rPr>
                <w:rPr>
                  <w:rFonts w:asciiTheme="majorBidi" w:hAnsiTheme="majorBidi" w:cstheme="majorBidi"/>
                  <w:lang w:val="en-US"/>
                </w:rPr>
                <m:t>j</m:t>
              </m:r>
            </m:sub>
          </m:sSub>
          <m:r>
            <m:rPr>
              <m:nor/>
            </m:rPr>
            <w:rPr>
              <w:rFonts w:asciiTheme="majorBidi" w:hAnsiTheme="majorBidi" w:cstheme="majorBidi"/>
              <w:lang w:val="en-US"/>
            </w:rPr>
            <m:t>)/F(</m:t>
          </m:r>
          <m:sSub>
            <m:sSubPr>
              <m:ctrlPr>
                <w:rPr>
                  <w:rFonts w:ascii="Cambria Math" w:hAnsi="Cambria Math" w:cstheme="majorBidi"/>
                </w:rPr>
              </m:ctrlPr>
            </m:sSubPr>
            <m:e>
              <m:r>
                <m:rPr>
                  <m:nor/>
                </m:rPr>
                <w:rPr>
                  <w:rFonts w:asciiTheme="majorBidi" w:hAnsiTheme="majorBidi" w:cstheme="majorBidi"/>
                  <w:lang w:val="en-US"/>
                </w:rPr>
                <m:t>v</m:t>
              </m:r>
            </m:e>
            <m:sub>
              <m:r>
                <m:rPr>
                  <m:nor/>
                </m:rPr>
                <w:rPr>
                  <w:rFonts w:asciiTheme="majorBidi" w:hAnsiTheme="majorBidi" w:cstheme="majorBidi"/>
                  <w:lang w:val="en-US"/>
                </w:rPr>
                <m:t>j</m:t>
              </m:r>
            </m:sub>
          </m:sSub>
          <m:r>
            <m:rPr>
              <m:nor/>
            </m:rPr>
            <w:rPr>
              <w:rFonts w:asciiTheme="majorBidi" w:hAnsiTheme="majorBidi" w:cstheme="majorBidi"/>
              <w:lang w:val="en-US"/>
            </w:rPr>
            <m:t>) ≤ </m:t>
          </m:r>
          <m:f>
            <m:fPr>
              <m:ctrlPr>
                <w:rPr>
                  <w:rFonts w:ascii="Cambria Math" w:hAnsi="Cambria Math" w:cstheme="majorBidi"/>
                </w:rPr>
              </m:ctrlPr>
            </m:fPr>
            <m:num>
              <m:r>
                <m:rPr>
                  <m:nor/>
                </m:rPr>
                <w:rPr>
                  <w:rFonts w:asciiTheme="majorBidi" w:hAnsiTheme="majorBidi" w:cstheme="majorBidi"/>
                  <w:lang w:val="en-US"/>
                </w:rPr>
                <m:t>0,03</m:t>
              </m:r>
            </m:num>
            <m:den>
              <m:rad>
                <m:radPr>
                  <m:degHide m:val="1"/>
                  <m:ctrlPr>
                    <w:rPr>
                      <w:rFonts w:ascii="Cambria Math" w:hAnsi="Cambria Math" w:cstheme="majorBidi"/>
                    </w:rPr>
                  </m:ctrlPr>
                </m:radPr>
                <m:deg/>
                <m:e>
                  <m:r>
                    <m:rPr>
                      <m:nor/>
                    </m:rPr>
                    <w:rPr>
                      <w:rFonts w:asciiTheme="majorBidi" w:hAnsiTheme="majorBidi" w:cstheme="majorBidi"/>
                      <w:lang w:val="en-US"/>
                    </w:rPr>
                    <m:t>n</m:t>
                  </m:r>
                  <m:r>
                    <m:rPr>
                      <m:nor/>
                    </m:rPr>
                    <w:rPr>
                      <w:rFonts w:ascii="Cambria Math" w:hAnsiTheme="majorBidi" w:cstheme="majorBidi"/>
                      <w:lang w:val="en-US"/>
                    </w:rPr>
                    <m:t>–</m:t>
                  </m:r>
                  <m:r>
                    <m:rPr>
                      <m:nor/>
                    </m:rPr>
                    <w:rPr>
                      <w:rFonts w:asciiTheme="majorBidi" w:hAnsiTheme="majorBidi" w:cstheme="majorBidi"/>
                      <w:lang w:val="en-US"/>
                    </w:rPr>
                    <m:t>1</m:t>
                  </m:r>
                </m:e>
              </m:rad>
            </m:den>
          </m:f>
        </m:oMath>
      </m:oMathPara>
    </w:p>
    <w:p w:rsidR="00E24DB7" w:rsidRPr="00D53F39" w:rsidRDefault="00E24DB7" w:rsidP="00E24DB7">
      <w:pPr>
        <w:pStyle w:val="SingleTxtG"/>
        <w:keepNext/>
        <w:ind w:left="2268"/>
        <w:rPr>
          <w:lang w:val="en-US"/>
        </w:rPr>
      </w:pPr>
      <w:r w:rsidRPr="00D53F39">
        <w:rPr>
          <w:lang w:val="en-US"/>
        </w:rPr>
        <w:t>où :</w:t>
      </w:r>
    </w:p>
    <w:p w:rsidR="00E24DB7" w:rsidRPr="002C5876" w:rsidRDefault="00E24DB7" w:rsidP="00E24DB7">
      <w:pPr>
        <w:pStyle w:val="SingleTxtG"/>
        <w:ind w:left="3402" w:hanging="1134"/>
      </w:pPr>
      <w:r w:rsidRPr="002C5876">
        <w:rPr>
          <w:noProof/>
          <w:position w:val="-12"/>
          <w:lang w:val="en-GB" w:eastAsia="zh-CN"/>
        </w:rPr>
        <w:drawing>
          <wp:inline distT="0" distB="0" distL="0" distR="0" wp14:anchorId="350E0E73" wp14:editId="774D2F23">
            <wp:extent cx="419100" cy="209550"/>
            <wp:effectExtent l="0" t="0" r="0" b="0"/>
            <wp:docPr id="808"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2C5876">
        <w:tab/>
        <w:t>est la différence entre la résistance à l’avancement sur route calculée avec tous les parcours de décélération libre et la résistance à l’avancement sur route calculée avec la i</w:t>
      </w:r>
      <w:r w:rsidRPr="002C5876">
        <w:rPr>
          <w:vertAlign w:val="superscript"/>
        </w:rPr>
        <w:t>e</w:t>
      </w:r>
      <w:r w:rsidRPr="002C5876">
        <w:t xml:space="preserve"> paire de parcours exclue, en N ;</w:t>
      </w:r>
    </w:p>
    <w:p w:rsidR="00E24DB7" w:rsidRPr="002C5876" w:rsidRDefault="00E24DB7" w:rsidP="00E24DB7">
      <w:pPr>
        <w:pStyle w:val="SingleTxtG"/>
        <w:ind w:left="3402" w:hanging="1134"/>
      </w:pPr>
      <w:r w:rsidRPr="002C5876">
        <w:rPr>
          <w:noProof/>
          <w:position w:val="-12"/>
          <w:lang w:val="en-GB" w:eastAsia="zh-CN"/>
        </w:rPr>
        <w:drawing>
          <wp:inline distT="0" distB="0" distL="0" distR="0" wp14:anchorId="671637FD" wp14:editId="5A6EE2DD">
            <wp:extent cx="304800" cy="209550"/>
            <wp:effectExtent l="0" t="0" r="0" b="0"/>
            <wp:docPr id="807"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2C5876">
        <w:tab/>
        <w:t>est la résistance à l’avancement sur route calculée avec tous les parcours de décélération libre inclus, en N ;</w:t>
      </w:r>
    </w:p>
    <w:p w:rsidR="00E24DB7" w:rsidRPr="002C5876" w:rsidRDefault="00731CA6" w:rsidP="00E24DB7">
      <w:pPr>
        <w:pStyle w:val="SingleTxtG"/>
        <w:ind w:left="3402" w:hanging="1134"/>
      </w:pPr>
      <m:oMath>
        <m:sSub>
          <m:sSubPr>
            <m:ctrlPr>
              <w:rPr>
                <w:rFonts w:ascii="Cambria Math" w:hAnsi="Cambria Math"/>
              </w:rPr>
            </m:ctrlPr>
          </m:sSubPr>
          <m:e>
            <m:r>
              <m:rPr>
                <m:sty m:val="p"/>
              </m:rPr>
              <w:rPr>
                <w:rFonts w:ascii="Cambria Math"/>
              </w:rPr>
              <m:t>v</m:t>
            </m:r>
          </m:e>
          <m:sub>
            <m:r>
              <m:rPr>
                <m:sty m:val="p"/>
              </m:rPr>
              <w:rPr>
                <w:rFonts w:ascii="Cambria Math"/>
              </w:rPr>
              <m:t>j</m:t>
            </m:r>
          </m:sub>
        </m:sSub>
      </m:oMath>
      <w:r w:rsidR="00E24DB7" w:rsidRPr="002C5876">
        <w:tab/>
        <w:t>est la vitesse de référence, en km/h ;</w:t>
      </w:r>
    </w:p>
    <w:p w:rsidR="00E24DB7" w:rsidRPr="002C5876" w:rsidRDefault="00E24DB7" w:rsidP="00E24DB7">
      <w:pPr>
        <w:pStyle w:val="SingleTxtG"/>
        <w:ind w:left="3402" w:hanging="1134"/>
      </w:pPr>
      <m:oMath>
        <m:r>
          <m:rPr>
            <m:sty m:val="p"/>
          </m:rPr>
          <w:rPr>
            <w:rFonts w:ascii="Cambria Math"/>
          </w:rPr>
          <m:t>n</m:t>
        </m:r>
      </m:oMath>
      <w:r w:rsidRPr="002C5876">
        <w:tab/>
        <w:t>est le nombre de paires individuelles de parcours de décélération libre, toutes paires valides inclues.</w:t>
      </w:r>
    </w:p>
    <w:p w:rsidR="00E24DB7" w:rsidRPr="002C5876" w:rsidRDefault="00E24DB7" w:rsidP="00E24DB7">
      <w:pPr>
        <w:pStyle w:val="SingleTxtG"/>
        <w:ind w:left="2268"/>
      </w:pPr>
      <w:r w:rsidRPr="002C5876">
        <w:t>Si la condition de convergence n’est pas remplie, des paires sont exclues de l’analyse, à commencer par la paire produisant la plus forte variation de résistance à l’avancement sur route calculée, jusqu’à ce que la condition de convergence soit remplie, sous réserve qu’un minimum de 5 paires valides soient utilisées pour la détermination finale de la résistance à l’avancement sur route.</w:t>
      </w:r>
    </w:p>
    <w:p w:rsidR="00E24DB7" w:rsidRPr="002C5876" w:rsidRDefault="00E24DB7" w:rsidP="00E24DB7">
      <w:pPr>
        <w:pStyle w:val="SingleTxtG"/>
        <w:keepNext/>
        <w:ind w:left="2268" w:hanging="1134"/>
        <w:jc w:val="left"/>
      </w:pPr>
      <w:r w:rsidRPr="002C5876">
        <w:t>4.4</w:t>
      </w:r>
      <w:r w:rsidRPr="002C5876">
        <w:tab/>
        <w:t>Mesure et calcul de la résistance à l’avancement</w:t>
      </w:r>
      <w:r w:rsidRPr="002C5876">
        <w:rPr>
          <w:i/>
        </w:rPr>
        <w:t xml:space="preserve"> </w:t>
      </w:r>
      <w:r w:rsidRPr="002C5876">
        <w:t>par la méthode des capteurs de couple</w:t>
      </w:r>
    </w:p>
    <w:p w:rsidR="00E24DB7" w:rsidRPr="002C5876" w:rsidRDefault="00E24DB7" w:rsidP="00E24DB7">
      <w:pPr>
        <w:pStyle w:val="SingleTxtG"/>
        <w:ind w:left="2268"/>
      </w:pPr>
      <w:r w:rsidRPr="002C5876">
        <w:t>Comme alternative à la méthode de la décélération libre, on peut aussi utiliser la méthode des capteurs de couple. Dans ce cas la résistance à l’avancement</w:t>
      </w:r>
      <w:r w:rsidRPr="002C5876">
        <w:rPr>
          <w:i/>
        </w:rPr>
        <w:t xml:space="preserve"> </w:t>
      </w:r>
      <w:r w:rsidRPr="002C5876">
        <w:t xml:space="preserve">est déterminée par mesure du couple à la roue sur les roues motrices aux points de vitesses de référence, sur des durées d’au moins 5 s. </w:t>
      </w:r>
    </w:p>
    <w:p w:rsidR="00E24DB7" w:rsidRPr="002C5876" w:rsidRDefault="00E24DB7" w:rsidP="00E24DB7">
      <w:pPr>
        <w:pStyle w:val="SingleTxtG"/>
        <w:keepNext/>
        <w:ind w:left="2268" w:hanging="1134"/>
        <w:jc w:val="left"/>
      </w:pPr>
      <w:r w:rsidRPr="002C5876">
        <w:t>4.4.1</w:t>
      </w:r>
      <w:r w:rsidRPr="002C5876">
        <w:tab/>
        <w:t>Installation des capteurs de couple</w:t>
      </w:r>
    </w:p>
    <w:p w:rsidR="00E24DB7" w:rsidRPr="002C5876" w:rsidRDefault="00E24DB7" w:rsidP="00E24DB7">
      <w:pPr>
        <w:pStyle w:val="SingleTxtG"/>
        <w:ind w:left="2268"/>
      </w:pPr>
      <w:r w:rsidRPr="002C5876">
        <w:t>Des capteurs de couple sont installés entre le moyeu et la roue de chaque roue motrice ; ils mesurent le couple nécessaire pour maintenir le véhicule à une vitesse constante.</w:t>
      </w:r>
    </w:p>
    <w:p w:rsidR="00E24DB7" w:rsidRPr="002C5876" w:rsidRDefault="00E24DB7" w:rsidP="00E24DB7">
      <w:pPr>
        <w:pStyle w:val="SingleTxtG"/>
        <w:ind w:left="2268"/>
      </w:pPr>
      <w:r w:rsidRPr="002C5876">
        <w:lastRenderedPageBreak/>
        <w:t>Le capteur de couple doit être étalonné régulièrement, au moins une fois par an, en conformité avec des normes nationales ou internationales, afin de satisfaire aux spécifications d’exactitude et de précision.</w:t>
      </w:r>
    </w:p>
    <w:p w:rsidR="00E24DB7" w:rsidRPr="002C5876" w:rsidRDefault="00E24DB7" w:rsidP="00E24DB7">
      <w:pPr>
        <w:pStyle w:val="SingleTxtG"/>
        <w:keepNext/>
        <w:ind w:left="2268" w:hanging="1134"/>
        <w:jc w:val="left"/>
      </w:pPr>
      <w:r w:rsidRPr="002C5876">
        <w:t>4.4.2</w:t>
      </w:r>
      <w:r w:rsidRPr="002C5876">
        <w:tab/>
        <w:t>Procédure et acquisition des données</w:t>
      </w:r>
    </w:p>
    <w:p w:rsidR="00E24DB7" w:rsidRPr="002C5876" w:rsidRDefault="00E24DB7" w:rsidP="00E24DB7">
      <w:pPr>
        <w:pStyle w:val="SingleTxtG"/>
        <w:keepNext/>
        <w:ind w:left="2268" w:hanging="1134"/>
        <w:jc w:val="left"/>
      </w:pPr>
      <w:r w:rsidRPr="002C5876">
        <w:t>4.4.2.1</w:t>
      </w:r>
      <w:r w:rsidRPr="002C5876">
        <w:tab/>
        <w:t xml:space="preserve">Sélection des vitesses de référence pour la détermination de la résistance </w:t>
      </w:r>
      <w:r w:rsidRPr="002C5876">
        <w:br/>
        <w:t>à l’avancement</w:t>
      </w:r>
    </w:p>
    <w:p w:rsidR="00E24DB7" w:rsidRPr="002C5876" w:rsidRDefault="00E24DB7" w:rsidP="00E24DB7">
      <w:pPr>
        <w:pStyle w:val="SingleTxtG"/>
        <w:ind w:left="2268"/>
      </w:pPr>
      <w:r w:rsidRPr="002C5876">
        <w:t>Les points de vitesses de référence pour la détermination de la résistance à l’avancement</w:t>
      </w:r>
      <w:r w:rsidRPr="002C5876">
        <w:rPr>
          <w:i/>
        </w:rPr>
        <w:t xml:space="preserve"> </w:t>
      </w:r>
      <w:r w:rsidRPr="002C5876">
        <w:t xml:space="preserve">doivent être sélectionnés conformément au paragraphe 2.2 de la présente annexe. </w:t>
      </w:r>
    </w:p>
    <w:p w:rsidR="00E24DB7" w:rsidRPr="002C5876" w:rsidRDefault="00E24DB7" w:rsidP="00E24DB7">
      <w:pPr>
        <w:pStyle w:val="SingleTxtG"/>
        <w:ind w:left="2268"/>
      </w:pPr>
      <w:r w:rsidRPr="002C5876">
        <w:t>Les mesures doivent être effectuées par ordre descendant des vitesses de référence. À la demande du constructeur, des périodes de stabilisation sont admises entre les mesures mais la vitesse de stabilisation ne doit pas dépasser la valeur de la vitesse de référence suivante.</w:t>
      </w:r>
    </w:p>
    <w:p w:rsidR="00E24DB7" w:rsidRPr="002C5876" w:rsidRDefault="00E24DB7" w:rsidP="00E24DB7">
      <w:pPr>
        <w:pStyle w:val="SingleTxtG"/>
        <w:keepNext/>
        <w:ind w:left="2268" w:hanging="1134"/>
        <w:jc w:val="left"/>
      </w:pPr>
      <w:r w:rsidRPr="002C5876">
        <w:rPr>
          <w:spacing w:val="-4"/>
        </w:rPr>
        <w:t>4.4.2.2</w:t>
      </w:r>
      <w:r w:rsidRPr="002C5876">
        <w:rPr>
          <w:spacing w:val="-4"/>
        </w:rPr>
        <w:tab/>
      </w:r>
      <w:r w:rsidRPr="002C5876">
        <w:t>Collecte des données</w:t>
      </w:r>
    </w:p>
    <w:p w:rsidR="00E24DB7" w:rsidRPr="002C5876" w:rsidRDefault="00E24DB7" w:rsidP="00E24DB7">
      <w:pPr>
        <w:pStyle w:val="SingleTxtG"/>
        <w:ind w:left="2268"/>
      </w:pPr>
      <w:r w:rsidRPr="002C5876">
        <w:t>Des jeux de données comprenant la vitesse réelle v</w:t>
      </w:r>
      <w:r w:rsidRPr="002C5876">
        <w:rPr>
          <w:vertAlign w:val="subscript"/>
        </w:rPr>
        <w:t>ji</w:t>
      </w:r>
      <w:r w:rsidRPr="002C5876">
        <w:t>, le couple réel C</w:t>
      </w:r>
      <w:r w:rsidRPr="002C5876">
        <w:rPr>
          <w:vertAlign w:val="subscript"/>
        </w:rPr>
        <w:t>ji</w:t>
      </w:r>
      <w:r w:rsidRPr="002C5876">
        <w:t xml:space="preserve"> et le temps sur des périodes d’au moins 5 s doivent être mesurés pour chaque v</w:t>
      </w:r>
      <w:r w:rsidRPr="002C5876">
        <w:rPr>
          <w:vertAlign w:val="subscript"/>
        </w:rPr>
        <w:t>j</w:t>
      </w:r>
      <w:r w:rsidRPr="002C5876">
        <w:t xml:space="preserve"> à une fréquence d’acquisition d’au moins 10 Hz. Le jeu de données recueilli sur une période pour une vitesse de référence v</w:t>
      </w:r>
      <w:r w:rsidRPr="002C5876">
        <w:rPr>
          <w:vertAlign w:val="subscript"/>
        </w:rPr>
        <w:t>j</w:t>
      </w:r>
      <w:r w:rsidRPr="002C5876">
        <w:t xml:space="preserve"> sera considéré comme représentant une mesure.</w:t>
      </w:r>
    </w:p>
    <w:p w:rsidR="00E24DB7" w:rsidRPr="002C5876" w:rsidRDefault="00E24DB7" w:rsidP="00E24DB7">
      <w:pPr>
        <w:pStyle w:val="SingleTxtG"/>
        <w:keepNext/>
        <w:ind w:left="2268" w:hanging="1134"/>
        <w:jc w:val="left"/>
      </w:pPr>
      <w:r w:rsidRPr="002C5876">
        <w:t>4.4.2.3</w:t>
      </w:r>
      <w:r w:rsidRPr="002C5876">
        <w:tab/>
        <w:t>Méthode de mesure avec des capteurs de couple</w:t>
      </w:r>
    </w:p>
    <w:p w:rsidR="00E24DB7" w:rsidRPr="002C5876" w:rsidRDefault="00E24DB7" w:rsidP="00E24DB7">
      <w:pPr>
        <w:pStyle w:val="SingleTxtG"/>
        <w:ind w:left="2268"/>
      </w:pPr>
      <w:r w:rsidRPr="002C5876">
        <w:t>Avant l’essai de mesure avec des capteurs de couple, un parcours de mise en température doit être effectué conformément au paragraphe 4.2.4 de la présente annexe.</w:t>
      </w:r>
    </w:p>
    <w:p w:rsidR="00E24DB7" w:rsidRPr="002C5876" w:rsidRDefault="00E24DB7" w:rsidP="00E24DB7">
      <w:pPr>
        <w:pStyle w:val="SingleTxtG"/>
        <w:ind w:left="2268"/>
      </w:pPr>
      <w:r w:rsidRPr="002C5876">
        <w:t>Pendant l’essai de mesure avec des capteurs de couple, tout mouvement du volant de direction doit être évité autant que possible, et les freins du véhicule ne doivent pas être actionnés.</w:t>
      </w:r>
    </w:p>
    <w:p w:rsidR="00E24DB7" w:rsidRPr="002C5876" w:rsidRDefault="00E24DB7" w:rsidP="00E24DB7">
      <w:pPr>
        <w:pStyle w:val="SingleTxtG"/>
        <w:ind w:left="2268"/>
      </w:pPr>
      <w:r w:rsidRPr="002C5876">
        <w:t>L’essai doit être répété jusqu’à ce que les données de résistance à l’avancement satisfassent aux conditions concernant la précision statistique comme spécifié au paragraphe 4.4.3.2 de la présente annexe.</w:t>
      </w:r>
    </w:p>
    <w:p w:rsidR="00E24DB7" w:rsidRPr="002C5876" w:rsidRDefault="00E24DB7" w:rsidP="00E24DB7">
      <w:pPr>
        <w:pStyle w:val="SingleTxtG"/>
        <w:ind w:left="2268"/>
      </w:pPr>
      <w:r w:rsidRPr="002C5876">
        <w:t>Bien qu’il soit recommandé que chaque essai de décélération libre soit effectué sans interruption, des essais fractionnés peuvent être exécutés s’il est impossible de collecter les données en une seule fois pour tous les points de vitesses de référence. Dans le cas des essais fractionnés, on doit veiller à ce que les conditions relatives au véhicule demeurent aussi stables que possible à chaque point de fractionnement.</w:t>
      </w:r>
    </w:p>
    <w:p w:rsidR="00E24DB7" w:rsidRPr="002C5876" w:rsidRDefault="00E24DB7" w:rsidP="00E24DB7">
      <w:pPr>
        <w:pStyle w:val="SingleTxtG"/>
        <w:keepNext/>
        <w:ind w:left="2268" w:hanging="1134"/>
        <w:jc w:val="left"/>
      </w:pPr>
      <w:r w:rsidRPr="002C5876">
        <w:t>4.4.2.4</w:t>
      </w:r>
      <w:r w:rsidRPr="002C5876">
        <w:tab/>
        <w:t>Écart de vitesse</w:t>
      </w:r>
    </w:p>
    <w:p w:rsidR="00E24DB7" w:rsidRPr="002C5876" w:rsidRDefault="00E24DB7" w:rsidP="00E24DB7">
      <w:pPr>
        <w:pStyle w:val="SingleTxtG"/>
        <w:ind w:left="2268"/>
      </w:pPr>
      <w:r w:rsidRPr="002C5876">
        <w:t>Lors d’une mesure effectuée en un point de vitesse de référence unique, l’écart de vitesse par rapport à la vitesse moyenne v</w:t>
      </w:r>
      <w:r w:rsidRPr="002C5876">
        <w:rPr>
          <w:vertAlign w:val="subscript"/>
        </w:rPr>
        <w:t>ji</w:t>
      </w:r>
      <w:r w:rsidRPr="002C5876">
        <w:t> - v</w:t>
      </w:r>
      <w:r w:rsidRPr="002C5876">
        <w:rPr>
          <w:vertAlign w:val="subscript"/>
        </w:rPr>
        <w:t>jm</w:t>
      </w:r>
      <w:r w:rsidRPr="002C5876">
        <w:t>, (calculé conformément au paragraphe 4.4.3 de la présente annexe) doit demeurer dans la fourchette de valeurs indiquée au tableau A4/6.</w:t>
      </w:r>
    </w:p>
    <w:p w:rsidR="00E24DB7" w:rsidRPr="002C5876" w:rsidRDefault="00E24DB7" w:rsidP="00E24DB7">
      <w:pPr>
        <w:pStyle w:val="SingleTxtG"/>
        <w:spacing w:after="240"/>
        <w:ind w:left="2268"/>
      </w:pPr>
      <w:r w:rsidRPr="002C5876">
        <w:t>En outre, la vitesse moyenne arithmétique v</w:t>
      </w:r>
      <w:r w:rsidRPr="002C5876">
        <w:rPr>
          <w:vertAlign w:val="subscript"/>
        </w:rPr>
        <w:t>jm</w:t>
      </w:r>
      <w:r w:rsidRPr="002C5876">
        <w:t xml:space="preserve"> en tout point de vitesse de référence ne doit pas s’écarter de la vitesse de référence v</w:t>
      </w:r>
      <w:r w:rsidRPr="002C5876">
        <w:rPr>
          <w:vertAlign w:val="subscript"/>
        </w:rPr>
        <w:t>j</w:t>
      </w:r>
      <w:r w:rsidRPr="002C5876">
        <w:t xml:space="preserve"> de plus de </w:t>
      </w:r>
      <w:r w:rsidRPr="002C5876">
        <w:sym w:font="Symbol" w:char="F0B1"/>
      </w:r>
      <w:r w:rsidRPr="002C5876">
        <w:t>1 km/h ou 2 % si cette valeur est plus grande.</w:t>
      </w:r>
    </w:p>
    <w:p w:rsidR="00E24DB7" w:rsidRPr="002C5876" w:rsidRDefault="00E24DB7" w:rsidP="00E24DB7">
      <w:pPr>
        <w:pStyle w:val="H23G"/>
      </w:pPr>
      <w:r w:rsidRPr="002C5876">
        <w:rPr>
          <w:b w:val="0"/>
        </w:rPr>
        <w:tab/>
      </w:r>
      <w:r w:rsidRPr="002C5876">
        <w:rPr>
          <w:b w:val="0"/>
        </w:rPr>
        <w:tab/>
        <w:t>Tableau A4/6</w:t>
      </w:r>
      <w:r w:rsidRPr="002C5876">
        <w:br/>
        <w:t>Écart de vitesse</w:t>
      </w:r>
    </w:p>
    <w:tbl>
      <w:tblPr>
        <w:tblW w:w="7370" w:type="dxa"/>
        <w:tblInd w:w="1134" w:type="dxa"/>
        <w:tblLayout w:type="fixed"/>
        <w:tblCellMar>
          <w:left w:w="0" w:type="dxa"/>
          <w:right w:w="0" w:type="dxa"/>
        </w:tblCellMar>
        <w:tblLook w:val="04A0" w:firstRow="1" w:lastRow="0" w:firstColumn="1" w:lastColumn="0" w:noHBand="0" w:noVBand="1"/>
      </w:tblPr>
      <w:tblGrid>
        <w:gridCol w:w="3685"/>
        <w:gridCol w:w="3685"/>
      </w:tblGrid>
      <w:tr w:rsidR="00E24DB7" w:rsidRPr="002C5876" w:rsidTr="00E24DB7">
        <w:trPr>
          <w:tblHeader/>
        </w:trPr>
        <w:tc>
          <w:tcPr>
            <w:tcW w:w="3685" w:type="dxa"/>
            <w:tcBorders>
              <w:top w:val="single" w:sz="4" w:space="0" w:color="auto"/>
              <w:bottom w:val="single" w:sz="12" w:space="0" w:color="auto"/>
            </w:tcBorders>
            <w:shd w:val="clear" w:color="auto" w:fill="auto"/>
            <w:vAlign w:val="bottom"/>
            <w:hideMark/>
          </w:tcPr>
          <w:p w:rsidR="00E24DB7" w:rsidRPr="002C5876" w:rsidRDefault="00E24DB7" w:rsidP="00E24DB7">
            <w:pPr>
              <w:suppressAutoHyphens w:val="0"/>
              <w:spacing w:before="80" w:after="80" w:line="200" w:lineRule="exact"/>
              <w:jc w:val="center"/>
              <w:rPr>
                <w:i/>
                <w:sz w:val="16"/>
              </w:rPr>
            </w:pPr>
            <w:r w:rsidRPr="002C5876">
              <w:rPr>
                <w:i/>
                <w:sz w:val="16"/>
              </w:rPr>
              <w:t>Période de temps, en s</w:t>
            </w:r>
          </w:p>
        </w:tc>
        <w:tc>
          <w:tcPr>
            <w:tcW w:w="3685" w:type="dxa"/>
            <w:tcBorders>
              <w:top w:val="single" w:sz="4" w:space="0" w:color="auto"/>
              <w:bottom w:val="single" w:sz="12" w:space="0" w:color="auto"/>
            </w:tcBorders>
            <w:shd w:val="clear" w:color="auto" w:fill="auto"/>
            <w:vAlign w:val="bottom"/>
            <w:hideMark/>
          </w:tcPr>
          <w:p w:rsidR="00E24DB7" w:rsidRPr="002C5876" w:rsidRDefault="00E24DB7" w:rsidP="00E24DB7">
            <w:pPr>
              <w:suppressAutoHyphens w:val="0"/>
              <w:spacing w:before="80" w:after="80" w:line="200" w:lineRule="exact"/>
              <w:jc w:val="center"/>
              <w:rPr>
                <w:i/>
                <w:sz w:val="16"/>
              </w:rPr>
            </w:pPr>
            <w:r w:rsidRPr="002C5876">
              <w:rPr>
                <w:i/>
                <w:sz w:val="16"/>
              </w:rPr>
              <w:t>Écart de vitesse, en km/h</w:t>
            </w:r>
          </w:p>
        </w:tc>
      </w:tr>
      <w:tr w:rsidR="00E24DB7" w:rsidRPr="002C5876" w:rsidTr="00E24DB7">
        <w:tc>
          <w:tcPr>
            <w:tcW w:w="3685" w:type="dxa"/>
            <w:tcBorders>
              <w:top w:val="single" w:sz="12" w:space="0" w:color="auto"/>
            </w:tcBorders>
            <w:shd w:val="clear" w:color="auto" w:fill="auto"/>
            <w:hideMark/>
          </w:tcPr>
          <w:p w:rsidR="00E24DB7" w:rsidRPr="002C5876" w:rsidRDefault="00E24DB7" w:rsidP="00E24DB7">
            <w:pPr>
              <w:suppressAutoHyphens w:val="0"/>
              <w:spacing w:before="40" w:after="40" w:line="220" w:lineRule="exact"/>
              <w:ind w:right="1701"/>
              <w:jc w:val="right"/>
              <w:rPr>
                <w:sz w:val="18"/>
                <w:szCs w:val="18"/>
              </w:rPr>
            </w:pPr>
            <w:r w:rsidRPr="002C5876">
              <w:rPr>
                <w:sz w:val="18"/>
                <w:szCs w:val="18"/>
              </w:rPr>
              <w:t>5</w:t>
            </w:r>
            <w:r w:rsidRPr="002C5876">
              <w:rPr>
                <w:sz w:val="18"/>
                <w:szCs w:val="18"/>
              </w:rPr>
              <w:noBreakHyphen/>
              <w:t>10</w:t>
            </w:r>
          </w:p>
        </w:tc>
        <w:tc>
          <w:tcPr>
            <w:tcW w:w="3685" w:type="dxa"/>
            <w:tcBorders>
              <w:top w:val="single" w:sz="12" w:space="0" w:color="auto"/>
            </w:tcBorders>
            <w:shd w:val="clear" w:color="auto" w:fill="auto"/>
            <w:vAlign w:val="bottom"/>
            <w:hideMark/>
          </w:tcPr>
          <w:p w:rsidR="00E24DB7" w:rsidRPr="002C5876" w:rsidRDefault="00E24DB7" w:rsidP="00E24DB7">
            <w:pPr>
              <w:suppressAutoHyphens w:val="0"/>
              <w:spacing w:before="40" w:after="40" w:line="220" w:lineRule="exact"/>
              <w:ind w:right="1701"/>
              <w:jc w:val="right"/>
              <w:rPr>
                <w:sz w:val="18"/>
                <w:szCs w:val="18"/>
              </w:rPr>
            </w:pPr>
            <w:r w:rsidRPr="002C5876">
              <w:rPr>
                <w:sz w:val="18"/>
                <w:szCs w:val="18"/>
              </w:rPr>
              <w:sym w:font="Symbol" w:char="F0B1"/>
            </w:r>
            <w:r w:rsidRPr="002C5876">
              <w:rPr>
                <w:sz w:val="18"/>
                <w:szCs w:val="18"/>
              </w:rPr>
              <w:t>0,2</w:t>
            </w:r>
          </w:p>
        </w:tc>
      </w:tr>
      <w:tr w:rsidR="00E24DB7" w:rsidRPr="002C5876" w:rsidTr="00E24DB7">
        <w:tc>
          <w:tcPr>
            <w:tcW w:w="3685" w:type="dxa"/>
            <w:shd w:val="clear" w:color="auto" w:fill="auto"/>
            <w:hideMark/>
          </w:tcPr>
          <w:p w:rsidR="00E24DB7" w:rsidRPr="002C5876" w:rsidRDefault="00E24DB7" w:rsidP="00E24DB7">
            <w:pPr>
              <w:suppressAutoHyphens w:val="0"/>
              <w:spacing w:before="40" w:after="40" w:line="220" w:lineRule="exact"/>
              <w:ind w:right="1701"/>
              <w:jc w:val="right"/>
              <w:rPr>
                <w:sz w:val="18"/>
                <w:szCs w:val="18"/>
              </w:rPr>
            </w:pPr>
            <w:r w:rsidRPr="002C5876">
              <w:rPr>
                <w:sz w:val="18"/>
                <w:szCs w:val="18"/>
              </w:rPr>
              <w:t>10</w:t>
            </w:r>
            <w:r w:rsidRPr="002C5876">
              <w:rPr>
                <w:sz w:val="18"/>
                <w:szCs w:val="18"/>
              </w:rPr>
              <w:noBreakHyphen/>
              <w:t>15</w:t>
            </w:r>
          </w:p>
        </w:tc>
        <w:tc>
          <w:tcPr>
            <w:tcW w:w="3685" w:type="dxa"/>
            <w:shd w:val="clear" w:color="auto" w:fill="auto"/>
            <w:vAlign w:val="bottom"/>
            <w:hideMark/>
          </w:tcPr>
          <w:p w:rsidR="00E24DB7" w:rsidRPr="002C5876" w:rsidRDefault="00E24DB7" w:rsidP="00E24DB7">
            <w:pPr>
              <w:suppressAutoHyphens w:val="0"/>
              <w:spacing w:before="40" w:after="40" w:line="220" w:lineRule="exact"/>
              <w:ind w:right="1701"/>
              <w:jc w:val="right"/>
              <w:rPr>
                <w:sz w:val="18"/>
                <w:szCs w:val="18"/>
              </w:rPr>
            </w:pPr>
            <w:r w:rsidRPr="002C5876">
              <w:rPr>
                <w:sz w:val="18"/>
                <w:szCs w:val="18"/>
              </w:rPr>
              <w:sym w:font="Symbol" w:char="F0B1"/>
            </w:r>
            <w:r w:rsidRPr="002C5876">
              <w:rPr>
                <w:sz w:val="18"/>
                <w:szCs w:val="18"/>
              </w:rPr>
              <w:t>0,4</w:t>
            </w:r>
          </w:p>
        </w:tc>
      </w:tr>
      <w:tr w:rsidR="00E24DB7" w:rsidRPr="002C5876" w:rsidTr="00E24DB7">
        <w:tc>
          <w:tcPr>
            <w:tcW w:w="3685" w:type="dxa"/>
            <w:shd w:val="clear" w:color="auto" w:fill="auto"/>
            <w:hideMark/>
          </w:tcPr>
          <w:p w:rsidR="00E24DB7" w:rsidRPr="002C5876" w:rsidRDefault="00E24DB7" w:rsidP="00E24DB7">
            <w:pPr>
              <w:suppressAutoHyphens w:val="0"/>
              <w:spacing w:before="40" w:after="40" w:line="220" w:lineRule="exact"/>
              <w:ind w:right="1701"/>
              <w:jc w:val="right"/>
              <w:rPr>
                <w:sz w:val="18"/>
                <w:szCs w:val="18"/>
              </w:rPr>
            </w:pPr>
            <w:r w:rsidRPr="002C5876">
              <w:rPr>
                <w:sz w:val="18"/>
                <w:szCs w:val="18"/>
              </w:rPr>
              <w:t>15</w:t>
            </w:r>
            <w:r w:rsidRPr="002C5876">
              <w:rPr>
                <w:sz w:val="18"/>
                <w:szCs w:val="18"/>
              </w:rPr>
              <w:noBreakHyphen/>
              <w:t>20</w:t>
            </w:r>
          </w:p>
        </w:tc>
        <w:tc>
          <w:tcPr>
            <w:tcW w:w="3685" w:type="dxa"/>
            <w:shd w:val="clear" w:color="auto" w:fill="auto"/>
            <w:vAlign w:val="bottom"/>
            <w:hideMark/>
          </w:tcPr>
          <w:p w:rsidR="00E24DB7" w:rsidRPr="002C5876" w:rsidRDefault="00E24DB7" w:rsidP="00E24DB7">
            <w:pPr>
              <w:suppressAutoHyphens w:val="0"/>
              <w:spacing w:before="40" w:after="40" w:line="220" w:lineRule="exact"/>
              <w:ind w:right="1701"/>
              <w:jc w:val="right"/>
              <w:rPr>
                <w:sz w:val="18"/>
                <w:szCs w:val="18"/>
              </w:rPr>
            </w:pPr>
            <w:r w:rsidRPr="002C5876">
              <w:rPr>
                <w:sz w:val="18"/>
                <w:szCs w:val="18"/>
              </w:rPr>
              <w:sym w:font="Symbol" w:char="F0B1"/>
            </w:r>
            <w:r w:rsidRPr="002C5876">
              <w:rPr>
                <w:sz w:val="18"/>
                <w:szCs w:val="18"/>
              </w:rPr>
              <w:t>0,6</w:t>
            </w:r>
          </w:p>
        </w:tc>
      </w:tr>
      <w:tr w:rsidR="00E24DB7" w:rsidRPr="002C5876" w:rsidTr="00E24DB7">
        <w:tc>
          <w:tcPr>
            <w:tcW w:w="3685" w:type="dxa"/>
            <w:shd w:val="clear" w:color="auto" w:fill="auto"/>
            <w:hideMark/>
          </w:tcPr>
          <w:p w:rsidR="00E24DB7" w:rsidRPr="002C5876" w:rsidRDefault="00E24DB7" w:rsidP="00E24DB7">
            <w:pPr>
              <w:suppressAutoHyphens w:val="0"/>
              <w:spacing w:before="40" w:after="40" w:line="220" w:lineRule="exact"/>
              <w:ind w:right="1701"/>
              <w:jc w:val="right"/>
              <w:rPr>
                <w:sz w:val="18"/>
                <w:szCs w:val="18"/>
              </w:rPr>
            </w:pPr>
            <w:r w:rsidRPr="002C5876">
              <w:rPr>
                <w:sz w:val="18"/>
                <w:szCs w:val="18"/>
              </w:rPr>
              <w:lastRenderedPageBreak/>
              <w:t>20</w:t>
            </w:r>
            <w:r w:rsidRPr="002C5876">
              <w:rPr>
                <w:sz w:val="18"/>
                <w:szCs w:val="18"/>
              </w:rPr>
              <w:noBreakHyphen/>
              <w:t>25</w:t>
            </w:r>
          </w:p>
        </w:tc>
        <w:tc>
          <w:tcPr>
            <w:tcW w:w="3685" w:type="dxa"/>
            <w:shd w:val="clear" w:color="auto" w:fill="auto"/>
            <w:vAlign w:val="bottom"/>
            <w:hideMark/>
          </w:tcPr>
          <w:p w:rsidR="00E24DB7" w:rsidRPr="002C5876" w:rsidRDefault="00E24DB7" w:rsidP="00E24DB7">
            <w:pPr>
              <w:suppressAutoHyphens w:val="0"/>
              <w:spacing w:before="40" w:after="40" w:line="220" w:lineRule="exact"/>
              <w:ind w:right="1701"/>
              <w:jc w:val="right"/>
              <w:rPr>
                <w:sz w:val="18"/>
                <w:szCs w:val="18"/>
              </w:rPr>
            </w:pPr>
            <w:r w:rsidRPr="002C5876">
              <w:rPr>
                <w:sz w:val="18"/>
                <w:szCs w:val="18"/>
              </w:rPr>
              <w:sym w:font="Symbol" w:char="F0B1"/>
            </w:r>
            <w:r w:rsidRPr="002C5876">
              <w:rPr>
                <w:sz w:val="18"/>
                <w:szCs w:val="18"/>
              </w:rPr>
              <w:t>0,8</w:t>
            </w:r>
          </w:p>
        </w:tc>
      </w:tr>
      <w:tr w:rsidR="00E24DB7" w:rsidRPr="002C5876" w:rsidTr="00E24DB7">
        <w:tc>
          <w:tcPr>
            <w:tcW w:w="3685" w:type="dxa"/>
            <w:shd w:val="clear" w:color="auto" w:fill="auto"/>
            <w:hideMark/>
          </w:tcPr>
          <w:p w:rsidR="00E24DB7" w:rsidRPr="002C5876" w:rsidRDefault="00E24DB7" w:rsidP="00E24DB7">
            <w:pPr>
              <w:suppressAutoHyphens w:val="0"/>
              <w:spacing w:before="40" w:after="40" w:line="220" w:lineRule="exact"/>
              <w:ind w:right="1701"/>
              <w:jc w:val="right"/>
              <w:rPr>
                <w:sz w:val="18"/>
                <w:szCs w:val="18"/>
              </w:rPr>
            </w:pPr>
            <w:r w:rsidRPr="002C5876">
              <w:rPr>
                <w:sz w:val="18"/>
                <w:szCs w:val="18"/>
              </w:rPr>
              <w:t>25</w:t>
            </w:r>
            <w:r w:rsidRPr="002C5876">
              <w:rPr>
                <w:sz w:val="18"/>
                <w:szCs w:val="18"/>
              </w:rPr>
              <w:noBreakHyphen/>
              <w:t>30</w:t>
            </w:r>
          </w:p>
        </w:tc>
        <w:tc>
          <w:tcPr>
            <w:tcW w:w="3685" w:type="dxa"/>
            <w:shd w:val="clear" w:color="auto" w:fill="auto"/>
            <w:vAlign w:val="bottom"/>
            <w:hideMark/>
          </w:tcPr>
          <w:p w:rsidR="00E24DB7" w:rsidRPr="002C5876" w:rsidRDefault="00E24DB7" w:rsidP="00E24DB7">
            <w:pPr>
              <w:suppressAutoHyphens w:val="0"/>
              <w:spacing w:before="40" w:after="40" w:line="220" w:lineRule="exact"/>
              <w:ind w:right="1701"/>
              <w:jc w:val="right"/>
              <w:rPr>
                <w:sz w:val="18"/>
                <w:szCs w:val="18"/>
              </w:rPr>
            </w:pPr>
            <w:r w:rsidRPr="002C5876">
              <w:rPr>
                <w:sz w:val="18"/>
                <w:szCs w:val="18"/>
              </w:rPr>
              <w:sym w:font="Symbol" w:char="F0B1"/>
            </w:r>
            <w:r w:rsidRPr="002C5876">
              <w:rPr>
                <w:sz w:val="18"/>
                <w:szCs w:val="18"/>
              </w:rPr>
              <w:t>1,0</w:t>
            </w:r>
          </w:p>
        </w:tc>
      </w:tr>
      <w:tr w:rsidR="00E24DB7" w:rsidRPr="002C5876" w:rsidTr="00E24DB7">
        <w:tc>
          <w:tcPr>
            <w:tcW w:w="3685" w:type="dxa"/>
            <w:tcBorders>
              <w:bottom w:val="single" w:sz="12" w:space="0" w:color="auto"/>
            </w:tcBorders>
            <w:shd w:val="clear" w:color="auto" w:fill="auto"/>
            <w:hideMark/>
          </w:tcPr>
          <w:p w:rsidR="00E24DB7" w:rsidRPr="002C5876" w:rsidRDefault="00E24DB7" w:rsidP="00E24DB7">
            <w:pPr>
              <w:suppressAutoHyphens w:val="0"/>
              <w:spacing w:before="40" w:after="40" w:line="220" w:lineRule="exact"/>
              <w:ind w:right="1701"/>
              <w:jc w:val="right"/>
              <w:rPr>
                <w:sz w:val="18"/>
                <w:szCs w:val="18"/>
              </w:rPr>
            </w:pPr>
            <w:r w:rsidRPr="002C5876">
              <w:rPr>
                <w:sz w:val="18"/>
                <w:szCs w:val="18"/>
              </w:rPr>
              <w:t>≥ 30</w:t>
            </w:r>
          </w:p>
        </w:tc>
        <w:tc>
          <w:tcPr>
            <w:tcW w:w="3685" w:type="dxa"/>
            <w:tcBorders>
              <w:bottom w:val="single" w:sz="12" w:space="0" w:color="auto"/>
            </w:tcBorders>
            <w:shd w:val="clear" w:color="auto" w:fill="auto"/>
            <w:vAlign w:val="bottom"/>
            <w:hideMark/>
          </w:tcPr>
          <w:p w:rsidR="00E24DB7" w:rsidRPr="002C5876" w:rsidRDefault="00E24DB7" w:rsidP="00E24DB7">
            <w:pPr>
              <w:suppressAutoHyphens w:val="0"/>
              <w:spacing w:before="40" w:after="40" w:line="220" w:lineRule="exact"/>
              <w:ind w:right="1701"/>
              <w:jc w:val="right"/>
              <w:rPr>
                <w:sz w:val="18"/>
                <w:szCs w:val="18"/>
              </w:rPr>
            </w:pPr>
            <w:r w:rsidRPr="002C5876">
              <w:rPr>
                <w:sz w:val="18"/>
                <w:szCs w:val="18"/>
              </w:rPr>
              <w:sym w:font="Symbol" w:char="F0B1"/>
            </w:r>
            <w:r w:rsidRPr="002C5876">
              <w:rPr>
                <w:sz w:val="18"/>
                <w:szCs w:val="18"/>
              </w:rPr>
              <w:t>1,2</w:t>
            </w:r>
          </w:p>
        </w:tc>
      </w:tr>
    </w:tbl>
    <w:p w:rsidR="00E24DB7" w:rsidRPr="002C5876" w:rsidRDefault="00E24DB7" w:rsidP="00E24DB7">
      <w:pPr>
        <w:pStyle w:val="SingleTxtG"/>
        <w:keepNext/>
        <w:spacing w:before="240"/>
        <w:ind w:left="2268" w:hanging="1134"/>
        <w:jc w:val="left"/>
      </w:pPr>
      <w:r w:rsidRPr="002C5876">
        <w:t>4.4.2.5</w:t>
      </w:r>
      <w:r w:rsidRPr="002C5876">
        <w:tab/>
        <w:t>Température atmosphérique</w:t>
      </w:r>
    </w:p>
    <w:p w:rsidR="00E24DB7" w:rsidRPr="002C5876" w:rsidRDefault="00E24DB7" w:rsidP="00E24DB7">
      <w:pPr>
        <w:pStyle w:val="SingleTxtG"/>
        <w:ind w:left="2268"/>
      </w:pPr>
      <w:r w:rsidRPr="002C5876">
        <w:t>Les essais doivent être effectués dans les conditions de température spécifiées au paragraphe 4.1.1.2 de la présente annexe.</w:t>
      </w:r>
    </w:p>
    <w:p w:rsidR="00E24DB7" w:rsidRPr="002C5876" w:rsidRDefault="00E24DB7" w:rsidP="00E24DB7">
      <w:pPr>
        <w:pStyle w:val="SingleTxtG"/>
        <w:keepNext/>
        <w:ind w:left="2268" w:hanging="1134"/>
      </w:pPr>
      <w:r w:rsidRPr="002C5876">
        <w:t>4.4.3</w:t>
      </w:r>
      <w:r w:rsidRPr="002C5876">
        <w:tab/>
        <w:t xml:space="preserve">Calcul de la vitesse moyenne arithmétique et du couple moyen arithmétique </w:t>
      </w:r>
    </w:p>
    <w:p w:rsidR="00E24DB7" w:rsidRPr="002C5876" w:rsidRDefault="00E24DB7" w:rsidP="00E24DB7">
      <w:pPr>
        <w:pStyle w:val="SingleTxtG"/>
        <w:keepNext/>
        <w:ind w:left="2268" w:hanging="1134"/>
      </w:pPr>
      <w:r w:rsidRPr="002C5876">
        <w:t>4.4.3.1</w:t>
      </w:r>
      <w:r w:rsidRPr="002C5876">
        <w:tab/>
        <w:t>Mode de calcul</w:t>
      </w:r>
    </w:p>
    <w:p w:rsidR="00E24DB7" w:rsidRPr="002C5876" w:rsidRDefault="00E24DB7" w:rsidP="00E24DB7">
      <w:pPr>
        <w:pStyle w:val="SingleTxtG"/>
        <w:spacing w:after="240"/>
        <w:ind w:left="2268"/>
        <w:rPr>
          <w:rFonts w:eastAsiaTheme="minorEastAsia"/>
        </w:rPr>
      </w:pPr>
      <w:r w:rsidRPr="002C5876">
        <w:t>La moyenne arithmétique v</w:t>
      </w:r>
      <w:r w:rsidRPr="002C5876">
        <w:rPr>
          <w:vertAlign w:val="subscript"/>
        </w:rPr>
        <w:t>jm</w:t>
      </w:r>
      <w:r w:rsidRPr="002C5876">
        <w:rPr>
          <w:iCs/>
        </w:rPr>
        <w:t xml:space="preserve"> </w:t>
      </w:r>
      <w:r w:rsidRPr="002C5876">
        <w:t>(km/h) et le couple moyen arithmétique C</w:t>
      </w:r>
      <w:r w:rsidRPr="002C5876">
        <w:rPr>
          <w:vertAlign w:val="subscript"/>
        </w:rPr>
        <w:t>jm</w:t>
      </w:r>
      <w:r w:rsidRPr="002C5876">
        <w:t xml:space="preserve"> (Nm) de chaque mesure sont calculés à partir du jeu de données collecté conformément aux prescriptions du paragraphe 4.4.2.2 de la présente annexe au moyen de l’équation suivante :</w:t>
      </w:r>
    </w:p>
    <w:p w:rsidR="00E24DB7" w:rsidRPr="00D53F39" w:rsidRDefault="00731CA6" w:rsidP="00E24DB7">
      <w:pPr>
        <w:pStyle w:val="SingleTxtG"/>
        <w:spacing w:after="240"/>
        <w:ind w:left="2268"/>
        <w:rPr>
          <w:rFonts w:eastAsiaTheme="minorEastAsia"/>
          <w:lang w:val="en-US"/>
        </w:rPr>
      </w:pPr>
      <m:oMathPara>
        <m:oMathParaPr>
          <m:jc m:val="center"/>
        </m:oMathParaPr>
        <m:oMath>
          <m:sSub>
            <m:sSubPr>
              <m:ctrlPr>
                <w:rPr>
                  <w:rFonts w:ascii="Cambria Math" w:hAnsi="Cambria Math" w:cstheme="majorBidi"/>
                </w:rPr>
              </m:ctrlPr>
            </m:sSubPr>
            <m:e>
              <m:r>
                <m:rPr>
                  <m:nor/>
                </m:rPr>
                <w:rPr>
                  <w:rFonts w:asciiTheme="majorBidi" w:hAnsiTheme="majorBidi" w:cstheme="majorBidi"/>
                  <w:lang w:val="en-US"/>
                </w:rPr>
                <m:t>v</m:t>
              </m:r>
            </m:e>
            <m:sub>
              <m:r>
                <m:rPr>
                  <m:nor/>
                </m:rPr>
                <w:rPr>
                  <w:rFonts w:asciiTheme="majorBidi" w:hAnsiTheme="majorBidi" w:cstheme="majorBidi"/>
                  <w:lang w:val="en-US"/>
                </w:rPr>
                <m:t>jm</m:t>
              </m:r>
            </m:sub>
          </m:sSub>
          <m:r>
            <m:rPr>
              <m:nor/>
            </m:rPr>
            <w:rPr>
              <w:rFonts w:ascii="Cambria Math" w:hAnsiTheme="majorBidi" w:cstheme="majorBidi"/>
              <w:lang w:val="en-US"/>
            </w:rPr>
            <m:t xml:space="preserve"> </m:t>
          </m:r>
          <m:r>
            <m:rPr>
              <m:nor/>
            </m:rPr>
            <w:rPr>
              <w:rFonts w:asciiTheme="majorBidi" w:hAnsiTheme="majorBidi" w:cstheme="majorBidi"/>
              <w:lang w:val="en-US"/>
            </w:rPr>
            <m:t xml:space="preserve">= </m:t>
          </m:r>
          <m:f>
            <m:fPr>
              <m:ctrlPr>
                <w:rPr>
                  <w:rFonts w:ascii="Cambria Math" w:hAnsi="Cambria Math" w:cstheme="majorBidi"/>
                </w:rPr>
              </m:ctrlPr>
            </m:fPr>
            <m:num>
              <m:r>
                <m:rPr>
                  <m:nor/>
                </m:rPr>
                <w:rPr>
                  <w:rFonts w:asciiTheme="majorBidi" w:hAnsiTheme="majorBidi" w:cstheme="majorBidi"/>
                  <w:lang w:val="en-US"/>
                </w:rPr>
                <m:t>1</m:t>
              </m:r>
            </m:num>
            <m:den>
              <m:r>
                <m:rPr>
                  <m:nor/>
                </m:rPr>
                <w:rPr>
                  <w:rFonts w:asciiTheme="majorBidi" w:hAnsiTheme="majorBidi" w:cstheme="majorBidi"/>
                  <w:lang w:val="en-US"/>
                </w:rPr>
                <m:t>k</m:t>
              </m:r>
            </m:den>
          </m:f>
          <m:nary>
            <m:naryPr>
              <m:chr m:val="∑"/>
              <m:limLoc m:val="undOvr"/>
              <m:ctrlPr>
                <w:rPr>
                  <w:rFonts w:ascii="Cambria Math" w:hAnsi="Cambria Math" w:cstheme="majorBidi"/>
                </w:rPr>
              </m:ctrlPr>
            </m:naryPr>
            <m:sub>
              <m:r>
                <m:rPr>
                  <m:nor/>
                </m:rPr>
                <w:rPr>
                  <w:rFonts w:asciiTheme="majorBidi" w:hAnsiTheme="majorBidi" w:cstheme="majorBidi"/>
                  <w:lang w:val="en-US"/>
                </w:rPr>
                <m:t>i=1</m:t>
              </m:r>
            </m:sub>
            <m:sup>
              <m:r>
                <m:rPr>
                  <m:nor/>
                </m:rPr>
                <w:rPr>
                  <w:rFonts w:asciiTheme="majorBidi" w:hAnsiTheme="majorBidi" w:cstheme="majorBidi"/>
                  <w:lang w:val="en-US"/>
                </w:rPr>
                <m:t>k</m:t>
              </m:r>
            </m:sup>
            <m:e>
              <m:sSub>
                <m:sSubPr>
                  <m:ctrlPr>
                    <w:rPr>
                      <w:rFonts w:ascii="Cambria Math" w:hAnsi="Cambria Math" w:cstheme="majorBidi"/>
                    </w:rPr>
                  </m:ctrlPr>
                </m:sSubPr>
                <m:e>
                  <m:r>
                    <m:rPr>
                      <m:nor/>
                    </m:rPr>
                    <w:rPr>
                      <w:rFonts w:asciiTheme="majorBidi" w:hAnsiTheme="majorBidi" w:cstheme="majorBidi"/>
                      <w:lang w:val="en-US"/>
                    </w:rPr>
                    <m:t>v</m:t>
                  </m:r>
                </m:e>
                <m:sub>
                  <m:r>
                    <m:rPr>
                      <m:nor/>
                    </m:rPr>
                    <w:rPr>
                      <w:rFonts w:asciiTheme="majorBidi" w:hAnsiTheme="majorBidi" w:cstheme="majorBidi"/>
                      <w:lang w:val="en-US"/>
                    </w:rPr>
                    <m:t>ji</m:t>
                  </m:r>
                </m:sub>
              </m:sSub>
            </m:e>
          </m:nary>
        </m:oMath>
      </m:oMathPara>
    </w:p>
    <w:p w:rsidR="00E24DB7" w:rsidRPr="00D53F39" w:rsidRDefault="00E24DB7" w:rsidP="00E24DB7">
      <w:pPr>
        <w:pStyle w:val="SingleTxtG"/>
        <w:ind w:left="2268"/>
        <w:rPr>
          <w:lang w:val="en-US"/>
        </w:rPr>
      </w:pPr>
      <w:r w:rsidRPr="00D53F39">
        <w:rPr>
          <w:lang w:val="en-US"/>
        </w:rPr>
        <w:t>et</w:t>
      </w:r>
    </w:p>
    <w:p w:rsidR="00E24DB7" w:rsidRPr="00D53F39" w:rsidRDefault="00731CA6" w:rsidP="00E24DB7">
      <w:pPr>
        <w:pStyle w:val="SingleTxtG"/>
        <w:spacing w:after="240"/>
        <w:ind w:left="2268"/>
        <w:rPr>
          <w:rFonts w:eastAsiaTheme="minorEastAsia"/>
          <w:szCs w:val="24"/>
          <w:lang w:val="en-US"/>
        </w:rPr>
      </w:pPr>
      <m:oMathPara>
        <m:oMath>
          <m:sSub>
            <m:sSubPr>
              <m:ctrlPr>
                <w:rPr>
                  <w:rFonts w:ascii="Cambria Math" w:hAnsi="Cambria Math" w:cstheme="majorBidi"/>
                  <w:szCs w:val="24"/>
                </w:rPr>
              </m:ctrlPr>
            </m:sSubPr>
            <m:e>
              <m:r>
                <m:rPr>
                  <m:nor/>
                </m:rPr>
                <w:rPr>
                  <w:rFonts w:asciiTheme="majorBidi" w:hAnsiTheme="majorBidi" w:cstheme="majorBidi"/>
                  <w:szCs w:val="24"/>
                  <w:lang w:val="en-US"/>
                </w:rPr>
                <m:t>C</m:t>
              </m:r>
            </m:e>
            <m:sub>
              <m:r>
                <m:rPr>
                  <m:nor/>
                </m:rPr>
                <w:rPr>
                  <w:rFonts w:asciiTheme="majorBidi" w:hAnsiTheme="majorBidi" w:cstheme="majorBidi"/>
                  <w:szCs w:val="24"/>
                  <w:lang w:val="en-US"/>
                </w:rPr>
                <m:t>jm</m:t>
              </m:r>
            </m:sub>
          </m:sSub>
          <m:r>
            <m:rPr>
              <m:nor/>
            </m:rPr>
            <w:rPr>
              <w:rFonts w:ascii="Cambria Math" w:hAnsiTheme="majorBidi" w:cstheme="majorBidi"/>
              <w:szCs w:val="24"/>
              <w:lang w:val="en-US"/>
            </w:rPr>
            <m:t xml:space="preserve"> </m:t>
          </m:r>
          <m:r>
            <m:rPr>
              <m:nor/>
            </m:rPr>
            <w:rPr>
              <w:rFonts w:asciiTheme="majorBidi" w:hAnsiTheme="majorBidi" w:cstheme="majorBidi"/>
              <w:szCs w:val="24"/>
              <w:lang w:val="en-US"/>
            </w:rPr>
            <m:t xml:space="preserve">= </m:t>
          </m:r>
          <m:f>
            <m:fPr>
              <m:ctrlPr>
                <w:rPr>
                  <w:rFonts w:ascii="Cambria Math" w:hAnsi="Cambria Math" w:cstheme="majorBidi"/>
                  <w:szCs w:val="24"/>
                </w:rPr>
              </m:ctrlPr>
            </m:fPr>
            <m:num>
              <m:r>
                <m:rPr>
                  <m:nor/>
                </m:rPr>
                <w:rPr>
                  <w:rFonts w:asciiTheme="majorBidi" w:hAnsiTheme="majorBidi" w:cstheme="majorBidi"/>
                  <w:szCs w:val="24"/>
                  <w:lang w:val="en-US"/>
                </w:rPr>
                <m:t>1</m:t>
              </m:r>
            </m:num>
            <m:den>
              <m:r>
                <m:rPr>
                  <m:nor/>
                </m:rPr>
                <w:rPr>
                  <w:rFonts w:asciiTheme="majorBidi" w:hAnsiTheme="majorBidi" w:cstheme="majorBidi"/>
                  <w:szCs w:val="24"/>
                  <w:lang w:val="en-US"/>
                </w:rPr>
                <m:t>k</m:t>
              </m:r>
            </m:den>
          </m:f>
          <m:nary>
            <m:naryPr>
              <m:chr m:val="∑"/>
              <m:limLoc m:val="undOvr"/>
              <m:ctrlPr>
                <w:rPr>
                  <w:rFonts w:ascii="Cambria Math" w:hAnsi="Cambria Math" w:cstheme="majorBidi"/>
                  <w:szCs w:val="24"/>
                </w:rPr>
              </m:ctrlPr>
            </m:naryPr>
            <m:sub>
              <m:r>
                <m:rPr>
                  <m:nor/>
                </m:rPr>
                <w:rPr>
                  <w:rFonts w:asciiTheme="majorBidi" w:hAnsiTheme="majorBidi" w:cstheme="majorBidi"/>
                  <w:szCs w:val="24"/>
                  <w:lang w:val="en-US"/>
                </w:rPr>
                <m:t>i=1</m:t>
              </m:r>
            </m:sub>
            <m:sup>
              <m:r>
                <m:rPr>
                  <m:nor/>
                </m:rPr>
                <w:rPr>
                  <w:rFonts w:asciiTheme="majorBidi" w:hAnsiTheme="majorBidi" w:cstheme="majorBidi"/>
                  <w:szCs w:val="24"/>
                  <w:lang w:val="en-US"/>
                </w:rPr>
                <m:t>k</m:t>
              </m:r>
            </m:sup>
            <m:e>
              <m:sSub>
                <m:sSubPr>
                  <m:ctrlPr>
                    <w:rPr>
                      <w:rFonts w:ascii="Cambria Math" w:hAnsi="Cambria Math" w:cstheme="majorBidi"/>
                      <w:szCs w:val="24"/>
                    </w:rPr>
                  </m:ctrlPr>
                </m:sSubPr>
                <m:e>
                  <m:r>
                    <m:rPr>
                      <m:nor/>
                    </m:rPr>
                    <w:rPr>
                      <w:rFonts w:asciiTheme="majorBidi" w:hAnsiTheme="majorBidi" w:cstheme="majorBidi"/>
                      <w:szCs w:val="24"/>
                      <w:lang w:val="en-US"/>
                    </w:rPr>
                    <m:t>C</m:t>
                  </m:r>
                </m:e>
                <m:sub>
                  <m:r>
                    <m:rPr>
                      <m:nor/>
                    </m:rPr>
                    <w:rPr>
                      <w:rFonts w:asciiTheme="majorBidi" w:hAnsiTheme="majorBidi" w:cstheme="majorBidi"/>
                      <w:szCs w:val="24"/>
                      <w:lang w:val="en-US"/>
                    </w:rPr>
                    <m:t>ji</m:t>
                  </m:r>
                </m:sub>
              </m:sSub>
              <m:r>
                <m:rPr>
                  <m:nor/>
                </m:rPr>
                <w:rPr>
                  <w:rFonts w:ascii="Cambria Math" w:hAnsiTheme="majorBidi" w:cstheme="majorBidi"/>
                  <w:szCs w:val="24"/>
                  <w:lang w:val="en-US"/>
                </w:rPr>
                <m:t xml:space="preserve"> </m:t>
              </m:r>
              <m:r>
                <m:rPr>
                  <m:nor/>
                </m:rPr>
                <w:rPr>
                  <w:rFonts w:ascii="Cambria Math" w:hAnsiTheme="majorBidi" w:cstheme="majorBidi"/>
                  <w:szCs w:val="24"/>
                  <w:lang w:val="en-US"/>
                </w:rPr>
                <m:t>–</m:t>
              </m:r>
              <m:r>
                <m:rPr>
                  <m:nor/>
                </m:rPr>
                <w:rPr>
                  <w:rFonts w:asciiTheme="majorBidi" w:hAnsiTheme="majorBidi" w:cstheme="majorBidi"/>
                  <w:szCs w:val="24"/>
                  <w:lang w:val="en-US"/>
                </w:rPr>
                <m:t xml:space="preserve"> </m:t>
              </m:r>
              <m:sSub>
                <m:sSubPr>
                  <m:ctrlPr>
                    <w:rPr>
                      <w:rFonts w:ascii="Cambria Math" w:hAnsi="Cambria Math" w:cstheme="majorBidi"/>
                      <w:szCs w:val="24"/>
                    </w:rPr>
                  </m:ctrlPr>
                </m:sSubPr>
                <m:e>
                  <m:r>
                    <m:rPr>
                      <m:nor/>
                    </m:rPr>
                    <w:rPr>
                      <w:rFonts w:asciiTheme="majorBidi" w:hAnsiTheme="majorBidi" w:cstheme="majorBidi"/>
                      <w:szCs w:val="24"/>
                      <w:lang w:val="en-US"/>
                    </w:rPr>
                    <m:t>C</m:t>
                  </m:r>
                </m:e>
                <m:sub>
                  <m:r>
                    <m:rPr>
                      <m:nor/>
                    </m:rPr>
                    <w:rPr>
                      <w:rFonts w:asciiTheme="majorBidi" w:hAnsiTheme="majorBidi" w:cstheme="majorBidi"/>
                      <w:szCs w:val="24"/>
                      <w:lang w:val="en-US"/>
                    </w:rPr>
                    <m:t>js</m:t>
                  </m:r>
                </m:sub>
              </m:sSub>
            </m:e>
          </m:nary>
        </m:oMath>
      </m:oMathPara>
    </w:p>
    <w:p w:rsidR="00E24DB7" w:rsidRPr="002C5876" w:rsidRDefault="00E24DB7" w:rsidP="00E24DB7">
      <w:pPr>
        <w:pStyle w:val="SingleTxtG"/>
        <w:keepNext/>
        <w:ind w:left="2268"/>
      </w:pPr>
      <w:r w:rsidRPr="002C5876">
        <w:t>où :</w:t>
      </w:r>
    </w:p>
    <w:p w:rsidR="00E24DB7" w:rsidRPr="002C5876" w:rsidRDefault="00E24DB7" w:rsidP="00E24DB7">
      <w:pPr>
        <w:pStyle w:val="SingleTxtG"/>
        <w:ind w:left="3402" w:hanging="1134"/>
      </w:pPr>
      <w:r w:rsidRPr="002C5876">
        <w:rPr>
          <w:iCs/>
        </w:rPr>
        <w:t>v</w:t>
      </w:r>
      <w:r w:rsidRPr="002C5876">
        <w:rPr>
          <w:iCs/>
          <w:vertAlign w:val="subscript"/>
        </w:rPr>
        <w:t>ji</w:t>
      </w:r>
      <w:r w:rsidRPr="002C5876">
        <w:rPr>
          <w:iCs/>
        </w:rPr>
        <w:tab/>
      </w:r>
      <w:r w:rsidRPr="002C5876">
        <w:t xml:space="preserve">est la vitesse du véhicule du </w:t>
      </w:r>
      <w:r w:rsidRPr="002C5876">
        <w:rPr>
          <w:iCs/>
        </w:rPr>
        <w:t>i</w:t>
      </w:r>
      <w:r w:rsidRPr="002C5876">
        <w:rPr>
          <w:vertAlign w:val="superscript"/>
        </w:rPr>
        <w:t>e</w:t>
      </w:r>
      <w:r w:rsidRPr="002C5876">
        <w:t xml:space="preserve"> jeu de données au point de vitesse de référence j, en km/h ;</w:t>
      </w:r>
    </w:p>
    <w:p w:rsidR="00E24DB7" w:rsidRPr="002C5876" w:rsidRDefault="00E24DB7" w:rsidP="00E24DB7">
      <w:pPr>
        <w:pStyle w:val="SingleTxtG"/>
        <w:ind w:left="3402" w:hanging="1134"/>
      </w:pPr>
      <w:r w:rsidRPr="002C5876">
        <w:t>k</w:t>
      </w:r>
      <w:r w:rsidRPr="002C5876">
        <w:tab/>
        <w:t>est le nombre de jeux de données collecté en une seule mesure ;</w:t>
      </w:r>
    </w:p>
    <w:p w:rsidR="00E24DB7" w:rsidRPr="002C5876" w:rsidRDefault="00E24DB7" w:rsidP="00E24DB7">
      <w:pPr>
        <w:pStyle w:val="SingleTxtG"/>
        <w:ind w:left="3402" w:hanging="1134"/>
      </w:pPr>
      <w:r w:rsidRPr="002C5876">
        <w:rPr>
          <w:iCs/>
        </w:rPr>
        <w:t>C</w:t>
      </w:r>
      <w:r w:rsidRPr="002C5876">
        <w:rPr>
          <w:iCs/>
          <w:vertAlign w:val="subscript"/>
        </w:rPr>
        <w:t>ji</w:t>
      </w:r>
      <w:r w:rsidRPr="002C5876">
        <w:rPr>
          <w:iCs/>
          <w:vertAlign w:val="subscript"/>
        </w:rPr>
        <w:tab/>
      </w:r>
      <w:r w:rsidRPr="002C5876">
        <w:t xml:space="preserve">est le couple effectif du </w:t>
      </w:r>
      <w:r w:rsidRPr="002C5876">
        <w:rPr>
          <w:iCs/>
        </w:rPr>
        <w:t>i</w:t>
      </w:r>
      <w:r w:rsidRPr="002C5876">
        <w:rPr>
          <w:vertAlign w:val="superscript"/>
        </w:rPr>
        <w:t>e</w:t>
      </w:r>
      <w:r w:rsidRPr="002C5876">
        <w:t xml:space="preserve"> jeu de données, en Nm ;</w:t>
      </w:r>
    </w:p>
    <w:p w:rsidR="00E24DB7" w:rsidRPr="002C5876" w:rsidRDefault="00E24DB7" w:rsidP="00E24DB7">
      <w:pPr>
        <w:pStyle w:val="SingleTxtG"/>
        <w:spacing w:after="240"/>
        <w:ind w:left="3402" w:hanging="1134"/>
        <w:jc w:val="left"/>
        <w:rPr>
          <w:rFonts w:eastAsiaTheme="minorEastAsia"/>
          <w:szCs w:val="24"/>
        </w:rPr>
      </w:pPr>
      <w:r w:rsidRPr="002C5876">
        <w:t>C</w:t>
      </w:r>
      <w:r w:rsidRPr="002C5876">
        <w:rPr>
          <w:vertAlign w:val="subscript"/>
        </w:rPr>
        <w:t>js</w:t>
      </w:r>
      <w:r w:rsidRPr="002C5876">
        <w:tab/>
        <w:t>est le terme de compensation pour la dérive de vitesse, en Nm, donné par l’équation ci-après :</w:t>
      </w:r>
    </w:p>
    <w:p w:rsidR="00E24DB7" w:rsidRPr="00D53F39" w:rsidRDefault="00731CA6" w:rsidP="00E24DB7">
      <w:pPr>
        <w:pStyle w:val="SingleTxtG"/>
        <w:spacing w:after="240"/>
        <w:ind w:left="2268"/>
        <w:rPr>
          <w:rFonts w:eastAsiaTheme="minorEastAsia"/>
          <w:iCs/>
          <w:lang w:val="en-US"/>
        </w:rPr>
      </w:pPr>
      <m:oMathPara>
        <m:oMathParaPr>
          <m:jc m:val="center"/>
        </m:oMathParaPr>
        <m:oMath>
          <m:sSub>
            <m:sSubPr>
              <m:ctrlPr>
                <w:rPr>
                  <w:rFonts w:ascii="Cambria Math" w:hAnsi="Cambria Math" w:cstheme="majorBidi"/>
                  <w:iCs/>
                </w:rPr>
              </m:ctrlPr>
            </m:sSubPr>
            <m:e>
              <m:r>
                <m:rPr>
                  <m:nor/>
                </m:rPr>
                <w:rPr>
                  <w:rFonts w:asciiTheme="majorBidi" w:hAnsiTheme="majorBidi" w:cstheme="majorBidi"/>
                  <w:lang w:val="en-US"/>
                </w:rPr>
                <m:t>C</m:t>
              </m:r>
            </m:e>
            <m:sub>
              <m:r>
                <m:rPr>
                  <m:nor/>
                </m:rPr>
                <w:rPr>
                  <w:rFonts w:asciiTheme="majorBidi" w:hAnsiTheme="majorBidi" w:cstheme="majorBidi"/>
                  <w:lang w:val="en-US"/>
                </w:rPr>
                <m:t>js</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d>
            <m:dPr>
              <m:ctrlPr>
                <w:rPr>
                  <w:rFonts w:ascii="Cambria Math" w:hAnsi="Cambria Math" w:cstheme="majorBidi"/>
                  <w:iCs/>
                </w:rPr>
              </m:ctrlPr>
            </m:dPr>
            <m:e>
              <m:sSub>
                <m:sSubPr>
                  <m:ctrlPr>
                    <w:rPr>
                      <w:rFonts w:ascii="Cambria Math" w:hAnsi="Cambria Math" w:cstheme="majorBidi"/>
                      <w:iCs/>
                    </w:rPr>
                  </m:ctrlPr>
                </m:sSubPr>
                <m:e>
                  <m:r>
                    <m:rPr>
                      <m:nor/>
                    </m:rPr>
                    <w:rPr>
                      <w:rFonts w:asciiTheme="majorBidi" w:hAnsiTheme="majorBidi" w:cstheme="majorBidi"/>
                      <w:lang w:val="en-US"/>
                    </w:rPr>
                    <m:t>m</m:t>
                  </m:r>
                </m:e>
                <m:sub>
                  <m:r>
                    <m:rPr>
                      <m:nor/>
                    </m:rPr>
                    <w:rPr>
                      <w:rFonts w:asciiTheme="majorBidi" w:hAnsiTheme="majorBidi" w:cstheme="majorBidi"/>
                      <w:lang w:val="en-US"/>
                    </w:rPr>
                    <m:t>st</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iCs/>
                    </w:rPr>
                  </m:ctrlPr>
                </m:sSubPr>
                <m:e>
                  <m:r>
                    <m:rPr>
                      <m:nor/>
                    </m:rPr>
                    <w:rPr>
                      <w:rFonts w:asciiTheme="majorBidi" w:hAnsiTheme="majorBidi" w:cstheme="majorBidi"/>
                      <w:lang w:val="en-US"/>
                    </w:rPr>
                    <m:t>m</m:t>
                  </m:r>
                </m:e>
                <m:sub>
                  <m:r>
                    <m:rPr>
                      <m:nor/>
                    </m:rPr>
                    <w:rPr>
                      <w:rFonts w:asciiTheme="majorBidi" w:hAnsiTheme="majorBidi" w:cstheme="majorBidi"/>
                      <w:lang w:val="en-US"/>
                    </w:rPr>
                    <m:t>r</m:t>
                  </m:r>
                </m:sub>
              </m:sSub>
            </m:e>
          </m:d>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iCs/>
                </w:rPr>
              </m:ctrlPr>
            </m:sSubPr>
            <m:e>
              <m:r>
                <m:rPr>
                  <m:nor/>
                </m:rPr>
                <w:rPr>
                  <w:rFonts w:asciiTheme="majorBidi" w:hAnsiTheme="majorBidi" w:cstheme="majorBidi"/>
                </w:rPr>
                <m:t>α</m:t>
              </m:r>
            </m:e>
            <m:sub>
              <m:r>
                <m:rPr>
                  <m:nor/>
                </m:rPr>
                <w:rPr>
                  <w:rFonts w:asciiTheme="majorBidi" w:hAnsiTheme="majorBidi" w:cstheme="majorBidi"/>
                  <w:lang w:val="en-US"/>
                </w:rPr>
                <m:t>j</m:t>
              </m:r>
            </m:sub>
          </m:sSub>
          <m:sSub>
            <m:sSubPr>
              <m:ctrlPr>
                <w:rPr>
                  <w:rFonts w:ascii="Cambria Math" w:hAnsi="Cambria Math" w:cstheme="majorBidi"/>
                  <w:iCs/>
                </w:rPr>
              </m:ctrlPr>
            </m:sSubPr>
            <m:e>
              <m:r>
                <m:rPr>
                  <m:nor/>
                </m:rPr>
                <w:rPr>
                  <w:rFonts w:asciiTheme="majorBidi" w:hAnsiTheme="majorBidi" w:cstheme="majorBidi"/>
                  <w:lang w:val="en-US"/>
                </w:rPr>
                <m:t>r</m:t>
              </m:r>
            </m:e>
            <m:sub>
              <m:r>
                <m:rPr>
                  <m:nor/>
                </m:rPr>
                <w:rPr>
                  <w:rFonts w:asciiTheme="majorBidi" w:hAnsiTheme="majorBidi" w:cstheme="majorBidi"/>
                  <w:lang w:val="en-US"/>
                </w:rPr>
                <m:t>j</m:t>
              </m:r>
            </m:sub>
          </m:sSub>
        </m:oMath>
      </m:oMathPara>
    </w:p>
    <w:p w:rsidR="00E24DB7" w:rsidRPr="002C5876" w:rsidRDefault="00731CA6" w:rsidP="00E24DB7">
      <w:pPr>
        <w:pStyle w:val="SingleTxtG"/>
        <w:ind w:left="3402"/>
      </w:pPr>
      <m:oMath>
        <m:f>
          <m:fPr>
            <m:ctrlPr>
              <w:rPr>
                <w:rFonts w:ascii="Cambria Math" w:hAnsi="Cambria Math" w:cstheme="majorBidi"/>
              </w:rPr>
            </m:ctrlPr>
          </m:fPr>
          <m:num>
            <m:sSub>
              <m:sSubPr>
                <m:ctrlPr>
                  <w:rPr>
                    <w:rFonts w:ascii="Cambria Math" w:hAnsi="Cambria Math" w:cstheme="majorBidi"/>
                  </w:rPr>
                </m:ctrlPr>
              </m:sSubPr>
              <m:e>
                <m:r>
                  <m:rPr>
                    <m:nor/>
                  </m:rPr>
                  <w:rPr>
                    <w:rFonts w:asciiTheme="majorBidi" w:hAnsiTheme="majorBidi" w:cstheme="majorBidi"/>
                  </w:rPr>
                  <m:t>C</m:t>
                </m:r>
              </m:e>
              <m:sub>
                <m:r>
                  <m:rPr>
                    <m:nor/>
                  </m:rPr>
                  <w:rPr>
                    <w:rFonts w:asciiTheme="majorBidi" w:hAnsiTheme="majorBidi" w:cstheme="majorBidi"/>
                  </w:rPr>
                  <m:t>js</m:t>
                </m:r>
              </m:sub>
            </m:sSub>
          </m:num>
          <m:den>
            <m:f>
              <m:fPr>
                <m:ctrlPr>
                  <w:rPr>
                    <w:rFonts w:ascii="Cambria Math" w:hAnsi="Cambria Math" w:cstheme="majorBidi"/>
                  </w:rPr>
                </m:ctrlPr>
              </m:fPr>
              <m:num>
                <m:r>
                  <m:rPr>
                    <m:nor/>
                  </m:rPr>
                  <w:rPr>
                    <w:rFonts w:asciiTheme="majorBidi" w:hAnsiTheme="majorBidi" w:cstheme="majorBidi"/>
                  </w:rPr>
                  <m:t>1</m:t>
                </m:r>
              </m:num>
              <m:den>
                <m:r>
                  <m:rPr>
                    <m:nor/>
                  </m:rPr>
                  <w:rPr>
                    <w:rFonts w:asciiTheme="majorBidi" w:hAnsiTheme="majorBidi" w:cstheme="majorBidi"/>
                  </w:rPr>
                  <m:t>k</m:t>
                </m:r>
              </m:den>
            </m:f>
            <m:nary>
              <m:naryPr>
                <m:chr m:val="∑"/>
                <m:limLoc m:val="undOvr"/>
                <m:ctrlPr>
                  <w:rPr>
                    <w:rFonts w:ascii="Cambria Math" w:hAnsi="Cambria Math" w:cstheme="majorBidi"/>
                  </w:rPr>
                </m:ctrlPr>
              </m:naryPr>
              <m:sub>
                <m:r>
                  <m:rPr>
                    <m:nor/>
                  </m:rPr>
                  <w:rPr>
                    <w:rFonts w:asciiTheme="majorBidi" w:hAnsiTheme="majorBidi" w:cstheme="majorBidi"/>
                  </w:rPr>
                  <m:t>i=1</m:t>
                </m:r>
              </m:sub>
              <m:sup>
                <m:r>
                  <m:rPr>
                    <m:nor/>
                  </m:rPr>
                  <w:rPr>
                    <w:rFonts w:asciiTheme="majorBidi" w:hAnsiTheme="majorBidi" w:cstheme="majorBidi"/>
                  </w:rPr>
                  <m:t>k</m:t>
                </m:r>
              </m:sup>
              <m:e>
                <m:sSub>
                  <m:sSubPr>
                    <m:ctrlPr>
                      <w:rPr>
                        <w:rFonts w:ascii="Cambria Math" w:hAnsi="Cambria Math" w:cstheme="majorBidi"/>
                      </w:rPr>
                    </m:ctrlPr>
                  </m:sSubPr>
                  <m:e>
                    <m:r>
                      <m:rPr>
                        <m:nor/>
                      </m:rPr>
                      <w:rPr>
                        <w:rFonts w:asciiTheme="majorBidi" w:hAnsiTheme="majorBidi" w:cstheme="majorBidi"/>
                      </w:rPr>
                      <m:t>C</m:t>
                    </m:r>
                  </m:e>
                  <m:sub>
                    <m:r>
                      <m:rPr>
                        <m:nor/>
                      </m:rPr>
                      <w:rPr>
                        <w:rFonts w:asciiTheme="majorBidi" w:hAnsiTheme="majorBidi" w:cstheme="majorBidi"/>
                      </w:rPr>
                      <m:t>ji</m:t>
                    </m:r>
                  </m:sub>
                </m:sSub>
              </m:e>
            </m:nary>
          </m:den>
        </m:f>
      </m:oMath>
      <w:r w:rsidR="00E24DB7" w:rsidRPr="002C5876">
        <w:t xml:space="preserve"> ne doit pas être supérieur à 0,05 du couple moyen avant compensation, et peut être négligé si </w:t>
      </w:r>
      <w:r w:rsidR="00E24DB7" w:rsidRPr="002C5876">
        <w:sym w:font="Symbol" w:char="F061"/>
      </w:r>
      <w:r w:rsidR="00E24DB7" w:rsidRPr="002C5876">
        <w:rPr>
          <w:vertAlign w:val="subscript"/>
        </w:rPr>
        <w:t>j</w:t>
      </w:r>
      <w:r w:rsidR="00E24DB7" w:rsidRPr="002C5876">
        <w:rPr>
          <w:iCs/>
        </w:rPr>
        <w:t xml:space="preserve"> n’est pa</w:t>
      </w:r>
      <w:r w:rsidR="00E24DB7" w:rsidRPr="002C5876">
        <w:t xml:space="preserve">s supérieur à </w:t>
      </w:r>
      <w:r w:rsidR="00E24DB7" w:rsidRPr="002C5876">
        <w:sym w:font="Symbol" w:char="F0B1"/>
      </w:r>
      <w:r w:rsidR="00E24DB7" w:rsidRPr="002C5876">
        <w:t>0,005 m/s</w:t>
      </w:r>
      <w:r w:rsidR="00E24DB7" w:rsidRPr="002C5876">
        <w:rPr>
          <w:vertAlign w:val="superscript"/>
        </w:rPr>
        <w:t>2 </w:t>
      </w:r>
      <w:r w:rsidR="00E24DB7" w:rsidRPr="002C5876">
        <w:t>;</w:t>
      </w:r>
    </w:p>
    <w:p w:rsidR="00E24DB7" w:rsidRPr="002C5876" w:rsidRDefault="00731CA6" w:rsidP="00E24DB7">
      <w:pPr>
        <w:pStyle w:val="SingleTxtG"/>
        <w:spacing w:after="240"/>
        <w:ind w:left="3402" w:hanging="1134"/>
        <w:jc w:val="left"/>
        <w:rPr>
          <w:iCs/>
        </w:rPr>
      </w:pPr>
      <m:oMath>
        <m:sSub>
          <m:sSubPr>
            <m:ctrlPr>
              <w:rPr>
                <w:rFonts w:ascii="Cambria Math" w:hAnsi="Cambria Math"/>
                <w:iCs/>
              </w:rPr>
            </m:ctrlPr>
          </m:sSubPr>
          <m:e>
            <m:r>
              <m:rPr>
                <m:sty m:val="p"/>
              </m:rPr>
              <w:rPr>
                <w:rFonts w:ascii="Cambria Math"/>
              </w:rPr>
              <m:t>m</m:t>
            </m:r>
          </m:e>
          <m:sub>
            <m:r>
              <m:rPr>
                <m:sty m:val="p"/>
              </m:rPr>
              <w:rPr>
                <w:rFonts w:ascii="Cambria Math"/>
              </w:rPr>
              <m:t>st</m:t>
            </m:r>
          </m:sub>
        </m:sSub>
      </m:oMath>
      <w:r w:rsidR="00E24DB7" w:rsidRPr="002C5876">
        <w:rPr>
          <w:iCs/>
        </w:rPr>
        <w:tab/>
        <w:t xml:space="preserve">est la </w:t>
      </w:r>
      <w:r w:rsidR="00E24DB7" w:rsidRPr="002C5876">
        <w:t xml:space="preserve">masse d’essai du véhicule au </w:t>
      </w:r>
      <w:r w:rsidR="00E24DB7" w:rsidRPr="002C5876">
        <w:rPr>
          <w:iCs/>
        </w:rPr>
        <w:t xml:space="preserve">début des mesures, qui doit être mesurée immédiatement avant la procédure </w:t>
      </w:r>
      <w:r w:rsidR="00E24DB7" w:rsidRPr="002C5876">
        <w:t>de mise en température et au plus tôt à cet instant</w:t>
      </w:r>
      <w:r w:rsidR="00E24DB7" w:rsidRPr="002C5876">
        <w:rPr>
          <w:iCs/>
        </w:rPr>
        <w:t xml:space="preserve">, en kg ; </w:t>
      </w:r>
    </w:p>
    <w:p w:rsidR="00E24DB7" w:rsidRPr="002C5876" w:rsidRDefault="00731CA6" w:rsidP="00E24DB7">
      <w:pPr>
        <w:pStyle w:val="SingleTxtG"/>
        <w:ind w:left="3402" w:hanging="1134"/>
      </w:pPr>
      <m:oMath>
        <m:sSub>
          <m:sSubPr>
            <m:ctrlPr>
              <w:rPr>
                <w:rFonts w:ascii="Cambria Math" w:hAnsi="Cambria Math"/>
                <w:iCs/>
              </w:rPr>
            </m:ctrlPr>
          </m:sSubPr>
          <m:e>
            <m:r>
              <m:rPr>
                <m:nor/>
              </m:rPr>
              <m:t>m</m:t>
            </m:r>
          </m:e>
          <m:sub>
            <m:r>
              <m:rPr>
                <m:nor/>
              </m:rPr>
              <m:t>r</m:t>
            </m:r>
          </m:sub>
        </m:sSub>
      </m:oMath>
      <w:r w:rsidR="00E24DB7" w:rsidRPr="002C5876">
        <w:tab/>
        <w:t xml:space="preserve">est la masse effective équivalente des composants en rotation conformément au paragraphe 2.5.1 de la présente annexe, en kg ; </w:t>
      </w:r>
    </w:p>
    <w:p w:rsidR="00E24DB7" w:rsidRPr="002C5876" w:rsidRDefault="00731CA6" w:rsidP="00E24DB7">
      <w:pPr>
        <w:pStyle w:val="SingleTxtG"/>
        <w:spacing w:after="240"/>
        <w:ind w:left="3402" w:hanging="1134"/>
      </w:pPr>
      <m:oMath>
        <m:sSub>
          <m:sSubPr>
            <m:ctrlPr>
              <w:rPr>
                <w:rFonts w:ascii="Cambria Math" w:hAnsi="Cambria Math"/>
                <w:iCs/>
              </w:rPr>
            </m:ctrlPr>
          </m:sSubPr>
          <m:e>
            <m:r>
              <m:rPr>
                <m:sty m:val="p"/>
              </m:rPr>
              <w:rPr>
                <w:rFonts w:ascii="Cambria Math"/>
              </w:rPr>
              <m:t>r</m:t>
            </m:r>
          </m:e>
          <m:sub>
            <m:r>
              <m:rPr>
                <m:sty m:val="p"/>
              </m:rPr>
              <w:rPr>
                <w:rFonts w:ascii="Cambria Math"/>
              </w:rPr>
              <m:t>j</m:t>
            </m:r>
          </m:sub>
        </m:sSub>
      </m:oMath>
      <w:r w:rsidR="00E24DB7" w:rsidRPr="002C5876">
        <w:rPr>
          <w:iCs/>
        </w:rPr>
        <w:tab/>
      </w:r>
      <w:r w:rsidR="00E24DB7" w:rsidRPr="002C5876">
        <w:t>est le rayon dynamique du pneumatique, déterminé en un point de référence de 80 km/h ou au point de vitesse de référence le plus élevé du véhicule si cette vitesse est inférieure à 80 km/h, calculé au moyen de l’équation suivante :</w:t>
      </w:r>
    </w:p>
    <w:p w:rsidR="00E24DB7" w:rsidRPr="002C5876" w:rsidRDefault="00731CA6" w:rsidP="00E24DB7">
      <w:pPr>
        <w:pStyle w:val="SingleTxtG"/>
        <w:spacing w:after="240"/>
        <w:ind w:left="2268"/>
        <w:rPr>
          <w:rFonts w:eastAsiaTheme="minorEastAsia"/>
        </w:rPr>
      </w:pPr>
      <m:oMathPara>
        <m:oMathParaPr>
          <m:jc m:val="center"/>
        </m:oMathParaPr>
        <m:oMath>
          <m:sSub>
            <m:sSubPr>
              <m:ctrlPr>
                <w:rPr>
                  <w:rFonts w:ascii="Cambria Math" w:hAnsi="Cambria Math" w:cstheme="majorBidi"/>
                </w:rPr>
              </m:ctrlPr>
            </m:sSubPr>
            <m:e>
              <m:r>
                <m:rPr>
                  <m:nor/>
                </m:rPr>
                <w:rPr>
                  <w:rFonts w:asciiTheme="majorBidi" w:hAnsiTheme="majorBidi" w:cstheme="majorBidi"/>
                </w:rPr>
                <m:t>r</m:t>
              </m:r>
            </m:e>
            <m:sub>
              <m:r>
                <m:rPr>
                  <m:nor/>
                </m:rPr>
                <w:rPr>
                  <w:rFonts w:asciiTheme="majorBidi" w:hAnsiTheme="majorBidi" w:cstheme="majorBidi"/>
                </w:rPr>
                <m:t>j</m:t>
              </m:r>
            </m:sub>
          </m:sSub>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f>
            <m:fPr>
              <m:ctrlPr>
                <w:rPr>
                  <w:rFonts w:ascii="Cambria Math" w:hAnsi="Cambria Math" w:cstheme="majorBidi"/>
                </w:rPr>
              </m:ctrlPr>
            </m:fPr>
            <m:num>
              <m:r>
                <m:rPr>
                  <m:nor/>
                </m:rPr>
                <w:rPr>
                  <w:rFonts w:asciiTheme="majorBidi" w:hAnsiTheme="majorBidi" w:cstheme="majorBidi"/>
                </w:rPr>
                <m:t>1</m:t>
              </m:r>
            </m:num>
            <m:den>
              <m:r>
                <m:rPr>
                  <m:nor/>
                </m:rPr>
                <w:rPr>
                  <w:rFonts w:asciiTheme="majorBidi" w:hAnsiTheme="majorBidi" w:cstheme="majorBidi"/>
                </w:rPr>
                <m:t>3,6</m:t>
              </m:r>
            </m:den>
          </m:f>
          <m:r>
            <m:rPr>
              <m:nor/>
            </m:rPr>
            <w:rPr>
              <w:rFonts w:asciiTheme="majorBidi" w:hAnsiTheme="majorBidi" w:cstheme="majorBidi"/>
            </w:rPr>
            <m:t>×</m:t>
          </m:r>
          <m:f>
            <m:fPr>
              <m:ctrlPr>
                <w:rPr>
                  <w:rFonts w:ascii="Cambria Math" w:hAnsi="Cambria Math" w:cstheme="majorBidi"/>
                </w:rPr>
              </m:ctrlPr>
            </m:fPr>
            <m:num>
              <m:sSub>
                <m:sSubPr>
                  <m:ctrlPr>
                    <w:rPr>
                      <w:rFonts w:ascii="Cambria Math" w:hAnsi="Cambria Math" w:cstheme="majorBidi"/>
                    </w:rPr>
                  </m:ctrlPr>
                </m:sSubPr>
                <m:e>
                  <m:r>
                    <m:rPr>
                      <m:nor/>
                    </m:rPr>
                    <w:rPr>
                      <w:rFonts w:asciiTheme="majorBidi" w:hAnsiTheme="majorBidi" w:cstheme="majorBidi"/>
                    </w:rPr>
                    <m:t>v</m:t>
                  </m:r>
                </m:e>
                <m:sub>
                  <m:r>
                    <m:rPr>
                      <m:nor/>
                    </m:rPr>
                    <w:rPr>
                      <w:rFonts w:asciiTheme="majorBidi" w:hAnsiTheme="majorBidi" w:cstheme="majorBidi"/>
                    </w:rPr>
                    <m:t>jm</m:t>
                  </m:r>
                </m:sub>
              </m:sSub>
            </m:num>
            <m:den>
              <m:r>
                <m:rPr>
                  <m:nor/>
                </m:rPr>
                <w:rPr>
                  <w:rFonts w:asciiTheme="majorBidi" w:hAnsiTheme="majorBidi" w:cstheme="majorBidi"/>
                </w:rPr>
                <m:t>2</m:t>
              </m:r>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r>
                <m:rPr>
                  <m:nor/>
                </m:rPr>
                <w:rPr>
                  <w:rFonts w:asciiTheme="majorBidi" w:hAnsiTheme="majorBidi" w:cstheme="majorBidi"/>
                </w:rPr>
                <m:t xml:space="preserve">πn </m:t>
              </m:r>
            </m:den>
          </m:f>
        </m:oMath>
      </m:oMathPara>
    </w:p>
    <w:p w:rsidR="00E24DB7" w:rsidRPr="002C5876" w:rsidRDefault="00E24DB7" w:rsidP="00E24DB7">
      <w:pPr>
        <w:pStyle w:val="SingleTxtG"/>
        <w:keepNext/>
        <w:ind w:left="2835" w:hanging="567"/>
      </w:pPr>
      <w:r w:rsidRPr="002C5876">
        <w:lastRenderedPageBreak/>
        <w:t>où :</w:t>
      </w:r>
    </w:p>
    <w:p w:rsidR="00E24DB7" w:rsidRPr="002C5876" w:rsidRDefault="00E24DB7" w:rsidP="00E24DB7">
      <w:pPr>
        <w:pStyle w:val="SingleTxtG"/>
        <w:ind w:left="3402" w:hanging="1134"/>
      </w:pPr>
      <m:oMath>
        <m:r>
          <m:rPr>
            <m:sty m:val="p"/>
          </m:rPr>
          <w:rPr>
            <w:rFonts w:ascii="Cambria Math"/>
          </w:rPr>
          <m:t>n</m:t>
        </m:r>
      </m:oMath>
      <w:r w:rsidRPr="002C5876">
        <w:tab/>
        <w:t>est la fréquence de rotation du pneumatique entraîné, en s</w:t>
      </w:r>
      <w:r w:rsidRPr="002C5876">
        <w:rPr>
          <w:vertAlign w:val="superscript"/>
        </w:rPr>
        <w:t>-1</w:t>
      </w:r>
      <w:r w:rsidRPr="002C5876">
        <w:t> ;</w:t>
      </w:r>
    </w:p>
    <w:p w:rsidR="00E24DB7" w:rsidRPr="002C5876" w:rsidRDefault="00731CA6" w:rsidP="00E24DB7">
      <w:pPr>
        <w:pStyle w:val="SingleTxtG"/>
        <w:ind w:left="3402" w:hanging="1134"/>
      </w:pPr>
      <m:oMath>
        <m:sSub>
          <m:sSubPr>
            <m:ctrlPr>
              <w:rPr>
                <w:rFonts w:ascii="Cambria Math" w:hAnsi="Cambria Math"/>
                <w:iCs/>
              </w:rPr>
            </m:ctrlPr>
          </m:sSubPr>
          <m:e>
            <m:r>
              <m:rPr>
                <m:sty m:val="p"/>
              </m:rPr>
              <w:rPr>
                <w:rFonts w:ascii="Cambria Math"/>
              </w:rPr>
              <m:t>α</m:t>
            </m:r>
          </m:e>
          <m:sub>
            <m:r>
              <m:rPr>
                <m:sty m:val="p"/>
              </m:rPr>
              <w:rPr>
                <w:rFonts w:ascii="Cambria Math"/>
              </w:rPr>
              <m:t>j</m:t>
            </m:r>
          </m:sub>
        </m:sSub>
      </m:oMath>
      <w:r w:rsidR="00E24DB7" w:rsidRPr="002C5876">
        <w:rPr>
          <w:iCs/>
        </w:rPr>
        <w:tab/>
      </w:r>
      <w:r w:rsidR="00E24DB7" w:rsidRPr="002C5876">
        <w:t>est l’accélération moyenne arithmétique, en m/s</w:t>
      </w:r>
      <w:r w:rsidR="00E24DB7" w:rsidRPr="002C5876">
        <w:rPr>
          <w:vertAlign w:val="superscript"/>
        </w:rPr>
        <w:t>2</w:t>
      </w:r>
      <w:r w:rsidR="00E24DB7" w:rsidRPr="002C5876">
        <w:t>, qui doit être calculée au moyen de l’équation :</w:t>
      </w:r>
    </w:p>
    <w:p w:rsidR="00E24DB7" w:rsidRPr="002C5876" w:rsidRDefault="00731CA6" w:rsidP="00D957AA">
      <w:pPr>
        <w:pStyle w:val="SingleTxtG"/>
        <w:ind w:left="2268"/>
      </w:pPr>
      <m:oMathPara>
        <m:oMath>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j</m:t>
              </m:r>
            </m:sub>
          </m:sSub>
          <m:r>
            <m:rPr>
              <m:sty m:val="p"/>
            </m:rPr>
            <w:rPr>
              <w:rFonts w:ascii="Cambria Math" w:hAnsi="Cambria Math"/>
            </w:rPr>
            <m:t>=</m:t>
          </m:r>
          <m:f>
            <m:fPr>
              <m:ctrlPr>
                <w:rPr>
                  <w:rFonts w:ascii="Cambria Math" w:hAnsi="Cambria Math"/>
                  <w:iCs/>
                </w:rPr>
              </m:ctrlPr>
            </m:fPr>
            <m:num>
              <m:r>
                <m:rPr>
                  <m:sty m:val="p"/>
                </m:rPr>
                <w:rPr>
                  <w:rFonts w:ascii="Cambria Math" w:hAnsi="Cambria Math"/>
                </w:rPr>
                <m:t>1</m:t>
              </m:r>
            </m:num>
            <m:den>
              <m:r>
                <m:rPr>
                  <m:sty m:val="p"/>
                </m:rPr>
                <w:rPr>
                  <w:rFonts w:ascii="Cambria Math" w:hAnsi="Cambria Math"/>
                </w:rPr>
                <m:t>3,6</m:t>
              </m:r>
            </m:den>
          </m:f>
          <m:r>
            <m:rPr>
              <m:sty m:val="p"/>
            </m:rPr>
            <w:rPr>
              <w:rFonts w:ascii="Cambria Math" w:hAnsi="Cambria Math"/>
            </w:rPr>
            <m:t>×</m:t>
          </m:r>
          <m:f>
            <m:fPr>
              <m:ctrlPr>
                <w:rPr>
                  <w:rFonts w:ascii="Cambria Math" w:hAnsi="Cambria Math"/>
                  <w:iCs/>
                </w:rPr>
              </m:ctrlPr>
            </m:fPr>
            <m:num>
              <m:r>
                <m:rPr>
                  <m:sty m:val="p"/>
                </m:rPr>
                <w:rPr>
                  <w:rFonts w:ascii="Cambria Math" w:hAnsi="Cambria Math"/>
                </w:rPr>
                <m:t>k</m:t>
              </m:r>
              <m:nary>
                <m:naryPr>
                  <m:chr m:val="∑"/>
                  <m:limLoc m:val="undOvr"/>
                  <m:ctrlPr>
                    <w:rPr>
                      <w:rFonts w:ascii="Cambria Math" w:hAnsi="Cambria Math"/>
                      <w:iCs/>
                    </w:rPr>
                  </m:ctrlPr>
                </m:naryPr>
                <m:sub>
                  <m:r>
                    <m:rPr>
                      <m:sty m:val="p"/>
                    </m:rPr>
                    <w:rPr>
                      <w:rFonts w:ascii="Cambria Math" w:hAnsi="Cambria Math"/>
                    </w:rPr>
                    <m:t>i=1</m:t>
                  </m:r>
                </m:sub>
                <m:sup>
                  <m:r>
                    <m:rPr>
                      <m:sty m:val="p"/>
                    </m:rPr>
                    <w:rPr>
                      <w:rFonts w:ascii="Cambria Math" w:hAnsi="Cambria Math"/>
                    </w:rPr>
                    <m:t>k</m:t>
                  </m:r>
                </m:sup>
                <m:e>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i</m:t>
                      </m:r>
                    </m:sub>
                  </m:sSub>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ji</m:t>
                      </m:r>
                    </m:sub>
                  </m:sSub>
                  <m:r>
                    <m:rPr>
                      <m:sty m:val="p"/>
                    </m:rPr>
                    <w:rPr>
                      <w:rFonts w:ascii="Cambria Math" w:hAnsi="Cambria Math"/>
                    </w:rPr>
                    <m:t>-</m:t>
                  </m:r>
                  <m:nary>
                    <m:naryPr>
                      <m:chr m:val="∑"/>
                      <m:limLoc m:val="undOvr"/>
                      <m:ctrlPr>
                        <w:rPr>
                          <w:rFonts w:ascii="Cambria Math" w:hAnsi="Cambria Math"/>
                          <w:iCs/>
                        </w:rPr>
                      </m:ctrlPr>
                    </m:naryPr>
                    <m:sub>
                      <m:r>
                        <m:rPr>
                          <m:sty m:val="p"/>
                        </m:rPr>
                        <w:rPr>
                          <w:rFonts w:ascii="Cambria Math" w:hAnsi="Cambria Math"/>
                        </w:rPr>
                        <m:t>i=1</m:t>
                      </m:r>
                    </m:sub>
                    <m:sup>
                      <m:r>
                        <m:rPr>
                          <m:sty m:val="p"/>
                        </m:rPr>
                        <w:rPr>
                          <w:rFonts w:ascii="Cambria Math" w:hAnsi="Cambria Math"/>
                        </w:rPr>
                        <m:t>k</m:t>
                      </m:r>
                    </m:sup>
                    <m:e>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i</m:t>
                          </m:r>
                        </m:sub>
                      </m:sSub>
                    </m:e>
                  </m:nary>
                  <m:nary>
                    <m:naryPr>
                      <m:chr m:val="∑"/>
                      <m:limLoc m:val="undOvr"/>
                      <m:ctrlPr>
                        <w:rPr>
                          <w:rFonts w:ascii="Cambria Math" w:hAnsi="Cambria Math"/>
                          <w:iCs/>
                        </w:rPr>
                      </m:ctrlPr>
                    </m:naryPr>
                    <m:sub>
                      <m:r>
                        <m:rPr>
                          <m:sty m:val="p"/>
                        </m:rPr>
                        <w:rPr>
                          <w:rFonts w:ascii="Cambria Math" w:hAnsi="Cambria Math"/>
                        </w:rPr>
                        <m:t>i=1</m:t>
                      </m:r>
                    </m:sub>
                    <m:sup>
                      <m:r>
                        <m:rPr>
                          <m:sty m:val="p"/>
                        </m:rPr>
                        <w:rPr>
                          <w:rFonts w:ascii="Cambria Math" w:hAnsi="Cambria Math"/>
                        </w:rPr>
                        <m:t>k</m:t>
                      </m:r>
                    </m:sup>
                    <m:e>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ji</m:t>
                          </m:r>
                        </m:sub>
                      </m:sSub>
                    </m:e>
                  </m:nary>
                </m:e>
              </m:nary>
            </m:num>
            <m:den>
              <m:r>
                <m:rPr>
                  <m:sty m:val="p"/>
                </m:rPr>
                <w:rPr>
                  <w:rFonts w:ascii="Cambria Math" w:hAnsi="Cambria Math"/>
                </w:rPr>
                <m:t>k×</m:t>
              </m:r>
              <m:nary>
                <m:naryPr>
                  <m:chr m:val="∑"/>
                  <m:limLoc m:val="undOvr"/>
                  <m:ctrlPr>
                    <w:rPr>
                      <w:rFonts w:ascii="Cambria Math" w:hAnsi="Cambria Math"/>
                      <w:iCs/>
                    </w:rPr>
                  </m:ctrlPr>
                </m:naryPr>
                <m:sub>
                  <m:r>
                    <m:rPr>
                      <m:sty m:val="p"/>
                    </m:rPr>
                    <w:rPr>
                      <w:rFonts w:ascii="Cambria Math" w:hAnsi="Cambria Math"/>
                    </w:rPr>
                    <m:t>i=1</m:t>
                  </m:r>
                </m:sub>
                <m:sup>
                  <m:r>
                    <m:rPr>
                      <m:sty m:val="p"/>
                    </m:rPr>
                    <w:rPr>
                      <w:rFonts w:ascii="Cambria Math" w:hAnsi="Cambria Math"/>
                    </w:rPr>
                    <m:t>k</m:t>
                  </m:r>
                </m:sup>
                <m:e>
                  <m:sSubSup>
                    <m:sSubSupPr>
                      <m:ctrlPr>
                        <w:rPr>
                          <w:rFonts w:ascii="Cambria Math" w:hAnsi="Cambria Math"/>
                          <w:iCs/>
                        </w:rPr>
                      </m:ctrlPr>
                    </m:sSubSupPr>
                    <m:e>
                      <m:r>
                        <m:rPr>
                          <m:sty m:val="p"/>
                        </m:rPr>
                        <w:rPr>
                          <w:rFonts w:ascii="Cambria Math" w:hAnsi="Cambria Math"/>
                        </w:rPr>
                        <m:t>t</m:t>
                      </m:r>
                    </m:e>
                    <m:sub>
                      <m:r>
                        <m:rPr>
                          <m:sty m:val="p"/>
                        </m:rPr>
                        <w:rPr>
                          <w:rFonts w:ascii="Cambria Math" w:hAnsi="Cambria Math"/>
                        </w:rPr>
                        <m:t>i</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iCs/>
                        </w:rPr>
                      </m:ctrlPr>
                    </m:sSupPr>
                    <m:e>
                      <m:d>
                        <m:dPr>
                          <m:begChr m:val="["/>
                          <m:endChr m:val="]"/>
                          <m:ctrlPr>
                            <w:rPr>
                              <w:rFonts w:ascii="Cambria Math" w:hAnsi="Cambria Math"/>
                              <w:iCs/>
                            </w:rPr>
                          </m:ctrlPr>
                        </m:dPr>
                        <m:e>
                          <m:nary>
                            <m:naryPr>
                              <m:chr m:val="∑"/>
                              <m:limLoc m:val="undOvr"/>
                              <m:ctrlPr>
                                <w:rPr>
                                  <w:rFonts w:ascii="Cambria Math" w:hAnsi="Cambria Math"/>
                                  <w:iCs/>
                                </w:rPr>
                              </m:ctrlPr>
                            </m:naryPr>
                            <m:sub>
                              <m:r>
                                <m:rPr>
                                  <m:sty m:val="p"/>
                                </m:rPr>
                                <w:rPr>
                                  <w:rFonts w:ascii="Cambria Math" w:hAnsi="Cambria Math"/>
                                </w:rPr>
                                <m:t>i=1</m:t>
                              </m:r>
                            </m:sub>
                            <m:sup>
                              <m:r>
                                <m:rPr>
                                  <m:sty m:val="p"/>
                                </m:rPr>
                                <w:rPr>
                                  <w:rFonts w:ascii="Cambria Math" w:hAnsi="Cambria Math"/>
                                </w:rPr>
                                <m:t>k</m:t>
                              </m:r>
                            </m:sup>
                            <m:e>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i</m:t>
                                  </m:r>
                                </m:sub>
                              </m:sSub>
                            </m:e>
                          </m:nary>
                        </m:e>
                      </m:d>
                    </m:e>
                    <m:sup>
                      <m:r>
                        <m:rPr>
                          <m:sty m:val="p"/>
                        </m:rPr>
                        <w:rPr>
                          <w:rFonts w:ascii="Cambria Math" w:hAnsi="Cambria Math"/>
                        </w:rPr>
                        <m:t>2</m:t>
                      </m:r>
                    </m:sup>
                  </m:sSup>
                </m:e>
              </m:nary>
            </m:den>
          </m:f>
        </m:oMath>
      </m:oMathPara>
    </w:p>
    <w:p w:rsidR="00E24DB7" w:rsidRPr="002C5876" w:rsidRDefault="00E24DB7" w:rsidP="00E24DB7">
      <w:pPr>
        <w:pStyle w:val="SingleTxtG"/>
        <w:ind w:left="2835" w:hanging="567"/>
        <w:rPr>
          <w:iCs/>
        </w:rPr>
      </w:pPr>
      <w:r w:rsidRPr="002C5876">
        <w:rPr>
          <w:iCs/>
        </w:rPr>
        <w:t xml:space="preserve">où : </w:t>
      </w:r>
    </w:p>
    <w:p w:rsidR="00E24DB7" w:rsidRPr="002C5876" w:rsidRDefault="00731CA6" w:rsidP="00E24DB7">
      <w:pPr>
        <w:pStyle w:val="SingleTxtG"/>
        <w:ind w:left="3402" w:hanging="1134"/>
      </w:pPr>
      <m:oMath>
        <m:sSub>
          <m:sSubPr>
            <m:ctrlPr>
              <w:rPr>
                <w:rFonts w:ascii="Cambria Math" w:hAnsi="Cambria Math"/>
                <w:iCs/>
              </w:rPr>
            </m:ctrlPr>
          </m:sSubPr>
          <m:e>
            <m:r>
              <m:rPr>
                <m:sty m:val="p"/>
              </m:rPr>
              <w:rPr>
                <w:rFonts w:ascii="Cambria Math"/>
              </w:rPr>
              <m:t>t</m:t>
            </m:r>
          </m:e>
          <m:sub>
            <m:r>
              <m:rPr>
                <m:sty m:val="p"/>
              </m:rPr>
              <w:rPr>
                <w:rFonts w:ascii="Cambria Math"/>
              </w:rPr>
              <m:t>i</m:t>
            </m:r>
          </m:sub>
        </m:sSub>
      </m:oMath>
      <w:r w:rsidR="00E24DB7" w:rsidRPr="002C5876">
        <w:rPr>
          <w:iCs/>
        </w:rPr>
        <w:tab/>
      </w:r>
      <w:r w:rsidR="00E24DB7" w:rsidRPr="002C5876">
        <w:t xml:space="preserve">est l’instant auquel le </w:t>
      </w:r>
      <w:r w:rsidR="00E24DB7" w:rsidRPr="002C5876">
        <w:rPr>
          <w:iCs/>
        </w:rPr>
        <w:t>i</w:t>
      </w:r>
      <w:r w:rsidR="00E24DB7" w:rsidRPr="002C5876">
        <w:rPr>
          <w:vertAlign w:val="superscript"/>
        </w:rPr>
        <w:t>e</w:t>
      </w:r>
      <w:r w:rsidR="00E24DB7" w:rsidRPr="002C5876">
        <w:t> jeu de données a été mesuré, en s.</w:t>
      </w:r>
    </w:p>
    <w:p w:rsidR="00E24DB7" w:rsidRPr="002C5876" w:rsidRDefault="00E24DB7" w:rsidP="00E24DB7">
      <w:pPr>
        <w:pStyle w:val="SingleTxtG"/>
        <w:keepNext/>
        <w:ind w:left="2268" w:hanging="1134"/>
        <w:jc w:val="left"/>
      </w:pPr>
      <w:r w:rsidRPr="002C5876">
        <w:t>4.4.3.2</w:t>
      </w:r>
      <w:r w:rsidRPr="002C5876">
        <w:tab/>
        <w:t xml:space="preserve">Précision des mesures </w:t>
      </w:r>
    </w:p>
    <w:p w:rsidR="00E24DB7" w:rsidRPr="002C5876" w:rsidRDefault="00E24DB7" w:rsidP="00E24DB7">
      <w:pPr>
        <w:pStyle w:val="SingleTxtG"/>
        <w:spacing w:after="240"/>
        <w:ind w:left="2268"/>
        <w:jc w:val="left"/>
      </w:pPr>
      <w:r w:rsidRPr="002C5876">
        <w:t>Ces mesures doivent être exécutées dans les deux sens opposés jusqu’à ce qu’un minimum de trois paires de mesures à chaque vitesse de référence v</w:t>
      </w:r>
      <w:r w:rsidRPr="002C5876">
        <w:rPr>
          <w:vertAlign w:val="subscript"/>
        </w:rPr>
        <w:t>i</w:t>
      </w:r>
      <w:r w:rsidRPr="002C5876">
        <w:t xml:space="preserve"> aient été obtenues, pour lesquelles </w:t>
      </w:r>
      <m:oMath>
        <m:acc>
          <m:accPr>
            <m:chr m:val="̅"/>
            <m:ctrlPr>
              <w:rPr>
                <w:rFonts w:ascii="Cambria Math" w:hAnsi="Cambria Math"/>
              </w:rPr>
            </m:ctrlPr>
          </m:accPr>
          <m:e>
            <m:sSub>
              <m:sSubPr>
                <m:ctrlPr>
                  <w:rPr>
                    <w:rFonts w:ascii="Cambria Math" w:hAnsi="Cambria Math"/>
                  </w:rPr>
                </m:ctrlPr>
              </m:sSubPr>
              <m:e>
                <m:r>
                  <m:rPr>
                    <m:sty m:val="p"/>
                  </m:rPr>
                  <w:rPr>
                    <w:rFonts w:ascii="Cambria Math"/>
                  </w:rPr>
                  <m:t>C</m:t>
                </m:r>
              </m:e>
              <m:sub>
                <m:r>
                  <m:rPr>
                    <m:sty m:val="p"/>
                  </m:rPr>
                  <w:rPr>
                    <w:rFonts w:ascii="Cambria Math"/>
                  </w:rPr>
                  <m:t>j</m:t>
                </m:r>
              </m:sub>
            </m:sSub>
          </m:e>
        </m:acc>
      </m:oMath>
      <w:r w:rsidRPr="002C5876">
        <w:t xml:space="preserve"> satisfasse à la condition requise de précision </w:t>
      </w:r>
      <w:r w:rsidRPr="002C5876">
        <w:rPr>
          <w:iCs/>
        </w:rPr>
        <w:t>ρ</w:t>
      </w:r>
      <w:r w:rsidRPr="002C5876">
        <w:rPr>
          <w:iCs/>
          <w:vertAlign w:val="subscript"/>
        </w:rPr>
        <w:t>j</w:t>
      </w:r>
      <w:r w:rsidRPr="002C5876">
        <w:t>, conformément à l’équation :</w:t>
      </w:r>
    </w:p>
    <w:p w:rsidR="00E24DB7" w:rsidRPr="002C5876" w:rsidRDefault="00731CA6" w:rsidP="00E24DB7">
      <w:pPr>
        <w:ind w:left="2268" w:right="1134"/>
        <w:rPr>
          <w:rFonts w:eastAsiaTheme="minorEastAsia"/>
        </w:rPr>
      </w:pPr>
      <m:oMathPara>
        <m:oMathParaPr>
          <m:jc m:val="center"/>
        </m:oMathParaPr>
        <m:oMath>
          <m:sSub>
            <m:sSubPr>
              <m:ctrlPr>
                <w:rPr>
                  <w:rFonts w:ascii="Cambria Math" w:hAnsi="Cambria Math" w:cstheme="majorBidi"/>
                </w:rPr>
              </m:ctrlPr>
            </m:sSubPr>
            <m:e>
              <m:r>
                <m:rPr>
                  <m:nor/>
                </m:rPr>
                <w:rPr>
                  <w:rFonts w:asciiTheme="majorBidi" w:hAnsiTheme="majorBidi" w:cstheme="majorBidi"/>
                </w:rPr>
                <m:t>ρ</m:t>
              </m:r>
            </m:e>
            <m:sub>
              <m:r>
                <m:rPr>
                  <m:nor/>
                </m:rPr>
                <w:rPr>
                  <w:rFonts w:asciiTheme="majorBidi" w:hAnsiTheme="majorBidi" w:cstheme="majorBidi"/>
                </w:rPr>
                <m:t>j</m:t>
              </m:r>
            </m:sub>
          </m:sSub>
          <m:r>
            <m:rPr>
              <m:nor/>
            </m:rPr>
            <w:rPr>
              <w:rFonts w:ascii="Cambria Math" w:hAnsiTheme="majorBidi" w:cstheme="majorBidi"/>
            </w:rPr>
            <m:t xml:space="preserve"> </m:t>
          </m:r>
          <m:r>
            <m:rPr>
              <m:nor/>
            </m:rPr>
            <w:rPr>
              <w:rFonts w:asciiTheme="majorBidi" w:hAnsiTheme="majorBidi" w:cstheme="majorBidi"/>
            </w:rPr>
            <m:t xml:space="preserve">= </m:t>
          </m:r>
          <m:f>
            <m:fPr>
              <m:ctrlPr>
                <w:rPr>
                  <w:rFonts w:ascii="Cambria Math" w:hAnsi="Cambria Math" w:cstheme="majorBidi"/>
                </w:rPr>
              </m:ctrlPr>
            </m:fPr>
            <m:num>
              <m:r>
                <m:rPr>
                  <m:nor/>
                </m:rPr>
                <w:rPr>
                  <w:rFonts w:asciiTheme="majorBidi" w:hAnsiTheme="majorBidi" w:cstheme="majorBidi"/>
                </w:rPr>
                <m:t>h</m:t>
              </m:r>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r>
                <m:rPr>
                  <m:nor/>
                </m:rPr>
                <w:rPr>
                  <w:rFonts w:asciiTheme="majorBidi" w:hAnsiTheme="majorBidi" w:cstheme="majorBidi"/>
                </w:rPr>
                <m:t>s</m:t>
              </m:r>
            </m:num>
            <m:den>
              <m:rad>
                <m:radPr>
                  <m:degHide m:val="1"/>
                  <m:ctrlPr>
                    <w:rPr>
                      <w:rFonts w:ascii="Cambria Math" w:hAnsi="Cambria Math" w:cstheme="majorBidi"/>
                    </w:rPr>
                  </m:ctrlPr>
                </m:radPr>
                <m:deg/>
                <m:e>
                  <m:r>
                    <m:rPr>
                      <m:nor/>
                    </m:rPr>
                    <w:rPr>
                      <w:rFonts w:asciiTheme="majorBidi" w:hAnsiTheme="majorBidi" w:cstheme="majorBidi"/>
                    </w:rPr>
                    <m:t>n</m:t>
                  </m:r>
                  <m:r>
                    <m:rPr>
                      <m:nor/>
                    </m:rPr>
                    <w:rPr>
                      <w:rFonts w:ascii="Cambria Math" w:hAnsiTheme="majorBidi" w:cstheme="majorBidi"/>
                    </w:rPr>
                    <m:t xml:space="preserve"> </m:t>
                  </m:r>
                </m:e>
              </m:rad>
              <m:r>
                <m:rPr>
                  <m:nor/>
                </m:rPr>
                <w:rPr>
                  <w:rFonts w:asciiTheme="majorBidi" w:hAnsiTheme="majorBidi" w:cstheme="majorBidi"/>
                </w:rPr>
                <m:t>×</m:t>
              </m:r>
              <m:r>
                <m:rPr>
                  <m:nor/>
                </m:rPr>
                <w:rPr>
                  <w:rFonts w:ascii="Cambria Math" w:hAnsiTheme="majorBidi" w:cstheme="majorBidi"/>
                </w:rPr>
                <m:t xml:space="preserve"> </m:t>
              </m:r>
              <m:acc>
                <m:accPr>
                  <m:chr m:val="̅"/>
                  <m:ctrlPr>
                    <w:rPr>
                      <w:rFonts w:ascii="Cambria Math" w:hAnsi="Cambria Math" w:cstheme="majorBidi"/>
                    </w:rPr>
                  </m:ctrlPr>
                </m:accPr>
                <m:e>
                  <m:sSub>
                    <m:sSubPr>
                      <m:ctrlPr>
                        <w:rPr>
                          <w:rFonts w:ascii="Cambria Math" w:hAnsi="Cambria Math" w:cstheme="majorBidi"/>
                        </w:rPr>
                      </m:ctrlPr>
                    </m:sSubPr>
                    <m:e>
                      <m:r>
                        <m:rPr>
                          <m:nor/>
                        </m:rPr>
                        <w:rPr>
                          <w:rFonts w:asciiTheme="majorBidi" w:hAnsiTheme="majorBidi" w:cstheme="majorBidi"/>
                        </w:rPr>
                        <m:t>C</m:t>
                      </m:r>
                    </m:e>
                    <m:sub>
                      <m:r>
                        <m:rPr>
                          <m:nor/>
                        </m:rPr>
                        <w:rPr>
                          <w:rFonts w:asciiTheme="majorBidi" w:hAnsiTheme="majorBidi" w:cstheme="majorBidi"/>
                        </w:rPr>
                        <m:t>j</m:t>
                      </m:r>
                    </m:sub>
                  </m:sSub>
                </m:e>
              </m:acc>
            </m:den>
          </m:f>
          <m:r>
            <m:rPr>
              <m:nor/>
            </m:rPr>
            <w:rPr>
              <w:rFonts w:asciiTheme="majorBidi" w:hAnsiTheme="majorBidi" w:cstheme="majorBidi"/>
            </w:rPr>
            <m:t> ≤</m:t>
          </m:r>
          <m:r>
            <m:rPr>
              <m:nor/>
            </m:rPr>
            <w:rPr>
              <w:rFonts w:ascii="Cambria Math" w:hAnsiTheme="majorBidi" w:cstheme="majorBidi"/>
            </w:rPr>
            <m:t xml:space="preserve"> </m:t>
          </m:r>
          <m:r>
            <m:rPr>
              <m:nor/>
            </m:rPr>
            <w:rPr>
              <w:rFonts w:asciiTheme="majorBidi" w:hAnsiTheme="majorBidi" w:cstheme="majorBidi"/>
            </w:rPr>
            <m:t>0,03</m:t>
          </m:r>
        </m:oMath>
      </m:oMathPara>
    </w:p>
    <w:p w:rsidR="00E24DB7" w:rsidRPr="002C5876" w:rsidRDefault="00E24DB7" w:rsidP="00E24DB7">
      <w:pPr>
        <w:pStyle w:val="SingleTxtG"/>
        <w:keepNext/>
        <w:ind w:left="2835" w:hanging="567"/>
      </w:pPr>
      <w:r w:rsidRPr="002C5876">
        <w:t>où :</w:t>
      </w:r>
    </w:p>
    <w:p w:rsidR="00E24DB7" w:rsidRPr="002C5876" w:rsidRDefault="00E24DB7" w:rsidP="00E24DB7">
      <w:pPr>
        <w:pStyle w:val="SingleTxtG"/>
        <w:ind w:left="3402" w:hanging="1134"/>
        <w:rPr>
          <w:iCs/>
        </w:rPr>
      </w:pPr>
      <w:r w:rsidRPr="002C5876">
        <w:rPr>
          <w:iCs/>
        </w:rPr>
        <w:t>n</w:t>
      </w:r>
      <w:r w:rsidRPr="002C5876">
        <w:rPr>
          <w:iCs/>
        </w:rPr>
        <w:tab/>
      </w:r>
      <w:r w:rsidRPr="002C5876">
        <w:t>est le nombre de paires de mesures pour C</w:t>
      </w:r>
      <w:r w:rsidRPr="002C5876">
        <w:rPr>
          <w:vertAlign w:val="subscript"/>
        </w:rPr>
        <w:t>jm</w:t>
      </w:r>
      <w:r w:rsidRPr="002C5876">
        <w:rPr>
          <w:iCs/>
        </w:rPr>
        <w:t> ;</w:t>
      </w:r>
    </w:p>
    <w:p w:rsidR="00E24DB7" w:rsidRPr="002C5876" w:rsidRDefault="00E24DB7" w:rsidP="00E24DB7">
      <w:pPr>
        <w:pStyle w:val="SingleTxtG"/>
        <w:ind w:left="3402" w:hanging="1134"/>
      </w:pPr>
      <w:r w:rsidRPr="002C5876">
        <w:rPr>
          <w:noProof/>
          <w:position w:val="-12"/>
          <w:lang w:val="en-GB" w:eastAsia="zh-CN"/>
        </w:rPr>
        <w:drawing>
          <wp:inline distT="0" distB="0" distL="0" distR="0" wp14:anchorId="0D4BF729" wp14:editId="3655A92D">
            <wp:extent cx="180975" cy="228600"/>
            <wp:effectExtent l="0" t="0" r="9525" b="0"/>
            <wp:docPr id="60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2C5876">
        <w:rPr>
          <w:iCs/>
        </w:rPr>
        <w:tab/>
      </w:r>
      <w:r w:rsidRPr="002C5876">
        <w:t>est la résistance à l’avancement à la vitesse v</w:t>
      </w:r>
      <w:r w:rsidRPr="002C5876">
        <w:rPr>
          <w:vertAlign w:val="subscript"/>
        </w:rPr>
        <w:t>j</w:t>
      </w:r>
      <w:r w:rsidRPr="002C5876">
        <w:t>, en Nm, donnée par l’équation :</w:t>
      </w:r>
    </w:p>
    <w:p w:rsidR="00E24DB7" w:rsidRPr="002C5876" w:rsidRDefault="00731CA6" w:rsidP="00E24DB7">
      <w:pPr>
        <w:pStyle w:val="SingleTxtG"/>
        <w:spacing w:after="240"/>
        <w:ind w:left="2268"/>
        <w:rPr>
          <w:rFonts w:eastAsiaTheme="minorEastAsia"/>
        </w:rPr>
      </w:pPr>
      <m:oMathPara>
        <m:oMathParaPr>
          <m:jc m:val="center"/>
        </m:oMathParaPr>
        <m:oMath>
          <m:acc>
            <m:accPr>
              <m:chr m:val="̅"/>
              <m:ctrlPr>
                <w:rPr>
                  <w:rFonts w:ascii="Cambria Math" w:hAnsi="Cambria Math" w:cstheme="majorBidi"/>
                </w:rPr>
              </m:ctrlPr>
            </m:accPr>
            <m:e>
              <m:sSub>
                <m:sSubPr>
                  <m:ctrlPr>
                    <w:rPr>
                      <w:rFonts w:ascii="Cambria Math" w:hAnsi="Cambria Math" w:cstheme="majorBidi"/>
                    </w:rPr>
                  </m:ctrlPr>
                </m:sSubPr>
                <m:e>
                  <m:r>
                    <m:rPr>
                      <m:nor/>
                    </m:rPr>
                    <w:rPr>
                      <w:rFonts w:asciiTheme="majorBidi" w:hAnsiTheme="majorBidi" w:cstheme="majorBidi"/>
                    </w:rPr>
                    <m:t>C</m:t>
                  </m:r>
                </m:e>
                <m:sub>
                  <m:r>
                    <m:rPr>
                      <m:nor/>
                    </m:rPr>
                    <w:rPr>
                      <w:rFonts w:asciiTheme="majorBidi" w:hAnsiTheme="majorBidi" w:cstheme="majorBidi"/>
                    </w:rPr>
                    <m:t>j</m:t>
                  </m:r>
                </m:sub>
              </m:sSub>
            </m:e>
          </m:acc>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f>
            <m:fPr>
              <m:ctrlPr>
                <w:rPr>
                  <w:rFonts w:ascii="Cambria Math" w:hAnsi="Cambria Math" w:cstheme="majorBidi"/>
                </w:rPr>
              </m:ctrlPr>
            </m:fPr>
            <m:num>
              <m:r>
                <m:rPr>
                  <m:nor/>
                </m:rPr>
                <w:rPr>
                  <w:rFonts w:asciiTheme="majorBidi" w:hAnsiTheme="majorBidi" w:cstheme="majorBidi"/>
                </w:rPr>
                <m:t>1</m:t>
              </m:r>
            </m:num>
            <m:den>
              <m:r>
                <m:rPr>
                  <m:nor/>
                </m:rPr>
                <w:rPr>
                  <w:rFonts w:asciiTheme="majorBidi" w:hAnsiTheme="majorBidi" w:cstheme="majorBidi"/>
                </w:rPr>
                <m:t>n</m:t>
              </m:r>
            </m:den>
          </m:f>
          <m:nary>
            <m:naryPr>
              <m:chr m:val="∑"/>
              <m:limLoc m:val="undOvr"/>
              <m:ctrlPr>
                <w:rPr>
                  <w:rFonts w:ascii="Cambria Math" w:hAnsi="Cambria Math" w:cstheme="majorBidi"/>
                </w:rPr>
              </m:ctrlPr>
            </m:naryPr>
            <m:sub>
              <m:r>
                <m:rPr>
                  <m:nor/>
                </m:rPr>
                <w:rPr>
                  <w:rFonts w:asciiTheme="majorBidi" w:hAnsiTheme="majorBidi" w:cstheme="majorBidi"/>
                </w:rPr>
                <m:t>i=1</m:t>
              </m:r>
            </m:sub>
            <m:sup>
              <m:r>
                <m:rPr>
                  <m:nor/>
                </m:rPr>
                <w:rPr>
                  <w:rFonts w:asciiTheme="majorBidi" w:hAnsiTheme="majorBidi" w:cstheme="majorBidi"/>
                </w:rPr>
                <m:t>n</m:t>
              </m:r>
            </m:sup>
            <m:e>
              <m:sSub>
                <m:sSubPr>
                  <m:ctrlPr>
                    <w:rPr>
                      <w:rFonts w:ascii="Cambria Math" w:hAnsi="Cambria Math" w:cstheme="majorBidi"/>
                    </w:rPr>
                  </m:ctrlPr>
                </m:sSubPr>
                <m:e>
                  <m:r>
                    <m:rPr>
                      <m:nor/>
                    </m:rPr>
                    <w:rPr>
                      <w:rFonts w:asciiTheme="majorBidi" w:hAnsiTheme="majorBidi" w:cstheme="majorBidi"/>
                    </w:rPr>
                    <m:t>C</m:t>
                  </m:r>
                </m:e>
                <m:sub>
                  <m:r>
                    <m:rPr>
                      <m:nor/>
                    </m:rPr>
                    <w:rPr>
                      <w:rFonts w:asciiTheme="majorBidi" w:hAnsiTheme="majorBidi" w:cstheme="majorBidi"/>
                    </w:rPr>
                    <m:t>jmi</m:t>
                  </m:r>
                </m:sub>
              </m:sSub>
            </m:e>
          </m:nary>
        </m:oMath>
      </m:oMathPara>
    </w:p>
    <w:p w:rsidR="00E24DB7" w:rsidRPr="002C5876" w:rsidRDefault="00E24DB7" w:rsidP="00E24DB7">
      <w:pPr>
        <w:pStyle w:val="SingleTxtG"/>
        <w:keepNext/>
        <w:ind w:left="2835" w:hanging="567"/>
      </w:pPr>
      <w:r w:rsidRPr="002C5876">
        <w:t>où :</w:t>
      </w:r>
    </w:p>
    <w:p w:rsidR="00E24DB7" w:rsidRPr="002C5876" w:rsidRDefault="00E24DB7" w:rsidP="00E24DB7">
      <w:pPr>
        <w:pStyle w:val="SingleTxtG"/>
        <w:ind w:left="3402" w:hanging="1134"/>
      </w:pPr>
      <w:r w:rsidRPr="002C5876">
        <w:t>C</w:t>
      </w:r>
      <w:r w:rsidRPr="002C5876">
        <w:rPr>
          <w:vertAlign w:val="subscript"/>
        </w:rPr>
        <w:t>jmi</w:t>
      </w:r>
      <w:r w:rsidRPr="002C5876">
        <w:rPr>
          <w:iCs/>
        </w:rPr>
        <w:tab/>
      </w:r>
      <w:r w:rsidRPr="002C5876">
        <w:t xml:space="preserve">est le couple moyen arithmétique de la </w:t>
      </w:r>
      <w:r w:rsidRPr="002C5876">
        <w:rPr>
          <w:iCs/>
        </w:rPr>
        <w:t>i</w:t>
      </w:r>
      <w:r w:rsidRPr="002C5876">
        <w:rPr>
          <w:vertAlign w:val="superscript"/>
        </w:rPr>
        <w:t>e</w:t>
      </w:r>
      <w:r w:rsidRPr="002C5876">
        <w:t xml:space="preserve"> paire de mesures à vitesse v</w:t>
      </w:r>
      <w:r w:rsidRPr="002C5876">
        <w:rPr>
          <w:vertAlign w:val="subscript"/>
        </w:rPr>
        <w:t>j</w:t>
      </w:r>
      <w:r w:rsidRPr="002C5876">
        <w:t>, en Nm, donné par la formule :</w:t>
      </w:r>
    </w:p>
    <w:p w:rsidR="00E24DB7" w:rsidRPr="002C5876" w:rsidRDefault="00E24DB7" w:rsidP="00E24DB7">
      <w:pPr>
        <w:tabs>
          <w:tab w:val="left" w:pos="8080"/>
        </w:tabs>
        <w:spacing w:after="240"/>
        <w:ind w:left="2268" w:right="1134"/>
        <w:jc w:val="center"/>
      </w:pPr>
      <w:r w:rsidRPr="002C5876">
        <w:rPr>
          <w:noProof/>
          <w:position w:val="-10"/>
          <w:lang w:val="en-GB" w:eastAsia="zh-CN"/>
        </w:rPr>
        <w:drawing>
          <wp:inline distT="0" distB="0" distL="0" distR="0" wp14:anchorId="0F47EF8E" wp14:editId="55BDC3A5">
            <wp:extent cx="114300" cy="200025"/>
            <wp:effectExtent l="0" t="0" r="0" b="0"/>
            <wp:docPr id="601"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4300" cy="200025"/>
                    </a:xfrm>
                    <a:prstGeom prst="rect">
                      <a:avLst/>
                    </a:prstGeom>
                    <a:noFill/>
                    <a:ln>
                      <a:noFill/>
                    </a:ln>
                  </pic:spPr>
                </pic:pic>
              </a:graphicData>
            </a:graphic>
          </wp:inline>
        </w:drawing>
      </w:r>
      <m:oMath>
        <m:sSub>
          <m:sSubPr>
            <m:ctrlPr>
              <w:rPr>
                <w:rFonts w:ascii="Cambria Math" w:hAnsi="Cambria Math" w:cstheme="majorBidi"/>
                <w:iCs/>
              </w:rPr>
            </m:ctrlPr>
          </m:sSubPr>
          <m:e>
            <m:r>
              <m:rPr>
                <m:nor/>
              </m:rPr>
              <w:rPr>
                <w:rFonts w:asciiTheme="majorBidi" w:hAnsiTheme="majorBidi" w:cstheme="majorBidi"/>
              </w:rPr>
              <m:t>C</m:t>
            </m:r>
          </m:e>
          <m:sub>
            <m:r>
              <m:rPr>
                <m:nor/>
              </m:rPr>
              <w:rPr>
                <w:rFonts w:asciiTheme="majorBidi" w:hAnsiTheme="majorBidi" w:cstheme="majorBidi"/>
              </w:rPr>
              <m:t>jmi</m:t>
            </m:r>
            <m:r>
              <m:rPr>
                <m:nor/>
              </m:rPr>
              <w:rPr>
                <w:rFonts w:ascii="Cambria Math" w:hAnsiTheme="majorBidi" w:cstheme="majorBidi"/>
              </w:rPr>
              <m:t xml:space="preserve"> </m:t>
            </m:r>
          </m:sub>
        </m:sSub>
        <m:r>
          <m:rPr>
            <m:nor/>
          </m:rPr>
          <w:rPr>
            <w:rFonts w:asciiTheme="majorBidi" w:hAnsiTheme="majorBidi" w:cstheme="majorBidi"/>
          </w:rPr>
          <m:t xml:space="preserve">= </m:t>
        </m:r>
        <m:f>
          <m:fPr>
            <m:ctrlPr>
              <w:rPr>
                <w:rFonts w:ascii="Cambria Math" w:hAnsi="Cambria Math" w:cstheme="majorBidi"/>
                <w:iCs/>
              </w:rPr>
            </m:ctrlPr>
          </m:fPr>
          <m:num>
            <m:r>
              <m:rPr>
                <m:nor/>
              </m:rPr>
              <w:rPr>
                <w:rFonts w:asciiTheme="majorBidi" w:hAnsiTheme="majorBidi" w:cstheme="majorBidi"/>
              </w:rPr>
              <m:t>1</m:t>
            </m:r>
          </m:num>
          <m:den>
            <m:r>
              <m:rPr>
                <m:nor/>
              </m:rPr>
              <w:rPr>
                <w:rFonts w:asciiTheme="majorBidi" w:hAnsiTheme="majorBidi" w:cstheme="majorBidi"/>
              </w:rPr>
              <m:t>2</m:t>
            </m:r>
          </m:den>
        </m:f>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d>
          <m:dPr>
            <m:ctrlPr>
              <w:rPr>
                <w:rFonts w:ascii="Cambria Math" w:hAnsi="Cambria Math" w:cstheme="majorBidi"/>
                <w:iCs/>
              </w:rPr>
            </m:ctrlPr>
          </m:dPr>
          <m:e>
            <m:sSub>
              <m:sSubPr>
                <m:ctrlPr>
                  <w:rPr>
                    <w:rFonts w:ascii="Cambria Math" w:hAnsi="Cambria Math" w:cstheme="majorBidi"/>
                    <w:iCs/>
                  </w:rPr>
                </m:ctrlPr>
              </m:sSubPr>
              <m:e>
                <m:r>
                  <m:rPr>
                    <m:nor/>
                  </m:rPr>
                  <w:rPr>
                    <w:rFonts w:asciiTheme="majorBidi" w:hAnsiTheme="majorBidi" w:cstheme="majorBidi"/>
                  </w:rPr>
                  <m:t>C</m:t>
                </m:r>
              </m:e>
              <m:sub>
                <m:r>
                  <m:rPr>
                    <m:nor/>
                  </m:rPr>
                  <w:rPr>
                    <w:rFonts w:asciiTheme="majorBidi" w:hAnsiTheme="majorBidi" w:cstheme="majorBidi"/>
                  </w:rPr>
                  <m:t>jmai</m:t>
                </m:r>
              </m:sub>
            </m:sSub>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sSub>
              <m:sSubPr>
                <m:ctrlPr>
                  <w:rPr>
                    <w:rFonts w:ascii="Cambria Math" w:hAnsi="Cambria Math" w:cstheme="majorBidi"/>
                    <w:iCs/>
                  </w:rPr>
                </m:ctrlPr>
              </m:sSubPr>
              <m:e>
                <m:r>
                  <m:rPr>
                    <m:nor/>
                  </m:rPr>
                  <w:rPr>
                    <w:rFonts w:asciiTheme="majorBidi" w:hAnsiTheme="majorBidi" w:cstheme="majorBidi"/>
                  </w:rPr>
                  <m:t>C</m:t>
                </m:r>
              </m:e>
              <m:sub>
                <m:r>
                  <m:rPr>
                    <m:nor/>
                  </m:rPr>
                  <w:rPr>
                    <w:rFonts w:asciiTheme="majorBidi" w:hAnsiTheme="majorBidi" w:cstheme="majorBidi"/>
                  </w:rPr>
                  <m:t>jmbi</m:t>
                </m:r>
              </m:sub>
            </m:sSub>
          </m:e>
        </m:d>
      </m:oMath>
    </w:p>
    <w:p w:rsidR="00E24DB7" w:rsidRPr="002C5876" w:rsidRDefault="00E24DB7" w:rsidP="00E24DB7">
      <w:pPr>
        <w:pStyle w:val="SingleTxtG"/>
        <w:keepNext/>
        <w:ind w:left="2835" w:hanging="567"/>
        <w:rPr>
          <w:iCs/>
        </w:rPr>
      </w:pPr>
      <w:r w:rsidRPr="002C5876">
        <w:rPr>
          <w:iCs/>
        </w:rPr>
        <w:t>où :</w:t>
      </w:r>
    </w:p>
    <w:p w:rsidR="00E24DB7" w:rsidRPr="002C5876" w:rsidRDefault="00E24DB7" w:rsidP="00E24DB7">
      <w:pPr>
        <w:pStyle w:val="SingleTxtG"/>
        <w:ind w:left="3402" w:hanging="1134"/>
      </w:pPr>
      <w:r w:rsidRPr="002C5876">
        <w:rPr>
          <w:iCs/>
        </w:rPr>
        <w:t>C</w:t>
      </w:r>
      <w:r w:rsidRPr="002C5876">
        <w:rPr>
          <w:iCs/>
          <w:vertAlign w:val="subscript"/>
        </w:rPr>
        <w:t>jmai</w:t>
      </w:r>
      <w:r w:rsidRPr="002C5876">
        <w:rPr>
          <w:iCs/>
        </w:rPr>
        <w:t xml:space="preserve"> </w:t>
      </w:r>
      <w:r w:rsidRPr="002C5876">
        <w:t>et C</w:t>
      </w:r>
      <w:r w:rsidRPr="002C5876">
        <w:rPr>
          <w:vertAlign w:val="subscript"/>
        </w:rPr>
        <w:t>jmbi</w:t>
      </w:r>
      <w:r w:rsidRPr="002C5876">
        <w:rPr>
          <w:vertAlign w:val="subscript"/>
        </w:rPr>
        <w:tab/>
      </w:r>
      <w:r w:rsidRPr="002C5876">
        <w:t xml:space="preserve">sont les couples moyens arithmétiques de la </w:t>
      </w:r>
      <w:r w:rsidRPr="002C5876">
        <w:rPr>
          <w:iCs/>
        </w:rPr>
        <w:t>i</w:t>
      </w:r>
      <w:r w:rsidRPr="002C5876">
        <w:rPr>
          <w:vertAlign w:val="superscript"/>
        </w:rPr>
        <w:t>e</w:t>
      </w:r>
      <w:r w:rsidRPr="002C5876">
        <w:t xml:space="preserve"> mesure à la vitesse v</w:t>
      </w:r>
      <w:r w:rsidRPr="002C5876">
        <w:rPr>
          <w:vertAlign w:val="subscript"/>
        </w:rPr>
        <w:t>j</w:t>
      </w:r>
      <w:r w:rsidRPr="002C5876">
        <w:rPr>
          <w:iCs/>
          <w:vertAlign w:val="subscript"/>
        </w:rPr>
        <w:t xml:space="preserve"> </w:t>
      </w:r>
      <w:r w:rsidRPr="002C5876">
        <w:t>déterminés conformément au paragraphe 4.4.3.1 de la présente annexe pour chaque sens, a et b respectivement, en Nm ;</w:t>
      </w:r>
    </w:p>
    <w:p w:rsidR="00E24DB7" w:rsidRPr="002C5876" w:rsidRDefault="00E24DB7" w:rsidP="00E24DB7">
      <w:pPr>
        <w:pStyle w:val="SingleTxtG"/>
        <w:keepNext/>
        <w:keepLines/>
        <w:ind w:left="3402" w:hanging="1134"/>
      </w:pPr>
      <w:r w:rsidRPr="002C5876">
        <w:rPr>
          <w:iCs/>
        </w:rPr>
        <w:t>s</w:t>
      </w:r>
      <w:r w:rsidRPr="002C5876">
        <w:rPr>
          <w:iCs/>
        </w:rPr>
        <w:tab/>
      </w:r>
      <w:r w:rsidRPr="002C5876">
        <w:t>est l’écart type, en Nm, calculé au moyen de l’équation :</w:t>
      </w:r>
    </w:p>
    <w:p w:rsidR="00E24DB7" w:rsidRPr="00D53F39" w:rsidRDefault="00E24DB7" w:rsidP="00E24DB7">
      <w:pPr>
        <w:tabs>
          <w:tab w:val="left" w:pos="8080"/>
        </w:tabs>
        <w:spacing w:after="120"/>
        <w:ind w:left="2268" w:right="1134"/>
        <w:jc w:val="center"/>
        <w:rPr>
          <w:iCs/>
          <w:lang w:val="en-US"/>
        </w:rPr>
      </w:pPr>
      <m:oMathPara>
        <m:oMath>
          <m:r>
            <m:rPr>
              <m:nor/>
            </m:rPr>
            <w:rPr>
              <w:rFonts w:asciiTheme="majorBidi" w:eastAsia="Times New Roman" w:hAnsiTheme="majorBidi" w:cstheme="majorBidi"/>
              <w:lang w:val="en-US"/>
            </w:rPr>
            <m:t>s</m:t>
          </m:r>
          <m:r>
            <m:rPr>
              <m:nor/>
            </m:rPr>
            <w:rPr>
              <w:rFonts w:ascii="Cambria Math" w:eastAsia="Times New Roman" w:hAnsiTheme="majorBidi" w:cstheme="majorBidi"/>
              <w:lang w:val="en-US"/>
            </w:rPr>
            <m:t xml:space="preserve"> </m:t>
          </m:r>
          <m:r>
            <m:rPr>
              <m:nor/>
            </m:rPr>
            <w:rPr>
              <w:rFonts w:asciiTheme="majorBidi" w:eastAsia="Times New Roman" w:hAnsiTheme="majorBidi" w:cstheme="majorBidi"/>
              <w:lang w:val="en-US"/>
            </w:rPr>
            <m:t>=</m:t>
          </m:r>
          <m:rad>
            <m:radPr>
              <m:degHide m:val="1"/>
              <m:ctrlPr>
                <w:rPr>
                  <w:rFonts w:ascii="Cambria Math" w:eastAsia="Times New Roman" w:hAnsi="Cambria Math" w:cstheme="majorBidi"/>
                  <w:iCs/>
                </w:rPr>
              </m:ctrlPr>
            </m:radPr>
            <m:deg/>
            <m:e>
              <m:f>
                <m:fPr>
                  <m:ctrlPr>
                    <w:rPr>
                      <w:rFonts w:ascii="Cambria Math" w:eastAsia="Times New Roman" w:hAnsi="Cambria Math" w:cstheme="majorBidi"/>
                      <w:iCs/>
                    </w:rPr>
                  </m:ctrlPr>
                </m:fPr>
                <m:num>
                  <m:r>
                    <m:rPr>
                      <m:nor/>
                    </m:rPr>
                    <w:rPr>
                      <w:rFonts w:asciiTheme="majorBidi" w:eastAsia="Times New Roman" w:hAnsiTheme="majorBidi" w:cstheme="majorBidi"/>
                      <w:lang w:val="en-US"/>
                    </w:rPr>
                    <m:t>1</m:t>
                  </m:r>
                </m:num>
                <m:den>
                  <m:r>
                    <m:rPr>
                      <m:nor/>
                    </m:rPr>
                    <w:rPr>
                      <w:rFonts w:asciiTheme="majorBidi" w:eastAsia="Times New Roman" w:hAnsiTheme="majorBidi" w:cstheme="majorBidi"/>
                      <w:lang w:val="en-US"/>
                    </w:rPr>
                    <m:t>k</m:t>
                  </m:r>
                  <m:r>
                    <m:rPr>
                      <m:nor/>
                    </m:rPr>
                    <w:rPr>
                      <w:rFonts w:ascii="Cambria Math" w:eastAsia="Times New Roman" w:hAnsiTheme="majorBidi" w:cstheme="majorBidi"/>
                      <w:lang w:val="en-US"/>
                    </w:rPr>
                    <m:t>–</m:t>
                  </m:r>
                  <m:r>
                    <m:rPr>
                      <m:nor/>
                    </m:rPr>
                    <w:rPr>
                      <w:rFonts w:asciiTheme="majorBidi" w:eastAsia="Times New Roman" w:hAnsiTheme="majorBidi" w:cstheme="majorBidi"/>
                      <w:lang w:val="en-US"/>
                    </w:rPr>
                    <m:t>1</m:t>
                  </m:r>
                </m:den>
              </m:f>
              <m:nary>
                <m:naryPr>
                  <m:chr m:val="∑"/>
                  <m:limLoc m:val="undOvr"/>
                  <m:ctrlPr>
                    <w:rPr>
                      <w:rFonts w:ascii="Cambria Math" w:eastAsia="Times New Roman" w:hAnsi="Cambria Math" w:cstheme="majorBidi"/>
                      <w:iCs/>
                    </w:rPr>
                  </m:ctrlPr>
                </m:naryPr>
                <m:sub>
                  <m:r>
                    <m:rPr>
                      <m:nor/>
                    </m:rPr>
                    <w:rPr>
                      <w:rFonts w:asciiTheme="majorBidi" w:eastAsia="Times New Roman" w:hAnsiTheme="majorBidi" w:cstheme="majorBidi"/>
                      <w:lang w:val="en-US"/>
                    </w:rPr>
                    <m:t>i=1</m:t>
                  </m:r>
                </m:sub>
                <m:sup>
                  <m:r>
                    <m:rPr>
                      <m:nor/>
                    </m:rPr>
                    <w:rPr>
                      <w:rFonts w:asciiTheme="majorBidi" w:eastAsia="Times New Roman" w:hAnsiTheme="majorBidi" w:cstheme="majorBidi"/>
                      <w:lang w:val="en-US"/>
                    </w:rPr>
                    <m:t>k</m:t>
                  </m:r>
                </m:sup>
                <m:e>
                  <m:sSup>
                    <m:sSupPr>
                      <m:ctrlPr>
                        <w:rPr>
                          <w:rFonts w:ascii="Cambria Math" w:eastAsia="Times New Roman" w:hAnsi="Cambria Math" w:cstheme="majorBidi"/>
                          <w:iCs/>
                        </w:rPr>
                      </m:ctrlPr>
                    </m:sSupPr>
                    <m:e>
                      <m:d>
                        <m:dPr>
                          <m:ctrlPr>
                            <w:rPr>
                              <w:rFonts w:ascii="Cambria Math" w:eastAsia="Times New Roman" w:hAnsi="Cambria Math" w:cstheme="majorBidi"/>
                              <w:iCs/>
                            </w:rPr>
                          </m:ctrlPr>
                        </m:dPr>
                        <m:e>
                          <m:sSub>
                            <m:sSubPr>
                              <m:ctrlPr>
                                <w:rPr>
                                  <w:rFonts w:ascii="Cambria Math" w:eastAsia="Times New Roman" w:hAnsi="Cambria Math" w:cstheme="majorBidi"/>
                                  <w:iCs/>
                                </w:rPr>
                              </m:ctrlPr>
                            </m:sSubPr>
                            <m:e>
                              <m:r>
                                <m:rPr>
                                  <m:nor/>
                                </m:rPr>
                                <w:rPr>
                                  <w:rFonts w:asciiTheme="majorBidi" w:eastAsia="Times New Roman" w:hAnsiTheme="majorBidi" w:cstheme="majorBidi"/>
                                  <w:lang w:val="en-US"/>
                                </w:rPr>
                                <m:t>C</m:t>
                              </m:r>
                            </m:e>
                            <m:sub>
                              <m:r>
                                <m:rPr>
                                  <m:nor/>
                                </m:rPr>
                                <w:rPr>
                                  <w:rFonts w:asciiTheme="majorBidi" w:eastAsia="Times New Roman" w:hAnsiTheme="majorBidi" w:cstheme="majorBidi"/>
                                  <w:lang w:val="en-US"/>
                                </w:rPr>
                                <m:t>jmi</m:t>
                              </m:r>
                            </m:sub>
                          </m:sSub>
                          <m:r>
                            <w:rPr>
                              <w:rFonts w:ascii="Cambria Math" w:eastAsia="Times New Roman" w:hAnsi="Cambria Math" w:cstheme="majorBidi"/>
                              <w:lang w:val="en-US"/>
                            </w:rPr>
                            <m:t xml:space="preserve"> – </m:t>
                          </m:r>
                          <m:acc>
                            <m:accPr>
                              <m:chr m:val="̅"/>
                              <m:ctrlPr>
                                <w:rPr>
                                  <w:rFonts w:ascii="Cambria Math" w:eastAsia="Times New Roman" w:hAnsi="Cambria Math" w:cstheme="majorBidi"/>
                                  <w:iCs/>
                                </w:rPr>
                              </m:ctrlPr>
                            </m:accPr>
                            <m:e>
                              <m:sSub>
                                <m:sSubPr>
                                  <m:ctrlPr>
                                    <w:rPr>
                                      <w:rFonts w:ascii="Cambria Math" w:eastAsia="Times New Roman" w:hAnsi="Cambria Math" w:cstheme="majorBidi"/>
                                      <w:iCs/>
                                    </w:rPr>
                                  </m:ctrlPr>
                                </m:sSubPr>
                                <m:e>
                                  <m:r>
                                    <m:rPr>
                                      <m:nor/>
                                    </m:rPr>
                                    <w:rPr>
                                      <w:rFonts w:asciiTheme="majorBidi" w:eastAsia="Times New Roman" w:hAnsiTheme="majorBidi" w:cstheme="majorBidi"/>
                                      <w:lang w:val="en-US"/>
                                    </w:rPr>
                                    <m:t>C</m:t>
                                  </m:r>
                                </m:e>
                                <m:sub>
                                  <m:r>
                                    <m:rPr>
                                      <m:nor/>
                                    </m:rPr>
                                    <w:rPr>
                                      <w:rFonts w:asciiTheme="majorBidi" w:eastAsia="Times New Roman" w:hAnsiTheme="majorBidi" w:cstheme="majorBidi"/>
                                      <w:lang w:val="en-US"/>
                                    </w:rPr>
                                    <m:t>j</m:t>
                                  </m:r>
                                </m:sub>
                              </m:sSub>
                            </m:e>
                          </m:acc>
                        </m:e>
                      </m:d>
                    </m:e>
                    <m:sup>
                      <m:r>
                        <m:rPr>
                          <m:nor/>
                        </m:rPr>
                        <w:rPr>
                          <w:rFonts w:asciiTheme="majorBidi" w:eastAsia="Times New Roman" w:hAnsiTheme="majorBidi" w:cstheme="majorBidi"/>
                          <w:lang w:val="en-US"/>
                        </w:rPr>
                        <m:t>2</m:t>
                      </m:r>
                    </m:sup>
                  </m:sSup>
                </m:e>
              </m:nary>
            </m:e>
          </m:rad>
        </m:oMath>
      </m:oMathPara>
    </w:p>
    <w:p w:rsidR="00E24DB7" w:rsidRPr="002C5876" w:rsidRDefault="00E24DB7" w:rsidP="00E24DB7">
      <w:pPr>
        <w:pStyle w:val="SingleTxtG"/>
        <w:keepNext/>
        <w:keepLines/>
        <w:ind w:left="3402" w:hanging="1134"/>
      </w:pPr>
      <m:oMath>
        <m:r>
          <m:rPr>
            <m:sty m:val="p"/>
          </m:rPr>
          <w:rPr>
            <w:rFonts w:ascii="Cambria Math"/>
          </w:rPr>
          <m:t>h</m:t>
        </m:r>
      </m:oMath>
      <w:r w:rsidRPr="002C5876">
        <w:rPr>
          <w:iCs/>
        </w:rPr>
        <w:tab/>
      </w:r>
      <w:r w:rsidRPr="002C5876">
        <w:t>est un coefficient qui est fonction de n, comme indiqué au tableau A4/4 du paragraphe 4.3.1.4.2 de la présente annexe.</w:t>
      </w:r>
    </w:p>
    <w:p w:rsidR="00E24DB7" w:rsidRPr="002C5876" w:rsidRDefault="00E24DB7" w:rsidP="00E24DB7">
      <w:pPr>
        <w:pStyle w:val="SingleTxtG"/>
        <w:keepNext/>
        <w:ind w:left="2268" w:hanging="1134"/>
        <w:jc w:val="left"/>
      </w:pPr>
      <w:bookmarkStart w:id="28" w:name="OLE_LINK34"/>
      <w:bookmarkStart w:id="29" w:name="OLE_LINK33"/>
      <w:r w:rsidRPr="002C5876">
        <w:t>4.4.4</w:t>
      </w:r>
      <w:r w:rsidRPr="002C5876">
        <w:tab/>
        <w:t>Détermination de la courbe de résistance à l’avancement</w:t>
      </w:r>
    </w:p>
    <w:p w:rsidR="00E24DB7" w:rsidRPr="002C5876" w:rsidRDefault="00E24DB7" w:rsidP="00E24DB7">
      <w:pPr>
        <w:pStyle w:val="SingleTxtG"/>
        <w:keepNext/>
        <w:ind w:left="2268"/>
      </w:pPr>
      <w:r w:rsidRPr="002C5876">
        <w:t>La vitesse moyenne arithmétique et le couple moyen arithmétique à chaque point de vitesse de référence doivent être calculés au moyen des équations :</w:t>
      </w:r>
    </w:p>
    <w:p w:rsidR="00E24DB7" w:rsidRPr="002C5876" w:rsidRDefault="00E24DB7" w:rsidP="00E24DB7">
      <w:pPr>
        <w:spacing w:after="120"/>
        <w:ind w:left="2268" w:right="1134"/>
        <w:jc w:val="center"/>
      </w:pPr>
      <w:r w:rsidRPr="002C5876">
        <w:t>V</w:t>
      </w:r>
      <w:r w:rsidRPr="002C5876">
        <w:rPr>
          <w:vertAlign w:val="subscript"/>
        </w:rPr>
        <w:t xml:space="preserve">jm </w:t>
      </w:r>
      <w:r w:rsidRPr="002C5876">
        <w:t>= ½ × (v</w:t>
      </w:r>
      <w:r w:rsidRPr="002C5876">
        <w:rPr>
          <w:vertAlign w:val="subscript"/>
        </w:rPr>
        <w:t xml:space="preserve">jma </w:t>
      </w:r>
      <w:r w:rsidRPr="002C5876">
        <w:t>+ v</w:t>
      </w:r>
      <w:r w:rsidRPr="002C5876">
        <w:rPr>
          <w:vertAlign w:val="subscript"/>
        </w:rPr>
        <w:t>jmb</w:t>
      </w:r>
      <w:r w:rsidRPr="002C5876">
        <w:t>)</w:t>
      </w:r>
    </w:p>
    <w:p w:rsidR="00E24DB7" w:rsidRPr="002C5876" w:rsidRDefault="00E24DB7" w:rsidP="00E24DB7">
      <w:pPr>
        <w:spacing w:after="120"/>
        <w:ind w:left="2268" w:right="1134"/>
        <w:jc w:val="center"/>
      </w:pPr>
      <w:r w:rsidRPr="002C5876">
        <w:t>C</w:t>
      </w:r>
      <w:r w:rsidRPr="002C5876">
        <w:rPr>
          <w:vertAlign w:val="subscript"/>
        </w:rPr>
        <w:t xml:space="preserve">jm </w:t>
      </w:r>
      <w:r w:rsidRPr="002C5876">
        <w:t>= ½ × (C</w:t>
      </w:r>
      <w:r w:rsidRPr="002C5876">
        <w:rPr>
          <w:vertAlign w:val="subscript"/>
        </w:rPr>
        <w:t xml:space="preserve">jma </w:t>
      </w:r>
      <w:r w:rsidRPr="002C5876">
        <w:t>+C</w:t>
      </w:r>
      <w:r w:rsidRPr="002C5876">
        <w:rPr>
          <w:vertAlign w:val="subscript"/>
        </w:rPr>
        <w:t>jmb</w:t>
      </w:r>
      <w:r w:rsidRPr="002C5876">
        <w:t>)</w:t>
      </w:r>
    </w:p>
    <w:p w:rsidR="00E24DB7" w:rsidRPr="002C5876" w:rsidRDefault="00E24DB7" w:rsidP="00E24DB7">
      <w:pPr>
        <w:pStyle w:val="SingleTxtG"/>
        <w:ind w:left="2268"/>
      </w:pPr>
      <w:r w:rsidRPr="002C5876">
        <w:lastRenderedPageBreak/>
        <w:t>Les courbes de régression par les moindres carrés ci-après doivent être ajustées à toutes les paires de données (v</w:t>
      </w:r>
      <w:r w:rsidRPr="002C5876">
        <w:rPr>
          <w:vertAlign w:val="subscript"/>
        </w:rPr>
        <w:t>jm</w:t>
      </w:r>
      <w:r w:rsidRPr="002C5876">
        <w:t>, C</w:t>
      </w:r>
      <w:r w:rsidRPr="002C5876">
        <w:rPr>
          <w:vertAlign w:val="subscript"/>
        </w:rPr>
        <w:t>jm</w:t>
      </w:r>
      <w:r w:rsidRPr="002C5876">
        <w:t>) à toutes les vitesses de référence comme défini au paragraphe 4.4.2.1 de la présente annexe pour la détermination des coefficients c</w:t>
      </w:r>
      <w:r w:rsidRPr="002C5876">
        <w:rPr>
          <w:vertAlign w:val="subscript"/>
        </w:rPr>
        <w:t>0</w:t>
      </w:r>
      <w:r w:rsidRPr="002C5876">
        <w:t>, c</w:t>
      </w:r>
      <w:r w:rsidRPr="002C5876">
        <w:rPr>
          <w:vertAlign w:val="subscript"/>
        </w:rPr>
        <w:t>1</w:t>
      </w:r>
      <w:r w:rsidRPr="002C5876">
        <w:t xml:space="preserve"> et c</w:t>
      </w:r>
      <w:r w:rsidRPr="002C5876">
        <w:rPr>
          <w:vertAlign w:val="subscript"/>
        </w:rPr>
        <w:t>2</w:t>
      </w:r>
      <w:bookmarkEnd w:id="28"/>
      <w:bookmarkEnd w:id="29"/>
      <w:r w:rsidRPr="002C5876">
        <w:t>.</w:t>
      </w:r>
    </w:p>
    <w:p w:rsidR="00E24DB7" w:rsidRPr="002C5876" w:rsidRDefault="00E24DB7" w:rsidP="00E24DB7">
      <w:pPr>
        <w:pStyle w:val="SingleTxtG"/>
        <w:ind w:left="2268"/>
        <w:rPr>
          <w:bCs/>
        </w:rPr>
      </w:pPr>
      <w:r w:rsidRPr="002C5876">
        <w:rPr>
          <w:bCs/>
        </w:rPr>
        <w:t>Les coefficients c</w:t>
      </w:r>
      <w:r w:rsidRPr="002C5876">
        <w:rPr>
          <w:bCs/>
          <w:vertAlign w:val="subscript"/>
        </w:rPr>
        <w:t>0</w:t>
      </w:r>
      <w:r w:rsidRPr="002C5876">
        <w:t>, c</w:t>
      </w:r>
      <w:r w:rsidRPr="002C5876">
        <w:rPr>
          <w:vertAlign w:val="subscript"/>
        </w:rPr>
        <w:t>1</w:t>
      </w:r>
      <w:r w:rsidRPr="002C5876">
        <w:t xml:space="preserve"> et c</w:t>
      </w:r>
      <w:r w:rsidRPr="002C5876">
        <w:rPr>
          <w:vertAlign w:val="subscript"/>
        </w:rPr>
        <w:t>2</w:t>
      </w:r>
      <w:r w:rsidRPr="002C5876">
        <w:t xml:space="preserve"> </w:t>
      </w:r>
      <w:r w:rsidRPr="002C5876">
        <w:rPr>
          <w:bCs/>
        </w:rPr>
        <w:t xml:space="preserve">ainsi que les temps de décélération libre mesurés sur le banc à rouleaux (voir </w:t>
      </w:r>
      <w:r w:rsidRPr="002C5876">
        <w:t>par.</w:t>
      </w:r>
      <w:r w:rsidRPr="002C5876">
        <w:rPr>
          <w:bCs/>
        </w:rPr>
        <w:t> 8.2.4 de la présente annexe) doivent être enregistrés.</w:t>
      </w:r>
    </w:p>
    <w:p w:rsidR="00E24DB7" w:rsidRPr="002C5876" w:rsidRDefault="00E24DB7" w:rsidP="00E24DB7">
      <w:pPr>
        <w:pStyle w:val="SingleTxtG"/>
        <w:ind w:left="2268"/>
        <w:rPr>
          <w:bCs/>
        </w:rPr>
      </w:pPr>
      <w:r w:rsidRPr="002C5876">
        <w:t>Si le véhicule d’essai est le véhicule représentatif d’une famille de matrices de résistance à l’avancement sur route, le coefficient c</w:t>
      </w:r>
      <w:r w:rsidRPr="002C5876">
        <w:rPr>
          <w:vertAlign w:val="subscript"/>
        </w:rPr>
        <w:t>1</w:t>
      </w:r>
      <w:r w:rsidRPr="002C5876">
        <w:t xml:space="preserve"> est pris comme égal à zéro et les coefficients c</w:t>
      </w:r>
      <w:r w:rsidRPr="002C5876">
        <w:rPr>
          <w:vertAlign w:val="subscript"/>
        </w:rPr>
        <w:t>0</w:t>
      </w:r>
      <w:r w:rsidRPr="002C5876">
        <w:t xml:space="preserve"> et c</w:t>
      </w:r>
      <w:r w:rsidRPr="002C5876">
        <w:rPr>
          <w:vertAlign w:val="subscript"/>
        </w:rPr>
        <w:t>2</w:t>
      </w:r>
      <w:r w:rsidRPr="002C5876">
        <w:t xml:space="preserve"> doivent être recalculés par une analyse de régression par les moindres carrés.</w:t>
      </w:r>
    </w:p>
    <w:p w:rsidR="00E24DB7" w:rsidRPr="002C5876" w:rsidRDefault="00E24DB7" w:rsidP="00E24DB7">
      <w:pPr>
        <w:pStyle w:val="SingleTxtG"/>
        <w:keepNext/>
        <w:ind w:left="2268" w:hanging="1134"/>
        <w:jc w:val="left"/>
      </w:pPr>
      <w:r w:rsidRPr="002C5876">
        <w:t>4.5</w:t>
      </w:r>
      <w:r w:rsidRPr="002C5876">
        <w:tab/>
        <w:t>Correction pour rapporter les mesures aux conditions de référence</w:t>
      </w:r>
    </w:p>
    <w:p w:rsidR="00E24DB7" w:rsidRPr="002C5876" w:rsidRDefault="00E24DB7" w:rsidP="00E24DB7">
      <w:pPr>
        <w:pStyle w:val="SingleTxtG"/>
        <w:keepNext/>
        <w:ind w:left="2268" w:hanging="1134"/>
        <w:jc w:val="left"/>
      </w:pPr>
      <w:r w:rsidRPr="002C5876">
        <w:t>4.5.1</w:t>
      </w:r>
      <w:r w:rsidRPr="002C5876">
        <w:tab/>
        <w:t>Facteur de correction pour la résistance de l’air</w:t>
      </w:r>
    </w:p>
    <w:p w:rsidR="00E24DB7" w:rsidRPr="002C5876" w:rsidRDefault="00E24DB7" w:rsidP="00E24DB7">
      <w:pPr>
        <w:pStyle w:val="SingleTxtG"/>
        <w:ind w:left="2268"/>
      </w:pPr>
      <w:r w:rsidRPr="002C5876">
        <w:t xml:space="preserve">Le facteur de correction pour la résistance de l’air </w:t>
      </w:r>
      <w:r w:rsidRPr="002C5876">
        <w:rPr>
          <w:iCs/>
        </w:rPr>
        <w:t>K</w:t>
      </w:r>
      <w:r w:rsidRPr="002C5876">
        <w:rPr>
          <w:vertAlign w:val="subscript"/>
        </w:rPr>
        <w:t>2</w:t>
      </w:r>
      <w:r w:rsidRPr="002C5876">
        <w:t xml:space="preserve"> doit être déterminé au moyen de l’équation :</w:t>
      </w:r>
    </w:p>
    <w:p w:rsidR="00E24DB7" w:rsidRPr="002C5876" w:rsidRDefault="00731CA6" w:rsidP="00E24DB7">
      <w:pPr>
        <w:pStyle w:val="SingleTxtG"/>
        <w:ind w:left="2268"/>
        <w:jc w:val="center"/>
      </w:pPr>
      <m:oMathPara>
        <m:oMath>
          <m:sSub>
            <m:sSubPr>
              <m:ctrlPr>
                <w:rPr>
                  <w:rFonts w:ascii="Cambria Math" w:hAnsi="Cambria Math" w:cstheme="majorBidi"/>
                </w:rPr>
              </m:ctrlPr>
            </m:sSubPr>
            <m:e>
              <m:r>
                <m:rPr>
                  <m:nor/>
                </m:rPr>
                <w:rPr>
                  <w:rFonts w:asciiTheme="majorBidi" w:hAnsiTheme="majorBidi" w:cstheme="majorBidi"/>
                </w:rPr>
                <m:t>K</m:t>
              </m:r>
            </m:e>
            <m:sub>
              <m:r>
                <m:rPr>
                  <m:nor/>
                </m:rPr>
                <w:rPr>
                  <w:rFonts w:asciiTheme="majorBidi" w:hAnsiTheme="majorBidi" w:cstheme="majorBidi"/>
                </w:rPr>
                <m:t>2</m:t>
              </m:r>
            </m:sub>
          </m:sSub>
          <m:r>
            <m:rPr>
              <m:nor/>
            </m:rPr>
            <w:rPr>
              <w:rFonts w:ascii="Cambria Math" w:hAnsiTheme="majorBidi" w:cstheme="majorBidi"/>
            </w:rPr>
            <m:t xml:space="preserve"> </m:t>
          </m:r>
          <m:r>
            <m:rPr>
              <m:nor/>
            </m:rPr>
            <w:rPr>
              <w:rFonts w:asciiTheme="majorBidi" w:hAnsiTheme="majorBidi" w:cstheme="majorBidi"/>
            </w:rPr>
            <m:t xml:space="preserve">= </m:t>
          </m:r>
          <m:f>
            <m:fPr>
              <m:ctrlPr>
                <w:rPr>
                  <w:rFonts w:ascii="Cambria Math" w:hAnsi="Cambria Math" w:cstheme="majorBidi"/>
                </w:rPr>
              </m:ctrlPr>
            </m:fPr>
            <m:num>
              <m:r>
                <m:rPr>
                  <m:nor/>
                </m:rPr>
                <w:rPr>
                  <w:rFonts w:asciiTheme="majorBidi" w:hAnsiTheme="majorBidi" w:cstheme="majorBidi"/>
                </w:rPr>
                <m:t>T</m:t>
              </m:r>
            </m:num>
            <m:den>
              <m:r>
                <m:rPr>
                  <m:nor/>
                </m:rPr>
                <w:rPr>
                  <w:rFonts w:asciiTheme="majorBidi" w:hAnsiTheme="majorBidi" w:cstheme="majorBidi"/>
                </w:rPr>
                <m:t>293 K</m:t>
              </m:r>
            </m:den>
          </m:f>
          <m:r>
            <m:rPr>
              <m:nor/>
            </m:rPr>
            <w:rPr>
              <w:rFonts w:asciiTheme="majorBidi" w:hAnsiTheme="majorBidi" w:cstheme="majorBidi"/>
            </w:rPr>
            <m:t>×</m:t>
          </m:r>
          <m:f>
            <m:fPr>
              <m:ctrlPr>
                <w:rPr>
                  <w:rFonts w:ascii="Cambria Math" w:hAnsi="Cambria Math" w:cstheme="majorBidi"/>
                </w:rPr>
              </m:ctrlPr>
            </m:fPr>
            <m:num>
              <m:r>
                <m:rPr>
                  <m:nor/>
                </m:rPr>
                <w:rPr>
                  <w:rFonts w:asciiTheme="majorBidi" w:hAnsiTheme="majorBidi" w:cstheme="majorBidi"/>
                </w:rPr>
                <m:t>100 к</m:t>
              </m:r>
              <m:r>
                <m:rPr>
                  <m:nor/>
                </m:rPr>
                <w:rPr>
                  <w:rFonts w:ascii="Cambria Math" w:hAnsiTheme="majorBidi" w:cstheme="majorBidi"/>
                </w:rPr>
                <m:t>P</m:t>
              </m:r>
              <m:r>
                <m:rPr>
                  <m:nor/>
                </m:rPr>
                <w:rPr>
                  <w:rFonts w:asciiTheme="majorBidi" w:hAnsiTheme="majorBidi" w:cstheme="majorBidi"/>
                </w:rPr>
                <m:t>а</m:t>
              </m:r>
            </m:num>
            <m:den>
              <m:r>
                <m:rPr>
                  <m:nor/>
                </m:rPr>
                <w:rPr>
                  <w:rFonts w:asciiTheme="majorBidi" w:hAnsiTheme="majorBidi" w:cstheme="majorBidi"/>
                </w:rPr>
                <m:t>P</m:t>
              </m:r>
            </m:den>
          </m:f>
        </m:oMath>
      </m:oMathPara>
    </w:p>
    <w:p w:rsidR="00E24DB7" w:rsidRPr="002C5876" w:rsidRDefault="00E24DB7" w:rsidP="00E24DB7">
      <w:pPr>
        <w:pStyle w:val="SingleTxtG"/>
        <w:keepNext/>
        <w:ind w:left="2268"/>
      </w:pPr>
      <w:r w:rsidRPr="002C5876">
        <w:t>où :</w:t>
      </w:r>
    </w:p>
    <w:p w:rsidR="00E24DB7" w:rsidRPr="002C5876" w:rsidRDefault="00E24DB7" w:rsidP="00E24DB7">
      <w:pPr>
        <w:pStyle w:val="SingleTxtG"/>
        <w:ind w:left="3402" w:hanging="1134"/>
      </w:pPr>
      <w:r w:rsidRPr="002C5876">
        <w:rPr>
          <w:iCs/>
        </w:rPr>
        <w:t>T</w:t>
      </w:r>
      <w:r w:rsidRPr="002C5876">
        <w:rPr>
          <w:iCs/>
        </w:rPr>
        <w:tab/>
      </w:r>
      <w:r w:rsidRPr="002C5876">
        <w:t>est la température atmosphérique moyenne arithmétique pour tous les parcours, en K ;</w:t>
      </w:r>
    </w:p>
    <w:p w:rsidR="00E24DB7" w:rsidRPr="002C5876" w:rsidRDefault="00E24DB7" w:rsidP="00E24DB7">
      <w:pPr>
        <w:pStyle w:val="SingleTxtG"/>
        <w:ind w:left="3402" w:hanging="1134"/>
      </w:pPr>
      <w:r w:rsidRPr="002C5876">
        <w:t>P</w:t>
      </w:r>
      <w:r w:rsidRPr="002C5876">
        <w:tab/>
        <w:t>est la pression atmosphérique moyenne arithmétique, en kPa.</w:t>
      </w:r>
    </w:p>
    <w:p w:rsidR="00E24DB7" w:rsidRPr="002C5876" w:rsidRDefault="00E24DB7" w:rsidP="00E24DB7">
      <w:pPr>
        <w:pStyle w:val="SingleTxtG"/>
        <w:keepNext/>
        <w:ind w:left="2268" w:hanging="1134"/>
        <w:jc w:val="left"/>
      </w:pPr>
      <w:r w:rsidRPr="002C5876">
        <w:t>4.5.2</w:t>
      </w:r>
      <w:r w:rsidRPr="002C5876">
        <w:tab/>
        <w:t>Facteur de correction pour la résistance au roulement</w:t>
      </w:r>
    </w:p>
    <w:p w:rsidR="00E24DB7" w:rsidRPr="002C5876" w:rsidRDefault="00E24DB7" w:rsidP="00E24DB7">
      <w:pPr>
        <w:pStyle w:val="SingleTxtG"/>
        <w:ind w:left="2268"/>
      </w:pPr>
      <w:r w:rsidRPr="002C5876">
        <w:t>Le facteur de correction, K</w:t>
      </w:r>
      <w:r w:rsidRPr="002C5876">
        <w:rPr>
          <w:vertAlign w:val="subscript"/>
        </w:rPr>
        <w:t>0</w:t>
      </w:r>
      <w:r w:rsidRPr="002C5876">
        <w:t>, pour la résistance au roulement, en Kelvin (K</w:t>
      </w:r>
      <w:r w:rsidRPr="002C5876">
        <w:rPr>
          <w:vertAlign w:val="superscript"/>
        </w:rPr>
        <w:t>-1</w:t>
      </w:r>
      <w:r w:rsidRPr="002C5876">
        <w:t>), peut être déterminé sur la base de données empiriques et approuvé par l’autorité compétente pour l’essai d’un véhicule et de pneumatiques particuliers, ou peut être fixé arbitrairement comme suit :</w:t>
      </w:r>
    </w:p>
    <w:p w:rsidR="00E24DB7" w:rsidRPr="002C5876" w:rsidRDefault="00731CA6" w:rsidP="00E24DB7">
      <w:pPr>
        <w:pStyle w:val="SingleTxtG"/>
        <w:ind w:left="2268"/>
        <w:jc w:val="center"/>
      </w:pPr>
      <m:oMathPara>
        <m:oMath>
          <m:sSub>
            <m:sSubPr>
              <m:ctrlPr>
                <w:rPr>
                  <w:rFonts w:ascii="Cambria Math" w:hAnsi="Cambria Math" w:cstheme="majorBidi"/>
                </w:rPr>
              </m:ctrlPr>
            </m:sSubPr>
            <m:e>
              <m:r>
                <m:rPr>
                  <m:nor/>
                </m:rPr>
                <w:rPr>
                  <w:rFonts w:asciiTheme="majorBidi" w:hAnsiTheme="majorBidi" w:cstheme="majorBidi"/>
                </w:rPr>
                <m:t>K</m:t>
              </m:r>
            </m:e>
            <m:sub>
              <m:r>
                <m:rPr>
                  <m:nor/>
                </m:rPr>
                <w:rPr>
                  <w:rFonts w:asciiTheme="majorBidi" w:hAnsiTheme="majorBidi" w:cstheme="majorBidi"/>
                </w:rPr>
                <m:t>0</m:t>
              </m:r>
            </m:sub>
          </m:sSub>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r>
            <m:rPr>
              <m:nor/>
            </m:rPr>
            <w:rPr>
              <w:rFonts w:asciiTheme="majorBidi" w:hAnsiTheme="majorBidi" w:cstheme="majorBidi"/>
            </w:rPr>
            <m:t>8,6 × </m:t>
          </m:r>
          <m:sSup>
            <m:sSupPr>
              <m:ctrlPr>
                <w:rPr>
                  <w:rFonts w:ascii="Cambria Math" w:hAnsi="Cambria Math" w:cstheme="majorBidi"/>
                </w:rPr>
              </m:ctrlPr>
            </m:sSupPr>
            <m:e>
              <m:r>
                <m:rPr>
                  <m:nor/>
                </m:rPr>
                <w:rPr>
                  <w:rFonts w:asciiTheme="majorBidi" w:hAnsiTheme="majorBidi" w:cstheme="majorBidi"/>
                </w:rPr>
                <m:t>10</m:t>
              </m:r>
            </m:e>
            <m:sup>
              <m:r>
                <m:rPr>
                  <m:nor/>
                </m:rPr>
                <w:rPr>
                  <w:rFonts w:asciiTheme="majorBidi" w:hAnsiTheme="majorBidi" w:cstheme="majorBidi"/>
                </w:rPr>
                <m:t>–3</m:t>
              </m:r>
            </m:sup>
          </m:sSup>
          <m:sSup>
            <m:sSupPr>
              <m:ctrlPr>
                <w:rPr>
                  <w:rFonts w:ascii="Cambria Math" w:hAnsi="Cambria Math" w:cstheme="majorBidi"/>
                </w:rPr>
              </m:ctrlPr>
            </m:sSupPr>
            <m:e>
              <m:r>
                <m:rPr>
                  <m:nor/>
                </m:rPr>
                <w:rPr>
                  <w:rFonts w:asciiTheme="majorBidi" w:hAnsiTheme="majorBidi" w:cstheme="majorBidi"/>
                </w:rPr>
                <m:t>K</m:t>
              </m:r>
            </m:e>
            <m:sup>
              <m:r>
                <m:rPr>
                  <m:nor/>
                </m:rPr>
                <w:rPr>
                  <w:rFonts w:asciiTheme="majorBidi" w:hAnsiTheme="majorBidi" w:cstheme="majorBidi"/>
                </w:rPr>
                <m:t>–1</m:t>
              </m:r>
            </m:sup>
          </m:sSup>
        </m:oMath>
      </m:oMathPara>
    </w:p>
    <w:p w:rsidR="00E24DB7" w:rsidRPr="002C5876" w:rsidRDefault="00E24DB7" w:rsidP="00E24DB7">
      <w:pPr>
        <w:pStyle w:val="SingleTxtG"/>
        <w:keepNext/>
        <w:ind w:left="2268" w:hanging="1134"/>
        <w:jc w:val="left"/>
      </w:pPr>
      <w:r w:rsidRPr="002C5876">
        <w:t>4.5.3</w:t>
      </w:r>
      <w:r w:rsidRPr="002C5876">
        <w:tab/>
        <w:t xml:space="preserve">Correction pour le vent </w:t>
      </w:r>
    </w:p>
    <w:p w:rsidR="00E24DB7" w:rsidRPr="002C5876" w:rsidRDefault="00E24DB7" w:rsidP="00E24DB7">
      <w:pPr>
        <w:pStyle w:val="SingleTxtG"/>
        <w:keepNext/>
        <w:ind w:left="2268" w:hanging="1134"/>
        <w:jc w:val="left"/>
      </w:pPr>
      <w:r w:rsidRPr="002C5876">
        <w:t>4.5.3.1</w:t>
      </w:r>
      <w:r w:rsidRPr="002C5876">
        <w:tab/>
        <w:t>Correction pour le vent dans le cas des mesures anémométriques stationnaires</w:t>
      </w:r>
    </w:p>
    <w:p w:rsidR="00E24DB7" w:rsidRPr="002C5876" w:rsidRDefault="00E24DB7" w:rsidP="00E24DB7">
      <w:pPr>
        <w:pStyle w:val="SingleTxtG"/>
        <w:ind w:left="2268" w:hanging="1134"/>
      </w:pPr>
      <w:r w:rsidRPr="002C5876">
        <w:t>4.5.3.1.1</w:t>
      </w:r>
      <w:r w:rsidRPr="002C5876">
        <w:tab/>
        <w:t>Une correction pour le vent, en ce qui concerne la vitesse absolue du vent le long de la piste d’essai, doit être effectuée par soustraction de la différence qui ne peut pas être annulée par les parcours d’essai alternés du coefficient f</w:t>
      </w:r>
      <w:r w:rsidRPr="002C5876">
        <w:rPr>
          <w:vertAlign w:val="subscript"/>
        </w:rPr>
        <w:t>0</w:t>
      </w:r>
      <w:r w:rsidRPr="002C5876">
        <w:t xml:space="preserve"> déterminé conformément au paragraphe 4.3.1.4.4 de la présente annexe, ou du terme c</w:t>
      </w:r>
      <w:r w:rsidRPr="002C5876">
        <w:rPr>
          <w:vertAlign w:val="subscript"/>
        </w:rPr>
        <w:t>0</w:t>
      </w:r>
      <w:r w:rsidRPr="002C5876">
        <w:t xml:space="preserve"> défini au paragraphe 4.4.4 de la présente annexe. </w:t>
      </w:r>
    </w:p>
    <w:p w:rsidR="00E24DB7" w:rsidRPr="002C5876" w:rsidRDefault="00E24DB7" w:rsidP="00E24DB7">
      <w:pPr>
        <w:pStyle w:val="SingleTxtG"/>
        <w:keepNext/>
        <w:ind w:left="2268" w:hanging="1134"/>
      </w:pPr>
      <w:r w:rsidRPr="002C5876">
        <w:t>4.5.3.1.2</w:t>
      </w:r>
      <w:r w:rsidRPr="002C5876">
        <w:tab/>
        <w:t>La correction pour la résistance du vent w</w:t>
      </w:r>
      <w:r w:rsidRPr="002C5876">
        <w:rPr>
          <w:vertAlign w:val="subscript"/>
        </w:rPr>
        <w:t>1</w:t>
      </w:r>
      <w:r w:rsidRPr="002C5876">
        <w:t xml:space="preserve"> dans le cas de la méthode de décélération libre ou w</w:t>
      </w:r>
      <w:r w:rsidRPr="002C5876">
        <w:rPr>
          <w:vertAlign w:val="subscript"/>
        </w:rPr>
        <w:t>2</w:t>
      </w:r>
      <w:r w:rsidRPr="002C5876">
        <w:t xml:space="preserve"> dans le cas de la méthode des capteurs de couple doit être calculée au moyen des équations suivantes :</w:t>
      </w:r>
    </w:p>
    <w:p w:rsidR="00E24DB7" w:rsidRPr="002C5876" w:rsidRDefault="00E24DB7" w:rsidP="00E24DB7">
      <w:pPr>
        <w:spacing w:after="120"/>
        <w:ind w:left="2268" w:right="1134"/>
        <w:jc w:val="center"/>
      </w:pPr>
      <w:r w:rsidRPr="002C5876">
        <w:rPr>
          <w:noProof/>
          <w:lang w:val="en-GB" w:eastAsia="zh-CN"/>
        </w:rPr>
        <w:drawing>
          <wp:inline distT="0" distB="0" distL="0" distR="0" wp14:anchorId="6C077F75" wp14:editId="76B1A8A2">
            <wp:extent cx="1028700" cy="209550"/>
            <wp:effectExtent l="0" t="0" r="0" b="0"/>
            <wp:docPr id="596"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28700" cy="209550"/>
                    </a:xfrm>
                    <a:prstGeom prst="rect">
                      <a:avLst/>
                    </a:prstGeom>
                    <a:noFill/>
                    <a:ln>
                      <a:noFill/>
                    </a:ln>
                  </pic:spPr>
                </pic:pic>
              </a:graphicData>
            </a:graphic>
          </wp:inline>
        </w:drawing>
      </w:r>
    </w:p>
    <w:p w:rsidR="00E24DB7" w:rsidRPr="002C5876" w:rsidRDefault="00E24DB7" w:rsidP="00E24DB7">
      <w:pPr>
        <w:pStyle w:val="SingleTxtG"/>
        <w:ind w:left="2268"/>
        <w:jc w:val="center"/>
      </w:pPr>
      <w:r w:rsidRPr="002C5876">
        <w:rPr>
          <w:position w:val="8"/>
        </w:rPr>
        <w:t>ou :</w:t>
      </w:r>
      <w:r w:rsidRPr="002C5876">
        <w:rPr>
          <w:noProof/>
          <w:lang w:val="en-GB" w:eastAsia="zh-CN"/>
        </w:rPr>
        <w:drawing>
          <wp:inline distT="0" distB="0" distL="0" distR="0" wp14:anchorId="189F35E1" wp14:editId="2EE2C94A">
            <wp:extent cx="1057275" cy="209550"/>
            <wp:effectExtent l="0" t="0" r="9525" b="0"/>
            <wp:docPr id="595"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57275" cy="209550"/>
                    </a:xfrm>
                    <a:prstGeom prst="rect">
                      <a:avLst/>
                    </a:prstGeom>
                    <a:noFill/>
                    <a:ln>
                      <a:noFill/>
                    </a:ln>
                  </pic:spPr>
                </pic:pic>
              </a:graphicData>
            </a:graphic>
          </wp:inline>
        </w:drawing>
      </w:r>
    </w:p>
    <w:p w:rsidR="00E24DB7" w:rsidRPr="002C5876" w:rsidRDefault="00E24DB7" w:rsidP="00E24DB7">
      <w:pPr>
        <w:pStyle w:val="SingleTxtG"/>
        <w:keepNext/>
        <w:keepLines/>
        <w:ind w:left="2268"/>
      </w:pPr>
      <w:r w:rsidRPr="002C5876">
        <w:t>où :</w:t>
      </w:r>
    </w:p>
    <w:p w:rsidR="00E24DB7" w:rsidRPr="002C5876" w:rsidRDefault="00E24DB7" w:rsidP="00E24DB7">
      <w:pPr>
        <w:pStyle w:val="SingleTxtG"/>
        <w:keepNext/>
        <w:keepLines/>
        <w:ind w:left="3402" w:hanging="1134"/>
      </w:pPr>
      <w:r w:rsidRPr="002C5876">
        <w:t>w</w:t>
      </w:r>
      <w:r w:rsidRPr="002C5876">
        <w:rPr>
          <w:vertAlign w:val="subscript"/>
        </w:rPr>
        <w:t>1</w:t>
      </w:r>
      <w:r w:rsidRPr="002C5876">
        <w:tab/>
        <w:t>est la correction pour la résistance du vent dans le cas de la méthode de la décélération libre, en N ;</w:t>
      </w:r>
    </w:p>
    <w:p w:rsidR="00E24DB7" w:rsidRPr="002C5876" w:rsidRDefault="00E24DB7" w:rsidP="00E24DB7">
      <w:pPr>
        <w:pStyle w:val="SingleTxtG"/>
        <w:ind w:left="3402" w:hanging="1134"/>
      </w:pPr>
      <w:r w:rsidRPr="002C5876">
        <w:t>f</w:t>
      </w:r>
      <w:r w:rsidRPr="002C5876">
        <w:rPr>
          <w:vertAlign w:val="subscript"/>
        </w:rPr>
        <w:t>2</w:t>
      </w:r>
      <w:r w:rsidRPr="002C5876">
        <w:tab/>
        <w:t>est le coefficient du terme aérodynamique comme déterminé conformément au paragraphe 4.3.1.4.4 de la présente annexe ;</w:t>
      </w:r>
    </w:p>
    <w:p w:rsidR="00E24DB7" w:rsidRPr="002C5876" w:rsidRDefault="00E24DB7" w:rsidP="00E24DB7">
      <w:pPr>
        <w:spacing w:after="120"/>
        <w:ind w:left="3402" w:right="1134" w:hanging="1134"/>
        <w:jc w:val="both"/>
      </w:pPr>
      <w:r w:rsidRPr="002C5876">
        <w:t>v</w:t>
      </w:r>
      <w:r w:rsidRPr="002C5876">
        <w:rPr>
          <w:vertAlign w:val="subscript"/>
        </w:rPr>
        <w:t>w</w:t>
      </w:r>
      <w:r w:rsidRPr="002C5876">
        <w:tab/>
        <w:t>est la vitesse moyenne arithmétique du vent la plus basse pour les deux directions opposées le long de la piste d’essai pendant l’essai, en m/s ;</w:t>
      </w:r>
    </w:p>
    <w:p w:rsidR="00E24DB7" w:rsidRPr="002C5876" w:rsidRDefault="00E24DB7" w:rsidP="00E24DB7">
      <w:pPr>
        <w:spacing w:after="120"/>
        <w:ind w:left="3402" w:right="1134" w:hanging="1134"/>
        <w:jc w:val="both"/>
      </w:pPr>
      <w:r w:rsidRPr="002C5876">
        <w:lastRenderedPageBreak/>
        <w:t>w</w:t>
      </w:r>
      <w:r w:rsidRPr="002C5876">
        <w:rPr>
          <w:vertAlign w:val="subscript"/>
        </w:rPr>
        <w:t>2</w:t>
      </w:r>
      <w:r w:rsidRPr="002C5876">
        <w:tab/>
        <w:t>est la correction pour la résistance du vent dans le cas de la méthode des capteurs de couple, en Nm ;</w:t>
      </w:r>
    </w:p>
    <w:p w:rsidR="00E24DB7" w:rsidRPr="002C5876" w:rsidRDefault="00E24DB7" w:rsidP="00E24DB7">
      <w:pPr>
        <w:spacing w:after="120"/>
        <w:ind w:left="3402" w:right="1134" w:hanging="1134"/>
        <w:jc w:val="both"/>
      </w:pPr>
      <w:r w:rsidRPr="002C5876">
        <w:rPr>
          <w:iCs/>
        </w:rPr>
        <w:t>c</w:t>
      </w:r>
      <w:r w:rsidRPr="002C5876">
        <w:rPr>
          <w:iCs/>
          <w:vertAlign w:val="subscript"/>
        </w:rPr>
        <w:t>2</w:t>
      </w:r>
      <w:r w:rsidRPr="002C5876">
        <w:rPr>
          <w:iCs/>
        </w:rPr>
        <w:tab/>
      </w:r>
      <w:r w:rsidRPr="002C5876">
        <w:t>est le coefficient du terme aérodynamique dans le cas de la méthode des capteurs de couple déterminé comme spécifié conformément au paragraphe 4.4.4 de la présente annexe.</w:t>
      </w:r>
    </w:p>
    <w:p w:rsidR="00E24DB7" w:rsidRPr="002C5876" w:rsidRDefault="00E24DB7" w:rsidP="00E24DB7">
      <w:pPr>
        <w:pStyle w:val="SingleTxtG"/>
        <w:keepNext/>
        <w:ind w:left="2268" w:hanging="1134"/>
        <w:jc w:val="left"/>
      </w:pPr>
      <w:r w:rsidRPr="002C5876">
        <w:t>4.5.3.2</w:t>
      </w:r>
      <w:r w:rsidRPr="002C5876">
        <w:tab/>
        <w:t>Correction pour le vent dans le cas des mesures anémométriques avec équipement embarqué</w:t>
      </w:r>
    </w:p>
    <w:p w:rsidR="00E24DB7" w:rsidRPr="002C5876" w:rsidRDefault="00E24DB7" w:rsidP="00E24DB7">
      <w:pPr>
        <w:pStyle w:val="SingleTxtG"/>
        <w:ind w:left="2268"/>
        <w:rPr>
          <w:bCs/>
        </w:rPr>
      </w:pPr>
      <w:r w:rsidRPr="002C5876">
        <w:t>Dans le cas où la méthode de décélération libre est basée sur l’</w:t>
      </w:r>
      <w:r w:rsidRPr="002C5876">
        <w:rPr>
          <w:bCs/>
        </w:rPr>
        <w:t>anémométrie avec équipement embarqué, w</w:t>
      </w:r>
      <w:r w:rsidRPr="002C5876">
        <w:rPr>
          <w:bCs/>
          <w:vertAlign w:val="subscript"/>
        </w:rPr>
        <w:t>1</w:t>
      </w:r>
      <w:r w:rsidRPr="002C5876">
        <w:rPr>
          <w:bCs/>
        </w:rPr>
        <w:t xml:space="preserve"> et w</w:t>
      </w:r>
      <w:r w:rsidRPr="002C5876">
        <w:rPr>
          <w:bCs/>
          <w:vertAlign w:val="subscript"/>
        </w:rPr>
        <w:t>2</w:t>
      </w:r>
      <w:r w:rsidRPr="002C5876">
        <w:rPr>
          <w:bCs/>
        </w:rPr>
        <w:t xml:space="preserve"> dans les équations du paragraphe 4.5.3.1.2 </w:t>
      </w:r>
      <w:r w:rsidRPr="002C5876">
        <w:t>de la présente annexe sont pris comme égaux à zéro</w:t>
      </w:r>
      <w:r w:rsidRPr="002C5876">
        <w:rPr>
          <w:bCs/>
        </w:rPr>
        <w:t xml:space="preserve">, </w:t>
      </w:r>
      <w:r w:rsidRPr="002C5876">
        <w:t>étant donné que la c</w:t>
      </w:r>
      <w:r w:rsidRPr="002C5876">
        <w:rPr>
          <w:bCs/>
        </w:rPr>
        <w:t xml:space="preserve">orrection pour le vent </w:t>
      </w:r>
      <w:r w:rsidRPr="002C5876">
        <w:t>est déjà appliquée conformément au paragraphe 4.3.2 de la présente annexe.</w:t>
      </w:r>
    </w:p>
    <w:p w:rsidR="00E24DB7" w:rsidRPr="002C5876" w:rsidRDefault="00E24DB7" w:rsidP="00E24DB7">
      <w:pPr>
        <w:pStyle w:val="SingleTxtG"/>
        <w:ind w:left="2268" w:hanging="1134"/>
        <w:rPr>
          <w:bCs/>
        </w:rPr>
      </w:pPr>
      <w:r w:rsidRPr="002C5876">
        <w:rPr>
          <w:bCs/>
        </w:rPr>
        <w:t>4.5.4</w:t>
      </w:r>
      <w:r w:rsidRPr="002C5876">
        <w:rPr>
          <w:bCs/>
        </w:rPr>
        <w:tab/>
        <w:t>F</w:t>
      </w:r>
      <w:r w:rsidRPr="002C5876">
        <w:t>acteur de correction pour la m</w:t>
      </w:r>
      <w:r w:rsidRPr="002C5876">
        <w:rPr>
          <w:bCs/>
        </w:rPr>
        <w:t>asse d’essai</w:t>
      </w:r>
    </w:p>
    <w:p w:rsidR="00E24DB7" w:rsidRPr="002C5876" w:rsidRDefault="00E24DB7" w:rsidP="00E24DB7">
      <w:pPr>
        <w:pStyle w:val="SingleTxtG"/>
        <w:ind w:left="2268"/>
      </w:pPr>
      <w:r w:rsidRPr="002C5876">
        <w:t>Le facteur de correction K</w:t>
      </w:r>
      <w:r w:rsidRPr="002C5876">
        <w:rPr>
          <w:vertAlign w:val="subscript"/>
        </w:rPr>
        <w:t>1</w:t>
      </w:r>
      <w:r w:rsidRPr="002C5876">
        <w:t xml:space="preserve"> pour la masse d’essai du véhicule d’essai doit être déterminé au moyen de l’équation :</w:t>
      </w:r>
    </w:p>
    <w:p w:rsidR="00E24DB7" w:rsidRPr="002C5876" w:rsidRDefault="00731CA6" w:rsidP="00E24DB7">
      <w:pPr>
        <w:pStyle w:val="SingleTxtG"/>
        <w:ind w:left="2268"/>
        <w:jc w:val="center"/>
      </w:pPr>
      <m:oMathPara>
        <m:oMath>
          <m:sSub>
            <m:sSubPr>
              <m:ctrlPr>
                <w:rPr>
                  <w:rFonts w:ascii="Cambria Math" w:hAnsi="Cambria Math" w:cstheme="majorBidi"/>
                </w:rPr>
              </m:ctrlPr>
            </m:sSubPr>
            <m:e>
              <m:r>
                <m:rPr>
                  <m:nor/>
                </m:rPr>
                <w:rPr>
                  <w:rFonts w:asciiTheme="majorBidi" w:hAnsiTheme="majorBidi" w:cstheme="majorBidi"/>
                </w:rPr>
                <m:t>K</m:t>
              </m:r>
            </m:e>
            <m:sub>
              <m:r>
                <m:rPr>
                  <m:nor/>
                </m:rPr>
                <w:rPr>
                  <w:rFonts w:asciiTheme="majorBidi" w:hAnsiTheme="majorBidi" w:cstheme="majorBidi"/>
                </w:rPr>
                <m:t>1</m:t>
              </m:r>
              <m:r>
                <m:rPr>
                  <m:nor/>
                </m:rPr>
                <w:rPr>
                  <w:rFonts w:ascii="Cambria Math" w:hAnsiTheme="majorBidi" w:cstheme="majorBidi"/>
                </w:rPr>
                <m:t xml:space="preserve"> </m:t>
              </m:r>
            </m:sub>
          </m:sSub>
          <m:r>
            <m:rPr>
              <m:nor/>
            </m:rPr>
            <w:rPr>
              <w:rFonts w:asciiTheme="majorBidi" w:hAnsiTheme="majorBidi" w:cstheme="majorBidi"/>
            </w:rPr>
            <m:t xml:space="preserve">= </m:t>
          </m:r>
          <m:sSub>
            <m:sSubPr>
              <m:ctrlPr>
                <w:rPr>
                  <w:rFonts w:ascii="Cambria Math" w:hAnsi="Cambria Math" w:cstheme="majorBidi"/>
                </w:rPr>
              </m:ctrlPr>
            </m:sSubPr>
            <m:e>
              <m:r>
                <m:rPr>
                  <m:nor/>
                </m:rPr>
                <w:rPr>
                  <w:rFonts w:asciiTheme="majorBidi" w:hAnsiTheme="majorBidi" w:cstheme="majorBidi"/>
                </w:rPr>
                <m:t>f</m:t>
              </m:r>
            </m:e>
            <m:sub>
              <m:r>
                <m:rPr>
                  <m:nor/>
                </m:rPr>
                <w:rPr>
                  <w:rFonts w:asciiTheme="majorBidi" w:hAnsiTheme="majorBidi" w:cstheme="majorBidi"/>
                </w:rPr>
                <m:t>0</m:t>
              </m:r>
            </m:sub>
          </m:sSub>
          <m:r>
            <m:rPr>
              <m:nor/>
            </m:rPr>
            <w:rPr>
              <w:rFonts w:ascii="Cambria Math" w:hAnsiTheme="majorBidi" w:cstheme="majorBidi"/>
            </w:rPr>
            <m:t xml:space="preserve"> </m:t>
          </m:r>
          <m:r>
            <m:rPr>
              <m:nor/>
            </m:rPr>
            <w:rPr>
              <w:rFonts w:asciiTheme="majorBidi" w:hAnsiTheme="majorBidi" w:cstheme="majorBidi"/>
            </w:rPr>
            <m:t>×</m:t>
          </m:r>
          <m:d>
            <m:dPr>
              <m:ctrlPr>
                <w:rPr>
                  <w:rFonts w:ascii="Cambria Math" w:hAnsi="Cambria Math" w:cstheme="majorBidi"/>
                </w:rPr>
              </m:ctrlPr>
            </m:dPr>
            <m:e>
              <m:r>
                <m:rPr>
                  <m:nor/>
                </m:rPr>
                <w:rPr>
                  <w:rFonts w:asciiTheme="majorBidi" w:hAnsiTheme="majorBidi" w:cstheme="majorBidi"/>
                </w:rPr>
                <m:t>1</m:t>
              </m:r>
              <m:r>
                <m:rPr>
                  <m:nor/>
                </m:rPr>
                <w:rPr>
                  <w:rFonts w:ascii="Cambria Math" w:hAnsiTheme="majorBidi" w:cstheme="majorBidi"/>
                </w:rPr>
                <m:t xml:space="preserve"> </m:t>
              </m:r>
              <m:r>
                <m:rPr>
                  <m:nor/>
                </m:rPr>
                <w:rPr>
                  <w:rFonts w:ascii="Cambria Math" w:hAnsiTheme="majorBidi" w:cstheme="majorBidi"/>
                </w:rPr>
                <m:t>–</m:t>
              </m:r>
              <m:r>
                <m:rPr>
                  <m:nor/>
                </m:rPr>
                <w:rPr>
                  <w:rFonts w:ascii="Cambria Math" w:hAnsiTheme="majorBidi" w:cstheme="majorBidi"/>
                </w:rPr>
                <m:t xml:space="preserve"> </m:t>
              </m:r>
              <m:f>
                <m:fPr>
                  <m:ctrlPr>
                    <w:rPr>
                      <w:rFonts w:ascii="Cambria Math" w:hAnsi="Cambria Math" w:cstheme="majorBidi"/>
                    </w:rPr>
                  </m:ctrlPr>
                </m:fPr>
                <m:num>
                  <m:r>
                    <m:rPr>
                      <m:nor/>
                    </m:rPr>
                    <w:rPr>
                      <w:rFonts w:asciiTheme="majorBidi" w:hAnsiTheme="majorBidi" w:cstheme="majorBidi"/>
                    </w:rPr>
                    <m:t>TM</m:t>
                  </m:r>
                </m:num>
                <m:den>
                  <m:sSub>
                    <m:sSubPr>
                      <m:ctrlPr>
                        <w:rPr>
                          <w:rFonts w:ascii="Cambria Math" w:hAnsi="Cambria Math" w:cstheme="majorBidi"/>
                        </w:rPr>
                      </m:ctrlPr>
                    </m:sSubPr>
                    <m:e>
                      <m:r>
                        <m:rPr>
                          <m:nor/>
                        </m:rPr>
                        <w:rPr>
                          <w:rFonts w:asciiTheme="majorBidi" w:hAnsiTheme="majorBidi" w:cstheme="majorBidi"/>
                        </w:rPr>
                        <m:t>m</m:t>
                      </m:r>
                    </m:e>
                    <m:sub>
                      <m:r>
                        <m:rPr>
                          <m:nor/>
                        </m:rPr>
                        <w:rPr>
                          <w:rFonts w:asciiTheme="majorBidi" w:hAnsiTheme="majorBidi" w:cstheme="majorBidi"/>
                        </w:rPr>
                        <m:t>av</m:t>
                      </m:r>
                    </m:sub>
                  </m:sSub>
                </m:den>
              </m:f>
            </m:e>
          </m:d>
        </m:oMath>
      </m:oMathPara>
    </w:p>
    <w:p w:rsidR="00E24DB7" w:rsidRPr="002C5876" w:rsidRDefault="00E24DB7" w:rsidP="00E24DB7">
      <w:pPr>
        <w:pStyle w:val="SingleTxtG"/>
        <w:keepNext/>
        <w:ind w:left="2268"/>
      </w:pPr>
      <w:r w:rsidRPr="002C5876">
        <w:t>où :</w:t>
      </w:r>
    </w:p>
    <w:p w:rsidR="00E24DB7" w:rsidRPr="002C5876" w:rsidRDefault="00E24DB7" w:rsidP="00E24DB7">
      <w:pPr>
        <w:pStyle w:val="SingleTxtG"/>
        <w:ind w:left="3402" w:hanging="1134"/>
      </w:pPr>
      <w:r w:rsidRPr="002C5876">
        <w:t>f</w:t>
      </w:r>
      <w:r w:rsidRPr="002C5876">
        <w:rPr>
          <w:vertAlign w:val="subscript"/>
        </w:rPr>
        <w:t>0</w:t>
      </w:r>
      <w:r w:rsidRPr="002C5876">
        <w:tab/>
        <w:t>est un terme constant, en N ;</w:t>
      </w:r>
    </w:p>
    <w:p w:rsidR="00E24DB7" w:rsidRPr="002C5876" w:rsidRDefault="00E24DB7" w:rsidP="00E24DB7">
      <w:pPr>
        <w:pStyle w:val="SingleTxtG"/>
        <w:ind w:left="3402" w:hanging="1134"/>
      </w:pPr>
      <w:r w:rsidRPr="002C5876">
        <w:t>TM</w:t>
      </w:r>
      <w:r w:rsidRPr="002C5876">
        <w:tab/>
        <w:t>est la masse d’essai du véhicule d’essai, en kg ;</w:t>
      </w:r>
    </w:p>
    <w:p w:rsidR="00E24DB7" w:rsidRPr="002C5876" w:rsidRDefault="00731CA6" w:rsidP="00E24DB7">
      <w:pPr>
        <w:pStyle w:val="SingleTxtG"/>
        <w:ind w:left="3402" w:hanging="1134"/>
      </w:pPr>
      <m:oMath>
        <m:sSub>
          <m:sSubPr>
            <m:ctrlPr>
              <w:rPr>
                <w:rFonts w:ascii="Cambria Math" w:hAnsi="Cambria Math"/>
              </w:rPr>
            </m:ctrlPr>
          </m:sSubPr>
          <m:e>
            <m:r>
              <m:rPr>
                <m:sty m:val="p"/>
              </m:rPr>
              <w:rPr>
                <w:rFonts w:ascii="Cambria Math"/>
              </w:rPr>
              <m:t>m</m:t>
            </m:r>
          </m:e>
          <m:sub>
            <m:r>
              <m:rPr>
                <m:sty m:val="p"/>
              </m:rPr>
              <w:rPr>
                <w:rFonts w:ascii="Cambria Math"/>
              </w:rPr>
              <m:t>av</m:t>
            </m:r>
          </m:sub>
        </m:sSub>
      </m:oMath>
      <w:r w:rsidR="00E24DB7" w:rsidRPr="002C5876">
        <w:tab/>
        <w:t>est la moyenne arithmétique des valeurs de la masse du véhicule mesurées au début et à la fin de la détermination de la résistance à l’avancement sur route, en kg.</w:t>
      </w:r>
    </w:p>
    <w:p w:rsidR="00E24DB7" w:rsidRPr="002C5876" w:rsidRDefault="00E24DB7" w:rsidP="00E24DB7">
      <w:pPr>
        <w:pStyle w:val="SingleTxtG"/>
        <w:keepNext/>
        <w:keepLines/>
        <w:ind w:left="2268" w:hanging="1134"/>
        <w:jc w:val="left"/>
      </w:pPr>
      <w:r w:rsidRPr="002C5876">
        <w:t>4.5.5</w:t>
      </w:r>
      <w:r w:rsidRPr="002C5876">
        <w:tab/>
        <w:t>Correction de la courbe de résistance à l’avancement sur route</w:t>
      </w:r>
    </w:p>
    <w:p w:rsidR="00E24DB7" w:rsidRPr="002C5876" w:rsidRDefault="00E24DB7" w:rsidP="00E24DB7">
      <w:pPr>
        <w:pStyle w:val="SingleTxtG"/>
        <w:keepNext/>
        <w:keepLines/>
        <w:ind w:left="2268" w:hanging="1134"/>
      </w:pPr>
      <w:r w:rsidRPr="002C5876">
        <w:t>4.5.5.1</w:t>
      </w:r>
      <w:r w:rsidRPr="002C5876">
        <w:tab/>
        <w:t>La courbe déterminée conformément au paragraphe 4.3.1.4.4 de la présente annexe doit être corrigée pour rapporter les mesures aux conditions de référence comme suit :</w:t>
      </w:r>
    </w:p>
    <w:p w:rsidR="00E24DB7" w:rsidRPr="002C5876" w:rsidRDefault="00731CA6" w:rsidP="00E24DB7">
      <w:pPr>
        <w:pStyle w:val="SingleTxtG"/>
        <w:ind w:left="2268"/>
        <w:jc w:val="center"/>
      </w:pPr>
      <m:oMathPara>
        <m:oMathParaPr>
          <m:jc m:val="center"/>
        </m:oMathParaPr>
        <m:oMath>
          <m:sSup>
            <m:sSupPr>
              <m:ctrlPr>
                <w:rPr>
                  <w:rFonts w:ascii="Cambria Math" w:hAnsi="Cambria Math" w:cstheme="majorBidi"/>
                </w:rPr>
              </m:ctrlPr>
            </m:sSupPr>
            <m:e>
              <m:r>
                <m:rPr>
                  <m:nor/>
                </m:rPr>
                <w:rPr>
                  <w:rFonts w:asciiTheme="majorBidi" w:hAnsiTheme="majorBidi" w:cstheme="majorBidi"/>
                </w:rPr>
                <m:t>F</m:t>
              </m:r>
            </m:e>
            <m:sup>
              <m:r>
                <m:rPr>
                  <m:nor/>
                </m:rPr>
                <w:rPr>
                  <w:rFonts w:asciiTheme="majorBidi" w:hAnsiTheme="majorBidi" w:cstheme="majorBidi"/>
                </w:rPr>
                <m:t>*</m:t>
              </m:r>
            </m:sup>
          </m:sSup>
          <m:r>
            <m:rPr>
              <m:nor/>
            </m:rPr>
            <w:rPr>
              <w:rFonts w:asciiTheme="majorBidi" w:hAnsiTheme="majorBidi" w:cstheme="majorBidi"/>
            </w:rPr>
            <m:t xml:space="preserve">= </m:t>
          </m:r>
          <m:d>
            <m:dPr>
              <m:ctrlPr>
                <w:rPr>
                  <w:rFonts w:ascii="Cambria Math" w:hAnsi="Cambria Math" w:cstheme="majorBidi"/>
                </w:rPr>
              </m:ctrlPr>
            </m:dPr>
            <m:e>
              <m:d>
                <m:dPr>
                  <m:ctrlPr>
                    <w:rPr>
                      <w:rFonts w:ascii="Cambria Math" w:hAnsi="Cambria Math" w:cstheme="majorBidi"/>
                    </w:rPr>
                  </m:ctrlPr>
                </m:dPr>
                <m:e>
                  <m:sSub>
                    <m:sSubPr>
                      <m:ctrlPr>
                        <w:rPr>
                          <w:rFonts w:ascii="Cambria Math" w:hAnsi="Cambria Math" w:cstheme="majorBidi"/>
                        </w:rPr>
                      </m:ctrlPr>
                    </m:sSubPr>
                    <m:e>
                      <m:r>
                        <m:rPr>
                          <m:nor/>
                        </m:rPr>
                        <w:rPr>
                          <w:rFonts w:asciiTheme="majorBidi" w:hAnsiTheme="majorBidi" w:cstheme="majorBidi"/>
                        </w:rPr>
                        <m:t>f</m:t>
                      </m:r>
                    </m:e>
                    <m:sub>
                      <m:r>
                        <m:rPr>
                          <m:nor/>
                        </m:rPr>
                        <w:rPr>
                          <w:rFonts w:asciiTheme="majorBidi" w:hAnsiTheme="majorBidi" w:cstheme="majorBidi"/>
                        </w:rPr>
                        <m:t>0</m:t>
                      </m:r>
                    </m:sub>
                  </m:sSub>
                  <m:r>
                    <m:rPr>
                      <m:nor/>
                    </m:rPr>
                    <w:rPr>
                      <w:rFonts w:ascii="Cambria Math" w:hAnsiTheme="majorBidi" w:cstheme="majorBidi"/>
                    </w:rPr>
                    <m:t xml:space="preserve"> </m:t>
                  </m:r>
                  <m:r>
                    <m:rPr>
                      <m:nor/>
                    </m:rPr>
                    <w:rPr>
                      <w:rFonts w:ascii="Cambria Math" w:hAnsiTheme="majorBidi" w:cstheme="majorBidi"/>
                    </w:rPr>
                    <m:t>–</m:t>
                  </m:r>
                  <m:r>
                    <m:rPr>
                      <m:nor/>
                    </m:rPr>
                    <w:rPr>
                      <w:rFonts w:asciiTheme="majorBidi" w:hAnsiTheme="majorBidi" w:cstheme="majorBidi"/>
                    </w:rPr>
                    <m:t xml:space="preserve"> </m:t>
                  </m:r>
                  <m:sSub>
                    <m:sSubPr>
                      <m:ctrlPr>
                        <w:rPr>
                          <w:rFonts w:ascii="Cambria Math" w:hAnsi="Cambria Math" w:cstheme="majorBidi"/>
                        </w:rPr>
                      </m:ctrlPr>
                    </m:sSubPr>
                    <m:e>
                      <m:r>
                        <m:rPr>
                          <m:nor/>
                        </m:rPr>
                        <w:rPr>
                          <w:rFonts w:asciiTheme="majorBidi" w:hAnsiTheme="majorBidi" w:cstheme="majorBidi"/>
                        </w:rPr>
                        <m:t>w</m:t>
                      </m:r>
                    </m:e>
                    <m:sub>
                      <m:r>
                        <m:rPr>
                          <m:nor/>
                        </m:rPr>
                        <w:rPr>
                          <w:rFonts w:asciiTheme="majorBidi" w:hAnsiTheme="majorBidi" w:cstheme="majorBidi"/>
                        </w:rPr>
                        <m:t>1</m:t>
                      </m:r>
                    </m:sub>
                  </m:sSub>
                  <m:r>
                    <w:rPr>
                      <w:rFonts w:ascii="Cambria Math" w:hAnsi="Cambria Math" w:cstheme="majorBidi"/>
                    </w:rPr>
                    <m:t xml:space="preserve"> </m:t>
                  </m:r>
                  <m:r>
                    <m:rPr>
                      <m:nor/>
                    </m:rPr>
                    <w:rPr>
                      <w:rFonts w:ascii="Cambria Math" w:hAnsiTheme="majorBidi" w:cstheme="majorBidi"/>
                    </w:rPr>
                    <m:t>–</m:t>
                  </m:r>
                  <m:r>
                    <m:rPr>
                      <m:nor/>
                    </m:rPr>
                    <w:rPr>
                      <w:rFonts w:ascii="Cambria Math" w:hAnsiTheme="majorBidi" w:cstheme="majorBidi"/>
                    </w:rPr>
                    <m:t xml:space="preserve"> </m:t>
                  </m:r>
                  <m:sSub>
                    <m:sSubPr>
                      <m:ctrlPr>
                        <w:rPr>
                          <w:rFonts w:ascii="Cambria Math" w:hAnsi="Cambria Math" w:cstheme="majorBidi"/>
                        </w:rPr>
                      </m:ctrlPr>
                    </m:sSubPr>
                    <m:e>
                      <m:r>
                        <m:rPr>
                          <m:nor/>
                        </m:rPr>
                        <w:rPr>
                          <w:rFonts w:asciiTheme="majorBidi" w:hAnsiTheme="majorBidi" w:cstheme="majorBidi"/>
                        </w:rPr>
                        <m:t>K</m:t>
                      </m:r>
                    </m:e>
                    <m:sub>
                      <m:r>
                        <m:rPr>
                          <m:nor/>
                        </m:rPr>
                        <w:rPr>
                          <w:rFonts w:asciiTheme="majorBidi" w:hAnsiTheme="majorBidi" w:cstheme="majorBidi"/>
                        </w:rPr>
                        <m:t>1</m:t>
                      </m:r>
                    </m:sub>
                  </m:sSub>
                </m:e>
              </m:d>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sSub>
                <m:sSubPr>
                  <m:ctrlPr>
                    <w:rPr>
                      <w:rFonts w:ascii="Cambria Math" w:hAnsi="Cambria Math" w:cstheme="majorBidi"/>
                    </w:rPr>
                  </m:ctrlPr>
                </m:sSubPr>
                <m:e>
                  <m:r>
                    <m:rPr>
                      <m:nor/>
                    </m:rPr>
                    <w:rPr>
                      <w:rFonts w:asciiTheme="majorBidi" w:hAnsiTheme="majorBidi" w:cstheme="majorBidi"/>
                    </w:rPr>
                    <m:t>f</m:t>
                  </m:r>
                </m:e>
                <m:sub>
                  <m:r>
                    <m:rPr>
                      <m:nor/>
                    </m:rPr>
                    <w:rPr>
                      <w:rFonts w:asciiTheme="majorBidi" w:hAnsiTheme="majorBidi" w:cstheme="majorBidi"/>
                    </w:rPr>
                    <m:t>1</m:t>
                  </m:r>
                </m:sub>
              </m:sSub>
              <m:r>
                <m:rPr>
                  <m:nor/>
                </m:rPr>
                <w:rPr>
                  <w:rFonts w:asciiTheme="majorBidi" w:hAnsiTheme="majorBidi" w:cstheme="majorBidi"/>
                </w:rPr>
                <m:t>v</m:t>
              </m:r>
            </m:e>
          </m:d>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d>
            <m:dPr>
              <m:ctrlPr>
                <w:rPr>
                  <w:rFonts w:ascii="Cambria Math" w:hAnsi="Cambria Math" w:cstheme="majorBidi"/>
                </w:rPr>
              </m:ctrlPr>
            </m:dPr>
            <m:e>
              <m:r>
                <m:rPr>
                  <m:nor/>
                </m:rPr>
                <w:rPr>
                  <w:rFonts w:asciiTheme="majorBidi" w:hAnsiTheme="majorBidi" w:cstheme="majorBidi"/>
                </w:rPr>
                <m:t>1</m:t>
              </m:r>
              <m:r>
                <m:rPr>
                  <m:nor/>
                </m:rPr>
                <w:rPr>
                  <w:rFonts w:ascii="Cambria Math" w:hAnsiTheme="majorBidi" w:cstheme="majorBidi"/>
                </w:rPr>
                <m:t xml:space="preserve"> </m:t>
              </m:r>
              <m:r>
                <m:rPr>
                  <m:nor/>
                </m:rPr>
                <w:rPr>
                  <w:rFonts w:asciiTheme="majorBidi" w:hAnsiTheme="majorBidi" w:cstheme="majorBidi"/>
                </w:rPr>
                <m:t>+</m:t>
              </m:r>
              <m:sSub>
                <m:sSubPr>
                  <m:ctrlPr>
                    <w:rPr>
                      <w:rFonts w:ascii="Cambria Math" w:hAnsi="Cambria Math" w:cstheme="majorBidi"/>
                    </w:rPr>
                  </m:ctrlPr>
                </m:sSubPr>
                <m:e>
                  <m:r>
                    <m:rPr>
                      <m:nor/>
                    </m:rPr>
                    <w:rPr>
                      <w:rFonts w:ascii="Cambria Math" w:hAnsiTheme="majorBidi" w:cstheme="majorBidi"/>
                    </w:rPr>
                    <m:t xml:space="preserve"> </m:t>
                  </m:r>
                  <m:r>
                    <m:rPr>
                      <m:nor/>
                    </m:rPr>
                    <w:rPr>
                      <w:rFonts w:asciiTheme="majorBidi" w:hAnsiTheme="majorBidi" w:cstheme="majorBidi"/>
                    </w:rPr>
                    <m:t>K</m:t>
                  </m:r>
                </m:e>
                <m:sub>
                  <m:r>
                    <m:rPr>
                      <m:nor/>
                    </m:rPr>
                    <w:rPr>
                      <w:rFonts w:asciiTheme="majorBidi" w:hAnsiTheme="majorBidi" w:cstheme="majorBidi"/>
                    </w:rPr>
                    <m:t>0</m:t>
                  </m:r>
                </m:sub>
              </m:sSub>
              <m:d>
                <m:dPr>
                  <m:ctrlPr>
                    <w:rPr>
                      <w:rFonts w:ascii="Cambria Math" w:hAnsi="Cambria Math" w:cstheme="majorBidi"/>
                    </w:rPr>
                  </m:ctrlPr>
                </m:dPr>
                <m:e>
                  <m:r>
                    <m:rPr>
                      <m:nor/>
                    </m:rPr>
                    <w:rPr>
                      <w:rFonts w:asciiTheme="majorBidi" w:hAnsiTheme="majorBidi" w:cstheme="majorBidi"/>
                    </w:rPr>
                    <m:t>T</m:t>
                  </m:r>
                  <m:r>
                    <m:rPr>
                      <m:nor/>
                    </m:rPr>
                    <w:rPr>
                      <w:rFonts w:ascii="Cambria Math" w:hAnsiTheme="majorBidi" w:cstheme="majorBidi"/>
                    </w:rPr>
                    <m:t xml:space="preserve"> </m:t>
                  </m:r>
                  <m:r>
                    <m:rPr>
                      <m:nor/>
                    </m:rPr>
                    <w:rPr>
                      <w:rFonts w:ascii="Cambria Math" w:hAnsiTheme="majorBidi" w:cstheme="majorBidi"/>
                    </w:rPr>
                    <m:t>–</m:t>
                  </m:r>
                  <m:r>
                    <m:rPr>
                      <m:nor/>
                    </m:rPr>
                    <w:rPr>
                      <w:rFonts w:ascii="Cambria Math" w:hAnsiTheme="majorBidi" w:cstheme="majorBidi"/>
                    </w:rPr>
                    <m:t xml:space="preserve"> </m:t>
                  </m:r>
                  <m:r>
                    <m:rPr>
                      <m:nor/>
                    </m:rPr>
                    <w:rPr>
                      <w:rFonts w:asciiTheme="majorBidi" w:hAnsiTheme="majorBidi" w:cstheme="majorBidi"/>
                    </w:rPr>
                    <m:t>20</m:t>
                  </m:r>
                </m:e>
              </m:d>
            </m:e>
          </m:d>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sSub>
            <m:sSubPr>
              <m:ctrlPr>
                <w:rPr>
                  <w:rFonts w:ascii="Cambria Math" w:hAnsi="Cambria Math" w:cstheme="majorBidi"/>
                </w:rPr>
              </m:ctrlPr>
            </m:sSubPr>
            <m:e>
              <m:r>
                <m:rPr>
                  <m:nor/>
                </m:rPr>
                <w:rPr>
                  <w:rFonts w:asciiTheme="majorBidi" w:hAnsiTheme="majorBidi" w:cstheme="majorBidi"/>
                </w:rPr>
                <m:t>K</m:t>
              </m:r>
            </m:e>
            <m:sub>
              <m:r>
                <m:rPr>
                  <m:nor/>
                </m:rPr>
                <w:rPr>
                  <w:rFonts w:asciiTheme="majorBidi" w:hAnsiTheme="majorBidi" w:cstheme="majorBidi"/>
                </w:rPr>
                <m:t>2</m:t>
              </m:r>
            </m:sub>
          </m:sSub>
          <m:sSub>
            <m:sSubPr>
              <m:ctrlPr>
                <w:rPr>
                  <w:rFonts w:ascii="Cambria Math" w:hAnsi="Cambria Math" w:cstheme="majorBidi"/>
                </w:rPr>
              </m:ctrlPr>
            </m:sSubPr>
            <m:e>
              <m:r>
                <m:rPr>
                  <m:nor/>
                </m:rPr>
                <w:rPr>
                  <w:rFonts w:asciiTheme="majorBidi" w:hAnsiTheme="majorBidi" w:cstheme="majorBidi"/>
                </w:rPr>
                <m:t>f</m:t>
              </m:r>
            </m:e>
            <m:sub>
              <m:r>
                <m:rPr>
                  <m:nor/>
                </m:rPr>
                <w:rPr>
                  <w:rFonts w:asciiTheme="majorBidi" w:hAnsiTheme="majorBidi" w:cstheme="majorBidi"/>
                </w:rPr>
                <m:t>2</m:t>
              </m:r>
            </m:sub>
          </m:sSub>
          <m:sSup>
            <m:sSupPr>
              <m:ctrlPr>
                <w:rPr>
                  <w:rFonts w:ascii="Cambria Math" w:hAnsi="Cambria Math" w:cstheme="majorBidi"/>
                </w:rPr>
              </m:ctrlPr>
            </m:sSupPr>
            <m:e>
              <m:r>
                <m:rPr>
                  <m:nor/>
                </m:rPr>
                <w:rPr>
                  <w:rFonts w:asciiTheme="majorBidi" w:hAnsiTheme="majorBidi" w:cstheme="majorBidi"/>
                </w:rPr>
                <m:t>v</m:t>
              </m:r>
            </m:e>
            <m:sup>
              <m:r>
                <m:rPr>
                  <m:nor/>
                </m:rPr>
                <w:rPr>
                  <w:rFonts w:asciiTheme="majorBidi" w:hAnsiTheme="majorBidi" w:cstheme="majorBidi"/>
                </w:rPr>
                <m:t>2</m:t>
              </m:r>
            </m:sup>
          </m:sSup>
        </m:oMath>
      </m:oMathPara>
    </w:p>
    <w:p w:rsidR="00E24DB7" w:rsidRPr="002C5876" w:rsidRDefault="00E24DB7" w:rsidP="00E24DB7">
      <w:pPr>
        <w:pStyle w:val="SingleTxtG"/>
        <w:keepNext/>
        <w:ind w:left="2268"/>
      </w:pPr>
      <w:r w:rsidRPr="002C5876">
        <w:t>où :</w:t>
      </w:r>
    </w:p>
    <w:p w:rsidR="00E24DB7" w:rsidRPr="002C5876" w:rsidRDefault="00E24DB7" w:rsidP="00E24DB7">
      <w:pPr>
        <w:pStyle w:val="SingleTxtG"/>
        <w:ind w:left="3402" w:hanging="1134"/>
      </w:pPr>
      <w:r w:rsidRPr="002C5876">
        <w:t>F</w:t>
      </w:r>
      <w:r w:rsidRPr="002C5876">
        <w:rPr>
          <w:vertAlign w:val="superscript"/>
        </w:rPr>
        <w:t>*</w:t>
      </w:r>
      <w:r w:rsidRPr="002C5876">
        <w:tab/>
        <w:t xml:space="preserve">est la </w:t>
      </w:r>
      <w:r w:rsidRPr="002C5876">
        <w:rPr>
          <w:bCs/>
        </w:rPr>
        <w:t xml:space="preserve">résistance à l’avancement sur route </w:t>
      </w:r>
      <w:r w:rsidRPr="002C5876">
        <w:t>corrigée, en N ;</w:t>
      </w:r>
    </w:p>
    <w:p w:rsidR="00E24DB7" w:rsidRPr="002C5876" w:rsidRDefault="00E24DB7" w:rsidP="00E24DB7">
      <w:pPr>
        <w:pStyle w:val="SingleTxtG"/>
        <w:ind w:left="3402" w:hanging="1134"/>
      </w:pPr>
      <w:r w:rsidRPr="002C5876">
        <w:t>f</w:t>
      </w:r>
      <w:r w:rsidRPr="002C5876">
        <w:rPr>
          <w:vertAlign w:val="subscript"/>
        </w:rPr>
        <w:t>0</w:t>
      </w:r>
      <w:r w:rsidRPr="002C5876">
        <w:tab/>
        <w:t>est le terme constant, en N ;</w:t>
      </w:r>
    </w:p>
    <w:p w:rsidR="00E24DB7" w:rsidRPr="002C5876" w:rsidRDefault="00E24DB7" w:rsidP="00E24DB7">
      <w:pPr>
        <w:pStyle w:val="SingleTxtG"/>
        <w:ind w:left="3402" w:hanging="1134"/>
      </w:pPr>
      <w:r w:rsidRPr="002C5876">
        <w:t>f</w:t>
      </w:r>
      <w:r w:rsidRPr="002C5876">
        <w:rPr>
          <w:vertAlign w:val="subscript"/>
        </w:rPr>
        <w:t>1</w:t>
      </w:r>
      <w:r w:rsidRPr="002C5876">
        <w:tab/>
        <w:t>est le coefficient du terme de premier ordre, en N/(km/h) ;</w:t>
      </w:r>
    </w:p>
    <w:p w:rsidR="00E24DB7" w:rsidRPr="002C5876" w:rsidRDefault="00E24DB7" w:rsidP="00E24DB7">
      <w:pPr>
        <w:pStyle w:val="SingleTxtG"/>
        <w:ind w:left="3402" w:hanging="1134"/>
      </w:pPr>
      <w:r w:rsidRPr="002C5876">
        <w:t>f</w:t>
      </w:r>
      <w:r w:rsidRPr="002C5876">
        <w:rPr>
          <w:vertAlign w:val="subscript"/>
        </w:rPr>
        <w:t>2</w:t>
      </w:r>
      <w:r w:rsidRPr="002C5876">
        <w:tab/>
        <w:t>est le coefficient du terme de second ordre, en N/(km/h)</w:t>
      </w:r>
      <w:r w:rsidRPr="002C5876">
        <w:rPr>
          <w:vertAlign w:val="superscript"/>
        </w:rPr>
        <w:t>2</w:t>
      </w:r>
      <w:r w:rsidRPr="002C5876">
        <w:t> ;</w:t>
      </w:r>
    </w:p>
    <w:p w:rsidR="00E24DB7" w:rsidRPr="002C5876" w:rsidRDefault="00E24DB7" w:rsidP="00E24DB7">
      <w:pPr>
        <w:pStyle w:val="SingleTxtG"/>
        <w:ind w:left="3402" w:hanging="1134"/>
      </w:pPr>
      <w:r w:rsidRPr="002C5876">
        <w:t>K</w:t>
      </w:r>
      <w:r w:rsidRPr="002C5876">
        <w:rPr>
          <w:vertAlign w:val="subscript"/>
        </w:rPr>
        <w:t>0</w:t>
      </w:r>
      <w:r w:rsidRPr="002C5876">
        <w:tab/>
        <w:t>est le facteur de correction pour la résistance au roulement comme défini au paragraphe 4.5.2 de la présente annexe ;</w:t>
      </w:r>
    </w:p>
    <w:p w:rsidR="00E24DB7" w:rsidRPr="002C5876" w:rsidRDefault="00E24DB7" w:rsidP="00E24DB7">
      <w:pPr>
        <w:pStyle w:val="SingleTxtG"/>
        <w:ind w:left="3402" w:hanging="1134"/>
      </w:pPr>
      <w:r w:rsidRPr="002C5876">
        <w:rPr>
          <w:iCs/>
        </w:rPr>
        <w:t>K</w:t>
      </w:r>
      <w:r w:rsidRPr="002C5876">
        <w:rPr>
          <w:iCs/>
          <w:vertAlign w:val="subscript"/>
        </w:rPr>
        <w:t>1</w:t>
      </w:r>
      <w:r w:rsidRPr="002C5876">
        <w:rPr>
          <w:iCs/>
        </w:rPr>
        <w:tab/>
        <w:t xml:space="preserve">est la correction pour la masse d’essai comme défini au paragraphe 4.5.4 de </w:t>
      </w:r>
      <w:r w:rsidRPr="002C5876">
        <w:t>la présente annexe ;</w:t>
      </w:r>
    </w:p>
    <w:p w:rsidR="00E24DB7" w:rsidRPr="002C5876" w:rsidRDefault="00E24DB7" w:rsidP="00E24DB7">
      <w:pPr>
        <w:pStyle w:val="SingleTxtG"/>
        <w:ind w:left="3402" w:hanging="1134"/>
      </w:pPr>
      <w:r w:rsidRPr="002C5876">
        <w:t>K</w:t>
      </w:r>
      <w:r w:rsidRPr="002C5876">
        <w:rPr>
          <w:vertAlign w:val="subscript"/>
        </w:rPr>
        <w:t>2</w:t>
      </w:r>
      <w:r w:rsidRPr="002C5876">
        <w:tab/>
        <w:t>est le facteur de correction pour la résistance aérodynamique comme défini au paragraphe 4.5.1 de la présente annexe ;</w:t>
      </w:r>
    </w:p>
    <w:p w:rsidR="00E24DB7" w:rsidRPr="002C5876" w:rsidRDefault="00E24DB7" w:rsidP="00E24DB7">
      <w:pPr>
        <w:pStyle w:val="SingleTxtG"/>
        <w:ind w:left="3402" w:hanging="1134"/>
      </w:pPr>
      <m:oMath>
        <m:r>
          <m:rPr>
            <m:sty m:val="p"/>
          </m:rPr>
          <w:rPr>
            <w:rFonts w:ascii="Cambria Math"/>
          </w:rPr>
          <m:t>T</m:t>
        </m:r>
      </m:oMath>
      <w:r w:rsidRPr="002C5876">
        <w:rPr>
          <w:iCs/>
        </w:rPr>
        <w:tab/>
      </w:r>
      <w:r w:rsidRPr="002C5876">
        <w:t>est la température atmosphérique ambiante moyenne arithmétique, en °C ;</w:t>
      </w:r>
    </w:p>
    <w:p w:rsidR="00E24DB7" w:rsidRPr="002C5876" w:rsidRDefault="00E24DB7" w:rsidP="00E24DB7">
      <w:pPr>
        <w:pStyle w:val="SingleTxtG"/>
        <w:ind w:left="3402" w:hanging="1134"/>
      </w:pPr>
      <w:r w:rsidRPr="002C5876">
        <w:rPr>
          <w:iCs/>
        </w:rPr>
        <w:t>v</w:t>
      </w:r>
      <w:r w:rsidRPr="002C5876">
        <w:rPr>
          <w:iCs/>
        </w:rPr>
        <w:tab/>
      </w:r>
      <w:r w:rsidRPr="002C5876">
        <w:t>est la vitesse du véhicule, en km/h ;</w:t>
      </w:r>
    </w:p>
    <w:p w:rsidR="00E24DB7" w:rsidRPr="002C5876" w:rsidRDefault="00E24DB7" w:rsidP="00E24DB7">
      <w:pPr>
        <w:pStyle w:val="SingleTxtG"/>
        <w:ind w:left="3402" w:hanging="1134"/>
      </w:pPr>
      <w:r w:rsidRPr="002C5876">
        <w:t>w</w:t>
      </w:r>
      <w:r w:rsidRPr="002C5876">
        <w:rPr>
          <w:vertAlign w:val="subscript"/>
        </w:rPr>
        <w:t>1</w:t>
      </w:r>
      <w:r w:rsidRPr="002C5876">
        <w:tab/>
        <w:t>est la correction pour la résistance due au vent comme défini au paragraphe 4.5.3 de la présente annexe, en N.</w:t>
      </w:r>
    </w:p>
    <w:p w:rsidR="00E24DB7" w:rsidRPr="002C5876" w:rsidRDefault="00E24DB7" w:rsidP="00E24DB7">
      <w:pPr>
        <w:pStyle w:val="SingleTxtG"/>
        <w:ind w:left="2268"/>
      </w:pPr>
      <w:r w:rsidRPr="002C5876">
        <w:t>Le résultat du calcul ((f</w:t>
      </w:r>
      <w:r w:rsidRPr="002C5876">
        <w:rPr>
          <w:vertAlign w:val="subscript"/>
        </w:rPr>
        <w:t>0</w:t>
      </w:r>
      <w:r w:rsidRPr="002C5876">
        <w:t xml:space="preserve"> – w</w:t>
      </w:r>
      <w:r w:rsidRPr="002C5876">
        <w:rPr>
          <w:vertAlign w:val="subscript"/>
        </w:rPr>
        <w:t>1</w:t>
      </w:r>
      <w:r w:rsidRPr="002C5876">
        <w:t xml:space="preserve"> – K</w:t>
      </w:r>
      <w:r w:rsidRPr="002C5876">
        <w:rPr>
          <w:vertAlign w:val="subscript"/>
        </w:rPr>
        <w:t>1</w:t>
      </w:r>
      <w:r w:rsidRPr="002C5876">
        <w:t>) × (1 + K</w:t>
      </w:r>
      <w:r w:rsidRPr="002C5876">
        <w:rPr>
          <w:vertAlign w:val="subscript"/>
        </w:rPr>
        <w:t>0</w:t>
      </w:r>
      <w:r w:rsidRPr="002C5876">
        <w:t xml:space="preserve"> </w:t>
      </w:r>
      <w:r w:rsidRPr="002C5876">
        <w:rPr>
          <w:szCs w:val="24"/>
        </w:rPr>
        <w:t xml:space="preserve">× </w:t>
      </w:r>
      <w:r w:rsidRPr="002C5876">
        <w:t xml:space="preserve">(T-20))) doit être utilisé comme coefficient de </w:t>
      </w:r>
      <w:r w:rsidRPr="002C5876">
        <w:rPr>
          <w:bCs/>
        </w:rPr>
        <w:t xml:space="preserve">résistance à l’avancement sur route </w:t>
      </w:r>
      <w:r w:rsidRPr="002C5876">
        <w:t>A</w:t>
      </w:r>
      <w:r w:rsidRPr="002C5876">
        <w:rPr>
          <w:vertAlign w:val="subscript"/>
        </w:rPr>
        <w:t>t</w:t>
      </w:r>
      <w:r w:rsidRPr="002C5876">
        <w:t xml:space="preserve"> dans le calcul du réglage </w:t>
      </w:r>
      <w:r w:rsidRPr="002C5876">
        <w:lastRenderedPageBreak/>
        <w:t xml:space="preserve">de force </w:t>
      </w:r>
      <w:r w:rsidRPr="002C5876">
        <w:rPr>
          <w:bCs/>
        </w:rPr>
        <w:t xml:space="preserve">résistante </w:t>
      </w:r>
      <w:r w:rsidRPr="002C5876">
        <w:t>du banc à rouleaux comme spécifié au paragraphe 8.1 de la présente annexe.</w:t>
      </w:r>
    </w:p>
    <w:p w:rsidR="00E24DB7" w:rsidRPr="002C5876" w:rsidRDefault="00E24DB7" w:rsidP="00E24DB7">
      <w:pPr>
        <w:pStyle w:val="SingleTxtG"/>
        <w:ind w:left="2268"/>
      </w:pPr>
      <w:r w:rsidRPr="002C5876">
        <w:t>Le résultat du calcul (f</w:t>
      </w:r>
      <w:r w:rsidRPr="002C5876">
        <w:rPr>
          <w:vertAlign w:val="subscript"/>
        </w:rPr>
        <w:t>1</w:t>
      </w:r>
      <w:r w:rsidRPr="002C5876">
        <w:t xml:space="preserve"> </w:t>
      </w:r>
      <w:r w:rsidRPr="002C5876">
        <w:rPr>
          <w:szCs w:val="24"/>
        </w:rPr>
        <w:t>×</w:t>
      </w:r>
      <w:r w:rsidRPr="002C5876">
        <w:t xml:space="preserve"> (1 + K</w:t>
      </w:r>
      <w:r w:rsidRPr="002C5876">
        <w:rPr>
          <w:vertAlign w:val="subscript"/>
        </w:rPr>
        <w:t>0</w:t>
      </w:r>
      <w:r w:rsidRPr="002C5876">
        <w:t xml:space="preserve"> </w:t>
      </w:r>
      <w:r w:rsidRPr="002C5876">
        <w:rPr>
          <w:szCs w:val="24"/>
        </w:rPr>
        <w:t>×</w:t>
      </w:r>
      <w:r w:rsidRPr="002C5876">
        <w:t xml:space="preserve"> (T-20))) doit être utilisé comme coefficient de </w:t>
      </w:r>
      <w:r w:rsidRPr="002C5876">
        <w:rPr>
          <w:bCs/>
        </w:rPr>
        <w:t xml:space="preserve">résistance à l’avancement sur route </w:t>
      </w:r>
      <w:r w:rsidRPr="002C5876">
        <w:t>B</w:t>
      </w:r>
      <w:r w:rsidRPr="002C5876">
        <w:rPr>
          <w:vertAlign w:val="subscript"/>
        </w:rPr>
        <w:t>t</w:t>
      </w:r>
      <w:r w:rsidRPr="002C5876">
        <w:t xml:space="preserve"> dans le calcul du réglage de force </w:t>
      </w:r>
      <w:r w:rsidRPr="002C5876">
        <w:rPr>
          <w:bCs/>
        </w:rPr>
        <w:t xml:space="preserve">résistante </w:t>
      </w:r>
      <w:r w:rsidRPr="002C5876">
        <w:t>du banc à rouleaux comme spécifié au paragraphe 8.1 de la présente annexe.</w:t>
      </w:r>
    </w:p>
    <w:p w:rsidR="00E24DB7" w:rsidRPr="002C5876" w:rsidRDefault="00E24DB7" w:rsidP="00E24DB7">
      <w:pPr>
        <w:pStyle w:val="SingleTxtG"/>
        <w:ind w:left="2268"/>
      </w:pPr>
      <w:r w:rsidRPr="002C5876">
        <w:t>Le résultat du calcul (K</w:t>
      </w:r>
      <w:r w:rsidRPr="002C5876">
        <w:rPr>
          <w:vertAlign w:val="subscript"/>
        </w:rPr>
        <w:t>2</w:t>
      </w:r>
      <w:r w:rsidRPr="002C5876">
        <w:t xml:space="preserve"> </w:t>
      </w:r>
      <w:r w:rsidRPr="002C5876">
        <w:rPr>
          <w:szCs w:val="24"/>
        </w:rPr>
        <w:t>×</w:t>
      </w:r>
      <w:r w:rsidRPr="002C5876">
        <w:t xml:space="preserve"> f</w:t>
      </w:r>
      <w:r w:rsidRPr="002C5876">
        <w:rPr>
          <w:vertAlign w:val="subscript"/>
        </w:rPr>
        <w:t>2</w:t>
      </w:r>
      <w:r w:rsidRPr="002C5876">
        <w:t>)</w:t>
      </w:r>
      <w:r w:rsidRPr="002C5876">
        <w:rPr>
          <w:vertAlign w:val="subscript"/>
        </w:rPr>
        <w:t xml:space="preserve"> </w:t>
      </w:r>
      <w:r w:rsidRPr="002C5876">
        <w:t xml:space="preserve">doit être utilisé comme coefficient de </w:t>
      </w:r>
      <w:r w:rsidRPr="002C5876">
        <w:rPr>
          <w:bCs/>
        </w:rPr>
        <w:t xml:space="preserve">résistance à l’avancement sur route </w:t>
      </w:r>
      <w:r w:rsidRPr="002C5876">
        <w:t>C</w:t>
      </w:r>
      <w:r w:rsidRPr="002C5876">
        <w:rPr>
          <w:vertAlign w:val="subscript"/>
        </w:rPr>
        <w:t>t</w:t>
      </w:r>
      <w:r w:rsidRPr="002C5876">
        <w:t xml:space="preserve"> dans le calcul du réglage de force </w:t>
      </w:r>
      <w:r w:rsidRPr="002C5876">
        <w:rPr>
          <w:bCs/>
        </w:rPr>
        <w:t xml:space="preserve">résistante </w:t>
      </w:r>
      <w:r w:rsidRPr="002C5876">
        <w:t>du banc à rouleaux comme spécifié au paragraphe 8.1 de la présente annexe.</w:t>
      </w:r>
    </w:p>
    <w:p w:rsidR="00E24DB7" w:rsidRPr="002C5876" w:rsidRDefault="00E24DB7" w:rsidP="00E24DB7">
      <w:pPr>
        <w:pStyle w:val="SingleTxtG"/>
        <w:ind w:left="2268" w:hanging="1134"/>
      </w:pPr>
      <w:r w:rsidRPr="002C5876">
        <w:rPr>
          <w:bCs/>
        </w:rPr>
        <w:t>4.5.5.2</w:t>
      </w:r>
      <w:r w:rsidRPr="002C5876">
        <w:rPr>
          <w:bCs/>
        </w:rPr>
        <w:tab/>
      </w:r>
      <w:r w:rsidRPr="002C5876">
        <w:t>La courbe déterminée comme spécifié au paragraphe 4.4.4 de la présente annexe doit être corrigée pour rapporter les valeurs de mesures aux conditions de référence, et l’équipement de mesure doit être installé conformément à la procédure ci-après.</w:t>
      </w:r>
    </w:p>
    <w:p w:rsidR="00E24DB7" w:rsidRPr="002C5876" w:rsidRDefault="00E24DB7" w:rsidP="00E24DB7">
      <w:pPr>
        <w:pStyle w:val="SingleTxtG"/>
        <w:ind w:left="2268" w:hanging="1134"/>
      </w:pPr>
      <w:r w:rsidRPr="002C5876">
        <w:t>4.5.5.2.1</w:t>
      </w:r>
      <w:r w:rsidRPr="002C5876">
        <w:tab/>
        <w:t>Correction sur la base des conditions de référence</w:t>
      </w:r>
    </w:p>
    <w:p w:rsidR="00E24DB7" w:rsidRPr="002C5876" w:rsidRDefault="00731CA6" w:rsidP="00E24DB7">
      <w:pPr>
        <w:pStyle w:val="SingleTxtG"/>
        <w:ind w:left="2268"/>
        <w:jc w:val="center"/>
      </w:pPr>
      <m:oMathPara>
        <m:oMath>
          <m:sSup>
            <m:sSupPr>
              <m:ctrlPr>
                <w:rPr>
                  <w:rFonts w:ascii="Cambria Math" w:hAnsi="Cambria Math" w:cstheme="majorBidi"/>
                </w:rPr>
              </m:ctrlPr>
            </m:sSupPr>
            <m:e>
              <m:r>
                <m:rPr>
                  <m:sty m:val="p"/>
                </m:rPr>
                <w:rPr>
                  <w:rFonts w:ascii="Cambria Math" w:hAnsi="Cambria Math" w:cstheme="majorBidi"/>
                </w:rPr>
                <m:t>C</m:t>
              </m:r>
            </m:e>
            <m:sup>
              <m:r>
                <m:rPr>
                  <m:sty m:val="p"/>
                </m:rPr>
                <w:rPr>
                  <w:rFonts w:ascii="Cambria Math" w:hAnsi="Cambria Math" w:cstheme="majorBidi"/>
                </w:rPr>
                <m:t>*</m:t>
              </m:r>
            </m:sup>
          </m:sSup>
          <m:r>
            <m:rPr>
              <m:sty m:val="p"/>
            </m:rPr>
            <w:rPr>
              <w:rFonts w:ascii="Cambria Math" w:hAnsi="Cambria Math" w:cstheme="majorBidi"/>
            </w:rPr>
            <m:t xml:space="preserve">= </m:t>
          </m:r>
          <m:d>
            <m:dPr>
              <m:ctrlPr>
                <w:rPr>
                  <w:rFonts w:ascii="Cambria Math" w:hAnsi="Cambria Math" w:cstheme="majorBidi"/>
                </w:rPr>
              </m:ctrlPr>
            </m:dPr>
            <m:e>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0</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w</m:t>
                      </m:r>
                    </m:e>
                    <m:sub>
                      <m:r>
                        <m:rPr>
                          <m:sty m:val="p"/>
                        </m:rPr>
                        <w:rPr>
                          <w:rFonts w:ascii="Cambria Math" w:hAnsi="Cambria Math" w:cstheme="majorBidi"/>
                        </w:rPr>
                        <m:t>2</m:t>
                      </m:r>
                    </m:sub>
                  </m:sSub>
                  <m: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1</m:t>
                      </m:r>
                    </m:sub>
                  </m:sSub>
                </m:e>
              </m:d>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1</m:t>
                  </m:r>
                </m:sub>
              </m:sSub>
              <m:r>
                <m:rPr>
                  <m:sty m:val="p"/>
                </m:rPr>
                <w:rPr>
                  <w:rFonts w:ascii="Cambria Math" w:hAnsi="Cambria Math" w:cstheme="majorBidi"/>
                </w:rPr>
                <m:t>v</m:t>
              </m:r>
            </m:e>
          </m:d>
          <m:r>
            <m:rPr>
              <m:sty m:val="p"/>
            </m:rPr>
            <w:rPr>
              <w:rFonts w:ascii="Cambria Math" w:hAnsi="Cambria Math" w:cstheme="majorBidi"/>
            </w:rPr>
            <m:t xml:space="preserve"> ×</m:t>
          </m:r>
          <m:d>
            <m:dPr>
              <m:ctrlPr>
                <w:rPr>
                  <w:rFonts w:ascii="Cambria Math" w:hAnsi="Cambria Math" w:cstheme="majorBidi"/>
                </w:rPr>
              </m:ctrlPr>
            </m:dPr>
            <m:e>
              <m:r>
                <m:rPr>
                  <m:sty m:val="p"/>
                </m:rPr>
                <w:rPr>
                  <w:rFonts w:ascii="Cambria Math" w:hAnsi="Cambria Math" w:cstheme="majorBidi"/>
                </w:rPr>
                <m:t>1+</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0</m:t>
                  </m:r>
                </m:sub>
              </m:sSub>
              <m:d>
                <m:dPr>
                  <m:ctrlPr>
                    <w:rPr>
                      <w:rFonts w:ascii="Cambria Math" w:hAnsi="Cambria Math" w:cstheme="majorBidi"/>
                    </w:rPr>
                  </m:ctrlPr>
                </m:dPr>
                <m:e>
                  <m:r>
                    <m:rPr>
                      <m:sty m:val="p"/>
                    </m:rPr>
                    <w:rPr>
                      <w:rFonts w:ascii="Cambria Math" w:hAnsi="Cambria Math" w:cstheme="majorBidi"/>
                    </w:rPr>
                    <m:t>T-20</m:t>
                  </m:r>
                </m:e>
              </m:d>
            </m:e>
          </m:d>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2</m:t>
              </m:r>
            </m:sub>
          </m:sSub>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2</m:t>
              </m:r>
            </m:sub>
          </m:sSub>
          <m:r>
            <m:rPr>
              <m:sty m:val="p"/>
            </m:rPr>
            <w:rPr>
              <w:rFonts w:ascii="Cambria Math" w:hAnsi="Cambria Math" w:cstheme="majorBidi"/>
            </w:rPr>
            <m:t>v²</m:t>
          </m:r>
        </m:oMath>
      </m:oMathPara>
    </w:p>
    <w:p w:rsidR="00E24DB7" w:rsidRPr="002C5876" w:rsidRDefault="00E24DB7" w:rsidP="00E24DB7">
      <w:pPr>
        <w:pStyle w:val="SingleTxtG"/>
        <w:keepNext/>
        <w:ind w:left="2268"/>
      </w:pPr>
      <w:r w:rsidRPr="002C5876">
        <w:t>où :</w:t>
      </w:r>
    </w:p>
    <w:p w:rsidR="00E24DB7" w:rsidRPr="002C5876" w:rsidRDefault="00E24DB7" w:rsidP="00E24DB7">
      <w:pPr>
        <w:ind w:left="2268"/>
      </w:pPr>
      <w:r w:rsidRPr="002C5876">
        <w:t>C</w:t>
      </w:r>
      <w:r w:rsidRPr="002C5876">
        <w:rPr>
          <w:vertAlign w:val="superscript"/>
        </w:rPr>
        <w:t>*</w:t>
      </w:r>
      <w:r w:rsidRPr="002C5876">
        <w:tab/>
      </w:r>
      <w:r w:rsidRPr="002C5876">
        <w:tab/>
        <w:t>est la résistance à l’avancement corrigée, en Nm ;</w:t>
      </w:r>
    </w:p>
    <w:p w:rsidR="00E24DB7" w:rsidRPr="002C5876" w:rsidRDefault="00E24DB7" w:rsidP="00E24DB7">
      <w:pPr>
        <w:pStyle w:val="SingleTxtG"/>
        <w:ind w:left="3402" w:hanging="1134"/>
      </w:pPr>
      <w:r w:rsidRPr="002C5876">
        <w:t>c</w:t>
      </w:r>
      <w:r w:rsidRPr="002C5876">
        <w:rPr>
          <w:vertAlign w:val="subscript"/>
        </w:rPr>
        <w:t>0</w:t>
      </w:r>
      <w:r w:rsidRPr="002C5876">
        <w:rPr>
          <w:vertAlign w:val="subscript"/>
        </w:rPr>
        <w:tab/>
      </w:r>
      <w:r w:rsidRPr="002C5876">
        <w:t>est le terme constant, déterminé conformément au paragraphe 4.4.4 de la présente annexe, en Nm ;</w:t>
      </w:r>
    </w:p>
    <w:p w:rsidR="00E24DB7" w:rsidRPr="002C5876" w:rsidRDefault="00E24DB7" w:rsidP="00E24DB7">
      <w:pPr>
        <w:pStyle w:val="SingleTxtG"/>
        <w:ind w:left="3402" w:hanging="1134"/>
      </w:pPr>
      <w:r w:rsidRPr="002C5876">
        <w:t>c</w:t>
      </w:r>
      <w:r w:rsidRPr="002C5876">
        <w:rPr>
          <w:vertAlign w:val="subscript"/>
        </w:rPr>
        <w:t>1</w:t>
      </w:r>
      <w:r w:rsidRPr="002C5876">
        <w:rPr>
          <w:vertAlign w:val="subscript"/>
        </w:rPr>
        <w:tab/>
      </w:r>
      <w:r w:rsidRPr="002C5876">
        <w:t>est le coefficient du terme de premier ordre, déterminé conformément au paragraphe 4.4.4 de la présente annexe, en Nm (h/km) ;</w:t>
      </w:r>
    </w:p>
    <w:p w:rsidR="00E24DB7" w:rsidRPr="002C5876" w:rsidRDefault="00E24DB7" w:rsidP="00E24DB7">
      <w:pPr>
        <w:pStyle w:val="SingleTxtG"/>
        <w:ind w:left="3402" w:hanging="1134"/>
      </w:pPr>
      <w:r w:rsidRPr="002C5876">
        <w:t>c</w:t>
      </w:r>
      <w:r w:rsidRPr="002C5876">
        <w:rPr>
          <w:vertAlign w:val="subscript"/>
        </w:rPr>
        <w:t>2</w:t>
      </w:r>
      <w:r w:rsidRPr="002C5876">
        <w:tab/>
        <w:t>est le coefficient du terme de second ordre, déterminé conformément au paragraphe 4.4.4 de la présente annexe, en Nm (h/km)</w:t>
      </w:r>
      <w:r w:rsidRPr="002C5876">
        <w:rPr>
          <w:vertAlign w:val="superscript"/>
        </w:rPr>
        <w:t>2</w:t>
      </w:r>
      <w:r w:rsidRPr="002C5876">
        <w:t> ;</w:t>
      </w:r>
    </w:p>
    <w:p w:rsidR="00E24DB7" w:rsidRPr="002C5876" w:rsidRDefault="00E24DB7" w:rsidP="00E24DB7">
      <w:pPr>
        <w:pStyle w:val="SingleTxtG"/>
        <w:ind w:left="3402" w:hanging="1134"/>
      </w:pPr>
      <w:r w:rsidRPr="002C5876">
        <w:t>K</w:t>
      </w:r>
      <w:r w:rsidRPr="002C5876">
        <w:rPr>
          <w:vertAlign w:val="subscript"/>
        </w:rPr>
        <w:t>0</w:t>
      </w:r>
      <w:r w:rsidRPr="002C5876">
        <w:tab/>
        <w:t>est le facteur de correction pour la résistance au roulement comme défini au paragraphe 4.5.2 de la présente annexe ;</w:t>
      </w:r>
    </w:p>
    <w:p w:rsidR="00E24DB7" w:rsidRPr="002C5876" w:rsidRDefault="00E24DB7" w:rsidP="00E24DB7">
      <w:pPr>
        <w:pStyle w:val="SingleTxtG"/>
        <w:ind w:left="3402" w:hanging="1134"/>
        <w:rPr>
          <w:iCs/>
        </w:rPr>
      </w:pPr>
      <w:r w:rsidRPr="002C5876">
        <w:t>K</w:t>
      </w:r>
      <w:r w:rsidRPr="002C5876">
        <w:rPr>
          <w:vertAlign w:val="subscript"/>
        </w:rPr>
        <w:t>1</w:t>
      </w:r>
      <w:r w:rsidRPr="002C5876">
        <w:rPr>
          <w:iCs/>
        </w:rPr>
        <w:tab/>
        <w:t xml:space="preserve">est la correction pour la masse d’essai comme défini au paragraphe 4.5.4 </w:t>
      </w:r>
      <w:r w:rsidRPr="002C5876">
        <w:t>de la présente annexe</w:t>
      </w:r>
      <w:r w:rsidRPr="002C5876">
        <w:rPr>
          <w:iCs/>
        </w:rPr>
        <w:t> ;</w:t>
      </w:r>
    </w:p>
    <w:p w:rsidR="00E24DB7" w:rsidRPr="002C5876" w:rsidRDefault="00E24DB7" w:rsidP="00E24DB7">
      <w:pPr>
        <w:pStyle w:val="SingleTxtG"/>
        <w:ind w:left="3402" w:hanging="1134"/>
      </w:pPr>
      <w:r w:rsidRPr="002C5876">
        <w:t>K</w:t>
      </w:r>
      <w:r w:rsidRPr="002C5876">
        <w:rPr>
          <w:vertAlign w:val="subscript"/>
        </w:rPr>
        <w:t>2</w:t>
      </w:r>
      <w:r w:rsidRPr="002C5876">
        <w:tab/>
        <w:t>est le facteur de correction pour la résistance aérodynamique comme défini au paragraphe 4.5.1 de la présente annexe ;</w:t>
      </w:r>
    </w:p>
    <w:p w:rsidR="00E24DB7" w:rsidRPr="002C5876" w:rsidRDefault="00E24DB7" w:rsidP="00E24DB7">
      <w:pPr>
        <w:pStyle w:val="SingleTxtG"/>
        <w:ind w:left="3402" w:hanging="1134"/>
      </w:pPr>
      <w:r w:rsidRPr="002C5876">
        <w:rPr>
          <w:iCs/>
        </w:rPr>
        <w:t>v</w:t>
      </w:r>
      <w:r w:rsidRPr="002C5876">
        <w:rPr>
          <w:iCs/>
        </w:rPr>
        <w:tab/>
      </w:r>
      <w:r w:rsidRPr="002C5876">
        <w:t>est la vitesse du véhicule, en km/h ;</w:t>
      </w:r>
    </w:p>
    <w:p w:rsidR="00E24DB7" w:rsidRPr="002C5876" w:rsidRDefault="00E24DB7" w:rsidP="00E24DB7">
      <w:pPr>
        <w:pStyle w:val="SingleTxtG"/>
        <w:ind w:left="3402" w:hanging="1134"/>
      </w:pPr>
      <w:r w:rsidRPr="002C5876">
        <w:t>T</w:t>
      </w:r>
      <w:r w:rsidRPr="002C5876">
        <w:tab/>
      </w:r>
      <w:r w:rsidRPr="002C5876">
        <w:rPr>
          <w:iCs/>
        </w:rPr>
        <w:t xml:space="preserve">est la </w:t>
      </w:r>
      <w:r w:rsidRPr="002C5876">
        <w:t>température atmosphérique ambiante moyenne arithmétique, en °C ;</w:t>
      </w:r>
    </w:p>
    <w:p w:rsidR="00E24DB7" w:rsidRPr="002C5876" w:rsidRDefault="00E24DB7" w:rsidP="00E24DB7">
      <w:pPr>
        <w:pStyle w:val="SingleTxtG"/>
        <w:ind w:left="3402" w:hanging="1134"/>
      </w:pPr>
      <w:r w:rsidRPr="002C5876">
        <w:t>w</w:t>
      </w:r>
      <w:r w:rsidRPr="002C5876">
        <w:rPr>
          <w:vertAlign w:val="subscript"/>
        </w:rPr>
        <w:t>2</w:t>
      </w:r>
      <w:r w:rsidRPr="002C5876">
        <w:tab/>
        <w:t>est la correction pour la résistance due au vent comme défini au paragraphe 4.5.3 de la présente annexe.</w:t>
      </w:r>
    </w:p>
    <w:p w:rsidR="00E24DB7" w:rsidRPr="002C5876" w:rsidRDefault="00E24DB7" w:rsidP="00E24DB7">
      <w:pPr>
        <w:pStyle w:val="SingleTxtG"/>
        <w:keepNext/>
        <w:ind w:left="2268" w:hanging="1134"/>
        <w:jc w:val="left"/>
      </w:pPr>
      <w:r w:rsidRPr="002C5876">
        <w:t>4.5.5.2.2</w:t>
      </w:r>
      <w:r w:rsidRPr="002C5876">
        <w:tab/>
      </w:r>
      <w:r w:rsidRPr="002C5876">
        <w:tab/>
        <w:t>Correction pour l’équipement de mesure du couple installé sur le véhicule</w:t>
      </w:r>
    </w:p>
    <w:p w:rsidR="00E24DB7" w:rsidRPr="002C5876" w:rsidRDefault="00E24DB7" w:rsidP="00E24DB7">
      <w:pPr>
        <w:pStyle w:val="SingleTxtG"/>
        <w:ind w:left="2268"/>
      </w:pPr>
      <w:r w:rsidRPr="002C5876">
        <w:t>Si la résistance à l’avancement est déterminée par la méthode de mesure du couple résistant, la résistance à l’avancement doit être corrigée des effets de l’équipement de mesure du couple installé à l’extérieur du véhicule sur ses caractéristiques aérodynamiques.</w:t>
      </w:r>
    </w:p>
    <w:p w:rsidR="00E24DB7" w:rsidRPr="002C5876" w:rsidRDefault="00E24DB7" w:rsidP="00E24DB7">
      <w:pPr>
        <w:pStyle w:val="SingleTxtG"/>
        <w:ind w:left="2268"/>
      </w:pPr>
      <w:r w:rsidRPr="002C5876">
        <w:t>Le coefficient de résistance à l’avancement c</w:t>
      </w:r>
      <w:r w:rsidRPr="002C5876">
        <w:rPr>
          <w:vertAlign w:val="subscript"/>
        </w:rPr>
        <w:t>2</w:t>
      </w:r>
      <w:r w:rsidRPr="002C5876">
        <w:t xml:space="preserve"> doit être corrigé au moyen de l’équation suivante :</w:t>
      </w:r>
    </w:p>
    <w:p w:rsidR="00E24DB7" w:rsidRPr="00D53F39" w:rsidRDefault="00E24DB7" w:rsidP="00E24DB7">
      <w:pPr>
        <w:pStyle w:val="SingleTxtG"/>
        <w:spacing w:after="240"/>
        <w:ind w:left="2268"/>
        <w:jc w:val="center"/>
        <w:rPr>
          <w:lang w:val="en-US"/>
        </w:rPr>
      </w:pPr>
      <w:r w:rsidRPr="00D53F39">
        <w:rPr>
          <w:lang w:val="en-US"/>
        </w:rPr>
        <w:t>c</w:t>
      </w:r>
      <w:r w:rsidRPr="00D53F39">
        <w:rPr>
          <w:vertAlign w:val="subscript"/>
          <w:lang w:val="en-US"/>
        </w:rPr>
        <w:t>2corr</w:t>
      </w:r>
      <w:r w:rsidRPr="00D53F39">
        <w:rPr>
          <w:lang w:val="en-US"/>
        </w:rPr>
        <w:t xml:space="preserve"> = K</w:t>
      </w:r>
      <w:r w:rsidRPr="00D53F39">
        <w:rPr>
          <w:vertAlign w:val="subscript"/>
          <w:lang w:val="en-US"/>
        </w:rPr>
        <w:t>2</w:t>
      </w:r>
      <w:r w:rsidRPr="00D53F39">
        <w:rPr>
          <w:lang w:val="en-US"/>
        </w:rPr>
        <w:t xml:space="preserve"> × c</w:t>
      </w:r>
      <w:r w:rsidRPr="00D53F39">
        <w:rPr>
          <w:vertAlign w:val="subscript"/>
          <w:lang w:val="en-US"/>
        </w:rPr>
        <w:t>2</w:t>
      </w:r>
      <w:r w:rsidRPr="00D53F39">
        <w:rPr>
          <w:lang w:val="en-US"/>
        </w:rPr>
        <w:t xml:space="preserve"> × (1 + (∆(C</w:t>
      </w:r>
      <w:r w:rsidRPr="00D53F39">
        <w:rPr>
          <w:vertAlign w:val="subscript"/>
          <w:lang w:val="en-US"/>
        </w:rPr>
        <w:t>D</w:t>
      </w:r>
      <w:r w:rsidRPr="00D53F39">
        <w:rPr>
          <w:lang w:val="en-US"/>
        </w:rPr>
        <w:t xml:space="preserve"> × A</w:t>
      </w:r>
      <w:r w:rsidRPr="00D53F39">
        <w:rPr>
          <w:vertAlign w:val="subscript"/>
          <w:lang w:val="en-US"/>
        </w:rPr>
        <w:t>f</w:t>
      </w:r>
      <w:r w:rsidRPr="00D53F39">
        <w:rPr>
          <w:lang w:val="en-US"/>
        </w:rPr>
        <w:t>))/(C</w:t>
      </w:r>
      <w:r w:rsidRPr="00D53F39">
        <w:rPr>
          <w:vertAlign w:val="subscript"/>
          <w:lang w:val="en-US"/>
        </w:rPr>
        <w:t>D’</w:t>
      </w:r>
      <w:r w:rsidRPr="00D53F39">
        <w:rPr>
          <w:lang w:val="en-US"/>
        </w:rPr>
        <w:t xml:space="preserve"> × A</w:t>
      </w:r>
      <w:r w:rsidRPr="00D53F39">
        <w:rPr>
          <w:vertAlign w:val="subscript"/>
          <w:lang w:val="en-US"/>
        </w:rPr>
        <w:t>f’</w:t>
      </w:r>
      <w:r w:rsidRPr="00D53F39">
        <w:rPr>
          <w:lang w:val="en-US"/>
        </w:rPr>
        <w:t>))</w:t>
      </w:r>
    </w:p>
    <w:p w:rsidR="00E24DB7" w:rsidRPr="002C5876" w:rsidRDefault="00E24DB7" w:rsidP="00E24DB7">
      <w:pPr>
        <w:pStyle w:val="SingleTxtG"/>
        <w:keepNext/>
        <w:ind w:left="2268"/>
      </w:pPr>
      <w:r w:rsidRPr="002C5876">
        <w:t>où :</w:t>
      </w:r>
    </w:p>
    <w:p w:rsidR="00E24DB7" w:rsidRPr="002C5876" w:rsidRDefault="00E24DB7" w:rsidP="00E24DB7">
      <w:pPr>
        <w:pStyle w:val="SingleTxtG"/>
        <w:spacing w:after="240"/>
        <w:ind w:left="2268"/>
        <w:jc w:val="center"/>
      </w:pPr>
      <w:r w:rsidRPr="002C5876">
        <w:t>∆(C</w:t>
      </w:r>
      <w:r w:rsidRPr="002C5876">
        <w:rPr>
          <w:vertAlign w:val="subscript"/>
        </w:rPr>
        <w:t>D</w:t>
      </w:r>
      <w:r w:rsidRPr="002C5876">
        <w:t xml:space="preserve"> × A</w:t>
      </w:r>
      <w:r w:rsidRPr="002C5876">
        <w:rPr>
          <w:vertAlign w:val="subscript"/>
        </w:rPr>
        <w:t>f</w:t>
      </w:r>
      <w:r w:rsidRPr="002C5876">
        <w:t>) = (C</w:t>
      </w:r>
      <w:r w:rsidRPr="002C5876">
        <w:rPr>
          <w:vertAlign w:val="subscript"/>
        </w:rPr>
        <w:t>D</w:t>
      </w:r>
      <w:r w:rsidRPr="002C5876">
        <w:t xml:space="preserve"> × A</w:t>
      </w:r>
      <w:r w:rsidRPr="002C5876">
        <w:rPr>
          <w:vertAlign w:val="subscript"/>
        </w:rPr>
        <w:t>f</w:t>
      </w:r>
      <w:r w:rsidRPr="002C5876">
        <w:t>) - (C</w:t>
      </w:r>
      <w:r w:rsidRPr="002C5876">
        <w:rPr>
          <w:vertAlign w:val="subscript"/>
        </w:rPr>
        <w:t>D’</w:t>
      </w:r>
      <w:r w:rsidRPr="002C5876">
        <w:t xml:space="preserve"> × A</w:t>
      </w:r>
      <w:r w:rsidRPr="002C5876">
        <w:rPr>
          <w:vertAlign w:val="subscript"/>
        </w:rPr>
        <w:t>f’</w:t>
      </w:r>
      <w:r w:rsidRPr="002C5876">
        <w:t>)</w:t>
      </w:r>
    </w:p>
    <w:p w:rsidR="00E24DB7" w:rsidRPr="002C5876" w:rsidRDefault="00E24DB7" w:rsidP="00E24DB7">
      <w:pPr>
        <w:pStyle w:val="SingleTxtG"/>
        <w:ind w:left="3402" w:hanging="1134"/>
      </w:pPr>
      <w:r w:rsidRPr="002C5876">
        <w:lastRenderedPageBreak/>
        <w:t>C</w:t>
      </w:r>
      <w:r w:rsidRPr="002C5876">
        <w:rPr>
          <w:vertAlign w:val="subscript"/>
        </w:rPr>
        <w:t>D’</w:t>
      </w:r>
      <w:r w:rsidRPr="002C5876">
        <w:t xml:space="preserve"> × A</w:t>
      </w:r>
      <w:r w:rsidRPr="002C5876">
        <w:rPr>
          <w:vertAlign w:val="subscript"/>
        </w:rPr>
        <w:t>f’</w:t>
      </w:r>
      <w:r w:rsidRPr="002C5876">
        <w:tab/>
        <w:t>est le produit du coefficient de traînée aérodynamique par le maître-couple du véhicule avec l’équipement de mesure du couple installé, mesuré dans une soufflerie répondant aux critères du paragraphe 3.2 de la présente annexe, en m² ;</w:t>
      </w:r>
    </w:p>
    <w:p w:rsidR="00E24DB7" w:rsidRPr="002C5876" w:rsidRDefault="00E24DB7" w:rsidP="00E24DB7">
      <w:pPr>
        <w:pStyle w:val="SingleTxtG"/>
        <w:ind w:left="3402" w:hanging="1134"/>
      </w:pPr>
      <w:r w:rsidRPr="002C5876">
        <w:t>C</w:t>
      </w:r>
      <w:r w:rsidRPr="002C5876">
        <w:rPr>
          <w:vertAlign w:val="subscript"/>
        </w:rPr>
        <w:t xml:space="preserve">D </w:t>
      </w:r>
      <w:r w:rsidRPr="002C5876">
        <w:t>× A</w:t>
      </w:r>
      <w:r w:rsidRPr="002C5876">
        <w:rPr>
          <w:vertAlign w:val="subscript"/>
        </w:rPr>
        <w:t>f</w:t>
      </w:r>
      <w:r w:rsidRPr="002C5876">
        <w:tab/>
        <w:t>est le produit du coefficient de traînée aérodynamique par le maître-couple du véhicule sans équipement de mesure du couple installé, mesuré dans une soufflerie répondant aux critères du paragraphe 3.2 de la présente annexe, en m².</w:t>
      </w:r>
    </w:p>
    <w:p w:rsidR="00E24DB7" w:rsidRPr="002C5876" w:rsidRDefault="00E24DB7" w:rsidP="00E24DB7">
      <w:pPr>
        <w:pStyle w:val="SingleTxtG"/>
        <w:keepNext/>
        <w:ind w:left="2268" w:hanging="1134"/>
        <w:jc w:val="left"/>
      </w:pPr>
      <w:r w:rsidRPr="002C5876">
        <w:t>4.5.5.2.3</w:t>
      </w:r>
      <w:r w:rsidRPr="002C5876">
        <w:tab/>
        <w:t>Coefficients de résistance à l’avancement visés</w:t>
      </w:r>
    </w:p>
    <w:p w:rsidR="00E24DB7" w:rsidRPr="002C5876" w:rsidRDefault="00E24DB7" w:rsidP="00E24DB7">
      <w:pPr>
        <w:pStyle w:val="SingleTxtG"/>
        <w:ind w:left="2268"/>
      </w:pPr>
      <w:r w:rsidRPr="002C5876">
        <w:t>Le résultat du calcul ((c</w:t>
      </w:r>
      <w:r w:rsidRPr="002C5876">
        <w:rPr>
          <w:vertAlign w:val="subscript"/>
        </w:rPr>
        <w:t>0</w:t>
      </w:r>
      <w:r w:rsidRPr="002C5876">
        <w:t xml:space="preserve"> – w</w:t>
      </w:r>
      <w:r w:rsidRPr="002C5876">
        <w:rPr>
          <w:vertAlign w:val="subscript"/>
        </w:rPr>
        <w:t>2</w:t>
      </w:r>
      <w:r w:rsidRPr="002C5876">
        <w:t xml:space="preserve"> – K</w:t>
      </w:r>
      <w:r w:rsidRPr="002C5876">
        <w:rPr>
          <w:vertAlign w:val="subscript"/>
        </w:rPr>
        <w:t>1</w:t>
      </w:r>
      <w:r w:rsidRPr="002C5876">
        <w:t>) × (1 + K</w:t>
      </w:r>
      <w:r w:rsidRPr="002C5876">
        <w:rPr>
          <w:vertAlign w:val="subscript"/>
        </w:rPr>
        <w:t>0</w:t>
      </w:r>
      <w:r w:rsidRPr="002C5876">
        <w:t xml:space="preserve"> </w:t>
      </w:r>
      <w:r w:rsidRPr="002C5876">
        <w:rPr>
          <w:szCs w:val="24"/>
        </w:rPr>
        <w:t>×</w:t>
      </w:r>
      <w:r w:rsidRPr="002C5876">
        <w:t xml:space="preserve"> (T-20))) doit être utilisé comme coefficient de </w:t>
      </w:r>
      <w:r w:rsidRPr="002C5876">
        <w:rPr>
          <w:bCs/>
        </w:rPr>
        <w:t xml:space="preserve">résistance à l’avancement visé </w:t>
      </w:r>
      <w:r w:rsidRPr="002C5876">
        <w:t>a</w:t>
      </w:r>
      <w:r w:rsidRPr="002C5876">
        <w:rPr>
          <w:vertAlign w:val="subscript"/>
        </w:rPr>
        <w:t>t</w:t>
      </w:r>
      <w:r w:rsidRPr="002C5876">
        <w:t xml:space="preserve"> dans le calcul du réglage de force </w:t>
      </w:r>
      <w:r w:rsidRPr="002C5876">
        <w:rPr>
          <w:bCs/>
        </w:rPr>
        <w:t xml:space="preserve">résistante </w:t>
      </w:r>
      <w:r w:rsidRPr="002C5876">
        <w:t>du banc à rouleaux comme spécifié au paragraphe 8.2 de la présente annexe.</w:t>
      </w:r>
    </w:p>
    <w:p w:rsidR="00E24DB7" w:rsidRPr="002C5876" w:rsidRDefault="00E24DB7" w:rsidP="00E24DB7">
      <w:pPr>
        <w:pStyle w:val="SingleTxtG"/>
        <w:ind w:left="2268"/>
      </w:pPr>
      <w:r w:rsidRPr="002C5876">
        <w:t>Le résultat du calcul (c</w:t>
      </w:r>
      <w:r w:rsidRPr="002C5876">
        <w:rPr>
          <w:vertAlign w:val="subscript"/>
        </w:rPr>
        <w:t>1</w:t>
      </w:r>
      <w:r w:rsidRPr="002C5876">
        <w:t xml:space="preserve"> × (1 + K</w:t>
      </w:r>
      <w:r w:rsidRPr="002C5876">
        <w:rPr>
          <w:vertAlign w:val="subscript"/>
        </w:rPr>
        <w:t>0</w:t>
      </w:r>
      <w:r w:rsidRPr="002C5876">
        <w:t xml:space="preserve"> × (T-20))) doit être utilisé comme coefficient de </w:t>
      </w:r>
      <w:r w:rsidRPr="002C5876">
        <w:rPr>
          <w:bCs/>
        </w:rPr>
        <w:t xml:space="preserve">résistance à l’avancement visé </w:t>
      </w:r>
      <w:r w:rsidRPr="002C5876">
        <w:t>b</w:t>
      </w:r>
      <w:r w:rsidRPr="002C5876">
        <w:rPr>
          <w:vertAlign w:val="subscript"/>
        </w:rPr>
        <w:t>t</w:t>
      </w:r>
      <w:r w:rsidRPr="002C5876">
        <w:t xml:space="preserve"> dans le calcul du réglage de force </w:t>
      </w:r>
      <w:r w:rsidRPr="002C5876">
        <w:rPr>
          <w:bCs/>
        </w:rPr>
        <w:t xml:space="preserve">résistante </w:t>
      </w:r>
      <w:r w:rsidRPr="002C5876">
        <w:t>du banc à rouleaux comme spécifié au paragraphe 8.2 de la présente annexe.</w:t>
      </w:r>
    </w:p>
    <w:p w:rsidR="00E24DB7" w:rsidRPr="002C5876" w:rsidRDefault="00E24DB7" w:rsidP="00E24DB7">
      <w:pPr>
        <w:pStyle w:val="SingleTxtG"/>
        <w:ind w:left="2268"/>
      </w:pPr>
      <w:r w:rsidRPr="002C5876">
        <w:t>Le résultat du calcul (c</w:t>
      </w:r>
      <w:r w:rsidRPr="002C5876">
        <w:rPr>
          <w:vertAlign w:val="subscript"/>
        </w:rPr>
        <w:t>2corr</w:t>
      </w:r>
      <w:r w:rsidRPr="002C5876">
        <w:t xml:space="preserve"> × r) doit être utilisé comme coefficient de </w:t>
      </w:r>
      <w:r w:rsidRPr="002C5876">
        <w:rPr>
          <w:bCs/>
        </w:rPr>
        <w:t xml:space="preserve">résistance à l’avancement visé </w:t>
      </w:r>
      <w:r w:rsidRPr="002C5876">
        <w:t>c</w:t>
      </w:r>
      <w:r w:rsidRPr="002C5876">
        <w:rPr>
          <w:vertAlign w:val="subscript"/>
        </w:rPr>
        <w:t>t</w:t>
      </w:r>
      <w:r w:rsidRPr="002C5876">
        <w:t xml:space="preserve"> dans le calcul du réglage de force </w:t>
      </w:r>
      <w:r w:rsidRPr="002C5876">
        <w:rPr>
          <w:bCs/>
        </w:rPr>
        <w:t xml:space="preserve">résistante </w:t>
      </w:r>
      <w:r w:rsidRPr="002C5876">
        <w:t>du banc à rouleaux comme spécifié au paragraphe 8.2 de la présente annexe.</w:t>
      </w:r>
    </w:p>
    <w:p w:rsidR="00E24DB7" w:rsidRPr="002C5876" w:rsidRDefault="00E24DB7" w:rsidP="00E24DB7">
      <w:pPr>
        <w:pStyle w:val="SingleTxtG"/>
        <w:keepNext/>
        <w:ind w:left="2268" w:hanging="1134"/>
      </w:pPr>
      <w:r w:rsidRPr="002C5876">
        <w:t>5.</w:t>
      </w:r>
      <w:r w:rsidRPr="002C5876">
        <w:tab/>
        <w:t>Méthode de calcul de la valeur de résistance à l’avancement sur route ou de la valeur de résistance à l’avancement sur la base des paramètres du véhicule</w:t>
      </w:r>
    </w:p>
    <w:p w:rsidR="00E24DB7" w:rsidRPr="002C5876" w:rsidRDefault="00E24DB7" w:rsidP="00E24DB7">
      <w:pPr>
        <w:pStyle w:val="SingleTxtG"/>
        <w:keepNext/>
        <w:ind w:left="2268" w:hanging="1134"/>
      </w:pPr>
      <w:r w:rsidRPr="002C5876">
        <w:t>5.1</w:t>
      </w:r>
      <w:r w:rsidRPr="002C5876">
        <w:tab/>
        <w:t>Calcul de la valeur de résistance à l’avancement sur route et de la valeur de résistance à l’avancement des véhicules sur la base d’un véhicule représentatif d’une famille de matrices de résistance à l’avancement sur route</w:t>
      </w:r>
    </w:p>
    <w:p w:rsidR="00E24DB7" w:rsidRPr="002C5876" w:rsidRDefault="00E24DB7" w:rsidP="00E24DB7">
      <w:pPr>
        <w:pStyle w:val="SingleTxtG"/>
        <w:ind w:left="2268"/>
      </w:pPr>
      <w:r w:rsidRPr="002C5876">
        <w:t>Si la résistance à l’avancement sur route du véhicule représentatif est déterminée conformément à la méthode de la décélération libre telle que définie au paragraphe 4.3 de la présente annexe, la résistance à l’avancement sur route d’un véhicule donné doit être calculée conformément au paragraphe 5.1.1 de la présente annexe.</w:t>
      </w:r>
    </w:p>
    <w:p w:rsidR="00E24DB7" w:rsidRPr="002C5876" w:rsidRDefault="00E24DB7" w:rsidP="00E24DB7">
      <w:pPr>
        <w:pStyle w:val="SingleTxtG"/>
        <w:ind w:left="2268"/>
      </w:pPr>
      <w:r w:rsidRPr="002C5876">
        <w:t>Si la résistance à l’avancement sur route du véhicule représentatif est déterminée conformément à la méthode des capteurs de couple telle que définie au paragraphe 4.4 de la présente annexe, la résistance à l’avancement sur route d’un véhicule donné doit être calculée conformément au paragraphe 5.1.2 de la présente annexe.</w:t>
      </w:r>
    </w:p>
    <w:p w:rsidR="00E24DB7" w:rsidRPr="002C5876" w:rsidRDefault="00E24DB7" w:rsidP="00E24DB7">
      <w:pPr>
        <w:pStyle w:val="SingleTxtG"/>
        <w:ind w:left="2268" w:hanging="1134"/>
      </w:pPr>
      <w:r w:rsidRPr="002C5876">
        <w:t>5.1.1</w:t>
      </w:r>
      <w:r w:rsidRPr="002C5876">
        <w:tab/>
        <w:t xml:space="preserve">Pour le calcul de la résistance à l’avancement sur route des véhicules d’une famille de matrices de résistance à l’avancement sur route, les paramètres d’un véhicule définis au paragraphe 4.2.1.4 de la présente annexe et les coefficients de </w:t>
      </w:r>
      <w:r w:rsidRPr="002C5876">
        <w:rPr>
          <w:bCs/>
        </w:rPr>
        <w:t xml:space="preserve">résistance à l’avancement </w:t>
      </w:r>
      <w:r w:rsidRPr="002C5876">
        <w:t>sur route du véhicule d’essai représentatif déterminés conformément au paragraphe 4.3 de la présente annexe doivent être utilisés.</w:t>
      </w:r>
    </w:p>
    <w:p w:rsidR="00E24DB7" w:rsidRPr="002C5876" w:rsidRDefault="00E24DB7" w:rsidP="00E24DB7">
      <w:pPr>
        <w:pStyle w:val="SingleTxtG"/>
        <w:keepNext/>
        <w:ind w:left="2268" w:hanging="1134"/>
      </w:pPr>
      <w:r w:rsidRPr="002C5876">
        <w:t>5.1.1.1</w:t>
      </w:r>
      <w:r w:rsidRPr="002C5876">
        <w:tab/>
        <w:t>La force de résistance à l’avancement sur route pour un véhicule donné doit être calculée conformément à l’équation ci-après :</w:t>
      </w:r>
    </w:p>
    <w:p w:rsidR="00E24DB7" w:rsidRPr="002C5876" w:rsidRDefault="00731CA6" w:rsidP="00E24DB7">
      <w:pPr>
        <w:ind w:left="2268" w:right="1134"/>
        <w:jc w:val="center"/>
      </w:pPr>
      <m:oMathPara>
        <m:oMath>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c</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0</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1</m:t>
              </m:r>
            </m:sub>
          </m:sSub>
          <m:r>
            <m:rPr>
              <m:sty m:val="p"/>
            </m:rPr>
            <w:rPr>
              <w:rFonts w:ascii="Cambria Math" w:hAnsi="Cambria Math" w:cstheme="majorBidi"/>
            </w:rPr>
            <m:t>×v)+</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2</m:t>
              </m:r>
            </m:sub>
          </m:sSub>
          <m:r>
            <m:rPr>
              <m:sty m:val="p"/>
            </m:rPr>
            <w:rPr>
              <w:rFonts w:ascii="Cambria Math" w:hAnsi="Cambria Math" w:cstheme="majorBidi"/>
            </w:rPr>
            <m:t>×</m:t>
          </m:r>
          <m:sSup>
            <m:sSupPr>
              <m:ctrlPr>
                <w:rPr>
                  <w:rFonts w:ascii="Cambria Math" w:hAnsi="Cambria Math" w:cstheme="majorBidi"/>
                </w:rPr>
              </m:ctrlPr>
            </m:sSupPr>
            <m:e>
              <m:r>
                <m:rPr>
                  <m:sty m:val="p"/>
                </m:rPr>
                <w:rPr>
                  <w:rFonts w:ascii="Cambria Math" w:hAnsi="Cambria Math" w:cstheme="majorBidi"/>
                </w:rPr>
                <m:t>v</m:t>
              </m:r>
            </m:e>
            <m:sup>
              <m:r>
                <m:rPr>
                  <m:sty m:val="p"/>
                </m:rPr>
                <w:rPr>
                  <w:rFonts w:ascii="Cambria Math" w:hAnsi="Cambria Math" w:cstheme="majorBidi"/>
                </w:rPr>
                <m:t>2</m:t>
              </m:r>
            </m:sup>
          </m:sSup>
          <m:r>
            <w:rPr>
              <w:rFonts w:ascii="Cambria Math" w:hAnsi="Cambria Math" w:cstheme="majorBidi"/>
            </w:rPr>
            <m:t>)</m:t>
          </m:r>
        </m:oMath>
      </m:oMathPara>
    </w:p>
    <w:p w:rsidR="00E24DB7" w:rsidRPr="002C5876" w:rsidRDefault="00E24DB7" w:rsidP="00E24DB7">
      <w:pPr>
        <w:pStyle w:val="SingleTxtG"/>
        <w:keepNext/>
        <w:ind w:left="2268"/>
        <w:rPr>
          <w:iCs/>
        </w:rPr>
      </w:pPr>
      <w:r w:rsidRPr="002C5876">
        <w:t>où :</w:t>
      </w:r>
    </w:p>
    <w:p w:rsidR="00E24DB7" w:rsidRPr="002C5876" w:rsidRDefault="00E24DB7" w:rsidP="00E24DB7">
      <w:pPr>
        <w:pStyle w:val="SingleTxtG"/>
        <w:ind w:left="3402" w:hanging="1134"/>
        <w:rPr>
          <w:iCs/>
        </w:rPr>
      </w:pPr>
      <w:r w:rsidRPr="002C5876">
        <w:rPr>
          <w:iCs/>
        </w:rPr>
        <w:t>F</w:t>
      </w:r>
      <w:r w:rsidRPr="002C5876">
        <w:rPr>
          <w:iCs/>
          <w:vertAlign w:val="subscript"/>
        </w:rPr>
        <w:t>c</w:t>
      </w:r>
      <w:r w:rsidRPr="002C5876">
        <w:rPr>
          <w:iCs/>
        </w:rPr>
        <w:tab/>
      </w:r>
      <w:r w:rsidRPr="002C5876">
        <w:t>est la force calculée</w:t>
      </w:r>
      <w:r w:rsidRPr="002C5876">
        <w:rPr>
          <w:iCs/>
        </w:rPr>
        <w:t xml:space="preserve"> de </w:t>
      </w:r>
      <w:r w:rsidRPr="002C5876">
        <w:t>résistance à l’avancement sur route</w:t>
      </w:r>
      <w:r w:rsidRPr="002C5876">
        <w:rPr>
          <w:iCs/>
        </w:rPr>
        <w:t xml:space="preserve"> </w:t>
      </w:r>
      <w:r w:rsidRPr="002C5876">
        <w:t xml:space="preserve">en fonction de la vitesse du véhicule, en </w:t>
      </w:r>
      <w:r w:rsidRPr="002C5876">
        <w:rPr>
          <w:iCs/>
        </w:rPr>
        <w:t>N ;</w:t>
      </w:r>
    </w:p>
    <w:p w:rsidR="00E24DB7" w:rsidRPr="002C5876" w:rsidRDefault="00E24DB7" w:rsidP="00E24DB7">
      <w:pPr>
        <w:pStyle w:val="SingleTxtG"/>
        <w:ind w:left="3402" w:hanging="1134"/>
        <w:rPr>
          <w:iCs/>
        </w:rPr>
      </w:pPr>
      <w:r w:rsidRPr="002C5876">
        <w:rPr>
          <w:iCs/>
        </w:rPr>
        <w:t>f</w:t>
      </w:r>
      <w:r w:rsidRPr="002C5876">
        <w:rPr>
          <w:iCs/>
          <w:vertAlign w:val="subscript"/>
        </w:rPr>
        <w:t>0</w:t>
      </w:r>
      <w:r w:rsidRPr="002C5876">
        <w:rPr>
          <w:iCs/>
        </w:rPr>
        <w:tab/>
        <w:t xml:space="preserve">est le coefficient constant de </w:t>
      </w:r>
      <w:r w:rsidRPr="002C5876">
        <w:t xml:space="preserve">résistance à l’avancement sur route, en N, </w:t>
      </w:r>
      <w:r w:rsidRPr="002C5876">
        <w:rPr>
          <w:iCs/>
        </w:rPr>
        <w:t xml:space="preserve">défini par l’équation : </w:t>
      </w:r>
    </w:p>
    <w:p w:rsidR="00E24DB7" w:rsidRPr="00D53F39" w:rsidRDefault="00E24DB7" w:rsidP="00E24DB7">
      <w:pPr>
        <w:pStyle w:val="SingleTxtG"/>
        <w:ind w:left="2835"/>
        <w:jc w:val="center"/>
        <w:rPr>
          <w:lang w:val="en-US"/>
        </w:rPr>
      </w:pPr>
      <w:r w:rsidRPr="00D53F39">
        <w:rPr>
          <w:spacing w:val="-1"/>
          <w:lang w:val="en-US"/>
        </w:rPr>
        <w:t>f</w:t>
      </w:r>
      <w:r w:rsidRPr="00D53F39">
        <w:rPr>
          <w:spacing w:val="-1"/>
          <w:vertAlign w:val="subscript"/>
          <w:lang w:val="en-US"/>
        </w:rPr>
        <w:t>0</w:t>
      </w:r>
      <w:r w:rsidRPr="00D53F39">
        <w:rPr>
          <w:spacing w:val="-1"/>
          <w:lang w:val="en-US"/>
        </w:rPr>
        <w:t xml:space="preserve"> = Max ((0,05 × f</w:t>
      </w:r>
      <w:r w:rsidRPr="00D53F39">
        <w:rPr>
          <w:spacing w:val="-1"/>
          <w:vertAlign w:val="subscript"/>
          <w:lang w:val="en-US"/>
        </w:rPr>
        <w:t>0r</w:t>
      </w:r>
      <w:r w:rsidRPr="00D53F39">
        <w:rPr>
          <w:spacing w:val="-1"/>
          <w:sz w:val="16"/>
          <w:szCs w:val="16"/>
          <w:lang w:val="en-US"/>
        </w:rPr>
        <w:t xml:space="preserve"> </w:t>
      </w:r>
      <w:r w:rsidRPr="00D53F39">
        <w:rPr>
          <w:spacing w:val="-1"/>
          <w:lang w:val="en-US"/>
        </w:rPr>
        <w:t>+</w:t>
      </w:r>
      <w:r w:rsidRPr="00D53F39">
        <w:rPr>
          <w:spacing w:val="-1"/>
          <w:sz w:val="16"/>
          <w:szCs w:val="16"/>
          <w:lang w:val="en-US"/>
        </w:rPr>
        <w:t xml:space="preserve"> </w:t>
      </w:r>
      <w:r w:rsidRPr="00D53F39">
        <w:rPr>
          <w:spacing w:val="-1"/>
          <w:lang w:val="en-US"/>
        </w:rPr>
        <w:t>0,95</w:t>
      </w:r>
      <w:r w:rsidRPr="00D53F39">
        <w:rPr>
          <w:spacing w:val="-1"/>
          <w:sz w:val="16"/>
          <w:szCs w:val="16"/>
          <w:lang w:val="en-US"/>
        </w:rPr>
        <w:t xml:space="preserve"> </w:t>
      </w:r>
      <w:r w:rsidRPr="00D53F39">
        <w:rPr>
          <w:spacing w:val="-1"/>
          <w:lang w:val="en-US"/>
        </w:rPr>
        <w:t>×</w:t>
      </w:r>
      <w:r w:rsidRPr="00D53F39">
        <w:rPr>
          <w:spacing w:val="-1"/>
          <w:sz w:val="16"/>
          <w:szCs w:val="16"/>
          <w:lang w:val="en-US"/>
        </w:rPr>
        <w:t xml:space="preserve"> </w:t>
      </w:r>
      <w:r w:rsidRPr="00D53F39">
        <w:rPr>
          <w:spacing w:val="-1"/>
          <w:lang w:val="en-US"/>
        </w:rPr>
        <w:t>(f</w:t>
      </w:r>
      <w:r w:rsidRPr="00D53F39">
        <w:rPr>
          <w:spacing w:val="-1"/>
          <w:vertAlign w:val="subscript"/>
          <w:lang w:val="en-US"/>
        </w:rPr>
        <w:t>0r</w:t>
      </w:r>
      <w:r w:rsidRPr="00D53F39">
        <w:rPr>
          <w:spacing w:val="-1"/>
          <w:sz w:val="16"/>
          <w:szCs w:val="16"/>
          <w:lang w:val="en-US"/>
        </w:rPr>
        <w:t xml:space="preserve"> </w:t>
      </w:r>
      <w:r w:rsidRPr="00D53F39">
        <w:rPr>
          <w:spacing w:val="-1"/>
          <w:lang w:val="en-US"/>
        </w:rPr>
        <w:t>×</w:t>
      </w:r>
      <w:r w:rsidRPr="00D53F39">
        <w:rPr>
          <w:spacing w:val="-1"/>
          <w:sz w:val="16"/>
          <w:szCs w:val="16"/>
          <w:lang w:val="en-US"/>
        </w:rPr>
        <w:t xml:space="preserve"> </w:t>
      </w:r>
      <w:r w:rsidRPr="00D53F39">
        <w:rPr>
          <w:spacing w:val="-1"/>
          <w:lang w:val="en-US"/>
        </w:rPr>
        <w:t>TM/TM</w:t>
      </w:r>
      <w:r w:rsidRPr="00D53F39">
        <w:rPr>
          <w:spacing w:val="-1"/>
          <w:vertAlign w:val="subscript"/>
          <w:lang w:val="en-US"/>
        </w:rPr>
        <w:t>r</w:t>
      </w:r>
      <w:r w:rsidRPr="00D53F39">
        <w:rPr>
          <w:spacing w:val="-1"/>
          <w:sz w:val="16"/>
          <w:szCs w:val="16"/>
          <w:lang w:val="en-US"/>
        </w:rPr>
        <w:t xml:space="preserve"> </w:t>
      </w:r>
      <w:r w:rsidRPr="00D53F39">
        <w:rPr>
          <w:spacing w:val="-1"/>
          <w:lang w:val="en-US"/>
        </w:rPr>
        <w:t>+</w:t>
      </w:r>
      <w:r w:rsidRPr="00D53F39">
        <w:rPr>
          <w:spacing w:val="-1"/>
          <w:sz w:val="16"/>
          <w:szCs w:val="16"/>
          <w:lang w:val="en-US"/>
        </w:rPr>
        <w:t xml:space="preserve"> </w:t>
      </w:r>
      <w:r w:rsidRPr="002C5876">
        <w:rPr>
          <w:noProof/>
          <w:position w:val="-26"/>
          <w:lang w:val="en-GB" w:eastAsia="zh-CN"/>
        </w:rPr>
        <w:drawing>
          <wp:inline distT="0" distB="0" distL="0" distR="0" wp14:anchorId="4D50D979" wp14:editId="31B3DCA3">
            <wp:extent cx="438150" cy="323850"/>
            <wp:effectExtent l="0" t="0" r="0" b="0"/>
            <wp:docPr id="589"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8150" cy="323850"/>
                    </a:xfrm>
                    <a:prstGeom prst="rect">
                      <a:avLst/>
                    </a:prstGeom>
                    <a:noFill/>
                    <a:ln>
                      <a:noFill/>
                    </a:ln>
                  </pic:spPr>
                </pic:pic>
              </a:graphicData>
            </a:graphic>
          </wp:inline>
        </w:drawing>
      </w:r>
      <w:r w:rsidRPr="00D53F39">
        <w:rPr>
          <w:spacing w:val="-1"/>
          <w:lang w:val="en-US"/>
        </w:rPr>
        <w:t xml:space="preserve"> × 9,81 </w:t>
      </w:r>
      <w:r w:rsidRPr="00D53F39">
        <w:rPr>
          <w:szCs w:val="24"/>
          <w:lang w:val="en-US"/>
        </w:rPr>
        <w:t>×</w:t>
      </w:r>
      <w:r w:rsidRPr="00D53F39">
        <w:rPr>
          <w:spacing w:val="-1"/>
          <w:lang w:val="en-US"/>
        </w:rPr>
        <w:t xml:space="preserve"> TM)) ;</w:t>
      </w:r>
    </w:p>
    <w:p w:rsidR="00E24DB7" w:rsidRPr="00D53F39" w:rsidRDefault="00E24DB7" w:rsidP="00E24DB7">
      <w:pPr>
        <w:pStyle w:val="SingleTxtG"/>
        <w:ind w:left="2835"/>
        <w:jc w:val="center"/>
        <w:rPr>
          <w:lang w:val="en-US"/>
        </w:rPr>
      </w:pPr>
      <w:r w:rsidRPr="00D53F39">
        <w:rPr>
          <w:lang w:val="en-US"/>
        </w:rPr>
        <w:lastRenderedPageBreak/>
        <w:t>(0,2 × f</w:t>
      </w:r>
      <w:r w:rsidRPr="00D53F39">
        <w:rPr>
          <w:vertAlign w:val="subscript"/>
          <w:lang w:val="en-US"/>
        </w:rPr>
        <w:t>0r</w:t>
      </w:r>
      <w:r w:rsidRPr="00D53F39">
        <w:rPr>
          <w:lang w:val="en-US"/>
        </w:rPr>
        <w:t xml:space="preserve"> + 0,8 × (f</w:t>
      </w:r>
      <w:r w:rsidRPr="00D53F39">
        <w:rPr>
          <w:vertAlign w:val="subscript"/>
          <w:lang w:val="en-US"/>
        </w:rPr>
        <w:t>0r</w:t>
      </w:r>
      <w:r w:rsidRPr="00D53F39">
        <w:rPr>
          <w:lang w:val="en-US"/>
        </w:rPr>
        <w:t xml:space="preserve"> × TM/TM</w:t>
      </w:r>
      <w:r w:rsidRPr="00D53F39">
        <w:rPr>
          <w:vertAlign w:val="subscript"/>
          <w:lang w:val="en-US"/>
        </w:rPr>
        <w:t>r</w:t>
      </w:r>
      <w:r w:rsidRPr="00D53F39">
        <w:rPr>
          <w:lang w:val="en-US"/>
        </w:rPr>
        <w:t xml:space="preserve"> + </w:t>
      </w:r>
      <w:r w:rsidRPr="002C5876">
        <w:rPr>
          <w:noProof/>
          <w:position w:val="-26"/>
          <w:lang w:val="en-GB" w:eastAsia="zh-CN"/>
        </w:rPr>
        <w:drawing>
          <wp:inline distT="0" distB="0" distL="0" distR="0" wp14:anchorId="5C241F59" wp14:editId="70D373C5">
            <wp:extent cx="438150" cy="323850"/>
            <wp:effectExtent l="0" t="0" r="0" b="0"/>
            <wp:docPr id="588"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8150" cy="323850"/>
                    </a:xfrm>
                    <a:prstGeom prst="rect">
                      <a:avLst/>
                    </a:prstGeom>
                    <a:noFill/>
                    <a:ln>
                      <a:noFill/>
                    </a:ln>
                  </pic:spPr>
                </pic:pic>
              </a:graphicData>
            </a:graphic>
          </wp:inline>
        </w:drawing>
      </w:r>
      <w:r w:rsidRPr="00D53F39">
        <w:rPr>
          <w:lang w:val="en-US"/>
        </w:rPr>
        <w:t xml:space="preserve"> × 9,81 </w:t>
      </w:r>
      <w:r w:rsidRPr="00D53F39">
        <w:rPr>
          <w:szCs w:val="24"/>
          <w:lang w:val="en-US"/>
        </w:rPr>
        <w:t>×</w:t>
      </w:r>
      <w:r w:rsidRPr="00D53F39">
        <w:rPr>
          <w:lang w:val="en-US"/>
        </w:rPr>
        <w:t xml:space="preserve"> TM))</w:t>
      </w:r>
    </w:p>
    <w:p w:rsidR="00E24DB7" w:rsidRPr="002C5876" w:rsidRDefault="00E24DB7" w:rsidP="00E24DB7">
      <w:pPr>
        <w:pStyle w:val="SingleTxtG"/>
        <w:ind w:left="3402" w:hanging="1134"/>
      </w:pPr>
      <w:r w:rsidRPr="002C5876">
        <w:t>f</w:t>
      </w:r>
      <w:r w:rsidRPr="002C5876">
        <w:rPr>
          <w:vertAlign w:val="subscript"/>
        </w:rPr>
        <w:t>0r</w:t>
      </w:r>
      <w:r w:rsidRPr="002C5876">
        <w:tab/>
      </w:r>
      <w:r w:rsidRPr="002C5876">
        <w:rPr>
          <w:iCs/>
        </w:rPr>
        <w:t xml:space="preserve">est le coefficient constant de </w:t>
      </w:r>
      <w:r w:rsidRPr="002C5876">
        <w:t>résistance à l’avancement sur route du véhicule représentatif de la famille de matrices de résistance à l’avancement sur route, en N ;</w:t>
      </w:r>
    </w:p>
    <w:p w:rsidR="00E24DB7" w:rsidRPr="002C5876" w:rsidRDefault="00E24DB7" w:rsidP="00E24DB7">
      <w:pPr>
        <w:pStyle w:val="SingleTxtG"/>
        <w:ind w:left="3402" w:hanging="1134"/>
        <w:rPr>
          <w:iCs/>
        </w:rPr>
      </w:pPr>
      <w:r w:rsidRPr="002C5876">
        <w:t>f</w:t>
      </w:r>
      <w:r w:rsidRPr="002C5876">
        <w:rPr>
          <w:vertAlign w:val="subscript"/>
        </w:rPr>
        <w:t>1</w:t>
      </w:r>
      <w:r w:rsidRPr="002C5876">
        <w:rPr>
          <w:iCs/>
        </w:rPr>
        <w:tab/>
        <w:t xml:space="preserve">est le coefficient de </w:t>
      </w:r>
      <w:r w:rsidRPr="002C5876">
        <w:t>résistance à l’avancement sur route du premier ordre, en N/(km/h),</w:t>
      </w:r>
      <w:r w:rsidRPr="002C5876">
        <w:rPr>
          <w:iCs/>
        </w:rPr>
        <w:t xml:space="preserve"> et est pris comme égal à zéro ;</w:t>
      </w:r>
    </w:p>
    <w:p w:rsidR="00E24DB7" w:rsidRPr="002C5876" w:rsidRDefault="00E24DB7" w:rsidP="00E24DB7">
      <w:pPr>
        <w:pStyle w:val="SingleTxtG"/>
        <w:keepNext/>
        <w:ind w:left="3402" w:hanging="1134"/>
      </w:pPr>
      <w:r w:rsidRPr="002C5876">
        <w:t>f</w:t>
      </w:r>
      <w:r w:rsidRPr="002C5876">
        <w:rPr>
          <w:vertAlign w:val="subscript"/>
        </w:rPr>
        <w:t>2</w:t>
      </w:r>
      <w:r w:rsidRPr="002C5876">
        <w:rPr>
          <w:iCs/>
        </w:rPr>
        <w:tab/>
        <w:t xml:space="preserve">est le coefficient de </w:t>
      </w:r>
      <w:r w:rsidRPr="002C5876">
        <w:t>résistance à l’avancement sur route du deuxième ordre</w:t>
      </w:r>
      <w:r w:rsidRPr="002C5876">
        <w:rPr>
          <w:iCs/>
        </w:rPr>
        <w:t xml:space="preserve">, en N/(km/h)², défini par l’équation : </w:t>
      </w:r>
    </w:p>
    <w:p w:rsidR="00E24DB7" w:rsidRPr="002C5876" w:rsidRDefault="00E24DB7" w:rsidP="00E24DB7">
      <w:pPr>
        <w:pStyle w:val="SingleTxtG"/>
        <w:ind w:left="3402" w:hanging="1134"/>
        <w:jc w:val="center"/>
        <w:rPr>
          <w:spacing w:val="-4"/>
        </w:rPr>
      </w:pPr>
      <w:r w:rsidRPr="002C5876">
        <w:rPr>
          <w:spacing w:val="-4"/>
        </w:rPr>
        <w:t>f</w:t>
      </w:r>
      <w:r w:rsidRPr="002C5876">
        <w:rPr>
          <w:spacing w:val="-4"/>
          <w:vertAlign w:val="subscript"/>
        </w:rPr>
        <w:t>2</w:t>
      </w:r>
      <w:r w:rsidRPr="002C5876">
        <w:rPr>
          <w:spacing w:val="-4"/>
        </w:rPr>
        <w:t xml:space="preserve"> = Max((0,05 × f</w:t>
      </w:r>
      <w:r w:rsidRPr="002C5876">
        <w:rPr>
          <w:spacing w:val="-4"/>
          <w:vertAlign w:val="subscript"/>
        </w:rPr>
        <w:t>2r</w:t>
      </w:r>
      <w:r w:rsidRPr="002C5876">
        <w:rPr>
          <w:spacing w:val="-4"/>
        </w:rPr>
        <w:t xml:space="preserve"> + 0,95 × f</w:t>
      </w:r>
      <w:r w:rsidRPr="002C5876">
        <w:rPr>
          <w:spacing w:val="-4"/>
          <w:vertAlign w:val="subscript"/>
        </w:rPr>
        <w:t>2r</w:t>
      </w:r>
      <w:r w:rsidRPr="002C5876">
        <w:rPr>
          <w:spacing w:val="-4"/>
        </w:rPr>
        <w:t xml:space="preserve"> × A</w:t>
      </w:r>
      <w:r w:rsidRPr="002C5876">
        <w:rPr>
          <w:spacing w:val="-4"/>
          <w:vertAlign w:val="subscript"/>
        </w:rPr>
        <w:t>f</w:t>
      </w:r>
      <w:r w:rsidRPr="002C5876">
        <w:rPr>
          <w:spacing w:val="-4"/>
        </w:rPr>
        <w:t xml:space="preserve"> / A</w:t>
      </w:r>
      <w:r w:rsidRPr="002C5876">
        <w:rPr>
          <w:spacing w:val="-4"/>
          <w:vertAlign w:val="subscript"/>
        </w:rPr>
        <w:t>fr</w:t>
      </w:r>
      <w:r w:rsidRPr="002C5876">
        <w:rPr>
          <w:spacing w:val="-4"/>
        </w:rPr>
        <w:t>) ; (0,2 × f</w:t>
      </w:r>
      <w:r w:rsidRPr="002C5876">
        <w:rPr>
          <w:spacing w:val="-4"/>
          <w:vertAlign w:val="subscript"/>
        </w:rPr>
        <w:t>2r</w:t>
      </w:r>
      <w:r w:rsidRPr="002C5876">
        <w:rPr>
          <w:spacing w:val="-4"/>
        </w:rPr>
        <w:t xml:space="preserve"> + 0,8 × f</w:t>
      </w:r>
      <w:r w:rsidRPr="002C5876">
        <w:rPr>
          <w:spacing w:val="-4"/>
          <w:vertAlign w:val="subscript"/>
        </w:rPr>
        <w:t>2r</w:t>
      </w:r>
      <w:r w:rsidRPr="002C5876">
        <w:rPr>
          <w:spacing w:val="-4"/>
        </w:rPr>
        <w:t xml:space="preserve"> × A</w:t>
      </w:r>
      <w:r w:rsidRPr="002C5876">
        <w:rPr>
          <w:spacing w:val="-4"/>
          <w:vertAlign w:val="subscript"/>
        </w:rPr>
        <w:t>f</w:t>
      </w:r>
      <w:r w:rsidRPr="002C5876">
        <w:rPr>
          <w:spacing w:val="-4"/>
        </w:rPr>
        <w:t xml:space="preserve"> / A</w:t>
      </w:r>
      <w:r w:rsidRPr="002C5876">
        <w:rPr>
          <w:spacing w:val="-4"/>
          <w:vertAlign w:val="subscript"/>
        </w:rPr>
        <w:t>fr</w:t>
      </w:r>
      <w:r w:rsidRPr="002C5876">
        <w:rPr>
          <w:spacing w:val="-4"/>
        </w:rPr>
        <w:t>))</w:t>
      </w:r>
    </w:p>
    <w:p w:rsidR="00E24DB7" w:rsidRPr="002C5876" w:rsidRDefault="00E24DB7" w:rsidP="00E24DB7">
      <w:pPr>
        <w:pStyle w:val="SingleTxtG"/>
        <w:ind w:left="3402" w:hanging="1134"/>
      </w:pPr>
      <w:r w:rsidRPr="002C5876">
        <w:t>f</w:t>
      </w:r>
      <w:r w:rsidRPr="002C5876">
        <w:rPr>
          <w:vertAlign w:val="subscript"/>
        </w:rPr>
        <w:t>2r</w:t>
      </w:r>
      <w:r w:rsidRPr="002C5876">
        <w:tab/>
      </w:r>
      <w:r w:rsidRPr="002C5876">
        <w:rPr>
          <w:iCs/>
        </w:rPr>
        <w:t xml:space="preserve">est le coefficient de </w:t>
      </w:r>
      <w:r w:rsidRPr="002C5876">
        <w:t>résistance à l’avancement sur route du deuxième ordre du véhicule représentatif de la famille de matrices de résistance à l’avancement sur route, en N(km/h)² ;</w:t>
      </w:r>
    </w:p>
    <w:p w:rsidR="00E24DB7" w:rsidRPr="002C5876" w:rsidRDefault="00E24DB7" w:rsidP="00E24DB7">
      <w:pPr>
        <w:pStyle w:val="SingleTxtG"/>
        <w:ind w:left="3402" w:hanging="1134"/>
      </w:pPr>
      <w:r w:rsidRPr="002C5876">
        <w:t>v</w:t>
      </w:r>
      <w:r w:rsidRPr="002C5876">
        <w:tab/>
        <w:t>est la vitesse du véhicule, en km/h ;</w:t>
      </w:r>
    </w:p>
    <w:p w:rsidR="00E24DB7" w:rsidRPr="002C5876" w:rsidRDefault="00E24DB7" w:rsidP="00E24DB7">
      <w:pPr>
        <w:pStyle w:val="SingleTxtG"/>
        <w:ind w:left="3402" w:hanging="1134"/>
      </w:pPr>
      <w:r w:rsidRPr="002C5876">
        <w:t>TM</w:t>
      </w:r>
      <w:r w:rsidRPr="002C5876">
        <w:tab/>
        <w:t>est la masse d’essai effective du véhicule donné de la famille de matrices de résistance à l’avancement sur route, en kg ;</w:t>
      </w:r>
    </w:p>
    <w:p w:rsidR="00E24DB7" w:rsidRPr="002C5876" w:rsidRDefault="00E24DB7" w:rsidP="00E24DB7">
      <w:pPr>
        <w:pStyle w:val="SingleTxtG"/>
        <w:ind w:left="3402" w:hanging="1134"/>
      </w:pPr>
      <w:r w:rsidRPr="002C5876">
        <w:t>TM</w:t>
      </w:r>
      <w:r w:rsidRPr="002C5876">
        <w:rPr>
          <w:vertAlign w:val="subscript"/>
        </w:rPr>
        <w:t>r</w:t>
      </w:r>
      <w:r w:rsidRPr="002C5876">
        <w:tab/>
        <w:t>est la masse d’essai du véhicule représentatif de la famille de matrices de résistance à l’avancement sur route, en kg ;</w:t>
      </w:r>
    </w:p>
    <w:p w:rsidR="00E24DB7" w:rsidRPr="002C5876" w:rsidRDefault="00E24DB7" w:rsidP="00E24DB7">
      <w:pPr>
        <w:pStyle w:val="SingleTxtG"/>
        <w:ind w:left="3402" w:hanging="1134"/>
      </w:pPr>
      <w:r w:rsidRPr="002C5876">
        <w:t>A</w:t>
      </w:r>
      <w:r w:rsidRPr="002C5876">
        <w:rPr>
          <w:vertAlign w:val="subscript"/>
        </w:rPr>
        <w:t>f</w:t>
      </w:r>
      <w:r w:rsidRPr="002C5876">
        <w:tab/>
      </w:r>
      <w:r w:rsidRPr="002C5876">
        <w:rPr>
          <w:iCs/>
        </w:rPr>
        <w:t xml:space="preserve">est </w:t>
      </w:r>
      <w:r w:rsidRPr="002C5876">
        <w:t>le maître-couple du véhicule donné de la famille de matrices de résistance à l’avancement sur route, en m</w:t>
      </w:r>
      <w:r w:rsidRPr="002C5876">
        <w:rPr>
          <w:vertAlign w:val="superscript"/>
        </w:rPr>
        <w:t>2</w:t>
      </w:r>
      <w:r w:rsidRPr="002C5876">
        <w:t> ;</w:t>
      </w:r>
    </w:p>
    <w:p w:rsidR="00E24DB7" w:rsidRPr="002C5876" w:rsidRDefault="00E24DB7" w:rsidP="00E24DB7">
      <w:pPr>
        <w:pStyle w:val="SingleTxtG"/>
        <w:ind w:left="3402" w:hanging="1134"/>
      </w:pPr>
      <w:r w:rsidRPr="002C5876">
        <w:t>A</w:t>
      </w:r>
      <w:r w:rsidRPr="002C5876">
        <w:rPr>
          <w:vertAlign w:val="subscript"/>
        </w:rPr>
        <w:t>fr</w:t>
      </w:r>
      <w:r w:rsidRPr="002C5876">
        <w:tab/>
      </w:r>
      <w:r w:rsidRPr="002C5876">
        <w:rPr>
          <w:iCs/>
        </w:rPr>
        <w:t xml:space="preserve">est </w:t>
      </w:r>
      <w:r w:rsidRPr="002C5876">
        <w:t>le maître-couple du véhicule représentatif de la famille de matrices de résistance à l’avancement sur route, en m</w:t>
      </w:r>
      <w:r w:rsidRPr="002C5876">
        <w:rPr>
          <w:vertAlign w:val="superscript"/>
        </w:rPr>
        <w:t>2</w:t>
      </w:r>
      <w:r w:rsidRPr="002C5876">
        <w:t xml:space="preserve"> ; </w:t>
      </w:r>
    </w:p>
    <w:p w:rsidR="00E24DB7" w:rsidRPr="002C5876" w:rsidRDefault="00E24DB7" w:rsidP="00E24DB7">
      <w:pPr>
        <w:pStyle w:val="SingleTxtG"/>
        <w:ind w:left="3402" w:hanging="1134"/>
      </w:pPr>
      <w:r w:rsidRPr="002C5876">
        <w:t>RR</w:t>
      </w:r>
      <w:r w:rsidRPr="002C5876">
        <w:tab/>
      </w:r>
      <w:r w:rsidRPr="002C5876">
        <w:rPr>
          <w:iCs/>
        </w:rPr>
        <w:t xml:space="preserve">est la </w:t>
      </w:r>
      <w:r w:rsidRPr="002C5876">
        <w:t xml:space="preserve">résistance au roulement des pneumatiques du véhicule donné de la famille de matrices de résistance à l’avancement sur route, en kg/t ; </w:t>
      </w:r>
    </w:p>
    <w:p w:rsidR="00E24DB7" w:rsidRPr="002C5876" w:rsidRDefault="00E24DB7" w:rsidP="00E24DB7">
      <w:pPr>
        <w:pStyle w:val="SingleTxtG"/>
        <w:ind w:left="3402" w:hanging="1134"/>
      </w:pPr>
      <w:r w:rsidRPr="002C5876">
        <w:t>RR</w:t>
      </w:r>
      <w:r w:rsidRPr="002C5876">
        <w:rPr>
          <w:vertAlign w:val="subscript"/>
        </w:rPr>
        <w:t>r</w:t>
      </w:r>
      <w:r w:rsidRPr="002C5876">
        <w:tab/>
      </w:r>
      <w:r w:rsidRPr="002C5876">
        <w:rPr>
          <w:iCs/>
        </w:rPr>
        <w:t xml:space="preserve">est la </w:t>
      </w:r>
      <w:r w:rsidRPr="002C5876">
        <w:t>résistance au roulement des pneumatiques du véhicule donné de la famille de matrices de résistance à l’avancement sur route, en kg/t.</w:t>
      </w:r>
    </w:p>
    <w:p w:rsidR="00E24DB7" w:rsidRPr="002C5876" w:rsidRDefault="00E24DB7" w:rsidP="00E24DB7">
      <w:pPr>
        <w:pStyle w:val="SingleTxtG"/>
        <w:ind w:left="2268"/>
      </w:pPr>
      <w:r w:rsidRPr="002C5876">
        <w:tab/>
        <w:t>Pour les pneumatiques montés sur un véhicule donné, la valeur de la résistance au roulement RR est prise comme étant égale à la valeur de classe de la classe d’efficacité énergétique correspondante selon le tableau A4/2 de l’annexe 4.</w:t>
      </w:r>
    </w:p>
    <w:p w:rsidR="00E24DB7" w:rsidRPr="002C5876" w:rsidRDefault="00E24DB7" w:rsidP="00E24DB7">
      <w:pPr>
        <w:pStyle w:val="SingleTxtG"/>
        <w:ind w:left="2268"/>
      </w:pPr>
      <w:r w:rsidRPr="002C5876">
        <w:tab/>
        <w:t>Si les pneumatiques sur l’essieu avant et sur l’essieu arrière appartiennent à des classes d’efficacité énergétique différentes, on doit utiliser la moyenne pondérée, calculée au moyen de l’équation qui figure au paragraphe 3.2.3.2.2.2 de l’annexe 7.</w:t>
      </w:r>
    </w:p>
    <w:p w:rsidR="00E24DB7" w:rsidRPr="002C5876" w:rsidRDefault="00E24DB7" w:rsidP="00E24DB7">
      <w:pPr>
        <w:pStyle w:val="SingleTxtG"/>
        <w:ind w:left="2268"/>
      </w:pPr>
      <w:r w:rsidRPr="002C5876">
        <w:t>Si des pneumatiques identiques sont montés sur les véhicules d’essai</w:t>
      </w:r>
      <w:r w:rsidR="009074BF" w:rsidRPr="002C5876">
        <w:t> </w:t>
      </w:r>
      <w:r w:rsidRPr="002C5876">
        <w:t>L et</w:t>
      </w:r>
      <w:r w:rsidR="009074BF" w:rsidRPr="002C5876">
        <w:t> </w:t>
      </w:r>
      <w:r w:rsidRPr="002C5876">
        <w:t>H, la valeur de RR</w:t>
      </w:r>
      <w:r w:rsidRPr="002C5876">
        <w:rPr>
          <w:vertAlign w:val="subscript"/>
        </w:rPr>
        <w:t>ind</w:t>
      </w:r>
      <w:r w:rsidRPr="002C5876">
        <w:t xml:space="preserve"> doit être prise comme étant égale à RR</w:t>
      </w:r>
      <w:r w:rsidRPr="002C5876">
        <w:rPr>
          <w:vertAlign w:val="subscript"/>
        </w:rPr>
        <w:t>H</w:t>
      </w:r>
      <w:r w:rsidRPr="002C5876">
        <w:t xml:space="preserve"> lorsque la méthode d’interpolation est appliquée.</w:t>
      </w:r>
    </w:p>
    <w:p w:rsidR="00E24DB7" w:rsidRPr="002C5876" w:rsidRDefault="00E24DB7" w:rsidP="00E24DB7">
      <w:pPr>
        <w:pStyle w:val="SingleTxtG"/>
        <w:ind w:left="2268" w:hanging="1134"/>
      </w:pPr>
      <w:r w:rsidRPr="002C5876">
        <w:t>5.1.2</w:t>
      </w:r>
      <w:r w:rsidRPr="002C5876">
        <w:tab/>
        <w:t xml:space="preserve">Pour le calcul de la résistance à l’avancement des véhicules d’une famille de matrices de résistance à l’avancement sur route, les paramètres d’un véhicule définis au paragraphe 4.2.1.4 de la présente annexe et les coefficients de </w:t>
      </w:r>
      <w:r w:rsidRPr="002C5876">
        <w:rPr>
          <w:bCs/>
        </w:rPr>
        <w:t xml:space="preserve">résistance à l’avancement </w:t>
      </w:r>
      <w:r w:rsidRPr="002C5876">
        <w:t xml:space="preserve">du véhicule d’essai représentatif déterminés conformément au paragraphe 4.4 de la présente annexe doivent être utilisés. </w:t>
      </w:r>
    </w:p>
    <w:p w:rsidR="00E24DB7" w:rsidRPr="002C5876" w:rsidRDefault="00E24DB7" w:rsidP="00E24DB7">
      <w:pPr>
        <w:pStyle w:val="SingleTxtG"/>
        <w:keepNext/>
        <w:ind w:left="2268" w:hanging="1134"/>
        <w:jc w:val="left"/>
      </w:pPr>
      <w:r w:rsidRPr="002C5876">
        <w:t>5.1.2.1</w:t>
      </w:r>
      <w:r w:rsidRPr="002C5876">
        <w:tab/>
        <w:t>La résistance à l’avancement d’un véhicule donné doit être calculée conformément à l’équation ci-après :</w:t>
      </w:r>
    </w:p>
    <w:p w:rsidR="00E24DB7" w:rsidRPr="002C5876" w:rsidRDefault="00731CA6" w:rsidP="00E24DB7">
      <w:pPr>
        <w:keepNext/>
        <w:ind w:left="2268" w:right="1134"/>
        <w:jc w:val="center"/>
        <w:rPr>
          <w:b/>
        </w:rPr>
      </w:pPr>
      <m:oMathPara>
        <m:oMath>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c</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0</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1</m:t>
              </m:r>
            </m:sub>
          </m:sSub>
          <m:r>
            <m:rPr>
              <m:sty m:val="p"/>
            </m:rPr>
            <w:rPr>
              <w:rFonts w:ascii="Cambria Math" w:hAnsi="Cambria Math" w:cstheme="majorBidi"/>
            </w:rPr>
            <m:t>×v+</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2</m:t>
              </m:r>
            </m:sub>
          </m:sSub>
          <m:r>
            <m:rPr>
              <m:sty m:val="p"/>
            </m:rPr>
            <w:rPr>
              <w:rFonts w:ascii="Cambria Math" w:hAnsi="Cambria Math" w:cstheme="majorBidi"/>
            </w:rPr>
            <m:t>×</m:t>
          </m:r>
          <m:sSup>
            <m:sSupPr>
              <m:ctrlPr>
                <w:rPr>
                  <w:rFonts w:ascii="Cambria Math" w:hAnsi="Cambria Math" w:cstheme="majorBidi"/>
                </w:rPr>
              </m:ctrlPr>
            </m:sSupPr>
            <m:e>
              <m:r>
                <m:rPr>
                  <m:sty m:val="p"/>
                </m:rPr>
                <w:rPr>
                  <w:rFonts w:ascii="Cambria Math" w:hAnsi="Cambria Math" w:cstheme="majorBidi"/>
                </w:rPr>
                <m:t>v</m:t>
              </m:r>
            </m:e>
            <m:sup>
              <m:r>
                <m:rPr>
                  <m:sty m:val="p"/>
                </m:rPr>
                <w:rPr>
                  <w:rFonts w:ascii="Cambria Math" w:hAnsi="Cambria Math" w:cstheme="majorBidi"/>
                </w:rPr>
                <m:t>2</m:t>
              </m:r>
            </m:sup>
          </m:sSup>
        </m:oMath>
      </m:oMathPara>
    </w:p>
    <w:p w:rsidR="00E24DB7" w:rsidRPr="002C5876" w:rsidRDefault="00E24DB7" w:rsidP="00E24DB7">
      <w:pPr>
        <w:pStyle w:val="SingleTxtG"/>
        <w:keepNext/>
        <w:ind w:left="2268"/>
      </w:pPr>
      <w:r w:rsidRPr="002C5876">
        <w:t>où :</w:t>
      </w:r>
    </w:p>
    <w:p w:rsidR="00E24DB7" w:rsidRPr="002C5876" w:rsidRDefault="00E24DB7" w:rsidP="00E24DB7">
      <w:pPr>
        <w:pStyle w:val="SingleTxtG"/>
        <w:ind w:left="3402" w:hanging="1134"/>
      </w:pPr>
      <w:r w:rsidRPr="002C5876">
        <w:t>C</w:t>
      </w:r>
      <w:r w:rsidRPr="002C5876">
        <w:rPr>
          <w:vertAlign w:val="subscript"/>
        </w:rPr>
        <w:t>c</w:t>
      </w:r>
      <w:r w:rsidRPr="002C5876">
        <w:tab/>
        <w:t>est la résistance à l’avancement calculée</w:t>
      </w:r>
      <w:r w:rsidRPr="002C5876">
        <w:rPr>
          <w:iCs/>
        </w:rPr>
        <w:t xml:space="preserve"> </w:t>
      </w:r>
      <w:r w:rsidRPr="002C5876">
        <w:t>en fonction de la vitesse du véhicule, en Nm ;</w:t>
      </w:r>
    </w:p>
    <w:p w:rsidR="00E24DB7" w:rsidRPr="002C5876" w:rsidRDefault="00E24DB7" w:rsidP="00E24DB7">
      <w:pPr>
        <w:pStyle w:val="SingleTxtG"/>
        <w:ind w:left="3402" w:hanging="1134"/>
        <w:rPr>
          <w:iCs/>
        </w:rPr>
      </w:pPr>
      <w:r w:rsidRPr="002C5876">
        <w:lastRenderedPageBreak/>
        <w:t>c</w:t>
      </w:r>
      <w:r w:rsidRPr="002C5876">
        <w:rPr>
          <w:vertAlign w:val="subscript"/>
        </w:rPr>
        <w:t>0</w:t>
      </w:r>
      <w:r w:rsidRPr="002C5876">
        <w:tab/>
      </w:r>
      <w:r w:rsidRPr="002C5876">
        <w:rPr>
          <w:iCs/>
        </w:rPr>
        <w:t xml:space="preserve">est le coefficient constant de </w:t>
      </w:r>
      <w:r w:rsidRPr="002C5876">
        <w:t xml:space="preserve">résistance à l’avancement, en Nm, </w:t>
      </w:r>
      <w:r w:rsidRPr="002C5876">
        <w:rPr>
          <w:iCs/>
        </w:rPr>
        <w:t xml:space="preserve">défini par l’équation : </w:t>
      </w:r>
    </w:p>
    <w:p w:rsidR="00E24DB7" w:rsidRPr="002C5876" w:rsidRDefault="00E24DB7" w:rsidP="00E24DB7">
      <w:pPr>
        <w:pStyle w:val="SingleTxtG"/>
        <w:ind w:left="2268"/>
        <w:jc w:val="center"/>
        <w:rPr>
          <w:spacing w:val="-2"/>
        </w:rPr>
      </w:pPr>
      <w:r w:rsidRPr="002C5876">
        <w:rPr>
          <w:spacing w:val="-2"/>
        </w:rPr>
        <w:t>c</w:t>
      </w:r>
      <w:r w:rsidRPr="002C5876">
        <w:rPr>
          <w:spacing w:val="-2"/>
          <w:vertAlign w:val="subscript"/>
        </w:rPr>
        <w:t>0</w:t>
      </w:r>
      <w:r w:rsidRPr="002C5876">
        <w:rPr>
          <w:spacing w:val="-2"/>
        </w:rPr>
        <w:t xml:space="preserve"> = r’/1,02 × Max((0,05 × 1,02 </w:t>
      </w:r>
      <w:r w:rsidRPr="002C5876">
        <w:rPr>
          <w:szCs w:val="24"/>
        </w:rPr>
        <w:t>×</w:t>
      </w:r>
      <w:r w:rsidRPr="002C5876">
        <w:rPr>
          <w:spacing w:val="-2"/>
        </w:rPr>
        <w:t xml:space="preserve"> c</w:t>
      </w:r>
      <w:r w:rsidRPr="002C5876">
        <w:rPr>
          <w:spacing w:val="-2"/>
          <w:vertAlign w:val="subscript"/>
        </w:rPr>
        <w:t>0r</w:t>
      </w:r>
      <w:r w:rsidRPr="002C5876">
        <w:rPr>
          <w:spacing w:val="-2"/>
        </w:rPr>
        <w:t xml:space="preserve">/r’ + 0,95 × (1,02 </w:t>
      </w:r>
      <w:r w:rsidRPr="002C5876">
        <w:rPr>
          <w:szCs w:val="24"/>
        </w:rPr>
        <w:t>×</w:t>
      </w:r>
      <w:r w:rsidRPr="002C5876">
        <w:rPr>
          <w:spacing w:val="-2"/>
        </w:rPr>
        <w:t xml:space="preserve"> c</w:t>
      </w:r>
      <w:r w:rsidRPr="002C5876">
        <w:rPr>
          <w:spacing w:val="-2"/>
          <w:vertAlign w:val="subscript"/>
        </w:rPr>
        <w:t>0r</w:t>
      </w:r>
      <w:r w:rsidRPr="002C5876">
        <w:rPr>
          <w:spacing w:val="-2"/>
        </w:rPr>
        <w:t>/r’ × TM/TM</w:t>
      </w:r>
      <w:r w:rsidRPr="002C5876">
        <w:rPr>
          <w:spacing w:val="-2"/>
          <w:vertAlign w:val="subscript"/>
        </w:rPr>
        <w:t>r</w:t>
      </w:r>
      <w:r w:rsidRPr="002C5876">
        <w:rPr>
          <w:spacing w:val="-2"/>
        </w:rPr>
        <w:t xml:space="preserve"> </w:t>
      </w:r>
      <w:r w:rsidRPr="002C5876">
        <w:rPr>
          <w:spacing w:val="-2"/>
        </w:rPr>
        <w:br/>
        <w:t>+</w:t>
      </w:r>
      <w:r w:rsidRPr="002C5876">
        <w:rPr>
          <w:noProof/>
          <w:position w:val="-26"/>
          <w:lang w:val="en-GB" w:eastAsia="zh-CN"/>
        </w:rPr>
        <w:drawing>
          <wp:inline distT="0" distB="0" distL="0" distR="0" wp14:anchorId="7B0D2F9E" wp14:editId="43E8C5B2">
            <wp:extent cx="438150" cy="323850"/>
            <wp:effectExtent l="0" t="0" r="0" b="0"/>
            <wp:docPr id="586"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8150" cy="323850"/>
                    </a:xfrm>
                    <a:prstGeom prst="rect">
                      <a:avLst/>
                    </a:prstGeom>
                    <a:noFill/>
                    <a:ln>
                      <a:noFill/>
                    </a:ln>
                  </pic:spPr>
                </pic:pic>
              </a:graphicData>
            </a:graphic>
          </wp:inline>
        </w:drawing>
      </w:r>
      <w:r w:rsidRPr="002C5876">
        <w:rPr>
          <w:spacing w:val="-2"/>
        </w:rPr>
        <w:t xml:space="preserve"> × 9,81 </w:t>
      </w:r>
      <w:r w:rsidRPr="002C5876">
        <w:rPr>
          <w:szCs w:val="24"/>
        </w:rPr>
        <w:t>×</w:t>
      </w:r>
      <w:r w:rsidRPr="002C5876">
        <w:rPr>
          <w:spacing w:val="-2"/>
        </w:rPr>
        <w:t xml:space="preserve"> TM)) ;</w:t>
      </w:r>
    </w:p>
    <w:p w:rsidR="00E24DB7" w:rsidRPr="00D53F39" w:rsidRDefault="00E24DB7" w:rsidP="00E24DB7">
      <w:pPr>
        <w:pStyle w:val="SingleTxtG"/>
        <w:ind w:left="2268"/>
        <w:jc w:val="center"/>
        <w:rPr>
          <w:spacing w:val="-5"/>
          <w:lang w:val="en-US"/>
        </w:rPr>
      </w:pPr>
      <w:r w:rsidRPr="00D53F39">
        <w:rPr>
          <w:spacing w:val="-5"/>
          <w:lang w:val="en-US"/>
        </w:rPr>
        <w:t>(0,2</w:t>
      </w:r>
      <w:r w:rsidRPr="00D53F39">
        <w:rPr>
          <w:spacing w:val="-5"/>
          <w:sz w:val="16"/>
          <w:szCs w:val="16"/>
          <w:lang w:val="en-US"/>
        </w:rPr>
        <w:t xml:space="preserve"> </w:t>
      </w:r>
      <w:r w:rsidRPr="00D53F39">
        <w:rPr>
          <w:spacing w:val="-5"/>
          <w:lang w:val="en-US"/>
        </w:rPr>
        <w:t>×</w:t>
      </w:r>
      <w:r w:rsidRPr="00D53F39">
        <w:rPr>
          <w:spacing w:val="-5"/>
          <w:sz w:val="16"/>
          <w:szCs w:val="16"/>
          <w:lang w:val="en-US"/>
        </w:rPr>
        <w:t xml:space="preserve"> </w:t>
      </w:r>
      <w:r w:rsidRPr="00D53F39">
        <w:rPr>
          <w:spacing w:val="-5"/>
          <w:lang w:val="en-US"/>
        </w:rPr>
        <w:t>1,02</w:t>
      </w:r>
      <w:r w:rsidRPr="00D53F39">
        <w:rPr>
          <w:spacing w:val="-5"/>
          <w:sz w:val="16"/>
          <w:szCs w:val="16"/>
          <w:lang w:val="en-US"/>
        </w:rPr>
        <w:t xml:space="preserve"> </w:t>
      </w:r>
      <w:r w:rsidRPr="00D53F39">
        <w:rPr>
          <w:szCs w:val="24"/>
          <w:lang w:val="en-US"/>
        </w:rPr>
        <w:t>×</w:t>
      </w:r>
      <w:r w:rsidRPr="00D53F39">
        <w:rPr>
          <w:spacing w:val="-5"/>
          <w:sz w:val="16"/>
          <w:szCs w:val="16"/>
          <w:lang w:val="en-US"/>
        </w:rPr>
        <w:t xml:space="preserve"> </w:t>
      </w:r>
      <w:r w:rsidRPr="00D53F39">
        <w:rPr>
          <w:spacing w:val="-5"/>
          <w:lang w:val="en-US"/>
        </w:rPr>
        <w:t>c</w:t>
      </w:r>
      <w:r w:rsidRPr="00D53F39">
        <w:rPr>
          <w:spacing w:val="-5"/>
          <w:vertAlign w:val="subscript"/>
          <w:lang w:val="en-US"/>
        </w:rPr>
        <w:t>0r</w:t>
      </w:r>
      <w:r w:rsidRPr="00D53F39">
        <w:rPr>
          <w:spacing w:val="-5"/>
          <w:lang w:val="en-US"/>
        </w:rPr>
        <w:t>/r’</w:t>
      </w:r>
      <w:r w:rsidRPr="00D53F39">
        <w:rPr>
          <w:spacing w:val="-5"/>
          <w:sz w:val="16"/>
          <w:szCs w:val="16"/>
          <w:lang w:val="en-US"/>
        </w:rPr>
        <w:t xml:space="preserve"> </w:t>
      </w:r>
      <w:r w:rsidRPr="00D53F39">
        <w:rPr>
          <w:spacing w:val="-5"/>
          <w:lang w:val="en-US"/>
        </w:rPr>
        <w:t>+</w:t>
      </w:r>
      <w:r w:rsidRPr="00D53F39">
        <w:rPr>
          <w:spacing w:val="-5"/>
          <w:sz w:val="16"/>
          <w:szCs w:val="16"/>
          <w:lang w:val="en-US"/>
        </w:rPr>
        <w:t xml:space="preserve"> </w:t>
      </w:r>
      <w:r w:rsidRPr="00D53F39">
        <w:rPr>
          <w:spacing w:val="-5"/>
          <w:lang w:val="en-US"/>
        </w:rPr>
        <w:t>0,8</w:t>
      </w:r>
      <w:r w:rsidRPr="00D53F39">
        <w:rPr>
          <w:spacing w:val="-5"/>
          <w:sz w:val="16"/>
          <w:szCs w:val="16"/>
          <w:lang w:val="en-US"/>
        </w:rPr>
        <w:t xml:space="preserve"> </w:t>
      </w:r>
      <w:r w:rsidRPr="00D53F39">
        <w:rPr>
          <w:spacing w:val="-5"/>
          <w:lang w:val="en-US"/>
        </w:rPr>
        <w:t>×</w:t>
      </w:r>
      <w:r w:rsidRPr="00D53F39">
        <w:rPr>
          <w:spacing w:val="-5"/>
          <w:sz w:val="16"/>
          <w:szCs w:val="16"/>
          <w:lang w:val="en-US"/>
        </w:rPr>
        <w:t xml:space="preserve"> </w:t>
      </w:r>
      <w:r w:rsidRPr="00D53F39">
        <w:rPr>
          <w:spacing w:val="-5"/>
          <w:lang w:val="en-US"/>
        </w:rPr>
        <w:t xml:space="preserve">(1,02 </w:t>
      </w:r>
      <w:r w:rsidRPr="00D53F39">
        <w:rPr>
          <w:szCs w:val="24"/>
          <w:lang w:val="en-US"/>
        </w:rPr>
        <w:t>×</w:t>
      </w:r>
      <w:r w:rsidRPr="00D53F39">
        <w:rPr>
          <w:spacing w:val="-5"/>
          <w:lang w:val="en-US"/>
        </w:rPr>
        <w:t xml:space="preserve"> c</w:t>
      </w:r>
      <w:r w:rsidRPr="00D53F39">
        <w:rPr>
          <w:spacing w:val="-5"/>
          <w:vertAlign w:val="subscript"/>
          <w:lang w:val="en-US"/>
        </w:rPr>
        <w:t>0r</w:t>
      </w:r>
      <w:r w:rsidRPr="00D53F39">
        <w:rPr>
          <w:spacing w:val="-5"/>
          <w:lang w:val="en-US"/>
        </w:rPr>
        <w:t>/r’</w:t>
      </w:r>
      <w:r w:rsidRPr="00D53F39">
        <w:rPr>
          <w:spacing w:val="-5"/>
          <w:sz w:val="16"/>
          <w:szCs w:val="16"/>
          <w:lang w:val="en-US"/>
        </w:rPr>
        <w:t xml:space="preserve"> </w:t>
      </w:r>
      <w:r w:rsidRPr="00D53F39">
        <w:rPr>
          <w:spacing w:val="-5"/>
          <w:lang w:val="en-US"/>
        </w:rPr>
        <w:t>×</w:t>
      </w:r>
      <w:r w:rsidRPr="00D53F39">
        <w:rPr>
          <w:spacing w:val="-5"/>
          <w:sz w:val="16"/>
          <w:szCs w:val="16"/>
          <w:lang w:val="en-US"/>
        </w:rPr>
        <w:t xml:space="preserve"> </w:t>
      </w:r>
      <w:r w:rsidRPr="00D53F39">
        <w:rPr>
          <w:spacing w:val="-5"/>
          <w:lang w:val="en-US"/>
        </w:rPr>
        <w:t>TM/TM</w:t>
      </w:r>
      <w:r w:rsidRPr="00D53F39">
        <w:rPr>
          <w:spacing w:val="-5"/>
          <w:vertAlign w:val="subscript"/>
          <w:lang w:val="en-US"/>
        </w:rPr>
        <w:t>r</w:t>
      </w:r>
      <w:r w:rsidRPr="00D53F39">
        <w:rPr>
          <w:spacing w:val="-5"/>
          <w:sz w:val="16"/>
          <w:szCs w:val="16"/>
          <w:lang w:val="en-US"/>
        </w:rPr>
        <w:t xml:space="preserve"> </w:t>
      </w:r>
      <w:r w:rsidRPr="00D53F39">
        <w:rPr>
          <w:spacing w:val="-5"/>
          <w:lang w:val="en-US"/>
        </w:rPr>
        <w:t>+</w:t>
      </w:r>
      <w:r w:rsidRPr="002C5876">
        <w:rPr>
          <w:noProof/>
          <w:spacing w:val="-5"/>
          <w:position w:val="-26"/>
          <w:lang w:val="en-GB" w:eastAsia="zh-CN"/>
        </w:rPr>
        <w:drawing>
          <wp:inline distT="0" distB="0" distL="0" distR="0" wp14:anchorId="53F51CE6" wp14:editId="7D627838">
            <wp:extent cx="438150" cy="323850"/>
            <wp:effectExtent l="0" t="0" r="0" b="0"/>
            <wp:docPr id="585"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8150" cy="323850"/>
                    </a:xfrm>
                    <a:prstGeom prst="rect">
                      <a:avLst/>
                    </a:prstGeom>
                    <a:noFill/>
                    <a:ln>
                      <a:noFill/>
                    </a:ln>
                  </pic:spPr>
                </pic:pic>
              </a:graphicData>
            </a:graphic>
          </wp:inline>
        </w:drawing>
      </w:r>
      <w:r w:rsidRPr="00D53F39">
        <w:rPr>
          <w:spacing w:val="-5"/>
          <w:sz w:val="16"/>
          <w:szCs w:val="16"/>
          <w:lang w:val="en-US"/>
        </w:rPr>
        <w:t xml:space="preserve"> </w:t>
      </w:r>
      <w:r w:rsidRPr="00D53F39">
        <w:rPr>
          <w:spacing w:val="-5"/>
          <w:lang w:val="en-US"/>
        </w:rPr>
        <w:t>×</w:t>
      </w:r>
      <w:r w:rsidRPr="00D53F39">
        <w:rPr>
          <w:spacing w:val="-5"/>
          <w:sz w:val="16"/>
          <w:szCs w:val="16"/>
          <w:lang w:val="en-US"/>
        </w:rPr>
        <w:t xml:space="preserve"> </w:t>
      </w:r>
      <w:r w:rsidRPr="00D53F39">
        <w:rPr>
          <w:spacing w:val="-5"/>
          <w:lang w:val="en-US"/>
        </w:rPr>
        <w:t>9,81</w:t>
      </w:r>
      <w:r w:rsidRPr="00D53F39">
        <w:rPr>
          <w:spacing w:val="-5"/>
          <w:sz w:val="16"/>
          <w:szCs w:val="16"/>
          <w:lang w:val="en-US"/>
        </w:rPr>
        <w:t xml:space="preserve"> </w:t>
      </w:r>
      <w:r w:rsidRPr="00D53F39">
        <w:rPr>
          <w:szCs w:val="24"/>
          <w:lang w:val="en-US"/>
        </w:rPr>
        <w:t>×</w:t>
      </w:r>
      <w:r w:rsidRPr="00D53F39">
        <w:rPr>
          <w:spacing w:val="-5"/>
          <w:sz w:val="16"/>
          <w:szCs w:val="16"/>
          <w:lang w:val="en-US"/>
        </w:rPr>
        <w:t xml:space="preserve"> </w:t>
      </w:r>
      <w:r w:rsidRPr="00D53F39">
        <w:rPr>
          <w:spacing w:val="-5"/>
          <w:lang w:val="en-US"/>
        </w:rPr>
        <w:t>TM))</w:t>
      </w:r>
    </w:p>
    <w:p w:rsidR="00E24DB7" w:rsidRPr="002C5876" w:rsidRDefault="00E24DB7" w:rsidP="00E24DB7">
      <w:pPr>
        <w:pStyle w:val="SingleTxtG"/>
        <w:ind w:left="3402" w:hanging="1134"/>
      </w:pPr>
      <w:r w:rsidRPr="002C5876">
        <w:t>c</w:t>
      </w:r>
      <w:r w:rsidRPr="002C5876">
        <w:rPr>
          <w:vertAlign w:val="subscript"/>
        </w:rPr>
        <w:t>0r</w:t>
      </w:r>
      <w:r w:rsidRPr="002C5876">
        <w:tab/>
      </w:r>
      <w:r w:rsidRPr="002C5876">
        <w:rPr>
          <w:iCs/>
        </w:rPr>
        <w:t xml:space="preserve">est le coefficient constant de </w:t>
      </w:r>
      <w:r w:rsidRPr="002C5876">
        <w:t>résistance à l’avancement du véhicule représentatif de la famille de matrices de résistance à l’avancement sur route, en Nm ;</w:t>
      </w:r>
    </w:p>
    <w:p w:rsidR="00E24DB7" w:rsidRPr="002C5876" w:rsidRDefault="00E24DB7" w:rsidP="00E24DB7">
      <w:pPr>
        <w:pStyle w:val="SingleTxtG"/>
        <w:ind w:left="3402" w:hanging="1134"/>
      </w:pPr>
      <w:r w:rsidRPr="002C5876">
        <w:t>c</w:t>
      </w:r>
      <w:r w:rsidRPr="002C5876">
        <w:rPr>
          <w:vertAlign w:val="subscript"/>
        </w:rPr>
        <w:t>1</w:t>
      </w:r>
      <w:r w:rsidRPr="002C5876">
        <w:tab/>
      </w:r>
      <w:r w:rsidRPr="002C5876">
        <w:rPr>
          <w:iCs/>
        </w:rPr>
        <w:t xml:space="preserve">est le coefficient de </w:t>
      </w:r>
      <w:r w:rsidRPr="002C5876">
        <w:t>résistance à l’avancement sur route du premier ordre, en Nm/(km/h)</w:t>
      </w:r>
      <w:r w:rsidRPr="002C5876">
        <w:rPr>
          <w:iCs/>
        </w:rPr>
        <w:t xml:space="preserve"> et est pris comme égal à zéro</w:t>
      </w:r>
      <w:r w:rsidRPr="002C5876">
        <w:t> ;</w:t>
      </w:r>
    </w:p>
    <w:p w:rsidR="00E24DB7" w:rsidRPr="002C5876" w:rsidRDefault="00E24DB7" w:rsidP="00E24DB7">
      <w:pPr>
        <w:pStyle w:val="SingleTxtG"/>
        <w:ind w:left="3402" w:hanging="1134"/>
      </w:pPr>
      <w:r w:rsidRPr="002C5876">
        <w:t>c</w:t>
      </w:r>
      <w:r w:rsidRPr="002C5876">
        <w:rPr>
          <w:vertAlign w:val="subscript"/>
        </w:rPr>
        <w:t>2</w:t>
      </w:r>
      <w:r w:rsidRPr="002C5876">
        <w:tab/>
      </w:r>
      <w:r w:rsidRPr="002C5876">
        <w:rPr>
          <w:iCs/>
        </w:rPr>
        <w:t xml:space="preserve">est le coefficient de </w:t>
      </w:r>
      <w:r w:rsidRPr="002C5876">
        <w:t>résistance à l’avancement du deuxième ordre</w:t>
      </w:r>
      <w:r w:rsidRPr="002C5876">
        <w:rPr>
          <w:iCs/>
        </w:rPr>
        <w:t>, en Nm/(km/h)², défini par l’équation </w:t>
      </w:r>
      <w:r w:rsidRPr="002C5876">
        <w:t xml:space="preserve">: </w:t>
      </w:r>
    </w:p>
    <w:p w:rsidR="00E24DB7" w:rsidRPr="002C5876" w:rsidRDefault="00E24DB7" w:rsidP="00E24DB7">
      <w:pPr>
        <w:pStyle w:val="SingleTxtG"/>
        <w:ind w:left="3402" w:hanging="1134"/>
        <w:jc w:val="center"/>
        <w:rPr>
          <w:spacing w:val="-5"/>
        </w:rPr>
      </w:pPr>
      <w:r w:rsidRPr="002C5876">
        <w:rPr>
          <w:spacing w:val="-5"/>
        </w:rPr>
        <w:t>c2 = r’/1,02 × Max((0,05 × 1,02 × c</w:t>
      </w:r>
      <w:r w:rsidRPr="002C5876">
        <w:rPr>
          <w:spacing w:val="-5"/>
          <w:vertAlign w:val="subscript"/>
        </w:rPr>
        <w:t>2r</w:t>
      </w:r>
      <w:r w:rsidRPr="002C5876">
        <w:rPr>
          <w:spacing w:val="-5"/>
        </w:rPr>
        <w:t>/r’ + 0,95 × 1,02 × c</w:t>
      </w:r>
      <w:r w:rsidRPr="002C5876">
        <w:rPr>
          <w:spacing w:val="-5"/>
          <w:vertAlign w:val="subscript"/>
        </w:rPr>
        <w:t>2r</w:t>
      </w:r>
      <w:r w:rsidRPr="002C5876">
        <w:rPr>
          <w:spacing w:val="-5"/>
        </w:rPr>
        <w:t>/r’ × A</w:t>
      </w:r>
      <w:r w:rsidRPr="002C5876">
        <w:rPr>
          <w:spacing w:val="-5"/>
          <w:vertAlign w:val="subscript"/>
        </w:rPr>
        <w:t>f</w:t>
      </w:r>
      <w:r w:rsidRPr="002C5876">
        <w:rPr>
          <w:spacing w:val="-5"/>
        </w:rPr>
        <w:t xml:space="preserve"> / A</w:t>
      </w:r>
      <w:r w:rsidRPr="002C5876">
        <w:rPr>
          <w:spacing w:val="-5"/>
          <w:vertAlign w:val="subscript"/>
        </w:rPr>
        <w:t>fr</w:t>
      </w:r>
      <w:r w:rsidRPr="002C5876">
        <w:rPr>
          <w:spacing w:val="-5"/>
        </w:rPr>
        <w:t>)</w:t>
      </w:r>
    </w:p>
    <w:p w:rsidR="00E24DB7" w:rsidRPr="002C5876" w:rsidRDefault="00E24DB7" w:rsidP="00E24DB7">
      <w:pPr>
        <w:pStyle w:val="SingleTxtG"/>
        <w:ind w:left="3402" w:hanging="1134"/>
        <w:jc w:val="center"/>
        <w:rPr>
          <w:spacing w:val="-5"/>
        </w:rPr>
      </w:pPr>
      <w:r w:rsidRPr="002C5876">
        <w:rPr>
          <w:spacing w:val="-5"/>
        </w:rPr>
        <w:t>(0,2 × 1,02 × c</w:t>
      </w:r>
      <w:r w:rsidRPr="002C5876">
        <w:rPr>
          <w:spacing w:val="-5"/>
          <w:vertAlign w:val="subscript"/>
        </w:rPr>
        <w:t>2r</w:t>
      </w:r>
      <w:r w:rsidRPr="002C5876">
        <w:rPr>
          <w:spacing w:val="-5"/>
        </w:rPr>
        <w:t xml:space="preserve">/r’ + 0,8 × 1,02 </w:t>
      </w:r>
      <w:r w:rsidRPr="002C5876">
        <w:rPr>
          <w:szCs w:val="24"/>
        </w:rPr>
        <w:t>×</w:t>
      </w:r>
      <w:r w:rsidRPr="002C5876">
        <w:rPr>
          <w:spacing w:val="-5"/>
        </w:rPr>
        <w:t xml:space="preserve"> c</w:t>
      </w:r>
      <w:r w:rsidRPr="002C5876">
        <w:rPr>
          <w:spacing w:val="-5"/>
          <w:vertAlign w:val="subscript"/>
        </w:rPr>
        <w:t>2r</w:t>
      </w:r>
      <w:r w:rsidRPr="002C5876">
        <w:rPr>
          <w:spacing w:val="-5"/>
        </w:rPr>
        <w:t>/r’ × A</w:t>
      </w:r>
      <w:r w:rsidRPr="002C5876">
        <w:rPr>
          <w:spacing w:val="-5"/>
          <w:vertAlign w:val="subscript"/>
        </w:rPr>
        <w:t>f</w:t>
      </w:r>
      <w:r w:rsidRPr="002C5876">
        <w:rPr>
          <w:spacing w:val="-5"/>
        </w:rPr>
        <w:t xml:space="preserve"> / A</w:t>
      </w:r>
      <w:r w:rsidRPr="002C5876">
        <w:rPr>
          <w:spacing w:val="-5"/>
          <w:vertAlign w:val="subscript"/>
        </w:rPr>
        <w:t>fr</w:t>
      </w:r>
      <w:r w:rsidRPr="002C5876">
        <w:rPr>
          <w:spacing w:val="-5"/>
        </w:rPr>
        <w:t>))</w:t>
      </w:r>
    </w:p>
    <w:p w:rsidR="00E24DB7" w:rsidRPr="002C5876" w:rsidRDefault="00E24DB7" w:rsidP="00E24DB7">
      <w:pPr>
        <w:pStyle w:val="SingleTxtG"/>
        <w:ind w:left="3402" w:hanging="1134"/>
      </w:pPr>
      <w:r w:rsidRPr="002C5876">
        <w:t>c</w:t>
      </w:r>
      <w:r w:rsidRPr="002C5876">
        <w:rPr>
          <w:vertAlign w:val="subscript"/>
        </w:rPr>
        <w:t>2r</w:t>
      </w:r>
      <w:r w:rsidRPr="002C5876">
        <w:tab/>
      </w:r>
      <w:r w:rsidRPr="002C5876">
        <w:rPr>
          <w:iCs/>
        </w:rPr>
        <w:t xml:space="preserve">est le coefficient de </w:t>
      </w:r>
      <w:r w:rsidRPr="002C5876">
        <w:t>résistance à l’avancement du deuxième ordre du véhicule représentatif de la famille de matrices de résistance à l’avancement sur route, en N/(km/h)² ;</w:t>
      </w:r>
    </w:p>
    <w:p w:rsidR="00E24DB7" w:rsidRPr="002C5876" w:rsidRDefault="00E24DB7" w:rsidP="00E24DB7">
      <w:pPr>
        <w:pStyle w:val="SingleTxtG"/>
        <w:ind w:left="3402" w:hanging="1134"/>
      </w:pPr>
      <w:r w:rsidRPr="002C5876">
        <w:t>v</w:t>
      </w:r>
      <w:r w:rsidRPr="002C5876">
        <w:tab/>
      </w:r>
      <w:r w:rsidRPr="002C5876">
        <w:tab/>
        <w:t>est la vitesse du véhicule, en km/h ;</w:t>
      </w:r>
    </w:p>
    <w:p w:rsidR="00E24DB7" w:rsidRPr="002C5876" w:rsidRDefault="00E24DB7" w:rsidP="00E24DB7">
      <w:pPr>
        <w:pStyle w:val="SingleTxtG"/>
        <w:ind w:left="3402" w:hanging="1134"/>
      </w:pPr>
      <w:r w:rsidRPr="002C5876">
        <w:t>TM</w:t>
      </w:r>
      <w:r w:rsidRPr="002C5876">
        <w:tab/>
        <w:t>est la masse d’essai effective du véhicule donné de la famille de matrices de résistance à l’avancement sur route, en kg ;</w:t>
      </w:r>
    </w:p>
    <w:p w:rsidR="00E24DB7" w:rsidRPr="002C5876" w:rsidRDefault="00E24DB7" w:rsidP="00E24DB7">
      <w:pPr>
        <w:pStyle w:val="SingleTxtG"/>
        <w:ind w:left="3402" w:hanging="1134"/>
      </w:pPr>
      <w:r w:rsidRPr="002C5876">
        <w:t>TMr</w:t>
      </w:r>
      <w:r w:rsidRPr="002C5876">
        <w:tab/>
        <w:t>est la masse d’essai du véhicule représentatif de la famille de matrices de résistance à l’avancement sur route, en kg ;</w:t>
      </w:r>
    </w:p>
    <w:p w:rsidR="00E24DB7" w:rsidRPr="002C5876" w:rsidRDefault="00E24DB7" w:rsidP="00E24DB7">
      <w:pPr>
        <w:pStyle w:val="SingleTxtG"/>
        <w:ind w:left="3402" w:hanging="1134"/>
      </w:pPr>
      <w:r w:rsidRPr="002C5876">
        <w:t>A</w:t>
      </w:r>
      <w:r w:rsidRPr="002C5876">
        <w:rPr>
          <w:vertAlign w:val="subscript"/>
        </w:rPr>
        <w:t>f</w:t>
      </w:r>
      <w:r w:rsidRPr="002C5876">
        <w:tab/>
      </w:r>
      <w:r w:rsidRPr="002C5876">
        <w:rPr>
          <w:iCs/>
        </w:rPr>
        <w:t xml:space="preserve">est </w:t>
      </w:r>
      <w:r w:rsidRPr="002C5876">
        <w:t>le maître-couple du véhicule donné de la famille de matrices de résistance à l’avancement sur route, en m</w:t>
      </w:r>
      <w:r w:rsidRPr="002C5876">
        <w:rPr>
          <w:vertAlign w:val="superscript"/>
        </w:rPr>
        <w:t>2</w:t>
      </w:r>
      <w:r w:rsidRPr="002C5876">
        <w:t> ;</w:t>
      </w:r>
    </w:p>
    <w:p w:rsidR="00E24DB7" w:rsidRPr="002C5876" w:rsidRDefault="00E24DB7" w:rsidP="00E24DB7">
      <w:pPr>
        <w:pStyle w:val="SingleTxtG"/>
        <w:ind w:left="3402" w:hanging="1134"/>
      </w:pPr>
      <w:r w:rsidRPr="002C5876">
        <w:t>A</w:t>
      </w:r>
      <w:r w:rsidRPr="002C5876">
        <w:rPr>
          <w:vertAlign w:val="subscript"/>
        </w:rPr>
        <w:t>fr</w:t>
      </w:r>
      <w:r w:rsidRPr="002C5876">
        <w:tab/>
      </w:r>
      <w:r w:rsidRPr="002C5876">
        <w:rPr>
          <w:iCs/>
        </w:rPr>
        <w:t xml:space="preserve">est </w:t>
      </w:r>
      <w:r w:rsidRPr="002C5876">
        <w:t>le maître-couple du véhicule représentatif de la famille de matrices de résistance à l’avancement sur route, en m</w:t>
      </w:r>
      <w:r w:rsidRPr="002C5876">
        <w:rPr>
          <w:vertAlign w:val="superscript"/>
        </w:rPr>
        <w:t>2</w:t>
      </w:r>
      <w:r w:rsidRPr="002C5876">
        <w:t xml:space="preserve"> ; </w:t>
      </w:r>
    </w:p>
    <w:p w:rsidR="00E24DB7" w:rsidRPr="002C5876" w:rsidRDefault="00E24DB7" w:rsidP="00E24DB7">
      <w:pPr>
        <w:pStyle w:val="SingleTxtG"/>
        <w:ind w:left="3402" w:hanging="1134"/>
      </w:pPr>
      <w:r w:rsidRPr="002C5876">
        <w:t>RR</w:t>
      </w:r>
      <w:r w:rsidRPr="002C5876">
        <w:tab/>
      </w:r>
      <w:r w:rsidRPr="002C5876">
        <w:rPr>
          <w:iCs/>
        </w:rPr>
        <w:t xml:space="preserve">est la </w:t>
      </w:r>
      <w:r w:rsidRPr="002C5876">
        <w:t xml:space="preserve">résistance au roulement des pneumatiques du véhicule donné de la famille de matrices de résistance à l’avancement sur route, en kg/t ; </w:t>
      </w:r>
    </w:p>
    <w:p w:rsidR="00E24DB7" w:rsidRPr="002C5876" w:rsidRDefault="00E24DB7" w:rsidP="00E24DB7">
      <w:pPr>
        <w:pStyle w:val="SingleTxtG"/>
        <w:ind w:left="3402" w:hanging="1134"/>
      </w:pPr>
      <w:r w:rsidRPr="002C5876">
        <w:t>RR</w:t>
      </w:r>
      <w:r w:rsidRPr="002C5876">
        <w:rPr>
          <w:vertAlign w:val="subscript"/>
        </w:rPr>
        <w:t>r</w:t>
      </w:r>
      <w:r w:rsidRPr="002C5876">
        <w:tab/>
      </w:r>
      <w:r w:rsidRPr="002C5876">
        <w:rPr>
          <w:iCs/>
        </w:rPr>
        <w:t xml:space="preserve">est la </w:t>
      </w:r>
      <w:r w:rsidRPr="002C5876">
        <w:t>résistance au roulement des pneumatiques du véhicule donné de la famille de matrices de résistance à l’avancement sur route, en kg/t ;</w:t>
      </w:r>
    </w:p>
    <w:p w:rsidR="00E24DB7" w:rsidRPr="002C5876" w:rsidRDefault="00E24DB7" w:rsidP="00E24DB7">
      <w:pPr>
        <w:pStyle w:val="SingleTxtG"/>
        <w:ind w:left="3402" w:hanging="1134"/>
      </w:pPr>
      <w:r w:rsidRPr="002C5876">
        <w:t>r’</w:t>
      </w:r>
      <w:r w:rsidRPr="002C5876">
        <w:tab/>
      </w:r>
      <w:r w:rsidRPr="002C5876">
        <w:rPr>
          <w:iCs/>
        </w:rPr>
        <w:t xml:space="preserve">est </w:t>
      </w:r>
      <w:r w:rsidRPr="002C5876">
        <w:t>le rayon dynamique du pneumatique sur le banc à rouleaux déterminé à 80 km/h, en m ;</w:t>
      </w:r>
    </w:p>
    <w:p w:rsidR="00E24DB7" w:rsidRPr="002C5876" w:rsidRDefault="00E24DB7" w:rsidP="00E24DB7">
      <w:pPr>
        <w:pStyle w:val="SingleTxtG"/>
        <w:ind w:left="3402" w:hanging="1134"/>
      </w:pPr>
      <w:r w:rsidRPr="002C5876">
        <w:t>1,02</w:t>
      </w:r>
      <w:r w:rsidRPr="002C5876">
        <w:tab/>
      </w:r>
      <w:r w:rsidRPr="002C5876">
        <w:rPr>
          <w:iCs/>
        </w:rPr>
        <w:t xml:space="preserve">est un </w:t>
      </w:r>
      <w:r w:rsidRPr="002C5876">
        <w:t>coefficient approximatif de compensation pour les pertes de transmission.</w:t>
      </w:r>
    </w:p>
    <w:p w:rsidR="00E24DB7" w:rsidRPr="002C5876" w:rsidRDefault="00E24DB7" w:rsidP="00E24DB7">
      <w:pPr>
        <w:pStyle w:val="SingleTxtG"/>
        <w:keepNext/>
        <w:ind w:left="2268" w:hanging="1134"/>
        <w:jc w:val="left"/>
      </w:pPr>
      <w:r w:rsidRPr="002C5876">
        <w:t>5.2</w:t>
      </w:r>
      <w:r w:rsidRPr="002C5876">
        <w:tab/>
        <w:t>Méthode de calcul de la valeur de résistance à l’avancement sur route par défaut sur la base des paramètres du véhicule</w:t>
      </w:r>
    </w:p>
    <w:p w:rsidR="00E24DB7" w:rsidRPr="002C5876" w:rsidRDefault="00E24DB7" w:rsidP="00E24DB7">
      <w:pPr>
        <w:pStyle w:val="SingleTxtG"/>
        <w:ind w:left="2268" w:hanging="1134"/>
      </w:pPr>
      <w:r w:rsidRPr="002C5876">
        <w:t>5.2.1</w:t>
      </w:r>
      <w:r w:rsidRPr="002C5876">
        <w:tab/>
        <w:t>Comme alternative à la méthode de la décélération libre ou à la méthode des capteurs de couple, une méthode de calcul de la valeur de résistance à l’avancement sur route par défaut peut être utilisée.</w:t>
      </w:r>
    </w:p>
    <w:p w:rsidR="00E24DB7" w:rsidRPr="002C5876" w:rsidRDefault="00E24DB7" w:rsidP="00E24DB7">
      <w:pPr>
        <w:pStyle w:val="SingleTxtG"/>
        <w:ind w:left="2268"/>
      </w:pPr>
      <w:r w:rsidRPr="002C5876">
        <w:t>Pour ce calcul, plusieurs paramètres du véhicule, tels que masse d’essai, largeur et hauteur, doivent être connus. La force de résistance à l’avancement F</w:t>
      </w:r>
      <w:r w:rsidRPr="002C5876">
        <w:rPr>
          <w:vertAlign w:val="subscript"/>
        </w:rPr>
        <w:t>c</w:t>
      </w:r>
      <w:r w:rsidRPr="002C5876">
        <w:t xml:space="preserve"> doit être calculée pour les points de vitesse de référence.</w:t>
      </w:r>
    </w:p>
    <w:p w:rsidR="00E24DB7" w:rsidRPr="002C5876" w:rsidRDefault="00E24DB7" w:rsidP="00E24DB7">
      <w:pPr>
        <w:pStyle w:val="SingleTxtG"/>
        <w:keepNext/>
        <w:ind w:left="2268" w:hanging="1134"/>
      </w:pPr>
      <w:r w:rsidRPr="002C5876">
        <w:lastRenderedPageBreak/>
        <w:t>5.2.2</w:t>
      </w:r>
      <w:r w:rsidRPr="002C5876">
        <w:tab/>
        <w:t xml:space="preserve">La force de résistance à l’avancement sur route par défaut doit être calculée conformément à l’équation ci-après : </w:t>
      </w:r>
    </w:p>
    <w:p w:rsidR="00E24DB7" w:rsidRPr="002C5876" w:rsidRDefault="00731CA6" w:rsidP="00E24DB7">
      <w:pPr>
        <w:pStyle w:val="SingleTxtG"/>
        <w:ind w:left="2268"/>
        <w:jc w:val="center"/>
      </w:pPr>
      <m:oMathPara>
        <m:oMath>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c</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0</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1</m:t>
              </m:r>
            </m:sub>
          </m:sSub>
          <m:r>
            <m:rPr>
              <m:sty m:val="p"/>
            </m:rPr>
            <w:rPr>
              <w:rFonts w:ascii="Cambria Math" w:hAnsi="Cambria Math" w:cstheme="majorBidi"/>
            </w:rPr>
            <m:t>×v+</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2</m:t>
              </m:r>
            </m:sub>
          </m:sSub>
          <m:r>
            <m:rPr>
              <m:sty m:val="p"/>
            </m:rPr>
            <w:rPr>
              <w:rFonts w:ascii="Cambria Math" w:hAnsi="Cambria Math" w:cstheme="majorBidi"/>
            </w:rPr>
            <m:t>×</m:t>
          </m:r>
          <m:sSup>
            <m:sSupPr>
              <m:ctrlPr>
                <w:rPr>
                  <w:rFonts w:ascii="Cambria Math" w:hAnsi="Cambria Math" w:cstheme="majorBidi"/>
                </w:rPr>
              </m:ctrlPr>
            </m:sSupPr>
            <m:e>
              <m:r>
                <m:rPr>
                  <m:sty m:val="p"/>
                </m:rPr>
                <w:rPr>
                  <w:rFonts w:ascii="Cambria Math" w:hAnsi="Cambria Math" w:cstheme="majorBidi"/>
                </w:rPr>
                <m:t>v</m:t>
              </m:r>
            </m:e>
            <m:sup>
              <m:r>
                <m:rPr>
                  <m:sty m:val="p"/>
                </m:rPr>
                <w:rPr>
                  <w:rFonts w:ascii="Cambria Math" w:hAnsi="Cambria Math" w:cstheme="majorBidi"/>
                </w:rPr>
                <m:t>2</m:t>
              </m:r>
            </m:sup>
          </m:sSup>
        </m:oMath>
      </m:oMathPara>
    </w:p>
    <w:p w:rsidR="00E24DB7" w:rsidRPr="002C5876" w:rsidRDefault="00E24DB7" w:rsidP="00E24DB7">
      <w:pPr>
        <w:pStyle w:val="SingleTxtG"/>
        <w:keepNext/>
        <w:ind w:left="2268"/>
        <w:rPr>
          <w:iCs/>
        </w:rPr>
      </w:pPr>
      <w:r w:rsidRPr="002C5876">
        <w:t>où :</w:t>
      </w:r>
    </w:p>
    <w:p w:rsidR="00E24DB7" w:rsidRPr="002C5876" w:rsidRDefault="00E24DB7" w:rsidP="00E24DB7">
      <w:pPr>
        <w:pStyle w:val="SingleTxtG"/>
        <w:ind w:left="3402" w:hanging="1134"/>
        <w:rPr>
          <w:iCs/>
        </w:rPr>
      </w:pPr>
      <w:r w:rsidRPr="002C5876">
        <w:rPr>
          <w:iCs/>
        </w:rPr>
        <w:t>F</w:t>
      </w:r>
      <w:r w:rsidRPr="002C5876">
        <w:rPr>
          <w:iCs/>
          <w:vertAlign w:val="subscript"/>
        </w:rPr>
        <w:t>c</w:t>
      </w:r>
      <w:r w:rsidRPr="002C5876">
        <w:rPr>
          <w:iCs/>
        </w:rPr>
        <w:tab/>
      </w:r>
      <w:r w:rsidRPr="002C5876">
        <w:t>est la force calculée</w:t>
      </w:r>
      <w:r w:rsidRPr="002C5876">
        <w:rPr>
          <w:iCs/>
        </w:rPr>
        <w:t xml:space="preserve"> de </w:t>
      </w:r>
      <w:r w:rsidRPr="002C5876">
        <w:t>résistance à l’avancement sur route</w:t>
      </w:r>
      <w:r w:rsidRPr="002C5876">
        <w:rPr>
          <w:iCs/>
        </w:rPr>
        <w:t xml:space="preserve"> </w:t>
      </w:r>
      <w:r w:rsidRPr="002C5876">
        <w:t>en fonction de la vitesse du véhicule, en N ;</w:t>
      </w:r>
    </w:p>
    <w:p w:rsidR="00E24DB7" w:rsidRPr="002C5876" w:rsidRDefault="00E24DB7" w:rsidP="00E24DB7">
      <w:pPr>
        <w:pStyle w:val="SingleTxtG"/>
        <w:keepNext/>
        <w:ind w:left="3402" w:hanging="1134"/>
        <w:rPr>
          <w:iCs/>
        </w:rPr>
      </w:pPr>
      <w:r w:rsidRPr="002C5876">
        <w:rPr>
          <w:iCs/>
        </w:rPr>
        <w:t>f</w:t>
      </w:r>
      <w:r w:rsidRPr="002C5876">
        <w:rPr>
          <w:iCs/>
          <w:vertAlign w:val="subscript"/>
        </w:rPr>
        <w:t>0</w:t>
      </w:r>
      <w:r w:rsidRPr="002C5876">
        <w:rPr>
          <w:iCs/>
        </w:rPr>
        <w:tab/>
        <w:t xml:space="preserve">est le coefficient constant de </w:t>
      </w:r>
      <w:r w:rsidRPr="002C5876">
        <w:t xml:space="preserve">résistance à l’avancement sur route, en N, </w:t>
      </w:r>
      <w:r w:rsidRPr="002C5876">
        <w:rPr>
          <w:iCs/>
        </w:rPr>
        <w:t>défini par l’équation suivante :</w:t>
      </w:r>
    </w:p>
    <w:p w:rsidR="00E24DB7" w:rsidRPr="002C5876" w:rsidRDefault="00731CA6" w:rsidP="0025721F">
      <w:pPr>
        <w:pStyle w:val="SingleTxtG"/>
        <w:keepNext/>
        <w:ind w:left="2268"/>
        <w:rPr>
          <w:iCs/>
        </w:rPr>
      </w:pPr>
      <m:oMathPara>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0</m:t>
              </m:r>
            </m:sub>
          </m:sSub>
          <m:r>
            <m:rPr>
              <m:sty m:val="p"/>
            </m:rPr>
            <w:rPr>
              <w:rFonts w:ascii="Cambria Math" w:hAnsi="Cambria Math"/>
            </w:rPr>
            <m:t>=0.140×TM</m:t>
          </m:r>
        </m:oMath>
      </m:oMathPara>
    </w:p>
    <w:p w:rsidR="00E24DB7" w:rsidRPr="002C5876" w:rsidRDefault="00E24DB7" w:rsidP="00E24DB7">
      <w:pPr>
        <w:pStyle w:val="SingleTxtG"/>
        <w:ind w:left="3402" w:hanging="1134"/>
        <w:rPr>
          <w:iCs/>
        </w:rPr>
      </w:pPr>
      <w:r w:rsidRPr="002C5876">
        <w:rPr>
          <w:iCs/>
        </w:rPr>
        <w:t>f</w:t>
      </w:r>
      <w:r w:rsidRPr="002C5876">
        <w:rPr>
          <w:iCs/>
          <w:vertAlign w:val="subscript"/>
        </w:rPr>
        <w:t>1</w:t>
      </w:r>
      <w:r w:rsidRPr="002C5876">
        <w:rPr>
          <w:iCs/>
        </w:rPr>
        <w:tab/>
        <w:t xml:space="preserve">est le coefficient de </w:t>
      </w:r>
      <w:r w:rsidRPr="002C5876">
        <w:t>résistance à l’avancement sur route du premier ordre</w:t>
      </w:r>
      <w:r w:rsidRPr="002C5876">
        <w:rPr>
          <w:iCs/>
        </w:rPr>
        <w:t xml:space="preserve"> et est pris comme égal à zéro ;</w:t>
      </w:r>
    </w:p>
    <w:p w:rsidR="00E24DB7" w:rsidRPr="002C5876" w:rsidRDefault="00E24DB7" w:rsidP="00E24DB7">
      <w:pPr>
        <w:pStyle w:val="SingleTxtG"/>
        <w:ind w:left="3402" w:hanging="1134"/>
        <w:rPr>
          <w:iCs/>
        </w:rPr>
      </w:pPr>
      <w:r w:rsidRPr="002C5876">
        <w:rPr>
          <w:iCs/>
        </w:rPr>
        <w:t>f</w:t>
      </w:r>
      <w:r w:rsidRPr="002C5876">
        <w:rPr>
          <w:iCs/>
          <w:vertAlign w:val="subscript"/>
        </w:rPr>
        <w:t>2</w:t>
      </w:r>
      <w:r w:rsidRPr="002C5876">
        <w:rPr>
          <w:iCs/>
        </w:rPr>
        <w:tab/>
        <w:t xml:space="preserve">est le coefficient de </w:t>
      </w:r>
      <w:r w:rsidRPr="002C5876">
        <w:t>résistance à l’avancement sur route du deuxième ordre</w:t>
      </w:r>
      <w:r w:rsidRPr="002C5876">
        <w:rPr>
          <w:iCs/>
        </w:rPr>
        <w:t xml:space="preserve">, en N/(km/h)², défini par l’équation : </w:t>
      </w:r>
    </w:p>
    <w:p w:rsidR="0025721F" w:rsidRPr="002C5876" w:rsidRDefault="00731CA6" w:rsidP="0025721F">
      <w:pPr>
        <w:pStyle w:val="SingleTxtG"/>
        <w:ind w:left="2268"/>
        <w:rPr>
          <w:iCs/>
        </w:rPr>
      </w:pPr>
      <m:oMathPara>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2</m:t>
              </m:r>
            </m:sub>
          </m:sSub>
          <m:r>
            <m:rPr>
              <m:sty m:val="p"/>
            </m:rPr>
            <w:rPr>
              <w:rFonts w:ascii="Cambria Math" w:hAnsi="Cambria Math"/>
            </w:rPr>
            <m:t>=(2,8×</m:t>
          </m:r>
          <m:sSup>
            <m:sSupPr>
              <m:ctrlPr>
                <w:rPr>
                  <w:rFonts w:ascii="Cambria Math" w:hAnsi="Cambria Math"/>
                  <w:iCs/>
                </w:rPr>
              </m:ctrlPr>
            </m:sSupPr>
            <m:e>
              <m:r>
                <m:rPr>
                  <m:sty m:val="p"/>
                </m:rPr>
                <w:rPr>
                  <w:rFonts w:ascii="Cambria Math" w:hAnsi="Cambria Math"/>
                </w:rPr>
                <m:t>10</m:t>
              </m:r>
            </m:e>
            <m:sup>
              <m:r>
                <m:rPr>
                  <m:sty m:val="p"/>
                </m:rPr>
                <w:rPr>
                  <w:rFonts w:ascii="Cambria Math" w:hAnsi="Cambria Math"/>
                </w:rPr>
                <m:t>-6</m:t>
              </m:r>
            </m:sup>
          </m:sSup>
          <m:r>
            <m:rPr>
              <m:sty m:val="p"/>
            </m:rPr>
            <w:rPr>
              <w:rFonts w:ascii="Cambria Math" w:hAnsi="Cambria Math"/>
            </w:rPr>
            <m:t>×TM)+(0,0170×largeur×hauteur)</m:t>
          </m:r>
        </m:oMath>
      </m:oMathPara>
    </w:p>
    <w:p w:rsidR="00E24DB7" w:rsidRPr="002C5876" w:rsidRDefault="00E24DB7" w:rsidP="00E24DB7">
      <w:pPr>
        <w:pStyle w:val="SingleTxtG"/>
        <w:ind w:left="3402" w:hanging="1134"/>
      </w:pPr>
      <w:r w:rsidRPr="002C5876">
        <w:t>v</w:t>
      </w:r>
      <w:r w:rsidRPr="002C5876">
        <w:tab/>
        <w:t>est la vitesse du véhicule, en km/h ;</w:t>
      </w:r>
    </w:p>
    <w:p w:rsidR="00E24DB7" w:rsidRPr="002C5876" w:rsidRDefault="00E24DB7" w:rsidP="00E24DB7">
      <w:pPr>
        <w:pStyle w:val="SingleTxtG"/>
        <w:ind w:left="3402" w:hanging="1134"/>
      </w:pPr>
      <w:r w:rsidRPr="002C5876">
        <w:t>TM</w:t>
      </w:r>
      <w:r w:rsidRPr="002C5876">
        <w:tab/>
        <w:t>est la masse d’essai du véhicule, en kg ;</w:t>
      </w:r>
    </w:p>
    <w:p w:rsidR="00E24DB7" w:rsidRPr="002C5876" w:rsidRDefault="00E24DB7" w:rsidP="00E24DB7">
      <w:pPr>
        <w:pStyle w:val="SingleTxtG"/>
        <w:ind w:left="3402" w:hanging="1134"/>
      </w:pPr>
      <w:r w:rsidRPr="002C5876">
        <w:t>largeur</w:t>
      </w:r>
      <w:r w:rsidRPr="002C5876">
        <w:tab/>
        <w:t>est la largeur du véhicule, en m, comme défini au point 6.2 de la norme ISO 612:1978 ;</w:t>
      </w:r>
    </w:p>
    <w:p w:rsidR="00E24DB7" w:rsidRPr="002C5876" w:rsidRDefault="00E24DB7" w:rsidP="00E24DB7">
      <w:pPr>
        <w:pStyle w:val="SingleTxtG"/>
        <w:ind w:left="3402" w:hanging="1134"/>
        <w:rPr>
          <w:iCs/>
        </w:rPr>
      </w:pPr>
      <w:r w:rsidRPr="002C5876">
        <w:rPr>
          <w:iCs/>
        </w:rPr>
        <w:t>hauteur</w:t>
      </w:r>
      <w:r w:rsidRPr="002C5876">
        <w:rPr>
          <w:iCs/>
        </w:rPr>
        <w:tab/>
        <w:t xml:space="preserve">est la hauteur du véhicule, en m, comme défini au point 6.3 </w:t>
      </w:r>
      <w:r w:rsidRPr="002C5876">
        <w:t xml:space="preserve">de la norme </w:t>
      </w:r>
      <w:r w:rsidRPr="002C5876">
        <w:rPr>
          <w:iCs/>
        </w:rPr>
        <w:t>ISO 612:1978.</w:t>
      </w:r>
    </w:p>
    <w:p w:rsidR="00E24DB7" w:rsidRPr="002C5876" w:rsidRDefault="00E24DB7" w:rsidP="00E24DB7">
      <w:pPr>
        <w:pStyle w:val="SingleTxtG"/>
        <w:keepNext/>
        <w:ind w:left="2268" w:hanging="1134"/>
        <w:jc w:val="left"/>
      </w:pPr>
      <w:r w:rsidRPr="002C5876">
        <w:t>6.</w:t>
      </w:r>
      <w:r w:rsidRPr="002C5876">
        <w:tab/>
        <w:t xml:space="preserve">Méthode avec essai en soufflerie </w:t>
      </w:r>
    </w:p>
    <w:p w:rsidR="00E24DB7" w:rsidRPr="002C5876" w:rsidRDefault="00E24DB7" w:rsidP="00E24DB7">
      <w:pPr>
        <w:pStyle w:val="SingleTxtG"/>
        <w:ind w:left="2268"/>
      </w:pPr>
      <w:r w:rsidRPr="002C5876">
        <w:t>La méthode avec essai en soufflerie est une méthode appliquée pour la mesure de la résistance à l’avancement sur route en combinaison avec l’essai sur un banc à rouleau ou un banc à tapis roulant. Les bancs d’essai peuvent être des appareils séparés ou intégrés les uns aux autres.</w:t>
      </w:r>
    </w:p>
    <w:p w:rsidR="00E24DB7" w:rsidRPr="002C5876" w:rsidRDefault="00E24DB7" w:rsidP="00E24DB7">
      <w:pPr>
        <w:pStyle w:val="SingleTxtG"/>
        <w:keepNext/>
        <w:ind w:left="2268" w:hanging="1134"/>
        <w:jc w:val="left"/>
      </w:pPr>
      <w:r w:rsidRPr="002C5876">
        <w:t>6.1</w:t>
      </w:r>
      <w:r w:rsidRPr="002C5876">
        <w:tab/>
        <w:t>Méthode de mesure</w:t>
      </w:r>
    </w:p>
    <w:p w:rsidR="00E24DB7" w:rsidRPr="002C5876" w:rsidRDefault="00E24DB7" w:rsidP="00E24DB7">
      <w:pPr>
        <w:pStyle w:val="SingleTxtG"/>
        <w:keepNext/>
        <w:ind w:left="2268" w:hanging="1134"/>
        <w:jc w:val="left"/>
      </w:pPr>
      <w:r w:rsidRPr="002C5876">
        <w:t>6.1.1</w:t>
      </w:r>
      <w:r w:rsidRPr="002C5876">
        <w:tab/>
        <w:t>La résistance à l’avancement sur route est déterminée :</w:t>
      </w:r>
    </w:p>
    <w:p w:rsidR="00E24DB7" w:rsidRPr="002C5876" w:rsidRDefault="00E24DB7" w:rsidP="00E24DB7">
      <w:pPr>
        <w:pStyle w:val="SingleTxtG"/>
        <w:ind w:left="2835" w:hanging="567"/>
      </w:pPr>
      <w:r w:rsidRPr="002C5876">
        <w:t>a)</w:t>
      </w:r>
      <w:r w:rsidRPr="002C5876">
        <w:tab/>
        <w:t>Par addition des forces de résistance à l’avancement sur route mesurées dans une soufflerie et sur un banc à tapis roulant ; ou</w:t>
      </w:r>
    </w:p>
    <w:p w:rsidR="00E24DB7" w:rsidRPr="002C5876" w:rsidRDefault="00E24DB7" w:rsidP="00E24DB7">
      <w:pPr>
        <w:pStyle w:val="SingleTxtG"/>
        <w:ind w:left="2835" w:hanging="567"/>
      </w:pPr>
      <w:r w:rsidRPr="002C5876">
        <w:t>b)</w:t>
      </w:r>
      <w:r w:rsidRPr="002C5876">
        <w:tab/>
        <w:t>Par addition des forces de résistance à l’avancement sur route mesurées dans une soufflerie et sur un banc à rouleaux.</w:t>
      </w:r>
    </w:p>
    <w:p w:rsidR="00E24DB7" w:rsidRPr="002C5876" w:rsidRDefault="00E24DB7" w:rsidP="00E24DB7">
      <w:pPr>
        <w:pStyle w:val="SingleTxtG"/>
        <w:ind w:left="2268" w:hanging="1134"/>
      </w:pPr>
      <w:r w:rsidRPr="002C5876">
        <w:t>6.1.2</w:t>
      </w:r>
      <w:r w:rsidRPr="002C5876">
        <w:tab/>
        <w:t>La traînée aérodynamique est mesurée en soufflerie.</w:t>
      </w:r>
    </w:p>
    <w:p w:rsidR="00E24DB7" w:rsidRPr="002C5876" w:rsidRDefault="00E24DB7" w:rsidP="00E24DB7">
      <w:pPr>
        <w:pStyle w:val="SingleTxtG"/>
        <w:ind w:left="2268" w:hanging="1134"/>
      </w:pPr>
      <w:r w:rsidRPr="002C5876">
        <w:t>6.1.3</w:t>
      </w:r>
      <w:r w:rsidRPr="002C5876">
        <w:tab/>
        <w:t>La résistance au roulement et les pertes de transmission sont mesurées sur un banc à tapis roulant ou à rouleaux, simultanément pour l’essieu avant et le ou les essieux arrière.</w:t>
      </w:r>
    </w:p>
    <w:p w:rsidR="00E24DB7" w:rsidRPr="002C5876" w:rsidRDefault="00E24DB7" w:rsidP="00E24DB7">
      <w:pPr>
        <w:pStyle w:val="SingleTxtG"/>
        <w:keepNext/>
        <w:ind w:left="2268" w:hanging="1134"/>
        <w:jc w:val="left"/>
      </w:pPr>
      <w:r w:rsidRPr="002C5876">
        <w:t>6.2</w:t>
      </w:r>
      <w:r w:rsidRPr="002C5876">
        <w:tab/>
        <w:t>Agrément des installations d’essai par l’autorité compétente</w:t>
      </w:r>
    </w:p>
    <w:p w:rsidR="00E24DB7" w:rsidRPr="002C5876" w:rsidRDefault="00E24DB7" w:rsidP="00E24DB7">
      <w:pPr>
        <w:pStyle w:val="SingleTxtG"/>
        <w:ind w:left="2268"/>
      </w:pPr>
      <w:r w:rsidRPr="002C5876">
        <w:t>Les résultats de la méthode d’essai en soufflerie doivent être comparés à ceux obtenus avec la méthode de la décélération libre, pour démontrer que ces installations ont la qualification voulue, et enregistrés.</w:t>
      </w:r>
    </w:p>
    <w:p w:rsidR="00E24DB7" w:rsidRPr="002C5876" w:rsidRDefault="00E24DB7" w:rsidP="00E24DB7">
      <w:pPr>
        <w:pStyle w:val="SingleTxtG"/>
        <w:ind w:left="2268" w:hanging="1134"/>
      </w:pPr>
      <w:r w:rsidRPr="002C5876">
        <w:t>6.2.1</w:t>
      </w:r>
      <w:r w:rsidRPr="002C5876">
        <w:tab/>
        <w:t>Trois véhicules doivent être sélectionnés par l’autorité compétente. Les véhicules doivent couvrir la gamme de véhicules (en dimension et en poids) qu’il est prévu de soumettre aux essais dans les installations en question.</w:t>
      </w:r>
    </w:p>
    <w:p w:rsidR="00E24DB7" w:rsidRPr="002C5876" w:rsidRDefault="00E24DB7" w:rsidP="00E24DB7">
      <w:pPr>
        <w:pStyle w:val="SingleTxtG"/>
        <w:ind w:left="2268" w:hanging="1134"/>
      </w:pPr>
      <w:r w:rsidRPr="002C5876">
        <w:t>6.2.2</w:t>
      </w:r>
      <w:r w:rsidRPr="002C5876">
        <w:tab/>
        <w:t>Deux essais séparés de décélération libre doivent être exécutés avec chacun des trois véhicules, comme spécifié au paragraphe 4.3 de la présente annexe, et les coefficients de résistance à l’avancement sur route résultants f</w:t>
      </w:r>
      <w:r w:rsidRPr="002C5876">
        <w:rPr>
          <w:vertAlign w:val="subscript"/>
        </w:rPr>
        <w:t>0</w:t>
      </w:r>
      <w:r w:rsidRPr="002C5876">
        <w:t>, f</w:t>
      </w:r>
      <w:r w:rsidRPr="002C5876">
        <w:rPr>
          <w:vertAlign w:val="subscript"/>
        </w:rPr>
        <w:t>1</w:t>
      </w:r>
      <w:r w:rsidRPr="002C5876">
        <w:t xml:space="preserve"> et f</w:t>
      </w:r>
      <w:r w:rsidRPr="002C5876">
        <w:rPr>
          <w:vertAlign w:val="subscript"/>
        </w:rPr>
        <w:t>2</w:t>
      </w:r>
      <w:r w:rsidRPr="002C5876">
        <w:t xml:space="preserve"> doivent être déterminés conformément à ce paragraphe et corrigés conformément au paragraphe 4.5.5 de la présente annexe. Le résultat d’un </w:t>
      </w:r>
      <w:r w:rsidRPr="002C5876">
        <w:lastRenderedPageBreak/>
        <w:t>essai de décélération libre d’un véhicule d’essai doit être la valeur moyenne arithmétique des coefficients de résistance à l’avancement sur route des deux essais séparés de décélération libre. Si plus de deux essais de décélération libre sont nécessaires pour satisfaire aux critères d’agrément des installations, le résultat doit être la valeur moyenne des résultats de tous les essais valides.</w:t>
      </w:r>
    </w:p>
    <w:p w:rsidR="00E24DB7" w:rsidRPr="002C5876" w:rsidRDefault="00E24DB7" w:rsidP="00E24DB7">
      <w:pPr>
        <w:pStyle w:val="SingleTxtG"/>
        <w:ind w:left="2268" w:hanging="1134"/>
      </w:pPr>
      <w:r w:rsidRPr="002C5876">
        <w:t>6.2.3</w:t>
      </w:r>
      <w:r w:rsidRPr="002C5876">
        <w:tab/>
        <w:t>La mesure en soufflerie conformément aux paragraphes 6.3 à 6.7 de la présente annexe doit être exécutée sur les trois mêmes véhicules que ceux sélectionnés aux fins du paragraphe 6.2.1 de la présente annexe et dans les mêmes conditions, et les coefficients de résistance à l’avancement sur route résultants f</w:t>
      </w:r>
      <w:r w:rsidRPr="002C5876">
        <w:rPr>
          <w:vertAlign w:val="subscript"/>
        </w:rPr>
        <w:t>0</w:t>
      </w:r>
      <w:r w:rsidRPr="002C5876">
        <w:t>, f</w:t>
      </w:r>
      <w:r w:rsidRPr="002C5876">
        <w:rPr>
          <w:vertAlign w:val="subscript"/>
        </w:rPr>
        <w:t>1</w:t>
      </w:r>
      <w:r w:rsidRPr="002C5876">
        <w:t xml:space="preserve"> et f</w:t>
      </w:r>
      <w:r w:rsidRPr="002C5876">
        <w:rPr>
          <w:vertAlign w:val="subscript"/>
        </w:rPr>
        <w:t>2</w:t>
      </w:r>
      <w:r w:rsidRPr="002C5876">
        <w:t xml:space="preserve"> doivent être déterminés.</w:t>
      </w:r>
    </w:p>
    <w:p w:rsidR="00E24DB7" w:rsidRPr="002C5876" w:rsidRDefault="00E24DB7" w:rsidP="00E24DB7">
      <w:pPr>
        <w:pStyle w:val="SingleTxtG"/>
        <w:ind w:left="2268"/>
      </w:pPr>
      <w:r w:rsidRPr="002C5876">
        <w:t>Si le constructeur préfère utiliser une ou plusieurs des procédures alternatives autorisées dans le cadre de la méthode d’essai en soufflerie (c’est-à-dire le paragraphe 6.5.2.1 sur le préconditionnement, les paragraphes 6.5.2.2 et 6.5.2.3 sur la procédure d’essai, et le paragraphe 6.5.2.3.3 sur les réglages du dynamomètre), ces procédures doivent aussi être utilisées pour l’agrément des installations d’essai.</w:t>
      </w:r>
    </w:p>
    <w:p w:rsidR="00E24DB7" w:rsidRPr="002C5876" w:rsidRDefault="00E24DB7" w:rsidP="00E24DB7">
      <w:pPr>
        <w:pStyle w:val="SingleTxtG"/>
        <w:keepNext/>
        <w:ind w:left="2268" w:hanging="1134"/>
        <w:jc w:val="left"/>
      </w:pPr>
      <w:r w:rsidRPr="002C5876">
        <w:t>6.2.4</w:t>
      </w:r>
      <w:r w:rsidRPr="002C5876">
        <w:tab/>
        <w:t>Critères d’agrément</w:t>
      </w:r>
    </w:p>
    <w:p w:rsidR="00E24DB7" w:rsidRPr="002C5876" w:rsidRDefault="00E24DB7" w:rsidP="00E24DB7">
      <w:pPr>
        <w:pStyle w:val="SingleTxtG"/>
        <w:keepNext/>
        <w:keepLines/>
        <w:ind w:left="2268"/>
      </w:pPr>
      <w:r w:rsidRPr="002C5876">
        <w:t>L’installation ou la combinaison d’installations utilisée est agréée si les deux critères ci-après sont remplis :</w:t>
      </w:r>
    </w:p>
    <w:p w:rsidR="00E24DB7" w:rsidRPr="002C5876" w:rsidRDefault="00E24DB7" w:rsidP="00E24DB7">
      <w:pPr>
        <w:pStyle w:val="SingleTxtG"/>
        <w:ind w:left="2835" w:hanging="567"/>
      </w:pPr>
      <w:r w:rsidRPr="002C5876">
        <w:t>a)</w:t>
      </w:r>
      <w:r w:rsidRPr="002C5876">
        <w:tab/>
        <w:t>La différence de demande d’énergie sur le cycle ε</w:t>
      </w:r>
      <w:r w:rsidRPr="002C5876">
        <w:rPr>
          <w:vertAlign w:val="subscript"/>
        </w:rPr>
        <w:t>k</w:t>
      </w:r>
      <w:r w:rsidRPr="002C5876">
        <w:t xml:space="preserve">, entre la méthode d’essai en soufflerie et la méthode de décélération libre doit demeurer dans les limites de </w:t>
      </w:r>
      <w:r w:rsidRPr="002C5876">
        <w:sym w:font="Symbol" w:char="F0B1"/>
      </w:r>
      <w:r w:rsidRPr="002C5876">
        <w:t>0,05 pour chacun des trois véhicules k, conformément à l’équation suivante :</w:t>
      </w:r>
    </w:p>
    <w:p w:rsidR="00E24DB7" w:rsidRPr="002C5876" w:rsidRDefault="00731CA6" w:rsidP="00E24DB7">
      <w:pPr>
        <w:pStyle w:val="SingleTxtG"/>
        <w:spacing w:after="240"/>
        <w:ind w:left="2268"/>
        <w:jc w:val="center"/>
      </w:pPr>
      <m:oMathPara>
        <m:oMath>
          <m:sSub>
            <m:sSubPr>
              <m:ctrlPr>
                <w:rPr>
                  <w:rFonts w:ascii="Cambria Math" w:hAnsi="Cambria Math" w:cstheme="majorBidi"/>
                </w:rPr>
              </m:ctrlPr>
            </m:sSubPr>
            <m:e>
              <m:r>
                <m:rPr>
                  <m:nor/>
                </m:rPr>
                <w:rPr>
                  <w:rFonts w:asciiTheme="majorBidi" w:hAnsiTheme="majorBidi" w:cstheme="majorBidi"/>
                </w:rPr>
                <m:t>ε</m:t>
              </m:r>
            </m:e>
            <m:sub>
              <m:r>
                <m:rPr>
                  <m:nor/>
                </m:rPr>
                <w:rPr>
                  <w:rFonts w:asciiTheme="majorBidi" w:hAnsiTheme="majorBidi" w:cstheme="majorBidi"/>
                </w:rPr>
                <m:t>k</m:t>
              </m:r>
            </m:sub>
          </m:sSub>
          <m:r>
            <m:rPr>
              <m:nor/>
            </m:rPr>
            <w:rPr>
              <w:rFonts w:ascii="Cambria Math" w:hAnsiTheme="majorBidi" w:cstheme="majorBidi"/>
            </w:rPr>
            <m:t xml:space="preserve"> </m:t>
          </m:r>
          <m:r>
            <m:rPr>
              <m:nor/>
            </m:rPr>
            <w:rPr>
              <w:rFonts w:asciiTheme="majorBidi" w:hAnsiTheme="majorBidi" w:cstheme="majorBidi"/>
            </w:rPr>
            <m:t xml:space="preserve">= </m:t>
          </m:r>
          <m:f>
            <m:fPr>
              <m:ctrlPr>
                <w:rPr>
                  <w:rFonts w:ascii="Cambria Math" w:hAnsi="Cambria Math" w:cstheme="majorBidi"/>
                </w:rPr>
              </m:ctrlPr>
            </m:fPr>
            <m:num>
              <m:sSub>
                <m:sSubPr>
                  <m:ctrlPr>
                    <w:rPr>
                      <w:rFonts w:ascii="Cambria Math" w:hAnsi="Cambria Math" w:cstheme="majorBidi"/>
                    </w:rPr>
                  </m:ctrlPr>
                </m:sSubPr>
                <m:e>
                  <m:r>
                    <m:rPr>
                      <m:nor/>
                    </m:rPr>
                    <w:rPr>
                      <w:rFonts w:asciiTheme="majorBidi" w:hAnsiTheme="majorBidi" w:cstheme="majorBidi"/>
                    </w:rPr>
                    <m:t>E</m:t>
                  </m:r>
                </m:e>
                <m:sub>
                  <m:r>
                    <m:rPr>
                      <m:nor/>
                    </m:rPr>
                    <w:rPr>
                      <w:rFonts w:asciiTheme="majorBidi" w:hAnsiTheme="majorBidi" w:cstheme="majorBidi"/>
                    </w:rPr>
                    <m:t>k, WTM</m:t>
                  </m:r>
                </m:sub>
              </m:sSub>
            </m:num>
            <m:den>
              <m:sSub>
                <m:sSubPr>
                  <m:ctrlPr>
                    <w:rPr>
                      <w:rFonts w:ascii="Cambria Math" w:hAnsi="Cambria Math" w:cstheme="majorBidi"/>
                    </w:rPr>
                  </m:ctrlPr>
                </m:sSubPr>
                <m:e>
                  <m:r>
                    <m:rPr>
                      <m:nor/>
                    </m:rPr>
                    <w:rPr>
                      <w:rFonts w:asciiTheme="majorBidi" w:hAnsiTheme="majorBidi" w:cstheme="majorBidi"/>
                    </w:rPr>
                    <m:t>E</m:t>
                  </m:r>
                </m:e>
                <m:sub>
                  <m:r>
                    <m:rPr>
                      <m:nor/>
                    </m:rPr>
                    <w:rPr>
                      <w:rFonts w:asciiTheme="majorBidi" w:hAnsiTheme="majorBidi" w:cstheme="majorBidi"/>
                    </w:rPr>
                    <m:t>k,coastdown</m:t>
                  </m:r>
                </m:sub>
              </m:sSub>
            </m:den>
          </m:f>
          <m:r>
            <m:rPr>
              <m:nor/>
            </m:rPr>
            <w:rPr>
              <w:rFonts w:ascii="Cambria Math" w:hAnsiTheme="majorBidi" w:cstheme="majorBidi"/>
            </w:rPr>
            <m:t xml:space="preserve"> </m:t>
          </m:r>
          <m:r>
            <m:rPr>
              <m:nor/>
            </m:rPr>
            <w:rPr>
              <w:rFonts w:ascii="Cambria Math" w:hAnsiTheme="majorBidi" w:cstheme="majorBidi"/>
            </w:rPr>
            <m:t>–</m:t>
          </m:r>
          <m:r>
            <m:rPr>
              <m:nor/>
            </m:rPr>
            <w:rPr>
              <w:rFonts w:ascii="Cambria Math" w:hAnsiTheme="majorBidi" w:cstheme="majorBidi"/>
            </w:rPr>
            <m:t xml:space="preserve"> </m:t>
          </m:r>
          <m:r>
            <m:rPr>
              <m:nor/>
            </m:rPr>
            <w:rPr>
              <w:rFonts w:asciiTheme="majorBidi" w:hAnsiTheme="majorBidi" w:cstheme="majorBidi"/>
            </w:rPr>
            <m:t>1</m:t>
          </m:r>
          <m:r>
            <m:rPr>
              <m:sty m:val="p"/>
            </m:rPr>
            <w:rPr>
              <w:rFonts w:ascii="Cambria Math" w:hAnsi="Cambria Math" w:cstheme="majorBidi"/>
            </w:rPr>
            <m:t xml:space="preserve"> </m:t>
          </m:r>
        </m:oMath>
      </m:oMathPara>
    </w:p>
    <w:p w:rsidR="00E24DB7" w:rsidRPr="002C5876" w:rsidRDefault="00E24DB7" w:rsidP="00E24DB7">
      <w:pPr>
        <w:pStyle w:val="SingleTxtG"/>
        <w:keepNext/>
        <w:ind w:left="3969" w:hanging="1134"/>
      </w:pPr>
      <w:r w:rsidRPr="002C5876">
        <w:t xml:space="preserve">où : </w:t>
      </w:r>
    </w:p>
    <w:p w:rsidR="00E24DB7" w:rsidRPr="002C5876" w:rsidRDefault="00E24DB7" w:rsidP="00E24DB7">
      <w:pPr>
        <w:pStyle w:val="SingleTxtG"/>
        <w:ind w:left="3969" w:hanging="1134"/>
      </w:pPr>
      <w:r w:rsidRPr="002C5876">
        <w:t>ε</w:t>
      </w:r>
      <w:r w:rsidRPr="002C5876">
        <w:rPr>
          <w:vertAlign w:val="subscript"/>
        </w:rPr>
        <w:t>k</w:t>
      </w:r>
      <w:r w:rsidRPr="002C5876">
        <w:rPr>
          <w:vertAlign w:val="subscript"/>
        </w:rPr>
        <w:tab/>
      </w:r>
      <w:r w:rsidRPr="002C5876">
        <w:t>est la différence de la demande d’énergie sur le cycle lors d’un essai WLTC complet de la catégorie 3 pour le véhicule k entre la méthode d’essai en soufflerie et la méthode de décélération libre, en pourcentage ;</w:t>
      </w:r>
    </w:p>
    <w:p w:rsidR="00E24DB7" w:rsidRPr="002C5876" w:rsidRDefault="00E24DB7" w:rsidP="00E24DB7">
      <w:pPr>
        <w:pStyle w:val="SingleTxtG"/>
        <w:ind w:left="3969" w:hanging="1134"/>
      </w:pPr>
      <w:r w:rsidRPr="002C5876">
        <w:t>E</w:t>
      </w:r>
      <w:r w:rsidRPr="002C5876">
        <w:rPr>
          <w:vertAlign w:val="subscript"/>
        </w:rPr>
        <w:t>k,WTM</w:t>
      </w:r>
      <w:r w:rsidRPr="002C5876">
        <w:tab/>
        <w:t>est la demande d’énergie sur le cycle lors d’un essai WLTC complet de la catégorie 3 pour le véhicule k, calculée avec la résistance à l’avancement sur route déterminée par la méthode de l’essai en soufflerie, et calculée conformément au paragraphe 5 de l’annexe 7, en J ;</w:t>
      </w:r>
    </w:p>
    <w:p w:rsidR="00E24DB7" w:rsidRPr="002C5876" w:rsidRDefault="00E24DB7" w:rsidP="00E24DB7">
      <w:pPr>
        <w:pStyle w:val="SingleTxtG"/>
        <w:ind w:left="3969" w:hanging="1134"/>
      </w:pPr>
      <w:r w:rsidRPr="002C5876">
        <w:t>E</w:t>
      </w:r>
      <w:r w:rsidRPr="002C5876">
        <w:rPr>
          <w:vertAlign w:val="subscript"/>
        </w:rPr>
        <w:t>k,coastdown</w:t>
      </w:r>
      <w:r w:rsidRPr="002C5876">
        <w:tab/>
        <w:t>est la demande d’énergie sur le cycle lors d’un essai WLTC complet de la catégorie 3 pour le véhicule k, calculée avec la résistance à l’avancement sur route déterminée par la méthode de la décélération libre, et calculée conformément au paragraphe 5 de l’annexe 7, en J ;</w:t>
      </w:r>
    </w:p>
    <w:p w:rsidR="00E24DB7" w:rsidRPr="002C5876" w:rsidRDefault="00E24DB7" w:rsidP="00E24DB7">
      <w:pPr>
        <w:pStyle w:val="SingleTxtG"/>
        <w:ind w:left="2835" w:hanging="567"/>
      </w:pPr>
      <w:r w:rsidRPr="002C5876">
        <w:t>b)</w:t>
      </w:r>
      <w:r w:rsidRPr="002C5876">
        <w:tab/>
        <w:t>La moyenne arithmétique </w:t>
      </w:r>
      <w:r w:rsidRPr="002C5876">
        <w:rPr>
          <w:noProof/>
          <w:position w:val="-4"/>
          <w:lang w:val="en-GB" w:eastAsia="zh-CN"/>
        </w:rPr>
        <w:drawing>
          <wp:inline distT="0" distB="0" distL="0" distR="0" wp14:anchorId="25027F3E" wp14:editId="6BD843B0">
            <wp:extent cx="114300" cy="142875"/>
            <wp:effectExtent l="0" t="0" r="0" b="9525"/>
            <wp:docPr id="580"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2C5876">
        <w:t>, des trois valeurs de différence doit demeurer dans les limites de 0,02 :</w:t>
      </w:r>
    </w:p>
    <w:p w:rsidR="00E24DB7" w:rsidRPr="002C5876" w:rsidRDefault="00731CA6" w:rsidP="00E24DB7">
      <w:pPr>
        <w:pStyle w:val="SingleTxtG"/>
        <w:ind w:left="2268"/>
        <w:jc w:val="center"/>
      </w:pPr>
      <m:oMathPara>
        <m:oMath>
          <m:acc>
            <m:accPr>
              <m:chr m:val="̅"/>
              <m:ctrlPr>
                <w:rPr>
                  <w:rFonts w:ascii="Cambria Math" w:hAnsi="Cambria Math" w:cstheme="majorBidi"/>
                </w:rPr>
              </m:ctrlPr>
            </m:accPr>
            <m:e>
              <m:r>
                <m:rPr>
                  <m:nor/>
                </m:rPr>
                <w:rPr>
                  <w:rFonts w:asciiTheme="majorBidi" w:hAnsiTheme="majorBidi" w:cstheme="majorBidi"/>
                </w:rPr>
                <m:t>x</m:t>
              </m:r>
            </m:e>
          </m:acc>
          <m:r>
            <m:rPr>
              <m:nor/>
            </m:rPr>
            <w:rPr>
              <w:rFonts w:ascii="Cambria Math" w:hAnsiTheme="majorBidi" w:cstheme="majorBidi"/>
            </w:rPr>
            <m:t xml:space="preserve"> </m:t>
          </m:r>
          <m:r>
            <m:rPr>
              <m:nor/>
            </m:rPr>
            <w:rPr>
              <w:rFonts w:asciiTheme="majorBidi" w:hAnsiTheme="majorBidi" w:cstheme="majorBidi"/>
            </w:rPr>
            <m:t>=</m:t>
          </m:r>
          <m:d>
            <m:dPr>
              <m:begChr m:val="|"/>
              <m:endChr m:val="|"/>
              <m:ctrlPr>
                <w:rPr>
                  <w:rFonts w:ascii="Cambria Math" w:hAnsi="Cambria Math" w:cstheme="majorBidi"/>
                </w:rPr>
              </m:ctrlPr>
            </m:dPr>
            <m:e>
              <m:r>
                <m:rPr>
                  <m:nor/>
                </m:rPr>
                <w:rPr>
                  <w:rFonts w:asciiTheme="majorBidi" w:hAnsiTheme="majorBidi" w:cstheme="majorBidi"/>
                </w:rPr>
                <m:t xml:space="preserve"> </m:t>
              </m:r>
              <m:f>
                <m:fPr>
                  <m:ctrlPr>
                    <w:rPr>
                      <w:rFonts w:ascii="Cambria Math" w:hAnsi="Cambria Math" w:cstheme="majorBidi"/>
                    </w:rPr>
                  </m:ctrlPr>
                </m:fPr>
                <m:num>
                  <m:sSub>
                    <m:sSubPr>
                      <m:ctrlPr>
                        <w:rPr>
                          <w:rFonts w:ascii="Cambria Math" w:hAnsi="Cambria Math" w:cstheme="majorBidi"/>
                        </w:rPr>
                      </m:ctrlPr>
                    </m:sSubPr>
                    <m:e>
                      <m:r>
                        <m:rPr>
                          <m:nor/>
                        </m:rPr>
                        <w:rPr>
                          <w:rFonts w:asciiTheme="majorBidi" w:hAnsiTheme="majorBidi" w:cstheme="majorBidi"/>
                        </w:rPr>
                        <m:t>ε</m:t>
                      </m:r>
                    </m:e>
                    <m:sub>
                      <m:r>
                        <m:rPr>
                          <m:nor/>
                        </m:rPr>
                        <w:rPr>
                          <w:rFonts w:asciiTheme="majorBidi" w:hAnsiTheme="majorBidi" w:cstheme="majorBidi"/>
                        </w:rPr>
                        <m:t>1</m:t>
                      </m:r>
                    </m:sub>
                  </m:sSub>
                  <m:r>
                    <m:rPr>
                      <m:nor/>
                    </m:rPr>
                    <w:rPr>
                      <w:rFonts w:ascii="Cambria Math" w:hAnsiTheme="majorBidi" w:cstheme="majorBidi"/>
                    </w:rPr>
                    <m:t xml:space="preserve"> </m:t>
                  </m:r>
                  <m:r>
                    <m:rPr>
                      <m:nor/>
                    </m:rPr>
                    <w:rPr>
                      <w:rFonts w:asciiTheme="majorBidi" w:hAnsiTheme="majorBidi" w:cstheme="majorBidi"/>
                    </w:rPr>
                    <m:t xml:space="preserve">+ </m:t>
                  </m:r>
                  <m:sSub>
                    <m:sSubPr>
                      <m:ctrlPr>
                        <w:rPr>
                          <w:rFonts w:ascii="Cambria Math" w:hAnsi="Cambria Math" w:cstheme="majorBidi"/>
                        </w:rPr>
                      </m:ctrlPr>
                    </m:sSubPr>
                    <m:e>
                      <m:r>
                        <m:rPr>
                          <m:nor/>
                        </m:rPr>
                        <w:rPr>
                          <w:rFonts w:asciiTheme="majorBidi" w:hAnsiTheme="majorBidi" w:cstheme="majorBidi"/>
                        </w:rPr>
                        <m:t>ε</m:t>
                      </m:r>
                    </m:e>
                    <m:sub>
                      <m:r>
                        <m:rPr>
                          <m:nor/>
                        </m:rPr>
                        <w:rPr>
                          <w:rFonts w:asciiTheme="majorBidi" w:hAnsiTheme="majorBidi" w:cstheme="majorBidi"/>
                        </w:rPr>
                        <m:t>2</m:t>
                      </m:r>
                      <m:r>
                        <m:rPr>
                          <m:nor/>
                        </m:rPr>
                        <w:rPr>
                          <w:rFonts w:ascii="Cambria Math" w:hAnsiTheme="majorBidi" w:cstheme="majorBidi"/>
                        </w:rPr>
                        <m:t xml:space="preserve"> </m:t>
                      </m:r>
                    </m:sub>
                  </m:sSub>
                  <m:r>
                    <m:rPr>
                      <m:nor/>
                    </m:rPr>
                    <w:rPr>
                      <w:rFonts w:asciiTheme="majorBidi" w:hAnsiTheme="majorBidi" w:cstheme="majorBidi"/>
                    </w:rPr>
                    <m:t xml:space="preserve">+ </m:t>
                  </m:r>
                  <m:sSub>
                    <m:sSubPr>
                      <m:ctrlPr>
                        <w:rPr>
                          <w:rFonts w:ascii="Cambria Math" w:hAnsi="Cambria Math" w:cstheme="majorBidi"/>
                        </w:rPr>
                      </m:ctrlPr>
                    </m:sSubPr>
                    <m:e>
                      <m:r>
                        <m:rPr>
                          <m:nor/>
                        </m:rPr>
                        <w:rPr>
                          <w:rFonts w:asciiTheme="majorBidi" w:hAnsiTheme="majorBidi" w:cstheme="majorBidi"/>
                        </w:rPr>
                        <m:t>ε</m:t>
                      </m:r>
                    </m:e>
                    <m:sub>
                      <m:r>
                        <m:rPr>
                          <m:nor/>
                        </m:rPr>
                        <w:rPr>
                          <w:rFonts w:asciiTheme="majorBidi" w:hAnsiTheme="majorBidi" w:cstheme="majorBidi"/>
                        </w:rPr>
                        <m:t>3</m:t>
                      </m:r>
                    </m:sub>
                  </m:sSub>
                </m:num>
                <m:den>
                  <m:r>
                    <m:rPr>
                      <m:nor/>
                    </m:rPr>
                    <w:rPr>
                      <w:rFonts w:asciiTheme="majorBidi" w:hAnsiTheme="majorBidi" w:cstheme="majorBidi"/>
                    </w:rPr>
                    <m:t>3</m:t>
                  </m:r>
                </m:den>
              </m:f>
            </m:e>
          </m:d>
        </m:oMath>
      </m:oMathPara>
    </w:p>
    <w:p w:rsidR="00E24DB7" w:rsidRPr="002C5876" w:rsidRDefault="00E24DB7" w:rsidP="00E24DB7">
      <w:pPr>
        <w:pStyle w:val="SingleTxtG"/>
        <w:ind w:left="2268"/>
      </w:pPr>
      <w:r w:rsidRPr="002C5876">
        <w:t>L’agrément doit être enregistré par l’autorité compétente, y compris les données de mesure et les installations concernées.</w:t>
      </w:r>
    </w:p>
    <w:p w:rsidR="00E24DB7" w:rsidRPr="002C5876" w:rsidRDefault="00E24DB7" w:rsidP="00E24DB7">
      <w:pPr>
        <w:pStyle w:val="SingleTxtG"/>
        <w:ind w:left="2268"/>
      </w:pPr>
      <w:r w:rsidRPr="002C5876">
        <w:t>L’installation d’essai peut être utilisée pour la détermination de la résistance à l’avancement sur route pendant une durée maximale de 2 ans après que l’agrément ait été délivré.</w:t>
      </w:r>
    </w:p>
    <w:p w:rsidR="00E24DB7" w:rsidRPr="002C5876" w:rsidRDefault="00E24DB7" w:rsidP="00E24DB7">
      <w:pPr>
        <w:pStyle w:val="SingleTxtG"/>
        <w:ind w:left="2268"/>
      </w:pPr>
      <w:r w:rsidRPr="002C5876">
        <w:lastRenderedPageBreak/>
        <w:t>Chaque combinaison de banc à rouleaux ou de banc à tapis roulant et de soufflerie doit être agréée séparément.</w:t>
      </w:r>
    </w:p>
    <w:p w:rsidR="00E24DB7" w:rsidRPr="002C5876" w:rsidRDefault="00E24DB7" w:rsidP="00E24DB7">
      <w:pPr>
        <w:pStyle w:val="SingleTxtG"/>
        <w:keepNext/>
        <w:ind w:left="2268" w:hanging="1134"/>
        <w:jc w:val="left"/>
      </w:pPr>
      <w:r w:rsidRPr="002C5876">
        <w:t>6.3</w:t>
      </w:r>
      <w:r w:rsidRPr="002C5876">
        <w:tab/>
        <w:t>Préparation du véhicule et température</w:t>
      </w:r>
    </w:p>
    <w:p w:rsidR="00E24DB7" w:rsidRPr="002C5876" w:rsidRDefault="00E24DB7" w:rsidP="00E24DB7">
      <w:pPr>
        <w:pStyle w:val="SingleTxtG"/>
        <w:ind w:left="2268"/>
      </w:pPr>
      <w:r w:rsidRPr="002C5876">
        <w:t>Les opérations de conditionnement et de préparation du véhicule doivent être effectuées conformément aux paragraphes 4.2.1 et 4.2.2 de la présente annexe ; elles s’appliquent aussi bien aux essais sur banc à rouleaux ou sur banc à tapis roulant et aux essais en soufflerie.</w:t>
      </w:r>
    </w:p>
    <w:p w:rsidR="00E24DB7" w:rsidRPr="002C5876" w:rsidRDefault="00E24DB7" w:rsidP="00E24DB7">
      <w:pPr>
        <w:pStyle w:val="SingleTxtG"/>
        <w:ind w:left="2268"/>
      </w:pPr>
      <w:r w:rsidRPr="002C5876">
        <w:t>Si la procédure alternative de mise en température décrite au paragraphe 6.5.2.1 de la présente annexe est appliquée, les opérations d’ajustement de la masse d’essai visée, de pesage du véhicule et les mesures doivent toutes être effectuées sans conducteur dans le véhicule.</w:t>
      </w:r>
    </w:p>
    <w:p w:rsidR="00E24DB7" w:rsidRPr="002C5876" w:rsidRDefault="00E24DB7" w:rsidP="00E24DB7">
      <w:pPr>
        <w:pStyle w:val="SingleTxtG"/>
        <w:ind w:left="2268"/>
      </w:pPr>
      <w:r w:rsidRPr="002C5876">
        <w:t xml:space="preserve">Les chambres d’essai du banc à tapis roulant ou du banc à rouleaux doivent être maintenues à une température réglée de 20 °C avec une tolérance de </w:t>
      </w:r>
      <w:r w:rsidRPr="002C5876">
        <w:sym w:font="Symbol" w:char="F0B1"/>
      </w:r>
      <w:r w:rsidRPr="002C5876">
        <w:t xml:space="preserve">3 °C. À la demande du constructeur, la température de consigne peut aussi être fixée à 23 °C avec une tolérance de </w:t>
      </w:r>
      <w:r w:rsidRPr="002C5876">
        <w:sym w:font="Symbol" w:char="F0B1"/>
      </w:r>
      <w:r w:rsidRPr="002C5876">
        <w:t xml:space="preserve">3 °C. </w:t>
      </w:r>
    </w:p>
    <w:p w:rsidR="00E24DB7" w:rsidRPr="002C5876" w:rsidRDefault="00E24DB7" w:rsidP="00E24DB7">
      <w:pPr>
        <w:pStyle w:val="SingleTxtG"/>
        <w:keepNext/>
        <w:ind w:left="2268" w:hanging="1134"/>
        <w:jc w:val="left"/>
      </w:pPr>
      <w:r w:rsidRPr="002C5876">
        <w:t>6.4</w:t>
      </w:r>
      <w:r w:rsidRPr="002C5876">
        <w:tab/>
        <w:t>Procédure d’essai en soufflerie</w:t>
      </w:r>
    </w:p>
    <w:p w:rsidR="00E24DB7" w:rsidRPr="002C5876" w:rsidRDefault="00E24DB7" w:rsidP="00E24DB7">
      <w:pPr>
        <w:pStyle w:val="SingleTxtG"/>
        <w:keepNext/>
        <w:ind w:left="2268" w:hanging="1134"/>
        <w:jc w:val="left"/>
      </w:pPr>
      <w:r w:rsidRPr="002C5876">
        <w:t>6.4.1</w:t>
      </w:r>
      <w:r w:rsidRPr="002C5876">
        <w:tab/>
        <w:t>Critères relatifs à la soufflerie</w:t>
      </w:r>
    </w:p>
    <w:p w:rsidR="00E24DB7" w:rsidRPr="002C5876" w:rsidRDefault="00E24DB7" w:rsidP="00E24DB7">
      <w:pPr>
        <w:pStyle w:val="SingleTxtG"/>
        <w:ind w:left="2268"/>
      </w:pPr>
      <w:r w:rsidRPr="002C5876">
        <w:t>La conception de la soufflerie, les méthodes d’essai et les corrections appliquées doivent permettre d’obtenir une valeur de (C</w:t>
      </w:r>
      <w:r w:rsidRPr="002C5876">
        <w:rPr>
          <w:vertAlign w:val="subscript"/>
        </w:rPr>
        <w:t>D</w:t>
      </w:r>
      <w:r w:rsidRPr="002C5876">
        <w:t xml:space="preserve"> × A</w:t>
      </w:r>
      <w:r w:rsidRPr="002C5876">
        <w:rPr>
          <w:vertAlign w:val="subscript"/>
        </w:rPr>
        <w:t>f</w:t>
      </w:r>
      <w:r w:rsidRPr="002C5876">
        <w:t>) représentative de la valeur obtenue sur route (C</w:t>
      </w:r>
      <w:r w:rsidRPr="002C5876">
        <w:rPr>
          <w:vertAlign w:val="subscript"/>
        </w:rPr>
        <w:t>D</w:t>
      </w:r>
      <w:r w:rsidRPr="002C5876">
        <w:t xml:space="preserve"> × A</w:t>
      </w:r>
      <w:r w:rsidRPr="002C5876">
        <w:rPr>
          <w:vertAlign w:val="subscript"/>
        </w:rPr>
        <w:t>f</w:t>
      </w:r>
      <w:r w:rsidRPr="002C5876">
        <w:t>), avec une précision de ±0,015 m</w:t>
      </w:r>
      <w:r w:rsidRPr="002C5876">
        <w:rPr>
          <w:vertAlign w:val="superscript"/>
        </w:rPr>
        <w:t>2</w:t>
      </w:r>
      <w:r w:rsidRPr="002C5876">
        <w:t>.</w:t>
      </w:r>
    </w:p>
    <w:p w:rsidR="00E24DB7" w:rsidRPr="002C5876" w:rsidRDefault="00E24DB7" w:rsidP="00E24DB7">
      <w:pPr>
        <w:pStyle w:val="SingleTxtG"/>
        <w:keepNext/>
        <w:ind w:left="2268"/>
      </w:pPr>
      <w:r w:rsidRPr="002C5876">
        <w:t>Pour toutes les mesures de (C</w:t>
      </w:r>
      <w:r w:rsidRPr="002C5876">
        <w:rPr>
          <w:vertAlign w:val="subscript"/>
        </w:rPr>
        <w:t>D</w:t>
      </w:r>
      <w:r w:rsidRPr="002C5876">
        <w:t xml:space="preserve"> × A</w:t>
      </w:r>
      <w:r w:rsidRPr="002C5876">
        <w:rPr>
          <w:vertAlign w:val="subscript"/>
        </w:rPr>
        <w:t>f</w:t>
      </w:r>
      <w:r w:rsidRPr="002C5876">
        <w:t>), les critères relatifs à la soufflerie énoncés au paragraphe 3.2 de la présente annexe doivent être respectés avec les modifications ci-après :</w:t>
      </w:r>
    </w:p>
    <w:p w:rsidR="00E24DB7" w:rsidRPr="002C5876" w:rsidRDefault="00E24DB7" w:rsidP="00E24DB7">
      <w:pPr>
        <w:pStyle w:val="SingleTxtG"/>
        <w:ind w:left="2835" w:hanging="567"/>
      </w:pPr>
      <w:r w:rsidRPr="002C5876">
        <w:t>a)</w:t>
      </w:r>
      <w:r w:rsidRPr="002C5876">
        <w:tab/>
        <w:t>Le rapport d’obstruction solide défini au paragraphe 3.2.4 de la présente annexe doit être inférieur à 25 % ;</w:t>
      </w:r>
    </w:p>
    <w:p w:rsidR="00E24DB7" w:rsidRPr="002C5876" w:rsidRDefault="00E24DB7" w:rsidP="00E24DB7">
      <w:pPr>
        <w:pStyle w:val="SingleTxtG"/>
        <w:ind w:left="2835" w:hanging="567"/>
      </w:pPr>
      <w:r w:rsidRPr="002C5876">
        <w:t>b)</w:t>
      </w:r>
      <w:r w:rsidRPr="002C5876">
        <w:tab/>
        <w:t>Le tapis roulant entrant en contact avec tout pneumatique doit être d’une longueur dépassant la longueur de cette plage de contact du pneumatique d’au moins 20 % et doit être au moins aussi large que cette plage de contact ;</w:t>
      </w:r>
    </w:p>
    <w:p w:rsidR="00E24DB7" w:rsidRPr="002C5876" w:rsidRDefault="00E24DB7" w:rsidP="00E24DB7">
      <w:pPr>
        <w:pStyle w:val="SingleTxtG"/>
        <w:ind w:left="2835" w:hanging="567"/>
      </w:pPr>
      <w:r w:rsidRPr="002C5876">
        <w:t>c)</w:t>
      </w:r>
      <w:r w:rsidRPr="002C5876">
        <w:tab/>
        <w:t>L’écart type de la valeur totale de pression de l’air à la sortie des buses comme défini au paragraphe 3.2.8 de la présente annexe doit être inférieur à 1 % ;</w:t>
      </w:r>
    </w:p>
    <w:p w:rsidR="00E24DB7" w:rsidRPr="002C5876" w:rsidRDefault="00E24DB7" w:rsidP="00E24DB7">
      <w:pPr>
        <w:pStyle w:val="SingleTxtG"/>
        <w:ind w:left="2835" w:hanging="567"/>
      </w:pPr>
      <w:r w:rsidRPr="002C5876">
        <w:t>d)</w:t>
      </w:r>
      <w:r w:rsidRPr="002C5876">
        <w:tab/>
        <w:t>Le rapport d’obstruction imputable au système de maintien du véhicule décrit au paragraphe 3.2.10 de la présente annexe doit être inférieur à 3 %.</w:t>
      </w:r>
    </w:p>
    <w:p w:rsidR="00E24DB7" w:rsidRPr="002C5876" w:rsidRDefault="00E24DB7" w:rsidP="00E24DB7">
      <w:pPr>
        <w:pStyle w:val="SingleTxtG"/>
        <w:keepNext/>
        <w:ind w:left="2268" w:hanging="1134"/>
        <w:jc w:val="left"/>
      </w:pPr>
      <w:r w:rsidRPr="002C5876">
        <w:t>6.4.2</w:t>
      </w:r>
      <w:r w:rsidRPr="002C5876">
        <w:tab/>
        <w:t>Mesures en soufflerie</w:t>
      </w:r>
    </w:p>
    <w:p w:rsidR="00E24DB7" w:rsidRPr="002C5876" w:rsidRDefault="00E24DB7" w:rsidP="00E24DB7">
      <w:pPr>
        <w:pStyle w:val="SingleTxtG"/>
        <w:ind w:left="2268"/>
      </w:pPr>
      <w:r w:rsidRPr="002C5876">
        <w:t>Le véhicule doit être dans l’état spécifié au paragraphe 6.3 de la présente annexe.</w:t>
      </w:r>
    </w:p>
    <w:p w:rsidR="00E24DB7" w:rsidRPr="002C5876" w:rsidRDefault="00E24DB7" w:rsidP="00E24DB7">
      <w:pPr>
        <w:pStyle w:val="SingleTxtG"/>
        <w:ind w:left="2268"/>
      </w:pPr>
      <w:r w:rsidRPr="002C5876">
        <w:t>Le véhicule doit être positionné parallèlement à l’axe médian longitudinal du tunnel, avec une tolérance maximale de ±10 mm.</w:t>
      </w:r>
    </w:p>
    <w:p w:rsidR="00E24DB7" w:rsidRPr="002C5876" w:rsidRDefault="00E24DB7" w:rsidP="00E24DB7">
      <w:pPr>
        <w:pStyle w:val="SingleTxtG"/>
        <w:ind w:left="2268"/>
      </w:pPr>
      <w:r w:rsidRPr="002C5876">
        <w:t xml:space="preserve">Le véhicule doit être positionné à un angle en lacet de 0°, avec une tolérance de </w:t>
      </w:r>
      <w:r w:rsidRPr="002C5876">
        <w:sym w:font="Symbol" w:char="F0B1"/>
      </w:r>
      <w:r w:rsidRPr="002C5876">
        <w:t>0,1°.</w:t>
      </w:r>
    </w:p>
    <w:p w:rsidR="00E24DB7" w:rsidRPr="002C5876" w:rsidRDefault="00E24DB7" w:rsidP="00E24DB7">
      <w:pPr>
        <w:pStyle w:val="SingleTxtG"/>
        <w:ind w:left="2268"/>
      </w:pPr>
      <w:r w:rsidRPr="002C5876">
        <w:t>La traînée aérodynamique doit être mesurée pendant au moins 60 s et à une fréquence minimale de 5 Hz. À titre de variante, la traînée peut être mesurée à une fréquence minimale de 1 Hz et sur au moins 300 mesures consécutives. Le résultat doit être la moyenne arithmétique des valeurs de traînée.</w:t>
      </w:r>
    </w:p>
    <w:p w:rsidR="00E24DB7" w:rsidRPr="002C5876" w:rsidRDefault="00E24DB7" w:rsidP="00E24DB7">
      <w:pPr>
        <w:pStyle w:val="SingleTxtG"/>
        <w:ind w:left="2268"/>
      </w:pPr>
      <w:r w:rsidRPr="002C5876">
        <w:t xml:space="preserve">Si le véhicule est équipé d’éléments de carrosserie aérodynamiques mobiles, le paragraphe 4.2.1.5 de la présente annexe s’applique. Lorsque les éléments mobiles ont une position variable en fonction de la vitesse, toute position applicable doit être mesurée en soufflerie et des données de confirmation </w:t>
      </w:r>
      <w:r w:rsidRPr="002C5876">
        <w:lastRenderedPageBreak/>
        <w:t>doivent être fournies à l’autorité compétente, à propos de la relation entre la vitesse de référence, la position de l’élément mobile, et la valeur correspondante de (C</w:t>
      </w:r>
      <w:r w:rsidRPr="002C5876">
        <w:rPr>
          <w:vertAlign w:val="subscript"/>
        </w:rPr>
        <w:t>d</w:t>
      </w:r>
      <w:r w:rsidRPr="002C5876">
        <w:t xml:space="preserve"> × A</w:t>
      </w:r>
      <w:r w:rsidRPr="002C5876">
        <w:rPr>
          <w:vertAlign w:val="subscript"/>
        </w:rPr>
        <w:t>f</w:t>
      </w:r>
      <w:r w:rsidRPr="002C5876">
        <w:t>).</w:t>
      </w:r>
    </w:p>
    <w:p w:rsidR="00E24DB7" w:rsidRPr="002C5876" w:rsidRDefault="00E24DB7" w:rsidP="00E24DB7">
      <w:pPr>
        <w:pStyle w:val="SingleTxtG"/>
        <w:keepNext/>
        <w:ind w:left="2268" w:hanging="1134"/>
        <w:jc w:val="left"/>
      </w:pPr>
      <w:r w:rsidRPr="002C5876">
        <w:t>6.5</w:t>
      </w:r>
      <w:r w:rsidRPr="002C5876">
        <w:tab/>
        <w:t>Utilisation d’un tapis roulant en liaison avec la méthode de l’essai en soufflerie</w:t>
      </w:r>
    </w:p>
    <w:p w:rsidR="00E24DB7" w:rsidRPr="002C5876" w:rsidRDefault="00E24DB7" w:rsidP="00E24DB7">
      <w:pPr>
        <w:pStyle w:val="SingleTxtG"/>
        <w:keepNext/>
        <w:ind w:left="2268" w:hanging="1134"/>
        <w:jc w:val="left"/>
      </w:pPr>
      <w:r w:rsidRPr="002C5876">
        <w:t>6.5.1</w:t>
      </w:r>
      <w:r w:rsidRPr="002C5876">
        <w:tab/>
        <w:t>Critères relatifs au tapis roulant</w:t>
      </w:r>
    </w:p>
    <w:p w:rsidR="00E24DB7" w:rsidRPr="002C5876" w:rsidRDefault="00E24DB7" w:rsidP="00E24DB7">
      <w:pPr>
        <w:pStyle w:val="SingleTxtG"/>
        <w:keepNext/>
        <w:ind w:left="2268" w:hanging="1134"/>
        <w:jc w:val="left"/>
      </w:pPr>
      <w:r w:rsidRPr="002C5876">
        <w:t>6.5.1.1</w:t>
      </w:r>
      <w:r w:rsidRPr="002C5876">
        <w:tab/>
        <w:t>Description du banc à tapis roulant</w:t>
      </w:r>
    </w:p>
    <w:p w:rsidR="00E24DB7" w:rsidRPr="002C5876" w:rsidRDefault="00E24DB7" w:rsidP="00E24DB7">
      <w:pPr>
        <w:pStyle w:val="SingleTxtG"/>
        <w:ind w:left="2268"/>
      </w:pPr>
      <w:r w:rsidRPr="002C5876">
        <w:t>Les roues du véhicule doivent rouler sur un tapis roulant qui ne cause pas de modification des caractéristiques de roulement des roues par rapport à la route. Les forces mesurées dans la direction x doivent inclure les forces de frottement dans la transmission.</w:t>
      </w:r>
    </w:p>
    <w:p w:rsidR="00E24DB7" w:rsidRPr="002C5876" w:rsidRDefault="00E24DB7" w:rsidP="00E24DB7">
      <w:pPr>
        <w:pStyle w:val="SingleTxtG"/>
        <w:keepNext/>
        <w:ind w:left="2268" w:hanging="1134"/>
        <w:jc w:val="left"/>
      </w:pPr>
      <w:r w:rsidRPr="002C5876">
        <w:t>6.5.1.2</w:t>
      </w:r>
      <w:r w:rsidRPr="002C5876">
        <w:tab/>
        <w:t>Système de maintien du véhicule</w:t>
      </w:r>
    </w:p>
    <w:p w:rsidR="00E24DB7" w:rsidRPr="002C5876" w:rsidRDefault="00E24DB7" w:rsidP="00E24DB7">
      <w:pPr>
        <w:pStyle w:val="SingleTxtG"/>
        <w:ind w:left="2268"/>
      </w:pPr>
      <w:r w:rsidRPr="002C5876">
        <w:t xml:space="preserve">Le dynamomètre doit être équipé d’un dispositif de centrage alignant le véhicule avec le banc dans des limites de tolérance de </w:t>
      </w:r>
      <w:r w:rsidRPr="002C5876">
        <w:sym w:font="Symbol" w:char="F0B1"/>
      </w:r>
      <w:r w:rsidRPr="002C5876">
        <w:t>0,5 degrés de rotation autour de l’axe</w:t>
      </w:r>
      <w:r w:rsidR="00732644" w:rsidRPr="002C5876">
        <w:t> </w:t>
      </w:r>
      <w:r w:rsidRPr="002C5876">
        <w:t>z. Le système de maintien doit maintenir la position centrée des roues entraînées pendant tous les parcours de décélération libre de détermination de la résistance à l’avancement sur route, dans les limites suivantes :</w:t>
      </w:r>
    </w:p>
    <w:p w:rsidR="00E24DB7" w:rsidRPr="002C5876" w:rsidRDefault="00E24DB7" w:rsidP="00E24DB7">
      <w:pPr>
        <w:pStyle w:val="SingleTxtG"/>
        <w:keepNext/>
        <w:ind w:left="2268" w:hanging="1134"/>
        <w:jc w:val="left"/>
      </w:pPr>
      <w:r w:rsidRPr="002C5876">
        <w:t>6.5.1.2.1</w:t>
      </w:r>
      <w:r w:rsidRPr="002C5876">
        <w:tab/>
        <w:t>Position latérale (axe</w:t>
      </w:r>
      <w:r w:rsidR="00732644" w:rsidRPr="002C5876">
        <w:t> </w:t>
      </w:r>
      <w:r w:rsidRPr="002C5876">
        <w:t>y)</w:t>
      </w:r>
    </w:p>
    <w:p w:rsidR="00E24DB7" w:rsidRPr="002C5876" w:rsidRDefault="00E24DB7" w:rsidP="00E24DB7">
      <w:pPr>
        <w:pStyle w:val="SingleTxtG"/>
        <w:ind w:left="2268"/>
      </w:pPr>
      <w:r w:rsidRPr="002C5876">
        <w:t>Le véhicule doit demeurer aligné dans la direction y et son mouvement latéral doit être limité au minimum.</w:t>
      </w:r>
    </w:p>
    <w:p w:rsidR="00E24DB7" w:rsidRPr="002C5876" w:rsidRDefault="00E24DB7" w:rsidP="00E24DB7">
      <w:pPr>
        <w:pStyle w:val="SingleTxtG"/>
        <w:keepNext/>
        <w:ind w:left="2268" w:hanging="1134"/>
        <w:jc w:val="left"/>
      </w:pPr>
      <w:r w:rsidRPr="002C5876">
        <w:t>6.5.1.2.2</w:t>
      </w:r>
      <w:r w:rsidRPr="002C5876">
        <w:tab/>
        <w:t>Position avant et arrière (axe</w:t>
      </w:r>
      <w:r w:rsidR="00732644" w:rsidRPr="002C5876">
        <w:t> </w:t>
      </w:r>
      <w:r w:rsidRPr="002C5876">
        <w:t>x)</w:t>
      </w:r>
    </w:p>
    <w:p w:rsidR="00E24DB7" w:rsidRPr="002C5876" w:rsidRDefault="00E24DB7" w:rsidP="00E24DB7">
      <w:pPr>
        <w:pStyle w:val="SingleTxtG"/>
        <w:ind w:left="2268"/>
      </w:pPr>
      <w:r w:rsidRPr="002C5876">
        <w:t xml:space="preserve">Outre les prescriptions du paragraphe 6.5.1.2.1 de la présente annexe, les axes des deux roues doivent être situés à </w:t>
      </w:r>
      <w:r w:rsidRPr="002C5876">
        <w:sym w:font="Symbol" w:char="F0B1"/>
      </w:r>
      <w:r w:rsidRPr="002C5876">
        <w:t>10 mm de l’axe médian transversal du tapis.</w:t>
      </w:r>
    </w:p>
    <w:p w:rsidR="00E24DB7" w:rsidRPr="002C5876" w:rsidRDefault="00E24DB7" w:rsidP="00E24DB7">
      <w:pPr>
        <w:pStyle w:val="SingleTxtG"/>
        <w:keepNext/>
        <w:ind w:left="2268" w:hanging="1134"/>
        <w:jc w:val="left"/>
      </w:pPr>
      <w:r w:rsidRPr="002C5876">
        <w:t>6.5.1.2.3</w:t>
      </w:r>
      <w:r w:rsidRPr="002C5876">
        <w:tab/>
        <w:t>Force verticale</w:t>
      </w:r>
    </w:p>
    <w:p w:rsidR="00E24DB7" w:rsidRPr="002C5876" w:rsidRDefault="00E24DB7" w:rsidP="00E24DB7">
      <w:pPr>
        <w:pStyle w:val="SingleTxtG"/>
        <w:ind w:left="2268"/>
      </w:pPr>
      <w:r w:rsidRPr="002C5876">
        <w:t>Le système de maintien doit être conçu pour ne pas appliquer de force verticale aux roues motrices.</w:t>
      </w:r>
    </w:p>
    <w:p w:rsidR="00E24DB7" w:rsidRPr="002C5876" w:rsidRDefault="00E24DB7" w:rsidP="00E24DB7">
      <w:pPr>
        <w:pStyle w:val="SingleTxtG"/>
        <w:keepNext/>
        <w:ind w:left="2268" w:hanging="1134"/>
        <w:jc w:val="left"/>
      </w:pPr>
      <w:r w:rsidRPr="002C5876">
        <w:t>6.5.1.3</w:t>
      </w:r>
      <w:r w:rsidRPr="002C5876">
        <w:tab/>
        <w:t>Exactitude des forces mesurées</w:t>
      </w:r>
    </w:p>
    <w:p w:rsidR="00E24DB7" w:rsidRPr="002C5876" w:rsidRDefault="00E24DB7" w:rsidP="00E24DB7">
      <w:pPr>
        <w:pStyle w:val="SingleTxtG"/>
        <w:ind w:left="2268"/>
      </w:pPr>
      <w:r w:rsidRPr="002C5876">
        <w:t>Seule la force de réaction pour l’entraînement des roues doit être mesurée. Aucune force extérieure ne doit être incluse dans les résultats (c’est-à-dire force exercée par l’air du ventilateur de refroidissement, système de maintien du véhicule, forces de réaction aérodynamique du tapis roulant, pertes du dynamomètre, etc.).</w:t>
      </w:r>
    </w:p>
    <w:p w:rsidR="00E24DB7" w:rsidRPr="002C5876" w:rsidRDefault="00E24DB7" w:rsidP="00E24DB7">
      <w:pPr>
        <w:pStyle w:val="SingleTxtG"/>
        <w:ind w:left="2268"/>
      </w:pPr>
      <w:r w:rsidRPr="002C5876">
        <w:t xml:space="preserve">La force dans la direction x doit être mesurée avec une exactitude de </w:t>
      </w:r>
      <w:r w:rsidRPr="002C5876">
        <w:sym w:font="Symbol" w:char="F0B1"/>
      </w:r>
      <w:r w:rsidRPr="002C5876">
        <w:t>5 N.</w:t>
      </w:r>
    </w:p>
    <w:p w:rsidR="00E24DB7" w:rsidRPr="002C5876" w:rsidRDefault="00E24DB7" w:rsidP="00E24DB7">
      <w:pPr>
        <w:pStyle w:val="SingleTxtG"/>
        <w:keepNext/>
        <w:ind w:left="2268" w:hanging="1134"/>
        <w:jc w:val="left"/>
      </w:pPr>
      <w:r w:rsidRPr="002C5876">
        <w:t>6.5.1.4</w:t>
      </w:r>
      <w:r w:rsidRPr="002C5876">
        <w:tab/>
        <w:t>Réglage de vitesse du tapis roulant</w:t>
      </w:r>
    </w:p>
    <w:p w:rsidR="00E24DB7" w:rsidRPr="002C5876" w:rsidRDefault="00E24DB7" w:rsidP="00E24DB7">
      <w:pPr>
        <w:pStyle w:val="SingleTxtG"/>
        <w:ind w:left="2268"/>
      </w:pPr>
      <w:r w:rsidRPr="002C5876">
        <w:t xml:space="preserve">La vitesse du tapis roulant doit être réglée avec une exactitude de </w:t>
      </w:r>
      <w:r w:rsidRPr="002C5876">
        <w:sym w:font="Symbol" w:char="F0B1"/>
      </w:r>
      <w:r w:rsidRPr="002C5876">
        <w:t>0,1 km/h.</w:t>
      </w:r>
    </w:p>
    <w:p w:rsidR="00E24DB7" w:rsidRPr="002C5876" w:rsidRDefault="00E24DB7" w:rsidP="00E24DB7">
      <w:pPr>
        <w:pStyle w:val="SingleTxtG"/>
        <w:keepNext/>
        <w:ind w:left="2268" w:hanging="1134"/>
        <w:jc w:val="left"/>
      </w:pPr>
      <w:r w:rsidRPr="002C5876">
        <w:t>6.5.1.5</w:t>
      </w:r>
      <w:r w:rsidRPr="002C5876">
        <w:tab/>
        <w:t>Surface du tapis roulant</w:t>
      </w:r>
    </w:p>
    <w:p w:rsidR="00E24DB7" w:rsidRPr="002C5876" w:rsidRDefault="00E24DB7" w:rsidP="00E24DB7">
      <w:pPr>
        <w:pStyle w:val="SingleTxtG"/>
        <w:ind w:left="2268"/>
      </w:pPr>
      <w:r w:rsidRPr="002C5876">
        <w:t>La surface du tapis roulant doit être propre, sèche et nette de dépôts pouvant causer un patinage des pneumatiques.</w:t>
      </w:r>
    </w:p>
    <w:p w:rsidR="00E24DB7" w:rsidRPr="002C5876" w:rsidRDefault="00E24DB7" w:rsidP="00E24DB7">
      <w:pPr>
        <w:pStyle w:val="SingleTxtG"/>
        <w:keepNext/>
        <w:ind w:left="2268" w:hanging="1134"/>
        <w:jc w:val="left"/>
      </w:pPr>
      <w:r w:rsidRPr="002C5876">
        <w:t>6.5.1.6</w:t>
      </w:r>
      <w:r w:rsidRPr="002C5876">
        <w:tab/>
        <w:t>Refroidissement</w:t>
      </w:r>
    </w:p>
    <w:p w:rsidR="00E24DB7" w:rsidRPr="002C5876" w:rsidRDefault="00E24DB7" w:rsidP="00E24DB7">
      <w:pPr>
        <w:pStyle w:val="SingleTxtG"/>
        <w:ind w:left="2268"/>
      </w:pPr>
      <w:r w:rsidRPr="002C5876">
        <w:t xml:space="preserve">Un courant d’air de vitesse variable doit être soufflé vers le véhicule. La valeur de consigne de la vitesse linéaire de l’air à la sortie de la soufflante doit être égale à la vitesse correspondante du banc au-dessus des vitesses de mesure de 5 km/h. La vitesse linéaire de l’air à la sortie de la soufflante doit demeurer dans les limites de </w:t>
      </w:r>
      <w:r w:rsidRPr="002C5876">
        <w:sym w:font="Symbol" w:char="F0B1"/>
      </w:r>
      <w:r w:rsidRPr="002C5876">
        <w:t xml:space="preserve">5 km/h ou </w:t>
      </w:r>
      <w:r w:rsidRPr="002C5876">
        <w:sym w:font="Symbol" w:char="F0B1"/>
      </w:r>
      <w:r w:rsidRPr="002C5876">
        <w:t>10 % de la vitesse de mesure correspondante, la plus grande de ces valeurs étant retenue.</w:t>
      </w:r>
    </w:p>
    <w:p w:rsidR="00E24DB7" w:rsidRPr="002C5876" w:rsidRDefault="00E24DB7" w:rsidP="00E24DB7">
      <w:pPr>
        <w:pStyle w:val="SingleTxtG"/>
        <w:keepNext/>
        <w:ind w:left="2268" w:hanging="1134"/>
        <w:jc w:val="left"/>
      </w:pPr>
      <w:r w:rsidRPr="002C5876">
        <w:lastRenderedPageBreak/>
        <w:t>6.5.2</w:t>
      </w:r>
      <w:r w:rsidRPr="002C5876">
        <w:tab/>
        <w:t>Mesure sur le tapis roulant</w:t>
      </w:r>
    </w:p>
    <w:p w:rsidR="00E24DB7" w:rsidRPr="002C5876" w:rsidRDefault="00E24DB7" w:rsidP="00E24DB7">
      <w:pPr>
        <w:pStyle w:val="SingleTxtG"/>
        <w:ind w:left="2268"/>
      </w:pPr>
      <w:r w:rsidRPr="002C5876">
        <w:t>La procédure de mesure peut être exécutée soit conformément au paragraphe 6.5.2.2 soit au paragraphe 6.5.2.3 de la présente annexe.</w:t>
      </w:r>
    </w:p>
    <w:p w:rsidR="00E24DB7" w:rsidRPr="002C5876" w:rsidRDefault="00E24DB7" w:rsidP="00E24DB7">
      <w:pPr>
        <w:pStyle w:val="SingleTxtG"/>
        <w:keepNext/>
        <w:ind w:left="2268" w:hanging="1134"/>
        <w:jc w:val="left"/>
      </w:pPr>
      <w:r w:rsidRPr="002C5876">
        <w:t>6.5.2.1</w:t>
      </w:r>
      <w:r w:rsidRPr="002C5876">
        <w:tab/>
        <w:t>Préconditionnement</w:t>
      </w:r>
    </w:p>
    <w:p w:rsidR="00E24DB7" w:rsidRPr="002C5876" w:rsidRDefault="00E24DB7" w:rsidP="00E24DB7">
      <w:pPr>
        <w:pStyle w:val="SingleTxtG"/>
        <w:ind w:left="2268"/>
      </w:pPr>
      <w:r w:rsidRPr="002C5876">
        <w:t xml:space="preserve">Le véhicule doit être conditionné sur le dynamomètre comme décrit aux paragraphes 4.2.4.1.1 à 4.2.4.1.3 de la présente annexe. </w:t>
      </w:r>
    </w:p>
    <w:p w:rsidR="00E24DB7" w:rsidRPr="002C5876" w:rsidRDefault="00E24DB7" w:rsidP="00E24DB7">
      <w:pPr>
        <w:pStyle w:val="SingleTxtG"/>
        <w:ind w:left="2268"/>
      </w:pPr>
      <w:r w:rsidRPr="002C5876">
        <w:t>Le réglage de la force résistante du dynamomètre F</w:t>
      </w:r>
      <w:r w:rsidRPr="002C5876">
        <w:rPr>
          <w:vertAlign w:val="subscript"/>
        </w:rPr>
        <w:t>d</w:t>
      </w:r>
      <w:r w:rsidRPr="002C5876">
        <w:t xml:space="preserve"> pour l’opération de préconditionnement doit être conforme à l’équation :</w:t>
      </w:r>
    </w:p>
    <w:p w:rsidR="00E24DB7" w:rsidRPr="00D53F39" w:rsidRDefault="00731CA6" w:rsidP="00E24DB7">
      <w:pPr>
        <w:pStyle w:val="SingleTxtG"/>
        <w:spacing w:after="240"/>
        <w:ind w:left="2268"/>
        <w:rPr>
          <w:lang w:val="en-US"/>
        </w:rPr>
      </w:pPr>
      <m:oMathPara>
        <m:oMathParaPr>
          <m:jc m:val="center"/>
        </m:oMathParaPr>
        <m:oMath>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d</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a</m:t>
              </m:r>
            </m:e>
            <m:sub>
              <m:r>
                <m:rPr>
                  <m:nor/>
                </m:rPr>
                <w:rPr>
                  <w:rFonts w:asciiTheme="majorBidi" w:hAnsiTheme="majorBidi" w:cstheme="majorBidi"/>
                  <w:lang w:val="en-US"/>
                </w:rPr>
                <m:t>d</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b</m:t>
              </m:r>
            </m:e>
            <m:sub>
              <m:r>
                <m:rPr>
                  <m:nor/>
                </m:rPr>
                <w:rPr>
                  <w:rFonts w:asciiTheme="majorBidi" w:hAnsiTheme="majorBidi" w:cstheme="majorBidi"/>
                  <w:lang w:val="en-US"/>
                </w:rPr>
                <m:t>d</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r>
            <m:rPr>
              <m:nor/>
            </m:rPr>
            <w:rPr>
              <w:rFonts w:asciiTheme="majorBidi" w:hAnsiTheme="majorBidi" w:cstheme="majorBidi"/>
              <w:lang w:val="en-US"/>
            </w:rPr>
            <m:t>v</m:t>
          </m:r>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c</m:t>
              </m:r>
            </m:e>
            <m:sub>
              <m:r>
                <m:rPr>
                  <m:nor/>
                </m:rPr>
                <w:rPr>
                  <w:rFonts w:asciiTheme="majorBidi" w:hAnsiTheme="majorBidi" w:cstheme="majorBidi"/>
                  <w:lang w:val="en-US"/>
                </w:rPr>
                <m:t>d</m:t>
              </m:r>
            </m:sub>
          </m:sSub>
          <m:r>
            <m:rPr>
              <m:nor/>
            </m:rPr>
            <w:rPr>
              <w:rFonts w:ascii="Cambria Math" w:hAnsiTheme="majorBidi" w:cstheme="majorBidi"/>
              <w:lang w:val="en-US"/>
            </w:rPr>
            <m:t xml:space="preserve"> </m:t>
          </m:r>
          <m:r>
            <m:rPr>
              <m:nor/>
            </m:rPr>
            <w:rPr>
              <w:rFonts w:asciiTheme="majorBidi" w:hAnsiTheme="majorBidi" w:cstheme="majorBidi"/>
              <w:lang w:val="en-US"/>
            </w:rPr>
            <m:t>×</m:t>
          </m:r>
          <m:sSup>
            <m:sSupPr>
              <m:ctrlPr>
                <w:rPr>
                  <w:rFonts w:ascii="Cambria Math" w:hAnsi="Cambria Math" w:cstheme="majorBidi"/>
                </w:rPr>
              </m:ctrlPr>
            </m:sSupPr>
            <m:e>
              <m:r>
                <m:rPr>
                  <m:nor/>
                </m:rPr>
                <w:rPr>
                  <w:rFonts w:ascii="Cambria Math" w:hAnsiTheme="majorBidi" w:cstheme="majorBidi"/>
                  <w:lang w:val="en-US"/>
                </w:rPr>
                <m:t xml:space="preserve"> </m:t>
              </m:r>
              <m:r>
                <m:rPr>
                  <m:nor/>
                </m:rPr>
                <w:rPr>
                  <w:rFonts w:asciiTheme="majorBidi" w:hAnsiTheme="majorBidi" w:cstheme="majorBidi"/>
                  <w:lang w:val="en-US"/>
                </w:rPr>
                <m:t>v</m:t>
              </m:r>
            </m:e>
            <m:sup>
              <m:r>
                <m:rPr>
                  <m:nor/>
                </m:rPr>
                <w:rPr>
                  <w:rFonts w:asciiTheme="majorBidi" w:hAnsiTheme="majorBidi" w:cstheme="majorBidi"/>
                  <w:lang w:val="en-US"/>
                </w:rPr>
                <m:t>2</m:t>
              </m:r>
            </m:sup>
          </m:sSup>
        </m:oMath>
      </m:oMathPara>
    </w:p>
    <w:p w:rsidR="00E24DB7" w:rsidRPr="00D53F39" w:rsidRDefault="00E24DB7" w:rsidP="00E24DB7">
      <w:pPr>
        <w:pStyle w:val="SingleTxtG"/>
        <w:keepNext/>
        <w:ind w:left="2268"/>
        <w:rPr>
          <w:lang w:val="en-US"/>
        </w:rPr>
      </w:pPr>
      <w:r w:rsidRPr="00D53F39">
        <w:rPr>
          <w:lang w:val="en-US"/>
        </w:rPr>
        <w:t>où :</w:t>
      </w:r>
    </w:p>
    <w:p w:rsidR="00E24DB7" w:rsidRPr="00D53F39" w:rsidRDefault="00E24DB7" w:rsidP="00E24DB7">
      <w:pPr>
        <w:pStyle w:val="SingleTxtG"/>
        <w:ind w:left="2268"/>
        <w:rPr>
          <w:lang w:val="en-US"/>
        </w:rPr>
      </w:pPr>
      <w:r w:rsidRPr="00D53F39">
        <w:rPr>
          <w:lang w:val="en-US"/>
        </w:rPr>
        <w:t>a</w:t>
      </w:r>
      <w:r w:rsidRPr="00D53F39">
        <w:rPr>
          <w:vertAlign w:val="subscript"/>
          <w:lang w:val="en-US"/>
        </w:rPr>
        <w:t xml:space="preserve">d </w:t>
      </w:r>
      <w:r w:rsidRPr="00D53F39">
        <w:rPr>
          <w:lang w:val="en-US"/>
        </w:rPr>
        <w:t>= 0 ;</w:t>
      </w:r>
    </w:p>
    <w:p w:rsidR="00E24DB7" w:rsidRPr="00D53F39" w:rsidRDefault="00E24DB7" w:rsidP="00E24DB7">
      <w:pPr>
        <w:spacing w:after="120"/>
        <w:ind w:left="2268" w:right="1134"/>
        <w:jc w:val="both"/>
        <w:rPr>
          <w:lang w:val="en-US"/>
        </w:rPr>
      </w:pPr>
      <w:r w:rsidRPr="00D53F39">
        <w:rPr>
          <w:lang w:val="en-US"/>
        </w:rPr>
        <w:t>b</w:t>
      </w:r>
      <w:r w:rsidRPr="00D53F39">
        <w:rPr>
          <w:vertAlign w:val="subscript"/>
          <w:lang w:val="en-US"/>
        </w:rPr>
        <w:t xml:space="preserve">d </w:t>
      </w:r>
      <w:r w:rsidRPr="00D53F39">
        <w:rPr>
          <w:lang w:val="en-US"/>
        </w:rPr>
        <w:t xml:space="preserve">= 0 ; </w:t>
      </w:r>
    </w:p>
    <w:p w:rsidR="00E24DB7" w:rsidRPr="00D53F39" w:rsidRDefault="00731CA6" w:rsidP="00E24DB7">
      <w:pPr>
        <w:pStyle w:val="SingleTxtG"/>
        <w:ind w:left="2268"/>
        <w:rPr>
          <w:rFonts w:eastAsiaTheme="minorEastAsia"/>
          <w:lang w:val="en-US"/>
        </w:rPr>
      </w:pPr>
      <m:oMathPara>
        <m:oMathParaPr>
          <m:jc m:val="left"/>
        </m:oMathParaPr>
        <m:oMath>
          <m:sSub>
            <m:sSubPr>
              <m:ctrlPr>
                <w:rPr>
                  <w:rFonts w:ascii="Cambria Math" w:hAnsi="Cambria Math" w:cstheme="majorBidi"/>
                </w:rPr>
              </m:ctrlPr>
            </m:sSubPr>
            <m:e>
              <m:r>
                <m:rPr>
                  <m:nor/>
                </m:rPr>
                <w:rPr>
                  <w:rFonts w:asciiTheme="majorBidi" w:hAnsiTheme="majorBidi" w:cstheme="majorBidi"/>
                  <w:lang w:val="en-US"/>
                </w:rPr>
                <m:t>c</m:t>
              </m:r>
            </m:e>
            <m:sub>
              <m:r>
                <m:rPr>
                  <m:nor/>
                </m:rPr>
                <w:rPr>
                  <w:rFonts w:asciiTheme="majorBidi" w:hAnsiTheme="majorBidi" w:cstheme="majorBidi"/>
                  <w:lang w:val="en-US"/>
                </w:rPr>
                <m:t>d</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d>
            <m:dPr>
              <m:ctrlPr>
                <w:rPr>
                  <w:rFonts w:ascii="Cambria Math" w:hAnsi="Cambria Math" w:cstheme="majorBidi"/>
                </w:rPr>
              </m:ctrlPr>
            </m:dPr>
            <m:e>
              <m:sSub>
                <m:sSubPr>
                  <m:ctrlPr>
                    <w:rPr>
                      <w:rFonts w:ascii="Cambria Math" w:hAnsi="Cambria Math" w:cstheme="majorBidi"/>
                    </w:rPr>
                  </m:ctrlPr>
                </m:sSubPr>
                <m:e>
                  <m:r>
                    <m:rPr>
                      <m:nor/>
                    </m:rPr>
                    <w:rPr>
                      <w:rFonts w:asciiTheme="majorBidi" w:hAnsiTheme="majorBidi" w:cstheme="majorBidi"/>
                      <w:lang w:val="en-US"/>
                    </w:rPr>
                    <m:t>C</m:t>
                  </m:r>
                </m:e>
                <m:sub>
                  <m:r>
                    <m:rPr>
                      <m:nor/>
                    </m:rPr>
                    <w:rPr>
                      <w:rFonts w:asciiTheme="majorBidi" w:hAnsiTheme="majorBidi" w:cstheme="majorBidi"/>
                      <w:lang w:val="en-US"/>
                    </w:rPr>
                    <m:t>D</m:t>
                  </m:r>
                </m:sub>
              </m:sSub>
              <m:r>
                <m:rPr>
                  <m:nor/>
                </m:rPr>
                <w:rPr>
                  <w:rFonts w:ascii="Cambria Math" w:hAnsiTheme="majorBidi" w:cstheme="majorBidi"/>
                  <w:lang w:val="en-US"/>
                </w:rPr>
                <m:t xml:space="preserve"> </m:t>
              </m:r>
              <m:r>
                <m:rPr>
                  <m:nor/>
                </m:rPr>
                <w:rPr>
                  <w:rFonts w:asciiTheme="majorBidi" w:hAnsiTheme="majorBidi" w:cstheme="majorBidi"/>
                  <w:lang w:val="en-US"/>
                </w:rPr>
                <m:t>×</m:t>
              </m:r>
              <m:sSub>
                <m:sSubPr>
                  <m:ctrlPr>
                    <w:rPr>
                      <w:rFonts w:ascii="Cambria Math" w:hAnsi="Cambria Math" w:cstheme="majorBidi"/>
                    </w:rPr>
                  </m:ctrlPr>
                </m:sSubPr>
                <m:e>
                  <m:r>
                    <m:rPr>
                      <m:nor/>
                    </m:rPr>
                    <w:rPr>
                      <w:rFonts w:ascii="Cambria Math" w:hAnsiTheme="majorBidi" w:cstheme="majorBidi"/>
                      <w:lang w:val="en-US"/>
                    </w:rPr>
                    <m:t xml:space="preserve"> </m:t>
                  </m:r>
                  <m:r>
                    <m:rPr>
                      <m:nor/>
                    </m:rPr>
                    <w:rPr>
                      <w:rFonts w:asciiTheme="majorBidi" w:hAnsiTheme="majorBidi" w:cstheme="majorBidi"/>
                      <w:lang w:val="en-US"/>
                    </w:rPr>
                    <m:t>A</m:t>
                  </m:r>
                </m:e>
                <m:sub>
                  <m:r>
                    <m:rPr>
                      <m:nor/>
                    </m:rPr>
                    <w:rPr>
                      <w:rFonts w:asciiTheme="majorBidi" w:hAnsiTheme="majorBidi" w:cstheme="majorBidi"/>
                      <w:lang w:val="en-US"/>
                    </w:rPr>
                    <m:t>f</m:t>
                  </m:r>
                </m:sub>
              </m:sSub>
            </m:e>
          </m:d>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f>
            <m:fPr>
              <m:ctrlPr>
                <w:rPr>
                  <w:rFonts w:ascii="Cambria Math" w:hAnsi="Cambria Math" w:cstheme="majorBidi"/>
                </w:rPr>
              </m:ctrlPr>
            </m:fPr>
            <m:num>
              <m:sSub>
                <m:sSubPr>
                  <m:ctrlPr>
                    <w:rPr>
                      <w:rFonts w:ascii="Cambria Math" w:hAnsi="Cambria Math" w:cstheme="majorBidi"/>
                    </w:rPr>
                  </m:ctrlPr>
                </m:sSubPr>
                <m:e>
                  <m:r>
                    <m:rPr>
                      <m:nor/>
                    </m:rPr>
                    <w:rPr>
                      <w:rFonts w:asciiTheme="majorBidi" w:hAnsiTheme="majorBidi" w:cstheme="majorBidi"/>
                    </w:rPr>
                    <m:t>ρ</m:t>
                  </m:r>
                </m:e>
                <m:sub>
                  <m:r>
                    <m:rPr>
                      <m:nor/>
                    </m:rPr>
                    <w:rPr>
                      <w:rFonts w:asciiTheme="majorBidi" w:hAnsiTheme="majorBidi" w:cstheme="majorBidi"/>
                      <w:lang w:val="en-US"/>
                    </w:rPr>
                    <m:t>0</m:t>
                  </m:r>
                </m:sub>
              </m:sSub>
            </m:num>
            <m:den>
              <m:r>
                <m:rPr>
                  <m:nor/>
                </m:rPr>
                <w:rPr>
                  <w:rFonts w:asciiTheme="majorBidi" w:hAnsiTheme="majorBidi" w:cstheme="majorBidi"/>
                  <w:lang w:val="en-US"/>
                </w:rPr>
                <m:t>2</m:t>
              </m:r>
            </m:den>
          </m:f>
          <m:r>
            <m:rPr>
              <m:nor/>
            </m:rPr>
            <w:rPr>
              <w:rFonts w:ascii="Cambria Math" w:hAnsiTheme="majorBidi" w:cstheme="majorBidi"/>
              <w:lang w:val="en-US"/>
            </w:rPr>
            <m:t xml:space="preserve"> </m:t>
          </m:r>
          <m:r>
            <m:rPr>
              <m:nor/>
            </m:rPr>
            <w:rPr>
              <w:rFonts w:asciiTheme="majorBidi" w:hAnsiTheme="majorBidi" w:cstheme="majorBidi"/>
              <w:lang w:val="en-US"/>
            </w:rPr>
            <m:t>×</m:t>
          </m:r>
          <m:f>
            <m:fPr>
              <m:ctrlPr>
                <w:rPr>
                  <w:rFonts w:ascii="Cambria Math" w:hAnsi="Cambria Math" w:cstheme="majorBidi"/>
                </w:rPr>
              </m:ctrlPr>
            </m:fPr>
            <m:num>
              <m:r>
                <m:rPr>
                  <m:nor/>
                </m:rPr>
                <w:rPr>
                  <w:rFonts w:asciiTheme="majorBidi" w:hAnsiTheme="majorBidi" w:cstheme="majorBidi"/>
                  <w:lang w:val="en-US"/>
                </w:rPr>
                <m:t>1</m:t>
              </m:r>
            </m:num>
            <m:den>
              <m:r>
                <w:rPr>
                  <w:rFonts w:ascii="Cambria Math" w:hAnsi="Cambria Math" w:cstheme="majorBidi"/>
                  <w:lang w:val="en-US"/>
                </w:rPr>
                <m:t xml:space="preserve"> </m:t>
              </m:r>
              <m:sSup>
                <m:sSupPr>
                  <m:ctrlPr>
                    <w:rPr>
                      <w:rFonts w:ascii="Cambria Math" w:hAnsi="Cambria Math" w:cstheme="majorBidi"/>
                    </w:rPr>
                  </m:ctrlPr>
                </m:sSupPr>
                <m:e>
                  <m:r>
                    <m:rPr>
                      <m:nor/>
                    </m:rPr>
                    <w:rPr>
                      <w:rFonts w:asciiTheme="majorBidi" w:hAnsiTheme="majorBidi" w:cstheme="majorBidi"/>
                      <w:lang w:val="en-US"/>
                    </w:rPr>
                    <m:t>3,6</m:t>
                  </m:r>
                </m:e>
                <m:sup>
                  <m:r>
                    <m:rPr>
                      <m:nor/>
                    </m:rPr>
                    <w:rPr>
                      <w:rFonts w:asciiTheme="majorBidi" w:hAnsiTheme="majorBidi" w:cstheme="majorBidi"/>
                      <w:lang w:val="en-US"/>
                    </w:rPr>
                    <m:t>2</m:t>
                  </m:r>
                </m:sup>
              </m:sSup>
            </m:den>
          </m:f>
        </m:oMath>
      </m:oMathPara>
    </w:p>
    <w:p w:rsidR="00E24DB7" w:rsidRPr="002C5876" w:rsidRDefault="00E24DB7" w:rsidP="00E24DB7">
      <w:pPr>
        <w:pStyle w:val="SingleTxtG"/>
        <w:ind w:left="2268"/>
        <w:rPr>
          <w:rFonts w:eastAsiaTheme="minorEastAsia"/>
        </w:rPr>
      </w:pPr>
      <w:r w:rsidRPr="002C5876">
        <w:t>L’inertie équivalente du dynamomètre doit être réglée à la masse d’essai.</w:t>
      </w:r>
    </w:p>
    <w:p w:rsidR="00E24DB7" w:rsidRPr="002C5876" w:rsidRDefault="00E24DB7" w:rsidP="00E24DB7">
      <w:pPr>
        <w:pStyle w:val="SingleTxtG"/>
        <w:ind w:left="2268"/>
      </w:pPr>
      <w:r w:rsidRPr="002C5876">
        <w:t>La valeur de traînée aérodynamique utilisée pour le réglage de la force résistante doit être celle obtenue conformément au paragraphe 6.7.2 de la présente annexe et doit être directement introduite comme paramètre d’entrée. Dans les autres cas, les facteurs a</w:t>
      </w:r>
      <w:r w:rsidRPr="002C5876">
        <w:rPr>
          <w:vertAlign w:val="subscript"/>
        </w:rPr>
        <w:t>d</w:t>
      </w:r>
      <w:r w:rsidRPr="002C5876">
        <w:t>, b</w:t>
      </w:r>
      <w:r w:rsidRPr="002C5876">
        <w:rPr>
          <w:vertAlign w:val="subscript"/>
        </w:rPr>
        <w:t>d</w:t>
      </w:r>
      <w:r w:rsidRPr="002C5876">
        <w:t>, et c</w:t>
      </w:r>
      <w:r w:rsidRPr="002C5876">
        <w:rPr>
          <w:vertAlign w:val="subscript"/>
        </w:rPr>
        <w:t>d</w:t>
      </w:r>
      <w:r w:rsidRPr="002C5876">
        <w:t xml:space="preserve"> obtenus conformément au présent paragraphe doivent être utilisés.</w:t>
      </w:r>
    </w:p>
    <w:p w:rsidR="00E24DB7" w:rsidRPr="002C5876" w:rsidRDefault="00E24DB7" w:rsidP="00E24DB7">
      <w:pPr>
        <w:pStyle w:val="SingleTxtG"/>
        <w:ind w:left="2268"/>
      </w:pPr>
      <w:r w:rsidRPr="002C5876">
        <w:t>À la demande du constructeur, comme méthode alternative à celle du paragraphe 4.2.4.1.2 de la présente annexe, le parcours de mise en température peut être effectué par fonctionnement du véhicule sur le tapis roulant.</w:t>
      </w:r>
    </w:p>
    <w:p w:rsidR="00E24DB7" w:rsidRPr="002C5876" w:rsidRDefault="00E24DB7" w:rsidP="00E24DB7">
      <w:pPr>
        <w:pStyle w:val="SingleTxtG"/>
        <w:ind w:left="2268"/>
      </w:pPr>
      <w:r w:rsidRPr="002C5876">
        <w:t>Dans ce cas la vitesse de mise en température doit être de 110 % de la vitesse maximale du cycle WLTC applicable et la durée doit dépasser 1 200 s jusqu’à ce que la variation de force mesurée sur une durée de 200 s soit inférieure à 5 N.</w:t>
      </w:r>
    </w:p>
    <w:p w:rsidR="00E24DB7" w:rsidRPr="002C5876" w:rsidRDefault="00E24DB7" w:rsidP="00E24DB7">
      <w:pPr>
        <w:pStyle w:val="SingleTxtG"/>
        <w:keepNext/>
        <w:ind w:left="2268" w:hanging="1134"/>
        <w:jc w:val="left"/>
      </w:pPr>
      <w:r w:rsidRPr="002C5876">
        <w:t>6.5.2.2</w:t>
      </w:r>
      <w:r w:rsidRPr="002C5876">
        <w:tab/>
        <w:t>Méthode de mesure aux vitesses stabilisées</w:t>
      </w:r>
    </w:p>
    <w:p w:rsidR="00E24DB7" w:rsidRPr="002C5876" w:rsidRDefault="00E24DB7" w:rsidP="00E24DB7">
      <w:pPr>
        <w:pStyle w:val="SingleTxtG"/>
        <w:ind w:left="2268" w:hanging="1134"/>
      </w:pPr>
      <w:r w:rsidRPr="002C5876">
        <w:t>6.5.2.2.1</w:t>
      </w:r>
      <w:r w:rsidRPr="002C5876">
        <w:tab/>
        <w:t xml:space="preserve">L’essai doit être exécuté depuis le point de vitesse de référence le plus élevé jusqu’au plus bas. </w:t>
      </w:r>
    </w:p>
    <w:p w:rsidR="00E24DB7" w:rsidRPr="002C5876" w:rsidRDefault="00E24DB7" w:rsidP="00E24DB7">
      <w:pPr>
        <w:pStyle w:val="SingleTxtG"/>
        <w:keepLines/>
        <w:ind w:left="2268" w:hanging="1134"/>
      </w:pPr>
      <w:r w:rsidRPr="002C5876">
        <w:t>6.5.2.2.2</w:t>
      </w:r>
      <w:r w:rsidRPr="002C5876">
        <w:tab/>
        <w:t xml:space="preserve">Immédiatement après la mesure effectuée au point de vitesse précédent, la décélération depuis le point actuel vers le point de référence suivant applicable doit être effectuée par une transition douce au taux d’environ 1 m/s². </w:t>
      </w:r>
    </w:p>
    <w:p w:rsidR="00E24DB7" w:rsidRPr="002C5876" w:rsidRDefault="00E24DB7" w:rsidP="00E24DB7">
      <w:pPr>
        <w:pStyle w:val="SingleTxtG"/>
        <w:ind w:left="2268" w:hanging="1134"/>
      </w:pPr>
      <w:r w:rsidRPr="002C5876">
        <w:t>6.5.2.2.3</w:t>
      </w:r>
      <w:r w:rsidRPr="002C5876">
        <w:tab/>
        <w:t>La vitesse de référence doit être stabilisée pendant au moins 4 s et au plus 10 s. L’équipement de mesure doit être tel que le signal de la force mesurée soit stabilisé après cette période.</w:t>
      </w:r>
    </w:p>
    <w:p w:rsidR="00E24DB7" w:rsidRPr="002C5876" w:rsidRDefault="00E24DB7" w:rsidP="00E24DB7">
      <w:pPr>
        <w:pStyle w:val="SingleTxtG"/>
        <w:ind w:left="2268" w:hanging="1134"/>
      </w:pPr>
      <w:r w:rsidRPr="002C5876">
        <w:t>6.5.2.2.4</w:t>
      </w:r>
      <w:r w:rsidRPr="002C5876">
        <w:tab/>
        <w:t>La force à chaque vitesse de référence doit être mesurée pendant au moins 6 s pendant que la vitesse du véhicule est maintenue constante. La force résultante pour ce point de vitesse de référence F</w:t>
      </w:r>
      <w:r w:rsidRPr="002C5876">
        <w:rPr>
          <w:vertAlign w:val="subscript"/>
        </w:rPr>
        <w:t>jDyno</w:t>
      </w:r>
      <w:r w:rsidRPr="002C5876">
        <w:t xml:space="preserve"> est la moyenne arithmétique de la force au cours de la mesure.</w:t>
      </w:r>
    </w:p>
    <w:p w:rsidR="00E24DB7" w:rsidRPr="002C5876" w:rsidRDefault="00E24DB7" w:rsidP="00E24DB7">
      <w:pPr>
        <w:pStyle w:val="SingleTxtG"/>
        <w:ind w:left="2268"/>
      </w:pPr>
      <w:r w:rsidRPr="002C5876">
        <w:t>Les étapes des paragraphes 6.5.2.2.2 à 6.5.2.2.4 de la présente annexe doivent être répétées pour chaque vitesse de référence.</w:t>
      </w:r>
    </w:p>
    <w:p w:rsidR="00E24DB7" w:rsidRPr="002C5876" w:rsidRDefault="00E24DB7" w:rsidP="00E24DB7">
      <w:pPr>
        <w:pStyle w:val="SingleTxtG"/>
        <w:keepNext/>
        <w:ind w:left="2268" w:hanging="1134"/>
        <w:jc w:val="left"/>
      </w:pPr>
      <w:r w:rsidRPr="002C5876">
        <w:t>6.5.2.3</w:t>
      </w:r>
      <w:r w:rsidRPr="002C5876">
        <w:tab/>
        <w:t>Méthode de mesure par décélération</w:t>
      </w:r>
    </w:p>
    <w:p w:rsidR="00E24DB7" w:rsidRPr="002C5876" w:rsidRDefault="00E24DB7" w:rsidP="00E24DB7">
      <w:pPr>
        <w:pStyle w:val="SingleTxtG"/>
        <w:ind w:left="2268" w:hanging="1134"/>
      </w:pPr>
      <w:r w:rsidRPr="002C5876">
        <w:t>6.5.2.3.1</w:t>
      </w:r>
      <w:r w:rsidRPr="002C5876">
        <w:tab/>
        <w:t xml:space="preserve">Les opérations de préconditionnement et de réglage du dynamomètre doivent être exécutées conformément au paragraphe 6.5.2.1 de la présente annexe. Avant chaque parcours de décélération libre, le véhicule doit effectuer un parcours à la vitesse de référence la plus élevée ou, si l’autre procédure de mise en température est utilisée, à 110 % de la vitesse de référence la plus élevée, </w:t>
      </w:r>
      <w:r w:rsidRPr="002C5876">
        <w:lastRenderedPageBreak/>
        <w:t>pendant au moins 1 min. Le véhicule doit ensuite être accéléré jusqu’à au moins 10 km/h au-dessus de la plus haute vitesse de référence et l’essai de décélération libre doit commencer immédiatement.</w:t>
      </w:r>
    </w:p>
    <w:p w:rsidR="00E24DB7" w:rsidRPr="002C5876" w:rsidRDefault="00E24DB7" w:rsidP="00E24DB7">
      <w:pPr>
        <w:pStyle w:val="SingleTxtG"/>
        <w:ind w:left="2268" w:hanging="1134"/>
      </w:pPr>
      <w:r w:rsidRPr="002C5876">
        <w:t>6.5.2.3.2</w:t>
      </w:r>
      <w:r w:rsidRPr="002C5876">
        <w:tab/>
        <w:t>La mesure doit être exécutée conformément aux paragraphes 4.3.1.3.1 à 4.3.1.4.4 de la présente annexe. Un parcours de décélération libre dans les deux sens n’est pas possible et l’équation utilisée pour calculer ∆t</w:t>
      </w:r>
      <w:r w:rsidRPr="002C5876">
        <w:rPr>
          <w:vertAlign w:val="subscript"/>
        </w:rPr>
        <w:t xml:space="preserve">ji </w:t>
      </w:r>
      <w:r w:rsidRPr="002C5876">
        <w:t xml:space="preserve">au paragraphe 4.3.1.4.2 de la présente annexe ne s’applique pas. La mesure doit être arrêtée après deux décélérations si la force mesurée lors des deux décélérations libres à chaque point de vitesse de référence se situe dans les limites de </w:t>
      </w:r>
      <w:r w:rsidRPr="002C5876">
        <w:sym w:font="Symbol" w:char="F0B1"/>
      </w:r>
      <w:r w:rsidRPr="002C5876">
        <w:t>10 N ; sinon, trois décélérations libres au moins devront être exécutées conformément aux critères définis au paragraphe </w:t>
      </w:r>
      <w:r w:rsidRPr="002C5876">
        <w:rPr>
          <w:bCs/>
        </w:rPr>
        <w:t>4.3.1.4.2 de la présente annexe.</w:t>
      </w:r>
    </w:p>
    <w:p w:rsidR="00E24DB7" w:rsidRPr="002C5876" w:rsidRDefault="00E24DB7" w:rsidP="00E24DB7">
      <w:pPr>
        <w:pStyle w:val="SingleTxtG"/>
        <w:keepNext/>
        <w:ind w:left="2268" w:hanging="1134"/>
      </w:pPr>
      <w:r w:rsidRPr="002C5876">
        <w:t>6.5.2.3.3</w:t>
      </w:r>
      <w:r w:rsidRPr="002C5876">
        <w:tab/>
        <w:t>La force f</w:t>
      </w:r>
      <w:r w:rsidRPr="002C5876">
        <w:rPr>
          <w:vertAlign w:val="subscript"/>
        </w:rPr>
        <w:t>jDyno</w:t>
      </w:r>
      <w:r w:rsidRPr="002C5876">
        <w:t xml:space="preserve"> à chaque vitesse de référence v</w:t>
      </w:r>
      <w:r w:rsidRPr="002C5876">
        <w:rPr>
          <w:vertAlign w:val="subscript"/>
        </w:rPr>
        <w:t>j</w:t>
      </w:r>
      <w:r w:rsidRPr="002C5876">
        <w:t xml:space="preserve"> doit être calculée par déduction de la force aérodynamique simulée :</w:t>
      </w:r>
    </w:p>
    <w:p w:rsidR="00E24DB7" w:rsidRPr="002C5876" w:rsidRDefault="00731CA6" w:rsidP="00E24DB7">
      <w:pPr>
        <w:pStyle w:val="SingleTxtG"/>
        <w:ind w:left="2268"/>
        <w:jc w:val="center"/>
      </w:pPr>
      <m:oMathPara>
        <m:oMath>
          <m:sSub>
            <m:sSubPr>
              <m:ctrlPr>
                <w:rPr>
                  <w:rFonts w:ascii="Cambria Math" w:hAnsi="Cambria Math" w:cstheme="majorBidi"/>
                </w:rPr>
              </m:ctrlPr>
            </m:sSubPr>
            <m:e>
              <m:r>
                <m:rPr>
                  <m:nor/>
                </m:rPr>
                <w:rPr>
                  <w:rFonts w:asciiTheme="majorBidi" w:hAnsiTheme="majorBidi" w:cstheme="majorBidi"/>
                </w:rPr>
                <m:t>f</m:t>
              </m:r>
            </m:e>
            <m:sub>
              <m:r>
                <m:rPr>
                  <m:nor/>
                </m:rPr>
                <w:rPr>
                  <w:rFonts w:asciiTheme="majorBidi" w:hAnsiTheme="majorBidi" w:cstheme="majorBidi"/>
                </w:rPr>
                <m:t>jDyno</m:t>
              </m:r>
            </m:sub>
          </m:sSub>
          <m:r>
            <m:rPr>
              <m:nor/>
            </m:rPr>
            <w:rPr>
              <w:rFonts w:ascii="Cambria Math" w:hAnsiTheme="majorBidi" w:cstheme="majorBidi"/>
            </w:rPr>
            <m:t xml:space="preserve"> </m:t>
          </m:r>
          <m:r>
            <m:rPr>
              <m:nor/>
            </m:rPr>
            <w:rPr>
              <w:rFonts w:asciiTheme="majorBidi" w:hAnsiTheme="majorBidi" w:cstheme="majorBidi"/>
            </w:rPr>
            <m:t xml:space="preserve">= </m:t>
          </m:r>
          <m:sSub>
            <m:sSubPr>
              <m:ctrlPr>
                <w:rPr>
                  <w:rFonts w:ascii="Cambria Math" w:hAnsi="Cambria Math" w:cstheme="majorBidi"/>
                </w:rPr>
              </m:ctrlPr>
            </m:sSubPr>
            <m:e>
              <m:r>
                <m:rPr>
                  <m:nor/>
                </m:rPr>
                <w:rPr>
                  <w:rFonts w:asciiTheme="majorBidi" w:hAnsiTheme="majorBidi" w:cstheme="majorBidi"/>
                </w:rPr>
                <m:t>f</m:t>
              </m:r>
            </m:e>
            <m:sub>
              <m:r>
                <m:rPr>
                  <m:nor/>
                </m:rPr>
                <w:rPr>
                  <w:rFonts w:asciiTheme="majorBidi" w:hAnsiTheme="majorBidi" w:cstheme="majorBidi"/>
                </w:rPr>
                <m:t xml:space="preserve">jDecel </m:t>
              </m:r>
            </m:sub>
          </m:sSub>
          <m:r>
            <w:rPr>
              <w:rFonts w:ascii="Cambria Math" w:hAnsi="Cambria Math" w:cstheme="majorBidi"/>
            </w:rPr>
            <m:t>–</m:t>
          </m:r>
          <m:sSub>
            <m:sSubPr>
              <m:ctrlPr>
                <w:rPr>
                  <w:rFonts w:ascii="Cambria Math" w:hAnsi="Cambria Math" w:cstheme="majorBidi"/>
                </w:rPr>
              </m:ctrlPr>
            </m:sSubPr>
            <m:e>
              <m:r>
                <m:rPr>
                  <m:nor/>
                </m:rPr>
                <w:rPr>
                  <w:rFonts w:asciiTheme="majorBidi" w:hAnsiTheme="majorBidi" w:cstheme="majorBidi"/>
                </w:rPr>
                <m:t xml:space="preserve"> c</m:t>
              </m:r>
            </m:e>
            <m:sub>
              <m:r>
                <m:rPr>
                  <m:nor/>
                </m:rPr>
                <w:rPr>
                  <w:rFonts w:asciiTheme="majorBidi" w:hAnsiTheme="majorBidi" w:cstheme="majorBidi"/>
                </w:rPr>
                <m:t>d</m:t>
              </m:r>
            </m:sub>
          </m:sSub>
          <m:r>
            <m:rPr>
              <m:nor/>
            </m:rPr>
            <w:rPr>
              <w:rFonts w:ascii="Cambria Math" w:hAnsiTheme="majorBidi" w:cstheme="majorBidi"/>
            </w:rPr>
            <m:t xml:space="preserve"> </m:t>
          </m:r>
          <m:r>
            <m:rPr>
              <m:nor/>
            </m:rPr>
            <w:rPr>
              <w:rFonts w:asciiTheme="majorBidi" w:hAnsiTheme="majorBidi" w:cstheme="majorBidi"/>
            </w:rPr>
            <m:t xml:space="preserve">× </m:t>
          </m:r>
          <m:sSubSup>
            <m:sSubSupPr>
              <m:ctrlPr>
                <w:rPr>
                  <w:rFonts w:ascii="Cambria Math" w:hAnsi="Cambria Math" w:cstheme="majorBidi"/>
                </w:rPr>
              </m:ctrlPr>
            </m:sSubSupPr>
            <m:e>
              <m:r>
                <m:rPr>
                  <m:nor/>
                </m:rPr>
                <w:rPr>
                  <w:rFonts w:asciiTheme="majorBidi" w:hAnsiTheme="majorBidi" w:cstheme="majorBidi"/>
                </w:rPr>
                <m:t>v</m:t>
              </m:r>
            </m:e>
            <m:sub>
              <m:r>
                <m:rPr>
                  <m:nor/>
                </m:rPr>
                <w:rPr>
                  <w:rFonts w:asciiTheme="majorBidi" w:hAnsiTheme="majorBidi" w:cstheme="majorBidi"/>
                </w:rPr>
                <m:t>j</m:t>
              </m:r>
            </m:sub>
            <m:sup>
              <m:r>
                <m:rPr>
                  <m:nor/>
                </m:rPr>
                <w:rPr>
                  <w:rFonts w:asciiTheme="majorBidi" w:hAnsiTheme="majorBidi" w:cstheme="majorBidi"/>
                </w:rPr>
                <m:t>2</m:t>
              </m:r>
            </m:sup>
          </m:sSubSup>
          <m:r>
            <m:rPr>
              <m:nor/>
            </m:rPr>
            <w:rPr>
              <w:rFonts w:asciiTheme="majorBidi" w:hAnsiTheme="majorBidi" w:cstheme="majorBidi"/>
            </w:rPr>
            <m:t xml:space="preserve"> </m:t>
          </m:r>
        </m:oMath>
      </m:oMathPara>
    </w:p>
    <w:p w:rsidR="00E24DB7" w:rsidRPr="002C5876" w:rsidRDefault="00E24DB7" w:rsidP="00E24DB7">
      <w:pPr>
        <w:pStyle w:val="SingleTxtG"/>
        <w:keepNext/>
        <w:ind w:left="2268"/>
      </w:pPr>
      <w:r w:rsidRPr="002C5876">
        <w:t>où :</w:t>
      </w:r>
    </w:p>
    <w:p w:rsidR="00E24DB7" w:rsidRPr="002C5876" w:rsidRDefault="00E24DB7" w:rsidP="00E24DB7">
      <w:pPr>
        <w:pStyle w:val="SingleTxtG"/>
        <w:ind w:left="3402" w:hanging="1134"/>
      </w:pPr>
      <w:r w:rsidRPr="002C5876">
        <w:t>f</w:t>
      </w:r>
      <w:r w:rsidRPr="002C5876">
        <w:rPr>
          <w:vertAlign w:val="subscript"/>
        </w:rPr>
        <w:t>jDecel</w:t>
      </w:r>
      <w:r w:rsidRPr="002C5876">
        <w:tab/>
        <w:t>est la force déterminée conformément à l’équation de calcul de F</w:t>
      </w:r>
      <w:r w:rsidRPr="002C5876">
        <w:rPr>
          <w:vertAlign w:val="subscript"/>
        </w:rPr>
        <w:t>j</w:t>
      </w:r>
      <w:r w:rsidRPr="002C5876">
        <w:t xml:space="preserve"> au paragraphe 4.3.1.4.4 de la présente annexe au point de vitesse de référence j, en N ;</w:t>
      </w:r>
    </w:p>
    <w:p w:rsidR="00E24DB7" w:rsidRPr="002C5876" w:rsidRDefault="00E24DB7" w:rsidP="00E24DB7">
      <w:pPr>
        <w:pStyle w:val="SingleTxtG"/>
        <w:ind w:left="3402" w:hanging="1134"/>
      </w:pPr>
      <w:r w:rsidRPr="002C5876">
        <w:t>c</w:t>
      </w:r>
      <w:r w:rsidRPr="002C5876">
        <w:rPr>
          <w:vertAlign w:val="subscript"/>
        </w:rPr>
        <w:t>d</w:t>
      </w:r>
      <w:r w:rsidRPr="002C5876">
        <w:tab/>
        <w:t>est le coefficient de réglage du dynamomètre comme défini au paragraphe 6.5.2.1 de la présente annexe, en N/(km/h)².</w:t>
      </w:r>
    </w:p>
    <w:p w:rsidR="00E24DB7" w:rsidRPr="002C5876" w:rsidRDefault="00E24DB7" w:rsidP="00E24DB7">
      <w:pPr>
        <w:pStyle w:val="SingleTxtG"/>
        <w:ind w:left="2268"/>
      </w:pPr>
      <w:r w:rsidRPr="002C5876">
        <w:t>À la demande du constructeur, il est aussi possible de fixer c</w:t>
      </w:r>
      <w:r w:rsidRPr="002C5876">
        <w:rPr>
          <w:vertAlign w:val="subscript"/>
        </w:rPr>
        <w:t>d</w:t>
      </w:r>
      <w:r w:rsidRPr="002C5876">
        <w:t xml:space="preserve"> à zéro pendant la décélération libre et pour le calcul de f</w:t>
      </w:r>
      <w:r w:rsidRPr="002C5876">
        <w:rPr>
          <w:vertAlign w:val="subscript"/>
        </w:rPr>
        <w:t>jDyno</w:t>
      </w:r>
      <w:r w:rsidRPr="002C5876">
        <w:t>.</w:t>
      </w:r>
    </w:p>
    <w:p w:rsidR="00E24DB7" w:rsidRPr="002C5876" w:rsidRDefault="00E24DB7" w:rsidP="00E24DB7">
      <w:pPr>
        <w:pStyle w:val="SingleTxtG"/>
        <w:keepNext/>
        <w:ind w:left="2268" w:hanging="1134"/>
        <w:jc w:val="left"/>
      </w:pPr>
      <w:r w:rsidRPr="002C5876">
        <w:t>6.5.2.4</w:t>
      </w:r>
      <w:r w:rsidRPr="002C5876">
        <w:tab/>
        <w:t>Conditions de mesure</w:t>
      </w:r>
    </w:p>
    <w:p w:rsidR="00E24DB7" w:rsidRPr="002C5876" w:rsidRDefault="00E24DB7" w:rsidP="00E24DB7">
      <w:pPr>
        <w:spacing w:after="120"/>
        <w:ind w:left="2268" w:right="1134"/>
        <w:jc w:val="both"/>
      </w:pPr>
      <w:r w:rsidRPr="002C5876">
        <w:t>Le véhicule doit être dans l’état spécifié au paragraphe 4.3.1.3.2 de la présente annexe.</w:t>
      </w:r>
    </w:p>
    <w:p w:rsidR="00E24DB7" w:rsidRPr="002C5876" w:rsidRDefault="00E24DB7" w:rsidP="00E24DB7">
      <w:pPr>
        <w:pStyle w:val="SingleTxtG"/>
        <w:keepNext/>
        <w:ind w:left="2268" w:hanging="1134"/>
        <w:jc w:val="left"/>
      </w:pPr>
      <w:r w:rsidRPr="002C5876">
        <w:t>6.5.3</w:t>
      </w:r>
      <w:r w:rsidRPr="002C5876">
        <w:tab/>
        <w:t>Résultat de mesure de l’essai sur tapis roulant</w:t>
      </w:r>
    </w:p>
    <w:p w:rsidR="00E24DB7" w:rsidRPr="002C5876" w:rsidRDefault="00E24DB7" w:rsidP="00E24DB7">
      <w:pPr>
        <w:pStyle w:val="SingleTxtG"/>
        <w:ind w:left="2268"/>
      </w:pPr>
      <w:r w:rsidRPr="002C5876">
        <w:t>Le résultat de l’essai sur tapis roulant f</w:t>
      </w:r>
      <w:r w:rsidRPr="002C5876">
        <w:rPr>
          <w:vertAlign w:val="subscript"/>
        </w:rPr>
        <w:t>jDyno</w:t>
      </w:r>
      <w:r w:rsidRPr="002C5876">
        <w:t xml:space="preserve"> doit être désigné comme f</w:t>
      </w:r>
      <w:r w:rsidRPr="002C5876">
        <w:rPr>
          <w:vertAlign w:val="subscript"/>
        </w:rPr>
        <w:t>j</w:t>
      </w:r>
      <w:r w:rsidRPr="002C5876">
        <w:t xml:space="preserve"> pour les calculs ultérieurs du paragraphe 6.7 de la présente annexe.</w:t>
      </w:r>
    </w:p>
    <w:p w:rsidR="00E24DB7" w:rsidRPr="002C5876" w:rsidRDefault="00E24DB7" w:rsidP="00E24DB7">
      <w:pPr>
        <w:pStyle w:val="SingleTxtG"/>
        <w:keepNext/>
        <w:ind w:left="2268" w:hanging="1134"/>
        <w:jc w:val="left"/>
      </w:pPr>
      <w:r w:rsidRPr="002C5876">
        <w:t>6.6</w:t>
      </w:r>
      <w:r w:rsidRPr="002C5876">
        <w:tab/>
        <w:t xml:space="preserve">Banc à rouleaux utilisé pour la méthode de l’essai en soufflerie </w:t>
      </w:r>
    </w:p>
    <w:p w:rsidR="00E24DB7" w:rsidRPr="002C5876" w:rsidRDefault="00E24DB7" w:rsidP="00E24DB7">
      <w:pPr>
        <w:pStyle w:val="SingleTxtG"/>
        <w:keepNext/>
        <w:ind w:left="2268" w:hanging="1134"/>
        <w:jc w:val="left"/>
      </w:pPr>
      <w:r w:rsidRPr="002C5876">
        <w:t>6.6.1</w:t>
      </w:r>
      <w:r w:rsidRPr="002C5876">
        <w:tab/>
        <w:t>Critères</w:t>
      </w:r>
    </w:p>
    <w:p w:rsidR="00E24DB7" w:rsidRPr="002C5876" w:rsidRDefault="00E24DB7" w:rsidP="00E24DB7">
      <w:pPr>
        <w:pStyle w:val="SingleTxtG"/>
        <w:ind w:left="2268"/>
      </w:pPr>
      <w:r w:rsidRPr="002C5876">
        <w:t>Outre les caractéristiques prescrites aux paragraphes</w:t>
      </w:r>
      <w:r w:rsidR="000A63CB" w:rsidRPr="002C5876">
        <w:t> </w:t>
      </w:r>
      <w:r w:rsidRPr="002C5876">
        <w:t>1 et 2 de l’annexe</w:t>
      </w:r>
      <w:r w:rsidR="000A63CB" w:rsidRPr="002C5876">
        <w:t> </w:t>
      </w:r>
      <w:r w:rsidRPr="002C5876">
        <w:t>5, les critères énoncés au paragraphe 6.6.1 sont applicables.</w:t>
      </w:r>
    </w:p>
    <w:p w:rsidR="00E24DB7" w:rsidRPr="002C5876" w:rsidRDefault="00E24DB7" w:rsidP="00E24DB7">
      <w:pPr>
        <w:pStyle w:val="SingleTxtG"/>
        <w:keepNext/>
        <w:ind w:left="2268" w:hanging="1134"/>
        <w:jc w:val="left"/>
      </w:pPr>
      <w:r w:rsidRPr="002C5876">
        <w:t>6.6.1.1</w:t>
      </w:r>
      <w:r w:rsidRPr="002C5876">
        <w:tab/>
        <w:t>Description du banc à rouleaux</w:t>
      </w:r>
    </w:p>
    <w:p w:rsidR="00E24DB7" w:rsidRPr="002C5876" w:rsidRDefault="00E24DB7" w:rsidP="00E24DB7">
      <w:pPr>
        <w:pStyle w:val="SingleTxtG"/>
        <w:ind w:left="2268"/>
      </w:pPr>
      <w:r w:rsidRPr="002C5876">
        <w:t>Les essieux avant et arrière doivent être équipés d’un rouleau simple d’un diamètre d’au moins 1,2</w:t>
      </w:r>
      <w:r w:rsidR="000A63CB" w:rsidRPr="002C5876">
        <w:t> </w:t>
      </w:r>
      <w:r w:rsidRPr="002C5876">
        <w:t>m.</w:t>
      </w:r>
    </w:p>
    <w:p w:rsidR="00E24DB7" w:rsidRPr="002C5876" w:rsidRDefault="00E24DB7" w:rsidP="00E24DB7">
      <w:pPr>
        <w:pStyle w:val="SingleTxtG"/>
        <w:keepNext/>
        <w:ind w:left="2268" w:hanging="1134"/>
        <w:jc w:val="left"/>
      </w:pPr>
      <w:r w:rsidRPr="002C5876">
        <w:t>6.6.1.2</w:t>
      </w:r>
      <w:r w:rsidRPr="002C5876">
        <w:tab/>
        <w:t>Système de maintien du véhicule</w:t>
      </w:r>
    </w:p>
    <w:p w:rsidR="00E24DB7" w:rsidRPr="002C5876" w:rsidRDefault="00E24DB7" w:rsidP="00E24DB7">
      <w:pPr>
        <w:pStyle w:val="SingleTxtG"/>
        <w:ind w:left="2268"/>
      </w:pPr>
      <w:r w:rsidRPr="002C5876">
        <w:t xml:space="preserve">Le dynamomètre doit être équipé d’un dispositif de centrage alignant le véhicule avec le banc. Le système de maintien doit maintenir la position centrée des roues entraînées pendant tous les parcours de décélération libre de détermination de la résistance à l’avancement sur route, dans les limites recommandées ci-après : </w:t>
      </w:r>
    </w:p>
    <w:p w:rsidR="00E24DB7" w:rsidRPr="002C5876" w:rsidRDefault="00E24DB7" w:rsidP="00E24DB7">
      <w:pPr>
        <w:pStyle w:val="SingleTxtG"/>
        <w:keepNext/>
        <w:ind w:left="2268" w:hanging="1134"/>
        <w:jc w:val="left"/>
      </w:pPr>
      <w:r w:rsidRPr="002C5876">
        <w:t>6.6.1.2.1</w:t>
      </w:r>
      <w:r w:rsidRPr="002C5876">
        <w:tab/>
        <w:t>Position du véhicule</w:t>
      </w:r>
    </w:p>
    <w:p w:rsidR="00E24DB7" w:rsidRPr="002C5876" w:rsidRDefault="00E24DB7" w:rsidP="00E24DB7">
      <w:pPr>
        <w:pStyle w:val="SingleTxtG"/>
        <w:ind w:left="2268"/>
      </w:pPr>
      <w:r w:rsidRPr="002C5876">
        <w:t>Le véhicule à essayer doit être installé sur le banc à rouleaux comme défini au paragraphe</w:t>
      </w:r>
      <w:r w:rsidR="004C2441" w:rsidRPr="002C5876">
        <w:t> </w:t>
      </w:r>
      <w:r w:rsidRPr="002C5876">
        <w:t>7.3.3 de la présente annexe.</w:t>
      </w:r>
    </w:p>
    <w:p w:rsidR="00E24DB7" w:rsidRPr="002C5876" w:rsidRDefault="00E24DB7" w:rsidP="00E24DB7">
      <w:pPr>
        <w:pStyle w:val="SingleTxtG"/>
        <w:keepNext/>
        <w:ind w:left="2268" w:hanging="1134"/>
        <w:jc w:val="left"/>
      </w:pPr>
      <w:r w:rsidRPr="002C5876">
        <w:t>6.6.1.2.2</w:t>
      </w:r>
      <w:r w:rsidRPr="002C5876">
        <w:tab/>
        <w:t xml:space="preserve">Force verticale </w:t>
      </w:r>
    </w:p>
    <w:p w:rsidR="00E24DB7" w:rsidRPr="002C5876" w:rsidRDefault="00E24DB7" w:rsidP="00E24DB7">
      <w:pPr>
        <w:pStyle w:val="SingleTxtG"/>
        <w:ind w:left="2268"/>
      </w:pPr>
      <w:r w:rsidRPr="002C5876">
        <w:t>Le système de maintien du véhicule doit satisfaire aux prescriptions du paragraphe 6.5.1.2.3 de la présente annexe.</w:t>
      </w:r>
    </w:p>
    <w:p w:rsidR="00E24DB7" w:rsidRPr="002C5876" w:rsidRDefault="00E24DB7" w:rsidP="00E24DB7">
      <w:pPr>
        <w:pStyle w:val="SingleTxtG"/>
        <w:keepNext/>
        <w:ind w:left="2268" w:hanging="1134"/>
        <w:jc w:val="left"/>
      </w:pPr>
      <w:r w:rsidRPr="002C5876">
        <w:lastRenderedPageBreak/>
        <w:t>6.6.1.3</w:t>
      </w:r>
      <w:r w:rsidRPr="002C5876">
        <w:tab/>
        <w:t>Exactitude des forces mesurées</w:t>
      </w:r>
    </w:p>
    <w:p w:rsidR="00E24DB7" w:rsidRPr="002C5876" w:rsidRDefault="00E24DB7" w:rsidP="00E24DB7">
      <w:pPr>
        <w:pStyle w:val="SingleTxtG"/>
        <w:ind w:left="2268"/>
      </w:pPr>
      <w:r w:rsidRPr="002C5876">
        <w:t>L’exactitude des forces mesurées doit être conforme aux prescriptions du paragraphe 6.5.1.3 de la présente annexe, sauf en ce qui concerne la force dans la direction x qui doit être mesurée avec une exactitude spécifiée au paragraphe 2.4.1 de l’annexe 5.</w:t>
      </w:r>
    </w:p>
    <w:p w:rsidR="00E24DB7" w:rsidRPr="002C5876" w:rsidRDefault="00E24DB7" w:rsidP="00E24DB7">
      <w:pPr>
        <w:pStyle w:val="SingleTxtG"/>
        <w:keepNext/>
        <w:ind w:left="2268" w:hanging="1134"/>
        <w:jc w:val="left"/>
      </w:pPr>
      <w:r w:rsidRPr="002C5876">
        <w:t>6.6.1.4</w:t>
      </w:r>
      <w:r w:rsidRPr="002C5876">
        <w:tab/>
        <w:t>Réglage de vitesse du dynamomètre</w:t>
      </w:r>
    </w:p>
    <w:p w:rsidR="00E24DB7" w:rsidRPr="002C5876" w:rsidRDefault="00E24DB7" w:rsidP="00E24DB7">
      <w:pPr>
        <w:pStyle w:val="SingleTxtG"/>
        <w:ind w:left="2268"/>
      </w:pPr>
      <w:r w:rsidRPr="002C5876">
        <w:t xml:space="preserve">Les vitesses des rouleaux doivent être réglées avec une exactitude de </w:t>
      </w:r>
      <w:r w:rsidRPr="002C5876">
        <w:sym w:font="Symbol" w:char="F0B1"/>
      </w:r>
      <w:r w:rsidRPr="002C5876">
        <w:t>0,2 km/h.</w:t>
      </w:r>
    </w:p>
    <w:p w:rsidR="00E24DB7" w:rsidRPr="002C5876" w:rsidRDefault="00E24DB7" w:rsidP="00E24DB7">
      <w:pPr>
        <w:pStyle w:val="SingleTxtG"/>
        <w:keepNext/>
        <w:ind w:left="2268" w:hanging="1134"/>
        <w:jc w:val="left"/>
      </w:pPr>
      <w:r w:rsidRPr="002C5876">
        <w:t>6.6.1.5</w:t>
      </w:r>
      <w:r w:rsidRPr="002C5876">
        <w:tab/>
        <w:t>Surface des rouleaux</w:t>
      </w:r>
    </w:p>
    <w:p w:rsidR="00E24DB7" w:rsidRPr="002C5876" w:rsidRDefault="00E24DB7" w:rsidP="00E24DB7">
      <w:pPr>
        <w:pStyle w:val="SingleTxtG"/>
        <w:ind w:left="2268"/>
      </w:pPr>
      <w:r w:rsidRPr="002C5876">
        <w:t>La surface des rouleaux doit être propre, sèche et nette de dépôts pouvant causer un patinage des pneumatiques.</w:t>
      </w:r>
    </w:p>
    <w:p w:rsidR="00E24DB7" w:rsidRPr="002C5876" w:rsidRDefault="00E24DB7" w:rsidP="00E24DB7">
      <w:pPr>
        <w:pStyle w:val="SingleTxtG"/>
        <w:keepNext/>
        <w:ind w:left="2268" w:hanging="1134"/>
        <w:jc w:val="left"/>
      </w:pPr>
      <w:r w:rsidRPr="002C5876">
        <w:t>6.6.1.6</w:t>
      </w:r>
      <w:r w:rsidRPr="002C5876">
        <w:tab/>
        <w:t>Ventilateur de refroidissement</w:t>
      </w:r>
    </w:p>
    <w:p w:rsidR="00E24DB7" w:rsidRPr="002C5876" w:rsidRDefault="00E24DB7" w:rsidP="00E24DB7">
      <w:pPr>
        <w:pStyle w:val="SingleTxtG"/>
        <w:ind w:left="2268"/>
      </w:pPr>
      <w:r w:rsidRPr="002C5876">
        <w:t>Le ventilateur de refroidissement doit être comme spécifié au paragraphe 6.5.1.6 de la présente annexe.</w:t>
      </w:r>
    </w:p>
    <w:p w:rsidR="00E24DB7" w:rsidRPr="002C5876" w:rsidRDefault="00E24DB7" w:rsidP="00E24DB7">
      <w:pPr>
        <w:pStyle w:val="SingleTxtG"/>
        <w:keepNext/>
        <w:ind w:left="2268" w:hanging="1134"/>
        <w:jc w:val="left"/>
      </w:pPr>
      <w:r w:rsidRPr="002C5876">
        <w:t>6.6.2</w:t>
      </w:r>
      <w:r w:rsidRPr="002C5876">
        <w:tab/>
        <w:t>Mesures sur le dynamomètre</w:t>
      </w:r>
    </w:p>
    <w:p w:rsidR="00E24DB7" w:rsidRPr="002C5876" w:rsidRDefault="00E24DB7" w:rsidP="00E24DB7">
      <w:pPr>
        <w:pStyle w:val="SingleTxtG"/>
        <w:ind w:left="2268"/>
      </w:pPr>
      <w:r w:rsidRPr="002C5876">
        <w:t>Les mesures doivent être exécutées comme spécifié au paragraphe 6.5.2 de la présente annexe.</w:t>
      </w:r>
    </w:p>
    <w:p w:rsidR="00E24DB7" w:rsidRPr="002C5876" w:rsidRDefault="00E24DB7" w:rsidP="00E24DB7">
      <w:pPr>
        <w:pStyle w:val="SingleTxtG"/>
        <w:keepNext/>
        <w:ind w:left="2268" w:hanging="1134"/>
        <w:jc w:val="left"/>
      </w:pPr>
      <w:r w:rsidRPr="002C5876">
        <w:t>6.6.3</w:t>
      </w:r>
      <w:r w:rsidRPr="002C5876">
        <w:tab/>
        <w:t>Correction des forces mesurées sur le banc à rouleaux par rapport aux valeurs sur une surface plane</w:t>
      </w:r>
    </w:p>
    <w:p w:rsidR="00E24DB7" w:rsidRPr="002C5876" w:rsidRDefault="00E24DB7" w:rsidP="00E24DB7">
      <w:pPr>
        <w:pStyle w:val="SingleTxtG"/>
        <w:ind w:left="2268"/>
      </w:pPr>
      <w:r w:rsidRPr="002C5876">
        <w:t>Les forces mesurées sur le banc à rouleaux doivent être corrigées pour les rapporter à une valeur de référence équivalente au déplacement sur route (surface plane) et les résultats doivent être désignés comme f</w:t>
      </w:r>
      <w:r w:rsidRPr="002C5876">
        <w:rPr>
          <w:vertAlign w:val="subscript"/>
        </w:rPr>
        <w:t>j</w:t>
      </w:r>
      <w:r w:rsidRPr="002C5876">
        <w:t>.</w:t>
      </w:r>
    </w:p>
    <w:p w:rsidR="00E24DB7" w:rsidRPr="002C5876" w:rsidRDefault="00731CA6" w:rsidP="004C2441">
      <w:pPr>
        <w:pStyle w:val="SingleTxtG"/>
        <w:ind w:left="2268"/>
        <w:jc w:val="center"/>
      </w:pPr>
      <m:oMathPara>
        <m:oMath>
          <m:sSub>
            <m:sSubPr>
              <m:ctrlPr>
                <w:rPr>
                  <w:rFonts w:ascii="Cambria Math" w:hAnsi="Cambria Math" w:cstheme="majorBidi"/>
                </w:rPr>
              </m:ctrlPr>
            </m:sSubPr>
            <m:e>
              <m:r>
                <m:rPr>
                  <m:nor/>
                </m:rPr>
                <w:rPr>
                  <w:rFonts w:asciiTheme="majorBidi" w:hAnsiTheme="majorBidi" w:cstheme="majorBidi"/>
                </w:rPr>
                <m:t>f</m:t>
              </m:r>
            </m:e>
            <m:sub>
              <m:r>
                <m:rPr>
                  <m:nor/>
                </m:rPr>
                <w:rPr>
                  <w:rFonts w:asciiTheme="majorBidi" w:hAnsiTheme="majorBidi" w:cstheme="majorBidi"/>
                </w:rPr>
                <m:t>j</m:t>
              </m:r>
            </m:sub>
          </m:sSub>
          <m:r>
            <m:rPr>
              <m:nor/>
            </m:rPr>
            <w:rPr>
              <w:rFonts w:ascii="Cambria Math" w:hAnsiTheme="majorBidi" w:cstheme="majorBidi"/>
            </w:rPr>
            <m:t xml:space="preserve"> </m:t>
          </m:r>
          <m:r>
            <m:rPr>
              <m:nor/>
            </m:rPr>
            <w:rPr>
              <w:rFonts w:asciiTheme="majorBidi" w:hAnsiTheme="majorBidi" w:cstheme="majorBidi"/>
            </w:rPr>
            <m:t xml:space="preserve">= </m:t>
          </m:r>
          <m:sSub>
            <m:sSubPr>
              <m:ctrlPr>
                <w:rPr>
                  <w:rFonts w:ascii="Cambria Math" w:hAnsi="Cambria Math" w:cstheme="majorBidi"/>
                </w:rPr>
              </m:ctrlPr>
            </m:sSubPr>
            <m:e>
              <m:r>
                <m:rPr>
                  <m:nor/>
                </m:rPr>
                <w:rPr>
                  <w:rFonts w:asciiTheme="majorBidi" w:hAnsiTheme="majorBidi" w:cstheme="majorBidi"/>
                </w:rPr>
                <m:t>f</m:t>
              </m:r>
            </m:e>
            <m:sub>
              <m:r>
                <m:rPr>
                  <m:nor/>
                </m:rPr>
                <w:rPr>
                  <w:rFonts w:asciiTheme="majorBidi" w:hAnsiTheme="majorBidi" w:cstheme="majorBidi"/>
                </w:rPr>
                <m:t>jDyno</m:t>
              </m:r>
            </m:sub>
          </m:sSub>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r>
            <m:rPr>
              <m:nor/>
            </m:rPr>
            <w:rPr>
              <w:rFonts w:asciiTheme="majorBidi" w:hAnsiTheme="majorBidi" w:cstheme="majorBidi"/>
            </w:rPr>
            <m:t>c1 × </m:t>
          </m:r>
          <m:rad>
            <m:radPr>
              <m:degHide m:val="1"/>
              <m:ctrlPr>
                <w:rPr>
                  <w:rFonts w:ascii="Cambria Math" w:hAnsi="Cambria Math" w:cstheme="majorBidi"/>
                  <w:iCs/>
                </w:rPr>
              </m:ctrlPr>
            </m:radPr>
            <m:deg/>
            <m:e>
              <m:f>
                <m:fPr>
                  <m:ctrlPr>
                    <w:rPr>
                      <w:rFonts w:ascii="Cambria Math" w:hAnsi="Cambria Math" w:cstheme="majorBidi"/>
                      <w:iCs/>
                    </w:rPr>
                  </m:ctrlPr>
                </m:fPr>
                <m:num>
                  <m:r>
                    <m:rPr>
                      <m:nor/>
                    </m:rPr>
                    <w:rPr>
                      <w:rFonts w:asciiTheme="majorBidi" w:hAnsiTheme="majorBidi" w:cstheme="majorBidi"/>
                    </w:rPr>
                    <m:t>1</m:t>
                  </m:r>
                </m:num>
                <m:den>
                  <m:f>
                    <m:fPr>
                      <m:ctrlPr>
                        <w:rPr>
                          <w:rFonts w:ascii="Cambria Math" w:hAnsi="Cambria Math" w:cstheme="majorBidi"/>
                          <w:iCs/>
                        </w:rPr>
                      </m:ctrlPr>
                    </m:fPr>
                    <m:num>
                      <m:sSub>
                        <m:sSubPr>
                          <m:ctrlPr>
                            <w:rPr>
                              <w:rFonts w:ascii="Cambria Math" w:hAnsi="Cambria Math" w:cstheme="majorBidi"/>
                              <w:iCs/>
                            </w:rPr>
                          </m:ctrlPr>
                        </m:sSubPr>
                        <m:e>
                          <m:r>
                            <m:rPr>
                              <m:nor/>
                            </m:rPr>
                            <w:rPr>
                              <w:rFonts w:asciiTheme="majorBidi" w:hAnsiTheme="majorBidi" w:cstheme="majorBidi"/>
                            </w:rPr>
                            <m:t>R</m:t>
                          </m:r>
                        </m:e>
                        <m:sub>
                          <m:r>
                            <m:rPr>
                              <m:nor/>
                            </m:rPr>
                            <w:rPr>
                              <w:rFonts w:asciiTheme="majorBidi" w:hAnsiTheme="majorBidi" w:cstheme="majorBidi"/>
                            </w:rPr>
                            <m:t>Wheel</m:t>
                          </m:r>
                        </m:sub>
                      </m:sSub>
                    </m:num>
                    <m:den>
                      <m:sSub>
                        <m:sSubPr>
                          <m:ctrlPr>
                            <w:rPr>
                              <w:rFonts w:ascii="Cambria Math" w:hAnsi="Cambria Math" w:cstheme="majorBidi"/>
                              <w:iCs/>
                            </w:rPr>
                          </m:ctrlPr>
                        </m:sSubPr>
                        <m:e>
                          <m:r>
                            <m:rPr>
                              <m:nor/>
                            </m:rPr>
                            <w:rPr>
                              <w:rFonts w:asciiTheme="majorBidi" w:hAnsiTheme="majorBidi" w:cstheme="majorBidi"/>
                            </w:rPr>
                            <m:t>R</m:t>
                          </m:r>
                        </m:e>
                        <m:sub>
                          <m:r>
                            <m:rPr>
                              <m:nor/>
                            </m:rPr>
                            <w:rPr>
                              <w:rFonts w:asciiTheme="majorBidi" w:hAnsiTheme="majorBidi" w:cstheme="majorBidi"/>
                            </w:rPr>
                            <m:t>Dyno</m:t>
                          </m:r>
                        </m:sub>
                      </m:sSub>
                    </m:den>
                  </m:f>
                  <m:r>
                    <m:rPr>
                      <m:nor/>
                    </m:rPr>
                    <w:rPr>
                      <w:rFonts w:asciiTheme="majorBidi" w:hAnsiTheme="majorBidi" w:cstheme="majorBidi"/>
                    </w:rPr>
                    <m:t>×</m:t>
                  </m:r>
                  <m:r>
                    <m:rPr>
                      <m:nor/>
                    </m:rPr>
                    <w:rPr>
                      <w:rFonts w:ascii="Cambria Math" w:hAnsiTheme="majorBidi" w:cstheme="majorBidi"/>
                    </w:rPr>
                    <m:t xml:space="preserve"> </m:t>
                  </m:r>
                  <m:r>
                    <m:rPr>
                      <m:nor/>
                    </m:rPr>
                    <w:rPr>
                      <w:rFonts w:asciiTheme="majorBidi" w:hAnsiTheme="majorBidi" w:cstheme="majorBidi"/>
                    </w:rPr>
                    <m:t>c2</m:t>
                  </m:r>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r>
                    <m:rPr>
                      <m:nor/>
                    </m:rPr>
                    <w:rPr>
                      <w:rFonts w:asciiTheme="majorBidi" w:hAnsiTheme="majorBidi" w:cstheme="majorBidi"/>
                    </w:rPr>
                    <m:t>1</m:t>
                  </m:r>
                </m:den>
              </m:f>
            </m:e>
          </m:rad>
          <m:r>
            <m:rPr>
              <m:nor/>
            </m:rPr>
            <w:rPr>
              <w:rFonts w:ascii="Cambria Math" w:hAnsiTheme="majorBidi" w:cstheme="majorBidi"/>
            </w:rPr>
            <m:t xml:space="preserve"> </m:t>
          </m:r>
          <m:r>
            <m:rPr>
              <m:nor/>
            </m:rPr>
            <w:rPr>
              <w:rFonts w:asciiTheme="majorBidi" w:hAnsiTheme="majorBidi" w:cstheme="majorBidi"/>
            </w:rPr>
            <m:t xml:space="preserve">+ </m:t>
          </m:r>
          <m:sSub>
            <m:sSubPr>
              <m:ctrlPr>
                <w:rPr>
                  <w:rFonts w:ascii="Cambria Math" w:hAnsi="Cambria Math" w:cstheme="majorBidi"/>
                </w:rPr>
              </m:ctrlPr>
            </m:sSubPr>
            <m:e>
              <m:r>
                <m:rPr>
                  <m:nor/>
                </m:rPr>
                <w:rPr>
                  <w:rFonts w:asciiTheme="majorBidi" w:hAnsiTheme="majorBidi" w:cstheme="majorBidi"/>
                </w:rPr>
                <m:t>f</m:t>
              </m:r>
            </m:e>
            <m:sub>
              <m:r>
                <m:rPr>
                  <m:nor/>
                </m:rPr>
                <w:rPr>
                  <w:rFonts w:asciiTheme="majorBidi" w:hAnsiTheme="majorBidi" w:cstheme="majorBidi"/>
                </w:rPr>
                <m:t>jDyno</m:t>
              </m:r>
            </m:sub>
          </m:sSub>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d>
            <m:dPr>
              <m:ctrlPr>
                <w:rPr>
                  <w:rFonts w:ascii="Cambria Math" w:hAnsi="Cambria Math" w:cstheme="majorBidi"/>
                </w:rPr>
              </m:ctrlPr>
            </m:dPr>
            <m:e>
              <m:r>
                <m:rPr>
                  <m:nor/>
                </m:rPr>
                <w:rPr>
                  <w:rFonts w:asciiTheme="majorBidi" w:hAnsiTheme="majorBidi" w:cstheme="majorBidi"/>
                </w:rPr>
                <m:t>1</m:t>
              </m:r>
              <m:r>
                <m:rPr>
                  <m:nor/>
                </m:rPr>
                <w:rPr>
                  <w:rFonts w:ascii="Cambria Math" w:hAnsiTheme="majorBidi" w:cstheme="majorBidi"/>
                </w:rPr>
                <m:t xml:space="preserve"> </m:t>
              </m:r>
              <m:r>
                <m:rPr>
                  <m:nor/>
                </m:rPr>
                <w:rPr>
                  <w:rFonts w:ascii="Cambria Math" w:hAnsiTheme="majorBidi" w:cstheme="majorBidi"/>
                </w:rPr>
                <m:t>–</m:t>
              </m:r>
              <m:r>
                <m:rPr>
                  <m:nor/>
                </m:rPr>
                <w:rPr>
                  <w:rFonts w:ascii="Cambria Math" w:hAnsiTheme="majorBidi" w:cstheme="majorBidi"/>
                </w:rPr>
                <m:t xml:space="preserve"> </m:t>
              </m:r>
              <m:r>
                <m:rPr>
                  <m:nor/>
                </m:rPr>
                <w:rPr>
                  <w:rFonts w:asciiTheme="majorBidi" w:hAnsiTheme="majorBidi" w:cstheme="majorBidi"/>
                </w:rPr>
                <m:t>c1</m:t>
              </m:r>
            </m:e>
          </m:d>
        </m:oMath>
      </m:oMathPara>
    </w:p>
    <w:p w:rsidR="00E24DB7" w:rsidRPr="002C5876" w:rsidRDefault="00E24DB7" w:rsidP="00E24DB7">
      <w:pPr>
        <w:pStyle w:val="SingleTxtG"/>
        <w:keepNext/>
        <w:ind w:left="2268"/>
      </w:pPr>
      <w:r w:rsidRPr="002C5876">
        <w:t>où :</w:t>
      </w:r>
    </w:p>
    <w:p w:rsidR="00E24DB7" w:rsidRPr="002C5876" w:rsidRDefault="00E24DB7" w:rsidP="00E24DB7">
      <w:pPr>
        <w:pStyle w:val="SingleTxtG"/>
        <w:ind w:left="3402" w:hanging="1134"/>
      </w:pPr>
      <w:r w:rsidRPr="002C5876">
        <w:t>c1</w:t>
      </w:r>
      <w:r w:rsidRPr="002C5876">
        <w:tab/>
        <w:t>est la fraction résistance au roulement du pneumatique de f</w:t>
      </w:r>
      <w:r w:rsidRPr="002C5876">
        <w:rPr>
          <w:vertAlign w:val="subscript"/>
        </w:rPr>
        <w:t>jDyno</w:t>
      </w:r>
      <w:r w:rsidRPr="002C5876">
        <w:t> ;</w:t>
      </w:r>
    </w:p>
    <w:p w:rsidR="00E24DB7" w:rsidRPr="002C5876" w:rsidRDefault="00E24DB7" w:rsidP="00E24DB7">
      <w:pPr>
        <w:pStyle w:val="SingleTxtG"/>
        <w:ind w:left="3402" w:hanging="1134"/>
      </w:pPr>
      <w:r w:rsidRPr="002C5876">
        <w:t>c2</w:t>
      </w:r>
      <w:r w:rsidRPr="002C5876">
        <w:tab/>
        <w:t>est un facteur de correction du rayon spécifique du banc à rouleaux ;</w:t>
      </w:r>
    </w:p>
    <w:p w:rsidR="00E24DB7" w:rsidRPr="002C5876" w:rsidRDefault="00E24DB7" w:rsidP="00E24DB7">
      <w:pPr>
        <w:pStyle w:val="SingleTxtG"/>
        <w:ind w:left="3402" w:hanging="1134"/>
      </w:pPr>
      <w:r w:rsidRPr="002C5876">
        <w:t>f</w:t>
      </w:r>
      <w:r w:rsidRPr="002C5876">
        <w:rPr>
          <w:vertAlign w:val="subscript"/>
        </w:rPr>
        <w:t>jDyno</w:t>
      </w:r>
      <w:r w:rsidRPr="002C5876">
        <w:tab/>
        <w:t>est la force calculée conformément au paragraphe 6.5.2.3.3 de la présente annexe pour chaque vitesse de référence j, en N ;</w:t>
      </w:r>
    </w:p>
    <w:p w:rsidR="00E24DB7" w:rsidRPr="002C5876" w:rsidRDefault="00E24DB7" w:rsidP="00E24DB7">
      <w:pPr>
        <w:pStyle w:val="SingleTxtG"/>
        <w:ind w:left="3402" w:hanging="1134"/>
      </w:pPr>
      <w:r w:rsidRPr="002C5876">
        <w:t>R</w:t>
      </w:r>
      <w:r w:rsidRPr="002C5876">
        <w:rPr>
          <w:vertAlign w:val="subscript"/>
        </w:rPr>
        <w:t>whell</w:t>
      </w:r>
      <w:r w:rsidRPr="002C5876">
        <w:rPr>
          <w:vertAlign w:val="subscript"/>
        </w:rPr>
        <w:tab/>
      </w:r>
      <w:r w:rsidRPr="002C5876">
        <w:t>est égal à un demi-diamètre théorique nominal du pneumatique, en m ;</w:t>
      </w:r>
    </w:p>
    <w:p w:rsidR="00E24DB7" w:rsidRPr="002C5876" w:rsidRDefault="00E24DB7" w:rsidP="00E24DB7">
      <w:pPr>
        <w:pStyle w:val="SingleTxtG"/>
        <w:ind w:left="3402" w:hanging="1134"/>
      </w:pPr>
      <w:r w:rsidRPr="002C5876">
        <w:t>R</w:t>
      </w:r>
      <w:r w:rsidRPr="002C5876">
        <w:rPr>
          <w:vertAlign w:val="subscript"/>
        </w:rPr>
        <w:t>Dyno</w:t>
      </w:r>
      <w:r w:rsidRPr="002C5876">
        <w:tab/>
        <w:t>est le rayon du rouleau du dynamomètre, en m.</w:t>
      </w:r>
    </w:p>
    <w:p w:rsidR="00E24DB7" w:rsidRPr="002C5876" w:rsidRDefault="00E24DB7" w:rsidP="00E24DB7">
      <w:pPr>
        <w:pStyle w:val="SingleTxtG"/>
        <w:ind w:left="2268"/>
      </w:pPr>
      <w:r w:rsidRPr="002C5876">
        <w:t>Le constructeur et l’autorité compétente doivent convenir des facteurs c1 et c2 à utiliser, sur la base de données d’essai de corrélation fournies par le constructeur pour la plage de caractéristiques du pneumatique qu’il est prévu de soumettre à l’essai sur le banc à rouleaux.</w:t>
      </w:r>
    </w:p>
    <w:p w:rsidR="00E24DB7" w:rsidRPr="002C5876" w:rsidRDefault="00E24DB7" w:rsidP="00E24DB7">
      <w:pPr>
        <w:pStyle w:val="SingleTxtG"/>
        <w:ind w:left="2268"/>
      </w:pPr>
      <w:r w:rsidRPr="002C5876">
        <w:t>L’équation ci-après, fondée sur des valeurs sûres, peut également être utilisée :</w:t>
      </w:r>
    </w:p>
    <w:p w:rsidR="00E24DB7" w:rsidRPr="00D53F39" w:rsidRDefault="00731CA6" w:rsidP="00E24DB7">
      <w:pPr>
        <w:pStyle w:val="SingleTxtG"/>
        <w:spacing w:after="240"/>
        <w:ind w:left="2268"/>
        <w:jc w:val="center"/>
        <w:rPr>
          <w:lang w:val="en-US"/>
        </w:rPr>
      </w:pPr>
      <m:oMathPara>
        <m:oMath>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j</m:t>
              </m:r>
            </m:sub>
          </m:sSub>
          <m:r>
            <m:rPr>
              <m:nor/>
            </m:rPr>
            <w:rPr>
              <w:rFonts w:ascii="Cambria Math" w:hAnsiTheme="majorBidi" w:cstheme="majorBidi"/>
              <w:lang w:val="en-US"/>
            </w:rPr>
            <m:t xml:space="preserve"> </m:t>
          </m:r>
          <m:r>
            <m:rPr>
              <m:nor/>
            </m:rPr>
            <w:rPr>
              <w:rFonts w:asciiTheme="majorBidi"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jDyno</m:t>
              </m:r>
            </m:sub>
          </m:sSub>
          <m:r>
            <m:rPr>
              <m:nor/>
            </m:rPr>
            <w:rPr>
              <w:rFonts w:ascii="Cambria Math" w:hAnsiTheme="majorBidi" w:cstheme="majorBidi"/>
              <w:lang w:val="en-US"/>
            </w:rPr>
            <m:t xml:space="preserve"> </m:t>
          </m:r>
          <m:r>
            <m:rPr>
              <m:nor/>
            </m:rPr>
            <w:rPr>
              <w:rFonts w:asciiTheme="majorBidi" w:hAnsiTheme="majorBidi" w:cstheme="majorBidi"/>
              <w:lang w:val="en-US"/>
            </w:rPr>
            <m:t xml:space="preserve">× </m:t>
          </m:r>
          <m:rad>
            <m:radPr>
              <m:degHide m:val="1"/>
              <m:ctrlPr>
                <w:rPr>
                  <w:rFonts w:ascii="Cambria Math" w:hAnsi="Cambria Math" w:cstheme="majorBidi"/>
                  <w:iCs/>
                </w:rPr>
              </m:ctrlPr>
            </m:radPr>
            <m:deg/>
            <m:e>
              <m:f>
                <m:fPr>
                  <m:ctrlPr>
                    <w:rPr>
                      <w:rFonts w:ascii="Cambria Math" w:hAnsi="Cambria Math" w:cstheme="majorBidi"/>
                      <w:iCs/>
                    </w:rPr>
                  </m:ctrlPr>
                </m:fPr>
                <m:num>
                  <m:r>
                    <m:rPr>
                      <m:nor/>
                    </m:rPr>
                    <w:rPr>
                      <w:rFonts w:asciiTheme="majorBidi" w:hAnsiTheme="majorBidi" w:cstheme="majorBidi"/>
                      <w:lang w:val="en-US"/>
                    </w:rPr>
                    <m:t>1</m:t>
                  </m:r>
                </m:num>
                <m:den>
                  <m:f>
                    <m:fPr>
                      <m:ctrlPr>
                        <w:rPr>
                          <w:rFonts w:ascii="Cambria Math" w:hAnsi="Cambria Math" w:cstheme="majorBidi"/>
                          <w:iCs/>
                        </w:rPr>
                      </m:ctrlPr>
                    </m:fPr>
                    <m:num>
                      <m:sSub>
                        <m:sSubPr>
                          <m:ctrlPr>
                            <w:rPr>
                              <w:rFonts w:ascii="Cambria Math" w:hAnsi="Cambria Math" w:cstheme="majorBidi"/>
                              <w:iCs/>
                            </w:rPr>
                          </m:ctrlPr>
                        </m:sSubPr>
                        <m:e>
                          <m:r>
                            <m:rPr>
                              <m:nor/>
                            </m:rPr>
                            <w:rPr>
                              <w:rFonts w:asciiTheme="majorBidi" w:hAnsiTheme="majorBidi" w:cstheme="majorBidi"/>
                              <w:lang w:val="en-US"/>
                            </w:rPr>
                            <m:t>R</m:t>
                          </m:r>
                        </m:e>
                        <m:sub>
                          <m:r>
                            <m:rPr>
                              <m:nor/>
                            </m:rPr>
                            <w:rPr>
                              <w:rFonts w:asciiTheme="majorBidi" w:hAnsiTheme="majorBidi" w:cstheme="majorBidi"/>
                              <w:lang w:val="en-US"/>
                            </w:rPr>
                            <m:t>Wheel</m:t>
                          </m:r>
                        </m:sub>
                      </m:sSub>
                    </m:num>
                    <m:den>
                      <m:sSub>
                        <m:sSubPr>
                          <m:ctrlPr>
                            <w:rPr>
                              <w:rFonts w:ascii="Cambria Math" w:hAnsi="Cambria Math" w:cstheme="majorBidi"/>
                              <w:iCs/>
                            </w:rPr>
                          </m:ctrlPr>
                        </m:sSubPr>
                        <m:e>
                          <m:r>
                            <m:rPr>
                              <m:nor/>
                            </m:rPr>
                            <w:rPr>
                              <w:rFonts w:asciiTheme="majorBidi" w:hAnsiTheme="majorBidi" w:cstheme="majorBidi"/>
                              <w:lang w:val="en-US"/>
                            </w:rPr>
                            <m:t>R</m:t>
                          </m:r>
                        </m:e>
                        <m:sub>
                          <m:r>
                            <m:rPr>
                              <m:nor/>
                            </m:rPr>
                            <w:rPr>
                              <w:rFonts w:asciiTheme="majorBidi" w:hAnsiTheme="majorBidi" w:cstheme="majorBidi"/>
                              <w:lang w:val="en-US"/>
                            </w:rPr>
                            <m:t>Dyno</m:t>
                          </m:r>
                        </m:sub>
                      </m:sSub>
                    </m:den>
                  </m:f>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r>
                    <m:rPr>
                      <m:nor/>
                    </m:rPr>
                    <w:rPr>
                      <w:rFonts w:asciiTheme="majorBidi" w:hAnsiTheme="majorBidi" w:cstheme="majorBidi"/>
                      <w:lang w:val="en-US"/>
                    </w:rPr>
                    <m:t>0,2</m:t>
                  </m:r>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r>
                    <m:rPr>
                      <m:nor/>
                    </m:rPr>
                    <w:rPr>
                      <w:rFonts w:asciiTheme="majorBidi" w:hAnsiTheme="majorBidi" w:cstheme="majorBidi"/>
                      <w:lang w:val="en-US"/>
                    </w:rPr>
                    <m:t>1</m:t>
                  </m:r>
                </m:den>
              </m:f>
            </m:e>
          </m:rad>
        </m:oMath>
      </m:oMathPara>
    </w:p>
    <w:p w:rsidR="00E24DB7" w:rsidRPr="002C5876" w:rsidRDefault="00E24DB7" w:rsidP="00E24DB7">
      <w:pPr>
        <w:pStyle w:val="SingleTxtG"/>
        <w:ind w:left="2268"/>
      </w:pPr>
      <w:r w:rsidRPr="00D53F39">
        <w:rPr>
          <w:lang w:val="en-US"/>
        </w:rPr>
        <w:tab/>
      </w:r>
      <w:r w:rsidRPr="002C5876">
        <w:t>c2 est égal à 0,2, sauf si la méthode des écarts de résistance à l’avancement sur route est utilisée (voir par. 6.8 de la présente annexe) et que le coefficient delta de résistance à l’avancement sur route calculé conformément au paragraphe 6.8.1 de la présente annexe est négatif, auquel cas c2 est égal à 2,0.</w:t>
      </w:r>
    </w:p>
    <w:p w:rsidR="00E24DB7" w:rsidRPr="002C5876" w:rsidRDefault="00E24DB7" w:rsidP="00E24DB7">
      <w:pPr>
        <w:pStyle w:val="SingleTxtG"/>
        <w:keepNext/>
        <w:ind w:left="2268" w:hanging="1134"/>
        <w:jc w:val="left"/>
      </w:pPr>
      <w:r w:rsidRPr="002C5876">
        <w:lastRenderedPageBreak/>
        <w:t>6.7</w:t>
      </w:r>
      <w:r w:rsidRPr="002C5876">
        <w:tab/>
      </w:r>
      <w:r w:rsidRPr="002C5876">
        <w:tab/>
        <w:t>Calculs</w:t>
      </w:r>
    </w:p>
    <w:p w:rsidR="00E24DB7" w:rsidRPr="002C5876" w:rsidRDefault="00E24DB7" w:rsidP="00E24DB7">
      <w:pPr>
        <w:pStyle w:val="SingleTxtG"/>
        <w:keepNext/>
        <w:ind w:left="2268" w:hanging="1134"/>
        <w:jc w:val="left"/>
      </w:pPr>
      <w:r w:rsidRPr="002C5876">
        <w:t>6.7.1</w:t>
      </w:r>
      <w:r w:rsidRPr="002C5876">
        <w:tab/>
      </w:r>
      <w:r w:rsidRPr="002C5876">
        <w:tab/>
        <w:t>Correction des résultats du banc à tapis roulant et du banc à rouleaux</w:t>
      </w:r>
    </w:p>
    <w:p w:rsidR="00E24DB7" w:rsidRPr="002C5876" w:rsidRDefault="00E24DB7" w:rsidP="00E24DB7">
      <w:pPr>
        <w:pStyle w:val="SingleTxtG"/>
        <w:keepNext/>
        <w:keepLines/>
        <w:ind w:left="2268"/>
      </w:pPr>
      <w:r w:rsidRPr="002C5876">
        <w:t>Les forces mesurées déterminées comme prévu aux paragraphes 6.5 et 6.6 de la présente annexe doivent être corrigées pour être rapportées aux conditions de référence au moyen de l’équation suivante :</w:t>
      </w:r>
    </w:p>
    <w:p w:rsidR="00E24DB7" w:rsidRPr="002C5876" w:rsidRDefault="00731CA6" w:rsidP="004C2441">
      <w:pPr>
        <w:pStyle w:val="SingleTxtG"/>
        <w:ind w:left="2268"/>
        <w:jc w:val="center"/>
      </w:pPr>
      <m:oMathPara>
        <m:oMath>
          <m:sSub>
            <m:sSubPr>
              <m:ctrlPr>
                <w:rPr>
                  <w:rFonts w:ascii="Cambria Math" w:hAnsi="Cambria Math" w:cstheme="majorBidi"/>
                </w:rPr>
              </m:ctrlPr>
            </m:sSubPr>
            <m:e>
              <m:r>
                <m:rPr>
                  <m:nor/>
                </m:rPr>
                <w:rPr>
                  <w:rFonts w:asciiTheme="majorBidi" w:hAnsiTheme="majorBidi" w:cstheme="majorBidi"/>
                </w:rPr>
                <m:t>F</m:t>
              </m:r>
            </m:e>
            <m:sub>
              <m:r>
                <m:rPr>
                  <m:nor/>
                </m:rPr>
                <w:rPr>
                  <w:rFonts w:asciiTheme="majorBidi" w:hAnsiTheme="majorBidi" w:cstheme="majorBidi"/>
                </w:rPr>
                <m:t>Dj</m:t>
              </m:r>
            </m:sub>
          </m:sSub>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d>
            <m:dPr>
              <m:ctrlPr>
                <w:rPr>
                  <w:rFonts w:ascii="Cambria Math" w:hAnsi="Cambria Math" w:cstheme="majorBidi"/>
                </w:rPr>
              </m:ctrlPr>
            </m:dPr>
            <m:e>
              <m:sSub>
                <m:sSubPr>
                  <m:ctrlPr>
                    <w:rPr>
                      <w:rFonts w:ascii="Cambria Math" w:hAnsi="Cambria Math" w:cstheme="majorBidi"/>
                    </w:rPr>
                  </m:ctrlPr>
                </m:sSubPr>
                <m:e>
                  <m:r>
                    <m:rPr>
                      <m:nor/>
                    </m:rPr>
                    <w:rPr>
                      <w:rFonts w:asciiTheme="majorBidi" w:hAnsiTheme="majorBidi" w:cstheme="majorBidi"/>
                    </w:rPr>
                    <m:t>f</m:t>
                  </m:r>
                </m:e>
                <m:sub>
                  <m:r>
                    <m:rPr>
                      <m:nor/>
                    </m:rPr>
                    <w:rPr>
                      <w:rFonts w:asciiTheme="majorBidi" w:hAnsiTheme="majorBidi" w:cstheme="majorBidi"/>
                    </w:rPr>
                    <m:t>j</m:t>
                  </m:r>
                </m:sub>
              </m:sSub>
              <m:r>
                <w:rPr>
                  <w:rFonts w:ascii="Cambria Math" w:hAnsi="Cambria Math" w:cstheme="majorBidi"/>
                </w:rPr>
                <m:t xml:space="preserve"> </m:t>
              </m:r>
              <m:r>
                <m:rPr>
                  <m:nor/>
                </m:rPr>
                <w:rPr>
                  <w:rFonts w:ascii="Cambria Math" w:hAnsiTheme="majorBidi" w:cstheme="majorBidi"/>
                </w:rPr>
                <m:t>–</m:t>
              </m:r>
              <m:r>
                <m:rPr>
                  <m:nor/>
                </m:rPr>
                <w:rPr>
                  <w:rFonts w:ascii="Cambria Math" w:hAnsiTheme="majorBidi" w:cstheme="majorBidi"/>
                </w:rPr>
                <m:t xml:space="preserve"> </m:t>
              </m:r>
              <m:sSub>
                <m:sSubPr>
                  <m:ctrlPr>
                    <w:rPr>
                      <w:rFonts w:ascii="Cambria Math" w:hAnsi="Cambria Math" w:cstheme="majorBidi"/>
                    </w:rPr>
                  </m:ctrlPr>
                </m:sSubPr>
                <m:e>
                  <m:r>
                    <m:rPr>
                      <m:nor/>
                    </m:rPr>
                    <w:rPr>
                      <w:rFonts w:asciiTheme="majorBidi" w:hAnsiTheme="majorBidi" w:cstheme="majorBidi"/>
                    </w:rPr>
                    <m:t>K</m:t>
                  </m:r>
                </m:e>
                <m:sub>
                  <m:r>
                    <m:rPr>
                      <m:nor/>
                    </m:rPr>
                    <w:rPr>
                      <w:rFonts w:asciiTheme="majorBidi" w:hAnsiTheme="majorBidi" w:cstheme="majorBidi"/>
                    </w:rPr>
                    <m:t>1</m:t>
                  </m:r>
                </m:sub>
              </m:sSub>
            </m:e>
          </m:d>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d>
            <m:dPr>
              <m:ctrlPr>
                <w:rPr>
                  <w:rFonts w:ascii="Cambria Math" w:hAnsi="Cambria Math" w:cstheme="majorBidi"/>
                </w:rPr>
              </m:ctrlPr>
            </m:dPr>
            <m:e>
              <m:r>
                <m:rPr>
                  <m:nor/>
                </m:rPr>
                <w:rPr>
                  <w:rFonts w:asciiTheme="majorBidi" w:hAnsiTheme="majorBidi" w:cstheme="majorBidi"/>
                </w:rPr>
                <m:t>1</m:t>
              </m:r>
              <m:r>
                <m:rPr>
                  <m:nor/>
                </m:rPr>
                <w:rPr>
                  <w:rFonts w:ascii="Cambria Math" w:hAnsiTheme="majorBidi" w:cstheme="majorBidi"/>
                </w:rPr>
                <m:t xml:space="preserve"> </m:t>
              </m:r>
              <m:r>
                <m:rPr>
                  <m:nor/>
                </m:rPr>
                <w:rPr>
                  <w:rFonts w:asciiTheme="majorBidi" w:hAnsiTheme="majorBidi" w:cstheme="majorBidi"/>
                </w:rPr>
                <m:t>+</m:t>
              </m:r>
              <m:sSub>
                <m:sSubPr>
                  <m:ctrlPr>
                    <w:rPr>
                      <w:rFonts w:ascii="Cambria Math" w:hAnsi="Cambria Math" w:cstheme="majorBidi"/>
                    </w:rPr>
                  </m:ctrlPr>
                </m:sSubPr>
                <m:e>
                  <m:r>
                    <m:rPr>
                      <m:nor/>
                    </m:rPr>
                    <w:rPr>
                      <w:rFonts w:ascii="Cambria Math" w:hAnsiTheme="majorBidi" w:cstheme="majorBidi"/>
                    </w:rPr>
                    <m:t xml:space="preserve"> </m:t>
                  </m:r>
                  <m:r>
                    <m:rPr>
                      <m:nor/>
                    </m:rPr>
                    <w:rPr>
                      <w:rFonts w:asciiTheme="majorBidi" w:hAnsiTheme="majorBidi" w:cstheme="majorBidi"/>
                    </w:rPr>
                    <m:t>K</m:t>
                  </m:r>
                </m:e>
                <m:sub>
                  <m:r>
                    <m:rPr>
                      <m:nor/>
                    </m:rPr>
                    <w:rPr>
                      <w:rFonts w:asciiTheme="majorBidi" w:hAnsiTheme="majorBidi" w:cstheme="majorBidi"/>
                    </w:rPr>
                    <m:t>0</m:t>
                  </m:r>
                </m:sub>
              </m:sSub>
              <m:d>
                <m:dPr>
                  <m:ctrlPr>
                    <w:rPr>
                      <w:rFonts w:ascii="Cambria Math" w:hAnsi="Cambria Math" w:cstheme="majorBidi"/>
                    </w:rPr>
                  </m:ctrlPr>
                </m:dPr>
                <m:e>
                  <m:r>
                    <m:rPr>
                      <m:nor/>
                    </m:rPr>
                    <w:rPr>
                      <w:rFonts w:asciiTheme="majorBidi" w:hAnsiTheme="majorBidi" w:cstheme="majorBidi"/>
                    </w:rPr>
                    <m:t>T</m:t>
                  </m:r>
                  <m:r>
                    <m:rPr>
                      <m:nor/>
                    </m:rPr>
                    <w:rPr>
                      <w:rFonts w:ascii="Cambria Math" w:hAnsiTheme="majorBidi" w:cstheme="majorBidi"/>
                    </w:rPr>
                    <m:t xml:space="preserve"> </m:t>
                  </m:r>
                  <m:r>
                    <m:rPr>
                      <m:nor/>
                    </m:rPr>
                    <w:rPr>
                      <w:rFonts w:ascii="Cambria Math" w:hAnsiTheme="majorBidi" w:cstheme="majorBidi"/>
                    </w:rPr>
                    <m:t>–</m:t>
                  </m:r>
                  <m:r>
                    <m:rPr>
                      <m:nor/>
                    </m:rPr>
                    <w:rPr>
                      <w:rFonts w:ascii="Cambria Math" w:hAnsiTheme="majorBidi" w:cstheme="majorBidi"/>
                    </w:rPr>
                    <m:t xml:space="preserve"> </m:t>
                  </m:r>
                  <m:r>
                    <m:rPr>
                      <m:nor/>
                    </m:rPr>
                    <w:rPr>
                      <w:rFonts w:asciiTheme="majorBidi" w:hAnsiTheme="majorBidi" w:cstheme="majorBidi"/>
                    </w:rPr>
                    <m:t>293</m:t>
                  </m:r>
                </m:e>
              </m:d>
            </m:e>
          </m:d>
        </m:oMath>
      </m:oMathPara>
    </w:p>
    <w:p w:rsidR="00E24DB7" w:rsidRPr="002C5876" w:rsidRDefault="00E24DB7" w:rsidP="00E24DB7">
      <w:pPr>
        <w:pStyle w:val="SingleTxtG"/>
        <w:keepNext/>
        <w:ind w:left="2268"/>
      </w:pPr>
      <w:r w:rsidRPr="002C5876">
        <w:t>où :</w:t>
      </w:r>
    </w:p>
    <w:p w:rsidR="00E24DB7" w:rsidRPr="002C5876" w:rsidRDefault="00E24DB7" w:rsidP="00E24DB7">
      <w:pPr>
        <w:pStyle w:val="SingleTxtG"/>
        <w:ind w:left="3402" w:hanging="1134"/>
      </w:pPr>
      <w:r w:rsidRPr="002C5876">
        <w:t>F</w:t>
      </w:r>
      <w:r w:rsidRPr="002C5876">
        <w:rPr>
          <w:vertAlign w:val="subscript"/>
        </w:rPr>
        <w:t>Dj</w:t>
      </w:r>
      <w:r w:rsidRPr="002C5876">
        <w:tab/>
        <w:t>est la résistance corrigée sur le banc à tapis roulant ou le banc à rouleaux à la vitesse de référence j, en N ;</w:t>
      </w:r>
    </w:p>
    <w:p w:rsidR="00E24DB7" w:rsidRPr="002C5876" w:rsidRDefault="00E24DB7" w:rsidP="00E24DB7">
      <w:pPr>
        <w:pStyle w:val="SingleTxtG"/>
        <w:ind w:left="3402" w:hanging="1134"/>
      </w:pPr>
      <w:r w:rsidRPr="002C5876">
        <w:t>f</w:t>
      </w:r>
      <w:r w:rsidRPr="002C5876">
        <w:rPr>
          <w:vertAlign w:val="subscript"/>
        </w:rPr>
        <w:t>j</w:t>
      </w:r>
      <w:r w:rsidRPr="002C5876">
        <w:tab/>
        <w:t>est la force mesurée à la vitesse de référence j, en N ;</w:t>
      </w:r>
    </w:p>
    <w:p w:rsidR="00E24DB7" w:rsidRPr="002C5876" w:rsidRDefault="00E24DB7" w:rsidP="00E24DB7">
      <w:pPr>
        <w:pStyle w:val="SingleTxtG"/>
        <w:ind w:left="3402" w:hanging="1134"/>
      </w:pPr>
      <w:r w:rsidRPr="002C5876">
        <w:t>K</w:t>
      </w:r>
      <w:r w:rsidRPr="002C5876">
        <w:rPr>
          <w:vertAlign w:val="subscript"/>
        </w:rPr>
        <w:t>0</w:t>
      </w:r>
      <w:r w:rsidRPr="002C5876">
        <w:tab/>
        <w:t>est le facteur de correction de la résistance au roulement, comme défini au paragraphe 4.5.2 de la présente annexe, en K</w:t>
      </w:r>
      <w:r w:rsidRPr="002C5876">
        <w:rPr>
          <w:vertAlign w:val="superscript"/>
        </w:rPr>
        <w:t>1</w:t>
      </w:r>
      <w:r w:rsidRPr="002C5876">
        <w:t> ;</w:t>
      </w:r>
    </w:p>
    <w:p w:rsidR="00E24DB7" w:rsidRPr="002C5876" w:rsidRDefault="00E24DB7" w:rsidP="00E24DB7">
      <w:pPr>
        <w:pStyle w:val="SingleTxtG"/>
        <w:ind w:left="3402" w:hanging="1134"/>
      </w:pPr>
      <w:r w:rsidRPr="002C5876">
        <w:t>K</w:t>
      </w:r>
      <w:r w:rsidRPr="002C5876">
        <w:rPr>
          <w:vertAlign w:val="subscript"/>
        </w:rPr>
        <w:t>1</w:t>
      </w:r>
      <w:r w:rsidRPr="002C5876">
        <w:tab/>
        <w:t>est le facteur de la masse d’essai comme défini au paragraphe 4.5.4 de la présente annexe, en N ;</w:t>
      </w:r>
    </w:p>
    <w:p w:rsidR="00E24DB7" w:rsidRPr="002C5876" w:rsidRDefault="00E24DB7" w:rsidP="00E24DB7">
      <w:pPr>
        <w:pStyle w:val="SingleTxtG"/>
        <w:ind w:left="3402" w:hanging="1134"/>
      </w:pPr>
      <w:r w:rsidRPr="002C5876">
        <w:t>T</w:t>
      </w:r>
      <w:r w:rsidRPr="002C5876">
        <w:tab/>
        <w:t>est la température moyenne arithmétique dans la chambre d’essai au cours de la mesure, en K.</w:t>
      </w:r>
    </w:p>
    <w:p w:rsidR="00E24DB7" w:rsidRPr="002C5876" w:rsidRDefault="00E24DB7" w:rsidP="00E24DB7">
      <w:pPr>
        <w:pStyle w:val="SingleTxtG"/>
        <w:keepNext/>
        <w:ind w:left="2268" w:hanging="1134"/>
        <w:jc w:val="left"/>
      </w:pPr>
      <w:r w:rsidRPr="002C5876">
        <w:t>6.7.2</w:t>
      </w:r>
      <w:r w:rsidRPr="002C5876">
        <w:tab/>
      </w:r>
      <w:r w:rsidRPr="002C5876">
        <w:tab/>
        <w:t>Calcul de la force aérodynamique</w:t>
      </w:r>
    </w:p>
    <w:p w:rsidR="00E24DB7" w:rsidRPr="002C5876" w:rsidRDefault="00E24DB7" w:rsidP="00E24DB7">
      <w:pPr>
        <w:pStyle w:val="SingleTxtG"/>
        <w:keepNext/>
        <w:keepLines/>
        <w:ind w:left="2268"/>
      </w:pPr>
      <w:r w:rsidRPr="002C5876">
        <w:t>La traînée aérodynamique doit être calculée au moyen de l’équation ci</w:t>
      </w:r>
      <w:r w:rsidRPr="002C5876">
        <w:noBreakHyphen/>
        <w:t>dessous. Si le véhicule est équipé d’éléments aérodynamiques mobiles en fonction de la vitesse, les valeurs correspondantes de (C</w:t>
      </w:r>
      <w:r w:rsidRPr="002C5876">
        <w:rPr>
          <w:vertAlign w:val="subscript"/>
        </w:rPr>
        <w:t>D</w:t>
      </w:r>
      <w:r w:rsidRPr="002C5876">
        <w:t xml:space="preserve"> × A</w:t>
      </w:r>
      <w:r w:rsidRPr="002C5876">
        <w:rPr>
          <w:vertAlign w:val="subscript"/>
        </w:rPr>
        <w:t>f</w:t>
      </w:r>
      <w:r w:rsidRPr="002C5876">
        <w:t>) doivent être appliquées pour les points de vitesse de référence concernés :</w:t>
      </w:r>
    </w:p>
    <w:p w:rsidR="00E24DB7" w:rsidRPr="002C5876" w:rsidRDefault="00731CA6" w:rsidP="00E24DB7">
      <w:pPr>
        <w:pStyle w:val="SingleTxtG"/>
        <w:spacing w:after="240"/>
        <w:ind w:left="2268"/>
        <w:jc w:val="center"/>
      </w:pPr>
      <m:oMathPara>
        <m:oMath>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Aj</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D</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f</m:t>
                  </m:r>
                </m:sub>
              </m:sSub>
              <m:r>
                <m:rPr>
                  <m:sty m:val="p"/>
                </m:rPr>
                <w:rPr>
                  <w:rFonts w:ascii="Cambria Math" w:hAnsi="Cambria Math" w:cstheme="majorBidi"/>
                </w:rPr>
                <m:t xml:space="preserve"> )</m:t>
              </m:r>
            </m:e>
            <m:sub>
              <m:r>
                <m:rPr>
                  <m:sty m:val="p"/>
                </m:rPr>
                <w:rPr>
                  <w:rFonts w:ascii="Cambria Math" w:hAnsi="Cambria Math" w:cstheme="majorBidi"/>
                </w:rPr>
                <m:t>j</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ρ</m:t>
                  </m:r>
                </m:e>
                <m:sub>
                  <m:r>
                    <m:rPr>
                      <m:sty m:val="p"/>
                    </m:rPr>
                    <w:rPr>
                      <w:rFonts w:ascii="Cambria Math" w:hAnsi="Cambria Math" w:cstheme="majorBidi"/>
                    </w:rPr>
                    <m:t>0</m:t>
                  </m:r>
                </m:sub>
              </m:sSub>
            </m:num>
            <m:den>
              <m:r>
                <m:rPr>
                  <m:sty m:val="p"/>
                </m:rPr>
                <w:rPr>
                  <w:rFonts w:ascii="Cambria Math" w:hAnsi="Cambria Math" w:cstheme="majorBidi"/>
                </w:rPr>
                <m:t>2</m:t>
              </m:r>
            </m:den>
          </m:f>
          <m:r>
            <m:rPr>
              <m:sty m:val="p"/>
            </m:rPr>
            <w:rPr>
              <w:rFonts w:ascii="Cambria Math" w:hAnsi="Cambria Math" w:cstheme="majorBidi"/>
            </w:rPr>
            <m:t>×</m:t>
          </m:r>
          <m:f>
            <m:fPr>
              <m:ctrlPr>
                <w:rPr>
                  <w:rFonts w:ascii="Cambria Math" w:hAnsi="Cambria Math" w:cstheme="majorBidi"/>
                </w:rPr>
              </m:ctrlPr>
            </m:fPr>
            <m:num>
              <m:sSubSup>
                <m:sSubSupPr>
                  <m:ctrlPr>
                    <w:rPr>
                      <w:rFonts w:ascii="Cambria Math" w:hAnsi="Cambria Math" w:cstheme="majorBidi"/>
                    </w:rPr>
                  </m:ctrlPr>
                </m:sSubSupPr>
                <m:e>
                  <m:r>
                    <m:rPr>
                      <m:sty m:val="p"/>
                    </m:rPr>
                    <w:rPr>
                      <w:rFonts w:ascii="Cambria Math" w:hAnsi="Cambria Math" w:cstheme="majorBidi"/>
                    </w:rPr>
                    <m:t>v</m:t>
                  </m:r>
                </m:e>
                <m:sub>
                  <m:r>
                    <m:rPr>
                      <m:sty m:val="p"/>
                    </m:rPr>
                    <w:rPr>
                      <w:rFonts w:ascii="Cambria Math" w:hAnsi="Cambria Math" w:cstheme="majorBidi"/>
                    </w:rPr>
                    <m:t>j</m:t>
                  </m:r>
                </m:sub>
                <m:sup>
                  <m:r>
                    <m:rPr>
                      <m:sty m:val="p"/>
                    </m:rPr>
                    <w:rPr>
                      <w:rFonts w:ascii="Cambria Math" w:hAnsi="Cambria Math" w:cstheme="majorBidi"/>
                    </w:rPr>
                    <m:t>2</m:t>
                  </m:r>
                </m:sup>
              </m:sSubSup>
            </m:num>
            <m:den>
              <m:sSup>
                <m:sSupPr>
                  <m:ctrlPr>
                    <w:rPr>
                      <w:rFonts w:ascii="Cambria Math" w:hAnsi="Cambria Math" w:cstheme="majorBidi"/>
                    </w:rPr>
                  </m:ctrlPr>
                </m:sSupPr>
                <m:e>
                  <m:r>
                    <m:rPr>
                      <m:sty m:val="p"/>
                    </m:rPr>
                    <w:rPr>
                      <w:rFonts w:ascii="Cambria Math" w:hAnsi="Cambria Math" w:cstheme="majorBidi"/>
                    </w:rPr>
                    <m:t>3,6</m:t>
                  </m:r>
                </m:e>
                <m:sup>
                  <m:r>
                    <m:rPr>
                      <m:sty m:val="p"/>
                    </m:rPr>
                    <w:rPr>
                      <w:rFonts w:ascii="Cambria Math" w:hAnsi="Cambria Math" w:cstheme="majorBidi"/>
                    </w:rPr>
                    <m:t>2</m:t>
                  </m:r>
                </m:sup>
              </m:sSup>
            </m:den>
          </m:f>
        </m:oMath>
      </m:oMathPara>
    </w:p>
    <w:p w:rsidR="00E24DB7" w:rsidRPr="002C5876" w:rsidRDefault="00E24DB7" w:rsidP="00E24DB7">
      <w:pPr>
        <w:pStyle w:val="SingleTxtG"/>
        <w:keepNext/>
        <w:ind w:left="2268"/>
      </w:pPr>
      <w:r w:rsidRPr="002C5876">
        <w:t>où :</w:t>
      </w:r>
    </w:p>
    <w:p w:rsidR="00E24DB7" w:rsidRPr="002C5876" w:rsidRDefault="00E24DB7" w:rsidP="00E24DB7">
      <w:pPr>
        <w:pStyle w:val="SingleTxtG"/>
        <w:ind w:left="3289" w:hanging="1021"/>
      </w:pPr>
      <w:r w:rsidRPr="002C5876">
        <w:t>F</w:t>
      </w:r>
      <w:r w:rsidRPr="002C5876">
        <w:rPr>
          <w:vertAlign w:val="subscript"/>
        </w:rPr>
        <w:t>Aj</w:t>
      </w:r>
      <w:r w:rsidRPr="002C5876">
        <w:tab/>
        <w:t>est la traînée aérodynamique mesurée en soufflerie à la vitesse de référence j, en N ;</w:t>
      </w:r>
    </w:p>
    <w:p w:rsidR="00E24DB7" w:rsidRPr="002C5876" w:rsidRDefault="00731CA6" w:rsidP="00E24DB7">
      <w:pPr>
        <w:pStyle w:val="SingleTxtG"/>
        <w:ind w:left="3289" w:hanging="1021"/>
      </w:pPr>
      <m:oMath>
        <m:sSub>
          <m:sSubPr>
            <m:ctrlPr>
              <w:rPr>
                <w:rFonts w:ascii="Cambria Math" w:hAnsi="Cambria Math" w:cstheme="majorBidi"/>
              </w:rPr>
            </m:ctrlPr>
          </m:sSubPr>
          <m:e>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D</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f</m:t>
                </m:r>
              </m:sub>
            </m:sSub>
            <m:r>
              <m:rPr>
                <m:sty m:val="p"/>
              </m:rPr>
              <w:rPr>
                <w:rFonts w:ascii="Cambria Math" w:hAnsi="Cambria Math" w:cstheme="majorBidi"/>
              </w:rPr>
              <m:t xml:space="preserve"> )</m:t>
            </m:r>
          </m:e>
          <m:sub>
            <m:r>
              <m:rPr>
                <m:sty m:val="p"/>
              </m:rPr>
              <w:rPr>
                <w:rFonts w:ascii="Cambria Math" w:hAnsi="Cambria Math" w:cstheme="majorBidi"/>
              </w:rPr>
              <m:t>j</m:t>
            </m:r>
          </m:sub>
        </m:sSub>
      </m:oMath>
      <w:r w:rsidR="00E24DB7" w:rsidRPr="002C5876">
        <w:rPr>
          <w:vertAlign w:val="subscript"/>
        </w:rPr>
        <w:tab/>
      </w:r>
      <w:r w:rsidR="00E24DB7" w:rsidRPr="002C5876">
        <w:t>est le produit de coefficient de traînée et du mètre couple à un certain point de vitesse de référence j, lorsque cela s’applique, en m</w:t>
      </w:r>
      <w:r w:rsidR="00E24DB7" w:rsidRPr="002C5876">
        <w:rPr>
          <w:vertAlign w:val="superscript"/>
        </w:rPr>
        <w:t>2 </w:t>
      </w:r>
      <w:r w:rsidR="00E24DB7" w:rsidRPr="002C5876">
        <w:t>;</w:t>
      </w:r>
    </w:p>
    <w:p w:rsidR="00E24DB7" w:rsidRPr="002C5876" w:rsidRDefault="00E24DB7" w:rsidP="00E24DB7">
      <w:pPr>
        <w:pStyle w:val="SingleTxtG"/>
        <w:ind w:left="3289" w:hanging="1021"/>
      </w:pPr>
      <w:r w:rsidRPr="002C5876">
        <w:rPr>
          <w:noProof/>
          <w:position w:val="-10"/>
          <w:lang w:val="en-GB" w:eastAsia="zh-CN"/>
        </w:rPr>
        <w:drawing>
          <wp:inline distT="0" distB="0" distL="0" distR="0" wp14:anchorId="62A9B2CB" wp14:editId="233CF954">
            <wp:extent cx="171450" cy="200025"/>
            <wp:effectExtent l="0" t="0" r="0" b="9525"/>
            <wp:docPr id="475"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Pr="002C5876">
        <w:rPr>
          <w:vertAlign w:val="subscript"/>
        </w:rPr>
        <w:tab/>
      </w:r>
      <w:r w:rsidRPr="002C5876">
        <w:t>est la masse volumique de l’air sec définie au paragraphe 3.2.10 du présent RTM</w:t>
      </w:r>
      <w:r w:rsidR="004E07C9">
        <w:t xml:space="preserve"> ONU</w:t>
      </w:r>
      <w:r w:rsidRPr="002C5876">
        <w:t>, en kg/m</w:t>
      </w:r>
      <w:r w:rsidRPr="002C5876">
        <w:rPr>
          <w:vertAlign w:val="superscript"/>
        </w:rPr>
        <w:t>3</w:t>
      </w:r>
      <w:r w:rsidRPr="002C5876">
        <w:t> ;</w:t>
      </w:r>
    </w:p>
    <w:p w:rsidR="00E24DB7" w:rsidRPr="002C5876" w:rsidRDefault="00E24DB7" w:rsidP="00E24DB7">
      <w:pPr>
        <w:pStyle w:val="SingleTxtG"/>
        <w:ind w:left="3289" w:hanging="1021"/>
      </w:pPr>
      <w:r w:rsidRPr="002C5876">
        <w:t>v</w:t>
      </w:r>
      <w:r w:rsidRPr="002C5876">
        <w:rPr>
          <w:vertAlign w:val="subscript"/>
        </w:rPr>
        <w:t>j</w:t>
      </w:r>
      <w:r w:rsidRPr="002C5876">
        <w:tab/>
        <w:t>est la vitesse de référence j, en km/h.</w:t>
      </w:r>
    </w:p>
    <w:p w:rsidR="00E24DB7" w:rsidRPr="002C5876" w:rsidRDefault="00E24DB7" w:rsidP="00E24DB7">
      <w:pPr>
        <w:pStyle w:val="SingleTxtG"/>
        <w:keepNext/>
        <w:ind w:left="2268" w:hanging="1134"/>
        <w:jc w:val="left"/>
      </w:pPr>
      <w:r w:rsidRPr="002C5876">
        <w:t>6.7.3</w:t>
      </w:r>
      <w:r w:rsidRPr="002C5876">
        <w:tab/>
      </w:r>
      <w:r w:rsidRPr="002C5876">
        <w:tab/>
        <w:t>Calcul des valeurs de résistance à l’avancement sur route</w:t>
      </w:r>
    </w:p>
    <w:p w:rsidR="00E24DB7" w:rsidRPr="002C5876" w:rsidRDefault="00E24DB7" w:rsidP="00E24DB7">
      <w:pPr>
        <w:pStyle w:val="SingleTxtG"/>
        <w:ind w:left="2268"/>
      </w:pPr>
      <w:r w:rsidRPr="002C5876">
        <w:t>La résistance totale à l’avancement sur route, c’est-à-dire la somme des résultats des paragraphes 6.7.1 et 6.7.2 de la présente annexe, doit être calculée au moyen de l’équation suivante :</w:t>
      </w:r>
    </w:p>
    <w:p w:rsidR="00E24DB7" w:rsidRPr="002C5876" w:rsidRDefault="00731CA6" w:rsidP="00E24DB7">
      <w:pPr>
        <w:pStyle w:val="SingleTxtG"/>
        <w:spacing w:after="240"/>
        <w:ind w:left="2268"/>
        <w:jc w:val="center"/>
      </w:pPr>
      <m:oMathPara>
        <m:oMath>
          <m:sSubSup>
            <m:sSubSupPr>
              <m:ctrlPr>
                <w:rPr>
                  <w:rFonts w:ascii="Cambria Math" w:hAnsi="Cambria Math" w:cstheme="majorBidi"/>
                </w:rPr>
              </m:ctrlPr>
            </m:sSubSupPr>
            <m:e>
              <m:r>
                <m:rPr>
                  <m:sty m:val="p"/>
                </m:rPr>
                <w:rPr>
                  <w:rFonts w:ascii="Cambria Math" w:hAnsi="Cambria Math" w:cstheme="majorBidi"/>
                </w:rPr>
                <m:t>F</m:t>
              </m:r>
            </m:e>
            <m:sub>
              <m:r>
                <m:rPr>
                  <m:sty m:val="p"/>
                </m:rPr>
                <w:rPr>
                  <w:rFonts w:ascii="Cambria Math" w:hAnsi="Cambria Math" w:cstheme="majorBidi"/>
                </w:rPr>
                <m:t>j</m:t>
              </m:r>
            </m:sub>
            <m:sup>
              <m:r>
                <m:rPr>
                  <m:sty m:val="p"/>
                </m:rPr>
                <w:rPr>
                  <w:rFonts w:ascii="Cambria Math" w:hAnsi="Cambria Math" w:cstheme="majorBidi"/>
                </w:rPr>
                <m:t>*</m:t>
              </m:r>
            </m:sup>
          </m:sSubSup>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Dj</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Aj</m:t>
              </m:r>
            </m:sub>
          </m:sSub>
        </m:oMath>
      </m:oMathPara>
    </w:p>
    <w:p w:rsidR="00E24DB7" w:rsidRPr="002C5876" w:rsidRDefault="00E24DB7" w:rsidP="00E24DB7">
      <w:pPr>
        <w:pStyle w:val="SingleTxtG"/>
        <w:ind w:left="2835" w:hanging="567"/>
      </w:pPr>
      <w:r w:rsidRPr="002C5876">
        <w:t>pour tous les points de vitesse de référence applicables j, en N.</w:t>
      </w:r>
    </w:p>
    <w:p w:rsidR="00E24DB7" w:rsidRPr="002C5876" w:rsidRDefault="00E24DB7" w:rsidP="00E24DB7">
      <w:pPr>
        <w:pStyle w:val="SingleTxtG"/>
        <w:ind w:left="2268"/>
      </w:pPr>
      <w:r w:rsidRPr="002C5876">
        <w:t xml:space="preserve">Pour toutes les valeurs calculées </w:t>
      </w:r>
      <w:r w:rsidRPr="002C5876">
        <w:rPr>
          <w:noProof/>
          <w:position w:val="-12"/>
          <w:lang w:val="en-GB" w:eastAsia="zh-CN"/>
        </w:rPr>
        <w:drawing>
          <wp:inline distT="0" distB="0" distL="0" distR="0" wp14:anchorId="7535CE59" wp14:editId="2C3A2D6F">
            <wp:extent cx="171450" cy="228600"/>
            <wp:effectExtent l="0" t="0" r="0" b="0"/>
            <wp:docPr id="473"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2C5876">
        <w:t>, les coefficients f</w:t>
      </w:r>
      <w:r w:rsidRPr="002C5876">
        <w:rPr>
          <w:vertAlign w:val="subscript"/>
        </w:rPr>
        <w:t>0</w:t>
      </w:r>
      <w:r w:rsidRPr="002C5876">
        <w:t>, f</w:t>
      </w:r>
      <w:r w:rsidRPr="002C5876">
        <w:rPr>
          <w:vertAlign w:val="subscript"/>
        </w:rPr>
        <w:t>1</w:t>
      </w:r>
      <w:r w:rsidRPr="002C5876">
        <w:t xml:space="preserve"> et f</w:t>
      </w:r>
      <w:r w:rsidRPr="002C5876">
        <w:rPr>
          <w:vertAlign w:val="subscript"/>
        </w:rPr>
        <w:t>2</w:t>
      </w:r>
      <w:r w:rsidRPr="002C5876">
        <w:t xml:space="preserve"> de l’équation de résistance à l’avancement sur route doivent être calculés par une analyse de régression par les moindres carrés et doivent être utilisés comme coefficient visé comme spécifié au paragraphe 8.1.1 de la présente annexe.</w:t>
      </w:r>
    </w:p>
    <w:p w:rsidR="00E24DB7" w:rsidRPr="002C5876" w:rsidRDefault="00E24DB7" w:rsidP="00E24DB7">
      <w:pPr>
        <w:pStyle w:val="SingleTxtG"/>
        <w:ind w:left="2268"/>
      </w:pPr>
      <w:r w:rsidRPr="002C5876">
        <w:t>Si le véhicule soumis à l’essai en soufflerie est le véhicule représentatif d’une famille de matrices de résistance à l’avancement sur route, le coefficient f</w:t>
      </w:r>
      <w:r w:rsidRPr="002C5876">
        <w:rPr>
          <w:vertAlign w:val="subscript"/>
        </w:rPr>
        <w:t>1</w:t>
      </w:r>
      <w:r w:rsidRPr="002C5876">
        <w:t xml:space="preserve"> est </w:t>
      </w:r>
      <w:r w:rsidRPr="002C5876">
        <w:lastRenderedPageBreak/>
        <w:t>pris comme égal à zéro et les coefficients f</w:t>
      </w:r>
      <w:r w:rsidRPr="002C5876">
        <w:rPr>
          <w:vertAlign w:val="subscript"/>
        </w:rPr>
        <w:t>0</w:t>
      </w:r>
      <w:r w:rsidRPr="002C5876">
        <w:t xml:space="preserve"> et f</w:t>
      </w:r>
      <w:r w:rsidRPr="002C5876">
        <w:rPr>
          <w:vertAlign w:val="subscript"/>
        </w:rPr>
        <w:t>2</w:t>
      </w:r>
      <w:r w:rsidRPr="002C5876">
        <w:t xml:space="preserve"> doivent être recalculés par une analyse de régression par les moindres carrés.</w:t>
      </w:r>
    </w:p>
    <w:p w:rsidR="00E24DB7" w:rsidRPr="002C5876" w:rsidRDefault="00E24DB7" w:rsidP="00E24DB7">
      <w:pPr>
        <w:pStyle w:val="SingleTxtG"/>
        <w:keepNext/>
        <w:ind w:left="2268" w:hanging="1134"/>
        <w:jc w:val="left"/>
      </w:pPr>
      <w:r w:rsidRPr="002C5876">
        <w:t>6.8</w:t>
      </w:r>
      <w:r w:rsidRPr="002C5876">
        <w:tab/>
        <w:t>Méthode des écarts de résistance à l’avancement sur route</w:t>
      </w:r>
    </w:p>
    <w:p w:rsidR="00E24DB7" w:rsidRPr="002C5876" w:rsidRDefault="00E24DB7" w:rsidP="00E24DB7">
      <w:pPr>
        <w:pStyle w:val="SingleTxtG"/>
        <w:ind w:left="2268"/>
      </w:pPr>
      <w:r w:rsidRPr="002C5876">
        <w:tab/>
        <w:t>Afin d’inclure, lorsque la méthode d’interpolation est utilisée, des facteurs qui ne sont pas intégrés dans l’interpolation de la résistance à l’avancement sur route (à savoir facteurs aérodynamiques, résistance à l’avancement</w:t>
      </w:r>
      <w:r w:rsidRPr="002C5876">
        <w:rPr>
          <w:i/>
        </w:rPr>
        <w:t xml:space="preserve"> </w:t>
      </w:r>
      <w:r w:rsidRPr="002C5876">
        <w:t>et masse du véhicule), un écart de forces de frottement du véhicule peut être mesuré au moyen de la méthode des écarts de résistance à l’avancement sur route (par exemple, différence de frottement entre systèmes de freinage). La méthode comprend les étapes suivantes :</w:t>
      </w:r>
    </w:p>
    <w:p w:rsidR="00E24DB7" w:rsidRPr="002C5876" w:rsidRDefault="00E24DB7" w:rsidP="00E24DB7">
      <w:pPr>
        <w:pStyle w:val="SingleTxtG"/>
        <w:ind w:left="2835" w:hanging="567"/>
      </w:pPr>
      <w:r w:rsidRPr="002C5876">
        <w:t xml:space="preserve">a) </w:t>
      </w:r>
      <w:r w:rsidRPr="002C5876">
        <w:tab/>
        <w:t>Mesurer le frottement du véhicule de référence R ;</w:t>
      </w:r>
    </w:p>
    <w:p w:rsidR="00E24DB7" w:rsidRPr="002C5876" w:rsidRDefault="00E24DB7" w:rsidP="00E24DB7">
      <w:pPr>
        <w:pStyle w:val="SingleTxtG"/>
        <w:ind w:left="2835" w:hanging="567"/>
      </w:pPr>
      <w:r w:rsidRPr="002C5876">
        <w:t xml:space="preserve">b) </w:t>
      </w:r>
      <w:r w:rsidRPr="002C5876">
        <w:tab/>
        <w:t>Mesurer le frottement du véhicule sur lequel est monté l’équipement optionnel (véhicule N) à l’origine de la différence de frottement ;</w:t>
      </w:r>
    </w:p>
    <w:p w:rsidR="00E24DB7" w:rsidRPr="002C5876" w:rsidRDefault="00E24DB7" w:rsidP="00E24DB7">
      <w:pPr>
        <w:pStyle w:val="SingleTxtG"/>
        <w:ind w:left="2835" w:hanging="567"/>
      </w:pPr>
      <w:r w:rsidRPr="002C5876">
        <w:t xml:space="preserve">c) </w:t>
      </w:r>
      <w:r w:rsidRPr="002C5876">
        <w:tab/>
        <w:t>Calculer l’écart conformément au paragraphe 6.8.1 de la présente annexe.</w:t>
      </w:r>
    </w:p>
    <w:p w:rsidR="00E24DB7" w:rsidRPr="002C5876" w:rsidRDefault="00E24DB7" w:rsidP="00E24DB7">
      <w:pPr>
        <w:pStyle w:val="SingleTxtG"/>
        <w:ind w:left="2268"/>
      </w:pPr>
      <w:r w:rsidRPr="002C5876">
        <w:tab/>
        <w:t>Ces mesures doivent être effectuées sur un tapis roulant conformément au paragraphe 6.5 de la présente annexe ou sur un banc à rouleaux conformément au paragraphe 6.6 de la présente annexe, et les résultats (à l’exception de la force aérodynamique) doivent être corrigés conformément au paragraphe 6.7.1 de la présente annexe.</w:t>
      </w:r>
    </w:p>
    <w:p w:rsidR="00E24DB7" w:rsidRPr="002C5876" w:rsidRDefault="00E24DB7" w:rsidP="00E24DB7">
      <w:pPr>
        <w:pStyle w:val="SingleTxtG"/>
        <w:ind w:left="2268"/>
      </w:pPr>
      <w:r w:rsidRPr="002C5876">
        <w:t>L’application de cette méthode est permise uniquement si le critère suivant est satisfait :</w:t>
      </w:r>
    </w:p>
    <w:p w:rsidR="00E24DB7" w:rsidRPr="002C5876" w:rsidRDefault="00731CA6" w:rsidP="00E24DB7">
      <w:pPr>
        <w:pStyle w:val="SingleTxtG"/>
        <w:spacing w:after="240"/>
        <w:ind w:left="2268"/>
        <w:jc w:val="center"/>
      </w:pPr>
      <m:oMathPara>
        <m:oMath>
          <m:d>
            <m:dPr>
              <m:begChr m:val="|"/>
              <m:endChr m:val="|"/>
              <m:ctrlPr>
                <w:rPr>
                  <w:rFonts w:ascii="Cambria Math" w:hAnsi="Cambria Math" w:cstheme="majorBidi"/>
                </w:rPr>
              </m:ctrlPr>
            </m:dPr>
            <m:e>
              <m:f>
                <m:fPr>
                  <m:ctrlPr>
                    <w:rPr>
                      <w:rFonts w:ascii="Cambria Math" w:hAnsi="Cambria Math" w:cstheme="majorBidi"/>
                    </w:rPr>
                  </m:ctrlPr>
                </m:fPr>
                <m:num>
                  <m:r>
                    <m:rPr>
                      <m:sty m:val="p"/>
                    </m:rPr>
                    <w:rPr>
                      <w:rFonts w:ascii="Cambria Math" w:hAnsi="Cambria Math" w:cstheme="majorBidi"/>
                    </w:rPr>
                    <m:t>1</m:t>
                  </m:r>
                </m:num>
                <m:den>
                  <m:r>
                    <m:rPr>
                      <m:sty m:val="p"/>
                    </m:rPr>
                    <w:rPr>
                      <w:rFonts w:ascii="Cambria Math" w:hAnsi="Cambria Math" w:cstheme="majorBidi"/>
                    </w:rPr>
                    <m:t>n</m:t>
                  </m:r>
                </m:den>
              </m:f>
              <m:nary>
                <m:naryPr>
                  <m:chr m:val="∑"/>
                  <m:limLoc m:val="subSup"/>
                  <m:ctrlPr>
                    <w:rPr>
                      <w:rFonts w:ascii="Cambria Math" w:hAnsi="Cambria Math" w:cstheme="majorBidi"/>
                    </w:rPr>
                  </m:ctrlPr>
                </m:naryPr>
                <m:sub>
                  <m:r>
                    <m:rPr>
                      <m:sty m:val="p"/>
                    </m:rPr>
                    <w:rPr>
                      <w:rFonts w:ascii="Cambria Math" w:hAnsi="Cambria Math" w:cstheme="majorBidi"/>
                    </w:rPr>
                    <m:t>j=1</m:t>
                  </m:r>
                </m:sub>
                <m:sup>
                  <m:r>
                    <m:rPr>
                      <m:sty m:val="p"/>
                    </m:rPr>
                    <w:rPr>
                      <w:rFonts w:ascii="Cambria Math" w:hAnsi="Cambria Math" w:cstheme="majorBidi"/>
                    </w:rPr>
                    <m:t>n</m:t>
                  </m:r>
                </m:sup>
                <m:e>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Dj,R</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Dj,N</m:t>
                          </m:r>
                        </m:sub>
                      </m:sSub>
                    </m:e>
                  </m:d>
                </m:e>
              </m:nary>
            </m:e>
          </m:d>
          <m:r>
            <m:rPr>
              <m:sty m:val="p"/>
            </m:rPr>
            <w:rPr>
              <w:rFonts w:ascii="Cambria Math" w:hAnsi="Cambria Math" w:cstheme="majorBidi"/>
            </w:rPr>
            <m:t>≤25 Н</m:t>
          </m:r>
        </m:oMath>
      </m:oMathPara>
    </w:p>
    <w:p w:rsidR="00E24DB7" w:rsidRPr="002C5876" w:rsidRDefault="00E24DB7" w:rsidP="00E24DB7">
      <w:pPr>
        <w:pStyle w:val="SingleTxtG"/>
        <w:keepNext/>
        <w:ind w:left="2268"/>
      </w:pPr>
      <w:r w:rsidRPr="002C5876">
        <w:t>où :</w:t>
      </w:r>
    </w:p>
    <w:p w:rsidR="00E24DB7" w:rsidRPr="002C5876" w:rsidRDefault="00E24DB7" w:rsidP="00E24DB7">
      <w:pPr>
        <w:pStyle w:val="SingleTxtG"/>
        <w:ind w:left="3402" w:hanging="1134"/>
      </w:pPr>
      <w:r w:rsidRPr="002C5876">
        <w:t>F</w:t>
      </w:r>
      <w:r w:rsidRPr="002C5876">
        <w:rPr>
          <w:vertAlign w:val="subscript"/>
        </w:rPr>
        <w:t>Dj,R</w:t>
      </w:r>
      <w:r w:rsidRPr="002C5876">
        <w:t xml:space="preserve"> </w:t>
      </w:r>
      <w:r w:rsidRPr="002C5876">
        <w:tab/>
        <w:t>est la résistance corrigée du véhicule R mesurée sur le tapis roulant ou sur banc à rouleaux à la vitesse de référence j calculée conformément au paragraphe 6.7.1 de la présente annexe, en N ;</w:t>
      </w:r>
    </w:p>
    <w:p w:rsidR="00E24DB7" w:rsidRPr="002C5876" w:rsidRDefault="00E24DB7" w:rsidP="00E24DB7">
      <w:pPr>
        <w:pStyle w:val="SingleTxtG"/>
        <w:ind w:left="3402" w:hanging="1134"/>
      </w:pPr>
      <w:r w:rsidRPr="002C5876">
        <w:t>F</w:t>
      </w:r>
      <w:r w:rsidRPr="002C5876">
        <w:rPr>
          <w:vertAlign w:val="subscript"/>
        </w:rPr>
        <w:t>Dj,N</w:t>
      </w:r>
      <w:r w:rsidRPr="002C5876">
        <w:t xml:space="preserve"> </w:t>
      </w:r>
      <w:r w:rsidRPr="002C5876">
        <w:tab/>
        <w:t>est la résistance corrigée du véhicule N mesurée sur le tapis roulant ou sur banc à rouleaux à la vitesse de référence j, calculée conformément au paragraphe 6.7.1 de la présente annexe, en N ;</w:t>
      </w:r>
    </w:p>
    <w:p w:rsidR="00E24DB7" w:rsidRPr="002C5876" w:rsidRDefault="00E24DB7" w:rsidP="00E24DB7">
      <w:pPr>
        <w:pStyle w:val="SingleTxtG"/>
        <w:ind w:left="3402" w:hanging="1134"/>
      </w:pPr>
      <w:r w:rsidRPr="002C5876">
        <w:t xml:space="preserve">n </w:t>
      </w:r>
      <w:r w:rsidRPr="002C5876">
        <w:tab/>
        <w:t>est le nombre total de points de vitesse.</w:t>
      </w:r>
    </w:p>
    <w:p w:rsidR="00E24DB7" w:rsidRPr="002C5876" w:rsidRDefault="00E24DB7" w:rsidP="00E24DB7">
      <w:pPr>
        <w:pStyle w:val="SingleTxtG"/>
        <w:ind w:left="2268"/>
      </w:pPr>
      <w:r w:rsidRPr="002C5876">
        <w:tab/>
        <w:t>Cette autre différente de détermination de la résistance à l’avancement sur route ne peut être appliquée que si les véhicules R et N ont une résistance aérodynamique identique et si l’écart mesuré rend compte de l’ensemble de l’influence sur la consommation d’énergie du véhicule. Cette méthode ne doit pas être appliquée si l’exactitude globale de la valeur absolue de la résistance à l’avancement sur route du véhicule N est amoindrie de quelque manière que ce soit.</w:t>
      </w:r>
    </w:p>
    <w:p w:rsidR="00E24DB7" w:rsidRPr="002C5876" w:rsidRDefault="00E24DB7" w:rsidP="00E24DB7">
      <w:pPr>
        <w:pStyle w:val="SingleTxtG"/>
        <w:ind w:left="2268" w:hanging="1134"/>
      </w:pPr>
      <w:r w:rsidRPr="002C5876">
        <w:t>6.8.1</w:t>
      </w:r>
      <w:r w:rsidRPr="002C5876">
        <w:tab/>
        <w:t>Détermination des coefficients delta sur tapis roulant ou sur banc à rouleaux</w:t>
      </w:r>
    </w:p>
    <w:p w:rsidR="00E24DB7" w:rsidRPr="002C5876" w:rsidRDefault="00E24DB7" w:rsidP="00E24DB7">
      <w:pPr>
        <w:pStyle w:val="SingleTxtG"/>
        <w:spacing w:after="240"/>
        <w:ind w:left="2268"/>
      </w:pPr>
      <w:r w:rsidRPr="002C5876">
        <w:tab/>
        <w:t>L’écart de résistance à l’avancement sur route est calculé au moyen de l’équation suivante:</w:t>
      </w:r>
    </w:p>
    <w:p w:rsidR="00E24DB7" w:rsidRPr="002C5876" w:rsidRDefault="00731CA6" w:rsidP="00E24DB7">
      <w:pPr>
        <w:pStyle w:val="SingleTxtG"/>
        <w:ind w:left="2268"/>
        <w:jc w:val="center"/>
      </w:pPr>
      <m:oMathPara>
        <m:oMath>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Dj,Delta</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Dj,N</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Dj,R</m:t>
              </m:r>
            </m:sub>
          </m:sSub>
        </m:oMath>
      </m:oMathPara>
    </w:p>
    <w:p w:rsidR="00E24DB7" w:rsidRPr="002C5876" w:rsidRDefault="00E24DB7" w:rsidP="00E24DB7">
      <w:pPr>
        <w:pStyle w:val="SingleTxtG"/>
        <w:keepNext/>
        <w:ind w:left="2268"/>
      </w:pPr>
      <w:r w:rsidRPr="002C5876">
        <w:tab/>
        <w:t>où :</w:t>
      </w:r>
    </w:p>
    <w:p w:rsidR="00E24DB7" w:rsidRPr="002C5876" w:rsidRDefault="00E24DB7" w:rsidP="00E24DB7">
      <w:pPr>
        <w:pStyle w:val="SingleTxtG"/>
        <w:ind w:left="3402" w:hanging="1134"/>
      </w:pPr>
      <w:r w:rsidRPr="002C5876">
        <w:rPr>
          <w:noProof/>
          <w:position w:val="-12"/>
          <w:lang w:val="en-GB" w:eastAsia="zh-CN"/>
        </w:rPr>
        <w:drawing>
          <wp:inline distT="0" distB="0" distL="0" distR="0" wp14:anchorId="4EEDD3F7" wp14:editId="14E98000">
            <wp:extent cx="428625" cy="209550"/>
            <wp:effectExtent l="0" t="0" r="9525" b="0"/>
            <wp:docPr id="470"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2C5876">
        <w:tab/>
        <w:t>est l’écart de résistance à l’avancement sur route à la vitesse de référence j, en N ;</w:t>
      </w:r>
    </w:p>
    <w:p w:rsidR="00E24DB7" w:rsidRPr="002C5876" w:rsidRDefault="00E24DB7" w:rsidP="00E24DB7">
      <w:pPr>
        <w:pStyle w:val="SingleTxtG"/>
        <w:ind w:left="3402" w:hanging="1134"/>
      </w:pPr>
      <w:r w:rsidRPr="002C5876">
        <w:rPr>
          <w:noProof/>
          <w:position w:val="-12"/>
          <w:lang w:val="en-GB" w:eastAsia="zh-CN"/>
        </w:rPr>
        <w:lastRenderedPageBreak/>
        <w:drawing>
          <wp:inline distT="0" distB="0" distL="0" distR="0" wp14:anchorId="5CE04E99" wp14:editId="2434322E">
            <wp:extent cx="295275" cy="209550"/>
            <wp:effectExtent l="0" t="0" r="9525" b="0"/>
            <wp:docPr id="469"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2C5876">
        <w:tab/>
        <w:t>est la résistance corrigée mesurée sur tapis roulant ou sur banc à rouleaux à la vitesse de référence j, calculée conformément au paragraphe 6.7.1 de la présente annexe, pour le véhicule N, en N ;</w:t>
      </w:r>
    </w:p>
    <w:p w:rsidR="00E24DB7" w:rsidRPr="002C5876" w:rsidRDefault="00E24DB7" w:rsidP="00E24DB7">
      <w:pPr>
        <w:pStyle w:val="SingleTxtG"/>
        <w:ind w:left="3402" w:hanging="1134"/>
      </w:pPr>
      <w:r w:rsidRPr="002C5876">
        <w:rPr>
          <w:noProof/>
          <w:position w:val="-12"/>
          <w:lang w:val="en-GB" w:eastAsia="zh-CN"/>
        </w:rPr>
        <w:drawing>
          <wp:inline distT="0" distB="0" distL="0" distR="0" wp14:anchorId="0175C616" wp14:editId="1E3CF663">
            <wp:extent cx="295275" cy="209550"/>
            <wp:effectExtent l="0" t="0" r="9525" b="0"/>
            <wp:docPr id="468"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2C5876">
        <w:tab/>
        <w:t>est la résistance corrigée mesurée sur tapis roulant ou sur banc à rouleaux à la vitesse de référence j, calculée conformément au paragraphe 6.7.1 de la présente annexe, pour le véhicule de référence R, en N.</w:t>
      </w:r>
    </w:p>
    <w:p w:rsidR="00E24DB7" w:rsidRPr="002C5876" w:rsidRDefault="00E24DB7" w:rsidP="00E24DB7">
      <w:pPr>
        <w:pStyle w:val="SingleTxtG"/>
        <w:ind w:left="2268"/>
      </w:pPr>
      <w:r w:rsidRPr="002C5876">
        <w:tab/>
        <w:t>Pour toutes les valeurs calculées F</w:t>
      </w:r>
      <w:r w:rsidRPr="002C5876">
        <w:rPr>
          <w:vertAlign w:val="subscript"/>
        </w:rPr>
        <w:t>Dj,Delta</w:t>
      </w:r>
      <w:r w:rsidRPr="002C5876">
        <w:t>, les coefficients f</w:t>
      </w:r>
      <w:r w:rsidRPr="002C5876">
        <w:rPr>
          <w:vertAlign w:val="subscript"/>
        </w:rPr>
        <w:t>0,Delta</w:t>
      </w:r>
      <w:r w:rsidRPr="002C5876">
        <w:t>, f</w:t>
      </w:r>
      <w:r w:rsidRPr="002C5876">
        <w:rPr>
          <w:vertAlign w:val="subscript"/>
        </w:rPr>
        <w:t>1,Delta</w:t>
      </w:r>
      <w:r w:rsidRPr="002C5876">
        <w:t xml:space="preserve"> et f</w:t>
      </w:r>
      <w:r w:rsidRPr="002C5876">
        <w:rPr>
          <w:vertAlign w:val="subscript"/>
        </w:rPr>
        <w:t>2,Delta</w:t>
      </w:r>
      <w:r w:rsidRPr="002C5876">
        <w:t xml:space="preserve"> de l’équation de résistance à l’avancement sur route doivent être calculés par une analyse de régression par les moindres carrés.</w:t>
      </w:r>
    </w:p>
    <w:p w:rsidR="00E24DB7" w:rsidRPr="002C5876" w:rsidRDefault="00E24DB7" w:rsidP="00E24DB7">
      <w:pPr>
        <w:pStyle w:val="SingleTxtG"/>
        <w:keepNext/>
        <w:ind w:left="2268" w:hanging="1134"/>
        <w:jc w:val="left"/>
      </w:pPr>
      <w:r w:rsidRPr="002C5876">
        <w:t>6.8.2</w:t>
      </w:r>
      <w:r w:rsidRPr="002C5876">
        <w:tab/>
        <w:t>Détermination de la résistance à l’avancement sur route totale</w:t>
      </w:r>
    </w:p>
    <w:p w:rsidR="00E24DB7" w:rsidRPr="002C5876" w:rsidRDefault="00E24DB7" w:rsidP="00E24DB7">
      <w:pPr>
        <w:pStyle w:val="SingleTxtG"/>
        <w:ind w:left="2268"/>
      </w:pPr>
      <w:r w:rsidRPr="002C5876">
        <w:tab/>
        <w:t>Si la méthode d’interpolation (voir par. 3.2.3.2 de l’annexe 7) n’est pas utilisée, la méthode des écarts de résistance à l’avancement sur route doit être appliquée pour le véhicule N, au moyen des équations suivantes :</w:t>
      </w:r>
    </w:p>
    <w:p w:rsidR="00E24DB7" w:rsidRPr="002C5876" w:rsidRDefault="00731CA6" w:rsidP="00E24DB7">
      <w:pPr>
        <w:pStyle w:val="SingleTxtG"/>
        <w:ind w:left="2268"/>
        <w:jc w:val="center"/>
      </w:pPr>
      <m:oMathPara>
        <m:oMath>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0,N</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0,R</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0,Delta</m:t>
              </m:r>
            </m:sub>
          </m:sSub>
        </m:oMath>
      </m:oMathPara>
    </w:p>
    <w:p w:rsidR="00E24DB7" w:rsidRPr="002C5876" w:rsidRDefault="00731CA6" w:rsidP="00E24DB7">
      <w:pPr>
        <w:pStyle w:val="SingleTxtG"/>
        <w:ind w:left="2268"/>
        <w:jc w:val="center"/>
      </w:pPr>
      <m:oMathPara>
        <m:oMath>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1,N</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1,R</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1,Delta</m:t>
              </m:r>
            </m:sub>
          </m:sSub>
        </m:oMath>
      </m:oMathPara>
    </w:p>
    <w:p w:rsidR="00E24DB7" w:rsidRPr="002C5876" w:rsidRDefault="00731CA6" w:rsidP="00E24DB7">
      <w:pPr>
        <w:pStyle w:val="SingleTxtG"/>
        <w:spacing w:after="240"/>
        <w:ind w:left="2268"/>
        <w:jc w:val="center"/>
      </w:pPr>
      <m:oMathPara>
        <m:oMath>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2,N</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2,R</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2,Delta</m:t>
              </m:r>
            </m:sub>
          </m:sSub>
        </m:oMath>
      </m:oMathPara>
    </w:p>
    <w:p w:rsidR="00E24DB7" w:rsidRPr="002C5876" w:rsidRDefault="00E24DB7" w:rsidP="00E24DB7">
      <w:pPr>
        <w:pStyle w:val="SingleTxtG"/>
        <w:keepNext/>
        <w:keepLines/>
        <w:ind w:left="2268"/>
      </w:pPr>
      <w:r w:rsidRPr="002C5876">
        <w:t>où:</w:t>
      </w:r>
    </w:p>
    <w:p w:rsidR="00E24DB7" w:rsidRPr="002C5876" w:rsidRDefault="00E24DB7" w:rsidP="00E24DB7">
      <w:pPr>
        <w:pStyle w:val="SingleTxtG"/>
        <w:ind w:left="3402" w:hanging="1134"/>
      </w:pPr>
      <w:r w:rsidRPr="002C5876">
        <w:t xml:space="preserve">N </w:t>
      </w:r>
      <w:r w:rsidRPr="002C5876">
        <w:tab/>
        <w:t>désigne les coefficients de résistance à l’avancement sur route du véhicule N ;</w:t>
      </w:r>
    </w:p>
    <w:p w:rsidR="00E24DB7" w:rsidRPr="002C5876" w:rsidRDefault="00E24DB7" w:rsidP="00E24DB7">
      <w:pPr>
        <w:pStyle w:val="SingleTxtG"/>
        <w:ind w:left="3402" w:hanging="1134"/>
      </w:pPr>
      <w:r w:rsidRPr="002C5876">
        <w:t>R</w:t>
      </w:r>
      <w:r w:rsidRPr="002C5876">
        <w:tab/>
        <w:t>désigne les coefficients de résistance à l’avancement sur route du véhicule de référence R ;</w:t>
      </w:r>
    </w:p>
    <w:p w:rsidR="00E24DB7" w:rsidRPr="002C5876" w:rsidRDefault="00E24DB7" w:rsidP="00E24DB7">
      <w:pPr>
        <w:pStyle w:val="SingleTxtG"/>
        <w:ind w:left="3402" w:hanging="1134"/>
      </w:pPr>
      <w:r w:rsidRPr="002C5876">
        <w:t>Delta</w:t>
      </w:r>
      <w:r w:rsidRPr="002C5876">
        <w:tab/>
        <w:t>désigne les coefficients delta de résistance à l’avancement sur route tels que déterminés conformément au paragraphe 6.8.1 de la présente annexe.</w:t>
      </w:r>
    </w:p>
    <w:p w:rsidR="00E24DB7" w:rsidRPr="002C5876" w:rsidRDefault="00E24DB7" w:rsidP="00E24DB7">
      <w:pPr>
        <w:pStyle w:val="SingleTxtG"/>
        <w:keepNext/>
        <w:ind w:left="2268" w:hanging="1134"/>
        <w:jc w:val="left"/>
      </w:pPr>
      <w:r w:rsidRPr="002C5876">
        <w:t>7.</w:t>
      </w:r>
      <w:r w:rsidRPr="002C5876">
        <w:tab/>
        <w:t xml:space="preserve">Transposition sur un banc à rouleaux des valeurs de résistance à l’avancement sur route </w:t>
      </w:r>
    </w:p>
    <w:p w:rsidR="00E24DB7" w:rsidRPr="002C5876" w:rsidRDefault="00E24DB7" w:rsidP="00E24DB7">
      <w:pPr>
        <w:pStyle w:val="SingleTxtG"/>
        <w:keepNext/>
        <w:ind w:left="2268" w:hanging="1134"/>
        <w:jc w:val="left"/>
      </w:pPr>
      <w:r w:rsidRPr="002C5876">
        <w:t>7.1</w:t>
      </w:r>
      <w:r w:rsidRPr="002C5876">
        <w:tab/>
        <w:t>Préparatifs de l’essai sur banc à rouleaux</w:t>
      </w:r>
    </w:p>
    <w:p w:rsidR="00E24DB7" w:rsidRPr="002C5876" w:rsidRDefault="00E24DB7" w:rsidP="00E24DB7">
      <w:pPr>
        <w:pStyle w:val="SingleTxtG"/>
        <w:keepNext/>
        <w:ind w:left="2268" w:hanging="1134"/>
        <w:jc w:val="left"/>
      </w:pPr>
      <w:r w:rsidRPr="002C5876">
        <w:t>7.1.1</w:t>
      </w:r>
      <w:r w:rsidRPr="002C5876">
        <w:tab/>
        <w:t>Conditions de laboratoire</w:t>
      </w:r>
    </w:p>
    <w:p w:rsidR="00E24DB7" w:rsidRPr="002C5876" w:rsidRDefault="00E24DB7" w:rsidP="00E24DB7">
      <w:pPr>
        <w:pStyle w:val="SingleTxtG"/>
        <w:keepNext/>
        <w:ind w:left="2268" w:hanging="1134"/>
        <w:jc w:val="left"/>
      </w:pPr>
      <w:r w:rsidRPr="002C5876">
        <w:t>7.1.1.1</w:t>
      </w:r>
      <w:r w:rsidRPr="002C5876">
        <w:tab/>
        <w:t>Rouleaux</w:t>
      </w:r>
    </w:p>
    <w:p w:rsidR="00E24DB7" w:rsidRPr="002C5876" w:rsidRDefault="00E24DB7" w:rsidP="00E24DB7">
      <w:pPr>
        <w:pStyle w:val="SingleTxtG"/>
        <w:ind w:left="2268"/>
      </w:pPr>
      <w:r w:rsidRPr="002C5876">
        <w:t>Le ou les rouleaux du banc doivent être propres, secs et nets de dépôts qui puissent causer un patinage du pneumatique. Le banc doit être utilisé sur le même mode couplé ou désaccouplé que pour l’essai ultérieur de type 1. La vitesse du banc à rouleaux doit être mesurée sur le rouleau couplé au frein.</w:t>
      </w:r>
    </w:p>
    <w:p w:rsidR="00E24DB7" w:rsidRPr="002C5876" w:rsidRDefault="00E24DB7" w:rsidP="00E24DB7">
      <w:pPr>
        <w:pStyle w:val="SingleTxtG"/>
        <w:keepNext/>
        <w:ind w:left="2268" w:hanging="1134"/>
        <w:jc w:val="left"/>
      </w:pPr>
      <w:r w:rsidRPr="002C5876">
        <w:t>7.1.1.1.1</w:t>
      </w:r>
      <w:r w:rsidRPr="002C5876">
        <w:tab/>
        <w:t>Patinage du pneumatique</w:t>
      </w:r>
    </w:p>
    <w:p w:rsidR="00E24DB7" w:rsidRPr="002C5876" w:rsidRDefault="00E24DB7" w:rsidP="00E24DB7">
      <w:pPr>
        <w:pStyle w:val="SingleTxtG"/>
        <w:ind w:left="2268"/>
      </w:pPr>
      <w:r w:rsidRPr="002C5876">
        <w:t>Un poids additionnel peut être chargé sur le véhicule pour éliminer le patinage du pneumatique. Le constructeur doit effectuer le réglage de la force résistante sur le banc à rouleaux avec le poids additionnel en place. Ce dernier doit être présent aussi bien pour le réglage de la force résistante que pour les essais d’émissions et de consommation de carburant. Toute utilisation d’un poids additionnel doit être consignée.</w:t>
      </w:r>
    </w:p>
    <w:p w:rsidR="00E24DB7" w:rsidRPr="002C5876" w:rsidRDefault="00E24DB7" w:rsidP="00E24DB7">
      <w:pPr>
        <w:pStyle w:val="SingleTxtG"/>
        <w:keepNext/>
        <w:ind w:left="2268" w:hanging="1134"/>
        <w:jc w:val="left"/>
      </w:pPr>
      <w:r w:rsidRPr="002C5876">
        <w:t>7.1.1.2</w:t>
      </w:r>
      <w:r w:rsidRPr="002C5876">
        <w:tab/>
        <w:t>Température du local</w:t>
      </w:r>
    </w:p>
    <w:p w:rsidR="00E24DB7" w:rsidRPr="002C5876" w:rsidRDefault="00E24DB7" w:rsidP="00E24DB7">
      <w:pPr>
        <w:pStyle w:val="SingleTxtG"/>
        <w:ind w:left="2268"/>
      </w:pPr>
      <w:r w:rsidRPr="002C5876">
        <w:t xml:space="preserve">La température atmosphérique dans le laboratoire doit être maintenue au point de consigne de 23 °C et ne doit pas, durant l’essai, s’écarter de plus de </w:t>
      </w:r>
      <w:r w:rsidRPr="002C5876">
        <w:sym w:font="Symbol" w:char="F0B1"/>
      </w:r>
      <w:r w:rsidRPr="002C5876">
        <w:t>5 °C, sauf autre valeur requise pour tout essai ultérieur.</w:t>
      </w:r>
    </w:p>
    <w:p w:rsidR="00E24DB7" w:rsidRPr="002C5876" w:rsidRDefault="00E24DB7" w:rsidP="00E24DB7">
      <w:pPr>
        <w:pStyle w:val="SingleTxtG"/>
        <w:keepNext/>
        <w:ind w:left="2268" w:hanging="1134"/>
        <w:jc w:val="left"/>
      </w:pPr>
      <w:r w:rsidRPr="002C5876">
        <w:lastRenderedPageBreak/>
        <w:t>7.2</w:t>
      </w:r>
      <w:r w:rsidRPr="002C5876">
        <w:tab/>
        <w:t>Préparation du banc à rouleaux</w:t>
      </w:r>
    </w:p>
    <w:p w:rsidR="00E24DB7" w:rsidRPr="002C5876" w:rsidRDefault="00E24DB7" w:rsidP="00E24DB7">
      <w:pPr>
        <w:pStyle w:val="SingleTxtG"/>
        <w:keepNext/>
        <w:ind w:left="2268" w:hanging="1134"/>
        <w:jc w:val="left"/>
      </w:pPr>
      <w:r w:rsidRPr="002C5876">
        <w:t>7.2.1</w:t>
      </w:r>
      <w:r w:rsidRPr="002C5876">
        <w:tab/>
        <w:t>Réglage de la masse inertielle</w:t>
      </w:r>
    </w:p>
    <w:p w:rsidR="00E24DB7" w:rsidRPr="002C5876" w:rsidRDefault="00E24DB7" w:rsidP="00E24DB7">
      <w:pPr>
        <w:pStyle w:val="SingleTxtG"/>
        <w:ind w:left="2268"/>
      </w:pPr>
      <w:r w:rsidRPr="002C5876">
        <w:t>La masse inertielle équivalente du banc à rouleaux doit être réglée conformément au paragraphe 2.5.3 de la présente annexe. Si le banc à rouleaux ne permet pas de régler l’inertie à la valeur exacte, la valeur de réglage d’inertie la plus proche vers le haut doit être appliquée, jusqu’à un accroissement maximal de 10 kg.</w:t>
      </w:r>
    </w:p>
    <w:p w:rsidR="00E24DB7" w:rsidRPr="002C5876" w:rsidRDefault="00E24DB7" w:rsidP="00E24DB7">
      <w:pPr>
        <w:pStyle w:val="SingleTxtG"/>
        <w:keepNext/>
        <w:ind w:left="2268" w:hanging="1134"/>
        <w:jc w:val="left"/>
      </w:pPr>
      <w:r w:rsidRPr="002C5876">
        <w:t>7.2.2</w:t>
      </w:r>
      <w:r w:rsidRPr="002C5876">
        <w:tab/>
        <w:t>Mise en température du banc à rouleaux</w:t>
      </w:r>
    </w:p>
    <w:p w:rsidR="00E24DB7" w:rsidRPr="002C5876" w:rsidRDefault="00E24DB7" w:rsidP="00E24DB7">
      <w:pPr>
        <w:pStyle w:val="SingleTxtG"/>
        <w:ind w:left="2268"/>
      </w:pPr>
      <w:r w:rsidRPr="002C5876">
        <w:t>Le banc à rouleaux doit être réchauffé conformément aux recommandations du constructeur du banc, ou par une procédure appropriée, de manière à permettre une stabilisation des pertes par frottement du dynamomètre.</w:t>
      </w:r>
    </w:p>
    <w:p w:rsidR="00E24DB7" w:rsidRPr="002C5876" w:rsidRDefault="00E24DB7" w:rsidP="00E24DB7">
      <w:pPr>
        <w:pStyle w:val="SingleTxtG"/>
        <w:keepNext/>
        <w:ind w:left="2268" w:hanging="1134"/>
        <w:jc w:val="left"/>
      </w:pPr>
      <w:r w:rsidRPr="002C5876">
        <w:t>7.3</w:t>
      </w:r>
      <w:r w:rsidRPr="002C5876">
        <w:tab/>
        <w:t>Préparation du véhicule</w:t>
      </w:r>
    </w:p>
    <w:p w:rsidR="00E24DB7" w:rsidRPr="002C5876" w:rsidRDefault="00E24DB7" w:rsidP="00E24DB7">
      <w:pPr>
        <w:pStyle w:val="SingleTxtG"/>
        <w:keepNext/>
        <w:ind w:left="2268" w:hanging="1134"/>
        <w:jc w:val="left"/>
      </w:pPr>
      <w:r w:rsidRPr="002C5876">
        <w:t>7.3.1</w:t>
      </w:r>
      <w:r w:rsidRPr="002C5876">
        <w:tab/>
        <w:t>Réglage de la pression des pneumatiques</w:t>
      </w:r>
    </w:p>
    <w:p w:rsidR="00E24DB7" w:rsidRPr="002C5876" w:rsidRDefault="00E24DB7" w:rsidP="00E24DB7">
      <w:pPr>
        <w:pStyle w:val="SingleTxtG"/>
        <w:ind w:left="2268"/>
      </w:pPr>
      <w:r w:rsidRPr="002C5876">
        <w:t>La pression des pneumatiques à la température de stabilisation d’un essai de type 1 doit être réglée au maximum à 50 % au-dessus de la limite inférieure de la plage de pression pour le pneumatique sélectionné, comme spécifié par le constructeur du véhicule (voir le paragraphe 4.2.2.3 de la présente annexe), et doit être enregistrée.</w:t>
      </w:r>
    </w:p>
    <w:p w:rsidR="00E24DB7" w:rsidRPr="002C5876" w:rsidRDefault="00E24DB7" w:rsidP="00E24DB7">
      <w:pPr>
        <w:pStyle w:val="SingleTxtG"/>
        <w:ind w:left="2268" w:hanging="1134"/>
      </w:pPr>
      <w:r w:rsidRPr="002C5876">
        <w:t>7.3.2</w:t>
      </w:r>
      <w:r w:rsidRPr="002C5876">
        <w:tab/>
        <w:t>Si la procédure de détermination du réglage du dynamomètre ne permet pas de satisfaire aux critères définis au paragraphe 8.1.3 de la présente annexe du fait de l’influence de forces non reproductibles, le véhicule doit être équipé d’un mode décélération libre. Le mode décélération libre doit être approuvé et enregistré par l’autorité compétente.</w:t>
      </w:r>
    </w:p>
    <w:p w:rsidR="00E24DB7" w:rsidRPr="002C5876" w:rsidRDefault="00E24DB7" w:rsidP="00E24DB7">
      <w:pPr>
        <w:pStyle w:val="SingleTxtG"/>
        <w:ind w:left="2268"/>
      </w:pPr>
      <w:r w:rsidRPr="002C5876">
        <w:tab/>
        <w:t>Si un véhicule est équipé d’un mode décélération libre, ce dernier doit être en fonction aussi bien pendant l’essai de détermination de la résistance à l’avancement sur route que pendant l’essai sur banc à rouleaux.</w:t>
      </w:r>
    </w:p>
    <w:p w:rsidR="00E24DB7" w:rsidRPr="002C5876" w:rsidRDefault="00E24DB7" w:rsidP="00E24DB7">
      <w:pPr>
        <w:pStyle w:val="SingleTxtG"/>
        <w:keepNext/>
        <w:ind w:left="2268" w:hanging="1134"/>
        <w:jc w:val="left"/>
      </w:pPr>
      <w:r w:rsidRPr="002C5876">
        <w:t>7.3.3</w:t>
      </w:r>
      <w:r w:rsidRPr="002C5876">
        <w:tab/>
        <w:t>Positionnement du véhicule sur le banc à rouleaux</w:t>
      </w:r>
    </w:p>
    <w:p w:rsidR="00E24DB7" w:rsidRPr="002C5876" w:rsidRDefault="00E24DB7" w:rsidP="00E24DB7">
      <w:pPr>
        <w:pStyle w:val="SingleTxtG"/>
        <w:ind w:left="2268"/>
      </w:pPr>
      <w:r w:rsidRPr="002C5876">
        <w:t xml:space="preserve">Le véhicule à l’essai doit être positionné sur le banc à rouleaux dans l’axe et il doit être maintenu par des moyens sûrs. Dans le cas où un banc à rouleau simple est utilisé, le centre de la plage de contact du pneumatique sur le rouleau doit être situé au maximum à </w:t>
      </w:r>
      <w:r w:rsidRPr="002C5876">
        <w:sym w:font="Symbol" w:char="F0B1"/>
      </w:r>
      <w:r w:rsidRPr="002C5876">
        <w:t>25 mm ou </w:t>
      </w:r>
      <w:r w:rsidRPr="002C5876">
        <w:sym w:font="Symbol" w:char="F0B1"/>
      </w:r>
      <w:r w:rsidRPr="002C5876">
        <w:t>2 % du diamètre du rouleau, la valeur inférieure étant retenue, point le plus haut du rouleau.</w:t>
      </w:r>
    </w:p>
    <w:p w:rsidR="00E24DB7" w:rsidRPr="002C5876" w:rsidRDefault="00E24DB7" w:rsidP="00E24DB7">
      <w:pPr>
        <w:pStyle w:val="SingleTxtG"/>
        <w:ind w:left="2268"/>
      </w:pPr>
      <w:r w:rsidRPr="002C5876">
        <w:tab/>
        <w:t>Si la méthode de mesure du couple résistant est utilisée, la pression des pneumatiques doit être réglée à une valeur telle que le rayon dynamique ne diffère pas de plus de 0,5 % du rayon dynamique r</w:t>
      </w:r>
      <w:r w:rsidRPr="002C5876">
        <w:rPr>
          <w:vertAlign w:val="subscript"/>
        </w:rPr>
        <w:t>j</w:t>
      </w:r>
      <w:r w:rsidRPr="002C5876">
        <w:t xml:space="preserve"> calculé au moyen des équations du paragraphe 4.4.3.1 de la présente annexe au point de vitesse de référence de 80 km/h. Le rayon dynamique sur le banc à rouleaux doit être calculé conformément à la procédure décrite au paragraphe 4.4.3.1 de la présente annexe.</w:t>
      </w:r>
    </w:p>
    <w:p w:rsidR="00E24DB7" w:rsidRPr="002C5876" w:rsidRDefault="00E24DB7" w:rsidP="00E24DB7">
      <w:pPr>
        <w:pStyle w:val="SingleTxtG"/>
        <w:ind w:left="2268"/>
      </w:pPr>
      <w:r w:rsidRPr="002C5876">
        <w:t>Si le réglage obtenu sort de la plage définie au paragraphe 7.3.1 de la présente annexe, la méthode de mesure du couple n’est pas applicable.</w:t>
      </w:r>
    </w:p>
    <w:p w:rsidR="00E24DB7" w:rsidRPr="002C5876" w:rsidRDefault="00E24DB7" w:rsidP="00E24DB7">
      <w:pPr>
        <w:pStyle w:val="SingleTxtG"/>
        <w:keepNext/>
        <w:ind w:left="2268" w:hanging="1134"/>
        <w:jc w:val="left"/>
      </w:pPr>
      <w:r w:rsidRPr="002C5876">
        <w:t>7.3.4</w:t>
      </w:r>
      <w:r w:rsidRPr="002C5876">
        <w:tab/>
        <w:t>Mise en température du véhicule</w:t>
      </w:r>
    </w:p>
    <w:p w:rsidR="00E24DB7" w:rsidRPr="002C5876" w:rsidRDefault="00E24DB7" w:rsidP="00E24DB7">
      <w:pPr>
        <w:pStyle w:val="SingleTxtG"/>
        <w:ind w:left="2268" w:hanging="1134"/>
        <w:jc w:val="left"/>
      </w:pPr>
      <w:r w:rsidRPr="002C5876">
        <w:t>7.3.4.1</w:t>
      </w:r>
      <w:r w:rsidRPr="002C5876">
        <w:tab/>
        <w:t>Le véhicule doit être mis en température par l’exécution du cycle WLTC applicable. Dans le cas où le véhicule a été mis en température à 90 % de la vitesse maximale de la phase supérieure suivante conformément à la procédure décrite au paragraphe 4.2.4.1.2 de la présente annexe, cette phase supérieure doit être ajoutée au cycle WLTC applicable.</w:t>
      </w:r>
    </w:p>
    <w:p w:rsidR="00E24DB7" w:rsidRPr="002C5876" w:rsidRDefault="00E24DB7" w:rsidP="00E24DB7">
      <w:pPr>
        <w:pStyle w:val="H23G"/>
      </w:pPr>
      <w:r w:rsidRPr="002C5876">
        <w:rPr>
          <w:b w:val="0"/>
        </w:rPr>
        <w:lastRenderedPageBreak/>
        <w:tab/>
      </w:r>
      <w:r w:rsidRPr="002C5876">
        <w:rPr>
          <w:b w:val="0"/>
        </w:rPr>
        <w:tab/>
        <w:t>Tableau A4/7</w:t>
      </w:r>
      <w:r w:rsidRPr="002C5876">
        <w:t xml:space="preserve"> </w:t>
      </w:r>
      <w:r w:rsidRPr="002C5876">
        <w:br/>
        <w:t>Mise en température du véhicule</w:t>
      </w:r>
    </w:p>
    <w:tbl>
      <w:tblPr>
        <w:tblW w:w="7371" w:type="dxa"/>
        <w:tblInd w:w="1134"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61"/>
        <w:gridCol w:w="2041"/>
        <w:gridCol w:w="1928"/>
        <w:gridCol w:w="2041"/>
      </w:tblGrid>
      <w:tr w:rsidR="00E24DB7" w:rsidRPr="002C5876" w:rsidTr="00E24DB7">
        <w:trPr>
          <w:tblHeader/>
        </w:trPr>
        <w:tc>
          <w:tcPr>
            <w:tcW w:w="1361" w:type="dxa"/>
            <w:tcBorders>
              <w:bottom w:val="single" w:sz="12" w:space="0" w:color="auto"/>
            </w:tcBorders>
            <w:shd w:val="clear" w:color="auto" w:fill="auto"/>
            <w:vAlign w:val="bottom"/>
          </w:tcPr>
          <w:p w:rsidR="00E24DB7" w:rsidRPr="002C5876" w:rsidRDefault="00E24DB7" w:rsidP="00E24DB7">
            <w:pPr>
              <w:spacing w:before="80" w:after="80" w:line="200" w:lineRule="exact"/>
              <w:ind w:left="57" w:right="57"/>
              <w:rPr>
                <w:i/>
                <w:sz w:val="16"/>
                <w:szCs w:val="16"/>
              </w:rPr>
            </w:pPr>
            <w:r w:rsidRPr="002C5876">
              <w:rPr>
                <w:i/>
                <w:sz w:val="16"/>
                <w:szCs w:val="16"/>
              </w:rPr>
              <w:t>Classe de véhicule</w:t>
            </w:r>
          </w:p>
        </w:tc>
        <w:tc>
          <w:tcPr>
            <w:tcW w:w="2041" w:type="dxa"/>
            <w:tcBorders>
              <w:bottom w:val="single" w:sz="12" w:space="0" w:color="auto"/>
            </w:tcBorders>
            <w:shd w:val="clear" w:color="auto" w:fill="auto"/>
            <w:vAlign w:val="bottom"/>
          </w:tcPr>
          <w:p w:rsidR="00E24DB7" w:rsidRPr="002C5876" w:rsidRDefault="00E24DB7" w:rsidP="00E24DB7">
            <w:pPr>
              <w:spacing w:before="80" w:after="80" w:line="200" w:lineRule="exact"/>
              <w:ind w:left="57" w:right="57"/>
              <w:rPr>
                <w:i/>
                <w:sz w:val="16"/>
                <w:szCs w:val="16"/>
              </w:rPr>
            </w:pPr>
            <w:r w:rsidRPr="002C5876">
              <w:rPr>
                <w:i/>
                <w:sz w:val="16"/>
                <w:szCs w:val="16"/>
              </w:rPr>
              <w:t>Cycle WLTC applicable</w:t>
            </w:r>
          </w:p>
        </w:tc>
        <w:tc>
          <w:tcPr>
            <w:tcW w:w="1928" w:type="dxa"/>
            <w:tcBorders>
              <w:bottom w:val="single" w:sz="12" w:space="0" w:color="auto"/>
            </w:tcBorders>
            <w:shd w:val="clear" w:color="auto" w:fill="auto"/>
            <w:vAlign w:val="bottom"/>
          </w:tcPr>
          <w:p w:rsidR="00E24DB7" w:rsidRPr="002C5876" w:rsidRDefault="00E24DB7" w:rsidP="00E24DB7">
            <w:pPr>
              <w:spacing w:before="80" w:after="80" w:line="200" w:lineRule="exact"/>
              <w:ind w:left="57" w:right="57"/>
              <w:rPr>
                <w:i/>
                <w:sz w:val="16"/>
                <w:szCs w:val="16"/>
              </w:rPr>
            </w:pPr>
            <w:r w:rsidRPr="002C5876">
              <w:rPr>
                <w:i/>
                <w:sz w:val="16"/>
                <w:szCs w:val="16"/>
              </w:rPr>
              <w:t>Phase supérieure suivante</w:t>
            </w:r>
          </w:p>
        </w:tc>
        <w:tc>
          <w:tcPr>
            <w:tcW w:w="2041" w:type="dxa"/>
            <w:tcBorders>
              <w:bottom w:val="single" w:sz="12" w:space="0" w:color="auto"/>
            </w:tcBorders>
            <w:shd w:val="clear" w:color="auto" w:fill="auto"/>
            <w:vAlign w:val="bottom"/>
          </w:tcPr>
          <w:p w:rsidR="00E24DB7" w:rsidRPr="002C5876" w:rsidRDefault="00E24DB7" w:rsidP="00E24DB7">
            <w:pPr>
              <w:spacing w:before="80" w:after="80" w:line="200" w:lineRule="exact"/>
              <w:ind w:left="57" w:right="57"/>
              <w:rPr>
                <w:i/>
                <w:sz w:val="16"/>
                <w:szCs w:val="16"/>
              </w:rPr>
            </w:pPr>
            <w:r w:rsidRPr="002C5876">
              <w:rPr>
                <w:i/>
                <w:sz w:val="16"/>
                <w:szCs w:val="16"/>
              </w:rPr>
              <w:t>Cycle de mise en température</w:t>
            </w:r>
          </w:p>
        </w:tc>
      </w:tr>
      <w:tr w:rsidR="00E24DB7" w:rsidRPr="002C5876" w:rsidTr="00E24DB7">
        <w:tc>
          <w:tcPr>
            <w:tcW w:w="1361" w:type="dxa"/>
            <w:tcBorders>
              <w:top w:val="single" w:sz="12" w:space="0" w:color="auto"/>
              <w:bottom w:val="single" w:sz="4" w:space="0" w:color="auto"/>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Classe 1</w:t>
            </w:r>
          </w:p>
        </w:tc>
        <w:tc>
          <w:tcPr>
            <w:tcW w:w="2041" w:type="dxa"/>
            <w:tcBorders>
              <w:top w:val="single" w:sz="12" w:space="0" w:color="auto"/>
              <w:bottom w:val="single" w:sz="4" w:space="0" w:color="auto"/>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Low</w:t>
            </w:r>
            <w:r w:rsidRPr="002C5876">
              <w:rPr>
                <w:sz w:val="18"/>
                <w:szCs w:val="18"/>
                <w:vertAlign w:val="subscript"/>
              </w:rPr>
              <w:t>1</w:t>
            </w:r>
            <w:r w:rsidRPr="002C5876">
              <w:rPr>
                <w:sz w:val="18"/>
                <w:szCs w:val="18"/>
              </w:rPr>
              <w:t>+ Medium</w:t>
            </w:r>
            <w:r w:rsidRPr="002C5876">
              <w:rPr>
                <w:sz w:val="18"/>
                <w:szCs w:val="18"/>
                <w:vertAlign w:val="subscript"/>
              </w:rPr>
              <w:t>1</w:t>
            </w:r>
          </w:p>
        </w:tc>
        <w:tc>
          <w:tcPr>
            <w:tcW w:w="1928" w:type="dxa"/>
            <w:tcBorders>
              <w:top w:val="single" w:sz="12" w:space="0" w:color="auto"/>
              <w:bottom w:val="single" w:sz="4" w:space="0" w:color="auto"/>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s.o.</w:t>
            </w:r>
          </w:p>
        </w:tc>
        <w:tc>
          <w:tcPr>
            <w:tcW w:w="2041" w:type="dxa"/>
            <w:tcBorders>
              <w:top w:val="single" w:sz="12" w:space="0" w:color="auto"/>
              <w:bottom w:val="single" w:sz="4" w:space="0" w:color="auto"/>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Low</w:t>
            </w:r>
            <w:r w:rsidRPr="002C5876">
              <w:rPr>
                <w:sz w:val="18"/>
                <w:szCs w:val="18"/>
                <w:vertAlign w:val="subscript"/>
              </w:rPr>
              <w:t>1</w:t>
            </w:r>
            <w:r w:rsidRPr="002C5876">
              <w:rPr>
                <w:sz w:val="18"/>
                <w:szCs w:val="18"/>
              </w:rPr>
              <w:t>+ Medium</w:t>
            </w:r>
            <w:r w:rsidRPr="002C5876">
              <w:rPr>
                <w:sz w:val="18"/>
                <w:szCs w:val="18"/>
                <w:vertAlign w:val="subscript"/>
              </w:rPr>
              <w:t>1</w:t>
            </w:r>
          </w:p>
        </w:tc>
      </w:tr>
      <w:tr w:rsidR="00E24DB7" w:rsidRPr="00D53F39" w:rsidTr="00E24DB7">
        <w:tc>
          <w:tcPr>
            <w:tcW w:w="1361" w:type="dxa"/>
            <w:vMerge w:val="restart"/>
            <w:tcBorders>
              <w:bottom w:val="single" w:sz="4" w:space="0" w:color="auto"/>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Classe 2</w:t>
            </w:r>
          </w:p>
        </w:tc>
        <w:tc>
          <w:tcPr>
            <w:tcW w:w="2041" w:type="dxa"/>
            <w:tcBorders>
              <w:bottom w:val="single" w:sz="4" w:space="0" w:color="auto"/>
            </w:tcBorders>
            <w:shd w:val="clear" w:color="auto" w:fill="auto"/>
          </w:tcPr>
          <w:p w:rsidR="00E24DB7" w:rsidRPr="00D53F39" w:rsidRDefault="00E24DB7" w:rsidP="00E24DB7">
            <w:pPr>
              <w:spacing w:before="60" w:after="60" w:line="220" w:lineRule="atLeast"/>
              <w:ind w:left="57" w:right="57"/>
              <w:rPr>
                <w:sz w:val="18"/>
                <w:szCs w:val="18"/>
                <w:lang w:val="en-US"/>
              </w:rPr>
            </w:pPr>
            <w:r w:rsidRPr="00D53F39">
              <w:rPr>
                <w:sz w:val="18"/>
                <w:szCs w:val="18"/>
                <w:lang w:val="en-US"/>
              </w:rPr>
              <w:t>Low</w:t>
            </w:r>
            <w:r w:rsidRPr="00D53F39">
              <w:rPr>
                <w:sz w:val="18"/>
                <w:szCs w:val="18"/>
                <w:vertAlign w:val="subscript"/>
                <w:lang w:val="en-US"/>
              </w:rPr>
              <w:t>2</w:t>
            </w:r>
            <w:r w:rsidRPr="00D53F39">
              <w:rPr>
                <w:sz w:val="18"/>
                <w:szCs w:val="18"/>
                <w:lang w:val="en-US"/>
              </w:rPr>
              <w:t>+ Medium</w:t>
            </w:r>
            <w:r w:rsidRPr="00D53F39">
              <w:rPr>
                <w:sz w:val="18"/>
                <w:szCs w:val="18"/>
                <w:vertAlign w:val="subscript"/>
                <w:lang w:val="en-US"/>
              </w:rPr>
              <w:t>2</w:t>
            </w:r>
            <w:r w:rsidRPr="00D53F39">
              <w:rPr>
                <w:sz w:val="18"/>
                <w:szCs w:val="18"/>
                <w:lang w:val="en-US"/>
              </w:rPr>
              <w:t xml:space="preserve">+ </w:t>
            </w:r>
            <w:r w:rsidRPr="00D53F39">
              <w:rPr>
                <w:sz w:val="18"/>
                <w:szCs w:val="18"/>
                <w:lang w:val="en-US"/>
              </w:rPr>
              <w:br/>
              <w:t>High</w:t>
            </w:r>
            <w:r w:rsidRPr="00D53F39">
              <w:rPr>
                <w:sz w:val="18"/>
                <w:szCs w:val="18"/>
                <w:vertAlign w:val="subscript"/>
                <w:lang w:val="en-US"/>
              </w:rPr>
              <w:t>2</w:t>
            </w:r>
            <w:r w:rsidRPr="00D53F39">
              <w:rPr>
                <w:sz w:val="18"/>
                <w:szCs w:val="18"/>
                <w:lang w:val="en-US"/>
              </w:rPr>
              <w:t>+ Extra High</w:t>
            </w:r>
            <w:r w:rsidRPr="00D53F39">
              <w:rPr>
                <w:sz w:val="18"/>
                <w:szCs w:val="18"/>
                <w:vertAlign w:val="subscript"/>
                <w:lang w:val="en-US"/>
              </w:rPr>
              <w:t>2</w:t>
            </w:r>
          </w:p>
        </w:tc>
        <w:tc>
          <w:tcPr>
            <w:tcW w:w="1928" w:type="dxa"/>
            <w:tcBorders>
              <w:bottom w:val="single" w:sz="4" w:space="0" w:color="auto"/>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s.o.</w:t>
            </w:r>
          </w:p>
        </w:tc>
        <w:tc>
          <w:tcPr>
            <w:tcW w:w="2041" w:type="dxa"/>
            <w:vMerge w:val="restart"/>
            <w:tcBorders>
              <w:bottom w:val="single" w:sz="4" w:space="0" w:color="auto"/>
            </w:tcBorders>
            <w:shd w:val="clear" w:color="auto" w:fill="auto"/>
          </w:tcPr>
          <w:p w:rsidR="00E24DB7" w:rsidRPr="00D53F39" w:rsidRDefault="00E24DB7" w:rsidP="00E24DB7">
            <w:pPr>
              <w:spacing w:before="60" w:after="60" w:line="220" w:lineRule="atLeast"/>
              <w:ind w:left="57" w:right="57"/>
              <w:rPr>
                <w:sz w:val="18"/>
                <w:szCs w:val="18"/>
                <w:lang w:val="en-US"/>
              </w:rPr>
            </w:pPr>
            <w:r w:rsidRPr="00D53F39">
              <w:rPr>
                <w:sz w:val="18"/>
                <w:szCs w:val="18"/>
                <w:lang w:val="en-US"/>
              </w:rPr>
              <w:t>Low</w:t>
            </w:r>
            <w:r w:rsidRPr="00D53F39">
              <w:rPr>
                <w:sz w:val="18"/>
                <w:szCs w:val="18"/>
                <w:vertAlign w:val="subscript"/>
                <w:lang w:val="en-US"/>
              </w:rPr>
              <w:t>2</w:t>
            </w:r>
            <w:r w:rsidRPr="00D53F39">
              <w:rPr>
                <w:sz w:val="18"/>
                <w:szCs w:val="18"/>
                <w:lang w:val="en-US"/>
              </w:rPr>
              <w:t>+ Medium</w:t>
            </w:r>
            <w:r w:rsidRPr="00D53F39">
              <w:rPr>
                <w:sz w:val="18"/>
                <w:szCs w:val="18"/>
                <w:vertAlign w:val="subscript"/>
                <w:lang w:val="en-US"/>
              </w:rPr>
              <w:t xml:space="preserve">2 </w:t>
            </w:r>
            <w:r w:rsidRPr="00D53F39">
              <w:rPr>
                <w:sz w:val="18"/>
                <w:szCs w:val="18"/>
                <w:lang w:val="en-US"/>
              </w:rPr>
              <w:t xml:space="preserve">+ </w:t>
            </w:r>
            <w:r w:rsidRPr="00D53F39">
              <w:rPr>
                <w:sz w:val="18"/>
                <w:szCs w:val="18"/>
                <w:lang w:val="en-US"/>
              </w:rPr>
              <w:br/>
              <w:t>High</w:t>
            </w:r>
            <w:r w:rsidRPr="00D53F39">
              <w:rPr>
                <w:sz w:val="18"/>
                <w:szCs w:val="18"/>
                <w:vertAlign w:val="subscript"/>
                <w:lang w:val="en-US"/>
              </w:rPr>
              <w:t>2</w:t>
            </w:r>
            <w:r w:rsidRPr="00D53F39">
              <w:rPr>
                <w:sz w:val="18"/>
                <w:szCs w:val="18"/>
                <w:lang w:val="en-US"/>
              </w:rPr>
              <w:t>+ Extra High</w:t>
            </w:r>
            <w:r w:rsidRPr="00D53F39">
              <w:rPr>
                <w:sz w:val="18"/>
                <w:szCs w:val="18"/>
                <w:vertAlign w:val="subscript"/>
                <w:lang w:val="en-US"/>
              </w:rPr>
              <w:t>2</w:t>
            </w:r>
          </w:p>
        </w:tc>
      </w:tr>
      <w:tr w:rsidR="00E24DB7" w:rsidRPr="002C5876" w:rsidTr="00E24DB7">
        <w:tc>
          <w:tcPr>
            <w:tcW w:w="1361" w:type="dxa"/>
            <w:vMerge/>
            <w:tcBorders>
              <w:bottom w:val="single" w:sz="4" w:space="0" w:color="auto"/>
            </w:tcBorders>
            <w:shd w:val="clear" w:color="auto" w:fill="auto"/>
          </w:tcPr>
          <w:p w:rsidR="00E24DB7" w:rsidRPr="00D53F39" w:rsidRDefault="00E24DB7" w:rsidP="00E24DB7">
            <w:pPr>
              <w:spacing w:before="60" w:after="60" w:line="220" w:lineRule="atLeast"/>
              <w:ind w:left="57" w:right="57"/>
              <w:rPr>
                <w:sz w:val="18"/>
                <w:szCs w:val="18"/>
                <w:lang w:val="en-US"/>
              </w:rPr>
            </w:pPr>
          </w:p>
        </w:tc>
        <w:tc>
          <w:tcPr>
            <w:tcW w:w="2041" w:type="dxa"/>
            <w:tcBorders>
              <w:bottom w:val="single" w:sz="4" w:space="0" w:color="auto"/>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Low</w:t>
            </w:r>
            <w:r w:rsidRPr="002C5876">
              <w:rPr>
                <w:sz w:val="18"/>
                <w:szCs w:val="18"/>
                <w:vertAlign w:val="subscript"/>
              </w:rPr>
              <w:t>2</w:t>
            </w:r>
            <w:r w:rsidRPr="002C5876">
              <w:rPr>
                <w:sz w:val="18"/>
                <w:szCs w:val="18"/>
              </w:rPr>
              <w:t>+ Medium</w:t>
            </w:r>
            <w:r w:rsidRPr="002C5876">
              <w:rPr>
                <w:sz w:val="18"/>
                <w:szCs w:val="18"/>
                <w:vertAlign w:val="subscript"/>
              </w:rPr>
              <w:t>2</w:t>
            </w:r>
            <w:r w:rsidRPr="002C5876">
              <w:rPr>
                <w:sz w:val="18"/>
                <w:szCs w:val="18"/>
              </w:rPr>
              <w:t>+ High</w:t>
            </w:r>
            <w:r w:rsidRPr="002C5876">
              <w:rPr>
                <w:sz w:val="18"/>
                <w:szCs w:val="18"/>
                <w:vertAlign w:val="subscript"/>
              </w:rPr>
              <w:t>2</w:t>
            </w:r>
          </w:p>
        </w:tc>
        <w:tc>
          <w:tcPr>
            <w:tcW w:w="1928" w:type="dxa"/>
            <w:tcBorders>
              <w:bottom w:val="single" w:sz="4" w:space="0" w:color="auto"/>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Oui (Extra High</w:t>
            </w:r>
            <w:r w:rsidRPr="002C5876">
              <w:rPr>
                <w:sz w:val="18"/>
                <w:szCs w:val="18"/>
                <w:vertAlign w:val="subscript"/>
              </w:rPr>
              <w:t>2</w:t>
            </w:r>
            <w:r w:rsidRPr="002C5876">
              <w:rPr>
                <w:sz w:val="18"/>
                <w:szCs w:val="18"/>
              </w:rPr>
              <w:t>)</w:t>
            </w:r>
          </w:p>
        </w:tc>
        <w:tc>
          <w:tcPr>
            <w:tcW w:w="2041" w:type="dxa"/>
            <w:vMerge/>
            <w:tcBorders>
              <w:bottom w:val="single" w:sz="4" w:space="0" w:color="auto"/>
            </w:tcBorders>
            <w:shd w:val="clear" w:color="auto" w:fill="auto"/>
          </w:tcPr>
          <w:p w:rsidR="00E24DB7" w:rsidRPr="002C5876" w:rsidRDefault="00E24DB7" w:rsidP="00E24DB7">
            <w:pPr>
              <w:spacing w:before="60" w:after="60" w:line="220" w:lineRule="atLeast"/>
              <w:ind w:left="57" w:right="57"/>
              <w:rPr>
                <w:b/>
                <w:sz w:val="18"/>
                <w:szCs w:val="18"/>
              </w:rPr>
            </w:pPr>
          </w:p>
        </w:tc>
      </w:tr>
      <w:tr w:rsidR="00E24DB7" w:rsidRPr="002C5876" w:rsidTr="00E24DB7">
        <w:tc>
          <w:tcPr>
            <w:tcW w:w="1361" w:type="dxa"/>
            <w:vMerge/>
            <w:tcBorders>
              <w:bottom w:val="single" w:sz="4" w:space="0" w:color="auto"/>
            </w:tcBorders>
            <w:shd w:val="clear" w:color="auto" w:fill="auto"/>
          </w:tcPr>
          <w:p w:rsidR="00E24DB7" w:rsidRPr="002C5876" w:rsidRDefault="00E24DB7" w:rsidP="00E24DB7">
            <w:pPr>
              <w:spacing w:before="60" w:after="60" w:line="220" w:lineRule="atLeast"/>
              <w:ind w:left="57" w:right="57"/>
              <w:rPr>
                <w:sz w:val="18"/>
                <w:szCs w:val="18"/>
              </w:rPr>
            </w:pPr>
          </w:p>
        </w:tc>
        <w:tc>
          <w:tcPr>
            <w:tcW w:w="2041" w:type="dxa"/>
            <w:tcBorders>
              <w:bottom w:val="single" w:sz="4" w:space="0" w:color="auto"/>
            </w:tcBorders>
            <w:shd w:val="clear" w:color="auto" w:fill="auto"/>
          </w:tcPr>
          <w:p w:rsidR="00E24DB7" w:rsidRPr="002C5876" w:rsidRDefault="00E24DB7" w:rsidP="00E24DB7">
            <w:pPr>
              <w:spacing w:before="60" w:after="60" w:line="220" w:lineRule="atLeast"/>
              <w:ind w:left="57" w:right="57"/>
              <w:rPr>
                <w:b/>
                <w:sz w:val="18"/>
                <w:szCs w:val="18"/>
              </w:rPr>
            </w:pPr>
          </w:p>
        </w:tc>
        <w:tc>
          <w:tcPr>
            <w:tcW w:w="1928" w:type="dxa"/>
            <w:tcBorders>
              <w:bottom w:val="single" w:sz="4" w:space="0" w:color="auto"/>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Non</w:t>
            </w:r>
          </w:p>
        </w:tc>
        <w:tc>
          <w:tcPr>
            <w:tcW w:w="2041" w:type="dxa"/>
            <w:tcBorders>
              <w:bottom w:val="single" w:sz="4" w:space="0" w:color="auto"/>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Low</w:t>
            </w:r>
            <w:r w:rsidRPr="002C5876">
              <w:rPr>
                <w:sz w:val="18"/>
                <w:szCs w:val="18"/>
                <w:vertAlign w:val="subscript"/>
              </w:rPr>
              <w:t>2</w:t>
            </w:r>
            <w:r w:rsidRPr="002C5876">
              <w:rPr>
                <w:sz w:val="18"/>
                <w:szCs w:val="18"/>
              </w:rPr>
              <w:t>+ Medium</w:t>
            </w:r>
            <w:r w:rsidRPr="002C5876">
              <w:rPr>
                <w:sz w:val="18"/>
                <w:szCs w:val="18"/>
                <w:vertAlign w:val="subscript"/>
              </w:rPr>
              <w:t>2</w:t>
            </w:r>
            <w:r w:rsidRPr="002C5876">
              <w:rPr>
                <w:sz w:val="18"/>
                <w:szCs w:val="18"/>
              </w:rPr>
              <w:t>+ High</w:t>
            </w:r>
            <w:r w:rsidRPr="002C5876">
              <w:rPr>
                <w:sz w:val="18"/>
                <w:szCs w:val="18"/>
                <w:vertAlign w:val="subscript"/>
              </w:rPr>
              <w:t>2</w:t>
            </w:r>
          </w:p>
        </w:tc>
      </w:tr>
      <w:tr w:rsidR="00E24DB7" w:rsidRPr="00D53F39" w:rsidTr="00E24DB7">
        <w:tc>
          <w:tcPr>
            <w:tcW w:w="1361" w:type="dxa"/>
            <w:vMerge w:val="restart"/>
            <w:tcBorders>
              <w:top w:val="single" w:sz="4" w:space="0" w:color="auto"/>
              <w:bottom w:val="single" w:sz="4" w:space="0" w:color="auto"/>
            </w:tcBorders>
            <w:shd w:val="clear" w:color="auto" w:fill="auto"/>
          </w:tcPr>
          <w:p w:rsidR="00E24DB7" w:rsidRPr="002C5876" w:rsidRDefault="00E24DB7" w:rsidP="00E24DB7">
            <w:pPr>
              <w:keepNext/>
              <w:spacing w:before="60" w:after="60" w:line="220" w:lineRule="atLeast"/>
              <w:ind w:left="57" w:right="57"/>
              <w:rPr>
                <w:sz w:val="18"/>
                <w:szCs w:val="18"/>
              </w:rPr>
            </w:pPr>
            <w:r w:rsidRPr="002C5876">
              <w:rPr>
                <w:sz w:val="18"/>
                <w:szCs w:val="18"/>
              </w:rPr>
              <w:t>Classe 3</w:t>
            </w:r>
          </w:p>
        </w:tc>
        <w:tc>
          <w:tcPr>
            <w:tcW w:w="2041" w:type="dxa"/>
            <w:tcBorders>
              <w:top w:val="single" w:sz="4" w:space="0" w:color="auto"/>
              <w:bottom w:val="single" w:sz="4" w:space="0" w:color="auto"/>
            </w:tcBorders>
            <w:shd w:val="clear" w:color="auto" w:fill="auto"/>
          </w:tcPr>
          <w:p w:rsidR="00E24DB7" w:rsidRPr="00D53F39" w:rsidRDefault="00E24DB7" w:rsidP="00E24DB7">
            <w:pPr>
              <w:keepNext/>
              <w:spacing w:before="60" w:after="60" w:line="220" w:lineRule="atLeast"/>
              <w:ind w:left="57" w:right="57"/>
              <w:rPr>
                <w:sz w:val="18"/>
                <w:szCs w:val="18"/>
                <w:lang w:val="en-US"/>
              </w:rPr>
            </w:pPr>
            <w:r w:rsidRPr="00D53F39">
              <w:rPr>
                <w:sz w:val="18"/>
                <w:szCs w:val="18"/>
                <w:lang w:val="en-US"/>
              </w:rPr>
              <w:t>Low</w:t>
            </w:r>
            <w:r w:rsidRPr="00D53F39">
              <w:rPr>
                <w:sz w:val="18"/>
                <w:szCs w:val="18"/>
                <w:vertAlign w:val="subscript"/>
                <w:lang w:val="en-US"/>
              </w:rPr>
              <w:t>3</w:t>
            </w:r>
            <w:r w:rsidRPr="00D53F39">
              <w:rPr>
                <w:sz w:val="18"/>
                <w:szCs w:val="18"/>
                <w:lang w:val="en-US"/>
              </w:rPr>
              <w:t>+ Medium</w:t>
            </w:r>
            <w:r w:rsidRPr="00D53F39">
              <w:rPr>
                <w:sz w:val="18"/>
                <w:szCs w:val="18"/>
                <w:vertAlign w:val="subscript"/>
                <w:lang w:val="en-US"/>
              </w:rPr>
              <w:t>3</w:t>
            </w:r>
            <w:r w:rsidRPr="00D53F39">
              <w:rPr>
                <w:sz w:val="18"/>
                <w:szCs w:val="18"/>
                <w:lang w:val="en-US"/>
              </w:rPr>
              <w:t xml:space="preserve">+ </w:t>
            </w:r>
            <w:r w:rsidRPr="00D53F39">
              <w:rPr>
                <w:sz w:val="18"/>
                <w:szCs w:val="18"/>
                <w:lang w:val="en-US"/>
              </w:rPr>
              <w:br/>
              <w:t>High</w:t>
            </w:r>
            <w:r w:rsidRPr="00D53F39">
              <w:rPr>
                <w:sz w:val="18"/>
                <w:szCs w:val="18"/>
                <w:vertAlign w:val="subscript"/>
                <w:lang w:val="en-US"/>
              </w:rPr>
              <w:t>3</w:t>
            </w:r>
            <w:r w:rsidRPr="00D53F39">
              <w:rPr>
                <w:sz w:val="18"/>
                <w:szCs w:val="18"/>
                <w:lang w:val="en-US"/>
              </w:rPr>
              <w:t>+ Extra High</w:t>
            </w:r>
            <w:r w:rsidRPr="00D53F39">
              <w:rPr>
                <w:sz w:val="18"/>
                <w:szCs w:val="18"/>
                <w:vertAlign w:val="subscript"/>
                <w:lang w:val="en-US"/>
              </w:rPr>
              <w:t>3</w:t>
            </w:r>
          </w:p>
        </w:tc>
        <w:tc>
          <w:tcPr>
            <w:tcW w:w="1928" w:type="dxa"/>
            <w:tcBorders>
              <w:top w:val="single" w:sz="4" w:space="0" w:color="auto"/>
              <w:bottom w:val="single" w:sz="4" w:space="0" w:color="auto"/>
            </w:tcBorders>
            <w:shd w:val="clear" w:color="auto" w:fill="auto"/>
          </w:tcPr>
          <w:p w:rsidR="00E24DB7" w:rsidRPr="00D53F39" w:rsidRDefault="00E24DB7" w:rsidP="00E24DB7">
            <w:pPr>
              <w:keepNext/>
              <w:spacing w:before="60" w:after="60" w:line="220" w:lineRule="atLeast"/>
              <w:ind w:left="57" w:right="57"/>
              <w:rPr>
                <w:sz w:val="18"/>
                <w:szCs w:val="18"/>
                <w:lang w:val="en-US"/>
              </w:rPr>
            </w:pPr>
            <w:r w:rsidRPr="00D53F39">
              <w:rPr>
                <w:sz w:val="18"/>
                <w:szCs w:val="18"/>
                <w:lang w:val="en-US"/>
              </w:rPr>
              <w:t>Low</w:t>
            </w:r>
            <w:r w:rsidRPr="00D53F39">
              <w:rPr>
                <w:sz w:val="18"/>
                <w:szCs w:val="18"/>
                <w:vertAlign w:val="subscript"/>
                <w:lang w:val="en-US"/>
              </w:rPr>
              <w:t>3</w:t>
            </w:r>
            <w:r w:rsidRPr="00D53F39">
              <w:rPr>
                <w:sz w:val="18"/>
                <w:szCs w:val="18"/>
                <w:lang w:val="en-US"/>
              </w:rPr>
              <w:t>+ Medium</w:t>
            </w:r>
            <w:r w:rsidRPr="00D53F39">
              <w:rPr>
                <w:sz w:val="18"/>
                <w:szCs w:val="18"/>
                <w:vertAlign w:val="subscript"/>
                <w:lang w:val="en-US"/>
              </w:rPr>
              <w:t xml:space="preserve">3 </w:t>
            </w:r>
            <w:r w:rsidRPr="00D53F39">
              <w:rPr>
                <w:sz w:val="18"/>
                <w:szCs w:val="18"/>
                <w:lang w:val="en-US"/>
              </w:rPr>
              <w:t>+ High</w:t>
            </w:r>
            <w:r w:rsidRPr="00D53F39">
              <w:rPr>
                <w:sz w:val="18"/>
                <w:szCs w:val="18"/>
                <w:vertAlign w:val="subscript"/>
                <w:lang w:val="en-US"/>
              </w:rPr>
              <w:t>3</w:t>
            </w:r>
            <w:r w:rsidRPr="00D53F39">
              <w:rPr>
                <w:sz w:val="18"/>
                <w:szCs w:val="18"/>
                <w:lang w:val="en-US"/>
              </w:rPr>
              <w:t>+ Extra High</w:t>
            </w:r>
            <w:r w:rsidRPr="00D53F39">
              <w:rPr>
                <w:sz w:val="18"/>
                <w:szCs w:val="18"/>
                <w:vertAlign w:val="subscript"/>
                <w:lang w:val="en-US"/>
              </w:rPr>
              <w:t>3</w:t>
            </w:r>
          </w:p>
        </w:tc>
        <w:tc>
          <w:tcPr>
            <w:tcW w:w="2041" w:type="dxa"/>
            <w:vMerge w:val="restart"/>
            <w:tcBorders>
              <w:top w:val="single" w:sz="4" w:space="0" w:color="auto"/>
              <w:bottom w:val="single" w:sz="4" w:space="0" w:color="auto"/>
            </w:tcBorders>
            <w:shd w:val="clear" w:color="auto" w:fill="auto"/>
          </w:tcPr>
          <w:p w:rsidR="00E24DB7" w:rsidRPr="00D53F39" w:rsidRDefault="00E24DB7" w:rsidP="00E24DB7">
            <w:pPr>
              <w:keepNext/>
              <w:spacing w:before="60" w:after="60" w:line="220" w:lineRule="atLeast"/>
              <w:ind w:left="57" w:right="57"/>
              <w:rPr>
                <w:sz w:val="18"/>
                <w:szCs w:val="18"/>
                <w:lang w:val="en-US"/>
              </w:rPr>
            </w:pPr>
            <w:r w:rsidRPr="00D53F39">
              <w:rPr>
                <w:sz w:val="18"/>
                <w:szCs w:val="18"/>
                <w:lang w:val="en-US"/>
              </w:rPr>
              <w:t>Low</w:t>
            </w:r>
            <w:r w:rsidRPr="00D53F39">
              <w:rPr>
                <w:sz w:val="18"/>
                <w:szCs w:val="18"/>
                <w:vertAlign w:val="subscript"/>
                <w:lang w:val="en-US"/>
              </w:rPr>
              <w:t>3</w:t>
            </w:r>
            <w:r w:rsidRPr="00D53F39">
              <w:rPr>
                <w:sz w:val="18"/>
                <w:szCs w:val="18"/>
                <w:lang w:val="en-US"/>
              </w:rPr>
              <w:t>+ Medium</w:t>
            </w:r>
            <w:r w:rsidRPr="00D53F39">
              <w:rPr>
                <w:sz w:val="18"/>
                <w:szCs w:val="18"/>
                <w:vertAlign w:val="subscript"/>
                <w:lang w:val="en-US"/>
              </w:rPr>
              <w:t>3</w:t>
            </w:r>
            <w:r w:rsidRPr="00D53F39">
              <w:rPr>
                <w:sz w:val="18"/>
                <w:szCs w:val="18"/>
                <w:lang w:val="en-US"/>
              </w:rPr>
              <w:t xml:space="preserve">+ </w:t>
            </w:r>
            <w:r w:rsidRPr="00D53F39">
              <w:rPr>
                <w:sz w:val="18"/>
                <w:szCs w:val="18"/>
                <w:lang w:val="en-US"/>
              </w:rPr>
              <w:br/>
              <w:t>High</w:t>
            </w:r>
            <w:r w:rsidRPr="00D53F39">
              <w:rPr>
                <w:sz w:val="18"/>
                <w:szCs w:val="18"/>
                <w:vertAlign w:val="subscript"/>
                <w:lang w:val="en-US"/>
              </w:rPr>
              <w:t>3</w:t>
            </w:r>
            <w:r w:rsidRPr="00D53F39">
              <w:rPr>
                <w:sz w:val="18"/>
                <w:szCs w:val="18"/>
                <w:lang w:val="en-US"/>
              </w:rPr>
              <w:t>+ Extra High</w:t>
            </w:r>
            <w:r w:rsidRPr="00D53F39">
              <w:rPr>
                <w:sz w:val="18"/>
                <w:szCs w:val="18"/>
                <w:vertAlign w:val="subscript"/>
                <w:lang w:val="en-US"/>
              </w:rPr>
              <w:t>3</w:t>
            </w:r>
          </w:p>
        </w:tc>
      </w:tr>
      <w:tr w:rsidR="00E24DB7" w:rsidRPr="002C5876" w:rsidTr="00E24DB7">
        <w:tc>
          <w:tcPr>
            <w:tcW w:w="1361" w:type="dxa"/>
            <w:vMerge/>
            <w:tcBorders>
              <w:top w:val="single" w:sz="4" w:space="0" w:color="auto"/>
            </w:tcBorders>
            <w:shd w:val="clear" w:color="auto" w:fill="auto"/>
          </w:tcPr>
          <w:p w:rsidR="00E24DB7" w:rsidRPr="00D53F39" w:rsidRDefault="00E24DB7" w:rsidP="00E24DB7">
            <w:pPr>
              <w:spacing w:before="60" w:after="60" w:line="220" w:lineRule="atLeast"/>
              <w:ind w:left="57" w:right="57"/>
              <w:rPr>
                <w:b/>
                <w:sz w:val="18"/>
                <w:szCs w:val="18"/>
                <w:lang w:val="en-US"/>
              </w:rPr>
            </w:pPr>
          </w:p>
        </w:tc>
        <w:tc>
          <w:tcPr>
            <w:tcW w:w="2041" w:type="dxa"/>
            <w:tcBorders>
              <w:top w:val="single" w:sz="4" w:space="0" w:color="auto"/>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Low</w:t>
            </w:r>
            <w:r w:rsidRPr="002C5876">
              <w:rPr>
                <w:sz w:val="18"/>
                <w:szCs w:val="18"/>
                <w:vertAlign w:val="subscript"/>
              </w:rPr>
              <w:t>3</w:t>
            </w:r>
            <w:r w:rsidRPr="002C5876">
              <w:rPr>
                <w:sz w:val="18"/>
                <w:szCs w:val="18"/>
              </w:rPr>
              <w:t>+ Medium</w:t>
            </w:r>
            <w:r w:rsidRPr="002C5876">
              <w:rPr>
                <w:sz w:val="18"/>
                <w:szCs w:val="18"/>
                <w:vertAlign w:val="subscript"/>
              </w:rPr>
              <w:t>3</w:t>
            </w:r>
            <w:r w:rsidRPr="002C5876">
              <w:rPr>
                <w:sz w:val="18"/>
                <w:szCs w:val="18"/>
              </w:rPr>
              <w:t>+ High</w:t>
            </w:r>
            <w:r w:rsidRPr="002C5876">
              <w:rPr>
                <w:sz w:val="18"/>
                <w:szCs w:val="18"/>
                <w:vertAlign w:val="subscript"/>
              </w:rPr>
              <w:t>3</w:t>
            </w:r>
          </w:p>
        </w:tc>
        <w:tc>
          <w:tcPr>
            <w:tcW w:w="1928" w:type="dxa"/>
            <w:tcBorders>
              <w:top w:val="single" w:sz="4" w:space="0" w:color="auto"/>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Oui (Extra High</w:t>
            </w:r>
            <w:r w:rsidRPr="002C5876">
              <w:rPr>
                <w:sz w:val="18"/>
                <w:szCs w:val="18"/>
                <w:vertAlign w:val="subscript"/>
              </w:rPr>
              <w:t>3</w:t>
            </w:r>
            <w:r w:rsidRPr="002C5876">
              <w:rPr>
                <w:sz w:val="18"/>
                <w:szCs w:val="18"/>
              </w:rPr>
              <w:t>)</w:t>
            </w:r>
          </w:p>
        </w:tc>
        <w:tc>
          <w:tcPr>
            <w:tcW w:w="2041" w:type="dxa"/>
            <w:vMerge/>
            <w:tcBorders>
              <w:top w:val="single" w:sz="4" w:space="0" w:color="auto"/>
            </w:tcBorders>
            <w:shd w:val="clear" w:color="auto" w:fill="auto"/>
          </w:tcPr>
          <w:p w:rsidR="00E24DB7" w:rsidRPr="002C5876" w:rsidRDefault="00E24DB7" w:rsidP="00E24DB7">
            <w:pPr>
              <w:spacing w:before="60" w:after="60" w:line="220" w:lineRule="atLeast"/>
              <w:ind w:left="57" w:right="57"/>
              <w:rPr>
                <w:b/>
                <w:sz w:val="18"/>
                <w:szCs w:val="18"/>
              </w:rPr>
            </w:pPr>
          </w:p>
        </w:tc>
      </w:tr>
      <w:tr w:rsidR="00E24DB7" w:rsidRPr="002C5876" w:rsidTr="00E24DB7">
        <w:tc>
          <w:tcPr>
            <w:tcW w:w="1361" w:type="dxa"/>
            <w:vMerge/>
            <w:shd w:val="clear" w:color="auto" w:fill="auto"/>
          </w:tcPr>
          <w:p w:rsidR="00E24DB7" w:rsidRPr="002C5876" w:rsidRDefault="00E24DB7" w:rsidP="00E24DB7">
            <w:pPr>
              <w:spacing w:before="60" w:after="60" w:line="220" w:lineRule="atLeast"/>
              <w:ind w:left="57" w:right="57"/>
              <w:rPr>
                <w:b/>
                <w:sz w:val="18"/>
                <w:szCs w:val="18"/>
              </w:rPr>
            </w:pPr>
          </w:p>
        </w:tc>
        <w:tc>
          <w:tcPr>
            <w:tcW w:w="2041" w:type="dxa"/>
            <w:shd w:val="clear" w:color="auto" w:fill="auto"/>
          </w:tcPr>
          <w:p w:rsidR="00E24DB7" w:rsidRPr="002C5876" w:rsidRDefault="00E24DB7" w:rsidP="00E24DB7">
            <w:pPr>
              <w:spacing w:before="60" w:after="60" w:line="220" w:lineRule="atLeast"/>
              <w:ind w:left="57" w:right="57"/>
              <w:rPr>
                <w:b/>
                <w:sz w:val="18"/>
                <w:szCs w:val="18"/>
              </w:rPr>
            </w:pPr>
          </w:p>
        </w:tc>
        <w:tc>
          <w:tcPr>
            <w:tcW w:w="1928" w:type="dxa"/>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Non</w:t>
            </w:r>
          </w:p>
        </w:tc>
        <w:tc>
          <w:tcPr>
            <w:tcW w:w="2041" w:type="dxa"/>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Low</w:t>
            </w:r>
            <w:r w:rsidRPr="002C5876">
              <w:rPr>
                <w:sz w:val="18"/>
                <w:szCs w:val="18"/>
                <w:vertAlign w:val="subscript"/>
              </w:rPr>
              <w:t>3</w:t>
            </w:r>
            <w:r w:rsidRPr="002C5876">
              <w:rPr>
                <w:sz w:val="18"/>
                <w:szCs w:val="18"/>
              </w:rPr>
              <w:t>+ Medium</w:t>
            </w:r>
            <w:r w:rsidRPr="002C5876">
              <w:rPr>
                <w:sz w:val="18"/>
                <w:szCs w:val="18"/>
                <w:vertAlign w:val="subscript"/>
              </w:rPr>
              <w:t xml:space="preserve">3 </w:t>
            </w:r>
            <w:r w:rsidRPr="002C5876">
              <w:rPr>
                <w:sz w:val="18"/>
                <w:szCs w:val="18"/>
              </w:rPr>
              <w:t>+ High</w:t>
            </w:r>
            <w:r w:rsidRPr="002C5876">
              <w:rPr>
                <w:sz w:val="18"/>
                <w:szCs w:val="18"/>
                <w:vertAlign w:val="subscript"/>
              </w:rPr>
              <w:t>3</w:t>
            </w:r>
          </w:p>
        </w:tc>
      </w:tr>
    </w:tbl>
    <w:p w:rsidR="00E24DB7" w:rsidRPr="002C5876" w:rsidRDefault="00E24DB7" w:rsidP="00E24DB7">
      <w:pPr>
        <w:pStyle w:val="SingleTxtG"/>
        <w:spacing w:before="240"/>
        <w:ind w:left="2268" w:hanging="1134"/>
      </w:pPr>
      <w:r w:rsidRPr="002C5876">
        <w:t>7.3.4.2</w:t>
      </w:r>
      <w:r w:rsidRPr="002C5876">
        <w:tab/>
        <w:t>Si le véhicule est déjà mis en température, la phase WLTC appliquée selon le paragraphe 7.3.4.1 de la présente annexe, avec la vitesse la plus élevée, doit être exécutée sur le banc.</w:t>
      </w:r>
    </w:p>
    <w:p w:rsidR="00E24DB7" w:rsidRPr="002C5876" w:rsidRDefault="00E24DB7" w:rsidP="00E24DB7">
      <w:pPr>
        <w:pStyle w:val="SingleTxtG"/>
        <w:keepNext/>
        <w:ind w:left="2268" w:hanging="1134"/>
        <w:jc w:val="left"/>
      </w:pPr>
      <w:r w:rsidRPr="002C5876">
        <w:t>7.3.4.3</w:t>
      </w:r>
      <w:r w:rsidRPr="002C5876">
        <w:tab/>
        <w:t>Variante de procédure de mise en température</w:t>
      </w:r>
    </w:p>
    <w:p w:rsidR="00E24DB7" w:rsidRPr="002C5876" w:rsidRDefault="00E24DB7" w:rsidP="00E24DB7">
      <w:pPr>
        <w:pStyle w:val="SingleTxtG"/>
        <w:ind w:left="2268" w:hanging="1134"/>
      </w:pPr>
      <w:r w:rsidRPr="002C5876">
        <w:t>7.3.4.3.1</w:t>
      </w:r>
      <w:r w:rsidRPr="002C5876">
        <w:tab/>
        <w:t>À la demande du constructeur du véhicule et avec l’approbation de l’autorité compétente, une variante de procédure de mise en température peut être utilisée. La variante de procédure approuvée peut être appliquée aux véhicules appartenant à la même famille de véhicules au point de vue de la résistance à l’avancement sur route et doit satisfaire aux prescriptions énoncées aux paragraphes 7.3.4.3.2 à 7.3.4.3.5 de la présente annexe.</w:t>
      </w:r>
    </w:p>
    <w:p w:rsidR="00E24DB7" w:rsidRPr="002C5876" w:rsidRDefault="00E24DB7" w:rsidP="00E24DB7">
      <w:pPr>
        <w:pStyle w:val="SingleTxtG"/>
        <w:ind w:left="2268" w:hanging="1134"/>
      </w:pPr>
      <w:r w:rsidRPr="002C5876">
        <w:t>7.3.4.3.2</w:t>
      </w:r>
      <w:r w:rsidRPr="002C5876">
        <w:tab/>
        <w:t>Au moins un véhicule représentatif de la famille de véhicules du point de vue de la résistance à l’avancement sur route doit être sélectionné.</w:t>
      </w:r>
    </w:p>
    <w:p w:rsidR="00E24DB7" w:rsidRPr="002C5876" w:rsidRDefault="00E24DB7" w:rsidP="00E24DB7">
      <w:pPr>
        <w:pStyle w:val="SingleTxtG"/>
        <w:ind w:left="2268" w:hanging="1134"/>
      </w:pPr>
      <w:r w:rsidRPr="002C5876">
        <w:t>7.3.4.3.3</w:t>
      </w:r>
      <w:r w:rsidRPr="002C5876">
        <w:tab/>
        <w:t>La demande énergétique du cycle calculée conformément au paragraphe 5 de l’annexe 7 avec les coefficients corrigés de résistance à l’avancement sur route f</w:t>
      </w:r>
      <w:r w:rsidRPr="002C5876">
        <w:rPr>
          <w:vertAlign w:val="subscript"/>
        </w:rPr>
        <w:t>0a</w:t>
      </w:r>
      <w:r w:rsidRPr="002C5876">
        <w:t>, f</w:t>
      </w:r>
      <w:r w:rsidRPr="002C5876">
        <w:rPr>
          <w:vertAlign w:val="subscript"/>
        </w:rPr>
        <w:t>1a</w:t>
      </w:r>
      <w:r w:rsidRPr="002C5876">
        <w:t xml:space="preserve"> et f</w:t>
      </w:r>
      <w:r w:rsidRPr="002C5876">
        <w:rPr>
          <w:vertAlign w:val="subscript"/>
        </w:rPr>
        <w:t>2a</w:t>
      </w:r>
      <w:r w:rsidRPr="002C5876">
        <w:t>, pour la variante de procédure de mise en température doit être égale ou supérieure à la demande énergétique du cycle calculée avec les coefficients corrigés de résistance à l’avancement sur route visée f</w:t>
      </w:r>
      <w:r w:rsidRPr="002C5876">
        <w:rPr>
          <w:vertAlign w:val="subscript"/>
        </w:rPr>
        <w:t>0</w:t>
      </w:r>
      <w:r w:rsidRPr="002C5876">
        <w:t>, f</w:t>
      </w:r>
      <w:r w:rsidRPr="002C5876">
        <w:rPr>
          <w:vertAlign w:val="subscript"/>
        </w:rPr>
        <w:t>1</w:t>
      </w:r>
      <w:r w:rsidRPr="002C5876">
        <w:t>, et f</w:t>
      </w:r>
      <w:r w:rsidRPr="002C5876">
        <w:rPr>
          <w:vertAlign w:val="subscript"/>
        </w:rPr>
        <w:t>2</w:t>
      </w:r>
      <w:r w:rsidRPr="002C5876">
        <w:t xml:space="preserve"> pour chaque phase applicable.</w:t>
      </w:r>
    </w:p>
    <w:p w:rsidR="00E24DB7" w:rsidRPr="002C5876" w:rsidRDefault="00E24DB7" w:rsidP="00E24DB7">
      <w:pPr>
        <w:pStyle w:val="SingleTxtG"/>
        <w:ind w:left="2268"/>
      </w:pPr>
      <w:r w:rsidRPr="002C5876">
        <w:t>Les coefficients corrigés de résistance à l’avancement sur route f</w:t>
      </w:r>
      <w:r w:rsidRPr="002C5876">
        <w:rPr>
          <w:vertAlign w:val="subscript"/>
        </w:rPr>
        <w:t>0a</w:t>
      </w:r>
      <w:r w:rsidRPr="002C5876">
        <w:t>, f</w:t>
      </w:r>
      <w:r w:rsidRPr="002C5876">
        <w:rPr>
          <w:vertAlign w:val="subscript"/>
        </w:rPr>
        <w:t>1a</w:t>
      </w:r>
      <w:r w:rsidRPr="002C5876">
        <w:t xml:space="preserve"> et f</w:t>
      </w:r>
      <w:r w:rsidRPr="002C5876">
        <w:rPr>
          <w:vertAlign w:val="subscript"/>
        </w:rPr>
        <w:t>2a</w:t>
      </w:r>
      <w:r w:rsidRPr="002C5876">
        <w:t>, doivent être calculés au moyen des équations :</w:t>
      </w:r>
    </w:p>
    <w:p w:rsidR="00E24DB7" w:rsidRPr="00D53F39" w:rsidRDefault="00731CA6" w:rsidP="00E24DB7">
      <w:pPr>
        <w:pStyle w:val="SingleTxtG"/>
        <w:ind w:left="2268"/>
        <w:jc w:val="center"/>
        <w:rPr>
          <w:lang w:val="en-US"/>
        </w:rPr>
      </w:pPr>
      <m:oMathPara>
        <m:oMathParaPr>
          <m:jc m:val="left"/>
        </m:oMathParaPr>
        <m:oMath>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0a</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0</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A</m:t>
              </m:r>
            </m:e>
            <m:sub>
              <m:r>
                <m:rPr>
                  <m:nor/>
                </m:rPr>
                <w:rPr>
                  <w:rFonts w:asciiTheme="majorBidi" w:hAnsiTheme="majorBidi" w:cstheme="majorBidi"/>
                  <w:lang w:val="en-US"/>
                </w:rPr>
                <m:t>d_alt</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A</m:t>
              </m:r>
            </m:e>
            <m:sub>
              <m:r>
                <m:rPr>
                  <m:nor/>
                </m:rPr>
                <w:rPr>
                  <w:rFonts w:asciiTheme="majorBidi" w:hAnsiTheme="majorBidi" w:cstheme="majorBidi"/>
                  <w:lang w:val="en-US"/>
                </w:rPr>
                <m:t>d_WLTC</m:t>
              </m:r>
            </m:sub>
          </m:sSub>
        </m:oMath>
      </m:oMathPara>
    </w:p>
    <w:p w:rsidR="00E24DB7" w:rsidRPr="00D53F39" w:rsidRDefault="00731CA6" w:rsidP="00E24DB7">
      <w:pPr>
        <w:pStyle w:val="SingleTxtG"/>
        <w:ind w:left="2268"/>
        <w:jc w:val="center"/>
        <w:rPr>
          <w:lang w:val="en-US"/>
        </w:rPr>
      </w:pPr>
      <m:oMathPara>
        <m:oMathParaPr>
          <m:jc m:val="left"/>
        </m:oMathParaPr>
        <m:oMath>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1a</m:t>
              </m:r>
            </m:sub>
          </m:sSub>
          <m:r>
            <m:rPr>
              <m:nor/>
            </m:rPr>
            <w:rPr>
              <w:rFonts w:ascii="Cambria Math" w:hAnsiTheme="majorBidi" w:cstheme="majorBidi"/>
              <w:lang w:val="en-US"/>
            </w:rPr>
            <m:t xml:space="preserve"> </m:t>
          </m:r>
          <m:r>
            <m:rPr>
              <m:nor/>
            </m:rPr>
            <w:rPr>
              <w:rFonts w:asciiTheme="majorBidi" w:hAnsiTheme="majorBidi" w:cstheme="majorBidi"/>
              <w:lang w:val="en-US"/>
            </w:rPr>
            <m:t>=</m:t>
          </m:r>
          <m:sSub>
            <m:sSubPr>
              <m:ctrlPr>
                <w:rPr>
                  <w:rFonts w:ascii="Cambria Math" w:hAnsi="Cambria Math" w:cstheme="majorBidi"/>
                </w:rPr>
              </m:ctrlPr>
            </m:sSubPr>
            <m:e>
              <m:r>
                <m:rPr>
                  <m:nor/>
                </m:rPr>
                <w:rPr>
                  <w:rFonts w:ascii="Cambria Math" w:hAnsiTheme="majorBidi" w:cstheme="majorBidi"/>
                  <w:lang w:val="en-US"/>
                </w:rPr>
                <m:t xml:space="preserve"> </m:t>
              </m:r>
              <m:r>
                <m:rPr>
                  <m:nor/>
                </m:rPr>
                <w:rPr>
                  <w:rFonts w:asciiTheme="majorBidi" w:hAnsiTheme="majorBidi" w:cstheme="majorBidi"/>
                  <w:lang w:val="en-US"/>
                </w:rPr>
                <m:t>f</m:t>
              </m:r>
            </m:e>
            <m:sub>
              <m:r>
                <m:rPr>
                  <m:nor/>
                </m:rPr>
                <w:rPr>
                  <w:rFonts w:asciiTheme="majorBidi" w:hAnsiTheme="majorBidi" w:cstheme="majorBidi"/>
                  <w:lang w:val="en-US"/>
                </w:rPr>
                <m:t>1</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B</m:t>
              </m:r>
            </m:e>
            <m:sub>
              <m:r>
                <m:rPr>
                  <m:nor/>
                </m:rPr>
                <w:rPr>
                  <w:rFonts w:asciiTheme="majorBidi" w:hAnsiTheme="majorBidi" w:cstheme="majorBidi"/>
                  <w:lang w:val="en-US"/>
                </w:rPr>
                <m:t>d_alt</m:t>
              </m:r>
            </m:sub>
          </m:sSub>
          <m:r>
            <m:rPr>
              <m:nor/>
            </m:rPr>
            <w:rPr>
              <w:rFonts w:ascii="Cambria Math" w:hAnsiTheme="majorBidi" w:cstheme="majorBidi"/>
              <w:lang w:val="en-US"/>
            </w:rPr>
            <m:t xml:space="preserve"> </m:t>
          </m:r>
          <m:r>
            <m:rPr>
              <m:nor/>
            </m:rPr>
            <w:rPr>
              <w:rFonts w:ascii="Cambria Math"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B</m:t>
              </m:r>
            </m:e>
            <m:sub>
              <m:r>
                <m:rPr>
                  <m:nor/>
                </m:rPr>
                <w:rPr>
                  <w:rFonts w:asciiTheme="majorBidi" w:hAnsiTheme="majorBidi" w:cstheme="majorBidi"/>
                  <w:lang w:val="en-US"/>
                </w:rPr>
                <m:t>d_WLTC</m:t>
              </m:r>
            </m:sub>
          </m:sSub>
        </m:oMath>
      </m:oMathPara>
    </w:p>
    <w:p w:rsidR="00E24DB7" w:rsidRPr="00D53F39" w:rsidRDefault="00731CA6" w:rsidP="00E24DB7">
      <w:pPr>
        <w:pStyle w:val="SingleTxtG"/>
        <w:ind w:left="2268"/>
        <w:jc w:val="center"/>
        <w:rPr>
          <w:lang w:val="en-US"/>
        </w:rPr>
      </w:pPr>
      <m:oMathPara>
        <m:oMathParaPr>
          <m:jc m:val="left"/>
        </m:oMathParaPr>
        <m:oMath>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2a</m:t>
              </m:r>
            </m:sub>
          </m:sSub>
          <m:r>
            <m:rPr>
              <m:nor/>
            </m:rPr>
            <w:rPr>
              <w:rFonts w:ascii="Cambria Math" w:hAnsiTheme="majorBidi" w:cstheme="majorBidi"/>
              <w:lang w:val="en-US"/>
            </w:rPr>
            <m:t xml:space="preserve"> </m:t>
          </m:r>
          <m:r>
            <m:rPr>
              <m:nor/>
            </m:rPr>
            <w:rPr>
              <w:rFonts w:asciiTheme="majorBidi" w:hAnsiTheme="majorBidi" w:cstheme="majorBidi"/>
              <w:lang w:val="en-US"/>
            </w:rPr>
            <m:t>=</m:t>
          </m:r>
          <m:sSub>
            <m:sSubPr>
              <m:ctrlPr>
                <w:rPr>
                  <w:rFonts w:ascii="Cambria Math" w:hAnsi="Cambria Math" w:cstheme="majorBidi"/>
                </w:rPr>
              </m:ctrlPr>
            </m:sSubPr>
            <m:e>
              <m:r>
                <m:rPr>
                  <m:nor/>
                </m:rPr>
                <w:rPr>
                  <w:rFonts w:ascii="Cambria Math" w:hAnsiTheme="majorBidi" w:cstheme="majorBidi"/>
                  <w:lang w:val="en-US"/>
                </w:rPr>
                <m:t xml:space="preserve"> </m:t>
              </m:r>
              <m:r>
                <m:rPr>
                  <m:nor/>
                </m:rPr>
                <w:rPr>
                  <w:rFonts w:asciiTheme="majorBidi" w:hAnsiTheme="majorBidi" w:cstheme="majorBidi"/>
                  <w:lang w:val="en-US"/>
                </w:rPr>
                <m:t>f</m:t>
              </m:r>
            </m:e>
            <m:sub>
              <m:r>
                <m:rPr>
                  <m:nor/>
                </m:rPr>
                <w:rPr>
                  <w:rFonts w:asciiTheme="majorBidi" w:hAnsiTheme="majorBidi" w:cstheme="majorBidi"/>
                  <w:lang w:val="en-US"/>
                </w:rPr>
                <m:t>2</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C</m:t>
              </m:r>
            </m:e>
            <m:sub>
              <m:r>
                <m:rPr>
                  <m:nor/>
                </m:rPr>
                <w:rPr>
                  <w:rFonts w:asciiTheme="majorBidi" w:hAnsiTheme="majorBidi" w:cstheme="majorBidi"/>
                  <w:lang w:val="en-US"/>
                </w:rPr>
                <m:t>d_alt</m:t>
              </m:r>
            </m:sub>
          </m:sSub>
          <m:r>
            <m:rPr>
              <m:nor/>
            </m:rPr>
            <w:rPr>
              <w:rFonts w:ascii="Cambria Math" w:hAnsiTheme="majorBidi" w:cstheme="majorBidi"/>
              <w:lang w:val="en-US"/>
            </w:rPr>
            <m:t xml:space="preserve"> </m:t>
          </m:r>
          <m:r>
            <m:rPr>
              <m:nor/>
            </m:rPr>
            <w:rPr>
              <w:rFonts w:ascii="Cambria Math"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C</m:t>
              </m:r>
            </m:e>
            <m:sub>
              <m:r>
                <m:rPr>
                  <m:nor/>
                </m:rPr>
                <w:rPr>
                  <w:rFonts w:asciiTheme="majorBidi" w:hAnsiTheme="majorBidi" w:cstheme="majorBidi"/>
                  <w:lang w:val="en-US"/>
                </w:rPr>
                <m:t>d_WLTC</m:t>
              </m:r>
            </m:sub>
          </m:sSub>
        </m:oMath>
      </m:oMathPara>
    </w:p>
    <w:p w:rsidR="00E24DB7" w:rsidRPr="002C5876" w:rsidRDefault="00E24DB7" w:rsidP="00E24DB7">
      <w:pPr>
        <w:pStyle w:val="SingleTxtG"/>
        <w:keepNext/>
        <w:ind w:left="2268"/>
      </w:pPr>
      <w:r w:rsidRPr="002C5876">
        <w:t>où :</w:t>
      </w:r>
    </w:p>
    <w:p w:rsidR="00E24DB7" w:rsidRPr="002C5876" w:rsidRDefault="00E24DB7" w:rsidP="00E24DB7">
      <w:pPr>
        <w:pStyle w:val="SingleTxtG"/>
        <w:ind w:left="4820" w:hanging="2552"/>
      </w:pPr>
      <w:r w:rsidRPr="002C5876">
        <w:t>A</w:t>
      </w:r>
      <w:r w:rsidRPr="002C5876">
        <w:rPr>
          <w:vertAlign w:val="subscript"/>
        </w:rPr>
        <w:t>d_alt</w:t>
      </w:r>
      <w:r w:rsidRPr="002C5876">
        <w:t>, B</w:t>
      </w:r>
      <w:r w:rsidRPr="002C5876">
        <w:rPr>
          <w:vertAlign w:val="subscript"/>
        </w:rPr>
        <w:t>d_alt</w:t>
      </w:r>
      <w:r w:rsidRPr="002C5876">
        <w:t xml:space="preserve"> et C</w:t>
      </w:r>
      <w:r w:rsidRPr="002C5876">
        <w:rPr>
          <w:vertAlign w:val="subscript"/>
        </w:rPr>
        <w:t>d_alt</w:t>
      </w:r>
      <w:r w:rsidRPr="002C5876">
        <w:tab/>
        <w:t>sont les coefficients de réglage du dynamomètre après la variante de procédure de mise en température ;</w:t>
      </w:r>
    </w:p>
    <w:p w:rsidR="00E24DB7" w:rsidRPr="002C5876" w:rsidRDefault="00E24DB7" w:rsidP="00E24DB7">
      <w:pPr>
        <w:pStyle w:val="SingleTxtG"/>
        <w:ind w:left="4820" w:hanging="2552"/>
      </w:pPr>
      <w:r w:rsidRPr="002C5876">
        <w:t>A</w:t>
      </w:r>
      <w:r w:rsidRPr="002C5876">
        <w:rPr>
          <w:vertAlign w:val="subscript"/>
        </w:rPr>
        <w:t>d_WLTC</w:t>
      </w:r>
      <w:r w:rsidRPr="002C5876">
        <w:t>, B</w:t>
      </w:r>
      <w:r w:rsidRPr="002C5876">
        <w:rPr>
          <w:vertAlign w:val="subscript"/>
        </w:rPr>
        <w:t xml:space="preserve">d_WLTC </w:t>
      </w:r>
      <w:r w:rsidRPr="002C5876">
        <w:t>et C</w:t>
      </w:r>
      <w:r w:rsidRPr="002C5876">
        <w:rPr>
          <w:vertAlign w:val="subscript"/>
        </w:rPr>
        <w:t>d_WLTC</w:t>
      </w:r>
      <w:r w:rsidRPr="002C5876">
        <w:tab/>
      </w:r>
      <w:r w:rsidRPr="002C5876">
        <w:rPr>
          <w:spacing w:val="-2"/>
        </w:rPr>
        <w:t>sont les coefficients de réglage du dynamomètre après une procédure de mise en température WLTC comme décrit au paragraphe 7.3.4.1 de la présente annexe, et un réglage valide du dynamomètre conformément au paragraphe 8 de la présente annexe.</w:t>
      </w:r>
    </w:p>
    <w:p w:rsidR="00E24DB7" w:rsidRPr="002C5876" w:rsidRDefault="00E24DB7" w:rsidP="00E24DB7">
      <w:pPr>
        <w:pStyle w:val="SingleTxtG"/>
        <w:keepNext/>
        <w:keepLines/>
        <w:ind w:left="2268" w:hanging="1134"/>
      </w:pPr>
      <w:r w:rsidRPr="002C5876">
        <w:lastRenderedPageBreak/>
        <w:t>7.3.4.3.4</w:t>
      </w:r>
      <w:r w:rsidRPr="002C5876">
        <w:tab/>
        <w:t>Les coefficients corrigés de résistance à l’avancement sur route f</w:t>
      </w:r>
      <w:r w:rsidRPr="002C5876">
        <w:rPr>
          <w:vertAlign w:val="subscript"/>
        </w:rPr>
        <w:t>0a</w:t>
      </w:r>
      <w:r w:rsidRPr="002C5876">
        <w:t>, f</w:t>
      </w:r>
      <w:r w:rsidRPr="002C5876">
        <w:rPr>
          <w:vertAlign w:val="subscript"/>
        </w:rPr>
        <w:t>1a</w:t>
      </w:r>
      <w:r w:rsidRPr="002C5876">
        <w:t xml:space="preserve"> et f</w:t>
      </w:r>
      <w:r w:rsidRPr="002C5876">
        <w:rPr>
          <w:vertAlign w:val="subscript"/>
        </w:rPr>
        <w:t>2a</w:t>
      </w:r>
      <w:r w:rsidRPr="002C5876">
        <w:t>, doivent être utilisés seulement aux fins des dispositions du paragraphe 7.3.4.3.3 de la présente annexe. À toute autre fin, les coefficients visés de résistance à l’avancement sur route f</w:t>
      </w:r>
      <w:r w:rsidRPr="002C5876">
        <w:rPr>
          <w:vertAlign w:val="subscript"/>
        </w:rPr>
        <w:t>0</w:t>
      </w:r>
      <w:r w:rsidRPr="002C5876">
        <w:t>, f</w:t>
      </w:r>
      <w:r w:rsidRPr="002C5876">
        <w:rPr>
          <w:vertAlign w:val="subscript"/>
        </w:rPr>
        <w:t>1</w:t>
      </w:r>
      <w:r w:rsidRPr="002C5876">
        <w:t xml:space="preserve"> et f</w:t>
      </w:r>
      <w:r w:rsidRPr="002C5876">
        <w:rPr>
          <w:vertAlign w:val="subscript"/>
        </w:rPr>
        <w:t>2</w:t>
      </w:r>
      <w:r w:rsidRPr="002C5876">
        <w:t xml:space="preserve">, doivent être utilisés comme coefficients visés de résistance à l’avancement sur route. </w:t>
      </w:r>
    </w:p>
    <w:p w:rsidR="00E24DB7" w:rsidRPr="002C5876" w:rsidRDefault="00E24DB7" w:rsidP="00E24DB7">
      <w:pPr>
        <w:pStyle w:val="SingleTxtG"/>
        <w:ind w:left="2268" w:hanging="1134"/>
      </w:pPr>
      <w:r w:rsidRPr="002C5876">
        <w:t>7.3.4.3.5</w:t>
      </w:r>
      <w:r w:rsidRPr="002C5876">
        <w:tab/>
        <w:t>Des informations détaillées sur la procédure et des preuves de son équivalence doivent être fournies à l’autorité compétente.</w:t>
      </w:r>
    </w:p>
    <w:p w:rsidR="00E24DB7" w:rsidRPr="002C5876" w:rsidRDefault="00E24DB7" w:rsidP="00E24DB7">
      <w:pPr>
        <w:pStyle w:val="SingleTxtG"/>
        <w:keepNext/>
        <w:ind w:left="2268" w:hanging="1134"/>
        <w:jc w:val="left"/>
      </w:pPr>
      <w:r w:rsidRPr="002C5876">
        <w:t>8.</w:t>
      </w:r>
      <w:r w:rsidRPr="002C5876">
        <w:tab/>
        <w:t>Réglage de la force résistante sur le banc à rouleaux</w:t>
      </w:r>
    </w:p>
    <w:p w:rsidR="00E24DB7" w:rsidRPr="002C5876" w:rsidRDefault="00E24DB7" w:rsidP="00E24DB7">
      <w:pPr>
        <w:pStyle w:val="SingleTxtG"/>
        <w:keepNext/>
        <w:ind w:left="2268" w:hanging="1134"/>
        <w:jc w:val="left"/>
      </w:pPr>
      <w:r w:rsidRPr="002C5876">
        <w:t>8.1</w:t>
      </w:r>
      <w:r w:rsidRPr="002C5876">
        <w:tab/>
        <w:t>Réglage de la force résistante du banc par la méthode de la décélération libre</w:t>
      </w:r>
    </w:p>
    <w:p w:rsidR="00E24DB7" w:rsidRPr="002C5876" w:rsidRDefault="00E24DB7" w:rsidP="00E24DB7">
      <w:pPr>
        <w:pStyle w:val="SingleTxtG"/>
        <w:ind w:left="2268"/>
      </w:pPr>
      <w:r w:rsidRPr="002C5876">
        <w:t>Cette méthode est applicable quand les coefficients f</w:t>
      </w:r>
      <w:r w:rsidRPr="002C5876">
        <w:rPr>
          <w:vertAlign w:val="subscript"/>
        </w:rPr>
        <w:t>0</w:t>
      </w:r>
      <w:r w:rsidRPr="002C5876">
        <w:t>, f</w:t>
      </w:r>
      <w:r w:rsidRPr="002C5876">
        <w:rPr>
          <w:vertAlign w:val="subscript"/>
        </w:rPr>
        <w:t>1</w:t>
      </w:r>
      <w:r w:rsidRPr="002C5876">
        <w:t xml:space="preserve"> et f</w:t>
      </w:r>
      <w:r w:rsidRPr="002C5876">
        <w:rPr>
          <w:vertAlign w:val="subscript"/>
        </w:rPr>
        <w:t>2</w:t>
      </w:r>
      <w:r w:rsidRPr="002C5876">
        <w:t xml:space="preserve"> de résistance à l’avancement sur route ont été déterminés.</w:t>
      </w:r>
    </w:p>
    <w:p w:rsidR="00E24DB7" w:rsidRPr="002C5876" w:rsidRDefault="00E24DB7" w:rsidP="00E24DB7">
      <w:pPr>
        <w:pStyle w:val="SingleTxtG"/>
        <w:ind w:left="2268"/>
      </w:pPr>
      <w:r w:rsidRPr="002C5876">
        <w:t>Dans le cas d’une famille de matrices de résistance à l’avancement sur route, cette méthode doit être appliquée lorsque la résistance à l’avancement sur route du véhicule représentatif est déterminée avec la méthode de la décélération libre décrite au paragraphe 4.3 de la présente annexe. Les valeurs visées de résistance à l’avancement sur route sont les valeurs calculées par la méthode décrite au paragraphe 5.1 de la présente annexe.</w:t>
      </w:r>
    </w:p>
    <w:p w:rsidR="00E24DB7" w:rsidRPr="002C5876" w:rsidRDefault="00E24DB7" w:rsidP="00E24DB7">
      <w:pPr>
        <w:pStyle w:val="SingleTxtG"/>
        <w:keepNext/>
        <w:ind w:left="2268" w:hanging="1134"/>
        <w:jc w:val="left"/>
      </w:pPr>
      <w:r w:rsidRPr="002C5876">
        <w:t>8.1.1</w:t>
      </w:r>
      <w:r w:rsidRPr="002C5876">
        <w:tab/>
        <w:t>Réglage initial de la force résistante</w:t>
      </w:r>
    </w:p>
    <w:p w:rsidR="00E24DB7" w:rsidRPr="002C5876" w:rsidRDefault="00E24DB7" w:rsidP="00E24DB7">
      <w:pPr>
        <w:pStyle w:val="SingleTxtG"/>
        <w:ind w:left="2268"/>
      </w:pPr>
      <w:r w:rsidRPr="002C5876">
        <w:t>Pour un banc à rouleaux à réglage par coefficients, le frein du banc doit être réglé avec les coefficients initiaux arbitraires, A</w:t>
      </w:r>
      <w:r w:rsidRPr="002C5876">
        <w:rPr>
          <w:vertAlign w:val="subscript"/>
        </w:rPr>
        <w:t>d</w:t>
      </w:r>
      <w:r w:rsidRPr="002C5876">
        <w:t>, B</w:t>
      </w:r>
      <w:r w:rsidRPr="002C5876">
        <w:rPr>
          <w:vertAlign w:val="subscript"/>
        </w:rPr>
        <w:t>d</w:t>
      </w:r>
      <w:r w:rsidRPr="002C5876">
        <w:t xml:space="preserve"> et C</w:t>
      </w:r>
      <w:r w:rsidRPr="002C5876">
        <w:rPr>
          <w:vertAlign w:val="subscript"/>
        </w:rPr>
        <w:t>d</w:t>
      </w:r>
      <w:r w:rsidRPr="002C5876">
        <w:t>, de l’équation ci</w:t>
      </w:r>
      <w:r w:rsidRPr="002C5876">
        <w:noBreakHyphen/>
        <w:t>après :</w:t>
      </w:r>
    </w:p>
    <w:p w:rsidR="00E24DB7" w:rsidRPr="002C5876" w:rsidRDefault="00731CA6" w:rsidP="00E24DB7">
      <w:pPr>
        <w:pStyle w:val="SingleTxtG"/>
        <w:ind w:left="2268"/>
        <w:jc w:val="center"/>
      </w:pPr>
      <m:oMathPara>
        <m:oMathParaPr>
          <m:jc m:val="center"/>
        </m:oMathParaPr>
        <m:oMath>
          <m:sSub>
            <m:sSubPr>
              <m:ctrlPr>
                <w:rPr>
                  <w:rFonts w:ascii="Cambria Math" w:hAnsi="Cambria Math" w:cstheme="majorBidi"/>
                  <w:iCs/>
                </w:rPr>
              </m:ctrlPr>
            </m:sSubPr>
            <m:e>
              <m:r>
                <m:rPr>
                  <m:sty m:val="p"/>
                </m:rPr>
                <w:rPr>
                  <w:rFonts w:ascii="Cambria Math" w:hAnsi="Cambria Math" w:cstheme="majorBidi"/>
                </w:rPr>
                <m:t>F</m:t>
              </m:r>
            </m:e>
            <m:sub>
              <m:r>
                <m:rPr>
                  <m:sty m:val="p"/>
                </m:rPr>
                <w:rPr>
                  <w:rFonts w:ascii="Cambria Math" w:hAnsi="Cambria Math" w:cstheme="majorBidi"/>
                </w:rPr>
                <m:t>d</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A</m:t>
              </m:r>
            </m:e>
            <m:sub>
              <m:r>
                <m:rPr>
                  <m:sty m:val="p"/>
                </m:rPr>
                <w:rPr>
                  <w:rFonts w:ascii="Cambria Math" w:hAnsi="Cambria Math" w:cstheme="majorBidi"/>
                </w:rPr>
                <m:t>d</m:t>
              </m:r>
            </m:sub>
          </m:sSub>
          <m:r>
            <m:rPr>
              <m:sty m:val="p"/>
            </m:rPr>
            <w:rPr>
              <w:rFonts w:ascii="Cambria Math" w:hAnsi="Cambria Math" w:cstheme="majorBidi"/>
            </w:rPr>
            <m:t xml:space="preserve">+ </m:t>
          </m:r>
          <m:sSub>
            <m:sSubPr>
              <m:ctrlPr>
                <w:rPr>
                  <w:rFonts w:ascii="Cambria Math" w:hAnsi="Cambria Math" w:cstheme="majorBidi"/>
                  <w:iCs/>
                </w:rPr>
              </m:ctrlPr>
            </m:sSubPr>
            <m:e>
              <m:r>
                <m:rPr>
                  <m:sty m:val="p"/>
                </m:rPr>
                <w:rPr>
                  <w:rFonts w:ascii="Cambria Math" w:hAnsi="Cambria Math" w:cstheme="majorBidi"/>
                </w:rPr>
                <m:t>B</m:t>
              </m:r>
            </m:e>
            <m:sub>
              <m:r>
                <m:rPr>
                  <m:sty m:val="p"/>
                </m:rPr>
                <w:rPr>
                  <w:rFonts w:ascii="Cambria Math" w:hAnsi="Cambria Math" w:cstheme="majorBidi"/>
                </w:rPr>
                <m:t>d</m:t>
              </m:r>
            </m:sub>
          </m:sSub>
          <m:r>
            <m:rPr>
              <m:sty m:val="p"/>
            </m:rPr>
            <w:rPr>
              <w:rFonts w:ascii="Cambria Math" w:hAnsi="Cambria Math" w:cstheme="majorBidi"/>
            </w:rPr>
            <m:t xml:space="preserve">v+ </m:t>
          </m:r>
          <m:sSub>
            <m:sSubPr>
              <m:ctrlPr>
                <w:rPr>
                  <w:rFonts w:ascii="Cambria Math" w:hAnsi="Cambria Math" w:cstheme="majorBidi"/>
                  <w:iCs/>
                </w:rPr>
              </m:ctrlPr>
            </m:sSubPr>
            <m:e>
              <m:r>
                <m:rPr>
                  <m:sty m:val="p"/>
                </m:rPr>
                <w:rPr>
                  <w:rFonts w:ascii="Cambria Math" w:hAnsi="Cambria Math" w:cstheme="majorBidi"/>
                </w:rPr>
                <m:t>C</m:t>
              </m:r>
            </m:e>
            <m:sub>
              <m:r>
                <m:rPr>
                  <m:sty m:val="p"/>
                </m:rPr>
                <w:rPr>
                  <w:rFonts w:ascii="Cambria Math" w:hAnsi="Cambria Math" w:cstheme="majorBidi"/>
                </w:rPr>
                <m:t>d</m:t>
              </m:r>
            </m:sub>
          </m:sSub>
          <m:sSup>
            <m:sSupPr>
              <m:ctrlPr>
                <w:rPr>
                  <w:rFonts w:ascii="Cambria Math" w:hAnsi="Cambria Math" w:cstheme="majorBidi"/>
                  <w:iCs/>
                </w:rPr>
              </m:ctrlPr>
            </m:sSupPr>
            <m:e>
              <m:r>
                <m:rPr>
                  <m:sty m:val="p"/>
                </m:rPr>
                <w:rPr>
                  <w:rFonts w:ascii="Cambria Math" w:hAnsi="Cambria Math" w:cstheme="majorBidi"/>
                </w:rPr>
                <m:t>v</m:t>
              </m:r>
            </m:e>
            <m:sup>
              <m:r>
                <m:rPr>
                  <m:sty m:val="p"/>
                </m:rPr>
                <w:rPr>
                  <w:rFonts w:ascii="Cambria Math" w:hAnsi="Cambria Math" w:cstheme="majorBidi"/>
                </w:rPr>
                <m:t>2</m:t>
              </m:r>
            </m:sup>
          </m:sSup>
        </m:oMath>
      </m:oMathPara>
    </w:p>
    <w:p w:rsidR="00E24DB7" w:rsidRPr="002C5876" w:rsidRDefault="00E24DB7" w:rsidP="00E24DB7">
      <w:pPr>
        <w:pStyle w:val="SingleTxtG"/>
        <w:keepNext/>
        <w:ind w:left="2268"/>
      </w:pPr>
      <w:r w:rsidRPr="002C5876">
        <w:t xml:space="preserve">où : </w:t>
      </w:r>
    </w:p>
    <w:p w:rsidR="00E24DB7" w:rsidRPr="002C5876" w:rsidRDefault="00E24DB7" w:rsidP="00E24DB7">
      <w:pPr>
        <w:pStyle w:val="SingleTxtG"/>
        <w:ind w:left="2835" w:hanging="567"/>
      </w:pPr>
      <w:r w:rsidRPr="002C5876">
        <w:t>F</w:t>
      </w:r>
      <w:r w:rsidRPr="002C5876">
        <w:rPr>
          <w:vertAlign w:val="subscript"/>
        </w:rPr>
        <w:t>d</w:t>
      </w:r>
      <w:r w:rsidRPr="002C5876">
        <w:tab/>
        <w:t>est la force résistante de réglage du dynamomètre, en N ;</w:t>
      </w:r>
    </w:p>
    <w:p w:rsidR="00E24DB7" w:rsidRPr="002C5876" w:rsidRDefault="00E24DB7" w:rsidP="00E24DB7">
      <w:pPr>
        <w:pStyle w:val="SingleTxtG"/>
        <w:ind w:left="2835" w:hanging="567"/>
      </w:pPr>
      <w:r w:rsidRPr="002C5876">
        <w:rPr>
          <w:iCs/>
        </w:rPr>
        <w:t>v</w:t>
      </w:r>
      <w:r w:rsidRPr="002C5876">
        <w:rPr>
          <w:iCs/>
        </w:rPr>
        <w:tab/>
      </w:r>
      <w:r w:rsidRPr="002C5876">
        <w:t>est la vitesse des rouleaux du banc, en km/h.</w:t>
      </w:r>
    </w:p>
    <w:p w:rsidR="00E24DB7" w:rsidRPr="002C5876" w:rsidRDefault="00E24DB7" w:rsidP="00E24DB7">
      <w:pPr>
        <w:pStyle w:val="SingleTxtG"/>
        <w:keepNext/>
        <w:ind w:left="2268"/>
      </w:pPr>
      <w:r w:rsidRPr="002C5876">
        <w:t>Les coefficients ci-après sont recommandés pour le réglage initial de la force :</w:t>
      </w:r>
    </w:p>
    <w:p w:rsidR="00E24DB7" w:rsidRPr="00D53F39" w:rsidRDefault="00E24DB7" w:rsidP="00E24DB7">
      <w:pPr>
        <w:pStyle w:val="SingleTxtG"/>
        <w:ind w:left="2835" w:hanging="567"/>
        <w:rPr>
          <w:lang w:val="en-US"/>
        </w:rPr>
      </w:pPr>
      <w:r w:rsidRPr="00D53F39">
        <w:rPr>
          <w:lang w:val="en-US"/>
        </w:rPr>
        <w:t>a)</w:t>
      </w:r>
      <w:r w:rsidRPr="00D53F39">
        <w:rPr>
          <w:lang w:val="en-US"/>
        </w:rPr>
        <w:tab/>
        <w:t>A</w:t>
      </w:r>
      <w:r w:rsidRPr="00D53F39">
        <w:rPr>
          <w:vertAlign w:val="subscript"/>
          <w:lang w:val="en-US"/>
        </w:rPr>
        <w:t>d</w:t>
      </w:r>
      <w:r w:rsidRPr="00D53F39">
        <w:rPr>
          <w:lang w:val="en-US"/>
        </w:rPr>
        <w:t xml:space="preserve"> = 0,5 x A</w:t>
      </w:r>
      <w:r w:rsidRPr="00D53F39">
        <w:rPr>
          <w:vertAlign w:val="subscript"/>
          <w:lang w:val="en-US"/>
        </w:rPr>
        <w:t>t</w:t>
      </w:r>
      <w:r w:rsidRPr="00D53F39">
        <w:rPr>
          <w:lang w:val="en-US"/>
        </w:rPr>
        <w:t>, B</w:t>
      </w:r>
      <w:r w:rsidRPr="00D53F39">
        <w:rPr>
          <w:vertAlign w:val="subscript"/>
          <w:lang w:val="en-US"/>
        </w:rPr>
        <w:t>d</w:t>
      </w:r>
      <w:r w:rsidRPr="00D53F39">
        <w:rPr>
          <w:lang w:val="en-US"/>
        </w:rPr>
        <w:t xml:space="preserve"> = 0,2 x B</w:t>
      </w:r>
      <w:r w:rsidRPr="00D53F39">
        <w:rPr>
          <w:vertAlign w:val="subscript"/>
          <w:lang w:val="en-US"/>
        </w:rPr>
        <w:t>t</w:t>
      </w:r>
      <w:r w:rsidRPr="00D53F39">
        <w:rPr>
          <w:lang w:val="en-US"/>
        </w:rPr>
        <w:t>,</w:t>
      </w:r>
      <w:r w:rsidRPr="00D53F39">
        <w:rPr>
          <w:vertAlign w:val="subscript"/>
          <w:lang w:val="en-US"/>
        </w:rPr>
        <w:t xml:space="preserve"> </w:t>
      </w:r>
      <w:r w:rsidRPr="00D53F39">
        <w:rPr>
          <w:lang w:val="en-US"/>
        </w:rPr>
        <w:t>C</w:t>
      </w:r>
      <w:r w:rsidRPr="00D53F39">
        <w:rPr>
          <w:vertAlign w:val="subscript"/>
          <w:lang w:val="en-US"/>
        </w:rPr>
        <w:t>d</w:t>
      </w:r>
      <w:r w:rsidRPr="00D53F39">
        <w:rPr>
          <w:lang w:val="en-US"/>
        </w:rPr>
        <w:t xml:space="preserve"> = C</w:t>
      </w:r>
      <w:r w:rsidRPr="00D53F39">
        <w:rPr>
          <w:vertAlign w:val="subscript"/>
          <w:lang w:val="en-US"/>
        </w:rPr>
        <w:t>t</w:t>
      </w:r>
      <w:r w:rsidRPr="00D53F39">
        <w:rPr>
          <w:lang w:val="en-US"/>
        </w:rPr>
        <w:t xml:space="preserve"> </w:t>
      </w:r>
    </w:p>
    <w:p w:rsidR="00E24DB7" w:rsidRPr="002C5876" w:rsidRDefault="00E24DB7" w:rsidP="00E24DB7">
      <w:pPr>
        <w:pStyle w:val="SingleTxtG"/>
        <w:ind w:left="3402" w:hanging="567"/>
      </w:pPr>
      <w:r w:rsidRPr="002C5876">
        <w:t>pour un banc à un axe, ou</w:t>
      </w:r>
    </w:p>
    <w:p w:rsidR="00E24DB7" w:rsidRPr="00D53F39" w:rsidRDefault="00E24DB7" w:rsidP="00E24DB7">
      <w:pPr>
        <w:pStyle w:val="SingleTxtG"/>
        <w:ind w:left="2835"/>
        <w:rPr>
          <w:lang w:val="en-US"/>
        </w:rPr>
      </w:pPr>
      <w:r w:rsidRPr="00D53F39">
        <w:rPr>
          <w:lang w:val="en-US"/>
        </w:rPr>
        <w:t>A</w:t>
      </w:r>
      <w:r w:rsidRPr="00D53F39">
        <w:rPr>
          <w:vertAlign w:val="subscript"/>
          <w:lang w:val="en-US"/>
        </w:rPr>
        <w:t>d</w:t>
      </w:r>
      <w:r w:rsidRPr="00D53F39">
        <w:rPr>
          <w:lang w:val="en-US"/>
        </w:rPr>
        <w:t xml:space="preserve"> = 0,1 x A</w:t>
      </w:r>
      <w:r w:rsidRPr="00D53F39">
        <w:rPr>
          <w:vertAlign w:val="subscript"/>
          <w:lang w:val="en-US"/>
        </w:rPr>
        <w:t>t</w:t>
      </w:r>
      <w:r w:rsidRPr="00D53F39">
        <w:rPr>
          <w:lang w:val="en-US"/>
        </w:rPr>
        <w:t>, B</w:t>
      </w:r>
      <w:r w:rsidRPr="00D53F39">
        <w:rPr>
          <w:vertAlign w:val="subscript"/>
          <w:lang w:val="en-US"/>
        </w:rPr>
        <w:t>d</w:t>
      </w:r>
      <w:r w:rsidRPr="00D53F39">
        <w:rPr>
          <w:lang w:val="en-US"/>
        </w:rPr>
        <w:t xml:space="preserve"> = 0,2 x B</w:t>
      </w:r>
      <w:r w:rsidRPr="00D53F39">
        <w:rPr>
          <w:vertAlign w:val="subscript"/>
          <w:lang w:val="en-US"/>
        </w:rPr>
        <w:t>t</w:t>
      </w:r>
      <w:r w:rsidRPr="00D53F39">
        <w:rPr>
          <w:lang w:val="en-US"/>
        </w:rPr>
        <w:t>,</w:t>
      </w:r>
      <w:r w:rsidRPr="00D53F39">
        <w:rPr>
          <w:vertAlign w:val="subscript"/>
          <w:lang w:val="en-US"/>
        </w:rPr>
        <w:t xml:space="preserve"> </w:t>
      </w:r>
      <w:r w:rsidRPr="00D53F39">
        <w:rPr>
          <w:lang w:val="en-US"/>
        </w:rPr>
        <w:t>C</w:t>
      </w:r>
      <w:r w:rsidRPr="00D53F39">
        <w:rPr>
          <w:vertAlign w:val="subscript"/>
          <w:lang w:val="en-US"/>
        </w:rPr>
        <w:t>d</w:t>
      </w:r>
      <w:r w:rsidRPr="00D53F39">
        <w:rPr>
          <w:lang w:val="en-US"/>
        </w:rPr>
        <w:t xml:space="preserve"> = C</w:t>
      </w:r>
      <w:r w:rsidRPr="00D53F39">
        <w:rPr>
          <w:vertAlign w:val="subscript"/>
          <w:lang w:val="en-US"/>
        </w:rPr>
        <w:t>t</w:t>
      </w:r>
      <w:r w:rsidRPr="00D53F39">
        <w:rPr>
          <w:lang w:val="en-US"/>
        </w:rPr>
        <w:t xml:space="preserve"> </w:t>
      </w:r>
    </w:p>
    <w:p w:rsidR="00E24DB7" w:rsidRPr="002C5876" w:rsidRDefault="00E24DB7" w:rsidP="00E24DB7">
      <w:pPr>
        <w:pStyle w:val="SingleTxtG"/>
        <w:ind w:left="2835"/>
      </w:pPr>
      <w:r w:rsidRPr="002C5876">
        <w:rPr>
          <w:iCs/>
        </w:rPr>
        <w:t xml:space="preserve">pour un </w:t>
      </w:r>
      <w:r w:rsidRPr="002C5876">
        <w:t>banc à deux axes où A</w:t>
      </w:r>
      <w:r w:rsidRPr="002C5876">
        <w:rPr>
          <w:vertAlign w:val="subscript"/>
        </w:rPr>
        <w:t>t</w:t>
      </w:r>
      <w:r w:rsidRPr="002C5876">
        <w:t>, B</w:t>
      </w:r>
      <w:r w:rsidRPr="002C5876">
        <w:rPr>
          <w:vertAlign w:val="subscript"/>
        </w:rPr>
        <w:t>t</w:t>
      </w:r>
      <w:r w:rsidRPr="002C5876">
        <w:t xml:space="preserve"> et C</w:t>
      </w:r>
      <w:r w:rsidRPr="002C5876">
        <w:rPr>
          <w:vertAlign w:val="subscript"/>
        </w:rPr>
        <w:t>t</w:t>
      </w:r>
      <w:r w:rsidRPr="002C5876">
        <w:t xml:space="preserve"> sont les coefficients de résistance à l’avancement sur route visée ;</w:t>
      </w:r>
    </w:p>
    <w:p w:rsidR="00E24DB7" w:rsidRPr="002C5876" w:rsidRDefault="00E24DB7" w:rsidP="00E24DB7">
      <w:pPr>
        <w:pStyle w:val="SingleTxtG"/>
        <w:ind w:left="2835" w:hanging="567"/>
      </w:pPr>
      <w:r w:rsidRPr="002C5876">
        <w:t>b)</w:t>
      </w:r>
      <w:r w:rsidRPr="002C5876">
        <w:tab/>
        <w:t>Ou des valeurs empiriques, telles que celles utilisées pour le réglage dans le cas d’un type similaire de véhicule.</w:t>
      </w:r>
    </w:p>
    <w:p w:rsidR="00E24DB7" w:rsidRPr="002C5876" w:rsidRDefault="00E24DB7" w:rsidP="00E24DB7">
      <w:pPr>
        <w:pStyle w:val="SingleTxtG"/>
        <w:ind w:left="2268"/>
      </w:pPr>
      <w:r w:rsidRPr="002C5876">
        <w:t>Pour un banc à rouleaux à réglage par fonction polygonale, des valeurs de force résistante appropriées pour chaque vitesse de référence doivent être fixées pour le réglage du frein du banc.</w:t>
      </w:r>
    </w:p>
    <w:p w:rsidR="00E24DB7" w:rsidRPr="002C5876" w:rsidRDefault="00E24DB7" w:rsidP="00E24DB7">
      <w:pPr>
        <w:pStyle w:val="SingleTxtG"/>
        <w:keepNext/>
        <w:ind w:left="2268" w:hanging="1134"/>
        <w:jc w:val="left"/>
      </w:pPr>
      <w:r w:rsidRPr="002C5876">
        <w:t>8.1.2</w:t>
      </w:r>
      <w:r w:rsidRPr="002C5876">
        <w:tab/>
        <w:t>Décélération libre</w:t>
      </w:r>
    </w:p>
    <w:p w:rsidR="00E24DB7" w:rsidRPr="002C5876" w:rsidRDefault="00E24DB7" w:rsidP="00E24DB7">
      <w:pPr>
        <w:pStyle w:val="SingleTxtG"/>
        <w:ind w:left="2268"/>
      </w:pPr>
      <w:r w:rsidRPr="002C5876">
        <w:t xml:space="preserve">L’essai de décélération libre sur le banc dynamométrique doit être exécuté conformément à la procédure décrite au paragraphe 8.1.3.4.1 ou au paragraphe 8.1.3.4.2 de la présente annexe et il doit commencer au plus tard 120 s après l’achèvement de la procédure de mise en température. Les parcours consécutifs de décélération libre doivent commencer immédiatement. À la demande du constructeur du véhicule et avec l’approbation de l’autorité compétente, le délai entre la procédure de mise en température et les décélérations libres utilisant la méthode d’itération peuvent être prolongés pour permettre un réglage correct du véhicule pour la décélération libre. Le constructeur doit fournir à l’autorité compétente les données démontrant que le temps additionnel est nécessaire et que les paramètres de réglage de la </w:t>
      </w:r>
      <w:r w:rsidRPr="002C5876">
        <w:lastRenderedPageBreak/>
        <w:t>résistance sur le dynamomètre (température du liquide de refroidissement et/ou de l’huile, force au dynamomètre) ne sont pas affectés.</w:t>
      </w:r>
    </w:p>
    <w:p w:rsidR="00E24DB7" w:rsidRPr="002C5876" w:rsidRDefault="00E24DB7" w:rsidP="00E24DB7">
      <w:pPr>
        <w:pStyle w:val="SingleTxtG"/>
        <w:keepNext/>
        <w:ind w:left="2268" w:hanging="1134"/>
        <w:jc w:val="left"/>
      </w:pPr>
      <w:r w:rsidRPr="002C5876">
        <w:t>8.1.3</w:t>
      </w:r>
      <w:r w:rsidRPr="002C5876">
        <w:tab/>
        <w:t>Vérification</w:t>
      </w:r>
    </w:p>
    <w:p w:rsidR="00E24DB7" w:rsidRPr="002C5876" w:rsidRDefault="00E24DB7" w:rsidP="00E24DB7">
      <w:pPr>
        <w:pStyle w:val="SingleTxtG"/>
        <w:keepNext/>
        <w:ind w:left="2268" w:hanging="1134"/>
      </w:pPr>
      <w:r w:rsidRPr="002C5876">
        <w:t>8.1.3.1</w:t>
      </w:r>
      <w:r w:rsidRPr="002C5876">
        <w:tab/>
        <w:t>La valeur de résistance à l’avancement sur route visée est calculée par application des coefficients de résistance à l’avancement sur route visée A</w:t>
      </w:r>
      <w:r w:rsidRPr="002C5876">
        <w:rPr>
          <w:vertAlign w:val="subscript"/>
        </w:rPr>
        <w:t>t</w:t>
      </w:r>
      <w:r w:rsidRPr="002C5876">
        <w:t>, B</w:t>
      </w:r>
      <w:r w:rsidRPr="002C5876">
        <w:rPr>
          <w:vertAlign w:val="subscript"/>
        </w:rPr>
        <w:t>t</w:t>
      </w:r>
      <w:r w:rsidRPr="002C5876">
        <w:t xml:space="preserve"> et C</w:t>
      </w:r>
      <w:r w:rsidRPr="002C5876">
        <w:rPr>
          <w:vertAlign w:val="subscript"/>
        </w:rPr>
        <w:t>t</w:t>
      </w:r>
      <w:r w:rsidRPr="002C5876">
        <w:t xml:space="preserve"> pour chaque vitesse de référence v</w:t>
      </w:r>
      <w:r w:rsidRPr="002C5876">
        <w:rPr>
          <w:vertAlign w:val="subscript"/>
        </w:rPr>
        <w:t>j</w:t>
      </w:r>
      <w:r w:rsidRPr="002C5876">
        <w:t> :</w:t>
      </w:r>
    </w:p>
    <w:p w:rsidR="00E24DB7" w:rsidRPr="002C5876" w:rsidRDefault="00731CA6" w:rsidP="00E24DB7">
      <w:pPr>
        <w:pStyle w:val="SingleTxtG"/>
        <w:ind w:left="2268"/>
        <w:jc w:val="center"/>
        <w:rPr>
          <w:iCs/>
        </w:rPr>
      </w:pPr>
      <m:oMathPara>
        <m:oMath>
          <m:sSub>
            <m:sSubPr>
              <m:ctrlPr>
                <w:rPr>
                  <w:rFonts w:ascii="Cambria Math" w:hAnsi="Cambria Math" w:cstheme="majorBidi"/>
                  <w:iCs/>
                </w:rPr>
              </m:ctrlPr>
            </m:sSubPr>
            <m:e>
              <m:r>
                <m:rPr>
                  <m:sty m:val="p"/>
                </m:rPr>
                <w:rPr>
                  <w:rFonts w:ascii="Cambria Math" w:hAnsi="Cambria Math" w:cstheme="majorBidi"/>
                </w:rPr>
                <m:t>F</m:t>
              </m:r>
            </m:e>
            <m:sub>
              <m:r>
                <m:rPr>
                  <m:sty m:val="p"/>
                </m:rPr>
                <w:rPr>
                  <w:rFonts w:ascii="Cambria Math" w:hAnsi="Cambria Math" w:cstheme="majorBidi"/>
                </w:rPr>
                <m:t>tj</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A</m:t>
              </m:r>
            </m:e>
            <m:sub>
              <m:r>
                <m:rPr>
                  <m:sty m:val="p"/>
                </m:rPr>
                <w:rPr>
                  <w:rFonts w:ascii="Cambria Math" w:hAnsi="Cambria Math" w:cstheme="majorBidi"/>
                </w:rPr>
                <m:t>t</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B</m:t>
              </m:r>
            </m:e>
            <m:sub>
              <m:r>
                <m:rPr>
                  <m:sty m:val="p"/>
                </m:rPr>
                <w:rPr>
                  <w:rFonts w:ascii="Cambria Math" w:hAnsi="Cambria Math" w:cstheme="majorBidi"/>
                </w:rPr>
                <m:t>t</m:t>
              </m:r>
            </m:sub>
          </m:sSub>
          <m:sSub>
            <m:sSubPr>
              <m:ctrlPr>
                <w:rPr>
                  <w:rFonts w:ascii="Cambria Math" w:hAnsi="Cambria Math" w:cstheme="majorBidi"/>
                  <w:iCs/>
                </w:rPr>
              </m:ctrlPr>
            </m:sSubPr>
            <m:e>
              <m:r>
                <m:rPr>
                  <m:sty m:val="p"/>
                </m:rPr>
                <w:rPr>
                  <w:rFonts w:ascii="Cambria Math" w:hAnsi="Cambria Math" w:cstheme="majorBidi"/>
                </w:rPr>
                <m:t>v</m:t>
              </m:r>
            </m:e>
            <m:sub>
              <m:r>
                <m:rPr>
                  <m:sty m:val="p"/>
                </m:rPr>
                <w:rPr>
                  <w:rFonts w:ascii="Cambria Math" w:hAnsi="Cambria Math" w:cstheme="majorBidi"/>
                </w:rPr>
                <m:t>j</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C</m:t>
              </m:r>
            </m:e>
            <m:sub>
              <m:r>
                <m:rPr>
                  <m:sty m:val="p"/>
                </m:rPr>
                <w:rPr>
                  <w:rFonts w:ascii="Cambria Math" w:hAnsi="Cambria Math" w:cstheme="majorBidi"/>
                </w:rPr>
                <m:t>t</m:t>
              </m:r>
            </m:sub>
          </m:sSub>
          <m:sSubSup>
            <m:sSubSupPr>
              <m:ctrlPr>
                <w:rPr>
                  <w:rFonts w:ascii="Cambria Math" w:hAnsi="Cambria Math" w:cstheme="majorBidi"/>
                  <w:iCs/>
                </w:rPr>
              </m:ctrlPr>
            </m:sSubSupPr>
            <m:e>
              <m:r>
                <m:rPr>
                  <m:sty m:val="p"/>
                </m:rPr>
                <w:rPr>
                  <w:rFonts w:ascii="Cambria Math" w:hAnsi="Cambria Math" w:cstheme="majorBidi"/>
                </w:rPr>
                <m:t>v</m:t>
              </m:r>
            </m:e>
            <m:sub>
              <m:r>
                <m:rPr>
                  <m:sty m:val="p"/>
                </m:rPr>
                <w:rPr>
                  <w:rFonts w:ascii="Cambria Math" w:hAnsi="Cambria Math" w:cstheme="majorBidi"/>
                </w:rPr>
                <m:t>j</m:t>
              </m:r>
            </m:sub>
            <m:sup>
              <m:r>
                <m:rPr>
                  <m:sty m:val="p"/>
                </m:rPr>
                <w:rPr>
                  <w:rFonts w:ascii="Cambria Math" w:hAnsi="Cambria Math" w:cstheme="majorBidi"/>
                </w:rPr>
                <m:t>2</m:t>
              </m:r>
            </m:sup>
          </m:sSubSup>
        </m:oMath>
      </m:oMathPara>
    </w:p>
    <w:p w:rsidR="00E24DB7" w:rsidRPr="002C5876" w:rsidRDefault="00E24DB7" w:rsidP="00E24DB7">
      <w:pPr>
        <w:pStyle w:val="SingleTxtG"/>
        <w:keepNext/>
        <w:ind w:left="2268"/>
      </w:pPr>
      <w:r w:rsidRPr="002C5876">
        <w:t>où :</w:t>
      </w:r>
    </w:p>
    <w:p w:rsidR="00E24DB7" w:rsidRPr="002C5876" w:rsidRDefault="00E24DB7" w:rsidP="00E24DB7">
      <w:pPr>
        <w:pStyle w:val="SingleTxtG"/>
        <w:ind w:left="3402" w:hanging="1134"/>
      </w:pPr>
      <w:r w:rsidRPr="002C5876">
        <w:t>A</w:t>
      </w:r>
      <w:r w:rsidRPr="002C5876">
        <w:rPr>
          <w:vertAlign w:val="subscript"/>
        </w:rPr>
        <w:t>t</w:t>
      </w:r>
      <w:r w:rsidRPr="002C5876">
        <w:t>, B</w:t>
      </w:r>
      <w:r w:rsidRPr="002C5876">
        <w:rPr>
          <w:vertAlign w:val="subscript"/>
        </w:rPr>
        <w:t>t</w:t>
      </w:r>
      <w:r w:rsidRPr="002C5876">
        <w:t xml:space="preserve"> et C</w:t>
      </w:r>
      <w:r w:rsidRPr="002C5876">
        <w:rPr>
          <w:vertAlign w:val="subscript"/>
        </w:rPr>
        <w:t>t</w:t>
      </w:r>
      <w:r w:rsidRPr="002C5876">
        <w:tab/>
        <w:t>sont les paramètres de la résistance à l’avancement sur route visée f</w:t>
      </w:r>
      <w:r w:rsidRPr="002C5876">
        <w:rPr>
          <w:vertAlign w:val="subscript"/>
        </w:rPr>
        <w:t>0</w:t>
      </w:r>
      <w:r w:rsidRPr="002C5876">
        <w:t>, f</w:t>
      </w:r>
      <w:r w:rsidRPr="002C5876">
        <w:rPr>
          <w:vertAlign w:val="subscript"/>
        </w:rPr>
        <w:t>1</w:t>
      </w:r>
      <w:r w:rsidRPr="002C5876">
        <w:t xml:space="preserve"> et f</w:t>
      </w:r>
      <w:r w:rsidRPr="002C5876">
        <w:rPr>
          <w:vertAlign w:val="subscript"/>
        </w:rPr>
        <w:t>2</w:t>
      </w:r>
      <w:r w:rsidRPr="002C5876">
        <w:t xml:space="preserve"> respectivement ;</w:t>
      </w:r>
    </w:p>
    <w:p w:rsidR="00E24DB7" w:rsidRPr="002C5876" w:rsidRDefault="00E24DB7" w:rsidP="00E24DB7">
      <w:pPr>
        <w:pStyle w:val="SingleTxtG"/>
        <w:ind w:left="3402" w:hanging="1134"/>
      </w:pPr>
      <w:r w:rsidRPr="002C5876">
        <w:rPr>
          <w:iCs/>
        </w:rPr>
        <w:t>F</w:t>
      </w:r>
      <w:r w:rsidRPr="002C5876">
        <w:rPr>
          <w:iCs/>
          <w:vertAlign w:val="subscript"/>
        </w:rPr>
        <w:t>tj</w:t>
      </w:r>
      <w:r w:rsidRPr="002C5876">
        <w:rPr>
          <w:iCs/>
        </w:rPr>
        <w:tab/>
      </w:r>
      <w:r w:rsidRPr="002C5876">
        <w:t>est la résistance à l’avancement sur route visée à la vitesse de référence v</w:t>
      </w:r>
      <w:r w:rsidRPr="002C5876">
        <w:rPr>
          <w:vertAlign w:val="subscript"/>
        </w:rPr>
        <w:t>j</w:t>
      </w:r>
      <w:r w:rsidRPr="002C5876">
        <w:t>, en N ;</w:t>
      </w:r>
    </w:p>
    <w:p w:rsidR="00E24DB7" w:rsidRPr="002C5876" w:rsidRDefault="00E24DB7" w:rsidP="00E24DB7">
      <w:pPr>
        <w:pStyle w:val="SingleTxtG"/>
        <w:ind w:left="3402" w:hanging="1134"/>
      </w:pPr>
      <w:r w:rsidRPr="002C5876">
        <w:t>v</w:t>
      </w:r>
      <w:r w:rsidRPr="002C5876">
        <w:rPr>
          <w:vertAlign w:val="subscript"/>
        </w:rPr>
        <w:t>j</w:t>
      </w:r>
      <w:r w:rsidRPr="002C5876">
        <w:rPr>
          <w:iCs/>
        </w:rPr>
        <w:tab/>
      </w:r>
      <w:r w:rsidRPr="002C5876">
        <w:t xml:space="preserve">est la </w:t>
      </w:r>
      <w:r w:rsidRPr="002C5876">
        <w:rPr>
          <w:iCs/>
        </w:rPr>
        <w:t>j</w:t>
      </w:r>
      <w:r w:rsidRPr="002C5876">
        <w:rPr>
          <w:vertAlign w:val="superscript"/>
        </w:rPr>
        <w:t>e</w:t>
      </w:r>
      <w:r w:rsidRPr="002C5876">
        <w:t xml:space="preserve"> vitesse de référence, en km/h.</w:t>
      </w:r>
    </w:p>
    <w:p w:rsidR="00E24DB7" w:rsidRPr="002C5876" w:rsidRDefault="00E24DB7" w:rsidP="00E24DB7">
      <w:pPr>
        <w:pStyle w:val="SingleTxtG"/>
        <w:keepNext/>
        <w:ind w:left="2268" w:hanging="1134"/>
      </w:pPr>
      <w:r w:rsidRPr="002C5876">
        <w:t>8.1.3.2</w:t>
      </w:r>
      <w:r w:rsidRPr="002C5876">
        <w:tab/>
      </w:r>
      <w:r w:rsidRPr="002C5876">
        <w:tab/>
        <w:t xml:space="preserve">La résistance à l’avancement sur route mesurée doit être calculée </w:t>
      </w:r>
      <w:r w:rsidRPr="002C5876">
        <w:br/>
        <w:t xml:space="preserve">au moyen de l’équation : </w:t>
      </w:r>
    </w:p>
    <w:p w:rsidR="00E24DB7" w:rsidRPr="002C5876" w:rsidRDefault="00731CA6" w:rsidP="00E24DB7">
      <w:pPr>
        <w:pStyle w:val="SingleTxtG"/>
        <w:keepNext/>
        <w:ind w:left="2268"/>
        <w:jc w:val="center"/>
      </w:pPr>
      <m:oMathPara>
        <m:oMath>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mj</m:t>
              </m:r>
            </m:sub>
          </m:sSub>
          <m:r>
            <m:rPr>
              <m:sty m:val="p"/>
            </m:rPr>
            <w:rPr>
              <w:rFonts w:ascii="Cambria Math" w:hAnsi="Cambria Math" w:cstheme="majorBidi"/>
            </w:rPr>
            <m:t xml:space="preserve">= </m:t>
          </m:r>
          <m:f>
            <m:fPr>
              <m:ctrlPr>
                <w:rPr>
                  <w:rFonts w:ascii="Cambria Math" w:hAnsi="Cambria Math" w:cstheme="majorBidi"/>
                </w:rPr>
              </m:ctrlPr>
            </m:fPr>
            <m:num>
              <m:r>
                <m:rPr>
                  <m:sty m:val="p"/>
                </m:rPr>
                <w:rPr>
                  <w:rFonts w:ascii="Cambria Math" w:hAnsi="Cambria Math" w:cstheme="majorBidi"/>
                </w:rPr>
                <m:t>1</m:t>
              </m:r>
            </m:num>
            <m:den>
              <m:r>
                <m:rPr>
                  <m:sty m:val="p"/>
                </m:rPr>
                <w:rPr>
                  <w:rFonts w:ascii="Cambria Math" w:hAnsi="Cambria Math" w:cstheme="majorBidi"/>
                </w:rPr>
                <m:t>3,6</m:t>
              </m:r>
            </m:den>
          </m:f>
          <m:r>
            <m:rPr>
              <m:sty m:val="p"/>
            </m:rPr>
            <w:rPr>
              <w:rFonts w:ascii="Cambria Math" w:hAnsi="Cambria Math" w:cstheme="majorBidi"/>
            </w:rPr>
            <m:t> × </m:t>
          </m:r>
          <m:d>
            <m:dPr>
              <m:ctrlPr>
                <w:rPr>
                  <w:rFonts w:ascii="Cambria Math" w:hAnsi="Cambria Math" w:cstheme="majorBidi"/>
                </w:rPr>
              </m:ctrlPr>
            </m:dPr>
            <m:e>
              <m:r>
                <m:rPr>
                  <m:sty m:val="p"/>
                </m:rPr>
                <w:rPr>
                  <w:rFonts w:ascii="Cambria Math" w:hAnsi="Cambria Math" w:cstheme="majorBidi"/>
                </w:rPr>
                <m:t xml:space="preserve">TM+ </m:t>
              </m:r>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r</m:t>
                  </m:r>
                </m:sub>
              </m:sSub>
            </m:e>
          </m:d>
          <m:r>
            <m:rPr>
              <m:sty m:val="p"/>
            </m:rPr>
            <w:rPr>
              <w:rFonts w:ascii="Cambria Math" w:hAnsi="Cambria Math" w:cstheme="majorBidi"/>
            </w:rPr>
            <m:t> × </m:t>
          </m:r>
          <m:f>
            <m:fPr>
              <m:ctrlPr>
                <w:rPr>
                  <w:rFonts w:ascii="Cambria Math" w:hAnsi="Cambria Math" w:cstheme="majorBidi"/>
                </w:rPr>
              </m:ctrlPr>
            </m:fPr>
            <m:num>
              <m:r>
                <m:rPr>
                  <m:sty m:val="p"/>
                </m:rPr>
                <w:rPr>
                  <w:rFonts w:ascii="Cambria Math" w:hAnsi="Cambria Math" w:cstheme="majorBidi"/>
                </w:rPr>
                <m:t>2 × ∆v</m:t>
              </m:r>
            </m:num>
            <m:den>
              <m:sSub>
                <m:sSubPr>
                  <m:ctrlPr>
                    <w:rPr>
                      <w:rFonts w:ascii="Cambria Math" w:hAnsi="Cambria Math" w:cstheme="majorBidi"/>
                      <w:i/>
                    </w:rPr>
                  </m:ctrlPr>
                </m:sSubPr>
                <m:e>
                  <m:r>
                    <m:rPr>
                      <m:sty m:val="p"/>
                    </m:rPr>
                    <w:rPr>
                      <w:rFonts w:ascii="Cambria Math" w:hAnsi="Cambria Math" w:cstheme="majorBidi"/>
                    </w:rPr>
                    <m:t>∆t</m:t>
                  </m:r>
                </m:e>
                <m:sub>
                  <m:r>
                    <m:rPr>
                      <m:sty m:val="p"/>
                    </m:rPr>
                    <w:rPr>
                      <w:rFonts w:ascii="Cambria Math" w:hAnsi="Cambria Math" w:cstheme="majorBidi"/>
                    </w:rPr>
                    <m:t>j</m:t>
                  </m:r>
                </m:sub>
              </m:sSub>
            </m:den>
          </m:f>
        </m:oMath>
      </m:oMathPara>
    </w:p>
    <w:p w:rsidR="00E24DB7" w:rsidRPr="002C5876" w:rsidRDefault="00E24DB7" w:rsidP="00E24DB7">
      <w:pPr>
        <w:pStyle w:val="SingleTxtG"/>
        <w:keepNext/>
        <w:ind w:left="2268"/>
      </w:pPr>
      <w:r w:rsidRPr="002C5876">
        <w:t>où :</w:t>
      </w:r>
    </w:p>
    <w:p w:rsidR="00E24DB7" w:rsidRPr="002C5876" w:rsidRDefault="00E24DB7" w:rsidP="00E24DB7">
      <w:pPr>
        <w:pStyle w:val="SingleTxtG"/>
        <w:keepNext/>
        <w:ind w:left="2268"/>
      </w:pPr>
      <w:r w:rsidRPr="002C5876">
        <w:t>Δv</w:t>
      </w:r>
      <w:r w:rsidRPr="002C5876">
        <w:tab/>
      </w:r>
      <w:r w:rsidRPr="002C5876">
        <w:tab/>
        <w:t>est égal à 5 km/h ;</w:t>
      </w:r>
    </w:p>
    <w:p w:rsidR="00E24DB7" w:rsidRPr="002C5876" w:rsidRDefault="00E24DB7" w:rsidP="00E24DB7">
      <w:pPr>
        <w:pStyle w:val="SingleTxtG"/>
        <w:ind w:left="3402" w:hanging="1134"/>
      </w:pPr>
      <w:r w:rsidRPr="002C5876">
        <w:t>F</w:t>
      </w:r>
      <w:r w:rsidRPr="002C5876">
        <w:rPr>
          <w:vertAlign w:val="subscript"/>
        </w:rPr>
        <w:t>mj</w:t>
      </w:r>
      <w:r w:rsidRPr="002C5876">
        <w:tab/>
        <w:t>est la résistance à l’avancement sur route mesurée pour chaque vitesse de référence v</w:t>
      </w:r>
      <w:r w:rsidRPr="002C5876">
        <w:rPr>
          <w:vertAlign w:val="subscript"/>
        </w:rPr>
        <w:t>j</w:t>
      </w:r>
      <w:r w:rsidRPr="002C5876">
        <w:t>, en N ;</w:t>
      </w:r>
    </w:p>
    <w:p w:rsidR="00E24DB7" w:rsidRPr="002C5876" w:rsidRDefault="00E24DB7" w:rsidP="00E24DB7">
      <w:pPr>
        <w:pStyle w:val="SingleTxtG"/>
        <w:ind w:left="3402" w:hanging="1134"/>
      </w:pPr>
      <w:r w:rsidRPr="002C5876">
        <w:t>TM</w:t>
      </w:r>
      <w:r w:rsidRPr="002C5876">
        <w:tab/>
        <w:t xml:space="preserve">est la masse d’essai du véhicule, en kg ; </w:t>
      </w:r>
    </w:p>
    <w:p w:rsidR="00E24DB7" w:rsidRPr="002C5876" w:rsidRDefault="00E24DB7" w:rsidP="00E24DB7">
      <w:pPr>
        <w:pStyle w:val="SingleTxtG"/>
        <w:ind w:left="3402" w:hanging="1134"/>
      </w:pPr>
      <w:r w:rsidRPr="002C5876">
        <w:t>m</w:t>
      </w:r>
      <w:r w:rsidRPr="002C5876">
        <w:rPr>
          <w:vertAlign w:val="subscript"/>
        </w:rPr>
        <w:t>r</w:t>
      </w:r>
      <w:r w:rsidRPr="002C5876">
        <w:tab/>
        <w:t>est la masse effective équivalente des composants en rotation selon le paragraphe 2.5.1 de la présente annexe, en kg ;</w:t>
      </w:r>
    </w:p>
    <w:p w:rsidR="00E24DB7" w:rsidRPr="002C5876" w:rsidRDefault="00E24DB7" w:rsidP="00E24DB7">
      <w:pPr>
        <w:pStyle w:val="SingleTxtG"/>
        <w:ind w:left="3402" w:hanging="1134"/>
      </w:pPr>
      <w:r w:rsidRPr="002C5876">
        <w:t>∆t</w:t>
      </w:r>
      <w:r w:rsidRPr="002C5876">
        <w:rPr>
          <w:vertAlign w:val="subscript"/>
        </w:rPr>
        <w:t>j</w:t>
      </w:r>
      <w:r w:rsidRPr="002C5876">
        <w:tab/>
        <w:t>est le temps de décélération libre correspondant à la vitesse v</w:t>
      </w:r>
      <w:r w:rsidRPr="002C5876">
        <w:rPr>
          <w:vertAlign w:val="subscript"/>
        </w:rPr>
        <w:t>j</w:t>
      </w:r>
      <w:r w:rsidRPr="002C5876">
        <w:t>, en s.</w:t>
      </w:r>
    </w:p>
    <w:p w:rsidR="00E24DB7" w:rsidRPr="002C5876" w:rsidRDefault="00E24DB7" w:rsidP="00E24DB7">
      <w:pPr>
        <w:pStyle w:val="SingleTxtG"/>
        <w:keepLines/>
        <w:ind w:left="2268" w:hanging="1134"/>
      </w:pPr>
      <w:r w:rsidRPr="002C5876">
        <w:t>8.1.3.3</w:t>
      </w:r>
      <w:r w:rsidRPr="002C5876">
        <w:tab/>
        <w:t>La résistance à l’avancement sur route simulée doit être calculée conformément à la méthode spécifiée au paragraphe 4.3.1.4 de la présente annexe, à l’exception de la mesure dans les deux sens opposés :</w:t>
      </w:r>
    </w:p>
    <w:p w:rsidR="00E24DB7" w:rsidRPr="00D53F39" w:rsidRDefault="00E24DB7" w:rsidP="00E24DB7">
      <w:pPr>
        <w:pStyle w:val="SingleTxtG"/>
        <w:ind w:left="2268"/>
        <w:jc w:val="center"/>
        <w:rPr>
          <w:lang w:val="en-US"/>
        </w:rPr>
      </w:pPr>
      <w:r w:rsidRPr="00D53F39">
        <w:rPr>
          <w:lang w:val="en-US"/>
        </w:rPr>
        <w:t>F</w:t>
      </w:r>
      <w:r w:rsidRPr="00D53F39">
        <w:rPr>
          <w:vertAlign w:val="subscript"/>
          <w:lang w:val="en-US"/>
        </w:rPr>
        <w:t>s</w:t>
      </w:r>
      <w:r w:rsidRPr="00D53F39">
        <w:rPr>
          <w:lang w:val="en-US"/>
        </w:rPr>
        <w:t xml:space="preserve"> = A</w:t>
      </w:r>
      <w:r w:rsidRPr="00D53F39">
        <w:rPr>
          <w:vertAlign w:val="subscript"/>
          <w:lang w:val="en-US"/>
        </w:rPr>
        <w:t>s</w:t>
      </w:r>
      <w:r w:rsidRPr="00D53F39">
        <w:rPr>
          <w:lang w:val="en-US"/>
        </w:rPr>
        <w:t xml:space="preserve"> + B</w:t>
      </w:r>
      <w:r w:rsidRPr="00D53F39">
        <w:rPr>
          <w:vertAlign w:val="subscript"/>
          <w:lang w:val="en-US"/>
        </w:rPr>
        <w:t>s</w:t>
      </w:r>
      <w:r w:rsidRPr="00D53F39">
        <w:rPr>
          <w:lang w:val="en-US"/>
        </w:rPr>
        <w:t>×v + C</w:t>
      </w:r>
      <w:r w:rsidRPr="00D53F39">
        <w:rPr>
          <w:vertAlign w:val="subscript"/>
          <w:lang w:val="en-US"/>
        </w:rPr>
        <w:t>s</w:t>
      </w:r>
      <w:r w:rsidRPr="00D53F39">
        <w:rPr>
          <w:lang w:val="en-US"/>
        </w:rPr>
        <w:t>× v²</w:t>
      </w:r>
    </w:p>
    <w:p w:rsidR="00E24DB7" w:rsidRPr="002C5876" w:rsidRDefault="00E24DB7" w:rsidP="00E24DB7">
      <w:pPr>
        <w:pStyle w:val="SingleTxtG"/>
        <w:keepNext/>
        <w:ind w:left="2268"/>
      </w:pPr>
      <w:r w:rsidRPr="002C5876">
        <w:t>La résistance à l’avancement sur route simulée pour chaque vitesse de référence v</w:t>
      </w:r>
      <w:r w:rsidRPr="002C5876">
        <w:rPr>
          <w:vertAlign w:val="subscript"/>
        </w:rPr>
        <w:t xml:space="preserve">j </w:t>
      </w:r>
      <w:r w:rsidRPr="002C5876">
        <w:t>doit être déterminée au moyen de l’équation suivante, sur la base des valeurs calculées d’A</w:t>
      </w:r>
      <w:r w:rsidRPr="002C5876">
        <w:rPr>
          <w:vertAlign w:val="subscript"/>
        </w:rPr>
        <w:t>s</w:t>
      </w:r>
      <w:r w:rsidRPr="002C5876">
        <w:t>, B</w:t>
      </w:r>
      <w:r w:rsidRPr="002C5876">
        <w:rPr>
          <w:vertAlign w:val="subscript"/>
        </w:rPr>
        <w:t>s</w:t>
      </w:r>
      <w:r w:rsidRPr="002C5876">
        <w:t xml:space="preserve"> et C</w:t>
      </w:r>
      <w:r w:rsidRPr="002C5876">
        <w:rPr>
          <w:vertAlign w:val="subscript"/>
        </w:rPr>
        <w:t>s</w:t>
      </w:r>
      <w:r w:rsidRPr="002C5876">
        <w:t> :</w:t>
      </w:r>
    </w:p>
    <w:p w:rsidR="00E24DB7" w:rsidRPr="002C5876" w:rsidRDefault="00731CA6" w:rsidP="00E24DB7">
      <w:pPr>
        <w:pStyle w:val="SingleTxtG"/>
        <w:keepNext/>
        <w:ind w:left="2268"/>
        <w:jc w:val="center"/>
      </w:pPr>
      <m:oMathPara>
        <m:oMath>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sj</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s</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s</m:t>
              </m:r>
            </m:sub>
          </m:sSub>
          <m:r>
            <w:rPr>
              <w:rFonts w:ascii="Cambria Math" w:hAnsi="Cambria Math" w:cstheme="majorBidi"/>
            </w:rPr>
            <m:t xml:space="preserve"> × </m:t>
          </m:r>
          <m:sSub>
            <m:sSubPr>
              <m:ctrlPr>
                <w:rPr>
                  <w:rFonts w:ascii="Cambria Math" w:hAnsi="Cambria Math" w:cstheme="majorBidi"/>
                </w:rPr>
              </m:ctrlPr>
            </m:sSubPr>
            <m:e>
              <m:r>
                <m:rPr>
                  <m:sty m:val="p"/>
                </m:rPr>
                <w:rPr>
                  <w:rFonts w:ascii="Cambria Math" w:hAnsi="Cambria Math" w:cstheme="majorBidi"/>
                </w:rPr>
                <m:t>v</m:t>
              </m:r>
            </m:e>
            <m:sub>
              <m:r>
                <m:rPr>
                  <m:sty m:val="p"/>
                </m:rPr>
                <w:rPr>
                  <w:rFonts w:ascii="Cambria Math" w:hAnsi="Cambria Math" w:cstheme="majorBidi"/>
                </w:rPr>
                <m:t>j</m:t>
              </m:r>
            </m:sub>
          </m:sSub>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s</m:t>
              </m:r>
            </m:sub>
          </m:sSub>
          <m:r>
            <w:rPr>
              <w:rFonts w:ascii="Cambria Math" w:hAnsi="Cambria Math" w:cstheme="majorBidi"/>
            </w:rPr>
            <m:t>×</m:t>
          </m:r>
          <m:sSubSup>
            <m:sSubSupPr>
              <m:ctrlPr>
                <w:rPr>
                  <w:rFonts w:ascii="Cambria Math" w:hAnsi="Cambria Math" w:cstheme="majorBidi"/>
                </w:rPr>
              </m:ctrlPr>
            </m:sSubSupPr>
            <m:e>
              <m:r>
                <m:rPr>
                  <m:sty m:val="p"/>
                </m:rPr>
                <w:rPr>
                  <w:rFonts w:ascii="Cambria Math" w:hAnsi="Cambria Math" w:cstheme="majorBidi"/>
                </w:rPr>
                <m:t>v</m:t>
              </m:r>
            </m:e>
            <m:sub>
              <m:r>
                <m:rPr>
                  <m:sty m:val="p"/>
                </m:rPr>
                <w:rPr>
                  <w:rFonts w:ascii="Cambria Math" w:hAnsi="Cambria Math" w:cstheme="majorBidi"/>
                </w:rPr>
                <m:t>j</m:t>
              </m:r>
            </m:sub>
            <m:sup>
              <m:r>
                <m:rPr>
                  <m:sty m:val="p"/>
                </m:rPr>
                <w:rPr>
                  <w:rFonts w:ascii="Cambria Math" w:hAnsi="Cambria Math" w:cstheme="majorBidi"/>
                </w:rPr>
                <m:t>2</m:t>
              </m:r>
            </m:sup>
          </m:sSubSup>
        </m:oMath>
      </m:oMathPara>
    </w:p>
    <w:p w:rsidR="00E24DB7" w:rsidRPr="002C5876" w:rsidRDefault="00E24DB7" w:rsidP="00E24DB7">
      <w:pPr>
        <w:pStyle w:val="SingleTxtG"/>
        <w:ind w:left="2268" w:hanging="1134"/>
      </w:pPr>
      <w:r w:rsidRPr="002C5876">
        <w:t>8.1.3.4</w:t>
      </w:r>
      <w:r w:rsidRPr="002C5876">
        <w:tab/>
        <w:t>Pour le réglage de la force résistante, deux méthodes différentes peuvent être appliquées. Si le véhicule est accéléré par le banc, les méthodes décrites au paragraphe 8.1.3.4.1 de la présente annexe doivent être utilisées. Si le véhicule accélère par ses propres moyens, les méthodes des paragraphes 8.1.3.4.1 ou 8.1.3.4.2 de la présente annexe doivent être utilisées et l’accélération multipliée par la vitesse doit être d’au moins 6 m</w:t>
      </w:r>
      <w:r w:rsidRPr="002C5876">
        <w:rPr>
          <w:vertAlign w:val="superscript"/>
        </w:rPr>
        <w:t>2</w:t>
      </w:r>
      <w:r w:rsidRPr="002C5876">
        <w:t>/sec</w:t>
      </w:r>
      <w:r w:rsidRPr="002C5876">
        <w:rPr>
          <w:vertAlign w:val="superscript"/>
        </w:rPr>
        <w:t>3</w:t>
      </w:r>
      <w:r w:rsidRPr="002C5876">
        <w:t>. Si le chiffre de 6 m</w:t>
      </w:r>
      <w:r w:rsidRPr="002C5876">
        <w:rPr>
          <w:vertAlign w:val="superscript"/>
        </w:rPr>
        <w:t>2</w:t>
      </w:r>
      <w:r w:rsidRPr="002C5876">
        <w:t>/sec</w:t>
      </w:r>
      <w:r w:rsidRPr="002C5876">
        <w:rPr>
          <w:vertAlign w:val="superscript"/>
        </w:rPr>
        <w:t>3</w:t>
      </w:r>
      <w:r w:rsidRPr="002C5876">
        <w:t xml:space="preserve"> ne peut pas être atteint, l’essai doit être réalisé avec la commande d’accélération actionnée à fond.</w:t>
      </w:r>
    </w:p>
    <w:p w:rsidR="00E24DB7" w:rsidRPr="002C5876" w:rsidRDefault="00E24DB7" w:rsidP="00E24DB7">
      <w:pPr>
        <w:pStyle w:val="SingleTxtG"/>
        <w:ind w:left="2268" w:hanging="1134"/>
      </w:pPr>
      <w:r w:rsidRPr="002C5876">
        <w:t>8.1.3.4.1</w:t>
      </w:r>
      <w:r w:rsidRPr="002C5876">
        <w:tab/>
        <w:t>Méthode des parcours fixes</w:t>
      </w:r>
    </w:p>
    <w:p w:rsidR="00E24DB7" w:rsidRPr="002C5876" w:rsidRDefault="00E24DB7" w:rsidP="00E24DB7">
      <w:pPr>
        <w:pStyle w:val="SingleTxtG"/>
        <w:ind w:left="2268" w:hanging="1134"/>
      </w:pPr>
      <w:r w:rsidRPr="002C5876">
        <w:t>8.1.3.4.1.1</w:t>
      </w:r>
      <w:r w:rsidRPr="002C5876">
        <w:tab/>
        <w:t xml:space="preserve">Le logiciel de commande du banc doit exécuter quatre essais de décélération libre au total. À partir du premier essai, les coefficients de réglage du dynamomètre pour le second essai doivent être calculés conformément au paragraphe 8.1.4 de la présente annexe. Après la première décélération libre, logiciel de commande doit exécuter 3 essais de décélération libre </w:t>
      </w:r>
      <w:r w:rsidRPr="002C5876">
        <w:lastRenderedPageBreak/>
        <w:t>supplémentaires avec soit les coefficients fixes de réglage du dynamomètre déterminés après la première décélération, soit les coefficients ajustés de réglage déterminés conformément au paragraphe 8.1.4 de la présente annexe.</w:t>
      </w:r>
    </w:p>
    <w:p w:rsidR="00E24DB7" w:rsidRPr="002C5876" w:rsidRDefault="00E24DB7" w:rsidP="00E24DB7">
      <w:pPr>
        <w:pStyle w:val="SingleTxtG"/>
        <w:keepNext/>
        <w:ind w:left="2268" w:hanging="1134"/>
      </w:pPr>
      <w:r w:rsidRPr="002C5876">
        <w:t>8.1.3.4.1.2</w:t>
      </w:r>
      <w:r w:rsidRPr="002C5876">
        <w:tab/>
        <w:t>Les coefficients finals de réglage du dynamomètre A, B et C doivent être calculés au moyen des équations suivantes :</w:t>
      </w:r>
    </w:p>
    <w:p w:rsidR="00E24DB7" w:rsidRPr="002C5876" w:rsidRDefault="00E24DB7" w:rsidP="00E24DB7">
      <w:pPr>
        <w:pStyle w:val="SingleTxtG"/>
        <w:ind w:left="2268"/>
        <w:jc w:val="center"/>
      </w:pPr>
      <m:oMathPara>
        <m:oMath>
          <m:r>
            <m:rPr>
              <m:sty m:val="p"/>
            </m:rPr>
            <w:rPr>
              <w:rFonts w:ascii="Cambria Math" w:hAnsi="Cambria Math" w:cstheme="majorBidi"/>
            </w:rPr>
            <m:t>A=</m:t>
          </m:r>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t</m:t>
              </m:r>
            </m:sub>
          </m:sSub>
          <m:r>
            <m:rPr>
              <m:sty m:val="p"/>
            </m:rPr>
            <w:rPr>
              <w:rFonts w:ascii="Cambria Math" w:hAnsi="Cambria Math" w:cstheme="majorBidi"/>
            </w:rPr>
            <m:t>-</m:t>
          </m:r>
          <m:f>
            <m:fPr>
              <m:ctrlPr>
                <w:rPr>
                  <w:rFonts w:ascii="Cambria Math" w:hAnsi="Cambria Math" w:cstheme="majorBidi"/>
                </w:rPr>
              </m:ctrlPr>
            </m:fPr>
            <m:num>
              <m:nary>
                <m:naryPr>
                  <m:chr m:val="∑"/>
                  <m:limLoc m:val="undOvr"/>
                  <m:ctrlPr>
                    <w:rPr>
                      <w:rFonts w:ascii="Cambria Math" w:hAnsi="Cambria Math" w:cstheme="majorBidi"/>
                    </w:rPr>
                  </m:ctrlPr>
                </m:naryPr>
                <m:sub>
                  <m:r>
                    <m:rPr>
                      <m:sty m:val="p"/>
                    </m:rPr>
                    <w:rPr>
                      <w:rFonts w:ascii="Cambria Math" w:hAnsi="Cambria Math" w:cstheme="majorBidi"/>
                    </w:rPr>
                    <m:t>n=2</m:t>
                  </m:r>
                </m:sub>
                <m:sup>
                  <m:r>
                    <m:rPr>
                      <m:sty m:val="p"/>
                    </m:rPr>
                    <w:rPr>
                      <w:rFonts w:ascii="Cambria Math" w:hAnsi="Cambria Math" w:cstheme="majorBidi"/>
                    </w:rPr>
                    <m:t>4</m:t>
                  </m:r>
                </m:sup>
                <m:e>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A</m:t>
                          </m:r>
                        </m:e>
                        <m:sub>
                          <m:sSub>
                            <m:sSubPr>
                              <m:ctrlPr>
                                <w:rPr>
                                  <w:rFonts w:ascii="Cambria Math" w:hAnsi="Cambria Math" w:cstheme="majorBidi"/>
                                </w:rPr>
                              </m:ctrlPr>
                            </m:sSubPr>
                            <m:e>
                              <m:r>
                                <m:rPr>
                                  <m:sty m:val="p"/>
                                </m:rPr>
                                <w:rPr>
                                  <w:rFonts w:ascii="Cambria Math" w:hAnsi="Cambria Math" w:cstheme="majorBidi"/>
                                </w:rPr>
                                <m:t>s</m:t>
                              </m:r>
                            </m:e>
                            <m:sub>
                              <m:r>
                                <m:rPr>
                                  <m:sty m:val="p"/>
                                </m:rPr>
                                <w:rPr>
                                  <w:rFonts w:ascii="Cambria Math" w:hAnsi="Cambria Math" w:cstheme="majorBidi"/>
                                </w:rPr>
                                <m:t>n</m:t>
                              </m:r>
                            </m:sub>
                          </m:sSub>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A</m:t>
                          </m:r>
                        </m:e>
                        <m:sub>
                          <m:sSub>
                            <m:sSubPr>
                              <m:ctrlPr>
                                <w:rPr>
                                  <w:rFonts w:ascii="Cambria Math" w:hAnsi="Cambria Math" w:cstheme="majorBidi"/>
                                </w:rPr>
                              </m:ctrlPr>
                            </m:sSubPr>
                            <m:e>
                              <m:r>
                                <m:rPr>
                                  <m:sty m:val="p"/>
                                </m:rPr>
                                <w:rPr>
                                  <w:rFonts w:ascii="Cambria Math" w:hAnsi="Cambria Math" w:cstheme="majorBidi"/>
                                </w:rPr>
                                <m:t>d</m:t>
                              </m:r>
                            </m:e>
                            <m:sub>
                              <m:r>
                                <m:rPr>
                                  <m:sty m:val="p"/>
                                </m:rPr>
                                <w:rPr>
                                  <w:rFonts w:ascii="Cambria Math" w:hAnsi="Cambria Math" w:cstheme="majorBidi"/>
                                </w:rPr>
                                <m:t>n</m:t>
                              </m:r>
                            </m:sub>
                          </m:sSub>
                        </m:sub>
                      </m:sSub>
                    </m:e>
                  </m:d>
                </m:e>
              </m:nary>
            </m:num>
            <m:den>
              <m:r>
                <m:rPr>
                  <m:sty m:val="p"/>
                </m:rPr>
                <w:rPr>
                  <w:rFonts w:ascii="Cambria Math" w:hAnsi="Cambria Math" w:cstheme="majorBidi"/>
                </w:rPr>
                <m:t>3</m:t>
              </m:r>
            </m:den>
          </m:f>
        </m:oMath>
      </m:oMathPara>
    </w:p>
    <w:p w:rsidR="00E24DB7" w:rsidRPr="002C5876" w:rsidRDefault="00E24DB7" w:rsidP="00E24DB7">
      <w:pPr>
        <w:pStyle w:val="SingleTxtG"/>
        <w:ind w:left="2268"/>
        <w:jc w:val="center"/>
      </w:pPr>
      <m:oMathPara>
        <m:oMath>
          <m:r>
            <m:rPr>
              <m:sty m:val="p"/>
            </m:rPr>
            <w:rPr>
              <w:rFonts w:ascii="Cambria Math" w:hAnsi="Cambria Math" w:cstheme="majorBidi"/>
            </w:rPr>
            <m:t>B=</m:t>
          </m:r>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t</m:t>
              </m:r>
            </m:sub>
          </m:sSub>
          <m:r>
            <m:rPr>
              <m:sty m:val="p"/>
            </m:rPr>
            <w:rPr>
              <w:rFonts w:ascii="Cambria Math" w:hAnsi="Cambria Math" w:cstheme="majorBidi"/>
            </w:rPr>
            <m:t>-</m:t>
          </m:r>
          <m:f>
            <m:fPr>
              <m:ctrlPr>
                <w:rPr>
                  <w:rFonts w:ascii="Cambria Math" w:hAnsi="Cambria Math" w:cstheme="majorBidi"/>
                </w:rPr>
              </m:ctrlPr>
            </m:fPr>
            <m:num>
              <m:nary>
                <m:naryPr>
                  <m:chr m:val="∑"/>
                  <m:limLoc m:val="undOvr"/>
                  <m:ctrlPr>
                    <w:rPr>
                      <w:rFonts w:ascii="Cambria Math" w:hAnsi="Cambria Math" w:cstheme="majorBidi"/>
                    </w:rPr>
                  </m:ctrlPr>
                </m:naryPr>
                <m:sub>
                  <m:r>
                    <m:rPr>
                      <m:sty m:val="p"/>
                    </m:rPr>
                    <w:rPr>
                      <w:rFonts w:ascii="Cambria Math" w:hAnsi="Cambria Math" w:cstheme="majorBidi"/>
                    </w:rPr>
                    <m:t>n=2</m:t>
                  </m:r>
                </m:sub>
                <m:sup>
                  <m:r>
                    <m:rPr>
                      <m:sty m:val="p"/>
                    </m:rPr>
                    <w:rPr>
                      <w:rFonts w:ascii="Cambria Math" w:hAnsi="Cambria Math" w:cstheme="majorBidi"/>
                    </w:rPr>
                    <m:t>4</m:t>
                  </m:r>
                </m:sup>
                <m:e>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B</m:t>
                          </m:r>
                        </m:e>
                        <m:sub>
                          <m:sSub>
                            <m:sSubPr>
                              <m:ctrlPr>
                                <w:rPr>
                                  <w:rFonts w:ascii="Cambria Math" w:hAnsi="Cambria Math" w:cstheme="majorBidi"/>
                                </w:rPr>
                              </m:ctrlPr>
                            </m:sSubPr>
                            <m:e>
                              <m:r>
                                <m:rPr>
                                  <m:sty m:val="p"/>
                                </m:rPr>
                                <w:rPr>
                                  <w:rFonts w:ascii="Cambria Math" w:hAnsi="Cambria Math" w:cstheme="majorBidi"/>
                                </w:rPr>
                                <m:t>s</m:t>
                              </m:r>
                            </m:e>
                            <m:sub>
                              <m:r>
                                <m:rPr>
                                  <m:sty m:val="p"/>
                                </m:rPr>
                                <w:rPr>
                                  <w:rFonts w:ascii="Cambria Math" w:hAnsi="Cambria Math" w:cstheme="majorBidi"/>
                                </w:rPr>
                                <m:t>n</m:t>
                              </m:r>
                            </m:sub>
                          </m:sSub>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B</m:t>
                          </m:r>
                        </m:e>
                        <m:sub>
                          <m:sSub>
                            <m:sSubPr>
                              <m:ctrlPr>
                                <w:rPr>
                                  <w:rFonts w:ascii="Cambria Math" w:hAnsi="Cambria Math" w:cstheme="majorBidi"/>
                                </w:rPr>
                              </m:ctrlPr>
                            </m:sSubPr>
                            <m:e>
                              <m:r>
                                <m:rPr>
                                  <m:sty m:val="p"/>
                                </m:rPr>
                                <w:rPr>
                                  <w:rFonts w:ascii="Cambria Math" w:hAnsi="Cambria Math" w:cstheme="majorBidi"/>
                                </w:rPr>
                                <m:t>d</m:t>
                              </m:r>
                            </m:e>
                            <m:sub>
                              <m:r>
                                <m:rPr>
                                  <m:sty m:val="p"/>
                                </m:rPr>
                                <w:rPr>
                                  <w:rFonts w:ascii="Cambria Math" w:hAnsi="Cambria Math" w:cstheme="majorBidi"/>
                                </w:rPr>
                                <m:t>n</m:t>
                              </m:r>
                            </m:sub>
                          </m:sSub>
                        </m:sub>
                      </m:sSub>
                    </m:e>
                  </m:d>
                </m:e>
              </m:nary>
            </m:num>
            <m:den>
              <m:r>
                <m:rPr>
                  <m:sty m:val="p"/>
                </m:rPr>
                <w:rPr>
                  <w:rFonts w:ascii="Cambria Math" w:hAnsi="Cambria Math" w:cstheme="majorBidi"/>
                </w:rPr>
                <m:t>3</m:t>
              </m:r>
            </m:den>
          </m:f>
        </m:oMath>
      </m:oMathPara>
    </w:p>
    <w:p w:rsidR="00E24DB7" w:rsidRPr="002C5876" w:rsidRDefault="00E24DB7" w:rsidP="00E24DB7">
      <w:pPr>
        <w:ind w:left="2268" w:right="1134"/>
        <w:jc w:val="center"/>
        <w:rPr>
          <w:b/>
        </w:rPr>
      </w:pPr>
      <m:oMathPara>
        <m:oMathParaPr>
          <m:jc m:val="center"/>
        </m:oMathParaPr>
        <m:oMath>
          <m:r>
            <m:rPr>
              <m:sty m:val="p"/>
            </m:rPr>
            <w:rPr>
              <w:rFonts w:ascii="Cambria Math" w:hAnsi="Cambria Math" w:cstheme="majorBidi"/>
            </w:rPr>
            <m:t>C=</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t</m:t>
              </m:r>
            </m:sub>
          </m:sSub>
          <m:r>
            <m:rPr>
              <m:sty m:val="p"/>
            </m:rPr>
            <w:rPr>
              <w:rFonts w:ascii="Cambria Math" w:hAnsi="Cambria Math" w:cstheme="majorBidi"/>
            </w:rPr>
            <m:t>-</m:t>
          </m:r>
          <m:f>
            <m:fPr>
              <m:ctrlPr>
                <w:rPr>
                  <w:rFonts w:ascii="Cambria Math" w:hAnsi="Cambria Math" w:cstheme="majorBidi"/>
                </w:rPr>
              </m:ctrlPr>
            </m:fPr>
            <m:num>
              <m:nary>
                <m:naryPr>
                  <m:chr m:val="∑"/>
                  <m:limLoc m:val="undOvr"/>
                  <m:ctrlPr>
                    <w:rPr>
                      <w:rFonts w:ascii="Cambria Math" w:hAnsi="Cambria Math" w:cstheme="majorBidi"/>
                    </w:rPr>
                  </m:ctrlPr>
                </m:naryPr>
                <m:sub>
                  <m:r>
                    <m:rPr>
                      <m:sty m:val="p"/>
                    </m:rPr>
                    <w:rPr>
                      <w:rFonts w:ascii="Cambria Math" w:hAnsi="Cambria Math" w:cstheme="majorBidi"/>
                    </w:rPr>
                    <m:t>n=2</m:t>
                  </m:r>
                </m:sub>
                <m:sup>
                  <m:r>
                    <m:rPr>
                      <m:sty m:val="p"/>
                    </m:rPr>
                    <w:rPr>
                      <w:rFonts w:ascii="Cambria Math" w:hAnsi="Cambria Math" w:cstheme="majorBidi"/>
                    </w:rPr>
                    <m:t>4</m:t>
                  </m:r>
                </m:sup>
                <m:e>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C</m:t>
                          </m:r>
                        </m:e>
                        <m:sub>
                          <m:sSub>
                            <m:sSubPr>
                              <m:ctrlPr>
                                <w:rPr>
                                  <w:rFonts w:ascii="Cambria Math" w:hAnsi="Cambria Math" w:cstheme="majorBidi"/>
                                </w:rPr>
                              </m:ctrlPr>
                            </m:sSubPr>
                            <m:e>
                              <m:r>
                                <m:rPr>
                                  <m:sty m:val="p"/>
                                </m:rPr>
                                <w:rPr>
                                  <w:rFonts w:ascii="Cambria Math" w:hAnsi="Cambria Math" w:cstheme="majorBidi"/>
                                </w:rPr>
                                <m:t>s</m:t>
                              </m:r>
                            </m:e>
                            <m:sub>
                              <m:r>
                                <m:rPr>
                                  <m:sty m:val="p"/>
                                </m:rPr>
                                <w:rPr>
                                  <w:rFonts w:ascii="Cambria Math" w:hAnsi="Cambria Math" w:cstheme="majorBidi"/>
                                </w:rPr>
                                <m:t>n</m:t>
                              </m:r>
                            </m:sub>
                          </m:sSub>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sSub>
                            <m:sSubPr>
                              <m:ctrlPr>
                                <w:rPr>
                                  <w:rFonts w:ascii="Cambria Math" w:hAnsi="Cambria Math" w:cstheme="majorBidi"/>
                                </w:rPr>
                              </m:ctrlPr>
                            </m:sSubPr>
                            <m:e>
                              <m:r>
                                <m:rPr>
                                  <m:sty m:val="p"/>
                                </m:rPr>
                                <w:rPr>
                                  <w:rFonts w:ascii="Cambria Math" w:hAnsi="Cambria Math" w:cstheme="majorBidi"/>
                                </w:rPr>
                                <m:t>d</m:t>
                              </m:r>
                            </m:e>
                            <m:sub>
                              <m:r>
                                <m:rPr>
                                  <m:sty m:val="p"/>
                                </m:rPr>
                                <w:rPr>
                                  <w:rFonts w:ascii="Cambria Math" w:hAnsi="Cambria Math" w:cstheme="majorBidi"/>
                                </w:rPr>
                                <m:t>n</m:t>
                              </m:r>
                            </m:sub>
                          </m:sSub>
                        </m:sub>
                      </m:sSub>
                    </m:e>
                  </m:d>
                </m:e>
              </m:nary>
            </m:num>
            <m:den>
              <m:r>
                <m:rPr>
                  <m:sty m:val="p"/>
                </m:rPr>
                <w:rPr>
                  <w:rFonts w:ascii="Cambria Math" w:hAnsi="Cambria Math" w:cstheme="majorBidi"/>
                </w:rPr>
                <m:t>3</m:t>
              </m:r>
            </m:den>
          </m:f>
        </m:oMath>
      </m:oMathPara>
    </w:p>
    <w:p w:rsidR="00E24DB7" w:rsidRPr="002C5876" w:rsidRDefault="00E24DB7" w:rsidP="00E24DB7">
      <w:pPr>
        <w:pStyle w:val="SingleTxtG"/>
        <w:keepNext/>
        <w:ind w:left="2268"/>
        <w:jc w:val="left"/>
      </w:pPr>
      <w:r w:rsidRPr="002C5876">
        <w:t>où :</w:t>
      </w:r>
    </w:p>
    <w:p w:rsidR="00E24DB7" w:rsidRPr="002C5876" w:rsidRDefault="00E24DB7" w:rsidP="00E24DB7">
      <w:pPr>
        <w:pStyle w:val="SingleTxtG"/>
        <w:ind w:left="3969" w:hanging="1701"/>
      </w:pPr>
      <w:r w:rsidRPr="002C5876">
        <w:t>A</w:t>
      </w:r>
      <w:r w:rsidRPr="002C5876">
        <w:rPr>
          <w:vertAlign w:val="subscript"/>
        </w:rPr>
        <w:t>t</w:t>
      </w:r>
      <w:r w:rsidRPr="002C5876">
        <w:t>, B</w:t>
      </w:r>
      <w:r w:rsidRPr="002C5876">
        <w:rPr>
          <w:vertAlign w:val="subscript"/>
        </w:rPr>
        <w:t>t</w:t>
      </w:r>
      <w:r w:rsidRPr="002C5876">
        <w:t xml:space="preserve"> et C</w:t>
      </w:r>
      <w:r w:rsidRPr="002C5876">
        <w:rPr>
          <w:vertAlign w:val="subscript"/>
        </w:rPr>
        <w:t>t</w:t>
      </w:r>
      <w:r w:rsidRPr="002C5876">
        <w:tab/>
        <w:t>sont les paramètres de la résistance à l’avancement sur route visée f</w:t>
      </w:r>
      <w:r w:rsidRPr="002C5876">
        <w:rPr>
          <w:vertAlign w:val="subscript"/>
        </w:rPr>
        <w:t>0</w:t>
      </w:r>
      <w:r w:rsidRPr="002C5876">
        <w:t>, f</w:t>
      </w:r>
      <w:r w:rsidRPr="002C5876">
        <w:rPr>
          <w:vertAlign w:val="subscript"/>
        </w:rPr>
        <w:t>1</w:t>
      </w:r>
      <w:r w:rsidRPr="002C5876">
        <w:t xml:space="preserve"> et f</w:t>
      </w:r>
      <w:r w:rsidRPr="002C5876">
        <w:rPr>
          <w:vertAlign w:val="subscript"/>
        </w:rPr>
        <w:t>2</w:t>
      </w:r>
      <w:r w:rsidRPr="002C5876">
        <w:t xml:space="preserve"> respectivement ;</w:t>
      </w:r>
    </w:p>
    <w:p w:rsidR="00E24DB7" w:rsidRPr="002C5876" w:rsidRDefault="00E24DB7" w:rsidP="00E24DB7">
      <w:pPr>
        <w:pStyle w:val="SingleTxtG"/>
        <w:ind w:left="3969" w:hanging="1701"/>
      </w:pPr>
      <w:r w:rsidRPr="002C5876">
        <w:rPr>
          <w:noProof/>
          <w:position w:val="-14"/>
          <w:lang w:val="en-GB" w:eastAsia="zh-CN"/>
        </w:rPr>
        <w:drawing>
          <wp:inline distT="0" distB="0" distL="0" distR="0" wp14:anchorId="23C4F6E1" wp14:editId="563FDC95">
            <wp:extent cx="228600" cy="219075"/>
            <wp:effectExtent l="0" t="0" r="0" b="9525"/>
            <wp:docPr id="436"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2C5876">
        <w:t xml:space="preserve">, </w:t>
      </w:r>
      <w:r w:rsidRPr="002C5876">
        <w:rPr>
          <w:noProof/>
          <w:position w:val="-14"/>
          <w:lang w:val="en-GB" w:eastAsia="zh-CN"/>
        </w:rPr>
        <w:drawing>
          <wp:inline distT="0" distB="0" distL="0" distR="0" wp14:anchorId="6AFE2338" wp14:editId="329A10D5">
            <wp:extent cx="228600" cy="219075"/>
            <wp:effectExtent l="0" t="0" r="0" b="9525"/>
            <wp:docPr id="435"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2C5876">
        <w:t xml:space="preserve">et </w:t>
      </w:r>
      <w:r w:rsidRPr="002C5876">
        <w:rPr>
          <w:noProof/>
          <w:position w:val="-14"/>
          <w:lang w:val="en-GB" w:eastAsia="zh-CN"/>
        </w:rPr>
        <w:drawing>
          <wp:inline distT="0" distB="0" distL="0" distR="0" wp14:anchorId="5B848E06" wp14:editId="0749636F">
            <wp:extent cx="228600" cy="219075"/>
            <wp:effectExtent l="0" t="0" r="0" b="9525"/>
            <wp:docPr id="434"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2C5876">
        <w:tab/>
        <w:t>sont les coefficients de résistance à l’avancement sur route simulée du n</w:t>
      </w:r>
      <w:r w:rsidRPr="002C5876">
        <w:rPr>
          <w:vertAlign w:val="superscript"/>
        </w:rPr>
        <w:t>e</w:t>
      </w:r>
      <w:r w:rsidRPr="002C5876">
        <w:t xml:space="preserve"> essai ;</w:t>
      </w:r>
    </w:p>
    <w:p w:rsidR="00E24DB7" w:rsidRPr="002C5876" w:rsidRDefault="00E24DB7" w:rsidP="00E24DB7">
      <w:pPr>
        <w:pStyle w:val="SingleTxtG"/>
        <w:ind w:left="3969" w:hanging="1701"/>
      </w:pPr>
      <w:r w:rsidRPr="002C5876">
        <w:rPr>
          <w:noProof/>
          <w:position w:val="-14"/>
          <w:lang w:val="en-GB" w:eastAsia="zh-CN"/>
        </w:rPr>
        <w:drawing>
          <wp:inline distT="0" distB="0" distL="0" distR="0" wp14:anchorId="25785857" wp14:editId="14E1D23B">
            <wp:extent cx="266700" cy="219075"/>
            <wp:effectExtent l="0" t="0" r="0" b="9525"/>
            <wp:docPr id="433"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2C5876">
        <w:t xml:space="preserve">, </w:t>
      </w:r>
      <w:r w:rsidRPr="002C5876">
        <w:rPr>
          <w:noProof/>
          <w:position w:val="-14"/>
          <w:lang w:val="en-GB" w:eastAsia="zh-CN"/>
        </w:rPr>
        <w:drawing>
          <wp:inline distT="0" distB="0" distL="0" distR="0" wp14:anchorId="364AE5FE" wp14:editId="726622D4">
            <wp:extent cx="247650" cy="219075"/>
            <wp:effectExtent l="0" t="0" r="0" b="9525"/>
            <wp:docPr id="432"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2C5876">
        <w:t xml:space="preserve">et </w:t>
      </w:r>
      <w:r w:rsidRPr="002C5876">
        <w:rPr>
          <w:noProof/>
          <w:position w:val="-14"/>
          <w:lang w:val="en-GB" w:eastAsia="zh-CN"/>
        </w:rPr>
        <w:drawing>
          <wp:inline distT="0" distB="0" distL="0" distR="0" wp14:anchorId="53530BE3" wp14:editId="33FBDA75">
            <wp:extent cx="247650" cy="219075"/>
            <wp:effectExtent l="0" t="0" r="0" b="9525"/>
            <wp:docPr id="431"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2C5876">
        <w:tab/>
        <w:t>sont les coefficients de réglage du dynamomètre du n</w:t>
      </w:r>
      <w:r w:rsidRPr="002C5876">
        <w:rPr>
          <w:vertAlign w:val="superscript"/>
        </w:rPr>
        <w:t>e</w:t>
      </w:r>
      <w:r w:rsidRPr="002C5876">
        <w:t xml:space="preserve"> essai ;</w:t>
      </w:r>
    </w:p>
    <w:p w:rsidR="00E24DB7" w:rsidRPr="002C5876" w:rsidRDefault="00E24DB7" w:rsidP="00E24DB7">
      <w:pPr>
        <w:pStyle w:val="SingleTxtG"/>
        <w:ind w:left="3969" w:hanging="1701"/>
      </w:pPr>
      <w:r w:rsidRPr="002C5876">
        <w:t>n</w:t>
      </w:r>
      <w:r w:rsidRPr="002C5876">
        <w:tab/>
      </w:r>
      <w:r w:rsidRPr="002C5876">
        <w:tab/>
        <w:t>est le numéro d’ordre des essais de décélération, premier essai de stabilisation compris.</w:t>
      </w:r>
    </w:p>
    <w:p w:rsidR="00E24DB7" w:rsidRPr="002C5876" w:rsidRDefault="00E24DB7" w:rsidP="00E24DB7">
      <w:pPr>
        <w:pStyle w:val="SingleTxtG"/>
        <w:keepNext/>
        <w:ind w:left="2268" w:hanging="1134"/>
        <w:jc w:val="left"/>
      </w:pPr>
      <w:r w:rsidRPr="002C5876">
        <w:t>8.1.3.4.2</w:t>
      </w:r>
      <w:r w:rsidRPr="002C5876">
        <w:tab/>
        <w:t>Méthode par itération</w:t>
      </w:r>
    </w:p>
    <w:p w:rsidR="00E24DB7" w:rsidRPr="002C5876" w:rsidRDefault="00E24DB7" w:rsidP="00E24DB7">
      <w:pPr>
        <w:pStyle w:val="SingleTxtG"/>
        <w:ind w:left="2268"/>
      </w:pPr>
      <w:r w:rsidRPr="002C5876">
        <w:t xml:space="preserve">Les forces calculées dans les plages de vitesse spécifiées doivent demeurer dans une fourchette de </w:t>
      </w:r>
      <w:r w:rsidRPr="002C5876">
        <w:sym w:font="Symbol" w:char="F0B1"/>
      </w:r>
      <w:r w:rsidRPr="002C5876">
        <w:t>10 N par rapport aux valeurs visées après une régression par la méthode des moindres carrés des forces pour deux essais consécutifs de décélération libre. À défaut, des essais de décélération supplémentaires doivent être exécutés après ajustement du réglage de la force résistante sur le banc à rouleaux conformément au paragraphe 8.1.4 de la présente annexe, jusqu’à ce qu’il soit satisfait à cette tolérance.</w:t>
      </w:r>
    </w:p>
    <w:p w:rsidR="00E24DB7" w:rsidRPr="002C5876" w:rsidRDefault="00E24DB7" w:rsidP="00E24DB7">
      <w:pPr>
        <w:pStyle w:val="SingleTxtG"/>
        <w:keepNext/>
        <w:ind w:left="2268" w:hanging="1134"/>
        <w:jc w:val="left"/>
      </w:pPr>
      <w:r w:rsidRPr="002C5876">
        <w:t>8.1.4</w:t>
      </w:r>
      <w:r w:rsidRPr="002C5876">
        <w:tab/>
        <w:t xml:space="preserve">Ajustement </w:t>
      </w:r>
    </w:p>
    <w:p w:rsidR="00E24DB7" w:rsidRPr="002C5876" w:rsidRDefault="00E24DB7" w:rsidP="00E24DB7">
      <w:pPr>
        <w:pStyle w:val="SingleTxtG"/>
        <w:ind w:left="2268"/>
      </w:pPr>
      <w:r w:rsidRPr="002C5876">
        <w:t>Le réglage de la force résistante sur le banc à rouleaux doit être ajusté conformément aux équations ci-après :</w:t>
      </w:r>
    </w:p>
    <w:p w:rsidR="00E24DB7" w:rsidRPr="002C5876" w:rsidRDefault="00731CA6" w:rsidP="00E24DB7">
      <w:pPr>
        <w:pStyle w:val="SingleTxtG"/>
        <w:ind w:left="2268"/>
      </w:pPr>
      <m:oMathPara>
        <m:oMathParaPr>
          <m:jc m:val="left"/>
        </m:oMathParaPr>
        <m:oMath>
          <m:sSubSup>
            <m:sSubSupPr>
              <m:ctrlPr>
                <w:rPr>
                  <w:rFonts w:ascii="Cambria Math" w:hAnsi="Cambria Math" w:cstheme="majorBidi"/>
                </w:rPr>
              </m:ctrlPr>
            </m:sSubSupPr>
            <m:e>
              <m:r>
                <m:rPr>
                  <m:sty m:val="p"/>
                </m:rPr>
                <w:rPr>
                  <w:rFonts w:ascii="Cambria Math" w:hAnsi="Cambria Math" w:cstheme="majorBidi"/>
                </w:rPr>
                <m:t>F</m:t>
              </m:r>
            </m:e>
            <m:sub>
              <m:r>
                <m:rPr>
                  <m:sty m:val="p"/>
                </m:rPr>
                <w:rPr>
                  <w:rFonts w:ascii="Cambria Math" w:hAnsi="Cambria Math" w:cstheme="majorBidi"/>
                </w:rPr>
                <m:t>dj</m:t>
              </m:r>
            </m:sub>
            <m:sup>
              <m:r>
                <m:rPr>
                  <m:sty m:val="p"/>
                </m:rPr>
                <w:rPr>
                  <w:rFonts w:ascii="Cambria Math" w:hAnsi="Cambria Math" w:cstheme="majorBidi"/>
                </w:rPr>
                <m:t>*</m:t>
              </m:r>
            </m:sup>
          </m:sSubSup>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dj</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j</m:t>
              </m:r>
            </m:sub>
          </m:sSub>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dj</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sj</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tj</m:t>
              </m:r>
            </m:sub>
          </m:sSub>
        </m:oMath>
      </m:oMathPara>
    </w:p>
    <w:p w:rsidR="00E24DB7" w:rsidRPr="002C5876" w:rsidRDefault="00E24DB7" w:rsidP="00E24DB7">
      <w:pPr>
        <w:pStyle w:val="SingleTxtG"/>
        <w:ind w:left="2835"/>
        <w:jc w:val="center"/>
      </w:pPr>
      <m:oMathPara>
        <m:oMathParaPr>
          <m:jc m:val="left"/>
        </m:oMathParaPr>
        <m:oMath>
          <m:r>
            <m:rPr>
              <m:sty m:val="p"/>
            </m:rPr>
            <w:rPr>
              <w:rFonts w:ascii="Cambria Math" w:hAnsi="Cambria Math" w:cstheme="majorBidi"/>
            </w:rPr>
            <m:t xml:space="preserve">= </m:t>
          </m:r>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d</m:t>
                  </m:r>
                </m:sub>
              </m:sSub>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d</m:t>
                  </m:r>
                </m:sub>
              </m:sSub>
              <m:sSub>
                <m:sSubPr>
                  <m:ctrlPr>
                    <w:rPr>
                      <w:rFonts w:ascii="Cambria Math" w:hAnsi="Cambria Math" w:cstheme="majorBidi"/>
                    </w:rPr>
                  </m:ctrlPr>
                </m:sSubPr>
                <m:e>
                  <m:r>
                    <m:rPr>
                      <m:sty m:val="p"/>
                    </m:rPr>
                    <w:rPr>
                      <w:rFonts w:ascii="Cambria Math" w:hAnsi="Cambria Math" w:cstheme="majorBidi"/>
                    </w:rPr>
                    <m:t>v</m:t>
                  </m:r>
                </m:e>
                <m:sub>
                  <m:r>
                    <m:rPr>
                      <m:sty m:val="p"/>
                    </m:rPr>
                    <w:rPr>
                      <w:rFonts w:ascii="Cambria Math" w:hAnsi="Cambria Math" w:cstheme="majorBidi"/>
                    </w:rPr>
                    <m:t>j</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d</m:t>
                  </m:r>
                </m:sub>
              </m:sSub>
              <m:sSubSup>
                <m:sSubSupPr>
                  <m:ctrlPr>
                    <w:rPr>
                      <w:rFonts w:ascii="Cambria Math" w:hAnsi="Cambria Math" w:cstheme="majorBidi"/>
                    </w:rPr>
                  </m:ctrlPr>
                </m:sSubSupPr>
                <m:e>
                  <m:r>
                    <m:rPr>
                      <m:sty m:val="p"/>
                    </m:rPr>
                    <w:rPr>
                      <w:rFonts w:ascii="Cambria Math" w:hAnsi="Cambria Math" w:cstheme="majorBidi"/>
                    </w:rPr>
                    <m:t>v</m:t>
                  </m:r>
                </m:e>
                <m:sub>
                  <m:r>
                    <m:rPr>
                      <m:sty m:val="p"/>
                    </m:rPr>
                    <w:rPr>
                      <w:rFonts w:ascii="Cambria Math" w:hAnsi="Cambria Math" w:cstheme="majorBidi"/>
                    </w:rPr>
                    <m:t>j</m:t>
                  </m:r>
                </m:sub>
                <m:sup>
                  <m:r>
                    <m:rPr>
                      <m:sty m:val="p"/>
                    </m:rPr>
                    <w:rPr>
                      <w:rFonts w:ascii="Cambria Math" w:hAnsi="Cambria Math" w:cstheme="majorBidi"/>
                    </w:rPr>
                    <m:t>2</m:t>
                  </m:r>
                </m:sup>
              </m:sSubSup>
            </m:e>
          </m:d>
          <m:r>
            <m:rPr>
              <m:sty m:val="p"/>
            </m:rPr>
            <w:rPr>
              <w:rFonts w:ascii="Cambria Math" w:hAnsi="Cambria Math" w:cstheme="majorBidi"/>
            </w:rPr>
            <m:t>-</m:t>
          </m:r>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s</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s</m:t>
                  </m:r>
                </m:sub>
              </m:sSub>
              <m:sSub>
                <m:sSubPr>
                  <m:ctrlPr>
                    <w:rPr>
                      <w:rFonts w:ascii="Cambria Math" w:hAnsi="Cambria Math" w:cstheme="majorBidi"/>
                    </w:rPr>
                  </m:ctrlPr>
                </m:sSubPr>
                <m:e>
                  <m:r>
                    <m:rPr>
                      <m:sty m:val="p"/>
                    </m:rPr>
                    <w:rPr>
                      <w:rFonts w:ascii="Cambria Math" w:hAnsi="Cambria Math" w:cstheme="majorBidi"/>
                    </w:rPr>
                    <m:t>v</m:t>
                  </m:r>
                </m:e>
                <m:sub>
                  <m:r>
                    <m:rPr>
                      <m:sty m:val="p"/>
                    </m:rPr>
                    <w:rPr>
                      <w:rFonts w:ascii="Cambria Math" w:hAnsi="Cambria Math" w:cstheme="majorBidi"/>
                    </w:rPr>
                    <m:t>j</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s</m:t>
                  </m:r>
                </m:sub>
              </m:sSub>
              <m:sSubSup>
                <m:sSubSupPr>
                  <m:ctrlPr>
                    <w:rPr>
                      <w:rFonts w:ascii="Cambria Math" w:hAnsi="Cambria Math" w:cstheme="majorBidi"/>
                    </w:rPr>
                  </m:ctrlPr>
                </m:sSubSupPr>
                <m:e>
                  <m:r>
                    <m:rPr>
                      <m:sty m:val="p"/>
                    </m:rPr>
                    <w:rPr>
                      <w:rFonts w:ascii="Cambria Math" w:hAnsi="Cambria Math" w:cstheme="majorBidi"/>
                    </w:rPr>
                    <m:t>v</m:t>
                  </m:r>
                </m:e>
                <m:sub>
                  <m:r>
                    <m:rPr>
                      <m:sty m:val="p"/>
                    </m:rPr>
                    <w:rPr>
                      <w:rFonts w:ascii="Cambria Math" w:hAnsi="Cambria Math" w:cstheme="majorBidi"/>
                    </w:rPr>
                    <m:t>j</m:t>
                  </m:r>
                </m:sub>
                <m:sup>
                  <m:r>
                    <m:rPr>
                      <m:sty m:val="p"/>
                    </m:rPr>
                    <w:rPr>
                      <w:rFonts w:ascii="Cambria Math" w:hAnsi="Cambria Math" w:cstheme="majorBidi"/>
                    </w:rPr>
                    <m:t>2</m:t>
                  </m:r>
                </m:sup>
              </m:sSubSup>
            </m:e>
          </m:d>
          <m:r>
            <m:rPr>
              <m:sty m:val="p"/>
            </m:rPr>
            <w:rPr>
              <w:rFonts w:ascii="Cambria Math" w:hAnsi="Cambria Math" w:cstheme="majorBidi"/>
            </w:rPr>
            <m:t>+</m:t>
          </m:r>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t</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t</m:t>
                  </m:r>
                </m:sub>
              </m:sSub>
              <m:sSub>
                <m:sSubPr>
                  <m:ctrlPr>
                    <w:rPr>
                      <w:rFonts w:ascii="Cambria Math" w:hAnsi="Cambria Math" w:cstheme="majorBidi"/>
                    </w:rPr>
                  </m:ctrlPr>
                </m:sSubPr>
                <m:e>
                  <m:r>
                    <m:rPr>
                      <m:sty m:val="p"/>
                    </m:rPr>
                    <w:rPr>
                      <w:rFonts w:ascii="Cambria Math" w:hAnsi="Cambria Math" w:cstheme="majorBidi"/>
                    </w:rPr>
                    <m:t>v</m:t>
                  </m:r>
                </m:e>
                <m:sub>
                  <m:r>
                    <m:rPr>
                      <m:sty m:val="p"/>
                    </m:rPr>
                    <w:rPr>
                      <w:rFonts w:ascii="Cambria Math" w:hAnsi="Cambria Math" w:cstheme="majorBidi"/>
                    </w:rPr>
                    <m:t>j</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t</m:t>
                  </m:r>
                </m:sub>
              </m:sSub>
              <m:sSubSup>
                <m:sSubSupPr>
                  <m:ctrlPr>
                    <w:rPr>
                      <w:rFonts w:ascii="Cambria Math" w:hAnsi="Cambria Math" w:cstheme="majorBidi"/>
                    </w:rPr>
                  </m:ctrlPr>
                </m:sSubSupPr>
                <m:e>
                  <m:r>
                    <m:rPr>
                      <m:sty m:val="p"/>
                    </m:rPr>
                    <w:rPr>
                      <w:rFonts w:ascii="Cambria Math" w:hAnsi="Cambria Math" w:cstheme="majorBidi"/>
                    </w:rPr>
                    <m:t>v</m:t>
                  </m:r>
                </m:e>
                <m:sub>
                  <m:r>
                    <m:rPr>
                      <m:sty m:val="p"/>
                    </m:rPr>
                    <w:rPr>
                      <w:rFonts w:ascii="Cambria Math" w:hAnsi="Cambria Math" w:cstheme="majorBidi"/>
                    </w:rPr>
                    <m:t>j</m:t>
                  </m:r>
                </m:sub>
                <m:sup>
                  <m:r>
                    <m:rPr>
                      <m:sty m:val="p"/>
                    </m:rPr>
                    <w:rPr>
                      <w:rFonts w:ascii="Cambria Math" w:hAnsi="Cambria Math" w:cstheme="majorBidi"/>
                    </w:rPr>
                    <m:t>2</m:t>
                  </m:r>
                </m:sup>
              </m:sSubSup>
            </m:e>
          </m:d>
        </m:oMath>
      </m:oMathPara>
    </w:p>
    <w:p w:rsidR="00E24DB7" w:rsidRPr="002C5876" w:rsidRDefault="00E24DB7" w:rsidP="00E24DB7">
      <w:pPr>
        <w:pStyle w:val="SingleTxtG"/>
        <w:spacing w:after="240"/>
        <w:ind w:left="2835"/>
        <w:jc w:val="center"/>
      </w:pPr>
      <m:oMathPara>
        <m:oMathParaPr>
          <m:jc m:val="left"/>
        </m:oMathParaPr>
        <m:oMath>
          <m:r>
            <m:rPr>
              <m:sty m:val="p"/>
            </m:rPr>
            <w:rPr>
              <w:rFonts w:ascii="Cambria Math" w:hAnsi="Cambria Math" w:cstheme="majorBidi"/>
            </w:rPr>
            <m:t xml:space="preserve">= </m:t>
          </m:r>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d</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t</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s</m:t>
                  </m:r>
                </m:sub>
              </m:sSub>
            </m:e>
          </m:d>
          <m:r>
            <m:rPr>
              <m:sty m:val="p"/>
            </m:rPr>
            <w:rPr>
              <w:rFonts w:ascii="Cambria Math" w:hAnsi="Cambria Math" w:cstheme="majorBidi"/>
            </w:rPr>
            <m:t>+</m:t>
          </m:r>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d</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t</m:t>
                  </m:r>
                </m:sub>
              </m:sSub>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s</m:t>
                  </m:r>
                </m:sub>
              </m:sSub>
            </m:e>
          </m:d>
          <m:sSub>
            <m:sSubPr>
              <m:ctrlPr>
                <w:rPr>
                  <w:rFonts w:ascii="Cambria Math" w:hAnsi="Cambria Math" w:cstheme="majorBidi"/>
                </w:rPr>
              </m:ctrlPr>
            </m:sSubPr>
            <m:e>
              <m:r>
                <m:rPr>
                  <m:sty m:val="p"/>
                </m:rPr>
                <w:rPr>
                  <w:rFonts w:ascii="Cambria Math" w:hAnsi="Cambria Math" w:cstheme="majorBidi"/>
                </w:rPr>
                <m:t>v</m:t>
              </m:r>
            </m:e>
            <m:sub>
              <m:r>
                <m:rPr>
                  <m:sty m:val="p"/>
                </m:rPr>
                <w:rPr>
                  <w:rFonts w:ascii="Cambria Math" w:hAnsi="Cambria Math" w:cstheme="majorBidi"/>
                </w:rPr>
                <m:t>j</m:t>
              </m:r>
            </m:sub>
          </m:sSub>
          <m:r>
            <m:rPr>
              <m:sty m:val="p"/>
            </m:rPr>
            <w:rPr>
              <w:rFonts w:ascii="Cambria Math" w:hAnsi="Cambria Math" w:cstheme="majorBidi"/>
            </w:rPr>
            <m:t>+</m:t>
          </m:r>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d</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t</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s</m:t>
                  </m:r>
                </m:sub>
              </m:sSub>
            </m:e>
          </m:d>
          <m:sSubSup>
            <m:sSubSupPr>
              <m:ctrlPr>
                <w:rPr>
                  <w:rFonts w:ascii="Cambria Math" w:hAnsi="Cambria Math" w:cstheme="majorBidi"/>
                </w:rPr>
              </m:ctrlPr>
            </m:sSubSupPr>
            <m:e>
              <m:r>
                <m:rPr>
                  <m:sty m:val="p"/>
                </m:rPr>
                <w:rPr>
                  <w:rFonts w:ascii="Cambria Math" w:hAnsi="Cambria Math" w:cstheme="majorBidi"/>
                </w:rPr>
                <m:t>v</m:t>
              </m:r>
            </m:e>
            <m:sub>
              <m:r>
                <m:rPr>
                  <m:sty m:val="p"/>
                </m:rPr>
                <w:rPr>
                  <w:rFonts w:ascii="Cambria Math" w:hAnsi="Cambria Math" w:cstheme="majorBidi"/>
                </w:rPr>
                <m:t>j</m:t>
              </m:r>
            </m:sub>
            <m:sup>
              <m:r>
                <m:rPr>
                  <m:sty m:val="p"/>
                </m:rPr>
                <w:rPr>
                  <w:rFonts w:ascii="Cambria Math" w:hAnsi="Cambria Math" w:cstheme="majorBidi"/>
                </w:rPr>
                <m:t>2</m:t>
              </m:r>
            </m:sup>
          </m:sSubSup>
        </m:oMath>
      </m:oMathPara>
    </w:p>
    <w:p w:rsidR="00E24DB7" w:rsidRPr="002C5876" w:rsidRDefault="00E24DB7" w:rsidP="00E24DB7">
      <w:pPr>
        <w:pStyle w:val="SingleTxtG"/>
        <w:keepNext/>
        <w:ind w:left="2268"/>
      </w:pPr>
      <w:r w:rsidRPr="002C5876">
        <w:t>où :</w:t>
      </w:r>
    </w:p>
    <w:p w:rsidR="00E24DB7" w:rsidRPr="002C5876" w:rsidRDefault="00731CA6" w:rsidP="00E24DB7">
      <w:pPr>
        <w:pStyle w:val="SingleTxtG"/>
        <w:keepNext/>
        <w:ind w:left="2268"/>
      </w:pPr>
      <m:oMathPara>
        <m:oMathParaPr>
          <m:jc m:val="left"/>
        </m:oMathParaPr>
        <m:oMath>
          <m:sSubSup>
            <m:sSubSupPr>
              <m:ctrlPr>
                <w:rPr>
                  <w:rFonts w:ascii="Cambria Math" w:hAnsi="Cambria Math" w:cstheme="majorBidi"/>
                </w:rPr>
              </m:ctrlPr>
            </m:sSubSupPr>
            <m:e>
              <m:r>
                <m:rPr>
                  <m:sty m:val="p"/>
                </m:rPr>
                <w:rPr>
                  <w:rFonts w:ascii="Cambria Math" w:hAnsi="Cambria Math" w:cstheme="majorBidi"/>
                </w:rPr>
                <m:t>A</m:t>
              </m:r>
            </m:e>
            <m:sub>
              <m:r>
                <m:rPr>
                  <m:sty m:val="p"/>
                </m:rPr>
                <w:rPr>
                  <w:rFonts w:ascii="Cambria Math" w:hAnsi="Cambria Math" w:cstheme="majorBidi"/>
                </w:rPr>
                <m:t>d</m:t>
              </m:r>
            </m:sub>
            <m:sup>
              <m:r>
                <m:rPr>
                  <m:sty m:val="p"/>
                </m:rPr>
                <w:rPr>
                  <w:rFonts w:ascii="Cambria Math" w:hAnsi="Cambria Math" w:cstheme="majorBidi"/>
                </w:rPr>
                <m:t>*</m:t>
              </m:r>
            </m:sup>
          </m:sSubSup>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d</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t</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s</m:t>
              </m:r>
            </m:sub>
          </m:sSub>
        </m:oMath>
      </m:oMathPara>
    </w:p>
    <w:p w:rsidR="00E24DB7" w:rsidRPr="002C5876" w:rsidRDefault="00731CA6" w:rsidP="00E24DB7">
      <w:pPr>
        <w:pStyle w:val="SingleTxtG"/>
        <w:keepNext/>
        <w:ind w:left="2268"/>
      </w:pPr>
      <m:oMathPara>
        <m:oMathParaPr>
          <m:jc m:val="left"/>
        </m:oMathParaPr>
        <m:oMath>
          <m:sSubSup>
            <m:sSubSupPr>
              <m:ctrlPr>
                <w:rPr>
                  <w:rFonts w:ascii="Cambria Math" w:hAnsi="Cambria Math" w:cstheme="majorBidi"/>
                </w:rPr>
              </m:ctrlPr>
            </m:sSubSupPr>
            <m:e>
              <m:r>
                <m:rPr>
                  <m:sty m:val="p"/>
                </m:rPr>
                <w:rPr>
                  <w:rFonts w:ascii="Cambria Math" w:hAnsi="Cambria Math" w:cstheme="majorBidi"/>
                </w:rPr>
                <m:t>B</m:t>
              </m:r>
            </m:e>
            <m:sub>
              <m:r>
                <m:rPr>
                  <m:sty m:val="p"/>
                </m:rPr>
                <w:rPr>
                  <w:rFonts w:ascii="Cambria Math" w:hAnsi="Cambria Math" w:cstheme="majorBidi"/>
                </w:rPr>
                <m:t>d</m:t>
              </m:r>
            </m:sub>
            <m:sup>
              <m:r>
                <m:rPr>
                  <m:sty m:val="p"/>
                </m:rPr>
                <w:rPr>
                  <w:rFonts w:ascii="Cambria Math" w:hAnsi="Cambria Math" w:cstheme="majorBidi"/>
                </w:rPr>
                <m:t>*</m:t>
              </m:r>
            </m:sup>
          </m:sSubSup>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d</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t</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s</m:t>
              </m:r>
            </m:sub>
          </m:sSub>
        </m:oMath>
      </m:oMathPara>
    </w:p>
    <w:p w:rsidR="00E24DB7" w:rsidRPr="002C5876" w:rsidRDefault="00731CA6" w:rsidP="00E24DB7">
      <w:pPr>
        <w:pStyle w:val="SingleTxtG"/>
        <w:keepNext/>
        <w:spacing w:after="240"/>
        <w:ind w:left="2268"/>
      </w:pPr>
      <m:oMathPara>
        <m:oMathParaPr>
          <m:jc m:val="left"/>
        </m:oMathParaPr>
        <m:oMath>
          <m:sSubSup>
            <m:sSubSupPr>
              <m:ctrlPr>
                <w:rPr>
                  <w:rFonts w:ascii="Cambria Math" w:eastAsia="Times New Roman" w:hAnsi="Cambria Math" w:cstheme="majorBidi"/>
                </w:rPr>
              </m:ctrlPr>
            </m:sSubSupPr>
            <m:e>
              <m:r>
                <m:rPr>
                  <m:sty m:val="p"/>
                </m:rPr>
                <w:rPr>
                  <w:rFonts w:ascii="Cambria Math" w:eastAsia="Times New Roman" w:hAnsi="Cambria Math" w:cstheme="majorBidi"/>
                </w:rPr>
                <m:t>C</m:t>
              </m:r>
            </m:e>
            <m:sub>
              <m:r>
                <m:rPr>
                  <m:sty m:val="p"/>
                </m:rPr>
                <w:rPr>
                  <w:rFonts w:ascii="Cambria Math" w:eastAsia="Times New Roman" w:hAnsi="Cambria Math" w:cstheme="majorBidi"/>
                </w:rPr>
                <m:t>d</m:t>
              </m:r>
            </m:sub>
            <m:sup>
              <m:r>
                <m:rPr>
                  <m:sty m:val="p"/>
                </m:rPr>
                <w:rPr>
                  <w:rFonts w:ascii="Cambria Math" w:eastAsia="Times New Roman" w:hAnsi="Cambria Math" w:cstheme="majorBidi"/>
                </w:rPr>
                <m:t>*</m:t>
              </m:r>
            </m:sup>
          </m:sSubSup>
          <m:r>
            <m:rPr>
              <m:sty m:val="p"/>
            </m:rPr>
            <w:rPr>
              <w:rFonts w:ascii="Cambria Math" w:eastAsia="Times New Roman" w:hAnsi="Cambria Math" w:cstheme="majorBidi"/>
            </w:rPr>
            <m:t>=</m:t>
          </m:r>
          <m:sSub>
            <m:sSubPr>
              <m:ctrlPr>
                <w:rPr>
                  <w:rFonts w:ascii="Cambria Math" w:eastAsia="Times New Roman" w:hAnsi="Cambria Math" w:cstheme="majorBidi"/>
                </w:rPr>
              </m:ctrlPr>
            </m:sSubPr>
            <m:e>
              <m:r>
                <m:rPr>
                  <m:sty m:val="p"/>
                </m:rPr>
                <w:rPr>
                  <w:rFonts w:ascii="Cambria Math" w:eastAsia="Times New Roman" w:hAnsi="Cambria Math" w:cstheme="majorBidi"/>
                </w:rPr>
                <m:t>C</m:t>
              </m:r>
            </m:e>
            <m:sub>
              <m:r>
                <m:rPr>
                  <m:sty m:val="p"/>
                </m:rPr>
                <w:rPr>
                  <w:rFonts w:ascii="Cambria Math" w:eastAsia="Times New Roman" w:hAnsi="Cambria Math" w:cstheme="majorBidi"/>
                </w:rPr>
                <m:t>d</m:t>
              </m:r>
            </m:sub>
          </m:sSub>
          <m:r>
            <m:rPr>
              <m:sty m:val="p"/>
            </m:rPr>
            <w:rPr>
              <w:rFonts w:ascii="Cambria Math" w:eastAsia="Times New Roman" w:hAnsi="Cambria Math" w:cstheme="majorBidi"/>
            </w:rPr>
            <m:t>+</m:t>
          </m:r>
          <m:sSub>
            <m:sSubPr>
              <m:ctrlPr>
                <w:rPr>
                  <w:rFonts w:ascii="Cambria Math" w:eastAsia="Times New Roman" w:hAnsi="Cambria Math" w:cstheme="majorBidi"/>
                </w:rPr>
              </m:ctrlPr>
            </m:sSubPr>
            <m:e>
              <m:r>
                <m:rPr>
                  <m:sty m:val="p"/>
                </m:rPr>
                <w:rPr>
                  <w:rFonts w:ascii="Cambria Math" w:eastAsia="Times New Roman" w:hAnsi="Cambria Math" w:cstheme="majorBidi"/>
                </w:rPr>
                <m:t>C</m:t>
              </m:r>
            </m:e>
            <m:sub>
              <m:r>
                <m:rPr>
                  <m:sty m:val="p"/>
                </m:rPr>
                <w:rPr>
                  <w:rFonts w:ascii="Cambria Math" w:eastAsia="Times New Roman" w:hAnsi="Cambria Math" w:cstheme="majorBidi"/>
                </w:rPr>
                <m:t>t</m:t>
              </m:r>
            </m:sub>
          </m:sSub>
          <m:r>
            <m:rPr>
              <m:sty m:val="p"/>
            </m:rPr>
            <w:rPr>
              <w:rFonts w:ascii="Cambria Math" w:eastAsia="Times New Roman" w:hAnsi="Cambria Math" w:cstheme="majorBidi"/>
            </w:rPr>
            <m:t>-</m:t>
          </m:r>
          <m:sSub>
            <m:sSubPr>
              <m:ctrlPr>
                <w:rPr>
                  <w:rFonts w:ascii="Cambria Math" w:eastAsia="Times New Roman" w:hAnsi="Cambria Math" w:cstheme="majorBidi"/>
                </w:rPr>
              </m:ctrlPr>
            </m:sSubPr>
            <m:e>
              <m:r>
                <m:rPr>
                  <m:sty m:val="p"/>
                </m:rPr>
                <w:rPr>
                  <w:rFonts w:ascii="Cambria Math" w:eastAsia="Times New Roman" w:hAnsi="Cambria Math" w:cstheme="majorBidi"/>
                </w:rPr>
                <m:t>C</m:t>
              </m:r>
            </m:e>
            <m:sub>
              <m:r>
                <m:rPr>
                  <m:sty m:val="p"/>
                </m:rPr>
                <w:rPr>
                  <w:rFonts w:ascii="Cambria Math" w:eastAsia="Times New Roman" w:hAnsi="Cambria Math" w:cstheme="majorBidi"/>
                </w:rPr>
                <m:t>s</m:t>
              </m:r>
            </m:sub>
          </m:sSub>
        </m:oMath>
      </m:oMathPara>
    </w:p>
    <w:p w:rsidR="00E24DB7" w:rsidRPr="002C5876" w:rsidRDefault="00E24DB7" w:rsidP="00E24DB7">
      <w:pPr>
        <w:pStyle w:val="SingleTxtG"/>
        <w:keepNext/>
        <w:ind w:left="2268"/>
      </w:pPr>
      <w:r w:rsidRPr="002C5876">
        <w:t xml:space="preserve">où : </w:t>
      </w:r>
    </w:p>
    <w:p w:rsidR="00E24DB7" w:rsidRPr="002C5876" w:rsidRDefault="00E24DB7" w:rsidP="00E24DB7">
      <w:pPr>
        <w:pStyle w:val="SingleTxtG"/>
        <w:ind w:left="3402" w:hanging="1134"/>
        <w:rPr>
          <w:spacing w:val="-2"/>
        </w:rPr>
      </w:pPr>
      <w:r w:rsidRPr="002C5876">
        <w:rPr>
          <w:spacing w:val="-2"/>
        </w:rPr>
        <w:t>F</w:t>
      </w:r>
      <w:r w:rsidRPr="002C5876">
        <w:rPr>
          <w:spacing w:val="-2"/>
          <w:vertAlign w:val="subscript"/>
        </w:rPr>
        <w:t>dj</w:t>
      </w:r>
      <w:r w:rsidRPr="002C5876">
        <w:rPr>
          <w:spacing w:val="-2"/>
        </w:rPr>
        <w:tab/>
        <w:t>est la force résistante initiale de réglage du dynamomètre, en N ;</w:t>
      </w:r>
    </w:p>
    <w:p w:rsidR="00E24DB7" w:rsidRPr="002C5876" w:rsidRDefault="00E24DB7" w:rsidP="00E24DB7">
      <w:pPr>
        <w:pStyle w:val="SingleTxtG"/>
        <w:ind w:left="3402" w:hanging="1134"/>
        <w:rPr>
          <w:spacing w:val="-2"/>
        </w:rPr>
      </w:pPr>
      <w:r w:rsidRPr="002C5876">
        <w:rPr>
          <w:noProof/>
          <w:position w:val="-12"/>
          <w:lang w:val="en-GB" w:eastAsia="zh-CN"/>
        </w:rPr>
        <w:drawing>
          <wp:inline distT="0" distB="0" distL="0" distR="0" wp14:anchorId="5FF88FEC" wp14:editId="5DB62D45">
            <wp:extent cx="180975" cy="228600"/>
            <wp:effectExtent l="0" t="0" r="9525" b="0"/>
            <wp:docPr id="424"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2C5876">
        <w:rPr>
          <w:spacing w:val="-2"/>
        </w:rPr>
        <w:tab/>
        <w:t>est la force résistante ajustée de réglage du dynamomètre, en N ;</w:t>
      </w:r>
    </w:p>
    <w:p w:rsidR="00E24DB7" w:rsidRPr="002C5876" w:rsidRDefault="00E24DB7" w:rsidP="00E24DB7">
      <w:pPr>
        <w:pStyle w:val="SingleTxtG"/>
        <w:ind w:left="3402" w:hanging="1134"/>
      </w:pPr>
      <w:r w:rsidRPr="002C5876">
        <w:t>F</w:t>
      </w:r>
      <w:r w:rsidRPr="002C5876">
        <w:rPr>
          <w:vertAlign w:val="subscript"/>
        </w:rPr>
        <w:t>j</w:t>
      </w:r>
      <w:r w:rsidRPr="002C5876">
        <w:tab/>
        <w:t xml:space="preserve">est la valeur d’ajustement de la résistance à l’avancement égale à </w:t>
      </w:r>
      <m:oMath>
        <m:d>
          <m:dPr>
            <m:ctrlPr>
              <w:rPr>
                <w:rFonts w:ascii="Cambria Math" w:hAnsi="Cambria Math"/>
              </w:rPr>
            </m:ctrlPr>
          </m:d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sj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tj</m:t>
                </m:r>
              </m:sub>
            </m:sSub>
          </m:e>
        </m:d>
      </m:oMath>
      <w:r w:rsidRPr="002C5876">
        <w:t>, en N ;</w:t>
      </w:r>
    </w:p>
    <w:p w:rsidR="00E24DB7" w:rsidRPr="002C5876" w:rsidRDefault="00E24DB7" w:rsidP="00E24DB7">
      <w:pPr>
        <w:pStyle w:val="SingleTxtG"/>
        <w:ind w:left="3402" w:hanging="1134"/>
      </w:pPr>
      <w:r w:rsidRPr="002C5876">
        <w:lastRenderedPageBreak/>
        <w:t>F</w:t>
      </w:r>
      <w:r w:rsidRPr="002C5876">
        <w:rPr>
          <w:vertAlign w:val="subscript"/>
        </w:rPr>
        <w:t>sj</w:t>
      </w:r>
      <w:r w:rsidRPr="002C5876">
        <w:rPr>
          <w:vertAlign w:val="subscript"/>
        </w:rPr>
        <w:tab/>
      </w:r>
      <w:r w:rsidRPr="002C5876">
        <w:t>est la résistance à l’avancement simulée à la vitesse de référence v</w:t>
      </w:r>
      <w:r w:rsidRPr="002C5876">
        <w:rPr>
          <w:vertAlign w:val="subscript"/>
        </w:rPr>
        <w:t>j</w:t>
      </w:r>
      <w:r w:rsidRPr="002C5876">
        <w:t>, en N ;</w:t>
      </w:r>
    </w:p>
    <w:p w:rsidR="00E24DB7" w:rsidRPr="002C5876" w:rsidRDefault="00E24DB7" w:rsidP="00E24DB7">
      <w:pPr>
        <w:pStyle w:val="SingleTxtG"/>
        <w:ind w:left="3402" w:hanging="1134"/>
      </w:pPr>
      <w:r w:rsidRPr="002C5876">
        <w:t>F</w:t>
      </w:r>
      <w:r w:rsidRPr="002C5876">
        <w:rPr>
          <w:vertAlign w:val="subscript"/>
        </w:rPr>
        <w:t>tj</w:t>
      </w:r>
      <w:r w:rsidRPr="002C5876">
        <w:tab/>
        <w:t>est la résistance à l’avancement visée à la vitesse de référence v</w:t>
      </w:r>
      <w:r w:rsidRPr="002C5876">
        <w:rPr>
          <w:vertAlign w:val="subscript"/>
        </w:rPr>
        <w:t>j</w:t>
      </w:r>
      <w:r w:rsidRPr="002C5876">
        <w:t>, en N ;</w:t>
      </w:r>
    </w:p>
    <w:p w:rsidR="00E24DB7" w:rsidRPr="002C5876" w:rsidRDefault="00E24DB7" w:rsidP="00E24DB7">
      <w:pPr>
        <w:pStyle w:val="SingleTxtG"/>
        <w:ind w:left="3402" w:hanging="1134"/>
      </w:pPr>
      <w:r w:rsidRPr="002C5876">
        <w:rPr>
          <w:noProof/>
          <w:position w:val="-10"/>
          <w:lang w:val="en-GB" w:eastAsia="zh-CN"/>
        </w:rPr>
        <w:drawing>
          <wp:inline distT="0" distB="0" distL="0" distR="0" wp14:anchorId="30F3966B" wp14:editId="0BDE655C">
            <wp:extent cx="200025" cy="219075"/>
            <wp:effectExtent l="0" t="0" r="9525" b="9525"/>
            <wp:docPr id="423"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2C5876">
        <w:t xml:space="preserve">, </w:t>
      </w:r>
      <w:r w:rsidRPr="002C5876">
        <w:rPr>
          <w:noProof/>
          <w:position w:val="-10"/>
          <w:lang w:val="en-GB" w:eastAsia="zh-CN"/>
        </w:rPr>
        <w:drawing>
          <wp:inline distT="0" distB="0" distL="0" distR="0" wp14:anchorId="6DE32FC5" wp14:editId="3FAC7EFE">
            <wp:extent cx="171450" cy="219075"/>
            <wp:effectExtent l="0" t="0" r="0" b="9525"/>
            <wp:docPr id="422"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2C5876">
        <w:t xml:space="preserve">et </w:t>
      </w:r>
      <w:r w:rsidRPr="002C5876">
        <w:rPr>
          <w:noProof/>
          <w:position w:val="-10"/>
          <w:lang w:val="en-GB" w:eastAsia="zh-CN"/>
        </w:rPr>
        <w:drawing>
          <wp:inline distT="0" distB="0" distL="0" distR="0" wp14:anchorId="5790BBCD" wp14:editId="66818608">
            <wp:extent cx="200025" cy="219075"/>
            <wp:effectExtent l="0" t="0" r="9525" b="9525"/>
            <wp:docPr id="421"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2C5876">
        <w:t>sont les nouveaux coefficients de réglage du dynamomètre.</w:t>
      </w:r>
    </w:p>
    <w:p w:rsidR="00E24DB7" w:rsidRPr="002C5876" w:rsidRDefault="00E24DB7" w:rsidP="00E24DB7">
      <w:pPr>
        <w:pStyle w:val="SingleTxtG"/>
        <w:ind w:left="2268" w:hanging="1134"/>
      </w:pPr>
      <w:r w:rsidRPr="002C5876">
        <w:t>8.1.5</w:t>
      </w:r>
      <w:r w:rsidRPr="002C5876">
        <w:tab/>
        <w:t>On utilise A</w:t>
      </w:r>
      <w:r w:rsidRPr="002C5876">
        <w:rPr>
          <w:vertAlign w:val="subscript"/>
        </w:rPr>
        <w:t>t</w:t>
      </w:r>
      <w:r w:rsidRPr="002C5876">
        <w:t>, B</w:t>
      </w:r>
      <w:r w:rsidRPr="002C5876">
        <w:rPr>
          <w:vertAlign w:val="subscript"/>
        </w:rPr>
        <w:t>t</w:t>
      </w:r>
      <w:r w:rsidRPr="002C5876">
        <w:t xml:space="preserve"> et C</w:t>
      </w:r>
      <w:r w:rsidRPr="002C5876">
        <w:rPr>
          <w:vertAlign w:val="subscript"/>
        </w:rPr>
        <w:t>t</w:t>
      </w:r>
      <w:r w:rsidRPr="002C5876">
        <w:t xml:space="preserve"> en tant que valeurs finales de f</w:t>
      </w:r>
      <w:r w:rsidRPr="002C5876">
        <w:rPr>
          <w:vertAlign w:val="subscript"/>
        </w:rPr>
        <w:t>0</w:t>
      </w:r>
      <w:r w:rsidRPr="002C5876">
        <w:t>, f</w:t>
      </w:r>
      <w:r w:rsidRPr="002C5876">
        <w:rPr>
          <w:vertAlign w:val="subscript"/>
        </w:rPr>
        <w:t>1</w:t>
      </w:r>
      <w:r w:rsidRPr="002C5876">
        <w:t xml:space="preserve"> et f</w:t>
      </w:r>
      <w:r w:rsidRPr="002C5876">
        <w:rPr>
          <w:vertAlign w:val="subscript"/>
        </w:rPr>
        <w:t>2</w:t>
      </w:r>
      <w:r w:rsidRPr="002C5876">
        <w:t>, et pour :</w:t>
      </w:r>
    </w:p>
    <w:p w:rsidR="00E24DB7" w:rsidRPr="002C5876" w:rsidRDefault="00E24DB7" w:rsidP="00E24DB7">
      <w:pPr>
        <w:pStyle w:val="SingleTxtG"/>
        <w:spacing w:line="220" w:lineRule="atLeast"/>
        <w:ind w:left="2835" w:hanging="567"/>
      </w:pPr>
      <w:r w:rsidRPr="002C5876">
        <w:t>a)</w:t>
      </w:r>
      <w:r w:rsidRPr="002C5876">
        <w:tab/>
        <w:t>Le réajustement de la vitesse, paragraphe 8 de l’annexe 1 ;</w:t>
      </w:r>
    </w:p>
    <w:p w:rsidR="00E24DB7" w:rsidRPr="002C5876" w:rsidRDefault="00E24DB7" w:rsidP="00E24DB7">
      <w:pPr>
        <w:pStyle w:val="SingleTxtG"/>
        <w:spacing w:line="220" w:lineRule="atLeast"/>
        <w:ind w:left="2835" w:hanging="567"/>
      </w:pPr>
      <w:r w:rsidRPr="002C5876">
        <w:t>b)</w:t>
      </w:r>
      <w:r w:rsidRPr="002C5876">
        <w:tab/>
        <w:t>La détermination des points de changement de rapports, annexe 2 ;</w:t>
      </w:r>
    </w:p>
    <w:p w:rsidR="00E24DB7" w:rsidRPr="002C5876" w:rsidRDefault="00E24DB7" w:rsidP="00E24DB7">
      <w:pPr>
        <w:pStyle w:val="SingleTxtG"/>
        <w:spacing w:line="220" w:lineRule="atLeast"/>
        <w:ind w:left="2835" w:hanging="567"/>
      </w:pPr>
      <w:r w:rsidRPr="002C5876">
        <w:t>c)</w:t>
      </w:r>
      <w:r w:rsidRPr="002C5876">
        <w:tab/>
        <w:t>L’interpolation des valeurs de CO</w:t>
      </w:r>
      <w:r w:rsidRPr="002C5876">
        <w:rPr>
          <w:vertAlign w:val="subscript"/>
        </w:rPr>
        <w:t>2</w:t>
      </w:r>
      <w:r w:rsidRPr="002C5876">
        <w:t xml:space="preserve"> et de consommation de carburant, paragraphe 3.2.3 de l’annexe 7 ;</w:t>
      </w:r>
    </w:p>
    <w:p w:rsidR="00E24DB7" w:rsidRPr="002C5876" w:rsidRDefault="00E24DB7" w:rsidP="00E24DB7">
      <w:pPr>
        <w:pStyle w:val="SingleTxtG"/>
        <w:spacing w:line="220" w:lineRule="atLeast"/>
        <w:ind w:left="2835" w:hanging="567"/>
      </w:pPr>
      <w:r w:rsidRPr="002C5876">
        <w:t>d)</w:t>
      </w:r>
      <w:r w:rsidRPr="002C5876">
        <w:tab/>
        <w:t>Le calcul des résultats pour les véhicules électriques et les véhicules électriques hybrides, paragraphe 4 de l’annexe 8.</w:t>
      </w:r>
    </w:p>
    <w:p w:rsidR="00E24DB7" w:rsidRPr="002C5876" w:rsidRDefault="00E24DB7" w:rsidP="00E24DB7">
      <w:pPr>
        <w:pStyle w:val="SingleTxtG"/>
        <w:keepNext/>
        <w:ind w:left="2268" w:hanging="1134"/>
        <w:jc w:val="left"/>
      </w:pPr>
      <w:r w:rsidRPr="002C5876">
        <w:t>8.2</w:t>
      </w:r>
      <w:r w:rsidRPr="002C5876">
        <w:tab/>
        <w:t>Réglage de la force résistante du banc à rouleaux sur la base de la méthode des capteurs de couple</w:t>
      </w:r>
    </w:p>
    <w:p w:rsidR="00E24DB7" w:rsidRPr="002C5876" w:rsidRDefault="00E24DB7" w:rsidP="00E24DB7">
      <w:pPr>
        <w:pStyle w:val="SingleTxtG"/>
        <w:ind w:left="2268"/>
      </w:pPr>
      <w:r w:rsidRPr="002C5876">
        <w:t>Cette méthode est applicable quand la résistance à l’avancement est déterminée sur la base de la méthode des capteurs de couple, comme décrit au paragraphe 4.4 de la présente annexe.</w:t>
      </w:r>
    </w:p>
    <w:p w:rsidR="00E24DB7" w:rsidRPr="002C5876" w:rsidRDefault="00E24DB7" w:rsidP="00E24DB7">
      <w:pPr>
        <w:pStyle w:val="SingleTxtG"/>
        <w:keepLines/>
        <w:ind w:left="2268"/>
      </w:pPr>
      <w:r w:rsidRPr="002C5876">
        <w:t>Dans le cas d’une famille de matrices de résistance à l’avancement sur route, cette méthode doit être appliquée quand la résistance à l’avancement du véhicule représentatif est déterminée par la méthode des capteurs de couple, comme décrit au paragraphe 4.4 de la présente annexe. Les valeurs de résistance à l’avancement visée sont les valeurs calculées par la méthode spécifiée au paragraphe 5.1 de la présente annexe.</w:t>
      </w:r>
    </w:p>
    <w:p w:rsidR="00E24DB7" w:rsidRPr="002C5876" w:rsidRDefault="00E24DB7" w:rsidP="00E24DB7">
      <w:pPr>
        <w:pStyle w:val="SingleTxtG"/>
        <w:keepNext/>
        <w:ind w:left="2268" w:hanging="1134"/>
        <w:jc w:val="left"/>
      </w:pPr>
      <w:r w:rsidRPr="002C5876">
        <w:t>8.2.1</w:t>
      </w:r>
      <w:r w:rsidRPr="002C5876">
        <w:tab/>
        <w:t>Réglage initial de la force résistante</w:t>
      </w:r>
    </w:p>
    <w:p w:rsidR="00E24DB7" w:rsidRPr="002C5876" w:rsidRDefault="00E24DB7" w:rsidP="00E24DB7">
      <w:pPr>
        <w:pStyle w:val="SingleTxtG"/>
        <w:ind w:left="2268"/>
      </w:pPr>
      <w:r w:rsidRPr="002C5876">
        <w:t>Pour un banc à rouleaux à réglage par coefficients, le frein du banc doit être réglé avec les coefficients initiaux arbitraires, A</w:t>
      </w:r>
      <w:r w:rsidRPr="002C5876">
        <w:rPr>
          <w:vertAlign w:val="subscript"/>
        </w:rPr>
        <w:t>d</w:t>
      </w:r>
      <w:r w:rsidRPr="002C5876">
        <w:t>, B</w:t>
      </w:r>
      <w:r w:rsidRPr="002C5876">
        <w:rPr>
          <w:vertAlign w:val="subscript"/>
        </w:rPr>
        <w:t>d</w:t>
      </w:r>
      <w:r w:rsidRPr="002C5876">
        <w:t xml:space="preserve"> et C</w:t>
      </w:r>
      <w:r w:rsidRPr="002C5876">
        <w:rPr>
          <w:vertAlign w:val="subscript"/>
        </w:rPr>
        <w:t>d</w:t>
      </w:r>
      <w:r w:rsidRPr="002C5876">
        <w:t>, de l’équation ci</w:t>
      </w:r>
      <w:r w:rsidRPr="002C5876">
        <w:noBreakHyphen/>
        <w:t>après :</w:t>
      </w:r>
    </w:p>
    <w:p w:rsidR="00E24DB7" w:rsidRPr="002C5876" w:rsidRDefault="00731CA6" w:rsidP="00E24DB7">
      <w:pPr>
        <w:pStyle w:val="SingleTxtG"/>
        <w:ind w:left="2268"/>
        <w:jc w:val="center"/>
        <w:rPr>
          <w:iCs/>
        </w:rPr>
      </w:pPr>
      <m:oMathPara>
        <m:oMath>
          <m:sSub>
            <m:sSubPr>
              <m:ctrlPr>
                <w:rPr>
                  <w:rFonts w:ascii="Cambria Math" w:hAnsi="Cambria Math" w:cstheme="majorBidi"/>
                  <w:iCs/>
                </w:rPr>
              </m:ctrlPr>
            </m:sSubPr>
            <m:e>
              <m:r>
                <m:rPr>
                  <m:sty m:val="p"/>
                </m:rPr>
                <w:rPr>
                  <w:rFonts w:ascii="Cambria Math" w:hAnsi="Cambria Math" w:cstheme="majorBidi"/>
                </w:rPr>
                <m:t>F</m:t>
              </m:r>
            </m:e>
            <m:sub>
              <m:r>
                <m:rPr>
                  <m:sty m:val="p"/>
                </m:rPr>
                <w:rPr>
                  <w:rFonts w:ascii="Cambria Math" w:hAnsi="Cambria Math" w:cstheme="majorBidi"/>
                </w:rPr>
                <m:t>d</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A</m:t>
              </m:r>
            </m:e>
            <m:sub>
              <m:r>
                <m:rPr>
                  <m:sty m:val="p"/>
                </m:rPr>
                <w:rPr>
                  <w:rFonts w:ascii="Cambria Math" w:hAnsi="Cambria Math" w:cstheme="majorBidi"/>
                </w:rPr>
                <m:t>d</m:t>
              </m:r>
            </m:sub>
          </m:sSub>
          <m:r>
            <m:rPr>
              <m:sty m:val="p"/>
            </m:rPr>
            <w:rPr>
              <w:rFonts w:ascii="Cambria Math" w:hAnsi="Cambria Math" w:cstheme="majorBidi"/>
            </w:rPr>
            <m:t xml:space="preserve">+ </m:t>
          </m:r>
          <m:sSub>
            <m:sSubPr>
              <m:ctrlPr>
                <w:rPr>
                  <w:rFonts w:ascii="Cambria Math" w:hAnsi="Cambria Math" w:cstheme="majorBidi"/>
                  <w:iCs/>
                </w:rPr>
              </m:ctrlPr>
            </m:sSubPr>
            <m:e>
              <m:r>
                <m:rPr>
                  <m:sty m:val="p"/>
                </m:rPr>
                <w:rPr>
                  <w:rFonts w:ascii="Cambria Math" w:hAnsi="Cambria Math" w:cstheme="majorBidi"/>
                </w:rPr>
                <m:t>B</m:t>
              </m:r>
            </m:e>
            <m:sub>
              <m:r>
                <m:rPr>
                  <m:sty m:val="p"/>
                </m:rPr>
                <w:rPr>
                  <w:rFonts w:ascii="Cambria Math" w:hAnsi="Cambria Math" w:cstheme="majorBidi"/>
                </w:rPr>
                <m:t>d</m:t>
              </m:r>
            </m:sub>
          </m:sSub>
          <m:r>
            <m:rPr>
              <m:sty m:val="p"/>
            </m:rPr>
            <w:rPr>
              <w:rFonts w:ascii="Cambria Math" w:hAnsi="Cambria Math" w:cstheme="majorBidi"/>
            </w:rPr>
            <m:t xml:space="preserve">v+ </m:t>
          </m:r>
          <m:sSub>
            <m:sSubPr>
              <m:ctrlPr>
                <w:rPr>
                  <w:rFonts w:ascii="Cambria Math" w:hAnsi="Cambria Math" w:cstheme="majorBidi"/>
                  <w:iCs/>
                </w:rPr>
              </m:ctrlPr>
            </m:sSubPr>
            <m:e>
              <m:r>
                <m:rPr>
                  <m:sty m:val="p"/>
                </m:rPr>
                <w:rPr>
                  <w:rFonts w:ascii="Cambria Math" w:hAnsi="Cambria Math" w:cstheme="majorBidi"/>
                </w:rPr>
                <m:t>C</m:t>
              </m:r>
            </m:e>
            <m:sub>
              <m:r>
                <m:rPr>
                  <m:sty m:val="p"/>
                </m:rPr>
                <w:rPr>
                  <w:rFonts w:ascii="Cambria Math" w:hAnsi="Cambria Math" w:cstheme="majorBidi"/>
                </w:rPr>
                <m:t>d</m:t>
              </m:r>
            </m:sub>
          </m:sSub>
          <m:sSup>
            <m:sSupPr>
              <m:ctrlPr>
                <w:rPr>
                  <w:rFonts w:ascii="Cambria Math" w:hAnsi="Cambria Math" w:cstheme="majorBidi"/>
                  <w:iCs/>
                </w:rPr>
              </m:ctrlPr>
            </m:sSupPr>
            <m:e>
              <m:r>
                <m:rPr>
                  <m:sty m:val="p"/>
                </m:rPr>
                <w:rPr>
                  <w:rFonts w:ascii="Cambria Math" w:hAnsi="Cambria Math" w:cstheme="majorBidi"/>
                </w:rPr>
                <m:t>v</m:t>
              </m:r>
            </m:e>
            <m:sup>
              <m:r>
                <m:rPr>
                  <m:sty m:val="p"/>
                </m:rPr>
                <w:rPr>
                  <w:rFonts w:ascii="Cambria Math" w:hAnsi="Cambria Math" w:cstheme="majorBidi"/>
                </w:rPr>
                <m:t>2</m:t>
              </m:r>
            </m:sup>
          </m:sSup>
        </m:oMath>
      </m:oMathPara>
    </w:p>
    <w:p w:rsidR="00E24DB7" w:rsidRPr="002C5876" w:rsidRDefault="00E24DB7" w:rsidP="00E24DB7">
      <w:pPr>
        <w:pStyle w:val="SingleTxtG"/>
        <w:keepNext/>
        <w:ind w:left="2268"/>
      </w:pPr>
      <w:r w:rsidRPr="002C5876">
        <w:t>où :</w:t>
      </w:r>
    </w:p>
    <w:p w:rsidR="00E24DB7" w:rsidRPr="002C5876" w:rsidRDefault="00E24DB7" w:rsidP="00E24DB7">
      <w:pPr>
        <w:pStyle w:val="SingleTxtG"/>
        <w:ind w:left="2268"/>
      </w:pPr>
      <w:r w:rsidRPr="002C5876">
        <w:t>F</w:t>
      </w:r>
      <w:r w:rsidRPr="002C5876">
        <w:rPr>
          <w:vertAlign w:val="subscript"/>
        </w:rPr>
        <w:t>d</w:t>
      </w:r>
      <w:r w:rsidRPr="002C5876">
        <w:tab/>
        <w:t>est la force résistante de réglage du dynamomètre, en N ;</w:t>
      </w:r>
    </w:p>
    <w:p w:rsidR="00E24DB7" w:rsidRPr="002C5876" w:rsidRDefault="00E24DB7" w:rsidP="00E24DB7">
      <w:pPr>
        <w:pStyle w:val="SingleTxtG"/>
        <w:ind w:left="2268"/>
      </w:pPr>
      <w:r w:rsidRPr="002C5876">
        <w:rPr>
          <w:iCs/>
        </w:rPr>
        <w:t>v</w:t>
      </w:r>
      <w:r w:rsidRPr="002C5876">
        <w:rPr>
          <w:iCs/>
        </w:rPr>
        <w:tab/>
      </w:r>
      <w:r w:rsidRPr="002C5876">
        <w:t>est la vitesse des rouleaux du banc, en km/h.</w:t>
      </w:r>
    </w:p>
    <w:p w:rsidR="00E24DB7" w:rsidRPr="002C5876" w:rsidRDefault="00E24DB7" w:rsidP="00E24DB7">
      <w:pPr>
        <w:pStyle w:val="SingleTxtG"/>
        <w:ind w:left="2268"/>
      </w:pPr>
      <w:r w:rsidRPr="002C5876">
        <w:t>Les coefficients ci-après sont recommandés pour le réglage initial de la force :</w:t>
      </w:r>
    </w:p>
    <w:p w:rsidR="00E24DB7" w:rsidRPr="002C5876" w:rsidRDefault="00E24DB7" w:rsidP="00E24DB7">
      <w:pPr>
        <w:pStyle w:val="SingleTxtG"/>
        <w:ind w:left="2835" w:hanging="567"/>
      </w:pPr>
      <w:r w:rsidRPr="002C5876">
        <w:t>a)</w:t>
      </w:r>
      <w:r w:rsidRPr="002C5876">
        <w:tab/>
      </w:r>
      <w:r w:rsidRPr="002C5876">
        <w:rPr>
          <w:noProof/>
          <w:position w:val="-20"/>
          <w:lang w:val="en-GB" w:eastAsia="zh-CN"/>
        </w:rPr>
        <w:drawing>
          <wp:inline distT="0" distB="0" distL="0" distR="0" wp14:anchorId="11FFC397" wp14:editId="1BFF33CD">
            <wp:extent cx="1715054" cy="284151"/>
            <wp:effectExtent l="0" t="0" r="0" b="1905"/>
            <wp:docPr id="419"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22474" cy="285380"/>
                    </a:xfrm>
                    <a:prstGeom prst="rect">
                      <a:avLst/>
                    </a:prstGeom>
                    <a:noFill/>
                    <a:ln>
                      <a:noFill/>
                    </a:ln>
                  </pic:spPr>
                </pic:pic>
              </a:graphicData>
            </a:graphic>
          </wp:inline>
        </w:drawing>
      </w:r>
      <w:r w:rsidRPr="002C5876">
        <w:t xml:space="preserve"> </w:t>
      </w:r>
    </w:p>
    <w:p w:rsidR="00E24DB7" w:rsidRPr="002C5876" w:rsidRDefault="00E24DB7" w:rsidP="00E24DB7">
      <w:pPr>
        <w:pStyle w:val="SingleTxtG"/>
        <w:ind w:left="3402" w:hanging="567"/>
      </w:pPr>
      <w:r w:rsidRPr="002C5876">
        <w:t xml:space="preserve">pour un banc à un axe, ou </w:t>
      </w:r>
    </w:p>
    <w:p w:rsidR="00E24DB7" w:rsidRPr="002C5876" w:rsidRDefault="00E24DB7" w:rsidP="00E24DB7">
      <w:pPr>
        <w:pStyle w:val="SingleTxtG"/>
        <w:ind w:left="3402" w:hanging="567"/>
      </w:pPr>
      <w:r w:rsidRPr="002C5876">
        <w:rPr>
          <w:noProof/>
          <w:position w:val="-20"/>
          <w:lang w:val="en-GB" w:eastAsia="zh-CN"/>
        </w:rPr>
        <w:drawing>
          <wp:inline distT="0" distB="0" distL="0" distR="0" wp14:anchorId="2872FEF0" wp14:editId="5EAB1141">
            <wp:extent cx="1725631" cy="294620"/>
            <wp:effectExtent l="0" t="0" r="0" b="0"/>
            <wp:docPr id="418"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59210" cy="300353"/>
                    </a:xfrm>
                    <a:prstGeom prst="rect">
                      <a:avLst/>
                    </a:prstGeom>
                    <a:noFill/>
                    <a:ln>
                      <a:noFill/>
                    </a:ln>
                  </pic:spPr>
                </pic:pic>
              </a:graphicData>
            </a:graphic>
          </wp:inline>
        </w:drawing>
      </w:r>
      <w:r w:rsidRPr="002C5876">
        <w:t xml:space="preserve"> </w:t>
      </w:r>
    </w:p>
    <w:p w:rsidR="00E24DB7" w:rsidRPr="002C5876" w:rsidRDefault="00E24DB7" w:rsidP="00E24DB7">
      <w:pPr>
        <w:pStyle w:val="SingleTxtG"/>
        <w:keepNext/>
        <w:ind w:left="3402" w:hanging="567"/>
      </w:pPr>
      <w:r w:rsidRPr="002C5876">
        <w:rPr>
          <w:iCs/>
        </w:rPr>
        <w:t xml:space="preserve">pour un </w:t>
      </w:r>
      <w:r w:rsidRPr="002C5876">
        <w:t>banc à deux axes, où :</w:t>
      </w:r>
    </w:p>
    <w:p w:rsidR="00E24DB7" w:rsidRPr="002C5876" w:rsidRDefault="00E24DB7" w:rsidP="00E24DB7">
      <w:pPr>
        <w:pStyle w:val="SingleTxtG"/>
        <w:ind w:left="2835"/>
      </w:pPr>
      <w:r w:rsidRPr="002C5876">
        <w:t>a</w:t>
      </w:r>
      <w:r w:rsidRPr="002C5876">
        <w:rPr>
          <w:vertAlign w:val="subscript"/>
        </w:rPr>
        <w:t>t</w:t>
      </w:r>
      <w:r w:rsidRPr="002C5876">
        <w:t>, b</w:t>
      </w:r>
      <w:r w:rsidRPr="002C5876">
        <w:rPr>
          <w:vertAlign w:val="subscript"/>
        </w:rPr>
        <w:t>t</w:t>
      </w:r>
      <w:r w:rsidRPr="002C5876">
        <w:t xml:space="preserve"> et c</w:t>
      </w:r>
      <w:r w:rsidRPr="002C5876">
        <w:rPr>
          <w:vertAlign w:val="subscript"/>
        </w:rPr>
        <w:t>t</w:t>
      </w:r>
      <w:r w:rsidRPr="002C5876">
        <w:t xml:space="preserve"> sont les coefficients de résistance à l’avancement visée ; et</w:t>
      </w:r>
    </w:p>
    <w:p w:rsidR="00E24DB7" w:rsidRPr="002C5876" w:rsidRDefault="00E24DB7" w:rsidP="00E24DB7">
      <w:pPr>
        <w:pStyle w:val="SingleTxtG"/>
        <w:ind w:left="2835"/>
      </w:pPr>
      <w:r w:rsidRPr="002C5876">
        <w:t>r’ est le rayon dynamique du pneumatique sur le banc à rouleaux, en m, obtenu à 80 km/h ;</w:t>
      </w:r>
    </w:p>
    <w:p w:rsidR="00E24DB7" w:rsidRPr="002C5876" w:rsidRDefault="00E24DB7" w:rsidP="00E24DB7">
      <w:pPr>
        <w:pStyle w:val="SingleTxtG"/>
        <w:ind w:left="2835" w:hanging="567"/>
      </w:pPr>
      <w:r w:rsidRPr="002C5876">
        <w:t>b)</w:t>
      </w:r>
      <w:r w:rsidRPr="002C5876">
        <w:tab/>
        <w:t>Ou des valeurs empiriques, telles que celles utilisées pour le réglage dans le cas d’un type similaire de véhicule.</w:t>
      </w:r>
    </w:p>
    <w:p w:rsidR="00E24DB7" w:rsidRPr="002C5876" w:rsidRDefault="00E24DB7" w:rsidP="00E24DB7">
      <w:pPr>
        <w:pStyle w:val="SingleTxtG"/>
        <w:ind w:left="2268"/>
      </w:pPr>
      <w:r w:rsidRPr="002C5876">
        <w:t>Pour un banc à rouleaux à réglage par fonction polygonale, des valeurs de force appropriées à chaque vitesse de référence doivent être fixées pour le réglage du frein du banc.</w:t>
      </w:r>
    </w:p>
    <w:p w:rsidR="00E24DB7" w:rsidRPr="002C5876" w:rsidRDefault="00E24DB7" w:rsidP="00E24DB7">
      <w:pPr>
        <w:pStyle w:val="SingleTxtG"/>
        <w:keepNext/>
        <w:ind w:left="2268" w:hanging="1134"/>
        <w:jc w:val="left"/>
      </w:pPr>
      <w:r w:rsidRPr="002C5876">
        <w:lastRenderedPageBreak/>
        <w:t>8.2.2</w:t>
      </w:r>
      <w:r w:rsidRPr="002C5876">
        <w:tab/>
        <w:t>Mesure du couple aux roues</w:t>
      </w:r>
    </w:p>
    <w:p w:rsidR="00E24DB7" w:rsidRPr="002C5876" w:rsidRDefault="00E24DB7" w:rsidP="00E24DB7">
      <w:pPr>
        <w:pStyle w:val="SingleTxtG"/>
        <w:ind w:left="2268"/>
      </w:pPr>
      <w:r w:rsidRPr="002C5876">
        <w:t>L’essai de mesure du couple sur le banc à rouleaux doit être effectué selon la procédure décrite au paragraphe 4.4.2 de la présente annexe. Les couple mètres doivent être identiques à ceux utilisés dans l’essai sur route précédent.</w:t>
      </w:r>
    </w:p>
    <w:p w:rsidR="00E24DB7" w:rsidRPr="002C5876" w:rsidRDefault="00E24DB7" w:rsidP="00E24DB7">
      <w:pPr>
        <w:pStyle w:val="SingleTxtG"/>
        <w:keepNext/>
        <w:ind w:left="2268" w:hanging="1134"/>
        <w:jc w:val="left"/>
      </w:pPr>
      <w:r w:rsidRPr="002C5876">
        <w:t>8.2.3</w:t>
      </w:r>
      <w:r w:rsidRPr="002C5876">
        <w:tab/>
        <w:t>Vérification</w:t>
      </w:r>
    </w:p>
    <w:p w:rsidR="00E24DB7" w:rsidRPr="002C5876" w:rsidRDefault="00E24DB7" w:rsidP="00E24DB7">
      <w:pPr>
        <w:pStyle w:val="SingleTxtG"/>
        <w:ind w:left="2268" w:hanging="1134"/>
      </w:pPr>
      <w:r w:rsidRPr="002C5876">
        <w:t>8.2.3.1</w:t>
      </w:r>
      <w:r w:rsidRPr="002C5876">
        <w:tab/>
      </w:r>
      <w:r w:rsidRPr="002C5876">
        <w:tab/>
        <w:t xml:space="preserve">La courbe de résistance à l’avancement (couple) visée doit être déterminée au moyen de l’équation du paragraphe 4.5.5.2.1 de la présente annexe et peut être exprimée comme suit : </w:t>
      </w:r>
    </w:p>
    <w:p w:rsidR="00E24DB7" w:rsidRPr="002C5876" w:rsidRDefault="00731CA6" w:rsidP="00E24DB7">
      <w:pPr>
        <w:pStyle w:val="SingleTxtG"/>
        <w:spacing w:after="240"/>
        <w:ind w:left="2268"/>
        <w:jc w:val="center"/>
      </w:pPr>
      <m:oMathPara>
        <m:oMath>
          <m:sSubSup>
            <m:sSubSupPr>
              <m:ctrlPr>
                <w:rPr>
                  <w:rFonts w:ascii="Cambria Math" w:hAnsi="Cambria Math" w:cstheme="majorBidi"/>
                </w:rPr>
              </m:ctrlPr>
            </m:sSubSupPr>
            <m:e>
              <m:r>
                <m:rPr>
                  <m:sty m:val="p"/>
                </m:rPr>
                <w:rPr>
                  <w:rFonts w:ascii="Cambria Math" w:hAnsi="Cambria Math" w:cstheme="majorBidi"/>
                </w:rPr>
                <m:t>C</m:t>
              </m:r>
            </m:e>
            <m:sub>
              <m:r>
                <m:rPr>
                  <m:sty m:val="p"/>
                </m:rPr>
                <w:rPr>
                  <w:rFonts w:ascii="Cambria Math" w:hAnsi="Cambria Math" w:cstheme="majorBidi"/>
                </w:rPr>
                <m:t>t</m:t>
              </m:r>
            </m:sub>
            <m:sup>
              <m:r>
                <m:rPr>
                  <m:sty m:val="p"/>
                </m:rPr>
                <w:rPr>
                  <w:rFonts w:ascii="Cambria Math" w:hAnsi="Cambria Math" w:cstheme="majorBidi"/>
                </w:rPr>
                <m:t>*</m:t>
              </m:r>
            </m:sup>
          </m:sSubSup>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t</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t</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v</m:t>
              </m:r>
            </m:e>
            <m:sub>
              <m:r>
                <m:rPr>
                  <m:sty m:val="p"/>
                </m:rPr>
                <w:rPr>
                  <w:rFonts w:ascii="Cambria Math" w:hAnsi="Cambria Math" w:cstheme="majorBidi"/>
                </w:rPr>
                <m:t>j</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t</m:t>
              </m:r>
            </m:sub>
          </m:sSub>
          <m:r>
            <m:rPr>
              <m:sty m:val="p"/>
            </m:rPr>
            <w:rPr>
              <w:rFonts w:ascii="Cambria Math" w:hAnsi="Cambria Math" w:cstheme="majorBidi"/>
            </w:rPr>
            <m:t>×</m:t>
          </m:r>
          <m:sSubSup>
            <m:sSubSupPr>
              <m:ctrlPr>
                <w:rPr>
                  <w:rFonts w:ascii="Cambria Math" w:hAnsi="Cambria Math" w:cstheme="majorBidi"/>
                </w:rPr>
              </m:ctrlPr>
            </m:sSubSupPr>
            <m:e>
              <m:r>
                <m:rPr>
                  <m:sty m:val="p"/>
                </m:rPr>
                <w:rPr>
                  <w:rFonts w:ascii="Cambria Math" w:hAnsi="Cambria Math" w:cstheme="majorBidi"/>
                </w:rPr>
                <m:t>v</m:t>
              </m:r>
            </m:e>
            <m:sub>
              <m:r>
                <m:rPr>
                  <m:sty m:val="p"/>
                </m:rPr>
                <w:rPr>
                  <w:rFonts w:ascii="Cambria Math" w:hAnsi="Cambria Math" w:cstheme="majorBidi"/>
                </w:rPr>
                <m:t>j</m:t>
              </m:r>
            </m:sub>
            <m:sup>
              <m:r>
                <m:rPr>
                  <m:sty m:val="p"/>
                </m:rPr>
                <w:rPr>
                  <w:rFonts w:ascii="Cambria Math" w:hAnsi="Cambria Math" w:cstheme="majorBidi"/>
                </w:rPr>
                <m:t>2</m:t>
              </m:r>
            </m:sup>
          </m:sSubSup>
        </m:oMath>
      </m:oMathPara>
    </w:p>
    <w:p w:rsidR="00E24DB7" w:rsidRPr="002C5876" w:rsidRDefault="00E24DB7" w:rsidP="00E24DB7">
      <w:pPr>
        <w:pStyle w:val="SingleTxtG"/>
        <w:keepLines/>
        <w:ind w:left="2268" w:hanging="1134"/>
      </w:pPr>
      <w:r w:rsidRPr="002C5876">
        <w:t>8.2.3.2</w:t>
      </w:r>
      <w:r w:rsidRPr="002C5876">
        <w:tab/>
        <w:t>La courbe de résistance à l’avancement simulée (couple) sur le banc à rouleaux doit être déterminée conformément à la méthode et avec la précision de mesure spécifiées au paragraphe 4.4.3.2 de la présente annexe, et la détermination de la courbe de résistance à l’avancement (couple) doit être effectuée comme défini au paragraphe 4.4.4 de la présente annexe, avec les corrections applicables conformément au paragraphe 4.5 de la présente annexe, à l’exception dans tous les cas de la mesure en sens opposés, afin d’établir une courbe de résistance à l’avancement simulée :</w:t>
      </w:r>
    </w:p>
    <w:p w:rsidR="00E24DB7" w:rsidRPr="002C5876" w:rsidRDefault="00731CA6" w:rsidP="004C2441">
      <w:pPr>
        <w:pStyle w:val="SingleTxtG"/>
        <w:spacing w:line="220" w:lineRule="atLeast"/>
        <w:ind w:left="2268"/>
        <w:jc w:val="center"/>
      </w:pPr>
      <m:oMathPara>
        <m:oMath>
          <m:sSubSup>
            <m:sSubSupPr>
              <m:ctrlPr>
                <w:rPr>
                  <w:rFonts w:ascii="Cambria Math" w:hAnsi="Cambria Math" w:cstheme="majorBidi"/>
                </w:rPr>
              </m:ctrlPr>
            </m:sSubSupPr>
            <m:e>
              <m:r>
                <m:rPr>
                  <m:sty m:val="p"/>
                </m:rPr>
                <w:rPr>
                  <w:rFonts w:ascii="Cambria Math" w:hAnsi="Cambria Math" w:cstheme="majorBidi"/>
                </w:rPr>
                <m:t>C</m:t>
              </m:r>
            </m:e>
            <m:sub>
              <m:r>
                <m:rPr>
                  <m:sty m:val="p"/>
                </m:rPr>
                <w:rPr>
                  <w:rFonts w:ascii="Cambria Math" w:hAnsi="Cambria Math" w:cstheme="majorBidi"/>
                </w:rPr>
                <m:t>s</m:t>
              </m:r>
            </m:sub>
            <m:sup>
              <m:r>
                <m:rPr>
                  <m:sty m:val="p"/>
                </m:rPr>
                <w:rPr>
                  <w:rFonts w:ascii="Cambria Math" w:hAnsi="Cambria Math" w:cstheme="majorBidi"/>
                </w:rPr>
                <m:t>*</m:t>
              </m:r>
            </m:sup>
          </m:sSubSup>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0s</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1s</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v</m:t>
              </m:r>
            </m:e>
            <m:sub>
              <m:r>
                <m:rPr>
                  <m:sty m:val="p"/>
                </m:rPr>
                <w:rPr>
                  <w:rFonts w:ascii="Cambria Math" w:hAnsi="Cambria Math" w:cstheme="majorBidi"/>
                </w:rPr>
                <m:t>j</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2s</m:t>
              </m:r>
            </m:sub>
          </m:sSub>
          <m:r>
            <m:rPr>
              <m:sty m:val="p"/>
            </m:rPr>
            <w:rPr>
              <w:rFonts w:ascii="Cambria Math" w:hAnsi="Cambria Math" w:cstheme="majorBidi"/>
            </w:rPr>
            <m:t>×</m:t>
          </m:r>
          <m:sSubSup>
            <m:sSubSupPr>
              <m:ctrlPr>
                <w:rPr>
                  <w:rFonts w:ascii="Cambria Math" w:hAnsi="Cambria Math" w:cstheme="majorBidi"/>
                </w:rPr>
              </m:ctrlPr>
            </m:sSubSupPr>
            <m:e>
              <m:r>
                <m:rPr>
                  <m:sty m:val="p"/>
                </m:rPr>
                <w:rPr>
                  <w:rFonts w:ascii="Cambria Math" w:hAnsi="Cambria Math" w:cstheme="majorBidi"/>
                </w:rPr>
                <m:t>v</m:t>
              </m:r>
            </m:e>
            <m:sub>
              <m:r>
                <m:rPr>
                  <m:sty m:val="p"/>
                </m:rPr>
                <w:rPr>
                  <w:rFonts w:ascii="Cambria Math" w:hAnsi="Cambria Math" w:cstheme="majorBidi"/>
                </w:rPr>
                <m:t>j</m:t>
              </m:r>
            </m:sub>
            <m:sup>
              <m:r>
                <m:rPr>
                  <m:sty m:val="p"/>
                </m:rPr>
                <w:rPr>
                  <w:rFonts w:ascii="Cambria Math" w:hAnsi="Cambria Math" w:cstheme="majorBidi"/>
                </w:rPr>
                <m:t>2</m:t>
              </m:r>
            </m:sup>
          </m:sSubSup>
        </m:oMath>
      </m:oMathPara>
    </w:p>
    <w:p w:rsidR="00E24DB7" w:rsidRPr="002C5876" w:rsidRDefault="00E24DB7" w:rsidP="00E24DB7">
      <w:pPr>
        <w:pStyle w:val="SingleTxtG"/>
        <w:ind w:left="2268"/>
      </w:pPr>
      <w:r w:rsidRPr="002C5876">
        <w:t xml:space="preserve">Les valeurs de résistance à l’avancement simulée (couple) doivent demeurer dans une marge de tolérance de </w:t>
      </w:r>
      <w:r w:rsidRPr="002C5876">
        <w:sym w:font="Symbol" w:char="F0B1"/>
      </w:r>
      <w:r w:rsidRPr="002C5876">
        <w:t xml:space="preserve">10 N × r’ par rapport à la résistance à l’avancement visée à chaque point de vitesse de référence, r’ étant le rayon dynamique du pneumatique sur le banc à rouleaux, en m, obtenu à 80 km/h. </w:t>
      </w:r>
    </w:p>
    <w:p w:rsidR="00E24DB7" w:rsidRPr="002C5876" w:rsidRDefault="00E24DB7" w:rsidP="00E24DB7">
      <w:pPr>
        <w:pStyle w:val="SingleTxtG"/>
        <w:spacing w:line="220" w:lineRule="atLeast"/>
        <w:ind w:left="2268"/>
      </w:pPr>
      <w:r w:rsidRPr="002C5876">
        <w:t>Si la tolérance à une vitesse de référence quelconque ne satisfait pas aux critères de la méthode spécifiée dans le présent paragraphe, la procédure décrite au paragraphe </w:t>
      </w:r>
      <w:r w:rsidRPr="002C5876">
        <w:rPr>
          <w:iCs/>
        </w:rPr>
        <w:t>8.2.3.3</w:t>
      </w:r>
      <w:r w:rsidRPr="002C5876">
        <w:t xml:space="preserve"> de la présente annexe doit être utilisée pour ajuster le réglage de la force résistante sur le banc à rouleaux.</w:t>
      </w:r>
    </w:p>
    <w:p w:rsidR="00E24DB7" w:rsidRPr="002C5876" w:rsidRDefault="00E24DB7" w:rsidP="00E24DB7">
      <w:pPr>
        <w:pStyle w:val="SingleTxtG"/>
        <w:keepNext/>
        <w:ind w:left="2268" w:hanging="1134"/>
        <w:jc w:val="left"/>
      </w:pPr>
      <w:r w:rsidRPr="002C5876">
        <w:t>8.2.3.3</w:t>
      </w:r>
      <w:r w:rsidRPr="002C5876">
        <w:tab/>
        <w:t>Ajustement du réglage du banc à rouleaux</w:t>
      </w:r>
    </w:p>
    <w:p w:rsidR="00E24DB7" w:rsidRPr="002C5876" w:rsidRDefault="00E24DB7" w:rsidP="00E24DB7">
      <w:pPr>
        <w:pStyle w:val="SingleTxtG"/>
        <w:spacing w:line="220" w:lineRule="atLeast"/>
        <w:ind w:left="2268"/>
      </w:pPr>
      <w:r w:rsidRPr="002C5876">
        <w:t>Le réglage de la force résistante sur le banc à rouleaux doit être ajusté conformément à l’équation suivante :</w:t>
      </w:r>
    </w:p>
    <w:p w:rsidR="00E24DB7" w:rsidRPr="002C5876" w:rsidRDefault="00731CA6" w:rsidP="00E24DB7">
      <w:pPr>
        <w:pStyle w:val="SingleTxtG"/>
        <w:ind w:left="2268"/>
        <w:jc w:val="center"/>
      </w:pPr>
      <m:oMathPara>
        <m:oMath>
          <m:sSubSup>
            <m:sSubSupPr>
              <m:ctrlPr>
                <w:rPr>
                  <w:rFonts w:ascii="Cambria Math" w:hAnsi="Cambria Math" w:cstheme="majorBidi"/>
                </w:rPr>
              </m:ctrlPr>
            </m:sSubSupPr>
            <m:e>
              <m:r>
                <m:rPr>
                  <m:sty m:val="p"/>
                </m:rPr>
                <w:rPr>
                  <w:rFonts w:ascii="Cambria Math" w:hAnsi="Cambria Math" w:cstheme="majorBidi"/>
                </w:rPr>
                <m:t>F</m:t>
              </m:r>
            </m:e>
            <m:sub>
              <m:r>
                <m:rPr>
                  <m:sty m:val="p"/>
                </m:rPr>
                <w:rPr>
                  <w:rFonts w:ascii="Cambria Math" w:hAnsi="Cambria Math" w:cstheme="majorBidi"/>
                </w:rPr>
                <m:t>dj</m:t>
              </m:r>
            </m:sub>
            <m:sup>
              <m:r>
                <m:rPr>
                  <m:sty m:val="p"/>
                </m:rPr>
                <w:rPr>
                  <w:rFonts w:ascii="Cambria Math" w:hAnsi="Cambria Math" w:cstheme="majorBidi"/>
                </w:rPr>
                <m:t>*</m:t>
              </m:r>
            </m:sup>
          </m:sSubSup>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dj</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ej</m:t>
                  </m:r>
                </m:sub>
              </m:sSub>
            </m:num>
            <m:den>
              <m:sSup>
                <m:sSupPr>
                  <m:ctrlPr>
                    <w:rPr>
                      <w:rFonts w:ascii="Cambria Math" w:hAnsi="Cambria Math" w:cstheme="majorBidi"/>
                    </w:rPr>
                  </m:ctrlPr>
                </m:sSupPr>
                <m:e>
                  <m:r>
                    <m:rPr>
                      <m:sty m:val="p"/>
                    </m:rPr>
                    <w:rPr>
                      <w:rFonts w:ascii="Cambria Math" w:hAnsi="Cambria Math" w:cstheme="majorBidi"/>
                    </w:rPr>
                    <m:t>r</m:t>
                  </m:r>
                </m:e>
                <m:sup>
                  <m:r>
                    <m:rPr>
                      <m:sty m:val="p"/>
                    </m:rPr>
                    <w:rPr>
                      <w:rFonts w:ascii="Cambria Math" w:hAnsi="Cambria Math" w:cstheme="majorBidi"/>
                    </w:rPr>
                    <m:t>'</m:t>
                  </m:r>
                </m:sup>
              </m:sSup>
            </m:den>
          </m:f>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dj</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sj</m:t>
                  </m:r>
                </m:sub>
              </m:sSub>
            </m:num>
            <m:den>
              <m:sSup>
                <m:sSupPr>
                  <m:ctrlPr>
                    <w:rPr>
                      <w:rFonts w:ascii="Cambria Math" w:hAnsi="Cambria Math" w:cstheme="majorBidi"/>
                    </w:rPr>
                  </m:ctrlPr>
                </m:sSupPr>
                <m:e>
                  <m:r>
                    <m:rPr>
                      <m:sty m:val="p"/>
                    </m:rPr>
                    <w:rPr>
                      <w:rFonts w:ascii="Cambria Math" w:hAnsi="Cambria Math" w:cstheme="majorBidi"/>
                    </w:rPr>
                    <m:t>r</m:t>
                  </m:r>
                </m:e>
                <m:sup>
                  <m:r>
                    <m:rPr>
                      <m:sty m:val="p"/>
                    </m:rPr>
                    <w:rPr>
                      <w:rFonts w:ascii="Cambria Math" w:hAnsi="Cambria Math" w:cstheme="majorBidi"/>
                    </w:rPr>
                    <m:t>'</m:t>
                  </m:r>
                </m:sup>
              </m:sSup>
            </m:den>
          </m:f>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tj</m:t>
                  </m:r>
                </m:sub>
              </m:sSub>
            </m:num>
            <m:den>
              <m:sSup>
                <m:sSupPr>
                  <m:ctrlPr>
                    <w:rPr>
                      <w:rFonts w:ascii="Cambria Math" w:hAnsi="Cambria Math" w:cstheme="majorBidi"/>
                    </w:rPr>
                  </m:ctrlPr>
                </m:sSupPr>
                <m:e>
                  <m:r>
                    <m:rPr>
                      <m:sty m:val="p"/>
                    </m:rPr>
                    <w:rPr>
                      <w:rFonts w:ascii="Cambria Math" w:hAnsi="Cambria Math" w:cstheme="majorBidi"/>
                    </w:rPr>
                    <m:t>r</m:t>
                  </m:r>
                </m:e>
                <m:sup>
                  <m:r>
                    <m:rPr>
                      <m:sty m:val="p"/>
                    </m:rPr>
                    <w:rPr>
                      <w:rFonts w:ascii="Cambria Math" w:hAnsi="Cambria Math" w:cstheme="majorBidi"/>
                    </w:rPr>
                    <m:t>'</m:t>
                  </m:r>
                </m:sup>
              </m:sSup>
            </m:den>
          </m:f>
        </m:oMath>
      </m:oMathPara>
    </w:p>
    <w:p w:rsidR="00E24DB7" w:rsidRPr="002C5876" w:rsidRDefault="00E24DB7" w:rsidP="00E24DB7">
      <w:pPr>
        <w:pStyle w:val="SingleTxtG"/>
        <w:spacing w:line="220" w:lineRule="atLeast"/>
        <w:ind w:left="2268"/>
        <w:jc w:val="center"/>
      </w:pPr>
      <m:oMathPara>
        <m:oMath>
          <m:r>
            <m:rPr>
              <m:sty m:val="p"/>
            </m:rPr>
            <w:rPr>
              <w:rFonts w:ascii="Cambria Math" w:hAnsi="Cambria Math" w:cstheme="majorBidi"/>
            </w:rPr>
            <m:t>=</m:t>
          </m:r>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d</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d</m:t>
                  </m:r>
                </m:sub>
              </m:sSub>
              <m:sSub>
                <m:sSubPr>
                  <m:ctrlPr>
                    <w:rPr>
                      <w:rFonts w:ascii="Cambria Math" w:hAnsi="Cambria Math" w:cstheme="majorBidi"/>
                    </w:rPr>
                  </m:ctrlPr>
                </m:sSubPr>
                <m:e>
                  <m:r>
                    <m:rPr>
                      <m:sty m:val="p"/>
                    </m:rPr>
                    <w:rPr>
                      <w:rFonts w:ascii="Cambria Math" w:hAnsi="Cambria Math" w:cstheme="majorBidi"/>
                    </w:rPr>
                    <m:t>v</m:t>
                  </m:r>
                </m:e>
                <m:sub>
                  <m:r>
                    <m:rPr>
                      <m:sty m:val="p"/>
                    </m:rPr>
                    <w:rPr>
                      <w:rFonts w:ascii="Cambria Math" w:hAnsi="Cambria Math" w:cstheme="majorBidi"/>
                    </w:rPr>
                    <m:t>j</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d</m:t>
                  </m:r>
                </m:sub>
              </m:sSub>
              <m:sSubSup>
                <m:sSubSupPr>
                  <m:ctrlPr>
                    <w:rPr>
                      <w:rFonts w:ascii="Cambria Math" w:hAnsi="Cambria Math" w:cstheme="majorBidi"/>
                    </w:rPr>
                  </m:ctrlPr>
                </m:sSubSupPr>
                <m:e>
                  <m:r>
                    <m:rPr>
                      <m:sty m:val="p"/>
                    </m:rPr>
                    <w:rPr>
                      <w:rFonts w:ascii="Cambria Math" w:hAnsi="Cambria Math" w:cstheme="majorBidi"/>
                    </w:rPr>
                    <m:t>v</m:t>
                  </m:r>
                </m:e>
                <m:sub>
                  <m:r>
                    <m:rPr>
                      <m:sty m:val="p"/>
                    </m:rPr>
                    <w:rPr>
                      <w:rFonts w:ascii="Cambria Math" w:hAnsi="Cambria Math" w:cstheme="majorBidi"/>
                    </w:rPr>
                    <m:t>j</m:t>
                  </m:r>
                </m:sub>
                <m:sup>
                  <m:r>
                    <m:rPr>
                      <m:sty m:val="p"/>
                    </m:rPr>
                    <w:rPr>
                      <w:rFonts w:ascii="Cambria Math" w:hAnsi="Cambria Math" w:cstheme="majorBidi"/>
                    </w:rPr>
                    <m:t>2</m:t>
                  </m:r>
                </m:sup>
              </m:sSubSup>
            </m:e>
          </m:d>
          <m:r>
            <m:rPr>
              <m:sty m:val="p"/>
            </m:rPr>
            <w:rPr>
              <w:rFonts w:ascii="Cambria Math" w:hAnsi="Cambria Math" w:cstheme="majorBidi"/>
            </w:rPr>
            <m:t>-</m:t>
          </m:r>
          <m:f>
            <m:fPr>
              <m:ctrlPr>
                <w:rPr>
                  <w:rFonts w:ascii="Cambria Math" w:hAnsi="Cambria Math" w:cstheme="majorBidi"/>
                </w:rPr>
              </m:ctrlPr>
            </m:fPr>
            <m:num>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s</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s</m:t>
                      </m:r>
                    </m:sub>
                  </m:sSub>
                  <m:sSub>
                    <m:sSubPr>
                      <m:ctrlPr>
                        <w:rPr>
                          <w:rFonts w:ascii="Cambria Math" w:hAnsi="Cambria Math" w:cstheme="majorBidi"/>
                        </w:rPr>
                      </m:ctrlPr>
                    </m:sSubPr>
                    <m:e>
                      <m:r>
                        <m:rPr>
                          <m:sty m:val="p"/>
                        </m:rPr>
                        <w:rPr>
                          <w:rFonts w:ascii="Cambria Math" w:hAnsi="Cambria Math" w:cstheme="majorBidi"/>
                        </w:rPr>
                        <m:t>v</m:t>
                      </m:r>
                    </m:e>
                    <m:sub>
                      <m:r>
                        <m:rPr>
                          <m:sty m:val="p"/>
                        </m:rPr>
                        <w:rPr>
                          <w:rFonts w:ascii="Cambria Math" w:hAnsi="Cambria Math" w:cstheme="majorBidi"/>
                        </w:rPr>
                        <m:t>j</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s</m:t>
                      </m:r>
                    </m:sub>
                  </m:sSub>
                  <m:sSubSup>
                    <m:sSubSupPr>
                      <m:ctrlPr>
                        <w:rPr>
                          <w:rFonts w:ascii="Cambria Math" w:hAnsi="Cambria Math" w:cstheme="majorBidi"/>
                        </w:rPr>
                      </m:ctrlPr>
                    </m:sSubSupPr>
                    <m:e>
                      <m:r>
                        <m:rPr>
                          <m:sty m:val="p"/>
                        </m:rPr>
                        <w:rPr>
                          <w:rFonts w:ascii="Cambria Math" w:hAnsi="Cambria Math" w:cstheme="majorBidi"/>
                        </w:rPr>
                        <m:t>v</m:t>
                      </m:r>
                    </m:e>
                    <m:sub>
                      <m:r>
                        <m:rPr>
                          <m:sty m:val="p"/>
                        </m:rPr>
                        <w:rPr>
                          <w:rFonts w:ascii="Cambria Math" w:hAnsi="Cambria Math" w:cstheme="majorBidi"/>
                        </w:rPr>
                        <m:t>j</m:t>
                      </m:r>
                    </m:sub>
                    <m:sup>
                      <m:r>
                        <m:rPr>
                          <m:sty m:val="p"/>
                        </m:rPr>
                        <w:rPr>
                          <w:rFonts w:ascii="Cambria Math" w:hAnsi="Cambria Math" w:cstheme="majorBidi"/>
                        </w:rPr>
                        <m:t>2</m:t>
                      </m:r>
                    </m:sup>
                  </m:sSubSup>
                </m:e>
              </m:d>
            </m:num>
            <m:den>
              <m:sSup>
                <m:sSupPr>
                  <m:ctrlPr>
                    <w:rPr>
                      <w:rFonts w:ascii="Cambria Math" w:hAnsi="Cambria Math" w:cstheme="majorBidi"/>
                    </w:rPr>
                  </m:ctrlPr>
                </m:sSupPr>
                <m:e>
                  <m:r>
                    <m:rPr>
                      <m:sty m:val="p"/>
                    </m:rPr>
                    <w:rPr>
                      <w:rFonts w:ascii="Cambria Math" w:hAnsi="Cambria Math" w:cstheme="majorBidi"/>
                    </w:rPr>
                    <m:t>r</m:t>
                  </m:r>
                </m:e>
                <m:sup>
                  <m:r>
                    <m:rPr>
                      <m:sty m:val="p"/>
                    </m:rPr>
                    <w:rPr>
                      <w:rFonts w:ascii="Cambria Math" w:hAnsi="Cambria Math" w:cstheme="majorBidi"/>
                    </w:rPr>
                    <m:t>'</m:t>
                  </m:r>
                </m:sup>
              </m:sSup>
            </m:den>
          </m:f>
          <m:r>
            <m:rPr>
              <m:sty m:val="p"/>
            </m:rPr>
            <w:rPr>
              <w:rFonts w:ascii="Cambria Math" w:hAnsi="Cambria Math" w:cstheme="majorBidi"/>
            </w:rPr>
            <m:t>+</m:t>
          </m:r>
          <m:f>
            <m:fPr>
              <m:ctrlPr>
                <w:rPr>
                  <w:rFonts w:ascii="Cambria Math" w:hAnsi="Cambria Math" w:cstheme="majorBidi"/>
                </w:rPr>
              </m:ctrlPr>
            </m:fPr>
            <m:num>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t</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t</m:t>
                      </m:r>
                    </m:sub>
                  </m:sSub>
                  <m:sSub>
                    <m:sSubPr>
                      <m:ctrlPr>
                        <w:rPr>
                          <w:rFonts w:ascii="Cambria Math" w:hAnsi="Cambria Math" w:cstheme="majorBidi"/>
                        </w:rPr>
                      </m:ctrlPr>
                    </m:sSubPr>
                    <m:e>
                      <m:r>
                        <m:rPr>
                          <m:sty m:val="p"/>
                        </m:rPr>
                        <w:rPr>
                          <w:rFonts w:ascii="Cambria Math" w:hAnsi="Cambria Math" w:cstheme="majorBidi"/>
                        </w:rPr>
                        <m:t>v</m:t>
                      </m:r>
                    </m:e>
                    <m:sub>
                      <m:r>
                        <m:rPr>
                          <m:sty m:val="p"/>
                        </m:rPr>
                        <w:rPr>
                          <w:rFonts w:ascii="Cambria Math" w:hAnsi="Cambria Math" w:cstheme="majorBidi"/>
                        </w:rPr>
                        <m:t>j</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t</m:t>
                      </m:r>
                    </m:sub>
                  </m:sSub>
                  <m:sSubSup>
                    <m:sSubSupPr>
                      <m:ctrlPr>
                        <w:rPr>
                          <w:rFonts w:ascii="Cambria Math" w:hAnsi="Cambria Math" w:cstheme="majorBidi"/>
                        </w:rPr>
                      </m:ctrlPr>
                    </m:sSubSupPr>
                    <m:e>
                      <m:r>
                        <m:rPr>
                          <m:sty m:val="p"/>
                        </m:rPr>
                        <w:rPr>
                          <w:rFonts w:ascii="Cambria Math" w:hAnsi="Cambria Math" w:cstheme="majorBidi"/>
                        </w:rPr>
                        <m:t>v</m:t>
                      </m:r>
                    </m:e>
                    <m:sub>
                      <m:r>
                        <m:rPr>
                          <m:sty m:val="p"/>
                        </m:rPr>
                        <w:rPr>
                          <w:rFonts w:ascii="Cambria Math" w:hAnsi="Cambria Math" w:cstheme="majorBidi"/>
                        </w:rPr>
                        <m:t>j</m:t>
                      </m:r>
                    </m:sub>
                    <m:sup>
                      <m:r>
                        <m:rPr>
                          <m:sty m:val="p"/>
                        </m:rPr>
                        <w:rPr>
                          <w:rFonts w:ascii="Cambria Math" w:hAnsi="Cambria Math" w:cstheme="majorBidi"/>
                        </w:rPr>
                        <m:t>2</m:t>
                      </m:r>
                    </m:sup>
                  </m:sSubSup>
                </m:e>
              </m:d>
            </m:num>
            <m:den>
              <m:sSup>
                <m:sSupPr>
                  <m:ctrlPr>
                    <w:rPr>
                      <w:rFonts w:ascii="Cambria Math" w:hAnsi="Cambria Math" w:cstheme="majorBidi"/>
                    </w:rPr>
                  </m:ctrlPr>
                </m:sSupPr>
                <m:e>
                  <m:r>
                    <m:rPr>
                      <m:sty m:val="p"/>
                    </m:rPr>
                    <w:rPr>
                      <w:rFonts w:ascii="Cambria Math" w:hAnsi="Cambria Math" w:cstheme="majorBidi"/>
                    </w:rPr>
                    <m:t>r</m:t>
                  </m:r>
                </m:e>
                <m:sup>
                  <m:r>
                    <m:rPr>
                      <m:sty m:val="p"/>
                    </m:rPr>
                    <w:rPr>
                      <w:rFonts w:ascii="Cambria Math" w:hAnsi="Cambria Math" w:cstheme="majorBidi"/>
                    </w:rPr>
                    <m:t>'</m:t>
                  </m:r>
                </m:sup>
              </m:sSup>
            </m:den>
          </m:f>
        </m:oMath>
      </m:oMathPara>
    </w:p>
    <w:p w:rsidR="00E24DB7" w:rsidRPr="002C5876" w:rsidRDefault="00E24DB7" w:rsidP="00E24DB7">
      <w:pPr>
        <w:pStyle w:val="SingleTxtG"/>
        <w:spacing w:after="240" w:line="220" w:lineRule="atLeast"/>
        <w:ind w:left="2268"/>
        <w:jc w:val="center"/>
      </w:pPr>
      <m:oMathPara>
        <m:oMath>
          <m:r>
            <m:rPr>
              <m:sty m:val="p"/>
            </m:rPr>
            <w:rPr>
              <w:rFonts w:ascii="Cambria Math" w:hAnsi="Cambria Math" w:cstheme="majorBidi"/>
            </w:rPr>
            <m:t>=</m:t>
          </m:r>
          <m:d>
            <m:dPr>
              <m:begChr m:val="{"/>
              <m:endChr m:val="}"/>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d</m:t>
                  </m:r>
                </m:sub>
              </m:sSub>
              <m:r>
                <m:rPr>
                  <m:sty m:val="p"/>
                </m:rPr>
                <w:rPr>
                  <w:rFonts w:ascii="Cambria Math" w:hAnsi="Cambria Math" w:cstheme="majorBidi"/>
                </w:rPr>
                <m:t>+</m:t>
              </m:r>
              <m:f>
                <m:fPr>
                  <m:ctrlPr>
                    <w:rPr>
                      <w:rFonts w:ascii="Cambria Math" w:hAnsi="Cambria Math" w:cstheme="majorBidi"/>
                    </w:rPr>
                  </m:ctrlPr>
                </m:fPr>
                <m:num>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t</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s</m:t>
                          </m:r>
                        </m:sub>
                      </m:sSub>
                    </m:e>
                  </m:d>
                </m:num>
                <m:den>
                  <m:sSup>
                    <m:sSupPr>
                      <m:ctrlPr>
                        <w:rPr>
                          <w:rFonts w:ascii="Cambria Math" w:hAnsi="Cambria Math" w:cstheme="majorBidi"/>
                        </w:rPr>
                      </m:ctrlPr>
                    </m:sSupPr>
                    <m:e>
                      <m:r>
                        <m:rPr>
                          <m:sty m:val="p"/>
                        </m:rPr>
                        <w:rPr>
                          <w:rFonts w:ascii="Cambria Math" w:hAnsi="Cambria Math" w:cstheme="majorBidi"/>
                        </w:rPr>
                        <m:t>r</m:t>
                      </m:r>
                    </m:e>
                    <m:sup>
                      <m:r>
                        <m:rPr>
                          <m:sty m:val="p"/>
                        </m:rPr>
                        <w:rPr>
                          <w:rFonts w:ascii="Cambria Math" w:hAnsi="Cambria Math" w:cstheme="majorBidi"/>
                        </w:rPr>
                        <m:t>'</m:t>
                      </m:r>
                    </m:sup>
                  </m:sSup>
                </m:den>
              </m:f>
            </m:e>
          </m:d>
          <m:r>
            <m:rPr>
              <m:sty m:val="p"/>
            </m:rPr>
            <w:rPr>
              <w:rFonts w:ascii="Cambria Math" w:hAnsi="Cambria Math" w:cstheme="majorBidi"/>
            </w:rPr>
            <m:t>+</m:t>
          </m:r>
          <m:d>
            <m:dPr>
              <m:begChr m:val="{"/>
              <m:endChr m:val="}"/>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d</m:t>
                  </m:r>
                </m:sub>
              </m:sSub>
              <m:r>
                <m:rPr>
                  <m:sty m:val="p"/>
                </m:rPr>
                <w:rPr>
                  <w:rFonts w:ascii="Cambria Math" w:hAnsi="Cambria Math" w:cstheme="majorBidi"/>
                </w:rPr>
                <m:t>+</m:t>
              </m:r>
              <m:f>
                <m:fPr>
                  <m:ctrlPr>
                    <w:rPr>
                      <w:rFonts w:ascii="Cambria Math" w:hAnsi="Cambria Math" w:cstheme="majorBidi"/>
                    </w:rPr>
                  </m:ctrlPr>
                </m:fPr>
                <m:num>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t</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s</m:t>
                          </m:r>
                        </m:sub>
                      </m:sSub>
                    </m:e>
                  </m:d>
                </m:num>
                <m:den>
                  <m:sSup>
                    <m:sSupPr>
                      <m:ctrlPr>
                        <w:rPr>
                          <w:rFonts w:ascii="Cambria Math" w:hAnsi="Cambria Math" w:cstheme="majorBidi"/>
                        </w:rPr>
                      </m:ctrlPr>
                    </m:sSupPr>
                    <m:e>
                      <m:r>
                        <m:rPr>
                          <m:sty m:val="p"/>
                        </m:rPr>
                        <w:rPr>
                          <w:rFonts w:ascii="Cambria Math" w:hAnsi="Cambria Math" w:cstheme="majorBidi"/>
                        </w:rPr>
                        <m:t>r</m:t>
                      </m:r>
                    </m:e>
                    <m:sup>
                      <m:r>
                        <m:rPr>
                          <m:sty m:val="p"/>
                        </m:rPr>
                        <w:rPr>
                          <w:rFonts w:ascii="Cambria Math" w:hAnsi="Cambria Math" w:cstheme="majorBidi"/>
                        </w:rPr>
                        <m:t>'</m:t>
                      </m:r>
                    </m:sup>
                  </m:sSup>
                </m:den>
              </m:f>
            </m:e>
          </m:d>
          <m:sSub>
            <m:sSubPr>
              <m:ctrlPr>
                <w:rPr>
                  <w:rFonts w:ascii="Cambria Math" w:hAnsi="Cambria Math" w:cstheme="majorBidi"/>
                </w:rPr>
              </m:ctrlPr>
            </m:sSubPr>
            <m:e>
              <m:r>
                <m:rPr>
                  <m:sty m:val="p"/>
                </m:rPr>
                <w:rPr>
                  <w:rFonts w:ascii="Cambria Math" w:hAnsi="Cambria Math" w:cstheme="majorBidi"/>
                </w:rPr>
                <m:t>v</m:t>
              </m:r>
            </m:e>
            <m:sub>
              <m:r>
                <m:rPr>
                  <m:sty m:val="p"/>
                </m:rPr>
                <w:rPr>
                  <w:rFonts w:ascii="Cambria Math" w:hAnsi="Cambria Math" w:cstheme="majorBidi"/>
                </w:rPr>
                <m:t>j</m:t>
              </m:r>
            </m:sub>
          </m:sSub>
          <m:r>
            <m:rPr>
              <m:sty m:val="p"/>
            </m:rPr>
            <w:rPr>
              <w:rFonts w:ascii="Cambria Math" w:hAnsi="Cambria Math" w:cstheme="majorBidi"/>
            </w:rPr>
            <m:t>+</m:t>
          </m:r>
          <m:d>
            <m:dPr>
              <m:begChr m:val="{"/>
              <m:endChr m:val="}"/>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d</m:t>
                  </m:r>
                </m:sub>
              </m:sSub>
              <m:r>
                <m:rPr>
                  <m:sty m:val="p"/>
                </m:rPr>
                <w:rPr>
                  <w:rFonts w:ascii="Cambria Math" w:hAnsi="Cambria Math" w:cstheme="majorBidi"/>
                </w:rPr>
                <m:t>+</m:t>
              </m:r>
              <m:f>
                <m:fPr>
                  <m:ctrlPr>
                    <w:rPr>
                      <w:rFonts w:ascii="Cambria Math" w:hAnsi="Cambria Math" w:cstheme="majorBidi"/>
                    </w:rPr>
                  </m:ctrlPr>
                </m:fPr>
                <m:num>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t</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s</m:t>
                          </m:r>
                        </m:sub>
                      </m:sSub>
                    </m:e>
                  </m:d>
                </m:num>
                <m:den>
                  <m:sSup>
                    <m:sSupPr>
                      <m:ctrlPr>
                        <w:rPr>
                          <w:rFonts w:ascii="Cambria Math" w:hAnsi="Cambria Math" w:cstheme="majorBidi"/>
                        </w:rPr>
                      </m:ctrlPr>
                    </m:sSupPr>
                    <m:e>
                      <m:r>
                        <m:rPr>
                          <m:sty m:val="p"/>
                        </m:rPr>
                        <w:rPr>
                          <w:rFonts w:ascii="Cambria Math" w:hAnsi="Cambria Math" w:cstheme="majorBidi"/>
                        </w:rPr>
                        <m:t>r</m:t>
                      </m:r>
                    </m:e>
                    <m:sup>
                      <m:r>
                        <m:rPr>
                          <m:sty m:val="p"/>
                        </m:rPr>
                        <w:rPr>
                          <w:rFonts w:ascii="Cambria Math" w:hAnsi="Cambria Math" w:cstheme="majorBidi"/>
                        </w:rPr>
                        <m:t>'</m:t>
                      </m:r>
                    </m:sup>
                  </m:sSup>
                </m:den>
              </m:f>
            </m:e>
          </m:d>
          <m:sSubSup>
            <m:sSubSupPr>
              <m:ctrlPr>
                <w:rPr>
                  <w:rFonts w:ascii="Cambria Math" w:hAnsi="Cambria Math" w:cstheme="majorBidi"/>
                </w:rPr>
              </m:ctrlPr>
            </m:sSubSupPr>
            <m:e>
              <m:r>
                <m:rPr>
                  <m:sty m:val="p"/>
                </m:rPr>
                <w:rPr>
                  <w:rFonts w:ascii="Cambria Math" w:hAnsi="Cambria Math" w:cstheme="majorBidi"/>
                </w:rPr>
                <m:t>v</m:t>
              </m:r>
            </m:e>
            <m:sub>
              <m:r>
                <m:rPr>
                  <m:sty m:val="p"/>
                </m:rPr>
                <w:rPr>
                  <w:rFonts w:ascii="Cambria Math" w:hAnsi="Cambria Math" w:cstheme="majorBidi"/>
                </w:rPr>
                <m:t>j</m:t>
              </m:r>
            </m:sub>
            <m:sup>
              <m:r>
                <m:rPr>
                  <m:sty m:val="p"/>
                </m:rPr>
                <w:rPr>
                  <w:rFonts w:ascii="Cambria Math" w:hAnsi="Cambria Math" w:cstheme="majorBidi"/>
                </w:rPr>
                <m:t>2</m:t>
              </m:r>
            </m:sup>
          </m:sSubSup>
          <m:r>
            <w:rPr>
              <w:rFonts w:ascii="Cambria Math" w:hAnsi="Cambria Math" w:cstheme="majorBidi"/>
            </w:rPr>
            <m:t xml:space="preserve"> </m:t>
          </m:r>
          <m:r>
            <w:rPr>
              <w:rFonts w:ascii="Cambria Math" w:hAnsi="Cambria Math"/>
            </w:rPr>
            <m:t>.</m:t>
          </m:r>
        </m:oMath>
      </m:oMathPara>
    </w:p>
    <w:p w:rsidR="00E24DB7" w:rsidRPr="002C5876" w:rsidRDefault="00E24DB7" w:rsidP="00E24DB7">
      <w:pPr>
        <w:pStyle w:val="SingleTxtG"/>
        <w:keepNext/>
        <w:spacing w:line="220" w:lineRule="atLeast"/>
        <w:ind w:left="2268"/>
      </w:pPr>
      <w:r w:rsidRPr="002C5876">
        <w:t>par conséquent :</w:t>
      </w:r>
    </w:p>
    <w:p w:rsidR="00E24DB7" w:rsidRPr="002C5876" w:rsidRDefault="00731CA6" w:rsidP="00E24DB7">
      <w:pPr>
        <w:pStyle w:val="SingleTxtG"/>
        <w:spacing w:line="220" w:lineRule="atLeast"/>
        <w:ind w:left="2268"/>
        <w:jc w:val="center"/>
      </w:pPr>
      <m:oMathPara>
        <m:oMathParaPr>
          <m:jc m:val="center"/>
        </m:oMathParaPr>
        <m:oMath>
          <m:sSubSup>
            <m:sSubSupPr>
              <m:ctrlPr>
                <w:rPr>
                  <w:rFonts w:ascii="Cambria Math" w:hAnsi="Cambria Math" w:cstheme="majorBidi"/>
                </w:rPr>
              </m:ctrlPr>
            </m:sSubSupPr>
            <m:e>
              <m:r>
                <m:rPr>
                  <m:sty m:val="p"/>
                </m:rPr>
                <w:rPr>
                  <w:rFonts w:ascii="Cambria Math" w:hAnsi="Cambria Math" w:cstheme="majorBidi"/>
                </w:rPr>
                <m:t>A</m:t>
              </m:r>
            </m:e>
            <m:sub>
              <m:r>
                <m:rPr>
                  <m:sty m:val="p"/>
                </m:rPr>
                <w:rPr>
                  <w:rFonts w:ascii="Cambria Math" w:hAnsi="Cambria Math" w:cstheme="majorBidi"/>
                </w:rPr>
                <m:t>d</m:t>
              </m:r>
            </m:sub>
            <m:sup>
              <m:r>
                <m:rPr>
                  <m:sty m:val="p"/>
                </m:rPr>
                <w:rPr>
                  <w:rFonts w:ascii="Cambria Math" w:hAnsi="Cambria Math" w:cstheme="majorBidi"/>
                </w:rPr>
                <m:t>*</m:t>
              </m:r>
            </m:sup>
          </m:sSubSup>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d</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t</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s</m:t>
                  </m:r>
                </m:sub>
              </m:sSub>
            </m:num>
            <m:den>
              <m:sSup>
                <m:sSupPr>
                  <m:ctrlPr>
                    <w:rPr>
                      <w:rFonts w:ascii="Cambria Math" w:hAnsi="Cambria Math" w:cstheme="majorBidi"/>
                    </w:rPr>
                  </m:ctrlPr>
                </m:sSupPr>
                <m:e>
                  <m:r>
                    <m:rPr>
                      <m:sty m:val="p"/>
                    </m:rPr>
                    <w:rPr>
                      <w:rFonts w:ascii="Cambria Math" w:hAnsi="Cambria Math" w:cstheme="majorBidi"/>
                    </w:rPr>
                    <m:t>r</m:t>
                  </m:r>
                </m:e>
                <m:sup>
                  <m:r>
                    <m:rPr>
                      <m:sty m:val="p"/>
                    </m:rPr>
                    <w:rPr>
                      <w:rFonts w:ascii="Cambria Math" w:hAnsi="Cambria Math" w:cstheme="majorBidi"/>
                    </w:rPr>
                    <m:t>'</m:t>
                  </m:r>
                </m:sup>
              </m:sSup>
            </m:den>
          </m:f>
        </m:oMath>
      </m:oMathPara>
    </w:p>
    <w:p w:rsidR="00E24DB7" w:rsidRPr="002C5876" w:rsidRDefault="00731CA6" w:rsidP="00E24DB7">
      <w:pPr>
        <w:pStyle w:val="SingleTxtG"/>
        <w:spacing w:line="220" w:lineRule="atLeast"/>
        <w:ind w:left="2268"/>
        <w:jc w:val="center"/>
        <w:rPr>
          <w:rFonts w:eastAsiaTheme="minorEastAsia"/>
        </w:rPr>
      </w:pPr>
      <m:oMathPara>
        <m:oMath>
          <m:sSubSup>
            <m:sSubSupPr>
              <m:ctrlPr>
                <w:rPr>
                  <w:rFonts w:ascii="Cambria Math" w:hAnsi="Cambria Math" w:cstheme="majorBidi"/>
                </w:rPr>
              </m:ctrlPr>
            </m:sSubSupPr>
            <m:e>
              <m:r>
                <m:rPr>
                  <m:sty m:val="p"/>
                </m:rPr>
                <w:rPr>
                  <w:rFonts w:ascii="Cambria Math" w:hAnsi="Cambria Math" w:cstheme="majorBidi"/>
                </w:rPr>
                <m:t>B</m:t>
              </m:r>
            </m:e>
            <m:sub>
              <m:r>
                <m:rPr>
                  <m:sty m:val="p"/>
                </m:rPr>
                <w:rPr>
                  <w:rFonts w:ascii="Cambria Math" w:hAnsi="Cambria Math" w:cstheme="majorBidi"/>
                </w:rPr>
                <m:t>d</m:t>
              </m:r>
            </m:sub>
            <m:sup>
              <m:r>
                <m:rPr>
                  <m:sty m:val="p"/>
                </m:rPr>
                <w:rPr>
                  <w:rFonts w:ascii="Cambria Math" w:hAnsi="Cambria Math" w:cstheme="majorBidi"/>
                </w:rPr>
                <m:t>*</m:t>
              </m:r>
            </m:sup>
          </m:sSubSup>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d</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t</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s</m:t>
                  </m:r>
                </m:sub>
              </m:sSub>
            </m:num>
            <m:den>
              <m:sSup>
                <m:sSupPr>
                  <m:ctrlPr>
                    <w:rPr>
                      <w:rFonts w:ascii="Cambria Math" w:hAnsi="Cambria Math" w:cstheme="majorBidi"/>
                    </w:rPr>
                  </m:ctrlPr>
                </m:sSupPr>
                <m:e>
                  <m:r>
                    <m:rPr>
                      <m:sty m:val="p"/>
                    </m:rPr>
                    <w:rPr>
                      <w:rFonts w:ascii="Cambria Math" w:hAnsi="Cambria Math" w:cstheme="majorBidi"/>
                    </w:rPr>
                    <m:t>r</m:t>
                  </m:r>
                </m:e>
                <m:sup>
                  <m:r>
                    <m:rPr>
                      <m:sty m:val="p"/>
                    </m:rPr>
                    <w:rPr>
                      <w:rFonts w:ascii="Cambria Math" w:hAnsi="Cambria Math" w:cstheme="majorBidi"/>
                    </w:rPr>
                    <m:t>'</m:t>
                  </m:r>
                </m:sup>
              </m:sSup>
            </m:den>
          </m:f>
        </m:oMath>
      </m:oMathPara>
    </w:p>
    <w:p w:rsidR="00E24DB7" w:rsidRPr="002C5876" w:rsidRDefault="00731CA6" w:rsidP="00E24DB7">
      <w:pPr>
        <w:pStyle w:val="SingleTxtG"/>
        <w:spacing w:after="240" w:line="220" w:lineRule="atLeast"/>
        <w:ind w:left="2268"/>
        <w:jc w:val="center"/>
        <w:rPr>
          <w:rStyle w:val="SingleTxtGChar"/>
        </w:rPr>
      </w:pPr>
      <m:oMathPara>
        <m:oMath>
          <m:sSubSup>
            <m:sSubSupPr>
              <m:ctrlPr>
                <w:rPr>
                  <w:rFonts w:ascii="Cambria Math" w:hAnsi="Cambria Math" w:cstheme="majorBidi"/>
                </w:rPr>
              </m:ctrlPr>
            </m:sSubSupPr>
            <m:e>
              <m:r>
                <m:rPr>
                  <m:sty m:val="p"/>
                </m:rPr>
                <w:rPr>
                  <w:rFonts w:ascii="Cambria Math" w:hAnsi="Cambria Math" w:cstheme="majorBidi"/>
                </w:rPr>
                <m:t>C</m:t>
              </m:r>
            </m:e>
            <m:sub>
              <m:r>
                <m:rPr>
                  <m:sty m:val="p"/>
                </m:rPr>
                <w:rPr>
                  <w:rFonts w:ascii="Cambria Math" w:hAnsi="Cambria Math" w:cstheme="majorBidi"/>
                </w:rPr>
                <m:t>d</m:t>
              </m:r>
            </m:sub>
            <m:sup>
              <m:r>
                <m:rPr>
                  <m:sty m:val="p"/>
                </m:rPr>
                <w:rPr>
                  <w:rFonts w:ascii="Cambria Math" w:hAnsi="Cambria Math" w:cstheme="majorBidi"/>
                </w:rPr>
                <m:t>*</m:t>
              </m:r>
            </m:sup>
          </m:sSubSup>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d</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t</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s</m:t>
                  </m:r>
                </m:sub>
              </m:sSub>
            </m:num>
            <m:den>
              <m:sSup>
                <m:sSupPr>
                  <m:ctrlPr>
                    <w:rPr>
                      <w:rFonts w:ascii="Cambria Math" w:hAnsi="Cambria Math" w:cstheme="majorBidi"/>
                    </w:rPr>
                  </m:ctrlPr>
                </m:sSupPr>
                <m:e>
                  <m:r>
                    <m:rPr>
                      <m:sty m:val="p"/>
                    </m:rPr>
                    <w:rPr>
                      <w:rFonts w:ascii="Cambria Math" w:hAnsi="Cambria Math" w:cstheme="majorBidi"/>
                    </w:rPr>
                    <m:t>r</m:t>
                  </m:r>
                </m:e>
                <m:sup>
                  <m:r>
                    <m:rPr>
                      <m:sty m:val="p"/>
                    </m:rPr>
                    <w:rPr>
                      <w:rFonts w:ascii="Cambria Math" w:hAnsi="Cambria Math" w:cstheme="majorBidi"/>
                    </w:rPr>
                    <m:t>'</m:t>
                  </m:r>
                </m:sup>
              </m:sSup>
            </m:den>
          </m:f>
        </m:oMath>
      </m:oMathPara>
    </w:p>
    <w:p w:rsidR="00E24DB7" w:rsidRPr="002C5876" w:rsidRDefault="00E24DB7" w:rsidP="00E24DB7">
      <w:pPr>
        <w:pStyle w:val="SingleTxtG"/>
        <w:keepNext/>
        <w:keepLines/>
        <w:spacing w:line="220" w:lineRule="atLeast"/>
        <w:ind w:left="2268"/>
      </w:pPr>
      <w:r w:rsidRPr="002C5876">
        <w:t>où :</w:t>
      </w:r>
    </w:p>
    <w:p w:rsidR="00E24DB7" w:rsidRPr="002C5876" w:rsidRDefault="00E24DB7" w:rsidP="00E24DB7">
      <w:pPr>
        <w:pStyle w:val="SingleTxtG"/>
        <w:keepNext/>
        <w:keepLines/>
        <w:spacing w:line="220" w:lineRule="atLeast"/>
        <w:ind w:left="3572" w:hanging="1304"/>
      </w:pPr>
      <w:r w:rsidRPr="002C5876">
        <w:rPr>
          <w:noProof/>
          <w:position w:val="-12"/>
          <w:lang w:val="en-GB" w:eastAsia="zh-CN"/>
        </w:rPr>
        <w:drawing>
          <wp:inline distT="0" distB="0" distL="0" distR="0" wp14:anchorId="63C1E32C" wp14:editId="2034F2CB">
            <wp:extent cx="180975" cy="228600"/>
            <wp:effectExtent l="0" t="0" r="9525" b="0"/>
            <wp:docPr id="377"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2C5876">
        <w:tab/>
        <w:t>est la nouvelle force résistante du banc à rouleaux, en N ;</w:t>
      </w:r>
    </w:p>
    <w:p w:rsidR="00E24DB7" w:rsidRPr="002C5876" w:rsidRDefault="00E24DB7" w:rsidP="00E24DB7">
      <w:pPr>
        <w:pStyle w:val="SingleTxtG"/>
        <w:spacing w:line="220" w:lineRule="atLeast"/>
        <w:ind w:left="3572" w:hanging="1304"/>
      </w:pPr>
      <w:r w:rsidRPr="002C5876">
        <w:t>F</w:t>
      </w:r>
      <w:r w:rsidRPr="002C5876">
        <w:rPr>
          <w:vertAlign w:val="subscript"/>
        </w:rPr>
        <w:t>ej</w:t>
      </w:r>
      <w:r w:rsidRPr="002C5876">
        <w:tab/>
        <w:t>est la valeur d’ajustement de la résistance à l’avancement égale à (F</w:t>
      </w:r>
      <w:r w:rsidRPr="002C5876">
        <w:rPr>
          <w:vertAlign w:val="subscript"/>
        </w:rPr>
        <w:t>sj</w:t>
      </w:r>
      <w:r w:rsidRPr="002C5876">
        <w:t>-F</w:t>
      </w:r>
      <w:r w:rsidRPr="002C5876">
        <w:rPr>
          <w:vertAlign w:val="subscript"/>
        </w:rPr>
        <w:t>tj</w:t>
      </w:r>
      <w:r w:rsidRPr="002C5876">
        <w:t>), en Nm ;</w:t>
      </w:r>
    </w:p>
    <w:p w:rsidR="00E24DB7" w:rsidRPr="002C5876" w:rsidRDefault="00E24DB7" w:rsidP="00E24DB7">
      <w:pPr>
        <w:pStyle w:val="SingleTxtG"/>
        <w:spacing w:line="220" w:lineRule="atLeast"/>
        <w:ind w:left="3572" w:hanging="1304"/>
      </w:pPr>
      <w:r w:rsidRPr="002C5876">
        <w:rPr>
          <w:noProof/>
          <w:position w:val="-12"/>
          <w:lang w:val="en-GB" w:eastAsia="zh-CN"/>
        </w:rPr>
        <w:lastRenderedPageBreak/>
        <w:drawing>
          <wp:inline distT="0" distB="0" distL="0" distR="0" wp14:anchorId="2A530720" wp14:editId="4E452500">
            <wp:extent cx="171450" cy="209550"/>
            <wp:effectExtent l="0" t="0" r="0" b="0"/>
            <wp:docPr id="376"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2C5876">
        <w:tab/>
        <w:t>est la force de résistance à l’avancement sur route simulée à la vitesse de référence v</w:t>
      </w:r>
      <w:r w:rsidRPr="002C5876">
        <w:rPr>
          <w:vertAlign w:val="subscript"/>
        </w:rPr>
        <w:t>j</w:t>
      </w:r>
      <w:r w:rsidRPr="002C5876">
        <w:t>, en Nm ;</w:t>
      </w:r>
    </w:p>
    <w:p w:rsidR="00E24DB7" w:rsidRPr="002C5876" w:rsidRDefault="00E24DB7" w:rsidP="00E24DB7">
      <w:pPr>
        <w:pStyle w:val="SingleTxtG"/>
        <w:spacing w:line="220" w:lineRule="atLeast"/>
        <w:ind w:left="3572" w:hanging="1304"/>
      </w:pPr>
      <w:r w:rsidRPr="002C5876">
        <w:rPr>
          <w:noProof/>
          <w:position w:val="-12"/>
          <w:lang w:val="en-GB" w:eastAsia="zh-CN"/>
        </w:rPr>
        <w:drawing>
          <wp:inline distT="0" distB="0" distL="0" distR="0" wp14:anchorId="4DA94AB0" wp14:editId="72A32C08">
            <wp:extent cx="171450" cy="209550"/>
            <wp:effectExtent l="0" t="0" r="0" b="0"/>
            <wp:docPr id="375"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2C5876">
        <w:tab/>
        <w:t>est la force de résistance à l’avancement sur route visée à la vitesse de référence v</w:t>
      </w:r>
      <w:r w:rsidRPr="002C5876">
        <w:rPr>
          <w:vertAlign w:val="subscript"/>
        </w:rPr>
        <w:t>j,</w:t>
      </w:r>
      <w:r w:rsidRPr="002C5876">
        <w:t>, en Nm ;</w:t>
      </w:r>
    </w:p>
    <w:p w:rsidR="00E24DB7" w:rsidRPr="002C5876" w:rsidRDefault="00E24DB7" w:rsidP="00E24DB7">
      <w:pPr>
        <w:pStyle w:val="SingleTxtG"/>
        <w:spacing w:line="220" w:lineRule="atLeast"/>
        <w:ind w:left="3572" w:hanging="1304"/>
      </w:pPr>
      <w:r w:rsidRPr="002C5876">
        <w:rPr>
          <w:noProof/>
          <w:spacing w:val="-2"/>
          <w:position w:val="-10"/>
          <w:lang w:val="en-GB" w:eastAsia="zh-CN"/>
        </w:rPr>
        <w:drawing>
          <wp:inline distT="0" distB="0" distL="0" distR="0" wp14:anchorId="78DD36E6" wp14:editId="59900978">
            <wp:extent cx="209550" cy="219075"/>
            <wp:effectExtent l="0" t="0" r="0" b="9525"/>
            <wp:docPr id="374"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Pr="002C5876">
        <w:rPr>
          <w:spacing w:val="-2"/>
        </w:rPr>
        <w:t xml:space="preserve">, </w:t>
      </w:r>
      <w:r w:rsidRPr="002C5876">
        <w:rPr>
          <w:noProof/>
          <w:spacing w:val="-2"/>
          <w:position w:val="-10"/>
          <w:lang w:val="en-GB" w:eastAsia="zh-CN"/>
        </w:rPr>
        <w:drawing>
          <wp:inline distT="0" distB="0" distL="0" distR="0" wp14:anchorId="05C81A70" wp14:editId="68AAE5FE">
            <wp:extent cx="200025" cy="219075"/>
            <wp:effectExtent l="0" t="0" r="9525" b="9525"/>
            <wp:docPr id="373"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2C5876">
        <w:rPr>
          <w:spacing w:val="-2"/>
        </w:rPr>
        <w:t xml:space="preserve">et </w:t>
      </w:r>
      <w:r w:rsidRPr="002C5876">
        <w:rPr>
          <w:noProof/>
          <w:spacing w:val="-2"/>
          <w:position w:val="-10"/>
          <w:lang w:val="en-GB" w:eastAsia="zh-CN"/>
        </w:rPr>
        <w:drawing>
          <wp:inline distT="0" distB="0" distL="0" distR="0" wp14:anchorId="7F464106" wp14:editId="453977C5">
            <wp:extent cx="200025" cy="219075"/>
            <wp:effectExtent l="0" t="0" r="9525" b="9525"/>
            <wp:docPr id="372"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2C5876">
        <w:rPr>
          <w:spacing w:val="-2"/>
        </w:rPr>
        <w:tab/>
        <w:t>sont les nouveaux coefficients de réglage du banc à rouleaux ;</w:t>
      </w:r>
    </w:p>
    <w:p w:rsidR="00E24DB7" w:rsidRPr="002C5876" w:rsidRDefault="00E24DB7" w:rsidP="00E24DB7">
      <w:pPr>
        <w:pStyle w:val="SingleTxtG"/>
        <w:spacing w:line="220" w:lineRule="atLeast"/>
        <w:ind w:left="3572" w:hanging="1304"/>
      </w:pPr>
      <w:r w:rsidRPr="002C5876">
        <w:t>r’</w:t>
      </w:r>
      <w:r w:rsidRPr="002C5876">
        <w:tab/>
        <w:t>est le rayon dynamique du pneumatique sur le banc à rouleaux obtenu à 80 km/h, en m.</w:t>
      </w:r>
    </w:p>
    <w:p w:rsidR="00E24DB7" w:rsidRPr="002C5876" w:rsidRDefault="00E24DB7" w:rsidP="00E24DB7">
      <w:pPr>
        <w:pStyle w:val="SingleTxtG"/>
        <w:spacing w:line="220" w:lineRule="atLeast"/>
        <w:ind w:left="2268"/>
      </w:pPr>
      <w:r w:rsidRPr="002C5876">
        <w:t>Les opérations des paragraphes 8.2.2 et 8.2.3 de la présente annexe doivent être répétées jusqu’à ce que soit respectée la marge de tolérance prévue au paragraphe 8.2.3.2 de la présente annexe.</w:t>
      </w:r>
    </w:p>
    <w:p w:rsidR="00E24DB7" w:rsidRPr="002C5876" w:rsidRDefault="00E24DB7" w:rsidP="00E24DB7">
      <w:pPr>
        <w:pStyle w:val="SingleTxtG"/>
        <w:ind w:left="2268" w:hanging="1134"/>
      </w:pPr>
      <w:r w:rsidRPr="002C5876">
        <w:t>8.2.3.4</w:t>
      </w:r>
      <w:r w:rsidRPr="002C5876">
        <w:tab/>
        <w:t>La masse sur le ou les essieux moteurs, les spécifications des pneumatiques et le réglage du banc à rouleaux doivent être enregistrés lors de la mise en œuvre des dispositions du paragraphe 8.2.3.2 de la présente annexe.</w:t>
      </w:r>
    </w:p>
    <w:p w:rsidR="00E24DB7" w:rsidRPr="002C5876" w:rsidRDefault="00E24DB7" w:rsidP="00E24DB7">
      <w:pPr>
        <w:pStyle w:val="SingleTxtG"/>
        <w:ind w:left="2268" w:hanging="1134"/>
        <w:jc w:val="left"/>
      </w:pPr>
      <w:r w:rsidRPr="002C5876">
        <w:t>8.2.4</w:t>
      </w:r>
      <w:r w:rsidRPr="002C5876">
        <w:tab/>
        <w:t>Transposition des coefficients de résistance à l’avancement en coefficients de résistance à l’avancement sur route f</w:t>
      </w:r>
      <w:r w:rsidRPr="002C5876">
        <w:rPr>
          <w:vertAlign w:val="subscript"/>
        </w:rPr>
        <w:t>0</w:t>
      </w:r>
      <w:r w:rsidRPr="002C5876">
        <w:t>, f</w:t>
      </w:r>
      <w:r w:rsidRPr="002C5876">
        <w:rPr>
          <w:vertAlign w:val="subscript"/>
        </w:rPr>
        <w:t>1</w:t>
      </w:r>
      <w:r w:rsidRPr="002C5876">
        <w:t>, f</w:t>
      </w:r>
      <w:r w:rsidRPr="002C5876">
        <w:rPr>
          <w:vertAlign w:val="subscript"/>
        </w:rPr>
        <w:t>2</w:t>
      </w:r>
      <w:r w:rsidRPr="002C5876">
        <w:t xml:space="preserve"> </w:t>
      </w:r>
    </w:p>
    <w:p w:rsidR="00E24DB7" w:rsidRPr="002C5876" w:rsidRDefault="00E24DB7" w:rsidP="00E24DB7">
      <w:pPr>
        <w:pStyle w:val="SingleTxtG"/>
        <w:ind w:left="2268" w:hanging="1134"/>
      </w:pPr>
      <w:r w:rsidRPr="002C5876">
        <w:t>8.2.4.1</w:t>
      </w:r>
      <w:r w:rsidRPr="002C5876">
        <w:tab/>
        <w:t>Si le véhicule ne peut pas effectuer de parcours de décélération libre répétables et si un mode de décélération libre conformément au paragraphe 4.2.1.8.5 de la présente annexe n’est pas disponible, les coefficients f</w:t>
      </w:r>
      <w:r w:rsidRPr="002C5876">
        <w:rPr>
          <w:vertAlign w:val="subscript"/>
        </w:rPr>
        <w:t>0</w:t>
      </w:r>
      <w:r w:rsidRPr="002C5876">
        <w:t>, f</w:t>
      </w:r>
      <w:r w:rsidRPr="002C5876">
        <w:rPr>
          <w:vertAlign w:val="subscript"/>
        </w:rPr>
        <w:t>1</w:t>
      </w:r>
      <w:r w:rsidRPr="002C5876">
        <w:t xml:space="preserve"> et f</w:t>
      </w:r>
      <w:r w:rsidRPr="002C5876">
        <w:rPr>
          <w:vertAlign w:val="subscript"/>
        </w:rPr>
        <w:t>2</w:t>
      </w:r>
      <w:r w:rsidRPr="002C5876">
        <w:t xml:space="preserve"> de l’équation de résistance à l’avancement sur route doivent être calculés au moyen des équations du paragraphe 8.2.4.1.1 de la présente annexe. Dans tous les autres cas, la procédure décrite aux paragraphes 8.2.4.2 à 8.2.4.4 de la présente annexe doit être appliquée.</w:t>
      </w:r>
    </w:p>
    <w:p w:rsidR="00E24DB7" w:rsidRPr="002C5876" w:rsidRDefault="00E24DB7" w:rsidP="00E24DB7">
      <w:pPr>
        <w:pStyle w:val="SingleTxtG"/>
        <w:keepNext/>
        <w:ind w:left="2268" w:hanging="1134"/>
      </w:pPr>
      <w:r w:rsidRPr="002C5876">
        <w:t>8.2.4.1.1</w:t>
      </w:r>
      <w:r w:rsidRPr="002C5876">
        <w:tab/>
      </w:r>
      <m:oMath>
        <m:sSub>
          <m:sSubPr>
            <m:ctrlPr>
              <w:rPr>
                <w:rFonts w:ascii="Cambria Math" w:hAnsi="Cambria Math" w:cstheme="majorBidi"/>
                <w:i/>
              </w:rPr>
            </m:ctrlPr>
          </m:sSubPr>
          <m:e>
            <m:r>
              <m:rPr>
                <m:nor/>
              </m:rPr>
              <w:rPr>
                <w:rFonts w:asciiTheme="majorBidi" w:hAnsiTheme="majorBidi" w:cstheme="majorBidi"/>
              </w:rPr>
              <m:t>f</m:t>
            </m:r>
          </m:e>
          <m:sub>
            <m:r>
              <m:rPr>
                <m:nor/>
              </m:rPr>
              <w:rPr>
                <w:rFonts w:asciiTheme="majorBidi" w:hAnsiTheme="majorBidi" w:cstheme="majorBidi"/>
              </w:rPr>
              <m:t>0</m:t>
            </m:r>
          </m:sub>
        </m:sSub>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f>
          <m:fPr>
            <m:ctrlPr>
              <w:rPr>
                <w:rFonts w:ascii="Cambria Math" w:hAnsi="Cambria Math" w:cstheme="majorBidi"/>
                <w:i/>
              </w:rPr>
            </m:ctrlPr>
          </m:fPr>
          <m:num>
            <m:sSub>
              <m:sSubPr>
                <m:ctrlPr>
                  <w:rPr>
                    <w:rFonts w:ascii="Cambria Math" w:hAnsi="Cambria Math" w:cstheme="majorBidi"/>
                    <w:i/>
                  </w:rPr>
                </m:ctrlPr>
              </m:sSubPr>
              <m:e>
                <m:r>
                  <m:rPr>
                    <m:nor/>
                  </m:rPr>
                  <w:rPr>
                    <w:rFonts w:asciiTheme="majorBidi" w:hAnsiTheme="majorBidi" w:cstheme="majorBidi"/>
                  </w:rPr>
                  <m:t>c</m:t>
                </m:r>
              </m:e>
              <m:sub>
                <m:r>
                  <m:rPr>
                    <m:nor/>
                  </m:rPr>
                  <w:rPr>
                    <w:rFonts w:asciiTheme="majorBidi" w:hAnsiTheme="majorBidi" w:cstheme="majorBidi"/>
                  </w:rPr>
                  <m:t>0</m:t>
                </m:r>
              </m:sub>
            </m:sSub>
            <m:r>
              <w:rPr>
                <w:rFonts w:ascii="Cambria Math" w:hAnsi="Cambria Math" w:cstheme="majorBidi"/>
              </w:rPr>
              <m:t xml:space="preserve"> </m:t>
            </m:r>
          </m:num>
          <m:den>
            <m:r>
              <m:rPr>
                <m:nor/>
              </m:rPr>
              <w:rPr>
                <w:rFonts w:asciiTheme="majorBidi" w:hAnsiTheme="majorBidi" w:cstheme="majorBidi"/>
              </w:rPr>
              <m:t>r</m:t>
            </m:r>
          </m:den>
        </m:f>
        <m:r>
          <m:rPr>
            <m:nor/>
          </m:rPr>
          <w:rPr>
            <w:rFonts w:asciiTheme="majorBidi" w:hAnsiTheme="majorBidi" w:cstheme="majorBidi"/>
          </w:rPr>
          <m:t>×</m:t>
        </m:r>
        <m:r>
          <m:rPr>
            <m:nor/>
          </m:rPr>
          <w:rPr>
            <w:rFonts w:ascii="Cambria Math" w:hAnsiTheme="majorBidi" w:cstheme="majorBidi"/>
          </w:rPr>
          <m:t xml:space="preserve"> </m:t>
        </m:r>
        <m:r>
          <m:rPr>
            <m:nor/>
          </m:rPr>
          <w:rPr>
            <w:rFonts w:asciiTheme="majorBidi" w:hAnsiTheme="majorBidi" w:cstheme="majorBidi"/>
          </w:rPr>
          <m:t>1,02</m:t>
        </m:r>
      </m:oMath>
    </w:p>
    <w:p w:rsidR="00E24DB7" w:rsidRPr="002C5876" w:rsidRDefault="00731CA6" w:rsidP="00E24DB7">
      <w:pPr>
        <w:pStyle w:val="SingleTxtG"/>
        <w:ind w:left="2268"/>
      </w:pPr>
      <m:oMathPara>
        <m:oMathParaPr>
          <m:jc m:val="left"/>
        </m:oMathParaPr>
        <m:oMath>
          <m:sSub>
            <m:sSubPr>
              <m:ctrlPr>
                <w:rPr>
                  <w:rFonts w:ascii="Cambria Math" w:hAnsi="Cambria Math" w:cstheme="majorBidi"/>
                  <w:i/>
                </w:rPr>
              </m:ctrlPr>
            </m:sSubPr>
            <m:e>
              <m:r>
                <m:rPr>
                  <m:nor/>
                </m:rPr>
                <w:rPr>
                  <w:rFonts w:asciiTheme="majorBidi" w:hAnsiTheme="majorBidi" w:cstheme="majorBidi"/>
                </w:rPr>
                <m:t>f</m:t>
              </m:r>
            </m:e>
            <m:sub>
              <m:r>
                <m:rPr>
                  <m:nor/>
                </m:rPr>
                <w:rPr>
                  <w:rFonts w:asciiTheme="majorBidi" w:hAnsiTheme="majorBidi" w:cstheme="majorBidi"/>
                </w:rPr>
                <m:t>1</m:t>
              </m:r>
            </m:sub>
          </m:sSub>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f>
            <m:fPr>
              <m:ctrlPr>
                <w:rPr>
                  <w:rFonts w:ascii="Cambria Math" w:hAnsi="Cambria Math" w:cstheme="majorBidi"/>
                  <w:i/>
                </w:rPr>
              </m:ctrlPr>
            </m:fPr>
            <m:num>
              <m:sSub>
                <m:sSubPr>
                  <m:ctrlPr>
                    <w:rPr>
                      <w:rFonts w:ascii="Cambria Math" w:hAnsi="Cambria Math" w:cstheme="majorBidi"/>
                      <w:i/>
                    </w:rPr>
                  </m:ctrlPr>
                </m:sSubPr>
                <m:e>
                  <m:r>
                    <m:rPr>
                      <m:nor/>
                    </m:rPr>
                    <w:rPr>
                      <w:rFonts w:asciiTheme="majorBidi" w:hAnsiTheme="majorBidi" w:cstheme="majorBidi"/>
                    </w:rPr>
                    <m:t>c</m:t>
                  </m:r>
                </m:e>
                <m:sub>
                  <m:r>
                    <m:rPr>
                      <m:nor/>
                    </m:rPr>
                    <w:rPr>
                      <w:rFonts w:asciiTheme="majorBidi" w:hAnsiTheme="majorBidi" w:cstheme="majorBidi"/>
                    </w:rPr>
                    <m:t>1</m:t>
                  </m:r>
                </m:sub>
              </m:sSub>
            </m:num>
            <m:den>
              <m:r>
                <m:rPr>
                  <m:nor/>
                </m:rPr>
                <w:rPr>
                  <w:rFonts w:asciiTheme="majorBidi" w:hAnsiTheme="majorBidi" w:cstheme="majorBidi"/>
                </w:rPr>
                <m:t>r</m:t>
              </m:r>
            </m:den>
          </m:f>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r>
            <m:rPr>
              <m:nor/>
            </m:rPr>
            <w:rPr>
              <w:rFonts w:asciiTheme="majorBidi" w:hAnsiTheme="majorBidi" w:cstheme="majorBidi"/>
            </w:rPr>
            <m:t>1,02</m:t>
          </m:r>
        </m:oMath>
      </m:oMathPara>
    </w:p>
    <w:p w:rsidR="00E24DB7" w:rsidRPr="002C5876" w:rsidRDefault="00731CA6" w:rsidP="00E24DB7">
      <w:pPr>
        <w:pStyle w:val="SingleTxtG"/>
        <w:spacing w:after="240"/>
        <w:ind w:left="2268"/>
      </w:pPr>
      <m:oMathPara>
        <m:oMathParaPr>
          <m:jc m:val="left"/>
        </m:oMathParaPr>
        <m:oMath>
          <m:sSub>
            <m:sSubPr>
              <m:ctrlPr>
                <w:rPr>
                  <w:rFonts w:ascii="Cambria Math" w:hAnsi="Cambria Math" w:cstheme="majorBidi"/>
                </w:rPr>
              </m:ctrlPr>
            </m:sSubPr>
            <m:e>
              <m:r>
                <m:rPr>
                  <m:nor/>
                </m:rPr>
                <w:rPr>
                  <w:rFonts w:asciiTheme="majorBidi" w:hAnsiTheme="majorBidi" w:cstheme="majorBidi"/>
                </w:rPr>
                <m:t>f</m:t>
              </m:r>
            </m:e>
            <m:sub>
              <m:r>
                <m:rPr>
                  <m:nor/>
                </m:rPr>
                <w:rPr>
                  <w:rFonts w:asciiTheme="majorBidi" w:hAnsiTheme="majorBidi" w:cstheme="majorBidi"/>
                </w:rPr>
                <m:t>2</m:t>
              </m:r>
            </m:sub>
          </m:sSub>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f>
            <m:fPr>
              <m:ctrlPr>
                <w:rPr>
                  <w:rFonts w:ascii="Cambria Math" w:hAnsi="Cambria Math" w:cstheme="majorBidi"/>
                </w:rPr>
              </m:ctrlPr>
            </m:fPr>
            <m:num>
              <m:sSub>
                <m:sSubPr>
                  <m:ctrlPr>
                    <w:rPr>
                      <w:rFonts w:ascii="Cambria Math" w:hAnsi="Cambria Math" w:cstheme="majorBidi"/>
                    </w:rPr>
                  </m:ctrlPr>
                </m:sSubPr>
                <m:e>
                  <m:r>
                    <m:rPr>
                      <m:nor/>
                    </m:rPr>
                    <w:rPr>
                      <w:rFonts w:asciiTheme="majorBidi" w:hAnsiTheme="majorBidi" w:cstheme="majorBidi"/>
                    </w:rPr>
                    <m:t>c</m:t>
                  </m:r>
                </m:e>
                <m:sub>
                  <m:r>
                    <m:rPr>
                      <m:nor/>
                    </m:rPr>
                    <w:rPr>
                      <w:rFonts w:asciiTheme="majorBidi" w:hAnsiTheme="majorBidi" w:cstheme="majorBidi"/>
                    </w:rPr>
                    <m:t>2</m:t>
                  </m:r>
                </m:sub>
              </m:sSub>
            </m:num>
            <m:den>
              <m:r>
                <m:rPr>
                  <m:nor/>
                </m:rPr>
                <w:rPr>
                  <w:rFonts w:asciiTheme="majorBidi" w:hAnsiTheme="majorBidi" w:cstheme="majorBidi"/>
                </w:rPr>
                <m:t>r</m:t>
              </m:r>
            </m:den>
          </m:f>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r>
            <m:rPr>
              <m:nor/>
            </m:rPr>
            <w:rPr>
              <w:rFonts w:asciiTheme="majorBidi" w:hAnsiTheme="majorBidi" w:cstheme="majorBidi"/>
            </w:rPr>
            <m:t>1,02</m:t>
          </m:r>
        </m:oMath>
      </m:oMathPara>
    </w:p>
    <w:p w:rsidR="00E24DB7" w:rsidRPr="002C5876" w:rsidRDefault="00E24DB7" w:rsidP="00E24DB7">
      <w:pPr>
        <w:pStyle w:val="SingleTxtG"/>
        <w:keepNext/>
        <w:spacing w:line="220" w:lineRule="atLeast"/>
        <w:ind w:left="2268"/>
      </w:pPr>
      <w:r w:rsidRPr="002C5876">
        <w:t>où :</w:t>
      </w:r>
    </w:p>
    <w:p w:rsidR="00E24DB7" w:rsidRPr="002C5876" w:rsidRDefault="00E24DB7" w:rsidP="00E24DB7">
      <w:pPr>
        <w:pStyle w:val="SingleTxtG"/>
        <w:spacing w:line="220" w:lineRule="atLeast"/>
        <w:ind w:left="3402" w:hanging="1134"/>
      </w:pPr>
      <w:r w:rsidRPr="002C5876">
        <w:t>c</w:t>
      </w:r>
      <w:r w:rsidRPr="002C5876">
        <w:rPr>
          <w:vertAlign w:val="subscript"/>
        </w:rPr>
        <w:t>0</w:t>
      </w:r>
      <w:r w:rsidRPr="002C5876">
        <w:t>, c</w:t>
      </w:r>
      <w:r w:rsidRPr="002C5876">
        <w:rPr>
          <w:vertAlign w:val="subscript"/>
        </w:rPr>
        <w:t>1</w:t>
      </w:r>
      <w:r w:rsidRPr="002C5876">
        <w:t>, c</w:t>
      </w:r>
      <w:r w:rsidRPr="002C5876">
        <w:rPr>
          <w:vertAlign w:val="subscript"/>
        </w:rPr>
        <w:t>2</w:t>
      </w:r>
      <w:r w:rsidRPr="002C5876">
        <w:tab/>
        <w:t>sont les coefficients de résistance à l’avancement déterminés conformément au paragraphe 4.4.4 de la présente annexe, en Nm, Nm/(km/h), Nm/(km/h)² ;</w:t>
      </w:r>
    </w:p>
    <w:p w:rsidR="00E24DB7" w:rsidRPr="002C5876" w:rsidRDefault="00E24DB7" w:rsidP="00E24DB7">
      <w:pPr>
        <w:pStyle w:val="SingleTxtG"/>
        <w:spacing w:line="220" w:lineRule="atLeast"/>
        <w:ind w:left="3402" w:hanging="1134"/>
      </w:pPr>
      <w:r w:rsidRPr="002C5876">
        <w:t>r</w:t>
      </w:r>
      <w:r w:rsidRPr="002C5876">
        <w:tab/>
      </w:r>
      <w:r w:rsidRPr="002C5876">
        <w:rPr>
          <w:iCs/>
        </w:rPr>
        <w:t xml:space="preserve">est </w:t>
      </w:r>
      <w:r w:rsidRPr="002C5876">
        <w:t>le rayon dynamique du pneumatique du véhicule avec lequel la résistance à l’avancement a été déterminée, en m ;</w:t>
      </w:r>
    </w:p>
    <w:p w:rsidR="00E24DB7" w:rsidRPr="002C5876" w:rsidRDefault="00E24DB7" w:rsidP="00E24DB7">
      <w:pPr>
        <w:pStyle w:val="SingleTxtG"/>
        <w:spacing w:line="220" w:lineRule="atLeast"/>
        <w:ind w:left="3402" w:hanging="1134"/>
      </w:pPr>
      <w:r w:rsidRPr="002C5876">
        <w:t>1,02</w:t>
      </w:r>
      <w:r w:rsidRPr="002C5876">
        <w:tab/>
      </w:r>
      <w:r w:rsidRPr="002C5876">
        <w:rPr>
          <w:iCs/>
        </w:rPr>
        <w:t xml:space="preserve">est un </w:t>
      </w:r>
      <w:r w:rsidRPr="002C5876">
        <w:t>coefficient approximatif de compensation pour les pertes de transmission.</w:t>
      </w:r>
    </w:p>
    <w:p w:rsidR="00E24DB7" w:rsidRPr="002C5876" w:rsidRDefault="00E24DB7" w:rsidP="00E24DB7">
      <w:pPr>
        <w:pStyle w:val="SingleTxtG"/>
        <w:ind w:left="2268" w:hanging="1134"/>
      </w:pPr>
      <w:r w:rsidRPr="002C5876">
        <w:t>8.2.4.1.2</w:t>
      </w:r>
      <w:r w:rsidRPr="002C5876">
        <w:tab/>
        <w:t>Les valeurs déterminées de f</w:t>
      </w:r>
      <w:r w:rsidRPr="002C5876">
        <w:rPr>
          <w:vertAlign w:val="subscript"/>
        </w:rPr>
        <w:t>0</w:t>
      </w:r>
      <w:r w:rsidRPr="002C5876">
        <w:t>, f</w:t>
      </w:r>
      <w:r w:rsidRPr="002C5876">
        <w:rPr>
          <w:vertAlign w:val="subscript"/>
        </w:rPr>
        <w:t>1</w:t>
      </w:r>
      <w:r w:rsidRPr="002C5876">
        <w:t>, f</w:t>
      </w:r>
      <w:r w:rsidRPr="002C5876">
        <w:rPr>
          <w:vertAlign w:val="subscript"/>
        </w:rPr>
        <w:t>2</w:t>
      </w:r>
      <w:r w:rsidRPr="002C5876">
        <w:t xml:space="preserve"> ne doivent pas être utilisées pour le réglage d’un banc à rouleaux, ni pour des essais de mesure des émissions ou de l’autonomie, mais seulement dans les cas suivants :</w:t>
      </w:r>
    </w:p>
    <w:p w:rsidR="00E24DB7" w:rsidRPr="002C5876" w:rsidRDefault="00E24DB7" w:rsidP="00E24DB7">
      <w:pPr>
        <w:pStyle w:val="SingleTxtG"/>
        <w:spacing w:line="220" w:lineRule="atLeast"/>
        <w:ind w:left="2835" w:hanging="567"/>
      </w:pPr>
      <w:r w:rsidRPr="002C5876">
        <w:t>a)</w:t>
      </w:r>
      <w:r w:rsidRPr="002C5876">
        <w:tab/>
        <w:t>Réajustement de la vitesse, paragraphe 8 de l’annexe 1 ;</w:t>
      </w:r>
    </w:p>
    <w:p w:rsidR="00E24DB7" w:rsidRPr="002C5876" w:rsidRDefault="00E24DB7" w:rsidP="00E24DB7">
      <w:pPr>
        <w:pStyle w:val="SingleTxtG"/>
        <w:spacing w:line="220" w:lineRule="atLeast"/>
        <w:ind w:left="2835" w:hanging="567"/>
      </w:pPr>
      <w:r w:rsidRPr="002C5876">
        <w:t>b)</w:t>
      </w:r>
      <w:r w:rsidRPr="002C5876">
        <w:tab/>
        <w:t>Détermination des points de changement de rapports, annexe 2 ;</w:t>
      </w:r>
    </w:p>
    <w:p w:rsidR="00E24DB7" w:rsidRPr="002C5876" w:rsidRDefault="00E24DB7" w:rsidP="00E24DB7">
      <w:pPr>
        <w:pStyle w:val="SingleTxtG"/>
        <w:spacing w:line="220" w:lineRule="atLeast"/>
        <w:ind w:left="2835" w:hanging="567"/>
      </w:pPr>
      <w:r w:rsidRPr="002C5876">
        <w:t>c)</w:t>
      </w:r>
      <w:r w:rsidRPr="002C5876">
        <w:tab/>
        <w:t>Interpolation des valeurs de CO</w:t>
      </w:r>
      <w:r w:rsidRPr="002C5876">
        <w:rPr>
          <w:vertAlign w:val="subscript"/>
        </w:rPr>
        <w:t>2</w:t>
      </w:r>
      <w:r w:rsidRPr="002C5876">
        <w:t xml:space="preserve"> et de consommation de carburant, paragraphe 3.2.3 de l’annexe 7 ;</w:t>
      </w:r>
    </w:p>
    <w:p w:rsidR="00E24DB7" w:rsidRPr="002C5876" w:rsidRDefault="00E24DB7" w:rsidP="00E24DB7">
      <w:pPr>
        <w:pStyle w:val="SingleTxtG"/>
        <w:spacing w:line="220" w:lineRule="atLeast"/>
        <w:ind w:left="2835" w:hanging="567"/>
      </w:pPr>
      <w:r w:rsidRPr="002C5876">
        <w:t>d)</w:t>
      </w:r>
      <w:r w:rsidRPr="002C5876">
        <w:tab/>
        <w:t>Calcul des résultats pour les véhicules électriques et les véhicules électriques hybrides, paragraphe 4 de l’annexe 8.</w:t>
      </w:r>
    </w:p>
    <w:p w:rsidR="00E24DB7" w:rsidRPr="002C5876" w:rsidRDefault="00E24DB7" w:rsidP="00E24DB7">
      <w:pPr>
        <w:pStyle w:val="SingleTxtG"/>
        <w:ind w:left="2268" w:hanging="1134"/>
      </w:pPr>
      <w:r w:rsidRPr="002C5876">
        <w:t>8.2.4.2</w:t>
      </w:r>
      <w:r w:rsidRPr="002C5876">
        <w:tab/>
        <w:t>Une fois que le banc à rouleaux a été réglé conformément aux tolérances spécifiées, un essai de décélération libre doit être effectué sur le banc à rouleaux conformément au paragraphe 4.3.1.3 de la présente annexe. Le temps de décélération libre doit être enregistré.</w:t>
      </w:r>
    </w:p>
    <w:p w:rsidR="00E24DB7" w:rsidRPr="002C5876" w:rsidRDefault="00E24DB7" w:rsidP="00E24DB7">
      <w:pPr>
        <w:pStyle w:val="SingleTxtG"/>
        <w:keepNext/>
        <w:ind w:left="2268" w:hanging="1134"/>
      </w:pPr>
      <w:r w:rsidRPr="002C5876">
        <w:lastRenderedPageBreak/>
        <w:t>8.2.4.3</w:t>
      </w:r>
      <w:r w:rsidRPr="002C5876">
        <w:tab/>
        <w:t>La résistance à l’avancement sur route F</w:t>
      </w:r>
      <w:r w:rsidRPr="002C5876">
        <w:rPr>
          <w:vertAlign w:val="subscript"/>
        </w:rPr>
        <w:t>j</w:t>
      </w:r>
      <w:r w:rsidRPr="002C5876">
        <w:t xml:space="preserve"> à la vitesse de référence v</w:t>
      </w:r>
      <w:r w:rsidRPr="002C5876">
        <w:rPr>
          <w:vertAlign w:val="subscript"/>
        </w:rPr>
        <w:t>j</w:t>
      </w:r>
      <w:r w:rsidRPr="002C5876">
        <w:t>, en N, doit être déterminée au moyen de l’équation suivante :</w:t>
      </w:r>
    </w:p>
    <w:p w:rsidR="00E24DB7" w:rsidRPr="002C5876" w:rsidRDefault="00731CA6" w:rsidP="00E24DB7">
      <w:pPr>
        <w:pStyle w:val="SingleTxtG"/>
        <w:keepNext/>
        <w:spacing w:after="240"/>
        <w:ind w:left="2268"/>
        <w:jc w:val="center"/>
      </w:pPr>
      <m:oMathPara>
        <m:oMathParaPr>
          <m:jc m:val="center"/>
        </m:oMathParaPr>
        <m:oMath>
          <m:sSub>
            <m:sSubPr>
              <m:ctrlPr>
                <w:rPr>
                  <w:rFonts w:ascii="Cambria Math" w:hAnsi="Cambria Math" w:cstheme="majorBidi"/>
                  <w:bCs/>
                </w:rPr>
              </m:ctrlPr>
            </m:sSubPr>
            <m:e>
              <m:r>
                <m:rPr>
                  <m:sty m:val="p"/>
                </m:rPr>
                <w:rPr>
                  <w:rFonts w:ascii="Cambria Math" w:hAnsi="Cambria Math" w:cstheme="majorBidi"/>
                </w:rPr>
                <m:t>F</m:t>
              </m:r>
            </m:e>
            <m:sub>
              <m:r>
                <m:rPr>
                  <m:sty m:val="p"/>
                </m:rPr>
                <w:rPr>
                  <w:rFonts w:ascii="Cambria Math" w:hAnsi="Cambria Math" w:cstheme="majorBidi"/>
                </w:rPr>
                <m:t xml:space="preserve">j </m:t>
              </m:r>
            </m:sub>
          </m:sSub>
          <m:r>
            <m:rPr>
              <m:sty m:val="p"/>
            </m:rPr>
            <w:rPr>
              <w:rFonts w:ascii="Cambria Math" w:hAnsi="Cambria Math" w:cstheme="majorBidi"/>
            </w:rPr>
            <m:t xml:space="preserve">= </m:t>
          </m:r>
          <m:f>
            <m:fPr>
              <m:ctrlPr>
                <w:rPr>
                  <w:rFonts w:ascii="Cambria Math" w:hAnsi="Cambria Math" w:cstheme="majorBidi"/>
                  <w:bCs/>
                </w:rPr>
              </m:ctrlPr>
            </m:fPr>
            <m:num>
              <m:r>
                <m:rPr>
                  <m:sty m:val="p"/>
                </m:rPr>
                <w:rPr>
                  <w:rFonts w:ascii="Cambria Math" w:hAnsi="Cambria Math" w:cstheme="majorBidi"/>
                </w:rPr>
                <m:t>1</m:t>
              </m:r>
            </m:num>
            <m:den>
              <m:r>
                <m:rPr>
                  <m:sty m:val="p"/>
                </m:rPr>
                <w:rPr>
                  <w:rFonts w:ascii="Cambria Math" w:hAnsi="Cambria Math" w:cstheme="majorBidi"/>
                </w:rPr>
                <m:t>3,6</m:t>
              </m:r>
            </m:den>
          </m:f>
          <m:r>
            <m:rPr>
              <m:sty m:val="p"/>
            </m:rPr>
            <w:rPr>
              <w:rFonts w:ascii="Cambria Math" w:hAnsi="Cambria Math" w:cstheme="majorBidi"/>
            </w:rPr>
            <m:t> × </m:t>
          </m:r>
          <m:d>
            <m:dPr>
              <m:ctrlPr>
                <w:rPr>
                  <w:rFonts w:ascii="Cambria Math" w:hAnsi="Cambria Math" w:cstheme="majorBidi"/>
                  <w:bCs/>
                </w:rPr>
              </m:ctrlPr>
            </m:dPr>
            <m:e>
              <m:r>
                <m:rPr>
                  <m:sty m:val="p"/>
                </m:rPr>
                <w:rPr>
                  <w:rFonts w:ascii="Cambria Math" w:hAnsi="Cambria Math" w:cstheme="majorBidi"/>
                </w:rPr>
                <m:t xml:space="preserve">TM+ </m:t>
              </m:r>
              <m:sSub>
                <m:sSubPr>
                  <m:ctrlPr>
                    <w:rPr>
                      <w:rFonts w:ascii="Cambria Math" w:hAnsi="Cambria Math" w:cstheme="majorBidi"/>
                      <w:bCs/>
                    </w:rPr>
                  </m:ctrlPr>
                </m:sSubPr>
                <m:e>
                  <m:r>
                    <m:rPr>
                      <m:sty m:val="p"/>
                    </m:rPr>
                    <w:rPr>
                      <w:rFonts w:ascii="Cambria Math" w:hAnsi="Cambria Math" w:cstheme="majorBidi"/>
                    </w:rPr>
                    <m:t>m</m:t>
                  </m:r>
                </m:e>
                <m:sub>
                  <m:r>
                    <m:rPr>
                      <m:sty m:val="p"/>
                    </m:rPr>
                    <w:rPr>
                      <w:rFonts w:ascii="Cambria Math" w:hAnsi="Cambria Math" w:cstheme="majorBidi"/>
                    </w:rPr>
                    <m:t>r</m:t>
                  </m:r>
                </m:sub>
              </m:sSub>
            </m:e>
          </m:d>
          <m:r>
            <m:rPr>
              <m:sty m:val="p"/>
            </m:rPr>
            <w:rPr>
              <w:rFonts w:ascii="Cambria Math" w:hAnsi="Cambria Math" w:cstheme="majorBidi"/>
            </w:rPr>
            <m:t> × </m:t>
          </m:r>
          <m:f>
            <m:fPr>
              <m:ctrlPr>
                <w:rPr>
                  <w:rFonts w:ascii="Cambria Math" w:hAnsi="Cambria Math" w:cstheme="majorBidi"/>
                  <w:bCs/>
                </w:rPr>
              </m:ctrlPr>
            </m:fPr>
            <m:num>
              <m:r>
                <m:rPr>
                  <m:sty m:val="p"/>
                </m:rPr>
                <w:rPr>
                  <w:rFonts w:ascii="Cambria Math" w:hAnsi="Cambria Math" w:cstheme="majorBidi"/>
                </w:rPr>
                <m:t>2 x ∆v</m:t>
              </m:r>
            </m:num>
            <m:den>
              <m:sSub>
                <m:sSubPr>
                  <m:ctrlPr>
                    <w:rPr>
                      <w:rFonts w:ascii="Cambria Math" w:hAnsi="Cambria Math" w:cstheme="majorBidi"/>
                      <w:bCs/>
                    </w:rPr>
                  </m:ctrlPr>
                </m:sSubPr>
                <m:e>
                  <m:r>
                    <m:rPr>
                      <m:sty m:val="p"/>
                    </m:rPr>
                    <w:rPr>
                      <w:rFonts w:ascii="Cambria Math" w:hAnsi="Cambria Math" w:cstheme="majorBidi"/>
                    </w:rPr>
                    <m:t>∆t</m:t>
                  </m:r>
                </m:e>
                <m:sub>
                  <m:r>
                    <m:rPr>
                      <m:sty m:val="p"/>
                    </m:rPr>
                    <w:rPr>
                      <w:rFonts w:ascii="Cambria Math" w:hAnsi="Cambria Math" w:cstheme="majorBidi"/>
                    </w:rPr>
                    <m:t>j</m:t>
                  </m:r>
                </m:sub>
              </m:sSub>
            </m:den>
          </m:f>
        </m:oMath>
      </m:oMathPara>
    </w:p>
    <w:p w:rsidR="00E24DB7" w:rsidRPr="002C5876" w:rsidRDefault="00E24DB7" w:rsidP="00E24DB7">
      <w:pPr>
        <w:pStyle w:val="SingleTxtG"/>
        <w:keepNext/>
        <w:spacing w:line="220" w:lineRule="atLeast"/>
        <w:ind w:left="2835" w:hanging="567"/>
      </w:pPr>
      <w:r w:rsidRPr="002C5876">
        <w:t>où :</w:t>
      </w:r>
    </w:p>
    <w:p w:rsidR="00E24DB7" w:rsidRPr="002C5876" w:rsidRDefault="00E24DB7" w:rsidP="00E24DB7">
      <w:pPr>
        <w:pStyle w:val="SingleTxtG"/>
        <w:spacing w:line="220" w:lineRule="atLeast"/>
        <w:ind w:left="3402" w:hanging="1134"/>
      </w:pPr>
      <w:r w:rsidRPr="002C5876">
        <w:t>F</w:t>
      </w:r>
      <w:r w:rsidRPr="002C5876">
        <w:rPr>
          <w:vertAlign w:val="subscript"/>
        </w:rPr>
        <w:t>j</w:t>
      </w:r>
      <w:r w:rsidRPr="002C5876">
        <w:tab/>
        <w:t>est la résistance à l’avancement sur route F</w:t>
      </w:r>
      <w:r w:rsidRPr="002C5876">
        <w:rPr>
          <w:vertAlign w:val="subscript"/>
        </w:rPr>
        <w:t>j</w:t>
      </w:r>
      <w:r w:rsidRPr="002C5876">
        <w:t xml:space="preserve"> à la vitesse de référence v</w:t>
      </w:r>
      <w:r w:rsidRPr="002C5876">
        <w:rPr>
          <w:vertAlign w:val="subscript"/>
        </w:rPr>
        <w:t>j</w:t>
      </w:r>
      <w:r w:rsidRPr="002C5876">
        <w:t>, en N ;</w:t>
      </w:r>
    </w:p>
    <w:p w:rsidR="00E24DB7" w:rsidRPr="002C5876" w:rsidRDefault="00E24DB7" w:rsidP="00E24DB7">
      <w:pPr>
        <w:pStyle w:val="SingleTxtG"/>
        <w:spacing w:line="220" w:lineRule="atLeast"/>
        <w:ind w:left="3402" w:hanging="1134"/>
      </w:pPr>
      <w:r w:rsidRPr="002C5876">
        <w:t>TM</w:t>
      </w:r>
      <w:r w:rsidRPr="002C5876">
        <w:tab/>
        <w:t>est la masse d’essai du véhicule, en kg ;</w:t>
      </w:r>
    </w:p>
    <w:p w:rsidR="00E24DB7" w:rsidRPr="002C5876" w:rsidRDefault="00E24DB7" w:rsidP="00E24DB7">
      <w:pPr>
        <w:pStyle w:val="SingleTxtG"/>
        <w:spacing w:line="220" w:lineRule="atLeast"/>
        <w:ind w:left="3402" w:hanging="1134"/>
      </w:pPr>
      <w:r w:rsidRPr="002C5876">
        <w:t>m</w:t>
      </w:r>
      <w:r w:rsidRPr="002C5876">
        <w:rPr>
          <w:vertAlign w:val="subscript"/>
        </w:rPr>
        <w:t>r</w:t>
      </w:r>
      <w:r w:rsidRPr="002C5876">
        <w:tab/>
        <w:t>est la masse effective équivalente des composants du véhicule en rotation conformément au paragraphe 2.5.1 de la présente annexe, en kg ;</w:t>
      </w:r>
    </w:p>
    <w:p w:rsidR="00E24DB7" w:rsidRPr="002C5876" w:rsidRDefault="00E24DB7" w:rsidP="00E24DB7">
      <w:pPr>
        <w:pStyle w:val="SingleTxtG"/>
        <w:spacing w:line="220" w:lineRule="atLeast"/>
        <w:ind w:left="3402" w:hanging="1134"/>
      </w:pPr>
      <w:r w:rsidRPr="002C5876">
        <w:t>∆v =</w:t>
      </w:r>
      <w:r w:rsidRPr="002C5876">
        <w:tab/>
        <w:t>5 km/h ;</w:t>
      </w:r>
    </w:p>
    <w:p w:rsidR="00E24DB7" w:rsidRPr="002C5876" w:rsidRDefault="00E24DB7" w:rsidP="00E24DB7">
      <w:pPr>
        <w:pStyle w:val="SingleTxtG"/>
        <w:spacing w:line="220" w:lineRule="atLeast"/>
        <w:ind w:left="3402" w:hanging="1134"/>
      </w:pPr>
      <w:r w:rsidRPr="002C5876">
        <w:t>∆t</w:t>
      </w:r>
      <w:r w:rsidRPr="002C5876">
        <w:rPr>
          <w:vertAlign w:val="subscript"/>
        </w:rPr>
        <w:t>j</w:t>
      </w:r>
      <w:r w:rsidRPr="002C5876">
        <w:tab/>
        <w:t>est le temps de décélération libre correspondant à la vitesse v</w:t>
      </w:r>
      <w:r w:rsidRPr="002C5876">
        <w:rPr>
          <w:vertAlign w:val="subscript"/>
        </w:rPr>
        <w:t>j</w:t>
      </w:r>
      <w:r w:rsidRPr="002C5876">
        <w:t>, en s.</w:t>
      </w:r>
    </w:p>
    <w:p w:rsidR="00E24DB7" w:rsidRPr="002C5876" w:rsidRDefault="00E24DB7" w:rsidP="00E24DB7">
      <w:pPr>
        <w:pStyle w:val="SingleTxtG"/>
        <w:keepNext/>
        <w:ind w:left="2268" w:hanging="1134"/>
      </w:pPr>
      <w:r w:rsidRPr="002C5876">
        <w:t>8.2.4.4</w:t>
      </w:r>
      <w:r w:rsidRPr="002C5876">
        <w:tab/>
        <w:t>Les coefficients f</w:t>
      </w:r>
      <w:r w:rsidRPr="002C5876">
        <w:rPr>
          <w:vertAlign w:val="subscript"/>
        </w:rPr>
        <w:t>0</w:t>
      </w:r>
      <w:r w:rsidRPr="002C5876">
        <w:t>, f</w:t>
      </w:r>
      <w:r w:rsidRPr="002C5876">
        <w:rPr>
          <w:vertAlign w:val="subscript"/>
        </w:rPr>
        <w:t>1</w:t>
      </w:r>
      <w:r w:rsidRPr="002C5876">
        <w:t xml:space="preserve"> et f</w:t>
      </w:r>
      <w:r w:rsidRPr="002C5876">
        <w:rPr>
          <w:vertAlign w:val="subscript"/>
        </w:rPr>
        <w:t>2</w:t>
      </w:r>
      <w:r w:rsidRPr="002C5876">
        <w:t xml:space="preserve"> de l’équation de résistance à l’avancement sur route doivent être déterminés par régression par la méthode des moindres carrés sur la plage de vitesses de référence.</w:t>
      </w:r>
    </w:p>
    <w:p w:rsidR="004C2441" w:rsidRPr="002C5876" w:rsidRDefault="004C2441" w:rsidP="00E24DB7">
      <w:pPr>
        <w:pStyle w:val="HChG"/>
        <w:sectPr w:rsidR="004C2441" w:rsidRPr="002C5876" w:rsidSect="00CE537D">
          <w:headerReference w:type="even" r:id="rId86"/>
          <w:headerReference w:type="default" r:id="rId87"/>
          <w:endnotePr>
            <w:numFmt w:val="decimal"/>
          </w:endnotePr>
          <w:pgSz w:w="11907" w:h="16840" w:code="9"/>
          <w:pgMar w:top="1418" w:right="1134" w:bottom="1134" w:left="1134" w:header="680" w:footer="567" w:gutter="0"/>
          <w:cols w:space="720"/>
          <w:docGrid w:linePitch="272"/>
        </w:sectPr>
      </w:pPr>
    </w:p>
    <w:p w:rsidR="00E24DB7" w:rsidRPr="002C5876" w:rsidRDefault="00E24DB7" w:rsidP="00E24DB7">
      <w:pPr>
        <w:pStyle w:val="HChG"/>
      </w:pPr>
      <w:r w:rsidRPr="002C5876">
        <w:lastRenderedPageBreak/>
        <w:t>Annexe 5</w:t>
      </w:r>
    </w:p>
    <w:p w:rsidR="00E24DB7" w:rsidRPr="002C5876" w:rsidRDefault="00E24DB7" w:rsidP="00E24DB7">
      <w:pPr>
        <w:pStyle w:val="HChG"/>
      </w:pPr>
      <w:r w:rsidRPr="002C5876">
        <w:tab/>
      </w:r>
      <w:r w:rsidRPr="002C5876">
        <w:tab/>
        <w:t>Équipement d’essai et étalonnages</w:t>
      </w:r>
    </w:p>
    <w:p w:rsidR="00E24DB7" w:rsidRPr="002C5876" w:rsidRDefault="00E24DB7" w:rsidP="00E24DB7">
      <w:pPr>
        <w:pStyle w:val="SingleTxtG"/>
        <w:keepNext/>
        <w:ind w:left="2268" w:hanging="1134"/>
        <w:jc w:val="left"/>
      </w:pPr>
      <w:bookmarkStart w:id="30" w:name="_Toc284587086"/>
      <w:bookmarkStart w:id="31" w:name="_Toc284587337"/>
      <w:r w:rsidRPr="002C5876">
        <w:t>1.</w:t>
      </w:r>
      <w:r w:rsidRPr="002C5876">
        <w:tab/>
      </w:r>
      <w:bookmarkEnd w:id="30"/>
      <w:bookmarkEnd w:id="31"/>
      <w:r w:rsidRPr="002C5876">
        <w:t xml:space="preserve">Spécifications et paramètres du banc d’essai </w:t>
      </w:r>
    </w:p>
    <w:p w:rsidR="00E24DB7" w:rsidRPr="002C5876" w:rsidRDefault="00E24DB7" w:rsidP="00E24DB7">
      <w:pPr>
        <w:pStyle w:val="SingleTxtG"/>
        <w:keepNext/>
        <w:ind w:left="2268" w:hanging="1134"/>
        <w:jc w:val="left"/>
      </w:pPr>
      <w:r w:rsidRPr="002C5876">
        <w:t>1.1</w:t>
      </w:r>
      <w:r w:rsidRPr="002C5876">
        <w:tab/>
        <w:t>Spécifications du ventilateur de refroidissement</w:t>
      </w:r>
    </w:p>
    <w:p w:rsidR="00E24DB7" w:rsidRPr="002C5876" w:rsidRDefault="00E24DB7" w:rsidP="00E24DB7">
      <w:pPr>
        <w:pStyle w:val="SingleTxtG"/>
        <w:ind w:left="2268" w:hanging="1134"/>
      </w:pPr>
      <w:r w:rsidRPr="002C5876">
        <w:t>1.1.1</w:t>
      </w:r>
      <w:r w:rsidRPr="002C5876">
        <w:tab/>
        <w:t xml:space="preserve">Un courant d’air de vitesse variable doit être dirigé sur le véhicule. Dans la plage de vitesses supérieures à 5 km/h, la valeur de consigne pour la vitesse linéaire de l’air à la sortie de la soufflante doit être égale à la vitesse du rouleau. La vitesse linéaire de l’air à la sortie de la soufflante doit demeurer dans les limites de </w:t>
      </w:r>
      <w:r w:rsidRPr="002C5876">
        <w:sym w:font="Symbol" w:char="F0B1"/>
      </w:r>
      <w:r w:rsidRPr="002C5876">
        <w:t xml:space="preserve">5 km/h ou </w:t>
      </w:r>
      <w:r w:rsidRPr="002C5876">
        <w:sym w:font="Symbol" w:char="F0B1"/>
      </w:r>
      <w:r w:rsidRPr="002C5876">
        <w:t xml:space="preserve">10 % de la vitesse du rouleau correspondante, la plus grande de ces valeurs étant retenue. </w:t>
      </w:r>
    </w:p>
    <w:p w:rsidR="00E24DB7" w:rsidRPr="002C5876" w:rsidRDefault="00E24DB7" w:rsidP="00E24DB7">
      <w:pPr>
        <w:pStyle w:val="SingleTxtG"/>
        <w:keepNext/>
        <w:ind w:left="2268" w:hanging="1134"/>
      </w:pPr>
      <w:r w:rsidRPr="002C5876">
        <w:t>1.1.2</w:t>
      </w:r>
      <w:r w:rsidRPr="002C5876">
        <w:tab/>
        <w:t>Pour déterminer la vitesse de l’air, on calcule la valeur moyenne à partir de plusieurs points de mesure situés comme suit :</w:t>
      </w:r>
    </w:p>
    <w:p w:rsidR="00E24DB7" w:rsidRPr="002C5876" w:rsidRDefault="00E24DB7" w:rsidP="00E24DB7">
      <w:pPr>
        <w:pStyle w:val="SingleTxtG"/>
        <w:ind w:left="2835" w:hanging="567"/>
      </w:pPr>
      <w:r w:rsidRPr="002C5876">
        <w:t>a)</w:t>
      </w:r>
      <w:r w:rsidRPr="002C5876">
        <w:tab/>
        <w:t>Pour les ventilateurs à section de sortie rectangulaire, ces points sont situés au centre de chacun des 9 rectangles obtenus en divisant la section totale de sortie en trois parties égales en largeur et en hauteur. Le rectangle central ne doit pas être mesuré (comme le montre la figure A5/1) ;</w:t>
      </w:r>
    </w:p>
    <w:p w:rsidR="00E24DB7" w:rsidRPr="002C5876" w:rsidRDefault="00E24DB7" w:rsidP="00E24DB7">
      <w:pPr>
        <w:pStyle w:val="H23G"/>
      </w:pPr>
      <w:r w:rsidRPr="002C5876">
        <w:rPr>
          <w:b w:val="0"/>
        </w:rPr>
        <w:tab/>
      </w:r>
      <w:r w:rsidRPr="002C5876">
        <w:rPr>
          <w:b w:val="0"/>
        </w:rPr>
        <w:tab/>
        <w:t>Figure A5/1</w:t>
      </w:r>
      <w:r w:rsidRPr="002C5876">
        <w:br/>
        <w:t>Ventilateur à section de sortie rectangulaire</w:t>
      </w:r>
    </w:p>
    <w:p w:rsidR="00E24DB7" w:rsidRPr="002C5876" w:rsidRDefault="00E24DB7" w:rsidP="00E24DB7">
      <w:pPr>
        <w:ind w:left="1134"/>
      </w:pPr>
      <w:r w:rsidRPr="002C5876">
        <w:rPr>
          <w:noProof/>
          <w:lang w:val="en-GB" w:eastAsia="zh-CN"/>
        </w:rPr>
        <w:drawing>
          <wp:inline distT="0" distB="0" distL="0" distR="0" wp14:anchorId="48B48C52" wp14:editId="5177F1C4">
            <wp:extent cx="3306470" cy="1344314"/>
            <wp:effectExtent l="19050" t="19050" r="27305" b="273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8"/>
                    <pic:cNvPicPr>
                      <a:picLocks noChangeAspect="1" noChangeArrowheads="1"/>
                    </pic:cNvPicPr>
                  </pic:nvPicPr>
                  <pic:blipFill>
                    <a:blip r:embed="rId88">
                      <a:extLst>
                        <a:ext uri="{28A0092B-C50C-407E-A947-70E740481C1C}">
                          <a14:useLocalDpi xmlns:a14="http://schemas.microsoft.com/office/drawing/2010/main" val="0"/>
                        </a:ext>
                      </a:extLst>
                    </a:blip>
                    <a:srcRect l="1512" t="1967" r="1924" b="3607"/>
                    <a:stretch>
                      <a:fillRect/>
                    </a:stretch>
                  </pic:blipFill>
                  <pic:spPr bwMode="auto">
                    <a:xfrm>
                      <a:off x="0" y="0"/>
                      <a:ext cx="3320581" cy="1350051"/>
                    </a:xfrm>
                    <a:prstGeom prst="rect">
                      <a:avLst/>
                    </a:prstGeom>
                    <a:noFill/>
                    <a:ln w="6350" cmpd="sng">
                      <a:solidFill>
                        <a:srgbClr val="000000"/>
                      </a:solidFill>
                      <a:miter lim="800000"/>
                      <a:headEnd/>
                      <a:tailEnd/>
                    </a:ln>
                    <a:effectLst/>
                  </pic:spPr>
                </pic:pic>
              </a:graphicData>
            </a:graphic>
          </wp:inline>
        </w:drawing>
      </w:r>
    </w:p>
    <w:p w:rsidR="00E24DB7" w:rsidRPr="002C5876" w:rsidRDefault="00E24DB7" w:rsidP="00E24DB7">
      <w:pPr>
        <w:pStyle w:val="SingleTxtG"/>
        <w:spacing w:before="240"/>
        <w:ind w:left="2835" w:hanging="567"/>
      </w:pPr>
      <w:r w:rsidRPr="002C5876">
        <w:t>b)</w:t>
      </w:r>
      <w:r w:rsidRPr="002C5876">
        <w:tab/>
        <w:t>Pour les ventilateurs à section de sortie circulaire, la section de sortie doit être divisée en huit secteurs angulaires par des diamètres verticaux, horizontaux et à 45°. Les points de mesure sont situés sur l’axe médian de chaque secteur (coupant celui-ci en deux sous</w:t>
      </w:r>
      <w:r w:rsidRPr="002C5876">
        <w:noBreakHyphen/>
        <w:t xml:space="preserve">secteurs de 22,5° d’arc) à deux tiers de la longueur du rayon par rapport au centre (comme le montre la figure A5/2). </w:t>
      </w:r>
    </w:p>
    <w:p w:rsidR="00E24DB7" w:rsidRPr="002C5876" w:rsidRDefault="00E24DB7" w:rsidP="00E24DB7">
      <w:pPr>
        <w:pStyle w:val="H23G"/>
      </w:pPr>
      <w:r w:rsidRPr="002C5876">
        <w:tab/>
      </w:r>
      <w:r w:rsidRPr="002C5876">
        <w:tab/>
      </w:r>
    </w:p>
    <w:p w:rsidR="00E24DB7" w:rsidRPr="002C5876" w:rsidRDefault="00E24DB7" w:rsidP="00E24DB7">
      <w:pPr>
        <w:pStyle w:val="H23G"/>
      </w:pPr>
      <w:r w:rsidRPr="002C5876">
        <w:br w:type="page"/>
      </w:r>
      <w:r w:rsidRPr="002C5876">
        <w:lastRenderedPageBreak/>
        <w:tab/>
      </w:r>
      <w:r w:rsidRPr="002C5876">
        <w:tab/>
      </w:r>
      <w:r w:rsidRPr="002C5876">
        <w:rPr>
          <w:b w:val="0"/>
        </w:rPr>
        <w:t>Figure A5/2</w:t>
      </w:r>
      <w:r w:rsidRPr="002C5876">
        <w:rPr>
          <w:b w:val="0"/>
        </w:rPr>
        <w:br/>
      </w:r>
      <w:r w:rsidRPr="002C5876">
        <w:t>Ventilateur à section de sortie circulaire</w:t>
      </w:r>
    </w:p>
    <w:p w:rsidR="00E24DB7" w:rsidRPr="002C5876" w:rsidRDefault="00E24DB7" w:rsidP="00E24DB7">
      <w:pPr>
        <w:ind w:left="1134"/>
      </w:pPr>
      <w:r w:rsidRPr="002C5876">
        <w:rPr>
          <w:noProof/>
          <w:lang w:val="en-GB" w:eastAsia="zh-CN"/>
        </w:rPr>
        <w:drawing>
          <wp:inline distT="0" distB="0" distL="0" distR="0" wp14:anchorId="0182CD17" wp14:editId="12029984">
            <wp:extent cx="2200004" cy="1938528"/>
            <wp:effectExtent l="0" t="0" r="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16931" cy="1953443"/>
                    </a:xfrm>
                    <a:prstGeom prst="rect">
                      <a:avLst/>
                    </a:prstGeom>
                    <a:noFill/>
                    <a:ln w="6350" cmpd="sng">
                      <a:noFill/>
                      <a:miter lim="800000"/>
                      <a:headEnd/>
                      <a:tailEnd/>
                    </a:ln>
                    <a:effectLst/>
                  </pic:spPr>
                </pic:pic>
              </a:graphicData>
            </a:graphic>
          </wp:inline>
        </w:drawing>
      </w:r>
    </w:p>
    <w:p w:rsidR="00E24DB7" w:rsidRPr="002C5876" w:rsidRDefault="00E24DB7" w:rsidP="00E24DB7">
      <w:pPr>
        <w:pStyle w:val="SingleTxtG"/>
        <w:spacing w:before="240"/>
        <w:ind w:left="2268"/>
      </w:pPr>
      <w:r w:rsidRPr="002C5876">
        <w:t xml:space="preserve">Aucun véhicule ni aucun autre objet ne doit se trouver devant le ventilateur lorsque les mesures sont prises. Le dispositif utilisé pour mesurer la vitesse linéaire de l’air doit être situé à une distance de 0 à 20 cm de l’orifice de sortie. </w:t>
      </w:r>
    </w:p>
    <w:p w:rsidR="00E24DB7" w:rsidRPr="002C5876" w:rsidRDefault="00E24DB7" w:rsidP="00E24DB7">
      <w:pPr>
        <w:pStyle w:val="SingleTxtG"/>
        <w:keepNext/>
        <w:ind w:left="2268" w:hanging="1134"/>
      </w:pPr>
      <w:r w:rsidRPr="002C5876">
        <w:t>1.1.3</w:t>
      </w:r>
      <w:r w:rsidRPr="002C5876">
        <w:tab/>
        <w:t>La section de sortie de la soufflante doit avoir les caractéristiques suivantes :</w:t>
      </w:r>
    </w:p>
    <w:p w:rsidR="00E24DB7" w:rsidRPr="002C5876" w:rsidRDefault="00E24DB7" w:rsidP="00E24DB7">
      <w:pPr>
        <w:pStyle w:val="SingleTxtG"/>
        <w:ind w:left="2835" w:hanging="567"/>
      </w:pPr>
      <w:r w:rsidRPr="002C5876">
        <w:t>a)</w:t>
      </w:r>
      <w:r w:rsidRPr="002C5876">
        <w:tab/>
        <w:t>Surface : 0,3 m</w:t>
      </w:r>
      <w:r w:rsidRPr="002C5876">
        <w:rPr>
          <w:vertAlign w:val="superscript"/>
        </w:rPr>
        <w:t>2</w:t>
      </w:r>
      <w:r w:rsidRPr="002C5876">
        <w:t xml:space="preserve"> au moins ; et </w:t>
      </w:r>
    </w:p>
    <w:p w:rsidR="00E24DB7" w:rsidRPr="002C5876" w:rsidRDefault="00E24DB7" w:rsidP="00E24DB7">
      <w:pPr>
        <w:pStyle w:val="SingleTxtG"/>
        <w:ind w:left="2835" w:hanging="567"/>
      </w:pPr>
      <w:r w:rsidRPr="002C5876">
        <w:t>b)</w:t>
      </w:r>
      <w:r w:rsidRPr="002C5876">
        <w:tab/>
        <w:t xml:space="preserve">Largeur ou diamètre : 0,8 m au moins. </w:t>
      </w:r>
    </w:p>
    <w:p w:rsidR="00E24DB7" w:rsidRPr="002C5876" w:rsidRDefault="00E24DB7" w:rsidP="00E24DB7">
      <w:pPr>
        <w:pStyle w:val="SingleTxtG"/>
        <w:keepNext/>
        <w:ind w:left="2268" w:hanging="1134"/>
      </w:pPr>
      <w:r w:rsidRPr="002C5876">
        <w:t>1.1.4</w:t>
      </w:r>
      <w:r w:rsidRPr="002C5876">
        <w:tab/>
        <w:t>La position du ventilateur doit être la suivante :</w:t>
      </w:r>
    </w:p>
    <w:p w:rsidR="00E24DB7" w:rsidRPr="002C5876" w:rsidRDefault="00E24DB7" w:rsidP="00E24DB7">
      <w:pPr>
        <w:pStyle w:val="SingleTxtG"/>
        <w:ind w:left="2835" w:hanging="567"/>
      </w:pPr>
      <w:r w:rsidRPr="002C5876">
        <w:t>a)</w:t>
      </w:r>
      <w:r w:rsidRPr="002C5876">
        <w:tab/>
        <w:t xml:space="preserve">Hauteur du bord inférieur au-dessus du sol : environ 20 cm ; </w:t>
      </w:r>
    </w:p>
    <w:p w:rsidR="00E24DB7" w:rsidRPr="002C5876" w:rsidRDefault="00E24DB7" w:rsidP="00E24DB7">
      <w:pPr>
        <w:pStyle w:val="SingleTxtG"/>
        <w:ind w:left="2835" w:hanging="567"/>
      </w:pPr>
      <w:r w:rsidRPr="002C5876">
        <w:t>b)</w:t>
      </w:r>
      <w:r w:rsidRPr="002C5876">
        <w:tab/>
        <w:t>Distance par rapport à l’avant du véhicule : environ 30 cm ;</w:t>
      </w:r>
    </w:p>
    <w:p w:rsidR="00E24DB7" w:rsidRPr="002C5876" w:rsidRDefault="00E24DB7" w:rsidP="00E24DB7">
      <w:pPr>
        <w:pStyle w:val="SingleTxtG"/>
        <w:ind w:left="2835" w:hanging="567"/>
      </w:pPr>
      <w:r w:rsidRPr="002C5876">
        <w:t>c)</w:t>
      </w:r>
      <w:r w:rsidRPr="002C5876">
        <w:tab/>
        <w:t>Approximativement sur l’axe longitudinal du véhicule.</w:t>
      </w:r>
    </w:p>
    <w:p w:rsidR="00E24DB7" w:rsidRPr="002C5876" w:rsidRDefault="00E24DB7" w:rsidP="00E24DB7">
      <w:pPr>
        <w:pStyle w:val="SingleTxtG"/>
        <w:ind w:left="2268" w:hanging="1134"/>
      </w:pPr>
      <w:r w:rsidRPr="002C5876">
        <w:t>1.1.5</w:t>
      </w:r>
      <w:r w:rsidRPr="002C5876">
        <w:tab/>
        <w:t>À la demande du constructeur et lorsque cela a été jugé approprié par l’autorité compétente, la hauteur du ventilateur de refroidissement, sa position latérale et sa distance par rapport au véhicule peuvent être modifiées.</w:t>
      </w:r>
    </w:p>
    <w:p w:rsidR="00E24DB7" w:rsidRPr="002C5876" w:rsidRDefault="00E24DB7" w:rsidP="00E24DB7">
      <w:pPr>
        <w:pStyle w:val="SingleTxtG"/>
        <w:ind w:left="2268"/>
      </w:pPr>
      <w:r w:rsidRPr="002C5876">
        <w:tab/>
        <w:t>Si la configuration prescrite n’est pas pratique pour des types de véhicules particuliers, tels que les véhicules à moteur arrière ou à entrées d’air latérales, ou si elle ne permet pas un refroidissement suffisant et représentatif d’une utilisation réelle, à la demande du constructeur et lorsque cela a été jugé approprié par l’autorité compétente, la hauteur, la puissance et les positions longitudinale et latérale du ventilateur peuvent être modifiées et des ventilateurs supplémentaires ayant des caractéristiques différentes (y compris des ventilateurs à vitesse constante) peuvent être utilisés.</w:t>
      </w:r>
    </w:p>
    <w:p w:rsidR="00E24DB7" w:rsidRPr="002C5876" w:rsidRDefault="00E24DB7" w:rsidP="00E24DB7">
      <w:pPr>
        <w:pStyle w:val="SingleTxtG"/>
        <w:ind w:left="2268" w:hanging="1134"/>
      </w:pPr>
      <w:r w:rsidRPr="002C5876">
        <w:t>1.1.6</w:t>
      </w:r>
      <w:r w:rsidRPr="002C5876">
        <w:tab/>
        <w:t>Dans les cas décrits au paragraphe 1.1.5 de la présente annexe, la position et la puissance du ou des ventilateurs de refroidissement, avec mention détaillée de la justification fournie à l’autorité compétente, doivent être enregistrées. Pour tout essai ultérieur, les positions et les caractéristiques du ou des ventilateurs doivent être similaires, eu égard à la justification fournie, afin d’éviter que les caractéristiques de refroidissement ne soient pas représentatives.</w:t>
      </w:r>
    </w:p>
    <w:p w:rsidR="00E24DB7" w:rsidRPr="002C5876" w:rsidRDefault="00E24DB7" w:rsidP="00E24DB7">
      <w:pPr>
        <w:pStyle w:val="SingleTxtG"/>
        <w:keepNext/>
        <w:ind w:left="2268" w:hanging="1134"/>
        <w:jc w:val="left"/>
      </w:pPr>
      <w:r w:rsidRPr="002C5876">
        <w:t>2.</w:t>
      </w:r>
      <w:r w:rsidRPr="002C5876">
        <w:tab/>
        <w:t xml:space="preserve">Banc à rouleaux </w:t>
      </w:r>
    </w:p>
    <w:p w:rsidR="00E24DB7" w:rsidRPr="002C5876" w:rsidRDefault="00E24DB7" w:rsidP="00E24DB7">
      <w:pPr>
        <w:pStyle w:val="SingleTxtG"/>
        <w:keepNext/>
        <w:ind w:left="2268" w:hanging="1134"/>
        <w:jc w:val="left"/>
      </w:pPr>
      <w:r w:rsidRPr="002C5876">
        <w:t>2.1</w:t>
      </w:r>
      <w:r w:rsidRPr="002C5876">
        <w:tab/>
        <w:t xml:space="preserve">Prescriptions générales </w:t>
      </w:r>
    </w:p>
    <w:p w:rsidR="00E24DB7" w:rsidRPr="002C5876" w:rsidRDefault="00E24DB7" w:rsidP="00E24DB7">
      <w:pPr>
        <w:pStyle w:val="SingleTxtG"/>
        <w:ind w:left="2268" w:hanging="1134"/>
      </w:pPr>
      <w:r w:rsidRPr="002C5876">
        <w:t>2.1.1</w:t>
      </w:r>
      <w:r w:rsidRPr="002C5876">
        <w:tab/>
      </w:r>
      <w:r w:rsidRPr="002C5876">
        <w:rPr>
          <w:spacing w:val="-2"/>
        </w:rPr>
        <w:t>Le banc doit permettre de simuler la résistance à l’avancement sur route, et permettre le réglage de trois coefficients définissant ladite résistance de manière à faire varier la forme de la courbe d’absorption de puissance.</w:t>
      </w:r>
      <w:r w:rsidRPr="002C5876">
        <w:t xml:space="preserve"> </w:t>
      </w:r>
    </w:p>
    <w:p w:rsidR="00E24DB7" w:rsidRPr="002C5876" w:rsidRDefault="00E24DB7" w:rsidP="00E24DB7">
      <w:pPr>
        <w:pStyle w:val="SingleTxtG"/>
        <w:ind w:left="2268" w:hanging="1134"/>
      </w:pPr>
      <w:r w:rsidRPr="002C5876">
        <w:t>2.1.2</w:t>
      </w:r>
      <w:r w:rsidRPr="002C5876">
        <w:tab/>
      </w:r>
      <w:r w:rsidRPr="002C5876">
        <w:rPr>
          <w:spacing w:val="-4"/>
        </w:rPr>
        <w:t>Le banc peut comporter un ou deux rouleaux. Dans le cas où des bancs à deux rouleaux sont utilisés, les rouleaux doivent être couplés de façon permanente ou le rouleau avant doit entraîner, directement ou indirectement, les masses d’inertie et le frein.</w:t>
      </w:r>
      <w:r w:rsidRPr="002C5876">
        <w:t xml:space="preserve"> </w:t>
      </w:r>
    </w:p>
    <w:p w:rsidR="00E24DB7" w:rsidRPr="002C5876" w:rsidRDefault="00E24DB7" w:rsidP="00E24DB7">
      <w:pPr>
        <w:pStyle w:val="SingleTxtG"/>
        <w:keepNext/>
        <w:ind w:left="2268" w:hanging="1134"/>
        <w:jc w:val="left"/>
      </w:pPr>
      <w:r w:rsidRPr="002C5876">
        <w:lastRenderedPageBreak/>
        <w:t>2.2</w:t>
      </w:r>
      <w:r w:rsidRPr="002C5876">
        <w:tab/>
        <w:t>Prescriptions spécifiques</w:t>
      </w:r>
    </w:p>
    <w:p w:rsidR="00E24DB7" w:rsidRPr="002C5876" w:rsidRDefault="00E24DB7" w:rsidP="00E24DB7">
      <w:pPr>
        <w:pStyle w:val="SingleTxtG"/>
        <w:ind w:left="2268"/>
      </w:pPr>
      <w:r w:rsidRPr="002C5876">
        <w:tab/>
        <w:t>Les prescriptions spécifiques suivantes concernent les spécifications du banc telles que fournies par le fabricant.</w:t>
      </w:r>
    </w:p>
    <w:p w:rsidR="00E24DB7" w:rsidRPr="002C5876" w:rsidRDefault="00E24DB7" w:rsidP="00E24DB7">
      <w:pPr>
        <w:pStyle w:val="SingleTxtG"/>
        <w:ind w:left="2268" w:hanging="1134"/>
      </w:pPr>
      <w:r w:rsidRPr="002C5876">
        <w:t>2.2.1</w:t>
      </w:r>
      <w:r w:rsidRPr="002C5876">
        <w:tab/>
        <w:t xml:space="preserve">L’excentricité du rouleau doit être inférieure à 0,25 mm en tous les points de mesure. </w:t>
      </w:r>
    </w:p>
    <w:p w:rsidR="00E24DB7" w:rsidRPr="002C5876" w:rsidRDefault="00E24DB7" w:rsidP="00E24DB7">
      <w:pPr>
        <w:pStyle w:val="SingleTxtG"/>
        <w:ind w:left="2268" w:hanging="1134"/>
      </w:pPr>
      <w:r w:rsidRPr="002C5876">
        <w:t>2.2.2</w:t>
      </w:r>
      <w:r w:rsidRPr="002C5876">
        <w:tab/>
        <w:t xml:space="preserve">Le diamètre du cylindre ne doit pas excéder </w:t>
      </w:r>
      <w:r w:rsidRPr="002C5876">
        <w:sym w:font="Symbol" w:char="F0B1"/>
      </w:r>
      <w:r w:rsidRPr="002C5876">
        <w:t>1,0 mm de la valeur nominale spécifiée à tous les points de mesure.</w:t>
      </w:r>
    </w:p>
    <w:p w:rsidR="00E24DB7" w:rsidRPr="002C5876" w:rsidRDefault="00E24DB7" w:rsidP="00E24DB7">
      <w:pPr>
        <w:pStyle w:val="SingleTxtG"/>
        <w:ind w:left="2268" w:hanging="1134"/>
      </w:pPr>
      <w:r w:rsidRPr="002C5876">
        <w:t>2.2.3</w:t>
      </w:r>
      <w:r w:rsidRPr="002C5876">
        <w:tab/>
        <w:t xml:space="preserve">Le banc doit être équipé d’un chronomètre permettant de déterminer les accélérations et de mesurer les temps de parcours en roue libre du véhicule ou du banc. L’exactitude de ce chronomètre doit être de </w:t>
      </w:r>
      <w:r w:rsidRPr="002C5876">
        <w:sym w:font="Symbol" w:char="F0B1"/>
      </w:r>
      <w:r w:rsidRPr="002C5876">
        <w:t>0,001 % ou mieux. Ceci doit être vérifié lors de l’installation initiale.</w:t>
      </w:r>
    </w:p>
    <w:p w:rsidR="00E24DB7" w:rsidRPr="002C5876" w:rsidRDefault="00E24DB7" w:rsidP="00E24DB7">
      <w:pPr>
        <w:pStyle w:val="SingleTxtG"/>
        <w:ind w:left="2268" w:hanging="1134"/>
      </w:pPr>
      <w:r w:rsidRPr="002C5876">
        <w:t>2.2.4</w:t>
      </w:r>
      <w:r w:rsidRPr="002C5876">
        <w:tab/>
        <w:t xml:space="preserve">Le banc doit être équipé d’un tachymètre dont l’erreur maximale de mesure doit être de </w:t>
      </w:r>
      <w:r w:rsidRPr="002C5876">
        <w:sym w:font="Symbol" w:char="F0B1"/>
      </w:r>
      <w:r w:rsidRPr="002C5876">
        <w:t xml:space="preserve">0,080 km/h. Ceci doit être vérifié lors de l’installation initiale. </w:t>
      </w:r>
    </w:p>
    <w:p w:rsidR="00E24DB7" w:rsidRPr="002C5876" w:rsidRDefault="00E24DB7" w:rsidP="00E24DB7">
      <w:pPr>
        <w:pStyle w:val="SingleTxtG"/>
        <w:ind w:left="2268" w:hanging="1134"/>
      </w:pPr>
      <w:r w:rsidRPr="002C5876">
        <w:t>2.2.5</w:t>
      </w:r>
      <w:r w:rsidRPr="002C5876">
        <w:tab/>
        <w:t>Le temps de réponse du banc (réponse de 90 % à une variation de la force de traction) à une accélération instantanée d’au moins 3 m/s</w:t>
      </w:r>
      <w:r w:rsidRPr="002C5876">
        <w:rPr>
          <w:vertAlign w:val="superscript"/>
        </w:rPr>
        <w:t>2</w:t>
      </w:r>
      <w:r w:rsidRPr="002C5876">
        <w:t xml:space="preserve"> doit être inférieur à 100 ms. Ceci doit être vérifié lors de l’installation initiale et après une opération d’entretien importante.</w:t>
      </w:r>
    </w:p>
    <w:p w:rsidR="00E24DB7" w:rsidRPr="002C5876" w:rsidRDefault="00E24DB7" w:rsidP="00E24DB7">
      <w:pPr>
        <w:pStyle w:val="SingleTxtG"/>
        <w:ind w:left="2268" w:hanging="1134"/>
      </w:pPr>
      <w:r w:rsidRPr="002C5876">
        <w:t>2.2.6</w:t>
      </w:r>
      <w:r w:rsidRPr="002C5876">
        <w:tab/>
        <w:t xml:space="preserve">L’inertie de référence du banc doit être déclarée par le fabricant. L’écart par rapport à cette valeur déclarée ne doit pas dépasser </w:t>
      </w:r>
      <w:r w:rsidRPr="002C5876">
        <w:sym w:font="Symbol" w:char="F0B1"/>
      </w:r>
      <w:r w:rsidRPr="002C5876">
        <w:t xml:space="preserve">0,5 % pour chaque valeur d’inertie de référence mesurée ; lors d’essais effectués dans des conditions constantes d’accélération, de décélération et de force d’entraînement, l’écart par rapport à la valeur moyenne arithmétique obtenue par calcul dynamique ne doit pas dépasser </w:t>
      </w:r>
      <w:r w:rsidRPr="002C5876">
        <w:sym w:font="Symbol" w:char="F0B1"/>
      </w:r>
      <w:r w:rsidRPr="002C5876">
        <w:t xml:space="preserve">0,2 %. </w:t>
      </w:r>
    </w:p>
    <w:p w:rsidR="00E24DB7" w:rsidRPr="002C5876" w:rsidRDefault="00E24DB7" w:rsidP="00E24DB7">
      <w:pPr>
        <w:pStyle w:val="SingleTxtG"/>
        <w:ind w:left="2268" w:hanging="1134"/>
      </w:pPr>
      <w:r w:rsidRPr="002C5876">
        <w:t>2.2.7</w:t>
      </w:r>
      <w:r w:rsidRPr="002C5876">
        <w:tab/>
        <w:t xml:space="preserve">La vitesse du rouleau doit être mesurée à une fréquence d’au moins 10 Hz. </w:t>
      </w:r>
    </w:p>
    <w:p w:rsidR="00E24DB7" w:rsidRPr="002C5876" w:rsidRDefault="00E24DB7" w:rsidP="00E24DB7">
      <w:pPr>
        <w:pStyle w:val="SingleTxtG"/>
        <w:keepNext/>
        <w:ind w:left="2268" w:hanging="1134"/>
        <w:jc w:val="left"/>
      </w:pPr>
      <w:r w:rsidRPr="002C5876">
        <w:t>2.3</w:t>
      </w:r>
      <w:r w:rsidRPr="002C5876">
        <w:tab/>
        <w:t xml:space="preserve">Prescriptions spécifiques complémentaires pour bancs destinés aux essais de véhicules en mode quatre roues motrices </w:t>
      </w:r>
    </w:p>
    <w:p w:rsidR="00E24DB7" w:rsidRPr="002C5876" w:rsidRDefault="00E24DB7" w:rsidP="00E24DB7">
      <w:pPr>
        <w:pStyle w:val="SingleTxtG"/>
        <w:ind w:left="2268" w:hanging="1134"/>
      </w:pPr>
      <w:r w:rsidRPr="002C5876">
        <w:t>2.3.1</w:t>
      </w:r>
      <w:r w:rsidRPr="002C5876">
        <w:tab/>
        <w:t xml:space="preserve">Le système de commande du mode quatre roues motrices doit être conçu de telle sorte que les conditions suivantes soient remplies lorsqu’il est utilisé avec un véhicule soumis au cycle WLTC. </w:t>
      </w:r>
    </w:p>
    <w:p w:rsidR="00E24DB7" w:rsidRPr="002C5876" w:rsidRDefault="00E24DB7" w:rsidP="00E24DB7">
      <w:pPr>
        <w:pStyle w:val="SingleTxtG"/>
        <w:ind w:left="2268" w:hanging="1134"/>
      </w:pPr>
      <w:r w:rsidRPr="002C5876">
        <w:t>2.3.1.1</w:t>
      </w:r>
      <w:r w:rsidRPr="002C5876">
        <w:tab/>
      </w:r>
      <w:r w:rsidRPr="002C5876">
        <w:rPr>
          <w:spacing w:val="-4"/>
        </w:rPr>
        <w:t>La simulation de la résistance à l’avancement sur route doit être effectuée de telle manière que cette opération en mode 4 roues motrices reproduise le même dosage de forces que lors de la conduite du véhicule sur un sol lisse, sec et plan.</w:t>
      </w:r>
    </w:p>
    <w:p w:rsidR="00E24DB7" w:rsidRPr="002C5876" w:rsidRDefault="00E24DB7" w:rsidP="00E24DB7">
      <w:pPr>
        <w:pStyle w:val="SingleTxtG"/>
        <w:ind w:left="2268" w:hanging="1134"/>
      </w:pPr>
      <w:r w:rsidRPr="002C5876">
        <w:t>2.3.1.2</w:t>
      </w:r>
      <w:r w:rsidRPr="002C5876">
        <w:tab/>
        <w:t>Lors de l’installation initiale et après une opération d’entretien importante, les prescriptions du paragraphe 2.3.1.2.1 de la présente annexe et soit du paragraphe 2.3.1.2.2 soit du paragraphe 2.3.1.2.3 de la même annexe doivent être satisfaites. On évalue la différence de vitesse entre les rouleaux avant et arrière en appliquant un filtre à moyenne mobile sur 1 s aux données de vitesse des rouleaux à une fréquence minimale de 20 Hz.</w:t>
      </w:r>
    </w:p>
    <w:p w:rsidR="00E24DB7" w:rsidRPr="002C5876" w:rsidRDefault="00E24DB7" w:rsidP="00E24DB7">
      <w:pPr>
        <w:pStyle w:val="SingleTxtG"/>
        <w:ind w:left="2268" w:hanging="1134"/>
      </w:pPr>
      <w:r w:rsidRPr="002C5876">
        <w:t>2.3.1.2.1</w:t>
      </w:r>
      <w:r w:rsidRPr="002C5876">
        <w:tab/>
        <w:t>La différence entre les distances parcourues par les rouleaux avant et arrière doit être inférieure à 0,2 % de la distance totale parcourue au cours du cycle WLTC. Le calcul de cette différence doit s’effectuer sur les sommes des valeurs absolues des distances parcourues par chaque rouleau.</w:t>
      </w:r>
    </w:p>
    <w:p w:rsidR="00E24DB7" w:rsidRPr="002C5876" w:rsidRDefault="00E24DB7" w:rsidP="00E24DB7">
      <w:pPr>
        <w:pStyle w:val="SingleTxtG"/>
        <w:ind w:left="2268" w:hanging="1134"/>
      </w:pPr>
      <w:r w:rsidRPr="002C5876">
        <w:t>2.3.1.2.2</w:t>
      </w:r>
      <w:r w:rsidRPr="002C5876">
        <w:tab/>
        <w:t>La différence entre les distances respectivement parcourues en 200 ms par les rouleaux avant et arrière doit à tout moment être inférieure à 0,1 m.</w:t>
      </w:r>
    </w:p>
    <w:p w:rsidR="00E24DB7" w:rsidRPr="002C5876" w:rsidRDefault="00E24DB7" w:rsidP="00E24DB7">
      <w:pPr>
        <w:pStyle w:val="SingleTxtG"/>
        <w:ind w:left="2268" w:hanging="1134"/>
      </w:pPr>
      <w:r w:rsidRPr="002C5876">
        <w:t>2.3.1.2.3</w:t>
      </w:r>
      <w:r w:rsidRPr="002C5876">
        <w:tab/>
        <w:t xml:space="preserve">La différence de vitesse entre les rouleaux doit toujours se situer dans les limites </w:t>
      </w:r>
      <w:r w:rsidRPr="002C5876">
        <w:rPr>
          <w:szCs w:val="24"/>
        </w:rPr>
        <w:t>± 0,16 km/h.</w:t>
      </w:r>
    </w:p>
    <w:p w:rsidR="00E24DB7" w:rsidRPr="002C5876" w:rsidRDefault="00E24DB7" w:rsidP="00E24DB7">
      <w:pPr>
        <w:pStyle w:val="SingleTxtG"/>
        <w:keepNext/>
        <w:ind w:left="2268" w:hanging="1134"/>
        <w:jc w:val="left"/>
      </w:pPr>
      <w:r w:rsidRPr="002C5876">
        <w:t>2.4</w:t>
      </w:r>
      <w:r w:rsidRPr="002C5876">
        <w:tab/>
        <w:t xml:space="preserve">Étalonnage du banc à rouleaux </w:t>
      </w:r>
    </w:p>
    <w:p w:rsidR="00E24DB7" w:rsidRPr="002C5876" w:rsidRDefault="00E24DB7" w:rsidP="00E24DB7">
      <w:pPr>
        <w:pStyle w:val="SingleTxtG"/>
        <w:keepNext/>
        <w:ind w:left="2268" w:hanging="1134"/>
        <w:jc w:val="left"/>
      </w:pPr>
      <w:r w:rsidRPr="002C5876">
        <w:t>2.4.1</w:t>
      </w:r>
      <w:r w:rsidRPr="002C5876">
        <w:tab/>
        <w:t xml:space="preserve">Système de mesure de la force </w:t>
      </w:r>
    </w:p>
    <w:p w:rsidR="00E24DB7" w:rsidRPr="002C5876" w:rsidRDefault="00E24DB7" w:rsidP="00E24DB7">
      <w:pPr>
        <w:pStyle w:val="SingleTxtG"/>
        <w:ind w:left="2268"/>
        <w:rPr>
          <w:strike/>
        </w:rPr>
      </w:pPr>
      <w:r w:rsidRPr="002C5876">
        <w:tab/>
        <w:t xml:space="preserve">Les erreurs de mesure du capteur de force doivent être de </w:t>
      </w:r>
      <w:r w:rsidRPr="002C5876">
        <w:sym w:font="Symbol" w:char="F0B1"/>
      </w:r>
      <w:r w:rsidRPr="002C5876">
        <w:t xml:space="preserve">10 N au maximum pour tout incrément mesuré. Cela doit être vérifié lors de l’installation initiale, </w:t>
      </w:r>
      <w:r w:rsidRPr="002C5876">
        <w:lastRenderedPageBreak/>
        <w:t xml:space="preserve">après toute opération d’entretien importante et dans les 370 jours précédant les essais. </w:t>
      </w:r>
    </w:p>
    <w:p w:rsidR="00E24DB7" w:rsidRPr="002C5876" w:rsidRDefault="00E24DB7" w:rsidP="00E24DB7">
      <w:pPr>
        <w:pStyle w:val="SingleTxtG"/>
        <w:keepNext/>
        <w:ind w:left="2268" w:hanging="1134"/>
        <w:jc w:val="left"/>
      </w:pPr>
      <w:r w:rsidRPr="002C5876">
        <w:t>2.4.2</w:t>
      </w:r>
      <w:r w:rsidRPr="002C5876">
        <w:tab/>
        <w:t xml:space="preserve">Étalonnage des pertes parasites du banc à rouleaux </w:t>
      </w:r>
    </w:p>
    <w:p w:rsidR="00E24DB7" w:rsidRPr="002C5876" w:rsidRDefault="00E24DB7" w:rsidP="00E24DB7">
      <w:pPr>
        <w:pStyle w:val="SingleTxtG"/>
        <w:ind w:left="2268"/>
      </w:pPr>
      <w:r w:rsidRPr="002C5876">
        <w:tab/>
        <w:t xml:space="preserve">Les pertes parasites du banc à rouleaux doivent être mesurées et actualisées si une valeur mesurée s’écarte de plus de 9,0 N de la courbe de perte appliquée jusque-là. Cela doit être vérifié lors de l’installation initiale, après toute opération d’entretien importante et dans les 35 jours précédant les essais. </w:t>
      </w:r>
    </w:p>
    <w:p w:rsidR="00E24DB7" w:rsidRPr="002C5876" w:rsidRDefault="00E24DB7" w:rsidP="00E24DB7">
      <w:pPr>
        <w:pStyle w:val="SingleTxtG"/>
        <w:keepNext/>
        <w:ind w:left="2268" w:hanging="1134"/>
        <w:jc w:val="left"/>
      </w:pPr>
      <w:r w:rsidRPr="002C5876">
        <w:t>2.4.3</w:t>
      </w:r>
      <w:r w:rsidRPr="002C5876">
        <w:tab/>
        <w:t xml:space="preserve">Vérification de la simulation de la résistance à l’avancement sur route sans véhicule </w:t>
      </w:r>
    </w:p>
    <w:p w:rsidR="00E24DB7" w:rsidRPr="002C5876" w:rsidRDefault="00E24DB7" w:rsidP="00E24DB7">
      <w:pPr>
        <w:pStyle w:val="SingleTxtG"/>
        <w:ind w:left="2268"/>
      </w:pPr>
      <w:r w:rsidRPr="002C5876">
        <w:tab/>
        <w:t xml:space="preserve">L’efficacité du banc doit être vérifiée en effectuant un essai de décélération en roue libre à vide lors de l’installation initiale, après toute opération d’entretien importante et dans les sept jours précédant les essais. L’erreur sur la force de décélération en valeur moyenne arithmétique doit être inférieure à 10 N ou 2 % à chaque point mesuré, la plus grande des deux valeurs étant retenue. </w:t>
      </w:r>
    </w:p>
    <w:p w:rsidR="00E24DB7" w:rsidRPr="002C5876" w:rsidRDefault="00E24DB7" w:rsidP="00E24DB7">
      <w:pPr>
        <w:pStyle w:val="SingleTxtG"/>
        <w:keepNext/>
        <w:ind w:left="2268" w:hanging="1134"/>
        <w:jc w:val="left"/>
      </w:pPr>
      <w:r w:rsidRPr="002C5876">
        <w:t>3.</w:t>
      </w:r>
      <w:r w:rsidRPr="002C5876">
        <w:tab/>
        <w:t>Système de dilution des gaz d’échappement</w:t>
      </w:r>
    </w:p>
    <w:p w:rsidR="00E24DB7" w:rsidRPr="002C5876" w:rsidRDefault="00E24DB7" w:rsidP="00E24DB7">
      <w:pPr>
        <w:pStyle w:val="SingleTxtG"/>
        <w:keepNext/>
        <w:ind w:left="2268" w:hanging="1134"/>
        <w:jc w:val="left"/>
      </w:pPr>
      <w:r w:rsidRPr="002C5876">
        <w:t>3.1</w:t>
      </w:r>
      <w:r w:rsidRPr="002C5876">
        <w:tab/>
        <w:t>Description du système</w:t>
      </w:r>
    </w:p>
    <w:p w:rsidR="00E24DB7" w:rsidRPr="002C5876" w:rsidRDefault="00E24DB7" w:rsidP="00E24DB7">
      <w:pPr>
        <w:pStyle w:val="SingleTxtG"/>
        <w:keepNext/>
        <w:ind w:left="2268" w:hanging="1134"/>
        <w:jc w:val="left"/>
      </w:pPr>
      <w:r w:rsidRPr="002C5876">
        <w:t>3.1.1</w:t>
      </w:r>
      <w:r w:rsidRPr="002C5876">
        <w:tab/>
        <w:t>Description générale</w:t>
      </w:r>
    </w:p>
    <w:p w:rsidR="00E24DB7" w:rsidRPr="002C5876" w:rsidRDefault="00E24DB7" w:rsidP="00E24DB7">
      <w:pPr>
        <w:pStyle w:val="SingleTxtG"/>
        <w:ind w:left="2268" w:hanging="1134"/>
      </w:pPr>
      <w:r w:rsidRPr="002C5876">
        <w:t>3.1.1.1</w:t>
      </w:r>
      <w:r w:rsidRPr="002C5876">
        <w:tab/>
      </w:r>
      <w:r w:rsidRPr="002C5876">
        <w:rPr>
          <w:spacing w:val="-2"/>
        </w:rPr>
        <w:t>Une méthode de dilution du flux total doit être utilisée. La totalité des gaz d’échappement du véhicule doit être diluée de manière continue avec de l’air ambiant, dans des conditions contrôlées au moyen d’un système de prélèvement à volume constant. Un venturi</w:t>
      </w:r>
      <w:r w:rsidRPr="002C5876">
        <w:rPr>
          <w:spacing w:val="-2"/>
        </w:rPr>
        <w:noBreakHyphen/>
        <w:t>tuyère en régime critique (CFV), plusieurs venturis</w:t>
      </w:r>
      <w:r w:rsidRPr="002C5876">
        <w:rPr>
          <w:spacing w:val="-2"/>
        </w:rPr>
        <w:noBreakHyphen/>
        <w:t>tuyères à régime critique disposés en parallèle, une pompe volumétrique (PDP), un venturi</w:t>
      </w:r>
      <w:r w:rsidRPr="002C5876">
        <w:rPr>
          <w:spacing w:val="-2"/>
        </w:rPr>
        <w:noBreakHyphen/>
        <w:t>tuyère subsonique (SSV) ou un débitmètre ultrasonique (UFM) peuvent être utilisés. Le volume total du mélange de gaz d’échappement et d’air de dilution doit être mesuré et un échantillon proportionnel de ce volume doit être collecté de façon continue pour analyse. Les émissions massiques par constituant des gaz d’échappement sont déterminées d’après les concentrations dans l’échantillon, compte tenu de la concentration de ces gaz dans l’air de dilution et d’après le débit totalisé sur la durée de l’essai.</w:t>
      </w:r>
      <w:r w:rsidRPr="002C5876">
        <w:t xml:space="preserve"> </w:t>
      </w:r>
    </w:p>
    <w:p w:rsidR="00E24DB7" w:rsidRPr="002C5876" w:rsidRDefault="00E24DB7" w:rsidP="00E24DB7">
      <w:pPr>
        <w:pStyle w:val="SingleTxtG"/>
        <w:ind w:left="2268" w:hanging="1134"/>
      </w:pPr>
      <w:r w:rsidRPr="002C5876">
        <w:t>3.1.1.2</w:t>
      </w:r>
      <w:r w:rsidRPr="002C5876">
        <w:tab/>
        <w:t xml:space="preserve">Le système de dilution des gaz d’échappement se compose d’un tuyau de raccordement, d’un dispositif de mélange, d’un tunnel de dilution, d’un dispositif de conditionnement de l’air de dilution, d’un dispositif d’aspiration et d’un dispositif de mesure du débit. Les sondes de prélèvement doivent être installées dans le tunnel de dilution comme indiqué aux paragraphes 4.1, 4.2 et 4.3 de la présente annexe. </w:t>
      </w:r>
    </w:p>
    <w:p w:rsidR="00E24DB7" w:rsidRPr="002C5876" w:rsidRDefault="00E24DB7" w:rsidP="00E24DB7">
      <w:pPr>
        <w:pStyle w:val="SingleTxtG"/>
        <w:ind w:left="2268" w:hanging="1134"/>
      </w:pPr>
      <w:r w:rsidRPr="002C5876">
        <w:t>3.1.1.3</w:t>
      </w:r>
      <w:r w:rsidRPr="002C5876">
        <w:tab/>
        <w:t xml:space="preserve">Le dispositif de mélange mentionné au paragraphe 3.1.1.2 de la présente annexe est un réceptacle, tel que représenté sur la figure A5/3, dans lequel les gaz d’échappement du véhicule et l’air de dilution sont mélangés de façon à produire un mélange homogène au point de prélèvement. </w:t>
      </w:r>
    </w:p>
    <w:p w:rsidR="00E24DB7" w:rsidRPr="002C5876" w:rsidRDefault="00E24DB7" w:rsidP="00E24DB7">
      <w:pPr>
        <w:pStyle w:val="SingleTxtG"/>
        <w:keepNext/>
        <w:ind w:left="2268" w:hanging="1134"/>
        <w:jc w:val="left"/>
      </w:pPr>
      <w:r w:rsidRPr="002C5876">
        <w:t>3.2</w:t>
      </w:r>
      <w:r w:rsidRPr="002C5876">
        <w:tab/>
        <w:t xml:space="preserve">Prescriptions générales </w:t>
      </w:r>
    </w:p>
    <w:p w:rsidR="00E24DB7" w:rsidRPr="002C5876" w:rsidRDefault="00E24DB7" w:rsidP="00E24DB7">
      <w:pPr>
        <w:pStyle w:val="SingleTxtG"/>
        <w:ind w:left="2268" w:hanging="1134"/>
      </w:pPr>
      <w:r w:rsidRPr="002C5876">
        <w:t>3.2.1</w:t>
      </w:r>
      <w:r w:rsidRPr="002C5876">
        <w:tab/>
        <w:t xml:space="preserve">Les gaz d’échappement du véhicule doivent être dilués avec une quantité suffisante d’air ambiant pour empêcher une condensation d’eau dans le système de prélèvement et de mesure quelles que soient les conditions rencontrées lors des essais. </w:t>
      </w:r>
    </w:p>
    <w:p w:rsidR="00E24DB7" w:rsidRPr="002C5876" w:rsidRDefault="00E24DB7" w:rsidP="00E24DB7">
      <w:pPr>
        <w:pStyle w:val="SingleTxtG"/>
        <w:keepNext/>
        <w:keepLines/>
        <w:ind w:left="2268" w:hanging="1134"/>
      </w:pPr>
      <w:r w:rsidRPr="002C5876">
        <w:t>3.2.2</w:t>
      </w:r>
      <w:r w:rsidRPr="002C5876">
        <w:tab/>
        <w:t xml:space="preserve">Le mélange d’air et de gaz d’échappement doit être homogène à la position des sondes de prélèvement (voir par. 3.3.3 de la présente annexe). Les sondes doivent prélever des échantillons représentatifs des gaz d’échappement dilués. </w:t>
      </w:r>
    </w:p>
    <w:p w:rsidR="00E24DB7" w:rsidRPr="002C5876" w:rsidRDefault="00E24DB7" w:rsidP="00E24DB7">
      <w:pPr>
        <w:pStyle w:val="SingleTxtG"/>
        <w:ind w:left="2268" w:hanging="1134"/>
      </w:pPr>
      <w:r w:rsidRPr="002C5876">
        <w:t>3.2.3</w:t>
      </w:r>
      <w:r w:rsidRPr="002C5876">
        <w:tab/>
        <w:t xml:space="preserve">Le système doit permettre de mesurer le volume total de gaz d’échappement dilués. </w:t>
      </w:r>
    </w:p>
    <w:p w:rsidR="00E24DB7" w:rsidRPr="002C5876" w:rsidRDefault="00E24DB7" w:rsidP="00E24DB7">
      <w:pPr>
        <w:pStyle w:val="SingleTxtG"/>
        <w:ind w:left="2268" w:hanging="1134"/>
      </w:pPr>
      <w:r w:rsidRPr="002C5876">
        <w:t>3.2.4</w:t>
      </w:r>
      <w:r w:rsidRPr="002C5876">
        <w:tab/>
        <w:t xml:space="preserve">L’appareillage de prélèvement doit être étanche aux gaz. La conception du système de prélèvement à dilution variable et les matériaux dont il est constitué doivent être tels qu’ils n’affectent la concentration d’aucun constituant dans </w:t>
      </w:r>
      <w:r w:rsidRPr="002C5876">
        <w:lastRenderedPageBreak/>
        <w:t>les gaz d’échappement dilués. Si l’un des éléments de l’appareillage (échangeur de chaleur, séparateur à cyclone, dispositif d’aspiration, etc.) modifie la concentration de l’un quelconque des constituants des gaz d’échappement et que l’erreur systématique ne peut pas être corrigée, l’échantillon de ce constituant doit être prélevé en amont de cet élément.</w:t>
      </w:r>
    </w:p>
    <w:p w:rsidR="00E24DB7" w:rsidRPr="002C5876" w:rsidRDefault="00E24DB7" w:rsidP="00E24DB7">
      <w:pPr>
        <w:pStyle w:val="SingleTxtG"/>
        <w:keepLines/>
        <w:ind w:left="2268" w:hanging="1134"/>
      </w:pPr>
      <w:r w:rsidRPr="002C5876">
        <w:t>3.2.5</w:t>
      </w:r>
      <w:r w:rsidRPr="002C5876">
        <w:tab/>
        <w:t>Tous les éléments du système de dilution qui entrent en contact avec les gaz d’échappement bruts ou dilués doivent être conçus de manière à réduire le plus possible le dépôt ou l’altération des matières particulaires. Ils doivent être fabriqués en matériaux conducteurs de l’électricité qui ne réagissent pas avec les constituants des gaz d’échappement, et être mis à la masse afin de prévenir les effets électrostatiques.</w:t>
      </w:r>
    </w:p>
    <w:p w:rsidR="00E24DB7" w:rsidRPr="002C5876" w:rsidRDefault="00E24DB7" w:rsidP="00E24DB7">
      <w:pPr>
        <w:pStyle w:val="SingleTxtG"/>
        <w:ind w:left="2268" w:hanging="1134"/>
      </w:pPr>
      <w:r w:rsidRPr="002C5876">
        <w:t>3.2.6</w:t>
      </w:r>
      <w:r w:rsidRPr="002C5876">
        <w:tab/>
        <w:t xml:space="preserve">Si le système d’échappement du véhicule d’essai est doté de plusieurs sorties, les tuyaux de raccordement doivent être reliés entre eux aussi près que possible du véhicule sans pour autant affecter négativement leur fonctionnement. </w:t>
      </w:r>
    </w:p>
    <w:p w:rsidR="00E24DB7" w:rsidRPr="002C5876" w:rsidRDefault="00E24DB7" w:rsidP="00E24DB7">
      <w:pPr>
        <w:pStyle w:val="SingleTxtG"/>
        <w:keepNext/>
        <w:ind w:left="2268" w:hanging="1134"/>
        <w:jc w:val="left"/>
      </w:pPr>
      <w:r w:rsidRPr="002C5876">
        <w:t>3.3</w:t>
      </w:r>
      <w:r w:rsidRPr="002C5876">
        <w:tab/>
        <w:t>Prescriptions particulières</w:t>
      </w:r>
    </w:p>
    <w:p w:rsidR="00E24DB7" w:rsidRPr="002C5876" w:rsidRDefault="00E24DB7" w:rsidP="00E24DB7">
      <w:pPr>
        <w:pStyle w:val="SingleTxtG"/>
        <w:keepNext/>
        <w:ind w:left="2268" w:hanging="1134"/>
        <w:jc w:val="left"/>
      </w:pPr>
      <w:r w:rsidRPr="002C5876">
        <w:t>3.3.1</w:t>
      </w:r>
      <w:r w:rsidRPr="002C5876">
        <w:tab/>
        <w:t>Raccordement au(x) tuyau(x) d’échappement</w:t>
      </w:r>
    </w:p>
    <w:p w:rsidR="00E24DB7" w:rsidRPr="002C5876" w:rsidRDefault="00E24DB7" w:rsidP="00E24DB7">
      <w:pPr>
        <w:pStyle w:val="SingleTxtG"/>
        <w:ind w:left="2268" w:hanging="1134"/>
      </w:pPr>
      <w:r w:rsidRPr="002C5876">
        <w:t>3.3.1.1</w:t>
      </w:r>
      <w:r w:rsidRPr="002C5876">
        <w:tab/>
        <w:t xml:space="preserve">L’extrémité amont du tuyau de raccordement est la sortie du tuyau d’échappement. L’extrémité aval du tuyau est le point de prélèvement, ou premier point de dilution. </w:t>
      </w:r>
    </w:p>
    <w:p w:rsidR="00E24DB7" w:rsidRPr="002C5876" w:rsidRDefault="00E24DB7" w:rsidP="00E24DB7">
      <w:pPr>
        <w:pStyle w:val="SingleTxtG"/>
        <w:ind w:left="2268"/>
      </w:pPr>
      <w:r w:rsidRPr="002C5876">
        <w:t>Dans les configurations à sorties d’échappement multiples dans lesquelles toutes les sorties sont réunies, l’extrémité amont du tuyau de raccordement peut être située au point le plus aval où toutes les sorties d’échappement sont réunies. En pareil cas, la partie du tuyau située entre la sortie d’échappement et l’extrémité la plus amont du tuyau de raccordement peut être ou ne pas être isolée ou chauffée.</w:t>
      </w:r>
    </w:p>
    <w:p w:rsidR="00E24DB7" w:rsidRPr="002C5876" w:rsidRDefault="00E24DB7" w:rsidP="00E24DB7">
      <w:pPr>
        <w:pStyle w:val="SingleTxtG"/>
        <w:ind w:left="2268" w:hanging="1134"/>
      </w:pPr>
      <w:r w:rsidRPr="002C5876">
        <w:t>3.3.1.2</w:t>
      </w:r>
      <w:r w:rsidRPr="002C5876">
        <w:tab/>
        <w:t>Le tuyau de raccordement reliant le véhicule au système de dilution doit être conçu de manière à réduire le plus possible les pertes thermiques.</w:t>
      </w:r>
    </w:p>
    <w:p w:rsidR="00E24DB7" w:rsidRPr="002C5876" w:rsidRDefault="00E24DB7" w:rsidP="00E24DB7">
      <w:pPr>
        <w:pStyle w:val="SingleTxtG"/>
        <w:keepNext/>
        <w:ind w:left="2268" w:hanging="1134"/>
      </w:pPr>
      <w:r w:rsidRPr="002C5876">
        <w:t>3.3.1.3</w:t>
      </w:r>
      <w:r w:rsidRPr="002C5876">
        <w:tab/>
        <w:t>Le tuyau de raccordement doit satisfaire aux prescriptions suivantes :</w:t>
      </w:r>
    </w:p>
    <w:p w:rsidR="00E24DB7" w:rsidRPr="002C5876" w:rsidRDefault="00E24DB7" w:rsidP="00E24DB7">
      <w:pPr>
        <w:pStyle w:val="SingleTxtG"/>
        <w:ind w:left="2835" w:hanging="567"/>
      </w:pPr>
      <w:r w:rsidRPr="002C5876">
        <w:t>a)</w:t>
      </w:r>
      <w:r w:rsidRPr="002C5876">
        <w:tab/>
        <w:t>Sa longueur doit être inférieure à 3,6 m, ou à 6,1 m s’il est isolé thermiquement. Son diamètre intérieur ne peut dépasser 105 mm ; l’épaisseur des matériaux isolants doit être d’au moins 25 mm et leur conductivité thermique doit être inférieure ou égale à 0,1 W/m</w:t>
      </w:r>
      <w:r w:rsidRPr="002C5876">
        <w:rPr>
          <w:vertAlign w:val="superscript"/>
        </w:rPr>
        <w:t>–1</w:t>
      </w:r>
      <w:r w:rsidRPr="002C5876">
        <w:t>K</w:t>
      </w:r>
      <w:r w:rsidRPr="002C5876">
        <w:rPr>
          <w:vertAlign w:val="superscript"/>
        </w:rPr>
        <w:t>–1</w:t>
      </w:r>
      <w:r w:rsidRPr="002C5876">
        <w:t xml:space="preserve"> à 400 °C. Il est facultatif de chauffer le tube à une température supérieure au point de rosée, ce qui est réputé être le cas si le tube est chauffé à 70 °C ;</w:t>
      </w:r>
    </w:p>
    <w:p w:rsidR="00E24DB7" w:rsidRPr="002C5876" w:rsidRDefault="00E24DB7" w:rsidP="00E24DB7">
      <w:pPr>
        <w:pStyle w:val="SingleTxtG"/>
        <w:ind w:left="2835" w:hanging="567"/>
      </w:pPr>
      <w:r w:rsidRPr="002C5876">
        <w:t>b)</w:t>
      </w:r>
      <w:r w:rsidRPr="002C5876">
        <w:tab/>
        <w:t xml:space="preserve">Il ne doit pas modifier la pression statique à la ou aux sorties d’échappement du véhicule d’essai de plus de </w:t>
      </w:r>
      <w:r w:rsidRPr="002C5876">
        <w:sym w:font="Symbol" w:char="F0B1"/>
      </w:r>
      <w:r w:rsidRPr="002C5876">
        <w:t xml:space="preserve">0,75 kPa à 50 km/h ou de plus de </w:t>
      </w:r>
      <w:r w:rsidRPr="002C5876">
        <w:sym w:font="Symbol" w:char="F0B1"/>
      </w:r>
      <w:r w:rsidRPr="002C5876">
        <w:t xml:space="preserve">1,25 kPa sur toute la durée de l’essai, par rapport aux pressions statiques enregistrées lorsque les sorties d’échappement du véhicule sont libres. La pression doit être mesurée dans le tuyau de sortie d’échappement ou dans une rallonge ayant le même diamètre et aussi près que possible de l’extrémité du tuyau de sortie. Un appareillage de prélèvement permettant d’abaisser ces tolérances à </w:t>
      </w:r>
      <w:r w:rsidRPr="002C5876">
        <w:sym w:font="Symbol" w:char="F0B1"/>
      </w:r>
      <w:r w:rsidRPr="002C5876">
        <w:t>0,25 kPa peut être utilisé si le constructeur le demande par écrit au service technique, en démontrant la nécessité de cet abaissement ;</w:t>
      </w:r>
    </w:p>
    <w:p w:rsidR="00E24DB7" w:rsidRPr="002C5876" w:rsidRDefault="00E24DB7" w:rsidP="00E24DB7">
      <w:pPr>
        <w:pStyle w:val="SingleTxtG"/>
        <w:ind w:left="2835" w:hanging="567"/>
      </w:pPr>
      <w:r w:rsidRPr="002C5876">
        <w:t>c)</w:t>
      </w:r>
      <w:r w:rsidRPr="002C5876">
        <w:tab/>
      </w:r>
      <w:r w:rsidRPr="002C5876">
        <w:rPr>
          <w:spacing w:val="-3"/>
        </w:rPr>
        <w:t>Aucun élément du tuyau de raccordement ne doit être fait d’un matériau susceptible de modifier la composition gazeuse ou solide des gaz d’échappement. Pour éviter la production de particules provenant de tuyaux de raccordement en élastomères, les élastomères utilisés doivent être aussi stables que possible thermiquement et leur contact avec les gaz d’échappement doit être aussi faible que possible. Il est recommandé de ne pas utiliser de tuyaux de raccordement en élastomères à la jonction entre l’échappement du véhicule et le tuyau de raccordement.</w:t>
      </w:r>
      <w:r w:rsidRPr="002C5876">
        <w:t xml:space="preserve"> </w:t>
      </w:r>
    </w:p>
    <w:p w:rsidR="00E24DB7" w:rsidRPr="002C5876" w:rsidRDefault="00E24DB7" w:rsidP="00E24DB7">
      <w:pPr>
        <w:pStyle w:val="SingleTxtG"/>
        <w:keepNext/>
        <w:ind w:left="2268" w:hanging="1134"/>
        <w:jc w:val="left"/>
      </w:pPr>
      <w:r w:rsidRPr="002C5876">
        <w:lastRenderedPageBreak/>
        <w:t>3.3.2</w:t>
      </w:r>
      <w:r w:rsidRPr="002C5876">
        <w:tab/>
        <w:t>Conditionnement de l’air de dilution</w:t>
      </w:r>
    </w:p>
    <w:p w:rsidR="00E24DB7" w:rsidRPr="002C5876" w:rsidRDefault="00E24DB7" w:rsidP="00E24DB7">
      <w:pPr>
        <w:pStyle w:val="SingleTxtG"/>
        <w:ind w:left="2268" w:hanging="1134"/>
      </w:pPr>
      <w:r w:rsidRPr="002C5876">
        <w:t>3.3.2.1</w:t>
      </w:r>
      <w:r w:rsidRPr="002C5876">
        <w:tab/>
      </w:r>
      <w:r w:rsidRPr="002C5876">
        <w:rPr>
          <w:spacing w:val="-3"/>
        </w:rPr>
        <w:t>On doit faire passer l’air de dilution utilisé pour la dilution primaire dans le tunnel du système de prélèvement à volume constant à travers un dispositif dont le matériau filtrant soit capable de capturer au moins 99,95 % des particules les plus pénétrantes ou à travers un filtre appartenant au minimum à la classe H13 telle qu’elle est définie par la norme européenne EN 1822:</w:t>
      </w:r>
      <w:r w:rsidRPr="002C5876">
        <w:rPr>
          <w:bCs/>
          <w:spacing w:val="-3"/>
        </w:rPr>
        <w:t>2009</w:t>
      </w:r>
      <w:r w:rsidRPr="002C5876">
        <w:rPr>
          <w:spacing w:val="-3"/>
        </w:rPr>
        <w:t>, c’est-à-dire à travers un dispositif qui satisfasse aux spécifications des filtres à très haute efficacité (filtres THE). Il est possible d’épurer l’air de dilution au charbon de bois avant de le faire passer dans le filtre THE, auquel cas il est recommandé de placer un filtre à particules grossières supplémentaire avant le filtre THE et après l’épurateur à charbon de bois.</w:t>
      </w:r>
      <w:r w:rsidRPr="002C5876">
        <w:t xml:space="preserve"> </w:t>
      </w:r>
    </w:p>
    <w:p w:rsidR="00E24DB7" w:rsidRPr="002C5876" w:rsidRDefault="00E24DB7" w:rsidP="00E24DB7">
      <w:pPr>
        <w:pStyle w:val="SingleTxtG"/>
        <w:ind w:left="2268" w:hanging="1134"/>
      </w:pPr>
      <w:r w:rsidRPr="002C5876">
        <w:t>3.3.2.2</w:t>
      </w:r>
      <w:r w:rsidRPr="002C5876">
        <w:tab/>
        <w:t xml:space="preserve">À la demande du constructeur du véhicule, l’air de dilution peut être prélevé et analysé conformément aux règles de l’art pour déterminer la concentration de matières particulaires ambiantes dans le tunnel et, le cas échéant, les niveaux de particules qui y sont présentes, ces valeurs pouvant ensuite être soustraites des valeurs mesurées dans les gaz d’échappement dilués. Voir le paragraphe 2.1.3 de l’annexe 6. </w:t>
      </w:r>
    </w:p>
    <w:p w:rsidR="00E24DB7" w:rsidRPr="002C5876" w:rsidRDefault="00E24DB7" w:rsidP="00E24DB7">
      <w:pPr>
        <w:pStyle w:val="SingleTxtG"/>
        <w:keepNext/>
        <w:ind w:left="2268" w:hanging="1134"/>
        <w:jc w:val="left"/>
      </w:pPr>
      <w:r w:rsidRPr="002C5876">
        <w:t>3.3.3</w:t>
      </w:r>
      <w:r w:rsidRPr="002C5876">
        <w:tab/>
        <w:t>Tunnel de dilution</w:t>
      </w:r>
    </w:p>
    <w:p w:rsidR="00E24DB7" w:rsidRPr="002C5876" w:rsidRDefault="00E24DB7" w:rsidP="00E24DB7">
      <w:pPr>
        <w:pStyle w:val="SingleTxtG"/>
        <w:ind w:left="2268" w:hanging="1134"/>
      </w:pPr>
      <w:r w:rsidRPr="002C5876">
        <w:t>3.3.3.1</w:t>
      </w:r>
      <w:r w:rsidRPr="002C5876">
        <w:tab/>
        <w:t>Des dispositions doivent être prises pour mélanger les gaz d’échappement du véhicule et l’air de dilution. On peut utiliser un dispositif de mélange.</w:t>
      </w:r>
    </w:p>
    <w:p w:rsidR="00E24DB7" w:rsidRPr="002C5876" w:rsidRDefault="00E24DB7" w:rsidP="00E24DB7">
      <w:pPr>
        <w:pStyle w:val="SingleTxtG"/>
        <w:ind w:left="2268" w:hanging="1134"/>
      </w:pPr>
      <w:r w:rsidRPr="002C5876">
        <w:t>3.3.3.2</w:t>
      </w:r>
      <w:r w:rsidRPr="002C5876">
        <w:tab/>
        <w:t xml:space="preserve">L’homogénéité du mélange dans une coupe transversale quelconque au niveau de la sonde de prélèvement ne doit pas s’écarter de plus de </w:t>
      </w:r>
      <w:r w:rsidRPr="002C5876">
        <w:sym w:font="Symbol" w:char="F0B1"/>
      </w:r>
      <w:r w:rsidRPr="002C5876">
        <w:t xml:space="preserve">2 % de la valeur moyenne arithmétique obtenue en au moins cinq points situés à des intervalles égaux sur le diamètre de la veine de gaz. </w:t>
      </w:r>
    </w:p>
    <w:p w:rsidR="00E24DB7" w:rsidRPr="002C5876" w:rsidRDefault="00E24DB7" w:rsidP="00E24DB7">
      <w:pPr>
        <w:pStyle w:val="SingleTxtG"/>
        <w:keepNext/>
        <w:ind w:left="2268" w:hanging="1134"/>
      </w:pPr>
      <w:r w:rsidRPr="002C5876">
        <w:t>3.3.3.3</w:t>
      </w:r>
      <w:r w:rsidRPr="002C5876">
        <w:tab/>
        <w:t>Pour la mesure de la masse et du nombre des particules des particules, on utilise un tunnel de dilution. Ce tunnel doit :</w:t>
      </w:r>
    </w:p>
    <w:p w:rsidR="00E24DB7" w:rsidRPr="002C5876" w:rsidRDefault="00E24DB7" w:rsidP="00E24DB7">
      <w:pPr>
        <w:pStyle w:val="SingleTxtG"/>
        <w:ind w:left="2835" w:hanging="567"/>
      </w:pPr>
      <w:r w:rsidRPr="002C5876">
        <w:t>a)</w:t>
      </w:r>
      <w:r w:rsidRPr="002C5876">
        <w:tab/>
        <w:t xml:space="preserve">Consister en un tube droit réalisé en un matériau conducteur de l’électricité, qui doit être raccordé à la terre ; </w:t>
      </w:r>
    </w:p>
    <w:p w:rsidR="00E24DB7" w:rsidRPr="002C5876" w:rsidRDefault="00E24DB7" w:rsidP="00E24DB7">
      <w:pPr>
        <w:pStyle w:val="SingleTxtG"/>
        <w:ind w:left="2835" w:hanging="567"/>
      </w:pPr>
      <w:r w:rsidRPr="002C5876">
        <w:t>b)</w:t>
      </w:r>
      <w:r w:rsidRPr="002C5876">
        <w:tab/>
        <w:t>Engendrer des turbulences (nombre de Reynolds ≥ 4 000) et être d’une longueur suffisante pour assurer le mélange complet des gaz d’échappement et de l’air de dilution ;</w:t>
      </w:r>
    </w:p>
    <w:p w:rsidR="00E24DB7" w:rsidRPr="002C5876" w:rsidRDefault="00E24DB7" w:rsidP="00E24DB7">
      <w:pPr>
        <w:pStyle w:val="SingleTxtG"/>
        <w:ind w:left="2835" w:hanging="567"/>
      </w:pPr>
      <w:r w:rsidRPr="002C5876">
        <w:t>c)</w:t>
      </w:r>
      <w:r w:rsidRPr="002C5876">
        <w:tab/>
        <w:t>Être d’un diamètre d’au moins 200 mm ;</w:t>
      </w:r>
    </w:p>
    <w:p w:rsidR="00E24DB7" w:rsidRPr="002C5876" w:rsidRDefault="00E24DB7" w:rsidP="00E24DB7">
      <w:pPr>
        <w:pStyle w:val="SingleTxtG"/>
        <w:ind w:left="2835" w:hanging="567"/>
      </w:pPr>
      <w:r w:rsidRPr="002C5876">
        <w:t>d)</w:t>
      </w:r>
      <w:r w:rsidRPr="002C5876">
        <w:tab/>
        <w:t>Pouvoir être isolé et/ou chauffé.</w:t>
      </w:r>
    </w:p>
    <w:p w:rsidR="00E24DB7" w:rsidRPr="002C5876" w:rsidRDefault="00E24DB7" w:rsidP="00E24DB7">
      <w:pPr>
        <w:pStyle w:val="SingleTxtG"/>
        <w:keepNext/>
        <w:ind w:left="2268" w:hanging="1134"/>
        <w:jc w:val="left"/>
      </w:pPr>
      <w:r w:rsidRPr="002C5876">
        <w:t>3.3.4</w:t>
      </w:r>
      <w:r w:rsidRPr="002C5876">
        <w:tab/>
        <w:t>Dispositif d’aspiration</w:t>
      </w:r>
    </w:p>
    <w:p w:rsidR="00E24DB7" w:rsidRPr="002C5876" w:rsidRDefault="00E24DB7" w:rsidP="00E24DB7">
      <w:pPr>
        <w:pStyle w:val="SingleTxtG"/>
        <w:keepNext/>
        <w:ind w:left="2268" w:hanging="1134"/>
      </w:pPr>
      <w:r w:rsidRPr="002C5876">
        <w:t>3.3.4.1</w:t>
      </w:r>
      <w:r w:rsidRPr="002C5876">
        <w:tab/>
        <w:t>Ce dispositif peut avoir une gamme de vitesses fixes, de manière à maintenir un débit suffisant pour empêcher la condensation de l’eau. Ce résultat est réputé atteint si le débit est :</w:t>
      </w:r>
    </w:p>
    <w:p w:rsidR="00E24DB7" w:rsidRPr="002C5876" w:rsidRDefault="00E24DB7" w:rsidP="00E24DB7">
      <w:pPr>
        <w:pStyle w:val="SingleTxtG"/>
        <w:ind w:left="2835" w:hanging="567"/>
      </w:pPr>
      <w:r w:rsidRPr="002C5876">
        <w:t>a)</w:t>
      </w:r>
      <w:r w:rsidRPr="002C5876">
        <w:tab/>
        <w:t>Double du débit maximal de gaz d’échappement produits par les phases d’accélération du cycle d’essai ; ou</w:t>
      </w:r>
    </w:p>
    <w:p w:rsidR="00E24DB7" w:rsidRPr="002C5876" w:rsidRDefault="00E24DB7" w:rsidP="00E24DB7">
      <w:pPr>
        <w:pStyle w:val="SingleTxtG"/>
        <w:ind w:left="2835" w:hanging="567"/>
      </w:pPr>
      <w:r w:rsidRPr="002C5876">
        <w:t>b)</w:t>
      </w:r>
      <w:r w:rsidRPr="002C5876">
        <w:tab/>
        <w:t>Suffisant pour que la concentration de CO</w:t>
      </w:r>
      <w:r w:rsidRPr="002C5876">
        <w:rPr>
          <w:vertAlign w:val="subscript"/>
        </w:rPr>
        <w:t>2</w:t>
      </w:r>
      <w:r w:rsidRPr="002C5876">
        <w:t xml:space="preserve"> dans le sac de prélèvement des gaz d’échappement dilués soit maintenue en dessous de 3 % en volume pour l’essence et le gazole, en dessous de 2,2 % en volume pour le GPL et en dessous de 1,5 % en volume pour le GN/biométhane. </w:t>
      </w:r>
    </w:p>
    <w:p w:rsidR="00E24DB7" w:rsidRPr="002C5876" w:rsidRDefault="00E24DB7" w:rsidP="00E24DB7">
      <w:pPr>
        <w:pStyle w:val="SingleTxtG"/>
        <w:keepNext/>
        <w:keepLines/>
        <w:ind w:left="2268" w:hanging="1134"/>
      </w:pPr>
      <w:r w:rsidRPr="002C5876">
        <w:t>3.3.4.2</w:t>
      </w:r>
      <w:r w:rsidRPr="002C5876">
        <w:tab/>
        <w:t xml:space="preserve">Le respect des prescriptions énoncées au paragraphe 3.3.4.1 de la présente annexe peut ne pas être nécessaire si le système de prélèvement à volume constant est conçu de manière à empêcher la condensation grâce à une technique ou combinaison de techniques telles que : </w:t>
      </w:r>
    </w:p>
    <w:p w:rsidR="00E24DB7" w:rsidRPr="002C5876" w:rsidRDefault="00E24DB7" w:rsidP="00E24DB7">
      <w:pPr>
        <w:pStyle w:val="SingleTxtG"/>
        <w:ind w:left="2835" w:hanging="567"/>
      </w:pPr>
      <w:r w:rsidRPr="002C5876">
        <w:t>a)</w:t>
      </w:r>
      <w:r w:rsidRPr="002C5876">
        <w:tab/>
        <w:t xml:space="preserve">Réduction de la teneur en eau (déshumidification) de l’air de dilution ; </w:t>
      </w:r>
    </w:p>
    <w:p w:rsidR="00E24DB7" w:rsidRPr="002C5876" w:rsidRDefault="00E24DB7" w:rsidP="00E24DB7">
      <w:pPr>
        <w:pStyle w:val="SingleTxtG"/>
        <w:ind w:left="2835" w:hanging="567"/>
      </w:pPr>
      <w:r w:rsidRPr="002C5876">
        <w:t>b)</w:t>
      </w:r>
      <w:r w:rsidRPr="002C5876">
        <w:tab/>
      </w:r>
      <w:r w:rsidRPr="002C5876">
        <w:rPr>
          <w:spacing w:val="-2"/>
        </w:rPr>
        <w:t xml:space="preserve">Chauffage de l’air de dilution et de tous les composants jusqu’à l’appareil de mesure du débit de gaz d’échappement dilués, ainsi que, </w:t>
      </w:r>
      <w:r w:rsidRPr="002C5876">
        <w:rPr>
          <w:spacing w:val="-2"/>
        </w:rPr>
        <w:lastRenderedPageBreak/>
        <w:t>facultativement, du système de prélèvement par sacs, y compris les sacs de collecte et le système de mesure des concentrations dans les sacs.</w:t>
      </w:r>
      <w:r w:rsidRPr="002C5876">
        <w:t xml:space="preserve"> </w:t>
      </w:r>
    </w:p>
    <w:p w:rsidR="00E24DB7" w:rsidRPr="002C5876" w:rsidRDefault="00E24DB7" w:rsidP="00E24DB7">
      <w:pPr>
        <w:pStyle w:val="SingleTxtG"/>
        <w:ind w:left="2268"/>
      </w:pPr>
      <w:r w:rsidRPr="002C5876">
        <w:t xml:space="preserve">En pareil cas, il convient de justifier la vitesse d’écoulement dans le système de prélèvement retenue pour l’essai en démontrant qu’aucune condensation d’eau ne peut se produire en un point quelconque du système de prélèvement, du dispositif de collecte par sacs ou du système d’analyse. </w:t>
      </w:r>
    </w:p>
    <w:p w:rsidR="00E24DB7" w:rsidRPr="002C5876" w:rsidRDefault="00E24DB7" w:rsidP="00E24DB7">
      <w:pPr>
        <w:pStyle w:val="SingleTxtG"/>
        <w:keepNext/>
        <w:ind w:left="2268" w:hanging="1134"/>
        <w:jc w:val="left"/>
      </w:pPr>
      <w:r w:rsidRPr="002C5876">
        <w:t>3.3.5</w:t>
      </w:r>
      <w:r w:rsidRPr="002C5876">
        <w:tab/>
        <w:t xml:space="preserve">Mesure du volume dans le système de dilution primaire </w:t>
      </w:r>
    </w:p>
    <w:p w:rsidR="00E24DB7" w:rsidRPr="002C5876" w:rsidRDefault="00E24DB7" w:rsidP="00E24DB7">
      <w:pPr>
        <w:pStyle w:val="SingleTxtG"/>
        <w:ind w:left="2268" w:hanging="1134"/>
      </w:pPr>
      <w:r w:rsidRPr="002C5876">
        <w:t>3.3.5.1</w:t>
      </w:r>
      <w:r w:rsidRPr="002C5876">
        <w:tab/>
      </w:r>
      <w:r w:rsidRPr="002C5876">
        <w:rPr>
          <w:spacing w:val="-2"/>
        </w:rPr>
        <w:t xml:space="preserve">La méthode de mesure du volume total de gaz d’échappement dilués appliquée dans le système de prélèvement à volume constant doit être telle que l’exactitude soit de </w:t>
      </w:r>
      <w:r w:rsidRPr="002C5876">
        <w:rPr>
          <w:spacing w:val="-2"/>
        </w:rPr>
        <w:sym w:font="Symbol" w:char="F0B1"/>
      </w:r>
      <w:r w:rsidRPr="002C5876">
        <w:rPr>
          <w:spacing w:val="-2"/>
        </w:rPr>
        <w:t xml:space="preserve">2 % dans toutes les conditions de fonctionnement. Si le dispositif employé ne peut pas compenser les variations de température du mélange de gaz d’échappement et d’air de dilution au point de mesure, on doit utiliser un échangeur de chaleur pour maintenir la température dans une plage ne s’écartant pas de plus de </w:t>
      </w:r>
      <w:r w:rsidRPr="002C5876">
        <w:rPr>
          <w:spacing w:val="-2"/>
        </w:rPr>
        <w:sym w:font="Symbol" w:char="F0B1"/>
      </w:r>
      <w:r w:rsidRPr="002C5876">
        <w:rPr>
          <w:spacing w:val="-2"/>
        </w:rPr>
        <w:t xml:space="preserve">6 °C de la température de fonctionnement prescrite dans le cas des systèmes de prélèvement par pompe volumétrique, de plus de </w:t>
      </w:r>
      <w:r w:rsidRPr="002C5876">
        <w:rPr>
          <w:spacing w:val="-2"/>
        </w:rPr>
        <w:sym w:font="Symbol" w:char="F0B1"/>
      </w:r>
      <w:r w:rsidRPr="002C5876">
        <w:rPr>
          <w:spacing w:val="-2"/>
        </w:rPr>
        <w:t>11 °C dans le cas des systèmes de prélèvement par venturi</w:t>
      </w:r>
      <w:r w:rsidRPr="002C5876">
        <w:rPr>
          <w:spacing w:val="-2"/>
        </w:rPr>
        <w:noBreakHyphen/>
        <w:t xml:space="preserve">tuyère en régime critique, de plus de </w:t>
      </w:r>
      <w:r w:rsidRPr="002C5876">
        <w:rPr>
          <w:spacing w:val="-2"/>
        </w:rPr>
        <w:sym w:font="Symbol" w:char="F0B1"/>
      </w:r>
      <w:r w:rsidRPr="002C5876">
        <w:rPr>
          <w:spacing w:val="-2"/>
        </w:rPr>
        <w:t xml:space="preserve">6 °C de la température de fonctionnement prescrite dans le cas des systèmes de prélèvement par débitmètre ultrasonique, et de plus de </w:t>
      </w:r>
      <w:r w:rsidRPr="002C5876">
        <w:rPr>
          <w:spacing w:val="-2"/>
        </w:rPr>
        <w:sym w:font="Symbol" w:char="F0B1"/>
      </w:r>
      <w:r w:rsidRPr="002C5876">
        <w:rPr>
          <w:spacing w:val="-2"/>
        </w:rPr>
        <w:t>11 °C de la température de fonctionnement prescrite dans le cas des systèmes de prélèvement par venturi subsonique.</w:t>
      </w:r>
      <w:r w:rsidRPr="002C5876">
        <w:t xml:space="preserve"> </w:t>
      </w:r>
    </w:p>
    <w:p w:rsidR="00E24DB7" w:rsidRPr="002C5876" w:rsidRDefault="00E24DB7" w:rsidP="00E24DB7">
      <w:pPr>
        <w:pStyle w:val="SingleTxtG"/>
        <w:ind w:left="2268" w:hanging="1134"/>
      </w:pPr>
      <w:r w:rsidRPr="002C5876">
        <w:t>3.3.5.2</w:t>
      </w:r>
      <w:r w:rsidRPr="002C5876">
        <w:tab/>
        <w:t xml:space="preserve">Si nécessaire, on peut protéger le dispositif de mesure du volume avec des dispositifs tels que séparateur à cyclone ou filtre à particules grossières, etc. </w:t>
      </w:r>
    </w:p>
    <w:p w:rsidR="00E24DB7" w:rsidRPr="002C5876" w:rsidRDefault="00E24DB7" w:rsidP="00E24DB7">
      <w:pPr>
        <w:pStyle w:val="SingleTxtG"/>
        <w:ind w:left="2268" w:hanging="1134"/>
      </w:pPr>
      <w:r w:rsidRPr="002C5876">
        <w:t>3.3.5.3</w:t>
      </w:r>
      <w:r w:rsidRPr="002C5876">
        <w:tab/>
        <w:t xml:space="preserve">Un capteur de température doit être installé immédiatement en amont du dispositif de mesure du volume. L’exactitude de ce capteur doit être de </w:t>
      </w:r>
      <w:r w:rsidRPr="002C5876">
        <w:sym w:font="Symbol" w:char="F0B1"/>
      </w:r>
      <w:r w:rsidRPr="002C5876">
        <w:t xml:space="preserve">1 °C, et son temps de réponse doit être de 0,1 s à 62 % d’une variation de température donnée (valeur mesurée dans de l’huile de silicone). </w:t>
      </w:r>
    </w:p>
    <w:p w:rsidR="00E24DB7" w:rsidRPr="002C5876" w:rsidRDefault="00E24DB7" w:rsidP="00E24DB7">
      <w:pPr>
        <w:pStyle w:val="SingleTxtG"/>
        <w:ind w:left="2268" w:hanging="1134"/>
      </w:pPr>
      <w:r w:rsidRPr="002C5876">
        <w:t>3.3.5.4</w:t>
      </w:r>
      <w:r w:rsidRPr="002C5876">
        <w:tab/>
        <w:t xml:space="preserve">La détermination de la pression par rapport à la pression atmosphérique s’effectue en amont et, si nécessaire, en aval du dispositif de mesure du volume. </w:t>
      </w:r>
    </w:p>
    <w:p w:rsidR="00E24DB7" w:rsidRPr="002C5876" w:rsidRDefault="00E24DB7" w:rsidP="00E24DB7">
      <w:pPr>
        <w:pStyle w:val="SingleTxtG"/>
        <w:ind w:left="2268" w:hanging="1134"/>
      </w:pPr>
      <w:r w:rsidRPr="002C5876">
        <w:t>3.3.5.5</w:t>
      </w:r>
      <w:r w:rsidRPr="002C5876">
        <w:tab/>
        <w:t xml:space="preserve">L’exactitude et la précision des mesures de pression au cours de l’essai doivent être de </w:t>
      </w:r>
      <w:r w:rsidRPr="002C5876">
        <w:sym w:font="Symbol" w:char="F0B1"/>
      </w:r>
      <w:r w:rsidRPr="002C5876">
        <w:t>0,4 kPa. Voir le tableau A5/5.</w:t>
      </w:r>
    </w:p>
    <w:p w:rsidR="00E24DB7" w:rsidRPr="002C5876" w:rsidRDefault="00E24DB7" w:rsidP="00E24DB7">
      <w:pPr>
        <w:pStyle w:val="SingleTxtG"/>
        <w:keepNext/>
        <w:ind w:left="2268" w:hanging="1134"/>
        <w:jc w:val="left"/>
      </w:pPr>
      <w:r w:rsidRPr="002C5876">
        <w:t>3.3.6</w:t>
      </w:r>
      <w:r w:rsidRPr="002C5876">
        <w:tab/>
        <w:t>Description du système recommandé</w:t>
      </w:r>
    </w:p>
    <w:p w:rsidR="00E24DB7" w:rsidRPr="002C5876" w:rsidRDefault="00E24DB7" w:rsidP="00E24DB7">
      <w:pPr>
        <w:pStyle w:val="SingleTxtG"/>
        <w:ind w:left="2268"/>
      </w:pPr>
      <w:r w:rsidRPr="002C5876">
        <w:tab/>
        <w:t xml:space="preserve">La figure A5/3 présente un schéma de principe d’un système recommandé de dilution des gaz d’échappement qui satisfait aux prescriptions de la présente annexe. </w:t>
      </w:r>
    </w:p>
    <w:p w:rsidR="00E24DB7" w:rsidRPr="002C5876" w:rsidRDefault="00E24DB7" w:rsidP="00E24DB7">
      <w:pPr>
        <w:pStyle w:val="SingleTxtG"/>
        <w:keepNext/>
        <w:ind w:left="2268"/>
      </w:pPr>
      <w:r w:rsidRPr="002C5876">
        <w:tab/>
        <w:t>Les éléments suivants sont recommandés :</w:t>
      </w:r>
    </w:p>
    <w:p w:rsidR="00E24DB7" w:rsidRPr="002C5876" w:rsidRDefault="00E24DB7" w:rsidP="00E24DB7">
      <w:pPr>
        <w:pStyle w:val="SingleTxtG"/>
        <w:ind w:left="2835" w:hanging="567"/>
      </w:pPr>
      <w:r w:rsidRPr="002C5876">
        <w:t>a)</w:t>
      </w:r>
      <w:r w:rsidRPr="002C5876">
        <w:tab/>
        <w:t xml:space="preserve">Un filtre pour l’air de dilution, qui peut être préchauffé si nécessaire. Ce filtre est constitué de plusieurs filtres montés dans l’ordre suivant : un filtre à charbon de bois (facultatif) (à l’entrée) et un filtre à particules à très haute efficacité (THE) (à la sortie). Si un filtre à charbon de bois est utilisé, il est recommandé d’ajouter un filtre à particules grossières en aval de celui-ci et en amont du filtre THE. Le filtre à charbon de bois sert à abaisser et à stabiliser la concentration d’hydrocarbures des émissions ambiantes présentes dans l’air de dilution ; </w:t>
      </w:r>
    </w:p>
    <w:p w:rsidR="00E24DB7" w:rsidRPr="002C5876" w:rsidRDefault="00E24DB7" w:rsidP="00E24DB7">
      <w:pPr>
        <w:pStyle w:val="SingleTxtG"/>
        <w:ind w:left="2835" w:hanging="567"/>
      </w:pPr>
      <w:r w:rsidRPr="002C5876">
        <w:t>b)</w:t>
      </w:r>
      <w:r w:rsidRPr="002C5876">
        <w:tab/>
        <w:t xml:space="preserve">Un tuyau de raccordement, par lequel les gaz d’échappement du véhicule sont acheminés dans le tunnel de dilution ; </w:t>
      </w:r>
    </w:p>
    <w:p w:rsidR="00E24DB7" w:rsidRPr="002C5876" w:rsidRDefault="00E24DB7" w:rsidP="00E24DB7">
      <w:pPr>
        <w:pStyle w:val="SingleTxtG"/>
        <w:ind w:left="2835" w:hanging="567"/>
      </w:pPr>
      <w:r w:rsidRPr="002C5876">
        <w:t>c)</w:t>
      </w:r>
      <w:r w:rsidRPr="002C5876">
        <w:tab/>
        <w:t xml:space="preserve">Le cas échéant, un échangeur de chaleur tel que décrit au paragraphe 3.3.5.1 de la présente annexe ; </w:t>
      </w:r>
    </w:p>
    <w:p w:rsidR="00E24DB7" w:rsidRPr="002C5876" w:rsidRDefault="00E24DB7" w:rsidP="00E24DB7">
      <w:pPr>
        <w:pStyle w:val="SingleTxtG"/>
        <w:ind w:left="2835" w:hanging="567"/>
      </w:pPr>
      <w:r w:rsidRPr="002C5876">
        <w:t>d)</w:t>
      </w:r>
      <w:r w:rsidRPr="002C5876">
        <w:tab/>
        <w:t>Un dispositif de mélange, dans lequel les gaz d’échappement et l’air sont mélangés de façon homogène, et qui peut être placée à proximité du véhicule de manière à réduire au minimum la longueur du tuyau de raccordement ;</w:t>
      </w:r>
    </w:p>
    <w:p w:rsidR="00E24DB7" w:rsidRPr="002C5876" w:rsidRDefault="00E24DB7" w:rsidP="00E24DB7">
      <w:pPr>
        <w:pStyle w:val="SingleTxtG"/>
        <w:ind w:left="2835" w:hanging="567"/>
      </w:pPr>
      <w:r w:rsidRPr="002C5876">
        <w:lastRenderedPageBreak/>
        <w:t>e)</w:t>
      </w:r>
      <w:r w:rsidRPr="002C5876">
        <w:tab/>
        <w:t>Un tunnel de dilution, dans lequel sont prélevés les échantillons de mesure des matières particulaires et, le cas échéant, des particules ;</w:t>
      </w:r>
    </w:p>
    <w:p w:rsidR="00E24DB7" w:rsidRPr="002C5876" w:rsidRDefault="00E24DB7" w:rsidP="00E24DB7">
      <w:pPr>
        <w:pStyle w:val="SingleTxtG"/>
        <w:ind w:left="2835" w:hanging="567"/>
      </w:pPr>
      <w:r w:rsidRPr="002C5876">
        <w:t>f)</w:t>
      </w:r>
      <w:r w:rsidRPr="002C5876">
        <w:tab/>
        <w:t>On peut protéger le système de mesure au moyen, par exemple, d’un séparateur à cyclone ou d’un filtre à particules grossières ;</w:t>
      </w:r>
    </w:p>
    <w:p w:rsidR="00E24DB7" w:rsidRPr="002C5876" w:rsidRDefault="00E24DB7" w:rsidP="00E24DB7">
      <w:pPr>
        <w:pStyle w:val="SingleTxtG"/>
        <w:ind w:left="2835" w:hanging="567"/>
      </w:pPr>
      <w:r w:rsidRPr="002C5876">
        <w:t>g)</w:t>
      </w:r>
      <w:r w:rsidRPr="002C5876">
        <w:tab/>
        <w:t>Un dispositif d’aspiration d’une capacité suffisante pour traiter le volume total de gaz d’échappement dilués.</w:t>
      </w:r>
    </w:p>
    <w:p w:rsidR="00E24DB7" w:rsidRPr="002C5876" w:rsidRDefault="00E24DB7" w:rsidP="00E24DB7">
      <w:pPr>
        <w:pStyle w:val="SingleTxtG"/>
        <w:ind w:left="2268"/>
      </w:pPr>
      <w:r w:rsidRPr="002C5876">
        <w:tab/>
        <w:t xml:space="preserve">Il n’est pas obligatoire que l’installation soit rigoureusement conforme au schéma. On pourra utiliser divers éléments supplémentaires (appareils, vannes, solénoïdes ou interrupteurs) en vue de recueillir davantage d’informations ou de coordonner le fonctionnement des éléments du dispositif. </w:t>
      </w:r>
    </w:p>
    <w:p w:rsidR="00E24DB7" w:rsidRPr="002C5876" w:rsidRDefault="00E24DB7" w:rsidP="00E24DB7">
      <w:pPr>
        <w:pStyle w:val="H23G"/>
        <w:ind w:left="0" w:firstLine="0"/>
      </w:pPr>
      <w:r w:rsidRPr="002C5876">
        <w:rPr>
          <w:b w:val="0"/>
        </w:rPr>
        <w:t>Figure A5/3</w:t>
      </w:r>
      <w:r w:rsidRPr="002C5876">
        <w:br/>
        <w:t>Système de dilution des gaz d’échappement</w:t>
      </w:r>
    </w:p>
    <w:p w:rsidR="00E24DB7" w:rsidRPr="002C5876" w:rsidRDefault="00E24DB7" w:rsidP="00E24DB7">
      <w:pPr>
        <w:pStyle w:val="SingleTxtG"/>
        <w:spacing w:after="240"/>
        <w:ind w:left="0" w:right="0"/>
      </w:pPr>
      <w:r w:rsidRPr="002C5876">
        <w:rPr>
          <w:noProof/>
          <w:lang w:val="en-GB" w:eastAsia="zh-CN"/>
        </w:rPr>
        <mc:AlternateContent>
          <mc:Choice Requires="wps">
            <w:drawing>
              <wp:anchor distT="0" distB="0" distL="114300" distR="114300" simplePos="0" relativeHeight="251131904" behindDoc="0" locked="0" layoutInCell="1" allowOverlap="1" wp14:anchorId="08C80C3D" wp14:editId="7D8A3060">
                <wp:simplePos x="0" y="0"/>
                <wp:positionH relativeFrom="column">
                  <wp:posOffset>5216530</wp:posOffset>
                </wp:positionH>
                <wp:positionV relativeFrom="paragraph">
                  <wp:posOffset>2214515</wp:posOffset>
                </wp:positionV>
                <wp:extent cx="830638" cy="136113"/>
                <wp:effectExtent l="0" t="0" r="7620" b="0"/>
                <wp:wrapNone/>
                <wp:docPr id="36" name="Zone de texte 36"/>
                <wp:cNvGraphicFramePr/>
                <a:graphic xmlns:a="http://schemas.openxmlformats.org/drawingml/2006/main">
                  <a:graphicData uri="http://schemas.microsoft.com/office/word/2010/wordprocessingShape">
                    <wps:wsp>
                      <wps:cNvSpPr txBox="1"/>
                      <wps:spPr>
                        <a:xfrm>
                          <a:off x="0" y="0"/>
                          <a:ext cx="830638" cy="1361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3C3D5A" w:rsidRDefault="00D53F39" w:rsidP="00E24DB7">
                            <w:pPr>
                              <w:spacing w:line="240" w:lineRule="auto"/>
                              <w:rPr>
                                <w:sz w:val="16"/>
                                <w:szCs w:val="16"/>
                              </w:rPr>
                            </w:pPr>
                            <w:r w:rsidRPr="003C3D5A">
                              <w:rPr>
                                <w:sz w:val="16"/>
                                <w:szCs w:val="16"/>
                              </w:rPr>
                              <w:t>Vers l’atmosphère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80C3D" id="Zone de texte 36" o:spid="_x0000_s1075" type="#_x0000_t202" style="position:absolute;left:0;text-align:left;margin-left:410.75pt;margin-top:174.35pt;width:65.4pt;height:10.7pt;z-index:2511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" fillcolor="white [3201]" stroked="f" strokeweight=".5pt">
                <v:textbox inset="0,0,0,0">
                  <w:txbxContent>
                    <w:p w:rsidR="00D53F39" w:rsidRPr="003C3D5A" w:rsidRDefault="00D53F39" w:rsidP="00E24DB7">
                      <w:pPr>
                        <w:spacing w:line="240" w:lineRule="auto"/>
                        <w:rPr>
                          <w:sz w:val="16"/>
                          <w:szCs w:val="16"/>
                        </w:rPr>
                      </w:pPr>
                      <w:r w:rsidRPr="003C3D5A">
                        <w:rPr>
                          <w:sz w:val="16"/>
                          <w:szCs w:val="16"/>
                        </w:rPr>
                        <w:t>Vers l’atmosphère</w:t>
                      </w:r>
                    </w:p>
                  </w:txbxContent>
                </v:textbox>
              </v:shape>
            </w:pict>
          </mc:Fallback>
        </mc:AlternateContent>
      </w:r>
      <w:r w:rsidRPr="002C5876">
        <w:rPr>
          <w:noProof/>
          <w:lang w:val="en-GB" w:eastAsia="zh-CN"/>
        </w:rPr>
        <mc:AlternateContent>
          <mc:Choice Requires="wps">
            <w:drawing>
              <wp:anchor distT="0" distB="0" distL="114300" distR="114300" simplePos="0" relativeHeight="251130880" behindDoc="0" locked="0" layoutInCell="1" allowOverlap="1" wp14:anchorId="396EBB83" wp14:editId="681C70B9">
                <wp:simplePos x="0" y="0"/>
                <wp:positionH relativeFrom="column">
                  <wp:posOffset>3457531</wp:posOffset>
                </wp:positionH>
                <wp:positionV relativeFrom="paragraph">
                  <wp:posOffset>2116793</wp:posOffset>
                </wp:positionV>
                <wp:extent cx="1196340" cy="307127"/>
                <wp:effectExtent l="0" t="0" r="3810" b="0"/>
                <wp:wrapNone/>
                <wp:docPr id="41" name="Zone de texte 41"/>
                <wp:cNvGraphicFramePr/>
                <a:graphic xmlns:a="http://schemas.openxmlformats.org/drawingml/2006/main">
                  <a:graphicData uri="http://schemas.microsoft.com/office/word/2010/wordprocessingShape">
                    <wps:wsp>
                      <wps:cNvSpPr txBox="1"/>
                      <wps:spPr>
                        <a:xfrm>
                          <a:off x="0" y="0"/>
                          <a:ext cx="1196340" cy="3071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3C3D5A" w:rsidRDefault="00D53F39" w:rsidP="00E24DB7">
                            <w:pPr>
                              <w:spacing w:before="80" w:line="240" w:lineRule="auto"/>
                              <w:jc w:val="center"/>
                              <w:rPr>
                                <w:sz w:val="16"/>
                                <w:szCs w:val="16"/>
                              </w:rPr>
                            </w:pPr>
                            <w:r w:rsidRPr="003C3D5A">
                              <w:rPr>
                                <w:sz w:val="16"/>
                                <w:szCs w:val="16"/>
                              </w:rPr>
                              <w:t>Débitmètre et dispositif d’aspiration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EBB83" id="Zone de texte 41" o:spid="_x0000_s1076" type="#_x0000_t202" style="position:absolute;left:0;text-align:left;margin-left:272.25pt;margin-top:166.7pt;width:94.2pt;height:24.2pt;z-index:2511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" fillcolor="white [3201]" stroked="f" strokeweight=".5pt">
                <v:textbox inset="0,0,0,0">
                  <w:txbxContent>
                    <w:p w:rsidR="00D53F39" w:rsidRPr="003C3D5A" w:rsidRDefault="00D53F39" w:rsidP="00E24DB7">
                      <w:pPr>
                        <w:spacing w:before="80" w:line="240" w:lineRule="auto"/>
                        <w:jc w:val="center"/>
                        <w:rPr>
                          <w:sz w:val="16"/>
                          <w:szCs w:val="16"/>
                        </w:rPr>
                      </w:pPr>
                      <w:r w:rsidRPr="003C3D5A">
                        <w:rPr>
                          <w:sz w:val="16"/>
                          <w:szCs w:val="16"/>
                        </w:rPr>
                        <w:t>Débitmètre et dispositif d’aspiration</w:t>
                      </w:r>
                    </w:p>
                  </w:txbxContent>
                </v:textbox>
              </v:shape>
            </w:pict>
          </mc:Fallback>
        </mc:AlternateContent>
      </w:r>
      <w:r w:rsidRPr="002C5876">
        <w:rPr>
          <w:noProof/>
          <w:lang w:val="en-GB" w:eastAsia="zh-CN"/>
        </w:rPr>
        <mc:AlternateContent>
          <mc:Choice Requires="wps">
            <w:drawing>
              <wp:anchor distT="0" distB="0" distL="114300" distR="114300" simplePos="0" relativeHeight="251125760" behindDoc="0" locked="0" layoutInCell="1" allowOverlap="1" wp14:anchorId="261D44C5" wp14:editId="4BE4120E">
                <wp:simplePos x="0" y="0"/>
                <wp:positionH relativeFrom="column">
                  <wp:posOffset>208270</wp:posOffset>
                </wp:positionH>
                <wp:positionV relativeFrom="paragraph">
                  <wp:posOffset>2608895</wp:posOffset>
                </wp:positionV>
                <wp:extent cx="731520" cy="279206"/>
                <wp:effectExtent l="0" t="0" r="0" b="6985"/>
                <wp:wrapNone/>
                <wp:docPr id="13839" name="Zone de texte 13839"/>
                <wp:cNvGraphicFramePr/>
                <a:graphic xmlns:a="http://schemas.openxmlformats.org/drawingml/2006/main">
                  <a:graphicData uri="http://schemas.microsoft.com/office/word/2010/wordprocessingShape">
                    <wps:wsp>
                      <wps:cNvSpPr txBox="1"/>
                      <wps:spPr>
                        <a:xfrm>
                          <a:off x="0" y="0"/>
                          <a:ext cx="731520" cy="2792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3C3D5A" w:rsidRDefault="00D53F39" w:rsidP="00E24DB7">
                            <w:pPr>
                              <w:spacing w:line="240" w:lineRule="auto"/>
                              <w:jc w:val="center"/>
                              <w:rPr>
                                <w:sz w:val="16"/>
                                <w:szCs w:val="16"/>
                              </w:rPr>
                            </w:pPr>
                            <w:r w:rsidRPr="003C3D5A">
                              <w:rPr>
                                <w:sz w:val="16"/>
                                <w:szCs w:val="16"/>
                              </w:rPr>
                              <w:t>Tuyau de raccordement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1D44C5" id="Zone de texte 13839" o:spid="_x0000_s1077" type="#_x0000_t202" style="position:absolute;left:0;text-align:left;margin-left:16.4pt;margin-top:205.4pt;width:57.6pt;height:22pt;z-index:25112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" fillcolor="white [3201]" stroked="f" strokeweight=".5pt">
                <v:textbox inset="0,0,0,0">
                  <w:txbxContent>
                    <w:p w:rsidR="00D53F39" w:rsidRPr="003C3D5A" w:rsidRDefault="00D53F39" w:rsidP="00E24DB7">
                      <w:pPr>
                        <w:spacing w:line="240" w:lineRule="auto"/>
                        <w:jc w:val="center"/>
                        <w:rPr>
                          <w:sz w:val="16"/>
                          <w:szCs w:val="16"/>
                        </w:rPr>
                      </w:pPr>
                      <w:r w:rsidRPr="003C3D5A">
                        <w:rPr>
                          <w:sz w:val="16"/>
                          <w:szCs w:val="16"/>
                        </w:rPr>
                        <w:t>Tuyau de raccordement</w:t>
                      </w:r>
                    </w:p>
                  </w:txbxContent>
                </v:textbox>
              </v:shape>
            </w:pict>
          </mc:Fallback>
        </mc:AlternateContent>
      </w:r>
      <w:r w:rsidRPr="002C5876">
        <w:rPr>
          <w:noProof/>
          <w:lang w:val="en-GB" w:eastAsia="zh-CN"/>
        </w:rPr>
        <mc:AlternateContent>
          <mc:Choice Requires="wps">
            <w:drawing>
              <wp:anchor distT="0" distB="0" distL="114300" distR="114300" simplePos="0" relativeHeight="251124736" behindDoc="0" locked="0" layoutInCell="1" allowOverlap="1" wp14:anchorId="079590C9" wp14:editId="0FE01F80">
                <wp:simplePos x="0" y="0"/>
                <wp:positionH relativeFrom="column">
                  <wp:posOffset>47727</wp:posOffset>
                </wp:positionH>
                <wp:positionV relativeFrom="paragraph">
                  <wp:posOffset>2347139</wp:posOffset>
                </wp:positionV>
                <wp:extent cx="622300" cy="254776"/>
                <wp:effectExtent l="0" t="0" r="6350" b="0"/>
                <wp:wrapNone/>
                <wp:docPr id="13884" name="Zone de texte 13884"/>
                <wp:cNvGraphicFramePr/>
                <a:graphic xmlns:a="http://schemas.openxmlformats.org/drawingml/2006/main">
                  <a:graphicData uri="http://schemas.microsoft.com/office/word/2010/wordprocessingShape">
                    <wps:wsp>
                      <wps:cNvSpPr txBox="1"/>
                      <wps:spPr>
                        <a:xfrm>
                          <a:off x="0" y="0"/>
                          <a:ext cx="622300" cy="2547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3C3D5A" w:rsidRDefault="00D53F39" w:rsidP="00E24DB7">
                            <w:pPr>
                              <w:spacing w:line="240" w:lineRule="auto"/>
                              <w:rPr>
                                <w:sz w:val="16"/>
                                <w:szCs w:val="16"/>
                              </w:rPr>
                            </w:pPr>
                            <w:r w:rsidRPr="003C3D5A">
                              <w:rPr>
                                <w:sz w:val="16"/>
                                <w:szCs w:val="16"/>
                              </w:rPr>
                              <w:t xml:space="preserve">Échappement </w:t>
                            </w:r>
                            <w:r w:rsidRPr="003C3D5A">
                              <w:rPr>
                                <w:sz w:val="16"/>
                                <w:szCs w:val="16"/>
                              </w:rPr>
                              <w:br/>
                              <w:t>du véhicule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590C9" id="Zone de texte 13884" o:spid="_x0000_s1078" type="#_x0000_t202" style="position:absolute;left:0;text-align:left;margin-left:3.75pt;margin-top:184.8pt;width:49pt;height:20.05pt;z-index:2511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" fillcolor="white [3201]" stroked="f" strokeweight=".5pt">
                <v:textbox inset="0,0,0,0">
                  <w:txbxContent>
                    <w:p w:rsidR="00D53F39" w:rsidRPr="003C3D5A" w:rsidRDefault="00D53F39" w:rsidP="00E24DB7">
                      <w:pPr>
                        <w:spacing w:line="240" w:lineRule="auto"/>
                        <w:rPr>
                          <w:sz w:val="16"/>
                          <w:szCs w:val="16"/>
                        </w:rPr>
                      </w:pPr>
                      <w:r w:rsidRPr="003C3D5A">
                        <w:rPr>
                          <w:sz w:val="16"/>
                          <w:szCs w:val="16"/>
                        </w:rPr>
                        <w:t xml:space="preserve">Échappement </w:t>
                      </w:r>
                      <w:r w:rsidRPr="003C3D5A">
                        <w:rPr>
                          <w:sz w:val="16"/>
                          <w:szCs w:val="16"/>
                        </w:rPr>
                        <w:br/>
                        <w:t>du véhicule</w:t>
                      </w:r>
                    </w:p>
                  </w:txbxContent>
                </v:textbox>
              </v:shape>
            </w:pict>
          </mc:Fallback>
        </mc:AlternateContent>
      </w:r>
      <w:r w:rsidRPr="002C5876">
        <w:rPr>
          <w:noProof/>
          <w:lang w:val="en-GB" w:eastAsia="zh-CN"/>
        </w:rPr>
        <mc:AlternateContent>
          <mc:Choice Requires="wps">
            <w:drawing>
              <wp:anchor distT="0" distB="0" distL="114300" distR="114300" simplePos="0" relativeHeight="251123712" behindDoc="0" locked="0" layoutInCell="1" allowOverlap="1" wp14:anchorId="242538FC" wp14:editId="4307D9F6">
                <wp:simplePos x="0" y="0"/>
                <wp:positionH relativeFrom="column">
                  <wp:posOffset>843464</wp:posOffset>
                </wp:positionH>
                <wp:positionV relativeFrom="paragraph">
                  <wp:posOffset>717274</wp:posOffset>
                </wp:positionV>
                <wp:extent cx="548640" cy="377800"/>
                <wp:effectExtent l="0" t="0" r="3810" b="3810"/>
                <wp:wrapNone/>
                <wp:docPr id="13885" name="Zone de texte 13885"/>
                <wp:cNvGraphicFramePr/>
                <a:graphic xmlns:a="http://schemas.openxmlformats.org/drawingml/2006/main">
                  <a:graphicData uri="http://schemas.microsoft.com/office/word/2010/wordprocessingShape">
                    <wps:wsp>
                      <wps:cNvSpPr txBox="1"/>
                      <wps:spPr>
                        <a:xfrm>
                          <a:off x="0" y="0"/>
                          <a:ext cx="548640" cy="37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3C3D5A" w:rsidRDefault="00D53F39" w:rsidP="00E24DB7">
                            <w:pPr>
                              <w:spacing w:line="240" w:lineRule="auto"/>
                              <w:jc w:val="center"/>
                              <w:rPr>
                                <w:sz w:val="16"/>
                                <w:szCs w:val="16"/>
                              </w:rPr>
                            </w:pPr>
                            <w:r w:rsidRPr="003C3D5A">
                              <w:rPr>
                                <w:sz w:val="16"/>
                                <w:szCs w:val="16"/>
                              </w:rPr>
                              <w:t xml:space="preserve">Filtrage </w:t>
                            </w:r>
                            <w:r w:rsidRPr="003C3D5A">
                              <w:rPr>
                                <w:sz w:val="16"/>
                                <w:szCs w:val="16"/>
                              </w:rPr>
                              <w:br/>
                              <w:t xml:space="preserve">de l’air </w:t>
                            </w:r>
                            <w:r w:rsidRPr="003C3D5A">
                              <w:rPr>
                                <w:sz w:val="16"/>
                                <w:szCs w:val="16"/>
                              </w:rPr>
                              <w:br/>
                              <w:t>de dilution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538FC" id="Zone de texte 13885" o:spid="_x0000_s1079" type="#_x0000_t202" style="position:absolute;left:0;text-align:left;margin-left:66.4pt;margin-top:56.5pt;width:43.2pt;height:29.75pt;z-index:2511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" fillcolor="white [3201]" stroked="f" strokeweight=".5pt">
                <v:textbox inset="0,0,0,0">
                  <w:txbxContent>
                    <w:p w:rsidR="00D53F39" w:rsidRPr="003C3D5A" w:rsidRDefault="00D53F39" w:rsidP="00E24DB7">
                      <w:pPr>
                        <w:spacing w:line="240" w:lineRule="auto"/>
                        <w:jc w:val="center"/>
                        <w:rPr>
                          <w:sz w:val="16"/>
                          <w:szCs w:val="16"/>
                        </w:rPr>
                      </w:pPr>
                      <w:r w:rsidRPr="003C3D5A">
                        <w:rPr>
                          <w:sz w:val="16"/>
                          <w:szCs w:val="16"/>
                        </w:rPr>
                        <w:t xml:space="preserve">Filtrage </w:t>
                      </w:r>
                      <w:r w:rsidRPr="003C3D5A">
                        <w:rPr>
                          <w:sz w:val="16"/>
                          <w:szCs w:val="16"/>
                        </w:rPr>
                        <w:br/>
                        <w:t xml:space="preserve">de l’air </w:t>
                      </w:r>
                      <w:r w:rsidRPr="003C3D5A">
                        <w:rPr>
                          <w:sz w:val="16"/>
                          <w:szCs w:val="16"/>
                        </w:rPr>
                        <w:br/>
                        <w:t>de dilution</w:t>
                      </w:r>
                    </w:p>
                  </w:txbxContent>
                </v:textbox>
              </v:shape>
            </w:pict>
          </mc:Fallback>
        </mc:AlternateContent>
      </w:r>
      <w:r w:rsidRPr="002C5876">
        <w:rPr>
          <w:noProof/>
          <w:lang w:val="en-GB" w:eastAsia="zh-CN"/>
        </w:rPr>
        <mc:AlternateContent>
          <mc:Choice Requires="wps">
            <w:drawing>
              <wp:anchor distT="0" distB="0" distL="114300" distR="114300" simplePos="0" relativeHeight="251122688" behindDoc="0" locked="0" layoutInCell="1" allowOverlap="1" wp14:anchorId="1F4197F9" wp14:editId="326FEA9F">
                <wp:simplePos x="0" y="0"/>
                <wp:positionH relativeFrom="column">
                  <wp:posOffset>790929</wp:posOffset>
                </wp:positionH>
                <wp:positionV relativeFrom="paragraph">
                  <wp:posOffset>116205</wp:posOffset>
                </wp:positionV>
                <wp:extent cx="659624" cy="158750"/>
                <wp:effectExtent l="0" t="0" r="7620" b="0"/>
                <wp:wrapNone/>
                <wp:docPr id="13886" name="Zone de texte 13886"/>
                <wp:cNvGraphicFramePr/>
                <a:graphic xmlns:a="http://schemas.openxmlformats.org/drawingml/2006/main">
                  <a:graphicData uri="http://schemas.microsoft.com/office/word/2010/wordprocessingShape">
                    <wps:wsp>
                      <wps:cNvSpPr txBox="1"/>
                      <wps:spPr>
                        <a:xfrm>
                          <a:off x="0" y="0"/>
                          <a:ext cx="659624"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B34C80" w:rsidRDefault="00D53F39" w:rsidP="00E24DB7">
                            <w:pPr>
                              <w:spacing w:line="240" w:lineRule="auto"/>
                              <w:rPr>
                                <w:sz w:val="16"/>
                                <w:szCs w:val="16"/>
                              </w:rPr>
                            </w:pPr>
                            <w:r w:rsidRPr="00B34C80">
                              <w:rPr>
                                <w:sz w:val="16"/>
                                <w:szCs w:val="16"/>
                              </w:rPr>
                              <w:t>Air de dilution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197F9" id="Zone de texte 13886" o:spid="_x0000_s1080" type="#_x0000_t202" style="position:absolute;left:0;text-align:left;margin-left:62.3pt;margin-top:9.15pt;width:51.95pt;height:12.5pt;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" fillcolor="white [3201]" stroked="f" strokeweight=".5pt">
                <v:textbox inset="0,0,0,0">
                  <w:txbxContent>
                    <w:p w:rsidR="00D53F39" w:rsidRPr="00B34C80" w:rsidRDefault="00D53F39" w:rsidP="00E24DB7">
                      <w:pPr>
                        <w:spacing w:line="240" w:lineRule="auto"/>
                        <w:rPr>
                          <w:sz w:val="16"/>
                          <w:szCs w:val="16"/>
                        </w:rPr>
                      </w:pPr>
                      <w:r w:rsidRPr="00B34C80">
                        <w:rPr>
                          <w:sz w:val="16"/>
                          <w:szCs w:val="16"/>
                        </w:rPr>
                        <w:t>Air de dilution</w:t>
                      </w:r>
                    </w:p>
                  </w:txbxContent>
                </v:textbox>
              </v:shape>
            </w:pict>
          </mc:Fallback>
        </mc:AlternateContent>
      </w:r>
      <w:r w:rsidRPr="002C5876">
        <w:rPr>
          <w:noProof/>
          <w:lang w:val="en-GB" w:eastAsia="zh-CN"/>
        </w:rPr>
        <mc:AlternateContent>
          <mc:Choice Requires="wps">
            <w:drawing>
              <wp:anchor distT="0" distB="0" distL="114300" distR="114300" simplePos="0" relativeHeight="251126784" behindDoc="0" locked="0" layoutInCell="1" allowOverlap="1" wp14:anchorId="0A88B453" wp14:editId="397A9078">
                <wp:simplePos x="0" y="0"/>
                <wp:positionH relativeFrom="column">
                  <wp:posOffset>878708</wp:posOffset>
                </wp:positionH>
                <wp:positionV relativeFrom="paragraph">
                  <wp:posOffset>2455420</wp:posOffset>
                </wp:positionV>
                <wp:extent cx="577215" cy="366088"/>
                <wp:effectExtent l="0" t="0" r="0" b="0"/>
                <wp:wrapNone/>
                <wp:docPr id="76" name="Zone de texte 76"/>
                <wp:cNvGraphicFramePr/>
                <a:graphic xmlns:a="http://schemas.openxmlformats.org/drawingml/2006/main">
                  <a:graphicData uri="http://schemas.microsoft.com/office/word/2010/wordprocessingShape">
                    <wps:wsp>
                      <wps:cNvSpPr txBox="1"/>
                      <wps:spPr>
                        <a:xfrm>
                          <a:off x="0" y="0"/>
                          <a:ext cx="577215" cy="3660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3C3D5A" w:rsidRDefault="00D53F39" w:rsidP="00E24DB7">
                            <w:pPr>
                              <w:spacing w:line="240" w:lineRule="auto"/>
                              <w:jc w:val="center"/>
                              <w:rPr>
                                <w:sz w:val="16"/>
                                <w:szCs w:val="16"/>
                              </w:rPr>
                            </w:pPr>
                            <w:r w:rsidRPr="003C3D5A">
                              <w:rPr>
                                <w:sz w:val="16"/>
                                <w:szCs w:val="16"/>
                              </w:rPr>
                              <w:t>Dispositif</w:t>
                            </w:r>
                            <w:r w:rsidRPr="003C3D5A">
                              <w:rPr>
                                <w:sz w:val="16"/>
                                <w:szCs w:val="16"/>
                              </w:rPr>
                              <w:br/>
                              <w:t>de mélange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8B453" id="Zone de texte 76" o:spid="_x0000_s1081" type="#_x0000_t202" style="position:absolute;left:0;text-align:left;margin-left:69.2pt;margin-top:193.35pt;width:45.45pt;height:28.85pt;z-index:2511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" fillcolor="white [3201]" stroked="f" strokeweight=".5pt">
                <v:textbox inset="0,0,0,0">
                  <w:txbxContent>
                    <w:p w:rsidR="00D53F39" w:rsidRPr="003C3D5A" w:rsidRDefault="00D53F39" w:rsidP="00E24DB7">
                      <w:pPr>
                        <w:spacing w:line="240" w:lineRule="auto"/>
                        <w:jc w:val="center"/>
                        <w:rPr>
                          <w:sz w:val="16"/>
                          <w:szCs w:val="16"/>
                        </w:rPr>
                      </w:pPr>
                      <w:r w:rsidRPr="003C3D5A">
                        <w:rPr>
                          <w:sz w:val="16"/>
                          <w:szCs w:val="16"/>
                        </w:rPr>
                        <w:t>Dispositif</w:t>
                      </w:r>
                      <w:r w:rsidRPr="003C3D5A">
                        <w:rPr>
                          <w:sz w:val="16"/>
                          <w:szCs w:val="16"/>
                        </w:rPr>
                        <w:br/>
                        <w:t>de mélange</w:t>
                      </w:r>
                    </w:p>
                  </w:txbxContent>
                </v:textbox>
              </v:shape>
            </w:pict>
          </mc:Fallback>
        </mc:AlternateContent>
      </w:r>
      <w:r w:rsidRPr="002C5876">
        <w:rPr>
          <w:noProof/>
          <w:lang w:val="en-GB" w:eastAsia="zh-CN"/>
        </w:rPr>
        <mc:AlternateContent>
          <mc:Choice Requires="wps">
            <w:drawing>
              <wp:anchor distT="0" distB="0" distL="114300" distR="114300" simplePos="0" relativeHeight="251132928" behindDoc="0" locked="0" layoutInCell="1" allowOverlap="1" wp14:anchorId="2E052DE7" wp14:editId="17BEB663">
                <wp:simplePos x="0" y="0"/>
                <wp:positionH relativeFrom="column">
                  <wp:posOffset>1096010</wp:posOffset>
                </wp:positionH>
                <wp:positionV relativeFrom="paragraph">
                  <wp:posOffset>2367915</wp:posOffset>
                </wp:positionV>
                <wp:extent cx="6350" cy="152400"/>
                <wp:effectExtent l="76200" t="38100" r="69850" b="19050"/>
                <wp:wrapNone/>
                <wp:docPr id="145" name="Connecteur droit avec flèche 145"/>
                <wp:cNvGraphicFramePr/>
                <a:graphic xmlns:a="http://schemas.openxmlformats.org/drawingml/2006/main">
                  <a:graphicData uri="http://schemas.microsoft.com/office/word/2010/wordprocessingShape">
                    <wps:wsp>
                      <wps:cNvCnPr/>
                      <wps:spPr>
                        <a:xfrm flipH="1" flipV="1">
                          <a:off x="0" y="0"/>
                          <a:ext cx="6350" cy="152400"/>
                        </a:xfrm>
                        <a:prstGeom prst="straightConnector1">
                          <a:avLst/>
                        </a:prstGeom>
                        <a:ln w="952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AAD084B" id="_x0000_t32" coordsize="21600,21600" o:spt="32" o:oned="t" path="m,l21600,21600e" filled="f">
                <v:path arrowok="t" fillok="f" o:connecttype="none"/>
                <o:lock v:ext="edit" shapetype="t"/>
              </v:shapetype>
              <v:shape id="Connecteur droit avec flèche 145" o:spid="_x0000_s1026" type="#_x0000_t32" style="position:absolute;margin-left:86.3pt;margin-top:186.45pt;width:.5pt;height:12pt;flip:x y;z-index:25113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" strokecolor="black [3213]">
                <v:stroke endarrow="block"/>
              </v:shape>
            </w:pict>
          </mc:Fallback>
        </mc:AlternateContent>
      </w:r>
      <w:r w:rsidRPr="002C5876">
        <w:rPr>
          <w:noProof/>
          <w:lang w:val="en-GB" w:eastAsia="zh-CN"/>
        </w:rPr>
        <mc:AlternateContent>
          <mc:Choice Requires="wps">
            <w:drawing>
              <wp:anchor distT="0" distB="0" distL="114300" distR="114300" simplePos="0" relativeHeight="251129856" behindDoc="0" locked="0" layoutInCell="1" allowOverlap="1" wp14:anchorId="0A67A1AD" wp14:editId="44B215AE">
                <wp:simplePos x="0" y="0"/>
                <wp:positionH relativeFrom="column">
                  <wp:posOffset>3479800</wp:posOffset>
                </wp:positionH>
                <wp:positionV relativeFrom="paragraph">
                  <wp:posOffset>1520825</wp:posOffset>
                </wp:positionV>
                <wp:extent cx="1104900" cy="335280"/>
                <wp:effectExtent l="0" t="0" r="0" b="7620"/>
                <wp:wrapNone/>
                <wp:docPr id="9" name="Zone de texte 9"/>
                <wp:cNvGraphicFramePr/>
                <a:graphic xmlns:a="http://schemas.openxmlformats.org/drawingml/2006/main">
                  <a:graphicData uri="http://schemas.microsoft.com/office/word/2010/wordprocessingShape">
                    <wps:wsp>
                      <wps:cNvSpPr txBox="1"/>
                      <wps:spPr>
                        <a:xfrm>
                          <a:off x="0" y="0"/>
                          <a:ext cx="1104900" cy="335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3C3D5A" w:rsidRDefault="00D53F39" w:rsidP="00E24DB7">
                            <w:pPr>
                              <w:spacing w:before="160" w:line="240" w:lineRule="auto"/>
                              <w:jc w:val="center"/>
                              <w:rPr>
                                <w:sz w:val="16"/>
                                <w:szCs w:val="16"/>
                              </w:rPr>
                            </w:pPr>
                            <w:r w:rsidRPr="003C3D5A">
                              <w:rPr>
                                <w:sz w:val="16"/>
                                <w:szCs w:val="16"/>
                              </w:rPr>
                              <w:t>PDP, CFV,SSV, UFM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7A1AD" id="Zone de texte 9" o:spid="_x0000_s1082" type="#_x0000_t202" style="position:absolute;left:0;text-align:left;margin-left:274pt;margin-top:119.75pt;width:87pt;height:26.4pt;z-index:2511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" fillcolor="white [3201]" stroked="f" strokeweight=".5pt">
                <v:textbox inset="0,0,0,0">
                  <w:txbxContent>
                    <w:p w:rsidR="00D53F39" w:rsidRPr="003C3D5A" w:rsidRDefault="00D53F39" w:rsidP="00E24DB7">
                      <w:pPr>
                        <w:spacing w:before="160" w:line="240" w:lineRule="auto"/>
                        <w:jc w:val="center"/>
                        <w:rPr>
                          <w:sz w:val="16"/>
                          <w:szCs w:val="16"/>
                        </w:rPr>
                      </w:pPr>
                      <w:r w:rsidRPr="003C3D5A">
                        <w:rPr>
                          <w:sz w:val="16"/>
                          <w:szCs w:val="16"/>
                        </w:rPr>
                        <w:t>PDP, CFV,SSV, UFM</w:t>
                      </w:r>
                    </w:p>
                  </w:txbxContent>
                </v:textbox>
              </v:shape>
            </w:pict>
          </mc:Fallback>
        </mc:AlternateContent>
      </w:r>
      <w:r w:rsidRPr="002C5876">
        <w:rPr>
          <w:noProof/>
          <w:lang w:val="en-GB" w:eastAsia="zh-CN"/>
        </w:rPr>
        <mc:AlternateContent>
          <mc:Choice Requires="wps">
            <w:drawing>
              <wp:anchor distT="0" distB="0" distL="114300" distR="114300" simplePos="0" relativeHeight="251128832" behindDoc="0" locked="0" layoutInCell="1" allowOverlap="1" wp14:anchorId="7EF69803" wp14:editId="5532A931">
                <wp:simplePos x="0" y="0"/>
                <wp:positionH relativeFrom="column">
                  <wp:posOffset>2457450</wp:posOffset>
                </wp:positionH>
                <wp:positionV relativeFrom="paragraph">
                  <wp:posOffset>2463165</wp:posOffset>
                </wp:positionV>
                <wp:extent cx="731520" cy="266700"/>
                <wp:effectExtent l="0" t="0" r="0" b="0"/>
                <wp:wrapNone/>
                <wp:docPr id="42" name="Zone de texte 42"/>
                <wp:cNvGraphicFramePr/>
                <a:graphic xmlns:a="http://schemas.openxmlformats.org/drawingml/2006/main">
                  <a:graphicData uri="http://schemas.microsoft.com/office/word/2010/wordprocessingShape">
                    <wps:wsp>
                      <wps:cNvSpPr txBox="1"/>
                      <wps:spPr>
                        <a:xfrm>
                          <a:off x="0" y="0"/>
                          <a:ext cx="73152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3C3D5A" w:rsidRDefault="00D53F39" w:rsidP="00E24DB7">
                            <w:pPr>
                              <w:spacing w:line="240" w:lineRule="auto"/>
                              <w:jc w:val="center"/>
                              <w:rPr>
                                <w:sz w:val="16"/>
                                <w:szCs w:val="16"/>
                              </w:rPr>
                            </w:pPr>
                            <w:r w:rsidRPr="003C3D5A">
                              <w:rPr>
                                <w:sz w:val="16"/>
                                <w:szCs w:val="16"/>
                              </w:rPr>
                              <w:t xml:space="preserve">Échangeur </w:t>
                            </w:r>
                            <w:r w:rsidRPr="003C3D5A">
                              <w:rPr>
                                <w:sz w:val="16"/>
                                <w:szCs w:val="16"/>
                              </w:rPr>
                              <w:br/>
                              <w:t>de chaleur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F69803" id="Zone de texte 42" o:spid="_x0000_s1083" type="#_x0000_t202" style="position:absolute;left:0;text-align:left;margin-left:193.5pt;margin-top:193.95pt;width:57.6pt;height:21pt;z-index:25112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" fillcolor="white [3201]" stroked="f" strokeweight=".5pt">
                <v:textbox inset="0,0,0,0">
                  <w:txbxContent>
                    <w:p w:rsidR="00D53F39" w:rsidRPr="003C3D5A" w:rsidRDefault="00D53F39" w:rsidP="00E24DB7">
                      <w:pPr>
                        <w:spacing w:line="240" w:lineRule="auto"/>
                        <w:jc w:val="center"/>
                        <w:rPr>
                          <w:sz w:val="16"/>
                          <w:szCs w:val="16"/>
                        </w:rPr>
                      </w:pPr>
                      <w:r w:rsidRPr="003C3D5A">
                        <w:rPr>
                          <w:sz w:val="16"/>
                          <w:szCs w:val="16"/>
                        </w:rPr>
                        <w:t xml:space="preserve">Échangeur </w:t>
                      </w:r>
                      <w:r w:rsidRPr="003C3D5A">
                        <w:rPr>
                          <w:sz w:val="16"/>
                          <w:szCs w:val="16"/>
                        </w:rPr>
                        <w:br/>
                        <w:t>de chaleur</w:t>
                      </w:r>
                    </w:p>
                  </w:txbxContent>
                </v:textbox>
              </v:shape>
            </w:pict>
          </mc:Fallback>
        </mc:AlternateContent>
      </w:r>
      <w:r w:rsidRPr="002C5876">
        <w:rPr>
          <w:noProof/>
          <w:lang w:val="en-GB" w:eastAsia="zh-CN"/>
        </w:rPr>
        <mc:AlternateContent>
          <mc:Choice Requires="wps">
            <w:drawing>
              <wp:anchor distT="0" distB="0" distL="114300" distR="114300" simplePos="0" relativeHeight="251127808" behindDoc="0" locked="0" layoutInCell="1" allowOverlap="1" wp14:anchorId="1391B19E" wp14:editId="5757B4B1">
                <wp:simplePos x="0" y="0"/>
                <wp:positionH relativeFrom="column">
                  <wp:posOffset>1451610</wp:posOffset>
                </wp:positionH>
                <wp:positionV relativeFrom="paragraph">
                  <wp:posOffset>1945005</wp:posOffset>
                </wp:positionV>
                <wp:extent cx="899160" cy="121920"/>
                <wp:effectExtent l="0" t="0" r="0" b="0"/>
                <wp:wrapNone/>
                <wp:docPr id="53" name="Zone de texte 53"/>
                <wp:cNvGraphicFramePr/>
                <a:graphic xmlns:a="http://schemas.openxmlformats.org/drawingml/2006/main">
                  <a:graphicData uri="http://schemas.microsoft.com/office/word/2010/wordprocessingShape">
                    <wps:wsp>
                      <wps:cNvSpPr txBox="1"/>
                      <wps:spPr>
                        <a:xfrm>
                          <a:off x="0" y="0"/>
                          <a:ext cx="89916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3C3D5A" w:rsidRDefault="00D53F39" w:rsidP="00E24DB7">
                            <w:pPr>
                              <w:spacing w:line="240" w:lineRule="auto"/>
                              <w:jc w:val="center"/>
                              <w:rPr>
                                <w:sz w:val="16"/>
                                <w:szCs w:val="16"/>
                              </w:rPr>
                            </w:pPr>
                            <w:r w:rsidRPr="003C3D5A">
                              <w:rPr>
                                <w:sz w:val="16"/>
                                <w:szCs w:val="16"/>
                              </w:rPr>
                              <w:t>Tunnel de dilution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1B19E" id="Zone de texte 53" o:spid="_x0000_s1084" type="#_x0000_t202" style="position:absolute;left:0;text-align:left;margin-left:114.3pt;margin-top:153.15pt;width:70.8pt;height:9.6pt;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" fillcolor="white [3201]" stroked="f" strokeweight=".5pt">
                <v:textbox inset="0,0,0,0">
                  <w:txbxContent>
                    <w:p w:rsidR="00D53F39" w:rsidRPr="003C3D5A" w:rsidRDefault="00D53F39" w:rsidP="00E24DB7">
                      <w:pPr>
                        <w:spacing w:line="240" w:lineRule="auto"/>
                        <w:jc w:val="center"/>
                        <w:rPr>
                          <w:sz w:val="16"/>
                          <w:szCs w:val="16"/>
                        </w:rPr>
                      </w:pPr>
                      <w:r w:rsidRPr="003C3D5A">
                        <w:rPr>
                          <w:sz w:val="16"/>
                          <w:szCs w:val="16"/>
                        </w:rPr>
                        <w:t>Tunnel de dilution</w:t>
                      </w:r>
                    </w:p>
                  </w:txbxContent>
                </v:textbox>
              </v:shape>
            </w:pict>
          </mc:Fallback>
        </mc:AlternateContent>
      </w:r>
      <w:r w:rsidRPr="002C5876">
        <w:rPr>
          <w:noProof/>
          <w:lang w:val="en-GB" w:eastAsia="zh-CN"/>
        </w:rPr>
        <w:drawing>
          <wp:inline distT="0" distB="0" distL="0" distR="0" wp14:anchorId="5ABBD047" wp14:editId="723215CC">
            <wp:extent cx="6118860" cy="3009900"/>
            <wp:effectExtent l="0" t="0" r="0" b="0"/>
            <wp:docPr id="13887" name="Image 1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2931" r="2951"/>
                    <a:stretch/>
                  </pic:blipFill>
                  <pic:spPr bwMode="auto">
                    <a:xfrm>
                      <a:off x="0" y="0"/>
                      <a:ext cx="6118860" cy="3009900"/>
                    </a:xfrm>
                    <a:prstGeom prst="rect">
                      <a:avLst/>
                    </a:prstGeom>
                    <a:noFill/>
                    <a:ln>
                      <a:noFill/>
                    </a:ln>
                  </pic:spPr>
                </pic:pic>
              </a:graphicData>
            </a:graphic>
          </wp:inline>
        </w:drawing>
      </w:r>
    </w:p>
    <w:p w:rsidR="00E24DB7" w:rsidRPr="002C5876" w:rsidRDefault="00E24DB7" w:rsidP="00E24DB7">
      <w:pPr>
        <w:pStyle w:val="SingleTxtG"/>
        <w:keepNext/>
        <w:spacing w:before="240"/>
        <w:ind w:left="2268" w:hanging="1134"/>
        <w:jc w:val="left"/>
      </w:pPr>
      <w:r w:rsidRPr="002C5876">
        <w:t>3.3.6.1</w:t>
      </w:r>
      <w:r w:rsidRPr="002C5876">
        <w:tab/>
        <w:t>Pompe volumétrique (PDP)</w:t>
      </w:r>
    </w:p>
    <w:p w:rsidR="00E24DB7" w:rsidRPr="002C5876" w:rsidRDefault="00E24DB7" w:rsidP="00E24DB7">
      <w:pPr>
        <w:pStyle w:val="SingleTxtG"/>
        <w:ind w:left="2268"/>
      </w:pPr>
      <w:r w:rsidRPr="002C5876">
        <w:tab/>
        <w:t xml:space="preserve">Un système de dilution du flux total de gaz d’échappement à pompe volumétrique permettant de déterminer le débit de gaz traversant la pompe à température et pression constantes peut être utilisé pour satisfaire aux conditions formulées dans la présente annexe. La mesure du volume total est donnée par le nombre de tours accomplis par la pompe volumétrique, qui est étalonnée. L’échantillon proportionnel est prélevé à débit constant au moyen de la pompe, d’un débitmètre et d’une vanne de réglage du débit. </w:t>
      </w:r>
    </w:p>
    <w:p w:rsidR="00E24DB7" w:rsidRPr="002C5876" w:rsidRDefault="00E24DB7" w:rsidP="00E24DB7">
      <w:pPr>
        <w:pStyle w:val="SingleTxtG"/>
        <w:keepNext/>
        <w:ind w:left="2268" w:hanging="1134"/>
        <w:jc w:val="left"/>
      </w:pPr>
      <w:r w:rsidRPr="002C5876">
        <w:t>3.3.6.2</w:t>
      </w:r>
      <w:r w:rsidRPr="002C5876">
        <w:tab/>
        <w:t xml:space="preserve">Venturi à régime critique (CFV) </w:t>
      </w:r>
    </w:p>
    <w:p w:rsidR="00E24DB7" w:rsidRPr="002C5876" w:rsidRDefault="00E24DB7" w:rsidP="00E24DB7">
      <w:pPr>
        <w:pStyle w:val="SingleTxtG"/>
        <w:ind w:left="2268" w:hanging="1134"/>
      </w:pPr>
      <w:r w:rsidRPr="002C5876">
        <w:t>3.3.6.2.1</w:t>
      </w:r>
      <w:r w:rsidRPr="002C5876">
        <w:tab/>
      </w:r>
      <w:r w:rsidRPr="002C5876">
        <w:rPr>
          <w:spacing w:val="-4"/>
        </w:rPr>
        <w:t xml:space="preserve">L’utilisation d’un CFV dans le système de dilution du flux total </w:t>
      </w:r>
      <w:r w:rsidRPr="002C5876">
        <w:t xml:space="preserve">de gaz d’échappement </w:t>
      </w:r>
      <w:r w:rsidRPr="002C5876">
        <w:rPr>
          <w:spacing w:val="-4"/>
        </w:rPr>
        <w:t>est une application des principes de la mécanique des fluides dans les conditions d’écoulement critique. Le débit variable du mélange d’air de dilution et de gaz d’échappement est maintenu à une vitesse sonique directement proportionnelle à la racine carrée de la température des gaz. Le débit est contrôlé, calculé et intégré de manière continue pendant tout l’essai.</w:t>
      </w:r>
      <w:r w:rsidRPr="002C5876">
        <w:t xml:space="preserve"> </w:t>
      </w:r>
    </w:p>
    <w:p w:rsidR="00E24DB7" w:rsidRPr="002C5876" w:rsidRDefault="00E24DB7" w:rsidP="00E24DB7">
      <w:pPr>
        <w:pStyle w:val="SingleTxtG"/>
        <w:ind w:left="2268" w:hanging="1134"/>
      </w:pPr>
      <w:r w:rsidRPr="002C5876">
        <w:t>3.3.6.2.2</w:t>
      </w:r>
      <w:r w:rsidRPr="002C5876">
        <w:tab/>
        <w:t xml:space="preserve">L’emploi d’un venturi additionnel pour le prélèvement garantit la proportionnalité des échantillons gazeux prélevés dans le tunnel de dilution. La pression et la température étant égales aux entrées des deux venturis, le volume de gaz prélevé est proportionnel au volume total de mélange de gaz d’échappement dilués produit, et le système remplit donc les prescriptions énoncées à la présente annexe. </w:t>
      </w:r>
    </w:p>
    <w:p w:rsidR="00E24DB7" w:rsidRPr="002C5876" w:rsidRDefault="00E24DB7" w:rsidP="00E24DB7">
      <w:pPr>
        <w:pStyle w:val="SingleTxtG"/>
        <w:ind w:left="2268" w:hanging="1134"/>
      </w:pPr>
      <w:r w:rsidRPr="002C5876">
        <w:lastRenderedPageBreak/>
        <w:t>3.3.6.2.3</w:t>
      </w:r>
      <w:r w:rsidRPr="002C5876">
        <w:tab/>
        <w:t xml:space="preserve">Un CFV employé à des fins de mesure sert à mesurer le débit volumique des gaz d’échappement dilués. </w:t>
      </w:r>
    </w:p>
    <w:p w:rsidR="00E24DB7" w:rsidRPr="002C5876" w:rsidRDefault="00E24DB7" w:rsidP="00E24DB7">
      <w:pPr>
        <w:pStyle w:val="SingleTxtG"/>
        <w:keepNext/>
        <w:ind w:left="2268" w:hanging="1134"/>
        <w:jc w:val="left"/>
        <w:rPr>
          <w:bCs/>
        </w:rPr>
      </w:pPr>
      <w:r w:rsidRPr="002C5876">
        <w:rPr>
          <w:bCs/>
        </w:rPr>
        <w:t>3.3.6.3</w:t>
      </w:r>
      <w:r w:rsidRPr="002C5876">
        <w:rPr>
          <w:bCs/>
        </w:rPr>
        <w:tab/>
        <w:t>Venturi subsonique (SSV)</w:t>
      </w:r>
    </w:p>
    <w:p w:rsidR="00E24DB7" w:rsidRPr="002C5876" w:rsidRDefault="00E24DB7" w:rsidP="00E24DB7">
      <w:pPr>
        <w:pStyle w:val="SingleTxtG"/>
        <w:ind w:left="2268" w:hanging="1134"/>
        <w:rPr>
          <w:bCs/>
        </w:rPr>
      </w:pPr>
      <w:r w:rsidRPr="002C5876">
        <w:rPr>
          <w:bCs/>
        </w:rPr>
        <w:t>3.3.6.3.1</w:t>
      </w:r>
      <w:r w:rsidRPr="002C5876">
        <w:rPr>
          <w:bCs/>
        </w:rPr>
        <w:tab/>
        <w:t xml:space="preserve">L’utilisation d’un SSV (fig. A5/4) dans un système de dilution du flux total de gaz d’échappement est une application des principes de la mécanique des fluides. Le débit variable du mélange d’air de dilution et de gaz d’échappement est maintenu à une vitesse subsonique calculée à partir des dimensions physiques du venturi subsonique, de la température (T) et de la pression (P) absolues à l’entrée du venturi, et de la pression dans le col du venturi. Le débit est contrôlé, calculé et intégré tout au long de l’essai. </w:t>
      </w:r>
    </w:p>
    <w:p w:rsidR="00E24DB7" w:rsidRPr="002C5876" w:rsidRDefault="00E24DB7" w:rsidP="00E24DB7">
      <w:pPr>
        <w:pStyle w:val="SingleTxtG"/>
        <w:spacing w:after="240"/>
        <w:ind w:left="2268" w:hanging="1134"/>
        <w:rPr>
          <w:bCs/>
        </w:rPr>
      </w:pPr>
      <w:r w:rsidRPr="002C5876">
        <w:rPr>
          <w:bCs/>
        </w:rPr>
        <w:t>3.3.6.3.2</w:t>
      </w:r>
      <w:r w:rsidRPr="002C5876">
        <w:rPr>
          <w:bCs/>
        </w:rPr>
        <w:tab/>
        <w:t xml:space="preserve">Un SSV </w:t>
      </w:r>
      <w:r w:rsidRPr="002C5876">
        <w:t>sert à mesurer le débit volumique des gaz d’échappement dilués</w:t>
      </w:r>
      <w:r w:rsidRPr="002C5876">
        <w:rPr>
          <w:bCs/>
        </w:rPr>
        <w:t xml:space="preserve">. </w:t>
      </w:r>
    </w:p>
    <w:p w:rsidR="00E24DB7" w:rsidRPr="002C5876" w:rsidRDefault="00E24DB7" w:rsidP="00E24DB7">
      <w:pPr>
        <w:pStyle w:val="H23G"/>
      </w:pPr>
      <w:r w:rsidRPr="002C5876">
        <w:tab/>
      </w:r>
      <w:r w:rsidRPr="002C5876">
        <w:tab/>
      </w:r>
      <w:r w:rsidRPr="002C5876">
        <w:rPr>
          <w:b w:val="0"/>
        </w:rPr>
        <w:t>Figure A5/4</w:t>
      </w:r>
      <w:r w:rsidRPr="002C5876">
        <w:t xml:space="preserve"> </w:t>
      </w:r>
      <w:r w:rsidRPr="002C5876">
        <w:br/>
        <w:t>Schéma d’un venturi subsonique (SSV)</w:t>
      </w:r>
    </w:p>
    <w:p w:rsidR="00E24DB7" w:rsidRPr="002C5876" w:rsidRDefault="00E24DB7" w:rsidP="00E24DB7">
      <w:pPr>
        <w:pStyle w:val="SingleTxtG"/>
        <w:spacing w:after="240"/>
        <w:ind w:right="0"/>
      </w:pPr>
      <w:r w:rsidRPr="002C5876">
        <w:rPr>
          <w:noProof/>
          <w:lang w:val="en-GB" w:eastAsia="zh-CN"/>
        </w:rPr>
        <mc:AlternateContent>
          <mc:Choice Requires="wps">
            <w:drawing>
              <wp:anchor distT="0" distB="0" distL="114300" distR="114300" simplePos="0" relativeHeight="251075584" behindDoc="0" locked="0" layoutInCell="1" allowOverlap="1" wp14:anchorId="067B236E" wp14:editId="3D0AF13A">
                <wp:simplePos x="0" y="0"/>
                <wp:positionH relativeFrom="column">
                  <wp:posOffset>3930447</wp:posOffset>
                </wp:positionH>
                <wp:positionV relativeFrom="paragraph">
                  <wp:posOffset>892618</wp:posOffset>
                </wp:positionV>
                <wp:extent cx="495300" cy="269271"/>
                <wp:effectExtent l="0" t="0" r="0" b="0"/>
                <wp:wrapNone/>
                <wp:docPr id="148" name="Zone de texte 148"/>
                <wp:cNvGraphicFramePr/>
                <a:graphic xmlns:a="http://schemas.openxmlformats.org/drawingml/2006/main">
                  <a:graphicData uri="http://schemas.microsoft.com/office/word/2010/wordprocessingShape">
                    <wps:wsp>
                      <wps:cNvSpPr txBox="1"/>
                      <wps:spPr>
                        <a:xfrm>
                          <a:off x="0" y="0"/>
                          <a:ext cx="495300" cy="2692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D318C3" w:rsidRDefault="00D53F39" w:rsidP="00E24DB7">
                            <w:pPr>
                              <w:spacing w:line="140" w:lineRule="exact"/>
                              <w:jc w:val="center"/>
                              <w:rPr>
                                <w:sz w:val="16"/>
                                <w:szCs w:val="16"/>
                              </w:rPr>
                            </w:pPr>
                            <w:r>
                              <w:rPr>
                                <w:sz w:val="16"/>
                                <w:szCs w:val="16"/>
                              </w:rPr>
                              <w:t xml:space="preserve">Vanne </w:t>
                            </w:r>
                            <w:r>
                              <w:rPr>
                                <w:sz w:val="16"/>
                                <w:szCs w:val="16"/>
                              </w:rPr>
                              <w:br/>
                              <w:t>de réglage du débit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B236E" id="Zone de texte 148" o:spid="_x0000_s1085" type="#_x0000_t202" style="position:absolute;left:0;text-align:left;margin-left:309.5pt;margin-top:70.3pt;width:39pt;height:21.2pt;z-index:2510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" fillcolor="white [3201]" stroked="f" strokeweight=".5pt">
                <v:textbox inset="0,0,0,0">
                  <w:txbxContent>
                    <w:p w:rsidR="00D53F39" w:rsidRPr="00D318C3" w:rsidRDefault="00D53F39" w:rsidP="00E24DB7">
                      <w:pPr>
                        <w:spacing w:line="140" w:lineRule="exact"/>
                        <w:jc w:val="center"/>
                        <w:rPr>
                          <w:sz w:val="16"/>
                          <w:szCs w:val="16"/>
                        </w:rPr>
                      </w:pPr>
                      <w:r>
                        <w:rPr>
                          <w:sz w:val="16"/>
                          <w:szCs w:val="16"/>
                        </w:rPr>
                        <w:t xml:space="preserve">Vanne </w:t>
                      </w:r>
                      <w:r>
                        <w:rPr>
                          <w:sz w:val="16"/>
                          <w:szCs w:val="16"/>
                        </w:rPr>
                        <w:br/>
                        <w:t>de réglage du débit</w:t>
                      </w:r>
                    </w:p>
                  </w:txbxContent>
                </v:textbox>
              </v:shape>
            </w:pict>
          </mc:Fallback>
        </mc:AlternateContent>
      </w:r>
      <w:r w:rsidRPr="002C5876">
        <w:rPr>
          <w:noProof/>
          <w:lang w:val="en-GB" w:eastAsia="zh-CN"/>
        </w:rPr>
        <mc:AlternateContent>
          <mc:Choice Requires="wps">
            <w:drawing>
              <wp:anchor distT="0" distB="0" distL="114300" distR="114300" simplePos="0" relativeHeight="251072512" behindDoc="0" locked="0" layoutInCell="1" allowOverlap="1" wp14:anchorId="67D515BC" wp14:editId="74AFBB10">
                <wp:simplePos x="0" y="0"/>
                <wp:positionH relativeFrom="column">
                  <wp:posOffset>1675301</wp:posOffset>
                </wp:positionH>
                <wp:positionV relativeFrom="paragraph">
                  <wp:posOffset>791641</wp:posOffset>
                </wp:positionV>
                <wp:extent cx="701040" cy="482445"/>
                <wp:effectExtent l="0" t="0" r="3810" b="0"/>
                <wp:wrapNone/>
                <wp:docPr id="150" name="Zone de texte 150"/>
                <wp:cNvGraphicFramePr/>
                <a:graphic xmlns:a="http://schemas.openxmlformats.org/drawingml/2006/main">
                  <a:graphicData uri="http://schemas.microsoft.com/office/word/2010/wordprocessingShape">
                    <wps:wsp>
                      <wps:cNvSpPr txBox="1"/>
                      <wps:spPr>
                        <a:xfrm>
                          <a:off x="0" y="0"/>
                          <a:ext cx="701040" cy="482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E911A4" w:rsidRDefault="00D53F39" w:rsidP="00E24DB7">
                            <w:pPr>
                              <w:spacing w:line="240" w:lineRule="auto"/>
                              <w:jc w:val="center"/>
                              <w:rPr>
                                <w:sz w:val="16"/>
                                <w:szCs w:val="16"/>
                              </w:rPr>
                            </w:pPr>
                            <w:r w:rsidRPr="00E911A4">
                              <w:rPr>
                                <w:sz w:val="16"/>
                                <w:szCs w:val="16"/>
                              </w:rPr>
                              <w:t xml:space="preserve">Échangeur </w:t>
                            </w:r>
                            <w:r w:rsidRPr="00E911A4">
                              <w:rPr>
                                <w:sz w:val="16"/>
                                <w:szCs w:val="16"/>
                              </w:rPr>
                              <w:br/>
                              <w:t xml:space="preserve">de chaleur </w:t>
                            </w:r>
                            <w:r w:rsidRPr="00E911A4">
                              <w:rPr>
                                <w:sz w:val="16"/>
                                <w:szCs w:val="16"/>
                              </w:rPr>
                              <w:br/>
                              <w:t>(le cas échéant)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D515BC" id="Zone de texte 150" o:spid="_x0000_s1086" type="#_x0000_t202" style="position:absolute;left:0;text-align:left;margin-left:131.9pt;margin-top:62.35pt;width:55.2pt;height:38pt;z-index:25107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" fillcolor="white [3201]" stroked="f" strokeweight=".5pt">
                <v:textbox inset="0,0,0,0">
                  <w:txbxContent>
                    <w:p w:rsidR="00D53F39" w:rsidRPr="00E911A4" w:rsidRDefault="00D53F39" w:rsidP="00E24DB7">
                      <w:pPr>
                        <w:spacing w:line="240" w:lineRule="auto"/>
                        <w:jc w:val="center"/>
                        <w:rPr>
                          <w:sz w:val="16"/>
                          <w:szCs w:val="16"/>
                        </w:rPr>
                      </w:pPr>
                      <w:r w:rsidRPr="00E911A4">
                        <w:rPr>
                          <w:sz w:val="16"/>
                          <w:szCs w:val="16"/>
                        </w:rPr>
                        <w:t xml:space="preserve">Échangeur </w:t>
                      </w:r>
                      <w:r w:rsidRPr="00E911A4">
                        <w:rPr>
                          <w:sz w:val="16"/>
                          <w:szCs w:val="16"/>
                        </w:rPr>
                        <w:br/>
                        <w:t xml:space="preserve">de chaleur </w:t>
                      </w:r>
                      <w:r w:rsidRPr="00E911A4">
                        <w:rPr>
                          <w:sz w:val="16"/>
                          <w:szCs w:val="16"/>
                        </w:rPr>
                        <w:br/>
                        <w:t>(le cas échéant)</w:t>
                      </w:r>
                    </w:p>
                  </w:txbxContent>
                </v:textbox>
              </v:shape>
            </w:pict>
          </mc:Fallback>
        </mc:AlternateContent>
      </w:r>
      <w:r w:rsidRPr="002C5876">
        <w:rPr>
          <w:noProof/>
          <w:lang w:val="en-GB" w:eastAsia="zh-CN"/>
        </w:rPr>
        <mc:AlternateContent>
          <mc:Choice Requires="wps">
            <w:drawing>
              <wp:anchor distT="0" distB="0" distL="114300" distR="114300" simplePos="0" relativeHeight="251078656" behindDoc="0" locked="0" layoutInCell="1" allowOverlap="1" wp14:anchorId="14A858FD" wp14:editId="196AA546">
                <wp:simplePos x="0" y="0"/>
                <wp:positionH relativeFrom="column">
                  <wp:posOffset>4301490</wp:posOffset>
                </wp:positionH>
                <wp:positionV relativeFrom="paragraph">
                  <wp:posOffset>1429385</wp:posOffset>
                </wp:positionV>
                <wp:extent cx="1592580" cy="579120"/>
                <wp:effectExtent l="0" t="0" r="7620" b="0"/>
                <wp:wrapNone/>
                <wp:docPr id="146" name="Zone de texte 146"/>
                <wp:cNvGraphicFramePr/>
                <a:graphic xmlns:a="http://schemas.openxmlformats.org/drawingml/2006/main">
                  <a:graphicData uri="http://schemas.microsoft.com/office/word/2010/wordprocessingShape">
                    <wps:wsp>
                      <wps:cNvSpPr txBox="1"/>
                      <wps:spPr>
                        <a:xfrm>
                          <a:off x="0" y="0"/>
                          <a:ext cx="1592580" cy="579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E911A4" w:rsidRDefault="00D53F39" w:rsidP="00E24DB7">
                            <w:pPr>
                              <w:spacing w:line="240" w:lineRule="auto"/>
                              <w:jc w:val="center"/>
                              <w:rPr>
                                <w:sz w:val="16"/>
                                <w:szCs w:val="16"/>
                              </w:rPr>
                            </w:pPr>
                            <w:r w:rsidRPr="00E911A4">
                              <w:rPr>
                                <w:sz w:val="16"/>
                                <w:szCs w:val="16"/>
                              </w:rPr>
                              <w:t>Il est possible de régler le débit</w:t>
                            </w:r>
                            <w:r w:rsidRPr="00E911A4">
                              <w:rPr>
                                <w:sz w:val="16"/>
                                <w:szCs w:val="16"/>
                              </w:rPr>
                              <w:br/>
                              <w:t xml:space="preserve">qui s’écoule par le venturi subsonique en agissant sur la vitesse d’écoulement des gaz et/ou sur la vanne </w:t>
                            </w:r>
                            <w:r>
                              <w:rPr>
                                <w:sz w:val="16"/>
                                <w:szCs w:val="16"/>
                              </w:rPr>
                              <w:br/>
                            </w:r>
                            <w:r w:rsidRPr="00E911A4">
                              <w:rPr>
                                <w:sz w:val="16"/>
                                <w:szCs w:val="16"/>
                              </w:rPr>
                              <w:t>de réglage du débit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858FD" id="Zone de texte 146" o:spid="_x0000_s1087" type="#_x0000_t202" style="position:absolute;left:0;text-align:left;margin-left:338.7pt;margin-top:112.55pt;width:125.4pt;height:45.6pt;z-index:2510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" fillcolor="white [3201]" stroked="f" strokeweight=".5pt">
                <v:textbox inset="0,0,0,0">
                  <w:txbxContent>
                    <w:p w:rsidR="00D53F39" w:rsidRPr="00E911A4" w:rsidRDefault="00D53F39" w:rsidP="00E24DB7">
                      <w:pPr>
                        <w:spacing w:line="240" w:lineRule="auto"/>
                        <w:jc w:val="center"/>
                        <w:rPr>
                          <w:sz w:val="16"/>
                          <w:szCs w:val="16"/>
                        </w:rPr>
                      </w:pPr>
                      <w:r w:rsidRPr="00E911A4">
                        <w:rPr>
                          <w:sz w:val="16"/>
                          <w:szCs w:val="16"/>
                        </w:rPr>
                        <w:t>Il est possible de régler le débit</w:t>
                      </w:r>
                      <w:r w:rsidRPr="00E911A4">
                        <w:rPr>
                          <w:sz w:val="16"/>
                          <w:szCs w:val="16"/>
                        </w:rPr>
                        <w:br/>
                        <w:t xml:space="preserve">qui s’écoule par le venturi subsonique en agissant sur la vitesse d’écoulement des gaz et/ou sur la vanne </w:t>
                      </w:r>
                      <w:r>
                        <w:rPr>
                          <w:sz w:val="16"/>
                          <w:szCs w:val="16"/>
                        </w:rPr>
                        <w:br/>
                      </w:r>
                      <w:r w:rsidRPr="00E911A4">
                        <w:rPr>
                          <w:sz w:val="16"/>
                          <w:szCs w:val="16"/>
                        </w:rPr>
                        <w:t>de réglage du débit</w:t>
                      </w:r>
                    </w:p>
                  </w:txbxContent>
                </v:textbox>
              </v:shape>
            </w:pict>
          </mc:Fallback>
        </mc:AlternateContent>
      </w:r>
      <w:r w:rsidRPr="002C5876">
        <w:rPr>
          <w:noProof/>
          <w:lang w:val="en-GB" w:eastAsia="zh-CN"/>
        </w:rPr>
        <mc:AlternateContent>
          <mc:Choice Requires="wps">
            <w:drawing>
              <wp:anchor distT="0" distB="0" distL="114300" distR="114300" simplePos="0" relativeHeight="251076608" behindDoc="0" locked="0" layoutInCell="1" allowOverlap="1" wp14:anchorId="2B532D39" wp14:editId="30FA9F6D">
                <wp:simplePos x="0" y="0"/>
                <wp:positionH relativeFrom="column">
                  <wp:posOffset>2518410</wp:posOffset>
                </wp:positionH>
                <wp:positionV relativeFrom="paragraph">
                  <wp:posOffset>1223645</wp:posOffset>
                </wp:positionV>
                <wp:extent cx="1348740" cy="190500"/>
                <wp:effectExtent l="0" t="0" r="3810" b="0"/>
                <wp:wrapNone/>
                <wp:docPr id="147" name="Zone de texte 147"/>
                <wp:cNvGraphicFramePr/>
                <a:graphic xmlns:a="http://schemas.openxmlformats.org/drawingml/2006/main">
                  <a:graphicData uri="http://schemas.microsoft.com/office/word/2010/wordprocessingShape">
                    <wps:wsp>
                      <wps:cNvSpPr txBox="1"/>
                      <wps:spPr>
                        <a:xfrm>
                          <a:off x="0" y="0"/>
                          <a:ext cx="134874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D318C3" w:rsidRDefault="00D53F39" w:rsidP="00E24DB7">
                            <w:pPr>
                              <w:spacing w:line="240" w:lineRule="auto"/>
                              <w:jc w:val="center"/>
                              <w:rPr>
                                <w:sz w:val="16"/>
                                <w:szCs w:val="16"/>
                              </w:rPr>
                            </w:pPr>
                            <w:r>
                              <w:rPr>
                                <w:sz w:val="16"/>
                                <w:szCs w:val="16"/>
                              </w:rPr>
                              <w:t>Venturi subsonique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32D39" id="Zone de texte 147" o:spid="_x0000_s1088" type="#_x0000_t202" style="position:absolute;left:0;text-align:left;margin-left:198.3pt;margin-top:96.35pt;width:106.2pt;height:15pt;z-index:2510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" fillcolor="white [3201]" stroked="f" strokeweight=".5pt">
                <v:textbox inset="0,0,0,0">
                  <w:txbxContent>
                    <w:p w:rsidR="00D53F39" w:rsidRPr="00D318C3" w:rsidRDefault="00D53F39" w:rsidP="00E24DB7">
                      <w:pPr>
                        <w:spacing w:line="240" w:lineRule="auto"/>
                        <w:jc w:val="center"/>
                        <w:rPr>
                          <w:sz w:val="16"/>
                          <w:szCs w:val="16"/>
                        </w:rPr>
                      </w:pPr>
                      <w:r>
                        <w:rPr>
                          <w:sz w:val="16"/>
                          <w:szCs w:val="16"/>
                        </w:rPr>
                        <w:t>Venturi subsonique</w:t>
                      </w:r>
                    </w:p>
                  </w:txbxContent>
                </v:textbox>
              </v:shape>
            </w:pict>
          </mc:Fallback>
        </mc:AlternateContent>
      </w:r>
      <w:r w:rsidRPr="002C5876">
        <w:rPr>
          <w:noProof/>
          <w:lang w:val="en-GB" w:eastAsia="zh-CN"/>
        </w:rPr>
        <mc:AlternateContent>
          <mc:Choice Requires="wps">
            <w:drawing>
              <wp:anchor distT="0" distB="0" distL="114300" distR="114300" simplePos="0" relativeHeight="251074560" behindDoc="0" locked="0" layoutInCell="1" allowOverlap="1" wp14:anchorId="19C2E986" wp14:editId="658573BF">
                <wp:simplePos x="0" y="0"/>
                <wp:positionH relativeFrom="column">
                  <wp:posOffset>4839970</wp:posOffset>
                </wp:positionH>
                <wp:positionV relativeFrom="paragraph">
                  <wp:posOffset>824865</wp:posOffset>
                </wp:positionV>
                <wp:extent cx="701040" cy="457200"/>
                <wp:effectExtent l="0" t="0" r="3810" b="0"/>
                <wp:wrapNone/>
                <wp:docPr id="149" name="Zone de texte 149"/>
                <wp:cNvGraphicFramePr/>
                <a:graphic xmlns:a="http://schemas.openxmlformats.org/drawingml/2006/main">
                  <a:graphicData uri="http://schemas.microsoft.com/office/word/2010/wordprocessingShape">
                    <wps:wsp>
                      <wps:cNvSpPr txBox="1"/>
                      <wps:spPr>
                        <a:xfrm>
                          <a:off x="0" y="0"/>
                          <a:ext cx="70104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D318C3" w:rsidRDefault="00D53F39" w:rsidP="00E24DB7">
                            <w:pPr>
                              <w:spacing w:before="120" w:line="240" w:lineRule="auto"/>
                              <w:jc w:val="center"/>
                              <w:rPr>
                                <w:sz w:val="16"/>
                                <w:szCs w:val="16"/>
                              </w:rPr>
                            </w:pPr>
                            <w:r>
                              <w:rPr>
                                <w:sz w:val="16"/>
                                <w:szCs w:val="16"/>
                              </w:rPr>
                              <w:t>Dispositif d’aspiration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9C2E986" id="Zone de texte 149" o:spid="_x0000_s1089" type="#_x0000_t202" style="position:absolute;left:0;text-align:left;margin-left:381.1pt;margin-top:64.95pt;width:55.2pt;height:36pt;z-index:25107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" fillcolor="white [3201]" stroked="f" strokeweight=".5pt">
                <v:textbox inset="0,0,0,0">
                  <w:txbxContent>
                    <w:p w:rsidR="00D53F39" w:rsidRPr="00D318C3" w:rsidRDefault="00D53F39" w:rsidP="00E24DB7">
                      <w:pPr>
                        <w:spacing w:before="120" w:line="240" w:lineRule="auto"/>
                        <w:jc w:val="center"/>
                        <w:rPr>
                          <w:sz w:val="16"/>
                          <w:szCs w:val="16"/>
                        </w:rPr>
                      </w:pPr>
                      <w:r>
                        <w:rPr>
                          <w:sz w:val="16"/>
                          <w:szCs w:val="16"/>
                        </w:rPr>
                        <w:t>Dispositif d’aspiration</w:t>
                      </w:r>
                    </w:p>
                  </w:txbxContent>
                </v:textbox>
              </v:shape>
            </w:pict>
          </mc:Fallback>
        </mc:AlternateContent>
      </w:r>
      <w:r w:rsidRPr="002C5876">
        <w:rPr>
          <w:noProof/>
          <w:lang w:val="en-GB" w:eastAsia="zh-CN"/>
        </w:rPr>
        <w:drawing>
          <wp:inline distT="0" distB="0" distL="0" distR="0" wp14:anchorId="4BB65DD2" wp14:editId="2E3A2FA9">
            <wp:extent cx="5356275" cy="2052000"/>
            <wp:effectExtent l="0" t="0" r="0" b="0"/>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1">
                      <a:extLst>
                        <a:ext uri="{28A0092B-C50C-407E-A947-70E740481C1C}">
                          <a14:useLocalDpi xmlns:a14="http://schemas.microsoft.com/office/drawing/2010/main" val="0"/>
                        </a:ext>
                      </a:extLst>
                    </a:blip>
                    <a:srcRect t="2" b="-4765"/>
                    <a:stretch/>
                  </pic:blipFill>
                  <pic:spPr bwMode="auto">
                    <a:xfrm>
                      <a:off x="0" y="0"/>
                      <a:ext cx="5369624" cy="2057114"/>
                    </a:xfrm>
                    <a:prstGeom prst="rect">
                      <a:avLst/>
                    </a:prstGeom>
                    <a:noFill/>
                    <a:ln>
                      <a:noFill/>
                    </a:ln>
                    <a:extLst>
                      <a:ext uri="{53640926-AAD7-44D8-BBD7-CCE9431645EC}">
                        <a14:shadowObscured xmlns:a14="http://schemas.microsoft.com/office/drawing/2010/main"/>
                      </a:ext>
                    </a:extLst>
                  </pic:spPr>
                </pic:pic>
              </a:graphicData>
            </a:graphic>
          </wp:inline>
        </w:drawing>
      </w:r>
    </w:p>
    <w:p w:rsidR="00E24DB7" w:rsidRPr="002C5876" w:rsidRDefault="00E24DB7" w:rsidP="00E24DB7">
      <w:pPr>
        <w:pStyle w:val="SingleTxtG"/>
        <w:keepNext/>
        <w:ind w:left="2268" w:hanging="1134"/>
      </w:pPr>
      <w:r w:rsidRPr="002C5876">
        <w:t>3.3.6.4</w:t>
      </w:r>
      <w:r w:rsidRPr="002C5876">
        <w:tab/>
        <w:t>Débitmètre ultrasonique (UFM)</w:t>
      </w:r>
    </w:p>
    <w:p w:rsidR="00E24DB7" w:rsidRPr="002C5876" w:rsidRDefault="00E24DB7" w:rsidP="00E24DB7">
      <w:pPr>
        <w:pStyle w:val="SingleTxtG"/>
        <w:keepLines/>
        <w:ind w:left="2268" w:hanging="1134"/>
      </w:pPr>
      <w:r w:rsidRPr="002C5876">
        <w:t>3.3.6.4.1</w:t>
      </w:r>
      <w:r w:rsidRPr="002C5876">
        <w:tab/>
        <w:t>Un UFM mesure la vitesse des gaz d’échappement dilués dans la tuyauterie du CVS en appliquant le principe de détection du débit ultrasonique au moyen d’une ou plusieurs paires d’émetteurs-détecteurs ultrasoniques montés dans le tuyau comme indiqué dans la figure A5/5. La vitesse du gaz est déterminée à partir de la différence de temps requis pour le déplacement du signal de l’émetteur vers le récepteur et pour le déplacement dans l’autre sens. La vitesse des gaz est convertie en débit volumique normalisé à l’aide d’un facteur d’étalonnage du diamètre du tube, corrigé en temps réel de la température des gaz d’échappement dilués et de la pression absolue.</w:t>
      </w:r>
    </w:p>
    <w:p w:rsidR="00E24DB7" w:rsidRPr="002C5876" w:rsidRDefault="00E24DB7" w:rsidP="00E24DB7">
      <w:pPr>
        <w:pStyle w:val="SingleTxtG"/>
        <w:keepNext/>
        <w:ind w:left="2268" w:hanging="1134"/>
      </w:pPr>
      <w:r w:rsidRPr="002C5876">
        <w:t>3.3.6.4.2</w:t>
      </w:r>
      <w:r w:rsidRPr="002C5876">
        <w:tab/>
        <w:t>Les éléments du système sont les suivants :</w:t>
      </w:r>
    </w:p>
    <w:p w:rsidR="00E24DB7" w:rsidRPr="002C5876" w:rsidRDefault="00E24DB7" w:rsidP="00E24DB7">
      <w:pPr>
        <w:pStyle w:val="SingleTxtG"/>
        <w:ind w:left="2835" w:hanging="567"/>
      </w:pPr>
      <w:r w:rsidRPr="002C5876">
        <w:t>a)</w:t>
      </w:r>
      <w:r w:rsidRPr="002C5876">
        <w:tab/>
        <w:t xml:space="preserve">Un dispositif d’aspiration équipé d’une commande de vitesse, d’une vanne de réglage du débit ou de tout autre dispositif permettant de régler le débit du système de prélèvement à volume constant et de maintenir un débit volumique constant dans des conditions normales ; </w:t>
      </w:r>
    </w:p>
    <w:p w:rsidR="00E24DB7" w:rsidRPr="002C5876" w:rsidRDefault="00E24DB7" w:rsidP="00E24DB7">
      <w:pPr>
        <w:pStyle w:val="SingleTxtG"/>
        <w:ind w:left="2835" w:hanging="567"/>
      </w:pPr>
      <w:r w:rsidRPr="002C5876">
        <w:t>b)</w:t>
      </w:r>
      <w:r w:rsidRPr="002C5876">
        <w:tab/>
        <w:t>Un UFM ;</w:t>
      </w:r>
    </w:p>
    <w:p w:rsidR="00E24DB7" w:rsidRPr="002C5876" w:rsidRDefault="00E24DB7" w:rsidP="00E24DB7">
      <w:pPr>
        <w:pStyle w:val="SingleTxtG"/>
        <w:ind w:left="2835" w:hanging="567"/>
      </w:pPr>
      <w:r w:rsidRPr="002C5876">
        <w:t>c)</w:t>
      </w:r>
      <w:r w:rsidRPr="002C5876">
        <w:tab/>
        <w:t>Des dispositifs de mesure de la température et de la pression, T et</w:t>
      </w:r>
      <w:r w:rsidR="00FE10F2" w:rsidRPr="002C5876">
        <w:t> </w:t>
      </w:r>
      <w:r w:rsidRPr="002C5876">
        <w:t xml:space="preserve">P, nécessaires au réglage du débit ; </w:t>
      </w:r>
    </w:p>
    <w:p w:rsidR="00E24DB7" w:rsidRPr="002C5876" w:rsidRDefault="00E24DB7" w:rsidP="00E24DB7">
      <w:pPr>
        <w:pStyle w:val="SingleTxtG"/>
        <w:ind w:left="2835" w:hanging="567"/>
      </w:pPr>
      <w:r w:rsidRPr="002C5876">
        <w:t>d)</w:t>
      </w:r>
      <w:r w:rsidRPr="002C5876">
        <w:tab/>
        <w:t xml:space="preserve">Le cas échéant, un échangeur de chaleur destiné à régler la température des gaz d’échappement dilués en amont de l’UFM suivant les prescriptions du paragraphe 3.3.5.1 de la présente annexe. Pendant tout l’essai, la température du mélange air/gaz d’échappement telle que mesurée immédiatement en amont du dispositif d’aspiration ne doit pas s’écarter de plus de </w:t>
      </w:r>
      <w:r w:rsidRPr="002C5876">
        <w:sym w:font="Symbol" w:char="F0B1"/>
      </w:r>
      <w:r w:rsidRPr="002C5876">
        <w:t xml:space="preserve">6 °C de la valeur moyenne arithmétique de la température de fonctionnement pendant l’essai. </w:t>
      </w:r>
    </w:p>
    <w:p w:rsidR="00E24DB7" w:rsidRPr="002C5876" w:rsidRDefault="00E24DB7" w:rsidP="00E24DB7">
      <w:pPr>
        <w:pStyle w:val="H23G"/>
      </w:pPr>
      <w:r w:rsidRPr="002C5876">
        <w:lastRenderedPageBreak/>
        <w:tab/>
      </w:r>
      <w:r w:rsidRPr="002C5876">
        <w:tab/>
      </w:r>
      <w:r w:rsidRPr="002C5876">
        <w:rPr>
          <w:b w:val="0"/>
        </w:rPr>
        <w:t>Figure A5/5</w:t>
      </w:r>
      <w:r w:rsidRPr="002C5876">
        <w:t xml:space="preserve"> </w:t>
      </w:r>
      <w:r w:rsidRPr="002C5876">
        <w:br/>
        <w:t>Schéma d’un débitmètre ultrasonique (UFM)</w:t>
      </w:r>
    </w:p>
    <w:p w:rsidR="00E24DB7" w:rsidRPr="002C5876" w:rsidRDefault="00E24DB7" w:rsidP="00E24DB7">
      <w:pPr>
        <w:pStyle w:val="SingleTxtG"/>
        <w:spacing w:after="240"/>
        <w:ind w:right="0"/>
      </w:pPr>
      <w:r w:rsidRPr="002C5876">
        <w:rPr>
          <w:noProof/>
          <w:lang w:val="en-GB" w:eastAsia="zh-CN"/>
        </w:rPr>
        <mc:AlternateContent>
          <mc:Choice Requires="wpc">
            <w:drawing>
              <wp:inline distT="0" distB="0" distL="0" distR="0" wp14:anchorId="09432F3A" wp14:editId="71778CD3">
                <wp:extent cx="5243830" cy="1188536"/>
                <wp:effectExtent l="0" t="0" r="13970" b="0"/>
                <wp:docPr id="13927" name="Canvas 4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2" name="Line 431"/>
                        <wps:cNvCnPr/>
                        <wps:spPr bwMode="auto">
                          <a:xfrm>
                            <a:off x="16510" y="629285"/>
                            <a:ext cx="918845" cy="635"/>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153" name="Line 432"/>
                        <wps:cNvCnPr/>
                        <wps:spPr bwMode="auto">
                          <a:xfrm>
                            <a:off x="16510" y="935990"/>
                            <a:ext cx="918845" cy="635"/>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154" name="Rectangle 433"/>
                        <wps:cNvSpPr>
                          <a:spLocks noChangeArrowheads="1"/>
                        </wps:cNvSpPr>
                        <wps:spPr bwMode="auto">
                          <a:xfrm>
                            <a:off x="935355" y="476250"/>
                            <a:ext cx="918845" cy="612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434"/>
                        <wps:cNvSpPr>
                          <a:spLocks noChangeArrowheads="1"/>
                        </wps:cNvSpPr>
                        <wps:spPr bwMode="auto">
                          <a:xfrm>
                            <a:off x="935355" y="476250"/>
                            <a:ext cx="918845" cy="612775"/>
                          </a:xfrm>
                          <a:prstGeom prst="rect">
                            <a:avLst/>
                          </a:prstGeom>
                          <a:noFill/>
                          <a:ln w="1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Line 440"/>
                        <wps:cNvCnPr/>
                        <wps:spPr bwMode="auto">
                          <a:xfrm>
                            <a:off x="1854200" y="629285"/>
                            <a:ext cx="612775" cy="635"/>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157" name="Line 441"/>
                        <wps:cNvCnPr/>
                        <wps:spPr bwMode="auto">
                          <a:xfrm>
                            <a:off x="1854200" y="935990"/>
                            <a:ext cx="612775" cy="635"/>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158" name="Rectangle 442"/>
                        <wps:cNvSpPr>
                          <a:spLocks noChangeArrowheads="1"/>
                        </wps:cNvSpPr>
                        <wps:spPr bwMode="auto">
                          <a:xfrm>
                            <a:off x="2466975" y="476250"/>
                            <a:ext cx="919480" cy="612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443"/>
                        <wps:cNvSpPr>
                          <a:spLocks noChangeArrowheads="1"/>
                        </wps:cNvSpPr>
                        <wps:spPr bwMode="auto">
                          <a:xfrm>
                            <a:off x="2466975" y="476250"/>
                            <a:ext cx="919480" cy="612775"/>
                          </a:xfrm>
                          <a:prstGeom prst="rect">
                            <a:avLst/>
                          </a:prstGeom>
                          <a:noFill/>
                          <a:ln w="1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88" name="Freeform 446"/>
                        <wps:cNvSpPr>
                          <a:spLocks/>
                        </wps:cNvSpPr>
                        <wps:spPr bwMode="auto">
                          <a:xfrm>
                            <a:off x="3386455" y="629285"/>
                            <a:ext cx="611505" cy="635"/>
                          </a:xfrm>
                          <a:custGeom>
                            <a:avLst/>
                            <a:gdLst>
                              <a:gd name="T0" fmla="*/ 0 w 963"/>
                              <a:gd name="T1" fmla="*/ 963 w 963"/>
                              <a:gd name="T2" fmla="*/ 0 w 963"/>
                            </a:gdLst>
                            <a:ahLst/>
                            <a:cxnLst>
                              <a:cxn ang="0">
                                <a:pos x="T0" y="0"/>
                              </a:cxn>
                              <a:cxn ang="0">
                                <a:pos x="T1" y="0"/>
                              </a:cxn>
                              <a:cxn ang="0">
                                <a:pos x="T2" y="0"/>
                              </a:cxn>
                            </a:cxnLst>
                            <a:rect l="0" t="0" r="r" b="b"/>
                            <a:pathLst>
                              <a:path w="963">
                                <a:moveTo>
                                  <a:pt x="0" y="0"/>
                                </a:moveTo>
                                <a:lnTo>
                                  <a:pt x="963" y="0"/>
                                </a:lnTo>
                                <a:lnTo>
                                  <a:pt x="0" y="0"/>
                                </a:lnTo>
                                <a:close/>
                              </a:path>
                            </a:pathLst>
                          </a:custGeom>
                          <a:noFill/>
                          <a:ln w="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89" name="Freeform 447"/>
                        <wps:cNvSpPr>
                          <a:spLocks/>
                        </wps:cNvSpPr>
                        <wps:spPr bwMode="auto">
                          <a:xfrm>
                            <a:off x="3386455" y="935990"/>
                            <a:ext cx="611505" cy="635"/>
                          </a:xfrm>
                          <a:custGeom>
                            <a:avLst/>
                            <a:gdLst>
                              <a:gd name="T0" fmla="*/ 0 w 963"/>
                              <a:gd name="T1" fmla="*/ 963 w 963"/>
                              <a:gd name="T2" fmla="*/ 0 w 963"/>
                            </a:gdLst>
                            <a:ahLst/>
                            <a:cxnLst>
                              <a:cxn ang="0">
                                <a:pos x="T0" y="0"/>
                              </a:cxn>
                              <a:cxn ang="0">
                                <a:pos x="T1" y="0"/>
                              </a:cxn>
                              <a:cxn ang="0">
                                <a:pos x="T2" y="0"/>
                              </a:cxn>
                            </a:cxnLst>
                            <a:rect l="0" t="0" r="r" b="b"/>
                            <a:pathLst>
                              <a:path w="963">
                                <a:moveTo>
                                  <a:pt x="0" y="0"/>
                                </a:moveTo>
                                <a:lnTo>
                                  <a:pt x="963" y="0"/>
                                </a:lnTo>
                                <a:lnTo>
                                  <a:pt x="0" y="0"/>
                                </a:lnTo>
                                <a:close/>
                              </a:path>
                            </a:pathLst>
                          </a:custGeom>
                          <a:noFill/>
                          <a:ln w="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8" name="Rectangle 448"/>
                        <wps:cNvSpPr>
                          <a:spLocks noChangeArrowheads="1"/>
                        </wps:cNvSpPr>
                        <wps:spPr bwMode="auto">
                          <a:xfrm>
                            <a:off x="3997960" y="476250"/>
                            <a:ext cx="919480" cy="612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99" name="Rectangle 449"/>
                        <wps:cNvSpPr>
                          <a:spLocks noChangeArrowheads="1"/>
                        </wps:cNvSpPr>
                        <wps:spPr bwMode="auto">
                          <a:xfrm>
                            <a:off x="3997960" y="476250"/>
                            <a:ext cx="919480" cy="612775"/>
                          </a:xfrm>
                          <a:prstGeom prst="rect">
                            <a:avLst/>
                          </a:prstGeom>
                          <a:noFill/>
                          <a:ln w="1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0" name="Line 452"/>
                        <wps:cNvCnPr/>
                        <wps:spPr bwMode="auto">
                          <a:xfrm>
                            <a:off x="4917440" y="629285"/>
                            <a:ext cx="306070" cy="635"/>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13901" name="Line 453"/>
                        <wps:cNvCnPr/>
                        <wps:spPr bwMode="auto">
                          <a:xfrm>
                            <a:off x="4917440" y="935990"/>
                            <a:ext cx="306070" cy="635"/>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13902" name="Line 454"/>
                        <wps:cNvCnPr/>
                        <wps:spPr bwMode="auto">
                          <a:xfrm flipV="1">
                            <a:off x="2313940" y="322580"/>
                            <a:ext cx="635" cy="460375"/>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13903" name="Freeform 455"/>
                        <wps:cNvSpPr>
                          <a:spLocks/>
                        </wps:cNvSpPr>
                        <wps:spPr bwMode="auto">
                          <a:xfrm>
                            <a:off x="2160905" y="16510"/>
                            <a:ext cx="306070" cy="306070"/>
                          </a:xfrm>
                          <a:custGeom>
                            <a:avLst/>
                            <a:gdLst>
                              <a:gd name="T0" fmla="*/ 481 w 482"/>
                              <a:gd name="T1" fmla="*/ 217 h 482"/>
                              <a:gd name="T2" fmla="*/ 475 w 482"/>
                              <a:gd name="T3" fmla="*/ 181 h 482"/>
                              <a:gd name="T4" fmla="*/ 463 w 482"/>
                              <a:gd name="T5" fmla="*/ 146 h 482"/>
                              <a:gd name="T6" fmla="*/ 447 w 482"/>
                              <a:gd name="T7" fmla="*/ 116 h 482"/>
                              <a:gd name="T8" fmla="*/ 426 w 482"/>
                              <a:gd name="T9" fmla="*/ 88 h 482"/>
                              <a:gd name="T10" fmla="*/ 403 w 482"/>
                              <a:gd name="T11" fmla="*/ 62 h 482"/>
                              <a:gd name="T12" fmla="*/ 375 w 482"/>
                              <a:gd name="T13" fmla="*/ 40 h 482"/>
                              <a:gd name="T14" fmla="*/ 344 w 482"/>
                              <a:gd name="T15" fmla="*/ 24 h 482"/>
                              <a:gd name="T16" fmla="*/ 313 w 482"/>
                              <a:gd name="T17" fmla="*/ 10 h 482"/>
                              <a:gd name="T18" fmla="*/ 277 w 482"/>
                              <a:gd name="T19" fmla="*/ 2 h 482"/>
                              <a:gd name="T20" fmla="*/ 241 w 482"/>
                              <a:gd name="T21" fmla="*/ 0 h 482"/>
                              <a:gd name="T22" fmla="*/ 204 w 482"/>
                              <a:gd name="T23" fmla="*/ 2 h 482"/>
                              <a:gd name="T24" fmla="*/ 168 w 482"/>
                              <a:gd name="T25" fmla="*/ 10 h 482"/>
                              <a:gd name="T26" fmla="*/ 136 w 482"/>
                              <a:gd name="T27" fmla="*/ 24 h 482"/>
                              <a:gd name="T28" fmla="*/ 106 w 482"/>
                              <a:gd name="T29" fmla="*/ 40 h 482"/>
                              <a:gd name="T30" fmla="*/ 78 w 482"/>
                              <a:gd name="T31" fmla="*/ 62 h 482"/>
                              <a:gd name="T32" fmla="*/ 55 w 482"/>
                              <a:gd name="T33" fmla="*/ 88 h 482"/>
                              <a:gd name="T34" fmla="*/ 34 w 482"/>
                              <a:gd name="T35" fmla="*/ 116 h 482"/>
                              <a:gd name="T36" fmla="*/ 18 w 482"/>
                              <a:gd name="T37" fmla="*/ 146 h 482"/>
                              <a:gd name="T38" fmla="*/ 6 w 482"/>
                              <a:gd name="T39" fmla="*/ 181 h 482"/>
                              <a:gd name="T40" fmla="*/ 0 w 482"/>
                              <a:gd name="T41" fmla="*/ 217 h 482"/>
                              <a:gd name="T42" fmla="*/ 0 w 482"/>
                              <a:gd name="T43" fmla="*/ 254 h 482"/>
                              <a:gd name="T44" fmla="*/ 4 w 482"/>
                              <a:gd name="T45" fmla="*/ 290 h 482"/>
                              <a:gd name="T46" fmla="*/ 14 w 482"/>
                              <a:gd name="T47" fmla="*/ 324 h 482"/>
                              <a:gd name="T48" fmla="*/ 28 w 482"/>
                              <a:gd name="T49" fmla="*/ 356 h 482"/>
                              <a:gd name="T50" fmla="*/ 47 w 482"/>
                              <a:gd name="T51" fmla="*/ 385 h 482"/>
                              <a:gd name="T52" fmla="*/ 70 w 482"/>
                              <a:gd name="T53" fmla="*/ 411 h 482"/>
                              <a:gd name="T54" fmla="*/ 96 w 482"/>
                              <a:gd name="T55" fmla="*/ 434 h 482"/>
                              <a:gd name="T56" fmla="*/ 125 w 482"/>
                              <a:gd name="T57" fmla="*/ 453 h 482"/>
                              <a:gd name="T58" fmla="*/ 158 w 482"/>
                              <a:gd name="T59" fmla="*/ 467 h 482"/>
                              <a:gd name="T60" fmla="*/ 191 w 482"/>
                              <a:gd name="T61" fmla="*/ 477 h 482"/>
                              <a:gd name="T62" fmla="*/ 228 w 482"/>
                              <a:gd name="T63" fmla="*/ 482 h 482"/>
                              <a:gd name="T64" fmla="*/ 265 w 482"/>
                              <a:gd name="T65" fmla="*/ 481 h 482"/>
                              <a:gd name="T66" fmla="*/ 301 w 482"/>
                              <a:gd name="T67" fmla="*/ 475 h 482"/>
                              <a:gd name="T68" fmla="*/ 334 w 482"/>
                              <a:gd name="T69" fmla="*/ 463 h 482"/>
                              <a:gd name="T70" fmla="*/ 366 w 482"/>
                              <a:gd name="T71" fmla="*/ 447 h 482"/>
                              <a:gd name="T72" fmla="*/ 394 w 482"/>
                              <a:gd name="T73" fmla="*/ 427 h 482"/>
                              <a:gd name="T74" fmla="*/ 418 w 482"/>
                              <a:gd name="T75" fmla="*/ 403 h 482"/>
                              <a:gd name="T76" fmla="*/ 440 w 482"/>
                              <a:gd name="T77" fmla="*/ 376 h 482"/>
                              <a:gd name="T78" fmla="*/ 458 w 482"/>
                              <a:gd name="T79" fmla="*/ 346 h 482"/>
                              <a:gd name="T80" fmla="*/ 471 w 482"/>
                              <a:gd name="T81" fmla="*/ 312 h 482"/>
                              <a:gd name="T82" fmla="*/ 478 w 482"/>
                              <a:gd name="T83" fmla="*/ 278 h 482"/>
                              <a:gd name="T84" fmla="*/ 482 w 482"/>
                              <a:gd name="T85" fmla="*/ 24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82" h="482">
                                <a:moveTo>
                                  <a:pt x="482" y="241"/>
                                </a:moveTo>
                                <a:lnTo>
                                  <a:pt x="481" y="228"/>
                                </a:lnTo>
                                <a:lnTo>
                                  <a:pt x="481" y="217"/>
                                </a:lnTo>
                                <a:lnTo>
                                  <a:pt x="478" y="204"/>
                                </a:lnTo>
                                <a:lnTo>
                                  <a:pt x="477" y="192"/>
                                </a:lnTo>
                                <a:lnTo>
                                  <a:pt x="475" y="181"/>
                                </a:lnTo>
                                <a:lnTo>
                                  <a:pt x="471" y="169"/>
                                </a:lnTo>
                                <a:lnTo>
                                  <a:pt x="467" y="158"/>
                                </a:lnTo>
                                <a:lnTo>
                                  <a:pt x="463" y="146"/>
                                </a:lnTo>
                                <a:lnTo>
                                  <a:pt x="458" y="136"/>
                                </a:lnTo>
                                <a:lnTo>
                                  <a:pt x="453" y="126"/>
                                </a:lnTo>
                                <a:lnTo>
                                  <a:pt x="447" y="116"/>
                                </a:lnTo>
                                <a:lnTo>
                                  <a:pt x="440" y="106"/>
                                </a:lnTo>
                                <a:lnTo>
                                  <a:pt x="434" y="97"/>
                                </a:lnTo>
                                <a:lnTo>
                                  <a:pt x="426" y="88"/>
                                </a:lnTo>
                                <a:lnTo>
                                  <a:pt x="418" y="79"/>
                                </a:lnTo>
                                <a:lnTo>
                                  <a:pt x="411" y="70"/>
                                </a:lnTo>
                                <a:lnTo>
                                  <a:pt x="403" y="62"/>
                                </a:lnTo>
                                <a:lnTo>
                                  <a:pt x="394" y="54"/>
                                </a:lnTo>
                                <a:lnTo>
                                  <a:pt x="385" y="47"/>
                                </a:lnTo>
                                <a:lnTo>
                                  <a:pt x="375" y="40"/>
                                </a:lnTo>
                                <a:lnTo>
                                  <a:pt x="366" y="34"/>
                                </a:lnTo>
                                <a:lnTo>
                                  <a:pt x="356" y="29"/>
                                </a:lnTo>
                                <a:lnTo>
                                  <a:pt x="344" y="24"/>
                                </a:lnTo>
                                <a:lnTo>
                                  <a:pt x="334" y="19"/>
                                </a:lnTo>
                                <a:lnTo>
                                  <a:pt x="323" y="14"/>
                                </a:lnTo>
                                <a:lnTo>
                                  <a:pt x="313" y="10"/>
                                </a:lnTo>
                                <a:lnTo>
                                  <a:pt x="301" y="7"/>
                                </a:lnTo>
                                <a:lnTo>
                                  <a:pt x="290" y="5"/>
                                </a:lnTo>
                                <a:lnTo>
                                  <a:pt x="277" y="2"/>
                                </a:lnTo>
                                <a:lnTo>
                                  <a:pt x="265" y="1"/>
                                </a:lnTo>
                                <a:lnTo>
                                  <a:pt x="253" y="0"/>
                                </a:lnTo>
                                <a:lnTo>
                                  <a:pt x="241" y="0"/>
                                </a:lnTo>
                                <a:lnTo>
                                  <a:pt x="228" y="0"/>
                                </a:lnTo>
                                <a:lnTo>
                                  <a:pt x="216" y="1"/>
                                </a:lnTo>
                                <a:lnTo>
                                  <a:pt x="204" y="2"/>
                                </a:lnTo>
                                <a:lnTo>
                                  <a:pt x="191" y="5"/>
                                </a:lnTo>
                                <a:lnTo>
                                  <a:pt x="180" y="7"/>
                                </a:lnTo>
                                <a:lnTo>
                                  <a:pt x="168" y="10"/>
                                </a:lnTo>
                                <a:lnTo>
                                  <a:pt x="158" y="14"/>
                                </a:lnTo>
                                <a:lnTo>
                                  <a:pt x="147" y="19"/>
                                </a:lnTo>
                                <a:lnTo>
                                  <a:pt x="136" y="24"/>
                                </a:lnTo>
                                <a:lnTo>
                                  <a:pt x="125" y="29"/>
                                </a:lnTo>
                                <a:lnTo>
                                  <a:pt x="116" y="34"/>
                                </a:lnTo>
                                <a:lnTo>
                                  <a:pt x="106" y="40"/>
                                </a:lnTo>
                                <a:lnTo>
                                  <a:pt x="96" y="47"/>
                                </a:lnTo>
                                <a:lnTo>
                                  <a:pt x="87" y="54"/>
                                </a:lnTo>
                                <a:lnTo>
                                  <a:pt x="78" y="62"/>
                                </a:lnTo>
                                <a:lnTo>
                                  <a:pt x="70" y="70"/>
                                </a:lnTo>
                                <a:lnTo>
                                  <a:pt x="62" y="79"/>
                                </a:lnTo>
                                <a:lnTo>
                                  <a:pt x="55" y="88"/>
                                </a:lnTo>
                                <a:lnTo>
                                  <a:pt x="47" y="97"/>
                                </a:lnTo>
                                <a:lnTo>
                                  <a:pt x="41" y="106"/>
                                </a:lnTo>
                                <a:lnTo>
                                  <a:pt x="34" y="116"/>
                                </a:lnTo>
                                <a:lnTo>
                                  <a:pt x="28" y="126"/>
                                </a:lnTo>
                                <a:lnTo>
                                  <a:pt x="23" y="136"/>
                                </a:lnTo>
                                <a:lnTo>
                                  <a:pt x="18" y="146"/>
                                </a:lnTo>
                                <a:lnTo>
                                  <a:pt x="14" y="158"/>
                                </a:lnTo>
                                <a:lnTo>
                                  <a:pt x="10" y="169"/>
                                </a:lnTo>
                                <a:lnTo>
                                  <a:pt x="6" y="181"/>
                                </a:lnTo>
                                <a:lnTo>
                                  <a:pt x="4" y="192"/>
                                </a:lnTo>
                                <a:lnTo>
                                  <a:pt x="2" y="204"/>
                                </a:lnTo>
                                <a:lnTo>
                                  <a:pt x="0" y="217"/>
                                </a:lnTo>
                                <a:lnTo>
                                  <a:pt x="0" y="228"/>
                                </a:lnTo>
                                <a:lnTo>
                                  <a:pt x="0" y="241"/>
                                </a:lnTo>
                                <a:lnTo>
                                  <a:pt x="0" y="254"/>
                                </a:lnTo>
                                <a:lnTo>
                                  <a:pt x="0" y="265"/>
                                </a:lnTo>
                                <a:lnTo>
                                  <a:pt x="2" y="278"/>
                                </a:lnTo>
                                <a:lnTo>
                                  <a:pt x="4" y="290"/>
                                </a:lnTo>
                                <a:lnTo>
                                  <a:pt x="6" y="301"/>
                                </a:lnTo>
                                <a:lnTo>
                                  <a:pt x="10" y="312"/>
                                </a:lnTo>
                                <a:lnTo>
                                  <a:pt x="14" y="324"/>
                                </a:lnTo>
                                <a:lnTo>
                                  <a:pt x="18" y="334"/>
                                </a:lnTo>
                                <a:lnTo>
                                  <a:pt x="23" y="346"/>
                                </a:lnTo>
                                <a:lnTo>
                                  <a:pt x="28" y="356"/>
                                </a:lnTo>
                                <a:lnTo>
                                  <a:pt x="34" y="366"/>
                                </a:lnTo>
                                <a:lnTo>
                                  <a:pt x="41" y="376"/>
                                </a:lnTo>
                                <a:lnTo>
                                  <a:pt x="47" y="385"/>
                                </a:lnTo>
                                <a:lnTo>
                                  <a:pt x="55" y="394"/>
                                </a:lnTo>
                                <a:lnTo>
                                  <a:pt x="62" y="403"/>
                                </a:lnTo>
                                <a:lnTo>
                                  <a:pt x="70" y="411"/>
                                </a:lnTo>
                                <a:lnTo>
                                  <a:pt x="78" y="420"/>
                                </a:lnTo>
                                <a:lnTo>
                                  <a:pt x="87" y="427"/>
                                </a:lnTo>
                                <a:lnTo>
                                  <a:pt x="96" y="434"/>
                                </a:lnTo>
                                <a:lnTo>
                                  <a:pt x="106" y="442"/>
                                </a:lnTo>
                                <a:lnTo>
                                  <a:pt x="116" y="447"/>
                                </a:lnTo>
                                <a:lnTo>
                                  <a:pt x="125" y="453"/>
                                </a:lnTo>
                                <a:lnTo>
                                  <a:pt x="136" y="458"/>
                                </a:lnTo>
                                <a:lnTo>
                                  <a:pt x="147" y="463"/>
                                </a:lnTo>
                                <a:lnTo>
                                  <a:pt x="158" y="467"/>
                                </a:lnTo>
                                <a:lnTo>
                                  <a:pt x="168" y="471"/>
                                </a:lnTo>
                                <a:lnTo>
                                  <a:pt x="180" y="475"/>
                                </a:lnTo>
                                <a:lnTo>
                                  <a:pt x="191" y="477"/>
                                </a:lnTo>
                                <a:lnTo>
                                  <a:pt x="204" y="480"/>
                                </a:lnTo>
                                <a:lnTo>
                                  <a:pt x="216" y="481"/>
                                </a:lnTo>
                                <a:lnTo>
                                  <a:pt x="228" y="482"/>
                                </a:lnTo>
                                <a:lnTo>
                                  <a:pt x="241" y="482"/>
                                </a:lnTo>
                                <a:lnTo>
                                  <a:pt x="253" y="482"/>
                                </a:lnTo>
                                <a:lnTo>
                                  <a:pt x="265" y="481"/>
                                </a:lnTo>
                                <a:lnTo>
                                  <a:pt x="277" y="480"/>
                                </a:lnTo>
                                <a:lnTo>
                                  <a:pt x="290" y="477"/>
                                </a:lnTo>
                                <a:lnTo>
                                  <a:pt x="301" y="475"/>
                                </a:lnTo>
                                <a:lnTo>
                                  <a:pt x="313" y="471"/>
                                </a:lnTo>
                                <a:lnTo>
                                  <a:pt x="324" y="467"/>
                                </a:lnTo>
                                <a:lnTo>
                                  <a:pt x="334" y="463"/>
                                </a:lnTo>
                                <a:lnTo>
                                  <a:pt x="344" y="458"/>
                                </a:lnTo>
                                <a:lnTo>
                                  <a:pt x="356" y="453"/>
                                </a:lnTo>
                                <a:lnTo>
                                  <a:pt x="366" y="447"/>
                                </a:lnTo>
                                <a:lnTo>
                                  <a:pt x="375" y="442"/>
                                </a:lnTo>
                                <a:lnTo>
                                  <a:pt x="385" y="434"/>
                                </a:lnTo>
                                <a:lnTo>
                                  <a:pt x="394" y="427"/>
                                </a:lnTo>
                                <a:lnTo>
                                  <a:pt x="403" y="420"/>
                                </a:lnTo>
                                <a:lnTo>
                                  <a:pt x="411" y="411"/>
                                </a:lnTo>
                                <a:lnTo>
                                  <a:pt x="418" y="403"/>
                                </a:lnTo>
                                <a:lnTo>
                                  <a:pt x="426" y="394"/>
                                </a:lnTo>
                                <a:lnTo>
                                  <a:pt x="434" y="385"/>
                                </a:lnTo>
                                <a:lnTo>
                                  <a:pt x="440" y="376"/>
                                </a:lnTo>
                                <a:lnTo>
                                  <a:pt x="447" y="366"/>
                                </a:lnTo>
                                <a:lnTo>
                                  <a:pt x="453" y="356"/>
                                </a:lnTo>
                                <a:lnTo>
                                  <a:pt x="458" y="346"/>
                                </a:lnTo>
                                <a:lnTo>
                                  <a:pt x="463" y="334"/>
                                </a:lnTo>
                                <a:lnTo>
                                  <a:pt x="467" y="324"/>
                                </a:lnTo>
                                <a:lnTo>
                                  <a:pt x="471" y="312"/>
                                </a:lnTo>
                                <a:lnTo>
                                  <a:pt x="475" y="301"/>
                                </a:lnTo>
                                <a:lnTo>
                                  <a:pt x="477" y="290"/>
                                </a:lnTo>
                                <a:lnTo>
                                  <a:pt x="478" y="278"/>
                                </a:lnTo>
                                <a:lnTo>
                                  <a:pt x="481" y="265"/>
                                </a:lnTo>
                                <a:lnTo>
                                  <a:pt x="481" y="254"/>
                                </a:lnTo>
                                <a:lnTo>
                                  <a:pt x="482" y="2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4" name="Freeform 456"/>
                        <wps:cNvSpPr>
                          <a:spLocks/>
                        </wps:cNvSpPr>
                        <wps:spPr bwMode="auto">
                          <a:xfrm>
                            <a:off x="2160905" y="16510"/>
                            <a:ext cx="306070" cy="306070"/>
                          </a:xfrm>
                          <a:custGeom>
                            <a:avLst/>
                            <a:gdLst>
                              <a:gd name="T0" fmla="*/ 481 w 482"/>
                              <a:gd name="T1" fmla="*/ 217 h 482"/>
                              <a:gd name="T2" fmla="*/ 475 w 482"/>
                              <a:gd name="T3" fmla="*/ 181 h 482"/>
                              <a:gd name="T4" fmla="*/ 463 w 482"/>
                              <a:gd name="T5" fmla="*/ 146 h 482"/>
                              <a:gd name="T6" fmla="*/ 447 w 482"/>
                              <a:gd name="T7" fmla="*/ 116 h 482"/>
                              <a:gd name="T8" fmla="*/ 426 w 482"/>
                              <a:gd name="T9" fmla="*/ 88 h 482"/>
                              <a:gd name="T10" fmla="*/ 403 w 482"/>
                              <a:gd name="T11" fmla="*/ 62 h 482"/>
                              <a:gd name="T12" fmla="*/ 375 w 482"/>
                              <a:gd name="T13" fmla="*/ 40 h 482"/>
                              <a:gd name="T14" fmla="*/ 344 w 482"/>
                              <a:gd name="T15" fmla="*/ 24 h 482"/>
                              <a:gd name="T16" fmla="*/ 313 w 482"/>
                              <a:gd name="T17" fmla="*/ 10 h 482"/>
                              <a:gd name="T18" fmla="*/ 277 w 482"/>
                              <a:gd name="T19" fmla="*/ 2 h 482"/>
                              <a:gd name="T20" fmla="*/ 241 w 482"/>
                              <a:gd name="T21" fmla="*/ 0 h 482"/>
                              <a:gd name="T22" fmla="*/ 204 w 482"/>
                              <a:gd name="T23" fmla="*/ 2 h 482"/>
                              <a:gd name="T24" fmla="*/ 168 w 482"/>
                              <a:gd name="T25" fmla="*/ 10 h 482"/>
                              <a:gd name="T26" fmla="*/ 136 w 482"/>
                              <a:gd name="T27" fmla="*/ 24 h 482"/>
                              <a:gd name="T28" fmla="*/ 106 w 482"/>
                              <a:gd name="T29" fmla="*/ 40 h 482"/>
                              <a:gd name="T30" fmla="*/ 78 w 482"/>
                              <a:gd name="T31" fmla="*/ 62 h 482"/>
                              <a:gd name="T32" fmla="*/ 55 w 482"/>
                              <a:gd name="T33" fmla="*/ 88 h 482"/>
                              <a:gd name="T34" fmla="*/ 34 w 482"/>
                              <a:gd name="T35" fmla="*/ 116 h 482"/>
                              <a:gd name="T36" fmla="*/ 18 w 482"/>
                              <a:gd name="T37" fmla="*/ 146 h 482"/>
                              <a:gd name="T38" fmla="*/ 6 w 482"/>
                              <a:gd name="T39" fmla="*/ 181 h 482"/>
                              <a:gd name="T40" fmla="*/ 0 w 482"/>
                              <a:gd name="T41" fmla="*/ 217 h 482"/>
                              <a:gd name="T42" fmla="*/ 0 w 482"/>
                              <a:gd name="T43" fmla="*/ 254 h 482"/>
                              <a:gd name="T44" fmla="*/ 4 w 482"/>
                              <a:gd name="T45" fmla="*/ 290 h 482"/>
                              <a:gd name="T46" fmla="*/ 14 w 482"/>
                              <a:gd name="T47" fmla="*/ 324 h 482"/>
                              <a:gd name="T48" fmla="*/ 28 w 482"/>
                              <a:gd name="T49" fmla="*/ 356 h 482"/>
                              <a:gd name="T50" fmla="*/ 47 w 482"/>
                              <a:gd name="T51" fmla="*/ 385 h 482"/>
                              <a:gd name="T52" fmla="*/ 70 w 482"/>
                              <a:gd name="T53" fmla="*/ 411 h 482"/>
                              <a:gd name="T54" fmla="*/ 96 w 482"/>
                              <a:gd name="T55" fmla="*/ 434 h 482"/>
                              <a:gd name="T56" fmla="*/ 125 w 482"/>
                              <a:gd name="T57" fmla="*/ 453 h 482"/>
                              <a:gd name="T58" fmla="*/ 158 w 482"/>
                              <a:gd name="T59" fmla="*/ 467 h 482"/>
                              <a:gd name="T60" fmla="*/ 191 w 482"/>
                              <a:gd name="T61" fmla="*/ 477 h 482"/>
                              <a:gd name="T62" fmla="*/ 228 w 482"/>
                              <a:gd name="T63" fmla="*/ 482 h 482"/>
                              <a:gd name="T64" fmla="*/ 265 w 482"/>
                              <a:gd name="T65" fmla="*/ 481 h 482"/>
                              <a:gd name="T66" fmla="*/ 301 w 482"/>
                              <a:gd name="T67" fmla="*/ 475 h 482"/>
                              <a:gd name="T68" fmla="*/ 334 w 482"/>
                              <a:gd name="T69" fmla="*/ 463 h 482"/>
                              <a:gd name="T70" fmla="*/ 366 w 482"/>
                              <a:gd name="T71" fmla="*/ 447 h 482"/>
                              <a:gd name="T72" fmla="*/ 394 w 482"/>
                              <a:gd name="T73" fmla="*/ 427 h 482"/>
                              <a:gd name="T74" fmla="*/ 418 w 482"/>
                              <a:gd name="T75" fmla="*/ 403 h 482"/>
                              <a:gd name="T76" fmla="*/ 440 w 482"/>
                              <a:gd name="T77" fmla="*/ 376 h 482"/>
                              <a:gd name="T78" fmla="*/ 458 w 482"/>
                              <a:gd name="T79" fmla="*/ 346 h 482"/>
                              <a:gd name="T80" fmla="*/ 471 w 482"/>
                              <a:gd name="T81" fmla="*/ 312 h 482"/>
                              <a:gd name="T82" fmla="*/ 478 w 482"/>
                              <a:gd name="T83" fmla="*/ 278 h 482"/>
                              <a:gd name="T84" fmla="*/ 482 w 482"/>
                              <a:gd name="T85" fmla="*/ 24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82" h="482">
                                <a:moveTo>
                                  <a:pt x="482" y="241"/>
                                </a:moveTo>
                                <a:lnTo>
                                  <a:pt x="481" y="228"/>
                                </a:lnTo>
                                <a:lnTo>
                                  <a:pt x="481" y="217"/>
                                </a:lnTo>
                                <a:lnTo>
                                  <a:pt x="478" y="204"/>
                                </a:lnTo>
                                <a:lnTo>
                                  <a:pt x="477" y="192"/>
                                </a:lnTo>
                                <a:lnTo>
                                  <a:pt x="475" y="181"/>
                                </a:lnTo>
                                <a:lnTo>
                                  <a:pt x="471" y="169"/>
                                </a:lnTo>
                                <a:lnTo>
                                  <a:pt x="467" y="158"/>
                                </a:lnTo>
                                <a:lnTo>
                                  <a:pt x="463" y="146"/>
                                </a:lnTo>
                                <a:lnTo>
                                  <a:pt x="458" y="136"/>
                                </a:lnTo>
                                <a:lnTo>
                                  <a:pt x="453" y="126"/>
                                </a:lnTo>
                                <a:lnTo>
                                  <a:pt x="447" y="116"/>
                                </a:lnTo>
                                <a:lnTo>
                                  <a:pt x="440" y="106"/>
                                </a:lnTo>
                                <a:lnTo>
                                  <a:pt x="434" y="97"/>
                                </a:lnTo>
                                <a:lnTo>
                                  <a:pt x="426" y="88"/>
                                </a:lnTo>
                                <a:lnTo>
                                  <a:pt x="418" y="79"/>
                                </a:lnTo>
                                <a:lnTo>
                                  <a:pt x="411" y="70"/>
                                </a:lnTo>
                                <a:lnTo>
                                  <a:pt x="403" y="62"/>
                                </a:lnTo>
                                <a:lnTo>
                                  <a:pt x="394" y="54"/>
                                </a:lnTo>
                                <a:lnTo>
                                  <a:pt x="385" y="47"/>
                                </a:lnTo>
                                <a:lnTo>
                                  <a:pt x="375" y="40"/>
                                </a:lnTo>
                                <a:lnTo>
                                  <a:pt x="366" y="34"/>
                                </a:lnTo>
                                <a:lnTo>
                                  <a:pt x="356" y="29"/>
                                </a:lnTo>
                                <a:lnTo>
                                  <a:pt x="344" y="24"/>
                                </a:lnTo>
                                <a:lnTo>
                                  <a:pt x="334" y="19"/>
                                </a:lnTo>
                                <a:lnTo>
                                  <a:pt x="323" y="14"/>
                                </a:lnTo>
                                <a:lnTo>
                                  <a:pt x="313" y="10"/>
                                </a:lnTo>
                                <a:lnTo>
                                  <a:pt x="301" y="7"/>
                                </a:lnTo>
                                <a:lnTo>
                                  <a:pt x="290" y="5"/>
                                </a:lnTo>
                                <a:lnTo>
                                  <a:pt x="277" y="2"/>
                                </a:lnTo>
                                <a:lnTo>
                                  <a:pt x="265" y="1"/>
                                </a:lnTo>
                                <a:lnTo>
                                  <a:pt x="253" y="0"/>
                                </a:lnTo>
                                <a:lnTo>
                                  <a:pt x="241" y="0"/>
                                </a:lnTo>
                                <a:lnTo>
                                  <a:pt x="228" y="0"/>
                                </a:lnTo>
                                <a:lnTo>
                                  <a:pt x="216" y="1"/>
                                </a:lnTo>
                                <a:lnTo>
                                  <a:pt x="204" y="2"/>
                                </a:lnTo>
                                <a:lnTo>
                                  <a:pt x="191" y="5"/>
                                </a:lnTo>
                                <a:lnTo>
                                  <a:pt x="180" y="7"/>
                                </a:lnTo>
                                <a:lnTo>
                                  <a:pt x="168" y="10"/>
                                </a:lnTo>
                                <a:lnTo>
                                  <a:pt x="158" y="14"/>
                                </a:lnTo>
                                <a:lnTo>
                                  <a:pt x="147" y="19"/>
                                </a:lnTo>
                                <a:lnTo>
                                  <a:pt x="136" y="24"/>
                                </a:lnTo>
                                <a:lnTo>
                                  <a:pt x="125" y="29"/>
                                </a:lnTo>
                                <a:lnTo>
                                  <a:pt x="116" y="34"/>
                                </a:lnTo>
                                <a:lnTo>
                                  <a:pt x="106" y="40"/>
                                </a:lnTo>
                                <a:lnTo>
                                  <a:pt x="96" y="47"/>
                                </a:lnTo>
                                <a:lnTo>
                                  <a:pt x="87" y="54"/>
                                </a:lnTo>
                                <a:lnTo>
                                  <a:pt x="78" y="62"/>
                                </a:lnTo>
                                <a:lnTo>
                                  <a:pt x="70" y="70"/>
                                </a:lnTo>
                                <a:lnTo>
                                  <a:pt x="62" y="79"/>
                                </a:lnTo>
                                <a:lnTo>
                                  <a:pt x="55" y="88"/>
                                </a:lnTo>
                                <a:lnTo>
                                  <a:pt x="47" y="97"/>
                                </a:lnTo>
                                <a:lnTo>
                                  <a:pt x="41" y="106"/>
                                </a:lnTo>
                                <a:lnTo>
                                  <a:pt x="34" y="116"/>
                                </a:lnTo>
                                <a:lnTo>
                                  <a:pt x="28" y="126"/>
                                </a:lnTo>
                                <a:lnTo>
                                  <a:pt x="23" y="136"/>
                                </a:lnTo>
                                <a:lnTo>
                                  <a:pt x="18" y="146"/>
                                </a:lnTo>
                                <a:lnTo>
                                  <a:pt x="14" y="158"/>
                                </a:lnTo>
                                <a:lnTo>
                                  <a:pt x="10" y="169"/>
                                </a:lnTo>
                                <a:lnTo>
                                  <a:pt x="6" y="181"/>
                                </a:lnTo>
                                <a:lnTo>
                                  <a:pt x="4" y="192"/>
                                </a:lnTo>
                                <a:lnTo>
                                  <a:pt x="2" y="204"/>
                                </a:lnTo>
                                <a:lnTo>
                                  <a:pt x="0" y="217"/>
                                </a:lnTo>
                                <a:lnTo>
                                  <a:pt x="0" y="228"/>
                                </a:lnTo>
                                <a:lnTo>
                                  <a:pt x="0" y="241"/>
                                </a:lnTo>
                                <a:lnTo>
                                  <a:pt x="0" y="254"/>
                                </a:lnTo>
                                <a:lnTo>
                                  <a:pt x="0" y="265"/>
                                </a:lnTo>
                                <a:lnTo>
                                  <a:pt x="2" y="278"/>
                                </a:lnTo>
                                <a:lnTo>
                                  <a:pt x="4" y="290"/>
                                </a:lnTo>
                                <a:lnTo>
                                  <a:pt x="6" y="301"/>
                                </a:lnTo>
                                <a:lnTo>
                                  <a:pt x="10" y="312"/>
                                </a:lnTo>
                                <a:lnTo>
                                  <a:pt x="14" y="324"/>
                                </a:lnTo>
                                <a:lnTo>
                                  <a:pt x="18" y="334"/>
                                </a:lnTo>
                                <a:lnTo>
                                  <a:pt x="23" y="346"/>
                                </a:lnTo>
                                <a:lnTo>
                                  <a:pt x="28" y="356"/>
                                </a:lnTo>
                                <a:lnTo>
                                  <a:pt x="34" y="366"/>
                                </a:lnTo>
                                <a:lnTo>
                                  <a:pt x="41" y="376"/>
                                </a:lnTo>
                                <a:lnTo>
                                  <a:pt x="47" y="385"/>
                                </a:lnTo>
                                <a:lnTo>
                                  <a:pt x="55" y="394"/>
                                </a:lnTo>
                                <a:lnTo>
                                  <a:pt x="62" y="403"/>
                                </a:lnTo>
                                <a:lnTo>
                                  <a:pt x="70" y="411"/>
                                </a:lnTo>
                                <a:lnTo>
                                  <a:pt x="78" y="420"/>
                                </a:lnTo>
                                <a:lnTo>
                                  <a:pt x="87" y="427"/>
                                </a:lnTo>
                                <a:lnTo>
                                  <a:pt x="96" y="434"/>
                                </a:lnTo>
                                <a:lnTo>
                                  <a:pt x="106" y="442"/>
                                </a:lnTo>
                                <a:lnTo>
                                  <a:pt x="116" y="447"/>
                                </a:lnTo>
                                <a:lnTo>
                                  <a:pt x="125" y="453"/>
                                </a:lnTo>
                                <a:lnTo>
                                  <a:pt x="136" y="458"/>
                                </a:lnTo>
                                <a:lnTo>
                                  <a:pt x="147" y="463"/>
                                </a:lnTo>
                                <a:lnTo>
                                  <a:pt x="158" y="467"/>
                                </a:lnTo>
                                <a:lnTo>
                                  <a:pt x="168" y="471"/>
                                </a:lnTo>
                                <a:lnTo>
                                  <a:pt x="180" y="475"/>
                                </a:lnTo>
                                <a:lnTo>
                                  <a:pt x="191" y="477"/>
                                </a:lnTo>
                                <a:lnTo>
                                  <a:pt x="204" y="480"/>
                                </a:lnTo>
                                <a:lnTo>
                                  <a:pt x="216" y="481"/>
                                </a:lnTo>
                                <a:lnTo>
                                  <a:pt x="228" y="482"/>
                                </a:lnTo>
                                <a:lnTo>
                                  <a:pt x="241" y="482"/>
                                </a:lnTo>
                                <a:lnTo>
                                  <a:pt x="253" y="482"/>
                                </a:lnTo>
                                <a:lnTo>
                                  <a:pt x="265" y="481"/>
                                </a:lnTo>
                                <a:lnTo>
                                  <a:pt x="277" y="480"/>
                                </a:lnTo>
                                <a:lnTo>
                                  <a:pt x="290" y="477"/>
                                </a:lnTo>
                                <a:lnTo>
                                  <a:pt x="301" y="475"/>
                                </a:lnTo>
                                <a:lnTo>
                                  <a:pt x="313" y="471"/>
                                </a:lnTo>
                                <a:lnTo>
                                  <a:pt x="324" y="467"/>
                                </a:lnTo>
                                <a:lnTo>
                                  <a:pt x="334" y="463"/>
                                </a:lnTo>
                                <a:lnTo>
                                  <a:pt x="344" y="458"/>
                                </a:lnTo>
                                <a:lnTo>
                                  <a:pt x="356" y="453"/>
                                </a:lnTo>
                                <a:lnTo>
                                  <a:pt x="366" y="447"/>
                                </a:lnTo>
                                <a:lnTo>
                                  <a:pt x="375" y="442"/>
                                </a:lnTo>
                                <a:lnTo>
                                  <a:pt x="385" y="434"/>
                                </a:lnTo>
                                <a:lnTo>
                                  <a:pt x="394" y="427"/>
                                </a:lnTo>
                                <a:lnTo>
                                  <a:pt x="403" y="420"/>
                                </a:lnTo>
                                <a:lnTo>
                                  <a:pt x="411" y="411"/>
                                </a:lnTo>
                                <a:lnTo>
                                  <a:pt x="418" y="403"/>
                                </a:lnTo>
                                <a:lnTo>
                                  <a:pt x="426" y="394"/>
                                </a:lnTo>
                                <a:lnTo>
                                  <a:pt x="434" y="385"/>
                                </a:lnTo>
                                <a:lnTo>
                                  <a:pt x="440" y="376"/>
                                </a:lnTo>
                                <a:lnTo>
                                  <a:pt x="447" y="366"/>
                                </a:lnTo>
                                <a:lnTo>
                                  <a:pt x="453" y="356"/>
                                </a:lnTo>
                                <a:lnTo>
                                  <a:pt x="458" y="346"/>
                                </a:lnTo>
                                <a:lnTo>
                                  <a:pt x="463" y="334"/>
                                </a:lnTo>
                                <a:lnTo>
                                  <a:pt x="467" y="324"/>
                                </a:lnTo>
                                <a:lnTo>
                                  <a:pt x="471" y="312"/>
                                </a:lnTo>
                                <a:lnTo>
                                  <a:pt x="475" y="301"/>
                                </a:lnTo>
                                <a:lnTo>
                                  <a:pt x="477" y="290"/>
                                </a:lnTo>
                                <a:lnTo>
                                  <a:pt x="478" y="278"/>
                                </a:lnTo>
                                <a:lnTo>
                                  <a:pt x="481" y="265"/>
                                </a:lnTo>
                                <a:lnTo>
                                  <a:pt x="481" y="254"/>
                                </a:lnTo>
                                <a:lnTo>
                                  <a:pt x="482" y="241"/>
                                </a:lnTo>
                              </a:path>
                            </a:pathLst>
                          </a:custGeom>
                          <a:noFill/>
                          <a:ln w="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5" name="Rectangle 457"/>
                        <wps:cNvSpPr>
                          <a:spLocks noChangeArrowheads="1"/>
                        </wps:cNvSpPr>
                        <wps:spPr bwMode="auto">
                          <a:xfrm>
                            <a:off x="2270125" y="9130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F39" w:rsidRDefault="00D53F39" w:rsidP="00E24DB7">
                              <w:r>
                                <w:rPr>
                                  <w:rFonts w:ascii="Arial" w:hAnsi="Arial" w:cs="Arial"/>
                                  <w:color w:val="000000"/>
                                  <w:lang w:val="en-US"/>
                                </w:rPr>
                                <w:t>P</w:t>
                              </w:r>
                            </w:p>
                          </w:txbxContent>
                        </wps:txbx>
                        <wps:bodyPr rot="0" vert="horz" wrap="none" lIns="0" tIns="0" rIns="0" bIns="0" anchor="t" anchorCtr="0" upright="1">
                          <a:spAutoFit/>
                        </wps:bodyPr>
                      </wps:wsp>
                      <wps:wsp>
                        <wps:cNvPr id="13906" name="Line 458"/>
                        <wps:cNvCnPr/>
                        <wps:spPr bwMode="auto">
                          <a:xfrm flipV="1">
                            <a:off x="2007870" y="322580"/>
                            <a:ext cx="635" cy="460375"/>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13907" name="Freeform 459"/>
                        <wps:cNvSpPr>
                          <a:spLocks/>
                        </wps:cNvSpPr>
                        <wps:spPr bwMode="auto">
                          <a:xfrm>
                            <a:off x="1854200" y="16510"/>
                            <a:ext cx="306705" cy="306070"/>
                          </a:xfrm>
                          <a:custGeom>
                            <a:avLst/>
                            <a:gdLst>
                              <a:gd name="T0" fmla="*/ 482 w 483"/>
                              <a:gd name="T1" fmla="*/ 217 h 482"/>
                              <a:gd name="T2" fmla="*/ 475 w 483"/>
                              <a:gd name="T3" fmla="*/ 181 h 482"/>
                              <a:gd name="T4" fmla="*/ 464 w 483"/>
                              <a:gd name="T5" fmla="*/ 146 h 482"/>
                              <a:gd name="T6" fmla="*/ 447 w 483"/>
                              <a:gd name="T7" fmla="*/ 116 h 482"/>
                              <a:gd name="T8" fmla="*/ 427 w 483"/>
                              <a:gd name="T9" fmla="*/ 88 h 482"/>
                              <a:gd name="T10" fmla="*/ 404 w 483"/>
                              <a:gd name="T11" fmla="*/ 62 h 482"/>
                              <a:gd name="T12" fmla="*/ 376 w 483"/>
                              <a:gd name="T13" fmla="*/ 40 h 482"/>
                              <a:gd name="T14" fmla="*/ 345 w 483"/>
                              <a:gd name="T15" fmla="*/ 24 h 482"/>
                              <a:gd name="T16" fmla="*/ 313 w 483"/>
                              <a:gd name="T17" fmla="*/ 10 h 482"/>
                              <a:gd name="T18" fmla="*/ 277 w 483"/>
                              <a:gd name="T19" fmla="*/ 2 h 482"/>
                              <a:gd name="T20" fmla="*/ 242 w 483"/>
                              <a:gd name="T21" fmla="*/ 0 h 482"/>
                              <a:gd name="T22" fmla="*/ 205 w 483"/>
                              <a:gd name="T23" fmla="*/ 2 h 482"/>
                              <a:gd name="T24" fmla="*/ 169 w 483"/>
                              <a:gd name="T25" fmla="*/ 10 h 482"/>
                              <a:gd name="T26" fmla="*/ 137 w 483"/>
                              <a:gd name="T27" fmla="*/ 24 h 482"/>
                              <a:gd name="T28" fmla="*/ 106 w 483"/>
                              <a:gd name="T29" fmla="*/ 40 h 482"/>
                              <a:gd name="T30" fmla="*/ 78 w 483"/>
                              <a:gd name="T31" fmla="*/ 62 h 482"/>
                              <a:gd name="T32" fmla="*/ 55 w 483"/>
                              <a:gd name="T33" fmla="*/ 88 h 482"/>
                              <a:gd name="T34" fmla="*/ 35 w 483"/>
                              <a:gd name="T35" fmla="*/ 116 h 482"/>
                              <a:gd name="T36" fmla="*/ 18 w 483"/>
                              <a:gd name="T37" fmla="*/ 146 h 482"/>
                              <a:gd name="T38" fmla="*/ 8 w 483"/>
                              <a:gd name="T39" fmla="*/ 181 h 482"/>
                              <a:gd name="T40" fmla="*/ 2 w 483"/>
                              <a:gd name="T41" fmla="*/ 217 h 482"/>
                              <a:gd name="T42" fmla="*/ 0 w 483"/>
                              <a:gd name="T43" fmla="*/ 254 h 482"/>
                              <a:gd name="T44" fmla="*/ 4 w 483"/>
                              <a:gd name="T45" fmla="*/ 290 h 482"/>
                              <a:gd name="T46" fmla="*/ 14 w 483"/>
                              <a:gd name="T47" fmla="*/ 324 h 482"/>
                              <a:gd name="T48" fmla="*/ 28 w 483"/>
                              <a:gd name="T49" fmla="*/ 356 h 482"/>
                              <a:gd name="T50" fmla="*/ 48 w 483"/>
                              <a:gd name="T51" fmla="*/ 385 h 482"/>
                              <a:gd name="T52" fmla="*/ 71 w 483"/>
                              <a:gd name="T53" fmla="*/ 411 h 482"/>
                              <a:gd name="T54" fmla="*/ 96 w 483"/>
                              <a:gd name="T55" fmla="*/ 434 h 482"/>
                              <a:gd name="T56" fmla="*/ 125 w 483"/>
                              <a:gd name="T57" fmla="*/ 453 h 482"/>
                              <a:gd name="T58" fmla="*/ 159 w 483"/>
                              <a:gd name="T59" fmla="*/ 467 h 482"/>
                              <a:gd name="T60" fmla="*/ 192 w 483"/>
                              <a:gd name="T61" fmla="*/ 477 h 482"/>
                              <a:gd name="T62" fmla="*/ 229 w 483"/>
                              <a:gd name="T63" fmla="*/ 482 h 482"/>
                              <a:gd name="T64" fmla="*/ 266 w 483"/>
                              <a:gd name="T65" fmla="*/ 481 h 482"/>
                              <a:gd name="T66" fmla="*/ 302 w 483"/>
                              <a:gd name="T67" fmla="*/ 475 h 482"/>
                              <a:gd name="T68" fmla="*/ 335 w 483"/>
                              <a:gd name="T69" fmla="*/ 463 h 482"/>
                              <a:gd name="T70" fmla="*/ 367 w 483"/>
                              <a:gd name="T71" fmla="*/ 447 h 482"/>
                              <a:gd name="T72" fmla="*/ 395 w 483"/>
                              <a:gd name="T73" fmla="*/ 427 h 482"/>
                              <a:gd name="T74" fmla="*/ 419 w 483"/>
                              <a:gd name="T75" fmla="*/ 403 h 482"/>
                              <a:gd name="T76" fmla="*/ 441 w 483"/>
                              <a:gd name="T77" fmla="*/ 376 h 482"/>
                              <a:gd name="T78" fmla="*/ 459 w 483"/>
                              <a:gd name="T79" fmla="*/ 346 h 482"/>
                              <a:gd name="T80" fmla="*/ 471 w 483"/>
                              <a:gd name="T81" fmla="*/ 312 h 482"/>
                              <a:gd name="T82" fmla="*/ 479 w 483"/>
                              <a:gd name="T83" fmla="*/ 278 h 482"/>
                              <a:gd name="T84" fmla="*/ 483 w 483"/>
                              <a:gd name="T85" fmla="*/ 24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83" h="482">
                                <a:moveTo>
                                  <a:pt x="483" y="241"/>
                                </a:moveTo>
                                <a:lnTo>
                                  <a:pt x="482" y="228"/>
                                </a:lnTo>
                                <a:lnTo>
                                  <a:pt x="482" y="217"/>
                                </a:lnTo>
                                <a:lnTo>
                                  <a:pt x="479" y="204"/>
                                </a:lnTo>
                                <a:lnTo>
                                  <a:pt x="478" y="192"/>
                                </a:lnTo>
                                <a:lnTo>
                                  <a:pt x="475" y="181"/>
                                </a:lnTo>
                                <a:lnTo>
                                  <a:pt x="471" y="169"/>
                                </a:lnTo>
                                <a:lnTo>
                                  <a:pt x="467" y="158"/>
                                </a:lnTo>
                                <a:lnTo>
                                  <a:pt x="464" y="146"/>
                                </a:lnTo>
                                <a:lnTo>
                                  <a:pt x="459" y="136"/>
                                </a:lnTo>
                                <a:lnTo>
                                  <a:pt x="453" y="126"/>
                                </a:lnTo>
                                <a:lnTo>
                                  <a:pt x="447" y="116"/>
                                </a:lnTo>
                                <a:lnTo>
                                  <a:pt x="441" y="106"/>
                                </a:lnTo>
                                <a:lnTo>
                                  <a:pt x="434" y="97"/>
                                </a:lnTo>
                                <a:lnTo>
                                  <a:pt x="427" y="88"/>
                                </a:lnTo>
                                <a:lnTo>
                                  <a:pt x="419" y="79"/>
                                </a:lnTo>
                                <a:lnTo>
                                  <a:pt x="411" y="70"/>
                                </a:lnTo>
                                <a:lnTo>
                                  <a:pt x="404" y="62"/>
                                </a:lnTo>
                                <a:lnTo>
                                  <a:pt x="395" y="54"/>
                                </a:lnTo>
                                <a:lnTo>
                                  <a:pt x="386" y="47"/>
                                </a:lnTo>
                                <a:lnTo>
                                  <a:pt x="376" y="40"/>
                                </a:lnTo>
                                <a:lnTo>
                                  <a:pt x="367" y="34"/>
                                </a:lnTo>
                                <a:lnTo>
                                  <a:pt x="356" y="29"/>
                                </a:lnTo>
                                <a:lnTo>
                                  <a:pt x="345" y="24"/>
                                </a:lnTo>
                                <a:lnTo>
                                  <a:pt x="335" y="19"/>
                                </a:lnTo>
                                <a:lnTo>
                                  <a:pt x="323" y="14"/>
                                </a:lnTo>
                                <a:lnTo>
                                  <a:pt x="313" y="10"/>
                                </a:lnTo>
                                <a:lnTo>
                                  <a:pt x="302" y="7"/>
                                </a:lnTo>
                                <a:lnTo>
                                  <a:pt x="290" y="5"/>
                                </a:lnTo>
                                <a:lnTo>
                                  <a:pt x="277" y="2"/>
                                </a:lnTo>
                                <a:lnTo>
                                  <a:pt x="266" y="1"/>
                                </a:lnTo>
                                <a:lnTo>
                                  <a:pt x="253" y="0"/>
                                </a:lnTo>
                                <a:lnTo>
                                  <a:pt x="242" y="0"/>
                                </a:lnTo>
                                <a:lnTo>
                                  <a:pt x="229" y="0"/>
                                </a:lnTo>
                                <a:lnTo>
                                  <a:pt x="216" y="1"/>
                                </a:lnTo>
                                <a:lnTo>
                                  <a:pt x="205" y="2"/>
                                </a:lnTo>
                                <a:lnTo>
                                  <a:pt x="192" y="5"/>
                                </a:lnTo>
                                <a:lnTo>
                                  <a:pt x="180" y="7"/>
                                </a:lnTo>
                                <a:lnTo>
                                  <a:pt x="169" y="10"/>
                                </a:lnTo>
                                <a:lnTo>
                                  <a:pt x="159" y="14"/>
                                </a:lnTo>
                                <a:lnTo>
                                  <a:pt x="147" y="19"/>
                                </a:lnTo>
                                <a:lnTo>
                                  <a:pt x="137" y="24"/>
                                </a:lnTo>
                                <a:lnTo>
                                  <a:pt x="125" y="29"/>
                                </a:lnTo>
                                <a:lnTo>
                                  <a:pt x="116" y="34"/>
                                </a:lnTo>
                                <a:lnTo>
                                  <a:pt x="106" y="40"/>
                                </a:lnTo>
                                <a:lnTo>
                                  <a:pt x="96" y="47"/>
                                </a:lnTo>
                                <a:lnTo>
                                  <a:pt x="87" y="54"/>
                                </a:lnTo>
                                <a:lnTo>
                                  <a:pt x="78" y="62"/>
                                </a:lnTo>
                                <a:lnTo>
                                  <a:pt x="71" y="70"/>
                                </a:lnTo>
                                <a:lnTo>
                                  <a:pt x="63" y="79"/>
                                </a:lnTo>
                                <a:lnTo>
                                  <a:pt x="55" y="88"/>
                                </a:lnTo>
                                <a:lnTo>
                                  <a:pt x="48" y="97"/>
                                </a:lnTo>
                                <a:lnTo>
                                  <a:pt x="41" y="106"/>
                                </a:lnTo>
                                <a:lnTo>
                                  <a:pt x="35" y="116"/>
                                </a:lnTo>
                                <a:lnTo>
                                  <a:pt x="28" y="126"/>
                                </a:lnTo>
                                <a:lnTo>
                                  <a:pt x="23" y="136"/>
                                </a:lnTo>
                                <a:lnTo>
                                  <a:pt x="18" y="146"/>
                                </a:lnTo>
                                <a:lnTo>
                                  <a:pt x="14" y="158"/>
                                </a:lnTo>
                                <a:lnTo>
                                  <a:pt x="11" y="169"/>
                                </a:lnTo>
                                <a:lnTo>
                                  <a:pt x="8" y="181"/>
                                </a:lnTo>
                                <a:lnTo>
                                  <a:pt x="4" y="192"/>
                                </a:lnTo>
                                <a:lnTo>
                                  <a:pt x="3" y="204"/>
                                </a:lnTo>
                                <a:lnTo>
                                  <a:pt x="2" y="217"/>
                                </a:lnTo>
                                <a:lnTo>
                                  <a:pt x="0" y="228"/>
                                </a:lnTo>
                                <a:lnTo>
                                  <a:pt x="0" y="241"/>
                                </a:lnTo>
                                <a:lnTo>
                                  <a:pt x="0" y="254"/>
                                </a:lnTo>
                                <a:lnTo>
                                  <a:pt x="2" y="265"/>
                                </a:lnTo>
                                <a:lnTo>
                                  <a:pt x="3" y="278"/>
                                </a:lnTo>
                                <a:lnTo>
                                  <a:pt x="4" y="290"/>
                                </a:lnTo>
                                <a:lnTo>
                                  <a:pt x="8" y="301"/>
                                </a:lnTo>
                                <a:lnTo>
                                  <a:pt x="11" y="312"/>
                                </a:lnTo>
                                <a:lnTo>
                                  <a:pt x="14" y="324"/>
                                </a:lnTo>
                                <a:lnTo>
                                  <a:pt x="18" y="334"/>
                                </a:lnTo>
                                <a:lnTo>
                                  <a:pt x="23" y="346"/>
                                </a:lnTo>
                                <a:lnTo>
                                  <a:pt x="28" y="356"/>
                                </a:lnTo>
                                <a:lnTo>
                                  <a:pt x="35" y="366"/>
                                </a:lnTo>
                                <a:lnTo>
                                  <a:pt x="41" y="376"/>
                                </a:lnTo>
                                <a:lnTo>
                                  <a:pt x="48" y="385"/>
                                </a:lnTo>
                                <a:lnTo>
                                  <a:pt x="55" y="394"/>
                                </a:lnTo>
                                <a:lnTo>
                                  <a:pt x="63" y="403"/>
                                </a:lnTo>
                                <a:lnTo>
                                  <a:pt x="71" y="411"/>
                                </a:lnTo>
                                <a:lnTo>
                                  <a:pt x="78" y="420"/>
                                </a:lnTo>
                                <a:lnTo>
                                  <a:pt x="87" y="427"/>
                                </a:lnTo>
                                <a:lnTo>
                                  <a:pt x="96" y="434"/>
                                </a:lnTo>
                                <a:lnTo>
                                  <a:pt x="106" y="442"/>
                                </a:lnTo>
                                <a:lnTo>
                                  <a:pt x="116" y="447"/>
                                </a:lnTo>
                                <a:lnTo>
                                  <a:pt x="125" y="453"/>
                                </a:lnTo>
                                <a:lnTo>
                                  <a:pt x="137" y="458"/>
                                </a:lnTo>
                                <a:lnTo>
                                  <a:pt x="147" y="463"/>
                                </a:lnTo>
                                <a:lnTo>
                                  <a:pt x="159" y="467"/>
                                </a:lnTo>
                                <a:lnTo>
                                  <a:pt x="169" y="471"/>
                                </a:lnTo>
                                <a:lnTo>
                                  <a:pt x="180" y="475"/>
                                </a:lnTo>
                                <a:lnTo>
                                  <a:pt x="192" y="477"/>
                                </a:lnTo>
                                <a:lnTo>
                                  <a:pt x="205" y="480"/>
                                </a:lnTo>
                                <a:lnTo>
                                  <a:pt x="216" y="481"/>
                                </a:lnTo>
                                <a:lnTo>
                                  <a:pt x="229" y="482"/>
                                </a:lnTo>
                                <a:lnTo>
                                  <a:pt x="242" y="482"/>
                                </a:lnTo>
                                <a:lnTo>
                                  <a:pt x="253" y="482"/>
                                </a:lnTo>
                                <a:lnTo>
                                  <a:pt x="266" y="481"/>
                                </a:lnTo>
                                <a:lnTo>
                                  <a:pt x="277" y="480"/>
                                </a:lnTo>
                                <a:lnTo>
                                  <a:pt x="290" y="477"/>
                                </a:lnTo>
                                <a:lnTo>
                                  <a:pt x="302" y="475"/>
                                </a:lnTo>
                                <a:lnTo>
                                  <a:pt x="313" y="471"/>
                                </a:lnTo>
                                <a:lnTo>
                                  <a:pt x="325" y="467"/>
                                </a:lnTo>
                                <a:lnTo>
                                  <a:pt x="335" y="463"/>
                                </a:lnTo>
                                <a:lnTo>
                                  <a:pt x="345" y="458"/>
                                </a:lnTo>
                                <a:lnTo>
                                  <a:pt x="356" y="453"/>
                                </a:lnTo>
                                <a:lnTo>
                                  <a:pt x="367" y="447"/>
                                </a:lnTo>
                                <a:lnTo>
                                  <a:pt x="376" y="442"/>
                                </a:lnTo>
                                <a:lnTo>
                                  <a:pt x="386" y="434"/>
                                </a:lnTo>
                                <a:lnTo>
                                  <a:pt x="395" y="427"/>
                                </a:lnTo>
                                <a:lnTo>
                                  <a:pt x="404" y="420"/>
                                </a:lnTo>
                                <a:lnTo>
                                  <a:pt x="411" y="411"/>
                                </a:lnTo>
                                <a:lnTo>
                                  <a:pt x="419" y="403"/>
                                </a:lnTo>
                                <a:lnTo>
                                  <a:pt x="427" y="394"/>
                                </a:lnTo>
                                <a:lnTo>
                                  <a:pt x="434" y="385"/>
                                </a:lnTo>
                                <a:lnTo>
                                  <a:pt x="441" y="376"/>
                                </a:lnTo>
                                <a:lnTo>
                                  <a:pt x="447" y="366"/>
                                </a:lnTo>
                                <a:lnTo>
                                  <a:pt x="453" y="356"/>
                                </a:lnTo>
                                <a:lnTo>
                                  <a:pt x="459" y="346"/>
                                </a:lnTo>
                                <a:lnTo>
                                  <a:pt x="464" y="334"/>
                                </a:lnTo>
                                <a:lnTo>
                                  <a:pt x="467" y="324"/>
                                </a:lnTo>
                                <a:lnTo>
                                  <a:pt x="471" y="312"/>
                                </a:lnTo>
                                <a:lnTo>
                                  <a:pt x="475" y="301"/>
                                </a:lnTo>
                                <a:lnTo>
                                  <a:pt x="478" y="290"/>
                                </a:lnTo>
                                <a:lnTo>
                                  <a:pt x="479" y="278"/>
                                </a:lnTo>
                                <a:lnTo>
                                  <a:pt x="482" y="265"/>
                                </a:lnTo>
                                <a:lnTo>
                                  <a:pt x="482" y="254"/>
                                </a:lnTo>
                                <a:lnTo>
                                  <a:pt x="483" y="2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8" name="Freeform 460"/>
                        <wps:cNvSpPr>
                          <a:spLocks/>
                        </wps:cNvSpPr>
                        <wps:spPr bwMode="auto">
                          <a:xfrm>
                            <a:off x="1854200" y="16510"/>
                            <a:ext cx="306705" cy="306070"/>
                          </a:xfrm>
                          <a:custGeom>
                            <a:avLst/>
                            <a:gdLst>
                              <a:gd name="T0" fmla="*/ 482 w 483"/>
                              <a:gd name="T1" fmla="*/ 217 h 482"/>
                              <a:gd name="T2" fmla="*/ 475 w 483"/>
                              <a:gd name="T3" fmla="*/ 181 h 482"/>
                              <a:gd name="T4" fmla="*/ 464 w 483"/>
                              <a:gd name="T5" fmla="*/ 146 h 482"/>
                              <a:gd name="T6" fmla="*/ 447 w 483"/>
                              <a:gd name="T7" fmla="*/ 116 h 482"/>
                              <a:gd name="T8" fmla="*/ 427 w 483"/>
                              <a:gd name="T9" fmla="*/ 88 h 482"/>
                              <a:gd name="T10" fmla="*/ 404 w 483"/>
                              <a:gd name="T11" fmla="*/ 62 h 482"/>
                              <a:gd name="T12" fmla="*/ 376 w 483"/>
                              <a:gd name="T13" fmla="*/ 40 h 482"/>
                              <a:gd name="T14" fmla="*/ 345 w 483"/>
                              <a:gd name="T15" fmla="*/ 24 h 482"/>
                              <a:gd name="T16" fmla="*/ 313 w 483"/>
                              <a:gd name="T17" fmla="*/ 10 h 482"/>
                              <a:gd name="T18" fmla="*/ 277 w 483"/>
                              <a:gd name="T19" fmla="*/ 2 h 482"/>
                              <a:gd name="T20" fmla="*/ 242 w 483"/>
                              <a:gd name="T21" fmla="*/ 0 h 482"/>
                              <a:gd name="T22" fmla="*/ 205 w 483"/>
                              <a:gd name="T23" fmla="*/ 2 h 482"/>
                              <a:gd name="T24" fmla="*/ 169 w 483"/>
                              <a:gd name="T25" fmla="*/ 10 h 482"/>
                              <a:gd name="T26" fmla="*/ 137 w 483"/>
                              <a:gd name="T27" fmla="*/ 24 h 482"/>
                              <a:gd name="T28" fmla="*/ 106 w 483"/>
                              <a:gd name="T29" fmla="*/ 40 h 482"/>
                              <a:gd name="T30" fmla="*/ 78 w 483"/>
                              <a:gd name="T31" fmla="*/ 62 h 482"/>
                              <a:gd name="T32" fmla="*/ 55 w 483"/>
                              <a:gd name="T33" fmla="*/ 88 h 482"/>
                              <a:gd name="T34" fmla="*/ 35 w 483"/>
                              <a:gd name="T35" fmla="*/ 116 h 482"/>
                              <a:gd name="T36" fmla="*/ 18 w 483"/>
                              <a:gd name="T37" fmla="*/ 146 h 482"/>
                              <a:gd name="T38" fmla="*/ 8 w 483"/>
                              <a:gd name="T39" fmla="*/ 181 h 482"/>
                              <a:gd name="T40" fmla="*/ 2 w 483"/>
                              <a:gd name="T41" fmla="*/ 217 h 482"/>
                              <a:gd name="T42" fmla="*/ 0 w 483"/>
                              <a:gd name="T43" fmla="*/ 254 h 482"/>
                              <a:gd name="T44" fmla="*/ 4 w 483"/>
                              <a:gd name="T45" fmla="*/ 290 h 482"/>
                              <a:gd name="T46" fmla="*/ 14 w 483"/>
                              <a:gd name="T47" fmla="*/ 324 h 482"/>
                              <a:gd name="T48" fmla="*/ 28 w 483"/>
                              <a:gd name="T49" fmla="*/ 356 h 482"/>
                              <a:gd name="T50" fmla="*/ 48 w 483"/>
                              <a:gd name="T51" fmla="*/ 385 h 482"/>
                              <a:gd name="T52" fmla="*/ 71 w 483"/>
                              <a:gd name="T53" fmla="*/ 411 h 482"/>
                              <a:gd name="T54" fmla="*/ 96 w 483"/>
                              <a:gd name="T55" fmla="*/ 434 h 482"/>
                              <a:gd name="T56" fmla="*/ 125 w 483"/>
                              <a:gd name="T57" fmla="*/ 453 h 482"/>
                              <a:gd name="T58" fmla="*/ 159 w 483"/>
                              <a:gd name="T59" fmla="*/ 467 h 482"/>
                              <a:gd name="T60" fmla="*/ 192 w 483"/>
                              <a:gd name="T61" fmla="*/ 477 h 482"/>
                              <a:gd name="T62" fmla="*/ 229 w 483"/>
                              <a:gd name="T63" fmla="*/ 482 h 482"/>
                              <a:gd name="T64" fmla="*/ 266 w 483"/>
                              <a:gd name="T65" fmla="*/ 481 h 482"/>
                              <a:gd name="T66" fmla="*/ 302 w 483"/>
                              <a:gd name="T67" fmla="*/ 475 h 482"/>
                              <a:gd name="T68" fmla="*/ 335 w 483"/>
                              <a:gd name="T69" fmla="*/ 463 h 482"/>
                              <a:gd name="T70" fmla="*/ 367 w 483"/>
                              <a:gd name="T71" fmla="*/ 447 h 482"/>
                              <a:gd name="T72" fmla="*/ 395 w 483"/>
                              <a:gd name="T73" fmla="*/ 427 h 482"/>
                              <a:gd name="T74" fmla="*/ 419 w 483"/>
                              <a:gd name="T75" fmla="*/ 403 h 482"/>
                              <a:gd name="T76" fmla="*/ 441 w 483"/>
                              <a:gd name="T77" fmla="*/ 376 h 482"/>
                              <a:gd name="T78" fmla="*/ 459 w 483"/>
                              <a:gd name="T79" fmla="*/ 346 h 482"/>
                              <a:gd name="T80" fmla="*/ 471 w 483"/>
                              <a:gd name="T81" fmla="*/ 312 h 482"/>
                              <a:gd name="T82" fmla="*/ 479 w 483"/>
                              <a:gd name="T83" fmla="*/ 278 h 482"/>
                              <a:gd name="T84" fmla="*/ 483 w 483"/>
                              <a:gd name="T85" fmla="*/ 24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83" h="482">
                                <a:moveTo>
                                  <a:pt x="483" y="241"/>
                                </a:moveTo>
                                <a:lnTo>
                                  <a:pt x="482" y="228"/>
                                </a:lnTo>
                                <a:lnTo>
                                  <a:pt x="482" y="217"/>
                                </a:lnTo>
                                <a:lnTo>
                                  <a:pt x="479" y="204"/>
                                </a:lnTo>
                                <a:lnTo>
                                  <a:pt x="478" y="192"/>
                                </a:lnTo>
                                <a:lnTo>
                                  <a:pt x="475" y="181"/>
                                </a:lnTo>
                                <a:lnTo>
                                  <a:pt x="471" y="169"/>
                                </a:lnTo>
                                <a:lnTo>
                                  <a:pt x="467" y="158"/>
                                </a:lnTo>
                                <a:lnTo>
                                  <a:pt x="464" y="146"/>
                                </a:lnTo>
                                <a:lnTo>
                                  <a:pt x="459" y="136"/>
                                </a:lnTo>
                                <a:lnTo>
                                  <a:pt x="453" y="126"/>
                                </a:lnTo>
                                <a:lnTo>
                                  <a:pt x="447" y="116"/>
                                </a:lnTo>
                                <a:lnTo>
                                  <a:pt x="441" y="106"/>
                                </a:lnTo>
                                <a:lnTo>
                                  <a:pt x="434" y="97"/>
                                </a:lnTo>
                                <a:lnTo>
                                  <a:pt x="427" y="88"/>
                                </a:lnTo>
                                <a:lnTo>
                                  <a:pt x="419" y="79"/>
                                </a:lnTo>
                                <a:lnTo>
                                  <a:pt x="411" y="70"/>
                                </a:lnTo>
                                <a:lnTo>
                                  <a:pt x="404" y="62"/>
                                </a:lnTo>
                                <a:lnTo>
                                  <a:pt x="395" y="54"/>
                                </a:lnTo>
                                <a:lnTo>
                                  <a:pt x="386" y="47"/>
                                </a:lnTo>
                                <a:lnTo>
                                  <a:pt x="376" y="40"/>
                                </a:lnTo>
                                <a:lnTo>
                                  <a:pt x="367" y="34"/>
                                </a:lnTo>
                                <a:lnTo>
                                  <a:pt x="356" y="29"/>
                                </a:lnTo>
                                <a:lnTo>
                                  <a:pt x="345" y="24"/>
                                </a:lnTo>
                                <a:lnTo>
                                  <a:pt x="335" y="19"/>
                                </a:lnTo>
                                <a:lnTo>
                                  <a:pt x="323" y="14"/>
                                </a:lnTo>
                                <a:lnTo>
                                  <a:pt x="313" y="10"/>
                                </a:lnTo>
                                <a:lnTo>
                                  <a:pt x="302" y="7"/>
                                </a:lnTo>
                                <a:lnTo>
                                  <a:pt x="290" y="5"/>
                                </a:lnTo>
                                <a:lnTo>
                                  <a:pt x="277" y="2"/>
                                </a:lnTo>
                                <a:lnTo>
                                  <a:pt x="266" y="1"/>
                                </a:lnTo>
                                <a:lnTo>
                                  <a:pt x="253" y="0"/>
                                </a:lnTo>
                                <a:lnTo>
                                  <a:pt x="242" y="0"/>
                                </a:lnTo>
                                <a:lnTo>
                                  <a:pt x="229" y="0"/>
                                </a:lnTo>
                                <a:lnTo>
                                  <a:pt x="216" y="1"/>
                                </a:lnTo>
                                <a:lnTo>
                                  <a:pt x="205" y="2"/>
                                </a:lnTo>
                                <a:lnTo>
                                  <a:pt x="192" y="5"/>
                                </a:lnTo>
                                <a:lnTo>
                                  <a:pt x="180" y="7"/>
                                </a:lnTo>
                                <a:lnTo>
                                  <a:pt x="169" y="10"/>
                                </a:lnTo>
                                <a:lnTo>
                                  <a:pt x="159" y="14"/>
                                </a:lnTo>
                                <a:lnTo>
                                  <a:pt x="147" y="19"/>
                                </a:lnTo>
                                <a:lnTo>
                                  <a:pt x="137" y="24"/>
                                </a:lnTo>
                                <a:lnTo>
                                  <a:pt x="125" y="29"/>
                                </a:lnTo>
                                <a:lnTo>
                                  <a:pt x="116" y="34"/>
                                </a:lnTo>
                                <a:lnTo>
                                  <a:pt x="106" y="40"/>
                                </a:lnTo>
                                <a:lnTo>
                                  <a:pt x="96" y="47"/>
                                </a:lnTo>
                                <a:lnTo>
                                  <a:pt x="87" y="54"/>
                                </a:lnTo>
                                <a:lnTo>
                                  <a:pt x="78" y="62"/>
                                </a:lnTo>
                                <a:lnTo>
                                  <a:pt x="71" y="70"/>
                                </a:lnTo>
                                <a:lnTo>
                                  <a:pt x="63" y="79"/>
                                </a:lnTo>
                                <a:lnTo>
                                  <a:pt x="55" y="88"/>
                                </a:lnTo>
                                <a:lnTo>
                                  <a:pt x="48" y="97"/>
                                </a:lnTo>
                                <a:lnTo>
                                  <a:pt x="41" y="106"/>
                                </a:lnTo>
                                <a:lnTo>
                                  <a:pt x="35" y="116"/>
                                </a:lnTo>
                                <a:lnTo>
                                  <a:pt x="28" y="126"/>
                                </a:lnTo>
                                <a:lnTo>
                                  <a:pt x="23" y="136"/>
                                </a:lnTo>
                                <a:lnTo>
                                  <a:pt x="18" y="146"/>
                                </a:lnTo>
                                <a:lnTo>
                                  <a:pt x="14" y="158"/>
                                </a:lnTo>
                                <a:lnTo>
                                  <a:pt x="11" y="169"/>
                                </a:lnTo>
                                <a:lnTo>
                                  <a:pt x="8" y="181"/>
                                </a:lnTo>
                                <a:lnTo>
                                  <a:pt x="4" y="192"/>
                                </a:lnTo>
                                <a:lnTo>
                                  <a:pt x="3" y="204"/>
                                </a:lnTo>
                                <a:lnTo>
                                  <a:pt x="2" y="217"/>
                                </a:lnTo>
                                <a:lnTo>
                                  <a:pt x="0" y="228"/>
                                </a:lnTo>
                                <a:lnTo>
                                  <a:pt x="0" y="241"/>
                                </a:lnTo>
                                <a:lnTo>
                                  <a:pt x="0" y="254"/>
                                </a:lnTo>
                                <a:lnTo>
                                  <a:pt x="2" y="265"/>
                                </a:lnTo>
                                <a:lnTo>
                                  <a:pt x="3" y="278"/>
                                </a:lnTo>
                                <a:lnTo>
                                  <a:pt x="4" y="290"/>
                                </a:lnTo>
                                <a:lnTo>
                                  <a:pt x="8" y="301"/>
                                </a:lnTo>
                                <a:lnTo>
                                  <a:pt x="11" y="312"/>
                                </a:lnTo>
                                <a:lnTo>
                                  <a:pt x="14" y="324"/>
                                </a:lnTo>
                                <a:lnTo>
                                  <a:pt x="18" y="334"/>
                                </a:lnTo>
                                <a:lnTo>
                                  <a:pt x="23" y="346"/>
                                </a:lnTo>
                                <a:lnTo>
                                  <a:pt x="28" y="356"/>
                                </a:lnTo>
                                <a:lnTo>
                                  <a:pt x="35" y="366"/>
                                </a:lnTo>
                                <a:lnTo>
                                  <a:pt x="41" y="376"/>
                                </a:lnTo>
                                <a:lnTo>
                                  <a:pt x="48" y="385"/>
                                </a:lnTo>
                                <a:lnTo>
                                  <a:pt x="55" y="394"/>
                                </a:lnTo>
                                <a:lnTo>
                                  <a:pt x="63" y="403"/>
                                </a:lnTo>
                                <a:lnTo>
                                  <a:pt x="71" y="411"/>
                                </a:lnTo>
                                <a:lnTo>
                                  <a:pt x="78" y="420"/>
                                </a:lnTo>
                                <a:lnTo>
                                  <a:pt x="87" y="427"/>
                                </a:lnTo>
                                <a:lnTo>
                                  <a:pt x="96" y="434"/>
                                </a:lnTo>
                                <a:lnTo>
                                  <a:pt x="106" y="442"/>
                                </a:lnTo>
                                <a:lnTo>
                                  <a:pt x="116" y="447"/>
                                </a:lnTo>
                                <a:lnTo>
                                  <a:pt x="125" y="453"/>
                                </a:lnTo>
                                <a:lnTo>
                                  <a:pt x="137" y="458"/>
                                </a:lnTo>
                                <a:lnTo>
                                  <a:pt x="147" y="463"/>
                                </a:lnTo>
                                <a:lnTo>
                                  <a:pt x="159" y="467"/>
                                </a:lnTo>
                                <a:lnTo>
                                  <a:pt x="169" y="471"/>
                                </a:lnTo>
                                <a:lnTo>
                                  <a:pt x="180" y="475"/>
                                </a:lnTo>
                                <a:lnTo>
                                  <a:pt x="192" y="477"/>
                                </a:lnTo>
                                <a:lnTo>
                                  <a:pt x="205" y="480"/>
                                </a:lnTo>
                                <a:lnTo>
                                  <a:pt x="216" y="481"/>
                                </a:lnTo>
                                <a:lnTo>
                                  <a:pt x="229" y="482"/>
                                </a:lnTo>
                                <a:lnTo>
                                  <a:pt x="242" y="482"/>
                                </a:lnTo>
                                <a:lnTo>
                                  <a:pt x="253" y="482"/>
                                </a:lnTo>
                                <a:lnTo>
                                  <a:pt x="266" y="481"/>
                                </a:lnTo>
                                <a:lnTo>
                                  <a:pt x="277" y="480"/>
                                </a:lnTo>
                                <a:lnTo>
                                  <a:pt x="290" y="477"/>
                                </a:lnTo>
                                <a:lnTo>
                                  <a:pt x="302" y="475"/>
                                </a:lnTo>
                                <a:lnTo>
                                  <a:pt x="313" y="471"/>
                                </a:lnTo>
                                <a:lnTo>
                                  <a:pt x="325" y="467"/>
                                </a:lnTo>
                                <a:lnTo>
                                  <a:pt x="335" y="463"/>
                                </a:lnTo>
                                <a:lnTo>
                                  <a:pt x="345" y="458"/>
                                </a:lnTo>
                                <a:lnTo>
                                  <a:pt x="356" y="453"/>
                                </a:lnTo>
                                <a:lnTo>
                                  <a:pt x="367" y="447"/>
                                </a:lnTo>
                                <a:lnTo>
                                  <a:pt x="376" y="442"/>
                                </a:lnTo>
                                <a:lnTo>
                                  <a:pt x="386" y="434"/>
                                </a:lnTo>
                                <a:lnTo>
                                  <a:pt x="395" y="427"/>
                                </a:lnTo>
                                <a:lnTo>
                                  <a:pt x="404" y="420"/>
                                </a:lnTo>
                                <a:lnTo>
                                  <a:pt x="411" y="411"/>
                                </a:lnTo>
                                <a:lnTo>
                                  <a:pt x="419" y="403"/>
                                </a:lnTo>
                                <a:lnTo>
                                  <a:pt x="427" y="394"/>
                                </a:lnTo>
                                <a:lnTo>
                                  <a:pt x="434" y="385"/>
                                </a:lnTo>
                                <a:lnTo>
                                  <a:pt x="441" y="376"/>
                                </a:lnTo>
                                <a:lnTo>
                                  <a:pt x="447" y="366"/>
                                </a:lnTo>
                                <a:lnTo>
                                  <a:pt x="453" y="356"/>
                                </a:lnTo>
                                <a:lnTo>
                                  <a:pt x="459" y="346"/>
                                </a:lnTo>
                                <a:lnTo>
                                  <a:pt x="464" y="334"/>
                                </a:lnTo>
                                <a:lnTo>
                                  <a:pt x="467" y="324"/>
                                </a:lnTo>
                                <a:lnTo>
                                  <a:pt x="471" y="312"/>
                                </a:lnTo>
                                <a:lnTo>
                                  <a:pt x="475" y="301"/>
                                </a:lnTo>
                                <a:lnTo>
                                  <a:pt x="478" y="290"/>
                                </a:lnTo>
                                <a:lnTo>
                                  <a:pt x="479" y="278"/>
                                </a:lnTo>
                                <a:lnTo>
                                  <a:pt x="482" y="265"/>
                                </a:lnTo>
                                <a:lnTo>
                                  <a:pt x="482" y="254"/>
                                </a:lnTo>
                                <a:lnTo>
                                  <a:pt x="483" y="241"/>
                                </a:lnTo>
                              </a:path>
                            </a:pathLst>
                          </a:custGeom>
                          <a:noFill/>
                          <a:ln w="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9" name="Rectangle 461"/>
                        <wps:cNvSpPr>
                          <a:spLocks noChangeArrowheads="1"/>
                        </wps:cNvSpPr>
                        <wps:spPr bwMode="auto">
                          <a:xfrm>
                            <a:off x="1967865" y="91300"/>
                            <a:ext cx="78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F39" w:rsidRDefault="00D53F39" w:rsidP="00E24DB7">
                              <w:r>
                                <w:rPr>
                                  <w:rFonts w:ascii="Arial" w:hAnsi="Arial" w:cs="Arial"/>
                                  <w:color w:val="000000"/>
                                  <w:lang w:val="en-US"/>
                                </w:rPr>
                                <w:t>T</w:t>
                              </w:r>
                            </w:p>
                          </w:txbxContent>
                        </wps:txbx>
                        <wps:bodyPr rot="0" vert="horz" wrap="none" lIns="0" tIns="0" rIns="0" bIns="0" anchor="t" anchorCtr="0" upright="1">
                          <a:spAutoFit/>
                        </wps:bodyPr>
                      </wps:wsp>
                      <wps:wsp>
                        <wps:cNvPr id="13910" name="Zone de texte 13"/>
                        <wps:cNvSpPr txBox="1"/>
                        <wps:spPr>
                          <a:xfrm>
                            <a:off x="1056300" y="565615"/>
                            <a:ext cx="70104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3C3D5A" w:rsidRDefault="00D53F39" w:rsidP="00E24DB7">
                              <w:pPr>
                                <w:pStyle w:val="NormalWeb"/>
                                <w:kinsoku w:val="0"/>
                                <w:overflowPunct w:val="0"/>
                                <w:spacing w:before="0" w:beforeAutospacing="0" w:after="0" w:afterAutospacing="0"/>
                                <w:jc w:val="center"/>
                                <w:rPr>
                                  <w:rFonts w:ascii="Times New Roman" w:hAnsi="Times New Roman" w:cs="Times New Roman"/>
                                  <w:sz w:val="16"/>
                                  <w:szCs w:val="16"/>
                                  <w:lang w:val="fr-CH"/>
                                </w:rPr>
                              </w:pPr>
                              <w:r w:rsidRPr="003C3D5A">
                                <w:rPr>
                                  <w:rFonts w:ascii="Times New Roman" w:eastAsia="Calibri" w:hAnsi="Times New Roman" w:cs="Times New Roman"/>
                                  <w:sz w:val="16"/>
                                  <w:szCs w:val="16"/>
                                  <w:lang w:val="fr-CH"/>
                                </w:rPr>
                                <w:t xml:space="preserve">Échangeur </w:t>
                              </w:r>
                              <w:r w:rsidRPr="003C3D5A">
                                <w:rPr>
                                  <w:rFonts w:ascii="Times New Roman" w:eastAsia="Calibri" w:hAnsi="Times New Roman" w:cs="Times New Roman"/>
                                  <w:sz w:val="16"/>
                                  <w:szCs w:val="16"/>
                                  <w:lang w:val="fr-CH"/>
                                </w:rPr>
                                <w:br/>
                                <w:t xml:space="preserve">de chaleur </w:t>
                              </w:r>
                              <w:r w:rsidRPr="003C3D5A">
                                <w:rPr>
                                  <w:rFonts w:ascii="Times New Roman" w:eastAsia="Calibri" w:hAnsi="Times New Roman" w:cs="Times New Roman"/>
                                  <w:sz w:val="16"/>
                                  <w:szCs w:val="16"/>
                                  <w:lang w:val="fr-CH"/>
                                </w:rPr>
                                <w:br/>
                                <w:t>(le cas échéant)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3911" name="Zone de texte 13"/>
                        <wps:cNvSpPr txBox="1"/>
                        <wps:spPr>
                          <a:xfrm>
                            <a:off x="2572680" y="566103"/>
                            <a:ext cx="701040" cy="4565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3C3D5A" w:rsidRDefault="00D53F39" w:rsidP="00E24DB7">
                              <w:pPr>
                                <w:pStyle w:val="NormalWeb"/>
                                <w:kinsoku w:val="0"/>
                                <w:overflowPunct w:val="0"/>
                                <w:spacing w:before="0" w:beforeAutospacing="0" w:after="0" w:afterAutospacing="0"/>
                                <w:jc w:val="center"/>
                                <w:rPr>
                                  <w:sz w:val="16"/>
                                  <w:szCs w:val="16"/>
                                </w:rPr>
                              </w:pPr>
                              <w:r w:rsidRPr="003C3D5A">
                                <w:rPr>
                                  <w:rFonts w:ascii="Times New Roman" w:eastAsia="Calibri" w:hAnsi="Times New Roman" w:cs="Times New Roman"/>
                                  <w:sz w:val="16"/>
                                  <w:szCs w:val="16"/>
                                </w:rPr>
                                <w:t>Débitmètre ultrasonique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3926" name="Zone de texte 13"/>
                        <wps:cNvSpPr txBox="1"/>
                        <wps:spPr>
                          <a:xfrm>
                            <a:off x="4119540" y="568620"/>
                            <a:ext cx="701040" cy="4559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3C3D5A" w:rsidRDefault="00D53F39" w:rsidP="00E24DB7">
                              <w:pPr>
                                <w:pStyle w:val="NormalWeb"/>
                                <w:kinsoku w:val="0"/>
                                <w:overflowPunct w:val="0"/>
                                <w:spacing w:before="0" w:beforeAutospacing="0" w:after="0" w:afterAutospacing="0"/>
                                <w:jc w:val="center"/>
                                <w:rPr>
                                  <w:rFonts w:ascii="Times New Roman" w:hAnsi="Times New Roman" w:cs="Times New Roman"/>
                                  <w:sz w:val="16"/>
                                  <w:szCs w:val="16"/>
                                  <w:lang w:val="fr-CH"/>
                                </w:rPr>
                              </w:pPr>
                              <w:r w:rsidRPr="003C3D5A">
                                <w:rPr>
                                  <w:rFonts w:ascii="Times New Roman" w:eastAsia="Calibri" w:hAnsi="Times New Roman" w:cs="Times New Roman"/>
                                  <w:sz w:val="16"/>
                                  <w:szCs w:val="16"/>
                                  <w:lang w:val="fr-CH"/>
                                </w:rPr>
                                <w:t>Dispositif d’aspiration</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09432F3A" id="Canvas 430" o:spid="_x0000_s1090" editas="canvas" style="width:412.9pt;height:93.6pt;mso-position-horizontal-relative:char;mso-position-vertical-relative:line" coordsize="52438,1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">
                <v:shape id="_x0000_s1091" type="#_x0000_t75" style="position:absolute;width:52438;height:11880;visibility:visible;mso-wrap-style:square">
                  <v:fill o:detectmouseclick="t"/>
                  <v:path o:connecttype="none"/>
                </v:shape>
                <v:line id="Line 431" o:spid="_x0000_s1092" style="position:absolute;visibility:visible;mso-wrap-style:square" from="165,6292" to="9353,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" strokeweight="36e-5mm"/>
                <v:line id="Line 432" o:spid="_x0000_s1093" style="position:absolute;visibility:visible;mso-wrap-style:square" from="165,9359" to="9353,9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" strokeweight="36e-5mm"/>
                <v:rect id="Rectangle 433" o:spid="_x0000_s1094" style="position:absolute;left:9353;top:4762;width:9189;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" stroked="f"/>
                <v:rect id="Rectangle 434" o:spid="_x0000_s1095" style="position:absolute;left:9353;top:4762;width:9189;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" filled="f" strokeweight="36e-5mm"/>
                <v:line id="Line 440" o:spid="_x0000_s1096" style="position:absolute;visibility:visible;mso-wrap-style:square" from="18542,6292" to="24669,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" strokeweight="36e-5mm"/>
                <v:line id="Line 441" o:spid="_x0000_s1097" style="position:absolute;visibility:visible;mso-wrap-style:square" from="18542,9359" to="24669,9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" strokeweight="36e-5mm"/>
                <v:rect id="Rectangle 442" o:spid="_x0000_s1098" style="position:absolute;left:24669;top:4762;width:9195;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" stroked="f"/>
                <v:rect id="Rectangle 443" o:spid="_x0000_s1099" style="position:absolute;left:24669;top:4762;width:9195;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" filled="f" strokeweight="36e-5mm"/>
                <v:shape id="Freeform 446" o:spid="_x0000_s1100" style="position:absolute;left:33864;top:6292;width:6115;height:7;visibility:visible;mso-wrap-style:square;v-text-anchor:top" coordsize="96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" path="m,l963,,,xe" filled="f" strokeweight="36e-5mm">
                  <v:path arrowok="t" o:connecttype="custom" o:connectlocs="0,0;611505,0;0,0" o:connectangles="0,0,0"/>
                </v:shape>
                <v:shape id="Freeform 447" o:spid="_x0000_s1101" style="position:absolute;left:33864;top:9359;width:6115;height:7;visibility:visible;mso-wrap-style:square;v-text-anchor:top" coordsize="96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" path="m,l963,,,xe" filled="f" strokeweight="36e-5mm">
                  <v:path arrowok="t" o:connecttype="custom" o:connectlocs="0,0;611505,0;0,0" o:connectangles="0,0,0"/>
                </v:shape>
                <v:rect id="Rectangle 448" o:spid="_x0000_s1102" style="position:absolute;left:39979;top:4762;width:9195;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" stroked="f"/>
                <v:rect id="Rectangle 449" o:spid="_x0000_s1103" style="position:absolute;left:39979;top:4762;width:9195;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" filled="f" strokeweight="36e-5mm"/>
                <v:line id="Line 452" o:spid="_x0000_s1104" style="position:absolute;visibility:visible;mso-wrap-style:square" from="49174,6292" to="52235,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" strokeweight="36e-5mm"/>
                <v:line id="Line 453" o:spid="_x0000_s1105" style="position:absolute;visibility:visible;mso-wrap-style:square" from="49174,9359" to="52235,9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" strokeweight="36e-5mm"/>
                <v:line id="Line 454" o:spid="_x0000_s1106" style="position:absolute;flip:y;visibility:visible;mso-wrap-style:square" from="23139,3225" to="23145,7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" strokeweight="36e-5mm"/>
                <v:shape id="Freeform 455" o:spid="_x0000_s1107" style="position:absolute;left:21609;top:165;width:3060;height:3060;visibility:visible;mso-wrap-style:square;v-text-anchor:top" coordsize="48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" path="m482,241r-1,-13l481,217r-3,-13l477,192r-2,-11l471,169r-4,-11l463,146r-5,-10l453,126r-6,-10l440,106r-6,-9l426,88r-8,-9l411,70r-8,-8l394,54r-9,-7l375,40r-9,-6l356,29,344,24,334,19,323,14,313,10,301,7,290,5,277,2,265,1,253,,241,,228,,216,1,204,2,191,5,180,7r-12,3l158,14r-11,5l136,24r-11,5l116,34r-10,6l96,47r-9,7l78,62r-8,8l62,79r-7,9l47,97r-6,9l34,116r-6,10l23,136r-5,10l14,158r-4,11l6,181,4,192,2,204,,217r,11l,241r,13l,265r2,13l4,290r2,11l10,312r4,12l18,334r5,12l28,356r6,10l41,376r6,9l55,394r7,9l70,411r8,9l87,427r9,7l106,442r10,5l125,453r11,5l147,463r11,4l168,471r12,4l191,477r13,3l216,481r12,1l241,482r12,l265,481r12,-1l290,477r11,-2l313,471r11,-4l334,463r10,-5l356,453r10,-6l375,442r10,-8l394,427r9,-7l411,411r7,-8l426,394r8,-9l440,376r7,-10l453,356r5,-10l463,334r4,-10l471,312r4,-11l477,290r1,-12l481,265r,-11l482,241xe" stroked="f">
                  <v:path arrowok="t" o:connecttype="custom" o:connectlocs="305435,137795;301625,114935;294005,92710;283845,73660;270510,55880;255905,39370;238125,25400;218440,15240;198755,6350;175895,1270;153035,0;129540,1270;106680,6350;86360,15240;67310,25400;49530,39370;34925,55880;21590,73660;11430,92710;3810,114935;0,137795;0,161290;2540,184150;8890,205740;17780,226060;29845,244475;44450,260985;60960,275590;79375,287655;100330,296545;121285,302895;144780,306070;168275,305435;191135,301625;212090,294005;232410,283845;250190,271145;265430,255905;279400,238760;290830,219710;299085,198120;303530,176530;306070,153035" o:connectangles="0,0,0,0,0,0,0,0,0,0,0,0,0,0,0,0,0,0,0,0,0,0,0,0,0,0,0,0,0,0,0,0,0,0,0,0,0,0,0,0,0,0,0"/>
                </v:shape>
                <v:shape id="Freeform 456" o:spid="_x0000_s1108" style="position:absolute;left:21609;top:165;width:3060;height:3060;visibility:visible;mso-wrap-style:square;v-text-anchor:top" coordsize="48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" path="m482,241r-1,-13l481,217r-3,-13l477,192r-2,-11l471,169r-4,-11l463,146r-5,-10l453,126r-6,-10l440,106r-6,-9l426,88r-8,-9l411,70r-8,-8l394,54r-9,-7l375,40r-9,-6l356,29,344,24,334,19,323,14,313,10,301,7,290,5,277,2,265,1,253,,241,,228,,216,1,204,2,191,5,180,7r-12,3l158,14r-11,5l136,24r-11,5l116,34r-10,6l96,47r-9,7l78,62r-8,8l62,79r-7,9l47,97r-6,9l34,116r-6,10l23,136r-5,10l14,158r-4,11l6,181,4,192,2,204,,217r,11l,241r,13l,265r2,13l4,290r2,11l10,312r4,12l18,334r5,12l28,356r6,10l41,376r6,9l55,394r7,9l70,411r8,9l87,427r9,7l106,442r10,5l125,453r11,5l147,463r11,4l168,471r12,4l191,477r13,3l216,481r12,1l241,482r12,l265,481r12,-1l290,477r11,-2l313,471r11,-4l334,463r10,-5l356,453r10,-6l375,442r10,-8l394,427r9,-7l411,411r7,-8l426,394r8,-9l440,376r7,-10l453,356r5,-10l463,334r4,-10l471,312r4,-11l477,290r1,-12l481,265r,-11l482,241e" filled="f" strokeweight="36e-5mm">
                  <v:path arrowok="t" o:connecttype="custom" o:connectlocs="305435,137795;301625,114935;294005,92710;283845,73660;270510,55880;255905,39370;238125,25400;218440,15240;198755,6350;175895,1270;153035,0;129540,1270;106680,6350;86360,15240;67310,25400;49530,39370;34925,55880;21590,73660;11430,92710;3810,114935;0,137795;0,161290;2540,184150;8890,205740;17780,226060;29845,244475;44450,260985;60960,275590;79375,287655;100330,296545;121285,302895;144780,306070;168275,305435;191135,301625;212090,294005;232410,283845;250190,271145;265430,255905;279400,238760;290830,219710;299085,198120;303530,176530;306070,153035" o:connectangles="0,0,0,0,0,0,0,0,0,0,0,0,0,0,0,0,0,0,0,0,0,0,0,0,0,0,0,0,0,0,0,0,0,0,0,0,0,0,0,0,0,0,0"/>
                </v:shape>
                <v:rect id="Rectangle 457" o:spid="_x0000_s1109" style="position:absolute;left:22701;top:913;width:8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" filled="f" stroked="f">
                  <v:textbox style="mso-fit-shape-to-text:t" inset="0,0,0,0">
                    <w:txbxContent>
                      <w:p w:rsidR="00D53F39" w:rsidRDefault="00D53F39" w:rsidP="00E24DB7">
                        <w:r>
                          <w:rPr>
                            <w:rFonts w:ascii="Arial" w:hAnsi="Arial" w:cs="Arial"/>
                            <w:color w:val="000000"/>
                            <w:lang w:val="en-US"/>
                          </w:rPr>
                          <w:t>P</w:t>
                        </w:r>
                      </w:p>
                    </w:txbxContent>
                  </v:textbox>
                </v:rect>
                <v:line id="Line 458" o:spid="_x0000_s1110" style="position:absolute;flip:y;visibility:visible;mso-wrap-style:square" from="20078,3225" to="20085,7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" strokeweight="36e-5mm"/>
                <v:shape id="Freeform 459" o:spid="_x0000_s1111" style="position:absolute;left:18542;top:165;width:3067;height:3060;visibility:visible;mso-wrap-style:square;v-text-anchor:top" coordsize="48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" path="m483,241r-1,-13l482,217r-3,-13l478,192r-3,-11l471,169r-4,-11l464,146r-5,-10l453,126r-6,-10l441,106r-7,-9l427,88r-8,-9l411,70r-7,-8l395,54r-9,-7l376,40r-9,-6l356,29,345,24,335,19,323,14,313,10,302,7,290,5,277,2,266,1,253,,242,,229,,216,1,205,2,192,5,180,7r-11,3l159,14r-12,5l137,24r-12,5l116,34r-10,6l96,47r-9,7l78,62r-7,8l63,79r-8,9l48,97r-7,9l35,116r-7,10l23,136r-5,10l14,158r-3,11l8,181,4,192,3,204,2,217,,228r,13l,254r2,11l3,278r1,12l8,301r3,11l14,324r4,10l23,346r5,10l35,366r6,10l48,385r7,9l63,403r8,8l78,420r9,7l96,434r10,8l116,447r9,6l137,458r10,5l159,467r10,4l180,475r12,2l205,480r11,1l229,482r13,l253,482r13,-1l277,480r13,-3l302,475r11,-4l325,467r10,-4l345,458r11,-5l367,447r9,-5l386,434r9,-7l404,420r7,-9l419,403r8,-9l434,385r7,-9l447,366r6,-10l459,346r5,-12l467,324r4,-12l475,301r3,-11l479,278r3,-13l482,254r1,-13xe" stroked="f">
                  <v:path arrowok="t" o:connecttype="custom" o:connectlocs="306070,137795;301625,114935;294640,92710;283845,73660;271145,55880;256540,39370;238760,25400;219075,15240;198755,6350;175895,1270;153670,0;130175,1270;107315,6350;86995,15240;67310,25400;49530,39370;34925,55880;22225,73660;11430,92710;5080,114935;1270,137795;0,161290;2540,184150;8890,205740;17780,226060;30480,244475;45085,260985;60960,275590;79375,287655;100965,296545;121920,302895;145415,306070;168910,305435;191770,301625;212725,294005;233045,283845;250825,271145;266065,255905;280035,238760;291465,219710;299085,198120;304165,176530;306705,153035" o:connectangles="0,0,0,0,0,0,0,0,0,0,0,0,0,0,0,0,0,0,0,0,0,0,0,0,0,0,0,0,0,0,0,0,0,0,0,0,0,0,0,0,0,0,0"/>
                </v:shape>
                <v:shape id="Freeform 460" o:spid="_x0000_s1112" style="position:absolute;left:18542;top:165;width:3067;height:3060;visibility:visible;mso-wrap-style:square;v-text-anchor:top" coordsize="48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" path="m483,241r-1,-13l482,217r-3,-13l478,192r-3,-11l471,169r-4,-11l464,146r-5,-10l453,126r-6,-10l441,106r-7,-9l427,88r-8,-9l411,70r-7,-8l395,54r-9,-7l376,40r-9,-6l356,29,345,24,335,19,323,14,313,10,302,7,290,5,277,2,266,1,253,,242,,229,,216,1,205,2,192,5,180,7r-11,3l159,14r-12,5l137,24r-12,5l116,34r-10,6l96,47r-9,7l78,62r-7,8l63,79r-8,9l48,97r-7,9l35,116r-7,10l23,136r-5,10l14,158r-3,11l8,181,4,192,3,204,2,217,,228r,13l,254r2,11l3,278r1,12l8,301r3,11l14,324r4,10l23,346r5,10l35,366r6,10l48,385r7,9l63,403r8,8l78,420r9,7l96,434r10,8l116,447r9,6l137,458r10,5l159,467r10,4l180,475r12,2l205,480r11,1l229,482r13,l253,482r13,-1l277,480r13,-3l302,475r11,-4l325,467r10,-4l345,458r11,-5l367,447r9,-5l386,434r9,-7l404,420r7,-9l419,403r8,-9l434,385r7,-9l447,366r6,-10l459,346r5,-12l467,324r4,-12l475,301r3,-11l479,278r3,-13l482,254r1,-13e" filled="f" strokeweight="36e-5mm">
                  <v:path arrowok="t" o:connecttype="custom" o:connectlocs="306070,137795;301625,114935;294640,92710;283845,73660;271145,55880;256540,39370;238760,25400;219075,15240;198755,6350;175895,1270;153670,0;130175,1270;107315,6350;86995,15240;67310,25400;49530,39370;34925,55880;22225,73660;11430,92710;5080,114935;1270,137795;0,161290;2540,184150;8890,205740;17780,226060;30480,244475;45085,260985;60960,275590;79375,287655;100965,296545;121920,302895;145415,306070;168910,305435;191770,301625;212725,294005;233045,283845;250825,271145;266065,255905;280035,238760;291465,219710;299085,198120;304165,176530;306705,153035" o:connectangles="0,0,0,0,0,0,0,0,0,0,0,0,0,0,0,0,0,0,0,0,0,0,0,0,0,0,0,0,0,0,0,0,0,0,0,0,0,0,0,0,0,0,0"/>
                </v:shape>
                <v:rect id="Rectangle 461" o:spid="_x0000_s1113" style="position:absolute;left:19678;top:913;width:7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" filled="f" stroked="f">
                  <v:textbox style="mso-fit-shape-to-text:t" inset="0,0,0,0">
                    <w:txbxContent>
                      <w:p w:rsidR="00D53F39" w:rsidRDefault="00D53F39" w:rsidP="00E24DB7">
                        <w:r>
                          <w:rPr>
                            <w:rFonts w:ascii="Arial" w:hAnsi="Arial" w:cs="Arial"/>
                            <w:color w:val="000000"/>
                            <w:lang w:val="en-US"/>
                          </w:rPr>
                          <w:t>T</w:t>
                        </w:r>
                      </w:p>
                    </w:txbxContent>
                  </v:textbox>
                </v:rect>
                <v:shape id="Zone de texte 13" o:spid="_x0000_s1114" type="#_x0000_t202" style="position:absolute;left:10563;top:5656;width:701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" fillcolor="white [3201]" stroked="f" strokeweight=".5pt">
                  <v:textbox inset="0,0,0,0">
                    <w:txbxContent>
                      <w:p w:rsidR="00D53F39" w:rsidRPr="003C3D5A" w:rsidRDefault="00D53F39" w:rsidP="00E24DB7">
                        <w:pPr>
                          <w:pStyle w:val="NormalWeb"/>
                          <w:kinsoku w:val="0"/>
                          <w:overflowPunct w:val="0"/>
                          <w:spacing w:before="0" w:beforeAutospacing="0" w:after="0" w:afterAutospacing="0"/>
                          <w:jc w:val="center"/>
                          <w:rPr>
                            <w:rFonts w:ascii="Times New Roman" w:hAnsi="Times New Roman" w:cs="Times New Roman"/>
                            <w:sz w:val="16"/>
                            <w:szCs w:val="16"/>
                            <w:lang w:val="fr-CH"/>
                          </w:rPr>
                        </w:pPr>
                        <w:r w:rsidRPr="003C3D5A">
                          <w:rPr>
                            <w:rFonts w:ascii="Times New Roman" w:eastAsia="Calibri" w:hAnsi="Times New Roman" w:cs="Times New Roman"/>
                            <w:sz w:val="16"/>
                            <w:szCs w:val="16"/>
                            <w:lang w:val="fr-CH"/>
                          </w:rPr>
                          <w:t xml:space="preserve">Échangeur </w:t>
                        </w:r>
                        <w:r w:rsidRPr="003C3D5A">
                          <w:rPr>
                            <w:rFonts w:ascii="Times New Roman" w:eastAsia="Calibri" w:hAnsi="Times New Roman" w:cs="Times New Roman"/>
                            <w:sz w:val="16"/>
                            <w:szCs w:val="16"/>
                            <w:lang w:val="fr-CH"/>
                          </w:rPr>
                          <w:br/>
                          <w:t xml:space="preserve">de chaleur </w:t>
                        </w:r>
                        <w:r w:rsidRPr="003C3D5A">
                          <w:rPr>
                            <w:rFonts w:ascii="Times New Roman" w:eastAsia="Calibri" w:hAnsi="Times New Roman" w:cs="Times New Roman"/>
                            <w:sz w:val="16"/>
                            <w:szCs w:val="16"/>
                            <w:lang w:val="fr-CH"/>
                          </w:rPr>
                          <w:br/>
                          <w:t>(le cas échéant)</w:t>
                        </w:r>
                      </w:p>
                    </w:txbxContent>
                  </v:textbox>
                </v:shape>
                <v:shape id="Zone de texte 13" o:spid="_x0000_s1115" type="#_x0000_t202" style="position:absolute;left:25726;top:5661;width:7011;height:4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" fillcolor="white [3201]" stroked="f" strokeweight=".5pt">
                  <v:textbox inset="0,0,0,0">
                    <w:txbxContent>
                      <w:p w:rsidR="00D53F39" w:rsidRPr="003C3D5A" w:rsidRDefault="00D53F39" w:rsidP="00E24DB7">
                        <w:pPr>
                          <w:pStyle w:val="NormalWeb"/>
                          <w:kinsoku w:val="0"/>
                          <w:overflowPunct w:val="0"/>
                          <w:spacing w:before="0" w:beforeAutospacing="0" w:after="0" w:afterAutospacing="0"/>
                          <w:jc w:val="center"/>
                          <w:rPr>
                            <w:sz w:val="16"/>
                            <w:szCs w:val="16"/>
                          </w:rPr>
                        </w:pPr>
                        <w:r w:rsidRPr="003C3D5A">
                          <w:rPr>
                            <w:rFonts w:ascii="Times New Roman" w:eastAsia="Calibri" w:hAnsi="Times New Roman" w:cs="Times New Roman"/>
                            <w:sz w:val="16"/>
                            <w:szCs w:val="16"/>
                          </w:rPr>
                          <w:t>Débitmètre ultrasonique</w:t>
                        </w:r>
                      </w:p>
                    </w:txbxContent>
                  </v:textbox>
                </v:shape>
                <v:shape id="Zone de texte 13" o:spid="_x0000_s1116" type="#_x0000_t202" style="position:absolute;left:41195;top:5686;width:7010;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" fillcolor="white [3201]" stroked="f" strokeweight=".5pt">
                  <v:textbox inset="0,0,0,0">
                    <w:txbxContent>
                      <w:p w:rsidR="00D53F39" w:rsidRPr="003C3D5A" w:rsidRDefault="00D53F39" w:rsidP="00E24DB7">
                        <w:pPr>
                          <w:pStyle w:val="NormalWeb"/>
                          <w:kinsoku w:val="0"/>
                          <w:overflowPunct w:val="0"/>
                          <w:spacing w:before="0" w:beforeAutospacing="0" w:after="0" w:afterAutospacing="0"/>
                          <w:jc w:val="center"/>
                          <w:rPr>
                            <w:rFonts w:ascii="Times New Roman" w:hAnsi="Times New Roman" w:cs="Times New Roman"/>
                            <w:sz w:val="16"/>
                            <w:szCs w:val="16"/>
                            <w:lang w:val="fr-CH"/>
                          </w:rPr>
                        </w:pPr>
                        <w:r w:rsidRPr="003C3D5A">
                          <w:rPr>
                            <w:rFonts w:ascii="Times New Roman" w:eastAsia="Calibri" w:hAnsi="Times New Roman" w:cs="Times New Roman"/>
                            <w:sz w:val="16"/>
                            <w:szCs w:val="16"/>
                            <w:lang w:val="fr-CH"/>
                          </w:rPr>
                          <w:t>Dispositif d’aspiration</w:t>
                        </w:r>
                      </w:p>
                    </w:txbxContent>
                  </v:textbox>
                </v:shape>
                <w10:anchorlock/>
              </v:group>
            </w:pict>
          </mc:Fallback>
        </mc:AlternateContent>
      </w:r>
    </w:p>
    <w:p w:rsidR="00E24DB7" w:rsidRPr="002C5876" w:rsidRDefault="00E24DB7" w:rsidP="00E24DB7">
      <w:pPr>
        <w:pStyle w:val="SingleTxtG"/>
        <w:keepNext/>
        <w:keepLines/>
        <w:spacing w:before="240"/>
        <w:ind w:left="2268" w:hanging="1134"/>
      </w:pPr>
      <w:r w:rsidRPr="002C5876">
        <w:t>3.3.6.4.3</w:t>
      </w:r>
      <w:r w:rsidRPr="002C5876">
        <w:tab/>
        <w:t>Les prescriptions suivantes s’appliquent à la conception et à l’utilisation d’un système de prélèvement à volume constant à débitmètre ultrasonique :</w:t>
      </w:r>
    </w:p>
    <w:p w:rsidR="00E24DB7" w:rsidRPr="002C5876" w:rsidRDefault="00E24DB7" w:rsidP="00E24DB7">
      <w:pPr>
        <w:pStyle w:val="SingleTxtG"/>
        <w:ind w:left="2835" w:hanging="567"/>
      </w:pPr>
      <w:r w:rsidRPr="002C5876">
        <w:t>a)</w:t>
      </w:r>
      <w:r w:rsidRPr="002C5876">
        <w:tab/>
        <w:t>La vitesse des gaz d’échappement dilués doit donner un nombre de Reynolds supérieur à 4 000 afin de maintenir un écoulement turbulent uniforme en amont du débitmètre ultrasonique ;</w:t>
      </w:r>
    </w:p>
    <w:p w:rsidR="00E24DB7" w:rsidRPr="002C5876" w:rsidRDefault="00E24DB7" w:rsidP="00E24DB7">
      <w:pPr>
        <w:pStyle w:val="SingleTxtG"/>
        <w:ind w:left="2835" w:hanging="567"/>
      </w:pPr>
      <w:r w:rsidRPr="002C5876">
        <w:t>b)</w:t>
      </w:r>
      <w:r w:rsidRPr="002C5876">
        <w:tab/>
        <w:t>Le débitmètre ultrasonique doit être installé dans un tuyau de diamètre constant et d’une longueur égale à 10 fois son diamètre interne vers l’amont, et à 5 fois ce diamètre vers l’aval ;</w:t>
      </w:r>
    </w:p>
    <w:p w:rsidR="00E24DB7" w:rsidRPr="002C5876" w:rsidRDefault="00E24DB7" w:rsidP="00E24DB7">
      <w:pPr>
        <w:pStyle w:val="SingleTxtG"/>
        <w:ind w:left="2835" w:hanging="567"/>
      </w:pPr>
      <w:r w:rsidRPr="002C5876">
        <w:t>c)</w:t>
      </w:r>
      <w:r w:rsidRPr="002C5876">
        <w:tab/>
        <w:t xml:space="preserve">Un capteur de la température (T) des gaz d’échappement dilués doit être installé immédiatement en amont du débitmètre ultrasonique. L’exactitude de ce capteur doit être de </w:t>
      </w:r>
      <w:r w:rsidRPr="002C5876">
        <w:sym w:font="Symbol" w:char="F0B1"/>
      </w:r>
      <w:r w:rsidRPr="002C5876">
        <w:t xml:space="preserve">1 °C et son temps de réponse à 62 % d’une variation de température donnée (valeur mesurée dans de l’huile de silicone) doit être de 0,1 s ; </w:t>
      </w:r>
    </w:p>
    <w:p w:rsidR="00E24DB7" w:rsidRPr="002C5876" w:rsidRDefault="00E24DB7" w:rsidP="00E24DB7">
      <w:pPr>
        <w:pStyle w:val="SingleTxtG"/>
        <w:ind w:left="2835" w:hanging="567"/>
      </w:pPr>
      <w:r w:rsidRPr="002C5876">
        <w:t>d)</w:t>
      </w:r>
      <w:r w:rsidRPr="002C5876">
        <w:tab/>
        <w:t xml:space="preserve">La pression absolue (P) des gaz d’échappement dilués doit être mesurée immédiatement en amont du débitmètre ultrasonique, avec une erreur de mesure de </w:t>
      </w:r>
      <w:r w:rsidRPr="002C5876">
        <w:sym w:font="Symbol" w:char="F0B1"/>
      </w:r>
      <w:r w:rsidRPr="002C5876">
        <w:t xml:space="preserve">0,3 kPa au maximum ; </w:t>
      </w:r>
    </w:p>
    <w:p w:rsidR="00E24DB7" w:rsidRPr="002C5876" w:rsidRDefault="00E24DB7" w:rsidP="00E24DB7">
      <w:pPr>
        <w:pStyle w:val="SingleTxtG"/>
        <w:ind w:left="2835" w:hanging="567"/>
      </w:pPr>
      <w:r w:rsidRPr="002C5876">
        <w:t>e)</w:t>
      </w:r>
      <w:r w:rsidRPr="002C5876">
        <w:tab/>
        <w:t xml:space="preserve">Si aucun échangeur de chaleur n’est installé en amont du débitmètre ultrasonique, le débit d’écoulement des gaz d’échappement dilués, ramené à des conditions normales, doit être maintenu à un niveau constant pendant l’essai par réglage du dispositif d’aspiration ou d’une vanne de réglage du débit ou par tout autre moyen. </w:t>
      </w:r>
    </w:p>
    <w:p w:rsidR="00E24DB7" w:rsidRPr="002C5876" w:rsidRDefault="00E24DB7" w:rsidP="00E24DB7">
      <w:pPr>
        <w:pStyle w:val="SingleTxtG"/>
        <w:keepNext/>
        <w:ind w:left="2268" w:hanging="1134"/>
        <w:jc w:val="left"/>
      </w:pPr>
      <w:r w:rsidRPr="002C5876">
        <w:t>3.4</w:t>
      </w:r>
      <w:r w:rsidRPr="002C5876">
        <w:tab/>
        <w:t>Étalonnage du système de prélèvement à volume constant</w:t>
      </w:r>
    </w:p>
    <w:p w:rsidR="00E24DB7" w:rsidRPr="002C5876" w:rsidRDefault="00E24DB7" w:rsidP="00E24DB7">
      <w:pPr>
        <w:pStyle w:val="SingleTxtG"/>
        <w:keepNext/>
        <w:ind w:left="2268" w:hanging="1134"/>
        <w:jc w:val="left"/>
      </w:pPr>
      <w:r w:rsidRPr="002C5876">
        <w:t>3.4.1</w:t>
      </w:r>
      <w:r w:rsidRPr="002C5876">
        <w:tab/>
        <w:t>Prescriptions générales</w:t>
      </w:r>
    </w:p>
    <w:p w:rsidR="00E24DB7" w:rsidRPr="002C5876" w:rsidRDefault="00E24DB7" w:rsidP="00E24DB7">
      <w:pPr>
        <w:pStyle w:val="SingleTxtG"/>
        <w:ind w:left="2268" w:hanging="1134"/>
      </w:pPr>
      <w:r w:rsidRPr="002C5876">
        <w:t>3.4.1.1</w:t>
      </w:r>
      <w:r w:rsidRPr="002C5876">
        <w:tab/>
      </w:r>
      <w:r w:rsidRPr="002C5876">
        <w:rPr>
          <w:spacing w:val="-2"/>
        </w:rPr>
        <w:t>On étalonne le système de prélèvement à volume constant en utilisant un débitmètre exact et un dispositif limitant le débit et en respectant les intervalles énumérés dans le tableau A5/4. On mesure le débit traversant le système à diverses valeurs de pression, ainsi que les paramètres de réglage du système, puis on détermine la relation de ces derniers avec le débit. Le dispositif de mesure du débit (venturi étalonné, débitmètre laminaire, débitmètre à turbine étalonné, par exemple) doit être de type dynamique et convenir pour les forts débits rencontrés dans l’utilisation du système de prélèvement à volume constant. Le dispositif doit être d’une exactitude certifiée</w:t>
      </w:r>
      <w:r w:rsidRPr="002C5876">
        <w:t>.</w:t>
      </w:r>
    </w:p>
    <w:p w:rsidR="00E24DB7" w:rsidRPr="002C5876" w:rsidRDefault="00E24DB7" w:rsidP="00E24DB7">
      <w:pPr>
        <w:pStyle w:val="SingleTxtG"/>
        <w:ind w:left="2268" w:hanging="1134"/>
      </w:pPr>
      <w:r w:rsidRPr="002C5876">
        <w:t>3.4.1.2</w:t>
      </w:r>
      <w:r w:rsidRPr="002C5876">
        <w:tab/>
      </w:r>
      <w:r w:rsidRPr="002C5876">
        <w:rPr>
          <w:spacing w:val="-3"/>
        </w:rPr>
        <w:t>On trouvera dans les paragraphes qui suivent une description des méthodes applicables pour l’étalonnage des appareils de prélèvement à pompe volumétrique, à venturi à régime critique, à venturi subsonique ou à débitmètre ultrasonique, fondées sur l’emploi d’un débitmètre laminaire offrant l’exactitude voulue et des informations sur une vérification statistique de la validité de l’étalonnage.</w:t>
      </w:r>
      <w:r w:rsidRPr="002C5876">
        <w:t xml:space="preserve"> </w:t>
      </w:r>
    </w:p>
    <w:p w:rsidR="00E24DB7" w:rsidRPr="002C5876" w:rsidRDefault="00E24DB7" w:rsidP="00E24DB7">
      <w:pPr>
        <w:pStyle w:val="SingleTxtG"/>
        <w:keepNext/>
        <w:ind w:left="2268" w:hanging="1134"/>
        <w:jc w:val="left"/>
      </w:pPr>
      <w:r w:rsidRPr="002C5876">
        <w:t>3.4.2</w:t>
      </w:r>
      <w:r w:rsidRPr="002C5876">
        <w:tab/>
        <w:t>Étalonnage d’une pompe volumétrique (PDP)</w:t>
      </w:r>
    </w:p>
    <w:p w:rsidR="00E24DB7" w:rsidRPr="002C5876" w:rsidRDefault="00E24DB7" w:rsidP="00E24DB7">
      <w:pPr>
        <w:pStyle w:val="SingleTxtG"/>
        <w:ind w:left="2268" w:hanging="1134"/>
      </w:pPr>
      <w:r w:rsidRPr="002C5876">
        <w:t>3.4.2.1</w:t>
      </w:r>
      <w:r w:rsidRPr="002C5876">
        <w:tab/>
      </w:r>
      <w:r w:rsidRPr="002C5876">
        <w:rPr>
          <w:spacing w:val="-3"/>
        </w:rPr>
        <w:t>La procédure d’étalonnage définie ci-après décrit l’appareillage, la configuration d’essai</w:t>
      </w:r>
      <w:r w:rsidRPr="002C5876">
        <w:t xml:space="preserve"> et les divers paramètres à mesurer pour déterminer le débit de la pompe du système de prélèvement. Tous les paramètres relatifs à la pompe doivent </w:t>
      </w:r>
      <w:r w:rsidRPr="002C5876">
        <w:lastRenderedPageBreak/>
        <w:t>être mesurés simultanément avec les paramètres relatifs au débitmètre raccordé en série à la pompe. On peut alors tracer la courbe du débit calculé (exprimé en m</w:t>
      </w:r>
      <w:r w:rsidRPr="002C5876">
        <w:rPr>
          <w:vertAlign w:val="superscript"/>
        </w:rPr>
        <w:t>3</w:t>
      </w:r>
      <w:r w:rsidRPr="002C5876">
        <w:t xml:space="preserve">/min à l’entrée de la pompe, aux pression et température absolues mesurées), rapporté ensuite à une fonction de corrélation qui prend en compte les paramètres pertinents de la pompe. L’équation linéaire exprimant la relation entre le débit de la pompe et la fonction de corrélation est ensuite déterminée. Si la pompe du système de prélèvement est dotée de plusieurs vitesses d’entraînement, une opération d’étalonnage doit être exécutée pour chaque vitesse utilisée. </w:t>
      </w:r>
    </w:p>
    <w:p w:rsidR="00E24DB7" w:rsidRPr="002C5876" w:rsidRDefault="00E24DB7" w:rsidP="00E24DB7">
      <w:pPr>
        <w:pStyle w:val="SingleTxtG"/>
        <w:ind w:left="2268" w:hanging="1134"/>
      </w:pPr>
      <w:r w:rsidRPr="002C5876">
        <w:t>3.4.2.2</w:t>
      </w:r>
      <w:r w:rsidRPr="002C5876">
        <w:tab/>
        <w:t xml:space="preserve">Cette procédure d’étalonnage est basée sur la mesure des valeurs absolues des paramètres de la pompe et du débitmètre concernant le débit en chaque point. Pour que l’exactitude et la continuité de la courbe d’étalonnage soient garanties, les conditions suivantes doivent être respectées. </w:t>
      </w:r>
    </w:p>
    <w:p w:rsidR="00E24DB7" w:rsidRPr="002C5876" w:rsidRDefault="00E24DB7" w:rsidP="00E24DB7">
      <w:pPr>
        <w:pStyle w:val="SingleTxtG"/>
        <w:ind w:left="2268" w:hanging="1134"/>
      </w:pPr>
      <w:r w:rsidRPr="002C5876">
        <w:t>3.4.2.2.1</w:t>
      </w:r>
      <w:r w:rsidRPr="002C5876">
        <w:tab/>
        <w:t xml:space="preserve">Les pressions à l’intérieur de la pompe doivent être mesurées sur des piquages pratiqués sur le corps même de la pompe et non pas sur des tuyauteries externes raccordées à l’entrée et à la sortie de la pompe. Des piquages respectivement installés au point haut et au point bas de la plaque frontale d’entraînement de la pompe sont soumis aux pressions réelles régnant dans le carter de la pompe et les mesures qui sont effectuées sur ces piquages traduisent donc des écarts de pression absolus. </w:t>
      </w:r>
    </w:p>
    <w:p w:rsidR="00E24DB7" w:rsidRPr="002C5876" w:rsidRDefault="00E24DB7" w:rsidP="00E24DB7">
      <w:pPr>
        <w:pStyle w:val="SingleTxtG"/>
        <w:ind w:left="2268" w:hanging="1134"/>
      </w:pPr>
      <w:r w:rsidRPr="002C5876">
        <w:t>3.4.2.2.2</w:t>
      </w:r>
      <w:r w:rsidRPr="002C5876">
        <w:tab/>
        <w:t xml:space="preserve">Une température stable doit être maintenue au cours de l’étalonnage. Le débitmètre laminaire est sensible aux variations de la température d’entrée, qui provoquent une dispersion des valeurs mesurées. Des variations progressives de la température de </w:t>
      </w:r>
      <w:r w:rsidRPr="002C5876">
        <w:sym w:font="Symbol" w:char="F0B1"/>
      </w:r>
      <w:r w:rsidRPr="002C5876">
        <w:t>1 °C sont acceptables, à condition qu’elles se produisent sur une période de plusieurs minutes.</w:t>
      </w:r>
    </w:p>
    <w:p w:rsidR="00E24DB7" w:rsidRPr="002C5876" w:rsidRDefault="00E24DB7" w:rsidP="00E24DB7">
      <w:pPr>
        <w:pStyle w:val="SingleTxtG"/>
        <w:ind w:left="2268" w:hanging="1134"/>
      </w:pPr>
      <w:r w:rsidRPr="002C5876">
        <w:t>3.4.2.2.3</w:t>
      </w:r>
      <w:r w:rsidRPr="002C5876">
        <w:tab/>
        <w:t>Toutes les tuyauteries de raccordement entre le débitmètre et la pompe du CVS doivent être étanches.</w:t>
      </w:r>
    </w:p>
    <w:p w:rsidR="00E24DB7" w:rsidRPr="002C5876" w:rsidRDefault="00E24DB7" w:rsidP="00E24DB7">
      <w:pPr>
        <w:pStyle w:val="SingleTxtG"/>
        <w:ind w:left="2268" w:hanging="1134"/>
      </w:pPr>
      <w:r w:rsidRPr="002C5876">
        <w:t>3.4.2.3</w:t>
      </w:r>
      <w:r w:rsidRPr="002C5876">
        <w:tab/>
        <w:t xml:space="preserve">Au cours d’un essai de détermination des émissions d’échappement, les paramètres mesurés de la pompe sont utilisés pour calculer le débit d’après l’équation d’étalonnage. </w:t>
      </w:r>
    </w:p>
    <w:p w:rsidR="00E24DB7" w:rsidRPr="002C5876" w:rsidRDefault="00E24DB7" w:rsidP="00E24DB7">
      <w:pPr>
        <w:pStyle w:val="SingleTxtG"/>
        <w:keepNext/>
        <w:ind w:left="2268" w:hanging="1134"/>
      </w:pPr>
      <w:r w:rsidRPr="002C5876">
        <w:t>3.4.2.4</w:t>
      </w:r>
      <w:r w:rsidRPr="002C5876">
        <w:tab/>
      </w:r>
      <w:r w:rsidRPr="002C5876">
        <w:rPr>
          <w:spacing w:val="-2"/>
        </w:rPr>
        <w:t xml:space="preserve">La figure A5/6 de la présente annexe représente un exemple d’installation d’étalonnage. Des variantes offrant une exactitude comparable peuvent être admises, à condition qu’elles soient approuvées par l’autorité compétente. </w:t>
      </w:r>
      <w:r w:rsidRPr="002C5876">
        <w:rPr>
          <w:spacing w:val="-2"/>
        </w:rPr>
        <w:lastRenderedPageBreak/>
        <w:t>Si l’on utilise l’installation décrite à la figure A5/6, les paramètres suivants doivent satisfaire aux tolérances d’exactitude ci-après :</w:t>
      </w:r>
    </w:p>
    <w:tbl>
      <w:tblPr>
        <w:tblW w:w="6237" w:type="dxa"/>
        <w:tblInd w:w="2268" w:type="dxa"/>
        <w:tblLayout w:type="fixed"/>
        <w:tblCellMar>
          <w:left w:w="0" w:type="dxa"/>
          <w:right w:w="0" w:type="dxa"/>
        </w:tblCellMar>
        <w:tblLook w:val="01E0" w:firstRow="1" w:lastRow="1" w:firstColumn="1" w:lastColumn="1" w:noHBand="0" w:noVBand="0"/>
      </w:tblPr>
      <w:tblGrid>
        <w:gridCol w:w="5160"/>
        <w:gridCol w:w="1077"/>
      </w:tblGrid>
      <w:tr w:rsidR="00E24DB7" w:rsidRPr="002C5876" w:rsidTr="00E24DB7">
        <w:tc>
          <w:tcPr>
            <w:tcW w:w="5160" w:type="dxa"/>
            <w:shd w:val="clear" w:color="auto" w:fill="auto"/>
          </w:tcPr>
          <w:p w:rsidR="00E24DB7" w:rsidRPr="002C5876" w:rsidRDefault="00E24DB7" w:rsidP="00E24DB7">
            <w:pPr>
              <w:keepNext/>
              <w:keepLines/>
              <w:spacing w:after="120"/>
            </w:pPr>
            <w:r w:rsidRPr="002C5876">
              <w:t>Pression barométrique (corrigée), P</w:t>
            </w:r>
            <w:r w:rsidRPr="002C5876">
              <w:rPr>
                <w:vertAlign w:val="subscript"/>
              </w:rPr>
              <w:t>b</w:t>
            </w:r>
            <w:r w:rsidRPr="002C5876">
              <w:t> :</w:t>
            </w:r>
          </w:p>
        </w:tc>
        <w:tc>
          <w:tcPr>
            <w:tcW w:w="1077" w:type="dxa"/>
            <w:shd w:val="clear" w:color="auto" w:fill="auto"/>
          </w:tcPr>
          <w:p w:rsidR="00E24DB7" w:rsidRPr="002C5876" w:rsidRDefault="00E24DB7" w:rsidP="00E24DB7">
            <w:pPr>
              <w:keepNext/>
              <w:keepLines/>
              <w:spacing w:after="120"/>
            </w:pPr>
            <w:r w:rsidRPr="002C5876">
              <w:sym w:font="Symbol" w:char="F0B1"/>
            </w:r>
            <w:r w:rsidRPr="002C5876">
              <w:t>0,03 kPa</w:t>
            </w:r>
          </w:p>
        </w:tc>
      </w:tr>
      <w:tr w:rsidR="00E24DB7" w:rsidRPr="002C5876" w:rsidTr="00E24DB7">
        <w:tc>
          <w:tcPr>
            <w:tcW w:w="5160" w:type="dxa"/>
            <w:shd w:val="clear" w:color="auto" w:fill="auto"/>
          </w:tcPr>
          <w:p w:rsidR="00E24DB7" w:rsidRPr="002C5876" w:rsidRDefault="00E24DB7" w:rsidP="00E24DB7">
            <w:pPr>
              <w:keepNext/>
              <w:keepLines/>
              <w:spacing w:after="120"/>
            </w:pPr>
            <w:r w:rsidRPr="002C5876">
              <w:t>Température ambiante, T :</w:t>
            </w:r>
          </w:p>
        </w:tc>
        <w:tc>
          <w:tcPr>
            <w:tcW w:w="1077" w:type="dxa"/>
            <w:shd w:val="clear" w:color="auto" w:fill="auto"/>
          </w:tcPr>
          <w:p w:rsidR="00E24DB7" w:rsidRPr="002C5876" w:rsidRDefault="00E24DB7" w:rsidP="00E24DB7">
            <w:pPr>
              <w:keepNext/>
              <w:keepLines/>
              <w:spacing w:after="120"/>
            </w:pPr>
            <w:r w:rsidRPr="002C5876">
              <w:sym w:font="Symbol" w:char="F0B1"/>
            </w:r>
            <w:r w:rsidRPr="002C5876">
              <w:t>0,2 K</w:t>
            </w:r>
          </w:p>
        </w:tc>
      </w:tr>
      <w:tr w:rsidR="00E24DB7" w:rsidRPr="002C5876" w:rsidTr="00E24DB7">
        <w:tc>
          <w:tcPr>
            <w:tcW w:w="5160" w:type="dxa"/>
            <w:shd w:val="clear" w:color="auto" w:fill="auto"/>
          </w:tcPr>
          <w:p w:rsidR="00E24DB7" w:rsidRPr="002C5876" w:rsidRDefault="00E24DB7" w:rsidP="00E24DB7">
            <w:pPr>
              <w:keepNext/>
              <w:keepLines/>
              <w:spacing w:after="120"/>
            </w:pPr>
            <w:r w:rsidRPr="002C5876">
              <w:t>Température de l’air à l’entrée de l’élément à flux laminaire, ETI :</w:t>
            </w:r>
          </w:p>
        </w:tc>
        <w:tc>
          <w:tcPr>
            <w:tcW w:w="1077" w:type="dxa"/>
            <w:shd w:val="clear" w:color="auto" w:fill="auto"/>
          </w:tcPr>
          <w:p w:rsidR="00E24DB7" w:rsidRPr="002C5876" w:rsidRDefault="00E24DB7" w:rsidP="00E24DB7">
            <w:pPr>
              <w:keepNext/>
              <w:keepLines/>
              <w:spacing w:after="120"/>
            </w:pPr>
            <w:r w:rsidRPr="002C5876">
              <w:sym w:font="Symbol" w:char="F0B1"/>
            </w:r>
            <w:r w:rsidRPr="002C5876">
              <w:t>0,15 K</w:t>
            </w:r>
          </w:p>
        </w:tc>
      </w:tr>
      <w:tr w:rsidR="00E24DB7" w:rsidRPr="002C5876" w:rsidTr="00E24DB7">
        <w:tc>
          <w:tcPr>
            <w:tcW w:w="5160" w:type="dxa"/>
            <w:shd w:val="clear" w:color="auto" w:fill="auto"/>
          </w:tcPr>
          <w:p w:rsidR="00E24DB7" w:rsidRPr="002C5876" w:rsidRDefault="00E24DB7" w:rsidP="00E24DB7">
            <w:pPr>
              <w:keepNext/>
              <w:keepLines/>
              <w:spacing w:after="120"/>
            </w:pPr>
            <w:r w:rsidRPr="002C5876">
              <w:t>Dépression en amont de l’élément à flux laminaire, EPI :</w:t>
            </w:r>
          </w:p>
        </w:tc>
        <w:tc>
          <w:tcPr>
            <w:tcW w:w="1077" w:type="dxa"/>
            <w:shd w:val="clear" w:color="auto" w:fill="auto"/>
          </w:tcPr>
          <w:p w:rsidR="00E24DB7" w:rsidRPr="002C5876" w:rsidRDefault="00E24DB7" w:rsidP="00E24DB7">
            <w:pPr>
              <w:keepNext/>
              <w:keepLines/>
              <w:spacing w:after="120"/>
            </w:pPr>
            <w:r w:rsidRPr="002C5876">
              <w:sym w:font="Symbol" w:char="F0B1"/>
            </w:r>
            <w:r w:rsidRPr="002C5876">
              <w:t>0,01 kPa</w:t>
            </w:r>
          </w:p>
        </w:tc>
      </w:tr>
      <w:tr w:rsidR="00E24DB7" w:rsidRPr="002C5876" w:rsidTr="00E24DB7">
        <w:tc>
          <w:tcPr>
            <w:tcW w:w="5160" w:type="dxa"/>
            <w:shd w:val="clear" w:color="auto" w:fill="auto"/>
          </w:tcPr>
          <w:p w:rsidR="00E24DB7" w:rsidRPr="002C5876" w:rsidRDefault="00E24DB7" w:rsidP="00E24DB7">
            <w:pPr>
              <w:keepNext/>
              <w:keepLines/>
              <w:spacing w:after="120"/>
            </w:pPr>
            <w:r w:rsidRPr="002C5876">
              <w:t>Perte de charge à travers la matrice de l’élément à flux laminaire, EDP :</w:t>
            </w:r>
          </w:p>
        </w:tc>
        <w:tc>
          <w:tcPr>
            <w:tcW w:w="1077" w:type="dxa"/>
            <w:shd w:val="clear" w:color="auto" w:fill="auto"/>
          </w:tcPr>
          <w:p w:rsidR="00E24DB7" w:rsidRPr="002C5876" w:rsidRDefault="00E24DB7" w:rsidP="00E24DB7">
            <w:pPr>
              <w:keepNext/>
              <w:keepLines/>
              <w:spacing w:after="120"/>
            </w:pPr>
            <w:r w:rsidRPr="002C5876">
              <w:sym w:font="Symbol" w:char="F0B1"/>
            </w:r>
            <w:r w:rsidRPr="002C5876">
              <w:t>0,0015 kPa</w:t>
            </w:r>
          </w:p>
        </w:tc>
      </w:tr>
      <w:tr w:rsidR="00E24DB7" w:rsidRPr="002C5876" w:rsidTr="00E24DB7">
        <w:tc>
          <w:tcPr>
            <w:tcW w:w="5160" w:type="dxa"/>
            <w:shd w:val="clear" w:color="auto" w:fill="auto"/>
          </w:tcPr>
          <w:p w:rsidR="00E24DB7" w:rsidRPr="002C5876" w:rsidRDefault="00E24DB7" w:rsidP="00E24DB7">
            <w:pPr>
              <w:keepNext/>
              <w:keepLines/>
              <w:spacing w:after="120"/>
            </w:pPr>
            <w:r w:rsidRPr="002C5876">
              <w:t>Température de l’air à l’entrée de la pompe du CVS, PTI :</w:t>
            </w:r>
          </w:p>
        </w:tc>
        <w:tc>
          <w:tcPr>
            <w:tcW w:w="1077" w:type="dxa"/>
            <w:shd w:val="clear" w:color="auto" w:fill="auto"/>
          </w:tcPr>
          <w:p w:rsidR="00E24DB7" w:rsidRPr="002C5876" w:rsidRDefault="00E24DB7" w:rsidP="00E24DB7">
            <w:pPr>
              <w:keepNext/>
              <w:keepLines/>
              <w:spacing w:after="120"/>
            </w:pPr>
            <w:r w:rsidRPr="002C5876">
              <w:sym w:font="Symbol" w:char="F0B1"/>
            </w:r>
            <w:r w:rsidRPr="002C5876">
              <w:t>0,2 K</w:t>
            </w:r>
          </w:p>
        </w:tc>
      </w:tr>
      <w:tr w:rsidR="00E24DB7" w:rsidRPr="002C5876" w:rsidTr="00E24DB7">
        <w:tc>
          <w:tcPr>
            <w:tcW w:w="5160" w:type="dxa"/>
            <w:shd w:val="clear" w:color="auto" w:fill="auto"/>
          </w:tcPr>
          <w:p w:rsidR="00E24DB7" w:rsidRPr="002C5876" w:rsidRDefault="00E24DB7" w:rsidP="00E24DB7">
            <w:pPr>
              <w:keepNext/>
              <w:keepLines/>
              <w:spacing w:after="120"/>
            </w:pPr>
            <w:r w:rsidRPr="002C5876">
              <w:t>Température de l’air à la sortie de la pompe du CVS, PTO :</w:t>
            </w:r>
          </w:p>
        </w:tc>
        <w:tc>
          <w:tcPr>
            <w:tcW w:w="1077" w:type="dxa"/>
            <w:shd w:val="clear" w:color="auto" w:fill="auto"/>
          </w:tcPr>
          <w:p w:rsidR="00E24DB7" w:rsidRPr="002C5876" w:rsidRDefault="00E24DB7" w:rsidP="00E24DB7">
            <w:pPr>
              <w:keepNext/>
              <w:keepLines/>
              <w:spacing w:after="120"/>
            </w:pPr>
            <w:r w:rsidRPr="002C5876">
              <w:sym w:font="Symbol" w:char="F0B1"/>
            </w:r>
            <w:r w:rsidRPr="002C5876">
              <w:t>0,2 K</w:t>
            </w:r>
          </w:p>
        </w:tc>
      </w:tr>
      <w:tr w:rsidR="00E24DB7" w:rsidRPr="002C5876" w:rsidTr="00E24DB7">
        <w:tc>
          <w:tcPr>
            <w:tcW w:w="5160" w:type="dxa"/>
            <w:shd w:val="clear" w:color="auto" w:fill="auto"/>
          </w:tcPr>
          <w:p w:rsidR="00E24DB7" w:rsidRPr="002C5876" w:rsidRDefault="00E24DB7" w:rsidP="00E24DB7">
            <w:pPr>
              <w:keepNext/>
              <w:keepLines/>
              <w:spacing w:after="120"/>
            </w:pPr>
            <w:r w:rsidRPr="002C5876">
              <w:t>Dépression à l’entrée de la pompe du CVS, PPI :</w:t>
            </w:r>
          </w:p>
        </w:tc>
        <w:tc>
          <w:tcPr>
            <w:tcW w:w="1077" w:type="dxa"/>
            <w:shd w:val="clear" w:color="auto" w:fill="auto"/>
          </w:tcPr>
          <w:p w:rsidR="00E24DB7" w:rsidRPr="002C5876" w:rsidRDefault="00E24DB7" w:rsidP="00E24DB7">
            <w:pPr>
              <w:keepNext/>
              <w:keepLines/>
              <w:spacing w:after="120"/>
            </w:pPr>
            <w:r w:rsidRPr="002C5876">
              <w:sym w:font="Symbol" w:char="F0B1"/>
            </w:r>
            <w:r w:rsidRPr="002C5876">
              <w:t>0,22 kPa</w:t>
            </w:r>
          </w:p>
        </w:tc>
      </w:tr>
      <w:tr w:rsidR="00E24DB7" w:rsidRPr="002C5876" w:rsidTr="00E24DB7">
        <w:tc>
          <w:tcPr>
            <w:tcW w:w="5160" w:type="dxa"/>
            <w:shd w:val="clear" w:color="auto" w:fill="auto"/>
          </w:tcPr>
          <w:p w:rsidR="00E24DB7" w:rsidRPr="002C5876" w:rsidRDefault="00E24DB7" w:rsidP="00E24DB7">
            <w:pPr>
              <w:keepNext/>
              <w:keepLines/>
              <w:spacing w:after="120"/>
            </w:pPr>
            <w:r w:rsidRPr="002C5876">
              <w:t>Hauteur de refoulement à la sortie de la pompe du CVS, PPO :</w:t>
            </w:r>
          </w:p>
        </w:tc>
        <w:tc>
          <w:tcPr>
            <w:tcW w:w="1077" w:type="dxa"/>
            <w:shd w:val="clear" w:color="auto" w:fill="auto"/>
          </w:tcPr>
          <w:p w:rsidR="00E24DB7" w:rsidRPr="002C5876" w:rsidRDefault="00E24DB7" w:rsidP="00E24DB7">
            <w:pPr>
              <w:keepNext/>
              <w:keepLines/>
              <w:spacing w:after="120"/>
            </w:pPr>
            <w:r w:rsidRPr="002C5876">
              <w:sym w:font="Symbol" w:char="F0B1"/>
            </w:r>
            <w:r w:rsidRPr="002C5876">
              <w:t>0,22 kPa</w:t>
            </w:r>
          </w:p>
        </w:tc>
      </w:tr>
      <w:tr w:rsidR="00E24DB7" w:rsidRPr="002C5876" w:rsidTr="00E24DB7">
        <w:tc>
          <w:tcPr>
            <w:tcW w:w="5160" w:type="dxa"/>
            <w:shd w:val="clear" w:color="auto" w:fill="auto"/>
          </w:tcPr>
          <w:p w:rsidR="00E24DB7" w:rsidRPr="002C5876" w:rsidRDefault="00E24DB7" w:rsidP="00E24DB7">
            <w:pPr>
              <w:keepNext/>
              <w:keepLines/>
              <w:spacing w:after="120"/>
            </w:pPr>
            <w:r w:rsidRPr="002C5876">
              <w:t>Nombre de tours de la pompe au cours de l’essai, n :</w:t>
            </w:r>
          </w:p>
        </w:tc>
        <w:tc>
          <w:tcPr>
            <w:tcW w:w="1077" w:type="dxa"/>
            <w:shd w:val="clear" w:color="auto" w:fill="auto"/>
          </w:tcPr>
          <w:p w:rsidR="00E24DB7" w:rsidRPr="002C5876" w:rsidRDefault="00E24DB7" w:rsidP="00E24DB7">
            <w:pPr>
              <w:keepNext/>
              <w:keepLines/>
              <w:spacing w:after="120"/>
              <w:rPr>
                <w:vertAlign w:val="superscript"/>
              </w:rPr>
            </w:pPr>
            <w:r w:rsidRPr="002C5876">
              <w:sym w:font="Symbol" w:char="F0B1"/>
            </w:r>
            <w:r w:rsidRPr="002C5876">
              <w:t>1 min</w:t>
            </w:r>
            <w:r w:rsidRPr="002C5876">
              <w:rPr>
                <w:vertAlign w:val="superscript"/>
              </w:rPr>
              <w:t>–1</w:t>
            </w:r>
          </w:p>
        </w:tc>
      </w:tr>
      <w:tr w:rsidR="00E24DB7" w:rsidRPr="002C5876" w:rsidTr="00E24DB7">
        <w:tc>
          <w:tcPr>
            <w:tcW w:w="5160" w:type="dxa"/>
            <w:shd w:val="clear" w:color="auto" w:fill="auto"/>
          </w:tcPr>
          <w:p w:rsidR="00E24DB7" w:rsidRPr="002C5876" w:rsidRDefault="00E24DB7" w:rsidP="00E24DB7">
            <w:pPr>
              <w:keepNext/>
              <w:keepLines/>
              <w:spacing w:after="120"/>
            </w:pPr>
            <w:r w:rsidRPr="002C5876">
              <w:t>Durée de l’essai (minimum 250 s), t :</w:t>
            </w:r>
          </w:p>
        </w:tc>
        <w:tc>
          <w:tcPr>
            <w:tcW w:w="1077" w:type="dxa"/>
            <w:shd w:val="clear" w:color="auto" w:fill="auto"/>
          </w:tcPr>
          <w:p w:rsidR="00E24DB7" w:rsidRPr="002C5876" w:rsidRDefault="00E24DB7" w:rsidP="00E24DB7">
            <w:pPr>
              <w:keepNext/>
              <w:keepLines/>
              <w:spacing w:after="120"/>
            </w:pPr>
            <w:r w:rsidRPr="002C5876">
              <w:sym w:font="Symbol" w:char="F0B1"/>
            </w:r>
            <w:r w:rsidRPr="002C5876">
              <w:t>0,1 s</w:t>
            </w:r>
          </w:p>
        </w:tc>
      </w:tr>
    </w:tbl>
    <w:p w:rsidR="00E24DB7" w:rsidRPr="002C5876" w:rsidRDefault="00E24DB7" w:rsidP="00E24DB7">
      <w:pPr>
        <w:pStyle w:val="H23G"/>
        <w:ind w:left="0" w:firstLine="0"/>
      </w:pPr>
      <w:r w:rsidRPr="002C5876">
        <w:rPr>
          <w:b w:val="0"/>
        </w:rPr>
        <w:t>Figure A5/6</w:t>
      </w:r>
      <w:r w:rsidRPr="002C5876">
        <w:t xml:space="preserve"> </w:t>
      </w:r>
      <w:r w:rsidRPr="002C5876">
        <w:br/>
        <w:t>Configuration d’étalonnage pour système de prélèvement à pompe volumétrique</w:t>
      </w:r>
    </w:p>
    <w:p w:rsidR="00E24DB7" w:rsidRPr="002C5876" w:rsidRDefault="00E24DB7" w:rsidP="00E24DB7">
      <w:pPr>
        <w:pStyle w:val="SingleTxtG"/>
        <w:keepNext/>
        <w:keepLines/>
        <w:ind w:left="0"/>
        <w:rPr>
          <w:highlight w:val="green"/>
        </w:rPr>
      </w:pPr>
      <w:r w:rsidRPr="002C5876">
        <w:rPr>
          <w:noProof/>
          <w:lang w:val="en-GB" w:eastAsia="zh-CN"/>
        </w:rPr>
        <mc:AlternateContent>
          <mc:Choice Requires="wpc">
            <w:drawing>
              <wp:inline distT="0" distB="0" distL="0" distR="0" wp14:anchorId="126262CE" wp14:editId="63753EE4">
                <wp:extent cx="6126480" cy="3383280"/>
                <wp:effectExtent l="0" t="0" r="0" b="0"/>
                <wp:docPr id="14091" name="Zeichenbereich 1350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3928" name="Group 117"/>
                        <wpg:cNvGrpSpPr>
                          <a:grpSpLocks/>
                        </wpg:cNvGrpSpPr>
                        <wpg:grpSpPr bwMode="auto">
                          <a:xfrm>
                            <a:off x="4477385" y="1593850"/>
                            <a:ext cx="199390" cy="241935"/>
                            <a:chOff x="7051" y="2075"/>
                            <a:chExt cx="314" cy="381"/>
                          </a:xfrm>
                        </wpg:grpSpPr>
                        <wps:wsp>
                          <wps:cNvPr id="13929" name="Freeform 118"/>
                          <wps:cNvSpPr>
                            <a:spLocks/>
                          </wps:cNvSpPr>
                          <wps:spPr bwMode="auto">
                            <a:xfrm>
                              <a:off x="7051" y="2266"/>
                              <a:ext cx="258" cy="190"/>
                            </a:xfrm>
                            <a:custGeom>
                              <a:avLst/>
                              <a:gdLst>
                                <a:gd name="T0" fmla="*/ 123 w 23"/>
                                <a:gd name="T1" fmla="*/ 0 h 17"/>
                                <a:gd name="T2" fmla="*/ 258 w 23"/>
                                <a:gd name="T3" fmla="*/ 190 h 17"/>
                                <a:gd name="T4" fmla="*/ 0 w 23"/>
                                <a:gd name="T5" fmla="*/ 190 h 17"/>
                                <a:gd name="T6" fmla="*/ 123 w 23"/>
                                <a:gd name="T7" fmla="*/ 0 h 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 h="17">
                                  <a:moveTo>
                                    <a:pt x="11" y="0"/>
                                  </a:moveTo>
                                  <a:lnTo>
                                    <a:pt x="23" y="17"/>
                                  </a:lnTo>
                                  <a:lnTo>
                                    <a:pt x="0" y="17"/>
                                  </a:lnTo>
                                  <a:lnTo>
                                    <a:pt x="11" y="0"/>
                                  </a:lnTo>
                                  <a:close/>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30" name="Freeform 119"/>
                          <wps:cNvSpPr>
                            <a:spLocks/>
                          </wps:cNvSpPr>
                          <wps:spPr bwMode="auto">
                            <a:xfrm>
                              <a:off x="7051" y="2075"/>
                              <a:ext cx="258" cy="191"/>
                            </a:xfrm>
                            <a:custGeom>
                              <a:avLst/>
                              <a:gdLst>
                                <a:gd name="T0" fmla="*/ 123 w 23"/>
                                <a:gd name="T1" fmla="*/ 191 h 17"/>
                                <a:gd name="T2" fmla="*/ 0 w 23"/>
                                <a:gd name="T3" fmla="*/ 11 h 17"/>
                                <a:gd name="T4" fmla="*/ 258 w 23"/>
                                <a:gd name="T5" fmla="*/ 0 h 17"/>
                                <a:gd name="T6" fmla="*/ 123 w 23"/>
                                <a:gd name="T7" fmla="*/ 191 h 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 h="17">
                                  <a:moveTo>
                                    <a:pt x="11" y="17"/>
                                  </a:moveTo>
                                  <a:lnTo>
                                    <a:pt x="0" y="1"/>
                                  </a:lnTo>
                                  <a:lnTo>
                                    <a:pt x="23" y="0"/>
                                  </a:lnTo>
                                  <a:lnTo>
                                    <a:pt x="11" y="17"/>
                                  </a:lnTo>
                                  <a:close/>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31" name="Freeform 120"/>
                          <wps:cNvSpPr>
                            <a:spLocks/>
                          </wps:cNvSpPr>
                          <wps:spPr bwMode="auto">
                            <a:xfrm>
                              <a:off x="7175" y="2142"/>
                              <a:ext cx="190" cy="258"/>
                            </a:xfrm>
                            <a:custGeom>
                              <a:avLst/>
                              <a:gdLst>
                                <a:gd name="T0" fmla="*/ 0 w 17"/>
                                <a:gd name="T1" fmla="*/ 123 h 23"/>
                                <a:gd name="T2" fmla="*/ 190 w 17"/>
                                <a:gd name="T3" fmla="*/ 0 h 23"/>
                                <a:gd name="T4" fmla="*/ 190 w 17"/>
                                <a:gd name="T5" fmla="*/ 258 h 23"/>
                                <a:gd name="T6" fmla="*/ 0 w 17"/>
                                <a:gd name="T7" fmla="*/ 123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 h="23">
                                  <a:moveTo>
                                    <a:pt x="0" y="11"/>
                                  </a:moveTo>
                                  <a:lnTo>
                                    <a:pt x="17" y="0"/>
                                  </a:lnTo>
                                  <a:lnTo>
                                    <a:pt x="17" y="23"/>
                                  </a:lnTo>
                                  <a:lnTo>
                                    <a:pt x="0" y="11"/>
                                  </a:lnTo>
                                  <a:close/>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3932" name="Line 121"/>
                        <wps:cNvCnPr/>
                        <wps:spPr bwMode="auto">
                          <a:xfrm>
                            <a:off x="4676775" y="1715135"/>
                            <a:ext cx="8509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33" name="Freeform 127"/>
                        <wps:cNvSpPr>
                          <a:spLocks/>
                        </wps:cNvSpPr>
                        <wps:spPr bwMode="auto">
                          <a:xfrm>
                            <a:off x="49530" y="553720"/>
                            <a:ext cx="647065" cy="227965"/>
                          </a:xfrm>
                          <a:custGeom>
                            <a:avLst/>
                            <a:gdLst>
                              <a:gd name="T0" fmla="*/ 106659 w 91"/>
                              <a:gd name="T1" fmla="*/ 178098 h 32"/>
                              <a:gd name="T2" fmla="*/ 42664 w 91"/>
                              <a:gd name="T3" fmla="*/ 199469 h 32"/>
                              <a:gd name="T4" fmla="*/ 106659 w 91"/>
                              <a:gd name="T5" fmla="*/ 227965 h 32"/>
                              <a:gd name="T6" fmla="*/ 0 w 91"/>
                              <a:gd name="T7" fmla="*/ 227965 h 32"/>
                              <a:gd name="T8" fmla="*/ 0 w 91"/>
                              <a:gd name="T9" fmla="*/ 0 h 32"/>
                              <a:gd name="T10" fmla="*/ 647065 w 91"/>
                              <a:gd name="T11" fmla="*/ 0 h 32"/>
                              <a:gd name="T12" fmla="*/ 647065 w 91"/>
                              <a:gd name="T13" fmla="*/ 227965 h 32"/>
                              <a:gd name="T14" fmla="*/ 568848 w 91"/>
                              <a:gd name="T15" fmla="*/ 227965 h 32"/>
                              <a:gd name="T16" fmla="*/ 568848 w 91"/>
                              <a:gd name="T17" fmla="*/ 178098 h 32"/>
                              <a:gd name="T18" fmla="*/ 106659 w 91"/>
                              <a:gd name="T19" fmla="*/ 178098 h 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1" h="32">
                                <a:moveTo>
                                  <a:pt x="15" y="25"/>
                                </a:moveTo>
                                <a:lnTo>
                                  <a:pt x="6" y="28"/>
                                </a:lnTo>
                                <a:lnTo>
                                  <a:pt x="15" y="32"/>
                                </a:lnTo>
                                <a:lnTo>
                                  <a:pt x="0" y="32"/>
                                </a:lnTo>
                                <a:lnTo>
                                  <a:pt x="0" y="0"/>
                                </a:lnTo>
                                <a:lnTo>
                                  <a:pt x="91" y="0"/>
                                </a:lnTo>
                                <a:lnTo>
                                  <a:pt x="91" y="32"/>
                                </a:lnTo>
                                <a:lnTo>
                                  <a:pt x="80" y="32"/>
                                </a:lnTo>
                                <a:lnTo>
                                  <a:pt x="80" y="25"/>
                                </a:lnTo>
                                <a:lnTo>
                                  <a:pt x="15" y="25"/>
                                </a:lnTo>
                                <a:close/>
                              </a:path>
                            </a:pathLst>
                          </a:custGeom>
                          <a:solidFill>
                            <a:srgbClr val="24211D"/>
                          </a:solidFill>
                          <a:ln w="3175">
                            <a:solidFill>
                              <a:srgbClr val="24211D"/>
                            </a:solidFill>
                            <a:round/>
                            <a:headEnd/>
                            <a:tailEnd/>
                          </a:ln>
                        </wps:spPr>
                        <wps:bodyPr rot="0" vert="horz" wrap="square" lIns="91440" tIns="45720" rIns="91440" bIns="45720" anchor="t" anchorCtr="0" upright="1">
                          <a:noAutofit/>
                        </wps:bodyPr>
                      </wps:wsp>
                      <wps:wsp>
                        <wps:cNvPr id="13934" name="Freeform 128"/>
                        <wps:cNvSpPr>
                          <a:spLocks/>
                        </wps:cNvSpPr>
                        <wps:spPr bwMode="auto">
                          <a:xfrm>
                            <a:off x="49530" y="838835"/>
                            <a:ext cx="647065" cy="227965"/>
                          </a:xfrm>
                          <a:custGeom>
                            <a:avLst/>
                            <a:gdLst>
                              <a:gd name="T0" fmla="*/ 568848 w 91"/>
                              <a:gd name="T1" fmla="*/ 0 h 32"/>
                              <a:gd name="T2" fmla="*/ 568848 w 91"/>
                              <a:gd name="T3" fmla="*/ 49867 h 32"/>
                              <a:gd name="T4" fmla="*/ 106659 w 91"/>
                              <a:gd name="T5" fmla="*/ 49867 h 32"/>
                              <a:gd name="T6" fmla="*/ 106659 w 91"/>
                              <a:gd name="T7" fmla="*/ 0 h 32"/>
                              <a:gd name="T8" fmla="*/ 0 w 91"/>
                              <a:gd name="T9" fmla="*/ 0 h 32"/>
                              <a:gd name="T10" fmla="*/ 0 w 91"/>
                              <a:gd name="T11" fmla="*/ 227965 h 32"/>
                              <a:gd name="T12" fmla="*/ 647065 w 91"/>
                              <a:gd name="T13" fmla="*/ 227965 h 32"/>
                              <a:gd name="T14" fmla="*/ 647065 w 91"/>
                              <a:gd name="T15" fmla="*/ 0 h 32"/>
                              <a:gd name="T16" fmla="*/ 568848 w 91"/>
                              <a:gd name="T17" fmla="*/ 0 h 3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32">
                                <a:moveTo>
                                  <a:pt x="80" y="0"/>
                                </a:moveTo>
                                <a:lnTo>
                                  <a:pt x="80" y="7"/>
                                </a:lnTo>
                                <a:lnTo>
                                  <a:pt x="15" y="7"/>
                                </a:lnTo>
                                <a:lnTo>
                                  <a:pt x="15" y="0"/>
                                </a:lnTo>
                                <a:lnTo>
                                  <a:pt x="0" y="0"/>
                                </a:lnTo>
                                <a:lnTo>
                                  <a:pt x="0" y="32"/>
                                </a:lnTo>
                                <a:lnTo>
                                  <a:pt x="91" y="32"/>
                                </a:lnTo>
                                <a:lnTo>
                                  <a:pt x="91" y="0"/>
                                </a:lnTo>
                                <a:lnTo>
                                  <a:pt x="80" y="0"/>
                                </a:lnTo>
                                <a:close/>
                              </a:path>
                            </a:pathLst>
                          </a:custGeom>
                          <a:solidFill>
                            <a:srgbClr val="24211D"/>
                          </a:solidFill>
                          <a:ln w="0">
                            <a:solidFill>
                              <a:srgbClr val="24211D"/>
                            </a:solidFill>
                            <a:round/>
                            <a:headEnd/>
                            <a:tailEnd/>
                          </a:ln>
                        </wps:spPr>
                        <wps:bodyPr rot="0" vert="horz" wrap="square" lIns="91440" tIns="45720" rIns="91440" bIns="45720" anchor="t" anchorCtr="0" upright="1">
                          <a:noAutofit/>
                        </wps:bodyPr>
                      </wps:wsp>
                      <wps:wsp>
                        <wps:cNvPr id="13935" name="Line 129"/>
                        <wps:cNvCnPr/>
                        <wps:spPr bwMode="auto">
                          <a:xfrm flipV="1">
                            <a:off x="156210" y="732155"/>
                            <a:ext cx="635" cy="4953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36" name="Line 130"/>
                        <wps:cNvCnPr/>
                        <wps:spPr bwMode="auto">
                          <a:xfrm>
                            <a:off x="1315085" y="625475"/>
                            <a:ext cx="68199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37" name="Line 131"/>
                        <wps:cNvCnPr/>
                        <wps:spPr bwMode="auto">
                          <a:xfrm>
                            <a:off x="1315085" y="988695"/>
                            <a:ext cx="68199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38" name="Line 132"/>
                        <wps:cNvCnPr/>
                        <wps:spPr bwMode="auto">
                          <a:xfrm>
                            <a:off x="2146300" y="717550"/>
                            <a:ext cx="107315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39" name="Line 133"/>
                        <wps:cNvCnPr/>
                        <wps:spPr bwMode="auto">
                          <a:xfrm>
                            <a:off x="2146300" y="902970"/>
                            <a:ext cx="107315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40" name="Line 134"/>
                        <wps:cNvCnPr/>
                        <wps:spPr bwMode="auto">
                          <a:xfrm>
                            <a:off x="1997075" y="625475"/>
                            <a:ext cx="149225" cy="9207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62" name="Line 135"/>
                        <wps:cNvCnPr/>
                        <wps:spPr bwMode="auto">
                          <a:xfrm flipH="1">
                            <a:off x="1165860" y="625475"/>
                            <a:ext cx="149225" cy="9207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63" name="Line 136"/>
                        <wps:cNvCnPr/>
                        <wps:spPr bwMode="auto">
                          <a:xfrm flipH="1">
                            <a:off x="1165860" y="625475"/>
                            <a:ext cx="149225" cy="9207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64" name="Line 137"/>
                        <wps:cNvCnPr/>
                        <wps:spPr bwMode="auto">
                          <a:xfrm>
                            <a:off x="696595" y="625475"/>
                            <a:ext cx="149225" cy="9207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65" name="Line 138"/>
                        <wps:cNvCnPr/>
                        <wps:spPr bwMode="auto">
                          <a:xfrm flipV="1">
                            <a:off x="1997075" y="902970"/>
                            <a:ext cx="149225"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66" name="Line 139"/>
                        <wps:cNvCnPr/>
                        <wps:spPr bwMode="auto">
                          <a:xfrm flipH="1" flipV="1">
                            <a:off x="1165860" y="902970"/>
                            <a:ext cx="149225"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67" name="Line 140"/>
                        <wps:cNvCnPr/>
                        <wps:spPr bwMode="auto">
                          <a:xfrm flipH="1" flipV="1">
                            <a:off x="1165860" y="902970"/>
                            <a:ext cx="149225"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68" name="Line 141"/>
                        <wps:cNvCnPr/>
                        <wps:spPr bwMode="auto">
                          <a:xfrm flipV="1">
                            <a:off x="696595" y="902970"/>
                            <a:ext cx="149225"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69" name="Line 142"/>
                        <wps:cNvCnPr/>
                        <wps:spPr bwMode="auto">
                          <a:xfrm flipH="1">
                            <a:off x="845820" y="717550"/>
                            <a:ext cx="32004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70" name="Line 143"/>
                        <wps:cNvCnPr/>
                        <wps:spPr bwMode="auto">
                          <a:xfrm flipH="1">
                            <a:off x="845820" y="902970"/>
                            <a:ext cx="32004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71" name="Line 144"/>
                        <wps:cNvCnPr/>
                        <wps:spPr bwMode="auto">
                          <a:xfrm>
                            <a:off x="1556385" y="838835"/>
                            <a:ext cx="635" cy="14986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72" name="Line 145"/>
                        <wps:cNvCnPr/>
                        <wps:spPr bwMode="auto">
                          <a:xfrm>
                            <a:off x="1478280" y="838835"/>
                            <a:ext cx="635" cy="14986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73" name="Line 146"/>
                        <wps:cNvCnPr/>
                        <wps:spPr bwMode="auto">
                          <a:xfrm>
                            <a:off x="1556385" y="625475"/>
                            <a:ext cx="635" cy="15621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74" name="Line 147"/>
                        <wps:cNvCnPr/>
                        <wps:spPr bwMode="auto">
                          <a:xfrm>
                            <a:off x="1478280" y="625475"/>
                            <a:ext cx="635" cy="15621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75" name="Line 148"/>
                        <wps:cNvCnPr/>
                        <wps:spPr bwMode="auto">
                          <a:xfrm>
                            <a:off x="1876425" y="625475"/>
                            <a:ext cx="635" cy="3632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76" name="Rectangle 149"/>
                        <wps:cNvSpPr>
                          <a:spLocks noChangeArrowheads="1"/>
                        </wps:cNvSpPr>
                        <wps:spPr bwMode="auto">
                          <a:xfrm>
                            <a:off x="1677670" y="653415"/>
                            <a:ext cx="177165" cy="313690"/>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Line 150"/>
                        <wps:cNvCnPr/>
                        <wps:spPr bwMode="auto">
                          <a:xfrm>
                            <a:off x="895350" y="838835"/>
                            <a:ext cx="635" cy="641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78" name="Line 151"/>
                        <wps:cNvCnPr/>
                        <wps:spPr bwMode="auto">
                          <a:xfrm>
                            <a:off x="895350" y="717550"/>
                            <a:ext cx="635" cy="641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79" name="Line 152"/>
                        <wps:cNvCnPr/>
                        <wps:spPr bwMode="auto">
                          <a:xfrm>
                            <a:off x="3063240" y="717550"/>
                            <a:ext cx="635" cy="1854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80" name="Line 153"/>
                        <wps:cNvCnPr/>
                        <wps:spPr bwMode="auto">
                          <a:xfrm>
                            <a:off x="2914015" y="717550"/>
                            <a:ext cx="149225" cy="1854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81" name="Freeform 154"/>
                        <wps:cNvSpPr>
                          <a:spLocks/>
                        </wps:cNvSpPr>
                        <wps:spPr bwMode="auto">
                          <a:xfrm>
                            <a:off x="2707640" y="803275"/>
                            <a:ext cx="284480" cy="227965"/>
                          </a:xfrm>
                          <a:custGeom>
                            <a:avLst/>
                            <a:gdLst>
                              <a:gd name="T0" fmla="*/ 0 w 40"/>
                              <a:gd name="T1" fmla="*/ 213717 h 32"/>
                              <a:gd name="T2" fmla="*/ 270256 w 40"/>
                              <a:gd name="T3" fmla="*/ 0 h 32"/>
                              <a:gd name="T4" fmla="*/ 284480 w 40"/>
                              <a:gd name="T5" fmla="*/ 14248 h 32"/>
                              <a:gd name="T6" fmla="*/ 14224 w 40"/>
                              <a:gd name="T7" fmla="*/ 227965 h 32"/>
                              <a:gd name="T8" fmla="*/ 0 w 40"/>
                              <a:gd name="T9" fmla="*/ 213717 h 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 h="32">
                                <a:moveTo>
                                  <a:pt x="0" y="30"/>
                                </a:moveTo>
                                <a:lnTo>
                                  <a:pt x="38" y="0"/>
                                </a:lnTo>
                                <a:lnTo>
                                  <a:pt x="40" y="2"/>
                                </a:lnTo>
                                <a:lnTo>
                                  <a:pt x="2" y="32"/>
                                </a:lnTo>
                                <a:lnTo>
                                  <a:pt x="0" y="3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7" name="Line 155"/>
                        <wps:cNvCnPr/>
                        <wps:spPr bwMode="auto">
                          <a:xfrm>
                            <a:off x="3219450" y="717550"/>
                            <a:ext cx="635" cy="1854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59" name="Line 156"/>
                        <wps:cNvCnPr/>
                        <wps:spPr bwMode="auto">
                          <a:xfrm>
                            <a:off x="3219450" y="810260"/>
                            <a:ext cx="241935"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60" name="Line 157"/>
                        <wps:cNvCnPr/>
                        <wps:spPr bwMode="auto">
                          <a:xfrm>
                            <a:off x="1876425" y="810260"/>
                            <a:ext cx="1186815" cy="635"/>
                          </a:xfrm>
                          <a:prstGeom prst="line">
                            <a:avLst/>
                          </a:prstGeom>
                          <a:noFill/>
                          <a:ln w="3175">
                            <a:solidFill>
                              <a:srgbClr val="24211D"/>
                            </a:solidFill>
                            <a:prstDash val="lgDash"/>
                            <a:round/>
                            <a:headEnd/>
                            <a:tailEnd/>
                          </a:ln>
                          <a:extLst>
                            <a:ext uri="{909E8E84-426E-40DD-AFC4-6F175D3DCCD1}">
                              <a14:hiddenFill xmlns:a14="http://schemas.microsoft.com/office/drawing/2010/main">
                                <a:noFill/>
                              </a14:hiddenFill>
                            </a:ext>
                          </a:extLst>
                        </wps:spPr>
                        <wps:bodyPr/>
                      </wps:wsp>
                      <wps:wsp>
                        <wps:cNvPr id="13961" name="Line 158"/>
                        <wps:cNvCnPr/>
                        <wps:spPr bwMode="auto">
                          <a:xfrm>
                            <a:off x="3219450" y="881380"/>
                            <a:ext cx="241935"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62" name="Line 159"/>
                        <wps:cNvCnPr/>
                        <wps:spPr bwMode="auto">
                          <a:xfrm>
                            <a:off x="3219450" y="732155"/>
                            <a:ext cx="241935"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63" name="Line 160"/>
                        <wps:cNvCnPr/>
                        <wps:spPr bwMode="auto">
                          <a:xfrm flipH="1">
                            <a:off x="49530" y="838835"/>
                            <a:ext cx="162814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64" name="Line 161"/>
                        <wps:cNvCnPr/>
                        <wps:spPr bwMode="auto">
                          <a:xfrm flipH="1">
                            <a:off x="49530" y="781685"/>
                            <a:ext cx="162814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65" name="Freeform 162"/>
                        <wps:cNvSpPr>
                          <a:spLocks/>
                        </wps:cNvSpPr>
                        <wps:spPr bwMode="auto">
                          <a:xfrm>
                            <a:off x="0" y="505460"/>
                            <a:ext cx="49530" cy="57150"/>
                          </a:xfrm>
                          <a:custGeom>
                            <a:avLst/>
                            <a:gdLst>
                              <a:gd name="T0" fmla="*/ 49530 w 7"/>
                              <a:gd name="T1" fmla="*/ 0 h 8"/>
                              <a:gd name="T2" fmla="*/ 0 w 7"/>
                              <a:gd name="T3" fmla="*/ 28575 h 8"/>
                              <a:gd name="T4" fmla="*/ 49530 w 7"/>
                              <a:gd name="T5" fmla="*/ 57150 h 8"/>
                              <a:gd name="T6" fmla="*/ 0 60000 65536"/>
                              <a:gd name="T7" fmla="*/ 0 60000 65536"/>
                              <a:gd name="T8" fmla="*/ 0 60000 65536"/>
                            </a:gdLst>
                            <a:ahLst/>
                            <a:cxnLst>
                              <a:cxn ang="T6">
                                <a:pos x="T0" y="T1"/>
                              </a:cxn>
                              <a:cxn ang="T7">
                                <a:pos x="T2" y="T3"/>
                              </a:cxn>
                              <a:cxn ang="T8">
                                <a:pos x="T4" y="T5"/>
                              </a:cxn>
                            </a:cxnLst>
                            <a:rect l="0" t="0" r="r" b="b"/>
                            <a:pathLst>
                              <a:path w="7" h="8">
                                <a:moveTo>
                                  <a:pt x="7" y="0"/>
                                </a:moveTo>
                                <a:lnTo>
                                  <a:pt x="0" y="4"/>
                                </a:lnTo>
                                <a:lnTo>
                                  <a:pt x="7" y="8"/>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66" name="Line 163"/>
                        <wps:cNvCnPr/>
                        <wps:spPr bwMode="auto">
                          <a:xfrm flipV="1">
                            <a:off x="156210" y="732155"/>
                            <a:ext cx="635" cy="4953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67" name="Line 164"/>
                        <wps:cNvCnPr/>
                        <wps:spPr bwMode="auto">
                          <a:xfrm>
                            <a:off x="1485265" y="568325"/>
                            <a:ext cx="12827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76" name="Freeform 165"/>
                        <wps:cNvSpPr>
                          <a:spLocks/>
                        </wps:cNvSpPr>
                        <wps:spPr bwMode="auto">
                          <a:xfrm>
                            <a:off x="1513840" y="489585"/>
                            <a:ext cx="71120" cy="36195"/>
                          </a:xfrm>
                          <a:custGeom>
                            <a:avLst/>
                            <a:gdLst>
                              <a:gd name="T0" fmla="*/ 0 w 10"/>
                              <a:gd name="T1" fmla="*/ 36195 h 5"/>
                              <a:gd name="T2" fmla="*/ 35560 w 10"/>
                              <a:gd name="T3" fmla="*/ 0 h 5"/>
                              <a:gd name="T4" fmla="*/ 71120 w 10"/>
                              <a:gd name="T5" fmla="*/ 36195 h 5"/>
                              <a:gd name="T6" fmla="*/ 0 60000 65536"/>
                              <a:gd name="T7" fmla="*/ 0 60000 65536"/>
                              <a:gd name="T8" fmla="*/ 0 60000 65536"/>
                            </a:gdLst>
                            <a:ahLst/>
                            <a:cxnLst>
                              <a:cxn ang="T6">
                                <a:pos x="T0" y="T1"/>
                              </a:cxn>
                              <a:cxn ang="T7">
                                <a:pos x="T2" y="T3"/>
                              </a:cxn>
                              <a:cxn ang="T8">
                                <a:pos x="T4" y="T5"/>
                              </a:cxn>
                            </a:cxnLst>
                            <a:rect l="0" t="0" r="r" b="b"/>
                            <a:pathLst>
                              <a:path w="10" h="5">
                                <a:moveTo>
                                  <a:pt x="0" y="5"/>
                                </a:moveTo>
                                <a:cubicBezTo>
                                  <a:pt x="0" y="2"/>
                                  <a:pt x="2" y="0"/>
                                  <a:pt x="5" y="0"/>
                                </a:cubicBezTo>
                                <a:cubicBezTo>
                                  <a:pt x="8" y="0"/>
                                  <a:pt x="10" y="2"/>
                                  <a:pt x="10" y="5"/>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8" name="Line 166"/>
                        <wps:cNvCnPr/>
                        <wps:spPr bwMode="auto">
                          <a:xfrm>
                            <a:off x="1513840" y="525780"/>
                            <a:ext cx="635" cy="425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79" name="Line 167"/>
                        <wps:cNvCnPr/>
                        <wps:spPr bwMode="auto">
                          <a:xfrm>
                            <a:off x="1584960" y="525780"/>
                            <a:ext cx="635" cy="425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010" name="Line 168"/>
                        <wps:cNvCnPr/>
                        <wps:spPr bwMode="auto">
                          <a:xfrm flipV="1">
                            <a:off x="1549400" y="325755"/>
                            <a:ext cx="635" cy="16383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039" name="Line 169"/>
                        <wps:cNvCnPr/>
                        <wps:spPr bwMode="auto">
                          <a:xfrm>
                            <a:off x="1698625" y="568325"/>
                            <a:ext cx="135255"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292" name="Freeform 170"/>
                        <wps:cNvSpPr>
                          <a:spLocks/>
                        </wps:cNvSpPr>
                        <wps:spPr bwMode="auto">
                          <a:xfrm>
                            <a:off x="1727200" y="489585"/>
                            <a:ext cx="71120" cy="36195"/>
                          </a:xfrm>
                          <a:custGeom>
                            <a:avLst/>
                            <a:gdLst>
                              <a:gd name="T0" fmla="*/ 0 w 10"/>
                              <a:gd name="T1" fmla="*/ 36195 h 5"/>
                              <a:gd name="T2" fmla="*/ 35560 w 10"/>
                              <a:gd name="T3" fmla="*/ 0 h 5"/>
                              <a:gd name="T4" fmla="*/ 71120 w 10"/>
                              <a:gd name="T5" fmla="*/ 36195 h 5"/>
                              <a:gd name="T6" fmla="*/ 0 60000 65536"/>
                              <a:gd name="T7" fmla="*/ 0 60000 65536"/>
                              <a:gd name="T8" fmla="*/ 0 60000 65536"/>
                            </a:gdLst>
                            <a:ahLst/>
                            <a:cxnLst>
                              <a:cxn ang="T6">
                                <a:pos x="T0" y="T1"/>
                              </a:cxn>
                              <a:cxn ang="T7">
                                <a:pos x="T2" y="T3"/>
                              </a:cxn>
                              <a:cxn ang="T8">
                                <a:pos x="T4" y="T5"/>
                              </a:cxn>
                            </a:cxnLst>
                            <a:rect l="0" t="0" r="r" b="b"/>
                            <a:pathLst>
                              <a:path w="10" h="5">
                                <a:moveTo>
                                  <a:pt x="0" y="5"/>
                                </a:moveTo>
                                <a:cubicBezTo>
                                  <a:pt x="0" y="2"/>
                                  <a:pt x="3" y="0"/>
                                  <a:pt x="5" y="0"/>
                                </a:cubicBezTo>
                                <a:cubicBezTo>
                                  <a:pt x="8" y="0"/>
                                  <a:pt x="10" y="2"/>
                                  <a:pt x="10" y="5"/>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Line 171"/>
                        <wps:cNvCnPr/>
                        <wps:spPr bwMode="auto">
                          <a:xfrm>
                            <a:off x="1727200" y="525780"/>
                            <a:ext cx="635" cy="425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294" name="Line 172"/>
                        <wps:cNvCnPr/>
                        <wps:spPr bwMode="auto">
                          <a:xfrm>
                            <a:off x="1798320" y="525780"/>
                            <a:ext cx="635" cy="425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295" name="Line 173"/>
                        <wps:cNvCnPr/>
                        <wps:spPr bwMode="auto">
                          <a:xfrm flipV="1">
                            <a:off x="1762760" y="325755"/>
                            <a:ext cx="635" cy="16383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296" name="Freeform 174"/>
                        <wps:cNvSpPr>
                          <a:spLocks/>
                        </wps:cNvSpPr>
                        <wps:spPr bwMode="auto">
                          <a:xfrm>
                            <a:off x="3461385" y="881380"/>
                            <a:ext cx="376555" cy="377825"/>
                          </a:xfrm>
                          <a:custGeom>
                            <a:avLst/>
                            <a:gdLst>
                              <a:gd name="T0" fmla="*/ 0 w 53"/>
                              <a:gd name="T1" fmla="*/ 0 h 53"/>
                              <a:gd name="T2" fmla="*/ 376555 w 53"/>
                              <a:gd name="T3" fmla="*/ 377825 h 53"/>
                              <a:gd name="T4" fmla="*/ 0 60000 65536"/>
                              <a:gd name="T5" fmla="*/ 0 60000 65536"/>
                            </a:gdLst>
                            <a:ahLst/>
                            <a:cxnLst>
                              <a:cxn ang="T4">
                                <a:pos x="T0" y="T1"/>
                              </a:cxn>
                              <a:cxn ang="T5">
                                <a:pos x="T2" y="T3"/>
                              </a:cxn>
                            </a:cxnLst>
                            <a:rect l="0" t="0" r="r" b="b"/>
                            <a:pathLst>
                              <a:path w="53" h="53">
                                <a:moveTo>
                                  <a:pt x="0" y="0"/>
                                </a:moveTo>
                                <a:cubicBezTo>
                                  <a:pt x="30" y="0"/>
                                  <a:pt x="53" y="24"/>
                                  <a:pt x="53" y="53"/>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Line 175"/>
                        <wps:cNvCnPr/>
                        <wps:spPr bwMode="auto">
                          <a:xfrm>
                            <a:off x="3837940" y="1259205"/>
                            <a:ext cx="635" cy="12827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06" name="Line 176"/>
                        <wps:cNvCnPr/>
                        <wps:spPr bwMode="auto">
                          <a:xfrm>
                            <a:off x="3987165" y="1259205"/>
                            <a:ext cx="635" cy="12827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08" name="Freeform 177"/>
                        <wps:cNvSpPr>
                          <a:spLocks/>
                        </wps:cNvSpPr>
                        <wps:spPr bwMode="auto">
                          <a:xfrm>
                            <a:off x="3461385" y="732155"/>
                            <a:ext cx="525780" cy="527050"/>
                          </a:xfrm>
                          <a:custGeom>
                            <a:avLst/>
                            <a:gdLst>
                              <a:gd name="T0" fmla="*/ 0 w 74"/>
                              <a:gd name="T1" fmla="*/ 0 h 74"/>
                              <a:gd name="T2" fmla="*/ 525780 w 74"/>
                              <a:gd name="T3" fmla="*/ 527050 h 74"/>
                              <a:gd name="T4" fmla="*/ 0 60000 65536"/>
                              <a:gd name="T5" fmla="*/ 0 60000 65536"/>
                            </a:gdLst>
                            <a:ahLst/>
                            <a:cxnLst>
                              <a:cxn ang="T4">
                                <a:pos x="T0" y="T1"/>
                              </a:cxn>
                              <a:cxn ang="T5">
                                <a:pos x="T2" y="T3"/>
                              </a:cxn>
                            </a:cxnLst>
                            <a:rect l="0" t="0" r="r" b="b"/>
                            <a:pathLst>
                              <a:path w="74" h="74">
                                <a:moveTo>
                                  <a:pt x="0" y="0"/>
                                </a:moveTo>
                                <a:cubicBezTo>
                                  <a:pt x="41" y="0"/>
                                  <a:pt x="74" y="33"/>
                                  <a:pt x="74" y="74"/>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178"/>
                        <wps:cNvSpPr>
                          <a:spLocks/>
                        </wps:cNvSpPr>
                        <wps:spPr bwMode="auto">
                          <a:xfrm>
                            <a:off x="3461385" y="810260"/>
                            <a:ext cx="454660" cy="448945"/>
                          </a:xfrm>
                          <a:custGeom>
                            <a:avLst/>
                            <a:gdLst>
                              <a:gd name="T0" fmla="*/ 0 w 64"/>
                              <a:gd name="T1" fmla="*/ 0 h 63"/>
                              <a:gd name="T2" fmla="*/ 454660 w 64"/>
                              <a:gd name="T3" fmla="*/ 448945 h 63"/>
                              <a:gd name="T4" fmla="*/ 0 60000 65536"/>
                              <a:gd name="T5" fmla="*/ 0 60000 65536"/>
                            </a:gdLst>
                            <a:ahLst/>
                            <a:cxnLst>
                              <a:cxn ang="T4">
                                <a:pos x="T0" y="T1"/>
                              </a:cxn>
                              <a:cxn ang="T5">
                                <a:pos x="T2" y="T3"/>
                              </a:cxn>
                            </a:cxnLst>
                            <a:rect l="0" t="0" r="r" b="b"/>
                            <a:pathLst>
                              <a:path w="64" h="63">
                                <a:moveTo>
                                  <a:pt x="0" y="0"/>
                                </a:moveTo>
                                <a:cubicBezTo>
                                  <a:pt x="35" y="0"/>
                                  <a:pt x="64" y="28"/>
                                  <a:pt x="64" y="63"/>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Line 179"/>
                        <wps:cNvCnPr/>
                        <wps:spPr bwMode="auto">
                          <a:xfrm>
                            <a:off x="4250055" y="1715135"/>
                            <a:ext cx="30607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11" name="Line 180"/>
                        <wps:cNvCnPr/>
                        <wps:spPr bwMode="auto">
                          <a:xfrm>
                            <a:off x="3916045" y="1259205"/>
                            <a:ext cx="635" cy="12128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12" name="Line 181"/>
                        <wps:cNvCnPr/>
                        <wps:spPr bwMode="auto">
                          <a:xfrm>
                            <a:off x="5344795" y="1636395"/>
                            <a:ext cx="635" cy="16383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g:wgp>
                        <wpg:cNvPr id="313" name="Group 182"/>
                        <wpg:cNvGrpSpPr>
                          <a:grpSpLocks/>
                        </wpg:cNvGrpSpPr>
                        <wpg:grpSpPr bwMode="auto">
                          <a:xfrm>
                            <a:off x="5344795" y="1608455"/>
                            <a:ext cx="241935" cy="191770"/>
                            <a:chOff x="8417" y="2098"/>
                            <a:chExt cx="381" cy="302"/>
                          </a:xfrm>
                        </wpg:grpSpPr>
                        <wps:wsp>
                          <wps:cNvPr id="314" name="Freeform 183"/>
                          <wps:cNvSpPr>
                            <a:spLocks/>
                          </wps:cNvSpPr>
                          <wps:spPr bwMode="auto">
                            <a:xfrm>
                              <a:off x="8417" y="2142"/>
                              <a:ext cx="381" cy="258"/>
                            </a:xfrm>
                            <a:custGeom>
                              <a:avLst/>
                              <a:gdLst>
                                <a:gd name="T0" fmla="*/ 0 w 34"/>
                                <a:gd name="T1" fmla="*/ 258 h 23"/>
                                <a:gd name="T2" fmla="*/ 381 w 34"/>
                                <a:gd name="T3" fmla="*/ 0 h 23"/>
                                <a:gd name="T4" fmla="*/ 381 w 34"/>
                                <a:gd name="T5" fmla="*/ 258 h 23"/>
                                <a:gd name="T6" fmla="*/ 0 w 34"/>
                                <a:gd name="T7" fmla="*/ 0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 h="23">
                                  <a:moveTo>
                                    <a:pt x="0" y="23"/>
                                  </a:moveTo>
                                  <a:lnTo>
                                    <a:pt x="34" y="0"/>
                                  </a:lnTo>
                                  <a:lnTo>
                                    <a:pt x="34" y="23"/>
                                  </a:lnTo>
                                  <a:lnTo>
                                    <a:pt x="0" y="0"/>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Line 184"/>
                          <wps:cNvCnPr/>
                          <wps:spPr bwMode="auto">
                            <a:xfrm flipV="1">
                              <a:off x="8607" y="2098"/>
                              <a:ext cx="0" cy="168"/>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16" name="Line 185"/>
                          <wps:cNvCnPr/>
                          <wps:spPr bwMode="auto">
                            <a:xfrm>
                              <a:off x="8495" y="2098"/>
                              <a:ext cx="213"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g:wgp>
                      <wps:wsp>
                        <wps:cNvPr id="317" name="Rectangle 186"/>
                        <wps:cNvSpPr>
                          <a:spLocks noChangeArrowheads="1"/>
                        </wps:cNvSpPr>
                        <wps:spPr bwMode="auto">
                          <a:xfrm>
                            <a:off x="5264785" y="2114550"/>
                            <a:ext cx="4686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F39" w:rsidRPr="00BB4549" w:rsidRDefault="00D53F39" w:rsidP="00E24DB7">
                              <w:pPr>
                                <w:rPr>
                                  <w:sz w:val="16"/>
                                  <w:szCs w:val="16"/>
                                </w:rPr>
                              </w:pPr>
                              <w:r>
                                <w:rPr>
                                  <w:color w:val="24211D"/>
                                  <w:sz w:val="16"/>
                                  <w:szCs w:val="16"/>
                                  <w:lang w:val="en-US"/>
                                </w:rPr>
                                <w:t>Manomètre</w:t>
                              </w:r>
                            </w:p>
                          </w:txbxContent>
                        </wps:txbx>
                        <wps:bodyPr rot="0" vert="horz" wrap="none" lIns="0" tIns="0" rIns="0" bIns="0" anchor="t" anchorCtr="0" upright="1">
                          <a:spAutoFit/>
                        </wps:bodyPr>
                      </wps:wsp>
                      <wps:wsp>
                        <wps:cNvPr id="318" name="Rectangle 187"/>
                        <wps:cNvSpPr>
                          <a:spLocks noChangeArrowheads="1"/>
                        </wps:cNvSpPr>
                        <wps:spPr bwMode="auto">
                          <a:xfrm>
                            <a:off x="4996180" y="1070430"/>
                            <a:ext cx="76454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F39" w:rsidRPr="00BB4549" w:rsidRDefault="00D53F39" w:rsidP="00E24DB7">
                              <w:pPr>
                                <w:spacing w:line="240" w:lineRule="auto"/>
                                <w:jc w:val="center"/>
                                <w:rPr>
                                  <w:sz w:val="16"/>
                                  <w:szCs w:val="16"/>
                                </w:rPr>
                              </w:pPr>
                              <w:r>
                                <w:rPr>
                                  <w:color w:val="24211D"/>
                                  <w:sz w:val="16"/>
                                  <w:szCs w:val="16"/>
                                  <w:lang w:val="en-US"/>
                                </w:rPr>
                                <w:t>Soupape de régularisation (amortisseur)</w:t>
                              </w:r>
                            </w:p>
                          </w:txbxContent>
                        </wps:txbx>
                        <wps:bodyPr rot="0" vert="horz" wrap="square" lIns="0" tIns="0" rIns="0" bIns="0" anchor="t" anchorCtr="0" upright="1">
                          <a:spAutoFit/>
                        </wps:bodyPr>
                      </wps:wsp>
                      <wps:wsp>
                        <wps:cNvPr id="319" name="Line 188"/>
                        <wps:cNvCnPr/>
                        <wps:spPr bwMode="auto">
                          <a:xfrm>
                            <a:off x="5349875" y="1433195"/>
                            <a:ext cx="121285" cy="17145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4069" name="Line 189"/>
                        <wps:cNvCnPr/>
                        <wps:spPr bwMode="auto">
                          <a:xfrm flipH="1">
                            <a:off x="5015865" y="2207260"/>
                            <a:ext cx="190500" cy="153035"/>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4070" name="Line 190"/>
                        <wps:cNvCnPr/>
                        <wps:spPr bwMode="auto">
                          <a:xfrm>
                            <a:off x="5003800" y="1715135"/>
                            <a:ext cx="340995"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071" name="Line 191"/>
                        <wps:cNvCnPr/>
                        <wps:spPr bwMode="auto">
                          <a:xfrm flipH="1">
                            <a:off x="4292600" y="1558290"/>
                            <a:ext cx="27051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072" name="Line 192"/>
                        <wps:cNvCnPr/>
                        <wps:spPr bwMode="auto">
                          <a:xfrm flipH="1">
                            <a:off x="4292600" y="1878965"/>
                            <a:ext cx="27051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073" name="Rectangle 193"/>
                        <wps:cNvSpPr>
                          <a:spLocks noChangeArrowheads="1"/>
                        </wps:cNvSpPr>
                        <wps:spPr bwMode="auto">
                          <a:xfrm>
                            <a:off x="4485005" y="1430655"/>
                            <a:ext cx="1473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F39" w:rsidRPr="00BB4549" w:rsidRDefault="00D53F39" w:rsidP="00E24DB7">
                              <w:pPr>
                                <w:rPr>
                                  <w:sz w:val="16"/>
                                  <w:szCs w:val="16"/>
                                </w:rPr>
                              </w:pPr>
                              <w:r w:rsidRPr="00BB4549">
                                <w:rPr>
                                  <w:color w:val="24211D"/>
                                  <w:sz w:val="16"/>
                                  <w:szCs w:val="16"/>
                                  <w:lang w:val="en-US"/>
                                </w:rPr>
                                <w:t>PPI</w:t>
                              </w:r>
                            </w:p>
                          </w:txbxContent>
                        </wps:txbx>
                        <wps:bodyPr rot="0" vert="horz" wrap="none" lIns="0" tIns="0" rIns="0" bIns="0" anchor="t" anchorCtr="0" upright="1">
                          <a:spAutoFit/>
                        </wps:bodyPr>
                      </wps:wsp>
                      <wps:wsp>
                        <wps:cNvPr id="14074" name="Rectangle 194"/>
                        <wps:cNvSpPr>
                          <a:spLocks noChangeArrowheads="1"/>
                        </wps:cNvSpPr>
                        <wps:spPr bwMode="auto">
                          <a:xfrm>
                            <a:off x="4485005" y="1900555"/>
                            <a:ext cx="1866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F39" w:rsidRPr="00BB4549" w:rsidRDefault="00D53F39" w:rsidP="00E24DB7">
                              <w:pPr>
                                <w:rPr>
                                  <w:sz w:val="16"/>
                                  <w:szCs w:val="16"/>
                                </w:rPr>
                              </w:pPr>
                              <w:r w:rsidRPr="00BB4549">
                                <w:rPr>
                                  <w:color w:val="24211D"/>
                                  <w:sz w:val="16"/>
                                  <w:szCs w:val="16"/>
                                  <w:lang w:val="en-US"/>
                                </w:rPr>
                                <w:t>PPO</w:t>
                              </w:r>
                            </w:p>
                          </w:txbxContent>
                        </wps:txbx>
                        <wps:bodyPr rot="0" vert="horz" wrap="none" lIns="0" tIns="0" rIns="0" bIns="0" anchor="t" anchorCtr="0" upright="1">
                          <a:spAutoFit/>
                        </wps:bodyPr>
                      </wps:wsp>
                      <wps:wsp>
                        <wps:cNvPr id="14075" name="Rectangle 195"/>
                        <wps:cNvSpPr>
                          <a:spLocks noChangeArrowheads="1"/>
                        </wps:cNvSpPr>
                        <wps:spPr bwMode="auto">
                          <a:xfrm>
                            <a:off x="2992120" y="2399030"/>
                            <a:ext cx="69024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F39" w:rsidRPr="00E911A4" w:rsidRDefault="00D53F39" w:rsidP="00E24DB7">
                              <w:pPr>
                                <w:rPr>
                                  <w:sz w:val="16"/>
                                  <w:szCs w:val="16"/>
                                </w:rPr>
                              </w:pPr>
                              <w:r w:rsidRPr="00E911A4">
                                <w:rPr>
                                  <w:color w:val="24211D"/>
                                  <w:sz w:val="16"/>
                                  <w:szCs w:val="16"/>
                                </w:rPr>
                                <w:t xml:space="preserve">Nombre de tours </w:t>
                              </w:r>
                              <w:r w:rsidRPr="00E911A4">
                                <w:rPr>
                                  <w:color w:val="24211D"/>
                                  <w:sz w:val="16"/>
                                  <w:szCs w:val="16"/>
                                </w:rPr>
                                <w:br/>
                                <w:t>Durée de l’essai</w:t>
                              </w:r>
                            </w:p>
                          </w:txbxContent>
                        </wps:txbx>
                        <wps:bodyPr rot="0" vert="horz" wrap="square" lIns="0" tIns="0" rIns="0" bIns="0" anchor="t" anchorCtr="0" upright="1">
                          <a:spAutoFit/>
                        </wps:bodyPr>
                      </wps:wsp>
                      <wps:wsp>
                        <wps:cNvPr id="14076" name="Rectangle 196"/>
                        <wps:cNvSpPr>
                          <a:spLocks noChangeArrowheads="1"/>
                        </wps:cNvSpPr>
                        <wps:spPr bwMode="auto">
                          <a:xfrm>
                            <a:off x="4001770" y="2379980"/>
                            <a:ext cx="141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F39" w:rsidRPr="00BA3B51" w:rsidRDefault="00D53F39" w:rsidP="00E24DB7">
                              <w:pPr>
                                <w:rPr>
                                  <w:sz w:val="16"/>
                                  <w:szCs w:val="16"/>
                                </w:rPr>
                              </w:pPr>
                              <w:r w:rsidRPr="00BA3B51">
                                <w:rPr>
                                  <w:color w:val="24211D"/>
                                  <w:sz w:val="16"/>
                                  <w:szCs w:val="16"/>
                                  <w:lang w:val="en-US"/>
                                </w:rPr>
                                <w:t>n</w:t>
                              </w:r>
                            </w:p>
                          </w:txbxContent>
                        </wps:txbx>
                        <wps:bodyPr rot="0" vert="horz" wrap="square" lIns="0" tIns="0" rIns="0" bIns="0" anchor="t" anchorCtr="0" upright="1">
                          <a:spAutoFit/>
                        </wps:bodyPr>
                      </wps:wsp>
                      <wps:wsp>
                        <wps:cNvPr id="14077" name="Rectangle 197"/>
                        <wps:cNvSpPr>
                          <a:spLocks noChangeArrowheads="1"/>
                        </wps:cNvSpPr>
                        <wps:spPr bwMode="auto">
                          <a:xfrm>
                            <a:off x="4020820" y="255587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F39" w:rsidRPr="00BA3B51" w:rsidRDefault="00D53F39" w:rsidP="00E24DB7">
                              <w:pPr>
                                <w:rPr>
                                  <w:sz w:val="16"/>
                                  <w:szCs w:val="16"/>
                                </w:rPr>
                              </w:pPr>
                              <w:r w:rsidRPr="00BA3B51">
                                <w:rPr>
                                  <w:color w:val="24211D"/>
                                  <w:sz w:val="16"/>
                                  <w:szCs w:val="16"/>
                                  <w:lang w:val="en-US"/>
                                </w:rPr>
                                <w:t>t</w:t>
                              </w:r>
                            </w:p>
                          </w:txbxContent>
                        </wps:txbx>
                        <wps:bodyPr rot="0" vert="horz" wrap="square" lIns="0" tIns="0" rIns="0" bIns="0" anchor="t" anchorCtr="0" upright="1">
                          <a:spAutoFit/>
                        </wps:bodyPr>
                      </wps:wsp>
                      <wps:wsp>
                        <wps:cNvPr id="14078" name="Freeform 198"/>
                        <wps:cNvSpPr>
                          <a:spLocks/>
                        </wps:cNvSpPr>
                        <wps:spPr bwMode="auto">
                          <a:xfrm>
                            <a:off x="3653155" y="1892935"/>
                            <a:ext cx="568960" cy="658495"/>
                          </a:xfrm>
                          <a:custGeom>
                            <a:avLst/>
                            <a:gdLst>
                              <a:gd name="T0" fmla="*/ 0 w 80"/>
                              <a:gd name="T1" fmla="*/ 658495 h 86"/>
                              <a:gd name="T2" fmla="*/ 568960 w 80"/>
                              <a:gd name="T3" fmla="*/ 658495 h 86"/>
                              <a:gd name="T4" fmla="*/ 483616 w 80"/>
                              <a:gd name="T5" fmla="*/ 0 h 86"/>
                              <a:gd name="T6" fmla="*/ 0 60000 65536"/>
                              <a:gd name="T7" fmla="*/ 0 60000 65536"/>
                              <a:gd name="T8" fmla="*/ 0 60000 65536"/>
                            </a:gdLst>
                            <a:ahLst/>
                            <a:cxnLst>
                              <a:cxn ang="T6">
                                <a:pos x="T0" y="T1"/>
                              </a:cxn>
                              <a:cxn ang="T7">
                                <a:pos x="T2" y="T3"/>
                              </a:cxn>
                              <a:cxn ang="T8">
                                <a:pos x="T4" y="T5"/>
                              </a:cxn>
                            </a:cxnLst>
                            <a:rect l="0" t="0" r="r" b="b"/>
                            <a:pathLst>
                              <a:path w="80" h="86">
                                <a:moveTo>
                                  <a:pt x="0" y="86"/>
                                </a:moveTo>
                                <a:lnTo>
                                  <a:pt x="80" y="86"/>
                                </a:lnTo>
                                <a:lnTo>
                                  <a:pt x="68" y="0"/>
                                </a:lnTo>
                              </a:path>
                            </a:pathLst>
                          </a:custGeom>
                          <a:noFill/>
                          <a:ln w="3175">
                            <a:solidFill>
                              <a:srgbClr val="24211D"/>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79" name="Rectangle 199"/>
                        <wps:cNvSpPr>
                          <a:spLocks noChangeArrowheads="1"/>
                        </wps:cNvSpPr>
                        <wps:spPr bwMode="auto">
                          <a:xfrm>
                            <a:off x="2466975" y="1663700"/>
                            <a:ext cx="91948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F39" w:rsidRPr="00BA3B51" w:rsidRDefault="00D53F39" w:rsidP="00E24DB7">
                              <w:pPr>
                                <w:spacing w:line="240" w:lineRule="auto"/>
                                <w:jc w:val="center"/>
                                <w:rPr>
                                  <w:sz w:val="16"/>
                                  <w:szCs w:val="16"/>
                                </w:rPr>
                              </w:pPr>
                              <w:r>
                                <w:rPr>
                                  <w:color w:val="24211D"/>
                                  <w:sz w:val="16"/>
                                  <w:szCs w:val="16"/>
                                  <w:lang w:val="en-US"/>
                                </w:rPr>
                                <w:t xml:space="preserve">Indicateur </w:t>
                              </w:r>
                              <w:r>
                                <w:rPr>
                                  <w:color w:val="24211D"/>
                                  <w:sz w:val="16"/>
                                  <w:szCs w:val="16"/>
                                  <w:lang w:val="en-US"/>
                                </w:rPr>
                                <w:br/>
                                <w:t>de température</w:t>
                              </w:r>
                            </w:p>
                          </w:txbxContent>
                        </wps:txbx>
                        <wps:bodyPr rot="0" vert="horz" wrap="square" lIns="0" tIns="0" rIns="0" bIns="0" anchor="t" anchorCtr="0" upright="1">
                          <a:noAutofit/>
                        </wps:bodyPr>
                      </wps:wsp>
                      <wps:wsp>
                        <wps:cNvPr id="1345" name="Rectangle 200"/>
                        <wps:cNvSpPr>
                          <a:spLocks noChangeArrowheads="1"/>
                        </wps:cNvSpPr>
                        <wps:spPr bwMode="auto">
                          <a:xfrm>
                            <a:off x="2849880" y="1508760"/>
                            <a:ext cx="1530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F39" w:rsidRPr="00BA3B51" w:rsidRDefault="00D53F39" w:rsidP="00E24DB7">
                              <w:pPr>
                                <w:rPr>
                                  <w:sz w:val="16"/>
                                  <w:szCs w:val="16"/>
                                </w:rPr>
                              </w:pPr>
                              <w:r w:rsidRPr="00BA3B51">
                                <w:rPr>
                                  <w:color w:val="24211D"/>
                                  <w:sz w:val="16"/>
                                  <w:szCs w:val="16"/>
                                  <w:lang w:val="en-US"/>
                                </w:rPr>
                                <w:t>PTI</w:t>
                              </w:r>
                            </w:p>
                          </w:txbxContent>
                        </wps:txbx>
                        <wps:bodyPr rot="0" vert="horz" wrap="none" lIns="0" tIns="0" rIns="0" bIns="0" anchor="t" anchorCtr="0" upright="1">
                          <a:spAutoFit/>
                        </wps:bodyPr>
                      </wps:wsp>
                      <wps:wsp>
                        <wps:cNvPr id="1346" name="Rectangle 201"/>
                        <wps:cNvSpPr>
                          <a:spLocks noChangeArrowheads="1"/>
                        </wps:cNvSpPr>
                        <wps:spPr bwMode="auto">
                          <a:xfrm>
                            <a:off x="2849880" y="1929130"/>
                            <a:ext cx="1924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F39" w:rsidRPr="00BA3B51" w:rsidRDefault="00D53F39" w:rsidP="00E24DB7">
                              <w:pPr>
                                <w:rPr>
                                  <w:sz w:val="16"/>
                                  <w:szCs w:val="16"/>
                                </w:rPr>
                              </w:pPr>
                              <w:r w:rsidRPr="00BA3B51">
                                <w:rPr>
                                  <w:color w:val="24211D"/>
                                  <w:sz w:val="16"/>
                                  <w:szCs w:val="16"/>
                                  <w:lang w:val="en-US"/>
                                </w:rPr>
                                <w:t>PTO</w:t>
                              </w:r>
                            </w:p>
                          </w:txbxContent>
                        </wps:txbx>
                        <wps:bodyPr rot="0" vert="horz" wrap="none" lIns="0" tIns="0" rIns="0" bIns="0" anchor="t" anchorCtr="0" upright="1">
                          <a:spAutoFit/>
                        </wps:bodyPr>
                      </wps:wsp>
                      <wps:wsp>
                        <wps:cNvPr id="1347" name="Freeform 202"/>
                        <wps:cNvSpPr>
                          <a:spLocks/>
                        </wps:cNvSpPr>
                        <wps:spPr bwMode="auto">
                          <a:xfrm>
                            <a:off x="2807335" y="1922780"/>
                            <a:ext cx="1002030" cy="269240"/>
                          </a:xfrm>
                          <a:custGeom>
                            <a:avLst/>
                            <a:gdLst>
                              <a:gd name="T0" fmla="*/ 0 w 141"/>
                              <a:gd name="T1" fmla="*/ 0 h 43"/>
                              <a:gd name="T2" fmla="*/ 0 w 141"/>
                              <a:gd name="T3" fmla="*/ 269240 h 43"/>
                              <a:gd name="T4" fmla="*/ 1002030 w 141"/>
                              <a:gd name="T5" fmla="*/ 269240 h 43"/>
                              <a:gd name="T6" fmla="*/ 0 60000 65536"/>
                              <a:gd name="T7" fmla="*/ 0 60000 65536"/>
                              <a:gd name="T8" fmla="*/ 0 60000 65536"/>
                            </a:gdLst>
                            <a:ahLst/>
                            <a:cxnLst>
                              <a:cxn ang="T6">
                                <a:pos x="T0" y="T1"/>
                              </a:cxn>
                              <a:cxn ang="T7">
                                <a:pos x="T2" y="T3"/>
                              </a:cxn>
                              <a:cxn ang="T8">
                                <a:pos x="T4" y="T5"/>
                              </a:cxn>
                            </a:cxnLst>
                            <a:rect l="0" t="0" r="r" b="b"/>
                            <a:pathLst>
                              <a:path w="141" h="43">
                                <a:moveTo>
                                  <a:pt x="0" y="0"/>
                                </a:moveTo>
                                <a:lnTo>
                                  <a:pt x="0" y="43"/>
                                </a:lnTo>
                                <a:lnTo>
                                  <a:pt x="141" y="43"/>
                                </a:lnTo>
                              </a:path>
                            </a:pathLst>
                          </a:custGeom>
                          <a:noFill/>
                          <a:ln w="3175">
                            <a:solidFill>
                              <a:srgbClr val="24211D"/>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348" name="Group 203"/>
                        <wpg:cNvGrpSpPr>
                          <a:grpSpLocks/>
                        </wpg:cNvGrpSpPr>
                        <wpg:grpSpPr bwMode="auto">
                          <a:xfrm>
                            <a:off x="3276600" y="1380490"/>
                            <a:ext cx="1066165" cy="861695"/>
                            <a:chOff x="5160" y="1739"/>
                            <a:chExt cx="1679" cy="1357"/>
                          </a:xfrm>
                        </wpg:grpSpPr>
                        <wps:wsp>
                          <wps:cNvPr id="1349" name="Freeform 204"/>
                          <wps:cNvSpPr>
                            <a:spLocks/>
                          </wps:cNvSpPr>
                          <wps:spPr bwMode="auto">
                            <a:xfrm>
                              <a:off x="5843" y="2714"/>
                              <a:ext cx="638" cy="0"/>
                            </a:xfrm>
                            <a:custGeom>
                              <a:avLst/>
                              <a:gdLst>
                                <a:gd name="T0" fmla="*/ 638 w 57"/>
                                <a:gd name="T1" fmla="*/ 0 w 57"/>
                                <a:gd name="T2" fmla="*/ 0 w 57"/>
                                <a:gd name="T3" fmla="*/ 0 60000 65536"/>
                                <a:gd name="T4" fmla="*/ 0 60000 65536"/>
                                <a:gd name="T5" fmla="*/ 0 60000 65536"/>
                              </a:gdLst>
                              <a:ahLst/>
                              <a:cxnLst>
                                <a:cxn ang="T3">
                                  <a:pos x="T0" y="0"/>
                                </a:cxn>
                                <a:cxn ang="T4">
                                  <a:pos x="T1" y="0"/>
                                </a:cxn>
                                <a:cxn ang="T5">
                                  <a:pos x="T2" y="0"/>
                                </a:cxn>
                              </a:cxnLst>
                              <a:rect l="0" t="0" r="r" b="b"/>
                              <a:pathLst>
                                <a:path w="57">
                                  <a:moveTo>
                                    <a:pt x="57" y="0"/>
                                  </a:moveTo>
                                  <a:lnTo>
                                    <a:pt x="0" y="0"/>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0" name="Freeform 205"/>
                          <wps:cNvSpPr>
                            <a:spLocks/>
                          </wps:cNvSpPr>
                          <wps:spPr bwMode="auto">
                            <a:xfrm>
                              <a:off x="5630" y="1896"/>
                              <a:ext cx="1052" cy="751"/>
                            </a:xfrm>
                            <a:custGeom>
                              <a:avLst/>
                              <a:gdLst>
                                <a:gd name="T0" fmla="*/ 1052 w 94"/>
                                <a:gd name="T1" fmla="*/ 460 h 67"/>
                                <a:gd name="T2" fmla="*/ 537 w 94"/>
                                <a:gd name="T3" fmla="*/ 751 h 67"/>
                                <a:gd name="T4" fmla="*/ 0 w 94"/>
                                <a:gd name="T5" fmla="*/ 370 h 67"/>
                                <a:gd name="T6" fmla="*/ 537 w 94"/>
                                <a:gd name="T7" fmla="*/ 0 h 67"/>
                                <a:gd name="T8" fmla="*/ 1052 w 94"/>
                                <a:gd name="T9" fmla="*/ 291 h 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 h="67">
                                  <a:moveTo>
                                    <a:pt x="94" y="41"/>
                                  </a:moveTo>
                                  <a:cubicBezTo>
                                    <a:pt x="89" y="56"/>
                                    <a:pt x="70" y="67"/>
                                    <a:pt x="48" y="67"/>
                                  </a:cubicBezTo>
                                  <a:cubicBezTo>
                                    <a:pt x="22" y="67"/>
                                    <a:pt x="0" y="52"/>
                                    <a:pt x="0" y="33"/>
                                  </a:cubicBezTo>
                                  <a:cubicBezTo>
                                    <a:pt x="0" y="15"/>
                                    <a:pt x="22" y="0"/>
                                    <a:pt x="48" y="0"/>
                                  </a:cubicBezTo>
                                  <a:cubicBezTo>
                                    <a:pt x="70" y="0"/>
                                    <a:pt x="89" y="11"/>
                                    <a:pt x="94" y="26"/>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Oval 206"/>
                          <wps:cNvSpPr>
                            <a:spLocks noChangeArrowheads="1"/>
                          </wps:cNvSpPr>
                          <wps:spPr bwMode="auto">
                            <a:xfrm>
                              <a:off x="5720" y="1985"/>
                              <a:ext cx="884" cy="572"/>
                            </a:xfrm>
                            <a:prstGeom prst="ellipse">
                              <a:avLst/>
                            </a:pr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Oval 207"/>
                          <wps:cNvSpPr>
                            <a:spLocks noChangeArrowheads="1"/>
                          </wps:cNvSpPr>
                          <wps:spPr bwMode="auto">
                            <a:xfrm>
                              <a:off x="5798" y="2064"/>
                              <a:ext cx="727" cy="404"/>
                            </a:xfrm>
                            <a:prstGeom prst="ellipse">
                              <a:avLst/>
                            </a:pr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 name="Oval 208"/>
                          <wps:cNvSpPr>
                            <a:spLocks noChangeArrowheads="1"/>
                          </wps:cNvSpPr>
                          <wps:spPr bwMode="auto">
                            <a:xfrm>
                              <a:off x="5887" y="2154"/>
                              <a:ext cx="549" cy="235"/>
                            </a:xfrm>
                            <a:prstGeom prst="ellipse">
                              <a:avLst/>
                            </a:pr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 name="Line 209"/>
                          <wps:cNvCnPr/>
                          <wps:spPr bwMode="auto">
                            <a:xfrm>
                              <a:off x="5160" y="2266"/>
                              <a:ext cx="47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64" name="Line 210"/>
                          <wps:cNvCnPr/>
                          <wps:spPr bwMode="auto">
                            <a:xfrm>
                              <a:off x="6604" y="2356"/>
                              <a:ext cx="23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65" name="Line 211"/>
                          <wps:cNvCnPr/>
                          <wps:spPr bwMode="auto">
                            <a:xfrm>
                              <a:off x="6604" y="2187"/>
                              <a:ext cx="23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66" name="Line 212"/>
                          <wps:cNvCnPr/>
                          <wps:spPr bwMode="auto">
                            <a:xfrm flipV="1">
                              <a:off x="5843" y="2714"/>
                              <a:ext cx="0" cy="16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67" name="Line 213"/>
                          <wps:cNvCnPr/>
                          <wps:spPr bwMode="auto">
                            <a:xfrm flipV="1">
                              <a:off x="6481" y="2714"/>
                              <a:ext cx="0" cy="16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68" name="Rectangle 214"/>
                          <wps:cNvSpPr>
                            <a:spLocks noChangeArrowheads="1"/>
                          </wps:cNvSpPr>
                          <wps:spPr bwMode="auto">
                            <a:xfrm>
                              <a:off x="6481" y="2782"/>
                              <a:ext cx="358" cy="101"/>
                            </a:xfrm>
                            <a:prstGeom prst="rect">
                              <a:avLst/>
                            </a:prstGeom>
                            <a:solidFill>
                              <a:srgbClr val="24211D"/>
                            </a:solidFill>
                            <a:ln w="3175">
                              <a:solidFill>
                                <a:srgbClr val="24211D"/>
                              </a:solidFill>
                              <a:miter lim="800000"/>
                              <a:headEnd/>
                              <a:tailEnd/>
                            </a:ln>
                          </wps:spPr>
                          <wps:bodyPr rot="0" vert="horz" wrap="square" lIns="91440" tIns="45720" rIns="91440" bIns="45720" anchor="t" anchorCtr="0" upright="1">
                            <a:noAutofit/>
                          </wps:bodyPr>
                        </wps:wsp>
                        <wps:wsp>
                          <wps:cNvPr id="1369" name="Rectangle 215"/>
                          <wps:cNvSpPr>
                            <a:spLocks noChangeArrowheads="1"/>
                          </wps:cNvSpPr>
                          <wps:spPr bwMode="auto">
                            <a:xfrm>
                              <a:off x="5484" y="2782"/>
                              <a:ext cx="359" cy="101"/>
                            </a:xfrm>
                            <a:prstGeom prst="rect">
                              <a:avLst/>
                            </a:prstGeom>
                            <a:solidFill>
                              <a:srgbClr val="24211D"/>
                            </a:solidFill>
                            <a:ln w="3175">
                              <a:solidFill>
                                <a:srgbClr val="24211D"/>
                              </a:solidFill>
                              <a:miter lim="800000"/>
                              <a:headEnd/>
                              <a:tailEnd/>
                            </a:ln>
                          </wps:spPr>
                          <wps:bodyPr rot="0" vert="horz" wrap="square" lIns="91440" tIns="45720" rIns="91440" bIns="45720" anchor="t" anchorCtr="0" upright="1">
                            <a:noAutofit/>
                          </wps:bodyPr>
                        </wps:wsp>
                        <wps:wsp>
                          <wps:cNvPr id="1370" name="Freeform 216"/>
                          <wps:cNvSpPr>
                            <a:spLocks/>
                          </wps:cNvSpPr>
                          <wps:spPr bwMode="auto">
                            <a:xfrm>
                              <a:off x="6716" y="2356"/>
                              <a:ext cx="112" cy="426"/>
                            </a:xfrm>
                            <a:custGeom>
                              <a:avLst/>
                              <a:gdLst>
                                <a:gd name="T0" fmla="*/ 112 w 10"/>
                                <a:gd name="T1" fmla="*/ 0 h 38"/>
                                <a:gd name="T2" fmla="*/ 34 w 10"/>
                                <a:gd name="T3" fmla="*/ 179 h 38"/>
                                <a:gd name="T4" fmla="*/ 0 w 10"/>
                                <a:gd name="T5" fmla="*/ 280 h 38"/>
                                <a:gd name="T6" fmla="*/ 0 w 10"/>
                                <a:gd name="T7" fmla="*/ 426 h 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 h="38">
                                  <a:moveTo>
                                    <a:pt x="10" y="0"/>
                                  </a:moveTo>
                                  <a:cubicBezTo>
                                    <a:pt x="9" y="6"/>
                                    <a:pt x="7" y="11"/>
                                    <a:pt x="3" y="16"/>
                                  </a:cubicBezTo>
                                  <a:cubicBezTo>
                                    <a:pt x="1" y="19"/>
                                    <a:pt x="0" y="22"/>
                                    <a:pt x="0" y="25"/>
                                  </a:cubicBezTo>
                                  <a:lnTo>
                                    <a:pt x="0" y="38"/>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 name="Freeform 217"/>
                          <wps:cNvSpPr>
                            <a:spLocks/>
                          </wps:cNvSpPr>
                          <wps:spPr bwMode="auto">
                            <a:xfrm>
                              <a:off x="5484" y="1739"/>
                              <a:ext cx="1344" cy="1043"/>
                            </a:xfrm>
                            <a:custGeom>
                              <a:avLst/>
                              <a:gdLst>
                                <a:gd name="T0" fmla="*/ 123 w 120"/>
                                <a:gd name="T1" fmla="*/ 1043 h 93"/>
                                <a:gd name="T2" fmla="*/ 123 w 120"/>
                                <a:gd name="T3" fmla="*/ 897 h 93"/>
                                <a:gd name="T4" fmla="*/ 90 w 120"/>
                                <a:gd name="T5" fmla="*/ 796 h 93"/>
                                <a:gd name="T6" fmla="*/ 0 w 120"/>
                                <a:gd name="T7" fmla="*/ 527 h 93"/>
                                <a:gd name="T8" fmla="*/ 683 w 120"/>
                                <a:gd name="T9" fmla="*/ 0 h 93"/>
                                <a:gd name="T10" fmla="*/ 1344 w 120"/>
                                <a:gd name="T11" fmla="*/ 449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0" h="93">
                                  <a:moveTo>
                                    <a:pt x="11" y="93"/>
                                  </a:moveTo>
                                  <a:lnTo>
                                    <a:pt x="11" y="80"/>
                                  </a:lnTo>
                                  <a:cubicBezTo>
                                    <a:pt x="11" y="77"/>
                                    <a:pt x="10" y="74"/>
                                    <a:pt x="8" y="71"/>
                                  </a:cubicBezTo>
                                  <a:cubicBezTo>
                                    <a:pt x="3" y="64"/>
                                    <a:pt x="0" y="56"/>
                                    <a:pt x="0" y="47"/>
                                  </a:cubicBezTo>
                                  <a:cubicBezTo>
                                    <a:pt x="0" y="21"/>
                                    <a:pt x="27" y="0"/>
                                    <a:pt x="61" y="0"/>
                                  </a:cubicBezTo>
                                  <a:cubicBezTo>
                                    <a:pt x="91" y="0"/>
                                    <a:pt x="116" y="17"/>
                                    <a:pt x="120" y="40"/>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2" name="Line 218"/>
                          <wps:cNvCnPr/>
                          <wps:spPr bwMode="auto">
                            <a:xfrm flipV="1">
                              <a:off x="6839" y="2187"/>
                              <a:ext cx="0" cy="16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3" name="Line 219"/>
                          <wps:cNvCnPr/>
                          <wps:spPr bwMode="auto">
                            <a:xfrm flipV="1">
                              <a:off x="6693" y="2187"/>
                              <a:ext cx="0" cy="16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4" name="Line 220"/>
                          <wps:cNvCnPr/>
                          <wps:spPr bwMode="auto">
                            <a:xfrm flipV="1">
                              <a:off x="6604" y="2187"/>
                              <a:ext cx="0" cy="16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5" name="Oval 221"/>
                          <wps:cNvSpPr>
                            <a:spLocks noChangeArrowheads="1"/>
                          </wps:cNvSpPr>
                          <wps:spPr bwMode="auto">
                            <a:xfrm>
                              <a:off x="6134" y="2972"/>
                              <a:ext cx="56" cy="57"/>
                            </a:xfrm>
                            <a:prstGeom prst="ellipse">
                              <a:avLst/>
                            </a:prstGeom>
                            <a:solidFill>
                              <a:srgbClr val="24211D"/>
                            </a:solidFill>
                            <a:ln w="3175">
                              <a:solidFill>
                                <a:srgbClr val="24211D"/>
                              </a:solidFill>
                              <a:round/>
                              <a:headEnd/>
                              <a:tailEnd/>
                            </a:ln>
                          </wps:spPr>
                          <wps:bodyPr rot="0" vert="horz" wrap="square" lIns="91440" tIns="45720" rIns="91440" bIns="45720" anchor="t" anchorCtr="0" upright="1">
                            <a:noAutofit/>
                          </wps:bodyPr>
                        </wps:wsp>
                        <wps:wsp>
                          <wps:cNvPr id="14080" name="Oval 222"/>
                          <wps:cNvSpPr>
                            <a:spLocks noChangeArrowheads="1"/>
                          </wps:cNvSpPr>
                          <wps:spPr bwMode="auto">
                            <a:xfrm>
                              <a:off x="6067" y="2905"/>
                              <a:ext cx="190" cy="191"/>
                            </a:xfrm>
                            <a:prstGeom prst="ellipse">
                              <a:avLst/>
                            </a:pr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1" name="Line 223"/>
                          <wps:cNvCnPr/>
                          <wps:spPr bwMode="auto">
                            <a:xfrm>
                              <a:off x="5988" y="2714"/>
                              <a:ext cx="79" cy="31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082" name="Line 224"/>
                          <wps:cNvCnPr/>
                          <wps:spPr bwMode="auto">
                            <a:xfrm flipH="1">
                              <a:off x="6257" y="2714"/>
                              <a:ext cx="78" cy="31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g:wgp>
                      <wps:wsp>
                        <wps:cNvPr id="14083" name="Freeform 225"/>
                        <wps:cNvSpPr>
                          <a:spLocks/>
                        </wps:cNvSpPr>
                        <wps:spPr bwMode="auto">
                          <a:xfrm>
                            <a:off x="2807335" y="1351915"/>
                            <a:ext cx="1002030" cy="266065"/>
                          </a:xfrm>
                          <a:custGeom>
                            <a:avLst/>
                            <a:gdLst>
                              <a:gd name="T0" fmla="*/ 1002030 w 141"/>
                              <a:gd name="T1" fmla="*/ 0 h 43"/>
                              <a:gd name="T2" fmla="*/ 0 w 141"/>
                              <a:gd name="T3" fmla="*/ 0 h 43"/>
                              <a:gd name="T4" fmla="*/ 0 w 141"/>
                              <a:gd name="T5" fmla="*/ 266065 h 43"/>
                              <a:gd name="T6" fmla="*/ 0 60000 65536"/>
                              <a:gd name="T7" fmla="*/ 0 60000 65536"/>
                              <a:gd name="T8" fmla="*/ 0 60000 65536"/>
                            </a:gdLst>
                            <a:ahLst/>
                            <a:cxnLst>
                              <a:cxn ang="T6">
                                <a:pos x="T0" y="T1"/>
                              </a:cxn>
                              <a:cxn ang="T7">
                                <a:pos x="T2" y="T3"/>
                              </a:cxn>
                              <a:cxn ang="T8">
                                <a:pos x="T4" y="T5"/>
                              </a:cxn>
                            </a:cxnLst>
                            <a:rect l="0" t="0" r="r" b="b"/>
                            <a:pathLst>
                              <a:path w="141" h="43">
                                <a:moveTo>
                                  <a:pt x="141" y="0"/>
                                </a:moveTo>
                                <a:lnTo>
                                  <a:pt x="0" y="0"/>
                                </a:lnTo>
                                <a:lnTo>
                                  <a:pt x="0" y="43"/>
                                </a:lnTo>
                              </a:path>
                            </a:pathLst>
                          </a:custGeom>
                          <a:noFill/>
                          <a:ln w="3175">
                            <a:solidFill>
                              <a:srgbClr val="24211D"/>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4" name="Rectangle 226"/>
                        <wps:cNvSpPr>
                          <a:spLocks noChangeArrowheads="1"/>
                        </wps:cNvSpPr>
                        <wps:spPr bwMode="auto">
                          <a:xfrm>
                            <a:off x="2510608" y="164376"/>
                            <a:ext cx="65913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F39" w:rsidRPr="00273615" w:rsidRDefault="00D53F39" w:rsidP="00E24DB7">
                              <w:pPr>
                                <w:spacing w:line="240" w:lineRule="auto"/>
                                <w:jc w:val="center"/>
                                <w:rPr>
                                  <w:sz w:val="16"/>
                                  <w:szCs w:val="16"/>
                                </w:rPr>
                              </w:pPr>
                              <w:r>
                                <w:rPr>
                                  <w:color w:val="24211D"/>
                                  <w:sz w:val="16"/>
                                  <w:szCs w:val="16"/>
                                </w:rPr>
                                <w:t xml:space="preserve">Vanne </w:t>
                              </w:r>
                              <w:r>
                                <w:rPr>
                                  <w:color w:val="24211D"/>
                                  <w:sz w:val="16"/>
                                  <w:szCs w:val="16"/>
                                </w:rPr>
                                <w:br/>
                                <w:t xml:space="preserve">de réglage </w:t>
                              </w:r>
                              <w:r>
                                <w:rPr>
                                  <w:color w:val="24211D"/>
                                  <w:sz w:val="16"/>
                                  <w:szCs w:val="16"/>
                                </w:rPr>
                                <w:br/>
                                <w:t>du débit</w:t>
                              </w:r>
                            </w:p>
                          </w:txbxContent>
                        </wps:txbx>
                        <wps:bodyPr rot="0" vert="horz" wrap="square" lIns="0" tIns="0" rIns="0" bIns="0" anchor="t" anchorCtr="0" upright="1">
                          <a:spAutoFit/>
                        </wps:bodyPr>
                      </wps:wsp>
                      <wps:wsp>
                        <wps:cNvPr id="14085" name="Line 227"/>
                        <wps:cNvCnPr/>
                        <wps:spPr bwMode="auto">
                          <a:xfrm>
                            <a:off x="2873375" y="485140"/>
                            <a:ext cx="135255" cy="227965"/>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4086" name="Rectangle 228"/>
                        <wps:cNvSpPr>
                          <a:spLocks noChangeArrowheads="1"/>
                        </wps:cNvSpPr>
                        <wps:spPr bwMode="auto">
                          <a:xfrm>
                            <a:off x="1255395" y="1031240"/>
                            <a:ext cx="103695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F39" w:rsidRPr="006F5AEF" w:rsidRDefault="00D53F39" w:rsidP="00E24DB7">
                              <w:pPr>
                                <w:spacing w:line="240" w:lineRule="auto"/>
                                <w:jc w:val="center"/>
                                <w:rPr>
                                  <w:color w:val="24211D"/>
                                  <w:sz w:val="16"/>
                                  <w:szCs w:val="16"/>
                                </w:rPr>
                              </w:pPr>
                              <w:r w:rsidRPr="006F5AEF">
                                <w:rPr>
                                  <w:color w:val="24211D"/>
                                  <w:sz w:val="16"/>
                                  <w:szCs w:val="16"/>
                                </w:rPr>
                                <w:t>Élément à flux luminaire (LFR)</w:t>
                              </w:r>
                            </w:p>
                          </w:txbxContent>
                        </wps:txbx>
                        <wps:bodyPr rot="0" vert="horz" wrap="square" lIns="0" tIns="0" rIns="0" bIns="0" anchor="t" anchorCtr="0" upright="1">
                          <a:spAutoFit/>
                        </wps:bodyPr>
                      </wps:wsp>
                      <wps:wsp>
                        <wps:cNvPr id="14087" name="Rectangle 229"/>
                        <wps:cNvSpPr>
                          <a:spLocks noChangeArrowheads="1"/>
                        </wps:cNvSpPr>
                        <wps:spPr bwMode="auto">
                          <a:xfrm>
                            <a:off x="248286" y="1081405"/>
                            <a:ext cx="37592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F39" w:rsidRPr="00273615" w:rsidRDefault="00D53F39" w:rsidP="00E24DB7">
                              <w:pPr>
                                <w:rPr>
                                  <w:color w:val="24211D"/>
                                  <w:sz w:val="16"/>
                                  <w:szCs w:val="16"/>
                                  <w:lang w:val="en-US"/>
                                </w:rPr>
                              </w:pPr>
                              <w:r w:rsidRPr="00273615">
                                <w:rPr>
                                  <w:color w:val="24211D"/>
                                  <w:sz w:val="16"/>
                                  <w:szCs w:val="16"/>
                                  <w:lang w:val="en-US"/>
                                </w:rPr>
                                <w:t>ETI</w:t>
                              </w:r>
                            </w:p>
                            <w:p w:rsidR="00D53F39" w:rsidRPr="00273615" w:rsidRDefault="00D53F39" w:rsidP="00E24DB7">
                              <w:pPr>
                                <w:rPr>
                                  <w:sz w:val="16"/>
                                  <w:szCs w:val="16"/>
                                </w:rPr>
                              </w:pPr>
                              <w:r w:rsidRPr="00273615">
                                <w:rPr>
                                  <w:color w:val="24211D"/>
                                  <w:sz w:val="16"/>
                                  <w:szCs w:val="16"/>
                                  <w:lang w:val="en-US"/>
                                </w:rPr>
                                <w:t>EPI</w:t>
                              </w:r>
                            </w:p>
                          </w:txbxContent>
                        </wps:txbx>
                        <wps:bodyPr rot="0" vert="horz" wrap="square" lIns="0" tIns="0" rIns="0" bIns="0" anchor="t" anchorCtr="0" upright="1">
                          <a:spAutoFit/>
                        </wps:bodyPr>
                      </wps:wsp>
                      <wps:wsp>
                        <wps:cNvPr id="14088" name="Freeform 230"/>
                        <wps:cNvSpPr>
                          <a:spLocks/>
                        </wps:cNvSpPr>
                        <wps:spPr bwMode="auto">
                          <a:xfrm>
                            <a:off x="532765" y="1066800"/>
                            <a:ext cx="1991360" cy="683895"/>
                          </a:xfrm>
                          <a:custGeom>
                            <a:avLst/>
                            <a:gdLst>
                              <a:gd name="T0" fmla="*/ 0 w 292"/>
                              <a:gd name="T1" fmla="*/ 0 h 96"/>
                              <a:gd name="T2" fmla="*/ 0 w 292"/>
                              <a:gd name="T3" fmla="*/ 683895 h 96"/>
                              <a:gd name="T4" fmla="*/ 1991360 w 292"/>
                              <a:gd name="T5" fmla="*/ 683895 h 96"/>
                              <a:gd name="T6" fmla="*/ 0 60000 65536"/>
                              <a:gd name="T7" fmla="*/ 0 60000 65536"/>
                              <a:gd name="T8" fmla="*/ 0 60000 65536"/>
                            </a:gdLst>
                            <a:ahLst/>
                            <a:cxnLst>
                              <a:cxn ang="T6">
                                <a:pos x="T0" y="T1"/>
                              </a:cxn>
                              <a:cxn ang="T7">
                                <a:pos x="T2" y="T3"/>
                              </a:cxn>
                              <a:cxn ang="T8">
                                <a:pos x="T4" y="T5"/>
                              </a:cxn>
                            </a:cxnLst>
                            <a:rect l="0" t="0" r="r" b="b"/>
                            <a:pathLst>
                              <a:path w="292" h="96">
                                <a:moveTo>
                                  <a:pt x="0" y="0"/>
                                </a:moveTo>
                                <a:lnTo>
                                  <a:pt x="0" y="96"/>
                                </a:lnTo>
                                <a:lnTo>
                                  <a:pt x="292" y="96"/>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9" name="Text Box 582"/>
                        <wps:cNvSpPr txBox="1">
                          <a:spLocks noChangeArrowheads="1"/>
                        </wps:cNvSpPr>
                        <wps:spPr bwMode="auto">
                          <a:xfrm>
                            <a:off x="1420495" y="55245"/>
                            <a:ext cx="528955" cy="253365"/>
                          </a:xfrm>
                          <a:prstGeom prst="rect">
                            <a:avLst/>
                          </a:prstGeom>
                          <a:solidFill>
                            <a:srgbClr val="FFFFFF"/>
                          </a:solidFill>
                          <a:ln w="9525">
                            <a:solidFill>
                              <a:sysClr val="window" lastClr="FFFFFF">
                                <a:lumMod val="100000"/>
                                <a:lumOff val="0"/>
                              </a:sysClr>
                            </a:solidFill>
                            <a:miter lim="800000"/>
                            <a:headEnd/>
                            <a:tailEnd/>
                          </a:ln>
                        </wps:spPr>
                        <wps:txbx>
                          <w:txbxContent>
                            <w:p w:rsidR="00D53F39" w:rsidRPr="00273615" w:rsidRDefault="00D53F39" w:rsidP="00E24DB7">
                              <w:pPr>
                                <w:rPr>
                                  <w:sz w:val="16"/>
                                  <w:szCs w:val="16"/>
                                  <w:lang w:val="de-DE"/>
                                </w:rPr>
                              </w:pPr>
                              <w:r w:rsidRPr="00273615">
                                <w:rPr>
                                  <w:sz w:val="16"/>
                                  <w:szCs w:val="16"/>
                                  <w:lang w:val="de-DE"/>
                                </w:rPr>
                                <w:t>EDP</w:t>
                              </w:r>
                            </w:p>
                          </w:txbxContent>
                        </wps:txbx>
                        <wps:bodyPr rot="0" vert="horz" wrap="square" lIns="91440" tIns="45720" rIns="91440" bIns="45720" anchor="t" anchorCtr="0" upright="1">
                          <a:spAutoFit/>
                        </wps:bodyPr>
                      </wps:wsp>
                      <wps:wsp>
                        <wps:cNvPr id="14090" name="Text Box 582"/>
                        <wps:cNvSpPr txBox="1">
                          <a:spLocks noChangeArrowheads="1"/>
                        </wps:cNvSpPr>
                        <wps:spPr bwMode="auto">
                          <a:xfrm>
                            <a:off x="145234" y="233771"/>
                            <a:ext cx="528955" cy="253365"/>
                          </a:xfrm>
                          <a:prstGeom prst="rect">
                            <a:avLst/>
                          </a:prstGeom>
                          <a:solidFill>
                            <a:srgbClr val="FFFFFF"/>
                          </a:solidFill>
                          <a:ln w="9525">
                            <a:solidFill>
                              <a:sysClr val="window" lastClr="FFFFFF">
                                <a:lumMod val="100000"/>
                                <a:lumOff val="0"/>
                              </a:sysClr>
                            </a:solidFill>
                            <a:miter lim="800000"/>
                            <a:headEnd/>
                            <a:tailEnd/>
                          </a:ln>
                        </wps:spPr>
                        <wps:txbx>
                          <w:txbxContent>
                            <w:p w:rsidR="00D53F39" w:rsidRPr="00273615" w:rsidRDefault="00D53F39" w:rsidP="00E24DB7">
                              <w:pPr>
                                <w:rPr>
                                  <w:sz w:val="16"/>
                                  <w:szCs w:val="16"/>
                                  <w:lang w:val="de-DE"/>
                                </w:rPr>
                              </w:pPr>
                              <w:r>
                                <w:rPr>
                                  <w:sz w:val="16"/>
                                  <w:szCs w:val="16"/>
                                  <w:lang w:val="de-DE"/>
                                </w:rPr>
                                <w:t>Filtre</w:t>
                              </w:r>
                            </w:p>
                          </w:txbxContent>
                        </wps:txbx>
                        <wps:bodyPr rot="0" vert="horz" wrap="square" lIns="91440" tIns="45720" rIns="91440" bIns="45720" anchor="t" anchorCtr="0" upright="1">
                          <a:spAutoFit/>
                        </wps:bodyPr>
                      </wps:wsp>
                    </wpc:wpc>
                  </a:graphicData>
                </a:graphic>
              </wp:inline>
            </w:drawing>
          </mc:Choice>
          <mc:Fallback>
            <w:pict>
              <v:group w14:anchorId="126262CE" id="Zeichenbereich 13504" o:spid="_x0000_s1117" editas="canvas" style="width:482.4pt;height:266.4pt;mso-position-horizontal-relative:char;mso-position-vertical-relative:line" coordsize="61264,33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">
                <v:shape id="_x0000_s1118" type="#_x0000_t75" style="position:absolute;width:61264;height:33832;visibility:visible;mso-wrap-style:square">
                  <v:fill o:detectmouseclick="t"/>
                  <v:path o:connecttype="none"/>
                </v:shape>
                <v:group id="Group 117" o:spid="_x0000_s1119" style="position:absolute;left:44773;top:15938;width:1994;height:2419" coordorigin="7051,2075" coordsize="31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">
                  <v:shape id="Freeform 118" o:spid="_x0000_s1120" style="position:absolute;left:7051;top:2266;width:258;height:190;visibility:visible;mso-wrap-style:square;v-text-anchor:top" coordsize="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" path="m11,l23,17,,17,11,xe" filled="f" strokecolor="#24211d" strokeweight=".25pt">
                    <v:path arrowok="t" o:connecttype="custom" o:connectlocs="1380,0;2894,2124;0,2124;1380,0" o:connectangles="0,0,0,0"/>
                  </v:shape>
                  <v:shape id="Freeform 119" o:spid="_x0000_s1121" style="position:absolute;left:7051;top:2075;width:258;height:191;visibility:visible;mso-wrap-style:square;v-text-anchor:top" coordsize="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" path="m11,17l,1,23,,11,17xe" filled="f" strokecolor="#24211d" strokeweight=".25pt">
                    <v:path arrowok="t" o:connecttype="custom" o:connectlocs="1380,2146;0,124;2894,0;1380,2146" o:connectangles="0,0,0,0"/>
                  </v:shape>
                  <v:shape id="Freeform 120" o:spid="_x0000_s1122" style="position:absolute;left:7175;top:2142;width:190;height:258;visibility:visible;mso-wrap-style:square;v-text-anchor:top" coordsize="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" path="m,11l17,r,23l,11xe" filled="f" strokecolor="#24211d" strokeweight=".25pt">
                    <v:path arrowok="t" o:connecttype="custom" o:connectlocs="0,1380;2124,0;2124,2894;0,1380" o:connectangles="0,0,0,0"/>
                  </v:shape>
                </v:group>
                <v:line id="Line 121" o:spid="_x0000_s1123" style="position:absolute;visibility:visible;mso-wrap-style:square" from="46767,17151" to="47618,17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" strokecolor="#24211d" strokeweight=".25pt"/>
                <v:shape id="Freeform 127" o:spid="_x0000_s1124" style="position:absolute;left:495;top:5537;width:6470;height:2279;visibility:visible;mso-wrap-style:square;v-text-anchor:top" coordsize="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" path="m15,25l6,28r9,4l,32,,,91,r,32l80,32r,-7l15,25xe" fillcolor="#24211d" strokecolor="#24211d" strokeweight=".25pt">
                  <v:path arrowok="t" o:connecttype="custom" o:connectlocs="758409954,1268753455;303366826,1420998456;758409954,1624001288;0,1624001288;0,0;2147483646,0;2147483646,1624001288;2147483646,1624001288;2147483646,1268753455;758409954,1268753455" o:connectangles="0,0,0,0,0,0,0,0,0,0"/>
                </v:shape>
                <v:shape id="Freeform 128" o:spid="_x0000_s1125" style="position:absolute;left:495;top:8388;width:6470;height:2280;visibility:visible;mso-wrap-style:square;v-text-anchor:top" coordsize="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" path="m80,r,7l15,7,15,,,,,32r91,l91,,80,xe" fillcolor="#24211d" strokecolor="#24211d" strokeweight="0">
                  <v:path arrowok="t" o:connecttype="custom" o:connectlocs="2147483646,0;2147483646,355247833;758409954,355247833;758409954,0;0,0;0,1624001288;2147483646,1624001288;2147483646,0;2147483646,0" o:connectangles="0,0,0,0,0,0,0,0,0"/>
                </v:shape>
                <v:line id="Line 129" o:spid="_x0000_s1126" style="position:absolute;flip:y;visibility:visible;mso-wrap-style:square" from="1562,7321" to="1568,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" strokecolor="#24211d" strokeweight=".25pt"/>
                <v:line id="Line 130" o:spid="_x0000_s1127" style="position:absolute;visibility:visible;mso-wrap-style:square" from="13150,6254" to="19970,6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" strokecolor="#24211d" strokeweight=".25pt"/>
                <v:line id="Line 131" o:spid="_x0000_s1128" style="position:absolute;visibility:visible;mso-wrap-style:square" from="13150,9886" to="19970,9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" strokecolor="#24211d" strokeweight=".25pt"/>
                <v:line id="Line 132" o:spid="_x0000_s1129" style="position:absolute;visibility:visible;mso-wrap-style:square" from="21463,7175" to="32194,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" strokecolor="#24211d" strokeweight=".25pt"/>
                <v:line id="Line 133" o:spid="_x0000_s1130" style="position:absolute;visibility:visible;mso-wrap-style:square" from="21463,9029" to="32194,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" strokecolor="#24211d" strokeweight=".25pt"/>
                <v:line id="Line 134" o:spid="_x0000_s1131" style="position:absolute;visibility:visible;mso-wrap-style:square" from="19970,6254" to="21463,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" strokecolor="#24211d" strokeweight=".25pt"/>
                <v:line id="Line 135" o:spid="_x0000_s1132" style="position:absolute;flip:x;visibility:visible;mso-wrap-style:square" from="11658,6254" to="13150,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" strokecolor="#24211d" strokeweight=".25pt"/>
                <v:line id="Line 136" o:spid="_x0000_s1133" style="position:absolute;flip:x;visibility:visible;mso-wrap-style:square" from="11658,6254" to="13150,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" strokecolor="#24211d" strokeweight=".25pt"/>
                <v:line id="Line 137" o:spid="_x0000_s1134" style="position:absolute;visibility:visible;mso-wrap-style:square" from="6965,6254" to="8458,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" strokecolor="#24211d" strokeweight=".25pt"/>
                <v:line id="Line 138" o:spid="_x0000_s1135" style="position:absolute;flip:y;visibility:visible;mso-wrap-style:square" from="19970,9029" to="21463,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" strokecolor="#24211d" strokeweight=".25pt"/>
                <v:line id="Line 139" o:spid="_x0000_s1136" style="position:absolute;flip:x y;visibility:visible;mso-wrap-style:square" from="11658,9029" to="13150,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" strokecolor="#24211d" strokeweight=".25pt"/>
                <v:line id="Line 140" o:spid="_x0000_s1137" style="position:absolute;flip:x y;visibility:visible;mso-wrap-style:square" from="11658,9029" to="13150,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" strokecolor="#24211d" strokeweight=".25pt"/>
                <v:line id="Line 141" o:spid="_x0000_s1138" style="position:absolute;flip:y;visibility:visible;mso-wrap-style:square" from="6965,9029" to="8458,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" strokecolor="#24211d" strokeweight=".25pt"/>
                <v:line id="Line 142" o:spid="_x0000_s1139" style="position:absolute;flip:x;visibility:visible;mso-wrap-style:square" from="8458,7175" to="11658,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" strokecolor="#24211d" strokeweight=".25pt"/>
                <v:line id="Line 143" o:spid="_x0000_s1140" style="position:absolute;flip:x;visibility:visible;mso-wrap-style:square" from="8458,9029" to="11658,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" strokecolor="#24211d" strokeweight=".25pt"/>
                <v:line id="Line 144" o:spid="_x0000_s1141" style="position:absolute;visibility:visible;mso-wrap-style:square" from="15563,8388" to="15570,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" strokecolor="#24211d" strokeweight=".25pt"/>
                <v:line id="Line 145" o:spid="_x0000_s1142" style="position:absolute;visibility:visible;mso-wrap-style:square" from="14782,8388" to="14789,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" strokecolor="#24211d" strokeweight=".25pt"/>
                <v:line id="Line 146" o:spid="_x0000_s1143" style="position:absolute;visibility:visible;mso-wrap-style:square" from="15563,6254" to="15570,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" strokecolor="#24211d" strokeweight=".25pt"/>
                <v:line id="Line 147" o:spid="_x0000_s1144" style="position:absolute;visibility:visible;mso-wrap-style:square" from="14782,6254" to="14789,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" strokecolor="#24211d" strokeweight=".25pt"/>
                <v:line id="Line 148" o:spid="_x0000_s1145" style="position:absolute;visibility:visible;mso-wrap-style:square" from="18764,6254" to="18770,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" strokecolor="#24211d" strokeweight=".25pt"/>
                <v:rect id="Rectangle 149" o:spid="_x0000_s1146" style="position:absolute;left:16776;top:6534;width:177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" filled="f" strokecolor="#24211d" strokeweight=".25pt"/>
                <v:line id="Line 150" o:spid="_x0000_s1147" style="position:absolute;visibility:visible;mso-wrap-style:square" from="8953,8388" to="8959,9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" strokecolor="#24211d" strokeweight=".25pt"/>
                <v:line id="Line 151" o:spid="_x0000_s1148" style="position:absolute;visibility:visible;mso-wrap-style:square" from="8953,7175" to="8959,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" strokecolor="#24211d" strokeweight=".25pt"/>
                <v:line id="Line 152" o:spid="_x0000_s1149" style="position:absolute;visibility:visible;mso-wrap-style:square" from="30632,7175" to="30638,9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" strokecolor="#24211d" strokeweight=".25pt"/>
                <v:line id="Line 153" o:spid="_x0000_s1150" style="position:absolute;visibility:visible;mso-wrap-style:square" from="29140,7175" to="30632,9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" strokecolor="#24211d" strokeweight=".25pt"/>
                <v:shape id="Freeform 154" o:spid="_x0000_s1151" style="position:absolute;left:27076;top:8032;width:2845;height:2280;visibility:visible;mso-wrap-style:square;v-text-anchor:top" coordsize="4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" path="m,30l38,r2,2l2,32,,30xe" fillcolor="#24211d" stroked="f">
                  <v:path arrowok="t" o:connecttype="custom" o:connectlocs="0,1522499872;1922060672,0;2023221760,101501416;101161088,1624001288;0,1522499872" o:connectangles="0,0,0,0,0"/>
                </v:shape>
                <v:line id="Line 155" o:spid="_x0000_s1152" style="position:absolute;visibility:visible;mso-wrap-style:square" from="32194,7175" to="32200,9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" strokecolor="#24211d" strokeweight=".25pt"/>
                <v:line id="Line 156" o:spid="_x0000_s1153" style="position:absolute;visibility:visible;mso-wrap-style:square" from="32194,8102" to="34613,8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" strokecolor="#24211d" strokeweight=".25pt"/>
                <v:line id="Line 157" o:spid="_x0000_s1154" style="position:absolute;visibility:visible;mso-wrap-style:square" from="18764,8102" to="30632,8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" strokecolor="#24211d" strokeweight=".25pt">
                  <v:stroke dashstyle="longDash"/>
                </v:line>
                <v:line id="Line 158" o:spid="_x0000_s1155" style="position:absolute;visibility:visible;mso-wrap-style:square" from="32194,8813" to="34613,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" strokecolor="#24211d" strokeweight=".25pt"/>
                <v:line id="Line 159" o:spid="_x0000_s1156" style="position:absolute;visibility:visible;mso-wrap-style:square" from="32194,7321" to="34613,7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" strokecolor="#24211d" strokeweight=".25pt"/>
                <v:line id="Line 160" o:spid="_x0000_s1157" style="position:absolute;flip:x;visibility:visible;mso-wrap-style:square" from="495,8388" to="16776,8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" strokecolor="#24211d" strokeweight=".25pt"/>
                <v:line id="Line 161" o:spid="_x0000_s1158" style="position:absolute;flip:x;visibility:visible;mso-wrap-style:square" from="495,7816" to="16776,7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" strokecolor="#24211d" strokeweight=".25pt"/>
                <v:shape id="Freeform 162" o:spid="_x0000_s1159" style="position:absolute;top:5054;width:495;height:572;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" path="m7,l,4,7,8e" filled="f" strokecolor="#24211d" strokeweight=".25pt">
                  <v:path arrowok="t" o:connecttype="custom" o:connectlocs="350460129,0;0,204132656;350460129,408265313" o:connectangles="0,0,0"/>
                </v:shape>
                <v:line id="Line 163" o:spid="_x0000_s1160" style="position:absolute;flip:y;visibility:visible;mso-wrap-style:square" from="1562,7321" to="1568,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" strokecolor="#24211d" strokeweight=".25pt"/>
                <v:line id="Line 164" o:spid="_x0000_s1161" style="position:absolute;visibility:visible;mso-wrap-style:square" from="14852,5683" to="16135,5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" strokecolor="#24211d" strokeweight=".25pt"/>
                <v:shape id="Freeform 165" o:spid="_x0000_s1162" style="position:absolute;left:15138;top:4895;width:711;height:362;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" path="m,5c,2,2,,5,v3,,5,2,5,5e" filled="f" strokecolor="#24211d" strokeweight=".25pt">
                  <v:path arrowok="t" o:connecttype="custom" o:connectlocs="0,262015605;252902720,0;505805440,262015605" o:connectangles="0,0,0"/>
                </v:shape>
                <v:line id="Line 166" o:spid="_x0000_s1163" style="position:absolute;visibility:visible;mso-wrap-style:square" from="15138,5257" to="15144,5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" strokecolor="#24211d" strokeweight=".25pt"/>
                <v:line id="Line 167" o:spid="_x0000_s1164" style="position:absolute;visibility:visible;mso-wrap-style:square" from="15849,5257" to="15855,5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" strokecolor="#24211d" strokeweight=".25pt"/>
                <v:line id="Line 168" o:spid="_x0000_s1165" style="position:absolute;flip:y;visibility:visible;mso-wrap-style:square" from="15494,3257" to="15500,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" strokecolor="#24211d" strokeweight=".25pt"/>
                <v:line id="Line 169" o:spid="_x0000_s1166" style="position:absolute;visibility:visible;mso-wrap-style:square" from="16986,5683" to="18338,5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" strokecolor="#24211d" strokeweight=".25pt"/>
                <v:shape id="Freeform 170" o:spid="_x0000_s1167" style="position:absolute;left:17272;top:4895;width:711;height:362;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" path="m,5c,2,3,,5,v3,,5,2,5,5e" filled="f" strokecolor="#24211d" strokeweight=".25pt">
                  <v:path arrowok="t" o:connecttype="custom" o:connectlocs="0,262015605;252902720,0;505805440,262015605" o:connectangles="0,0,0"/>
                </v:shape>
                <v:line id="Line 171" o:spid="_x0000_s1168" style="position:absolute;visibility:visible;mso-wrap-style:square" from="17272,5257" to="17278,5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" strokecolor="#24211d" strokeweight=".25pt"/>
                <v:line id="Line 172" o:spid="_x0000_s1169" style="position:absolute;visibility:visible;mso-wrap-style:square" from="17983,5257" to="17989,5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" strokecolor="#24211d" strokeweight=".25pt"/>
                <v:line id="Line 173" o:spid="_x0000_s1170" style="position:absolute;flip:y;visibility:visible;mso-wrap-style:square" from="17627,3257" to="17633,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" strokecolor="#24211d" strokeweight=".25pt"/>
                <v:shape id="Freeform 174" o:spid="_x0000_s1171" style="position:absolute;left:34613;top:8813;width:3766;height:3779;visibility:visible;mso-wrap-style:square;v-text-anchor:top"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" path="m,c30,,53,24,53,53e" filled="f" strokecolor="#24211d" strokeweight=".25pt">
                  <v:path arrowok="t" o:connecttype="custom" o:connectlocs="0,0;2147483646,2147483646" o:connectangles="0,0"/>
                </v:shape>
                <v:line id="Line 175" o:spid="_x0000_s1172" style="position:absolute;visibility:visible;mso-wrap-style:square" from="38379,12592" to="38385,13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" strokecolor="#24211d" strokeweight=".25pt"/>
                <v:line id="Line 176" o:spid="_x0000_s1173" style="position:absolute;visibility:visible;mso-wrap-style:square" from="39871,12592" to="39878,13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" strokecolor="#24211d" strokeweight=".25pt"/>
                <v:shape id="Freeform 177" o:spid="_x0000_s1174" style="position:absolute;left:34613;top:7321;width:5258;height:5271;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" path="m,c41,,74,33,74,74e" filled="f" strokecolor="#24211d" strokeweight=".25pt">
                  <v:path arrowok="t" o:connecttype="custom" o:connectlocs="0,0;2147483646,2147483646" o:connectangles="0,0"/>
                </v:shape>
                <v:shape id="Freeform 178" o:spid="_x0000_s1175" style="position:absolute;left:34613;top:8102;width:4547;height:4490;visibility:visible;mso-wrap-style:square;v-text-anchor:top" coordsize="6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" path="m,c35,,64,28,64,63e" filled="f" strokecolor="#24211d" strokeweight=".25pt">
                  <v:path arrowok="t" o:connecttype="custom" o:connectlocs="0,0;2147483646,2147483646" o:connectangles="0,0"/>
                </v:shape>
                <v:line id="Line 179" o:spid="_x0000_s1176" style="position:absolute;visibility:visible;mso-wrap-style:square" from="42500,17151" to="45561,17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" strokecolor="#24211d" strokeweight=".25pt"/>
                <v:line id="Line 180" o:spid="_x0000_s1177" style="position:absolute;visibility:visible;mso-wrap-style:square" from="39160,12592" to="39166,1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" strokecolor="#24211d" strokeweight=".25pt"/>
                <v:line id="Line 181" o:spid="_x0000_s1178" style="position:absolute;visibility:visible;mso-wrap-style:square" from="53447,16363" to="53454,1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" strokecolor="#24211d" strokeweight="0"/>
                <v:group id="Group 182" o:spid="_x0000_s1179" style="position:absolute;left:53447;top:16084;width:2420;height:1918" coordorigin="8417,2098" coordsize="38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183" o:spid="_x0000_s1180" style="position:absolute;left:8417;top:2142;width:381;height:258;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" path="m,23l34,r,23l,e" filled="f" strokecolor="#24211d" strokeweight=".25pt">
                    <v:path arrowok="t" o:connecttype="custom" o:connectlocs="0,2894;4269,0;4269,2894;0,0" o:connectangles="0,0,0,0"/>
                  </v:shape>
                  <v:line id="Line 184" o:spid="_x0000_s1181" style="position:absolute;flip:y;visibility:visible;mso-wrap-style:square" from="8607,2098" to="8607,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" strokecolor="#24211d" strokeweight=".25pt"/>
                  <v:line id="Line 185" o:spid="_x0000_s1182" style="position:absolute;visibility:visible;mso-wrap-style:square" from="8495,2098" to="8708,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" strokecolor="#24211d" strokeweight=".25pt"/>
                </v:group>
                <v:rect id="Rectangle 186" o:spid="_x0000_s1183" style="position:absolute;left:52647;top:21145;width:468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9+mwgAAANwAAAAPAAAAZHJzL2Rvd25yZXYueG1sRI/NigIx&#10;EITvgu8QWvCmGR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DP79+mwgAAANwAAAAPAAAA&#10;AAAAAAAAAAAAAAcCAABkcnMvZG93bnJldi54bWxQSwUGAAAAAAMAAwC3AAAA9gIAAAAA&#10;" filled="f" stroked="f">
                  <v:textbox style="mso-fit-shape-to-text:t" inset="0,0,0,0">
                    <w:txbxContent>
                      <w:p w:rsidR="00D53F39" w:rsidRPr="00BB4549" w:rsidRDefault="00D53F39" w:rsidP="00E24DB7">
                        <w:pPr>
                          <w:rPr>
                            <w:sz w:val="16"/>
                            <w:szCs w:val="16"/>
                          </w:rPr>
                        </w:pPr>
                        <w:r>
                          <w:rPr>
                            <w:color w:val="24211D"/>
                            <w:sz w:val="16"/>
                            <w:szCs w:val="16"/>
                            <w:lang w:val="en-US"/>
                          </w:rPr>
                          <w:t>Manomètre</w:t>
                        </w:r>
                      </w:p>
                    </w:txbxContent>
                  </v:textbox>
                </v:rect>
                <v:rect id="Rectangle 187" o:spid="_x0000_s1184" style="position:absolute;left:49961;top:10704;width:7646;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" filled="f" stroked="f">
                  <v:textbox style="mso-fit-shape-to-text:t" inset="0,0,0,0">
                    <w:txbxContent>
                      <w:p w:rsidR="00D53F39" w:rsidRPr="00BB4549" w:rsidRDefault="00D53F39" w:rsidP="00E24DB7">
                        <w:pPr>
                          <w:spacing w:line="240" w:lineRule="auto"/>
                          <w:jc w:val="center"/>
                          <w:rPr>
                            <w:sz w:val="16"/>
                            <w:szCs w:val="16"/>
                          </w:rPr>
                        </w:pPr>
                        <w:r>
                          <w:rPr>
                            <w:color w:val="24211D"/>
                            <w:sz w:val="16"/>
                            <w:szCs w:val="16"/>
                            <w:lang w:val="en-US"/>
                          </w:rPr>
                          <w:t>Soupape de régularisation (amortisseur)</w:t>
                        </w:r>
                      </w:p>
                    </w:txbxContent>
                  </v:textbox>
                </v:rect>
                <v:line id="Line 188" o:spid="_x0000_s1185" style="position:absolute;visibility:visible;mso-wrap-style:square" from="53498,14331" to="54711,16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" strokecolor="#24211d" strokeweight=".25pt">
                  <v:stroke endarrow="block" endarrowwidth="narrow"/>
                </v:line>
                <v:line id="Line 189" o:spid="_x0000_s1186" style="position:absolute;flip:x;visibility:visible;mso-wrap-style:square" from="50158,22072" to="52063,23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" strokecolor="#24211d" strokeweight=".25pt">
                  <v:stroke endarrow="block" endarrowwidth="narrow"/>
                </v:line>
                <v:line id="Line 190" o:spid="_x0000_s1187" style="position:absolute;visibility:visible;mso-wrap-style:square" from="50038,17151" to="53447,17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" strokecolor="#24211d" strokeweight=".25pt"/>
                <v:line id="Line 191" o:spid="_x0000_s1188" style="position:absolute;flip:x;visibility:visible;mso-wrap-style:square" from="42926,15582" to="45631,15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" strokecolor="#24211d" strokeweight=".25pt"/>
                <v:line id="Line 192" o:spid="_x0000_s1189" style="position:absolute;flip:x;visibility:visible;mso-wrap-style:square" from="42926,18789" to="45631,18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" strokecolor="#24211d" strokeweight=".25pt"/>
                <v:rect id="Rectangle 193" o:spid="_x0000_s1190" style="position:absolute;left:44850;top:14306;width:14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" filled="f" stroked="f">
                  <v:textbox style="mso-fit-shape-to-text:t" inset="0,0,0,0">
                    <w:txbxContent>
                      <w:p w:rsidR="00D53F39" w:rsidRPr="00BB4549" w:rsidRDefault="00D53F39" w:rsidP="00E24DB7">
                        <w:pPr>
                          <w:rPr>
                            <w:sz w:val="16"/>
                            <w:szCs w:val="16"/>
                          </w:rPr>
                        </w:pPr>
                        <w:r w:rsidRPr="00BB4549">
                          <w:rPr>
                            <w:color w:val="24211D"/>
                            <w:sz w:val="16"/>
                            <w:szCs w:val="16"/>
                            <w:lang w:val="en-US"/>
                          </w:rPr>
                          <w:t>PPI</w:t>
                        </w:r>
                      </w:p>
                    </w:txbxContent>
                  </v:textbox>
                </v:rect>
                <v:rect id="Rectangle 194" o:spid="_x0000_s1191" style="position:absolute;left:44850;top:19005;width:186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" filled="f" stroked="f">
                  <v:textbox style="mso-fit-shape-to-text:t" inset="0,0,0,0">
                    <w:txbxContent>
                      <w:p w:rsidR="00D53F39" w:rsidRPr="00BB4549" w:rsidRDefault="00D53F39" w:rsidP="00E24DB7">
                        <w:pPr>
                          <w:rPr>
                            <w:sz w:val="16"/>
                            <w:szCs w:val="16"/>
                          </w:rPr>
                        </w:pPr>
                        <w:r w:rsidRPr="00BB4549">
                          <w:rPr>
                            <w:color w:val="24211D"/>
                            <w:sz w:val="16"/>
                            <w:szCs w:val="16"/>
                            <w:lang w:val="en-US"/>
                          </w:rPr>
                          <w:t>PPO</w:t>
                        </w:r>
                      </w:p>
                    </w:txbxContent>
                  </v:textbox>
                </v:rect>
                <v:rect id="Rectangle 195" o:spid="_x0000_s1192" style="position:absolute;left:29921;top:23990;width:690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" filled="f" stroked="f">
                  <v:textbox style="mso-fit-shape-to-text:t" inset="0,0,0,0">
                    <w:txbxContent>
                      <w:p w:rsidR="00D53F39" w:rsidRPr="00E911A4" w:rsidRDefault="00D53F39" w:rsidP="00E24DB7">
                        <w:pPr>
                          <w:rPr>
                            <w:sz w:val="16"/>
                            <w:szCs w:val="16"/>
                          </w:rPr>
                        </w:pPr>
                        <w:r w:rsidRPr="00E911A4">
                          <w:rPr>
                            <w:color w:val="24211D"/>
                            <w:sz w:val="16"/>
                            <w:szCs w:val="16"/>
                          </w:rPr>
                          <w:t xml:space="preserve">Nombre de tours </w:t>
                        </w:r>
                        <w:r w:rsidRPr="00E911A4">
                          <w:rPr>
                            <w:color w:val="24211D"/>
                            <w:sz w:val="16"/>
                            <w:szCs w:val="16"/>
                          </w:rPr>
                          <w:br/>
                          <w:t>Durée de l’essai</w:t>
                        </w:r>
                      </w:p>
                    </w:txbxContent>
                  </v:textbox>
                </v:rect>
                <v:rect id="Rectangle 196" o:spid="_x0000_s1193" style="position:absolute;left:40017;top:23799;width:141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" filled="f" stroked="f">
                  <v:textbox style="mso-fit-shape-to-text:t" inset="0,0,0,0">
                    <w:txbxContent>
                      <w:p w:rsidR="00D53F39" w:rsidRPr="00BA3B51" w:rsidRDefault="00D53F39" w:rsidP="00E24DB7">
                        <w:pPr>
                          <w:rPr>
                            <w:sz w:val="16"/>
                            <w:szCs w:val="16"/>
                          </w:rPr>
                        </w:pPr>
                        <w:r w:rsidRPr="00BA3B51">
                          <w:rPr>
                            <w:color w:val="24211D"/>
                            <w:sz w:val="16"/>
                            <w:szCs w:val="16"/>
                            <w:lang w:val="en-US"/>
                          </w:rPr>
                          <w:t>n</w:t>
                        </w:r>
                      </w:p>
                    </w:txbxContent>
                  </v:textbox>
                </v:rect>
                <v:rect id="Rectangle 197" o:spid="_x0000_s1194" style="position:absolute;left:40208;top:25558;width:85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" filled="f" stroked="f">
                  <v:textbox style="mso-fit-shape-to-text:t" inset="0,0,0,0">
                    <w:txbxContent>
                      <w:p w:rsidR="00D53F39" w:rsidRPr="00BA3B51" w:rsidRDefault="00D53F39" w:rsidP="00E24DB7">
                        <w:pPr>
                          <w:rPr>
                            <w:sz w:val="16"/>
                            <w:szCs w:val="16"/>
                          </w:rPr>
                        </w:pPr>
                        <w:r w:rsidRPr="00BA3B51">
                          <w:rPr>
                            <w:color w:val="24211D"/>
                            <w:sz w:val="16"/>
                            <w:szCs w:val="16"/>
                            <w:lang w:val="en-US"/>
                          </w:rPr>
                          <w:t>t</w:t>
                        </w:r>
                      </w:p>
                    </w:txbxContent>
                  </v:textbox>
                </v:rect>
                <v:shape id="Freeform 198" o:spid="_x0000_s1195" style="position:absolute;left:36531;top:18929;width:5690;height:6585;visibility:visible;mso-wrap-style:square;v-text-anchor:top" coordsize="8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" path="m,86r80,l68,e" filled="f" strokecolor="#24211d" strokeweight=".25pt">
                  <v:stroke endarrow="block" endarrowwidth="narrow"/>
                  <v:path arrowok="t" o:connecttype="custom" o:connectlocs="0,2147483646;2147483646,2147483646;2147483646,0" o:connectangles="0,0,0"/>
                </v:shape>
                <v:rect id="Rectangle 199" o:spid="_x0000_s1196" style="position:absolute;left:24669;top:16637;width:9195;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" filled="f" stroked="f">
                  <v:textbox inset="0,0,0,0">
                    <w:txbxContent>
                      <w:p w:rsidR="00D53F39" w:rsidRPr="00BA3B51" w:rsidRDefault="00D53F39" w:rsidP="00E24DB7">
                        <w:pPr>
                          <w:spacing w:line="240" w:lineRule="auto"/>
                          <w:jc w:val="center"/>
                          <w:rPr>
                            <w:sz w:val="16"/>
                            <w:szCs w:val="16"/>
                          </w:rPr>
                        </w:pPr>
                        <w:r>
                          <w:rPr>
                            <w:color w:val="24211D"/>
                            <w:sz w:val="16"/>
                            <w:szCs w:val="16"/>
                            <w:lang w:val="en-US"/>
                          </w:rPr>
                          <w:t xml:space="preserve">Indicateur </w:t>
                        </w:r>
                        <w:r>
                          <w:rPr>
                            <w:color w:val="24211D"/>
                            <w:sz w:val="16"/>
                            <w:szCs w:val="16"/>
                            <w:lang w:val="en-US"/>
                          </w:rPr>
                          <w:br/>
                          <w:t>de température</w:t>
                        </w:r>
                      </w:p>
                    </w:txbxContent>
                  </v:textbox>
                </v:rect>
                <v:rect id="Rectangle 200" o:spid="_x0000_s1197" style="position:absolute;left:28498;top:15087;width:153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" filled="f" stroked="f">
                  <v:textbox style="mso-fit-shape-to-text:t" inset="0,0,0,0">
                    <w:txbxContent>
                      <w:p w:rsidR="00D53F39" w:rsidRPr="00BA3B51" w:rsidRDefault="00D53F39" w:rsidP="00E24DB7">
                        <w:pPr>
                          <w:rPr>
                            <w:sz w:val="16"/>
                            <w:szCs w:val="16"/>
                          </w:rPr>
                        </w:pPr>
                        <w:r w:rsidRPr="00BA3B51">
                          <w:rPr>
                            <w:color w:val="24211D"/>
                            <w:sz w:val="16"/>
                            <w:szCs w:val="16"/>
                            <w:lang w:val="en-US"/>
                          </w:rPr>
                          <w:t>PTI</w:t>
                        </w:r>
                      </w:p>
                    </w:txbxContent>
                  </v:textbox>
                </v:rect>
                <v:rect id="Rectangle 201" o:spid="_x0000_s1198" style="position:absolute;left:28498;top:19291;width:19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" filled="f" stroked="f">
                  <v:textbox style="mso-fit-shape-to-text:t" inset="0,0,0,0">
                    <w:txbxContent>
                      <w:p w:rsidR="00D53F39" w:rsidRPr="00BA3B51" w:rsidRDefault="00D53F39" w:rsidP="00E24DB7">
                        <w:pPr>
                          <w:rPr>
                            <w:sz w:val="16"/>
                            <w:szCs w:val="16"/>
                          </w:rPr>
                        </w:pPr>
                        <w:r w:rsidRPr="00BA3B51">
                          <w:rPr>
                            <w:color w:val="24211D"/>
                            <w:sz w:val="16"/>
                            <w:szCs w:val="16"/>
                            <w:lang w:val="en-US"/>
                          </w:rPr>
                          <w:t>PTO</w:t>
                        </w:r>
                      </w:p>
                    </w:txbxContent>
                  </v:textbox>
                </v:rect>
                <v:shape id="Freeform 202" o:spid="_x0000_s1199" style="position:absolute;left:28073;top:19227;width:10020;height:2693;visibility:visible;mso-wrap-style:square;v-text-anchor:top" coordsize="1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" path="m,l,43r141,e" filled="f" strokecolor="#24211d" strokeweight=".25pt">
                  <v:stroke endarrow="block" endarrowwidth="narrow"/>
                  <v:path arrowok="t" o:connecttype="custom" o:connectlocs="0,0;0,1685818084;2147483646,1685818084" o:connectangles="0,0,0"/>
                </v:shape>
                <v:group id="Group 203" o:spid="_x0000_s1200" style="position:absolute;left:32766;top:13804;width:10661;height:8617" coordorigin="5160,1739" coordsize="1679,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73Z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6Zvgyjcygl78AwAA//8DAFBLAQItABQABgAIAAAAIQDb4fbL7gAAAIUBAAATAAAAAAAA&#10;AAAAAAAAAAAAAABbQ29udGVudF9UeXBlc10ueG1sUEsBAi0AFAAGAAgAAAAhAFr0LFu/AAAAFQEA&#10;AAsAAAAAAAAAAAAAAAAAHwEAAF9yZWxzLy5yZWxzUEsBAi0AFAAGAAgAAAAhANyjvdnHAAAA3QAA&#10;AA8AAAAAAAAAAAAAAAAABwIAAGRycy9kb3ducmV2LnhtbFBLBQYAAAAAAwADALcAAAD7AgAAAAA=&#10;">
                  <v:shape id="Freeform 204" o:spid="_x0000_s1201" style="position:absolute;left:5843;top:2714;width:638;height:0;visibility:visible;mso-wrap-style:square;v-text-anchor:top" coordsize="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" path="m57,l,e" filled="f" strokecolor="#24211d" strokeweight=".25pt">
                    <v:path arrowok="t" o:connecttype="custom" o:connectlocs="7141,0;0,0;0,0" o:connectangles="0,0,0"/>
                  </v:shape>
                  <v:shape id="Freeform 205" o:spid="_x0000_s1202" style="position:absolute;left:5630;top:1896;width:1052;height:751;visibility:visible;mso-wrap-style:square;v-text-anchor:top" coordsize="9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" path="m94,41c89,56,70,67,48,67,22,67,,52,,33,,15,22,,48,,70,,89,11,94,26e" filled="f" strokecolor="#24211d" strokeweight=".25pt">
                    <v:path arrowok="t" o:connecttype="custom" o:connectlocs="11773,5156;6010,8418;0,4147;6010,0;11773,3262" o:connectangles="0,0,0,0,0"/>
                  </v:shape>
                  <v:oval id="Oval 206" o:spid="_x0000_s1203" style="position:absolute;left:5720;top:1985;width:884;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" filled="f" strokecolor="#24211d" strokeweight=".25pt"/>
                  <v:oval id="Oval 207" o:spid="_x0000_s1204" style="position:absolute;left:5798;top:2064;width:727;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" filled="f" strokecolor="#24211d" strokeweight=".25pt"/>
                  <v:oval id="Oval 208" o:spid="_x0000_s1205" style="position:absolute;left:5887;top:2154;width:549;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" filled="f" strokecolor="#24211d" strokeweight=".25pt"/>
                  <v:line id="Line 209" o:spid="_x0000_s1206" style="position:absolute;visibility:visible;mso-wrap-style:square" from="5160,2266" to="5630,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" strokecolor="#24211d" strokeweight=".25pt"/>
                  <v:line id="Line 210" o:spid="_x0000_s1207" style="position:absolute;visibility:visible;mso-wrap-style:square" from="6604,2356" to="6839,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" strokecolor="#24211d" strokeweight=".25pt"/>
                  <v:line id="Line 211" o:spid="_x0000_s1208" style="position:absolute;visibility:visible;mso-wrap-style:square" from="6604,2187" to="6839,2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" strokecolor="#24211d" strokeweight=".25pt"/>
                  <v:line id="Line 212" o:spid="_x0000_s1209" style="position:absolute;flip:y;visibility:visible;mso-wrap-style:square" from="5843,2714" to="5843,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" strokecolor="#24211d" strokeweight=".25pt"/>
                  <v:line id="Line 213" o:spid="_x0000_s1210" style="position:absolute;flip:y;visibility:visible;mso-wrap-style:square" from="6481,2714" to="648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" strokecolor="#24211d" strokeweight=".25pt"/>
                  <v:rect id="Rectangle 214" o:spid="_x0000_s1211" style="position:absolute;left:6481;top:2782;width:358;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" fillcolor="#24211d" strokecolor="#24211d" strokeweight=".25pt"/>
                  <v:rect id="Rectangle 215" o:spid="_x0000_s1212" style="position:absolute;left:5484;top:2782;width:359;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" fillcolor="#24211d" strokecolor="#24211d" strokeweight=".25pt"/>
                  <v:shape id="Freeform 216" o:spid="_x0000_s1213" style="position:absolute;left:6716;top:2356;width:112;height:426;visibility:visible;mso-wrap-style:square;v-text-anchor:top" coordsize="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" path="m10,c9,6,7,11,3,16,1,19,,22,,25l,38e" filled="f" strokecolor="#24211d" strokeweight=".25pt">
                    <v:path arrowok="t" o:connecttype="custom" o:connectlocs="1254,0;381,2007;0,3139;0,4776" o:connectangles="0,0,0,0"/>
                  </v:shape>
                  <v:shape id="Freeform 217" o:spid="_x0000_s1214" style="position:absolute;left:5484;top:1739;width:1344;height:1043;visibility:visible;mso-wrap-style:square;v-text-anchor:top" coordsize="12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" path="m11,93r,-13c11,77,10,74,8,71,3,64,,56,,47,,21,27,,61,v30,,55,17,59,40e" filled="f" strokecolor="#24211d" strokeweight=".25pt">
                    <v:path arrowok="t" o:connecttype="custom" o:connectlocs="1378,11697;1378,10060;1008,8927;0,5910;7650,0;15053,5036" o:connectangles="0,0,0,0,0,0"/>
                  </v:shape>
                  <v:line id="Line 218" o:spid="_x0000_s1215" style="position:absolute;flip:y;visibility:visible;mso-wrap-style:square" from="6839,2187" to="6839,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" strokecolor="#24211d" strokeweight=".25pt"/>
                  <v:line id="Line 219" o:spid="_x0000_s1216" style="position:absolute;flip:y;visibility:visible;mso-wrap-style:square" from="6693,2187" to="6693,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" strokecolor="#24211d" strokeweight=".25pt"/>
                  <v:line id="Line 220" o:spid="_x0000_s1217" style="position:absolute;flip:y;visibility:visible;mso-wrap-style:square" from="6604,2187" to="6604,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" strokecolor="#24211d" strokeweight=".25pt"/>
                  <v:oval id="Oval 221" o:spid="_x0000_s1218" style="position:absolute;left:6134;top:2972;width:5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" fillcolor="#24211d" strokecolor="#24211d" strokeweight=".25pt"/>
                  <v:oval id="Oval 222" o:spid="_x0000_s1219" style="position:absolute;left:6067;top:2905;width:190;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" filled="f" strokecolor="#24211d" strokeweight=".25pt"/>
                  <v:line id="Line 223" o:spid="_x0000_s1220" style="position:absolute;visibility:visible;mso-wrap-style:square" from="5988,2714" to="6067,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" strokecolor="#24211d" strokeweight=".25pt"/>
                  <v:line id="Line 224" o:spid="_x0000_s1221" style="position:absolute;flip:x;visibility:visible;mso-wrap-style:square" from="6257,2714" to="6335,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" strokecolor="#24211d" strokeweight=".25pt"/>
                </v:group>
                <v:shape id="Freeform 225" o:spid="_x0000_s1222" style="position:absolute;left:28073;top:13519;width:10020;height:2660;visibility:visible;mso-wrap-style:square;v-text-anchor:top" coordsize="1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" path="m141,l,,,43e" filled="f" strokecolor="#24211d" strokeweight=".25pt">
                  <v:stroke startarrow="block" startarrowwidth="narrow"/>
                  <v:path arrowok="t" o:connecttype="custom" o:connectlocs="2147483646,0;0,0;0,1646292656" o:connectangles="0,0,0"/>
                </v:shape>
                <v:rect id="Rectangle 226" o:spid="_x0000_s1223" style="position:absolute;left:25106;top:1643;width:6591;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" filled="f" stroked="f">
                  <v:textbox style="mso-fit-shape-to-text:t" inset="0,0,0,0">
                    <w:txbxContent>
                      <w:p w:rsidR="00D53F39" w:rsidRPr="00273615" w:rsidRDefault="00D53F39" w:rsidP="00E24DB7">
                        <w:pPr>
                          <w:spacing w:line="240" w:lineRule="auto"/>
                          <w:jc w:val="center"/>
                          <w:rPr>
                            <w:sz w:val="16"/>
                            <w:szCs w:val="16"/>
                          </w:rPr>
                        </w:pPr>
                        <w:r>
                          <w:rPr>
                            <w:color w:val="24211D"/>
                            <w:sz w:val="16"/>
                            <w:szCs w:val="16"/>
                          </w:rPr>
                          <w:t xml:space="preserve">Vanne </w:t>
                        </w:r>
                        <w:r>
                          <w:rPr>
                            <w:color w:val="24211D"/>
                            <w:sz w:val="16"/>
                            <w:szCs w:val="16"/>
                          </w:rPr>
                          <w:br/>
                          <w:t xml:space="preserve">de réglage </w:t>
                        </w:r>
                        <w:r>
                          <w:rPr>
                            <w:color w:val="24211D"/>
                            <w:sz w:val="16"/>
                            <w:szCs w:val="16"/>
                          </w:rPr>
                          <w:br/>
                          <w:t>du débit</w:t>
                        </w:r>
                      </w:p>
                    </w:txbxContent>
                  </v:textbox>
                </v:rect>
                <v:line id="Line 227" o:spid="_x0000_s1224" style="position:absolute;visibility:visible;mso-wrap-style:square" from="28733,4851" to="30086,7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" strokecolor="#24211d" strokeweight=".25pt">
                  <v:stroke endarrow="block" endarrowwidth="narrow"/>
                </v:line>
                <v:rect id="Rectangle 228" o:spid="_x0000_s1225" style="position:absolute;left:12553;top:10312;width:10370;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" filled="f" stroked="f">
                  <v:textbox style="mso-fit-shape-to-text:t" inset="0,0,0,0">
                    <w:txbxContent>
                      <w:p w:rsidR="00D53F39" w:rsidRPr="006F5AEF" w:rsidRDefault="00D53F39" w:rsidP="00E24DB7">
                        <w:pPr>
                          <w:spacing w:line="240" w:lineRule="auto"/>
                          <w:jc w:val="center"/>
                          <w:rPr>
                            <w:color w:val="24211D"/>
                            <w:sz w:val="16"/>
                            <w:szCs w:val="16"/>
                          </w:rPr>
                        </w:pPr>
                        <w:r w:rsidRPr="006F5AEF">
                          <w:rPr>
                            <w:color w:val="24211D"/>
                            <w:sz w:val="16"/>
                            <w:szCs w:val="16"/>
                          </w:rPr>
                          <w:t>Élément à flux luminaire (LFR)</w:t>
                        </w:r>
                      </w:p>
                    </w:txbxContent>
                  </v:textbox>
                </v:rect>
                <v:rect id="Rectangle 229" o:spid="_x0000_s1226" style="position:absolute;left:2482;top:10814;width:376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" filled="f" stroked="f">
                  <v:textbox style="mso-fit-shape-to-text:t" inset="0,0,0,0">
                    <w:txbxContent>
                      <w:p w:rsidR="00D53F39" w:rsidRPr="00273615" w:rsidRDefault="00D53F39" w:rsidP="00E24DB7">
                        <w:pPr>
                          <w:rPr>
                            <w:color w:val="24211D"/>
                            <w:sz w:val="16"/>
                            <w:szCs w:val="16"/>
                            <w:lang w:val="en-US"/>
                          </w:rPr>
                        </w:pPr>
                        <w:r w:rsidRPr="00273615">
                          <w:rPr>
                            <w:color w:val="24211D"/>
                            <w:sz w:val="16"/>
                            <w:szCs w:val="16"/>
                            <w:lang w:val="en-US"/>
                          </w:rPr>
                          <w:t>ETI</w:t>
                        </w:r>
                      </w:p>
                      <w:p w:rsidR="00D53F39" w:rsidRPr="00273615" w:rsidRDefault="00D53F39" w:rsidP="00E24DB7">
                        <w:pPr>
                          <w:rPr>
                            <w:sz w:val="16"/>
                            <w:szCs w:val="16"/>
                          </w:rPr>
                        </w:pPr>
                        <w:r w:rsidRPr="00273615">
                          <w:rPr>
                            <w:color w:val="24211D"/>
                            <w:sz w:val="16"/>
                            <w:szCs w:val="16"/>
                            <w:lang w:val="en-US"/>
                          </w:rPr>
                          <w:t>EPI</w:t>
                        </w:r>
                      </w:p>
                    </w:txbxContent>
                  </v:textbox>
                </v:rect>
                <v:shape id="Freeform 230" o:spid="_x0000_s1227" style="position:absolute;left:5327;top:10668;width:19914;height:6838;visibility:visible;mso-wrap-style:square;v-text-anchor:top" coordsize="2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" path="m,l,96r292,e" filled="f" strokecolor="#24211d" strokeweight=".25pt">
                  <v:path arrowok="t" o:connecttype="custom" o:connectlocs="0,0;0,2147483646;2147483646,2147483646" o:connectangles="0,0,0"/>
                </v:shape>
                <v:shape id="Text Box 582" o:spid="_x0000_s1228" type="#_x0000_t202" style="position:absolute;left:14204;top:552;width:5290;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" strokecolor="white">
                  <v:textbox style="mso-fit-shape-to-text:t">
                    <w:txbxContent>
                      <w:p w:rsidR="00D53F39" w:rsidRPr="00273615" w:rsidRDefault="00D53F39" w:rsidP="00E24DB7">
                        <w:pPr>
                          <w:rPr>
                            <w:sz w:val="16"/>
                            <w:szCs w:val="16"/>
                            <w:lang w:val="de-DE"/>
                          </w:rPr>
                        </w:pPr>
                        <w:r w:rsidRPr="00273615">
                          <w:rPr>
                            <w:sz w:val="16"/>
                            <w:szCs w:val="16"/>
                            <w:lang w:val="de-DE"/>
                          </w:rPr>
                          <w:t>EDP</w:t>
                        </w:r>
                      </w:p>
                    </w:txbxContent>
                  </v:textbox>
                </v:shape>
                <v:shape id="Text Box 582" o:spid="_x0000_s1229" type="#_x0000_t202" style="position:absolute;left:1452;top:2337;width:528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" strokecolor="white">
                  <v:textbox style="mso-fit-shape-to-text:t">
                    <w:txbxContent>
                      <w:p w:rsidR="00D53F39" w:rsidRPr="00273615" w:rsidRDefault="00D53F39" w:rsidP="00E24DB7">
                        <w:pPr>
                          <w:rPr>
                            <w:sz w:val="16"/>
                            <w:szCs w:val="16"/>
                            <w:lang w:val="de-DE"/>
                          </w:rPr>
                        </w:pPr>
                        <w:r>
                          <w:rPr>
                            <w:sz w:val="16"/>
                            <w:szCs w:val="16"/>
                            <w:lang w:val="de-DE"/>
                          </w:rPr>
                          <w:t>Filtre</w:t>
                        </w:r>
                      </w:p>
                    </w:txbxContent>
                  </v:textbox>
                </v:shape>
                <w10:anchorlock/>
              </v:group>
            </w:pict>
          </mc:Fallback>
        </mc:AlternateContent>
      </w:r>
      <w:r w:rsidRPr="002C5876">
        <w:rPr>
          <w:noProof/>
          <w:lang w:val="en-GB" w:eastAsia="zh-CN"/>
        </w:rPr>
        <mc:AlternateContent>
          <mc:Choice Requires="wpg">
            <w:drawing>
              <wp:anchor distT="0" distB="0" distL="114300" distR="114300" simplePos="0" relativeHeight="251079680" behindDoc="0" locked="0" layoutInCell="1" allowOverlap="1" wp14:anchorId="23FAAAAA" wp14:editId="6271FC92">
                <wp:simplePos x="0" y="0"/>
                <wp:positionH relativeFrom="column">
                  <wp:posOffset>4766945</wp:posOffset>
                </wp:positionH>
                <wp:positionV relativeFrom="paragraph">
                  <wp:posOffset>1715135</wp:posOffset>
                </wp:positionV>
                <wp:extent cx="241935" cy="1581150"/>
                <wp:effectExtent l="0" t="0" r="24765" b="19050"/>
                <wp:wrapNone/>
                <wp:docPr id="13744"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935" cy="1581150"/>
                          <a:chOff x="7499" y="2266"/>
                          <a:chExt cx="381" cy="2490"/>
                        </a:xfrm>
                      </wpg:grpSpPr>
                      <wps:wsp>
                        <wps:cNvPr id="13745" name="Freeform 123"/>
                        <wps:cNvSpPr>
                          <a:spLocks/>
                        </wps:cNvSpPr>
                        <wps:spPr bwMode="auto">
                          <a:xfrm>
                            <a:off x="7499" y="4565"/>
                            <a:ext cx="381" cy="191"/>
                          </a:xfrm>
                          <a:custGeom>
                            <a:avLst/>
                            <a:gdLst>
                              <a:gd name="T0" fmla="*/ 381 w 34"/>
                              <a:gd name="T1" fmla="*/ 0 h 17"/>
                              <a:gd name="T2" fmla="*/ 191 w 34"/>
                              <a:gd name="T3" fmla="*/ 191 h 17"/>
                              <a:gd name="T4" fmla="*/ 0 w 34"/>
                              <a:gd name="T5" fmla="*/ 0 h 17"/>
                              <a:gd name="T6" fmla="*/ 0 60000 65536"/>
                              <a:gd name="T7" fmla="*/ 0 60000 65536"/>
                              <a:gd name="T8" fmla="*/ 0 60000 65536"/>
                            </a:gdLst>
                            <a:ahLst/>
                            <a:cxnLst>
                              <a:cxn ang="T6">
                                <a:pos x="T0" y="T1"/>
                              </a:cxn>
                              <a:cxn ang="T7">
                                <a:pos x="T2" y="T3"/>
                              </a:cxn>
                              <a:cxn ang="T8">
                                <a:pos x="T4" y="T5"/>
                              </a:cxn>
                            </a:cxnLst>
                            <a:rect l="0" t="0" r="r" b="b"/>
                            <a:pathLst>
                              <a:path w="34" h="17">
                                <a:moveTo>
                                  <a:pt x="34" y="0"/>
                                </a:moveTo>
                                <a:cubicBezTo>
                                  <a:pt x="34" y="9"/>
                                  <a:pt x="26" y="17"/>
                                  <a:pt x="17" y="17"/>
                                </a:cubicBezTo>
                                <a:cubicBezTo>
                                  <a:pt x="7" y="17"/>
                                  <a:pt x="0" y="9"/>
                                  <a:pt x="0" y="0"/>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46" name="Line 124"/>
                        <wps:cNvCnPr/>
                        <wps:spPr bwMode="auto">
                          <a:xfrm flipV="1">
                            <a:off x="7880" y="2266"/>
                            <a:ext cx="0" cy="229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47" name="Line 125"/>
                        <wps:cNvCnPr/>
                        <wps:spPr bwMode="auto">
                          <a:xfrm flipV="1">
                            <a:off x="7499" y="2266"/>
                            <a:ext cx="0" cy="229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48" name="Line 126"/>
                        <wps:cNvCnPr/>
                        <wps:spPr bwMode="auto">
                          <a:xfrm flipV="1">
                            <a:off x="7689" y="2266"/>
                            <a:ext cx="0" cy="229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B6DAFE" id="Group 122" o:spid="_x0000_s1026" style="position:absolute;margin-left:375.35pt;margin-top:135.05pt;width:19.05pt;height:124.5pt;z-index:251079680" coordorigin="7499,2266" coordsize="381,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">
                <v:shape id="Freeform 123" o:spid="_x0000_s1027" style="position:absolute;left:7499;top:4565;width:381;height:191;visibility:visible;mso-wrap-style:square;v-text-anchor:top" coordsize="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" path="m34,v,9,-8,17,-17,17c7,17,,9,,e" filled="f" strokecolor="#24211d" strokeweight=".25pt">
                  <v:path arrowok="t" o:connecttype="custom" o:connectlocs="4269,0;2140,2146;0,0" o:connectangles="0,0,0"/>
                </v:shape>
                <v:line id="Line 124" o:spid="_x0000_s1028" style="position:absolute;flip:y;visibility:visible;mso-wrap-style:square" from="7880,2266" to="7880,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" strokecolor="#24211d" strokeweight=".25pt"/>
                <v:line id="Line 125" o:spid="_x0000_s1029" style="position:absolute;flip:y;visibility:visible;mso-wrap-style:square" from="7499,2266" to="7499,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" strokecolor="#24211d" strokeweight=".25pt"/>
                <v:line id="Line 126" o:spid="_x0000_s1030" style="position:absolute;flip:y;visibility:visible;mso-wrap-style:square" from="7689,2266" to="7689,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" strokecolor="#24211d" strokeweight=".25pt"/>
              </v:group>
            </w:pict>
          </mc:Fallback>
        </mc:AlternateContent>
      </w:r>
    </w:p>
    <w:p w:rsidR="00E24DB7" w:rsidRPr="002C5876" w:rsidRDefault="00E24DB7" w:rsidP="00E24DB7">
      <w:pPr>
        <w:pStyle w:val="SingleTxtG"/>
        <w:spacing w:before="240"/>
        <w:ind w:left="2268" w:hanging="1134"/>
      </w:pPr>
      <w:r w:rsidRPr="002C5876">
        <w:t>3.4.2.5</w:t>
      </w:r>
      <w:r w:rsidRPr="002C5876">
        <w:tab/>
        <w:t>Une fois réalisé le montage représenté à la figure A5/6, régler la vanne de réglage du débit à pleine ouverture et faire fonctionner la pompe du CVS pendant 20 min avant de commencer les opérations d’étalonnage.</w:t>
      </w:r>
    </w:p>
    <w:p w:rsidR="00E24DB7" w:rsidRPr="002C5876" w:rsidRDefault="00E24DB7" w:rsidP="00E24DB7">
      <w:pPr>
        <w:pStyle w:val="SingleTxtG"/>
        <w:ind w:left="2268" w:hanging="1134"/>
      </w:pPr>
      <w:r w:rsidRPr="002C5876">
        <w:t>3.4.2.5.1</w:t>
      </w:r>
      <w:r w:rsidRPr="002C5876">
        <w:tab/>
        <w:t xml:space="preserve">Refermer partiellement la vanne de réglage du débit de manière à obtenir des accroissements de la dépression à l’entrée de la pompe (1 kPa environ) de manière à disposer d’un minimum de six points de mesure pour l’ensemble de l’étalonnage. Laisser le système atteindre son régime stabilisé pendant 3 min avant de répéter les mesures. </w:t>
      </w:r>
    </w:p>
    <w:p w:rsidR="00E24DB7" w:rsidRPr="002C5876" w:rsidRDefault="00E24DB7" w:rsidP="00E24DB7">
      <w:pPr>
        <w:pStyle w:val="SingleTxtG"/>
        <w:ind w:left="2268" w:hanging="1134"/>
      </w:pPr>
      <w:r w:rsidRPr="002C5876">
        <w:lastRenderedPageBreak/>
        <w:t>3.4.2.5.2</w:t>
      </w:r>
      <w:r w:rsidRPr="002C5876">
        <w:tab/>
        <w:t>Le débit d’air Q</w:t>
      </w:r>
      <w:r w:rsidRPr="002C5876">
        <w:rPr>
          <w:vertAlign w:val="subscript"/>
        </w:rPr>
        <w:t>s</w:t>
      </w:r>
      <w:r w:rsidRPr="002C5876">
        <w:t xml:space="preserve"> à chaque point d’essai est calculé en m</w:t>
      </w:r>
      <w:r w:rsidRPr="002C5876">
        <w:rPr>
          <w:vertAlign w:val="superscript"/>
        </w:rPr>
        <w:t>3</w:t>
      </w:r>
      <w:r w:rsidRPr="002C5876">
        <w:t>/min (conditions normales) d’après les valeurs de mesure du débitmètre, selon la méthode prescrite par le fabricant.</w:t>
      </w:r>
    </w:p>
    <w:p w:rsidR="00E24DB7" w:rsidRPr="002C5876" w:rsidRDefault="00E24DB7" w:rsidP="00E24DB7">
      <w:pPr>
        <w:pStyle w:val="SingleTxtG"/>
        <w:keepNext/>
        <w:ind w:left="2268" w:hanging="1134"/>
      </w:pPr>
      <w:r w:rsidRPr="002C5876">
        <w:t>3.4.2.5.3</w:t>
      </w:r>
      <w:r w:rsidRPr="002C5876">
        <w:tab/>
        <w:t>Le débit d’air est ensuite converti en débit de la pompe V</w:t>
      </w:r>
      <w:r w:rsidRPr="002C5876">
        <w:rPr>
          <w:vertAlign w:val="subscript"/>
        </w:rPr>
        <w:t>0</w:t>
      </w:r>
      <w:r w:rsidRPr="002C5876">
        <w:t>, exprimé en mètres cubes par tour (m</w:t>
      </w:r>
      <w:r w:rsidRPr="002C5876">
        <w:rPr>
          <w:vertAlign w:val="superscript"/>
        </w:rPr>
        <w:t>3</w:t>
      </w:r>
      <w:r w:rsidRPr="002C5876">
        <w:t>/tr) à température et à pression absolues à l’entrée de la pompe :</w:t>
      </w:r>
    </w:p>
    <w:p w:rsidR="00E24DB7" w:rsidRPr="002C5876" w:rsidRDefault="00731CA6" w:rsidP="00E24DB7">
      <w:pPr>
        <w:spacing w:after="120"/>
        <w:ind w:left="2268" w:right="1134"/>
      </w:pPr>
      <m:oMathPara>
        <m:oMathParaPr>
          <m:jc m:val="center"/>
        </m:oMathParaPr>
        <m:oMath>
          <m:sSub>
            <m:sSubPr>
              <m:ctrlPr>
                <w:rPr>
                  <w:rFonts w:ascii="Cambria Math" w:hAnsi="Cambria Math" w:cstheme="majorBidi"/>
                </w:rPr>
              </m:ctrlPr>
            </m:sSubPr>
            <m:e>
              <m:r>
                <m:rPr>
                  <m:sty m:val="p"/>
                </m:rPr>
                <w:rPr>
                  <w:rFonts w:ascii="Cambria Math" w:hAnsi="Cambria Math" w:cstheme="majorBidi"/>
                </w:rPr>
                <m:t>V</m:t>
              </m:r>
            </m:e>
            <m:sub>
              <m:r>
                <m:rPr>
                  <m:sty m:val="p"/>
                </m:rPr>
                <w:rPr>
                  <w:rFonts w:ascii="Cambria Math" w:hAnsi="Cambria Math" w:cstheme="majorBidi"/>
                </w:rPr>
                <m:t>0</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Q</m:t>
                  </m:r>
                </m:e>
                <m:sub>
                  <m:r>
                    <m:rPr>
                      <m:sty m:val="p"/>
                    </m:rPr>
                    <w:rPr>
                      <w:rFonts w:ascii="Cambria Math" w:hAnsi="Cambria Math" w:cstheme="majorBidi"/>
                    </w:rPr>
                    <m:t>s</m:t>
                  </m:r>
                </m:sub>
              </m:sSub>
            </m:num>
            <m:den>
              <m:r>
                <m:rPr>
                  <m:sty m:val="p"/>
                </m:rPr>
                <w:rPr>
                  <w:rFonts w:ascii="Cambria Math" w:hAnsi="Cambria Math" w:cstheme="majorBidi"/>
                </w:rPr>
                <m:t>n</m:t>
              </m:r>
            </m:den>
          </m:f>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T</m:t>
                  </m:r>
                </m:e>
                <m:sub>
                  <m:r>
                    <m:rPr>
                      <m:sty m:val="p"/>
                    </m:rPr>
                    <w:rPr>
                      <w:rFonts w:ascii="Cambria Math" w:hAnsi="Cambria Math" w:cstheme="majorBidi"/>
                    </w:rPr>
                    <m:t>p</m:t>
                  </m:r>
                </m:sub>
              </m:sSub>
            </m:num>
            <m:den>
              <m:r>
                <m:rPr>
                  <m:sty m:val="p"/>
                </m:rPr>
                <w:rPr>
                  <w:rFonts w:ascii="Cambria Math" w:hAnsi="Cambria Math" w:cstheme="majorBidi"/>
                </w:rPr>
                <m:t>273,15 K</m:t>
              </m:r>
            </m:den>
          </m:f>
          <m:r>
            <m:rPr>
              <m:sty m:val="p"/>
            </m:rPr>
            <w:rPr>
              <w:rFonts w:ascii="Cambria Math" w:hAnsi="Cambria Math" w:cstheme="majorBidi"/>
            </w:rPr>
            <m:t>×</m:t>
          </m:r>
          <m:f>
            <m:fPr>
              <m:ctrlPr>
                <w:rPr>
                  <w:rFonts w:ascii="Cambria Math" w:hAnsi="Cambria Math" w:cstheme="majorBidi"/>
                </w:rPr>
              </m:ctrlPr>
            </m:fPr>
            <m:num>
              <m:r>
                <m:rPr>
                  <m:sty m:val="p"/>
                </m:rPr>
                <w:rPr>
                  <w:rFonts w:ascii="Cambria Math" w:hAnsi="Cambria Math" w:cstheme="majorBidi"/>
                </w:rPr>
                <m:t>101,325 кPа</m:t>
              </m:r>
            </m:num>
            <m:den>
              <m:sSub>
                <m:sSubPr>
                  <m:ctrlPr>
                    <w:rPr>
                      <w:rFonts w:ascii="Cambria Math" w:hAnsi="Cambria Math" w:cstheme="majorBidi"/>
                    </w:rPr>
                  </m:ctrlPr>
                </m:sSubPr>
                <m:e>
                  <m:r>
                    <m:rPr>
                      <m:sty m:val="p"/>
                    </m:rPr>
                    <w:rPr>
                      <w:rFonts w:ascii="Cambria Math" w:hAnsi="Cambria Math" w:cstheme="majorBidi"/>
                    </w:rPr>
                    <m:t>P</m:t>
                  </m:r>
                </m:e>
                <m:sub>
                  <m:r>
                    <m:rPr>
                      <m:sty m:val="p"/>
                    </m:rPr>
                    <w:rPr>
                      <w:rFonts w:ascii="Cambria Math" w:hAnsi="Cambria Math" w:cstheme="majorBidi"/>
                    </w:rPr>
                    <m:t>p</m:t>
                  </m:r>
                </m:sub>
              </m:sSub>
            </m:den>
          </m:f>
        </m:oMath>
      </m:oMathPara>
    </w:p>
    <w:p w:rsidR="00E24DB7" w:rsidRPr="002C5876" w:rsidRDefault="00E24DB7" w:rsidP="00E24DB7">
      <w:pPr>
        <w:pStyle w:val="SingleTxtG"/>
        <w:keepNext/>
        <w:ind w:left="2268"/>
        <w:jc w:val="left"/>
      </w:pPr>
      <w:r w:rsidRPr="002C5876">
        <w:t>où :</w:t>
      </w:r>
    </w:p>
    <w:p w:rsidR="00E24DB7" w:rsidRPr="002C5876" w:rsidRDefault="00E24DB7" w:rsidP="00E24DB7">
      <w:pPr>
        <w:pStyle w:val="SingleTxtG"/>
        <w:ind w:left="3402" w:hanging="1134"/>
        <w:jc w:val="left"/>
      </w:pPr>
      <w:r w:rsidRPr="002C5876">
        <w:t>V</w:t>
      </w:r>
      <w:r w:rsidRPr="002C5876">
        <w:rPr>
          <w:vertAlign w:val="subscript"/>
        </w:rPr>
        <w:t>0</w:t>
      </w:r>
      <w:r w:rsidRPr="002C5876">
        <w:tab/>
        <w:t>est le débit de la pompe à T</w:t>
      </w:r>
      <w:r w:rsidRPr="002C5876">
        <w:rPr>
          <w:vertAlign w:val="subscript"/>
        </w:rPr>
        <w:t>p</w:t>
      </w:r>
      <w:r w:rsidRPr="002C5876">
        <w:t xml:space="preserve"> et P</w:t>
      </w:r>
      <w:r w:rsidRPr="002C5876">
        <w:rPr>
          <w:vertAlign w:val="subscript"/>
        </w:rPr>
        <w:t>p</w:t>
      </w:r>
      <w:r w:rsidRPr="002C5876">
        <w:t>, en m</w:t>
      </w:r>
      <w:r w:rsidRPr="002C5876">
        <w:rPr>
          <w:vertAlign w:val="superscript"/>
        </w:rPr>
        <w:t>3</w:t>
      </w:r>
      <w:r w:rsidRPr="002C5876">
        <w:t xml:space="preserve">/tr ; </w:t>
      </w:r>
    </w:p>
    <w:p w:rsidR="00E24DB7" w:rsidRPr="002C5876" w:rsidRDefault="00E24DB7" w:rsidP="00E24DB7">
      <w:pPr>
        <w:pStyle w:val="SingleTxtG"/>
        <w:ind w:left="3402" w:hanging="1134"/>
        <w:jc w:val="left"/>
      </w:pPr>
      <w:r w:rsidRPr="002C5876">
        <w:t>Q</w:t>
      </w:r>
      <w:r w:rsidRPr="002C5876">
        <w:rPr>
          <w:vertAlign w:val="subscript"/>
        </w:rPr>
        <w:t>s</w:t>
      </w:r>
      <w:r w:rsidRPr="002C5876">
        <w:tab/>
        <w:t xml:space="preserve">est le débit d’air à 101,325 kPa et 273,15 K </w:t>
      </w:r>
      <w:r w:rsidRPr="002C5876">
        <w:rPr>
          <w:szCs w:val="24"/>
        </w:rPr>
        <w:t>(0 °C)</w:t>
      </w:r>
      <w:r w:rsidRPr="002C5876">
        <w:t>, en m</w:t>
      </w:r>
      <w:r w:rsidRPr="002C5876">
        <w:rPr>
          <w:vertAlign w:val="superscript"/>
        </w:rPr>
        <w:t>3</w:t>
      </w:r>
      <w:r w:rsidRPr="002C5876">
        <w:t>/min ;</w:t>
      </w:r>
    </w:p>
    <w:p w:rsidR="00E24DB7" w:rsidRPr="002C5876" w:rsidRDefault="00E24DB7" w:rsidP="00E24DB7">
      <w:pPr>
        <w:pStyle w:val="SingleTxtG"/>
        <w:ind w:left="3402" w:hanging="1134"/>
        <w:jc w:val="left"/>
      </w:pPr>
      <w:r w:rsidRPr="002C5876">
        <w:t>T</w:t>
      </w:r>
      <w:r w:rsidRPr="002C5876">
        <w:rPr>
          <w:vertAlign w:val="subscript"/>
        </w:rPr>
        <w:t>p</w:t>
      </w:r>
      <w:r w:rsidRPr="002C5876">
        <w:tab/>
        <w:t>est la température à l’entrée de la pompe, en K ;</w:t>
      </w:r>
    </w:p>
    <w:p w:rsidR="00E24DB7" w:rsidRPr="002C5876" w:rsidRDefault="00E24DB7" w:rsidP="00E24DB7">
      <w:pPr>
        <w:pStyle w:val="SingleTxtG"/>
        <w:ind w:left="3402" w:hanging="1134"/>
        <w:jc w:val="left"/>
      </w:pPr>
      <w:r w:rsidRPr="002C5876">
        <w:t>P</w:t>
      </w:r>
      <w:r w:rsidRPr="002C5876">
        <w:rPr>
          <w:vertAlign w:val="subscript"/>
        </w:rPr>
        <w:t>p</w:t>
      </w:r>
      <w:r w:rsidRPr="002C5876">
        <w:tab/>
        <w:t>est la pression absolue à l’entrée de la pompe, en kPa ;</w:t>
      </w:r>
    </w:p>
    <w:p w:rsidR="00E24DB7" w:rsidRPr="002C5876" w:rsidRDefault="00E24DB7" w:rsidP="00E24DB7">
      <w:pPr>
        <w:pStyle w:val="SingleTxtG"/>
        <w:ind w:left="3402" w:hanging="1134"/>
        <w:jc w:val="left"/>
      </w:pPr>
      <w:r w:rsidRPr="002C5876">
        <w:t>n</w:t>
      </w:r>
      <w:r w:rsidRPr="002C5876">
        <w:tab/>
        <w:t>est la vitesse de rotation de la pompe, en min</w:t>
      </w:r>
      <w:r w:rsidRPr="002C5876">
        <w:rPr>
          <w:vertAlign w:val="superscript"/>
        </w:rPr>
        <w:t>–1</w:t>
      </w:r>
      <w:r w:rsidRPr="002C5876">
        <w:t xml:space="preserve">. </w:t>
      </w:r>
    </w:p>
    <w:p w:rsidR="00E24DB7" w:rsidRPr="002C5876" w:rsidRDefault="00E24DB7" w:rsidP="00E24DB7">
      <w:pPr>
        <w:pStyle w:val="SingleTxtG"/>
        <w:ind w:left="2268" w:hanging="1134"/>
      </w:pPr>
      <w:r w:rsidRPr="002C5876">
        <w:t>3.4.2.5.4</w:t>
      </w:r>
      <w:r w:rsidRPr="002C5876">
        <w:tab/>
        <w:t>Pour compenser l’interaction de la vitesse de rotation de la pompe, des variations de pression de celle-ci et du taux de glissement de la pompe, la fonction de corrélation x</w:t>
      </w:r>
      <w:r w:rsidRPr="002C5876">
        <w:rPr>
          <w:vertAlign w:val="subscript"/>
        </w:rPr>
        <w:t>0</w:t>
      </w:r>
      <w:r w:rsidRPr="002C5876">
        <w:t xml:space="preserve"> entre la vitesse de la pompe n, l’écart de pression entre l’entrée et la sortie de la pompe et la pression absolue à la sortie de la pompe est calculée par la formule suivante :</w:t>
      </w:r>
    </w:p>
    <w:p w:rsidR="00E24DB7" w:rsidRPr="002C5876" w:rsidRDefault="00E24DB7" w:rsidP="00E24DB7">
      <w:pPr>
        <w:pStyle w:val="SingleTxtG"/>
        <w:spacing w:after="240"/>
        <w:ind w:left="2268"/>
        <w:jc w:val="center"/>
        <w:rPr>
          <w:lang w:eastAsia="ru-RU"/>
        </w:rPr>
      </w:pPr>
      <w:r w:rsidRPr="002C5876">
        <w:rPr>
          <w:noProof/>
          <w:position w:val="-28"/>
          <w:lang w:val="en-GB" w:eastAsia="zh-CN"/>
        </w:rPr>
        <w:drawing>
          <wp:inline distT="0" distB="0" distL="0" distR="0" wp14:anchorId="49F34B73" wp14:editId="15A24F86">
            <wp:extent cx="781050" cy="419100"/>
            <wp:effectExtent l="0" t="0" r="0" b="0"/>
            <wp:docPr id="355"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81050" cy="419100"/>
                    </a:xfrm>
                    <a:prstGeom prst="rect">
                      <a:avLst/>
                    </a:prstGeom>
                    <a:noFill/>
                    <a:ln>
                      <a:noFill/>
                    </a:ln>
                  </pic:spPr>
                </pic:pic>
              </a:graphicData>
            </a:graphic>
          </wp:inline>
        </w:drawing>
      </w:r>
    </w:p>
    <w:p w:rsidR="00E24DB7" w:rsidRPr="002C5876" w:rsidRDefault="00E24DB7" w:rsidP="00E24DB7">
      <w:pPr>
        <w:pStyle w:val="SingleTxtG"/>
        <w:keepNext/>
        <w:ind w:left="2268"/>
        <w:jc w:val="left"/>
      </w:pPr>
      <w:r w:rsidRPr="002C5876">
        <w:t>où :</w:t>
      </w:r>
    </w:p>
    <w:p w:rsidR="00E24DB7" w:rsidRPr="002C5876" w:rsidRDefault="00E24DB7" w:rsidP="00E24DB7">
      <w:pPr>
        <w:pStyle w:val="SingleTxtG"/>
        <w:ind w:left="3402" w:hanging="1134"/>
        <w:jc w:val="left"/>
      </w:pPr>
      <w:r w:rsidRPr="002C5876">
        <w:t>x</w:t>
      </w:r>
      <w:r w:rsidRPr="002C5876">
        <w:rPr>
          <w:vertAlign w:val="subscript"/>
        </w:rPr>
        <w:t>0</w:t>
      </w:r>
      <w:r w:rsidRPr="002C5876">
        <w:tab/>
        <w:t>est la fonction de corrélation ;</w:t>
      </w:r>
    </w:p>
    <w:p w:rsidR="00E24DB7" w:rsidRPr="002C5876" w:rsidRDefault="00E24DB7" w:rsidP="00E24DB7">
      <w:pPr>
        <w:pStyle w:val="SingleTxtG"/>
        <w:ind w:left="3402" w:hanging="1134"/>
        <w:jc w:val="left"/>
      </w:pPr>
      <w:r w:rsidRPr="002C5876">
        <w:t>∆P</w:t>
      </w:r>
      <w:r w:rsidRPr="002C5876">
        <w:rPr>
          <w:vertAlign w:val="subscript"/>
        </w:rPr>
        <w:t>p</w:t>
      </w:r>
      <w:r w:rsidRPr="002C5876">
        <w:tab/>
        <w:t>est l’écart de pression entre l’entrée et la sortie de la pompe, en kPa ;</w:t>
      </w:r>
    </w:p>
    <w:p w:rsidR="00E24DB7" w:rsidRPr="002C5876" w:rsidRDefault="00E24DB7" w:rsidP="00E24DB7">
      <w:pPr>
        <w:pStyle w:val="SingleTxtG"/>
        <w:ind w:left="3402" w:hanging="1134"/>
        <w:jc w:val="left"/>
      </w:pPr>
      <w:r w:rsidRPr="002C5876">
        <w:t>P</w:t>
      </w:r>
      <w:r w:rsidRPr="002C5876">
        <w:rPr>
          <w:vertAlign w:val="subscript"/>
        </w:rPr>
        <w:t>e</w:t>
      </w:r>
      <w:r w:rsidRPr="002C5876">
        <w:tab/>
        <w:t>est la pression absolue à la sortie de la pompe (PPO + P</w:t>
      </w:r>
      <w:r w:rsidRPr="002C5876">
        <w:rPr>
          <w:vertAlign w:val="subscript"/>
        </w:rPr>
        <w:t>b</w:t>
      </w:r>
      <w:r w:rsidRPr="002C5876">
        <w:t>), en kPa.</w:t>
      </w:r>
    </w:p>
    <w:p w:rsidR="00E24DB7" w:rsidRPr="002C5876" w:rsidRDefault="00E24DB7" w:rsidP="00E24DB7">
      <w:pPr>
        <w:pStyle w:val="SingleTxtG"/>
        <w:spacing w:after="240"/>
        <w:ind w:left="2268" w:hanging="1134"/>
        <w:jc w:val="left"/>
      </w:pPr>
      <w:r w:rsidRPr="002C5876">
        <w:tab/>
        <w:t>On exécute un ajustement linéaire par la méthode des moindres carrés pour obtenir les équations d’étalonnage qui ont pour formule :</w:t>
      </w:r>
    </w:p>
    <w:p w:rsidR="00E24DB7" w:rsidRPr="002C5876" w:rsidRDefault="00731CA6" w:rsidP="00E24DB7">
      <w:pPr>
        <w:pStyle w:val="SingleTxtG"/>
        <w:spacing w:after="240"/>
        <w:ind w:left="2268" w:hanging="1134"/>
        <w:jc w:val="center"/>
        <w:rPr>
          <w:rFonts w:eastAsiaTheme="minorEastAsia"/>
          <w:iCs/>
        </w:rPr>
      </w:pPr>
      <m:oMathPara>
        <m:oMathParaPr>
          <m:jc m:val="center"/>
        </m:oMathParaPr>
        <m:oMath>
          <m:sSub>
            <m:sSubPr>
              <m:ctrlPr>
                <w:rPr>
                  <w:rFonts w:ascii="Cambria Math" w:hAnsi="Cambria Math" w:cstheme="majorBidi"/>
                  <w:iCs/>
                </w:rPr>
              </m:ctrlPr>
            </m:sSubPr>
            <m:e>
              <m:r>
                <m:rPr>
                  <m:sty m:val="p"/>
                </m:rPr>
                <w:rPr>
                  <w:rFonts w:ascii="Cambria Math" w:hAnsi="Cambria Math" w:cstheme="majorBidi"/>
                </w:rPr>
                <m:t>V</m:t>
              </m:r>
            </m:e>
            <m:sub>
              <m:r>
                <m:rPr>
                  <m:sty m:val="p"/>
                </m:rPr>
                <w:rPr>
                  <w:rFonts w:ascii="Cambria Math" w:hAnsi="Cambria Math" w:cstheme="majorBidi"/>
                </w:rPr>
                <m:t>0</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D</m:t>
              </m:r>
            </m:e>
            <m:sub>
              <m:r>
                <m:rPr>
                  <m:sty m:val="p"/>
                </m:rPr>
                <w:rPr>
                  <w:rFonts w:ascii="Cambria Math" w:hAnsi="Cambria Math" w:cstheme="majorBidi"/>
                </w:rPr>
                <m:t>0</m:t>
              </m:r>
            </m:sub>
          </m:sSub>
          <m:r>
            <m:rPr>
              <m:sty m:val="p"/>
            </m:rPr>
            <w:rPr>
              <w:rFonts w:ascii="Cambria Math" w:hAnsi="Cambria Math" w:cstheme="majorBidi"/>
            </w:rPr>
            <m:t>-M×</m:t>
          </m:r>
          <m:sSub>
            <m:sSubPr>
              <m:ctrlPr>
                <w:rPr>
                  <w:rFonts w:ascii="Cambria Math" w:hAnsi="Cambria Math" w:cstheme="majorBidi"/>
                  <w:iCs/>
                </w:rPr>
              </m:ctrlPr>
            </m:sSubPr>
            <m:e>
              <m:r>
                <m:rPr>
                  <m:sty m:val="p"/>
                </m:rPr>
                <w:rPr>
                  <w:rFonts w:ascii="Cambria Math" w:hAnsi="Cambria Math" w:cstheme="majorBidi"/>
                </w:rPr>
                <m:t>x</m:t>
              </m:r>
            </m:e>
            <m:sub>
              <m:r>
                <m:rPr>
                  <m:sty m:val="p"/>
                </m:rPr>
                <w:rPr>
                  <w:rFonts w:ascii="Cambria Math" w:hAnsi="Cambria Math" w:cstheme="majorBidi"/>
                </w:rPr>
                <m:t>0</m:t>
              </m:r>
            </m:sub>
          </m:sSub>
        </m:oMath>
      </m:oMathPara>
    </w:p>
    <w:p w:rsidR="00E24DB7" w:rsidRPr="002C5876" w:rsidRDefault="00E24DB7" w:rsidP="00E24DB7">
      <w:pPr>
        <w:pStyle w:val="SingleTxtG"/>
        <w:spacing w:after="240"/>
        <w:ind w:left="2268" w:hanging="1134"/>
        <w:jc w:val="center"/>
        <w:rPr>
          <w:rFonts w:eastAsiaTheme="minorEastAsia"/>
        </w:rPr>
      </w:pPr>
      <m:oMathPara>
        <m:oMathParaPr>
          <m:jc m:val="center"/>
        </m:oMathParaPr>
        <m:oMath>
          <m:r>
            <m:rPr>
              <m:sty m:val="p"/>
            </m:rPr>
            <w:rPr>
              <w:rFonts w:ascii="Cambria Math" w:hAnsi="Cambria Math" w:cstheme="majorBidi"/>
            </w:rPr>
            <m:t>n=A-B ×∆</m:t>
          </m:r>
          <m:sSub>
            <m:sSubPr>
              <m:ctrlPr>
                <w:rPr>
                  <w:rFonts w:ascii="Cambria Math" w:hAnsi="Cambria Math" w:cstheme="majorBidi"/>
                </w:rPr>
              </m:ctrlPr>
            </m:sSubPr>
            <m:e>
              <m:r>
                <m:rPr>
                  <m:sty m:val="p"/>
                </m:rPr>
                <w:rPr>
                  <w:rFonts w:ascii="Cambria Math" w:hAnsi="Cambria Math" w:cstheme="majorBidi"/>
                </w:rPr>
                <m:t>P</m:t>
              </m:r>
            </m:e>
            <m:sub>
              <m:r>
                <m:rPr>
                  <m:sty m:val="p"/>
                </m:rPr>
                <w:rPr>
                  <w:rFonts w:ascii="Cambria Math" w:hAnsi="Cambria Math" w:cstheme="majorBidi"/>
                </w:rPr>
                <m:t>p</m:t>
              </m:r>
            </m:sub>
          </m:sSub>
        </m:oMath>
      </m:oMathPara>
    </w:p>
    <w:p w:rsidR="00E24DB7" w:rsidRPr="002C5876" w:rsidRDefault="00E24DB7" w:rsidP="00E24DB7">
      <w:pPr>
        <w:pStyle w:val="SingleTxtG"/>
        <w:ind w:left="2268"/>
      </w:pPr>
      <w:r w:rsidRPr="002C5876">
        <w:t>où B et M sont les constantes de pente, tandis que A et D</w:t>
      </w:r>
      <w:r w:rsidRPr="002C5876">
        <w:rPr>
          <w:vertAlign w:val="subscript"/>
        </w:rPr>
        <w:t xml:space="preserve">0 </w:t>
      </w:r>
      <w:r w:rsidRPr="002C5876">
        <w:t>sont les ordonnées à l’origine.</w:t>
      </w:r>
    </w:p>
    <w:p w:rsidR="00E24DB7" w:rsidRPr="002C5876" w:rsidRDefault="00E24DB7" w:rsidP="00E24DB7">
      <w:pPr>
        <w:pStyle w:val="SingleTxtG"/>
        <w:ind w:left="2268" w:hanging="1134"/>
      </w:pPr>
      <w:r w:rsidRPr="002C5876">
        <w:t>3.4.2.6</w:t>
      </w:r>
      <w:r w:rsidRPr="002C5876">
        <w:tab/>
        <w:t>Si le système de prélèvement est doté de plusieurs vitesses de fonctionnement, un étalonnage doit être exécuté pour chaque vitesse utilisée. Les courbes d’étalonnage obtenues pour ces vitesses doivent être sensiblement parallèles et les valeurs d’ordonnée à l’origine D</w:t>
      </w:r>
      <w:r w:rsidRPr="002C5876">
        <w:rPr>
          <w:vertAlign w:val="subscript"/>
        </w:rPr>
        <w:t>0</w:t>
      </w:r>
      <w:r w:rsidRPr="002C5876">
        <w:t xml:space="preserve"> doivent croître à mesure que la plage de débit de la pompe décroît.</w:t>
      </w:r>
    </w:p>
    <w:p w:rsidR="00E24DB7" w:rsidRPr="002C5876" w:rsidRDefault="00E24DB7" w:rsidP="00E24DB7">
      <w:pPr>
        <w:pStyle w:val="SingleTxtG"/>
        <w:ind w:left="2268" w:hanging="1134"/>
      </w:pPr>
      <w:r w:rsidRPr="002C5876">
        <w:t>3.4.2.7</w:t>
      </w:r>
      <w:r w:rsidRPr="002C5876">
        <w:tab/>
        <w:t xml:space="preserve">Les valeurs calculées au moyen de l’équation doivent se situer à </w:t>
      </w:r>
      <w:r w:rsidRPr="002C5876">
        <w:sym w:font="Symbol" w:char="F0B1"/>
      </w:r>
      <w:r w:rsidRPr="002C5876">
        <w:t>0,5 % de la valeur mesurée de V</w:t>
      </w:r>
      <w:r w:rsidRPr="002C5876">
        <w:rPr>
          <w:vertAlign w:val="subscript"/>
        </w:rPr>
        <w:t>0</w:t>
      </w:r>
      <w:r w:rsidRPr="002C5876">
        <w:t xml:space="preserve">. Les valeurs de M peuvent varier d’une pompe à l’autre. L’étalonnage doit être exécuté lors de l’installation initiale et après toute opération d’entretien importante. </w:t>
      </w:r>
    </w:p>
    <w:p w:rsidR="00E24DB7" w:rsidRPr="002C5876" w:rsidRDefault="00E24DB7" w:rsidP="00E24DB7">
      <w:pPr>
        <w:pStyle w:val="SingleTxtG"/>
        <w:keepNext/>
        <w:ind w:left="2268" w:hanging="1134"/>
        <w:jc w:val="left"/>
      </w:pPr>
      <w:r w:rsidRPr="002C5876">
        <w:lastRenderedPageBreak/>
        <w:t>3.4.3</w:t>
      </w:r>
      <w:r w:rsidRPr="002C5876">
        <w:tab/>
        <w:t>Étalonnage d’un venturi-tuyère en régime critique (CFV)</w:t>
      </w:r>
    </w:p>
    <w:p w:rsidR="00E24DB7" w:rsidRPr="002C5876" w:rsidRDefault="00E24DB7" w:rsidP="00E24DB7">
      <w:pPr>
        <w:pStyle w:val="SingleTxtG"/>
        <w:keepNext/>
        <w:keepLines/>
        <w:spacing w:after="240"/>
        <w:ind w:left="2268" w:hanging="1134"/>
        <w:jc w:val="left"/>
      </w:pPr>
      <w:r w:rsidRPr="002C5876">
        <w:t>3.4.3.1</w:t>
      </w:r>
      <w:r w:rsidRPr="002C5876">
        <w:tab/>
        <w:t>L’étalonnage d’un venturi</w:t>
      </w:r>
      <w:r w:rsidRPr="002C5876">
        <w:noBreakHyphen/>
        <w:t>tuyère en régime critique est fondé sur l’équation de débit suivante :</w:t>
      </w:r>
    </w:p>
    <w:p w:rsidR="00E24DB7" w:rsidRPr="002C5876" w:rsidRDefault="00731CA6" w:rsidP="00E24DB7">
      <w:pPr>
        <w:pStyle w:val="SingleTxtG"/>
        <w:keepNext/>
        <w:keepLines/>
        <w:spacing w:after="240"/>
        <w:jc w:val="center"/>
        <w:rPr>
          <w:rFonts w:eastAsiaTheme="minorEastAsia"/>
        </w:rPr>
      </w:pPr>
      <m:oMathPara>
        <m:oMathParaPr>
          <m:jc m:val="center"/>
        </m:oMathParaPr>
        <m:oMath>
          <m:sSub>
            <m:sSubPr>
              <m:ctrlPr>
                <w:rPr>
                  <w:rFonts w:ascii="Cambria Math" w:hAnsi="Cambria Math" w:cstheme="majorBidi"/>
                </w:rPr>
              </m:ctrlPr>
            </m:sSubPr>
            <m:e>
              <m:r>
                <m:rPr>
                  <m:sty m:val="p"/>
                </m:rPr>
                <w:rPr>
                  <w:rFonts w:ascii="Cambria Math" w:hAnsi="Cambria Math" w:cstheme="majorBidi"/>
                </w:rPr>
                <m:t>Q</m:t>
              </m:r>
            </m:e>
            <m:sub>
              <m:r>
                <m:rPr>
                  <m:sty m:val="p"/>
                </m:rPr>
                <w:rPr>
                  <w:rFonts w:ascii="Cambria Math" w:hAnsi="Cambria Math" w:cstheme="majorBidi"/>
                </w:rPr>
                <m:t>s</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v</m:t>
                  </m:r>
                </m:sub>
              </m:sSub>
              <m:r>
                <m:rPr>
                  <m:sty m:val="p"/>
                </m:rPr>
                <w:rPr>
                  <w:rFonts w:ascii="Cambria Math" w:hAnsi="Cambria Math" w:cstheme="majorBidi"/>
                </w:rPr>
                <m:t>P</m:t>
              </m:r>
            </m:num>
            <m:den>
              <m:rad>
                <m:radPr>
                  <m:degHide m:val="1"/>
                  <m:ctrlPr>
                    <w:rPr>
                      <w:rFonts w:ascii="Cambria Math" w:hAnsi="Cambria Math" w:cstheme="majorBidi"/>
                    </w:rPr>
                  </m:ctrlPr>
                </m:radPr>
                <m:deg/>
                <m:e>
                  <m:r>
                    <m:rPr>
                      <m:sty m:val="p"/>
                    </m:rPr>
                    <w:rPr>
                      <w:rFonts w:ascii="Cambria Math" w:hAnsi="Cambria Math" w:cstheme="majorBidi"/>
                    </w:rPr>
                    <m:t>T</m:t>
                  </m:r>
                </m:e>
              </m:rad>
            </m:den>
          </m:f>
        </m:oMath>
      </m:oMathPara>
    </w:p>
    <w:p w:rsidR="00E24DB7" w:rsidRPr="002C5876" w:rsidRDefault="00E24DB7" w:rsidP="00E24DB7">
      <w:pPr>
        <w:pStyle w:val="SingleTxtG"/>
        <w:keepNext/>
        <w:ind w:left="2268"/>
        <w:jc w:val="left"/>
      </w:pPr>
      <w:r w:rsidRPr="002C5876">
        <w:t>où :</w:t>
      </w:r>
    </w:p>
    <w:p w:rsidR="00E24DB7" w:rsidRPr="002C5876" w:rsidRDefault="00E24DB7" w:rsidP="00E24DB7">
      <w:pPr>
        <w:pStyle w:val="SingleTxtG"/>
        <w:ind w:left="3402" w:hanging="1134"/>
        <w:jc w:val="left"/>
      </w:pPr>
      <w:r w:rsidRPr="002C5876">
        <w:t>Q</w:t>
      </w:r>
      <w:r w:rsidRPr="002C5876">
        <w:rPr>
          <w:vertAlign w:val="subscript"/>
        </w:rPr>
        <w:t>s</w:t>
      </w:r>
      <w:r w:rsidRPr="002C5876">
        <w:tab/>
        <w:t>est le débit, en m³/min ;</w:t>
      </w:r>
    </w:p>
    <w:p w:rsidR="00E24DB7" w:rsidRPr="002C5876" w:rsidRDefault="00E24DB7" w:rsidP="00E24DB7">
      <w:pPr>
        <w:pStyle w:val="SingleTxtG"/>
        <w:ind w:left="3402" w:hanging="1134"/>
        <w:jc w:val="left"/>
      </w:pPr>
      <w:r w:rsidRPr="002C5876">
        <w:t>K</w:t>
      </w:r>
      <w:r w:rsidRPr="002C5876">
        <w:rPr>
          <w:vertAlign w:val="subscript"/>
        </w:rPr>
        <w:t>v</w:t>
      </w:r>
      <w:r w:rsidRPr="002C5876">
        <w:tab/>
        <w:t>est le coefficient d’étalonnage ;</w:t>
      </w:r>
    </w:p>
    <w:p w:rsidR="00E24DB7" w:rsidRPr="002C5876" w:rsidRDefault="00E24DB7" w:rsidP="00E24DB7">
      <w:pPr>
        <w:pStyle w:val="SingleTxtG"/>
        <w:ind w:left="3402" w:hanging="1134"/>
        <w:jc w:val="left"/>
      </w:pPr>
      <w:r w:rsidRPr="002C5876">
        <w:t>P</w:t>
      </w:r>
      <w:r w:rsidRPr="002C5876">
        <w:tab/>
        <w:t>est la pression absolue, en kPa ;</w:t>
      </w:r>
    </w:p>
    <w:p w:rsidR="00E24DB7" w:rsidRPr="002C5876" w:rsidRDefault="00E24DB7" w:rsidP="00E24DB7">
      <w:pPr>
        <w:pStyle w:val="SingleTxtG"/>
        <w:ind w:left="3402" w:hanging="1134"/>
        <w:jc w:val="left"/>
      </w:pPr>
      <w:r w:rsidRPr="002C5876">
        <w:t>T</w:t>
      </w:r>
      <w:r w:rsidRPr="002C5876">
        <w:tab/>
        <w:t>est la température absolue, en K.</w:t>
      </w:r>
    </w:p>
    <w:p w:rsidR="00E24DB7" w:rsidRPr="002C5876" w:rsidRDefault="00E24DB7" w:rsidP="00E24DB7">
      <w:pPr>
        <w:pStyle w:val="SingleTxtG"/>
        <w:ind w:left="2268"/>
      </w:pPr>
      <w:r w:rsidRPr="002C5876">
        <w:t>Le débit de gaz est fonction de la pression et de la température d’entrée.</w:t>
      </w:r>
    </w:p>
    <w:p w:rsidR="00E24DB7" w:rsidRPr="002C5876" w:rsidRDefault="00E24DB7" w:rsidP="00E24DB7">
      <w:pPr>
        <w:pStyle w:val="SingleTxtG"/>
        <w:ind w:left="2268"/>
      </w:pPr>
      <w:r w:rsidRPr="002C5876">
        <w:t>La procédure d’étalonnage décrite dans les paragraphes 3.4.3.2 à 3.4.3.3.3.4 de la présente annexe donne la valeur du coefficient d’étalonnage aux valeurs mesurées de pression, de température et de débit d’air.</w:t>
      </w:r>
    </w:p>
    <w:p w:rsidR="00E24DB7" w:rsidRPr="002C5876" w:rsidRDefault="00E24DB7" w:rsidP="00E24DB7">
      <w:pPr>
        <w:pStyle w:val="SingleTxtG"/>
        <w:keepNext/>
        <w:ind w:left="2268" w:hanging="1134"/>
      </w:pPr>
      <w:r w:rsidRPr="002C5876">
        <w:t>3.4.3.2</w:t>
      </w:r>
      <w:r w:rsidRPr="002C5876">
        <w:tab/>
        <w:t>Lors des mesures nécessaires pour l’étalonnage du débit du venturi</w:t>
      </w:r>
      <w:r w:rsidRPr="002C5876">
        <w:noBreakHyphen/>
        <w:t>tuyère en régime critique, les paramètres suivants doivent satisfaire aux tolérances d’exactitude ci-après.</w:t>
      </w:r>
    </w:p>
    <w:tbl>
      <w:tblPr>
        <w:tblW w:w="6237" w:type="dxa"/>
        <w:tblInd w:w="2268" w:type="dxa"/>
        <w:tblLayout w:type="fixed"/>
        <w:tblCellMar>
          <w:left w:w="0" w:type="dxa"/>
          <w:right w:w="0" w:type="dxa"/>
        </w:tblCellMar>
        <w:tblLook w:val="01E0" w:firstRow="1" w:lastRow="1" w:firstColumn="1" w:lastColumn="1" w:noHBand="0" w:noVBand="0"/>
      </w:tblPr>
      <w:tblGrid>
        <w:gridCol w:w="5160"/>
        <w:gridCol w:w="1077"/>
      </w:tblGrid>
      <w:tr w:rsidR="00E24DB7" w:rsidRPr="002C5876" w:rsidTr="00E24DB7">
        <w:tc>
          <w:tcPr>
            <w:tcW w:w="5160" w:type="dxa"/>
            <w:shd w:val="clear" w:color="auto" w:fill="auto"/>
          </w:tcPr>
          <w:p w:rsidR="00E24DB7" w:rsidRPr="002C5876" w:rsidRDefault="00E24DB7" w:rsidP="00E24DB7">
            <w:pPr>
              <w:keepNext/>
              <w:keepLines/>
              <w:spacing w:after="120"/>
              <w:ind w:right="57"/>
            </w:pPr>
            <w:r w:rsidRPr="002C5876">
              <w:t>Pression barométrique (corrigée), P</w:t>
            </w:r>
            <w:r w:rsidRPr="002C5876">
              <w:rPr>
                <w:vertAlign w:val="subscript"/>
              </w:rPr>
              <w:t>b</w:t>
            </w:r>
            <w:r w:rsidRPr="002C5876">
              <w:t> :</w:t>
            </w:r>
          </w:p>
        </w:tc>
        <w:tc>
          <w:tcPr>
            <w:tcW w:w="1077" w:type="dxa"/>
            <w:shd w:val="clear" w:color="auto" w:fill="auto"/>
          </w:tcPr>
          <w:p w:rsidR="00E24DB7" w:rsidRPr="002C5876" w:rsidRDefault="00E24DB7" w:rsidP="00E24DB7">
            <w:pPr>
              <w:keepNext/>
              <w:keepLines/>
              <w:spacing w:after="120"/>
            </w:pPr>
            <w:r w:rsidRPr="002C5876">
              <w:sym w:font="Symbol" w:char="F0B1"/>
            </w:r>
            <w:r w:rsidRPr="002C5876">
              <w:t>0,03 kPa</w:t>
            </w:r>
          </w:p>
        </w:tc>
      </w:tr>
      <w:tr w:rsidR="00E24DB7" w:rsidRPr="002C5876" w:rsidTr="00E24DB7">
        <w:tc>
          <w:tcPr>
            <w:tcW w:w="5160" w:type="dxa"/>
            <w:shd w:val="clear" w:color="auto" w:fill="auto"/>
          </w:tcPr>
          <w:p w:rsidR="00E24DB7" w:rsidRPr="002C5876" w:rsidRDefault="00E24DB7" w:rsidP="00E24DB7">
            <w:pPr>
              <w:keepNext/>
              <w:keepLines/>
              <w:spacing w:after="120"/>
              <w:ind w:right="57"/>
            </w:pPr>
            <w:r w:rsidRPr="002C5876">
              <w:t>Température de l’air à l’entrée de l’élément à flux laminaire, ETI :</w:t>
            </w:r>
          </w:p>
        </w:tc>
        <w:tc>
          <w:tcPr>
            <w:tcW w:w="1077" w:type="dxa"/>
            <w:shd w:val="clear" w:color="auto" w:fill="auto"/>
          </w:tcPr>
          <w:p w:rsidR="00E24DB7" w:rsidRPr="002C5876" w:rsidRDefault="00E24DB7" w:rsidP="00E24DB7">
            <w:pPr>
              <w:keepNext/>
              <w:keepLines/>
              <w:spacing w:after="120"/>
            </w:pPr>
            <w:r w:rsidRPr="002C5876">
              <w:sym w:font="Symbol" w:char="F0B1"/>
            </w:r>
            <w:r w:rsidRPr="002C5876">
              <w:t>0,15 K</w:t>
            </w:r>
          </w:p>
        </w:tc>
      </w:tr>
      <w:tr w:rsidR="00E24DB7" w:rsidRPr="002C5876" w:rsidTr="00E24DB7">
        <w:tc>
          <w:tcPr>
            <w:tcW w:w="5160" w:type="dxa"/>
            <w:shd w:val="clear" w:color="auto" w:fill="auto"/>
          </w:tcPr>
          <w:p w:rsidR="00E24DB7" w:rsidRPr="002C5876" w:rsidRDefault="00E24DB7" w:rsidP="00E24DB7">
            <w:pPr>
              <w:keepNext/>
              <w:keepLines/>
              <w:spacing w:after="120"/>
              <w:ind w:right="57"/>
            </w:pPr>
            <w:r w:rsidRPr="002C5876">
              <w:t>Dépression en amont de l’élément à flux laminaire, EPI :</w:t>
            </w:r>
          </w:p>
        </w:tc>
        <w:tc>
          <w:tcPr>
            <w:tcW w:w="1077" w:type="dxa"/>
            <w:shd w:val="clear" w:color="auto" w:fill="auto"/>
          </w:tcPr>
          <w:p w:rsidR="00E24DB7" w:rsidRPr="002C5876" w:rsidRDefault="00E24DB7" w:rsidP="00E24DB7">
            <w:pPr>
              <w:keepNext/>
              <w:keepLines/>
              <w:spacing w:after="120"/>
            </w:pPr>
            <w:r w:rsidRPr="002C5876">
              <w:sym w:font="Symbol" w:char="F0B1"/>
            </w:r>
            <w:r w:rsidRPr="002C5876">
              <w:t>0,01 kPa</w:t>
            </w:r>
          </w:p>
        </w:tc>
      </w:tr>
      <w:tr w:rsidR="00E24DB7" w:rsidRPr="002C5876" w:rsidTr="00E24DB7">
        <w:tc>
          <w:tcPr>
            <w:tcW w:w="5160" w:type="dxa"/>
            <w:shd w:val="clear" w:color="auto" w:fill="auto"/>
          </w:tcPr>
          <w:p w:rsidR="00E24DB7" w:rsidRPr="002C5876" w:rsidRDefault="00E24DB7" w:rsidP="00E24DB7">
            <w:pPr>
              <w:keepNext/>
              <w:keepLines/>
              <w:spacing w:after="120"/>
              <w:ind w:right="57"/>
            </w:pPr>
            <w:r w:rsidRPr="002C5876">
              <w:t>Chute de pression à travers la matrice de l’élément à flux laminaire, EDP :</w:t>
            </w:r>
          </w:p>
        </w:tc>
        <w:tc>
          <w:tcPr>
            <w:tcW w:w="1077" w:type="dxa"/>
            <w:shd w:val="clear" w:color="auto" w:fill="auto"/>
          </w:tcPr>
          <w:p w:rsidR="00E24DB7" w:rsidRPr="002C5876" w:rsidRDefault="00E24DB7" w:rsidP="00E24DB7">
            <w:pPr>
              <w:keepNext/>
              <w:keepLines/>
              <w:spacing w:after="120"/>
            </w:pPr>
            <w:r w:rsidRPr="002C5876">
              <w:sym w:font="Symbol" w:char="F0B1"/>
            </w:r>
            <w:r w:rsidRPr="002C5876">
              <w:t>0,0015 kPa</w:t>
            </w:r>
          </w:p>
        </w:tc>
      </w:tr>
      <w:tr w:rsidR="00E24DB7" w:rsidRPr="002C5876" w:rsidTr="00E24DB7">
        <w:tc>
          <w:tcPr>
            <w:tcW w:w="5160" w:type="dxa"/>
            <w:shd w:val="clear" w:color="auto" w:fill="auto"/>
          </w:tcPr>
          <w:p w:rsidR="00E24DB7" w:rsidRPr="002C5876" w:rsidRDefault="00E24DB7" w:rsidP="00E24DB7">
            <w:pPr>
              <w:keepNext/>
              <w:keepLines/>
              <w:spacing w:after="120"/>
              <w:ind w:right="57"/>
            </w:pPr>
            <w:r w:rsidRPr="002C5876">
              <w:t>Débit d’air, Q</w:t>
            </w:r>
            <w:r w:rsidRPr="002C5876">
              <w:rPr>
                <w:vertAlign w:val="subscript"/>
              </w:rPr>
              <w:t>s</w:t>
            </w:r>
            <w:r w:rsidRPr="002C5876">
              <w:t> :</w:t>
            </w:r>
          </w:p>
        </w:tc>
        <w:tc>
          <w:tcPr>
            <w:tcW w:w="1077" w:type="dxa"/>
            <w:shd w:val="clear" w:color="auto" w:fill="auto"/>
          </w:tcPr>
          <w:p w:rsidR="00E24DB7" w:rsidRPr="002C5876" w:rsidRDefault="00E24DB7" w:rsidP="00E24DB7">
            <w:pPr>
              <w:keepNext/>
              <w:keepLines/>
              <w:spacing w:after="120"/>
            </w:pPr>
            <w:r w:rsidRPr="002C5876">
              <w:sym w:font="Symbol" w:char="F0B1"/>
            </w:r>
            <w:r w:rsidRPr="002C5876">
              <w:t>0,5 %</w:t>
            </w:r>
          </w:p>
        </w:tc>
      </w:tr>
      <w:tr w:rsidR="00E24DB7" w:rsidRPr="002C5876" w:rsidTr="00E24DB7">
        <w:tc>
          <w:tcPr>
            <w:tcW w:w="5160" w:type="dxa"/>
            <w:shd w:val="clear" w:color="auto" w:fill="auto"/>
          </w:tcPr>
          <w:p w:rsidR="00E24DB7" w:rsidRPr="002C5876" w:rsidRDefault="00E24DB7" w:rsidP="00E24DB7">
            <w:pPr>
              <w:keepNext/>
              <w:keepLines/>
              <w:spacing w:after="120"/>
              <w:ind w:right="57"/>
            </w:pPr>
            <w:r w:rsidRPr="002C5876">
              <w:t>Dépression à l’entrée du système de prélèvement, PPI :</w:t>
            </w:r>
          </w:p>
        </w:tc>
        <w:tc>
          <w:tcPr>
            <w:tcW w:w="1077" w:type="dxa"/>
            <w:shd w:val="clear" w:color="auto" w:fill="auto"/>
          </w:tcPr>
          <w:p w:rsidR="00E24DB7" w:rsidRPr="002C5876" w:rsidRDefault="00E24DB7" w:rsidP="00E24DB7">
            <w:pPr>
              <w:keepNext/>
              <w:keepLines/>
              <w:spacing w:after="120"/>
            </w:pPr>
            <w:r w:rsidRPr="002C5876">
              <w:sym w:font="Symbol" w:char="F0B1"/>
            </w:r>
            <w:r w:rsidRPr="002C5876">
              <w:t>0,02 kPa</w:t>
            </w:r>
          </w:p>
        </w:tc>
      </w:tr>
      <w:tr w:rsidR="00E24DB7" w:rsidRPr="002C5876" w:rsidTr="00E24DB7">
        <w:tc>
          <w:tcPr>
            <w:tcW w:w="5160" w:type="dxa"/>
            <w:shd w:val="clear" w:color="auto" w:fill="auto"/>
          </w:tcPr>
          <w:p w:rsidR="00E24DB7" w:rsidRPr="002C5876" w:rsidRDefault="00E24DB7" w:rsidP="00E24DB7">
            <w:pPr>
              <w:keepNext/>
              <w:keepLines/>
              <w:spacing w:after="120"/>
              <w:ind w:right="57"/>
            </w:pPr>
            <w:r w:rsidRPr="002C5876">
              <w:t>Température à l’entrée du venturi</w:t>
            </w:r>
            <w:r w:rsidRPr="002C5876">
              <w:noBreakHyphen/>
              <w:t>tuyère, T</w:t>
            </w:r>
            <w:r w:rsidRPr="002C5876">
              <w:rPr>
                <w:vertAlign w:val="subscript"/>
              </w:rPr>
              <w:t>v</w:t>
            </w:r>
            <w:r w:rsidRPr="002C5876">
              <w:t> :</w:t>
            </w:r>
          </w:p>
        </w:tc>
        <w:tc>
          <w:tcPr>
            <w:tcW w:w="1077" w:type="dxa"/>
            <w:shd w:val="clear" w:color="auto" w:fill="auto"/>
          </w:tcPr>
          <w:p w:rsidR="00E24DB7" w:rsidRPr="002C5876" w:rsidRDefault="00E24DB7" w:rsidP="00E24DB7">
            <w:pPr>
              <w:keepNext/>
              <w:keepLines/>
              <w:spacing w:after="120"/>
            </w:pPr>
            <w:r w:rsidRPr="002C5876">
              <w:sym w:font="Symbol" w:char="F0B1"/>
            </w:r>
            <w:r w:rsidRPr="002C5876">
              <w:t>0,2 K</w:t>
            </w:r>
          </w:p>
        </w:tc>
      </w:tr>
    </w:tbl>
    <w:p w:rsidR="00E24DB7" w:rsidRPr="002C5876" w:rsidRDefault="00E24DB7" w:rsidP="00E24DB7">
      <w:pPr>
        <w:pStyle w:val="SingleTxtG"/>
        <w:spacing w:before="120"/>
        <w:ind w:left="2268" w:hanging="1134"/>
      </w:pPr>
      <w:r w:rsidRPr="002C5876">
        <w:t>3.4.3.3</w:t>
      </w:r>
      <w:r w:rsidRPr="002C5876">
        <w:tab/>
        <w:t>L’équipement doit être installé conformément à la figure A5/7 de la présente annexe et son étanchéité doit être contrôlée. Toute fuite existant entre le dispositif de mesure du débit et le venturi à régime critique affecterait gravement l’exactitude de l’étalonnage et doit donc être évitée.</w:t>
      </w:r>
    </w:p>
    <w:p w:rsidR="00E24DB7" w:rsidRPr="002C5876" w:rsidRDefault="00E24DB7" w:rsidP="00E24DB7">
      <w:pPr>
        <w:pStyle w:val="SingleTxtG"/>
        <w:spacing w:before="120"/>
        <w:ind w:left="2268" w:hanging="1134"/>
      </w:pPr>
    </w:p>
    <w:p w:rsidR="00E24DB7" w:rsidRPr="002C5876" w:rsidRDefault="00E24DB7" w:rsidP="00E24DB7">
      <w:pPr>
        <w:pStyle w:val="H23G"/>
      </w:pPr>
      <w:r w:rsidRPr="002C5876">
        <w:rPr>
          <w:b w:val="0"/>
        </w:rPr>
        <w:lastRenderedPageBreak/>
        <w:tab/>
      </w:r>
      <w:r w:rsidRPr="002C5876">
        <w:rPr>
          <w:b w:val="0"/>
        </w:rPr>
        <w:tab/>
        <w:t xml:space="preserve">Figure A5/7 </w:t>
      </w:r>
      <w:r w:rsidRPr="002C5876">
        <w:br/>
        <w:t>Configuration d’étalonnage pour système de prélèvement à venturi</w:t>
      </w:r>
      <w:r w:rsidRPr="002C5876">
        <w:noBreakHyphen/>
        <w:t xml:space="preserve">tuyère </w:t>
      </w:r>
      <w:r w:rsidRPr="002C5876">
        <w:br/>
        <w:t>en régime critique</w:t>
      </w:r>
    </w:p>
    <w:p w:rsidR="00E24DB7" w:rsidRPr="002C5876" w:rsidRDefault="00E24DB7" w:rsidP="00E24DB7">
      <w:pPr>
        <w:spacing w:after="120"/>
        <w:ind w:left="1134" w:right="1134"/>
        <w:jc w:val="both"/>
        <w:rPr>
          <w:highlight w:val="green"/>
        </w:rPr>
      </w:pPr>
      <w:r w:rsidRPr="002C5876">
        <w:rPr>
          <w:noProof/>
          <w:lang w:val="en-GB" w:eastAsia="zh-CN"/>
        </w:rPr>
        <mc:AlternateContent>
          <mc:Choice Requires="wpc">
            <w:drawing>
              <wp:inline distT="0" distB="0" distL="0" distR="0" wp14:anchorId="0ED18BDE" wp14:editId="17EF825E">
                <wp:extent cx="5364000" cy="3420000"/>
                <wp:effectExtent l="0" t="0" r="8255" b="9525"/>
                <wp:docPr id="14158" name="Zeichenbereich 1338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092" name="Freeform 15"/>
                        <wps:cNvSpPr>
                          <a:spLocks/>
                        </wps:cNvSpPr>
                        <wps:spPr bwMode="auto">
                          <a:xfrm>
                            <a:off x="47934" y="489447"/>
                            <a:ext cx="620706" cy="220804"/>
                          </a:xfrm>
                          <a:custGeom>
                            <a:avLst/>
                            <a:gdLst>
                              <a:gd name="T0" fmla="*/ 107078 w 91"/>
                              <a:gd name="T1" fmla="*/ 178594 h 32"/>
                              <a:gd name="T2" fmla="*/ 42831 w 91"/>
                              <a:gd name="T3" fmla="*/ 207169 h 32"/>
                              <a:gd name="T4" fmla="*/ 107078 w 91"/>
                              <a:gd name="T5" fmla="*/ 228600 h 32"/>
                              <a:gd name="T6" fmla="*/ 0 w 91"/>
                              <a:gd name="T7" fmla="*/ 228600 h 32"/>
                              <a:gd name="T8" fmla="*/ 0 w 91"/>
                              <a:gd name="T9" fmla="*/ 0 h 32"/>
                              <a:gd name="T10" fmla="*/ 649605 w 91"/>
                              <a:gd name="T11" fmla="*/ 0 h 32"/>
                              <a:gd name="T12" fmla="*/ 649605 w 91"/>
                              <a:gd name="T13" fmla="*/ 228600 h 32"/>
                              <a:gd name="T14" fmla="*/ 571081 w 91"/>
                              <a:gd name="T15" fmla="*/ 228600 h 32"/>
                              <a:gd name="T16" fmla="*/ 571081 w 91"/>
                              <a:gd name="T17" fmla="*/ 178594 h 32"/>
                              <a:gd name="T18" fmla="*/ 107078 w 91"/>
                              <a:gd name="T19" fmla="*/ 178594 h 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1" h="32">
                                <a:moveTo>
                                  <a:pt x="15" y="25"/>
                                </a:moveTo>
                                <a:lnTo>
                                  <a:pt x="6" y="29"/>
                                </a:lnTo>
                                <a:lnTo>
                                  <a:pt x="15" y="32"/>
                                </a:lnTo>
                                <a:lnTo>
                                  <a:pt x="0" y="32"/>
                                </a:lnTo>
                                <a:lnTo>
                                  <a:pt x="0" y="0"/>
                                </a:lnTo>
                                <a:lnTo>
                                  <a:pt x="91" y="0"/>
                                </a:lnTo>
                                <a:lnTo>
                                  <a:pt x="91" y="32"/>
                                </a:lnTo>
                                <a:lnTo>
                                  <a:pt x="80" y="32"/>
                                </a:lnTo>
                                <a:lnTo>
                                  <a:pt x="80" y="25"/>
                                </a:lnTo>
                                <a:lnTo>
                                  <a:pt x="15" y="25"/>
                                </a:lnTo>
                                <a:close/>
                              </a:path>
                            </a:pathLst>
                          </a:custGeom>
                          <a:solidFill>
                            <a:srgbClr val="24211D"/>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14093" name="Freeform 16"/>
                        <wps:cNvSpPr>
                          <a:spLocks/>
                        </wps:cNvSpPr>
                        <wps:spPr bwMode="auto">
                          <a:xfrm>
                            <a:off x="47934" y="489447"/>
                            <a:ext cx="620706" cy="220804"/>
                          </a:xfrm>
                          <a:custGeom>
                            <a:avLst/>
                            <a:gdLst>
                              <a:gd name="T0" fmla="*/ 107078 w 91"/>
                              <a:gd name="T1" fmla="*/ 178594 h 32"/>
                              <a:gd name="T2" fmla="*/ 42831 w 91"/>
                              <a:gd name="T3" fmla="*/ 207169 h 32"/>
                              <a:gd name="T4" fmla="*/ 107078 w 91"/>
                              <a:gd name="T5" fmla="*/ 228600 h 32"/>
                              <a:gd name="T6" fmla="*/ 0 w 91"/>
                              <a:gd name="T7" fmla="*/ 228600 h 32"/>
                              <a:gd name="T8" fmla="*/ 0 w 91"/>
                              <a:gd name="T9" fmla="*/ 0 h 32"/>
                              <a:gd name="T10" fmla="*/ 649605 w 91"/>
                              <a:gd name="T11" fmla="*/ 0 h 32"/>
                              <a:gd name="T12" fmla="*/ 649605 w 91"/>
                              <a:gd name="T13" fmla="*/ 228600 h 32"/>
                              <a:gd name="T14" fmla="*/ 571081 w 91"/>
                              <a:gd name="T15" fmla="*/ 228600 h 32"/>
                              <a:gd name="T16" fmla="*/ 571081 w 91"/>
                              <a:gd name="T17" fmla="*/ 178594 h 32"/>
                              <a:gd name="T18" fmla="*/ 107078 w 91"/>
                              <a:gd name="T19" fmla="*/ 178594 h 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1" h="32">
                                <a:moveTo>
                                  <a:pt x="15" y="25"/>
                                </a:moveTo>
                                <a:lnTo>
                                  <a:pt x="6" y="29"/>
                                </a:lnTo>
                                <a:lnTo>
                                  <a:pt x="15" y="32"/>
                                </a:lnTo>
                                <a:lnTo>
                                  <a:pt x="0" y="32"/>
                                </a:lnTo>
                                <a:lnTo>
                                  <a:pt x="0" y="0"/>
                                </a:lnTo>
                                <a:lnTo>
                                  <a:pt x="91" y="0"/>
                                </a:lnTo>
                                <a:lnTo>
                                  <a:pt x="91" y="32"/>
                                </a:lnTo>
                                <a:lnTo>
                                  <a:pt x="80" y="32"/>
                                </a:lnTo>
                                <a:lnTo>
                                  <a:pt x="80" y="25"/>
                                </a:lnTo>
                                <a:lnTo>
                                  <a:pt x="15" y="25"/>
                                </a:lnTo>
                                <a:close/>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4" name="Freeform 824"/>
                        <wps:cNvSpPr>
                          <a:spLocks/>
                        </wps:cNvSpPr>
                        <wps:spPr bwMode="auto">
                          <a:xfrm>
                            <a:off x="47934" y="765450"/>
                            <a:ext cx="620706" cy="220804"/>
                          </a:xfrm>
                          <a:custGeom>
                            <a:avLst/>
                            <a:gdLst>
                              <a:gd name="T0" fmla="*/ 571081 w 91"/>
                              <a:gd name="T1" fmla="*/ 0 h 32"/>
                              <a:gd name="T2" fmla="*/ 571081 w 91"/>
                              <a:gd name="T3" fmla="*/ 50006 h 32"/>
                              <a:gd name="T4" fmla="*/ 107078 w 91"/>
                              <a:gd name="T5" fmla="*/ 50006 h 32"/>
                              <a:gd name="T6" fmla="*/ 107078 w 91"/>
                              <a:gd name="T7" fmla="*/ 0 h 32"/>
                              <a:gd name="T8" fmla="*/ 0 w 91"/>
                              <a:gd name="T9" fmla="*/ 0 h 32"/>
                              <a:gd name="T10" fmla="*/ 0 w 91"/>
                              <a:gd name="T11" fmla="*/ 228600 h 32"/>
                              <a:gd name="T12" fmla="*/ 649605 w 91"/>
                              <a:gd name="T13" fmla="*/ 228600 h 32"/>
                              <a:gd name="T14" fmla="*/ 649605 w 91"/>
                              <a:gd name="T15" fmla="*/ 0 h 32"/>
                              <a:gd name="T16" fmla="*/ 571081 w 91"/>
                              <a:gd name="T17" fmla="*/ 0 h 3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32">
                                <a:moveTo>
                                  <a:pt x="80" y="0"/>
                                </a:moveTo>
                                <a:lnTo>
                                  <a:pt x="80" y="7"/>
                                </a:lnTo>
                                <a:lnTo>
                                  <a:pt x="15" y="7"/>
                                </a:lnTo>
                                <a:lnTo>
                                  <a:pt x="15" y="0"/>
                                </a:lnTo>
                                <a:lnTo>
                                  <a:pt x="0" y="0"/>
                                </a:lnTo>
                                <a:lnTo>
                                  <a:pt x="0" y="32"/>
                                </a:lnTo>
                                <a:lnTo>
                                  <a:pt x="91" y="32"/>
                                </a:lnTo>
                                <a:lnTo>
                                  <a:pt x="91" y="0"/>
                                </a:lnTo>
                                <a:lnTo>
                                  <a:pt x="80" y="0"/>
                                </a:lnTo>
                                <a:close/>
                              </a:path>
                            </a:pathLst>
                          </a:custGeom>
                          <a:solidFill>
                            <a:srgbClr val="24211D"/>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14095" name="Freeform 825"/>
                        <wps:cNvSpPr>
                          <a:spLocks/>
                        </wps:cNvSpPr>
                        <wps:spPr bwMode="auto">
                          <a:xfrm>
                            <a:off x="47934" y="765450"/>
                            <a:ext cx="620706" cy="220804"/>
                          </a:xfrm>
                          <a:custGeom>
                            <a:avLst/>
                            <a:gdLst>
                              <a:gd name="T0" fmla="*/ 571081 w 91"/>
                              <a:gd name="T1" fmla="*/ 0 h 32"/>
                              <a:gd name="T2" fmla="*/ 571081 w 91"/>
                              <a:gd name="T3" fmla="*/ 50006 h 32"/>
                              <a:gd name="T4" fmla="*/ 107078 w 91"/>
                              <a:gd name="T5" fmla="*/ 50006 h 32"/>
                              <a:gd name="T6" fmla="*/ 107078 w 91"/>
                              <a:gd name="T7" fmla="*/ 0 h 32"/>
                              <a:gd name="T8" fmla="*/ 0 w 91"/>
                              <a:gd name="T9" fmla="*/ 0 h 32"/>
                              <a:gd name="T10" fmla="*/ 0 w 91"/>
                              <a:gd name="T11" fmla="*/ 228600 h 32"/>
                              <a:gd name="T12" fmla="*/ 649605 w 91"/>
                              <a:gd name="T13" fmla="*/ 228600 h 32"/>
                              <a:gd name="T14" fmla="*/ 649605 w 91"/>
                              <a:gd name="T15" fmla="*/ 0 h 32"/>
                              <a:gd name="T16" fmla="*/ 571081 w 91"/>
                              <a:gd name="T17" fmla="*/ 0 h 3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32">
                                <a:moveTo>
                                  <a:pt x="80" y="0"/>
                                </a:moveTo>
                                <a:lnTo>
                                  <a:pt x="80" y="7"/>
                                </a:lnTo>
                                <a:lnTo>
                                  <a:pt x="15" y="7"/>
                                </a:lnTo>
                                <a:lnTo>
                                  <a:pt x="15" y="0"/>
                                </a:lnTo>
                                <a:lnTo>
                                  <a:pt x="0" y="0"/>
                                </a:lnTo>
                                <a:lnTo>
                                  <a:pt x="0" y="32"/>
                                </a:lnTo>
                                <a:lnTo>
                                  <a:pt x="91" y="32"/>
                                </a:lnTo>
                                <a:lnTo>
                                  <a:pt x="91" y="0"/>
                                </a:lnTo>
                                <a:lnTo>
                                  <a:pt x="80" y="0"/>
                                </a:lnTo>
                                <a:close/>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6" name="Line 19"/>
                        <wps:cNvCnPr/>
                        <wps:spPr bwMode="auto">
                          <a:xfrm flipV="1">
                            <a:off x="149867" y="661797"/>
                            <a:ext cx="0" cy="48454"/>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097" name="Line 20"/>
                        <wps:cNvCnPr/>
                        <wps:spPr bwMode="auto">
                          <a:xfrm>
                            <a:off x="1262656" y="565500"/>
                            <a:ext cx="65468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098" name="Line 21"/>
                        <wps:cNvCnPr/>
                        <wps:spPr bwMode="auto">
                          <a:xfrm>
                            <a:off x="1262656" y="916947"/>
                            <a:ext cx="65468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099" name="Line 22"/>
                        <wps:cNvCnPr/>
                        <wps:spPr bwMode="auto">
                          <a:xfrm>
                            <a:off x="2060536" y="648303"/>
                            <a:ext cx="103087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00" name="Line 23"/>
                        <wps:cNvCnPr/>
                        <wps:spPr bwMode="auto">
                          <a:xfrm>
                            <a:off x="2060536" y="827400"/>
                            <a:ext cx="103087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01" name="Line 24"/>
                        <wps:cNvCnPr/>
                        <wps:spPr bwMode="auto">
                          <a:xfrm>
                            <a:off x="1917337" y="565504"/>
                            <a:ext cx="143194" cy="828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02" name="Line 25"/>
                        <wps:cNvCnPr/>
                        <wps:spPr bwMode="auto">
                          <a:xfrm flipH="1">
                            <a:off x="1118856" y="565504"/>
                            <a:ext cx="143801" cy="828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4103" name="Line 26"/>
                        <wps:cNvCnPr/>
                        <wps:spPr bwMode="auto">
                          <a:xfrm flipH="1">
                            <a:off x="1118856" y="565504"/>
                            <a:ext cx="143801" cy="828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04" name="Line 27"/>
                        <wps:cNvCnPr/>
                        <wps:spPr bwMode="auto">
                          <a:xfrm>
                            <a:off x="668641" y="565504"/>
                            <a:ext cx="143194" cy="828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05" name="Line 28"/>
                        <wps:cNvCnPr/>
                        <wps:spPr bwMode="auto">
                          <a:xfrm flipV="1">
                            <a:off x="1917337" y="827402"/>
                            <a:ext cx="143194" cy="8954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06" name="Line 29"/>
                        <wps:cNvCnPr/>
                        <wps:spPr bwMode="auto">
                          <a:xfrm flipH="1" flipV="1">
                            <a:off x="1118856" y="827402"/>
                            <a:ext cx="143801" cy="89547"/>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4107" name="Line 30"/>
                        <wps:cNvCnPr/>
                        <wps:spPr bwMode="auto">
                          <a:xfrm flipH="1" flipV="1">
                            <a:off x="1118856" y="827402"/>
                            <a:ext cx="143801" cy="8954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08" name="Line 31"/>
                        <wps:cNvCnPr/>
                        <wps:spPr bwMode="auto">
                          <a:xfrm flipV="1">
                            <a:off x="668641" y="827402"/>
                            <a:ext cx="143194" cy="8954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09" name="Line 32"/>
                        <wps:cNvCnPr/>
                        <wps:spPr bwMode="auto">
                          <a:xfrm flipH="1">
                            <a:off x="811840" y="648303"/>
                            <a:ext cx="30701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10" name="Line 33"/>
                        <wps:cNvCnPr/>
                        <wps:spPr bwMode="auto">
                          <a:xfrm flipH="1">
                            <a:off x="811840" y="827400"/>
                            <a:ext cx="30701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11" name="Line 34"/>
                        <wps:cNvCnPr/>
                        <wps:spPr bwMode="auto">
                          <a:xfrm>
                            <a:off x="1494429" y="765459"/>
                            <a:ext cx="0" cy="15149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28" name="Line 35"/>
                        <wps:cNvCnPr/>
                        <wps:spPr bwMode="auto">
                          <a:xfrm>
                            <a:off x="1419192" y="765459"/>
                            <a:ext cx="0" cy="15149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29" name="Line 36"/>
                        <wps:cNvCnPr/>
                        <wps:spPr bwMode="auto">
                          <a:xfrm>
                            <a:off x="1494429" y="565503"/>
                            <a:ext cx="0" cy="144748"/>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30" name="Line 37"/>
                        <wps:cNvCnPr/>
                        <wps:spPr bwMode="auto">
                          <a:xfrm>
                            <a:off x="1419192" y="565503"/>
                            <a:ext cx="0" cy="144748"/>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31" name="Line 38"/>
                        <wps:cNvCnPr/>
                        <wps:spPr bwMode="auto">
                          <a:xfrm>
                            <a:off x="1801449" y="565503"/>
                            <a:ext cx="0" cy="351446"/>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32" name="Rectangle 39"/>
                        <wps:cNvSpPr>
                          <a:spLocks noChangeArrowheads="1"/>
                        </wps:cNvSpPr>
                        <wps:spPr bwMode="auto">
                          <a:xfrm>
                            <a:off x="1610327" y="586356"/>
                            <a:ext cx="170499" cy="302992"/>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3" name="Line 40"/>
                        <wps:cNvCnPr/>
                        <wps:spPr bwMode="auto">
                          <a:xfrm>
                            <a:off x="859769" y="765452"/>
                            <a:ext cx="0" cy="61948"/>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34" name="Line 41"/>
                        <wps:cNvCnPr/>
                        <wps:spPr bwMode="auto">
                          <a:xfrm>
                            <a:off x="859769" y="648304"/>
                            <a:ext cx="0" cy="61948"/>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35" name="Line 42"/>
                        <wps:cNvCnPr/>
                        <wps:spPr bwMode="auto">
                          <a:xfrm>
                            <a:off x="2940927" y="648310"/>
                            <a:ext cx="0" cy="17909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36" name="Line 43"/>
                        <wps:cNvCnPr/>
                        <wps:spPr bwMode="auto">
                          <a:xfrm>
                            <a:off x="2797736" y="648310"/>
                            <a:ext cx="143194" cy="17909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37" name="Freeform 44"/>
                        <wps:cNvSpPr>
                          <a:spLocks/>
                        </wps:cNvSpPr>
                        <wps:spPr bwMode="auto">
                          <a:xfrm>
                            <a:off x="2599937" y="731114"/>
                            <a:ext cx="273041" cy="220189"/>
                          </a:xfrm>
                          <a:custGeom>
                            <a:avLst/>
                            <a:gdLst>
                              <a:gd name="T0" fmla="*/ 0 w 40"/>
                              <a:gd name="T1" fmla="*/ 213717 h 32"/>
                              <a:gd name="T2" fmla="*/ 271463 w 40"/>
                              <a:gd name="T3" fmla="*/ 0 h 32"/>
                              <a:gd name="T4" fmla="*/ 285750 w 40"/>
                              <a:gd name="T5" fmla="*/ 14248 h 32"/>
                              <a:gd name="T6" fmla="*/ 14288 w 40"/>
                              <a:gd name="T7" fmla="*/ 227965 h 32"/>
                              <a:gd name="T8" fmla="*/ 0 w 40"/>
                              <a:gd name="T9" fmla="*/ 213717 h 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 h="32">
                                <a:moveTo>
                                  <a:pt x="0" y="30"/>
                                </a:moveTo>
                                <a:lnTo>
                                  <a:pt x="38" y="0"/>
                                </a:lnTo>
                                <a:lnTo>
                                  <a:pt x="40" y="2"/>
                                </a:lnTo>
                                <a:lnTo>
                                  <a:pt x="2" y="32"/>
                                </a:lnTo>
                                <a:lnTo>
                                  <a:pt x="0" y="3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8" name="Line 45"/>
                        <wps:cNvCnPr/>
                        <wps:spPr bwMode="auto">
                          <a:xfrm>
                            <a:off x="3091400" y="648310"/>
                            <a:ext cx="0" cy="17909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39" name="Rectangle 46"/>
                        <wps:cNvSpPr>
                          <a:spLocks noChangeArrowheads="1"/>
                        </wps:cNvSpPr>
                        <wps:spPr bwMode="auto">
                          <a:xfrm>
                            <a:off x="3207299" y="634195"/>
                            <a:ext cx="6673" cy="207310"/>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40" name="Line 47"/>
                        <wps:cNvCnPr/>
                        <wps:spPr bwMode="auto">
                          <a:xfrm>
                            <a:off x="1801451" y="737857"/>
                            <a:ext cx="1138269" cy="615"/>
                          </a:xfrm>
                          <a:prstGeom prst="line">
                            <a:avLst/>
                          </a:prstGeom>
                          <a:noFill/>
                          <a:ln w="3175">
                            <a:solidFill>
                              <a:srgbClr val="24211D"/>
                            </a:solidFill>
                            <a:prstDash val="lgDash"/>
                            <a:round/>
                            <a:headEnd/>
                            <a:tailEnd/>
                          </a:ln>
                          <a:extLst>
                            <a:ext uri="{909E8E84-426E-40DD-AFC4-6F175D3DCCD1}">
                              <a14:hiddenFill xmlns:a14="http://schemas.microsoft.com/office/drawing/2010/main">
                                <a:noFill/>
                              </a14:hiddenFill>
                            </a:ext>
                          </a:extLst>
                        </wps:spPr>
                        <wps:bodyPr/>
                      </wps:wsp>
                      <wps:wsp>
                        <wps:cNvPr id="13741" name="Line 48"/>
                        <wps:cNvCnPr/>
                        <wps:spPr bwMode="auto">
                          <a:xfrm>
                            <a:off x="3091408" y="806545"/>
                            <a:ext cx="231777"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42" name="Line 49"/>
                        <wps:cNvCnPr/>
                        <wps:spPr bwMode="auto">
                          <a:xfrm>
                            <a:off x="3091408" y="669155"/>
                            <a:ext cx="231777"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43" name="Line 50"/>
                        <wps:cNvCnPr/>
                        <wps:spPr bwMode="auto">
                          <a:xfrm flipH="1">
                            <a:off x="47932" y="765452"/>
                            <a:ext cx="1562386"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49" name="Line 51"/>
                        <wps:cNvCnPr/>
                        <wps:spPr bwMode="auto">
                          <a:xfrm flipH="1">
                            <a:off x="47932" y="710251"/>
                            <a:ext cx="1562386"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50" name="Freeform 52"/>
                        <wps:cNvSpPr>
                          <a:spLocks/>
                        </wps:cNvSpPr>
                        <wps:spPr bwMode="auto">
                          <a:xfrm>
                            <a:off x="2" y="710258"/>
                            <a:ext cx="47932" cy="55201"/>
                          </a:xfrm>
                          <a:custGeom>
                            <a:avLst/>
                            <a:gdLst>
                              <a:gd name="T0" fmla="*/ 50165 w 7"/>
                              <a:gd name="T1" fmla="*/ 0 h 8"/>
                              <a:gd name="T2" fmla="*/ 0 w 7"/>
                              <a:gd name="T3" fmla="*/ 28575 h 8"/>
                              <a:gd name="T4" fmla="*/ 50165 w 7"/>
                              <a:gd name="T5" fmla="*/ 57150 h 8"/>
                              <a:gd name="T6" fmla="*/ 0 60000 65536"/>
                              <a:gd name="T7" fmla="*/ 0 60000 65536"/>
                              <a:gd name="T8" fmla="*/ 0 60000 65536"/>
                            </a:gdLst>
                            <a:ahLst/>
                            <a:cxnLst>
                              <a:cxn ang="T6">
                                <a:pos x="T0" y="T1"/>
                              </a:cxn>
                              <a:cxn ang="T7">
                                <a:pos x="T2" y="T3"/>
                              </a:cxn>
                              <a:cxn ang="T8">
                                <a:pos x="T4" y="T5"/>
                              </a:cxn>
                            </a:cxnLst>
                            <a:rect l="0" t="0" r="r" b="b"/>
                            <a:pathLst>
                              <a:path w="7" h="8">
                                <a:moveTo>
                                  <a:pt x="7" y="0"/>
                                </a:moveTo>
                                <a:lnTo>
                                  <a:pt x="0" y="4"/>
                                </a:lnTo>
                                <a:lnTo>
                                  <a:pt x="7" y="8"/>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1" name="Line 53"/>
                        <wps:cNvCnPr/>
                        <wps:spPr bwMode="auto">
                          <a:xfrm>
                            <a:off x="1426480" y="503553"/>
                            <a:ext cx="122561"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52" name="Freeform 54"/>
                        <wps:cNvSpPr>
                          <a:spLocks/>
                        </wps:cNvSpPr>
                        <wps:spPr bwMode="auto">
                          <a:xfrm>
                            <a:off x="1453786" y="427499"/>
                            <a:ext cx="67957" cy="34346"/>
                          </a:xfrm>
                          <a:custGeom>
                            <a:avLst/>
                            <a:gdLst>
                              <a:gd name="T0" fmla="*/ 0 w 10"/>
                              <a:gd name="T1" fmla="*/ 35560 h 5"/>
                              <a:gd name="T2" fmla="*/ 35560 w 10"/>
                              <a:gd name="T3" fmla="*/ 0 h 5"/>
                              <a:gd name="T4" fmla="*/ 71120 w 10"/>
                              <a:gd name="T5" fmla="*/ 35560 h 5"/>
                              <a:gd name="T6" fmla="*/ 0 60000 65536"/>
                              <a:gd name="T7" fmla="*/ 0 60000 65536"/>
                              <a:gd name="T8" fmla="*/ 0 60000 65536"/>
                            </a:gdLst>
                            <a:ahLst/>
                            <a:cxnLst>
                              <a:cxn ang="T6">
                                <a:pos x="T0" y="T1"/>
                              </a:cxn>
                              <a:cxn ang="T7">
                                <a:pos x="T2" y="T3"/>
                              </a:cxn>
                              <a:cxn ang="T8">
                                <a:pos x="T4" y="T5"/>
                              </a:cxn>
                            </a:cxnLst>
                            <a:rect l="0" t="0" r="r" b="b"/>
                            <a:pathLst>
                              <a:path w="10" h="5">
                                <a:moveTo>
                                  <a:pt x="0" y="5"/>
                                </a:moveTo>
                                <a:cubicBezTo>
                                  <a:pt x="0" y="3"/>
                                  <a:pt x="2" y="0"/>
                                  <a:pt x="5" y="0"/>
                                </a:cubicBezTo>
                                <a:cubicBezTo>
                                  <a:pt x="8" y="0"/>
                                  <a:pt x="10" y="3"/>
                                  <a:pt x="10" y="5"/>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3" name="Line 55"/>
                        <wps:cNvCnPr/>
                        <wps:spPr bwMode="auto">
                          <a:xfrm>
                            <a:off x="1453778" y="461846"/>
                            <a:ext cx="0" cy="4170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54" name="Line 56"/>
                        <wps:cNvCnPr/>
                        <wps:spPr bwMode="auto">
                          <a:xfrm>
                            <a:off x="1521734" y="461846"/>
                            <a:ext cx="0" cy="4170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55" name="Line 57"/>
                        <wps:cNvCnPr/>
                        <wps:spPr bwMode="auto">
                          <a:xfrm flipV="1">
                            <a:off x="1487756" y="276012"/>
                            <a:ext cx="0" cy="15149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56" name="Line 58"/>
                        <wps:cNvCnPr/>
                        <wps:spPr bwMode="auto">
                          <a:xfrm>
                            <a:off x="1630950" y="503553"/>
                            <a:ext cx="129848"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57" name="Freeform 59"/>
                        <wps:cNvSpPr>
                          <a:spLocks/>
                        </wps:cNvSpPr>
                        <wps:spPr bwMode="auto">
                          <a:xfrm>
                            <a:off x="1658257" y="427499"/>
                            <a:ext cx="67957" cy="34346"/>
                          </a:xfrm>
                          <a:custGeom>
                            <a:avLst/>
                            <a:gdLst>
                              <a:gd name="T0" fmla="*/ 0 w 10"/>
                              <a:gd name="T1" fmla="*/ 35560 h 5"/>
                              <a:gd name="T2" fmla="*/ 35560 w 10"/>
                              <a:gd name="T3" fmla="*/ 0 h 5"/>
                              <a:gd name="T4" fmla="*/ 71120 w 10"/>
                              <a:gd name="T5" fmla="*/ 35560 h 5"/>
                              <a:gd name="T6" fmla="*/ 0 60000 65536"/>
                              <a:gd name="T7" fmla="*/ 0 60000 65536"/>
                              <a:gd name="T8" fmla="*/ 0 60000 65536"/>
                            </a:gdLst>
                            <a:ahLst/>
                            <a:cxnLst>
                              <a:cxn ang="T6">
                                <a:pos x="T0" y="T1"/>
                              </a:cxn>
                              <a:cxn ang="T7">
                                <a:pos x="T2" y="T3"/>
                              </a:cxn>
                              <a:cxn ang="T8">
                                <a:pos x="T4" y="T5"/>
                              </a:cxn>
                            </a:cxnLst>
                            <a:rect l="0" t="0" r="r" b="b"/>
                            <a:pathLst>
                              <a:path w="10" h="5">
                                <a:moveTo>
                                  <a:pt x="0" y="5"/>
                                </a:moveTo>
                                <a:cubicBezTo>
                                  <a:pt x="0" y="3"/>
                                  <a:pt x="3" y="0"/>
                                  <a:pt x="5" y="0"/>
                                </a:cubicBezTo>
                                <a:cubicBezTo>
                                  <a:pt x="8" y="0"/>
                                  <a:pt x="10" y="3"/>
                                  <a:pt x="10" y="5"/>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8" name="Line 60"/>
                        <wps:cNvCnPr/>
                        <wps:spPr bwMode="auto">
                          <a:xfrm>
                            <a:off x="1658255" y="461846"/>
                            <a:ext cx="0" cy="4170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59" name="Line 61"/>
                        <wps:cNvCnPr/>
                        <wps:spPr bwMode="auto">
                          <a:xfrm>
                            <a:off x="1726212" y="461846"/>
                            <a:ext cx="0" cy="4170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12" name="Line 62"/>
                        <wps:cNvCnPr/>
                        <wps:spPr bwMode="auto">
                          <a:xfrm flipV="1">
                            <a:off x="1692233" y="276012"/>
                            <a:ext cx="0" cy="15149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13" name="Freeform 63"/>
                        <wps:cNvSpPr>
                          <a:spLocks/>
                        </wps:cNvSpPr>
                        <wps:spPr bwMode="auto">
                          <a:xfrm>
                            <a:off x="3323188" y="317099"/>
                            <a:ext cx="682597" cy="1041454"/>
                          </a:xfrm>
                          <a:custGeom>
                            <a:avLst/>
                            <a:gdLst>
                              <a:gd name="T0" fmla="*/ 442913 w 100"/>
                              <a:gd name="T1" fmla="*/ 0 h 151"/>
                              <a:gd name="T2" fmla="*/ 714375 w 100"/>
                              <a:gd name="T3" fmla="*/ 0 h 151"/>
                              <a:gd name="T4" fmla="*/ 714375 w 100"/>
                              <a:gd name="T5" fmla="*/ 1078230 h 151"/>
                              <a:gd name="T6" fmla="*/ 0 w 100"/>
                              <a:gd name="T7" fmla="*/ 1078230 h 151"/>
                              <a:gd name="T8" fmla="*/ 0 w 100"/>
                              <a:gd name="T9" fmla="*/ 0 h 151"/>
                              <a:gd name="T10" fmla="*/ 278606 w 100"/>
                              <a:gd name="T11" fmla="*/ 0 h 15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0" h="151">
                                <a:moveTo>
                                  <a:pt x="62" y="0"/>
                                </a:moveTo>
                                <a:lnTo>
                                  <a:pt x="100" y="0"/>
                                </a:lnTo>
                                <a:lnTo>
                                  <a:pt x="100" y="151"/>
                                </a:lnTo>
                                <a:lnTo>
                                  <a:pt x="0" y="151"/>
                                </a:lnTo>
                                <a:lnTo>
                                  <a:pt x="0" y="0"/>
                                </a:lnTo>
                                <a:lnTo>
                                  <a:pt x="39" y="0"/>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4" name="Freeform 64"/>
                        <wps:cNvSpPr>
                          <a:spLocks/>
                        </wps:cNvSpPr>
                        <wps:spPr bwMode="auto">
                          <a:xfrm>
                            <a:off x="3500355" y="1868854"/>
                            <a:ext cx="334926" cy="0"/>
                          </a:xfrm>
                          <a:custGeom>
                            <a:avLst/>
                            <a:gdLst>
                              <a:gd name="T0" fmla="*/ 0 w 49"/>
                              <a:gd name="T1" fmla="*/ 0 w 49"/>
                              <a:gd name="T2" fmla="*/ 350520 w 49"/>
                              <a:gd name="T3" fmla="*/ 0 w 49"/>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49">
                                <a:moveTo>
                                  <a:pt x="0" y="0"/>
                                </a:moveTo>
                                <a:lnTo>
                                  <a:pt x="0" y="0"/>
                                </a:lnTo>
                                <a:lnTo>
                                  <a:pt x="49" y="0"/>
                                </a:lnTo>
                                <a:lnTo>
                                  <a:pt x="0" y="0"/>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5" name="Line 65"/>
                        <wps:cNvCnPr/>
                        <wps:spPr bwMode="auto">
                          <a:xfrm>
                            <a:off x="3323183" y="1358561"/>
                            <a:ext cx="177172" cy="51029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16" name="Line 66"/>
                        <wps:cNvCnPr/>
                        <wps:spPr bwMode="auto">
                          <a:xfrm flipV="1">
                            <a:off x="3835286" y="1358561"/>
                            <a:ext cx="170499" cy="51029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17" name="Line 67"/>
                        <wps:cNvCnPr/>
                        <wps:spPr bwMode="auto">
                          <a:xfrm>
                            <a:off x="3773390" y="0"/>
                            <a:ext cx="47084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18" name="Line 68"/>
                        <wps:cNvCnPr/>
                        <wps:spPr bwMode="auto">
                          <a:xfrm>
                            <a:off x="3773390" y="158856"/>
                            <a:ext cx="47084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19" name="Line 69"/>
                        <wps:cNvCnPr/>
                        <wps:spPr bwMode="auto">
                          <a:xfrm>
                            <a:off x="4435358" y="193203"/>
                            <a:ext cx="0" cy="828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20" name="Line 70"/>
                        <wps:cNvCnPr/>
                        <wps:spPr bwMode="auto">
                          <a:xfrm>
                            <a:off x="4278816" y="193203"/>
                            <a:ext cx="0" cy="828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21" name="Line 71"/>
                        <wps:cNvCnPr/>
                        <wps:spPr bwMode="auto">
                          <a:xfrm>
                            <a:off x="3589545" y="193210"/>
                            <a:ext cx="0" cy="227551"/>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22" name="Freeform 72"/>
                        <wps:cNvSpPr>
                          <a:spLocks/>
                        </wps:cNvSpPr>
                        <wps:spPr bwMode="auto">
                          <a:xfrm>
                            <a:off x="3527660" y="420753"/>
                            <a:ext cx="61891" cy="61948"/>
                          </a:xfrm>
                          <a:custGeom>
                            <a:avLst/>
                            <a:gdLst>
                              <a:gd name="T0" fmla="*/ 64770 w 9"/>
                              <a:gd name="T1" fmla="*/ 0 h 9"/>
                              <a:gd name="T2" fmla="*/ 0 w 9"/>
                              <a:gd name="T3" fmla="*/ 64135 h 9"/>
                              <a:gd name="T4" fmla="*/ 0 60000 65536"/>
                              <a:gd name="T5" fmla="*/ 0 60000 65536"/>
                            </a:gdLst>
                            <a:ahLst/>
                            <a:cxnLst>
                              <a:cxn ang="T4">
                                <a:pos x="T0" y="T1"/>
                              </a:cxn>
                              <a:cxn ang="T5">
                                <a:pos x="T2" y="T3"/>
                              </a:cxn>
                            </a:cxnLst>
                            <a:rect l="0" t="0" r="r" b="b"/>
                            <a:pathLst>
                              <a:path w="9" h="9">
                                <a:moveTo>
                                  <a:pt x="9" y="0"/>
                                </a:moveTo>
                                <a:cubicBezTo>
                                  <a:pt x="9" y="5"/>
                                  <a:pt x="5" y="9"/>
                                  <a:pt x="0" y="9"/>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3" name="Freeform 73"/>
                        <wps:cNvSpPr>
                          <a:spLocks/>
                        </wps:cNvSpPr>
                        <wps:spPr bwMode="auto">
                          <a:xfrm>
                            <a:off x="3746090" y="193204"/>
                            <a:ext cx="61891" cy="289498"/>
                          </a:xfrm>
                          <a:custGeom>
                            <a:avLst/>
                            <a:gdLst>
                              <a:gd name="T0" fmla="*/ 64770 w 9"/>
                              <a:gd name="T1" fmla="*/ 299720 h 42"/>
                              <a:gd name="T2" fmla="*/ 0 w 9"/>
                              <a:gd name="T3" fmla="*/ 256903 h 42"/>
                              <a:gd name="T4" fmla="*/ 0 w 9"/>
                              <a:gd name="T5" fmla="*/ 0 h 42"/>
                              <a:gd name="T6" fmla="*/ 0 60000 65536"/>
                              <a:gd name="T7" fmla="*/ 0 60000 65536"/>
                              <a:gd name="T8" fmla="*/ 0 60000 65536"/>
                            </a:gdLst>
                            <a:ahLst/>
                            <a:cxnLst>
                              <a:cxn ang="T6">
                                <a:pos x="T0" y="T1"/>
                              </a:cxn>
                              <a:cxn ang="T7">
                                <a:pos x="T2" y="T3"/>
                              </a:cxn>
                              <a:cxn ang="T8">
                                <a:pos x="T4" y="T5"/>
                              </a:cxn>
                            </a:cxnLst>
                            <a:rect l="0" t="0" r="r" b="b"/>
                            <a:pathLst>
                              <a:path w="9" h="42">
                                <a:moveTo>
                                  <a:pt x="9" y="42"/>
                                </a:moveTo>
                                <a:cubicBezTo>
                                  <a:pt x="4" y="42"/>
                                  <a:pt x="0" y="39"/>
                                  <a:pt x="0" y="36"/>
                                </a:cubicBezTo>
                                <a:lnTo>
                                  <a:pt x="0" y="0"/>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4" name="Freeform 74"/>
                        <wps:cNvSpPr>
                          <a:spLocks/>
                        </wps:cNvSpPr>
                        <wps:spPr bwMode="auto">
                          <a:xfrm>
                            <a:off x="4244233" y="158856"/>
                            <a:ext cx="34586" cy="34346"/>
                          </a:xfrm>
                          <a:custGeom>
                            <a:avLst/>
                            <a:gdLst>
                              <a:gd name="T0" fmla="*/ 36195 w 5"/>
                              <a:gd name="T1" fmla="*/ 35560 h 5"/>
                              <a:gd name="T2" fmla="*/ 0 w 5"/>
                              <a:gd name="T3" fmla="*/ 0 h 5"/>
                              <a:gd name="T4" fmla="*/ 0 60000 65536"/>
                              <a:gd name="T5" fmla="*/ 0 60000 65536"/>
                            </a:gdLst>
                            <a:ahLst/>
                            <a:cxnLst>
                              <a:cxn ang="T4">
                                <a:pos x="T0" y="T1"/>
                              </a:cxn>
                              <a:cxn ang="T5">
                                <a:pos x="T2" y="T3"/>
                              </a:cxn>
                            </a:cxnLst>
                            <a:rect l="0" t="0" r="r" b="b"/>
                            <a:pathLst>
                              <a:path w="5" h="5">
                                <a:moveTo>
                                  <a:pt x="5" y="5"/>
                                </a:moveTo>
                                <a:cubicBezTo>
                                  <a:pt x="5" y="2"/>
                                  <a:pt x="3" y="0"/>
                                  <a:pt x="0" y="0"/>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5" name="Freeform 75"/>
                        <wps:cNvSpPr>
                          <a:spLocks/>
                        </wps:cNvSpPr>
                        <wps:spPr bwMode="auto">
                          <a:xfrm>
                            <a:off x="3746092" y="158856"/>
                            <a:ext cx="27305" cy="34346"/>
                          </a:xfrm>
                          <a:custGeom>
                            <a:avLst/>
                            <a:gdLst>
                              <a:gd name="T0" fmla="*/ 0 w 4"/>
                              <a:gd name="T1" fmla="*/ 35560 h 5"/>
                              <a:gd name="T2" fmla="*/ 28575 w 4"/>
                              <a:gd name="T3" fmla="*/ 0 h 5"/>
                              <a:gd name="T4" fmla="*/ 0 60000 65536"/>
                              <a:gd name="T5" fmla="*/ 0 60000 65536"/>
                            </a:gdLst>
                            <a:ahLst/>
                            <a:cxnLst>
                              <a:cxn ang="T4">
                                <a:pos x="T0" y="T1"/>
                              </a:cxn>
                              <a:cxn ang="T5">
                                <a:pos x="T2" y="T3"/>
                              </a:cxn>
                            </a:cxnLst>
                            <a:rect l="0" t="0" r="r" b="b"/>
                            <a:pathLst>
                              <a:path w="4" h="5">
                                <a:moveTo>
                                  <a:pt x="0" y="5"/>
                                </a:moveTo>
                                <a:cubicBezTo>
                                  <a:pt x="0" y="2"/>
                                  <a:pt x="2" y="0"/>
                                  <a:pt x="4" y="0"/>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6" name="Freeform 76"/>
                        <wps:cNvSpPr>
                          <a:spLocks/>
                        </wps:cNvSpPr>
                        <wps:spPr bwMode="auto">
                          <a:xfrm>
                            <a:off x="3589556" y="0"/>
                            <a:ext cx="183845" cy="193202"/>
                          </a:xfrm>
                          <a:custGeom>
                            <a:avLst/>
                            <a:gdLst>
                              <a:gd name="T0" fmla="*/ 0 w 27"/>
                              <a:gd name="T1" fmla="*/ 200025 h 28"/>
                              <a:gd name="T2" fmla="*/ 192405 w 27"/>
                              <a:gd name="T3" fmla="*/ 0 h 28"/>
                              <a:gd name="T4" fmla="*/ 0 60000 65536"/>
                              <a:gd name="T5" fmla="*/ 0 60000 65536"/>
                            </a:gdLst>
                            <a:ahLst/>
                            <a:cxnLst>
                              <a:cxn ang="T4">
                                <a:pos x="T0" y="T1"/>
                              </a:cxn>
                              <a:cxn ang="T5">
                                <a:pos x="T2" y="T3"/>
                              </a:cxn>
                            </a:cxnLst>
                            <a:rect l="0" t="0" r="r" b="b"/>
                            <a:pathLst>
                              <a:path w="27" h="28">
                                <a:moveTo>
                                  <a:pt x="0" y="28"/>
                                </a:moveTo>
                                <a:cubicBezTo>
                                  <a:pt x="0" y="13"/>
                                  <a:pt x="12" y="0"/>
                                  <a:pt x="27" y="0"/>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7" name="Freeform 77"/>
                        <wps:cNvSpPr>
                          <a:spLocks/>
                        </wps:cNvSpPr>
                        <wps:spPr bwMode="auto">
                          <a:xfrm>
                            <a:off x="4244238" y="0"/>
                            <a:ext cx="191125" cy="193202"/>
                          </a:xfrm>
                          <a:custGeom>
                            <a:avLst/>
                            <a:gdLst>
                              <a:gd name="T0" fmla="*/ 200025 w 28"/>
                              <a:gd name="T1" fmla="*/ 200025 h 28"/>
                              <a:gd name="T2" fmla="*/ 0 w 28"/>
                              <a:gd name="T3" fmla="*/ 0 h 28"/>
                              <a:gd name="T4" fmla="*/ 0 60000 65536"/>
                              <a:gd name="T5" fmla="*/ 0 60000 65536"/>
                            </a:gdLst>
                            <a:ahLst/>
                            <a:cxnLst>
                              <a:cxn ang="T4">
                                <a:pos x="T0" y="T1"/>
                              </a:cxn>
                              <a:cxn ang="T5">
                                <a:pos x="T2" y="T3"/>
                              </a:cxn>
                            </a:cxnLst>
                            <a:rect l="0" t="0" r="r" b="b"/>
                            <a:pathLst>
                              <a:path w="28" h="28">
                                <a:moveTo>
                                  <a:pt x="28" y="28"/>
                                </a:moveTo>
                                <a:cubicBezTo>
                                  <a:pt x="28" y="13"/>
                                  <a:pt x="15" y="0"/>
                                  <a:pt x="0" y="0"/>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8" name="Rectangle 78"/>
                        <wps:cNvSpPr>
                          <a:spLocks noChangeArrowheads="1"/>
                        </wps:cNvSpPr>
                        <wps:spPr bwMode="auto">
                          <a:xfrm>
                            <a:off x="4251521" y="276005"/>
                            <a:ext cx="204477" cy="61948"/>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9" name="Rectangle 79"/>
                        <wps:cNvSpPr>
                          <a:spLocks noChangeArrowheads="1"/>
                        </wps:cNvSpPr>
                        <wps:spPr bwMode="auto">
                          <a:xfrm>
                            <a:off x="4251521" y="1213810"/>
                            <a:ext cx="204477" cy="68695"/>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0" name="Line 80"/>
                        <wps:cNvCnPr/>
                        <wps:spPr bwMode="auto">
                          <a:xfrm>
                            <a:off x="4435358" y="337952"/>
                            <a:ext cx="0" cy="875853"/>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31" name="Line 81"/>
                        <wps:cNvCnPr/>
                        <wps:spPr bwMode="auto">
                          <a:xfrm>
                            <a:off x="4278816" y="337952"/>
                            <a:ext cx="0" cy="875853"/>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32" name="Rectangle 82"/>
                        <wps:cNvSpPr>
                          <a:spLocks noChangeArrowheads="1"/>
                        </wps:cNvSpPr>
                        <wps:spPr bwMode="auto">
                          <a:xfrm>
                            <a:off x="4046432" y="2358301"/>
                            <a:ext cx="621314" cy="261896"/>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3" name="Line 83"/>
                        <wps:cNvCnPr/>
                        <wps:spPr bwMode="auto">
                          <a:xfrm>
                            <a:off x="4107710" y="2620204"/>
                            <a:ext cx="0" cy="23429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34" name="Line 84"/>
                        <wps:cNvCnPr/>
                        <wps:spPr bwMode="auto">
                          <a:xfrm>
                            <a:off x="4599182" y="2620204"/>
                            <a:ext cx="0" cy="23429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35" name="Line 85"/>
                        <wps:cNvCnPr/>
                        <wps:spPr bwMode="auto">
                          <a:xfrm>
                            <a:off x="4633160" y="2889455"/>
                            <a:ext cx="327646"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36" name="Line 86"/>
                        <wps:cNvCnPr/>
                        <wps:spPr bwMode="auto">
                          <a:xfrm>
                            <a:off x="4633160" y="3385649"/>
                            <a:ext cx="327646"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37" name="Freeform 87"/>
                        <wps:cNvSpPr>
                          <a:spLocks/>
                        </wps:cNvSpPr>
                        <wps:spPr bwMode="auto">
                          <a:xfrm>
                            <a:off x="4599182" y="2854502"/>
                            <a:ext cx="33978" cy="34961"/>
                          </a:xfrm>
                          <a:custGeom>
                            <a:avLst/>
                            <a:gdLst>
                              <a:gd name="T0" fmla="*/ 0 w 5"/>
                              <a:gd name="T1" fmla="*/ 0 h 5"/>
                              <a:gd name="T2" fmla="*/ 35560 w 5"/>
                              <a:gd name="T3" fmla="*/ 36195 h 5"/>
                              <a:gd name="T4" fmla="*/ 0 60000 65536"/>
                              <a:gd name="T5" fmla="*/ 0 60000 65536"/>
                            </a:gdLst>
                            <a:ahLst/>
                            <a:cxnLst>
                              <a:cxn ang="T4">
                                <a:pos x="T0" y="T1"/>
                              </a:cxn>
                              <a:cxn ang="T5">
                                <a:pos x="T2" y="T3"/>
                              </a:cxn>
                            </a:cxnLst>
                            <a:rect l="0" t="0" r="r" b="b"/>
                            <a:pathLst>
                              <a:path w="5" h="5">
                                <a:moveTo>
                                  <a:pt x="0" y="0"/>
                                </a:moveTo>
                                <a:cubicBezTo>
                                  <a:pt x="0" y="3"/>
                                  <a:pt x="2" y="5"/>
                                  <a:pt x="5" y="5"/>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8" name="Freeform 88"/>
                        <wps:cNvSpPr>
                          <a:spLocks/>
                        </wps:cNvSpPr>
                        <wps:spPr bwMode="auto">
                          <a:xfrm>
                            <a:off x="4107714" y="2854495"/>
                            <a:ext cx="525449" cy="531154"/>
                          </a:xfrm>
                          <a:custGeom>
                            <a:avLst/>
                            <a:gdLst>
                              <a:gd name="T0" fmla="*/ 0 w 77"/>
                              <a:gd name="T1" fmla="*/ 0 h 77"/>
                              <a:gd name="T2" fmla="*/ 549910 w 77"/>
                              <a:gd name="T3" fmla="*/ 549910 h 77"/>
                              <a:gd name="T4" fmla="*/ 0 60000 65536"/>
                              <a:gd name="T5" fmla="*/ 0 60000 65536"/>
                            </a:gdLst>
                            <a:ahLst/>
                            <a:cxnLst>
                              <a:cxn ang="T4">
                                <a:pos x="T0" y="T1"/>
                              </a:cxn>
                              <a:cxn ang="T5">
                                <a:pos x="T2" y="T3"/>
                              </a:cxn>
                            </a:cxnLst>
                            <a:rect l="0" t="0" r="r" b="b"/>
                            <a:pathLst>
                              <a:path w="77" h="77">
                                <a:moveTo>
                                  <a:pt x="0" y="0"/>
                                </a:moveTo>
                                <a:cubicBezTo>
                                  <a:pt x="0" y="42"/>
                                  <a:pt x="35" y="77"/>
                                  <a:pt x="77" y="77"/>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9" name="Freeform 89"/>
                        <wps:cNvSpPr>
                          <a:spLocks/>
                        </wps:cNvSpPr>
                        <wps:spPr bwMode="auto">
                          <a:xfrm>
                            <a:off x="4913484" y="2889456"/>
                            <a:ext cx="101935" cy="496194"/>
                          </a:xfrm>
                          <a:custGeom>
                            <a:avLst/>
                            <a:gdLst>
                              <a:gd name="T0" fmla="*/ 49784 w 15"/>
                              <a:gd name="T1" fmla="*/ 513715 h 72"/>
                              <a:gd name="T2" fmla="*/ 0 w 15"/>
                              <a:gd name="T3" fmla="*/ 385286 h 72"/>
                              <a:gd name="T4" fmla="*/ 49784 w 15"/>
                              <a:gd name="T5" fmla="*/ 256858 h 72"/>
                              <a:gd name="T6" fmla="*/ 106680 w 15"/>
                              <a:gd name="T7" fmla="*/ 128429 h 72"/>
                              <a:gd name="T8" fmla="*/ 49784 w 15"/>
                              <a:gd name="T9" fmla="*/ 0 h 7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2">
                                <a:moveTo>
                                  <a:pt x="7" y="72"/>
                                </a:moveTo>
                                <a:cubicBezTo>
                                  <a:pt x="4" y="69"/>
                                  <a:pt x="0" y="64"/>
                                  <a:pt x="0" y="54"/>
                                </a:cubicBezTo>
                                <a:cubicBezTo>
                                  <a:pt x="0" y="44"/>
                                  <a:pt x="4" y="39"/>
                                  <a:pt x="7" y="36"/>
                                </a:cubicBezTo>
                                <a:cubicBezTo>
                                  <a:pt x="10" y="33"/>
                                  <a:pt x="15" y="28"/>
                                  <a:pt x="15" y="18"/>
                                </a:cubicBezTo>
                                <a:cubicBezTo>
                                  <a:pt x="15" y="8"/>
                                  <a:pt x="11" y="2"/>
                                  <a:pt x="7" y="0"/>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0" name="Freeform 90"/>
                        <wps:cNvSpPr>
                          <a:spLocks/>
                        </wps:cNvSpPr>
                        <wps:spPr bwMode="auto">
                          <a:xfrm>
                            <a:off x="4960809" y="3137252"/>
                            <a:ext cx="54609" cy="248403"/>
                          </a:xfrm>
                          <a:custGeom>
                            <a:avLst/>
                            <a:gdLst>
                              <a:gd name="T0" fmla="*/ 0 w 8"/>
                              <a:gd name="T1" fmla="*/ 257175 h 36"/>
                              <a:gd name="T2" fmla="*/ 57150 w 8"/>
                              <a:gd name="T3" fmla="*/ 128588 h 36"/>
                              <a:gd name="T4" fmla="*/ 0 w 8"/>
                              <a:gd name="T5" fmla="*/ 0 h 36"/>
                              <a:gd name="T6" fmla="*/ 0 60000 65536"/>
                              <a:gd name="T7" fmla="*/ 0 60000 65536"/>
                              <a:gd name="T8" fmla="*/ 0 60000 65536"/>
                            </a:gdLst>
                            <a:ahLst/>
                            <a:cxnLst>
                              <a:cxn ang="T6">
                                <a:pos x="T0" y="T1"/>
                              </a:cxn>
                              <a:cxn ang="T7">
                                <a:pos x="T2" y="T3"/>
                              </a:cxn>
                              <a:cxn ang="T8">
                                <a:pos x="T4" y="T5"/>
                              </a:cxn>
                            </a:cxnLst>
                            <a:rect l="0" t="0" r="r" b="b"/>
                            <a:pathLst>
                              <a:path w="8" h="36">
                                <a:moveTo>
                                  <a:pt x="0" y="36"/>
                                </a:moveTo>
                                <a:cubicBezTo>
                                  <a:pt x="4" y="33"/>
                                  <a:pt x="8" y="28"/>
                                  <a:pt x="8" y="18"/>
                                </a:cubicBezTo>
                                <a:cubicBezTo>
                                  <a:pt x="8" y="8"/>
                                  <a:pt x="4" y="3"/>
                                  <a:pt x="0" y="0"/>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1" name="Line 91"/>
                        <wps:cNvCnPr/>
                        <wps:spPr bwMode="auto">
                          <a:xfrm>
                            <a:off x="4435363" y="1048201"/>
                            <a:ext cx="30701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42" name="Freeform 93"/>
                        <wps:cNvSpPr>
                          <a:spLocks/>
                        </wps:cNvSpPr>
                        <wps:spPr bwMode="auto">
                          <a:xfrm>
                            <a:off x="4415339" y="1282504"/>
                            <a:ext cx="252409" cy="1075803"/>
                          </a:xfrm>
                          <a:custGeom>
                            <a:avLst/>
                            <a:gdLst>
                              <a:gd name="T0" fmla="*/ 21418 w 37"/>
                              <a:gd name="T1" fmla="*/ 0 h 156"/>
                              <a:gd name="T2" fmla="*/ 0 w 37"/>
                              <a:gd name="T3" fmla="*/ 92816 h 156"/>
                              <a:gd name="T4" fmla="*/ 0 w 37"/>
                              <a:gd name="T5" fmla="*/ 171352 h 156"/>
                              <a:gd name="T6" fmla="*/ 171347 w 37"/>
                              <a:gd name="T7" fmla="*/ 949577 h 156"/>
                              <a:gd name="T8" fmla="*/ 264160 w 37"/>
                              <a:gd name="T9" fmla="*/ 1113790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 h="156">
                                <a:moveTo>
                                  <a:pt x="3" y="0"/>
                                </a:moveTo>
                                <a:lnTo>
                                  <a:pt x="0" y="13"/>
                                </a:lnTo>
                                <a:lnTo>
                                  <a:pt x="0" y="24"/>
                                </a:lnTo>
                                <a:lnTo>
                                  <a:pt x="24" y="133"/>
                                </a:lnTo>
                                <a:cubicBezTo>
                                  <a:pt x="26" y="142"/>
                                  <a:pt x="29" y="149"/>
                                  <a:pt x="37" y="156"/>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3" name="Freeform 94"/>
                        <wps:cNvSpPr>
                          <a:spLocks/>
                        </wps:cNvSpPr>
                        <wps:spPr bwMode="auto">
                          <a:xfrm>
                            <a:off x="4046434" y="1282504"/>
                            <a:ext cx="252409" cy="1075803"/>
                          </a:xfrm>
                          <a:custGeom>
                            <a:avLst/>
                            <a:gdLst>
                              <a:gd name="T0" fmla="*/ 242742 w 37"/>
                              <a:gd name="T1" fmla="*/ 0 h 156"/>
                              <a:gd name="T2" fmla="*/ 264160 w 37"/>
                              <a:gd name="T3" fmla="*/ 92816 h 156"/>
                              <a:gd name="T4" fmla="*/ 264160 w 37"/>
                              <a:gd name="T5" fmla="*/ 171352 h 156"/>
                              <a:gd name="T6" fmla="*/ 92813 w 37"/>
                              <a:gd name="T7" fmla="*/ 949577 h 156"/>
                              <a:gd name="T8" fmla="*/ 0 w 37"/>
                              <a:gd name="T9" fmla="*/ 1113790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 h="156">
                                <a:moveTo>
                                  <a:pt x="34" y="0"/>
                                </a:moveTo>
                                <a:lnTo>
                                  <a:pt x="37" y="13"/>
                                </a:lnTo>
                                <a:lnTo>
                                  <a:pt x="37" y="24"/>
                                </a:lnTo>
                                <a:lnTo>
                                  <a:pt x="13" y="133"/>
                                </a:lnTo>
                                <a:cubicBezTo>
                                  <a:pt x="11" y="142"/>
                                  <a:pt x="7" y="149"/>
                                  <a:pt x="0" y="156"/>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4" name="Line 95"/>
                        <wps:cNvCnPr/>
                        <wps:spPr bwMode="auto">
                          <a:xfrm>
                            <a:off x="3821327" y="2075549"/>
                            <a:ext cx="41623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45" name="Rectangle 102"/>
                        <wps:cNvSpPr>
                          <a:spLocks noChangeArrowheads="1"/>
                        </wps:cNvSpPr>
                        <wps:spPr bwMode="auto">
                          <a:xfrm>
                            <a:off x="2487840" y="45073"/>
                            <a:ext cx="63563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F39" w:rsidRPr="00911B5E" w:rsidRDefault="00D53F39" w:rsidP="00E24DB7">
                              <w:pPr>
                                <w:spacing w:line="240" w:lineRule="auto"/>
                                <w:jc w:val="center"/>
                                <w:rPr>
                                  <w:sz w:val="16"/>
                                  <w:szCs w:val="16"/>
                                </w:rPr>
                              </w:pPr>
                              <w:r>
                                <w:rPr>
                                  <w:color w:val="24211D"/>
                                  <w:sz w:val="16"/>
                                  <w:szCs w:val="16"/>
                                  <w:lang w:val="en-US"/>
                                </w:rPr>
                                <w:t xml:space="preserve">Vanne </w:t>
                              </w:r>
                              <w:r>
                                <w:rPr>
                                  <w:color w:val="24211D"/>
                                  <w:sz w:val="16"/>
                                  <w:szCs w:val="16"/>
                                  <w:lang w:val="en-US"/>
                                </w:rPr>
                                <w:br/>
                                <w:t xml:space="preserve">de réglage </w:t>
                              </w:r>
                              <w:r>
                                <w:rPr>
                                  <w:color w:val="24211D"/>
                                  <w:sz w:val="16"/>
                                  <w:szCs w:val="16"/>
                                  <w:lang w:val="en-US"/>
                                </w:rPr>
                                <w:br/>
                                <w:t>de débit</w:t>
                              </w:r>
                            </w:p>
                          </w:txbxContent>
                        </wps:txbx>
                        <wps:bodyPr rot="0" vert="horz" wrap="square" lIns="0" tIns="0" rIns="0" bIns="0" anchor="t" anchorCtr="0" upright="1">
                          <a:spAutoFit/>
                        </wps:bodyPr>
                      </wps:wsp>
                      <wps:wsp>
                        <wps:cNvPr id="14146" name="Rectangle 103"/>
                        <wps:cNvSpPr>
                          <a:spLocks noChangeArrowheads="1"/>
                        </wps:cNvSpPr>
                        <wps:spPr bwMode="auto">
                          <a:xfrm>
                            <a:off x="1603529" y="951257"/>
                            <a:ext cx="184218" cy="149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F39" w:rsidRPr="00911B5E" w:rsidRDefault="00D53F39" w:rsidP="00E24DB7">
                              <w:pPr>
                                <w:rPr>
                                  <w:sz w:val="16"/>
                                  <w:szCs w:val="16"/>
                                </w:rPr>
                              </w:pPr>
                              <w:r w:rsidRPr="00911B5E">
                                <w:rPr>
                                  <w:color w:val="24211D"/>
                                  <w:sz w:val="16"/>
                                  <w:szCs w:val="16"/>
                                  <w:lang w:val="en-US"/>
                                </w:rPr>
                                <w:t>LFE</w:t>
                              </w:r>
                            </w:p>
                          </w:txbxContent>
                        </wps:txbx>
                        <wps:bodyPr rot="0" vert="horz" wrap="none" lIns="0" tIns="0" rIns="0" bIns="0" anchor="t" anchorCtr="0" upright="1">
                          <a:spAutoFit/>
                        </wps:bodyPr>
                      </wps:wsp>
                      <wps:wsp>
                        <wps:cNvPr id="14147" name="Rectangle 104"/>
                        <wps:cNvSpPr>
                          <a:spLocks noChangeArrowheads="1"/>
                        </wps:cNvSpPr>
                        <wps:spPr bwMode="auto">
                          <a:xfrm>
                            <a:off x="546063" y="1324616"/>
                            <a:ext cx="7162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F39" w:rsidRPr="00911B5E" w:rsidRDefault="00D53F39" w:rsidP="00E24DB7">
                              <w:pPr>
                                <w:rPr>
                                  <w:sz w:val="16"/>
                                  <w:szCs w:val="16"/>
                                </w:rPr>
                              </w:pPr>
                              <w:r>
                                <w:rPr>
                                  <w:color w:val="24211D"/>
                                  <w:sz w:val="16"/>
                                  <w:szCs w:val="16"/>
                                  <w:lang w:val="en-US"/>
                                </w:rPr>
                                <w:t>Thermomètre</w:t>
                              </w:r>
                            </w:p>
                          </w:txbxContent>
                        </wps:txbx>
                        <wps:bodyPr rot="0" vert="horz" wrap="square" lIns="0" tIns="0" rIns="0" bIns="0" anchor="t" anchorCtr="0" upright="1">
                          <a:spAutoFit/>
                        </wps:bodyPr>
                      </wps:wsp>
                      <wps:wsp>
                        <wps:cNvPr id="14148" name="Rectangle 106"/>
                        <wps:cNvSpPr>
                          <a:spLocks noChangeArrowheads="1"/>
                        </wps:cNvSpPr>
                        <wps:spPr bwMode="auto">
                          <a:xfrm>
                            <a:off x="327640" y="199919"/>
                            <a:ext cx="340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F39" w:rsidRPr="00911B5E" w:rsidRDefault="00D53F39" w:rsidP="00E24DB7">
                              <w:pPr>
                                <w:rPr>
                                  <w:sz w:val="16"/>
                                  <w:szCs w:val="16"/>
                                </w:rPr>
                              </w:pPr>
                              <w:r>
                                <w:rPr>
                                  <w:color w:val="24211D"/>
                                  <w:sz w:val="16"/>
                                  <w:szCs w:val="16"/>
                                  <w:lang w:val="en-US"/>
                                </w:rPr>
                                <w:t>Filtre</w:t>
                              </w:r>
                            </w:p>
                          </w:txbxContent>
                        </wps:txbx>
                        <wps:bodyPr rot="0" vert="horz" wrap="square" lIns="0" tIns="0" rIns="0" bIns="0" anchor="t" anchorCtr="0" upright="1">
                          <a:spAutoFit/>
                        </wps:bodyPr>
                      </wps:wsp>
                      <wps:wsp>
                        <wps:cNvPr id="14149" name="Rectangle 107"/>
                        <wps:cNvSpPr>
                          <a:spLocks noChangeArrowheads="1"/>
                        </wps:cNvSpPr>
                        <wps:spPr bwMode="auto">
                          <a:xfrm>
                            <a:off x="245737" y="1006495"/>
                            <a:ext cx="231777" cy="7362"/>
                          </a:xfrm>
                          <a:prstGeom prst="rect">
                            <a:avLst/>
                          </a:prstGeom>
                          <a:solidFill>
                            <a:srgbClr val="24211D"/>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t" anchorCtr="0" upright="1">
                          <a:noAutofit/>
                        </wps:bodyPr>
                      </wps:wsp>
                      <wps:wsp>
                        <wps:cNvPr id="14150" name="Line 108"/>
                        <wps:cNvCnPr/>
                        <wps:spPr bwMode="auto">
                          <a:xfrm>
                            <a:off x="2760118" y="407874"/>
                            <a:ext cx="139551" cy="235524"/>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4151" name="Line 112"/>
                        <wps:cNvCnPr/>
                        <wps:spPr bwMode="auto">
                          <a:xfrm flipV="1">
                            <a:off x="481159" y="1029197"/>
                            <a:ext cx="607" cy="263123"/>
                          </a:xfrm>
                          <a:prstGeom prst="line">
                            <a:avLst/>
                          </a:prstGeom>
                          <a:noFill/>
                          <a:ln w="317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152" name="Freeform 113"/>
                        <wps:cNvSpPr>
                          <a:spLocks/>
                        </wps:cNvSpPr>
                        <wps:spPr bwMode="auto">
                          <a:xfrm>
                            <a:off x="217222" y="348379"/>
                            <a:ext cx="257868" cy="125122"/>
                          </a:xfrm>
                          <a:custGeom>
                            <a:avLst/>
                            <a:gdLst>
                              <a:gd name="T0" fmla="*/ 269875 w 38"/>
                              <a:gd name="T1" fmla="*/ 0 h 21"/>
                              <a:gd name="T2" fmla="*/ 0 w 38"/>
                              <a:gd name="T3" fmla="*/ 0 h 21"/>
                              <a:gd name="T4" fmla="*/ 0 w 38"/>
                              <a:gd name="T5" fmla="*/ 129540 h 21"/>
                              <a:gd name="T6" fmla="*/ 0 60000 65536"/>
                              <a:gd name="T7" fmla="*/ 0 60000 65536"/>
                              <a:gd name="T8" fmla="*/ 0 60000 65536"/>
                            </a:gdLst>
                            <a:ahLst/>
                            <a:cxnLst>
                              <a:cxn ang="T6">
                                <a:pos x="T0" y="T1"/>
                              </a:cxn>
                              <a:cxn ang="T7">
                                <a:pos x="T2" y="T3"/>
                              </a:cxn>
                              <a:cxn ang="T8">
                                <a:pos x="T4" y="T5"/>
                              </a:cxn>
                            </a:cxnLst>
                            <a:rect l="0" t="0" r="r" b="b"/>
                            <a:pathLst>
                              <a:path w="38" h="21">
                                <a:moveTo>
                                  <a:pt x="38" y="0"/>
                                </a:moveTo>
                                <a:lnTo>
                                  <a:pt x="0" y="0"/>
                                </a:lnTo>
                                <a:lnTo>
                                  <a:pt x="0" y="21"/>
                                </a:lnTo>
                              </a:path>
                            </a:pathLst>
                          </a:custGeom>
                          <a:noFill/>
                          <a:ln w="3175">
                            <a:solidFill>
                              <a:srgbClr val="24211D"/>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53" name="Line 114"/>
                        <wps:cNvCnPr/>
                        <wps:spPr bwMode="auto">
                          <a:xfrm>
                            <a:off x="3094436" y="737857"/>
                            <a:ext cx="229354" cy="615"/>
                          </a:xfrm>
                          <a:prstGeom prst="line">
                            <a:avLst/>
                          </a:prstGeom>
                          <a:noFill/>
                          <a:ln w="3175">
                            <a:solidFill>
                              <a:srgbClr val="24211D"/>
                            </a:solidFill>
                            <a:prstDash val="lgDash"/>
                            <a:round/>
                            <a:headEnd/>
                            <a:tailEnd/>
                          </a:ln>
                          <a:extLst>
                            <a:ext uri="{909E8E84-426E-40DD-AFC4-6F175D3DCCD1}">
                              <a14:hiddenFill xmlns:a14="http://schemas.microsoft.com/office/drawing/2010/main">
                                <a:noFill/>
                              </a14:hiddenFill>
                            </a:ext>
                          </a:extLst>
                        </wps:spPr>
                        <wps:bodyPr/>
                      </wps:wsp>
                      <wps:wsp>
                        <wps:cNvPr id="14154" name="Text Box 582"/>
                        <wps:cNvSpPr txBox="1">
                          <a:spLocks noChangeArrowheads="1"/>
                        </wps:cNvSpPr>
                        <wps:spPr bwMode="auto">
                          <a:xfrm>
                            <a:off x="1383796" y="72367"/>
                            <a:ext cx="505459" cy="250725"/>
                          </a:xfrm>
                          <a:prstGeom prst="rect">
                            <a:avLst/>
                          </a:prstGeom>
                          <a:solidFill>
                            <a:srgbClr val="FFFFFF"/>
                          </a:solidFill>
                          <a:ln w="9525">
                            <a:solidFill>
                              <a:sysClr val="window" lastClr="FFFFFF">
                                <a:lumMod val="100000"/>
                                <a:lumOff val="0"/>
                              </a:sysClr>
                            </a:solidFill>
                            <a:miter lim="800000"/>
                            <a:headEnd/>
                            <a:tailEnd/>
                          </a:ln>
                        </wps:spPr>
                        <wps:txbx>
                          <w:txbxContent>
                            <w:p w:rsidR="00D53F39" w:rsidRPr="00911B5E" w:rsidRDefault="00D53F39" w:rsidP="00E24DB7">
                              <w:pPr>
                                <w:rPr>
                                  <w:sz w:val="16"/>
                                  <w:szCs w:val="16"/>
                                  <w:lang w:val="de-DE"/>
                                </w:rPr>
                              </w:pPr>
                              <w:r w:rsidRPr="00911B5E">
                                <w:rPr>
                                  <w:sz w:val="16"/>
                                  <w:szCs w:val="16"/>
                                  <w:lang w:val="de-DE"/>
                                </w:rPr>
                                <w:t>EDP</w:t>
                              </w:r>
                            </w:p>
                          </w:txbxContent>
                        </wps:txbx>
                        <wps:bodyPr rot="0" vert="horz" wrap="square" lIns="91440" tIns="45720" rIns="91440" bIns="45720" anchor="t" anchorCtr="0" upright="1">
                          <a:spAutoFit/>
                        </wps:bodyPr>
                      </wps:wsp>
                      <wps:wsp>
                        <wps:cNvPr id="14155" name="Rectangle 105"/>
                        <wps:cNvSpPr>
                          <a:spLocks noChangeArrowheads="1"/>
                        </wps:cNvSpPr>
                        <wps:spPr bwMode="auto">
                          <a:xfrm>
                            <a:off x="136503" y="1034351"/>
                            <a:ext cx="15811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F39" w:rsidRPr="00911B5E" w:rsidRDefault="00D53F39" w:rsidP="00E24DB7">
                              <w:pPr>
                                <w:rPr>
                                  <w:color w:val="24211D"/>
                                  <w:sz w:val="16"/>
                                  <w:szCs w:val="16"/>
                                  <w:lang w:val="en-US"/>
                                </w:rPr>
                              </w:pPr>
                              <w:r w:rsidRPr="00911B5E">
                                <w:rPr>
                                  <w:color w:val="24211D"/>
                                  <w:sz w:val="16"/>
                                  <w:szCs w:val="16"/>
                                  <w:lang w:val="en-US"/>
                                </w:rPr>
                                <w:t>ETI</w:t>
                              </w:r>
                            </w:p>
                            <w:p w:rsidR="00D53F39" w:rsidRPr="00911B5E" w:rsidRDefault="00D53F39" w:rsidP="00E24DB7">
                              <w:pPr>
                                <w:rPr>
                                  <w:sz w:val="16"/>
                                  <w:szCs w:val="16"/>
                                </w:rPr>
                              </w:pPr>
                              <w:r w:rsidRPr="00911B5E">
                                <w:rPr>
                                  <w:color w:val="24211D"/>
                                  <w:sz w:val="16"/>
                                  <w:szCs w:val="16"/>
                                  <w:lang w:val="en-US"/>
                                </w:rPr>
                                <w:t>EPI</w:t>
                              </w:r>
                            </w:p>
                          </w:txbxContent>
                        </wps:txbx>
                        <wps:bodyPr rot="0" vert="horz" wrap="none" lIns="0" tIns="0" rIns="0" bIns="0" anchor="t" anchorCtr="0" upright="1">
                          <a:spAutoFit/>
                        </wps:bodyPr>
                      </wps:wsp>
                      <wps:wsp>
                        <wps:cNvPr id="14156" name="Text Box 585"/>
                        <wps:cNvSpPr txBox="1">
                          <a:spLocks noChangeArrowheads="1"/>
                        </wps:cNvSpPr>
                        <wps:spPr bwMode="auto">
                          <a:xfrm>
                            <a:off x="3609469" y="1925097"/>
                            <a:ext cx="43053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3F39" w:rsidRPr="00911B5E" w:rsidRDefault="00D53F39" w:rsidP="00E24DB7">
                              <w:pPr>
                                <w:rPr>
                                  <w:sz w:val="16"/>
                                  <w:szCs w:val="16"/>
                                  <w:lang w:val="de-DE"/>
                                </w:rPr>
                              </w:pPr>
                              <w:r w:rsidRPr="00911B5E">
                                <w:rPr>
                                  <w:sz w:val="16"/>
                                  <w:szCs w:val="16"/>
                                  <w:lang w:val="de-DE"/>
                                </w:rPr>
                                <w:t>CFV</w:t>
                              </w:r>
                            </w:p>
                          </w:txbxContent>
                        </wps:txbx>
                        <wps:bodyPr rot="0" vert="horz" wrap="square" lIns="91440" tIns="45720" rIns="91440" bIns="45720" anchor="t" anchorCtr="0" upright="1">
                          <a:spAutoFit/>
                        </wps:bodyPr>
                      </wps:wsp>
                      <wps:wsp>
                        <wps:cNvPr id="14157" name="Text Box 584"/>
                        <wps:cNvSpPr txBox="1">
                          <a:spLocks noChangeArrowheads="1"/>
                        </wps:cNvSpPr>
                        <wps:spPr bwMode="auto">
                          <a:xfrm>
                            <a:off x="4819624" y="851156"/>
                            <a:ext cx="509270"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3F39" w:rsidRPr="00911B5E" w:rsidRDefault="00D53F39" w:rsidP="00E24DB7">
                              <w:pPr>
                                <w:rPr>
                                  <w:sz w:val="16"/>
                                  <w:szCs w:val="16"/>
                                  <w:lang w:val="de-DE"/>
                                </w:rPr>
                              </w:pPr>
                              <w:r w:rsidRPr="00911B5E">
                                <w:rPr>
                                  <w:sz w:val="16"/>
                                  <w:szCs w:val="16"/>
                                  <w:lang w:val="de-DE"/>
                                </w:rPr>
                                <w:t>T</w:t>
                              </w:r>
                              <w:r w:rsidRPr="00911B5E">
                                <w:rPr>
                                  <w:sz w:val="16"/>
                                  <w:szCs w:val="16"/>
                                  <w:vertAlign w:val="subscript"/>
                                  <w:lang w:val="de-DE"/>
                                </w:rPr>
                                <w:t>v</w:t>
                              </w:r>
                            </w:p>
                            <w:p w:rsidR="00D53F39" w:rsidRPr="00911B5E" w:rsidRDefault="00D53F39" w:rsidP="00E24DB7">
                              <w:pPr>
                                <w:rPr>
                                  <w:sz w:val="16"/>
                                  <w:szCs w:val="16"/>
                                  <w:lang w:val="de-DE"/>
                                </w:rPr>
                              </w:pPr>
                              <w:r w:rsidRPr="00911B5E">
                                <w:rPr>
                                  <w:sz w:val="16"/>
                                  <w:szCs w:val="16"/>
                                  <w:lang w:val="de-DE"/>
                                </w:rPr>
                                <w:t>PPI</w:t>
                              </w:r>
                            </w:p>
                          </w:txbxContent>
                        </wps:txbx>
                        <wps:bodyPr rot="0" vert="horz" wrap="square" lIns="91440" tIns="45720" rIns="91440" bIns="45720" anchor="t" anchorCtr="0" upright="1">
                          <a:spAutoFit/>
                        </wps:bodyPr>
                      </wps:wsp>
                    </wpc:wpc>
                  </a:graphicData>
                </a:graphic>
              </wp:inline>
            </w:drawing>
          </mc:Choice>
          <mc:Fallback>
            <w:pict>
              <v:group w14:anchorId="0ED18BDE" id="Zeichenbereich 13387" o:spid="_x0000_s1230" editas="canvas" style="width:422.35pt;height:269.3pt;mso-position-horizontal-relative:char;mso-position-vertical-relative:line" coordsize="53638,34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">
                <v:shape id="_x0000_s1231" type="#_x0000_t75" style="position:absolute;width:53638;height:34194;visibility:visible;mso-wrap-style:square">
                  <v:fill o:detectmouseclick="t"/>
                  <v:path o:connecttype="none"/>
                </v:shape>
                <v:shape id="Freeform 15" o:spid="_x0000_s1232" style="position:absolute;left:479;top:4894;width:6207;height:2208;visibility:visible;mso-wrap-style:square;v-text-anchor:top" coordsize="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" path="m15,25l6,29r9,3l,32,,,91,r,32l80,32r,-7l15,25xe" fillcolor="#24211d" stroked="f" strokeweight=".25pt">
                  <v:path arrowok="t" o:connecttype="custom" o:connectlocs="730373155,1232320924;292147898,1429491996;730373155,1577368575;0,1577368575;0,0;2147483646,0;2147483646,1577368575;2147483646,1577368575;2147483646,1232320924;730373155,1232320924" o:connectangles="0,0,0,0,0,0,0,0,0,0"/>
                </v:shape>
                <v:shape id="Freeform 16" o:spid="_x0000_s1233" style="position:absolute;left:479;top:4894;width:6207;height:2208;visibility:visible;mso-wrap-style:square;v-text-anchor:top" coordsize="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" path="m15,25l6,29r9,3l,32,,,91,r,32l80,32r,-7l15,25xe" filled="f" strokecolor="#24211d" strokeweight=".25pt">
                  <v:path arrowok="t" o:connecttype="custom" o:connectlocs="730373155,1232320924;292147898,1429491996;730373155,1577368575;0,1577368575;0,0;2147483646,0;2147483646,1577368575;2147483646,1577368575;2147483646,1232320924;730373155,1232320924" o:connectangles="0,0,0,0,0,0,0,0,0,0"/>
                </v:shape>
                <v:shape id="Freeform 824" o:spid="_x0000_s1234" style="position:absolute;left:479;top:7654;width:6207;height:2208;visibility:visible;mso-wrap-style:square;v-text-anchor:top" coordsize="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" path="m80,r,7l15,7,15,,,,,32r91,l91,,80,xe" fillcolor="#24211d" stroked="f" strokeweight=".25pt">
                  <v:path arrowok="t" o:connecttype="custom" o:connectlocs="2147483646,0;2147483646,345047651;730373155,345047651;730373155,0;0,0;0,1577368575;2147483646,1577368575;2147483646,0;2147483646,0" o:connectangles="0,0,0,0,0,0,0,0,0"/>
                </v:shape>
                <v:shape id="Freeform 825" o:spid="_x0000_s1235" style="position:absolute;left:479;top:7654;width:6207;height:2208;visibility:visible;mso-wrap-style:square;v-text-anchor:top" coordsize="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" path="m80,r,7l15,7,15,,,,,32r91,l91,,80,xe" filled="f" strokecolor="#24211d" strokeweight=".25pt">
                  <v:path arrowok="t" o:connecttype="custom" o:connectlocs="2147483646,0;2147483646,345047651;730373155,345047651;730373155,0;0,0;0,1577368575;2147483646,1577368575;2147483646,0;2147483646,0" o:connectangles="0,0,0,0,0,0,0,0,0"/>
                </v:shape>
                <v:line id="Line 19" o:spid="_x0000_s1236" style="position:absolute;flip:y;visibility:visible;mso-wrap-style:square" from="1498,6617" to="1498,7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" strokecolor="#24211d" strokeweight=".25pt"/>
                <v:line id="Line 20" o:spid="_x0000_s1237" style="position:absolute;visibility:visible;mso-wrap-style:square" from="12626,5655" to="19173,5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" strokecolor="#24211d" strokeweight=".25pt"/>
                <v:line id="Line 21" o:spid="_x0000_s1238" style="position:absolute;visibility:visible;mso-wrap-style:square" from="12626,9169" to="19173,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" strokecolor="#24211d" strokeweight=".25pt"/>
                <v:line id="Line 22" o:spid="_x0000_s1239" style="position:absolute;visibility:visible;mso-wrap-style:square" from="20605,6483" to="30914,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" strokecolor="#24211d" strokeweight=".25pt"/>
                <v:line id="Line 23" o:spid="_x0000_s1240" style="position:absolute;visibility:visible;mso-wrap-style:square" from="20605,8274" to="30914,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" strokecolor="#24211d" strokeweight=".25pt"/>
                <v:line id="Line 24" o:spid="_x0000_s1241" style="position:absolute;visibility:visible;mso-wrap-style:square" from="19173,5655" to="20605,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" strokecolor="#24211d" strokeweight=".25pt"/>
                <v:line id="Line 25" o:spid="_x0000_s1242" style="position:absolute;flip:x;visibility:visible;mso-wrap-style:square" from="11188,5655" to="12626,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" strokecolor="#24211d" strokeweight="0"/>
                <v:line id="Line 26" o:spid="_x0000_s1243" style="position:absolute;flip:x;visibility:visible;mso-wrap-style:square" from="11188,5655" to="12626,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" strokecolor="#24211d" strokeweight=".25pt"/>
                <v:line id="Line 27" o:spid="_x0000_s1244" style="position:absolute;visibility:visible;mso-wrap-style:square" from="6686,5655" to="8118,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" strokecolor="#24211d" strokeweight=".25pt"/>
                <v:line id="Line 28" o:spid="_x0000_s1245" style="position:absolute;flip:y;visibility:visible;mso-wrap-style:square" from="19173,8274" to="20605,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" strokecolor="#24211d" strokeweight=".25pt"/>
                <v:line id="Line 29" o:spid="_x0000_s1246" style="position:absolute;flip:x y;visibility:visible;mso-wrap-style:square" from="11188,8274" to="12626,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" strokecolor="#24211d" strokeweight="0"/>
                <v:line id="Line 30" o:spid="_x0000_s1247" style="position:absolute;flip:x y;visibility:visible;mso-wrap-style:square" from="11188,8274" to="12626,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" strokecolor="#24211d" strokeweight=".25pt"/>
                <v:line id="Line 31" o:spid="_x0000_s1248" style="position:absolute;flip:y;visibility:visible;mso-wrap-style:square" from="6686,8274" to="8118,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" strokecolor="#24211d" strokeweight=".25pt"/>
                <v:line id="Line 32" o:spid="_x0000_s1249" style="position:absolute;flip:x;visibility:visible;mso-wrap-style:square" from="8118,6483" to="11188,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" strokecolor="#24211d" strokeweight=".25pt"/>
                <v:line id="Line 33" o:spid="_x0000_s1250" style="position:absolute;flip:x;visibility:visible;mso-wrap-style:square" from="8118,8274" to="11188,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" strokecolor="#24211d" strokeweight=".25pt"/>
                <v:line id="Line 34" o:spid="_x0000_s1251" style="position:absolute;visibility:visible;mso-wrap-style:square" from="14944,7654" to="14944,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" strokecolor="#24211d" strokeweight=".25pt"/>
                <v:line id="Line 35" o:spid="_x0000_s1252" style="position:absolute;visibility:visible;mso-wrap-style:square" from="14191,7654" to="14191,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" strokecolor="#24211d" strokeweight=".25pt"/>
                <v:line id="Line 36" o:spid="_x0000_s1253" style="position:absolute;visibility:visible;mso-wrap-style:square" from="14944,5655" to="14944,7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" strokecolor="#24211d" strokeweight=".25pt"/>
                <v:line id="Line 37" o:spid="_x0000_s1254" style="position:absolute;visibility:visible;mso-wrap-style:square" from="14191,5655" to="14191,7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" strokecolor="#24211d" strokeweight=".25pt"/>
                <v:line id="Line 38" o:spid="_x0000_s1255" style="position:absolute;visibility:visible;mso-wrap-style:square" from="18014,5655" to="18014,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" strokecolor="#24211d" strokeweight=".25pt"/>
                <v:rect id="Rectangle 39" o:spid="_x0000_s1256" style="position:absolute;left:16103;top:5863;width:1705;height: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" filled="f" strokecolor="#24211d" strokeweight=".25pt"/>
                <v:line id="Line 40" o:spid="_x0000_s1257" style="position:absolute;visibility:visible;mso-wrap-style:square" from="8597,7654" to="8597,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" strokecolor="#24211d" strokeweight=".25pt"/>
                <v:line id="Line 41" o:spid="_x0000_s1258" style="position:absolute;visibility:visible;mso-wrap-style:square" from="8597,6483" to="8597,7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" strokecolor="#24211d" strokeweight=".25pt"/>
                <v:line id="Line 42" o:spid="_x0000_s1259" style="position:absolute;visibility:visible;mso-wrap-style:square" from="29409,6483" to="29409,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" strokecolor="#24211d" strokeweight=".25pt"/>
                <v:line id="Line 43" o:spid="_x0000_s1260" style="position:absolute;visibility:visible;mso-wrap-style:square" from="27977,6483" to="29409,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" strokecolor="#24211d" strokeweight=".25pt"/>
                <v:shape id="Freeform 44" o:spid="_x0000_s1261" style="position:absolute;left:25999;top:7311;width:2730;height:2202;visibility:visible;mso-wrap-style:square;v-text-anchor:top" coordsize="4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" path="m,30l38,r2,2l2,32,,30xe" fillcolor="#24211d" stroked="f">
                  <v:path arrowok="t" o:connecttype="custom" o:connectlocs="0,1470566641;1853013225,0;1950536644,98039152;97530245,1568605793;0,1470566641" o:connectangles="0,0,0,0,0"/>
                </v:shape>
                <v:line id="Line 45" o:spid="_x0000_s1262" style="position:absolute;visibility:visible;mso-wrap-style:square" from="30914,6483" to="30914,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" strokecolor="#24211d" strokeweight=".25pt"/>
                <v:rect id="Rectangle 46" o:spid="_x0000_s1263" style="position:absolute;left:32072;top:6341;width:6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" fillcolor="#24211d" stroked="f"/>
                <v:line id="Line 47" o:spid="_x0000_s1264" style="position:absolute;visibility:visible;mso-wrap-style:square" from="18014,7378" to="29397,7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" strokecolor="#24211d" strokeweight=".25pt">
                  <v:stroke dashstyle="longDash"/>
                </v:line>
                <v:line id="Line 48" o:spid="_x0000_s1265" style="position:absolute;visibility:visible;mso-wrap-style:square" from="30914,8065" to="33231,8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" strokecolor="#24211d" strokeweight=".25pt"/>
                <v:line id="Line 49" o:spid="_x0000_s1266" style="position:absolute;visibility:visible;mso-wrap-style:square" from="30914,6691" to="33231,6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" strokecolor="#24211d" strokeweight=".25pt"/>
                <v:line id="Line 50" o:spid="_x0000_s1267" style="position:absolute;flip:x;visibility:visible;mso-wrap-style:square" from="479,7654" to="16103,7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" strokecolor="#24211d" strokeweight=".25pt"/>
                <v:line id="Line 51" o:spid="_x0000_s1268" style="position:absolute;flip:x;visibility:visible;mso-wrap-style:square" from="479,7102" to="16103,7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" strokecolor="#24211d" strokeweight=".25pt"/>
                <v:shape id="Freeform 52" o:spid="_x0000_s1269" style="position:absolute;top:7102;width:479;height:552;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" path="m7,l,4,7,8e" filled="f" strokecolor="#24211d" strokeweight=".25pt">
                  <v:path arrowok="t" o:connecttype="custom" o:connectlocs="343501254,0;0,197171072;343501254,394342144" o:connectangles="0,0,0"/>
                </v:shape>
                <v:line id="Line 53" o:spid="_x0000_s1270" style="position:absolute;visibility:visible;mso-wrap-style:square" from="14264,5035" to="15490,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" strokecolor="#24211d" strokeweight=".25pt"/>
                <v:shape id="Freeform 54" o:spid="_x0000_s1271" style="position:absolute;left:14537;top:4274;width:680;height:344;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" path="m,5c,3,2,,5,v3,,5,3,5,5e" filled="f" strokecolor="#24211d" strokeweight=".25pt">
                  <v:path arrowok="t" o:connecttype="custom" o:connectlocs="0,244268752;241655092,0;483310184,244268752" o:connectangles="0,0,0"/>
                </v:shape>
                <v:line id="Line 55" o:spid="_x0000_s1272" style="position:absolute;visibility:visible;mso-wrap-style:square" from="14537,4618" to="14537,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" strokecolor="#24211d" strokeweight=".25pt"/>
                <v:line id="Line 56" o:spid="_x0000_s1273" style="position:absolute;visibility:visible;mso-wrap-style:square" from="15217,4618" to="15217,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" strokecolor="#24211d" strokeweight=".25pt"/>
                <v:line id="Line 57" o:spid="_x0000_s1274" style="position:absolute;flip:y;visibility:visible;mso-wrap-style:square" from="14877,2760" to="14877,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" strokecolor="#24211d" strokeweight=".25pt"/>
                <v:line id="Line 58" o:spid="_x0000_s1275" style="position:absolute;visibility:visible;mso-wrap-style:square" from="16309,5035" to="17607,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" strokecolor="#24211d" strokeweight=".25pt"/>
                <v:shape id="Freeform 59" o:spid="_x0000_s1276" style="position:absolute;left:16582;top:4274;width:680;height:344;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" path="m,5c,3,3,,5,v3,,5,3,5,5e" filled="f" strokecolor="#24211d" strokeweight=".25pt">
                  <v:path arrowok="t" o:connecttype="custom" o:connectlocs="0,244268752;241655092,0;483310184,244268752" o:connectangles="0,0,0"/>
                </v:shape>
                <v:line id="Line 60" o:spid="_x0000_s1277" style="position:absolute;visibility:visible;mso-wrap-style:square" from="16582,4618" to="16582,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" strokecolor="#24211d" strokeweight=".25pt"/>
                <v:line id="Line 61" o:spid="_x0000_s1278" style="position:absolute;visibility:visible;mso-wrap-style:square" from="17262,4618" to="17262,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" strokecolor="#24211d" strokeweight=".25pt"/>
                <v:line id="Line 62" o:spid="_x0000_s1279" style="position:absolute;flip:y;visibility:visible;mso-wrap-style:square" from="16922,2760" to="16922,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" strokecolor="#24211d" strokeweight=".25pt"/>
                <v:shape id="Freeform 63" o:spid="_x0000_s1280" style="position:absolute;left:33231;top:3170;width:6826;height:10415;visibility:visible;mso-wrap-style:square;v-text-anchor:top" coordsize="10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" path="m62,r38,l100,151,,151,,,39,e" filled="f" strokecolor="#24211d" strokeweight=".25pt">
                  <v:path arrowok="t" o:connecttype="custom" o:connectlocs="2147483646,0;2147483646,0;2147483646,2147483646;0,2147483646;0,0;1901756198,0" o:connectangles="0,0,0,0,0,0"/>
                </v:shape>
                <v:shape id="Freeform 64" o:spid="_x0000_s1281" style="position:absolute;left:35003;top:18688;width:3349;height:0;visibility:visible;mso-wrap-style:square;v-text-anchor:top" coordsize="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" path="m,l,,49,,,e" filled="f" strokecolor="#24211d" strokeweight=".25pt">
                  <v:path arrowok="t" o:connecttype="custom" o:connectlocs="0,0;0,0;2147483646,0;0,0" o:connectangles="0,0,0,0"/>
                </v:shape>
                <v:line id="Line 65" o:spid="_x0000_s1282" style="position:absolute;visibility:visible;mso-wrap-style:square" from="33231,13585" to="35003,18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" strokecolor="#24211d" strokeweight=".25pt"/>
                <v:line id="Line 66" o:spid="_x0000_s1283" style="position:absolute;flip:y;visibility:visible;mso-wrap-style:square" from="38352,13585" to="40057,18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" strokecolor="#24211d" strokeweight=".25pt"/>
                <v:line id="Line 67" o:spid="_x0000_s1284" style="position:absolute;visibility:visible;mso-wrap-style:square" from="37733,0" to="424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" strokecolor="#24211d" strokeweight=".25pt"/>
                <v:line id="Line 68" o:spid="_x0000_s1285" style="position:absolute;visibility:visible;mso-wrap-style:square" from="37733,1588" to="42442,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" strokecolor="#24211d" strokeweight=".25pt"/>
                <v:line id="Line 69" o:spid="_x0000_s1286" style="position:absolute;visibility:visible;mso-wrap-style:square" from="44353,1932" to="44353,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" strokecolor="#24211d" strokeweight=".25pt"/>
                <v:line id="Line 70" o:spid="_x0000_s1287" style="position:absolute;visibility:visible;mso-wrap-style:square" from="42788,1932" to="42788,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" strokecolor="#24211d" strokeweight=".25pt"/>
                <v:line id="Line 71" o:spid="_x0000_s1288" style="position:absolute;visibility:visible;mso-wrap-style:square" from="35895,1932" to="35895,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" strokecolor="#24211d" strokeweight=".25pt"/>
                <v:shape id="Freeform 72" o:spid="_x0000_s1289" style="position:absolute;left:35276;top:4207;width:619;height:620;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" path="m9,c9,5,5,9,,9e" filled="f" strokecolor="#24211d" strokeweight=".25pt">
                  <v:path arrowok="t" o:connecttype="custom" o:connectlocs="445408897,0;0,441448331" o:connectangles="0,0"/>
                </v:shape>
                <v:shape id="Freeform 73" o:spid="_x0000_s1290" style="position:absolute;left:37460;top:1932;width:619;height:2895;visibility:visible;mso-wrap-style:square;v-text-anchor:top" coordsize="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" path="m9,42c4,42,,39,,36l,e" filled="f" strokecolor="#24211d" strokeweight=".25pt">
                  <v:path arrowok="t" o:connecttype="custom" o:connectlocs="445408897,2065912870;0,1770783445;0,0" o:connectangles="0,0,0"/>
                </v:shape>
                <v:shape id="Freeform 74" o:spid="_x0000_s1291" style="position:absolute;left:42442;top:1588;width:346;height:344;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" path="m5,5c5,2,3,,,e" filled="f" strokecolor="#24211d" strokeweight=".25pt">
                  <v:path arrowok="t" o:connecttype="custom" o:connectlocs="250368054,244268752;0,0" o:connectangles="0,0"/>
                </v:shape>
                <v:shape id="Freeform 75" o:spid="_x0000_s1292" style="position:absolute;left:37460;top:1588;width:273;height:344;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" path="m,5c,2,2,,4,e" filled="f" strokecolor="#24211d" strokeweight=".25pt">
                  <v:path arrowok="t" o:connecttype="custom" o:connectlocs="0,244268752;195060094,0" o:connectangles="0,0"/>
                </v:shape>
                <v:shape id="Freeform 76" o:spid="_x0000_s1293" style="position:absolute;left:35895;width:1839;height:1932;visibility:visible;mso-wrap-style:square;v-text-anchor:top" coordsize="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" path="m,28c,13,12,,27,e" filled="f" strokecolor="#24211d" strokeweight=".25pt">
                  <v:path arrowok="t" o:connecttype="custom" o:connectlocs="0,1380186788;1310099897,0" o:connectangles="0,0"/>
                </v:shape>
                <v:shape id="Freeform 77" o:spid="_x0000_s1294" style="position:absolute;left:42442;width:1911;height:1932;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" path="m28,28c28,13,15,,,e" filled="f" strokecolor="#24211d" strokeweight=".25pt">
                  <v:path arrowok="t" o:connecttype="custom" o:connectlocs="1365349219,1380186788;0,0" o:connectangles="0,0"/>
                </v:shape>
                <v:rect id="Rectangle 78" o:spid="_x0000_s1295" style="position:absolute;left:42515;top:2760;width:2044;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" filled="f" strokecolor="#24211d" strokeweight=".25pt"/>
                <v:rect id="Rectangle 79" o:spid="_x0000_s1296" style="position:absolute;left:42515;top:12138;width:2044;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" filled="f" strokecolor="#24211d" strokeweight=".25pt"/>
                <v:line id="Line 80" o:spid="_x0000_s1297" style="position:absolute;visibility:visible;mso-wrap-style:square" from="44353,3379" to="44353,12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" strokecolor="#24211d" strokeweight=".25pt"/>
                <v:line id="Line 81" o:spid="_x0000_s1298" style="position:absolute;visibility:visible;mso-wrap-style:square" from="42788,3379" to="42788,12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" strokecolor="#24211d" strokeweight=".25pt"/>
                <v:rect id="Rectangle 82" o:spid="_x0000_s1299" style="position:absolute;left:40464;top:23583;width:6213;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" filled="f" strokecolor="#24211d" strokeweight=".25pt"/>
                <v:line id="Line 83" o:spid="_x0000_s1300" style="position:absolute;visibility:visible;mso-wrap-style:square" from="41077,26202" to="41077,2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" strokecolor="#24211d" strokeweight=".25pt"/>
                <v:line id="Line 84" o:spid="_x0000_s1301" style="position:absolute;visibility:visible;mso-wrap-style:square" from="45991,26202" to="45991,2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" strokecolor="#24211d" strokeweight=".25pt"/>
                <v:line id="Line 85" o:spid="_x0000_s1302" style="position:absolute;visibility:visible;mso-wrap-style:square" from="46331,28894" to="49608,28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" strokecolor="#24211d" strokeweight=".25pt"/>
                <v:line id="Line 86" o:spid="_x0000_s1303" style="position:absolute;visibility:visible;mso-wrap-style:square" from="46331,33856" to="49608,33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" strokecolor="#24211d" strokeweight=".25pt"/>
                <v:shape id="Freeform 87" o:spid="_x0000_s1304" style="position:absolute;left:45991;top:28545;width:340;height:349;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" path="m,c,3,2,5,5,5e" filled="f" strokecolor="#24211d" strokeweight=".25pt">
                  <v:path arrowok="t" o:connecttype="custom" o:connectlocs="0,0;241651536,253082679" o:connectangles="0,0"/>
                </v:shape>
                <v:shape id="Freeform 88" o:spid="_x0000_s1305" style="position:absolute;left:41077;top:28544;width:5254;height:5312;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" path="m,c,42,35,77,77,77e" filled="f" strokecolor="#24211d" strokeweight=".25pt">
                  <v:path arrowok="t" o:connecttype="custom" o:connectlocs="0,0;2147483646,2147483646" o:connectangles="0,0"/>
                </v:shape>
                <v:shape id="Freeform 89" o:spid="_x0000_s1306" style="position:absolute;left:49134;top:28894;width:1020;height:4962;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" path="m7,72c4,69,,64,,54,,44,4,39,7,36v3,-3,8,-8,8,-18c15,8,11,2,7,e" filled="f" strokecolor="#24211d" strokeweight=".25pt">
                  <v:path arrowok="t" o:connecttype="custom" o:connectlocs="338315469,2147483646;0,2147483646;338315469,1770158312;724961720,885079156;338315469,0" o:connectangles="0,0,0,0,0"/>
                </v:shape>
                <v:shape id="Freeform 90" o:spid="_x0000_s1307" style="position:absolute;left:49608;top:31372;width:546;height:2484;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" path="m,36c4,33,8,28,8,18,8,8,4,3,,e" filled="f" strokecolor="#24211d" strokeweight=".25pt">
                  <v:path arrowok="t" o:connecttype="custom" o:connectlocs="0,1774528931;390113044,887267916;0,0" o:connectangles="0,0,0"/>
                </v:shape>
                <v:line id="Line 91" o:spid="_x0000_s1308" style="position:absolute;visibility:visible;mso-wrap-style:square" from="44353,10482" to="47423,10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" strokecolor="#24211d" strokeweight=".25pt"/>
                <v:shape id="Freeform 93" o:spid="_x0000_s1309" style="position:absolute;left:44153;top:12825;width:2524;height:10758;visibility:visible;mso-wrap-style:square;v-text-anchor:top" coordsize="3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" path="m3,l,13,,24,24,133v2,9,5,16,13,23e" filled="f" strokecolor="#24211d" strokeweight=".25pt">
                  <v:path arrowok="t" o:connecttype="custom" o:connectlocs="146110702,0;0,640075200;0,1181673049;1168906079,2147483646;1802063823,2147483646" o:connectangles="0,0,0,0,0"/>
                </v:shape>
                <v:shape id="Freeform 94" o:spid="_x0000_s1310" style="position:absolute;left:40464;top:12825;width:2524;height:10758;visibility:visible;mso-wrap-style:square;v-text-anchor:top" coordsize="3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" path="m34,r3,13l37,24,13,133c11,142,7,149,,156e" filled="f" strokecolor="#24211d" strokeweight=".25pt">
                  <v:path arrowok="t" o:connecttype="custom" o:connectlocs="1655953121,0;1802063823,640075200;1802063823,1181673049;633157744,2147483646;0,2147483646" o:connectangles="0,0,0,0,0"/>
                </v:shape>
                <v:line id="Line 95" o:spid="_x0000_s1311" style="position:absolute;visibility:visible;mso-wrap-style:square" from="38213,20755" to="42375,20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" strokecolor="#24211d" strokeweight=".25pt"/>
                <v:rect id="Rectangle 102" o:spid="_x0000_s1312" style="position:absolute;left:24878;top:450;width:6356;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" filled="f" stroked="f">
                  <v:textbox style="mso-fit-shape-to-text:t" inset="0,0,0,0">
                    <w:txbxContent>
                      <w:p w:rsidR="00D53F39" w:rsidRPr="00911B5E" w:rsidRDefault="00D53F39" w:rsidP="00E24DB7">
                        <w:pPr>
                          <w:spacing w:line="240" w:lineRule="auto"/>
                          <w:jc w:val="center"/>
                          <w:rPr>
                            <w:sz w:val="16"/>
                            <w:szCs w:val="16"/>
                          </w:rPr>
                        </w:pPr>
                        <w:r>
                          <w:rPr>
                            <w:color w:val="24211D"/>
                            <w:sz w:val="16"/>
                            <w:szCs w:val="16"/>
                            <w:lang w:val="en-US"/>
                          </w:rPr>
                          <w:t xml:space="preserve">Vanne </w:t>
                        </w:r>
                        <w:r>
                          <w:rPr>
                            <w:color w:val="24211D"/>
                            <w:sz w:val="16"/>
                            <w:szCs w:val="16"/>
                            <w:lang w:val="en-US"/>
                          </w:rPr>
                          <w:br/>
                          <w:t xml:space="preserve">de réglage </w:t>
                        </w:r>
                        <w:r>
                          <w:rPr>
                            <w:color w:val="24211D"/>
                            <w:sz w:val="16"/>
                            <w:szCs w:val="16"/>
                            <w:lang w:val="en-US"/>
                          </w:rPr>
                          <w:br/>
                          <w:t>de débit</w:t>
                        </w:r>
                      </w:p>
                    </w:txbxContent>
                  </v:textbox>
                </v:rect>
                <v:rect id="Rectangle 103" o:spid="_x0000_s1313" style="position:absolute;left:16035;top:9512;width:1842;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" filled="f" stroked="f">
                  <v:textbox style="mso-fit-shape-to-text:t" inset="0,0,0,0">
                    <w:txbxContent>
                      <w:p w:rsidR="00D53F39" w:rsidRPr="00911B5E" w:rsidRDefault="00D53F39" w:rsidP="00E24DB7">
                        <w:pPr>
                          <w:rPr>
                            <w:sz w:val="16"/>
                            <w:szCs w:val="16"/>
                          </w:rPr>
                        </w:pPr>
                        <w:r w:rsidRPr="00911B5E">
                          <w:rPr>
                            <w:color w:val="24211D"/>
                            <w:sz w:val="16"/>
                            <w:szCs w:val="16"/>
                            <w:lang w:val="en-US"/>
                          </w:rPr>
                          <w:t>LFE</w:t>
                        </w:r>
                      </w:p>
                    </w:txbxContent>
                  </v:textbox>
                </v:rect>
                <v:rect id="Rectangle 104" o:spid="_x0000_s1314" style="position:absolute;left:5460;top:13246;width:716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" filled="f" stroked="f">
                  <v:textbox style="mso-fit-shape-to-text:t" inset="0,0,0,0">
                    <w:txbxContent>
                      <w:p w:rsidR="00D53F39" w:rsidRPr="00911B5E" w:rsidRDefault="00D53F39" w:rsidP="00E24DB7">
                        <w:pPr>
                          <w:rPr>
                            <w:sz w:val="16"/>
                            <w:szCs w:val="16"/>
                          </w:rPr>
                        </w:pPr>
                        <w:r>
                          <w:rPr>
                            <w:color w:val="24211D"/>
                            <w:sz w:val="16"/>
                            <w:szCs w:val="16"/>
                            <w:lang w:val="en-US"/>
                          </w:rPr>
                          <w:t>Thermomètre</w:t>
                        </w:r>
                      </w:p>
                    </w:txbxContent>
                  </v:textbox>
                </v:rect>
                <v:rect id="Rectangle 106" o:spid="_x0000_s1315" style="position:absolute;left:3276;top:1999;width:341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" filled="f" stroked="f">
                  <v:textbox style="mso-fit-shape-to-text:t" inset="0,0,0,0">
                    <w:txbxContent>
                      <w:p w:rsidR="00D53F39" w:rsidRPr="00911B5E" w:rsidRDefault="00D53F39" w:rsidP="00E24DB7">
                        <w:pPr>
                          <w:rPr>
                            <w:sz w:val="16"/>
                            <w:szCs w:val="16"/>
                          </w:rPr>
                        </w:pPr>
                        <w:r>
                          <w:rPr>
                            <w:color w:val="24211D"/>
                            <w:sz w:val="16"/>
                            <w:szCs w:val="16"/>
                            <w:lang w:val="en-US"/>
                          </w:rPr>
                          <w:t>Filtre</w:t>
                        </w:r>
                      </w:p>
                    </w:txbxContent>
                  </v:textbox>
                </v:rect>
                <v:rect id="Rectangle 107" o:spid="_x0000_s1316" style="position:absolute;left:2457;top:10064;width:2318;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" fillcolor="#24211d" stroked="f" strokeweight=".25pt"/>
                <v:line id="Line 108" o:spid="_x0000_s1317" style="position:absolute;visibility:visible;mso-wrap-style:square" from="27601,4078" to="28996,6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" strokecolor="#24211d" strokeweight=".25pt">
                  <v:stroke endarrow="block" endarrowwidth="narrow"/>
                </v:line>
                <v:line id="Line 112" o:spid="_x0000_s1318" style="position:absolute;flip:y;visibility:visible;mso-wrap-style:square" from="4811,10291" to="4817,12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" strokeweight=".25pt">
                  <v:stroke endarrow="block" endarrowwidth="narrow"/>
                </v:line>
                <v:shape id="Freeform 113" o:spid="_x0000_s1319" style="position:absolute;left:2172;top:3483;width:2578;height:1252;visibility:visible;mso-wrap-style:square;v-text-anchor:top" coordsize="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" path="m38,l,,,21e" filled="f" strokecolor="#24211d" strokeweight=".25pt">
                  <v:stroke endarrow="block" endarrowwidth="narrow"/>
                  <v:path arrowok="t" o:connecttype="custom" o:connectlocs="1831371750,0;0,0;0,771823994" o:connectangles="0,0,0"/>
                </v:shape>
                <v:line id="Line 114" o:spid="_x0000_s1320" style="position:absolute;visibility:visible;mso-wrap-style:square" from="30944,7378" to="33237,7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" strokecolor="#24211d" strokeweight=".25pt">
                  <v:stroke dashstyle="longDash"/>
                </v:line>
                <v:shape id="Text Box 582" o:spid="_x0000_s1321" type="#_x0000_t202" style="position:absolute;left:13837;top:723;width:5055;height:2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" strokecolor="white">
                  <v:textbox style="mso-fit-shape-to-text:t">
                    <w:txbxContent>
                      <w:p w:rsidR="00D53F39" w:rsidRPr="00911B5E" w:rsidRDefault="00D53F39" w:rsidP="00E24DB7">
                        <w:pPr>
                          <w:rPr>
                            <w:sz w:val="16"/>
                            <w:szCs w:val="16"/>
                            <w:lang w:val="de-DE"/>
                          </w:rPr>
                        </w:pPr>
                        <w:r w:rsidRPr="00911B5E">
                          <w:rPr>
                            <w:sz w:val="16"/>
                            <w:szCs w:val="16"/>
                            <w:lang w:val="de-DE"/>
                          </w:rPr>
                          <w:t>EDP</w:t>
                        </w:r>
                      </w:p>
                    </w:txbxContent>
                  </v:textbox>
                </v:shape>
                <v:rect id="Rectangle 105" o:spid="_x0000_s1322" style="position:absolute;left:1365;top:10343;width:1581;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" filled="f" stroked="f">
                  <v:textbox style="mso-fit-shape-to-text:t" inset="0,0,0,0">
                    <w:txbxContent>
                      <w:p w:rsidR="00D53F39" w:rsidRPr="00911B5E" w:rsidRDefault="00D53F39" w:rsidP="00E24DB7">
                        <w:pPr>
                          <w:rPr>
                            <w:color w:val="24211D"/>
                            <w:sz w:val="16"/>
                            <w:szCs w:val="16"/>
                            <w:lang w:val="en-US"/>
                          </w:rPr>
                        </w:pPr>
                        <w:r w:rsidRPr="00911B5E">
                          <w:rPr>
                            <w:color w:val="24211D"/>
                            <w:sz w:val="16"/>
                            <w:szCs w:val="16"/>
                            <w:lang w:val="en-US"/>
                          </w:rPr>
                          <w:t>ETI</w:t>
                        </w:r>
                      </w:p>
                      <w:p w:rsidR="00D53F39" w:rsidRPr="00911B5E" w:rsidRDefault="00D53F39" w:rsidP="00E24DB7">
                        <w:pPr>
                          <w:rPr>
                            <w:sz w:val="16"/>
                            <w:szCs w:val="16"/>
                          </w:rPr>
                        </w:pPr>
                        <w:r w:rsidRPr="00911B5E">
                          <w:rPr>
                            <w:color w:val="24211D"/>
                            <w:sz w:val="16"/>
                            <w:szCs w:val="16"/>
                            <w:lang w:val="en-US"/>
                          </w:rPr>
                          <w:t>EPI</w:t>
                        </w:r>
                      </w:p>
                    </w:txbxContent>
                  </v:textbox>
                </v:rect>
                <v:shape id="Text Box 585" o:spid="_x0000_s1323" type="#_x0000_t202" style="position:absolute;left:36094;top:19250;width:4305;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" stroked="f">
                  <v:textbox style="mso-fit-shape-to-text:t">
                    <w:txbxContent>
                      <w:p w:rsidR="00D53F39" w:rsidRPr="00911B5E" w:rsidRDefault="00D53F39" w:rsidP="00E24DB7">
                        <w:pPr>
                          <w:rPr>
                            <w:sz w:val="16"/>
                            <w:szCs w:val="16"/>
                            <w:lang w:val="de-DE"/>
                          </w:rPr>
                        </w:pPr>
                        <w:r w:rsidRPr="00911B5E">
                          <w:rPr>
                            <w:sz w:val="16"/>
                            <w:szCs w:val="16"/>
                            <w:lang w:val="de-DE"/>
                          </w:rPr>
                          <w:t>CFV</w:t>
                        </w:r>
                      </w:p>
                    </w:txbxContent>
                  </v:textbox>
                </v:shape>
                <v:shape id="Text Box 584" o:spid="_x0000_s1324" type="#_x0000_t202" style="position:absolute;left:48196;top:8511;width:5092;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" stroked="f">
                  <v:textbox style="mso-fit-shape-to-text:t">
                    <w:txbxContent>
                      <w:p w:rsidR="00D53F39" w:rsidRPr="00911B5E" w:rsidRDefault="00D53F39" w:rsidP="00E24DB7">
                        <w:pPr>
                          <w:rPr>
                            <w:sz w:val="16"/>
                            <w:szCs w:val="16"/>
                            <w:lang w:val="de-DE"/>
                          </w:rPr>
                        </w:pPr>
                        <w:r w:rsidRPr="00911B5E">
                          <w:rPr>
                            <w:sz w:val="16"/>
                            <w:szCs w:val="16"/>
                            <w:lang w:val="de-DE"/>
                          </w:rPr>
                          <w:t>T</w:t>
                        </w:r>
                        <w:r w:rsidRPr="00911B5E">
                          <w:rPr>
                            <w:sz w:val="16"/>
                            <w:szCs w:val="16"/>
                            <w:vertAlign w:val="subscript"/>
                            <w:lang w:val="de-DE"/>
                          </w:rPr>
                          <w:t>v</w:t>
                        </w:r>
                      </w:p>
                      <w:p w:rsidR="00D53F39" w:rsidRPr="00911B5E" w:rsidRDefault="00D53F39" w:rsidP="00E24DB7">
                        <w:pPr>
                          <w:rPr>
                            <w:sz w:val="16"/>
                            <w:szCs w:val="16"/>
                            <w:lang w:val="de-DE"/>
                          </w:rPr>
                        </w:pPr>
                        <w:r w:rsidRPr="00911B5E">
                          <w:rPr>
                            <w:sz w:val="16"/>
                            <w:szCs w:val="16"/>
                            <w:lang w:val="de-DE"/>
                          </w:rPr>
                          <w:t>PPI</w:t>
                        </w:r>
                      </w:p>
                    </w:txbxContent>
                  </v:textbox>
                </v:shape>
                <w10:anchorlock/>
              </v:group>
            </w:pict>
          </mc:Fallback>
        </mc:AlternateContent>
      </w:r>
    </w:p>
    <w:p w:rsidR="00E24DB7" w:rsidRPr="002C5876" w:rsidRDefault="00E24DB7" w:rsidP="00E24DB7">
      <w:pPr>
        <w:pStyle w:val="SingleTxtG"/>
        <w:spacing w:before="240"/>
        <w:ind w:left="2268" w:hanging="1134"/>
      </w:pPr>
      <w:r w:rsidRPr="002C5876">
        <w:t>3.4.3.3.1</w:t>
      </w:r>
      <w:r w:rsidRPr="002C5876">
        <w:tab/>
        <w:t>Régler la vanne de réglage du débit à pleine ouverture, mettre en marche le dispositif d’aspiration et laisser le système atteindre son régime stabilisé. Relever les valeurs données par tous les appareils.</w:t>
      </w:r>
    </w:p>
    <w:p w:rsidR="00E24DB7" w:rsidRPr="002C5876" w:rsidRDefault="00E24DB7" w:rsidP="00E24DB7">
      <w:pPr>
        <w:pStyle w:val="SingleTxtG"/>
        <w:ind w:left="2268" w:hanging="1134"/>
      </w:pPr>
      <w:r w:rsidRPr="002C5876">
        <w:t>3.4.3.3.2</w:t>
      </w:r>
      <w:r w:rsidRPr="002C5876">
        <w:tab/>
        <w:t>Faire varier le réglage de la vanne de réglage du débit et exécuter au moins huit mesures réparties sur la plage d’écoulement critique du venturi.</w:t>
      </w:r>
    </w:p>
    <w:p w:rsidR="00E24DB7" w:rsidRPr="002C5876" w:rsidRDefault="00E24DB7" w:rsidP="00E24DB7">
      <w:pPr>
        <w:pStyle w:val="SingleTxtG"/>
        <w:keepNext/>
        <w:ind w:left="2268" w:hanging="1134"/>
      </w:pPr>
      <w:r w:rsidRPr="002C5876">
        <w:t>3.4.3.3.3</w:t>
      </w:r>
      <w:r w:rsidRPr="002C5876">
        <w:tab/>
        <w:t>On utilise les valeurs enregistrées lors de l’étalonnage pour déterminer les éléments ci-après.</w:t>
      </w:r>
    </w:p>
    <w:p w:rsidR="00E24DB7" w:rsidRPr="002C5876" w:rsidRDefault="00E24DB7" w:rsidP="00E24DB7">
      <w:pPr>
        <w:pStyle w:val="SingleTxtG"/>
        <w:ind w:left="2268" w:hanging="1134"/>
      </w:pPr>
      <w:r w:rsidRPr="002C5876">
        <w:t>3.4.3.3.3.1</w:t>
      </w:r>
      <w:r w:rsidRPr="002C5876">
        <w:tab/>
        <w:t>Le débit d’air Q</w:t>
      </w:r>
      <w:r w:rsidRPr="002C5876">
        <w:rPr>
          <w:vertAlign w:val="subscript"/>
        </w:rPr>
        <w:t>s</w:t>
      </w:r>
      <w:r w:rsidRPr="002C5876">
        <w:t xml:space="preserve"> à chaque point d’essai est calculé d’après les valeurs de mesure du débitmètre, selon la méthode prescrite par le fabricant. </w:t>
      </w:r>
    </w:p>
    <w:p w:rsidR="00E24DB7" w:rsidRPr="002C5876" w:rsidRDefault="00E24DB7" w:rsidP="00E24DB7">
      <w:pPr>
        <w:pStyle w:val="SingleTxtG"/>
        <w:keepNext/>
        <w:ind w:left="2268"/>
      </w:pPr>
      <w:r w:rsidRPr="002C5876">
        <w:t>On calcule les valeurs du coefficient d’étalonnage pour chaque point d’essai :</w:t>
      </w:r>
    </w:p>
    <w:p w:rsidR="00E24DB7" w:rsidRPr="002C5876" w:rsidRDefault="00731CA6" w:rsidP="00E24DB7">
      <w:pPr>
        <w:pStyle w:val="SingleTxtG"/>
        <w:ind w:left="2268"/>
        <w:jc w:val="center"/>
      </w:pPr>
      <m:oMathPara>
        <m:oMath>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v</m:t>
              </m:r>
            </m:sub>
          </m:sSub>
          <m:r>
            <m:rPr>
              <m:sty m:val="p"/>
            </m:rPr>
            <w:rPr>
              <w:rFonts w:ascii="Cambria Math" w:hAnsi="Cambria Math" w:cstheme="majorBidi"/>
            </w:rPr>
            <m:t xml:space="preserve">= </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Q</m:t>
                  </m:r>
                </m:e>
                <m:sub>
                  <m:r>
                    <m:rPr>
                      <m:sty m:val="p"/>
                    </m:rPr>
                    <w:rPr>
                      <w:rFonts w:ascii="Cambria Math" w:hAnsi="Cambria Math" w:cstheme="majorBidi"/>
                    </w:rPr>
                    <m:t>s</m:t>
                  </m:r>
                </m:sub>
              </m:sSub>
              <m:rad>
                <m:radPr>
                  <m:degHide m:val="1"/>
                  <m:ctrlPr>
                    <w:rPr>
                      <w:rFonts w:ascii="Cambria Math" w:hAnsi="Cambria Math" w:cstheme="majorBidi"/>
                    </w:rPr>
                  </m:ctrlPr>
                </m:radPr>
                <m:deg/>
                <m:e>
                  <m:sSub>
                    <m:sSubPr>
                      <m:ctrlPr>
                        <w:rPr>
                          <w:rFonts w:ascii="Cambria Math" w:hAnsi="Cambria Math" w:cstheme="majorBidi"/>
                        </w:rPr>
                      </m:ctrlPr>
                    </m:sSubPr>
                    <m:e>
                      <m:r>
                        <m:rPr>
                          <m:sty m:val="p"/>
                        </m:rPr>
                        <w:rPr>
                          <w:rFonts w:ascii="Cambria Math" w:hAnsi="Cambria Math" w:cstheme="majorBidi"/>
                        </w:rPr>
                        <m:t>T</m:t>
                      </m:r>
                    </m:e>
                    <m:sub>
                      <m:r>
                        <m:rPr>
                          <m:sty m:val="p"/>
                        </m:rPr>
                        <w:rPr>
                          <w:rFonts w:ascii="Cambria Math" w:hAnsi="Cambria Math" w:cstheme="majorBidi"/>
                        </w:rPr>
                        <m:t>v</m:t>
                      </m:r>
                    </m:sub>
                  </m:sSub>
                </m:e>
              </m:rad>
            </m:num>
            <m:den>
              <m:sSub>
                <m:sSubPr>
                  <m:ctrlPr>
                    <w:rPr>
                      <w:rFonts w:ascii="Cambria Math" w:hAnsi="Cambria Math" w:cstheme="majorBidi"/>
                    </w:rPr>
                  </m:ctrlPr>
                </m:sSubPr>
                <m:e>
                  <m:r>
                    <m:rPr>
                      <m:sty m:val="p"/>
                    </m:rPr>
                    <w:rPr>
                      <w:rFonts w:ascii="Cambria Math" w:hAnsi="Cambria Math" w:cstheme="majorBidi"/>
                    </w:rPr>
                    <m:t>P</m:t>
                  </m:r>
                </m:e>
                <m:sub>
                  <m:r>
                    <m:rPr>
                      <m:sty m:val="p"/>
                    </m:rPr>
                    <w:rPr>
                      <w:rFonts w:ascii="Cambria Math" w:hAnsi="Cambria Math" w:cstheme="majorBidi"/>
                    </w:rPr>
                    <m:t>v</m:t>
                  </m:r>
                </m:sub>
              </m:sSub>
            </m:den>
          </m:f>
        </m:oMath>
      </m:oMathPara>
    </w:p>
    <w:p w:rsidR="00E24DB7" w:rsidRPr="002C5876" w:rsidRDefault="00E24DB7" w:rsidP="00E24DB7">
      <w:pPr>
        <w:pStyle w:val="SingleTxtG"/>
        <w:keepNext/>
        <w:ind w:left="2268"/>
      </w:pPr>
      <w:r w:rsidRPr="002C5876">
        <w:t>où :</w:t>
      </w:r>
    </w:p>
    <w:p w:rsidR="00E24DB7" w:rsidRPr="002C5876" w:rsidRDefault="00E24DB7" w:rsidP="00E24DB7">
      <w:pPr>
        <w:pStyle w:val="SingleTxtG"/>
        <w:ind w:left="3402" w:hanging="1134"/>
      </w:pPr>
      <w:r w:rsidRPr="002C5876">
        <w:t>Q</w:t>
      </w:r>
      <w:r w:rsidRPr="002C5876">
        <w:rPr>
          <w:vertAlign w:val="subscript"/>
        </w:rPr>
        <w:t>s</w:t>
      </w:r>
      <w:r w:rsidRPr="002C5876">
        <w:tab/>
        <w:t>est le débit d’air à 273,15 K (</w:t>
      </w:r>
      <w:r w:rsidRPr="002C5876">
        <w:rPr>
          <w:szCs w:val="24"/>
        </w:rPr>
        <w:t>0 °C)</w:t>
      </w:r>
      <w:r w:rsidRPr="002C5876">
        <w:t xml:space="preserve"> et 101,325 kPa, en m</w:t>
      </w:r>
      <w:r w:rsidRPr="002C5876">
        <w:rPr>
          <w:vertAlign w:val="superscript"/>
        </w:rPr>
        <w:t>3</w:t>
      </w:r>
      <w:r w:rsidRPr="002C5876">
        <w:t>/min ;</w:t>
      </w:r>
    </w:p>
    <w:p w:rsidR="00E24DB7" w:rsidRPr="002C5876" w:rsidRDefault="00E24DB7" w:rsidP="00E24DB7">
      <w:pPr>
        <w:pStyle w:val="SingleTxtG"/>
        <w:ind w:left="3402" w:hanging="1134"/>
      </w:pPr>
      <w:r w:rsidRPr="002C5876">
        <w:t>T</w:t>
      </w:r>
      <w:r w:rsidRPr="002C5876">
        <w:rPr>
          <w:vertAlign w:val="subscript"/>
        </w:rPr>
        <w:t>v</w:t>
      </w:r>
      <w:r w:rsidRPr="002C5876">
        <w:tab/>
        <w:t>est la température à l’entrée du venturi, en K ;</w:t>
      </w:r>
    </w:p>
    <w:p w:rsidR="00E24DB7" w:rsidRPr="002C5876" w:rsidRDefault="00E24DB7" w:rsidP="00E24DB7">
      <w:pPr>
        <w:pStyle w:val="SingleTxtG"/>
        <w:ind w:left="3402" w:hanging="1134"/>
      </w:pPr>
      <w:r w:rsidRPr="002C5876">
        <w:t>P</w:t>
      </w:r>
      <w:r w:rsidRPr="002C5876">
        <w:rPr>
          <w:vertAlign w:val="subscript"/>
        </w:rPr>
        <w:t>v</w:t>
      </w:r>
      <w:r w:rsidRPr="002C5876">
        <w:tab/>
        <w:t>est la pression absolue à l’entrée du venturi, en kPa.</w:t>
      </w:r>
    </w:p>
    <w:p w:rsidR="00E24DB7" w:rsidRPr="002C5876" w:rsidRDefault="00E24DB7" w:rsidP="00E24DB7">
      <w:pPr>
        <w:pStyle w:val="SingleTxtG"/>
        <w:keepNext/>
        <w:keepLines/>
        <w:spacing w:after="240"/>
        <w:ind w:left="2268" w:hanging="1134"/>
        <w:jc w:val="left"/>
      </w:pPr>
      <w:r w:rsidRPr="002C5876">
        <w:t>3.4.3.3.3.2</w:t>
      </w:r>
      <w:r w:rsidRPr="002C5876">
        <w:tab/>
        <w:t>Établir une courbe de K</w:t>
      </w:r>
      <w:r w:rsidRPr="002C5876">
        <w:rPr>
          <w:vertAlign w:val="subscript"/>
        </w:rPr>
        <w:t>v</w:t>
      </w:r>
      <w:r w:rsidRPr="002C5876">
        <w:t xml:space="preserve"> en fonction de la pression à l’entrée du venturi P</w:t>
      </w:r>
      <w:r w:rsidRPr="002C5876">
        <w:rPr>
          <w:vertAlign w:val="subscript"/>
        </w:rPr>
        <w:t>v</w:t>
      </w:r>
      <w:r w:rsidRPr="002C5876">
        <w:t>. Pour un écoulement sonique, la valeur de K</w:t>
      </w:r>
      <w:r w:rsidRPr="002C5876">
        <w:rPr>
          <w:vertAlign w:val="subscript"/>
        </w:rPr>
        <w:t>v</w:t>
      </w:r>
      <w:r w:rsidRPr="002C5876">
        <w:t xml:space="preserve"> est relativement constante. À mesure que la pression décroît (c’est-à-dire que la dépression croît), le venturi se débloque et K</w:t>
      </w:r>
      <w:r w:rsidRPr="002C5876">
        <w:rPr>
          <w:vertAlign w:val="subscript"/>
        </w:rPr>
        <w:t>v</w:t>
      </w:r>
      <w:r w:rsidRPr="002C5876">
        <w:t xml:space="preserve"> décroît. Les variations de K</w:t>
      </w:r>
      <w:r w:rsidRPr="002C5876">
        <w:rPr>
          <w:vertAlign w:val="subscript"/>
        </w:rPr>
        <w:t>v</w:t>
      </w:r>
      <w:r w:rsidRPr="002C5876">
        <w:t xml:space="preserve"> ne sont pas utilisées pour effectuer de nouveaux calculs.</w:t>
      </w:r>
    </w:p>
    <w:p w:rsidR="00E24DB7" w:rsidRPr="002C5876" w:rsidRDefault="00E24DB7" w:rsidP="00E24DB7">
      <w:pPr>
        <w:pStyle w:val="SingleTxtG"/>
        <w:ind w:left="2268" w:hanging="1134"/>
      </w:pPr>
      <w:r w:rsidRPr="002C5876">
        <w:t>3.4.3.3.3.3</w:t>
      </w:r>
      <w:r w:rsidRPr="002C5876">
        <w:tab/>
        <w:t>Pour un nombre minimal de huit points dans la région critique, calculer la valeur moyenne arithmétique de K</w:t>
      </w:r>
      <w:r w:rsidRPr="002C5876">
        <w:rPr>
          <w:vertAlign w:val="subscript"/>
        </w:rPr>
        <w:t>v</w:t>
      </w:r>
      <w:r w:rsidRPr="002C5876">
        <w:t xml:space="preserve"> et l’écart type. </w:t>
      </w:r>
    </w:p>
    <w:p w:rsidR="00E24DB7" w:rsidRPr="002C5876" w:rsidRDefault="00E24DB7" w:rsidP="00E24DB7">
      <w:pPr>
        <w:pStyle w:val="SingleTxtG"/>
        <w:ind w:left="2268" w:hanging="1134"/>
      </w:pPr>
      <w:r w:rsidRPr="002C5876">
        <w:t>3.4.3.3.3.4</w:t>
      </w:r>
      <w:r w:rsidRPr="002C5876">
        <w:tab/>
        <w:t>Si l’écart type dépasse 0,3 % de la valeur moyenne arithmétique de K</w:t>
      </w:r>
      <w:r w:rsidRPr="002C5876">
        <w:rPr>
          <w:vertAlign w:val="subscript"/>
        </w:rPr>
        <w:t>v</w:t>
      </w:r>
      <w:r w:rsidRPr="002C5876">
        <w:t xml:space="preserve">, il est nécessaire de prendre des mesures pour y remédier. </w:t>
      </w:r>
    </w:p>
    <w:p w:rsidR="00E24DB7" w:rsidRPr="002C5876" w:rsidRDefault="00E24DB7" w:rsidP="00E24DB7">
      <w:pPr>
        <w:pStyle w:val="SingleTxtG"/>
        <w:keepNext/>
        <w:ind w:left="2268" w:hanging="1134"/>
        <w:jc w:val="left"/>
      </w:pPr>
      <w:r w:rsidRPr="002C5876">
        <w:lastRenderedPageBreak/>
        <w:t>3.4.4</w:t>
      </w:r>
      <w:r w:rsidRPr="002C5876">
        <w:tab/>
        <w:t xml:space="preserve">Étalonnage d’un venturi subsonique (SSV) </w:t>
      </w:r>
    </w:p>
    <w:p w:rsidR="00E24DB7" w:rsidRPr="002C5876" w:rsidRDefault="00E24DB7" w:rsidP="00E24DB7">
      <w:pPr>
        <w:pStyle w:val="SingleTxtG"/>
        <w:ind w:left="2268" w:hanging="1134"/>
      </w:pPr>
      <w:r w:rsidRPr="002C5876">
        <w:t>3.4.4.1</w:t>
      </w:r>
      <w:r w:rsidRPr="002C5876">
        <w:tab/>
        <w:t xml:space="preserve">L’étalonnage d’un venturi subsonique est fondé sur l’équation du débit d’un venturi subsonique. Le débit de gaz est fonction de la pression à l’entrée et de la température et de la perte de pression entre l’entrée du venturi subsonique et le col. </w:t>
      </w:r>
    </w:p>
    <w:p w:rsidR="00E24DB7" w:rsidRPr="002C5876" w:rsidRDefault="00E24DB7" w:rsidP="00E24DB7">
      <w:pPr>
        <w:pStyle w:val="SingleTxtG"/>
        <w:keepNext/>
        <w:ind w:left="2268" w:hanging="1134"/>
        <w:jc w:val="left"/>
      </w:pPr>
      <w:r w:rsidRPr="002C5876">
        <w:t>3.4.4.2</w:t>
      </w:r>
      <w:r w:rsidRPr="002C5876">
        <w:tab/>
        <w:t>Analyse des données</w:t>
      </w:r>
    </w:p>
    <w:p w:rsidR="00E24DB7" w:rsidRPr="002C5876" w:rsidRDefault="00E24DB7" w:rsidP="00E24DB7">
      <w:pPr>
        <w:pStyle w:val="SingleTxtG"/>
        <w:keepNext/>
        <w:keepLines/>
        <w:spacing w:after="240"/>
        <w:ind w:left="2268" w:hanging="1134"/>
      </w:pPr>
      <w:r w:rsidRPr="002C5876">
        <w:t>3.4.4.2.1</w:t>
      </w:r>
      <w:r w:rsidRPr="002C5876">
        <w:tab/>
        <w:t>Le débit d’air Q</w:t>
      </w:r>
      <w:r w:rsidRPr="002C5876">
        <w:rPr>
          <w:vertAlign w:val="subscript"/>
        </w:rPr>
        <w:t>SSV</w:t>
      </w:r>
      <w:r w:rsidRPr="002C5876">
        <w:t xml:space="preserve"> à chaque réglage (minimum 16 réglages) doit être calculé en m</w:t>
      </w:r>
      <w:r w:rsidRPr="002C5876">
        <w:rPr>
          <w:vertAlign w:val="superscript"/>
        </w:rPr>
        <w:t>3</w:t>
      </w:r>
      <w:r w:rsidRPr="002C5876">
        <w:t>/s normaux à partir des données du débitmètre suivant la méthode préconisée par le fabricant. Le coefficient de décharge C</w:t>
      </w:r>
      <w:r w:rsidRPr="002C5876">
        <w:rPr>
          <w:vertAlign w:val="subscript"/>
        </w:rPr>
        <w:t>d</w:t>
      </w:r>
      <w:r w:rsidRPr="002C5876">
        <w:rPr>
          <w:szCs w:val="24"/>
        </w:rPr>
        <w:t>,</w:t>
      </w:r>
      <w:r w:rsidRPr="002C5876">
        <w:t xml:space="preserve"> doit être calculé à partir des données d’étalonnage pour chaque réglage, selon l’équation suivante :</w:t>
      </w:r>
    </w:p>
    <w:p w:rsidR="00FE10F2" w:rsidRPr="002C5876" w:rsidRDefault="00731CA6" w:rsidP="00E24DB7">
      <w:pPr>
        <w:pStyle w:val="SingleTxtG"/>
        <w:keepNext/>
        <w:keepLines/>
        <w:spacing w:after="240"/>
        <w:ind w:left="2268" w:hanging="1134"/>
      </w:pPr>
      <m:oMathPara>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d</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SSV</m:t>
                  </m:r>
                </m:sub>
              </m:sSub>
            </m:num>
            <m:den>
              <m:sSubSup>
                <m:sSubSupPr>
                  <m:ctrlPr>
                    <w:rPr>
                      <w:rFonts w:ascii="Cambria Math" w:hAnsi="Cambria Math"/>
                      <w:szCs w:val="24"/>
                    </w:rPr>
                  </m:ctrlPr>
                </m:sSubSupPr>
                <m:e>
                  <m:r>
                    <m:rPr>
                      <m:sty m:val="p"/>
                    </m:rPr>
                    <w:rPr>
                      <w:rFonts w:ascii="Cambria Math" w:hAnsi="Cambria Math"/>
                      <w:szCs w:val="24"/>
                    </w:rPr>
                    <m:t>d</m:t>
                  </m:r>
                </m:e>
                <m:sub>
                  <m:r>
                    <m:rPr>
                      <m:sty m:val="p"/>
                    </m:rPr>
                    <w:rPr>
                      <w:rFonts w:ascii="Cambria Math" w:hAnsi="Cambria Math"/>
                      <w:szCs w:val="24"/>
                    </w:rPr>
                    <m:t>V</m:t>
                  </m:r>
                </m:sub>
                <m:sup>
                  <m:r>
                    <m:rPr>
                      <m:sty m:val="p"/>
                    </m:rPr>
                    <w:rPr>
                      <w:rFonts w:ascii="Cambria Math" w:hAnsi="Cambria Math"/>
                      <w:szCs w:val="24"/>
                    </w:rPr>
                    <m:t>2</m:t>
                  </m:r>
                </m:sup>
              </m:sSubSup>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p</m:t>
                  </m:r>
                </m:sub>
              </m:sSub>
              <m:r>
                <m:rPr>
                  <m:sty m:val="p"/>
                </m:rPr>
                <w:rPr>
                  <w:rFonts w:ascii="Cambria Math" w:hAnsi="Cambria Math"/>
                  <w:szCs w:val="24"/>
                </w:rPr>
                <m:t>×</m:t>
              </m:r>
              <m:rad>
                <m:radPr>
                  <m:degHide m:val="1"/>
                  <m:ctrlPr>
                    <w:rPr>
                      <w:rFonts w:ascii="Cambria Math" w:hAnsi="Cambria Math"/>
                      <w:szCs w:val="24"/>
                    </w:rPr>
                  </m:ctrlPr>
                </m:radPr>
                <m:deg/>
                <m:e>
                  <m:d>
                    <m:dPr>
                      <m:begChr m:val="{"/>
                      <m:endChr m:val="}"/>
                      <m:ctrlPr>
                        <w:rPr>
                          <w:rFonts w:ascii="Cambria Math" w:hAnsi="Cambria Math"/>
                          <w:szCs w:val="24"/>
                        </w:rPr>
                      </m:ctrlPr>
                    </m:dPr>
                    <m:e>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T</m:t>
                          </m:r>
                        </m:den>
                      </m:f>
                      <m:r>
                        <m:rPr>
                          <m:sty m:val="p"/>
                        </m:rPr>
                        <w:rPr>
                          <w:rFonts w:ascii="Cambria Math" w:hAnsi="Cambria Math"/>
                          <w:szCs w:val="24"/>
                        </w:rPr>
                        <m:t>×</m:t>
                      </m:r>
                      <m:d>
                        <m:dPr>
                          <m:ctrlPr>
                            <w:rPr>
                              <w:rFonts w:ascii="Cambria Math" w:hAnsi="Cambria Math"/>
                              <w:szCs w:val="24"/>
                            </w:rPr>
                          </m:ctrlPr>
                        </m:dPr>
                        <m:e>
                          <m:sSubSup>
                            <m:sSubSupPr>
                              <m:ctrlPr>
                                <w:rPr>
                                  <w:rFonts w:ascii="Cambria Math" w:hAnsi="Cambria Math"/>
                                  <w:szCs w:val="24"/>
                                </w:rPr>
                              </m:ctrlPr>
                            </m:sSubSupPr>
                            <m:e>
                              <m:r>
                                <m:rPr>
                                  <m:sty m:val="p"/>
                                </m:rPr>
                                <w:rPr>
                                  <w:rFonts w:ascii="Cambria Math" w:hAnsi="Cambria Math"/>
                                  <w:szCs w:val="24"/>
                                </w:rPr>
                                <m:t>r</m:t>
                              </m:r>
                            </m:e>
                            <m:sub>
                              <m:r>
                                <m:rPr>
                                  <m:sty m:val="p"/>
                                </m:rPr>
                                <w:rPr>
                                  <w:rFonts w:ascii="Cambria Math" w:hAnsi="Cambria Math"/>
                                  <w:szCs w:val="24"/>
                                </w:rPr>
                                <m:t>p</m:t>
                              </m:r>
                            </m:sub>
                            <m:sup>
                              <m:r>
                                <m:rPr>
                                  <m:sty m:val="p"/>
                                </m:rPr>
                                <w:rPr>
                                  <w:rFonts w:ascii="Cambria Math" w:hAnsi="Cambria Math"/>
                                  <w:szCs w:val="24"/>
                                </w:rPr>
                                <m:t>1,426</m:t>
                              </m:r>
                            </m:sup>
                          </m:sSubSup>
                          <m:r>
                            <m:rPr>
                              <m:sty m:val="p"/>
                            </m:rPr>
                            <w:rPr>
                              <w:rFonts w:ascii="Cambria Math" w:hAnsi="Cambria Math"/>
                              <w:szCs w:val="24"/>
                            </w:rPr>
                            <m:t>-</m:t>
                          </m:r>
                          <m:sSubSup>
                            <m:sSubSupPr>
                              <m:ctrlPr>
                                <w:rPr>
                                  <w:rFonts w:ascii="Cambria Math" w:hAnsi="Cambria Math"/>
                                  <w:szCs w:val="24"/>
                                </w:rPr>
                              </m:ctrlPr>
                            </m:sSubSupPr>
                            <m:e>
                              <m:r>
                                <m:rPr>
                                  <m:sty m:val="p"/>
                                </m:rPr>
                                <w:rPr>
                                  <w:rFonts w:ascii="Cambria Math" w:hAnsi="Cambria Math"/>
                                  <w:szCs w:val="24"/>
                                </w:rPr>
                                <m:t>r</m:t>
                              </m:r>
                            </m:e>
                            <m:sub>
                              <m:r>
                                <m:rPr>
                                  <m:sty m:val="p"/>
                                </m:rPr>
                                <w:rPr>
                                  <w:rFonts w:ascii="Cambria Math" w:hAnsi="Cambria Math"/>
                                  <w:szCs w:val="24"/>
                                </w:rPr>
                                <m:t>p</m:t>
                              </m:r>
                            </m:sub>
                            <m:sup>
                              <m:r>
                                <m:rPr>
                                  <m:sty m:val="p"/>
                                </m:rPr>
                                <w:rPr>
                                  <w:rFonts w:ascii="Cambria Math" w:hAnsi="Cambria Math"/>
                                  <w:szCs w:val="24"/>
                                </w:rPr>
                                <m:t>1,713</m:t>
                              </m:r>
                            </m:sup>
                          </m:sSubSup>
                        </m:e>
                      </m:d>
                      <m:r>
                        <m:rPr>
                          <m:sty m:val="p"/>
                        </m:rPr>
                        <w:rPr>
                          <w:rFonts w:ascii="Cambria Math" w:hAnsi="Cambria Math"/>
                          <w:szCs w:val="24"/>
                        </w:rPr>
                        <m:t>×</m:t>
                      </m:r>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1-</m:t>
                              </m:r>
                              <m:sSubSup>
                                <m:sSubSupPr>
                                  <m:ctrlPr>
                                    <w:rPr>
                                      <w:rFonts w:ascii="Cambria Math" w:hAnsi="Cambria Math"/>
                                      <w:szCs w:val="24"/>
                                    </w:rPr>
                                  </m:ctrlPr>
                                </m:sSubSupPr>
                                <m:e>
                                  <m:r>
                                    <m:rPr>
                                      <m:sty m:val="p"/>
                                    </m:rPr>
                                    <w:rPr>
                                      <w:rFonts w:ascii="Cambria Math" w:hAnsi="Cambria Math"/>
                                      <w:szCs w:val="24"/>
                                    </w:rPr>
                                    <m:t>r</m:t>
                                  </m:r>
                                </m:e>
                                <m:sub>
                                  <m:r>
                                    <m:rPr>
                                      <m:sty m:val="p"/>
                                    </m:rPr>
                                    <w:rPr>
                                      <w:rFonts w:ascii="Cambria Math" w:hAnsi="Cambria Math"/>
                                      <w:szCs w:val="24"/>
                                    </w:rPr>
                                    <m:t>D</m:t>
                                  </m:r>
                                </m:sub>
                                <m:sup>
                                  <m:r>
                                    <m:rPr>
                                      <m:sty m:val="p"/>
                                    </m:rPr>
                                    <w:rPr>
                                      <w:rFonts w:ascii="Cambria Math" w:hAnsi="Cambria Math"/>
                                      <w:szCs w:val="24"/>
                                    </w:rPr>
                                    <m:t>4</m:t>
                                  </m:r>
                                </m:sup>
                              </m:sSubSup>
                              <m:r>
                                <m:rPr>
                                  <m:sty m:val="p"/>
                                </m:rPr>
                                <w:rPr>
                                  <w:rFonts w:ascii="Cambria Math" w:hAnsi="Cambria Math"/>
                                  <w:szCs w:val="24"/>
                                </w:rPr>
                                <m:t>×</m:t>
                              </m:r>
                              <m:sSubSup>
                                <m:sSubSupPr>
                                  <m:ctrlPr>
                                    <w:rPr>
                                      <w:rFonts w:ascii="Cambria Math" w:hAnsi="Cambria Math"/>
                                      <w:szCs w:val="24"/>
                                    </w:rPr>
                                  </m:ctrlPr>
                                </m:sSubSupPr>
                                <m:e>
                                  <m:r>
                                    <m:rPr>
                                      <m:sty m:val="p"/>
                                    </m:rPr>
                                    <w:rPr>
                                      <w:rFonts w:ascii="Cambria Math" w:hAnsi="Cambria Math"/>
                                      <w:szCs w:val="24"/>
                                    </w:rPr>
                                    <m:t>r</m:t>
                                  </m:r>
                                </m:e>
                                <m:sub>
                                  <m:r>
                                    <m:rPr>
                                      <m:sty m:val="p"/>
                                    </m:rPr>
                                    <w:rPr>
                                      <w:rFonts w:ascii="Cambria Math" w:hAnsi="Cambria Math"/>
                                      <w:szCs w:val="24"/>
                                    </w:rPr>
                                    <m:t>p</m:t>
                                  </m:r>
                                </m:sub>
                                <m:sup>
                                  <m:r>
                                    <m:rPr>
                                      <m:sty m:val="p"/>
                                    </m:rPr>
                                    <w:rPr>
                                      <w:rFonts w:ascii="Cambria Math" w:hAnsi="Cambria Math"/>
                                      <w:szCs w:val="24"/>
                                    </w:rPr>
                                    <m:t>1.426</m:t>
                                  </m:r>
                                </m:sup>
                              </m:sSubSup>
                            </m:den>
                          </m:f>
                        </m:e>
                      </m:d>
                    </m:e>
                  </m:d>
                </m:e>
              </m:rad>
            </m:den>
          </m:f>
        </m:oMath>
      </m:oMathPara>
    </w:p>
    <w:p w:rsidR="00E24DB7" w:rsidRPr="002C5876" w:rsidRDefault="00E24DB7" w:rsidP="00E24DB7">
      <w:pPr>
        <w:pStyle w:val="SingleTxtG"/>
        <w:keepNext/>
        <w:ind w:left="2268"/>
      </w:pPr>
      <w:r w:rsidRPr="002C5876">
        <w:t>où :</w:t>
      </w:r>
    </w:p>
    <w:p w:rsidR="00E24DB7" w:rsidRPr="002C5876" w:rsidRDefault="00E24DB7" w:rsidP="00E24DB7">
      <w:pPr>
        <w:pStyle w:val="SingleTxtG"/>
        <w:ind w:left="3402" w:hanging="1134"/>
      </w:pPr>
      <w:r w:rsidRPr="002C5876">
        <w:t>Q</w:t>
      </w:r>
      <w:r w:rsidRPr="002C5876">
        <w:rPr>
          <w:vertAlign w:val="subscript"/>
        </w:rPr>
        <w:t>SSV</w:t>
      </w:r>
      <w:r w:rsidRPr="002C5876">
        <w:tab/>
        <w:t xml:space="preserve">est le débit d’air en conditions normales (101,325 kPa, 273,15 K </w:t>
      </w:r>
      <w:r w:rsidRPr="002C5876">
        <w:rPr>
          <w:szCs w:val="24"/>
        </w:rPr>
        <w:t>(0 °C)</w:t>
      </w:r>
      <w:r w:rsidRPr="002C5876">
        <w:t>), en m</w:t>
      </w:r>
      <w:r w:rsidRPr="002C5876">
        <w:rPr>
          <w:vertAlign w:val="superscript"/>
        </w:rPr>
        <w:t>3</w:t>
      </w:r>
      <w:r w:rsidRPr="002C5876">
        <w:t>/s ;</w:t>
      </w:r>
    </w:p>
    <w:p w:rsidR="00E24DB7" w:rsidRPr="002C5876" w:rsidRDefault="00E24DB7" w:rsidP="00E24DB7">
      <w:pPr>
        <w:pStyle w:val="SingleTxtG"/>
        <w:ind w:left="3402" w:hanging="1134"/>
      </w:pPr>
      <w:r w:rsidRPr="002C5876">
        <w:t>T</w:t>
      </w:r>
      <w:r w:rsidRPr="002C5876">
        <w:tab/>
        <w:t>est la température à l’entrée du venturi, en K ;</w:t>
      </w:r>
    </w:p>
    <w:p w:rsidR="00E24DB7" w:rsidRPr="002C5876" w:rsidRDefault="00E24DB7" w:rsidP="00E24DB7">
      <w:pPr>
        <w:pStyle w:val="SingleTxtG"/>
        <w:ind w:left="3402" w:hanging="1134"/>
      </w:pPr>
      <w:r w:rsidRPr="002C5876">
        <w:t>d</w:t>
      </w:r>
      <w:r w:rsidRPr="002C5876">
        <w:rPr>
          <w:vertAlign w:val="subscript"/>
        </w:rPr>
        <w:t>v</w:t>
      </w:r>
      <w:r w:rsidRPr="002C5876">
        <w:tab/>
        <w:t xml:space="preserve">est le diamètre du col du venturi, en m ; </w:t>
      </w:r>
    </w:p>
    <w:p w:rsidR="00E24DB7" w:rsidRPr="002C5876" w:rsidRDefault="00E24DB7" w:rsidP="00E24DB7">
      <w:pPr>
        <w:pStyle w:val="SingleTxtG"/>
        <w:keepNext/>
        <w:spacing w:after="0"/>
        <w:ind w:left="3402" w:hanging="1134"/>
      </w:pPr>
      <w:r w:rsidRPr="002C5876">
        <w:t>r</w:t>
      </w:r>
      <w:r w:rsidRPr="002C5876">
        <w:rPr>
          <w:vertAlign w:val="subscript"/>
        </w:rPr>
        <w:t>p</w:t>
      </w:r>
      <w:r w:rsidRPr="002C5876">
        <w:tab/>
        <w:t xml:space="preserve">est le rapport de la pression au col du SSV à la pression statique absolue à l’entrée du SSV </w:t>
      </w:r>
    </w:p>
    <w:p w:rsidR="00E24DB7" w:rsidRPr="002C5876" w:rsidRDefault="00E24DB7" w:rsidP="00E24DB7">
      <w:pPr>
        <w:pStyle w:val="SingleTxtG"/>
        <w:keepNext/>
        <w:ind w:left="3402" w:hanging="1134"/>
      </w:pPr>
      <w:r w:rsidRPr="002C5876">
        <w:tab/>
      </w:r>
      <w:r w:rsidRPr="002C5876">
        <w:tab/>
        <w:t>(</w:t>
      </w:r>
      <m:oMath>
        <m:r>
          <m:rPr>
            <m:nor/>
          </m:rPr>
          <w:rPr>
            <w:rFonts w:asciiTheme="majorBidi" w:hAnsiTheme="majorBidi" w:cstheme="majorBidi"/>
          </w:rPr>
          <m:t>1</m:t>
        </m:r>
        <m:r>
          <m:rPr>
            <m:nor/>
          </m:rPr>
          <w:rPr>
            <w:rFonts w:ascii="Cambria Math" w:hAnsiTheme="majorBidi" w:cstheme="majorBidi"/>
          </w:rPr>
          <m:t xml:space="preserve"> </m:t>
        </m:r>
        <m:r>
          <m:rPr>
            <m:nor/>
          </m:rPr>
          <w:rPr>
            <w:rFonts w:ascii="Cambria Math" w:hAnsiTheme="majorBidi" w:cstheme="majorBidi"/>
          </w:rPr>
          <m:t>–</m:t>
        </m:r>
        <m:r>
          <m:rPr>
            <m:nor/>
          </m:rPr>
          <w:rPr>
            <w:rFonts w:ascii="Cambria Math" w:hAnsiTheme="majorBidi" w:cstheme="majorBidi"/>
          </w:rPr>
          <m:t xml:space="preserve"> </m:t>
        </m:r>
        <m:f>
          <m:fPr>
            <m:ctrlPr>
              <w:rPr>
                <w:rFonts w:ascii="Cambria Math" w:hAnsi="Cambria Math" w:cstheme="majorBidi"/>
                <w:i/>
              </w:rPr>
            </m:ctrlPr>
          </m:fPr>
          <m:num>
            <m:r>
              <m:rPr>
                <m:nor/>
              </m:rPr>
              <w:rPr>
                <w:rFonts w:asciiTheme="majorBidi" w:hAnsiTheme="majorBidi" w:cstheme="majorBidi"/>
              </w:rPr>
              <m:t>∆</m:t>
            </m:r>
            <m:r>
              <m:rPr>
                <m:nor/>
              </m:rPr>
              <w:rPr>
                <w:rFonts w:asciiTheme="majorBidi" w:hAnsiTheme="majorBidi" w:cstheme="majorBidi"/>
                <w:vertAlign w:val="subscript"/>
              </w:rPr>
              <m:t>p</m:t>
            </m:r>
          </m:num>
          <m:den>
            <m:r>
              <m:rPr>
                <m:nor/>
              </m:rPr>
              <w:rPr>
                <w:rFonts w:asciiTheme="majorBidi" w:hAnsiTheme="majorBidi" w:cstheme="majorBidi"/>
              </w:rPr>
              <m:t>Р</m:t>
            </m:r>
            <m:r>
              <m:rPr>
                <m:nor/>
              </m:rPr>
              <w:rPr>
                <w:rFonts w:asciiTheme="majorBidi" w:hAnsiTheme="majorBidi" w:cstheme="majorBidi"/>
                <w:vertAlign w:val="subscript"/>
              </w:rPr>
              <m:t>p</m:t>
            </m:r>
          </m:den>
        </m:f>
      </m:oMath>
      <w:r w:rsidRPr="002C5876">
        <w:t xml:space="preserve">) ; </w:t>
      </w:r>
    </w:p>
    <w:p w:rsidR="00E24DB7" w:rsidRPr="002C5876" w:rsidRDefault="00E24DB7" w:rsidP="00E24DB7">
      <w:pPr>
        <w:pStyle w:val="SingleTxtG"/>
        <w:ind w:left="3402" w:hanging="1134"/>
      </w:pPr>
      <w:r w:rsidRPr="002C5876">
        <w:t>r</w:t>
      </w:r>
      <w:r w:rsidRPr="002C5876">
        <w:rPr>
          <w:vertAlign w:val="subscript"/>
        </w:rPr>
        <w:t>D</w:t>
      </w:r>
      <w:r w:rsidRPr="002C5876">
        <w:tab/>
        <w:t>est le rapport du diamètre</w:t>
      </w:r>
      <w:r w:rsidRPr="002C5876">
        <w:rPr>
          <w:i/>
        </w:rPr>
        <w:t xml:space="preserve"> </w:t>
      </w:r>
      <w:r w:rsidRPr="002C5876">
        <w:t>d</w:t>
      </w:r>
      <w:r w:rsidRPr="002C5876">
        <w:rPr>
          <w:vertAlign w:val="subscript"/>
        </w:rPr>
        <w:t>V</w:t>
      </w:r>
      <w:r w:rsidRPr="002C5876">
        <w:t xml:space="preserve"> du col du venturi au diamètre</w:t>
      </w:r>
      <w:r w:rsidRPr="002C5876">
        <w:rPr>
          <w:i/>
        </w:rPr>
        <w:t> </w:t>
      </w:r>
      <w:r w:rsidRPr="002C5876">
        <w:t>D</w:t>
      </w:r>
      <w:r w:rsidRPr="002C5876">
        <w:rPr>
          <w:i/>
        </w:rPr>
        <w:t xml:space="preserve"> </w:t>
      </w:r>
      <w:r w:rsidRPr="002C5876">
        <w:t>de la tuyauterie d’entrée ;</w:t>
      </w:r>
    </w:p>
    <w:p w:rsidR="00E24DB7" w:rsidRPr="002C5876" w:rsidRDefault="00E24DB7" w:rsidP="00E24DB7">
      <w:pPr>
        <w:pStyle w:val="SingleTxtG"/>
        <w:ind w:left="3402" w:hanging="1134"/>
      </w:pPr>
      <w:r w:rsidRPr="002C5876">
        <w:t>C</w:t>
      </w:r>
      <w:r w:rsidRPr="002C5876">
        <w:rPr>
          <w:vertAlign w:val="subscript"/>
        </w:rPr>
        <w:t>d</w:t>
      </w:r>
      <w:r w:rsidRPr="002C5876">
        <w:tab/>
        <w:t>est le coefficient de décharge du SSV ;</w:t>
      </w:r>
    </w:p>
    <w:p w:rsidR="00E24DB7" w:rsidRPr="002C5876" w:rsidRDefault="00E24DB7" w:rsidP="00E24DB7">
      <w:pPr>
        <w:pStyle w:val="SingleTxtG"/>
        <w:ind w:left="3402" w:hanging="1134"/>
      </w:pPr>
      <w:r w:rsidRPr="002C5876">
        <w:t>p</w:t>
      </w:r>
      <w:r w:rsidRPr="002C5876">
        <w:rPr>
          <w:vertAlign w:val="subscript"/>
        </w:rPr>
        <w:t>p</w:t>
      </w:r>
      <w:r w:rsidRPr="002C5876">
        <w:tab/>
        <w:t>est la pression absolue à l’entrée du venturi, en kPa.</w:t>
      </w:r>
    </w:p>
    <w:p w:rsidR="00E24DB7" w:rsidRPr="002C5876" w:rsidRDefault="00E24DB7" w:rsidP="00E24DB7">
      <w:pPr>
        <w:pStyle w:val="SingleTxtG"/>
        <w:keepNext/>
        <w:ind w:left="2268"/>
      </w:pPr>
      <w:r w:rsidRPr="002C5876">
        <w:t>Pour déterminer la plage de débit subsonique, on tracera une courbe de C</w:t>
      </w:r>
      <w:r w:rsidRPr="002C5876">
        <w:rPr>
          <w:vertAlign w:val="subscript"/>
        </w:rPr>
        <w:t>d</w:t>
      </w:r>
      <w:r w:rsidRPr="002C5876">
        <w:t xml:space="preserve"> en fonction du nombre de Reynolds Re au col du SSV. Le nombre de Reynolds au col du SSV est calculé au moyen de l’équation suivante :</w:t>
      </w:r>
    </w:p>
    <w:p w:rsidR="00E24DB7" w:rsidRPr="002C5876" w:rsidRDefault="00E24DB7" w:rsidP="00E24DB7">
      <w:pPr>
        <w:pStyle w:val="SingleTxtG"/>
        <w:ind w:left="2268"/>
        <w:jc w:val="center"/>
      </w:pPr>
      <m:oMathPara>
        <m:oMath>
          <m:r>
            <m:rPr>
              <m:sty m:val="p"/>
            </m:rPr>
            <w:rPr>
              <w:rFonts w:ascii="Cambria Math" w:hAnsi="Cambria Math" w:cstheme="majorBidi"/>
            </w:rPr>
            <m:t xml:space="preserve">Re= </m:t>
          </m:r>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1</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Q</m:t>
                  </m:r>
                </m:e>
                <m:sub>
                  <m:r>
                    <m:rPr>
                      <m:sty m:val="p"/>
                    </m:rPr>
                    <w:rPr>
                      <w:rFonts w:ascii="Cambria Math" w:hAnsi="Cambria Math" w:cstheme="majorBidi"/>
                    </w:rPr>
                    <m:t>SSV</m:t>
                  </m:r>
                </m:sub>
              </m:sSub>
            </m:num>
            <m:den>
              <m:sSub>
                <m:sSubPr>
                  <m:ctrlPr>
                    <w:rPr>
                      <w:rFonts w:ascii="Cambria Math" w:hAnsi="Cambria Math" w:cstheme="majorBidi"/>
                    </w:rPr>
                  </m:ctrlPr>
                </m:sSubPr>
                <m:e>
                  <m:r>
                    <m:rPr>
                      <m:sty m:val="p"/>
                    </m:rPr>
                    <w:rPr>
                      <w:rFonts w:ascii="Cambria Math" w:hAnsi="Cambria Math" w:cstheme="majorBidi"/>
                    </w:rPr>
                    <m:t>d</m:t>
                  </m:r>
                </m:e>
                <m:sub>
                  <m:r>
                    <m:rPr>
                      <m:sty m:val="p"/>
                    </m:rPr>
                    <w:rPr>
                      <w:rFonts w:ascii="Cambria Math" w:hAnsi="Cambria Math" w:cstheme="majorBidi"/>
                    </w:rPr>
                    <m:t>V</m:t>
                  </m:r>
                </m:sub>
              </m:sSub>
              <m:r>
                <m:rPr>
                  <m:sty m:val="p"/>
                </m:rPr>
                <w:rPr>
                  <w:rFonts w:ascii="Cambria Math" w:hAnsi="Cambria Math" w:cstheme="majorBidi"/>
                </w:rPr>
                <m:t>×μ</m:t>
              </m:r>
            </m:den>
          </m:f>
          <m:r>
            <w:rPr>
              <w:rFonts w:ascii="Cambria Math" w:hAnsi="Cambria Math" w:cstheme="majorBidi"/>
            </w:rPr>
            <m:t xml:space="preserve"> </m:t>
          </m:r>
        </m:oMath>
      </m:oMathPara>
    </w:p>
    <w:p w:rsidR="00E24DB7" w:rsidRPr="002C5876" w:rsidRDefault="00E24DB7" w:rsidP="00E24DB7">
      <w:pPr>
        <w:pStyle w:val="SingleTxtG"/>
        <w:keepNext/>
        <w:ind w:left="2268"/>
      </w:pPr>
      <w:r w:rsidRPr="002C5876">
        <w:t>où :</w:t>
      </w:r>
    </w:p>
    <w:p w:rsidR="00E24DB7" w:rsidRPr="002C5876" w:rsidRDefault="00C96FAA" w:rsidP="00C96FAA">
      <w:pPr>
        <w:pStyle w:val="SingleTxtG"/>
        <w:keepNext/>
        <w:ind w:left="2268"/>
      </w:pPr>
      <m:oMathPara>
        <m:oMath>
          <m:r>
            <m:rPr>
              <m:sty m:val="p"/>
            </m:rPr>
            <w:rPr>
              <w:rFonts w:ascii="Cambria Math" w:hAnsi="Cambria Math"/>
              <w:szCs w:val="24"/>
            </w:rPr>
            <m:t>μ</m:t>
          </m:r>
          <m:r>
            <m:rPr>
              <m:sty m:val="p"/>
            </m:rPr>
            <w:rPr>
              <w:rFonts w:ascii="Cambria Math"/>
              <w:szCs w:val="24"/>
            </w:rPr>
            <m:t xml:space="preserve">= </m:t>
          </m:r>
          <m:f>
            <m:fPr>
              <m:ctrlPr>
                <w:rPr>
                  <w:rFonts w:ascii="Cambria Math" w:hAnsi="Cambria Math"/>
                  <w:szCs w:val="24"/>
                </w:rPr>
              </m:ctrlPr>
            </m:fPr>
            <m:num>
              <m:r>
                <m:rPr>
                  <m:sty m:val="p"/>
                </m:rPr>
                <w:rPr>
                  <w:rFonts w:ascii="Cambria Math"/>
                  <w:szCs w:val="24"/>
                </w:rPr>
                <m:t>b</m:t>
              </m:r>
              <m:r>
                <m:rPr>
                  <m:sty m:val="p"/>
                </m:rPr>
                <w:rPr>
                  <w:rFonts w:ascii="Cambria Math" w:hAnsi="Cambria Math"/>
                  <w:szCs w:val="24"/>
                </w:rPr>
                <m:t>×</m:t>
              </m:r>
              <m:sSup>
                <m:sSupPr>
                  <m:ctrlPr>
                    <w:rPr>
                      <w:rFonts w:ascii="Cambria Math" w:hAnsi="Cambria Math"/>
                      <w:szCs w:val="24"/>
                    </w:rPr>
                  </m:ctrlPr>
                </m:sSupPr>
                <m:e>
                  <m:r>
                    <m:rPr>
                      <m:sty m:val="p"/>
                    </m:rPr>
                    <w:rPr>
                      <w:rFonts w:ascii="Cambria Math"/>
                      <w:szCs w:val="24"/>
                    </w:rPr>
                    <m:t>T</m:t>
                  </m:r>
                </m:e>
                <m:sup>
                  <m:r>
                    <m:rPr>
                      <m:sty m:val="p"/>
                    </m:rPr>
                    <w:rPr>
                      <w:rFonts w:ascii="Cambria Math"/>
                      <w:szCs w:val="24"/>
                    </w:rPr>
                    <m:t>1,5</m:t>
                  </m:r>
                </m:sup>
              </m:sSup>
            </m:num>
            <m:den>
              <m:r>
                <m:rPr>
                  <m:sty m:val="p"/>
                </m:rPr>
                <w:rPr>
                  <w:rFonts w:ascii="Cambria Math"/>
                  <w:szCs w:val="24"/>
                </w:rPr>
                <m:t>S+T</m:t>
              </m:r>
            </m:den>
          </m:f>
        </m:oMath>
      </m:oMathPara>
    </w:p>
    <w:p w:rsidR="00E24DB7" w:rsidRPr="002C5876" w:rsidRDefault="00E24DB7" w:rsidP="00E24DB7">
      <w:pPr>
        <w:pStyle w:val="SingleTxtG"/>
        <w:ind w:left="3402" w:hanging="1134"/>
      </w:pPr>
      <w:r w:rsidRPr="002C5876">
        <w:t>A</w:t>
      </w:r>
      <w:r w:rsidRPr="002C5876">
        <w:rPr>
          <w:vertAlign w:val="subscript"/>
        </w:rPr>
        <w:t>1</w:t>
      </w:r>
      <w:r w:rsidRPr="002C5876">
        <w:t xml:space="preserve"> =</w:t>
      </w:r>
      <w:r w:rsidRPr="002C5876">
        <w:tab/>
        <w:t>25,55152, constante de conversion pour (</w:t>
      </w:r>
      <w:r w:rsidRPr="002C5876">
        <w:rPr>
          <w:noProof/>
          <w:position w:val="-22"/>
          <w:lang w:val="en-GB" w:eastAsia="zh-CN"/>
        </w:rPr>
        <w:drawing>
          <wp:inline distT="0" distB="0" distL="0" distR="0" wp14:anchorId="6533F198" wp14:editId="14C84D02">
            <wp:extent cx="180975" cy="266700"/>
            <wp:effectExtent l="0" t="0" r="9525" b="0"/>
            <wp:docPr id="338"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rsidRPr="002C5876">
        <w:t>) (</w:t>
      </w:r>
      <w:r w:rsidRPr="002C5876">
        <w:rPr>
          <w:noProof/>
          <w:position w:val="-20"/>
          <w:lang w:val="en-GB" w:eastAsia="zh-CN"/>
        </w:rPr>
        <w:drawing>
          <wp:inline distT="0" distB="0" distL="0" distR="0" wp14:anchorId="633EF1B5" wp14:editId="00CB9E80">
            <wp:extent cx="219075" cy="266700"/>
            <wp:effectExtent l="0" t="0" r="9525" b="0"/>
            <wp:docPr id="13925"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Pr="002C5876">
        <w:t>) (</w:t>
      </w:r>
      <w:r w:rsidRPr="002C5876">
        <w:rPr>
          <w:noProof/>
          <w:position w:val="-20"/>
          <w:lang w:val="en-GB" w:eastAsia="zh-CN"/>
        </w:rPr>
        <w:drawing>
          <wp:inline distT="0" distB="0" distL="0" distR="0" wp14:anchorId="1E8C3DA3" wp14:editId="05256558">
            <wp:extent cx="219075" cy="266700"/>
            <wp:effectExtent l="0" t="0" r="9525" b="0"/>
            <wp:docPr id="13924"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Pr="002C5876">
        <w:t xml:space="preserve">) ; </w:t>
      </w:r>
    </w:p>
    <w:p w:rsidR="00E24DB7" w:rsidRPr="002C5876" w:rsidRDefault="00E24DB7" w:rsidP="00E24DB7">
      <w:pPr>
        <w:pStyle w:val="SingleTxtG"/>
        <w:ind w:left="3402" w:hanging="1134"/>
      </w:pPr>
      <w:r w:rsidRPr="002C5876">
        <w:t>Q</w:t>
      </w:r>
      <w:r w:rsidRPr="002C5876">
        <w:rPr>
          <w:vertAlign w:val="subscript"/>
        </w:rPr>
        <w:t>SSV</w:t>
      </w:r>
      <w:r w:rsidRPr="002C5876">
        <w:tab/>
        <w:t xml:space="preserve">est le débit d’air en conditions normales (101,325 kPa, 273,15 K </w:t>
      </w:r>
      <w:r w:rsidRPr="002C5876">
        <w:rPr>
          <w:szCs w:val="24"/>
        </w:rPr>
        <w:t>(0 °C)</w:t>
      </w:r>
      <w:r w:rsidRPr="002C5876">
        <w:t>), en m</w:t>
      </w:r>
      <w:r w:rsidRPr="002C5876">
        <w:rPr>
          <w:vertAlign w:val="superscript"/>
        </w:rPr>
        <w:t>3</w:t>
      </w:r>
      <w:r w:rsidRPr="002C5876">
        <w:t xml:space="preserve">/s ; </w:t>
      </w:r>
    </w:p>
    <w:p w:rsidR="00E24DB7" w:rsidRPr="002C5876" w:rsidRDefault="00E24DB7" w:rsidP="00E24DB7">
      <w:pPr>
        <w:pStyle w:val="SingleTxtG"/>
        <w:ind w:left="3402" w:hanging="1134"/>
      </w:pPr>
      <w:r w:rsidRPr="002C5876">
        <w:t>d</w:t>
      </w:r>
      <w:r w:rsidRPr="002C5876">
        <w:rPr>
          <w:vertAlign w:val="subscript"/>
        </w:rPr>
        <w:t>v</w:t>
      </w:r>
      <w:r w:rsidRPr="002C5876">
        <w:tab/>
        <w:t xml:space="preserve">est le diamètre du col du SSV, en m ; </w:t>
      </w:r>
    </w:p>
    <w:p w:rsidR="00E24DB7" w:rsidRPr="002C5876" w:rsidRDefault="00E24DB7" w:rsidP="00E24DB7">
      <w:pPr>
        <w:pStyle w:val="SingleTxtG"/>
        <w:ind w:left="3402" w:hanging="1134"/>
      </w:pPr>
      <w:r w:rsidRPr="002C5876">
        <w:t>μ</w:t>
      </w:r>
      <w:r w:rsidRPr="002C5876">
        <w:tab/>
        <w:t>est la viscosité absolue ou dynamique du gaz, en kg/ms ;</w:t>
      </w:r>
    </w:p>
    <w:p w:rsidR="00E24DB7" w:rsidRPr="002C5876" w:rsidRDefault="00E24DB7" w:rsidP="00E24DB7">
      <w:pPr>
        <w:pStyle w:val="SingleTxtG"/>
        <w:ind w:left="3402" w:hanging="1134"/>
      </w:pPr>
      <w:r w:rsidRPr="002C5876">
        <w:t>b</w:t>
      </w:r>
      <w:r w:rsidRPr="002C5876">
        <w:tab/>
        <w:t>= 1,458 × 10</w:t>
      </w:r>
      <w:r w:rsidRPr="002C5876">
        <w:rPr>
          <w:vertAlign w:val="superscript"/>
        </w:rPr>
        <w:t>6</w:t>
      </w:r>
      <w:r w:rsidRPr="002C5876">
        <w:t xml:space="preserve"> (constante empirique), en kg/ms K</w:t>
      </w:r>
      <w:r w:rsidRPr="002C5876">
        <w:rPr>
          <w:vertAlign w:val="superscript"/>
        </w:rPr>
        <w:t>0,5</w:t>
      </w:r>
      <w:r w:rsidRPr="002C5876">
        <w:t xml:space="preserve"> ; </w:t>
      </w:r>
    </w:p>
    <w:p w:rsidR="00E24DB7" w:rsidRPr="002C5876" w:rsidRDefault="00E24DB7" w:rsidP="00E24DB7">
      <w:pPr>
        <w:pStyle w:val="SingleTxtG"/>
        <w:ind w:left="3402" w:hanging="1134"/>
      </w:pPr>
      <w:r w:rsidRPr="002C5876">
        <w:t>S</w:t>
      </w:r>
      <w:r w:rsidRPr="002C5876">
        <w:tab/>
        <w:t>= 110,4 (constante empirique), en K.</w:t>
      </w:r>
    </w:p>
    <w:p w:rsidR="00E24DB7" w:rsidRPr="002C5876" w:rsidRDefault="00E24DB7" w:rsidP="00E24DB7">
      <w:pPr>
        <w:pStyle w:val="SingleTxtG"/>
        <w:keepNext/>
        <w:keepLines/>
        <w:ind w:left="2268" w:hanging="1134"/>
      </w:pPr>
      <w:r w:rsidRPr="002C5876">
        <w:lastRenderedPageBreak/>
        <w:t>3.4.4.2.2</w:t>
      </w:r>
      <w:r w:rsidRPr="002C5876">
        <w:tab/>
        <w:t>Étant donné que Q</w:t>
      </w:r>
      <w:r w:rsidRPr="002C5876">
        <w:rPr>
          <w:vertAlign w:val="subscript"/>
        </w:rPr>
        <w:t>SSV</w:t>
      </w:r>
      <w:r w:rsidRPr="002C5876">
        <w:t xml:space="preserve"> est un facteur d’entrée dans l’équation Re, on doit commencer les calculs par une approximation initiale pour la valeur Q</w:t>
      </w:r>
      <w:r w:rsidRPr="002C5876">
        <w:rPr>
          <w:vertAlign w:val="subscript"/>
        </w:rPr>
        <w:t>SSV</w:t>
      </w:r>
      <w:r w:rsidRPr="002C5876">
        <w:t xml:space="preserve"> ou C</w:t>
      </w:r>
      <w:r w:rsidRPr="002C5876">
        <w:rPr>
          <w:vertAlign w:val="subscript"/>
        </w:rPr>
        <w:t>d</w:t>
      </w:r>
      <w:r w:rsidRPr="002C5876">
        <w:t xml:space="preserve"> du venturi d’étalonnage, et procéder par itération jusqu’à ce que Q</w:t>
      </w:r>
      <w:r w:rsidRPr="002C5876">
        <w:rPr>
          <w:vertAlign w:val="subscript"/>
        </w:rPr>
        <w:t>SSV</w:t>
      </w:r>
      <w:r w:rsidRPr="002C5876">
        <w:t xml:space="preserve"> converge. La méthode de convergence doit être exacte à 0,1 % ou mieux. </w:t>
      </w:r>
    </w:p>
    <w:p w:rsidR="00E24DB7" w:rsidRPr="002C5876" w:rsidRDefault="00E24DB7" w:rsidP="00E24DB7">
      <w:pPr>
        <w:pStyle w:val="SingleTxtG"/>
        <w:keepNext/>
        <w:ind w:left="2268" w:hanging="1134"/>
      </w:pPr>
      <w:r w:rsidRPr="002C5876">
        <w:t>3.4.4.2.3</w:t>
      </w:r>
      <w:r w:rsidRPr="002C5876">
        <w:tab/>
        <w:t>Pour un minimum de 16 points dans la région du débit subsonique, les valeurs calculées de C</w:t>
      </w:r>
      <w:r w:rsidRPr="002C5876">
        <w:rPr>
          <w:vertAlign w:val="subscript"/>
        </w:rPr>
        <w:t>d</w:t>
      </w:r>
      <w:r w:rsidRPr="002C5876">
        <w:t xml:space="preserve"> à partir de l’équation d’ajustement de la courbe d’étalonnage résultante ne doivent pas s’écarter de plus de </w:t>
      </w:r>
      <w:r w:rsidRPr="002C5876">
        <w:sym w:font="Symbol" w:char="F0B1"/>
      </w:r>
      <w:r w:rsidRPr="002C5876">
        <w:t>0,5 % de la valeur C</w:t>
      </w:r>
      <w:r w:rsidRPr="002C5876">
        <w:rPr>
          <w:vertAlign w:val="subscript"/>
        </w:rPr>
        <w:t>d</w:t>
      </w:r>
      <w:r w:rsidRPr="002C5876">
        <w:t xml:space="preserve"> mesurée pour chaque point d’étalonnage. </w:t>
      </w:r>
    </w:p>
    <w:p w:rsidR="00E24DB7" w:rsidRPr="002C5876" w:rsidRDefault="00E24DB7" w:rsidP="00E24DB7">
      <w:pPr>
        <w:pStyle w:val="SingleTxtG"/>
        <w:keepNext/>
        <w:ind w:left="2268" w:hanging="1134"/>
        <w:jc w:val="left"/>
      </w:pPr>
      <w:r w:rsidRPr="002C5876">
        <w:t>3.4.5</w:t>
      </w:r>
      <w:r w:rsidRPr="002C5876">
        <w:tab/>
        <w:t>Étalonnage d’un débitmètre ultrasonique (UFM)</w:t>
      </w:r>
    </w:p>
    <w:p w:rsidR="00E24DB7" w:rsidRPr="002C5876" w:rsidRDefault="00E24DB7" w:rsidP="00E24DB7">
      <w:pPr>
        <w:pStyle w:val="SingleTxtG"/>
        <w:ind w:left="2268" w:hanging="1134"/>
      </w:pPr>
      <w:r w:rsidRPr="002C5876">
        <w:t>3.4.5.1</w:t>
      </w:r>
      <w:r w:rsidRPr="002C5876">
        <w:tab/>
        <w:t>L’UFM doit être étalonné par rapport à un débitmètre de référence approprié.</w:t>
      </w:r>
    </w:p>
    <w:p w:rsidR="00E24DB7" w:rsidRPr="002C5876" w:rsidRDefault="00E24DB7" w:rsidP="00E24DB7">
      <w:pPr>
        <w:pStyle w:val="SingleTxtG"/>
        <w:ind w:left="2268" w:hanging="1134"/>
      </w:pPr>
      <w:r w:rsidRPr="002C5876">
        <w:t>3.4.5.2</w:t>
      </w:r>
      <w:r w:rsidRPr="002C5876">
        <w:tab/>
        <w:t xml:space="preserve">Le débitmètre ultrasonique doit être étalonné avec la même configuration du système de prélèvement à débit constant (CVS) que celle utilisée dans la chambre d’essai (tuyauterie de gaz d’échappement dilués, dispositif d’aspiration). L’absence de fuites doit être vérifiée (voir fig. A5/8). </w:t>
      </w:r>
    </w:p>
    <w:p w:rsidR="00E24DB7" w:rsidRPr="002C5876" w:rsidRDefault="00E24DB7" w:rsidP="00E24DB7">
      <w:pPr>
        <w:pStyle w:val="SingleTxtG"/>
        <w:ind w:left="2268" w:hanging="1134"/>
      </w:pPr>
      <w:r w:rsidRPr="002C5876">
        <w:t>3.4.5.3</w:t>
      </w:r>
      <w:r w:rsidRPr="002C5876">
        <w:tab/>
        <w:t>Dans le cas où le débitmètre ultrasonique n’est pas équipé d’un échangeur de chaleur, un dispositif de chauffage doit être installé pour conditionner le flux de gaz lors des opérations d’étalonnage.</w:t>
      </w:r>
    </w:p>
    <w:p w:rsidR="00E24DB7" w:rsidRPr="002C5876" w:rsidRDefault="00E24DB7" w:rsidP="00E24DB7">
      <w:pPr>
        <w:pStyle w:val="SingleTxtG"/>
        <w:ind w:left="2268" w:hanging="1134"/>
      </w:pPr>
      <w:r w:rsidRPr="002C5876">
        <w:t>3.4.5.4</w:t>
      </w:r>
      <w:r w:rsidRPr="002C5876">
        <w:tab/>
      </w:r>
      <w:r w:rsidRPr="002C5876">
        <w:rPr>
          <w:spacing w:val="-3"/>
        </w:rPr>
        <w:t>Pour chaque réglage du débit du système de prélèvement qui sera utilisé, l’étalonnage doit être effectué à des températures allant de la température ambiante à la température maximale rencontrée au cours des essais du véhicule.</w:t>
      </w:r>
    </w:p>
    <w:p w:rsidR="00E24DB7" w:rsidRPr="002C5876" w:rsidRDefault="00E24DB7" w:rsidP="00E24DB7">
      <w:pPr>
        <w:pStyle w:val="SingleTxtG"/>
        <w:ind w:left="2268" w:hanging="1134"/>
      </w:pPr>
      <w:r w:rsidRPr="002C5876">
        <w:t>3.4.5.5</w:t>
      </w:r>
      <w:r w:rsidRPr="002C5876">
        <w:tab/>
        <w:t>Pour l’étalonnage de l’appareillage électronique (capteurs de la température (T) et de la pression (P) du débitmètre ultrasonique, on suit la procédure recommandée par le fabricant.</w:t>
      </w:r>
    </w:p>
    <w:p w:rsidR="00E24DB7" w:rsidRPr="002C5876" w:rsidRDefault="00E24DB7" w:rsidP="00E24DB7">
      <w:pPr>
        <w:pStyle w:val="SingleTxtG"/>
        <w:keepNext/>
        <w:ind w:left="2268" w:hanging="1134"/>
      </w:pPr>
      <w:r w:rsidRPr="002C5876">
        <w:t>3.4.5.6</w:t>
      </w:r>
      <w:r w:rsidRPr="002C5876">
        <w:tab/>
        <w:t>Lors des mesures nécessaires pour l’étalonnage du débit du débitmètre ultrasonique, les paramètres suivants (dans le cas d’un élément à flux laminaire) doivent satisfaire aux tolérances d’exactitude ci-après :</w:t>
      </w:r>
    </w:p>
    <w:tbl>
      <w:tblPr>
        <w:tblW w:w="6237" w:type="dxa"/>
        <w:tblInd w:w="2268" w:type="dxa"/>
        <w:tblCellMar>
          <w:left w:w="0" w:type="dxa"/>
          <w:right w:w="0" w:type="dxa"/>
        </w:tblCellMar>
        <w:tblLook w:val="01E0" w:firstRow="1" w:lastRow="1" w:firstColumn="1" w:lastColumn="1" w:noHBand="0" w:noVBand="0"/>
      </w:tblPr>
      <w:tblGrid>
        <w:gridCol w:w="5160"/>
        <w:gridCol w:w="1077"/>
      </w:tblGrid>
      <w:tr w:rsidR="00E24DB7" w:rsidRPr="002C5876" w:rsidTr="00E24DB7">
        <w:tc>
          <w:tcPr>
            <w:tcW w:w="5160" w:type="dxa"/>
            <w:shd w:val="clear" w:color="auto" w:fill="auto"/>
          </w:tcPr>
          <w:p w:rsidR="00E24DB7" w:rsidRPr="002C5876" w:rsidRDefault="00E24DB7" w:rsidP="00E24DB7">
            <w:pPr>
              <w:spacing w:after="120"/>
              <w:ind w:right="57"/>
            </w:pPr>
            <w:r w:rsidRPr="002C5876">
              <w:t>Pression barométrique (corrigée), P</w:t>
            </w:r>
            <w:r w:rsidRPr="002C5876">
              <w:rPr>
                <w:vertAlign w:val="subscript"/>
              </w:rPr>
              <w:t>b</w:t>
            </w:r>
            <w:r w:rsidRPr="002C5876">
              <w:t> :</w:t>
            </w:r>
          </w:p>
        </w:tc>
        <w:tc>
          <w:tcPr>
            <w:tcW w:w="1077" w:type="dxa"/>
            <w:shd w:val="clear" w:color="auto" w:fill="auto"/>
          </w:tcPr>
          <w:p w:rsidR="00E24DB7" w:rsidRPr="002C5876" w:rsidRDefault="00E24DB7" w:rsidP="00E24DB7">
            <w:pPr>
              <w:spacing w:after="100"/>
            </w:pPr>
            <w:r w:rsidRPr="002C5876">
              <w:sym w:font="Symbol" w:char="F0B1"/>
            </w:r>
            <w:r w:rsidRPr="002C5876">
              <w:t>0,03 kPa</w:t>
            </w:r>
          </w:p>
        </w:tc>
      </w:tr>
      <w:tr w:rsidR="00E24DB7" w:rsidRPr="002C5876" w:rsidTr="00E24DB7">
        <w:tc>
          <w:tcPr>
            <w:tcW w:w="5160" w:type="dxa"/>
            <w:shd w:val="clear" w:color="auto" w:fill="auto"/>
          </w:tcPr>
          <w:p w:rsidR="00E24DB7" w:rsidRPr="002C5876" w:rsidRDefault="00E24DB7" w:rsidP="00E24DB7">
            <w:pPr>
              <w:spacing w:after="120"/>
              <w:ind w:right="57"/>
            </w:pPr>
            <w:r w:rsidRPr="002C5876">
              <w:t>Température de l’air à l’entrée de l’élément à flux laminaire, ETI :</w:t>
            </w:r>
          </w:p>
        </w:tc>
        <w:tc>
          <w:tcPr>
            <w:tcW w:w="1077" w:type="dxa"/>
            <w:shd w:val="clear" w:color="auto" w:fill="auto"/>
          </w:tcPr>
          <w:p w:rsidR="00E24DB7" w:rsidRPr="002C5876" w:rsidRDefault="00E24DB7" w:rsidP="00E24DB7">
            <w:pPr>
              <w:spacing w:after="100"/>
            </w:pPr>
            <w:r w:rsidRPr="002C5876">
              <w:sym w:font="Symbol" w:char="F0B1"/>
            </w:r>
            <w:r w:rsidRPr="002C5876">
              <w:t>0,15 K</w:t>
            </w:r>
          </w:p>
        </w:tc>
      </w:tr>
      <w:tr w:rsidR="00E24DB7" w:rsidRPr="002C5876" w:rsidTr="00E24DB7">
        <w:tc>
          <w:tcPr>
            <w:tcW w:w="5160" w:type="dxa"/>
            <w:shd w:val="clear" w:color="auto" w:fill="auto"/>
          </w:tcPr>
          <w:p w:rsidR="00E24DB7" w:rsidRPr="002C5876" w:rsidRDefault="00E24DB7" w:rsidP="00E24DB7">
            <w:pPr>
              <w:spacing w:after="120"/>
              <w:ind w:right="57"/>
            </w:pPr>
            <w:r w:rsidRPr="002C5876">
              <w:t>Dépression en amont de l’élément à flux laminaire, EPI :</w:t>
            </w:r>
          </w:p>
        </w:tc>
        <w:tc>
          <w:tcPr>
            <w:tcW w:w="1077" w:type="dxa"/>
            <w:shd w:val="clear" w:color="auto" w:fill="auto"/>
          </w:tcPr>
          <w:p w:rsidR="00E24DB7" w:rsidRPr="002C5876" w:rsidRDefault="00E24DB7" w:rsidP="00E24DB7">
            <w:pPr>
              <w:spacing w:after="100"/>
            </w:pPr>
            <w:r w:rsidRPr="002C5876">
              <w:sym w:font="Symbol" w:char="F0B1"/>
            </w:r>
            <w:r w:rsidRPr="002C5876">
              <w:t>0,01 kPa</w:t>
            </w:r>
          </w:p>
        </w:tc>
      </w:tr>
      <w:tr w:rsidR="00E24DB7" w:rsidRPr="002C5876" w:rsidTr="00E24DB7">
        <w:tc>
          <w:tcPr>
            <w:tcW w:w="5160" w:type="dxa"/>
            <w:shd w:val="clear" w:color="auto" w:fill="auto"/>
          </w:tcPr>
          <w:p w:rsidR="00E24DB7" w:rsidRPr="002C5876" w:rsidRDefault="00E24DB7" w:rsidP="00E24DB7">
            <w:pPr>
              <w:keepNext/>
              <w:spacing w:after="120"/>
              <w:ind w:right="57"/>
            </w:pPr>
            <w:r w:rsidRPr="002C5876">
              <w:t>Chute de pression à travers la matrice de l’élément à flux laminaire, EDP :</w:t>
            </w:r>
          </w:p>
        </w:tc>
        <w:tc>
          <w:tcPr>
            <w:tcW w:w="1077" w:type="dxa"/>
            <w:shd w:val="clear" w:color="auto" w:fill="auto"/>
          </w:tcPr>
          <w:p w:rsidR="00E24DB7" w:rsidRPr="002C5876" w:rsidRDefault="00E24DB7" w:rsidP="00E24DB7">
            <w:pPr>
              <w:keepNext/>
              <w:spacing w:after="100"/>
            </w:pPr>
            <w:r w:rsidRPr="002C5876">
              <w:sym w:font="Symbol" w:char="F0B1"/>
            </w:r>
            <w:r w:rsidRPr="002C5876">
              <w:t>0,0015 kPa</w:t>
            </w:r>
          </w:p>
        </w:tc>
      </w:tr>
      <w:tr w:rsidR="00E24DB7" w:rsidRPr="002C5876" w:rsidTr="00E24DB7">
        <w:tc>
          <w:tcPr>
            <w:tcW w:w="5160" w:type="dxa"/>
            <w:shd w:val="clear" w:color="auto" w:fill="auto"/>
          </w:tcPr>
          <w:p w:rsidR="00E24DB7" w:rsidRPr="002C5876" w:rsidRDefault="00E24DB7" w:rsidP="00E24DB7">
            <w:pPr>
              <w:spacing w:after="120"/>
              <w:ind w:right="57"/>
            </w:pPr>
            <w:r w:rsidRPr="002C5876">
              <w:t>Débit d’air, Q</w:t>
            </w:r>
            <w:r w:rsidRPr="002C5876">
              <w:rPr>
                <w:vertAlign w:val="subscript"/>
              </w:rPr>
              <w:t>s</w:t>
            </w:r>
            <w:r w:rsidRPr="002C5876">
              <w:t> :</w:t>
            </w:r>
          </w:p>
        </w:tc>
        <w:tc>
          <w:tcPr>
            <w:tcW w:w="1077" w:type="dxa"/>
            <w:shd w:val="clear" w:color="auto" w:fill="auto"/>
          </w:tcPr>
          <w:p w:rsidR="00E24DB7" w:rsidRPr="002C5876" w:rsidRDefault="00E24DB7" w:rsidP="00E24DB7">
            <w:pPr>
              <w:spacing w:after="100"/>
            </w:pPr>
            <w:r w:rsidRPr="002C5876">
              <w:sym w:font="Symbol" w:char="F0B1"/>
            </w:r>
            <w:r w:rsidRPr="002C5876">
              <w:t>0,5 %</w:t>
            </w:r>
          </w:p>
        </w:tc>
      </w:tr>
      <w:tr w:rsidR="00E24DB7" w:rsidRPr="002C5876" w:rsidTr="00E24DB7">
        <w:tc>
          <w:tcPr>
            <w:tcW w:w="5160" w:type="dxa"/>
            <w:shd w:val="clear" w:color="auto" w:fill="auto"/>
          </w:tcPr>
          <w:p w:rsidR="00E24DB7" w:rsidRPr="002C5876" w:rsidRDefault="00E24DB7" w:rsidP="00E24DB7">
            <w:pPr>
              <w:spacing w:after="120"/>
              <w:ind w:right="57"/>
            </w:pPr>
            <w:r w:rsidRPr="002C5876">
              <w:t>Dépression à l’entrée du débitmètre ultrasonique, P</w:t>
            </w:r>
            <w:r w:rsidRPr="002C5876">
              <w:rPr>
                <w:vertAlign w:val="subscript"/>
              </w:rPr>
              <w:t>act</w:t>
            </w:r>
            <w:r w:rsidRPr="002C5876">
              <w:t> :</w:t>
            </w:r>
          </w:p>
        </w:tc>
        <w:tc>
          <w:tcPr>
            <w:tcW w:w="1077" w:type="dxa"/>
            <w:shd w:val="clear" w:color="auto" w:fill="auto"/>
          </w:tcPr>
          <w:p w:rsidR="00E24DB7" w:rsidRPr="002C5876" w:rsidRDefault="00E24DB7" w:rsidP="00E24DB7">
            <w:pPr>
              <w:spacing w:after="100"/>
            </w:pPr>
            <w:r w:rsidRPr="002C5876">
              <w:sym w:font="Symbol" w:char="F0B1"/>
            </w:r>
            <w:r w:rsidRPr="002C5876">
              <w:t>0,02 kPa</w:t>
            </w:r>
          </w:p>
        </w:tc>
      </w:tr>
      <w:tr w:rsidR="00E24DB7" w:rsidRPr="002C5876" w:rsidTr="00E24DB7">
        <w:tc>
          <w:tcPr>
            <w:tcW w:w="5160" w:type="dxa"/>
            <w:shd w:val="clear" w:color="auto" w:fill="auto"/>
          </w:tcPr>
          <w:p w:rsidR="00E24DB7" w:rsidRPr="002C5876" w:rsidRDefault="00E24DB7" w:rsidP="00E24DB7">
            <w:pPr>
              <w:spacing w:after="120"/>
              <w:ind w:right="57"/>
            </w:pPr>
            <w:r w:rsidRPr="002C5876">
              <w:t>Température à l’entrée du débitmètre ultrasonique T</w:t>
            </w:r>
            <w:r w:rsidRPr="002C5876">
              <w:rPr>
                <w:vertAlign w:val="subscript"/>
              </w:rPr>
              <w:t>act</w:t>
            </w:r>
            <w:r w:rsidRPr="002C5876">
              <w:t> :</w:t>
            </w:r>
          </w:p>
        </w:tc>
        <w:tc>
          <w:tcPr>
            <w:tcW w:w="1077" w:type="dxa"/>
            <w:shd w:val="clear" w:color="auto" w:fill="auto"/>
          </w:tcPr>
          <w:p w:rsidR="00E24DB7" w:rsidRPr="002C5876" w:rsidRDefault="00E24DB7" w:rsidP="00E24DB7">
            <w:pPr>
              <w:spacing w:after="100"/>
            </w:pPr>
            <w:r w:rsidRPr="002C5876">
              <w:sym w:font="Symbol" w:char="F0B1"/>
            </w:r>
            <w:r w:rsidRPr="002C5876">
              <w:t>0,2 K</w:t>
            </w:r>
          </w:p>
        </w:tc>
      </w:tr>
    </w:tbl>
    <w:p w:rsidR="00E24DB7" w:rsidRPr="002C5876" w:rsidRDefault="00E24DB7" w:rsidP="00E24DB7">
      <w:pPr>
        <w:pStyle w:val="SingleTxtG"/>
        <w:keepNext/>
        <w:spacing w:before="120"/>
        <w:ind w:left="2268" w:hanging="1134"/>
        <w:jc w:val="left"/>
      </w:pPr>
      <w:r w:rsidRPr="002C5876">
        <w:t>3.4.5.7</w:t>
      </w:r>
      <w:r w:rsidRPr="002C5876">
        <w:tab/>
        <w:t>Procédure</w:t>
      </w:r>
    </w:p>
    <w:p w:rsidR="00E24DB7" w:rsidRPr="002C5876" w:rsidRDefault="00E24DB7" w:rsidP="00E24DB7">
      <w:pPr>
        <w:pStyle w:val="SingleTxtG"/>
        <w:ind w:left="2268" w:hanging="1134"/>
        <w:rPr>
          <w:spacing w:val="-2"/>
        </w:rPr>
      </w:pPr>
      <w:r w:rsidRPr="002C5876">
        <w:t>3.4.5.7.1</w:t>
      </w:r>
      <w:r w:rsidRPr="002C5876">
        <w:tab/>
      </w:r>
      <w:r w:rsidRPr="002C5876">
        <w:rPr>
          <w:spacing w:val="-2"/>
        </w:rPr>
        <w:t>Installer l’équipement conformément à la figure A5/8 de la présente annexe et contrôler l’étanchéité. Toute fuite existant entre le dispositif de mesure du débit et le débitmètre ultrasonique affecterait gravement l’exactitude de l’étalonnage.</w:t>
      </w:r>
    </w:p>
    <w:p w:rsidR="00E24DB7" w:rsidRPr="002C5876" w:rsidRDefault="00E24DB7" w:rsidP="00E24DB7">
      <w:pPr>
        <w:pStyle w:val="H23G"/>
      </w:pPr>
      <w:r w:rsidRPr="002C5876">
        <w:rPr>
          <w:b w:val="0"/>
        </w:rPr>
        <w:lastRenderedPageBreak/>
        <w:tab/>
      </w:r>
      <w:r w:rsidRPr="002C5876">
        <w:rPr>
          <w:b w:val="0"/>
        </w:rPr>
        <w:tab/>
        <w:t>Figure A5/8</w:t>
      </w:r>
      <w:r w:rsidRPr="002C5876">
        <w:br/>
        <w:t>Configuration d’étalonnage pour système de prélèvement à débitmètre ultrasonique</w:t>
      </w:r>
    </w:p>
    <w:p w:rsidR="00E24DB7" w:rsidRPr="002C5876" w:rsidRDefault="00E24DB7" w:rsidP="00E24DB7">
      <w:pPr>
        <w:keepNext/>
        <w:keepLines/>
        <w:spacing w:line="240" w:lineRule="auto"/>
        <w:ind w:left="1134" w:right="1134"/>
        <w:jc w:val="both"/>
        <w:rPr>
          <w:sz w:val="10"/>
          <w:szCs w:val="10"/>
        </w:rPr>
      </w:pPr>
      <w:r w:rsidRPr="002C5876">
        <w:rPr>
          <w:noProof/>
          <w:lang w:val="en-GB" w:eastAsia="zh-CN"/>
        </w:rPr>
        <mc:AlternateContent>
          <mc:Choice Requires="wpc">
            <w:drawing>
              <wp:inline distT="0" distB="0" distL="0" distR="0" wp14:anchorId="06AD98C2" wp14:editId="4CC9F3A6">
                <wp:extent cx="5118100" cy="1699895"/>
                <wp:effectExtent l="0" t="0" r="0" b="0"/>
                <wp:docPr id="14186" name="Zeichenbereich 133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4159" name="Rectangle 27"/>
                        <wps:cNvSpPr>
                          <a:spLocks noChangeArrowheads="1"/>
                        </wps:cNvSpPr>
                        <wps:spPr bwMode="auto">
                          <a:xfrm>
                            <a:off x="17780" y="272415"/>
                            <a:ext cx="849630" cy="509270"/>
                          </a:xfrm>
                          <a:prstGeom prst="rect">
                            <a:avLst/>
                          </a:prstGeom>
                          <a:noFill/>
                          <a:ln w="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3F39" w:rsidRPr="003D1E48" w:rsidRDefault="00D53F39" w:rsidP="00E24DB7">
                              <w:pPr>
                                <w:spacing w:line="240" w:lineRule="auto"/>
                                <w:jc w:val="center"/>
                                <w:rPr>
                                  <w:sz w:val="16"/>
                                  <w:szCs w:val="16"/>
                                </w:rPr>
                              </w:pPr>
                              <w:r w:rsidRPr="003D1E48">
                                <w:rPr>
                                  <w:sz w:val="16"/>
                                  <w:szCs w:val="16"/>
                                </w:rPr>
                                <w:t xml:space="preserve">Débitmètre </w:t>
                              </w:r>
                              <w:r w:rsidRPr="003D1E48">
                                <w:rPr>
                                  <w:sz w:val="16"/>
                                  <w:szCs w:val="16"/>
                                </w:rPr>
                                <w:br/>
                                <w:t>de référence (LFE, SSV)</w:t>
                              </w:r>
                            </w:p>
                          </w:txbxContent>
                        </wps:txbx>
                        <wps:bodyPr rot="0" vert="horz" wrap="square" lIns="91440" tIns="45720" rIns="91440" bIns="45720" anchor="ctr" anchorCtr="0" upright="1">
                          <a:noAutofit/>
                        </wps:bodyPr>
                      </wps:wsp>
                      <wps:wsp>
                        <wps:cNvPr id="14160" name="Line 35"/>
                        <wps:cNvCnPr/>
                        <wps:spPr bwMode="auto">
                          <a:xfrm>
                            <a:off x="867410" y="441960"/>
                            <a:ext cx="340360"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61" name="Line 36"/>
                        <wps:cNvCnPr/>
                        <wps:spPr bwMode="auto">
                          <a:xfrm>
                            <a:off x="867410" y="612140"/>
                            <a:ext cx="340360"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62" name="Rectangle 37"/>
                        <wps:cNvSpPr>
                          <a:spLocks noChangeArrowheads="1"/>
                        </wps:cNvSpPr>
                        <wps:spPr bwMode="auto">
                          <a:xfrm>
                            <a:off x="1207770" y="272415"/>
                            <a:ext cx="679450" cy="509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63" name="Rectangle 38"/>
                        <wps:cNvSpPr>
                          <a:spLocks noChangeArrowheads="1"/>
                        </wps:cNvSpPr>
                        <wps:spPr bwMode="auto">
                          <a:xfrm>
                            <a:off x="1207770" y="272415"/>
                            <a:ext cx="679450" cy="509270"/>
                          </a:xfrm>
                          <a:prstGeom prst="rect">
                            <a:avLst/>
                          </a:prstGeom>
                          <a:noFill/>
                          <a:ln w="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3F39" w:rsidRPr="003D1E48" w:rsidRDefault="00D53F39" w:rsidP="00E24DB7">
                              <w:pPr>
                                <w:jc w:val="center"/>
                                <w:rPr>
                                  <w:sz w:val="16"/>
                                  <w:szCs w:val="16"/>
                                </w:rPr>
                              </w:pPr>
                              <w:r w:rsidRPr="003D1E48">
                                <w:rPr>
                                  <w:sz w:val="16"/>
                                  <w:szCs w:val="16"/>
                                </w:rPr>
                                <w:t>Réchauffeur</w:t>
                              </w:r>
                            </w:p>
                          </w:txbxContent>
                        </wps:txbx>
                        <wps:bodyPr rot="0" vert="horz" wrap="square" lIns="0" tIns="0" rIns="0" bIns="0" anchor="ctr" anchorCtr="0" upright="1">
                          <a:noAutofit/>
                        </wps:bodyPr>
                      </wps:wsp>
                      <wps:wsp>
                        <wps:cNvPr id="14164" name="Rectangle 40"/>
                        <wps:cNvSpPr>
                          <a:spLocks noChangeArrowheads="1"/>
                        </wps:cNvSpPr>
                        <wps:spPr bwMode="auto">
                          <a:xfrm>
                            <a:off x="2413635" y="272415"/>
                            <a:ext cx="509905" cy="509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3F39" w:rsidRPr="003D1E48" w:rsidRDefault="00D53F39" w:rsidP="00E24DB7">
                              <w:pPr>
                                <w:jc w:val="center"/>
                                <w:rPr>
                                  <w:sz w:val="16"/>
                                  <w:szCs w:val="16"/>
                                </w:rPr>
                              </w:pPr>
                              <w:r w:rsidRPr="003D1E48">
                                <w:rPr>
                                  <w:sz w:val="16"/>
                                  <w:szCs w:val="16"/>
                                </w:rPr>
                                <w:t>UFM</w:t>
                              </w:r>
                            </w:p>
                          </w:txbxContent>
                        </wps:txbx>
                        <wps:bodyPr rot="0" vert="horz" wrap="square" lIns="91440" tIns="45720" rIns="91440" bIns="45720" anchor="ctr" anchorCtr="0" upright="1">
                          <a:noAutofit/>
                        </wps:bodyPr>
                      </wps:wsp>
                      <wps:wsp>
                        <wps:cNvPr id="14165" name="Rectangle 41"/>
                        <wps:cNvSpPr>
                          <a:spLocks noChangeArrowheads="1"/>
                        </wps:cNvSpPr>
                        <wps:spPr bwMode="auto">
                          <a:xfrm>
                            <a:off x="2413635" y="272415"/>
                            <a:ext cx="509905" cy="509270"/>
                          </a:xfrm>
                          <a:prstGeom prst="rect">
                            <a:avLst/>
                          </a:prstGeom>
                          <a:noFill/>
                          <a:ln w="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66" name="Rectangle 43"/>
                        <wps:cNvSpPr>
                          <a:spLocks noChangeArrowheads="1"/>
                        </wps:cNvSpPr>
                        <wps:spPr bwMode="auto">
                          <a:xfrm>
                            <a:off x="3823970" y="273050"/>
                            <a:ext cx="680085" cy="508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67" name="Rectangle 44"/>
                        <wps:cNvSpPr>
                          <a:spLocks noChangeArrowheads="1"/>
                        </wps:cNvSpPr>
                        <wps:spPr bwMode="auto">
                          <a:xfrm>
                            <a:off x="3823970" y="273050"/>
                            <a:ext cx="680085" cy="508635"/>
                          </a:xfrm>
                          <a:prstGeom prst="rect">
                            <a:avLst/>
                          </a:prstGeom>
                          <a:noFill/>
                          <a:ln w="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3F39" w:rsidRPr="003D1E48" w:rsidRDefault="00D53F39" w:rsidP="00E24DB7">
                              <w:pPr>
                                <w:jc w:val="center"/>
                                <w:rPr>
                                  <w:sz w:val="16"/>
                                  <w:szCs w:val="16"/>
                                </w:rPr>
                              </w:pPr>
                              <w:r w:rsidRPr="003D1E48">
                                <w:rPr>
                                  <w:sz w:val="16"/>
                                  <w:szCs w:val="16"/>
                                </w:rPr>
                                <w:t>Dispositif d’aspiration</w:t>
                              </w:r>
                            </w:p>
                          </w:txbxContent>
                        </wps:txbx>
                        <wps:bodyPr rot="0" vert="horz" wrap="square" lIns="0" tIns="0" rIns="0" bIns="0" anchor="ctr" anchorCtr="0" upright="1">
                          <a:noAutofit/>
                        </wps:bodyPr>
                      </wps:wsp>
                      <wps:wsp>
                        <wps:cNvPr id="14168" name="Line 47"/>
                        <wps:cNvCnPr/>
                        <wps:spPr bwMode="auto">
                          <a:xfrm>
                            <a:off x="4504055" y="441960"/>
                            <a:ext cx="19494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69" name="Line 48"/>
                        <wps:cNvCnPr/>
                        <wps:spPr bwMode="auto">
                          <a:xfrm>
                            <a:off x="4504055" y="612140"/>
                            <a:ext cx="18732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70" name="Rectangle 49"/>
                        <wps:cNvSpPr>
                          <a:spLocks noChangeArrowheads="1"/>
                        </wps:cNvSpPr>
                        <wps:spPr bwMode="auto">
                          <a:xfrm>
                            <a:off x="76200" y="823595"/>
                            <a:ext cx="7493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F39" w:rsidRPr="003D1E48" w:rsidRDefault="00D53F39" w:rsidP="00E24DB7">
                              <w:pPr>
                                <w:spacing w:line="240" w:lineRule="auto"/>
                                <w:jc w:val="center"/>
                                <w:rPr>
                                  <w:sz w:val="16"/>
                                  <w:szCs w:val="16"/>
                                </w:rPr>
                              </w:pPr>
                              <w:r w:rsidRPr="003D1E48">
                                <w:rPr>
                                  <w:sz w:val="16"/>
                                  <w:szCs w:val="16"/>
                                </w:rPr>
                                <w:t xml:space="preserve">(y compris </w:t>
                              </w:r>
                              <w:r w:rsidRPr="003D1E48">
                                <w:rPr>
                                  <w:sz w:val="16"/>
                                  <w:szCs w:val="16"/>
                                </w:rPr>
                                <w:br/>
                                <w:t xml:space="preserve">les capteurs </w:t>
                              </w:r>
                              <w:r w:rsidRPr="003D1E48">
                                <w:rPr>
                                  <w:sz w:val="16"/>
                                  <w:szCs w:val="16"/>
                                </w:rPr>
                                <w:br/>
                                <w:t xml:space="preserve">de température </w:t>
                              </w:r>
                              <w:r w:rsidRPr="003D1E48">
                                <w:rPr>
                                  <w:sz w:val="16"/>
                                  <w:szCs w:val="16"/>
                                </w:rPr>
                                <w:br/>
                                <w:t>et de pression nécessaires)</w:t>
                              </w:r>
                            </w:p>
                          </w:txbxContent>
                        </wps:txbx>
                        <wps:bodyPr rot="0" vert="horz" wrap="square" lIns="0" tIns="0" rIns="0" bIns="0" anchor="t" anchorCtr="0">
                          <a:spAutoFit/>
                        </wps:bodyPr>
                      </wps:wsp>
                      <wps:wsp>
                        <wps:cNvPr id="14171" name="Line 53"/>
                        <wps:cNvCnPr/>
                        <wps:spPr bwMode="auto">
                          <a:xfrm>
                            <a:off x="2040255" y="187960"/>
                            <a:ext cx="0" cy="339725"/>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72" name="Freeform 55"/>
                        <wps:cNvSpPr>
                          <a:spLocks/>
                        </wps:cNvSpPr>
                        <wps:spPr bwMode="auto">
                          <a:xfrm>
                            <a:off x="1954530" y="17780"/>
                            <a:ext cx="170180" cy="170180"/>
                          </a:xfrm>
                          <a:custGeom>
                            <a:avLst/>
                            <a:gdLst>
                              <a:gd name="T0" fmla="*/ 268 w 268"/>
                              <a:gd name="T1" fmla="*/ 121 h 268"/>
                              <a:gd name="T2" fmla="*/ 262 w 268"/>
                              <a:gd name="T3" fmla="*/ 94 h 268"/>
                              <a:gd name="T4" fmla="*/ 253 w 268"/>
                              <a:gd name="T5" fmla="*/ 70 h 268"/>
                              <a:gd name="T6" fmla="*/ 238 w 268"/>
                              <a:gd name="T7" fmla="*/ 48 h 268"/>
                              <a:gd name="T8" fmla="*/ 220 w 268"/>
                              <a:gd name="T9" fmla="*/ 30 h 268"/>
                              <a:gd name="T10" fmla="*/ 199 w 268"/>
                              <a:gd name="T11" fmla="*/ 16 h 268"/>
                              <a:gd name="T12" fmla="*/ 175 w 268"/>
                              <a:gd name="T13" fmla="*/ 6 h 268"/>
                              <a:gd name="T14" fmla="*/ 148 w 268"/>
                              <a:gd name="T15" fmla="*/ 0 h 268"/>
                              <a:gd name="T16" fmla="*/ 121 w 268"/>
                              <a:gd name="T17" fmla="*/ 0 h 268"/>
                              <a:gd name="T18" fmla="*/ 95 w 268"/>
                              <a:gd name="T19" fmla="*/ 6 h 268"/>
                              <a:gd name="T20" fmla="*/ 71 w 268"/>
                              <a:gd name="T21" fmla="*/ 16 h 268"/>
                              <a:gd name="T22" fmla="*/ 50 w 268"/>
                              <a:gd name="T23" fmla="*/ 30 h 268"/>
                              <a:gd name="T24" fmla="*/ 32 w 268"/>
                              <a:gd name="T25" fmla="*/ 48 h 268"/>
                              <a:gd name="T26" fmla="*/ 17 w 268"/>
                              <a:gd name="T27" fmla="*/ 70 h 268"/>
                              <a:gd name="T28" fmla="*/ 8 w 268"/>
                              <a:gd name="T29" fmla="*/ 94 h 268"/>
                              <a:gd name="T30" fmla="*/ 2 w 268"/>
                              <a:gd name="T31" fmla="*/ 121 h 268"/>
                              <a:gd name="T32" fmla="*/ 2 w 268"/>
                              <a:gd name="T33" fmla="*/ 147 h 268"/>
                              <a:gd name="T34" fmla="*/ 8 w 268"/>
                              <a:gd name="T35" fmla="*/ 173 h 268"/>
                              <a:gd name="T36" fmla="*/ 17 w 268"/>
                              <a:gd name="T37" fmla="*/ 197 h 268"/>
                              <a:gd name="T38" fmla="*/ 32 w 268"/>
                              <a:gd name="T39" fmla="*/ 218 h 268"/>
                              <a:gd name="T40" fmla="*/ 50 w 268"/>
                              <a:gd name="T41" fmla="*/ 237 h 268"/>
                              <a:gd name="T42" fmla="*/ 71 w 268"/>
                              <a:gd name="T43" fmla="*/ 251 h 268"/>
                              <a:gd name="T44" fmla="*/ 95 w 268"/>
                              <a:gd name="T45" fmla="*/ 262 h 268"/>
                              <a:gd name="T46" fmla="*/ 121 w 268"/>
                              <a:gd name="T47" fmla="*/ 266 h 268"/>
                              <a:gd name="T48" fmla="*/ 148 w 268"/>
                              <a:gd name="T49" fmla="*/ 266 h 268"/>
                              <a:gd name="T50" fmla="*/ 175 w 268"/>
                              <a:gd name="T51" fmla="*/ 262 h 268"/>
                              <a:gd name="T52" fmla="*/ 199 w 268"/>
                              <a:gd name="T53" fmla="*/ 251 h 268"/>
                              <a:gd name="T54" fmla="*/ 220 w 268"/>
                              <a:gd name="T55" fmla="*/ 237 h 268"/>
                              <a:gd name="T56" fmla="*/ 238 w 268"/>
                              <a:gd name="T57" fmla="*/ 218 h 268"/>
                              <a:gd name="T58" fmla="*/ 253 w 268"/>
                              <a:gd name="T59" fmla="*/ 197 h 268"/>
                              <a:gd name="T60" fmla="*/ 262 w 268"/>
                              <a:gd name="T61" fmla="*/ 173 h 268"/>
                              <a:gd name="T62" fmla="*/ 268 w 268"/>
                              <a:gd name="T63" fmla="*/ 147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8" h="268">
                                <a:moveTo>
                                  <a:pt x="268" y="133"/>
                                </a:moveTo>
                                <a:lnTo>
                                  <a:pt x="268" y="121"/>
                                </a:lnTo>
                                <a:lnTo>
                                  <a:pt x="265" y="106"/>
                                </a:lnTo>
                                <a:lnTo>
                                  <a:pt x="262" y="94"/>
                                </a:lnTo>
                                <a:lnTo>
                                  <a:pt x="258" y="82"/>
                                </a:lnTo>
                                <a:lnTo>
                                  <a:pt x="253" y="70"/>
                                </a:lnTo>
                                <a:lnTo>
                                  <a:pt x="245" y="60"/>
                                </a:lnTo>
                                <a:lnTo>
                                  <a:pt x="238" y="48"/>
                                </a:lnTo>
                                <a:lnTo>
                                  <a:pt x="228" y="40"/>
                                </a:lnTo>
                                <a:lnTo>
                                  <a:pt x="220" y="30"/>
                                </a:lnTo>
                                <a:lnTo>
                                  <a:pt x="210" y="23"/>
                                </a:lnTo>
                                <a:lnTo>
                                  <a:pt x="199" y="16"/>
                                </a:lnTo>
                                <a:lnTo>
                                  <a:pt x="186" y="10"/>
                                </a:lnTo>
                                <a:lnTo>
                                  <a:pt x="175" y="6"/>
                                </a:lnTo>
                                <a:lnTo>
                                  <a:pt x="162" y="3"/>
                                </a:lnTo>
                                <a:lnTo>
                                  <a:pt x="148" y="0"/>
                                </a:lnTo>
                                <a:lnTo>
                                  <a:pt x="135" y="0"/>
                                </a:lnTo>
                                <a:lnTo>
                                  <a:pt x="121" y="0"/>
                                </a:lnTo>
                                <a:lnTo>
                                  <a:pt x="108" y="3"/>
                                </a:lnTo>
                                <a:lnTo>
                                  <a:pt x="95" y="6"/>
                                </a:lnTo>
                                <a:lnTo>
                                  <a:pt x="83" y="10"/>
                                </a:lnTo>
                                <a:lnTo>
                                  <a:pt x="71" y="16"/>
                                </a:lnTo>
                                <a:lnTo>
                                  <a:pt x="60" y="23"/>
                                </a:lnTo>
                                <a:lnTo>
                                  <a:pt x="50" y="30"/>
                                </a:lnTo>
                                <a:lnTo>
                                  <a:pt x="40" y="40"/>
                                </a:lnTo>
                                <a:lnTo>
                                  <a:pt x="32" y="48"/>
                                </a:lnTo>
                                <a:lnTo>
                                  <a:pt x="23" y="60"/>
                                </a:lnTo>
                                <a:lnTo>
                                  <a:pt x="17" y="70"/>
                                </a:lnTo>
                                <a:lnTo>
                                  <a:pt x="12" y="82"/>
                                </a:lnTo>
                                <a:lnTo>
                                  <a:pt x="8" y="94"/>
                                </a:lnTo>
                                <a:lnTo>
                                  <a:pt x="3" y="106"/>
                                </a:lnTo>
                                <a:lnTo>
                                  <a:pt x="2" y="121"/>
                                </a:lnTo>
                                <a:lnTo>
                                  <a:pt x="0" y="133"/>
                                </a:lnTo>
                                <a:lnTo>
                                  <a:pt x="2" y="147"/>
                                </a:lnTo>
                                <a:lnTo>
                                  <a:pt x="3" y="160"/>
                                </a:lnTo>
                                <a:lnTo>
                                  <a:pt x="8" y="173"/>
                                </a:lnTo>
                                <a:lnTo>
                                  <a:pt x="12" y="186"/>
                                </a:lnTo>
                                <a:lnTo>
                                  <a:pt x="17" y="197"/>
                                </a:lnTo>
                                <a:lnTo>
                                  <a:pt x="23" y="208"/>
                                </a:lnTo>
                                <a:lnTo>
                                  <a:pt x="32" y="218"/>
                                </a:lnTo>
                                <a:lnTo>
                                  <a:pt x="40" y="228"/>
                                </a:lnTo>
                                <a:lnTo>
                                  <a:pt x="50" y="237"/>
                                </a:lnTo>
                                <a:lnTo>
                                  <a:pt x="60" y="245"/>
                                </a:lnTo>
                                <a:lnTo>
                                  <a:pt x="71" y="251"/>
                                </a:lnTo>
                                <a:lnTo>
                                  <a:pt x="83" y="256"/>
                                </a:lnTo>
                                <a:lnTo>
                                  <a:pt x="95" y="262"/>
                                </a:lnTo>
                                <a:lnTo>
                                  <a:pt x="108" y="265"/>
                                </a:lnTo>
                                <a:lnTo>
                                  <a:pt x="121" y="266"/>
                                </a:lnTo>
                                <a:lnTo>
                                  <a:pt x="135" y="268"/>
                                </a:lnTo>
                                <a:lnTo>
                                  <a:pt x="148" y="266"/>
                                </a:lnTo>
                                <a:lnTo>
                                  <a:pt x="162" y="265"/>
                                </a:lnTo>
                                <a:lnTo>
                                  <a:pt x="175" y="262"/>
                                </a:lnTo>
                                <a:lnTo>
                                  <a:pt x="186" y="256"/>
                                </a:lnTo>
                                <a:lnTo>
                                  <a:pt x="199" y="251"/>
                                </a:lnTo>
                                <a:lnTo>
                                  <a:pt x="210" y="245"/>
                                </a:lnTo>
                                <a:lnTo>
                                  <a:pt x="220" y="237"/>
                                </a:lnTo>
                                <a:lnTo>
                                  <a:pt x="228" y="228"/>
                                </a:lnTo>
                                <a:lnTo>
                                  <a:pt x="238" y="218"/>
                                </a:lnTo>
                                <a:lnTo>
                                  <a:pt x="245" y="208"/>
                                </a:lnTo>
                                <a:lnTo>
                                  <a:pt x="253" y="197"/>
                                </a:lnTo>
                                <a:lnTo>
                                  <a:pt x="258" y="186"/>
                                </a:lnTo>
                                <a:lnTo>
                                  <a:pt x="262" y="173"/>
                                </a:lnTo>
                                <a:lnTo>
                                  <a:pt x="265" y="160"/>
                                </a:lnTo>
                                <a:lnTo>
                                  <a:pt x="268" y="147"/>
                                </a:lnTo>
                                <a:lnTo>
                                  <a:pt x="268" y="133"/>
                                </a:lnTo>
                              </a:path>
                            </a:pathLst>
                          </a:custGeom>
                          <a:noFill/>
                          <a:ln w="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3" name="Rectangle 56"/>
                        <wps:cNvSpPr>
                          <a:spLocks noChangeArrowheads="1"/>
                        </wps:cNvSpPr>
                        <wps:spPr bwMode="auto">
                          <a:xfrm>
                            <a:off x="2016125" y="18111"/>
                            <a:ext cx="711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F39" w:rsidRPr="00FA07D0" w:rsidRDefault="00D53F39" w:rsidP="00E24DB7">
                              <w:r w:rsidRPr="00FA07D0">
                                <w:rPr>
                                  <w:color w:val="000000"/>
                                  <w:lang w:val="en-US"/>
                                </w:rPr>
                                <w:t>P</w:t>
                              </w:r>
                            </w:p>
                          </w:txbxContent>
                        </wps:txbx>
                        <wps:bodyPr rot="0" vert="horz" wrap="none" lIns="0" tIns="0" rIns="0" bIns="0" anchor="t" anchorCtr="0">
                          <a:spAutoFit/>
                        </wps:bodyPr>
                      </wps:wsp>
                      <wps:wsp>
                        <wps:cNvPr id="14174" name="Line 57"/>
                        <wps:cNvCnPr/>
                        <wps:spPr bwMode="auto">
                          <a:xfrm>
                            <a:off x="2294890" y="187960"/>
                            <a:ext cx="0" cy="339725"/>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75" name="Freeform 58"/>
                        <wps:cNvSpPr>
                          <a:spLocks/>
                        </wps:cNvSpPr>
                        <wps:spPr bwMode="auto">
                          <a:xfrm>
                            <a:off x="2210435" y="17780"/>
                            <a:ext cx="169545" cy="170180"/>
                          </a:xfrm>
                          <a:custGeom>
                            <a:avLst/>
                            <a:gdLst>
                              <a:gd name="T0" fmla="*/ 266 w 267"/>
                              <a:gd name="T1" fmla="*/ 121 h 268"/>
                              <a:gd name="T2" fmla="*/ 260 w 267"/>
                              <a:gd name="T3" fmla="*/ 94 h 268"/>
                              <a:gd name="T4" fmla="*/ 250 w 267"/>
                              <a:gd name="T5" fmla="*/ 70 h 268"/>
                              <a:gd name="T6" fmla="*/ 236 w 267"/>
                              <a:gd name="T7" fmla="*/ 48 h 268"/>
                              <a:gd name="T8" fmla="*/ 218 w 267"/>
                              <a:gd name="T9" fmla="*/ 30 h 268"/>
                              <a:gd name="T10" fmla="*/ 196 w 267"/>
                              <a:gd name="T11" fmla="*/ 16 h 268"/>
                              <a:gd name="T12" fmla="*/ 172 w 267"/>
                              <a:gd name="T13" fmla="*/ 6 h 268"/>
                              <a:gd name="T14" fmla="*/ 147 w 267"/>
                              <a:gd name="T15" fmla="*/ 0 h 268"/>
                              <a:gd name="T16" fmla="*/ 119 w 267"/>
                              <a:gd name="T17" fmla="*/ 0 h 268"/>
                              <a:gd name="T18" fmla="*/ 93 w 267"/>
                              <a:gd name="T19" fmla="*/ 6 h 268"/>
                              <a:gd name="T20" fmla="*/ 69 w 267"/>
                              <a:gd name="T21" fmla="*/ 16 h 268"/>
                              <a:gd name="T22" fmla="*/ 48 w 267"/>
                              <a:gd name="T23" fmla="*/ 30 h 268"/>
                              <a:gd name="T24" fmla="*/ 29 w 267"/>
                              <a:gd name="T25" fmla="*/ 48 h 268"/>
                              <a:gd name="T26" fmla="*/ 15 w 267"/>
                              <a:gd name="T27" fmla="*/ 70 h 268"/>
                              <a:gd name="T28" fmla="*/ 5 w 267"/>
                              <a:gd name="T29" fmla="*/ 94 h 268"/>
                              <a:gd name="T30" fmla="*/ 0 w 267"/>
                              <a:gd name="T31" fmla="*/ 121 h 268"/>
                              <a:gd name="T32" fmla="*/ 0 w 267"/>
                              <a:gd name="T33" fmla="*/ 147 h 268"/>
                              <a:gd name="T34" fmla="*/ 5 w 267"/>
                              <a:gd name="T35" fmla="*/ 173 h 268"/>
                              <a:gd name="T36" fmla="*/ 15 w 267"/>
                              <a:gd name="T37" fmla="*/ 197 h 268"/>
                              <a:gd name="T38" fmla="*/ 29 w 267"/>
                              <a:gd name="T39" fmla="*/ 218 h 268"/>
                              <a:gd name="T40" fmla="*/ 48 w 267"/>
                              <a:gd name="T41" fmla="*/ 237 h 268"/>
                              <a:gd name="T42" fmla="*/ 69 w 267"/>
                              <a:gd name="T43" fmla="*/ 251 h 268"/>
                              <a:gd name="T44" fmla="*/ 93 w 267"/>
                              <a:gd name="T45" fmla="*/ 262 h 268"/>
                              <a:gd name="T46" fmla="*/ 119 w 267"/>
                              <a:gd name="T47" fmla="*/ 266 h 268"/>
                              <a:gd name="T48" fmla="*/ 147 w 267"/>
                              <a:gd name="T49" fmla="*/ 266 h 268"/>
                              <a:gd name="T50" fmla="*/ 172 w 267"/>
                              <a:gd name="T51" fmla="*/ 262 h 268"/>
                              <a:gd name="T52" fmla="*/ 196 w 267"/>
                              <a:gd name="T53" fmla="*/ 251 h 268"/>
                              <a:gd name="T54" fmla="*/ 218 w 267"/>
                              <a:gd name="T55" fmla="*/ 237 h 268"/>
                              <a:gd name="T56" fmla="*/ 236 w 267"/>
                              <a:gd name="T57" fmla="*/ 218 h 268"/>
                              <a:gd name="T58" fmla="*/ 250 w 267"/>
                              <a:gd name="T59" fmla="*/ 197 h 268"/>
                              <a:gd name="T60" fmla="*/ 260 w 267"/>
                              <a:gd name="T61" fmla="*/ 173 h 268"/>
                              <a:gd name="T62" fmla="*/ 266 w 267"/>
                              <a:gd name="T63" fmla="*/ 147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7" h="268">
                                <a:moveTo>
                                  <a:pt x="267" y="133"/>
                                </a:moveTo>
                                <a:lnTo>
                                  <a:pt x="266" y="121"/>
                                </a:lnTo>
                                <a:lnTo>
                                  <a:pt x="264" y="106"/>
                                </a:lnTo>
                                <a:lnTo>
                                  <a:pt x="260" y="94"/>
                                </a:lnTo>
                                <a:lnTo>
                                  <a:pt x="256" y="82"/>
                                </a:lnTo>
                                <a:lnTo>
                                  <a:pt x="250" y="70"/>
                                </a:lnTo>
                                <a:lnTo>
                                  <a:pt x="245" y="60"/>
                                </a:lnTo>
                                <a:lnTo>
                                  <a:pt x="236" y="48"/>
                                </a:lnTo>
                                <a:lnTo>
                                  <a:pt x="228" y="40"/>
                                </a:lnTo>
                                <a:lnTo>
                                  <a:pt x="218" y="30"/>
                                </a:lnTo>
                                <a:lnTo>
                                  <a:pt x="208" y="23"/>
                                </a:lnTo>
                                <a:lnTo>
                                  <a:pt x="196" y="16"/>
                                </a:lnTo>
                                <a:lnTo>
                                  <a:pt x="185" y="10"/>
                                </a:lnTo>
                                <a:lnTo>
                                  <a:pt x="172" y="6"/>
                                </a:lnTo>
                                <a:lnTo>
                                  <a:pt x="160" y="3"/>
                                </a:lnTo>
                                <a:lnTo>
                                  <a:pt x="147" y="0"/>
                                </a:lnTo>
                                <a:lnTo>
                                  <a:pt x="133" y="0"/>
                                </a:lnTo>
                                <a:lnTo>
                                  <a:pt x="119" y="0"/>
                                </a:lnTo>
                                <a:lnTo>
                                  <a:pt x="106" y="3"/>
                                </a:lnTo>
                                <a:lnTo>
                                  <a:pt x="93" y="6"/>
                                </a:lnTo>
                                <a:lnTo>
                                  <a:pt x="80" y="10"/>
                                </a:lnTo>
                                <a:lnTo>
                                  <a:pt x="69" y="16"/>
                                </a:lnTo>
                                <a:lnTo>
                                  <a:pt x="58" y="23"/>
                                </a:lnTo>
                                <a:lnTo>
                                  <a:pt x="48" y="30"/>
                                </a:lnTo>
                                <a:lnTo>
                                  <a:pt x="38" y="40"/>
                                </a:lnTo>
                                <a:lnTo>
                                  <a:pt x="29" y="48"/>
                                </a:lnTo>
                                <a:lnTo>
                                  <a:pt x="22" y="60"/>
                                </a:lnTo>
                                <a:lnTo>
                                  <a:pt x="15" y="70"/>
                                </a:lnTo>
                                <a:lnTo>
                                  <a:pt x="10" y="82"/>
                                </a:lnTo>
                                <a:lnTo>
                                  <a:pt x="5" y="94"/>
                                </a:lnTo>
                                <a:lnTo>
                                  <a:pt x="2" y="106"/>
                                </a:lnTo>
                                <a:lnTo>
                                  <a:pt x="0" y="121"/>
                                </a:lnTo>
                                <a:lnTo>
                                  <a:pt x="0" y="133"/>
                                </a:lnTo>
                                <a:lnTo>
                                  <a:pt x="0" y="147"/>
                                </a:lnTo>
                                <a:lnTo>
                                  <a:pt x="2" y="160"/>
                                </a:lnTo>
                                <a:lnTo>
                                  <a:pt x="5" y="173"/>
                                </a:lnTo>
                                <a:lnTo>
                                  <a:pt x="10" y="186"/>
                                </a:lnTo>
                                <a:lnTo>
                                  <a:pt x="15" y="197"/>
                                </a:lnTo>
                                <a:lnTo>
                                  <a:pt x="22" y="208"/>
                                </a:lnTo>
                                <a:lnTo>
                                  <a:pt x="29" y="218"/>
                                </a:lnTo>
                                <a:lnTo>
                                  <a:pt x="38" y="228"/>
                                </a:lnTo>
                                <a:lnTo>
                                  <a:pt x="48" y="237"/>
                                </a:lnTo>
                                <a:lnTo>
                                  <a:pt x="58" y="245"/>
                                </a:lnTo>
                                <a:lnTo>
                                  <a:pt x="69" y="251"/>
                                </a:lnTo>
                                <a:lnTo>
                                  <a:pt x="80" y="256"/>
                                </a:lnTo>
                                <a:lnTo>
                                  <a:pt x="93" y="262"/>
                                </a:lnTo>
                                <a:lnTo>
                                  <a:pt x="106" y="265"/>
                                </a:lnTo>
                                <a:lnTo>
                                  <a:pt x="119" y="266"/>
                                </a:lnTo>
                                <a:lnTo>
                                  <a:pt x="133" y="268"/>
                                </a:lnTo>
                                <a:lnTo>
                                  <a:pt x="147" y="266"/>
                                </a:lnTo>
                                <a:lnTo>
                                  <a:pt x="160" y="265"/>
                                </a:lnTo>
                                <a:lnTo>
                                  <a:pt x="172" y="262"/>
                                </a:lnTo>
                                <a:lnTo>
                                  <a:pt x="185" y="256"/>
                                </a:lnTo>
                                <a:lnTo>
                                  <a:pt x="196" y="251"/>
                                </a:lnTo>
                                <a:lnTo>
                                  <a:pt x="208" y="245"/>
                                </a:lnTo>
                                <a:lnTo>
                                  <a:pt x="218" y="237"/>
                                </a:lnTo>
                                <a:lnTo>
                                  <a:pt x="228" y="228"/>
                                </a:lnTo>
                                <a:lnTo>
                                  <a:pt x="236" y="218"/>
                                </a:lnTo>
                                <a:lnTo>
                                  <a:pt x="245" y="208"/>
                                </a:lnTo>
                                <a:lnTo>
                                  <a:pt x="250" y="197"/>
                                </a:lnTo>
                                <a:lnTo>
                                  <a:pt x="256" y="186"/>
                                </a:lnTo>
                                <a:lnTo>
                                  <a:pt x="260" y="173"/>
                                </a:lnTo>
                                <a:lnTo>
                                  <a:pt x="264" y="160"/>
                                </a:lnTo>
                                <a:lnTo>
                                  <a:pt x="266" y="147"/>
                                </a:lnTo>
                                <a:lnTo>
                                  <a:pt x="267"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6" name="Freeform 59"/>
                        <wps:cNvSpPr>
                          <a:spLocks/>
                        </wps:cNvSpPr>
                        <wps:spPr bwMode="auto">
                          <a:xfrm>
                            <a:off x="2210435" y="17780"/>
                            <a:ext cx="169545" cy="170180"/>
                          </a:xfrm>
                          <a:custGeom>
                            <a:avLst/>
                            <a:gdLst>
                              <a:gd name="T0" fmla="*/ 266 w 267"/>
                              <a:gd name="T1" fmla="*/ 121 h 268"/>
                              <a:gd name="T2" fmla="*/ 260 w 267"/>
                              <a:gd name="T3" fmla="*/ 94 h 268"/>
                              <a:gd name="T4" fmla="*/ 250 w 267"/>
                              <a:gd name="T5" fmla="*/ 70 h 268"/>
                              <a:gd name="T6" fmla="*/ 236 w 267"/>
                              <a:gd name="T7" fmla="*/ 48 h 268"/>
                              <a:gd name="T8" fmla="*/ 218 w 267"/>
                              <a:gd name="T9" fmla="*/ 30 h 268"/>
                              <a:gd name="T10" fmla="*/ 196 w 267"/>
                              <a:gd name="T11" fmla="*/ 16 h 268"/>
                              <a:gd name="T12" fmla="*/ 172 w 267"/>
                              <a:gd name="T13" fmla="*/ 6 h 268"/>
                              <a:gd name="T14" fmla="*/ 147 w 267"/>
                              <a:gd name="T15" fmla="*/ 0 h 268"/>
                              <a:gd name="T16" fmla="*/ 119 w 267"/>
                              <a:gd name="T17" fmla="*/ 0 h 268"/>
                              <a:gd name="T18" fmla="*/ 93 w 267"/>
                              <a:gd name="T19" fmla="*/ 6 h 268"/>
                              <a:gd name="T20" fmla="*/ 69 w 267"/>
                              <a:gd name="T21" fmla="*/ 16 h 268"/>
                              <a:gd name="T22" fmla="*/ 48 w 267"/>
                              <a:gd name="T23" fmla="*/ 30 h 268"/>
                              <a:gd name="T24" fmla="*/ 29 w 267"/>
                              <a:gd name="T25" fmla="*/ 48 h 268"/>
                              <a:gd name="T26" fmla="*/ 15 w 267"/>
                              <a:gd name="T27" fmla="*/ 70 h 268"/>
                              <a:gd name="T28" fmla="*/ 5 w 267"/>
                              <a:gd name="T29" fmla="*/ 94 h 268"/>
                              <a:gd name="T30" fmla="*/ 0 w 267"/>
                              <a:gd name="T31" fmla="*/ 121 h 268"/>
                              <a:gd name="T32" fmla="*/ 0 w 267"/>
                              <a:gd name="T33" fmla="*/ 147 h 268"/>
                              <a:gd name="T34" fmla="*/ 5 w 267"/>
                              <a:gd name="T35" fmla="*/ 173 h 268"/>
                              <a:gd name="T36" fmla="*/ 15 w 267"/>
                              <a:gd name="T37" fmla="*/ 197 h 268"/>
                              <a:gd name="T38" fmla="*/ 29 w 267"/>
                              <a:gd name="T39" fmla="*/ 218 h 268"/>
                              <a:gd name="T40" fmla="*/ 48 w 267"/>
                              <a:gd name="T41" fmla="*/ 237 h 268"/>
                              <a:gd name="T42" fmla="*/ 69 w 267"/>
                              <a:gd name="T43" fmla="*/ 251 h 268"/>
                              <a:gd name="T44" fmla="*/ 93 w 267"/>
                              <a:gd name="T45" fmla="*/ 262 h 268"/>
                              <a:gd name="T46" fmla="*/ 119 w 267"/>
                              <a:gd name="T47" fmla="*/ 266 h 268"/>
                              <a:gd name="T48" fmla="*/ 147 w 267"/>
                              <a:gd name="T49" fmla="*/ 266 h 268"/>
                              <a:gd name="T50" fmla="*/ 172 w 267"/>
                              <a:gd name="T51" fmla="*/ 262 h 268"/>
                              <a:gd name="T52" fmla="*/ 196 w 267"/>
                              <a:gd name="T53" fmla="*/ 251 h 268"/>
                              <a:gd name="T54" fmla="*/ 218 w 267"/>
                              <a:gd name="T55" fmla="*/ 237 h 268"/>
                              <a:gd name="T56" fmla="*/ 236 w 267"/>
                              <a:gd name="T57" fmla="*/ 218 h 268"/>
                              <a:gd name="T58" fmla="*/ 250 w 267"/>
                              <a:gd name="T59" fmla="*/ 197 h 268"/>
                              <a:gd name="T60" fmla="*/ 260 w 267"/>
                              <a:gd name="T61" fmla="*/ 173 h 268"/>
                              <a:gd name="T62" fmla="*/ 266 w 267"/>
                              <a:gd name="T63" fmla="*/ 147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7" h="268">
                                <a:moveTo>
                                  <a:pt x="267" y="133"/>
                                </a:moveTo>
                                <a:lnTo>
                                  <a:pt x="266" y="121"/>
                                </a:lnTo>
                                <a:lnTo>
                                  <a:pt x="264" y="106"/>
                                </a:lnTo>
                                <a:lnTo>
                                  <a:pt x="260" y="94"/>
                                </a:lnTo>
                                <a:lnTo>
                                  <a:pt x="256" y="82"/>
                                </a:lnTo>
                                <a:lnTo>
                                  <a:pt x="250" y="70"/>
                                </a:lnTo>
                                <a:lnTo>
                                  <a:pt x="245" y="60"/>
                                </a:lnTo>
                                <a:lnTo>
                                  <a:pt x="236" y="48"/>
                                </a:lnTo>
                                <a:lnTo>
                                  <a:pt x="228" y="40"/>
                                </a:lnTo>
                                <a:lnTo>
                                  <a:pt x="218" y="30"/>
                                </a:lnTo>
                                <a:lnTo>
                                  <a:pt x="208" y="23"/>
                                </a:lnTo>
                                <a:lnTo>
                                  <a:pt x="196" y="16"/>
                                </a:lnTo>
                                <a:lnTo>
                                  <a:pt x="185" y="10"/>
                                </a:lnTo>
                                <a:lnTo>
                                  <a:pt x="172" y="6"/>
                                </a:lnTo>
                                <a:lnTo>
                                  <a:pt x="160" y="3"/>
                                </a:lnTo>
                                <a:lnTo>
                                  <a:pt x="147" y="0"/>
                                </a:lnTo>
                                <a:lnTo>
                                  <a:pt x="133" y="0"/>
                                </a:lnTo>
                                <a:lnTo>
                                  <a:pt x="119" y="0"/>
                                </a:lnTo>
                                <a:lnTo>
                                  <a:pt x="106" y="3"/>
                                </a:lnTo>
                                <a:lnTo>
                                  <a:pt x="93" y="6"/>
                                </a:lnTo>
                                <a:lnTo>
                                  <a:pt x="80" y="10"/>
                                </a:lnTo>
                                <a:lnTo>
                                  <a:pt x="69" y="16"/>
                                </a:lnTo>
                                <a:lnTo>
                                  <a:pt x="58" y="23"/>
                                </a:lnTo>
                                <a:lnTo>
                                  <a:pt x="48" y="30"/>
                                </a:lnTo>
                                <a:lnTo>
                                  <a:pt x="38" y="40"/>
                                </a:lnTo>
                                <a:lnTo>
                                  <a:pt x="29" y="48"/>
                                </a:lnTo>
                                <a:lnTo>
                                  <a:pt x="22" y="60"/>
                                </a:lnTo>
                                <a:lnTo>
                                  <a:pt x="15" y="70"/>
                                </a:lnTo>
                                <a:lnTo>
                                  <a:pt x="10" y="82"/>
                                </a:lnTo>
                                <a:lnTo>
                                  <a:pt x="5" y="94"/>
                                </a:lnTo>
                                <a:lnTo>
                                  <a:pt x="2" y="106"/>
                                </a:lnTo>
                                <a:lnTo>
                                  <a:pt x="0" y="121"/>
                                </a:lnTo>
                                <a:lnTo>
                                  <a:pt x="0" y="133"/>
                                </a:lnTo>
                                <a:lnTo>
                                  <a:pt x="0" y="147"/>
                                </a:lnTo>
                                <a:lnTo>
                                  <a:pt x="2" y="160"/>
                                </a:lnTo>
                                <a:lnTo>
                                  <a:pt x="5" y="173"/>
                                </a:lnTo>
                                <a:lnTo>
                                  <a:pt x="10" y="186"/>
                                </a:lnTo>
                                <a:lnTo>
                                  <a:pt x="15" y="197"/>
                                </a:lnTo>
                                <a:lnTo>
                                  <a:pt x="22" y="208"/>
                                </a:lnTo>
                                <a:lnTo>
                                  <a:pt x="29" y="218"/>
                                </a:lnTo>
                                <a:lnTo>
                                  <a:pt x="38" y="228"/>
                                </a:lnTo>
                                <a:lnTo>
                                  <a:pt x="48" y="237"/>
                                </a:lnTo>
                                <a:lnTo>
                                  <a:pt x="58" y="245"/>
                                </a:lnTo>
                                <a:lnTo>
                                  <a:pt x="69" y="251"/>
                                </a:lnTo>
                                <a:lnTo>
                                  <a:pt x="80" y="256"/>
                                </a:lnTo>
                                <a:lnTo>
                                  <a:pt x="93" y="262"/>
                                </a:lnTo>
                                <a:lnTo>
                                  <a:pt x="106" y="265"/>
                                </a:lnTo>
                                <a:lnTo>
                                  <a:pt x="119" y="266"/>
                                </a:lnTo>
                                <a:lnTo>
                                  <a:pt x="133" y="268"/>
                                </a:lnTo>
                                <a:lnTo>
                                  <a:pt x="147" y="266"/>
                                </a:lnTo>
                                <a:lnTo>
                                  <a:pt x="160" y="265"/>
                                </a:lnTo>
                                <a:lnTo>
                                  <a:pt x="172" y="262"/>
                                </a:lnTo>
                                <a:lnTo>
                                  <a:pt x="185" y="256"/>
                                </a:lnTo>
                                <a:lnTo>
                                  <a:pt x="196" y="251"/>
                                </a:lnTo>
                                <a:lnTo>
                                  <a:pt x="208" y="245"/>
                                </a:lnTo>
                                <a:lnTo>
                                  <a:pt x="218" y="237"/>
                                </a:lnTo>
                                <a:lnTo>
                                  <a:pt x="228" y="228"/>
                                </a:lnTo>
                                <a:lnTo>
                                  <a:pt x="236" y="218"/>
                                </a:lnTo>
                                <a:lnTo>
                                  <a:pt x="245" y="208"/>
                                </a:lnTo>
                                <a:lnTo>
                                  <a:pt x="250" y="197"/>
                                </a:lnTo>
                                <a:lnTo>
                                  <a:pt x="256" y="186"/>
                                </a:lnTo>
                                <a:lnTo>
                                  <a:pt x="260" y="173"/>
                                </a:lnTo>
                                <a:lnTo>
                                  <a:pt x="264" y="160"/>
                                </a:lnTo>
                                <a:lnTo>
                                  <a:pt x="266" y="147"/>
                                </a:lnTo>
                                <a:lnTo>
                                  <a:pt x="267" y="133"/>
                                </a:lnTo>
                              </a:path>
                            </a:pathLst>
                          </a:custGeom>
                          <a:noFill/>
                          <a:ln w="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7" name="Rectangle 60"/>
                        <wps:cNvSpPr>
                          <a:spLocks noChangeArrowheads="1"/>
                        </wps:cNvSpPr>
                        <wps:spPr bwMode="auto">
                          <a:xfrm>
                            <a:off x="2272030" y="18111"/>
                            <a:ext cx="78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F39" w:rsidRPr="00FA07D0" w:rsidRDefault="00D53F39" w:rsidP="00E24DB7">
                              <w:r w:rsidRPr="00FA07D0">
                                <w:rPr>
                                  <w:color w:val="000000"/>
                                  <w:lang w:val="en-US"/>
                                </w:rPr>
                                <w:t>T</w:t>
                              </w:r>
                            </w:p>
                          </w:txbxContent>
                        </wps:txbx>
                        <wps:bodyPr rot="0" vert="horz" wrap="none" lIns="0" tIns="0" rIns="0" bIns="0" anchor="t" anchorCtr="0">
                          <a:spAutoFit/>
                        </wps:bodyPr>
                      </wps:wsp>
                      <wps:wsp>
                        <wps:cNvPr id="14178" name="Rectangle 62"/>
                        <wps:cNvSpPr>
                          <a:spLocks noChangeArrowheads="1"/>
                        </wps:cNvSpPr>
                        <wps:spPr bwMode="auto">
                          <a:xfrm>
                            <a:off x="3144520" y="368491"/>
                            <a:ext cx="509905" cy="413194"/>
                          </a:xfrm>
                          <a:prstGeom prst="rect">
                            <a:avLst/>
                          </a:prstGeom>
                          <a:noFill/>
                          <a:ln w="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3F39" w:rsidRPr="003D1E48" w:rsidRDefault="00D53F39" w:rsidP="00E24DB7">
                              <w:pPr>
                                <w:spacing w:line="240" w:lineRule="auto"/>
                                <w:jc w:val="center"/>
                                <w:rPr>
                                  <w:sz w:val="16"/>
                                  <w:szCs w:val="16"/>
                                </w:rPr>
                              </w:pPr>
                              <w:r w:rsidRPr="003D1E48">
                                <w:rPr>
                                  <w:sz w:val="16"/>
                                  <w:szCs w:val="16"/>
                                </w:rPr>
                                <w:t xml:space="preserve">Vanne </w:t>
                              </w:r>
                              <w:r w:rsidRPr="003D1E48">
                                <w:rPr>
                                  <w:sz w:val="16"/>
                                  <w:szCs w:val="16"/>
                                </w:rPr>
                                <w:br/>
                                <w:t>de réglage du débit</w:t>
                              </w:r>
                            </w:p>
                          </w:txbxContent>
                        </wps:txbx>
                        <wps:bodyPr rot="0" vert="horz" wrap="square" lIns="0" tIns="0" rIns="0" bIns="0" anchor="ctr" anchorCtr="0" upright="1">
                          <a:noAutofit/>
                        </wps:bodyPr>
                      </wps:wsp>
                      <wps:wsp>
                        <wps:cNvPr id="14179" name="Line 65"/>
                        <wps:cNvCnPr/>
                        <wps:spPr bwMode="auto">
                          <a:xfrm>
                            <a:off x="2923540" y="441960"/>
                            <a:ext cx="220980"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0" name="Line 66"/>
                        <wps:cNvCnPr/>
                        <wps:spPr bwMode="auto">
                          <a:xfrm>
                            <a:off x="2923540" y="612140"/>
                            <a:ext cx="220980"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1" name="Line 67"/>
                        <wps:cNvCnPr/>
                        <wps:spPr bwMode="auto">
                          <a:xfrm>
                            <a:off x="3654425" y="441960"/>
                            <a:ext cx="16954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2" name="Line 68"/>
                        <wps:cNvCnPr/>
                        <wps:spPr bwMode="auto">
                          <a:xfrm flipH="1">
                            <a:off x="3654425" y="612140"/>
                            <a:ext cx="16954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3" name="Line 75"/>
                        <wps:cNvCnPr/>
                        <wps:spPr bwMode="auto">
                          <a:xfrm>
                            <a:off x="1887220" y="612140"/>
                            <a:ext cx="52641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4" name="Line 76"/>
                        <wps:cNvCnPr/>
                        <wps:spPr bwMode="auto">
                          <a:xfrm>
                            <a:off x="1887220" y="441960"/>
                            <a:ext cx="52641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5" name="Rectangle 14185"/>
                        <wps:cNvSpPr>
                          <a:spLocks noChangeArrowheads="1"/>
                        </wps:cNvSpPr>
                        <wps:spPr bwMode="auto">
                          <a:xfrm>
                            <a:off x="3073401" y="880745"/>
                            <a:ext cx="154749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F39" w:rsidRPr="003D1E48" w:rsidRDefault="00D53F39" w:rsidP="00E24DB7">
                              <w:pPr>
                                <w:pStyle w:val="NormalWeb"/>
                                <w:spacing w:before="0" w:beforeAutospacing="0" w:after="0" w:afterAutospacing="0"/>
                                <w:jc w:val="center"/>
                                <w:rPr>
                                  <w:rFonts w:ascii="Times New Roman" w:hAnsi="Times New Roman" w:cs="Times New Roman"/>
                                  <w:sz w:val="16"/>
                                  <w:szCs w:val="16"/>
                                  <w:lang w:val="fr-CH"/>
                                </w:rPr>
                              </w:pPr>
                              <w:r w:rsidRPr="003D1E48">
                                <w:rPr>
                                  <w:rFonts w:ascii="Times New Roman" w:eastAsia="Times New Roman" w:hAnsi="Times New Roman" w:cs="Times New Roman"/>
                                  <w:color w:val="000000"/>
                                  <w:sz w:val="16"/>
                                  <w:szCs w:val="16"/>
                                  <w:lang w:val="fr-CH"/>
                                </w:rPr>
                                <w:t>Le débit des gaz traversant l’USFM peut être contrôlé et réglé en</w:t>
                              </w:r>
                              <w:r>
                                <w:rPr>
                                  <w:rFonts w:ascii="Times New Roman" w:eastAsia="Times New Roman" w:hAnsi="Times New Roman" w:cs="Times New Roman"/>
                                  <w:color w:val="000000"/>
                                  <w:sz w:val="16"/>
                                  <w:szCs w:val="16"/>
                                  <w:lang w:val="fr-CH"/>
                                </w:rPr>
                                <w:t> </w:t>
                              </w:r>
                              <w:r w:rsidRPr="003D1E48">
                                <w:rPr>
                                  <w:rFonts w:ascii="Times New Roman" w:eastAsia="Times New Roman" w:hAnsi="Times New Roman" w:cs="Times New Roman"/>
                                  <w:color w:val="000000"/>
                                  <w:sz w:val="16"/>
                                  <w:szCs w:val="16"/>
                                  <w:lang w:val="fr-CH"/>
                                </w:rPr>
                                <w:t xml:space="preserve">contrôlant la vitesse de l’écoulement et/ou par réglage </w:t>
                              </w:r>
                              <w:r>
                                <w:rPr>
                                  <w:rFonts w:ascii="Times New Roman" w:eastAsia="Times New Roman" w:hAnsi="Times New Roman" w:cs="Times New Roman"/>
                                  <w:color w:val="000000"/>
                                  <w:sz w:val="16"/>
                                  <w:szCs w:val="16"/>
                                  <w:lang w:val="fr-CH"/>
                                </w:rPr>
                                <w:br/>
                              </w:r>
                              <w:r w:rsidRPr="003D1E48">
                                <w:rPr>
                                  <w:rFonts w:ascii="Times New Roman" w:eastAsia="Times New Roman" w:hAnsi="Times New Roman" w:cs="Times New Roman"/>
                                  <w:color w:val="000000"/>
                                  <w:sz w:val="16"/>
                                  <w:szCs w:val="16"/>
                                  <w:lang w:val="fr-CH"/>
                                </w:rPr>
                                <w:t>de la vanne de réglage du débit</w:t>
                              </w:r>
                            </w:p>
                          </w:txbxContent>
                        </wps:txbx>
                        <wps:bodyPr rot="0" vert="horz" wrap="square" lIns="0" tIns="0" rIns="0" bIns="0" anchor="t" anchorCtr="0">
                          <a:spAutoFit/>
                        </wps:bodyPr>
                      </wps:wsp>
                    </wpc:wpc>
                  </a:graphicData>
                </a:graphic>
              </wp:inline>
            </w:drawing>
          </mc:Choice>
          <mc:Fallback>
            <w:pict>
              <v:group w14:anchorId="06AD98C2" id="Zeichenbereich 13326" o:spid="_x0000_s1325" editas="canvas" style="width:403pt;height:133.85pt;mso-position-horizontal-relative:char;mso-position-vertical-relative:line" coordsize="51181,16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">
                <v:shape id="_x0000_s1326" type="#_x0000_t75" style="position:absolute;width:51181;height:16998;visibility:visible;mso-wrap-style:square">
                  <v:fill o:detectmouseclick="t"/>
                  <v:path o:connecttype="none"/>
                </v:shape>
                <v:rect id="Rectangle 27" o:spid="_x0000_s1327" style="position:absolute;left:177;top:2724;width:8497;height:5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" filled="f" strokeweight="39e-5mm">
                  <v:textbox>
                    <w:txbxContent>
                      <w:p w:rsidR="00D53F39" w:rsidRPr="003D1E48" w:rsidRDefault="00D53F39" w:rsidP="00E24DB7">
                        <w:pPr>
                          <w:spacing w:line="240" w:lineRule="auto"/>
                          <w:jc w:val="center"/>
                          <w:rPr>
                            <w:sz w:val="16"/>
                            <w:szCs w:val="16"/>
                          </w:rPr>
                        </w:pPr>
                        <w:r w:rsidRPr="003D1E48">
                          <w:rPr>
                            <w:sz w:val="16"/>
                            <w:szCs w:val="16"/>
                          </w:rPr>
                          <w:t xml:space="preserve">Débitmètre </w:t>
                        </w:r>
                        <w:r w:rsidRPr="003D1E48">
                          <w:rPr>
                            <w:sz w:val="16"/>
                            <w:szCs w:val="16"/>
                          </w:rPr>
                          <w:br/>
                          <w:t>de référence (LFE, SSV)</w:t>
                        </w:r>
                      </w:p>
                    </w:txbxContent>
                  </v:textbox>
                </v:rect>
                <v:line id="Line 35" o:spid="_x0000_s1328" style="position:absolute;visibility:visible;mso-wrap-style:square" from="8674,4419" to="12077,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" strokeweight="39e-5mm"/>
                <v:line id="Line 36" o:spid="_x0000_s1329" style="position:absolute;visibility:visible;mso-wrap-style:square" from="8674,6121" to="12077,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" strokeweight="39e-5mm"/>
                <v:rect id="Rectangle 37" o:spid="_x0000_s1330" style="position:absolute;left:12077;top:2724;width:6795;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" stroked="f"/>
                <v:rect id="Rectangle 38" o:spid="_x0000_s1331" style="position:absolute;left:12077;top:2724;width:6795;height:5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" filled="f" strokeweight="39e-5mm">
                  <v:textbox inset="0,0,0,0">
                    <w:txbxContent>
                      <w:p w:rsidR="00D53F39" w:rsidRPr="003D1E48" w:rsidRDefault="00D53F39" w:rsidP="00E24DB7">
                        <w:pPr>
                          <w:jc w:val="center"/>
                          <w:rPr>
                            <w:sz w:val="16"/>
                            <w:szCs w:val="16"/>
                          </w:rPr>
                        </w:pPr>
                        <w:r w:rsidRPr="003D1E48">
                          <w:rPr>
                            <w:sz w:val="16"/>
                            <w:szCs w:val="16"/>
                          </w:rPr>
                          <w:t>Réchauffeur</w:t>
                        </w:r>
                      </w:p>
                    </w:txbxContent>
                  </v:textbox>
                </v:rect>
                <v:rect id="Rectangle 40" o:spid="_x0000_s1332" style="position:absolute;left:24136;top:2724;width:5099;height:5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" stroked="f">
                  <v:textbox>
                    <w:txbxContent>
                      <w:p w:rsidR="00D53F39" w:rsidRPr="003D1E48" w:rsidRDefault="00D53F39" w:rsidP="00E24DB7">
                        <w:pPr>
                          <w:jc w:val="center"/>
                          <w:rPr>
                            <w:sz w:val="16"/>
                            <w:szCs w:val="16"/>
                          </w:rPr>
                        </w:pPr>
                        <w:r w:rsidRPr="003D1E48">
                          <w:rPr>
                            <w:sz w:val="16"/>
                            <w:szCs w:val="16"/>
                          </w:rPr>
                          <w:t>UFM</w:t>
                        </w:r>
                      </w:p>
                    </w:txbxContent>
                  </v:textbox>
                </v:rect>
                <v:rect id="Rectangle 41" o:spid="_x0000_s1333" style="position:absolute;left:24136;top:2724;width:5099;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" filled="f" strokeweight="39e-5mm"/>
                <v:rect id="Rectangle 43" o:spid="_x0000_s1334" style="position:absolute;left:38239;top:2730;width:6801;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" stroked="f"/>
                <v:rect id="Rectangle 44" o:spid="_x0000_s1335" style="position:absolute;left:38239;top:2730;width:6801;height:5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" filled="f" strokeweight="39e-5mm">
                  <v:textbox inset="0,0,0,0">
                    <w:txbxContent>
                      <w:p w:rsidR="00D53F39" w:rsidRPr="003D1E48" w:rsidRDefault="00D53F39" w:rsidP="00E24DB7">
                        <w:pPr>
                          <w:jc w:val="center"/>
                          <w:rPr>
                            <w:sz w:val="16"/>
                            <w:szCs w:val="16"/>
                          </w:rPr>
                        </w:pPr>
                        <w:r w:rsidRPr="003D1E48">
                          <w:rPr>
                            <w:sz w:val="16"/>
                            <w:szCs w:val="16"/>
                          </w:rPr>
                          <w:t>Dispositif d’aspiration</w:t>
                        </w:r>
                      </w:p>
                    </w:txbxContent>
                  </v:textbox>
                </v:rect>
                <v:line id="Line 47" o:spid="_x0000_s1336" style="position:absolute;visibility:visible;mso-wrap-style:square" from="45040,4419" to="46990,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" strokeweight="39e-5mm"/>
                <v:line id="Line 48" o:spid="_x0000_s1337" style="position:absolute;visibility:visible;mso-wrap-style:square" from="45040,6121" to="46913,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" strokeweight="39e-5mm"/>
                <v:rect id="Rectangle 49" o:spid="_x0000_s1338" style="position:absolute;left:762;top:8235;width:7493;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" filled="f" stroked="f">
                  <v:textbox style="mso-fit-shape-to-text:t" inset="0,0,0,0">
                    <w:txbxContent>
                      <w:p w:rsidR="00D53F39" w:rsidRPr="003D1E48" w:rsidRDefault="00D53F39" w:rsidP="00E24DB7">
                        <w:pPr>
                          <w:spacing w:line="240" w:lineRule="auto"/>
                          <w:jc w:val="center"/>
                          <w:rPr>
                            <w:sz w:val="16"/>
                            <w:szCs w:val="16"/>
                          </w:rPr>
                        </w:pPr>
                        <w:r w:rsidRPr="003D1E48">
                          <w:rPr>
                            <w:sz w:val="16"/>
                            <w:szCs w:val="16"/>
                          </w:rPr>
                          <w:t xml:space="preserve">(y compris </w:t>
                        </w:r>
                        <w:r w:rsidRPr="003D1E48">
                          <w:rPr>
                            <w:sz w:val="16"/>
                            <w:szCs w:val="16"/>
                          </w:rPr>
                          <w:br/>
                          <w:t xml:space="preserve">les capteurs </w:t>
                        </w:r>
                        <w:r w:rsidRPr="003D1E48">
                          <w:rPr>
                            <w:sz w:val="16"/>
                            <w:szCs w:val="16"/>
                          </w:rPr>
                          <w:br/>
                          <w:t xml:space="preserve">de température </w:t>
                        </w:r>
                        <w:r w:rsidRPr="003D1E48">
                          <w:rPr>
                            <w:sz w:val="16"/>
                            <w:szCs w:val="16"/>
                          </w:rPr>
                          <w:br/>
                          <w:t>et de pression nécessaires)</w:t>
                        </w:r>
                      </w:p>
                    </w:txbxContent>
                  </v:textbox>
                </v:rect>
                <v:line id="Line 53" o:spid="_x0000_s1339" style="position:absolute;visibility:visible;mso-wrap-style:square" from="20402,1879" to="20402,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" strokeweight="39e-5mm"/>
                <v:shape id="Freeform 55" o:spid="_x0000_s1340" style="position:absolute;left:19545;top:177;width:1702;height:1702;visibility:visible;mso-wrap-style:square;v-text-anchor:top" coordsize="26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" path="m268,133r,-12l265,106,262,94,258,82,253,70,245,60,238,48,228,40,220,30,210,23,199,16,186,10,175,6,162,3,148,,135,,121,,108,3,95,6,83,10,71,16,60,23,50,30,40,40r-8,8l23,60,17,70,12,82,8,94,3,106,2,121,,133r2,14l3,160r5,13l12,186r5,11l23,208r9,10l40,228r10,9l60,245r11,6l83,256r12,6l108,265r13,1l135,268r13,-2l162,265r13,-3l186,256r13,-5l210,245r10,-8l228,228r10,-10l245,208r8,-11l258,186r4,-13l265,160r3,-13l268,133e" filled="f" strokeweight="39e-5mm">
                  <v:path arrowok="t" o:connecttype="custom" o:connectlocs="170180,76835;166370,59690;160655,44450;151130,30480;139700,19050;126365,10160;111125,3810;93980,0;76835,0;60325,3810;45085,10160;31750,19050;20320,30480;10795,44450;5080,59690;1270,76835;1270,93345;5080,109855;10795,125095;20320,138430;31750,150495;45085,159385;60325,166370;76835,168910;93980,168910;111125,166370;126365,159385;139700,150495;151130,138430;160655,125095;166370,109855;170180,93345" o:connectangles="0,0,0,0,0,0,0,0,0,0,0,0,0,0,0,0,0,0,0,0,0,0,0,0,0,0,0,0,0,0,0,0"/>
                </v:shape>
                <v:rect id="Rectangle 56" o:spid="_x0000_s1341" style="position:absolute;left:20161;top:181;width:71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" filled="f" stroked="f">
                  <v:textbox style="mso-fit-shape-to-text:t" inset="0,0,0,0">
                    <w:txbxContent>
                      <w:p w:rsidR="00D53F39" w:rsidRPr="00FA07D0" w:rsidRDefault="00D53F39" w:rsidP="00E24DB7">
                        <w:r w:rsidRPr="00FA07D0">
                          <w:rPr>
                            <w:color w:val="000000"/>
                            <w:lang w:val="en-US"/>
                          </w:rPr>
                          <w:t>P</w:t>
                        </w:r>
                      </w:p>
                    </w:txbxContent>
                  </v:textbox>
                </v:rect>
                <v:line id="Line 57" o:spid="_x0000_s1342" style="position:absolute;visibility:visible;mso-wrap-style:square" from="22948,1879" to="22948,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" strokeweight="39e-5mm"/>
                <v:shape id="Freeform 58" o:spid="_x0000_s1343" style="position:absolute;left:22104;top:177;width:1695;height:1702;visibility:visible;mso-wrap-style:square;v-text-anchor:top" coordsize="26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" path="m267,133r-1,-12l264,106,260,94,256,82,250,70,245,60,236,48r-8,-8l218,30,208,23,196,16,185,10,172,6,160,3,147,,133,,119,,106,3,93,6,80,10,69,16,58,23,48,30,38,40r-9,8l22,60,15,70,10,82,5,94,2,106,,121r,12l,147r2,13l5,173r5,13l15,197r7,11l29,218r9,10l48,237r10,8l69,251r11,5l93,262r13,3l119,266r14,2l147,266r13,-1l172,262r13,-6l196,251r12,-6l218,237r10,-9l236,218r9,-10l250,197r6,-11l260,173r4,-13l266,147r1,-14xe" stroked="f">
                  <v:path arrowok="t" o:connecttype="custom" o:connectlocs="168910,76835;165100,59690;158750,44450;149860,30480;138430,19050;124460,10160;109220,3810;93345,0;75565,0;59055,3810;43815,10160;30480,19050;18415,30480;9525,44450;3175,59690;0,76835;0,93345;3175,109855;9525,125095;18415,138430;30480,150495;43815,159385;59055,166370;75565,168910;93345,168910;109220,166370;124460,159385;138430,150495;149860,138430;158750,125095;165100,109855;168910,93345" o:connectangles="0,0,0,0,0,0,0,0,0,0,0,0,0,0,0,0,0,0,0,0,0,0,0,0,0,0,0,0,0,0,0,0"/>
                </v:shape>
                <v:shape id="Freeform 59" o:spid="_x0000_s1344" style="position:absolute;left:22104;top:177;width:1695;height:1702;visibility:visible;mso-wrap-style:square;v-text-anchor:top" coordsize="26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" path="m267,133r-1,-12l264,106,260,94,256,82,250,70,245,60,236,48r-8,-8l218,30,208,23,196,16,185,10,172,6,160,3,147,,133,,119,,106,3,93,6,80,10,69,16,58,23,48,30,38,40r-9,8l22,60,15,70,10,82,5,94,2,106,,121r,12l,147r2,13l5,173r5,13l15,197r7,11l29,218r9,10l48,237r10,8l69,251r11,5l93,262r13,3l119,266r14,2l147,266r13,-1l172,262r13,-6l196,251r12,-6l218,237r10,-9l236,218r9,-10l250,197r6,-11l260,173r4,-13l266,147r1,-14e" filled="f" strokeweight="39e-5mm">
                  <v:path arrowok="t" o:connecttype="custom" o:connectlocs="168910,76835;165100,59690;158750,44450;149860,30480;138430,19050;124460,10160;109220,3810;93345,0;75565,0;59055,3810;43815,10160;30480,19050;18415,30480;9525,44450;3175,59690;0,76835;0,93345;3175,109855;9525,125095;18415,138430;30480,150495;43815,159385;59055,166370;75565,168910;93345,168910;109220,166370;124460,159385;138430,150495;149860,138430;158750,125095;165100,109855;168910,93345" o:connectangles="0,0,0,0,0,0,0,0,0,0,0,0,0,0,0,0,0,0,0,0,0,0,0,0,0,0,0,0,0,0,0,0"/>
                </v:shape>
                <v:rect id="Rectangle 60" o:spid="_x0000_s1345" style="position:absolute;left:22720;top:181;width:7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" filled="f" stroked="f">
                  <v:textbox style="mso-fit-shape-to-text:t" inset="0,0,0,0">
                    <w:txbxContent>
                      <w:p w:rsidR="00D53F39" w:rsidRPr="00FA07D0" w:rsidRDefault="00D53F39" w:rsidP="00E24DB7">
                        <w:r w:rsidRPr="00FA07D0">
                          <w:rPr>
                            <w:color w:val="000000"/>
                            <w:lang w:val="en-US"/>
                          </w:rPr>
                          <w:t>T</w:t>
                        </w:r>
                      </w:p>
                    </w:txbxContent>
                  </v:textbox>
                </v:rect>
                <v:rect id="Rectangle 62" o:spid="_x0000_s1346" style="position:absolute;left:31445;top:3684;width:5099;height:4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" filled="f" strokeweight="39e-5mm">
                  <v:textbox inset="0,0,0,0">
                    <w:txbxContent>
                      <w:p w:rsidR="00D53F39" w:rsidRPr="003D1E48" w:rsidRDefault="00D53F39" w:rsidP="00E24DB7">
                        <w:pPr>
                          <w:spacing w:line="240" w:lineRule="auto"/>
                          <w:jc w:val="center"/>
                          <w:rPr>
                            <w:sz w:val="16"/>
                            <w:szCs w:val="16"/>
                          </w:rPr>
                        </w:pPr>
                        <w:r w:rsidRPr="003D1E48">
                          <w:rPr>
                            <w:sz w:val="16"/>
                            <w:szCs w:val="16"/>
                          </w:rPr>
                          <w:t xml:space="preserve">Vanne </w:t>
                        </w:r>
                        <w:r w:rsidRPr="003D1E48">
                          <w:rPr>
                            <w:sz w:val="16"/>
                            <w:szCs w:val="16"/>
                          </w:rPr>
                          <w:br/>
                          <w:t>de réglage du débit</w:t>
                        </w:r>
                      </w:p>
                    </w:txbxContent>
                  </v:textbox>
                </v:rect>
                <v:line id="Line 65" o:spid="_x0000_s1347" style="position:absolute;visibility:visible;mso-wrap-style:square" from="29235,4419" to="31445,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" strokeweight="39e-5mm"/>
                <v:line id="Line 66" o:spid="_x0000_s1348" style="position:absolute;visibility:visible;mso-wrap-style:square" from="29235,6121" to="31445,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" strokeweight="39e-5mm"/>
                <v:line id="Line 67" o:spid="_x0000_s1349" style="position:absolute;visibility:visible;mso-wrap-style:square" from="36544,4419" to="38239,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" strokeweight="39e-5mm"/>
                <v:line id="Line 68" o:spid="_x0000_s1350" style="position:absolute;flip:x;visibility:visible;mso-wrap-style:square" from="36544,6121" to="38239,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" strokeweight="39e-5mm"/>
                <v:line id="Line 75" o:spid="_x0000_s1351" style="position:absolute;visibility:visible;mso-wrap-style:square" from="18872,6121" to="24136,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" strokeweight="39e-5mm"/>
                <v:line id="Line 76" o:spid="_x0000_s1352" style="position:absolute;visibility:visible;mso-wrap-style:square" from="18872,4419" to="24136,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" strokeweight="39e-5mm"/>
                <v:rect id="Rectangle 14185" o:spid="_x0000_s1353" style="position:absolute;left:30734;top:8807;width:15474;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" filled="f" stroked="f">
                  <v:textbox style="mso-fit-shape-to-text:t" inset="0,0,0,0">
                    <w:txbxContent>
                      <w:p w:rsidR="00D53F39" w:rsidRPr="003D1E48" w:rsidRDefault="00D53F39" w:rsidP="00E24DB7">
                        <w:pPr>
                          <w:pStyle w:val="NormalWeb"/>
                          <w:spacing w:before="0" w:beforeAutospacing="0" w:after="0" w:afterAutospacing="0"/>
                          <w:jc w:val="center"/>
                          <w:rPr>
                            <w:rFonts w:ascii="Times New Roman" w:hAnsi="Times New Roman" w:cs="Times New Roman"/>
                            <w:sz w:val="16"/>
                            <w:szCs w:val="16"/>
                            <w:lang w:val="fr-CH"/>
                          </w:rPr>
                        </w:pPr>
                        <w:r w:rsidRPr="003D1E48">
                          <w:rPr>
                            <w:rFonts w:ascii="Times New Roman" w:eastAsia="Times New Roman" w:hAnsi="Times New Roman" w:cs="Times New Roman"/>
                            <w:color w:val="000000"/>
                            <w:sz w:val="16"/>
                            <w:szCs w:val="16"/>
                            <w:lang w:val="fr-CH"/>
                          </w:rPr>
                          <w:t>Le débit des gaz traversant l’USFM peut être contrôlé et réglé en</w:t>
                        </w:r>
                        <w:r>
                          <w:rPr>
                            <w:rFonts w:ascii="Times New Roman" w:eastAsia="Times New Roman" w:hAnsi="Times New Roman" w:cs="Times New Roman"/>
                            <w:color w:val="000000"/>
                            <w:sz w:val="16"/>
                            <w:szCs w:val="16"/>
                            <w:lang w:val="fr-CH"/>
                          </w:rPr>
                          <w:t> </w:t>
                        </w:r>
                        <w:r w:rsidRPr="003D1E48">
                          <w:rPr>
                            <w:rFonts w:ascii="Times New Roman" w:eastAsia="Times New Roman" w:hAnsi="Times New Roman" w:cs="Times New Roman"/>
                            <w:color w:val="000000"/>
                            <w:sz w:val="16"/>
                            <w:szCs w:val="16"/>
                            <w:lang w:val="fr-CH"/>
                          </w:rPr>
                          <w:t xml:space="preserve">contrôlant la vitesse de l’écoulement et/ou par réglage </w:t>
                        </w:r>
                        <w:r>
                          <w:rPr>
                            <w:rFonts w:ascii="Times New Roman" w:eastAsia="Times New Roman" w:hAnsi="Times New Roman" w:cs="Times New Roman"/>
                            <w:color w:val="000000"/>
                            <w:sz w:val="16"/>
                            <w:szCs w:val="16"/>
                            <w:lang w:val="fr-CH"/>
                          </w:rPr>
                          <w:br/>
                        </w:r>
                        <w:r w:rsidRPr="003D1E48">
                          <w:rPr>
                            <w:rFonts w:ascii="Times New Roman" w:eastAsia="Times New Roman" w:hAnsi="Times New Roman" w:cs="Times New Roman"/>
                            <w:color w:val="000000"/>
                            <w:sz w:val="16"/>
                            <w:szCs w:val="16"/>
                            <w:lang w:val="fr-CH"/>
                          </w:rPr>
                          <w:t>de la vanne de réglage du débit</w:t>
                        </w:r>
                      </w:p>
                    </w:txbxContent>
                  </v:textbox>
                </v:rect>
                <w10:anchorlock/>
              </v:group>
            </w:pict>
          </mc:Fallback>
        </mc:AlternateContent>
      </w:r>
    </w:p>
    <w:p w:rsidR="00E24DB7" w:rsidRPr="002C5876" w:rsidRDefault="00E24DB7" w:rsidP="00E24DB7">
      <w:pPr>
        <w:pStyle w:val="SingleTxtG"/>
        <w:spacing w:line="240" w:lineRule="exact"/>
        <w:ind w:left="2268" w:hanging="1134"/>
      </w:pPr>
      <w:r w:rsidRPr="002C5876">
        <w:t>3.4.5.7.2</w:t>
      </w:r>
      <w:r w:rsidRPr="002C5876">
        <w:tab/>
        <w:t xml:space="preserve">Mettre en route le dispositif d’aspiration. Ajuster sa vitesse et/ou la vanne de réglage du débit de manière qu’ils fournissent le débit de consigne pour la validation, et laisser le système atteindre son régime stabilisé. Relever les données de tous les instruments. </w:t>
      </w:r>
    </w:p>
    <w:p w:rsidR="00E24DB7" w:rsidRPr="002C5876" w:rsidRDefault="00E24DB7" w:rsidP="00E24DB7">
      <w:pPr>
        <w:pStyle w:val="SingleTxtG"/>
        <w:spacing w:line="240" w:lineRule="exact"/>
        <w:ind w:left="2268" w:hanging="1134"/>
      </w:pPr>
      <w:r w:rsidRPr="002C5876">
        <w:t>3.4.5.7.3</w:t>
      </w:r>
      <w:r w:rsidRPr="002C5876">
        <w:tab/>
        <w:t xml:space="preserve">Dans le cas où le système de prélèvement à débitmètre ultrasonique n’est pas équipé d’un échangeur de chaleur, faire fonctionner le réchauffeur de manière à élever la température de l’air d’étalonnage, le laisser atteindre son régime stabilisé et enregistrer les données fournies par tous les instruments. La température doit être augmentée progressivement jusqu’à ce que soit atteinte la température maximale des gaz d’échappement dilués prévue pour les essais de mesure des émissions. </w:t>
      </w:r>
    </w:p>
    <w:p w:rsidR="00E24DB7" w:rsidRPr="002C5876" w:rsidRDefault="00E24DB7" w:rsidP="00E24DB7">
      <w:pPr>
        <w:pStyle w:val="SingleTxtG"/>
        <w:keepLines/>
        <w:spacing w:line="240" w:lineRule="exact"/>
        <w:ind w:left="2268" w:hanging="1134"/>
      </w:pPr>
      <w:r w:rsidRPr="002C5876">
        <w:t>3.4.5.7.4</w:t>
      </w:r>
      <w:r w:rsidRPr="002C5876">
        <w:tab/>
        <w:t>Éteindre ensuite le réchauffeur et ajuster la vitesse du dispositif d’aspiration et/ou la vanne de réglage du débit sur le débit de consigne suivant susceptible d’être utilisé pour les essais de mesure des émissions des véhicules et répéter ensuite la séquence d’étalonnage.</w:t>
      </w:r>
    </w:p>
    <w:p w:rsidR="00E24DB7" w:rsidRPr="002C5876" w:rsidRDefault="00E24DB7" w:rsidP="00E24DB7">
      <w:pPr>
        <w:pStyle w:val="SingleTxtG"/>
        <w:spacing w:line="240" w:lineRule="exact"/>
        <w:ind w:left="2268" w:hanging="1134"/>
      </w:pPr>
      <w:r w:rsidRPr="002C5876">
        <w:t>3.4.5.8</w:t>
      </w:r>
      <w:r w:rsidRPr="002C5876">
        <w:tab/>
        <w:t>On utilise les valeurs enregistrées lors de l’étalonnage pour déterminer les éléments ci-après. Le débit d’air Q</w:t>
      </w:r>
      <w:r w:rsidRPr="002C5876">
        <w:rPr>
          <w:vertAlign w:val="subscript"/>
        </w:rPr>
        <w:t>s</w:t>
      </w:r>
      <w:r w:rsidRPr="002C5876">
        <w:t xml:space="preserve"> à chaque point d’essai est calculé d’après les valeurs de mesure du débitmètre, selon la méthode prescrite par le fabricant :</w:t>
      </w:r>
    </w:p>
    <w:p w:rsidR="00E24DB7" w:rsidRPr="002C5876" w:rsidRDefault="00731CA6" w:rsidP="00E24DB7">
      <w:pPr>
        <w:pStyle w:val="SingleTxtG"/>
        <w:ind w:left="2268" w:hanging="1134"/>
        <w:jc w:val="center"/>
      </w:pPr>
      <m:oMathPara>
        <m:oMathParaPr>
          <m:jc m:val="center"/>
        </m:oMathPara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Q</m:t>
                  </m:r>
                </m:e>
                <m:sub>
                  <m:r>
                    <m:rPr>
                      <m:sty m:val="p"/>
                    </m:rPr>
                    <w:rPr>
                      <w:rFonts w:ascii="Cambria Math" w:hAnsi="Cambria Math"/>
                    </w:rPr>
                    <m:t>reference</m:t>
                  </m:r>
                </m:sub>
              </m:sSub>
            </m:num>
            <m:den>
              <m:sSub>
                <m:sSubPr>
                  <m:ctrlPr>
                    <w:rPr>
                      <w:rFonts w:ascii="Cambria Math" w:hAnsi="Cambria Math"/>
                    </w:rPr>
                  </m:ctrlPr>
                </m:sSubPr>
                <m:e>
                  <m:r>
                    <m:rPr>
                      <m:sty m:val="p"/>
                    </m:rPr>
                    <w:rPr>
                      <w:rFonts w:ascii="Cambria Math" w:hAnsi="Cambria Math"/>
                    </w:rPr>
                    <m:t>Q</m:t>
                  </m:r>
                </m:e>
                <m:sub>
                  <m:r>
                    <m:rPr>
                      <m:sty m:val="p"/>
                    </m:rPr>
                    <w:rPr>
                      <w:rFonts w:ascii="Cambria Math" w:hAnsi="Cambria Math"/>
                    </w:rPr>
                    <m:t>s</m:t>
                  </m:r>
                </m:sub>
              </m:sSub>
            </m:den>
          </m:f>
        </m:oMath>
      </m:oMathPara>
    </w:p>
    <w:p w:rsidR="00E24DB7" w:rsidRPr="002C5876" w:rsidRDefault="00E24DB7" w:rsidP="00E24DB7">
      <w:pPr>
        <w:pStyle w:val="SingleTxtG"/>
        <w:keepNext/>
        <w:spacing w:line="240" w:lineRule="exact"/>
        <w:ind w:left="2268"/>
      </w:pPr>
      <w:r w:rsidRPr="002C5876">
        <w:t>où :</w:t>
      </w:r>
    </w:p>
    <w:p w:rsidR="00E24DB7" w:rsidRPr="002C5876" w:rsidRDefault="00E24DB7" w:rsidP="00E24DB7">
      <w:pPr>
        <w:pStyle w:val="SingleTxtG"/>
        <w:spacing w:line="240" w:lineRule="exact"/>
        <w:ind w:left="3119" w:hanging="851"/>
      </w:pPr>
      <w:r w:rsidRPr="002C5876">
        <w:t>Q</w:t>
      </w:r>
      <w:r w:rsidRPr="002C5876">
        <w:rPr>
          <w:vertAlign w:val="subscript"/>
        </w:rPr>
        <w:t>s</w:t>
      </w:r>
      <w:r w:rsidRPr="002C5876">
        <w:tab/>
        <w:t xml:space="preserve">est le débit d’air en conditions normales (101,325 kPa, 273,15 K </w:t>
      </w:r>
      <w:r w:rsidRPr="002C5876">
        <w:rPr>
          <w:szCs w:val="24"/>
        </w:rPr>
        <w:t>(0 °C)</w:t>
      </w:r>
      <w:r w:rsidRPr="002C5876">
        <w:t>), en m</w:t>
      </w:r>
      <w:r w:rsidRPr="002C5876">
        <w:rPr>
          <w:vertAlign w:val="superscript"/>
        </w:rPr>
        <w:t>3</w:t>
      </w:r>
      <w:r w:rsidRPr="002C5876">
        <w:t>/s ;</w:t>
      </w:r>
    </w:p>
    <w:p w:rsidR="00E24DB7" w:rsidRPr="002C5876" w:rsidRDefault="00E24DB7" w:rsidP="00E24DB7">
      <w:pPr>
        <w:pStyle w:val="SingleTxtG"/>
        <w:spacing w:line="240" w:lineRule="exact"/>
        <w:ind w:left="3119" w:hanging="851"/>
      </w:pPr>
      <w:r w:rsidRPr="002C5876">
        <w:t>Q</w:t>
      </w:r>
      <w:r w:rsidRPr="002C5876">
        <w:rPr>
          <w:vertAlign w:val="subscript"/>
        </w:rPr>
        <w:t>reference</w:t>
      </w:r>
      <w:r w:rsidRPr="002C5876">
        <w:tab/>
        <w:t xml:space="preserve">est le débit d’air dans le débitmètre de référence utilisé pour l’étalonnage, en conditions normales (101,325 kPa, 273,15 K </w:t>
      </w:r>
      <w:r w:rsidRPr="002C5876">
        <w:rPr>
          <w:szCs w:val="24"/>
        </w:rPr>
        <w:t>(0 °C)</w:t>
      </w:r>
      <w:r w:rsidRPr="002C5876">
        <w:t>), en m</w:t>
      </w:r>
      <w:r w:rsidRPr="002C5876">
        <w:rPr>
          <w:vertAlign w:val="superscript"/>
        </w:rPr>
        <w:t>3</w:t>
      </w:r>
      <w:r w:rsidRPr="002C5876">
        <w:t>/s ;</w:t>
      </w:r>
    </w:p>
    <w:p w:rsidR="00E24DB7" w:rsidRPr="002C5876" w:rsidRDefault="00E24DB7" w:rsidP="00E24DB7">
      <w:pPr>
        <w:pStyle w:val="SingleTxtG"/>
        <w:spacing w:line="240" w:lineRule="exact"/>
        <w:ind w:left="3119" w:hanging="851"/>
      </w:pPr>
      <w:r w:rsidRPr="002C5876">
        <w:t>K</w:t>
      </w:r>
      <w:r w:rsidRPr="002C5876">
        <w:rPr>
          <w:vertAlign w:val="subscript"/>
        </w:rPr>
        <w:t>v</w:t>
      </w:r>
      <w:r w:rsidRPr="002C5876">
        <w:tab/>
        <w:t xml:space="preserve">est le coefficient d’étalonnage. </w:t>
      </w:r>
    </w:p>
    <w:p w:rsidR="00E24DB7" w:rsidRPr="002C5876" w:rsidRDefault="00E24DB7" w:rsidP="00E24DB7">
      <w:pPr>
        <w:pStyle w:val="SingleTxtG"/>
        <w:spacing w:line="240" w:lineRule="exact"/>
        <w:ind w:left="2268"/>
      </w:pPr>
      <w:r w:rsidRPr="002C5876">
        <w:tab/>
        <w:t>Dans le cas des systèmes de prélèvement à débitmètre ultrasonique non équipés d’un échangeur de chaleur, on doit établir la courbe de K</w:t>
      </w:r>
      <w:r w:rsidRPr="002C5876">
        <w:rPr>
          <w:vertAlign w:val="subscript"/>
        </w:rPr>
        <w:t>v</w:t>
      </w:r>
      <w:r w:rsidRPr="002C5876">
        <w:t xml:space="preserve"> en fonction de T</w:t>
      </w:r>
      <w:r w:rsidRPr="002C5876">
        <w:rPr>
          <w:vertAlign w:val="subscript"/>
        </w:rPr>
        <w:t>act</w:t>
      </w:r>
      <w:r w:rsidRPr="002C5876">
        <w:t xml:space="preserve">. </w:t>
      </w:r>
    </w:p>
    <w:p w:rsidR="00E24DB7" w:rsidRPr="002C5876" w:rsidRDefault="00E24DB7" w:rsidP="00E24DB7">
      <w:pPr>
        <w:pStyle w:val="SingleTxtG"/>
        <w:spacing w:line="240" w:lineRule="exact"/>
        <w:ind w:left="2268"/>
      </w:pPr>
      <w:r w:rsidRPr="002C5876">
        <w:tab/>
        <w:t>La variation maximale de K</w:t>
      </w:r>
      <w:r w:rsidRPr="002C5876">
        <w:rPr>
          <w:vertAlign w:val="subscript"/>
        </w:rPr>
        <w:t>v</w:t>
      </w:r>
      <w:r w:rsidRPr="002C5876">
        <w:t xml:space="preserve"> ne doit pas s’écarter de plus de 0,3 % de la valeur moyenne arithmétique de K</w:t>
      </w:r>
      <w:r w:rsidRPr="002C5876">
        <w:rPr>
          <w:vertAlign w:val="subscript"/>
        </w:rPr>
        <w:t>v</w:t>
      </w:r>
      <w:r w:rsidRPr="002C5876">
        <w:t xml:space="preserve"> dans l’ensemble des mesures effectuées à différentes températures. </w:t>
      </w:r>
    </w:p>
    <w:p w:rsidR="00E24DB7" w:rsidRPr="002C5876" w:rsidRDefault="00E24DB7" w:rsidP="00E24DB7">
      <w:pPr>
        <w:pStyle w:val="SingleTxtG"/>
        <w:keepNext/>
        <w:spacing w:line="240" w:lineRule="exact"/>
        <w:ind w:left="2268" w:hanging="1134"/>
        <w:jc w:val="left"/>
      </w:pPr>
      <w:r w:rsidRPr="002C5876">
        <w:t>3.5</w:t>
      </w:r>
      <w:r w:rsidRPr="002C5876">
        <w:tab/>
        <w:t xml:space="preserve">Procédure de vérification du système </w:t>
      </w:r>
    </w:p>
    <w:p w:rsidR="00E24DB7" w:rsidRPr="002C5876" w:rsidRDefault="00E24DB7" w:rsidP="00E24DB7">
      <w:pPr>
        <w:pStyle w:val="SingleTxtG"/>
        <w:keepNext/>
        <w:spacing w:line="240" w:lineRule="exact"/>
        <w:ind w:left="2268" w:hanging="1134"/>
        <w:jc w:val="left"/>
      </w:pPr>
      <w:r w:rsidRPr="002C5876">
        <w:t>3.5.1</w:t>
      </w:r>
      <w:r w:rsidRPr="002C5876">
        <w:tab/>
        <w:t>Prescriptions générales</w:t>
      </w:r>
    </w:p>
    <w:p w:rsidR="00E24DB7" w:rsidRPr="002C5876" w:rsidRDefault="00E24DB7" w:rsidP="00E24DB7">
      <w:pPr>
        <w:pStyle w:val="SingleTxtG"/>
        <w:spacing w:line="240" w:lineRule="exact"/>
        <w:ind w:left="2268" w:hanging="1134"/>
      </w:pPr>
      <w:r w:rsidRPr="002C5876">
        <w:t>3.5.1.1</w:t>
      </w:r>
      <w:r w:rsidRPr="002C5876">
        <w:tab/>
        <w:t xml:space="preserve">On détermine l’exactitude globale de l’appareillage de prélèvement à volume constant et du système d’analyse en introduisant une masse connue d’un composé gazeux dans le système alors que celui-ci fonctionne dans les conditions d’un essai normal ; ensuite, on exécute l’analyse et on calcule la </w:t>
      </w:r>
      <w:r w:rsidRPr="002C5876">
        <w:lastRenderedPageBreak/>
        <w:t xml:space="preserve">masse du composé gazeux selon les formules de l’annexe 7. La méthode de l’orifice à régime critique (par. 3.5.1.1.1 de la présente annexe) et la méthode gravimétrique (par. 3.5.1.1.2 de la présente annexe) sont réputées fournir une exactitude suffisante. </w:t>
      </w:r>
    </w:p>
    <w:p w:rsidR="00E24DB7" w:rsidRPr="002C5876" w:rsidRDefault="00E24DB7" w:rsidP="00E24DB7">
      <w:pPr>
        <w:pStyle w:val="SingleTxtG"/>
        <w:spacing w:line="240" w:lineRule="exact"/>
        <w:ind w:left="2268"/>
      </w:pPr>
      <w:r w:rsidRPr="002C5876">
        <w:tab/>
        <w:t xml:space="preserve">L’écart maximal admis entre la quantité de gaz introduite et la quantité de gaz mesurée est de </w:t>
      </w:r>
      <w:r w:rsidRPr="002C5876">
        <w:sym w:font="Symbol" w:char="F0B1"/>
      </w:r>
      <w:r w:rsidRPr="002C5876">
        <w:t xml:space="preserve">2 %. </w:t>
      </w:r>
    </w:p>
    <w:p w:rsidR="00E24DB7" w:rsidRPr="002C5876" w:rsidRDefault="00E24DB7" w:rsidP="00E24DB7">
      <w:pPr>
        <w:pStyle w:val="SingleTxtG"/>
        <w:keepNext/>
        <w:spacing w:line="240" w:lineRule="exact"/>
        <w:ind w:left="2268" w:hanging="1134"/>
        <w:jc w:val="left"/>
      </w:pPr>
      <w:r w:rsidRPr="002C5876">
        <w:t>3.5.1.1.1</w:t>
      </w:r>
      <w:r w:rsidRPr="002C5876">
        <w:tab/>
        <w:t>Méthode de l’orifice à régime critique</w:t>
      </w:r>
    </w:p>
    <w:p w:rsidR="00E24DB7" w:rsidRPr="002C5876" w:rsidRDefault="00E24DB7" w:rsidP="00E24DB7">
      <w:pPr>
        <w:pStyle w:val="SingleTxtG"/>
        <w:spacing w:line="240" w:lineRule="exact"/>
        <w:ind w:left="2268"/>
      </w:pPr>
      <w:r w:rsidRPr="002C5876">
        <w:tab/>
        <w:t>La méthode de l’orifice à régime critique permet de mesurer un débit constant de gaz pur (CO, CO</w:t>
      </w:r>
      <w:r w:rsidRPr="002C5876">
        <w:rPr>
          <w:vertAlign w:val="subscript"/>
        </w:rPr>
        <w:t>2</w:t>
      </w:r>
      <w:r w:rsidRPr="002C5876">
        <w:t xml:space="preserve"> ou C</w:t>
      </w:r>
      <w:r w:rsidRPr="002C5876">
        <w:rPr>
          <w:vertAlign w:val="subscript"/>
        </w:rPr>
        <w:t>3</w:t>
      </w:r>
      <w:r w:rsidRPr="002C5876">
        <w:t>H</w:t>
      </w:r>
      <w:r w:rsidRPr="002C5876">
        <w:rPr>
          <w:vertAlign w:val="subscript"/>
        </w:rPr>
        <w:t>8</w:t>
      </w:r>
      <w:r w:rsidRPr="002C5876">
        <w:t>) à l’aide d’un dispositif muni d’un orifice à régime critique.</w:t>
      </w:r>
    </w:p>
    <w:p w:rsidR="00E24DB7" w:rsidRPr="002C5876" w:rsidRDefault="00E24DB7" w:rsidP="00E24DB7">
      <w:pPr>
        <w:pStyle w:val="SingleTxtG"/>
        <w:spacing w:line="240" w:lineRule="exact"/>
        <w:ind w:left="2268"/>
      </w:pPr>
      <w:r w:rsidRPr="002C5876">
        <w:tab/>
        <w:t xml:space="preserve">Une masse déterminée de gaz pur (monoxyde de carbone, dioxyde de carbone ou propane) est introduite dans le système de prélèvement par l’orifice à régime critique étalonné. Si la pression d’entrée est suffisamment élevée, le débit q, limité au moyen de l’orifice à régime critique, est indépendant de la pression de sortie de l’orifice (conditions d’écoulement critique). On fait fonctionner le système de prélèvement comme pour un essai normal de mesure des émissions d’échappement et un temps suffisant est alloué à l’analyse effectuée ensuite. On analyse à l’aide du dispositif habituel les gaz recueillis dans le sac de collecte (voir par. 4.1 de la présente annexe) et on compare les résultats obtenus à la teneur des échantillons de gaz connus. Si les écarts observés dépassent </w:t>
      </w:r>
      <w:r w:rsidRPr="002C5876">
        <w:sym w:font="Symbol" w:char="F0B1"/>
      </w:r>
      <w:r w:rsidRPr="002C5876">
        <w:t>2 %, la cause de l’anomalie doit être déterminée et supprimée.</w:t>
      </w:r>
    </w:p>
    <w:p w:rsidR="00E24DB7" w:rsidRPr="002C5876" w:rsidRDefault="00E24DB7" w:rsidP="00E24DB7">
      <w:pPr>
        <w:pStyle w:val="SingleTxtG"/>
        <w:keepNext/>
        <w:spacing w:line="240" w:lineRule="exact"/>
        <w:ind w:left="2268" w:hanging="1134"/>
        <w:jc w:val="left"/>
      </w:pPr>
      <w:r w:rsidRPr="002C5876">
        <w:t>3.5.1.1.2</w:t>
      </w:r>
      <w:r w:rsidRPr="002C5876">
        <w:tab/>
        <w:t xml:space="preserve">Méthode gravimétrique </w:t>
      </w:r>
    </w:p>
    <w:p w:rsidR="00E24DB7" w:rsidRPr="002C5876" w:rsidRDefault="00E24DB7" w:rsidP="00E24DB7">
      <w:pPr>
        <w:pStyle w:val="SingleTxtG"/>
        <w:spacing w:line="240" w:lineRule="exact"/>
        <w:ind w:left="2268"/>
      </w:pPr>
      <w:r w:rsidRPr="002C5876">
        <w:tab/>
        <w:t>La méthode gravimétrique permet de mesurer une quantité de gaz pur (CO, CO</w:t>
      </w:r>
      <w:r w:rsidRPr="002C5876">
        <w:rPr>
          <w:vertAlign w:val="subscript"/>
        </w:rPr>
        <w:t>2</w:t>
      </w:r>
      <w:r w:rsidRPr="002C5876">
        <w:t xml:space="preserve"> ou C</w:t>
      </w:r>
      <w:r w:rsidRPr="002C5876">
        <w:rPr>
          <w:vertAlign w:val="subscript"/>
        </w:rPr>
        <w:t>3</w:t>
      </w:r>
      <w:r w:rsidRPr="002C5876">
        <w:t>H</w:t>
      </w:r>
      <w:r w:rsidRPr="002C5876">
        <w:rPr>
          <w:vertAlign w:val="subscript"/>
        </w:rPr>
        <w:t>8</w:t>
      </w:r>
      <w:r w:rsidRPr="002C5876">
        <w:t>).</w:t>
      </w:r>
    </w:p>
    <w:p w:rsidR="00E24DB7" w:rsidRPr="002C5876" w:rsidRDefault="00E24DB7" w:rsidP="00E24DB7">
      <w:pPr>
        <w:pStyle w:val="SingleTxtG"/>
        <w:spacing w:line="240" w:lineRule="exact"/>
        <w:ind w:left="2268"/>
      </w:pPr>
      <w:r w:rsidRPr="002C5876">
        <w:tab/>
        <w:t xml:space="preserve">On utilise une petite bouteille remplie de monoxyde de carbone pur, de dioxyde de carbone ou de propane purs, dont on détermine la masse avec une précision de </w:t>
      </w:r>
      <w:r w:rsidRPr="002C5876">
        <w:sym w:font="Symbol" w:char="F0B1"/>
      </w:r>
      <w:r w:rsidRPr="002C5876">
        <w:t>0,01 g. On fait fonctionner le système de prélèvement dans les conditions d’un essai normal de détermination des émissions d’échappement, tout en injectant le gaz pur dans le système pendant un temps suffisant pour l’analyse ultérieure. On détermine la quantité de gaz pur introduite dans l’appareillage en mesurant la différence de poids de la bouteille. On analyse ensuite le gaz recueilli dans le sac avec l’appareillage normalement utilisé pour l’analyse des gaz d’échappement comme indiqué au paragraphe 4.1 de la présente annexe. On compare alors les résultats aux valeurs de concentration calculées précédemment.</w:t>
      </w:r>
      <w:bookmarkStart w:id="32" w:name="_Toc284586961"/>
      <w:bookmarkStart w:id="33" w:name="_Toc284587101"/>
      <w:bookmarkStart w:id="34" w:name="_Toc284587352"/>
      <w:bookmarkStart w:id="35" w:name="_Toc289686201"/>
      <w:r w:rsidRPr="002C5876">
        <w:t xml:space="preserve"> Si les écarts observés dépassent </w:t>
      </w:r>
      <w:r w:rsidRPr="002C5876">
        <w:sym w:font="Symbol" w:char="F0B1"/>
      </w:r>
      <w:r w:rsidRPr="002C5876">
        <w:t>2 %, la cause de l’anomalie doit être déterminée et supprimée.</w:t>
      </w:r>
    </w:p>
    <w:p w:rsidR="00E24DB7" w:rsidRPr="002C5876" w:rsidRDefault="00E24DB7" w:rsidP="00E24DB7">
      <w:pPr>
        <w:pStyle w:val="SingleTxtG"/>
        <w:spacing w:line="240" w:lineRule="exact"/>
        <w:ind w:left="2268" w:hanging="1134"/>
        <w:jc w:val="left"/>
      </w:pPr>
      <w:r w:rsidRPr="002C5876">
        <w:t>4.</w:t>
      </w:r>
      <w:r w:rsidRPr="002C5876">
        <w:tab/>
        <w:t>Appareillage de mesure des émissions</w:t>
      </w:r>
    </w:p>
    <w:p w:rsidR="00E24DB7" w:rsidRPr="002C5876" w:rsidRDefault="00E24DB7" w:rsidP="00E24DB7">
      <w:pPr>
        <w:pStyle w:val="SingleTxtG"/>
        <w:spacing w:line="240" w:lineRule="exact"/>
        <w:ind w:left="2268" w:hanging="1134"/>
        <w:jc w:val="left"/>
      </w:pPr>
      <w:r w:rsidRPr="002C5876">
        <w:t>4.1</w:t>
      </w:r>
      <w:r w:rsidRPr="002C5876">
        <w:tab/>
      </w:r>
      <w:bookmarkStart w:id="36" w:name="_Toc284586962"/>
      <w:bookmarkStart w:id="37" w:name="_Toc284587102"/>
      <w:bookmarkStart w:id="38" w:name="_Toc284587353"/>
      <w:bookmarkStart w:id="39" w:name="_Toc289686202"/>
      <w:bookmarkEnd w:id="32"/>
      <w:bookmarkEnd w:id="33"/>
      <w:bookmarkEnd w:id="34"/>
      <w:bookmarkEnd w:id="35"/>
      <w:r w:rsidRPr="002C5876">
        <w:t>Appareillage de mesure des émissions gazeuses</w:t>
      </w:r>
    </w:p>
    <w:p w:rsidR="00E24DB7" w:rsidRPr="002C5876" w:rsidRDefault="00E24DB7" w:rsidP="00E24DB7">
      <w:pPr>
        <w:pStyle w:val="SingleTxtG"/>
        <w:spacing w:line="240" w:lineRule="exact"/>
        <w:ind w:left="2268" w:hanging="1134"/>
        <w:jc w:val="left"/>
      </w:pPr>
      <w:r w:rsidRPr="002C5876">
        <w:t>4.1.1</w:t>
      </w:r>
      <w:r w:rsidRPr="002C5876">
        <w:tab/>
      </w:r>
      <w:bookmarkEnd w:id="36"/>
      <w:bookmarkEnd w:id="37"/>
      <w:bookmarkEnd w:id="38"/>
      <w:bookmarkEnd w:id="39"/>
      <w:r w:rsidRPr="002C5876">
        <w:t>Vue d’ensemble du système</w:t>
      </w:r>
    </w:p>
    <w:p w:rsidR="00E24DB7" w:rsidRPr="002C5876" w:rsidRDefault="00E24DB7" w:rsidP="00E24DB7">
      <w:pPr>
        <w:pStyle w:val="SingleTxtG"/>
        <w:spacing w:line="240" w:lineRule="exact"/>
        <w:ind w:left="2268" w:hanging="1134"/>
      </w:pPr>
      <w:r w:rsidRPr="002C5876">
        <w:t>4.1.1.1</w:t>
      </w:r>
      <w:r w:rsidRPr="002C5876">
        <w:tab/>
        <w:t>Un échantillon de proportion constante de gaz d’échappement dilués et d’air de dilution doit être recueilli pour analyse.</w:t>
      </w:r>
    </w:p>
    <w:p w:rsidR="00E24DB7" w:rsidRPr="002C5876" w:rsidRDefault="00E24DB7" w:rsidP="00E24DB7">
      <w:pPr>
        <w:pStyle w:val="SingleTxtG"/>
        <w:spacing w:line="240" w:lineRule="exact"/>
        <w:ind w:left="2268" w:hanging="1134"/>
      </w:pPr>
      <w:r w:rsidRPr="002C5876">
        <w:t>4.1.1.2</w:t>
      </w:r>
      <w:r w:rsidRPr="002C5876">
        <w:tab/>
        <w:t>La masse des émissions gazeuses est déterminée d’après les concentrations de l’échantillon proportionnel et le volume total mesuré pendant l’essai. Les concentrations de l’échantillon sont corrigées en fonction des concentrations des composés respectifs dans l’air de dilution.</w:t>
      </w:r>
      <w:bookmarkStart w:id="40" w:name="_Toc284586963"/>
      <w:bookmarkStart w:id="41" w:name="_Toc284587103"/>
      <w:bookmarkStart w:id="42" w:name="_Toc284587354"/>
      <w:bookmarkStart w:id="43" w:name="_Toc289686203"/>
    </w:p>
    <w:p w:rsidR="00E24DB7" w:rsidRPr="002C5876" w:rsidRDefault="00E24DB7" w:rsidP="00E24DB7">
      <w:pPr>
        <w:pStyle w:val="SingleTxtG"/>
        <w:keepNext/>
        <w:spacing w:line="240" w:lineRule="exact"/>
        <w:ind w:left="2268" w:hanging="1134"/>
        <w:jc w:val="left"/>
      </w:pPr>
      <w:r w:rsidRPr="002C5876">
        <w:t>4.1.2</w:t>
      </w:r>
      <w:r w:rsidRPr="002C5876">
        <w:tab/>
      </w:r>
      <w:bookmarkStart w:id="44" w:name="_Toc284587104"/>
      <w:bookmarkStart w:id="45" w:name="_Toc284587355"/>
      <w:bookmarkEnd w:id="40"/>
      <w:bookmarkEnd w:id="41"/>
      <w:bookmarkEnd w:id="42"/>
      <w:bookmarkEnd w:id="43"/>
      <w:r w:rsidRPr="002C5876">
        <w:t>Prescriptions concernant le système de prélèvement</w:t>
      </w:r>
    </w:p>
    <w:p w:rsidR="00E24DB7" w:rsidRPr="002C5876" w:rsidRDefault="00E24DB7" w:rsidP="00E24DB7">
      <w:pPr>
        <w:pStyle w:val="SingleTxtG"/>
        <w:spacing w:line="240" w:lineRule="exact"/>
        <w:ind w:left="2268" w:hanging="1134"/>
      </w:pPr>
      <w:r w:rsidRPr="002C5876">
        <w:t>4.1.2.1</w:t>
      </w:r>
      <w:r w:rsidRPr="002C5876">
        <w:tab/>
        <w:t xml:space="preserve">L’échantillon de gaz d’échappement dilués est prélevé en amont du dispositif d’aspiration. </w:t>
      </w:r>
    </w:p>
    <w:p w:rsidR="00E24DB7" w:rsidRPr="002C5876" w:rsidRDefault="00E24DB7" w:rsidP="00E24DB7">
      <w:pPr>
        <w:pStyle w:val="SingleTxtG"/>
        <w:spacing w:line="240" w:lineRule="exact"/>
        <w:ind w:left="2268"/>
      </w:pPr>
      <w:r w:rsidRPr="002C5876">
        <w:tab/>
        <w:t xml:space="preserve">À l’exception des dispositions prévues aux paragraphes 4.1.3.1 (système de prélèvement d’hydrocarbures), 4.2 (appareillage de mesure de la masse des particules émises) et 4.3 (appareillage de mesure du nombre de particules </w:t>
      </w:r>
      <w:r w:rsidRPr="002C5876">
        <w:lastRenderedPageBreak/>
        <w:t xml:space="preserve">émises) de la présente annexe, l’échantillon de gaz d’échappement dilués peut être prélevé en aval des dispositifs de conditionnement (s’ils existent). </w:t>
      </w:r>
      <w:bookmarkStart w:id="46" w:name="_Toc284587107"/>
      <w:bookmarkStart w:id="47" w:name="_Toc284587358"/>
      <w:bookmarkEnd w:id="44"/>
      <w:bookmarkEnd w:id="45"/>
    </w:p>
    <w:p w:rsidR="00E24DB7" w:rsidRPr="002C5876" w:rsidRDefault="00E24DB7" w:rsidP="00E24DB7">
      <w:pPr>
        <w:pStyle w:val="SingleTxtG"/>
        <w:spacing w:line="240" w:lineRule="exact"/>
        <w:ind w:left="2268" w:hanging="1134"/>
      </w:pPr>
      <w:r w:rsidRPr="002C5876">
        <w:t>4.1.2.2</w:t>
      </w:r>
      <w:r w:rsidRPr="002C5876">
        <w:tab/>
        <w:t xml:space="preserve">Le débit dérivé vers les sacs du système de prélèvement doit être réglé de manière à fournir des volumes d’air de dilution et de gaz d’échappement dilués suffisants pour permettre de mesurer les concentrations. Le débit des gaz d’échappement dilués dérivé vers les sacs ne doit pas dépasser 0,3 % du débit total, sauf à ajouter le volume des gaz remplissant les sacs au volume total des gaz traversant le système de prélèvement. </w:t>
      </w:r>
    </w:p>
    <w:p w:rsidR="00E24DB7" w:rsidRPr="002C5876" w:rsidRDefault="00E24DB7" w:rsidP="00E24DB7">
      <w:pPr>
        <w:pStyle w:val="SingleTxtG"/>
        <w:spacing w:line="240" w:lineRule="exact"/>
        <w:ind w:left="2268" w:hanging="1134"/>
      </w:pPr>
      <w:r w:rsidRPr="002C5876">
        <w:t>4.1.2.3</w:t>
      </w:r>
      <w:r w:rsidRPr="002C5876">
        <w:tab/>
      </w:r>
      <w:bookmarkStart w:id="48" w:name="_Toc284587108"/>
      <w:bookmarkStart w:id="49" w:name="_Toc284587359"/>
      <w:bookmarkEnd w:id="46"/>
      <w:bookmarkEnd w:id="47"/>
      <w:r w:rsidRPr="002C5876">
        <w:t xml:space="preserve">On effectue un prélèvement d’air de dilution à un débit constant, à proximité de l’orifice d’entrée de l’air de dilution (en aval du filtre, si le dispositif en possède un). </w:t>
      </w:r>
    </w:p>
    <w:p w:rsidR="00E24DB7" w:rsidRPr="002C5876" w:rsidRDefault="00E24DB7" w:rsidP="00E24DB7">
      <w:pPr>
        <w:pStyle w:val="SingleTxtG"/>
        <w:spacing w:line="240" w:lineRule="exact"/>
        <w:ind w:left="2268" w:hanging="1134"/>
      </w:pPr>
      <w:r w:rsidRPr="002C5876">
        <w:t>4.1.2.4</w:t>
      </w:r>
      <w:r w:rsidRPr="002C5876">
        <w:tab/>
        <w:t>L’échantillon de l’air de dilution ne doit pas être contaminé par les gaz d’échappement provenant de la zone de mélange.</w:t>
      </w:r>
      <w:bookmarkStart w:id="50" w:name="_Toc284587109"/>
      <w:bookmarkStart w:id="51" w:name="_Toc284587360"/>
      <w:bookmarkEnd w:id="48"/>
      <w:bookmarkEnd w:id="49"/>
    </w:p>
    <w:p w:rsidR="00E24DB7" w:rsidRPr="002C5876" w:rsidRDefault="00E24DB7" w:rsidP="00E24DB7">
      <w:pPr>
        <w:pStyle w:val="SingleTxtG"/>
        <w:spacing w:line="240" w:lineRule="exact"/>
        <w:ind w:left="2268" w:hanging="1134"/>
      </w:pPr>
      <w:r w:rsidRPr="002C5876">
        <w:t>4.1.2.5</w:t>
      </w:r>
      <w:r w:rsidRPr="002C5876">
        <w:tab/>
        <w:t>Le débit de prélèvement de l’air de dilution doit être comparable à celui des gaz d’échappement dilués.</w:t>
      </w:r>
      <w:bookmarkStart w:id="52" w:name="_Toc284587110"/>
      <w:bookmarkStart w:id="53" w:name="_Toc284587361"/>
      <w:bookmarkEnd w:id="50"/>
      <w:bookmarkEnd w:id="51"/>
      <w:r w:rsidRPr="002C5876">
        <w:t xml:space="preserve"> </w:t>
      </w:r>
    </w:p>
    <w:p w:rsidR="00E24DB7" w:rsidRPr="002C5876" w:rsidRDefault="00E24DB7" w:rsidP="00E24DB7">
      <w:pPr>
        <w:pStyle w:val="SingleTxtG"/>
        <w:spacing w:line="240" w:lineRule="exact"/>
        <w:ind w:left="2268" w:hanging="1134"/>
      </w:pPr>
      <w:r w:rsidRPr="002C5876">
        <w:t>4.1.2.6</w:t>
      </w:r>
      <w:r w:rsidRPr="002C5876">
        <w:tab/>
        <w:t>Les matériaux constitutifs des appareils servant aux opérations de prélèvement doivent être tels qu’ils ne modifient pas la concentration des constituants des émissions d’échappement.</w:t>
      </w:r>
      <w:bookmarkStart w:id="54" w:name="_Toc284587111"/>
      <w:bookmarkStart w:id="55" w:name="_Toc284587362"/>
      <w:bookmarkEnd w:id="52"/>
      <w:bookmarkEnd w:id="53"/>
      <w:r w:rsidRPr="002C5876">
        <w:t xml:space="preserve"> </w:t>
      </w:r>
    </w:p>
    <w:p w:rsidR="00E24DB7" w:rsidRPr="002C5876" w:rsidRDefault="00E24DB7" w:rsidP="00E24DB7">
      <w:pPr>
        <w:pStyle w:val="SingleTxtG"/>
        <w:spacing w:line="240" w:lineRule="exact"/>
        <w:ind w:left="2268" w:hanging="1134"/>
      </w:pPr>
      <w:r w:rsidRPr="002C5876">
        <w:t>4.1.2.7</w:t>
      </w:r>
      <w:r w:rsidRPr="002C5876">
        <w:tab/>
        <w:t>On peut utiliser des filtres pour extraire les particules solides de l’échantillon.</w:t>
      </w:r>
      <w:bookmarkStart w:id="56" w:name="_Toc284587112"/>
      <w:bookmarkStart w:id="57" w:name="_Toc284587363"/>
      <w:bookmarkEnd w:id="54"/>
      <w:bookmarkEnd w:id="55"/>
      <w:r w:rsidRPr="002C5876">
        <w:t xml:space="preserve"> </w:t>
      </w:r>
    </w:p>
    <w:p w:rsidR="00E24DB7" w:rsidRPr="002C5876" w:rsidRDefault="00E24DB7" w:rsidP="00E24DB7">
      <w:pPr>
        <w:pStyle w:val="SingleTxtG"/>
        <w:spacing w:line="240" w:lineRule="exact"/>
        <w:ind w:left="2268" w:hanging="1134"/>
      </w:pPr>
      <w:r w:rsidRPr="002C5876">
        <w:t>4.1.2.8</w:t>
      </w:r>
      <w:r w:rsidRPr="002C5876">
        <w:tab/>
        <w:t>Les différentes vannes employées pour diriger les gaz de prélèvement doivent être à réglage et à action rapides.</w:t>
      </w:r>
      <w:bookmarkStart w:id="58" w:name="_Toc284587113"/>
      <w:bookmarkStart w:id="59" w:name="_Toc284587364"/>
      <w:bookmarkEnd w:id="56"/>
      <w:bookmarkEnd w:id="57"/>
      <w:r w:rsidRPr="002C5876">
        <w:t xml:space="preserve"> </w:t>
      </w:r>
    </w:p>
    <w:p w:rsidR="00E24DB7" w:rsidRPr="002C5876" w:rsidRDefault="00E24DB7" w:rsidP="00E24DB7">
      <w:pPr>
        <w:pStyle w:val="SingleTxtG"/>
        <w:spacing w:line="240" w:lineRule="exact"/>
        <w:ind w:left="2268" w:hanging="1134"/>
      </w:pPr>
      <w:r w:rsidRPr="002C5876">
        <w:t>4.1.2.9</w:t>
      </w:r>
      <w:r w:rsidRPr="002C5876">
        <w:tab/>
      </w:r>
      <w:bookmarkStart w:id="60" w:name="_Toc284587114"/>
      <w:bookmarkStart w:id="61" w:name="_Toc284587365"/>
      <w:bookmarkEnd w:id="58"/>
      <w:bookmarkEnd w:id="59"/>
      <w:r w:rsidRPr="002C5876">
        <w:t>Des raccords étanches au gaz et à verrouillage rapide peuvent être employés entre les vannes à trois voies et les sacs de collecte, les raccords s’obturant automatiquement du côté du sac. D’autres systèmes peuvent être utilisés pour acheminer les échantillons jusqu’à l’analyseur (robinets d’arrêt à trois voies par exemple).</w:t>
      </w:r>
    </w:p>
    <w:p w:rsidR="00E24DB7" w:rsidRPr="002C5876" w:rsidRDefault="00E24DB7" w:rsidP="00E24DB7">
      <w:pPr>
        <w:pStyle w:val="SingleTxtG"/>
        <w:keepNext/>
        <w:spacing w:line="240" w:lineRule="exact"/>
        <w:ind w:left="2268" w:hanging="1134"/>
        <w:jc w:val="left"/>
      </w:pPr>
      <w:r w:rsidRPr="002C5876">
        <w:t>4.1.2.10</w:t>
      </w:r>
      <w:r w:rsidRPr="002C5876">
        <w:tab/>
      </w:r>
      <w:bookmarkEnd w:id="60"/>
      <w:bookmarkEnd w:id="61"/>
      <w:r w:rsidRPr="002C5876">
        <w:t xml:space="preserve">Stockage des échantillons </w:t>
      </w:r>
    </w:p>
    <w:p w:rsidR="00E24DB7" w:rsidRPr="002C5876" w:rsidRDefault="00E24DB7" w:rsidP="00E24DB7">
      <w:pPr>
        <w:pStyle w:val="SingleTxtG"/>
        <w:spacing w:line="240" w:lineRule="exact"/>
        <w:ind w:left="2268" w:hanging="1134"/>
      </w:pPr>
      <w:r w:rsidRPr="002C5876">
        <w:t>4.1.2.10.1</w:t>
      </w:r>
      <w:r w:rsidRPr="002C5876">
        <w:tab/>
        <w:t>Les échantillons de gaz sont recueillis dans des sacs de collecte qui doivent avoir une capacité suffisante pour ne pas réduire le débit de prélèvement.</w:t>
      </w:r>
    </w:p>
    <w:p w:rsidR="00E24DB7" w:rsidRPr="002C5876" w:rsidRDefault="00E24DB7" w:rsidP="00E24DB7">
      <w:pPr>
        <w:pStyle w:val="SingleTxtG"/>
        <w:spacing w:line="240" w:lineRule="exact"/>
        <w:ind w:left="2268" w:hanging="1134"/>
      </w:pPr>
      <w:r w:rsidRPr="002C5876">
        <w:t>4.1.2.10.2</w:t>
      </w:r>
      <w:r w:rsidRPr="002C5876">
        <w:tab/>
        <w:t xml:space="preserve">Les sacs doivent être faits d’un matériau qui ne modifie pas de plus de </w:t>
      </w:r>
      <w:r w:rsidRPr="002C5876">
        <w:sym w:font="Symbol" w:char="F0B1"/>
      </w:r>
      <w:r w:rsidRPr="002C5876">
        <w:t xml:space="preserve">2 % après 30 min les mesures elles-mêmes ni la composition chimique des échantillons de gaz (films composites de polyéthylène polyamide ou de polyhydrocarbures fluorés, par exemple). </w:t>
      </w:r>
      <w:bookmarkStart w:id="62" w:name="_Toc284587115"/>
      <w:bookmarkStart w:id="63" w:name="_Toc284587366"/>
    </w:p>
    <w:p w:rsidR="00E24DB7" w:rsidRPr="002C5876" w:rsidRDefault="00E24DB7" w:rsidP="00E24DB7">
      <w:pPr>
        <w:pStyle w:val="SingleTxtG"/>
        <w:keepNext/>
        <w:spacing w:line="240" w:lineRule="exact"/>
        <w:ind w:left="2268" w:hanging="1134"/>
        <w:jc w:val="left"/>
      </w:pPr>
      <w:r w:rsidRPr="002C5876">
        <w:t>4.1.3</w:t>
      </w:r>
      <w:r w:rsidRPr="002C5876">
        <w:tab/>
        <w:t>Systèmes de prélèvement</w:t>
      </w:r>
    </w:p>
    <w:p w:rsidR="00E24DB7" w:rsidRPr="002C5876" w:rsidRDefault="00E24DB7" w:rsidP="00E24DB7">
      <w:pPr>
        <w:pStyle w:val="SingleTxtG"/>
        <w:keepNext/>
        <w:spacing w:line="240" w:lineRule="exact"/>
        <w:ind w:left="2268" w:hanging="1134"/>
        <w:jc w:val="left"/>
      </w:pPr>
      <w:r w:rsidRPr="002C5876">
        <w:t>4.1.3.1</w:t>
      </w:r>
      <w:r w:rsidRPr="002C5876">
        <w:tab/>
        <w:t xml:space="preserve">Systèmes de prélèvement d’hydrocarbures (détecteur à ionisation </w:t>
      </w:r>
      <w:r w:rsidRPr="002C5876">
        <w:br/>
        <w:t>de flamme chauffé, HFID)</w:t>
      </w:r>
      <w:bookmarkEnd w:id="62"/>
      <w:bookmarkEnd w:id="63"/>
    </w:p>
    <w:p w:rsidR="00E24DB7" w:rsidRPr="002C5876" w:rsidRDefault="00E24DB7" w:rsidP="00E24DB7">
      <w:pPr>
        <w:pStyle w:val="SingleTxtG"/>
        <w:spacing w:line="240" w:lineRule="exact"/>
        <w:ind w:left="2268" w:hanging="1134"/>
      </w:pPr>
      <w:r w:rsidRPr="002C5876">
        <w:t>4.1.3.1.1</w:t>
      </w:r>
      <w:r w:rsidRPr="002C5876">
        <w:tab/>
      </w:r>
      <w:r w:rsidRPr="002C5876">
        <w:rPr>
          <w:spacing w:val="-2"/>
        </w:rPr>
        <w:t>Le système de prélèvement d’hydrocarbures se compose d’une sonde, une conduite, un filtre et une pompe de prélèvement chauffés. L’échantillon doit être prélevé en amont de l’échangeur de chaleur (s’il en existe un). La sonde de prélèvement doit être mise en place à la même distance de l’orifice d’entrée des gaz d’échappement que la sonde de prélèvement pour la mesure des particules et de façon à éviter toute interaction entre prélèvements. Son diamètre intérieur doit être d’au moins 4 mm.</w:t>
      </w:r>
      <w:r w:rsidRPr="002C5876">
        <w:t xml:space="preserve"> </w:t>
      </w:r>
    </w:p>
    <w:p w:rsidR="00E24DB7" w:rsidRPr="002C5876" w:rsidRDefault="00E24DB7" w:rsidP="00E24DB7">
      <w:pPr>
        <w:pStyle w:val="SingleTxtG"/>
        <w:spacing w:line="240" w:lineRule="exact"/>
        <w:ind w:left="2268" w:hanging="1134"/>
      </w:pPr>
      <w:r w:rsidRPr="002C5876">
        <w:t>4.1.3.1.2</w:t>
      </w:r>
      <w:r w:rsidRPr="002C5876">
        <w:tab/>
        <w:t>Tous les éléments chauffés doivent être maintenus par le système de chauffage à une température de 190 °C </w:t>
      </w:r>
      <w:r w:rsidRPr="002C5876">
        <w:sym w:font="Symbol" w:char="F0B1"/>
      </w:r>
      <w:r w:rsidRPr="002C5876">
        <w:t>10 °C.</w:t>
      </w:r>
    </w:p>
    <w:p w:rsidR="00E24DB7" w:rsidRPr="002C5876" w:rsidRDefault="00E24DB7" w:rsidP="00E24DB7">
      <w:pPr>
        <w:pStyle w:val="SingleTxtG"/>
        <w:spacing w:line="240" w:lineRule="exact"/>
        <w:ind w:left="2268" w:hanging="1134"/>
      </w:pPr>
      <w:r w:rsidRPr="002C5876">
        <w:t>4.1.3.1.3</w:t>
      </w:r>
      <w:r w:rsidRPr="002C5876">
        <w:tab/>
        <w:t>La valeur moyenne arithmétique de la concentration des hydrocarbures mesurés est déterminée par intégration des données obtenues seconde après seconde divisées par la durée de la phase ou de l’essai.</w:t>
      </w:r>
    </w:p>
    <w:p w:rsidR="00E24DB7" w:rsidRPr="002C5876" w:rsidRDefault="00E24DB7" w:rsidP="00E24DB7">
      <w:pPr>
        <w:pStyle w:val="SingleTxtG"/>
        <w:spacing w:line="240" w:lineRule="exact"/>
        <w:ind w:left="2268" w:hanging="1134"/>
      </w:pPr>
      <w:r w:rsidRPr="002C5876">
        <w:t>4.1.3.1.4</w:t>
      </w:r>
      <w:r w:rsidRPr="002C5876">
        <w:tab/>
        <w:t>La conduite doit être munie d’un filtre chauffé F</w:t>
      </w:r>
      <w:r w:rsidRPr="002C5876">
        <w:rPr>
          <w:vertAlign w:val="subscript"/>
        </w:rPr>
        <w:t>H</w:t>
      </w:r>
      <w:r w:rsidRPr="002C5876">
        <w:t xml:space="preserve"> retenant 99 % des particules de taille supérieure ou égale à 0,3 μm, de manière à extraire les particules solides du flux continu de gaz utilisé pour l’analyse. </w:t>
      </w:r>
    </w:p>
    <w:p w:rsidR="00E24DB7" w:rsidRPr="002C5876" w:rsidRDefault="00E24DB7" w:rsidP="00E24DB7">
      <w:pPr>
        <w:pStyle w:val="SingleTxtG"/>
        <w:spacing w:line="240" w:lineRule="exact"/>
        <w:ind w:left="2268" w:hanging="1134"/>
      </w:pPr>
      <w:r w:rsidRPr="002C5876">
        <w:lastRenderedPageBreak/>
        <w:t>4.1.3.1.5</w:t>
      </w:r>
      <w:r w:rsidRPr="002C5876">
        <w:tab/>
        <w:t xml:space="preserve">Le temps de réponse du système de prélèvement (de la sonde à l’entrée de l’analyseur) ne doit pas être supérieur à 4 s. </w:t>
      </w:r>
    </w:p>
    <w:p w:rsidR="00E24DB7" w:rsidRPr="002C5876" w:rsidRDefault="00E24DB7" w:rsidP="00E24DB7">
      <w:pPr>
        <w:pStyle w:val="SingleTxtG"/>
        <w:spacing w:line="240" w:lineRule="exact"/>
        <w:ind w:left="2268" w:hanging="1134"/>
      </w:pPr>
      <w:r w:rsidRPr="002C5876">
        <w:t>4.1.3.1.6</w:t>
      </w:r>
      <w:r w:rsidRPr="002C5876">
        <w:tab/>
        <w:t xml:space="preserve">Le détecteur à ionisation de flamme chauffé (HFID) doit être utilisé avec système à débit-masse constant (échangeur de chaleur) pour assurer un prélèvement représentatif, à moins qu’il n’existe un système permettant de compenser les variations de débit volumique des CVS. </w:t>
      </w:r>
    </w:p>
    <w:p w:rsidR="00E24DB7" w:rsidRPr="002C5876" w:rsidRDefault="00E24DB7" w:rsidP="00E24DB7">
      <w:pPr>
        <w:pStyle w:val="SingleTxtG"/>
        <w:keepNext/>
        <w:spacing w:line="240" w:lineRule="exact"/>
        <w:ind w:left="2268" w:hanging="1134"/>
        <w:jc w:val="left"/>
      </w:pPr>
      <w:r w:rsidRPr="002C5876">
        <w:t>4.1.3.2</w:t>
      </w:r>
      <w:r w:rsidRPr="002C5876">
        <w:tab/>
        <w:t>Systèmes de prélèvement de monoxyde d’azote (NO) ou de dioxyde d’azote (NO</w:t>
      </w:r>
      <w:r w:rsidRPr="002C5876">
        <w:rPr>
          <w:vertAlign w:val="subscript"/>
        </w:rPr>
        <w:t>2</w:t>
      </w:r>
      <w:r w:rsidRPr="002C5876">
        <w:t>) (le cas échéant)</w:t>
      </w:r>
    </w:p>
    <w:p w:rsidR="00E24DB7" w:rsidRPr="002C5876" w:rsidRDefault="00E24DB7" w:rsidP="00E24DB7">
      <w:pPr>
        <w:pStyle w:val="SingleTxtG"/>
        <w:spacing w:line="240" w:lineRule="exact"/>
        <w:ind w:left="2268" w:hanging="1134"/>
      </w:pPr>
      <w:r w:rsidRPr="002C5876">
        <w:t>4.1.3.2.1</w:t>
      </w:r>
      <w:r w:rsidRPr="002C5876">
        <w:tab/>
        <w:t>Un flux continu d’échantillon de gaz d’échappement dilués doit être fourni à l’analyseur.</w:t>
      </w:r>
    </w:p>
    <w:p w:rsidR="00E24DB7" w:rsidRPr="002C5876" w:rsidRDefault="00E24DB7" w:rsidP="00E24DB7">
      <w:pPr>
        <w:pStyle w:val="SingleTxtG"/>
        <w:spacing w:line="240" w:lineRule="exact"/>
        <w:ind w:left="2268" w:hanging="1134"/>
      </w:pPr>
      <w:r w:rsidRPr="002C5876">
        <w:t>4.1.3.2.2</w:t>
      </w:r>
      <w:r w:rsidRPr="002C5876">
        <w:tab/>
        <w:t>La valeur moyenne arithmétique de la concentration de NO ou de NO</w:t>
      </w:r>
      <w:r w:rsidRPr="002C5876">
        <w:rPr>
          <w:vertAlign w:val="subscript"/>
        </w:rPr>
        <w:t xml:space="preserve">2 </w:t>
      </w:r>
      <w:r w:rsidRPr="002C5876">
        <w:t>doit être déterminée par intégration des données obtenues seconde après seconde divisées par la durée de la phase ou de l’essai.</w:t>
      </w:r>
    </w:p>
    <w:p w:rsidR="00E24DB7" w:rsidRPr="002C5876" w:rsidRDefault="00E24DB7" w:rsidP="00E24DB7">
      <w:pPr>
        <w:pStyle w:val="SingleTxtG"/>
        <w:spacing w:line="240" w:lineRule="exact"/>
        <w:ind w:left="2268" w:hanging="1134"/>
      </w:pPr>
      <w:r w:rsidRPr="002C5876">
        <w:t>4.1.3.2.3</w:t>
      </w:r>
      <w:r w:rsidRPr="002C5876">
        <w:tab/>
        <w:t>La mesure continue de NO ou de NO</w:t>
      </w:r>
      <w:r w:rsidRPr="002C5876">
        <w:rPr>
          <w:vertAlign w:val="subscript"/>
        </w:rPr>
        <w:t xml:space="preserve">2 </w:t>
      </w:r>
      <w:r w:rsidRPr="002C5876">
        <w:t>doit être effectuée à l’aide d’un système à débit constant (à échangeur de chaleur) de manière à garantir la représentativité du prélèvement, à moins qu’il n’existe un système permettant de compenser les variations de débit volumique des CVS.</w:t>
      </w:r>
      <w:bookmarkStart w:id="64" w:name="_Toc289686204"/>
      <w:r w:rsidRPr="002C5876">
        <w:t xml:space="preserve"> </w:t>
      </w:r>
    </w:p>
    <w:p w:rsidR="00E24DB7" w:rsidRPr="002C5876" w:rsidRDefault="00E24DB7" w:rsidP="00E24DB7">
      <w:pPr>
        <w:pStyle w:val="SingleTxtG"/>
        <w:keepNext/>
        <w:spacing w:line="240" w:lineRule="exact"/>
        <w:ind w:left="2268" w:hanging="1134"/>
        <w:jc w:val="left"/>
      </w:pPr>
      <w:r w:rsidRPr="002C5876">
        <w:t>4.1.4</w:t>
      </w:r>
      <w:r w:rsidRPr="002C5876">
        <w:tab/>
        <w:t>Analyseurs</w:t>
      </w:r>
    </w:p>
    <w:p w:rsidR="00E24DB7" w:rsidRPr="002C5876" w:rsidRDefault="00E24DB7" w:rsidP="00E24DB7">
      <w:pPr>
        <w:pStyle w:val="SingleTxtG"/>
        <w:keepNext/>
        <w:spacing w:line="240" w:lineRule="exact"/>
        <w:ind w:left="2268" w:hanging="1134"/>
        <w:jc w:val="left"/>
      </w:pPr>
      <w:r w:rsidRPr="002C5876">
        <w:t>4.1.4.1</w:t>
      </w:r>
      <w:r w:rsidRPr="002C5876">
        <w:tab/>
        <w:t xml:space="preserve">Prescriptions générales concernant l’analyse des gaz </w:t>
      </w:r>
      <w:bookmarkEnd w:id="64"/>
    </w:p>
    <w:p w:rsidR="00E24DB7" w:rsidRPr="002C5876" w:rsidRDefault="00E24DB7" w:rsidP="00E24DB7">
      <w:pPr>
        <w:pStyle w:val="SingleTxtG"/>
        <w:spacing w:line="240" w:lineRule="exact"/>
        <w:ind w:left="2268" w:hanging="1134"/>
      </w:pPr>
      <w:r w:rsidRPr="002C5876">
        <w:t>4.1.4.1.1</w:t>
      </w:r>
      <w:r w:rsidRPr="002C5876">
        <w:tab/>
        <w:t xml:space="preserve">L’étendue de mesure de l’analyseur doit être compatible avec l’exactitude requise pour la mesure des concentrations de constituants dans les échantillons de gaz d’échappement. </w:t>
      </w:r>
    </w:p>
    <w:p w:rsidR="00E24DB7" w:rsidRPr="002C5876" w:rsidRDefault="00E24DB7" w:rsidP="00E24DB7">
      <w:pPr>
        <w:pStyle w:val="SingleTxtG"/>
        <w:spacing w:line="240" w:lineRule="exact"/>
        <w:ind w:left="2268" w:hanging="1134"/>
      </w:pPr>
      <w:r w:rsidRPr="002C5876">
        <w:t>4.1.4.1.2</w:t>
      </w:r>
      <w:r w:rsidRPr="002C5876">
        <w:tab/>
        <w:t xml:space="preserve">Sauf indication contraire, l’erreur de mesure ne doit pas être supérieure à </w:t>
      </w:r>
      <w:r w:rsidRPr="002C5876">
        <w:sym w:font="Symbol" w:char="F0B1"/>
      </w:r>
      <w:r w:rsidRPr="002C5876">
        <w:t xml:space="preserve">2 % (erreur intrinsèque de l’analyseur), compte non tenu de la vraie valeur des gaz d’étalonnage. </w:t>
      </w:r>
    </w:p>
    <w:p w:rsidR="00E24DB7" w:rsidRPr="002C5876" w:rsidRDefault="00E24DB7" w:rsidP="00E24DB7">
      <w:pPr>
        <w:pStyle w:val="SingleTxtG"/>
        <w:spacing w:line="240" w:lineRule="exact"/>
        <w:ind w:left="2268" w:hanging="1134"/>
      </w:pPr>
      <w:bookmarkStart w:id="65" w:name="_Toc284587124"/>
      <w:bookmarkStart w:id="66" w:name="_Toc284587375"/>
      <w:r w:rsidRPr="002C5876">
        <w:t>4.1.4.1.3</w:t>
      </w:r>
      <w:r w:rsidRPr="002C5876">
        <w:tab/>
        <w:t>L’analyse de l’échantillon d’air ambiant est exécutée à l’aide du même analyseur et sur la même gamme de mesures que celle de l’échantillon correspondant de gaz d’échappement dilués.</w:t>
      </w:r>
      <w:bookmarkEnd w:id="65"/>
      <w:bookmarkEnd w:id="66"/>
      <w:r w:rsidRPr="002C5876">
        <w:t xml:space="preserve"> </w:t>
      </w:r>
    </w:p>
    <w:p w:rsidR="00E24DB7" w:rsidRPr="002C5876" w:rsidRDefault="00E24DB7" w:rsidP="00E24DB7">
      <w:pPr>
        <w:pStyle w:val="SingleTxtG"/>
        <w:spacing w:line="240" w:lineRule="exact"/>
        <w:ind w:left="2268" w:hanging="1134"/>
      </w:pPr>
      <w:bookmarkStart w:id="67" w:name="_Toc284587125"/>
      <w:bookmarkStart w:id="68" w:name="_Toc284587376"/>
      <w:r w:rsidRPr="002C5876">
        <w:t>4.1.4.1.4</w:t>
      </w:r>
      <w:r w:rsidRPr="002C5876">
        <w:tab/>
        <w:t>Aucun dispositif de séchage du gaz ne doit être utilisé en amont des analyseurs, à moins qu’il ne soit démontré qu’il n’a aucun effet sur la teneur en constituants du flux de gaz.</w:t>
      </w:r>
      <w:bookmarkEnd w:id="67"/>
      <w:bookmarkEnd w:id="68"/>
      <w:r w:rsidRPr="002C5876">
        <w:t xml:space="preserve"> </w:t>
      </w:r>
    </w:p>
    <w:p w:rsidR="00E24DB7" w:rsidRPr="002C5876" w:rsidRDefault="00E24DB7" w:rsidP="00E24DB7">
      <w:pPr>
        <w:pStyle w:val="SingleTxtG"/>
        <w:keepNext/>
        <w:spacing w:line="240" w:lineRule="exact"/>
        <w:ind w:left="2268" w:hanging="1134"/>
        <w:jc w:val="left"/>
      </w:pPr>
      <w:bookmarkStart w:id="69" w:name="_Toc284587117"/>
      <w:bookmarkStart w:id="70" w:name="_Toc284587368"/>
      <w:r w:rsidRPr="002C5876">
        <w:t>4.1.4.2</w:t>
      </w:r>
      <w:r w:rsidRPr="002C5876">
        <w:tab/>
        <w:t>Analyse du monoxyde de carbone (CO) et du dioxyde de carbone (CO</w:t>
      </w:r>
      <w:r w:rsidRPr="002C5876">
        <w:rPr>
          <w:vertAlign w:val="subscript"/>
        </w:rPr>
        <w:t>2</w:t>
      </w:r>
      <w:r w:rsidRPr="002C5876">
        <w:t xml:space="preserve">) </w:t>
      </w:r>
      <w:bookmarkEnd w:id="69"/>
      <w:bookmarkEnd w:id="70"/>
    </w:p>
    <w:p w:rsidR="00E24DB7" w:rsidRPr="002C5876" w:rsidRDefault="00E24DB7" w:rsidP="00E24DB7">
      <w:pPr>
        <w:pStyle w:val="SingleTxtG"/>
        <w:spacing w:line="240" w:lineRule="exact"/>
        <w:ind w:left="2268"/>
      </w:pPr>
      <w:r w:rsidRPr="002C5876">
        <w:tab/>
        <w:t xml:space="preserve">Les analyseurs doivent être du type non dispersif à absorption dans l’infrarouge. </w:t>
      </w:r>
    </w:p>
    <w:p w:rsidR="00E24DB7" w:rsidRPr="002C5876" w:rsidRDefault="00E24DB7" w:rsidP="00E24DB7">
      <w:pPr>
        <w:pStyle w:val="SingleTxtG"/>
        <w:keepNext/>
        <w:spacing w:line="240" w:lineRule="exact"/>
        <w:ind w:left="2268" w:hanging="1134"/>
        <w:jc w:val="left"/>
      </w:pPr>
      <w:bookmarkStart w:id="71" w:name="_Toc284587118"/>
      <w:bookmarkStart w:id="72" w:name="_Toc284587369"/>
      <w:r w:rsidRPr="002C5876">
        <w:t>4.1.4.3</w:t>
      </w:r>
      <w:r w:rsidRPr="002C5876">
        <w:tab/>
      </w:r>
      <w:bookmarkEnd w:id="71"/>
      <w:bookmarkEnd w:id="72"/>
      <w:r w:rsidRPr="002C5876">
        <w:t xml:space="preserve">Analyse des hydrocarbures (HC) pour tous les carburants autres que le gazole </w:t>
      </w:r>
    </w:p>
    <w:p w:rsidR="00E24DB7" w:rsidRPr="002C5876" w:rsidRDefault="00E24DB7" w:rsidP="00E24DB7">
      <w:pPr>
        <w:pStyle w:val="SingleTxtG"/>
        <w:spacing w:line="240" w:lineRule="exact"/>
        <w:ind w:left="2268"/>
      </w:pPr>
      <w:r w:rsidRPr="002C5876">
        <w:tab/>
        <w:t>L’analyseur doit être du type détecteur à ionisation de flamme (FID) étalonné au propane exprimé en équivalent d’atomes de carbone (C</w:t>
      </w:r>
      <w:r w:rsidRPr="002C5876">
        <w:rPr>
          <w:vertAlign w:val="subscript"/>
        </w:rPr>
        <w:t>1</w:t>
      </w:r>
      <w:r w:rsidRPr="002C5876">
        <w:t>).</w:t>
      </w:r>
    </w:p>
    <w:p w:rsidR="00E24DB7" w:rsidRPr="002C5876" w:rsidRDefault="00E24DB7" w:rsidP="00E24DB7">
      <w:pPr>
        <w:pStyle w:val="SingleTxtG"/>
        <w:keepNext/>
        <w:spacing w:line="240" w:lineRule="exact"/>
        <w:ind w:left="2268" w:hanging="1134"/>
        <w:jc w:val="left"/>
      </w:pPr>
      <w:bookmarkStart w:id="73" w:name="_Toc284587119"/>
      <w:bookmarkStart w:id="74" w:name="_Toc284587370"/>
      <w:r w:rsidRPr="002C5876">
        <w:t>4.1.4.4</w:t>
      </w:r>
      <w:r w:rsidRPr="002C5876">
        <w:tab/>
        <w:t xml:space="preserve">Analyse des hydrocarbures (HC) </w:t>
      </w:r>
      <w:bookmarkEnd w:id="73"/>
      <w:bookmarkEnd w:id="74"/>
      <w:r w:rsidRPr="002C5876">
        <w:t>pour le gazole et facultativement</w:t>
      </w:r>
      <w:r w:rsidRPr="002C5876">
        <w:br/>
        <w:t xml:space="preserve">pour les autres carburants </w:t>
      </w:r>
    </w:p>
    <w:p w:rsidR="00E24DB7" w:rsidRPr="002C5876" w:rsidRDefault="00E24DB7" w:rsidP="00E24DB7">
      <w:pPr>
        <w:pStyle w:val="SingleTxtG"/>
        <w:spacing w:line="240" w:lineRule="exact"/>
        <w:ind w:left="2268"/>
      </w:pPr>
      <w:r w:rsidRPr="002C5876">
        <w:tab/>
        <w:t xml:space="preserve">L’analyseur doit être du type détecteur à ionisation de flamme chauffé, dans lequel le détecteur, les vannes, les tuyauteries, etc., sont chauffés à 190 °C </w:t>
      </w:r>
      <w:r w:rsidRPr="002C5876">
        <w:rPr>
          <w:szCs w:val="24"/>
        </w:rPr>
        <w:sym w:font="Symbol" w:char="F0B1"/>
      </w:r>
      <w:r w:rsidRPr="002C5876">
        <w:rPr>
          <w:szCs w:val="24"/>
        </w:rPr>
        <w:t>10 °C</w:t>
      </w:r>
      <w:r w:rsidRPr="002C5876">
        <w:t>. Il est étalonné au propane exprimé en équivalent d’atomes de carbone (C</w:t>
      </w:r>
      <w:r w:rsidRPr="002C5876">
        <w:rPr>
          <w:vertAlign w:val="subscript"/>
        </w:rPr>
        <w:t>1</w:t>
      </w:r>
      <w:r w:rsidRPr="002C5876">
        <w:t xml:space="preserve">). </w:t>
      </w:r>
    </w:p>
    <w:p w:rsidR="00E24DB7" w:rsidRPr="002C5876" w:rsidRDefault="00E24DB7" w:rsidP="00E24DB7">
      <w:pPr>
        <w:pStyle w:val="SingleTxtG"/>
        <w:keepNext/>
        <w:spacing w:line="240" w:lineRule="exact"/>
        <w:ind w:left="2268" w:hanging="1134"/>
        <w:jc w:val="left"/>
      </w:pPr>
      <w:r w:rsidRPr="002C5876">
        <w:t>4.1.4.5</w:t>
      </w:r>
      <w:r w:rsidRPr="002C5876">
        <w:tab/>
        <w:t>Analyse du méthane (CH</w:t>
      </w:r>
      <w:r w:rsidRPr="002C5876">
        <w:rPr>
          <w:vertAlign w:val="subscript"/>
        </w:rPr>
        <w:t>4</w:t>
      </w:r>
      <w:r w:rsidRPr="002C5876">
        <w:t xml:space="preserve">) </w:t>
      </w:r>
    </w:p>
    <w:p w:rsidR="00E24DB7" w:rsidRPr="002C5876" w:rsidRDefault="00E24DB7" w:rsidP="00E24DB7">
      <w:pPr>
        <w:pStyle w:val="SingleTxtG"/>
        <w:spacing w:line="240" w:lineRule="exact"/>
        <w:ind w:left="2268"/>
      </w:pPr>
      <w:r w:rsidRPr="002C5876">
        <w:tab/>
        <w:t>L’analyseur doit être soit un chromatographe gazeux couplé à un détecteur à ionisation de flamme (FID), soit un détecteur à ionisation de flamme couplé à un convertisseur d’hydrocarbures non méthaniques (NMC-FID), et doit être étalonné au méthane ou au propane exprimé en équivalent atomes de carbone (C</w:t>
      </w:r>
      <w:r w:rsidRPr="002C5876">
        <w:rPr>
          <w:vertAlign w:val="subscript"/>
        </w:rPr>
        <w:t>1</w:t>
      </w:r>
      <w:r w:rsidRPr="002C5876">
        <w:t xml:space="preserve">). </w:t>
      </w:r>
    </w:p>
    <w:p w:rsidR="00E24DB7" w:rsidRPr="002C5876" w:rsidRDefault="00E24DB7" w:rsidP="00E24DB7">
      <w:pPr>
        <w:pStyle w:val="SingleTxtG"/>
        <w:keepNext/>
        <w:spacing w:line="240" w:lineRule="exact"/>
        <w:ind w:left="2268" w:hanging="1134"/>
        <w:jc w:val="left"/>
      </w:pPr>
      <w:bookmarkStart w:id="75" w:name="_Toc284587120"/>
      <w:bookmarkStart w:id="76" w:name="_Toc284587371"/>
      <w:r w:rsidRPr="002C5876">
        <w:lastRenderedPageBreak/>
        <w:t>4.1.4.6</w:t>
      </w:r>
      <w:r w:rsidRPr="002C5876">
        <w:tab/>
        <w:t>Analyse des oxydes d’azote (NO</w:t>
      </w:r>
      <w:r w:rsidRPr="002C5876">
        <w:rPr>
          <w:vertAlign w:val="subscript"/>
        </w:rPr>
        <w:t>x</w:t>
      </w:r>
      <w:r w:rsidRPr="002C5876">
        <w:t xml:space="preserve">) </w:t>
      </w:r>
      <w:bookmarkEnd w:id="75"/>
      <w:bookmarkEnd w:id="76"/>
    </w:p>
    <w:p w:rsidR="00E24DB7" w:rsidRPr="002C5876" w:rsidRDefault="00E24DB7" w:rsidP="00E24DB7">
      <w:pPr>
        <w:pStyle w:val="SingleTxtG"/>
        <w:spacing w:line="240" w:lineRule="exact"/>
        <w:ind w:left="2268"/>
      </w:pPr>
      <w:r w:rsidRPr="002C5876">
        <w:tab/>
        <w:t xml:space="preserve">L’analyseur doit être soit du type détecteur à chimiluminescence à absorption (CLA) soit du type analyseur non dispersif à absorption de résonance dans l’ultraviolet (NDUV). </w:t>
      </w:r>
    </w:p>
    <w:p w:rsidR="00E24DB7" w:rsidRPr="002C5876" w:rsidRDefault="00E24DB7" w:rsidP="00E24DB7">
      <w:pPr>
        <w:pStyle w:val="SingleTxtG"/>
        <w:keepNext/>
        <w:spacing w:line="240" w:lineRule="exact"/>
        <w:ind w:left="2268" w:hanging="1134"/>
        <w:jc w:val="left"/>
      </w:pPr>
      <w:r w:rsidRPr="002C5876">
        <w:t>4.1.4.7</w:t>
      </w:r>
      <w:r w:rsidRPr="002C5876">
        <w:tab/>
        <w:t>Analyse du monoxyde d’azote (NO) (le cas échéant)</w:t>
      </w:r>
    </w:p>
    <w:p w:rsidR="00E24DB7" w:rsidRPr="002C5876" w:rsidRDefault="00E24DB7" w:rsidP="00E24DB7">
      <w:pPr>
        <w:pStyle w:val="SingleTxtG"/>
        <w:spacing w:line="240" w:lineRule="exact"/>
        <w:ind w:left="2268"/>
      </w:pPr>
      <w:r w:rsidRPr="002C5876">
        <w:tab/>
        <w:t>L’analyseur doit être soit du type détecteur à chimiluminescence (CLA) soit du type analyseur non dispersif à absorption de résonance dans l’ultraviolet (NDUV).</w:t>
      </w:r>
    </w:p>
    <w:p w:rsidR="00E24DB7" w:rsidRPr="002C5876" w:rsidRDefault="00E24DB7" w:rsidP="00E24DB7">
      <w:pPr>
        <w:pStyle w:val="SingleTxtG"/>
        <w:keepNext/>
        <w:spacing w:line="240" w:lineRule="exact"/>
        <w:ind w:left="2268" w:hanging="1134"/>
        <w:jc w:val="left"/>
      </w:pPr>
      <w:bookmarkStart w:id="77" w:name="OLE_LINK23"/>
      <w:bookmarkStart w:id="78" w:name="OLE_LINK24"/>
      <w:r w:rsidRPr="002C5876">
        <w:t>4.1.4.8</w:t>
      </w:r>
      <w:r w:rsidRPr="002C5876">
        <w:tab/>
        <w:t>Analyse du dioxyde d’azote (NO</w:t>
      </w:r>
      <w:r w:rsidRPr="002C5876">
        <w:rPr>
          <w:vertAlign w:val="subscript"/>
        </w:rPr>
        <w:t>2</w:t>
      </w:r>
      <w:r w:rsidRPr="002C5876">
        <w:t>) (le cas échéant)</w:t>
      </w:r>
    </w:p>
    <w:p w:rsidR="00E24DB7" w:rsidRPr="002C5876" w:rsidRDefault="00E24DB7" w:rsidP="00E24DB7">
      <w:pPr>
        <w:pStyle w:val="SingleTxtG"/>
        <w:keepNext/>
        <w:spacing w:line="240" w:lineRule="exact"/>
        <w:ind w:left="2268" w:hanging="1134"/>
        <w:jc w:val="left"/>
      </w:pPr>
      <w:r w:rsidRPr="002C5876">
        <w:t>4.1.4.8.1</w:t>
      </w:r>
      <w:r w:rsidRPr="002C5876">
        <w:tab/>
        <w:t>Mesure du NO à partir de gaz d’échappement dilués de manière continue</w:t>
      </w:r>
    </w:p>
    <w:p w:rsidR="00E24DB7" w:rsidRPr="002C5876" w:rsidRDefault="00E24DB7" w:rsidP="00E24DB7">
      <w:pPr>
        <w:pStyle w:val="SingleTxtG"/>
        <w:spacing w:line="240" w:lineRule="exact"/>
        <w:ind w:left="2268" w:hanging="1134"/>
      </w:pPr>
      <w:r w:rsidRPr="002C5876">
        <w:t>4.1.4.8.1.1</w:t>
      </w:r>
      <w:r w:rsidRPr="002C5876">
        <w:tab/>
        <w:t xml:space="preserve">Un analyseur du type par chimiluminescence (ACL) peut être utilisé pour mesurer en continu la concentration de NO dans les gaz d’échappement dilués. </w:t>
      </w:r>
    </w:p>
    <w:p w:rsidR="00E24DB7" w:rsidRPr="002C5876" w:rsidRDefault="00E24DB7" w:rsidP="00E24DB7">
      <w:pPr>
        <w:pStyle w:val="SingleTxtG"/>
        <w:spacing w:line="240" w:lineRule="exact"/>
        <w:ind w:left="2268" w:hanging="1134"/>
      </w:pPr>
      <w:r w:rsidRPr="002C5876">
        <w:t>4.1.4.8.1.2</w:t>
      </w:r>
      <w:r w:rsidRPr="002C5876">
        <w:tab/>
        <w:t>L’analyseur à chimiluminescence (ACL) doit être étalonné (mis à zéro/étalonné) en mode NO d’après la concentration de NO certifiée dans la bouteille contenant le gaz d’étalonnage, sans faire fonctionner le convertisseur de NO</w:t>
      </w:r>
      <w:r w:rsidRPr="002C5876">
        <w:rPr>
          <w:vertAlign w:val="subscript"/>
        </w:rPr>
        <w:t>x</w:t>
      </w:r>
      <w:r w:rsidRPr="002C5876">
        <w:t xml:space="preserve"> (s’il en existe un)</w:t>
      </w:r>
      <w:r w:rsidRPr="002C5876">
        <w:rPr>
          <w:spacing w:val="-4"/>
        </w:rPr>
        <w:t>.</w:t>
      </w:r>
      <w:r w:rsidRPr="002C5876">
        <w:t xml:space="preserve"> </w:t>
      </w:r>
    </w:p>
    <w:p w:rsidR="00E24DB7" w:rsidRPr="002C5876" w:rsidRDefault="00E24DB7" w:rsidP="00E24DB7">
      <w:pPr>
        <w:pStyle w:val="SingleTxtG"/>
        <w:spacing w:line="240" w:lineRule="exact"/>
        <w:ind w:left="2268" w:hanging="1134"/>
      </w:pPr>
      <w:r w:rsidRPr="002C5876">
        <w:t>4.1.4.8.1.3</w:t>
      </w:r>
      <w:r w:rsidRPr="002C5876">
        <w:tab/>
        <w:t>La concentration de NO</w:t>
      </w:r>
      <w:r w:rsidRPr="002C5876">
        <w:rPr>
          <w:vertAlign w:val="subscript"/>
        </w:rPr>
        <w:t>2</w:t>
      </w:r>
      <w:r w:rsidRPr="002C5876">
        <w:t xml:space="preserve"> doit être déterminée en soustrayant la concentration de NO de la concentration de NO</w:t>
      </w:r>
      <w:r w:rsidRPr="002C5876">
        <w:rPr>
          <w:vertAlign w:val="subscript"/>
        </w:rPr>
        <w:t>x</w:t>
      </w:r>
      <w:r w:rsidRPr="002C5876">
        <w:t xml:space="preserve"> dans les sacs de collecte du système de prélèvement.</w:t>
      </w:r>
    </w:p>
    <w:p w:rsidR="00E24DB7" w:rsidRPr="002C5876" w:rsidRDefault="00E24DB7" w:rsidP="00E24DB7">
      <w:pPr>
        <w:pStyle w:val="SingleTxtG"/>
        <w:keepNext/>
        <w:spacing w:line="240" w:lineRule="exact"/>
        <w:ind w:left="2268" w:hanging="1134"/>
        <w:jc w:val="left"/>
      </w:pPr>
      <w:r w:rsidRPr="002C5876">
        <w:t>4.1.4.8.2</w:t>
      </w:r>
      <w:r w:rsidRPr="002C5876">
        <w:tab/>
        <w:t>Mesure du NO</w:t>
      </w:r>
      <w:r w:rsidRPr="002C5876">
        <w:rPr>
          <w:vertAlign w:val="subscript"/>
        </w:rPr>
        <w:t>2</w:t>
      </w:r>
      <w:r w:rsidRPr="002C5876">
        <w:t xml:space="preserve"> à partir d’échantillon dilués en continu</w:t>
      </w:r>
    </w:p>
    <w:p w:rsidR="00E24DB7" w:rsidRPr="002C5876" w:rsidRDefault="00E24DB7" w:rsidP="00E24DB7">
      <w:pPr>
        <w:pStyle w:val="SingleTxtG"/>
        <w:spacing w:line="240" w:lineRule="exact"/>
        <w:ind w:left="2268" w:hanging="1134"/>
      </w:pPr>
      <w:r w:rsidRPr="002C5876">
        <w:t>4.1.4.8.2.1</w:t>
      </w:r>
      <w:r w:rsidRPr="002C5876">
        <w:tab/>
        <w:t>Un analyseur de NO</w:t>
      </w:r>
      <w:r w:rsidRPr="002C5876">
        <w:rPr>
          <w:vertAlign w:val="subscript"/>
        </w:rPr>
        <w:t>2</w:t>
      </w:r>
      <w:r w:rsidRPr="002C5876">
        <w:t xml:space="preserve"> spécifique (analyseur de gaz dans l’ultraviolet non dispersif ou laser à cascade quantique à source infrarouge) peut être utilisé pour mesurer en continu la concentration de NO</w:t>
      </w:r>
      <w:r w:rsidRPr="002C5876">
        <w:rPr>
          <w:vertAlign w:val="subscript"/>
        </w:rPr>
        <w:t>2</w:t>
      </w:r>
      <w:r w:rsidRPr="002C5876">
        <w:t xml:space="preserve"> dans les gaz d’échappement dilués.</w:t>
      </w:r>
    </w:p>
    <w:p w:rsidR="00E24DB7" w:rsidRPr="002C5876" w:rsidRDefault="00E24DB7" w:rsidP="00E24DB7">
      <w:pPr>
        <w:pStyle w:val="SingleTxtG"/>
        <w:spacing w:line="240" w:lineRule="exact"/>
        <w:ind w:left="2268" w:hanging="1134"/>
      </w:pPr>
      <w:r w:rsidRPr="002C5876">
        <w:t>4.1.4.8.2.2</w:t>
      </w:r>
      <w:r w:rsidRPr="002C5876">
        <w:tab/>
        <w:t>L’analyseur doit être étalonné (mis à zéro/étalonné) en mode NO</w:t>
      </w:r>
      <w:r w:rsidRPr="002C5876">
        <w:rPr>
          <w:vertAlign w:val="subscript"/>
        </w:rPr>
        <w:t>2</w:t>
      </w:r>
      <w:r w:rsidRPr="002C5876">
        <w:t xml:space="preserve"> d’après la concentration de NO</w:t>
      </w:r>
      <w:r w:rsidRPr="002C5876">
        <w:rPr>
          <w:vertAlign w:val="subscript"/>
        </w:rPr>
        <w:t>2</w:t>
      </w:r>
      <w:r w:rsidRPr="002C5876">
        <w:t xml:space="preserve"> certifiée dans la bouteille contenant le gaz d’étalonnage.</w:t>
      </w:r>
    </w:p>
    <w:p w:rsidR="00E24DB7" w:rsidRPr="002C5876" w:rsidRDefault="00E24DB7" w:rsidP="00E24DB7">
      <w:pPr>
        <w:pStyle w:val="SingleTxtG"/>
        <w:keepNext/>
        <w:spacing w:line="240" w:lineRule="exact"/>
        <w:ind w:left="2268" w:hanging="1134"/>
        <w:jc w:val="left"/>
      </w:pPr>
      <w:r w:rsidRPr="002C5876">
        <w:t>4.1.4.9</w:t>
      </w:r>
      <w:r w:rsidRPr="002C5876">
        <w:tab/>
        <w:t>Analyse du protoxyde d’azote (N</w:t>
      </w:r>
      <w:r w:rsidRPr="002C5876">
        <w:rPr>
          <w:vertAlign w:val="subscript"/>
        </w:rPr>
        <w:t>2</w:t>
      </w:r>
      <w:r w:rsidRPr="002C5876">
        <w:t>O) à l’aide d’un chromatographe en phase gazeuse couplé à un détecteur à capture d’électrons (le cas échéant)</w:t>
      </w:r>
    </w:p>
    <w:p w:rsidR="00E24DB7" w:rsidRPr="002C5876" w:rsidRDefault="00E24DB7" w:rsidP="00E24DB7">
      <w:pPr>
        <w:pStyle w:val="SingleTxtG"/>
        <w:spacing w:line="240" w:lineRule="exact"/>
        <w:ind w:left="2268"/>
      </w:pPr>
      <w:r w:rsidRPr="002C5876">
        <w:tab/>
        <w:t>Un chromatographe en phase gazeuse couplé à un détecteur à capture d’électrons (CG-ECD) peut être utilisé pour mesurer les concentrations de N</w:t>
      </w:r>
      <w:r w:rsidRPr="002C5876">
        <w:rPr>
          <w:vertAlign w:val="subscript"/>
        </w:rPr>
        <w:t>2</w:t>
      </w:r>
      <w:r w:rsidRPr="002C5876">
        <w:t>O dans les gaz d’échappement dilués par prélèvement par lots de sacs de gaz d’échappement et d’air ambiant. Se reporter au paragraphe 7.2 de la présente annexe.</w:t>
      </w:r>
    </w:p>
    <w:bookmarkEnd w:id="77"/>
    <w:bookmarkEnd w:id="78"/>
    <w:p w:rsidR="00E24DB7" w:rsidRPr="002C5876" w:rsidRDefault="00E24DB7" w:rsidP="00E24DB7">
      <w:pPr>
        <w:pStyle w:val="SingleTxtG"/>
        <w:keepNext/>
        <w:spacing w:line="240" w:lineRule="exact"/>
        <w:ind w:left="2268" w:hanging="1134"/>
        <w:jc w:val="left"/>
      </w:pPr>
      <w:r w:rsidRPr="002C5876">
        <w:t>4.1.4.10</w:t>
      </w:r>
      <w:r w:rsidRPr="002C5876">
        <w:tab/>
        <w:t>Analyse du protoxyde d’azote (N</w:t>
      </w:r>
      <w:r w:rsidRPr="002C5876">
        <w:rPr>
          <w:vertAlign w:val="subscript"/>
        </w:rPr>
        <w:t>2</w:t>
      </w:r>
      <w:r w:rsidRPr="002C5876">
        <w:t>O) à l’aide d’un appareil à spectrométrie d’absorption infrarouge (le cas échéant)</w:t>
      </w:r>
    </w:p>
    <w:p w:rsidR="00E24DB7" w:rsidRPr="002C5876" w:rsidRDefault="00E24DB7" w:rsidP="00E24DB7">
      <w:pPr>
        <w:pStyle w:val="SingleTxtG"/>
        <w:spacing w:line="240" w:lineRule="exact"/>
        <w:ind w:left="2268"/>
      </w:pPr>
      <w:r w:rsidRPr="002C5876">
        <w:tab/>
        <w:t>L’analyseur doit être un spectromètre laser infrarouge de la catégorie des analyseurs infrarouge haute résolution à bande étroite à modulation de phase (par exemple, laser à cascade quantique). Il est également possible d’utiliser un analyseur non dispersif dans l’infrarouge (NDIR) ou un analyseur infrarouge à transformée de Fourier (FTIR), mais il conviendra de tenir compte de l’interférence due à l’eau, au CO et au CO</w:t>
      </w:r>
      <w:r w:rsidRPr="002C5876">
        <w:rPr>
          <w:vertAlign w:val="subscript"/>
        </w:rPr>
        <w:t>2</w:t>
      </w:r>
      <w:r w:rsidRPr="002C5876">
        <w:t xml:space="preserve">. </w:t>
      </w:r>
    </w:p>
    <w:p w:rsidR="00E24DB7" w:rsidRPr="002C5876" w:rsidRDefault="00E24DB7" w:rsidP="00E24DB7">
      <w:pPr>
        <w:pStyle w:val="SingleTxtG"/>
        <w:spacing w:line="240" w:lineRule="exact"/>
        <w:ind w:left="2268" w:hanging="1134"/>
      </w:pPr>
      <w:r w:rsidRPr="002C5876">
        <w:t>4.1.4.10.1</w:t>
      </w:r>
      <w:r w:rsidRPr="002C5876">
        <w:tab/>
        <w:t>Si l’analyseur réagit à une interférence due à des composés présents dans l’échantillon, cette interférence doit être corrigée. L’ensemble des interférences doit rester dans les limites de 0,0 </w:t>
      </w:r>
      <w:r w:rsidRPr="002C5876">
        <w:sym w:font="Symbol" w:char="F0B1"/>
      </w:r>
      <w:r w:rsidRPr="002C5876">
        <w:t>0,1 ppm.</w:t>
      </w:r>
    </w:p>
    <w:p w:rsidR="00E24DB7" w:rsidRPr="002C5876" w:rsidRDefault="00E24DB7" w:rsidP="00E24DB7">
      <w:pPr>
        <w:pStyle w:val="SingleTxtG"/>
        <w:keepNext/>
        <w:spacing w:line="240" w:lineRule="exact"/>
        <w:ind w:left="2268" w:hanging="1134"/>
        <w:jc w:val="left"/>
      </w:pPr>
      <w:bookmarkStart w:id="79" w:name="_Toc284586965"/>
      <w:bookmarkStart w:id="80" w:name="_Toc284587126"/>
      <w:bookmarkStart w:id="81" w:name="_Toc284587377"/>
      <w:bookmarkStart w:id="82" w:name="_Toc289686205"/>
      <w:r w:rsidRPr="002C5876">
        <w:lastRenderedPageBreak/>
        <w:t>4.1.4.11</w:t>
      </w:r>
      <w:r w:rsidRPr="002C5876">
        <w:tab/>
        <w:t>Analyse de l’hydrogène (H</w:t>
      </w:r>
      <w:r w:rsidRPr="002C5876">
        <w:rPr>
          <w:vertAlign w:val="subscript"/>
        </w:rPr>
        <w:t>2</w:t>
      </w:r>
      <w:r w:rsidRPr="002C5876">
        <w:t>) (le cas échéant).</w:t>
      </w:r>
    </w:p>
    <w:p w:rsidR="00E24DB7" w:rsidRPr="002C5876" w:rsidRDefault="00E24DB7" w:rsidP="00E24DB7">
      <w:pPr>
        <w:pStyle w:val="SingleTxtG"/>
        <w:keepNext/>
        <w:spacing w:line="240" w:lineRule="exact"/>
        <w:ind w:left="2268"/>
        <w:jc w:val="left"/>
      </w:pPr>
      <w:r w:rsidRPr="002C5876">
        <w:t>L’analyseur doit être un spectromètre de masse à secteur.</w:t>
      </w:r>
    </w:p>
    <w:p w:rsidR="00E24DB7" w:rsidRPr="002C5876" w:rsidRDefault="00E24DB7" w:rsidP="00E24DB7">
      <w:pPr>
        <w:pStyle w:val="SingleTxtG"/>
        <w:keepNext/>
        <w:spacing w:line="240" w:lineRule="exact"/>
        <w:ind w:left="2268" w:hanging="1134"/>
        <w:jc w:val="left"/>
      </w:pPr>
      <w:r w:rsidRPr="002C5876">
        <w:t>4.1.5</w:t>
      </w:r>
      <w:r w:rsidRPr="002C5876">
        <w:tab/>
      </w:r>
      <w:bookmarkEnd w:id="79"/>
      <w:bookmarkEnd w:id="80"/>
      <w:bookmarkEnd w:id="81"/>
      <w:bookmarkEnd w:id="82"/>
      <w:r w:rsidRPr="002C5876">
        <w:t>Description du système recommandé</w:t>
      </w:r>
    </w:p>
    <w:p w:rsidR="00E24DB7" w:rsidRPr="002C5876" w:rsidRDefault="00E24DB7" w:rsidP="00E24DB7">
      <w:pPr>
        <w:pStyle w:val="SingleTxtG"/>
        <w:keepNext/>
        <w:spacing w:line="240" w:lineRule="exact"/>
        <w:ind w:left="2268" w:hanging="1134"/>
        <w:jc w:val="left"/>
      </w:pPr>
      <w:r w:rsidRPr="002C5876">
        <w:t>4.1.5.1</w:t>
      </w:r>
      <w:r w:rsidRPr="002C5876">
        <w:tab/>
        <w:t>La figure A5/9 est un schéma de principe du système de prélèvement des émissions gazeuses.</w:t>
      </w:r>
    </w:p>
    <w:p w:rsidR="00E24DB7" w:rsidRPr="002C5876" w:rsidRDefault="00E24DB7" w:rsidP="00E24DB7">
      <w:pPr>
        <w:pStyle w:val="H23G"/>
      </w:pPr>
      <w:r w:rsidRPr="002C5876">
        <w:tab/>
      </w:r>
      <w:r w:rsidRPr="002C5876">
        <w:tab/>
      </w:r>
      <w:r w:rsidRPr="002C5876">
        <w:rPr>
          <w:b w:val="0"/>
        </w:rPr>
        <w:t>Figure A5/9</w:t>
      </w:r>
      <w:r w:rsidRPr="002C5876">
        <w:t xml:space="preserve"> </w:t>
      </w:r>
      <w:r w:rsidRPr="002C5876">
        <w:br/>
        <w:t>Schéma de principe d’un système de dilution en circuit principal</w:t>
      </w:r>
    </w:p>
    <w:p w:rsidR="00E24DB7" w:rsidRPr="002C5876" w:rsidRDefault="00E24DB7" w:rsidP="00E24DB7">
      <w:pPr>
        <w:ind w:left="1134"/>
      </w:pPr>
      <w:r w:rsidRPr="002C5876">
        <w:rPr>
          <w:noProof/>
          <w:lang w:val="en-GB" w:eastAsia="zh-CN"/>
        </w:rPr>
        <mc:AlternateContent>
          <mc:Choice Requires="wpc">
            <w:drawing>
              <wp:inline distT="0" distB="0" distL="0" distR="0" wp14:anchorId="7A950D17" wp14:editId="43243586">
                <wp:extent cx="5332021" cy="2919110"/>
                <wp:effectExtent l="0" t="0" r="2540" b="0"/>
                <wp:docPr id="63" name="Zeichenbereich 137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7" name="Line 236"/>
                        <wps:cNvCnPr/>
                        <wps:spPr bwMode="auto">
                          <a:xfrm>
                            <a:off x="548902" y="2140817"/>
                            <a:ext cx="437203"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78" name="Line 237"/>
                        <wps:cNvCnPr/>
                        <wps:spPr bwMode="auto">
                          <a:xfrm>
                            <a:off x="548902" y="2205418"/>
                            <a:ext cx="437203"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79" name="Line 238"/>
                        <wps:cNvCnPr/>
                        <wps:spPr bwMode="auto">
                          <a:xfrm flipV="1">
                            <a:off x="986105" y="2205418"/>
                            <a:ext cx="0" cy="72001"/>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0" name="Line 239"/>
                        <wps:cNvCnPr/>
                        <wps:spPr bwMode="auto">
                          <a:xfrm>
                            <a:off x="1265207" y="2105017"/>
                            <a:ext cx="3011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1" name="Line 240"/>
                        <wps:cNvCnPr/>
                        <wps:spPr bwMode="auto">
                          <a:xfrm>
                            <a:off x="1265207" y="2241118"/>
                            <a:ext cx="3011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2" name="Line 241"/>
                        <wps:cNvCnPr/>
                        <wps:spPr bwMode="auto">
                          <a:xfrm>
                            <a:off x="1265207" y="2241118"/>
                            <a:ext cx="0" cy="363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3" name="Line 242"/>
                        <wps:cNvCnPr/>
                        <wps:spPr bwMode="auto">
                          <a:xfrm>
                            <a:off x="986105" y="2277419"/>
                            <a:ext cx="2791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4" name="Rectangle 243"/>
                        <wps:cNvSpPr>
                          <a:spLocks noChangeArrowheads="1"/>
                        </wps:cNvSpPr>
                        <wps:spPr bwMode="auto">
                          <a:xfrm>
                            <a:off x="842604" y="590005"/>
                            <a:ext cx="573403" cy="445104"/>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Line 245"/>
                        <wps:cNvCnPr/>
                        <wps:spPr bwMode="auto">
                          <a:xfrm flipV="1">
                            <a:off x="986005" y="1315111"/>
                            <a:ext cx="0" cy="82550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6" name="Line 246"/>
                        <wps:cNvCnPr/>
                        <wps:spPr bwMode="auto">
                          <a:xfrm flipH="1" flipV="1">
                            <a:off x="1265007" y="1315111"/>
                            <a:ext cx="0" cy="789706"/>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7" name="Line 249"/>
                        <wps:cNvCnPr/>
                        <wps:spPr bwMode="auto">
                          <a:xfrm flipV="1">
                            <a:off x="1265207" y="1035108"/>
                            <a:ext cx="150801" cy="28010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8" name="Line 250"/>
                        <wps:cNvCnPr/>
                        <wps:spPr bwMode="auto">
                          <a:xfrm flipH="1" flipV="1">
                            <a:off x="842604" y="1035108"/>
                            <a:ext cx="143501" cy="28010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9" name="Line 251"/>
                        <wps:cNvCnPr/>
                        <wps:spPr bwMode="auto">
                          <a:xfrm>
                            <a:off x="1687909" y="2284019"/>
                            <a:ext cx="840305" cy="9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0" name="Line 252"/>
                        <wps:cNvCnPr/>
                        <wps:spPr bwMode="auto">
                          <a:xfrm>
                            <a:off x="1688109" y="2061817"/>
                            <a:ext cx="83970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1" name="Line 253"/>
                        <wps:cNvCnPr/>
                        <wps:spPr bwMode="auto">
                          <a:xfrm>
                            <a:off x="1566308" y="2241118"/>
                            <a:ext cx="121901"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2" name="Line 254"/>
                        <wps:cNvCnPr/>
                        <wps:spPr bwMode="auto">
                          <a:xfrm flipV="1">
                            <a:off x="1566308" y="2061917"/>
                            <a:ext cx="121901"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3" name="Line 255"/>
                        <wps:cNvCnPr/>
                        <wps:spPr bwMode="auto">
                          <a:xfrm flipH="1">
                            <a:off x="2520114" y="2241118"/>
                            <a:ext cx="129201"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4" name="Line 256"/>
                        <wps:cNvCnPr/>
                        <wps:spPr bwMode="auto">
                          <a:xfrm flipH="1" flipV="1">
                            <a:off x="2520114" y="2061917"/>
                            <a:ext cx="129201"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5" name="Line 257"/>
                        <wps:cNvCnPr/>
                        <wps:spPr bwMode="auto">
                          <a:xfrm>
                            <a:off x="2649315" y="2241118"/>
                            <a:ext cx="164501"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6" name="Line 258"/>
                        <wps:cNvCnPr/>
                        <wps:spPr bwMode="auto">
                          <a:xfrm>
                            <a:off x="2649315" y="2105017"/>
                            <a:ext cx="164501"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7" name="Line 259"/>
                        <wps:cNvCnPr/>
                        <wps:spPr bwMode="auto">
                          <a:xfrm flipH="1">
                            <a:off x="3108118" y="2241118"/>
                            <a:ext cx="2938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8" name="Line 260"/>
                        <wps:cNvCnPr/>
                        <wps:spPr bwMode="auto">
                          <a:xfrm flipH="1">
                            <a:off x="3108118" y="2105017"/>
                            <a:ext cx="2938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9" name="Line 261"/>
                        <wps:cNvCnPr/>
                        <wps:spPr bwMode="auto">
                          <a:xfrm>
                            <a:off x="2813816" y="2284219"/>
                            <a:ext cx="2943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00" name="Line 262"/>
                        <wps:cNvCnPr/>
                        <wps:spPr bwMode="auto">
                          <a:xfrm>
                            <a:off x="2813816" y="2061917"/>
                            <a:ext cx="2943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01" name="Line 263"/>
                        <wps:cNvCnPr/>
                        <wps:spPr bwMode="auto">
                          <a:xfrm>
                            <a:off x="2813816" y="2241118"/>
                            <a:ext cx="0"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02" name="Line 264"/>
                        <wps:cNvCnPr/>
                        <wps:spPr bwMode="auto">
                          <a:xfrm flipV="1">
                            <a:off x="2813816" y="2061917"/>
                            <a:ext cx="0"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03" name="Line 265"/>
                        <wps:cNvCnPr/>
                        <wps:spPr bwMode="auto">
                          <a:xfrm>
                            <a:off x="3108118" y="2241118"/>
                            <a:ext cx="0"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04" name="Line 266"/>
                        <wps:cNvCnPr/>
                        <wps:spPr bwMode="auto">
                          <a:xfrm flipV="1">
                            <a:off x="3108118" y="2061917"/>
                            <a:ext cx="0"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05" name="Line 267"/>
                        <wps:cNvCnPr/>
                        <wps:spPr bwMode="auto">
                          <a:xfrm>
                            <a:off x="4568627" y="2176518"/>
                            <a:ext cx="258102" cy="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06" name="Freeform 268"/>
                        <wps:cNvSpPr>
                          <a:spLocks/>
                        </wps:cNvSpPr>
                        <wps:spPr bwMode="auto">
                          <a:xfrm>
                            <a:off x="2048911" y="2212818"/>
                            <a:ext cx="72000" cy="351503"/>
                          </a:xfrm>
                          <a:custGeom>
                            <a:avLst/>
                            <a:gdLst>
                              <a:gd name="T0" fmla="*/ 0 w 10"/>
                              <a:gd name="T1" fmla="*/ 0 h 49"/>
                              <a:gd name="T2" fmla="*/ 71998 w 10"/>
                              <a:gd name="T3" fmla="*/ 0 h 49"/>
                              <a:gd name="T4" fmla="*/ 71998 w 10"/>
                              <a:gd name="T5" fmla="*/ 351565 h 49"/>
                              <a:gd name="T6" fmla="*/ 0 60000 65536"/>
                              <a:gd name="T7" fmla="*/ 0 60000 65536"/>
                              <a:gd name="T8" fmla="*/ 0 60000 65536"/>
                            </a:gdLst>
                            <a:ahLst/>
                            <a:cxnLst>
                              <a:cxn ang="T6">
                                <a:pos x="T0" y="T1"/>
                              </a:cxn>
                              <a:cxn ang="T7">
                                <a:pos x="T2" y="T3"/>
                              </a:cxn>
                              <a:cxn ang="T8">
                                <a:pos x="T4" y="T5"/>
                              </a:cxn>
                            </a:cxnLst>
                            <a:rect l="0" t="0" r="r" b="b"/>
                            <a:pathLst>
                              <a:path w="10" h="49">
                                <a:moveTo>
                                  <a:pt x="0" y="0"/>
                                </a:moveTo>
                                <a:lnTo>
                                  <a:pt x="10" y="0"/>
                                </a:lnTo>
                                <a:lnTo>
                                  <a:pt x="10" y="49"/>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269"/>
                        <wps:cNvSpPr>
                          <a:spLocks/>
                        </wps:cNvSpPr>
                        <wps:spPr bwMode="auto">
                          <a:xfrm>
                            <a:off x="2041911" y="1781814"/>
                            <a:ext cx="72000" cy="359003"/>
                          </a:xfrm>
                          <a:custGeom>
                            <a:avLst/>
                            <a:gdLst>
                              <a:gd name="T0" fmla="*/ 0 w 10"/>
                              <a:gd name="T1" fmla="*/ 358922 h 50"/>
                              <a:gd name="T2" fmla="*/ 71998 w 10"/>
                              <a:gd name="T3" fmla="*/ 358922 h 50"/>
                              <a:gd name="T4" fmla="*/ 71998 w 10"/>
                              <a:gd name="T5" fmla="*/ 0 h 50"/>
                              <a:gd name="T6" fmla="*/ 0 60000 65536"/>
                              <a:gd name="T7" fmla="*/ 0 60000 65536"/>
                              <a:gd name="T8" fmla="*/ 0 60000 65536"/>
                            </a:gdLst>
                            <a:ahLst/>
                            <a:cxnLst>
                              <a:cxn ang="T6">
                                <a:pos x="T0" y="T1"/>
                              </a:cxn>
                              <a:cxn ang="T7">
                                <a:pos x="T2" y="T3"/>
                              </a:cxn>
                              <a:cxn ang="T8">
                                <a:pos x="T4" y="T5"/>
                              </a:cxn>
                            </a:cxnLst>
                            <a:rect l="0" t="0" r="r" b="b"/>
                            <a:pathLst>
                              <a:path w="10" h="50">
                                <a:moveTo>
                                  <a:pt x="0" y="50"/>
                                </a:moveTo>
                                <a:lnTo>
                                  <a:pt x="10" y="50"/>
                                </a:lnTo>
                                <a:lnTo>
                                  <a:pt x="10" y="0"/>
                                </a:lnTo>
                              </a:path>
                            </a:pathLst>
                          </a:custGeom>
                          <a:noFill/>
                          <a:ln w="3175">
                            <a:solidFill>
                              <a:srgbClr val="24211D"/>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Rectangle 270"/>
                        <wps:cNvSpPr>
                          <a:spLocks noChangeArrowheads="1"/>
                        </wps:cNvSpPr>
                        <wps:spPr bwMode="auto">
                          <a:xfrm>
                            <a:off x="2900016" y="2133417"/>
                            <a:ext cx="129301" cy="79401"/>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Rectangle 271"/>
                        <wps:cNvSpPr>
                          <a:spLocks noChangeArrowheads="1"/>
                        </wps:cNvSpPr>
                        <wps:spPr bwMode="auto">
                          <a:xfrm>
                            <a:off x="3400420" y="2032217"/>
                            <a:ext cx="911806" cy="311103"/>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Line 272"/>
                        <wps:cNvCnPr/>
                        <wps:spPr bwMode="auto">
                          <a:xfrm>
                            <a:off x="4322825" y="2140717"/>
                            <a:ext cx="2938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11" name="Line 274"/>
                        <wps:cNvCnPr/>
                        <wps:spPr bwMode="auto">
                          <a:xfrm>
                            <a:off x="233500" y="2176518"/>
                            <a:ext cx="258102" cy="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12" name="Freeform 275"/>
                        <wps:cNvSpPr>
                          <a:spLocks/>
                        </wps:cNvSpPr>
                        <wps:spPr bwMode="auto">
                          <a:xfrm>
                            <a:off x="1128806" y="875807"/>
                            <a:ext cx="702704" cy="510604"/>
                          </a:xfrm>
                          <a:custGeom>
                            <a:avLst/>
                            <a:gdLst>
                              <a:gd name="T0" fmla="*/ 0 w 59"/>
                              <a:gd name="T1" fmla="*/ 510651 h 59"/>
                              <a:gd name="T2" fmla="*/ 702664 w 59"/>
                              <a:gd name="T3" fmla="*/ 510651 h 59"/>
                              <a:gd name="T4" fmla="*/ 702664 w 59"/>
                              <a:gd name="T5" fmla="*/ 0 h 59"/>
                              <a:gd name="T6" fmla="*/ 0 60000 65536"/>
                              <a:gd name="T7" fmla="*/ 0 60000 65536"/>
                              <a:gd name="T8" fmla="*/ 0 60000 65536"/>
                            </a:gdLst>
                            <a:ahLst/>
                            <a:cxnLst>
                              <a:cxn ang="T6">
                                <a:pos x="T0" y="T1"/>
                              </a:cxn>
                              <a:cxn ang="T7">
                                <a:pos x="T2" y="T3"/>
                              </a:cxn>
                              <a:cxn ang="T8">
                                <a:pos x="T4" y="T5"/>
                              </a:cxn>
                            </a:cxnLst>
                            <a:rect l="0" t="0" r="r" b="b"/>
                            <a:pathLst>
                              <a:path w="59" h="59">
                                <a:moveTo>
                                  <a:pt x="0" y="59"/>
                                </a:moveTo>
                                <a:lnTo>
                                  <a:pt x="59" y="59"/>
                                </a:lnTo>
                                <a:lnTo>
                                  <a:pt x="59" y="0"/>
                                </a:lnTo>
                              </a:path>
                            </a:pathLst>
                          </a:custGeom>
                          <a:noFill/>
                          <a:ln w="3175">
                            <a:solidFill>
                              <a:srgbClr val="24211D"/>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278"/>
                        <wps:cNvSpPr>
                          <a:spLocks/>
                        </wps:cNvSpPr>
                        <wps:spPr bwMode="auto">
                          <a:xfrm>
                            <a:off x="3251119" y="2241118"/>
                            <a:ext cx="429903" cy="423603"/>
                          </a:xfrm>
                          <a:custGeom>
                            <a:avLst/>
                            <a:gdLst>
                              <a:gd name="T0" fmla="*/ 0 w 60"/>
                              <a:gd name="T1" fmla="*/ 0 h 59"/>
                              <a:gd name="T2" fmla="*/ 0 w 60"/>
                              <a:gd name="T3" fmla="*/ 423560 h 59"/>
                              <a:gd name="T4" fmla="*/ 429885 w 60"/>
                              <a:gd name="T5" fmla="*/ 423560 h 59"/>
                              <a:gd name="T6" fmla="*/ 0 60000 65536"/>
                              <a:gd name="T7" fmla="*/ 0 60000 65536"/>
                              <a:gd name="T8" fmla="*/ 0 60000 65536"/>
                            </a:gdLst>
                            <a:ahLst/>
                            <a:cxnLst>
                              <a:cxn ang="T6">
                                <a:pos x="T0" y="T1"/>
                              </a:cxn>
                              <a:cxn ang="T7">
                                <a:pos x="T2" y="T3"/>
                              </a:cxn>
                              <a:cxn ang="T8">
                                <a:pos x="T4" y="T5"/>
                              </a:cxn>
                            </a:cxnLst>
                            <a:rect l="0" t="0" r="r" b="b"/>
                            <a:pathLst>
                              <a:path w="60" h="59">
                                <a:moveTo>
                                  <a:pt x="0" y="0"/>
                                </a:moveTo>
                                <a:lnTo>
                                  <a:pt x="0" y="59"/>
                                </a:lnTo>
                                <a:lnTo>
                                  <a:pt x="60" y="59"/>
                                </a:lnTo>
                              </a:path>
                            </a:pathLst>
                          </a:custGeom>
                          <a:noFill/>
                          <a:ln w="3175">
                            <a:solidFill>
                              <a:srgbClr val="24211D"/>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Rectangle 301"/>
                        <wps:cNvSpPr>
                          <a:spLocks noChangeArrowheads="1"/>
                        </wps:cNvSpPr>
                        <wps:spPr bwMode="auto">
                          <a:xfrm>
                            <a:off x="872607" y="656450"/>
                            <a:ext cx="516103" cy="339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F39" w:rsidRPr="00003E63" w:rsidRDefault="00D53F39" w:rsidP="00E24DB7">
                              <w:pPr>
                                <w:spacing w:line="240" w:lineRule="auto"/>
                                <w:jc w:val="center"/>
                                <w:rPr>
                                  <w:rFonts w:ascii="Arial" w:hAnsi="Arial" w:cs="Arial"/>
                                  <w:sz w:val="16"/>
                                  <w:szCs w:val="16"/>
                                </w:rPr>
                              </w:pPr>
                              <w:r w:rsidRPr="00003E63">
                                <w:rPr>
                                  <w:sz w:val="16"/>
                                  <w:szCs w:val="16"/>
                                </w:rPr>
                                <w:t>Filtrage de l’air de dilution</w:t>
                              </w:r>
                            </w:p>
                          </w:txbxContent>
                        </wps:txbx>
                        <wps:bodyPr rot="0" vert="horz" wrap="square" lIns="0" tIns="0" rIns="0" bIns="0" anchor="t" anchorCtr="0" upright="1">
                          <a:noAutofit/>
                        </wps:bodyPr>
                      </wps:wsp>
                      <wps:wsp>
                        <wps:cNvPr id="115" name="Rectangle 302"/>
                        <wps:cNvSpPr>
                          <a:spLocks noChangeArrowheads="1"/>
                        </wps:cNvSpPr>
                        <wps:spPr bwMode="auto">
                          <a:xfrm>
                            <a:off x="1565548" y="374647"/>
                            <a:ext cx="1752418" cy="457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F39" w:rsidRPr="00003E63" w:rsidRDefault="00D53F39" w:rsidP="00E24DB7">
                              <w:pPr>
                                <w:spacing w:line="240" w:lineRule="auto"/>
                                <w:rPr>
                                  <w:rFonts w:ascii="Arial" w:hAnsi="Arial" w:cs="Arial"/>
                                  <w:color w:val="24211D"/>
                                  <w:sz w:val="16"/>
                                  <w:szCs w:val="16"/>
                                </w:rPr>
                              </w:pPr>
                              <w:r w:rsidRPr="00003E63">
                                <w:rPr>
                                  <w:sz w:val="16"/>
                                  <w:szCs w:val="16"/>
                                </w:rPr>
                                <w:t>Prélèvement d’air de dilution vers :</w:t>
                              </w:r>
                            </w:p>
                            <w:p w:rsidR="00D53F39" w:rsidRPr="00003E63" w:rsidRDefault="00D53F39" w:rsidP="00E24DB7">
                              <w:pPr>
                                <w:spacing w:line="240" w:lineRule="auto"/>
                                <w:rPr>
                                  <w:rFonts w:ascii="Arial" w:hAnsi="Arial" w:cs="Arial"/>
                                  <w:color w:val="24211D"/>
                                  <w:sz w:val="16"/>
                                  <w:szCs w:val="16"/>
                                </w:rPr>
                              </w:pPr>
                              <w:r w:rsidRPr="00003E63">
                                <w:rPr>
                                  <w:rFonts w:ascii="Arial" w:hAnsi="Arial" w:cs="Arial"/>
                                  <w:color w:val="24211D"/>
                                  <w:sz w:val="16"/>
                                  <w:szCs w:val="16"/>
                                </w:rPr>
                                <w:t>- S</w:t>
                              </w:r>
                              <w:r w:rsidRPr="00003E63">
                                <w:rPr>
                                  <w:sz w:val="16"/>
                                  <w:szCs w:val="16"/>
                                </w:rPr>
                                <w:t>acs CVS</w:t>
                              </w:r>
                            </w:p>
                            <w:p w:rsidR="00D53F39" w:rsidRPr="00003E63" w:rsidRDefault="00D53F39" w:rsidP="00E24DB7">
                              <w:pPr>
                                <w:spacing w:line="240" w:lineRule="auto"/>
                                <w:rPr>
                                  <w:rFonts w:ascii="Arial" w:hAnsi="Arial" w:cs="Arial"/>
                                  <w:sz w:val="16"/>
                                  <w:szCs w:val="16"/>
                                </w:rPr>
                              </w:pPr>
                              <w:r w:rsidRPr="00003E63">
                                <w:rPr>
                                  <w:rFonts w:ascii="Arial" w:hAnsi="Arial" w:cs="Arial"/>
                                  <w:sz w:val="16"/>
                                  <w:szCs w:val="16"/>
                                </w:rPr>
                                <w:t>- P</w:t>
                              </w:r>
                              <w:r w:rsidRPr="00003E63">
                                <w:rPr>
                                  <w:sz w:val="16"/>
                                  <w:szCs w:val="16"/>
                                </w:rPr>
                                <w:t>rélèvement de particules (facultatif)</w:t>
                              </w:r>
                            </w:p>
                            <w:p w:rsidR="00D53F39" w:rsidRPr="00003E63" w:rsidRDefault="00D53F39" w:rsidP="00E24DB7">
                              <w:pPr>
                                <w:spacing w:line="240" w:lineRule="auto"/>
                                <w:rPr>
                                  <w:rFonts w:ascii="Arial" w:hAnsi="Arial" w:cs="Arial"/>
                                  <w:sz w:val="16"/>
                                  <w:szCs w:val="16"/>
                                </w:rPr>
                              </w:pPr>
                              <w:r w:rsidRPr="00003E63">
                                <w:rPr>
                                  <w:rFonts w:ascii="Arial" w:hAnsi="Arial" w:cs="Arial"/>
                                  <w:sz w:val="16"/>
                                  <w:szCs w:val="16"/>
                                </w:rPr>
                                <w:t>- A</w:t>
                              </w:r>
                              <w:r w:rsidRPr="00003E63">
                                <w:rPr>
                                  <w:sz w:val="16"/>
                                  <w:szCs w:val="16"/>
                                </w:rPr>
                                <w:t>utres dispositifs</w:t>
                              </w:r>
                            </w:p>
                          </w:txbxContent>
                        </wps:txbx>
                        <wps:bodyPr rot="0" vert="horz" wrap="square" lIns="0" tIns="0" rIns="0" bIns="0" anchor="t" anchorCtr="0" upright="1">
                          <a:noAutofit/>
                        </wps:bodyPr>
                      </wps:wsp>
                      <wps:wsp>
                        <wps:cNvPr id="117" name="Rectangle 304"/>
                        <wps:cNvSpPr>
                          <a:spLocks noChangeArrowheads="1"/>
                        </wps:cNvSpPr>
                        <wps:spPr bwMode="auto">
                          <a:xfrm>
                            <a:off x="190460" y="2226696"/>
                            <a:ext cx="687364" cy="249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F39" w:rsidRPr="00451D84" w:rsidRDefault="00D53F39" w:rsidP="00E24DB7">
                              <w:pPr>
                                <w:spacing w:before="40" w:line="240" w:lineRule="auto"/>
                                <w:jc w:val="center"/>
                                <w:rPr>
                                  <w:sz w:val="16"/>
                                  <w:szCs w:val="16"/>
                                </w:rPr>
                              </w:pPr>
                              <w:r w:rsidRPr="00451D84">
                                <w:rPr>
                                  <w:sz w:val="16"/>
                                  <w:szCs w:val="16"/>
                                </w:rPr>
                                <w:t>Échappement</w:t>
                              </w:r>
                              <w:r w:rsidRPr="00451D84">
                                <w:rPr>
                                  <w:sz w:val="16"/>
                                  <w:szCs w:val="16"/>
                                </w:rPr>
                                <w:br/>
                                <w:t>du véhicule</w:t>
                              </w:r>
                            </w:p>
                          </w:txbxContent>
                        </wps:txbx>
                        <wps:bodyPr rot="0" vert="horz" wrap="square" lIns="0" tIns="0" rIns="0" bIns="0" anchor="t" anchorCtr="0" upright="1">
                          <a:noAutofit/>
                        </wps:bodyPr>
                      </wps:wsp>
                      <wps:wsp>
                        <wps:cNvPr id="118" name="Rectangle 307"/>
                        <wps:cNvSpPr>
                          <a:spLocks noChangeArrowheads="1"/>
                        </wps:cNvSpPr>
                        <wps:spPr bwMode="auto">
                          <a:xfrm>
                            <a:off x="1311374" y="1850185"/>
                            <a:ext cx="794359" cy="19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F39" w:rsidRPr="00003E63" w:rsidRDefault="00D53F39" w:rsidP="00E24DB7">
                              <w:pPr>
                                <w:spacing w:before="60" w:line="240" w:lineRule="auto"/>
                                <w:jc w:val="center"/>
                                <w:rPr>
                                  <w:sz w:val="16"/>
                                  <w:szCs w:val="16"/>
                                </w:rPr>
                              </w:pPr>
                              <w:r w:rsidRPr="00003E63">
                                <w:rPr>
                                  <w:sz w:val="16"/>
                                  <w:szCs w:val="16"/>
                                </w:rPr>
                                <w:t>Tunnel de dilution</w:t>
                              </w:r>
                            </w:p>
                          </w:txbxContent>
                        </wps:txbx>
                        <wps:bodyPr rot="0" vert="horz" wrap="square" lIns="0" tIns="0" rIns="0" bIns="0" anchor="t" anchorCtr="0" upright="1">
                          <a:noAutofit/>
                        </wps:bodyPr>
                      </wps:wsp>
                      <wps:wsp>
                        <wps:cNvPr id="119" name="Rectangle 308"/>
                        <wps:cNvSpPr>
                          <a:spLocks noChangeArrowheads="1"/>
                        </wps:cNvSpPr>
                        <wps:spPr bwMode="auto">
                          <a:xfrm>
                            <a:off x="1971511" y="1574113"/>
                            <a:ext cx="293702" cy="21690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53F39" w:rsidRPr="00003E63" w:rsidRDefault="00D53F39" w:rsidP="00E24DB7">
                              <w:pPr>
                                <w:jc w:val="center"/>
                                <w:rPr>
                                  <w:sz w:val="16"/>
                                  <w:szCs w:val="16"/>
                                </w:rPr>
                              </w:pPr>
                              <w:r w:rsidRPr="00003E63">
                                <w:rPr>
                                  <w:sz w:val="16"/>
                                  <w:szCs w:val="16"/>
                                  <w:lang w:val="en-US"/>
                                </w:rPr>
                                <w:t>HFID</w:t>
                              </w:r>
                            </w:p>
                          </w:txbxContent>
                        </wps:txbx>
                        <wps:bodyPr rot="0" vert="horz" wrap="square" lIns="0" tIns="0" rIns="0" bIns="0" anchor="t" anchorCtr="0" upright="1">
                          <a:noAutofit/>
                        </wps:bodyPr>
                      </wps:wsp>
                      <wps:wsp>
                        <wps:cNvPr id="120" name="Rectangle 310"/>
                        <wps:cNvSpPr>
                          <a:spLocks noChangeArrowheads="1"/>
                        </wps:cNvSpPr>
                        <wps:spPr bwMode="auto">
                          <a:xfrm>
                            <a:off x="2612965" y="2297847"/>
                            <a:ext cx="593373" cy="453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F39" w:rsidRPr="00451D84" w:rsidRDefault="00D53F39" w:rsidP="00E24DB7">
                              <w:pPr>
                                <w:spacing w:line="240" w:lineRule="auto"/>
                                <w:jc w:val="center"/>
                                <w:rPr>
                                  <w:rFonts w:ascii="Arial" w:hAnsi="Arial" w:cs="Arial"/>
                                  <w:sz w:val="16"/>
                                  <w:szCs w:val="16"/>
                                </w:rPr>
                              </w:pPr>
                              <w:r w:rsidRPr="00451D84">
                                <w:rPr>
                                  <w:sz w:val="16"/>
                                  <w:szCs w:val="16"/>
                                </w:rPr>
                                <w:t xml:space="preserve">Échange </w:t>
                              </w:r>
                              <w:r>
                                <w:rPr>
                                  <w:sz w:val="16"/>
                                  <w:szCs w:val="16"/>
                                </w:rPr>
                                <w:br/>
                              </w:r>
                              <w:r w:rsidRPr="00451D84">
                                <w:rPr>
                                  <w:sz w:val="16"/>
                                  <w:szCs w:val="16"/>
                                </w:rPr>
                                <w:t>de chaleur (facultatif)</w:t>
                              </w:r>
                            </w:p>
                          </w:txbxContent>
                        </wps:txbx>
                        <wps:bodyPr rot="0" vert="horz" wrap="square" lIns="0" tIns="0" rIns="0" bIns="0" anchor="t" anchorCtr="0" upright="1">
                          <a:noAutofit/>
                        </wps:bodyPr>
                      </wps:wsp>
                      <wps:wsp>
                        <wps:cNvPr id="121" name="Rectangle 311"/>
                        <wps:cNvSpPr>
                          <a:spLocks noChangeArrowheads="1"/>
                        </wps:cNvSpPr>
                        <wps:spPr bwMode="auto">
                          <a:xfrm>
                            <a:off x="4799055" y="2032333"/>
                            <a:ext cx="532405" cy="318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F39" w:rsidRPr="00003E63" w:rsidRDefault="00D53F39" w:rsidP="00E24DB7">
                              <w:pPr>
                                <w:spacing w:before="60" w:line="240" w:lineRule="auto"/>
                                <w:rPr>
                                  <w:sz w:val="16"/>
                                  <w:szCs w:val="16"/>
                                </w:rPr>
                              </w:pPr>
                              <w:r w:rsidRPr="00003E63">
                                <w:rPr>
                                  <w:sz w:val="16"/>
                                  <w:szCs w:val="16"/>
                                </w:rPr>
                                <w:t>vers l’atmosphère</w:t>
                              </w:r>
                            </w:p>
                          </w:txbxContent>
                        </wps:txbx>
                        <wps:bodyPr rot="0" vert="horz" wrap="square" lIns="0" tIns="0" rIns="0" bIns="0" anchor="t" anchorCtr="0" upright="1">
                          <a:noAutofit/>
                        </wps:bodyPr>
                      </wps:wsp>
                      <wps:wsp>
                        <wps:cNvPr id="122" name="Rectangle 312"/>
                        <wps:cNvSpPr>
                          <a:spLocks noChangeArrowheads="1"/>
                        </wps:cNvSpPr>
                        <wps:spPr bwMode="auto">
                          <a:xfrm>
                            <a:off x="3732143" y="2563782"/>
                            <a:ext cx="1519126" cy="25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F39" w:rsidRPr="00451D84" w:rsidRDefault="00D53F39" w:rsidP="00E24DB7">
                              <w:pPr>
                                <w:spacing w:line="240" w:lineRule="auto"/>
                                <w:rPr>
                                  <w:rFonts w:ascii="Arial" w:hAnsi="Arial" w:cs="Arial"/>
                                  <w:color w:val="24211D"/>
                                  <w:sz w:val="16"/>
                                  <w:szCs w:val="16"/>
                                </w:rPr>
                              </w:pPr>
                              <w:r w:rsidRPr="00451D84">
                                <w:rPr>
                                  <w:rFonts w:ascii="Arial" w:hAnsi="Arial" w:cs="Arial"/>
                                  <w:color w:val="24211D"/>
                                  <w:sz w:val="16"/>
                                  <w:szCs w:val="16"/>
                                </w:rPr>
                                <w:t xml:space="preserve">- </w:t>
                              </w:r>
                              <w:r w:rsidRPr="00451D84">
                                <w:rPr>
                                  <w:sz w:val="16"/>
                                  <w:szCs w:val="16"/>
                                </w:rPr>
                                <w:t>Prélèvement sacs CVS</w:t>
                              </w:r>
                            </w:p>
                            <w:p w:rsidR="00D53F39" w:rsidRPr="00451D84" w:rsidRDefault="00D53F39" w:rsidP="00E24DB7">
                              <w:pPr>
                                <w:spacing w:line="240" w:lineRule="auto"/>
                                <w:rPr>
                                  <w:rFonts w:ascii="Arial" w:hAnsi="Arial" w:cs="Arial"/>
                                  <w:sz w:val="16"/>
                                  <w:szCs w:val="16"/>
                                </w:rPr>
                              </w:pPr>
                              <w:r w:rsidRPr="00451D84">
                                <w:rPr>
                                  <w:rFonts w:ascii="Arial" w:hAnsi="Arial" w:cs="Arial"/>
                                  <w:color w:val="24211D"/>
                                  <w:sz w:val="16"/>
                                  <w:szCs w:val="16"/>
                                </w:rPr>
                                <w:t>- A</w:t>
                              </w:r>
                              <w:r w:rsidRPr="00451D84">
                                <w:rPr>
                                  <w:sz w:val="16"/>
                                  <w:szCs w:val="16"/>
                                </w:rPr>
                                <w:t>utres systèmes de prélèvements</w:t>
                              </w:r>
                            </w:p>
                          </w:txbxContent>
                        </wps:txbx>
                        <wps:bodyPr rot="0" vert="horz" wrap="square" lIns="0" tIns="0" rIns="0" bIns="0" anchor="t" anchorCtr="0" upright="1">
                          <a:noAutofit/>
                        </wps:bodyPr>
                      </wps:wsp>
                      <wps:wsp>
                        <wps:cNvPr id="123" name="Rectangle 313"/>
                        <wps:cNvSpPr>
                          <a:spLocks noChangeArrowheads="1"/>
                        </wps:cNvSpPr>
                        <wps:spPr bwMode="auto">
                          <a:xfrm>
                            <a:off x="1057494" y="2032407"/>
                            <a:ext cx="186090" cy="183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F39" w:rsidRPr="00451D84" w:rsidRDefault="00D53F39" w:rsidP="00E24DB7">
                              <w:pPr>
                                <w:rPr>
                                  <w:sz w:val="16"/>
                                  <w:szCs w:val="16"/>
                                </w:rPr>
                              </w:pPr>
                              <w:r w:rsidRPr="00451D84">
                                <w:rPr>
                                  <w:sz w:val="16"/>
                                  <w:szCs w:val="16"/>
                                </w:rPr>
                                <w:t>MC</w:t>
                              </w:r>
                            </w:p>
                          </w:txbxContent>
                        </wps:txbx>
                        <wps:bodyPr rot="0" vert="horz" wrap="square" lIns="0" tIns="0" rIns="0" bIns="0" anchor="t" anchorCtr="0" upright="1">
                          <a:noAutofit/>
                        </wps:bodyPr>
                      </wps:wsp>
                      <wps:wsp>
                        <wps:cNvPr id="124" name="Rectangle 314"/>
                        <wps:cNvSpPr>
                          <a:spLocks noChangeArrowheads="1"/>
                        </wps:cNvSpPr>
                        <wps:spPr bwMode="auto">
                          <a:xfrm>
                            <a:off x="3399772" y="2042648"/>
                            <a:ext cx="957998" cy="30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F39" w:rsidRPr="00003E63" w:rsidRDefault="00D53F39" w:rsidP="00E24DB7">
                              <w:pPr>
                                <w:spacing w:line="220" w:lineRule="atLeast"/>
                                <w:jc w:val="center"/>
                                <w:rPr>
                                  <w:sz w:val="16"/>
                                  <w:szCs w:val="16"/>
                                </w:rPr>
                              </w:pPr>
                              <w:r w:rsidRPr="00003E63">
                                <w:rPr>
                                  <w:sz w:val="16"/>
                                  <w:szCs w:val="16"/>
                                </w:rPr>
                                <w:t>Débitmètre et dispositif d’aspiration</w:t>
                              </w:r>
                            </w:p>
                          </w:txbxContent>
                        </wps:txbx>
                        <wps:bodyPr rot="0" vert="horz" wrap="square" lIns="0" tIns="0" rIns="0" bIns="0" anchor="t" anchorCtr="0" upright="1">
                          <a:noAutofit/>
                        </wps:bodyPr>
                      </wps:wsp>
                      <wps:wsp>
                        <wps:cNvPr id="125" name="Rectangle 303"/>
                        <wps:cNvSpPr>
                          <a:spLocks noChangeArrowheads="1"/>
                        </wps:cNvSpPr>
                        <wps:spPr bwMode="auto">
                          <a:xfrm>
                            <a:off x="1005899" y="2393607"/>
                            <a:ext cx="629571" cy="267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F39" w:rsidRPr="00451D84" w:rsidRDefault="00D53F39" w:rsidP="00E24DB7">
                              <w:pPr>
                                <w:spacing w:before="60" w:line="240" w:lineRule="auto"/>
                                <w:jc w:val="center"/>
                                <w:rPr>
                                  <w:sz w:val="16"/>
                                  <w:szCs w:val="16"/>
                                </w:rPr>
                              </w:pPr>
                              <w:r w:rsidRPr="00451D84">
                                <w:rPr>
                                  <w:sz w:val="16"/>
                                  <w:szCs w:val="16"/>
                                </w:rPr>
                                <w:t xml:space="preserve">Dispositif </w:t>
                              </w:r>
                              <w:r w:rsidRPr="00451D84">
                                <w:rPr>
                                  <w:sz w:val="16"/>
                                  <w:szCs w:val="16"/>
                                </w:rPr>
                                <w:br/>
                                <w:t>de mélange</w:t>
                              </w:r>
                            </w:p>
                          </w:txbxContent>
                        </wps:txbx>
                        <wps:bodyPr rot="0" vert="horz" wrap="square" lIns="0" tIns="0" rIns="0" bIns="0" anchor="t" anchorCtr="0" upright="1">
                          <a:noAutofit/>
                        </wps:bodyPr>
                      </wps:wsp>
                      <wps:wsp>
                        <wps:cNvPr id="126" name="Line 276"/>
                        <wps:cNvCnPr/>
                        <wps:spPr bwMode="auto">
                          <a:xfrm>
                            <a:off x="1119606" y="145601"/>
                            <a:ext cx="0" cy="444504"/>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27" name="Rectangle 302"/>
                        <wps:cNvSpPr>
                          <a:spLocks noChangeArrowheads="1"/>
                        </wps:cNvSpPr>
                        <wps:spPr bwMode="auto">
                          <a:xfrm>
                            <a:off x="804587" y="0"/>
                            <a:ext cx="642778" cy="193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F39" w:rsidRPr="00003E63" w:rsidRDefault="00D53F39" w:rsidP="00E24DB7">
                              <w:pPr>
                                <w:spacing w:before="60"/>
                                <w:rPr>
                                  <w:sz w:val="16"/>
                                  <w:szCs w:val="16"/>
                                </w:rPr>
                              </w:pPr>
                              <w:r w:rsidRPr="00003E63">
                                <w:rPr>
                                  <w:sz w:val="16"/>
                                  <w:szCs w:val="16"/>
                                </w:rPr>
                                <w:t>Air de dilution</w:t>
                              </w:r>
                            </w:p>
                          </w:txbxContent>
                        </wps:txbx>
                        <wps:bodyPr rot="0" vert="horz" wrap="square" lIns="0" tIns="0" rIns="0" bIns="0" anchor="t" anchorCtr="0" upright="1">
                          <a:noAutofit/>
                        </wps:bodyPr>
                      </wps:wsp>
                      <wps:wsp>
                        <wps:cNvPr id="129" name="Freeform 268"/>
                        <wps:cNvSpPr>
                          <a:spLocks/>
                        </wps:cNvSpPr>
                        <wps:spPr bwMode="auto">
                          <a:xfrm>
                            <a:off x="2356113" y="2218618"/>
                            <a:ext cx="71700" cy="351103"/>
                          </a:xfrm>
                          <a:custGeom>
                            <a:avLst/>
                            <a:gdLst>
                              <a:gd name="T0" fmla="*/ 0 w 10"/>
                              <a:gd name="T1" fmla="*/ 0 h 49"/>
                              <a:gd name="T2" fmla="*/ 71755 w 10"/>
                              <a:gd name="T3" fmla="*/ 0 h 49"/>
                              <a:gd name="T4" fmla="*/ 71755 w 10"/>
                              <a:gd name="T5" fmla="*/ 351155 h 49"/>
                              <a:gd name="T6" fmla="*/ 0 60000 65536"/>
                              <a:gd name="T7" fmla="*/ 0 60000 65536"/>
                              <a:gd name="T8" fmla="*/ 0 60000 65536"/>
                              <a:gd name="T9" fmla="*/ 0 w 10"/>
                              <a:gd name="T10" fmla="*/ 0 h 49"/>
                              <a:gd name="T11" fmla="*/ 10 w 10"/>
                              <a:gd name="T12" fmla="*/ 49 h 49"/>
                            </a:gdLst>
                            <a:ahLst/>
                            <a:cxnLst>
                              <a:cxn ang="T6">
                                <a:pos x="T0" y="T1"/>
                              </a:cxn>
                              <a:cxn ang="T7">
                                <a:pos x="T2" y="T3"/>
                              </a:cxn>
                              <a:cxn ang="T8">
                                <a:pos x="T4" y="T5"/>
                              </a:cxn>
                            </a:cxnLst>
                            <a:rect l="T9" t="T10" r="T11" b="T12"/>
                            <a:pathLst>
                              <a:path w="10" h="49">
                                <a:moveTo>
                                  <a:pt x="0" y="0"/>
                                </a:moveTo>
                                <a:lnTo>
                                  <a:pt x="10" y="0"/>
                                </a:lnTo>
                                <a:lnTo>
                                  <a:pt x="10" y="49"/>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txbx>
                          <w:txbxContent>
                            <w:p w:rsidR="00D53F39" w:rsidRDefault="00D53F39" w:rsidP="00E24DB7"/>
                          </w:txbxContent>
                        </wps:txbx>
                        <wps:bodyPr rot="0" vert="horz" wrap="square" lIns="91440" tIns="45720" rIns="91440" bIns="45720" anchor="t" anchorCtr="0" upright="1">
                          <a:noAutofit/>
                        </wps:bodyPr>
                      </wps:wsp>
                      <wps:wsp>
                        <wps:cNvPr id="130" name="Textfeld 4"/>
                        <wps:cNvSpPr txBox="1">
                          <a:spLocks noChangeArrowheads="1"/>
                        </wps:cNvSpPr>
                        <wps:spPr bwMode="auto">
                          <a:xfrm>
                            <a:off x="3349902" y="1764860"/>
                            <a:ext cx="1138385" cy="249190"/>
                          </a:xfrm>
                          <a:prstGeom prst="rect">
                            <a:avLst/>
                          </a:prstGeom>
                          <a:solidFill>
                            <a:sysClr val="window" lastClr="FFFFFF">
                              <a:lumMod val="100000"/>
                              <a:lumOff val="0"/>
                            </a:sysClr>
                          </a:solidFill>
                          <a:ln w="6350">
                            <a:solidFill>
                              <a:srgbClr val="000000"/>
                            </a:solidFill>
                            <a:miter lim="800000"/>
                            <a:headEnd/>
                            <a:tailEnd/>
                          </a:ln>
                        </wps:spPr>
                        <wps:txbx>
                          <w:txbxContent>
                            <w:p w:rsidR="00D53F39" w:rsidRPr="00003E63" w:rsidRDefault="00D53F39" w:rsidP="00E24DB7">
                              <w:pPr>
                                <w:spacing w:line="240" w:lineRule="auto"/>
                                <w:jc w:val="center"/>
                                <w:rPr>
                                  <w:sz w:val="16"/>
                                  <w:szCs w:val="16"/>
                                </w:rPr>
                              </w:pPr>
                              <w:r w:rsidRPr="00003E63">
                                <w:rPr>
                                  <w:sz w:val="16"/>
                                  <w:szCs w:val="16"/>
                                  <w:lang w:val="de-DE"/>
                                </w:rPr>
                                <w:t>PDP, CFV, SSV, UFM</w:t>
                              </w:r>
                            </w:p>
                          </w:txbxContent>
                        </wps:txbx>
                        <wps:bodyPr rot="0" vert="horz" wrap="square" lIns="90000" tIns="72000" rIns="91440" bIns="54000" anchor="t" anchorCtr="0" upright="1">
                          <a:spAutoFit/>
                        </wps:bodyPr>
                      </wps:wsp>
                      <wps:wsp>
                        <wps:cNvPr id="131" name="Line 272"/>
                        <wps:cNvCnPr/>
                        <wps:spPr bwMode="auto">
                          <a:xfrm>
                            <a:off x="4323225" y="2212818"/>
                            <a:ext cx="2934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2" name="Textfeld 4"/>
                        <wps:cNvSpPr txBox="1">
                          <a:spLocks noChangeArrowheads="1"/>
                        </wps:cNvSpPr>
                        <wps:spPr bwMode="auto">
                          <a:xfrm>
                            <a:off x="2611865" y="1064819"/>
                            <a:ext cx="1760220" cy="509270"/>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53F39" w:rsidRPr="00003E63" w:rsidRDefault="00D53F39" w:rsidP="00E24DB7">
                              <w:pPr>
                                <w:spacing w:after="60" w:line="240" w:lineRule="auto"/>
                                <w:rPr>
                                  <w:sz w:val="16"/>
                                  <w:szCs w:val="16"/>
                                </w:rPr>
                              </w:pPr>
                              <w:r w:rsidRPr="00003E63">
                                <w:rPr>
                                  <w:sz w:val="16"/>
                                  <w:szCs w:val="16"/>
                                </w:rPr>
                                <w:t>- Analyseurs en continu de gaz dilués</w:t>
                              </w:r>
                            </w:p>
                            <w:p w:rsidR="00D53F39" w:rsidRPr="00003E63" w:rsidRDefault="00D53F39" w:rsidP="00E24DB7">
                              <w:pPr>
                                <w:spacing w:after="60" w:line="240" w:lineRule="auto"/>
                                <w:rPr>
                                  <w:sz w:val="16"/>
                                  <w:szCs w:val="16"/>
                                </w:rPr>
                              </w:pPr>
                              <w:r w:rsidRPr="00003E63">
                                <w:rPr>
                                  <w:sz w:val="16"/>
                                  <w:szCs w:val="16"/>
                                </w:rPr>
                                <w:t>- Autres systèmes de prélèvement</w:t>
                              </w:r>
                            </w:p>
                            <w:p w:rsidR="00D53F39" w:rsidRPr="00003E63" w:rsidRDefault="00D53F39" w:rsidP="00E24DB7">
                              <w:pPr>
                                <w:spacing w:after="60" w:line="240" w:lineRule="auto"/>
                                <w:rPr>
                                  <w:sz w:val="16"/>
                                  <w:szCs w:val="16"/>
                                </w:rPr>
                              </w:pPr>
                              <w:r w:rsidRPr="00003E63">
                                <w:rPr>
                                  <w:sz w:val="16"/>
                                  <w:szCs w:val="16"/>
                                </w:rPr>
                                <w:t>- Sacs CVS de prélèvement (facultatif)</w:t>
                              </w:r>
                            </w:p>
                          </w:txbxContent>
                        </wps:txbx>
                        <wps:bodyPr rot="0" vert="horz" wrap="none" lIns="91440" tIns="45720" rIns="91440" bIns="45720" anchor="t" anchorCtr="0" upright="1">
                          <a:noAutofit/>
                        </wps:bodyPr>
                      </wps:wsp>
                      <wps:wsp>
                        <wps:cNvPr id="133" name="Freeform 268"/>
                        <wps:cNvSpPr>
                          <a:spLocks/>
                        </wps:cNvSpPr>
                        <wps:spPr bwMode="auto">
                          <a:xfrm flipV="1">
                            <a:off x="2356413" y="1264710"/>
                            <a:ext cx="71300" cy="868607"/>
                          </a:xfrm>
                          <a:custGeom>
                            <a:avLst/>
                            <a:gdLst>
                              <a:gd name="T0" fmla="*/ 0 w 10"/>
                              <a:gd name="T1" fmla="*/ 0 h 49"/>
                              <a:gd name="T2" fmla="*/ 71324 w 10"/>
                              <a:gd name="T3" fmla="*/ 0 h 49"/>
                              <a:gd name="T4" fmla="*/ 71324 w 10"/>
                              <a:gd name="T5" fmla="*/ 868644 h 49"/>
                              <a:gd name="T6" fmla="*/ 0 60000 65536"/>
                              <a:gd name="T7" fmla="*/ 0 60000 65536"/>
                              <a:gd name="T8" fmla="*/ 0 60000 65536"/>
                              <a:gd name="T9" fmla="*/ 0 w 10"/>
                              <a:gd name="T10" fmla="*/ 0 h 49"/>
                              <a:gd name="T11" fmla="*/ 10 w 10"/>
                              <a:gd name="T12" fmla="*/ 49 h 49"/>
                            </a:gdLst>
                            <a:ahLst/>
                            <a:cxnLst>
                              <a:cxn ang="T6">
                                <a:pos x="T0" y="T1"/>
                              </a:cxn>
                              <a:cxn ang="T7">
                                <a:pos x="T2" y="T3"/>
                              </a:cxn>
                              <a:cxn ang="T8">
                                <a:pos x="T4" y="T5"/>
                              </a:cxn>
                            </a:cxnLst>
                            <a:rect l="T9" t="T10" r="T11" b="T12"/>
                            <a:pathLst>
                              <a:path w="10" h="49">
                                <a:moveTo>
                                  <a:pt x="0" y="0"/>
                                </a:moveTo>
                                <a:lnTo>
                                  <a:pt x="10" y="0"/>
                                </a:lnTo>
                                <a:lnTo>
                                  <a:pt x="10" y="49"/>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txbx>
                          <w:txbxContent>
                            <w:p w:rsidR="00D53F39" w:rsidRDefault="00D53F39" w:rsidP="00E24DB7">
                              <w:r>
                                <w:t> </w:t>
                              </w:r>
                            </w:p>
                          </w:txbxContent>
                        </wps:txbx>
                        <wps:bodyPr rot="0" vert="horz" wrap="square" lIns="91440" tIns="45720" rIns="91440" bIns="45720" anchor="t" anchorCtr="0" upright="1">
                          <a:noAutofit/>
                        </wps:bodyPr>
                      </wps:wsp>
                      <wps:wsp>
                        <wps:cNvPr id="160" name="Line 277"/>
                        <wps:cNvCnPr/>
                        <wps:spPr bwMode="auto">
                          <a:xfrm flipH="1" flipV="1">
                            <a:off x="2430814" y="1264410"/>
                            <a:ext cx="189801" cy="300"/>
                          </a:xfrm>
                          <a:prstGeom prst="line">
                            <a:avLst/>
                          </a:prstGeom>
                          <a:noFill/>
                          <a:ln w="3175">
                            <a:solidFill>
                              <a:srgbClr val="24211D"/>
                            </a:solidFill>
                            <a:round/>
                            <a:headEnd type="triangle" w="sm" len="med"/>
                            <a:tailEnd type="none" w="sm" len="med"/>
                          </a:ln>
                          <a:extLst>
                            <a:ext uri="{909E8E84-426E-40DD-AFC4-6F175D3DCCD1}">
                              <a14:hiddenFill xmlns:a14="http://schemas.microsoft.com/office/drawing/2010/main">
                                <a:noFill/>
                              </a14:hiddenFill>
                            </a:ext>
                          </a:extLst>
                        </wps:spPr>
                        <wps:bodyPr/>
                      </wps:wsp>
                      <wps:wsp>
                        <wps:cNvPr id="161" name="Textfeld 4"/>
                        <wps:cNvSpPr txBox="1">
                          <a:spLocks noChangeArrowheads="1"/>
                        </wps:cNvSpPr>
                        <wps:spPr bwMode="auto">
                          <a:xfrm>
                            <a:off x="2336611" y="2563783"/>
                            <a:ext cx="225670" cy="208525"/>
                          </a:xfrm>
                          <a:prstGeom prst="rect">
                            <a:avLst/>
                          </a:prstGeom>
                          <a:solidFill>
                            <a:sysClr val="window" lastClr="FFFFFF">
                              <a:lumMod val="100000"/>
                              <a:lumOff val="0"/>
                            </a:sysClr>
                          </a:solidFill>
                          <a:ln w="6350">
                            <a:solidFill>
                              <a:srgbClr val="000000"/>
                            </a:solidFill>
                            <a:miter lim="800000"/>
                            <a:headEnd/>
                            <a:tailEnd/>
                          </a:ln>
                        </wps:spPr>
                        <wps:txbx>
                          <w:txbxContent>
                            <w:p w:rsidR="00D53F39" w:rsidRPr="00451D84" w:rsidRDefault="00D53F39" w:rsidP="00E24DB7">
                              <w:pPr>
                                <w:spacing w:line="240" w:lineRule="auto"/>
                                <w:rPr>
                                  <w:sz w:val="16"/>
                                  <w:szCs w:val="16"/>
                                </w:rPr>
                              </w:pPr>
                              <w:r w:rsidRPr="00451D84">
                                <w:rPr>
                                  <w:sz w:val="16"/>
                                  <w:szCs w:val="16"/>
                                </w:rPr>
                                <w:t>PM</w:t>
                              </w:r>
                            </w:p>
                          </w:txbxContent>
                        </wps:txbx>
                        <wps:bodyPr rot="0" vert="horz" wrap="none" lIns="36000" tIns="36000" rIns="36000" bIns="36000" anchor="t" anchorCtr="0" upright="1">
                          <a:noAutofit/>
                        </wps:bodyPr>
                      </wps:wsp>
                      <wps:wsp>
                        <wps:cNvPr id="681" name="Textfeld 4"/>
                        <wps:cNvSpPr txBox="1">
                          <a:spLocks noChangeArrowheads="1"/>
                        </wps:cNvSpPr>
                        <wps:spPr bwMode="auto">
                          <a:xfrm>
                            <a:off x="2032812" y="2564257"/>
                            <a:ext cx="208525" cy="207890"/>
                          </a:xfrm>
                          <a:prstGeom prst="rect">
                            <a:avLst/>
                          </a:prstGeom>
                          <a:solidFill>
                            <a:sysClr val="window" lastClr="FFFFFF">
                              <a:lumMod val="100000"/>
                              <a:lumOff val="0"/>
                            </a:sysClr>
                          </a:solidFill>
                          <a:ln w="6350">
                            <a:solidFill>
                              <a:srgbClr val="000000"/>
                            </a:solidFill>
                            <a:miter lim="800000"/>
                            <a:headEnd/>
                            <a:tailEnd/>
                          </a:ln>
                        </wps:spPr>
                        <wps:txbx>
                          <w:txbxContent>
                            <w:p w:rsidR="00D53F39" w:rsidRPr="00451D84" w:rsidRDefault="00D53F39" w:rsidP="00E24DB7">
                              <w:pPr>
                                <w:pStyle w:val="NormalWeb"/>
                                <w:kinsoku w:val="0"/>
                                <w:overflowPunct w:val="0"/>
                                <w:spacing w:before="0" w:beforeAutospacing="0" w:after="0" w:afterAutospacing="0"/>
                                <w:rPr>
                                  <w:rFonts w:ascii="Times New Roman" w:hAnsi="Times New Roman" w:cs="Times New Roman"/>
                                  <w:sz w:val="16"/>
                                  <w:szCs w:val="16"/>
                                </w:rPr>
                              </w:pPr>
                              <w:r w:rsidRPr="00451D84">
                                <w:rPr>
                                  <w:rFonts w:ascii="Times New Roman" w:eastAsia="Times New Roman" w:hAnsi="Times New Roman" w:cs="Times New Roman"/>
                                  <w:sz w:val="16"/>
                                  <w:szCs w:val="16"/>
                                </w:rPr>
                                <w:t>PN</w:t>
                              </w:r>
                            </w:p>
                          </w:txbxContent>
                        </wps:txbx>
                        <wps:bodyPr rot="0" vert="horz" wrap="none" lIns="36000" tIns="36000" rIns="36000" bIns="36000" anchor="t" anchorCtr="0" upright="1">
                          <a:noAutofit/>
                        </wps:bodyPr>
                      </wps:wsp>
                    </wpc:wpc>
                  </a:graphicData>
                </a:graphic>
              </wp:inline>
            </w:drawing>
          </mc:Choice>
          <mc:Fallback>
            <w:pict>
              <v:group w14:anchorId="7A950D17" id="Zeichenbereich 13798" o:spid="_x0000_s1354" editas="canvas" style="width:419.85pt;height:229.85pt;mso-position-horizontal-relative:char;mso-position-vertical-relative:line" coordsize="53314,2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">
                <v:shape id="_x0000_s1355" type="#_x0000_t75" style="position:absolute;width:53314;height:29190;visibility:visible;mso-wrap-style:square">
                  <v:fill o:detectmouseclick="t"/>
                  <v:path o:connecttype="none"/>
                </v:shape>
                <v:line id="Line 236" o:spid="_x0000_s1356" style="position:absolute;visibility:visible;mso-wrap-style:square" from="5489,21408" to="9861,2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" strokecolor="#24211d" strokeweight=".25pt"/>
                <v:line id="Line 237" o:spid="_x0000_s1357" style="position:absolute;visibility:visible;mso-wrap-style:square" from="5489,22054" to="9861,2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" strokecolor="#24211d" strokeweight=".25pt"/>
                <v:line id="Line 238" o:spid="_x0000_s1358" style="position:absolute;flip:y;visibility:visible;mso-wrap-style:square" from="9861,22054" to="9861,2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" strokecolor="#24211d" strokeweight=".25pt"/>
                <v:line id="Line 239" o:spid="_x0000_s1359" style="position:absolute;visibility:visible;mso-wrap-style:square" from="12652,21050" to="15663,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" strokecolor="#24211d" strokeweight=".25pt"/>
                <v:line id="Line 240" o:spid="_x0000_s1360" style="position:absolute;visibility:visible;mso-wrap-style:square" from="12652,22411" to="15663,2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" strokecolor="#24211d" strokeweight=".25pt"/>
                <v:line id="Line 241" o:spid="_x0000_s1361" style="position:absolute;visibility:visible;mso-wrap-style:square" from="12652,22411" to="12652,2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" strokecolor="#24211d" strokeweight=".25pt"/>
                <v:line id="Line 242" o:spid="_x0000_s1362" style="position:absolute;visibility:visible;mso-wrap-style:square" from="9861,22774" to="12652,2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" strokecolor="#24211d" strokeweight=".25pt"/>
                <v:rect id="Rectangle 243" o:spid="_x0000_s1363" style="position:absolute;left:8426;top:5900;width:5734;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" filled="f" strokecolor="#24211d" strokeweight=".25pt"/>
                <v:line id="Line 245" o:spid="_x0000_s1364" style="position:absolute;flip:y;visibility:visible;mso-wrap-style:square" from="9860,13151" to="9860,2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" strokecolor="#24211d" strokeweight=".25pt"/>
                <v:line id="Line 246" o:spid="_x0000_s1365" style="position:absolute;flip:x y;visibility:visible;mso-wrap-style:square" from="12650,13151" to="12650,2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" strokecolor="#24211d" strokeweight=".25pt"/>
                <v:line id="Line 249" o:spid="_x0000_s1366" style="position:absolute;flip:y;visibility:visible;mso-wrap-style:square" from="12652,10351" to="14160,1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" strokecolor="#24211d" strokeweight=".25pt"/>
                <v:line id="Line 250" o:spid="_x0000_s1367" style="position:absolute;flip:x y;visibility:visible;mso-wrap-style:square" from="8426,10351" to="9861,1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" strokecolor="#24211d" strokeweight=".25pt"/>
                <v:line id="Line 251" o:spid="_x0000_s1368" style="position:absolute;visibility:visible;mso-wrap-style:square" from="16879,22840" to="25282,2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" strokecolor="#24211d" strokeweight=".25pt"/>
                <v:line id="Line 252" o:spid="_x0000_s1369" style="position:absolute;visibility:visible;mso-wrap-style:square" from="16881,20618" to="25278,20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" strokecolor="#24211d" strokeweight=".25pt"/>
                <v:line id="Line 253" o:spid="_x0000_s1370" style="position:absolute;visibility:visible;mso-wrap-style:square" from="15663,22411" to="16882,2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" strokecolor="#24211d" strokeweight=".25pt"/>
                <v:line id="Line 254" o:spid="_x0000_s1371" style="position:absolute;flip:y;visibility:visible;mso-wrap-style:square" from="15663,20619" to="16882,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" strokecolor="#24211d" strokeweight=".25pt"/>
                <v:line id="Line 255" o:spid="_x0000_s1372" style="position:absolute;flip:x;visibility:visible;mso-wrap-style:square" from="25201,22411" to="26493,2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" strokecolor="#24211d" strokeweight=".25pt"/>
                <v:line id="Line 256" o:spid="_x0000_s1373" style="position:absolute;flip:x y;visibility:visible;mso-wrap-style:square" from="25201,20619" to="26493,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" strokecolor="#24211d" strokeweight=".25pt"/>
                <v:line id="Line 257" o:spid="_x0000_s1374" style="position:absolute;visibility:visible;mso-wrap-style:square" from="26493,22411" to="28138,2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" strokecolor="#24211d" strokeweight=".25pt"/>
                <v:line id="Line 258" o:spid="_x0000_s1375" style="position:absolute;visibility:visible;mso-wrap-style:square" from="26493,21050" to="28138,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" strokecolor="#24211d" strokeweight=".25pt"/>
                <v:line id="Line 259" o:spid="_x0000_s1376" style="position:absolute;flip:x;visibility:visible;mso-wrap-style:square" from="31081,22411" to="34019,2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" strokecolor="#24211d" strokeweight=".25pt"/>
                <v:line id="Line 260" o:spid="_x0000_s1377" style="position:absolute;flip:x;visibility:visible;mso-wrap-style:square" from="31081,21050" to="34019,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" strokecolor="#24211d" strokeweight=".25pt"/>
                <v:line id="Line 261" o:spid="_x0000_s1378" style="position:absolute;visibility:visible;mso-wrap-style:square" from="28138,22842" to="31081,2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" strokecolor="#24211d" strokeweight=".25pt"/>
                <v:line id="Line 262" o:spid="_x0000_s1379" style="position:absolute;visibility:visible;mso-wrap-style:square" from="28138,20619" to="31081,20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" strokecolor="#24211d" strokeweight=".25pt"/>
                <v:line id="Line 263" o:spid="_x0000_s1380" style="position:absolute;visibility:visible;mso-wrap-style:square" from="28138,22411" to="28138,2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" strokecolor="#24211d" strokeweight=".25pt"/>
                <v:line id="Line 264" o:spid="_x0000_s1381" style="position:absolute;flip:y;visibility:visible;mso-wrap-style:square" from="28138,20619" to="28138,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" strokecolor="#24211d" strokeweight=".25pt"/>
                <v:line id="Line 265" o:spid="_x0000_s1382" style="position:absolute;visibility:visible;mso-wrap-style:square" from="31081,22411" to="31081,2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" strokecolor="#24211d" strokeweight=".25pt"/>
                <v:line id="Line 266" o:spid="_x0000_s1383" style="position:absolute;flip:y;visibility:visible;mso-wrap-style:square" from="31081,20619" to="31081,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" strokecolor="#24211d" strokeweight=".25pt"/>
                <v:line id="Line 267" o:spid="_x0000_s1384" style="position:absolute;visibility:visible;mso-wrap-style:square" from="45686,21765" to="48267,2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" strokecolor="#24211d" strokeweight=".25pt">
                  <v:stroke endarrow="block" endarrowwidth="narrow"/>
                </v:line>
                <v:shape id="Freeform 268" o:spid="_x0000_s1385" style="position:absolute;left:20489;top:22128;width:720;height:3515;visibility:visible;mso-wrap-style:square;v-text-anchor:top" coordsize="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" path="m,l10,r,49e" filled="f" strokecolor="#24211d" strokeweight=".25pt">
                  <v:path arrowok="t" o:connecttype="custom" o:connectlocs="0,0;518385600,0;518385600,2147483646" o:connectangles="0,0,0"/>
                </v:shape>
                <v:shape id="Freeform 269" o:spid="_x0000_s1386" style="position:absolute;left:20419;top:17818;width:720;height:3590;visibility:visible;mso-wrap-style:square;v-text-anchor:top" coordsize="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" path="m,50r10,l10,e" filled="f" strokecolor="#24211d" strokeweight=".25pt">
                  <v:stroke endarrow="block" endarrowwidth="narrow"/>
                  <v:path arrowok="t" o:connecttype="custom" o:connectlocs="0,2147483646;518385600,2147483646;518385600,0" o:connectangles="0,0,0"/>
                </v:shape>
                <v:rect id="Rectangle 270" o:spid="_x0000_s1387" style="position:absolute;left:29000;top:21334;width:1293;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" filled="f" strokecolor="#24211d" strokeweight=".25pt"/>
                <v:rect id="Rectangle 271" o:spid="_x0000_s1388" style="position:absolute;left:34004;top:20322;width:9118;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" filled="f" strokecolor="#24211d" strokeweight=".25pt"/>
                <v:line id="Line 272" o:spid="_x0000_s1389" style="position:absolute;visibility:visible;mso-wrap-style:square" from="43228,21407" to="46166,2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" strokecolor="#24211d" strokeweight=".25pt"/>
                <v:line id="Line 274" o:spid="_x0000_s1390" style="position:absolute;visibility:visible;mso-wrap-style:square" from="2335,21765" to="4916,2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" strokecolor="#24211d" strokeweight=".25pt">
                  <v:stroke endarrow="block" endarrowwidth="narrow"/>
                </v:line>
                <v:shape id="Freeform 275" o:spid="_x0000_s1391" style="position:absolute;left:11288;top:8758;width:7027;height:5106;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" path="m,59r59,l59,e" filled="f" strokecolor="#24211d" strokeweight=".25pt">
                  <v:stroke endarrow="block" endarrowwidth="narrow"/>
                  <v:path arrowok="t" o:connecttype="custom" o:connectlocs="0,2147483646;2147483646,2147483646;2147483646,0" o:connectangles="0,0,0"/>
                </v:shape>
                <v:shape id="Freeform 278" o:spid="_x0000_s1392" style="position:absolute;left:32511;top:22411;width:4299;height:4236;visibility:visible;mso-wrap-style:square;v-text-anchor:top" coordsize="6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" path="m,l,59r60,e" filled="f" strokecolor="#24211d" strokeweight=".25pt">
                  <v:stroke endarrow="block" endarrowwidth="narrow"/>
                  <v:path arrowok="t" o:connecttype="custom" o:connectlocs="0,0;0,2147483646;2147483646,2147483646" o:connectangles="0,0,0"/>
                </v:shape>
                <v:rect id="Rectangle 301" o:spid="_x0000_s1393" style="position:absolute;left:8726;top:6564;width:5161;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rsidR="00D53F39" w:rsidRPr="00003E63" w:rsidRDefault="00D53F39" w:rsidP="00E24DB7">
                        <w:pPr>
                          <w:spacing w:line="240" w:lineRule="auto"/>
                          <w:jc w:val="center"/>
                          <w:rPr>
                            <w:rFonts w:ascii="Arial" w:hAnsi="Arial" w:cs="Arial"/>
                            <w:sz w:val="16"/>
                            <w:szCs w:val="16"/>
                          </w:rPr>
                        </w:pPr>
                        <w:r w:rsidRPr="00003E63">
                          <w:rPr>
                            <w:sz w:val="16"/>
                            <w:szCs w:val="16"/>
                          </w:rPr>
                          <w:t>Filtrage de l’air de dilution</w:t>
                        </w:r>
                      </w:p>
                    </w:txbxContent>
                  </v:textbox>
                </v:rect>
                <v:rect id="Rectangle 302" o:spid="_x0000_s1394" style="position:absolute;left:15655;top:3746;width:1752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rsidR="00D53F39" w:rsidRPr="00003E63" w:rsidRDefault="00D53F39" w:rsidP="00E24DB7">
                        <w:pPr>
                          <w:spacing w:line="240" w:lineRule="auto"/>
                          <w:rPr>
                            <w:rFonts w:ascii="Arial" w:hAnsi="Arial" w:cs="Arial"/>
                            <w:color w:val="24211D"/>
                            <w:sz w:val="16"/>
                            <w:szCs w:val="16"/>
                          </w:rPr>
                        </w:pPr>
                        <w:r w:rsidRPr="00003E63">
                          <w:rPr>
                            <w:sz w:val="16"/>
                            <w:szCs w:val="16"/>
                          </w:rPr>
                          <w:t>Prélèvement d’air de dilution vers :</w:t>
                        </w:r>
                      </w:p>
                      <w:p w:rsidR="00D53F39" w:rsidRPr="00003E63" w:rsidRDefault="00D53F39" w:rsidP="00E24DB7">
                        <w:pPr>
                          <w:spacing w:line="240" w:lineRule="auto"/>
                          <w:rPr>
                            <w:rFonts w:ascii="Arial" w:hAnsi="Arial" w:cs="Arial"/>
                            <w:color w:val="24211D"/>
                            <w:sz w:val="16"/>
                            <w:szCs w:val="16"/>
                          </w:rPr>
                        </w:pPr>
                        <w:r w:rsidRPr="00003E63">
                          <w:rPr>
                            <w:rFonts w:ascii="Arial" w:hAnsi="Arial" w:cs="Arial"/>
                            <w:color w:val="24211D"/>
                            <w:sz w:val="16"/>
                            <w:szCs w:val="16"/>
                          </w:rPr>
                          <w:t>- S</w:t>
                        </w:r>
                        <w:r w:rsidRPr="00003E63">
                          <w:rPr>
                            <w:sz w:val="16"/>
                            <w:szCs w:val="16"/>
                          </w:rPr>
                          <w:t>acs CVS</w:t>
                        </w:r>
                      </w:p>
                      <w:p w:rsidR="00D53F39" w:rsidRPr="00003E63" w:rsidRDefault="00D53F39" w:rsidP="00E24DB7">
                        <w:pPr>
                          <w:spacing w:line="240" w:lineRule="auto"/>
                          <w:rPr>
                            <w:rFonts w:ascii="Arial" w:hAnsi="Arial" w:cs="Arial"/>
                            <w:sz w:val="16"/>
                            <w:szCs w:val="16"/>
                          </w:rPr>
                        </w:pPr>
                        <w:r w:rsidRPr="00003E63">
                          <w:rPr>
                            <w:rFonts w:ascii="Arial" w:hAnsi="Arial" w:cs="Arial"/>
                            <w:sz w:val="16"/>
                            <w:szCs w:val="16"/>
                          </w:rPr>
                          <w:t>- P</w:t>
                        </w:r>
                        <w:r w:rsidRPr="00003E63">
                          <w:rPr>
                            <w:sz w:val="16"/>
                            <w:szCs w:val="16"/>
                          </w:rPr>
                          <w:t>rélèvement de particules (facultatif)</w:t>
                        </w:r>
                      </w:p>
                      <w:p w:rsidR="00D53F39" w:rsidRPr="00003E63" w:rsidRDefault="00D53F39" w:rsidP="00E24DB7">
                        <w:pPr>
                          <w:spacing w:line="240" w:lineRule="auto"/>
                          <w:rPr>
                            <w:rFonts w:ascii="Arial" w:hAnsi="Arial" w:cs="Arial"/>
                            <w:sz w:val="16"/>
                            <w:szCs w:val="16"/>
                          </w:rPr>
                        </w:pPr>
                        <w:r w:rsidRPr="00003E63">
                          <w:rPr>
                            <w:rFonts w:ascii="Arial" w:hAnsi="Arial" w:cs="Arial"/>
                            <w:sz w:val="16"/>
                            <w:szCs w:val="16"/>
                          </w:rPr>
                          <w:t>- A</w:t>
                        </w:r>
                        <w:r w:rsidRPr="00003E63">
                          <w:rPr>
                            <w:sz w:val="16"/>
                            <w:szCs w:val="16"/>
                          </w:rPr>
                          <w:t>utres dispositifs</w:t>
                        </w:r>
                      </w:p>
                    </w:txbxContent>
                  </v:textbox>
                </v:rect>
                <v:rect id="Rectangle 304" o:spid="_x0000_s1395" style="position:absolute;left:1904;top:22266;width:6874;height:2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rsidR="00D53F39" w:rsidRPr="00451D84" w:rsidRDefault="00D53F39" w:rsidP="00E24DB7">
                        <w:pPr>
                          <w:spacing w:before="40" w:line="240" w:lineRule="auto"/>
                          <w:jc w:val="center"/>
                          <w:rPr>
                            <w:sz w:val="16"/>
                            <w:szCs w:val="16"/>
                          </w:rPr>
                        </w:pPr>
                        <w:r w:rsidRPr="00451D84">
                          <w:rPr>
                            <w:sz w:val="16"/>
                            <w:szCs w:val="16"/>
                          </w:rPr>
                          <w:t>Échappement</w:t>
                        </w:r>
                        <w:r w:rsidRPr="00451D84">
                          <w:rPr>
                            <w:sz w:val="16"/>
                            <w:szCs w:val="16"/>
                          </w:rPr>
                          <w:br/>
                          <w:t>du véhicule</w:t>
                        </w:r>
                      </w:p>
                    </w:txbxContent>
                  </v:textbox>
                </v:rect>
                <v:rect id="Rectangle 307" o:spid="_x0000_s1396" style="position:absolute;left:13113;top:18501;width:7944;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rsidR="00D53F39" w:rsidRPr="00003E63" w:rsidRDefault="00D53F39" w:rsidP="00E24DB7">
                        <w:pPr>
                          <w:spacing w:before="60" w:line="240" w:lineRule="auto"/>
                          <w:jc w:val="center"/>
                          <w:rPr>
                            <w:sz w:val="16"/>
                            <w:szCs w:val="16"/>
                          </w:rPr>
                        </w:pPr>
                        <w:r w:rsidRPr="00003E63">
                          <w:rPr>
                            <w:sz w:val="16"/>
                            <w:szCs w:val="16"/>
                          </w:rPr>
                          <w:t>Tunnel de dilution</w:t>
                        </w:r>
                      </w:p>
                    </w:txbxContent>
                  </v:textbox>
                </v:rect>
                <v:rect id="Rectangle 308" o:spid="_x0000_s1397" style="position:absolute;left:19715;top:15741;width:2937;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" filled="f" strokeweight=".5pt">
                  <v:textbox inset="0,0,0,0">
                    <w:txbxContent>
                      <w:p w:rsidR="00D53F39" w:rsidRPr="00003E63" w:rsidRDefault="00D53F39" w:rsidP="00E24DB7">
                        <w:pPr>
                          <w:jc w:val="center"/>
                          <w:rPr>
                            <w:sz w:val="16"/>
                            <w:szCs w:val="16"/>
                          </w:rPr>
                        </w:pPr>
                        <w:r w:rsidRPr="00003E63">
                          <w:rPr>
                            <w:sz w:val="16"/>
                            <w:szCs w:val="16"/>
                            <w:lang w:val="en-US"/>
                          </w:rPr>
                          <w:t>HFID</w:t>
                        </w:r>
                      </w:p>
                    </w:txbxContent>
                  </v:textbox>
                </v:rect>
                <v:rect id="Rectangle 310" o:spid="_x0000_s1398" style="position:absolute;left:26129;top:22978;width:5934;height:4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rsidR="00D53F39" w:rsidRPr="00451D84" w:rsidRDefault="00D53F39" w:rsidP="00E24DB7">
                        <w:pPr>
                          <w:spacing w:line="240" w:lineRule="auto"/>
                          <w:jc w:val="center"/>
                          <w:rPr>
                            <w:rFonts w:ascii="Arial" w:hAnsi="Arial" w:cs="Arial"/>
                            <w:sz w:val="16"/>
                            <w:szCs w:val="16"/>
                          </w:rPr>
                        </w:pPr>
                        <w:r w:rsidRPr="00451D84">
                          <w:rPr>
                            <w:sz w:val="16"/>
                            <w:szCs w:val="16"/>
                          </w:rPr>
                          <w:t xml:space="preserve">Échange </w:t>
                        </w:r>
                        <w:r>
                          <w:rPr>
                            <w:sz w:val="16"/>
                            <w:szCs w:val="16"/>
                          </w:rPr>
                          <w:br/>
                        </w:r>
                        <w:r w:rsidRPr="00451D84">
                          <w:rPr>
                            <w:sz w:val="16"/>
                            <w:szCs w:val="16"/>
                          </w:rPr>
                          <w:t>de chaleur (facultatif)</w:t>
                        </w:r>
                      </w:p>
                    </w:txbxContent>
                  </v:textbox>
                </v:rect>
                <v:rect id="Rectangle 311" o:spid="_x0000_s1399" style="position:absolute;left:47990;top:20323;width:5324;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rsidR="00D53F39" w:rsidRPr="00003E63" w:rsidRDefault="00D53F39" w:rsidP="00E24DB7">
                        <w:pPr>
                          <w:spacing w:before="60" w:line="240" w:lineRule="auto"/>
                          <w:rPr>
                            <w:sz w:val="16"/>
                            <w:szCs w:val="16"/>
                          </w:rPr>
                        </w:pPr>
                        <w:r w:rsidRPr="00003E63">
                          <w:rPr>
                            <w:sz w:val="16"/>
                            <w:szCs w:val="16"/>
                          </w:rPr>
                          <w:t>vers l’atmosphère</w:t>
                        </w:r>
                      </w:p>
                    </w:txbxContent>
                  </v:textbox>
                </v:rect>
                <v:rect id="Rectangle 312" o:spid="_x0000_s1400" style="position:absolute;left:37321;top:25637;width:15191;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rsidR="00D53F39" w:rsidRPr="00451D84" w:rsidRDefault="00D53F39" w:rsidP="00E24DB7">
                        <w:pPr>
                          <w:spacing w:line="240" w:lineRule="auto"/>
                          <w:rPr>
                            <w:rFonts w:ascii="Arial" w:hAnsi="Arial" w:cs="Arial"/>
                            <w:color w:val="24211D"/>
                            <w:sz w:val="16"/>
                            <w:szCs w:val="16"/>
                          </w:rPr>
                        </w:pPr>
                        <w:r w:rsidRPr="00451D84">
                          <w:rPr>
                            <w:rFonts w:ascii="Arial" w:hAnsi="Arial" w:cs="Arial"/>
                            <w:color w:val="24211D"/>
                            <w:sz w:val="16"/>
                            <w:szCs w:val="16"/>
                          </w:rPr>
                          <w:t xml:space="preserve">- </w:t>
                        </w:r>
                        <w:r w:rsidRPr="00451D84">
                          <w:rPr>
                            <w:sz w:val="16"/>
                            <w:szCs w:val="16"/>
                          </w:rPr>
                          <w:t>Prélèvement sacs CVS</w:t>
                        </w:r>
                      </w:p>
                      <w:p w:rsidR="00D53F39" w:rsidRPr="00451D84" w:rsidRDefault="00D53F39" w:rsidP="00E24DB7">
                        <w:pPr>
                          <w:spacing w:line="240" w:lineRule="auto"/>
                          <w:rPr>
                            <w:rFonts w:ascii="Arial" w:hAnsi="Arial" w:cs="Arial"/>
                            <w:sz w:val="16"/>
                            <w:szCs w:val="16"/>
                          </w:rPr>
                        </w:pPr>
                        <w:r w:rsidRPr="00451D84">
                          <w:rPr>
                            <w:rFonts w:ascii="Arial" w:hAnsi="Arial" w:cs="Arial"/>
                            <w:color w:val="24211D"/>
                            <w:sz w:val="16"/>
                            <w:szCs w:val="16"/>
                          </w:rPr>
                          <w:t>- A</w:t>
                        </w:r>
                        <w:r w:rsidRPr="00451D84">
                          <w:rPr>
                            <w:sz w:val="16"/>
                            <w:szCs w:val="16"/>
                          </w:rPr>
                          <w:t>utres systèmes de prélèvements</w:t>
                        </w:r>
                      </w:p>
                    </w:txbxContent>
                  </v:textbox>
                </v:rect>
                <v:rect id="Rectangle 313" o:spid="_x0000_s1401" style="position:absolute;left:10574;top:20324;width:1861;height:1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rsidR="00D53F39" w:rsidRPr="00451D84" w:rsidRDefault="00D53F39" w:rsidP="00E24DB7">
                        <w:pPr>
                          <w:rPr>
                            <w:sz w:val="16"/>
                            <w:szCs w:val="16"/>
                          </w:rPr>
                        </w:pPr>
                        <w:r w:rsidRPr="00451D84">
                          <w:rPr>
                            <w:sz w:val="16"/>
                            <w:szCs w:val="16"/>
                          </w:rPr>
                          <w:t>MC</w:t>
                        </w:r>
                      </w:p>
                    </w:txbxContent>
                  </v:textbox>
                </v:rect>
                <v:rect id="Rectangle 314" o:spid="_x0000_s1402" style="position:absolute;left:33997;top:20426;width:9580;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rsidR="00D53F39" w:rsidRPr="00003E63" w:rsidRDefault="00D53F39" w:rsidP="00E24DB7">
                        <w:pPr>
                          <w:spacing w:line="220" w:lineRule="atLeast"/>
                          <w:jc w:val="center"/>
                          <w:rPr>
                            <w:sz w:val="16"/>
                            <w:szCs w:val="16"/>
                          </w:rPr>
                        </w:pPr>
                        <w:r w:rsidRPr="00003E63">
                          <w:rPr>
                            <w:sz w:val="16"/>
                            <w:szCs w:val="16"/>
                          </w:rPr>
                          <w:t>Débitmètre et dispositif d’aspiration</w:t>
                        </w:r>
                      </w:p>
                    </w:txbxContent>
                  </v:textbox>
                </v:rect>
                <v:rect id="Rectangle 303" o:spid="_x0000_s1403" style="position:absolute;left:10058;top:23936;width:6296;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rsidR="00D53F39" w:rsidRPr="00451D84" w:rsidRDefault="00D53F39" w:rsidP="00E24DB7">
                        <w:pPr>
                          <w:spacing w:before="60" w:line="240" w:lineRule="auto"/>
                          <w:jc w:val="center"/>
                          <w:rPr>
                            <w:sz w:val="16"/>
                            <w:szCs w:val="16"/>
                          </w:rPr>
                        </w:pPr>
                        <w:r w:rsidRPr="00451D84">
                          <w:rPr>
                            <w:sz w:val="16"/>
                            <w:szCs w:val="16"/>
                          </w:rPr>
                          <w:t xml:space="preserve">Dispositif </w:t>
                        </w:r>
                        <w:r w:rsidRPr="00451D84">
                          <w:rPr>
                            <w:sz w:val="16"/>
                            <w:szCs w:val="16"/>
                          </w:rPr>
                          <w:br/>
                          <w:t>de mélange</w:t>
                        </w:r>
                      </w:p>
                    </w:txbxContent>
                  </v:textbox>
                </v:rect>
                <v:line id="Line 276" o:spid="_x0000_s1404" style="position:absolute;visibility:visible;mso-wrap-style:square" from="11196,1456" to="11196,5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" strokecolor="#24211d" strokeweight=".25pt">
                  <v:stroke endarrow="block" endarrowwidth="narrow"/>
                </v:line>
                <v:rect id="Rectangle 302" o:spid="_x0000_s1405" style="position:absolute;left:8045;width:6428;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rsidR="00D53F39" w:rsidRPr="00003E63" w:rsidRDefault="00D53F39" w:rsidP="00E24DB7">
                        <w:pPr>
                          <w:spacing w:before="60"/>
                          <w:rPr>
                            <w:sz w:val="16"/>
                            <w:szCs w:val="16"/>
                          </w:rPr>
                        </w:pPr>
                        <w:r w:rsidRPr="00003E63">
                          <w:rPr>
                            <w:sz w:val="16"/>
                            <w:szCs w:val="16"/>
                          </w:rPr>
                          <w:t>Air de dilution</w:t>
                        </w:r>
                      </w:p>
                    </w:txbxContent>
                  </v:textbox>
                </v:rect>
                <v:shape id="Freeform 268" o:spid="_x0000_s1406" style="position:absolute;left:23561;top:22186;width:717;height:3511;visibility:visible;mso-wrap-style:square;v-text-anchor:top" coordsize="10,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" adj="-11796480,,5400" path="m,l10,r,49e" filled="f" strokecolor="#24211d" strokeweight=".25pt">
                  <v:stroke joinstyle="round"/>
                  <v:formulas/>
                  <v:path arrowok="t" o:connecttype="custom" o:connectlocs="0,0;514483350,0;514483350,2147483646" o:connectangles="0,0,0" textboxrect="0,0,10,49"/>
                  <v:textbox>
                    <w:txbxContent>
                      <w:p w:rsidR="00D53F39" w:rsidRDefault="00D53F39" w:rsidP="00E24DB7"/>
                    </w:txbxContent>
                  </v:textbox>
                </v:shape>
                <v:shape id="Textfeld 4" o:spid="_x0000_s1407" type="#_x0000_t202" style="position:absolute;left:33499;top:17648;width:11383;height:2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" strokeweight=".5pt">
                  <v:textbox style="mso-fit-shape-to-text:t" inset="2.5mm,2mm,,1.5mm">
                    <w:txbxContent>
                      <w:p w:rsidR="00D53F39" w:rsidRPr="00003E63" w:rsidRDefault="00D53F39" w:rsidP="00E24DB7">
                        <w:pPr>
                          <w:spacing w:line="240" w:lineRule="auto"/>
                          <w:jc w:val="center"/>
                          <w:rPr>
                            <w:sz w:val="16"/>
                            <w:szCs w:val="16"/>
                          </w:rPr>
                        </w:pPr>
                        <w:r w:rsidRPr="00003E63">
                          <w:rPr>
                            <w:sz w:val="16"/>
                            <w:szCs w:val="16"/>
                            <w:lang w:val="de-DE"/>
                          </w:rPr>
                          <w:t>PDP, CFV, SSV, UFM</w:t>
                        </w:r>
                      </w:p>
                    </w:txbxContent>
                  </v:textbox>
                </v:shape>
                <v:line id="Line 272" o:spid="_x0000_s1408" style="position:absolute;visibility:visible;mso-wrap-style:square" from="43232,22128" to="46166,2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" strokecolor="#24211d" strokeweight=".25pt"/>
                <v:shape id="Textfeld 4" o:spid="_x0000_s1409" type="#_x0000_t202" style="position:absolute;left:26118;top:10648;width:17602;height:50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" stroked="f" strokeweight=".5pt">
                  <v:textbox>
                    <w:txbxContent>
                      <w:p w:rsidR="00D53F39" w:rsidRPr="00003E63" w:rsidRDefault="00D53F39" w:rsidP="00E24DB7">
                        <w:pPr>
                          <w:spacing w:after="60" w:line="240" w:lineRule="auto"/>
                          <w:rPr>
                            <w:sz w:val="16"/>
                            <w:szCs w:val="16"/>
                          </w:rPr>
                        </w:pPr>
                        <w:r w:rsidRPr="00003E63">
                          <w:rPr>
                            <w:sz w:val="16"/>
                            <w:szCs w:val="16"/>
                          </w:rPr>
                          <w:t>- Analyseurs en continu de gaz dilués</w:t>
                        </w:r>
                      </w:p>
                      <w:p w:rsidR="00D53F39" w:rsidRPr="00003E63" w:rsidRDefault="00D53F39" w:rsidP="00E24DB7">
                        <w:pPr>
                          <w:spacing w:after="60" w:line="240" w:lineRule="auto"/>
                          <w:rPr>
                            <w:sz w:val="16"/>
                            <w:szCs w:val="16"/>
                          </w:rPr>
                        </w:pPr>
                        <w:r w:rsidRPr="00003E63">
                          <w:rPr>
                            <w:sz w:val="16"/>
                            <w:szCs w:val="16"/>
                          </w:rPr>
                          <w:t>- Autres systèmes de prélèvement</w:t>
                        </w:r>
                      </w:p>
                      <w:p w:rsidR="00D53F39" w:rsidRPr="00003E63" w:rsidRDefault="00D53F39" w:rsidP="00E24DB7">
                        <w:pPr>
                          <w:spacing w:after="60" w:line="240" w:lineRule="auto"/>
                          <w:rPr>
                            <w:sz w:val="16"/>
                            <w:szCs w:val="16"/>
                          </w:rPr>
                        </w:pPr>
                        <w:r w:rsidRPr="00003E63">
                          <w:rPr>
                            <w:sz w:val="16"/>
                            <w:szCs w:val="16"/>
                          </w:rPr>
                          <w:t>- Sacs CVS de prélèvement (facultatif)</w:t>
                        </w:r>
                      </w:p>
                    </w:txbxContent>
                  </v:textbox>
                </v:shape>
                <v:shape id="Freeform 268" o:spid="_x0000_s1410" style="position:absolute;left:23564;top:12647;width:713;height:8686;flip:y;visibility:visible;mso-wrap-style:square;v-text-anchor:top" coordsize="10,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" adj="-11796480,,5400" path="m,l10,r,49e" filled="f" strokecolor="#24211d" strokeweight=".25pt">
                  <v:stroke joinstyle="round"/>
                  <v:formulas/>
                  <v:path arrowok="t" o:connecttype="custom" o:connectlocs="0,0;508540120,0;508540120,2147483646" o:connectangles="0,0,0" textboxrect="0,0,10,49"/>
                  <v:textbox>
                    <w:txbxContent>
                      <w:p w:rsidR="00D53F39" w:rsidRDefault="00D53F39" w:rsidP="00E24DB7">
                        <w:r>
                          <w:t> </w:t>
                        </w:r>
                      </w:p>
                    </w:txbxContent>
                  </v:textbox>
                </v:shape>
                <v:line id="Line 277" o:spid="_x0000_s1411" style="position:absolute;flip:x y;visibility:visible;mso-wrap-style:square" from="24308,12644" to="26206,1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" strokecolor="#24211d" strokeweight=".25pt">
                  <v:stroke startarrow="block" startarrowwidth="narrow" endarrowwidth="narrow"/>
                </v:line>
                <v:shape id="Textfeld 4" o:spid="_x0000_s1412" type="#_x0000_t202" style="position:absolute;left:23366;top:25637;width:2256;height:2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" strokeweight=".5pt">
                  <v:textbox inset="1mm,1mm,1mm,1mm">
                    <w:txbxContent>
                      <w:p w:rsidR="00D53F39" w:rsidRPr="00451D84" w:rsidRDefault="00D53F39" w:rsidP="00E24DB7">
                        <w:pPr>
                          <w:spacing w:line="240" w:lineRule="auto"/>
                          <w:rPr>
                            <w:sz w:val="16"/>
                            <w:szCs w:val="16"/>
                          </w:rPr>
                        </w:pPr>
                        <w:r w:rsidRPr="00451D84">
                          <w:rPr>
                            <w:sz w:val="16"/>
                            <w:szCs w:val="16"/>
                          </w:rPr>
                          <w:t>PM</w:t>
                        </w:r>
                      </w:p>
                    </w:txbxContent>
                  </v:textbox>
                </v:shape>
                <v:shape id="Textfeld 4" o:spid="_x0000_s1413" type="#_x0000_t202" style="position:absolute;left:20328;top:25642;width:2085;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" strokeweight=".5pt">
                  <v:textbox inset="1mm,1mm,1mm,1mm">
                    <w:txbxContent>
                      <w:p w:rsidR="00D53F39" w:rsidRPr="00451D84" w:rsidRDefault="00D53F39" w:rsidP="00E24DB7">
                        <w:pPr>
                          <w:pStyle w:val="NormalWeb"/>
                          <w:kinsoku w:val="0"/>
                          <w:overflowPunct w:val="0"/>
                          <w:spacing w:before="0" w:beforeAutospacing="0" w:after="0" w:afterAutospacing="0"/>
                          <w:rPr>
                            <w:rFonts w:ascii="Times New Roman" w:hAnsi="Times New Roman" w:cs="Times New Roman"/>
                            <w:sz w:val="16"/>
                            <w:szCs w:val="16"/>
                          </w:rPr>
                        </w:pPr>
                        <w:r w:rsidRPr="00451D84">
                          <w:rPr>
                            <w:rFonts w:ascii="Times New Roman" w:eastAsia="Times New Roman" w:hAnsi="Times New Roman" w:cs="Times New Roman"/>
                            <w:sz w:val="16"/>
                            <w:szCs w:val="16"/>
                          </w:rPr>
                          <w:t>PN</w:t>
                        </w:r>
                      </w:p>
                    </w:txbxContent>
                  </v:textbox>
                </v:shape>
                <w10:anchorlock/>
              </v:group>
            </w:pict>
          </mc:Fallback>
        </mc:AlternateContent>
      </w:r>
    </w:p>
    <w:p w:rsidR="00E24DB7" w:rsidRPr="002C5876" w:rsidRDefault="00E24DB7" w:rsidP="00E24DB7">
      <w:pPr>
        <w:pStyle w:val="SingleTxtG"/>
        <w:spacing w:before="240" w:line="240" w:lineRule="exact"/>
        <w:ind w:left="2268" w:hanging="1134"/>
      </w:pPr>
      <w:r w:rsidRPr="002C5876">
        <w:t>4.1.5.2</w:t>
      </w:r>
      <w:r w:rsidRPr="002C5876">
        <w:tab/>
      </w:r>
      <w:bookmarkStart w:id="83" w:name="_Toc284587127"/>
      <w:bookmarkStart w:id="84" w:name="_Toc284587378"/>
      <w:r w:rsidRPr="002C5876">
        <w:t>Le système peut être composé par exemple des éléments énumérés ci</w:t>
      </w:r>
      <w:r w:rsidRPr="002C5876">
        <w:noBreakHyphen/>
        <w:t xml:space="preserve">dessous. </w:t>
      </w:r>
    </w:p>
    <w:p w:rsidR="00E24DB7" w:rsidRPr="002C5876" w:rsidRDefault="00E24DB7" w:rsidP="00E24DB7">
      <w:pPr>
        <w:pStyle w:val="SingleTxtG"/>
        <w:spacing w:line="240" w:lineRule="exact"/>
        <w:ind w:left="2268" w:hanging="1134"/>
      </w:pPr>
      <w:r w:rsidRPr="002C5876">
        <w:t>4.1.5.2.1</w:t>
      </w:r>
      <w:r w:rsidRPr="002C5876">
        <w:tab/>
        <w:t>Deux sondes de prélèvement permettant de prélever en continu un échantillon de l’air de dilution et du mélange dilué gaz d’échappement/air</w:t>
      </w:r>
      <w:bookmarkEnd w:id="83"/>
      <w:bookmarkEnd w:id="84"/>
      <w:r w:rsidRPr="002C5876">
        <w:t>.</w:t>
      </w:r>
    </w:p>
    <w:p w:rsidR="00E24DB7" w:rsidRPr="002C5876" w:rsidRDefault="00E24DB7" w:rsidP="00E24DB7">
      <w:pPr>
        <w:pStyle w:val="SingleTxtG"/>
        <w:spacing w:line="240" w:lineRule="exact"/>
        <w:ind w:left="2268" w:hanging="1134"/>
      </w:pPr>
      <w:bookmarkStart w:id="85" w:name="_Toc284587128"/>
      <w:bookmarkStart w:id="86" w:name="_Toc284587379"/>
      <w:r w:rsidRPr="002C5876">
        <w:t>4.1.5.2.2</w:t>
      </w:r>
      <w:r w:rsidRPr="002C5876">
        <w:tab/>
      </w:r>
      <w:bookmarkEnd w:id="85"/>
      <w:bookmarkEnd w:id="86"/>
      <w:r w:rsidRPr="002C5876">
        <w:t xml:space="preserve">Un filtre destiné à extraire les particules solides des gaz prélevés aux fins d’analyse. </w:t>
      </w:r>
    </w:p>
    <w:p w:rsidR="00E24DB7" w:rsidRPr="002C5876" w:rsidRDefault="00E24DB7" w:rsidP="00E24DB7">
      <w:pPr>
        <w:pStyle w:val="SingleTxtG"/>
        <w:spacing w:line="240" w:lineRule="exact"/>
        <w:ind w:left="2268" w:hanging="1134"/>
      </w:pPr>
      <w:bookmarkStart w:id="87" w:name="_Toc284587129"/>
      <w:bookmarkStart w:id="88" w:name="_Toc284587380"/>
      <w:r w:rsidRPr="002C5876">
        <w:t>4.1.5.2.3</w:t>
      </w:r>
      <w:r w:rsidRPr="002C5876">
        <w:tab/>
      </w:r>
      <w:bookmarkEnd w:id="87"/>
      <w:bookmarkEnd w:id="88"/>
      <w:r w:rsidRPr="002C5876">
        <w:t xml:space="preserve">Des pompes </w:t>
      </w:r>
      <w:bookmarkStart w:id="89" w:name="_Toc284587130"/>
      <w:bookmarkStart w:id="90" w:name="_Toc284587381"/>
      <w:r w:rsidRPr="002C5876">
        <w:t xml:space="preserve">et un régulateur de débit destiné à maintenir constant, au cours de l’essai, le débit du prélèvement de gaz par les sondes de prélèvement ; ce débit doit être tel que, à la fin de l’essai, on dispose d’échantillons suffisants pour l’analyse. </w:t>
      </w:r>
    </w:p>
    <w:p w:rsidR="00E24DB7" w:rsidRPr="002C5876" w:rsidRDefault="00E24DB7" w:rsidP="00E24DB7">
      <w:pPr>
        <w:pStyle w:val="SingleTxtG"/>
        <w:spacing w:line="240" w:lineRule="exact"/>
        <w:ind w:left="2268" w:hanging="1134"/>
      </w:pPr>
      <w:bookmarkStart w:id="91" w:name="_Toc284587132"/>
      <w:bookmarkStart w:id="92" w:name="_Toc284587383"/>
      <w:bookmarkEnd w:id="89"/>
      <w:bookmarkEnd w:id="90"/>
      <w:r w:rsidRPr="002C5876">
        <w:t>4.1.5.2.4</w:t>
      </w:r>
      <w:r w:rsidRPr="002C5876">
        <w:tab/>
      </w:r>
      <w:bookmarkEnd w:id="91"/>
      <w:bookmarkEnd w:id="92"/>
      <w:r w:rsidRPr="002C5876">
        <w:t xml:space="preserve">Des vannes à action rapide servant à diriger le débit constant de gaz soit vers les sacs de prélèvements d’échantillons, soit vers l’atmosphère. </w:t>
      </w:r>
    </w:p>
    <w:p w:rsidR="00E24DB7" w:rsidRPr="002C5876" w:rsidRDefault="00E24DB7" w:rsidP="00E24DB7">
      <w:pPr>
        <w:pStyle w:val="SingleTxtG"/>
        <w:spacing w:line="240" w:lineRule="exact"/>
        <w:ind w:left="2268" w:hanging="1134"/>
      </w:pPr>
      <w:bookmarkStart w:id="93" w:name="_Toc284587133"/>
      <w:bookmarkStart w:id="94" w:name="_Toc284587384"/>
      <w:r w:rsidRPr="002C5876">
        <w:t>4.1.5.2.5</w:t>
      </w:r>
      <w:r w:rsidRPr="002C5876">
        <w:tab/>
        <w:t xml:space="preserve">Des raccords à verrouillage rapide et étanches aux gaz intercalés entre les vannes à action rapide et les sacs de prélèvement. Le raccord doit s’obturer automatiquement du côté sac. D’autres méthodes d’acheminement des échantillons jusqu’à l’analyseur peuvent être utilisées (robinets d’arrêt à trois voies, par exemple). </w:t>
      </w:r>
    </w:p>
    <w:p w:rsidR="00E24DB7" w:rsidRPr="002C5876" w:rsidRDefault="00E24DB7" w:rsidP="00E24DB7">
      <w:pPr>
        <w:pStyle w:val="SingleTxtG"/>
        <w:spacing w:line="240" w:lineRule="exact"/>
        <w:ind w:left="2268" w:hanging="1134"/>
      </w:pPr>
      <w:bookmarkStart w:id="95" w:name="_Toc284587134"/>
      <w:bookmarkStart w:id="96" w:name="_Toc284587385"/>
      <w:bookmarkEnd w:id="93"/>
      <w:bookmarkEnd w:id="94"/>
      <w:r w:rsidRPr="002C5876">
        <w:t>4.1.5.2.6</w:t>
      </w:r>
      <w:r w:rsidRPr="002C5876">
        <w:tab/>
      </w:r>
      <w:bookmarkEnd w:id="95"/>
      <w:bookmarkEnd w:id="96"/>
      <w:r w:rsidRPr="002C5876">
        <w:t xml:space="preserve">Des sacs destinés à la collecte des échantillons de gaz d’échappement dilués et d’air de dilution pendant l’essai. </w:t>
      </w:r>
    </w:p>
    <w:p w:rsidR="00E24DB7" w:rsidRPr="002C5876" w:rsidRDefault="00E24DB7" w:rsidP="00E24DB7">
      <w:pPr>
        <w:pStyle w:val="SingleTxtG"/>
        <w:spacing w:line="240" w:lineRule="exact"/>
        <w:ind w:left="2268" w:hanging="1134"/>
      </w:pPr>
      <w:bookmarkStart w:id="97" w:name="_Toc284587135"/>
      <w:bookmarkStart w:id="98" w:name="_Toc284587386"/>
      <w:r w:rsidRPr="002C5876">
        <w:t>4.1.5.2.7</w:t>
      </w:r>
      <w:r w:rsidRPr="002C5876">
        <w:tab/>
      </w:r>
      <w:r w:rsidRPr="002C5876">
        <w:rPr>
          <w:spacing w:val="-2"/>
        </w:rPr>
        <w:t>Un venturi à régime critique destiné au prélèvement d’échantillons proportionnels de gaz d’échappement dilués (systèmes CFV-CVS uniquement)</w:t>
      </w:r>
      <w:bookmarkEnd w:id="97"/>
      <w:bookmarkEnd w:id="98"/>
      <w:r w:rsidRPr="002C5876">
        <w:rPr>
          <w:spacing w:val="-2"/>
        </w:rPr>
        <w:t>.</w:t>
      </w:r>
      <w:r w:rsidRPr="002C5876">
        <w:t xml:space="preserve"> </w:t>
      </w:r>
    </w:p>
    <w:p w:rsidR="00E24DB7" w:rsidRPr="002C5876" w:rsidRDefault="00E24DB7" w:rsidP="00E24DB7">
      <w:pPr>
        <w:pStyle w:val="SingleTxtG"/>
        <w:spacing w:line="240" w:lineRule="exact"/>
        <w:ind w:left="2268" w:hanging="1134"/>
      </w:pPr>
      <w:r w:rsidRPr="002C5876">
        <w:t>4.1.5.3</w:t>
      </w:r>
      <w:r w:rsidRPr="002C5876">
        <w:tab/>
        <w:t>Les éléments supplémentaires nécessaires pour l’échantillonnage d’hydrocarbures à l’aide d’un détecteur à ionisation de flamme chauffé (HFID), tels qu’indiqués sur la figure A5/10.</w:t>
      </w:r>
    </w:p>
    <w:p w:rsidR="00E24DB7" w:rsidRPr="002C5876" w:rsidRDefault="00E24DB7" w:rsidP="00E24DB7">
      <w:pPr>
        <w:pStyle w:val="SingleTxtG"/>
        <w:spacing w:line="240" w:lineRule="exact"/>
        <w:ind w:left="2268" w:hanging="1134"/>
      </w:pPr>
      <w:r w:rsidRPr="002C5876">
        <w:lastRenderedPageBreak/>
        <w:t>4.1.5.3.1</w:t>
      </w:r>
      <w:r w:rsidRPr="002C5876">
        <w:tab/>
        <w:t>Une sonde de prélèvement chauffée dans le tunnel de dilution, située dans le même plan vertical que les sondes de mesure des matières particulaires et, le cas échéant de particules.</w:t>
      </w:r>
    </w:p>
    <w:p w:rsidR="00E24DB7" w:rsidRPr="002C5876" w:rsidRDefault="00E24DB7" w:rsidP="00E24DB7">
      <w:pPr>
        <w:pStyle w:val="SingleTxtG"/>
        <w:spacing w:line="240" w:lineRule="exact"/>
        <w:ind w:left="2268" w:hanging="1134"/>
      </w:pPr>
      <w:r w:rsidRPr="002C5876">
        <w:t>4.1.5.3.2</w:t>
      </w:r>
      <w:r w:rsidRPr="002C5876">
        <w:tab/>
        <w:t>Un filtre chauffé situé après le point de prélèvement et avant le HFID.</w:t>
      </w:r>
    </w:p>
    <w:p w:rsidR="00E24DB7" w:rsidRPr="002C5876" w:rsidRDefault="00E24DB7" w:rsidP="00E24DB7">
      <w:pPr>
        <w:pStyle w:val="SingleTxtG"/>
        <w:spacing w:line="240" w:lineRule="exact"/>
        <w:ind w:left="2268" w:hanging="1134"/>
      </w:pPr>
      <w:r w:rsidRPr="002C5876">
        <w:t>4.1.5.3.3</w:t>
      </w:r>
      <w:r w:rsidRPr="002C5876">
        <w:tab/>
        <w:t>Des vannes de sélection chauffées entre les arrivées de gaz de mise à zéro et de gaz d’étalonnage et le HFID.</w:t>
      </w:r>
    </w:p>
    <w:p w:rsidR="00E24DB7" w:rsidRPr="002C5876" w:rsidRDefault="00E24DB7" w:rsidP="00E24DB7">
      <w:pPr>
        <w:pStyle w:val="SingleTxtG"/>
        <w:spacing w:line="240" w:lineRule="exact"/>
        <w:ind w:left="2268" w:hanging="1134"/>
      </w:pPr>
      <w:r w:rsidRPr="002C5876">
        <w:t>4.1.5.3.4</w:t>
      </w:r>
      <w:r w:rsidRPr="002C5876">
        <w:tab/>
        <w:t>Un dispositif destiné à intégrer et enregistrer les concentrations instantanées d’hydrocarbures.</w:t>
      </w:r>
    </w:p>
    <w:p w:rsidR="00E24DB7" w:rsidRPr="002C5876" w:rsidRDefault="00E24DB7" w:rsidP="00E24DB7">
      <w:pPr>
        <w:pStyle w:val="SingleTxtG"/>
        <w:ind w:left="2268" w:hanging="1134"/>
      </w:pPr>
      <w:r w:rsidRPr="002C5876">
        <w:t>4.1.5.3.5</w:t>
      </w:r>
      <w:r w:rsidRPr="002C5876">
        <w:tab/>
        <w:t>Des conduites de prélèvement chauffées et autres éléments chauffés reliant la sonde chauffée au HFID.</w:t>
      </w:r>
    </w:p>
    <w:p w:rsidR="00E24DB7" w:rsidRPr="002C5876" w:rsidRDefault="00E24DB7" w:rsidP="00E24DB7">
      <w:pPr>
        <w:pStyle w:val="H23G"/>
      </w:pPr>
      <w:r w:rsidRPr="002C5876">
        <w:tab/>
      </w:r>
      <w:r w:rsidRPr="002C5876">
        <w:tab/>
      </w:r>
      <w:r w:rsidRPr="002C5876">
        <w:rPr>
          <w:b w:val="0"/>
        </w:rPr>
        <w:t xml:space="preserve">Figure A5/10 </w:t>
      </w:r>
      <w:r w:rsidRPr="002C5876">
        <w:rPr>
          <w:b w:val="0"/>
        </w:rPr>
        <w:br/>
      </w:r>
      <w:r w:rsidRPr="002C5876">
        <w:t>Composants requis pour le prélèvement d’hydrocarbures en utilisant un détecteur</w:t>
      </w:r>
      <w:r w:rsidRPr="002C5876">
        <w:br/>
        <w:t>à ionisation de flamme chauffé</w:t>
      </w:r>
    </w:p>
    <w:p w:rsidR="00E24DB7" w:rsidRPr="002C5876" w:rsidRDefault="00E24DB7" w:rsidP="00E24DB7">
      <w:pPr>
        <w:ind w:left="1134"/>
      </w:pPr>
      <w:bookmarkStart w:id="99" w:name="_MON_1458557324"/>
      <w:bookmarkStart w:id="100" w:name="_MON_1458556322"/>
      <w:bookmarkStart w:id="101" w:name="_MON_1458557086"/>
      <w:bookmarkStart w:id="102" w:name="_MON_1458557152"/>
      <w:bookmarkStart w:id="103" w:name="_MON_1458557159"/>
      <w:bookmarkEnd w:id="99"/>
      <w:bookmarkEnd w:id="100"/>
      <w:bookmarkEnd w:id="101"/>
      <w:bookmarkEnd w:id="102"/>
      <w:bookmarkEnd w:id="103"/>
      <w:r w:rsidRPr="002C5876">
        <w:rPr>
          <w:noProof/>
          <w:lang w:val="en-GB" w:eastAsia="zh-CN"/>
        </w:rPr>
        <mc:AlternateContent>
          <mc:Choice Requires="wps">
            <w:drawing>
              <wp:anchor distT="0" distB="0" distL="114300" distR="114300" simplePos="0" relativeHeight="251089920" behindDoc="0" locked="0" layoutInCell="1" allowOverlap="1" wp14:anchorId="5F262D6B" wp14:editId="56A9569C">
                <wp:simplePos x="0" y="0"/>
                <wp:positionH relativeFrom="column">
                  <wp:posOffset>2782570</wp:posOffset>
                </wp:positionH>
                <wp:positionV relativeFrom="paragraph">
                  <wp:posOffset>2782570</wp:posOffset>
                </wp:positionV>
                <wp:extent cx="592455" cy="220345"/>
                <wp:effectExtent l="0" t="0" r="0" b="8255"/>
                <wp:wrapNone/>
                <wp:docPr id="14192" name="Zone de texte 14192"/>
                <wp:cNvGraphicFramePr/>
                <a:graphic xmlns:a="http://schemas.openxmlformats.org/drawingml/2006/main">
                  <a:graphicData uri="http://schemas.microsoft.com/office/word/2010/wordprocessingShape">
                    <wps:wsp>
                      <wps:cNvSpPr txBox="1"/>
                      <wps:spPr>
                        <a:xfrm>
                          <a:off x="0" y="0"/>
                          <a:ext cx="592455" cy="2203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3C1F92" w:rsidRDefault="00D53F39" w:rsidP="00E24DB7">
                            <w:pPr>
                              <w:spacing w:line="160" w:lineRule="exact"/>
                              <w:jc w:val="center"/>
                              <w:rPr>
                                <w:sz w:val="17"/>
                                <w:szCs w:val="17"/>
                              </w:rPr>
                            </w:pPr>
                            <w:r w:rsidRPr="003C1F92">
                              <w:rPr>
                                <w:sz w:val="17"/>
                                <w:szCs w:val="17"/>
                              </w:rPr>
                              <w:t>Sacs de prélèvement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62D6B" id="Zone de texte 14192" o:spid="_x0000_s1414" type="#_x0000_t202" style="position:absolute;left:0;text-align:left;margin-left:219.1pt;margin-top:219.1pt;width:46.65pt;height:17.35pt;z-index:2510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" fillcolor="white [3201]" stroked="f" strokeweight=".5pt">
                <v:textbox inset="0,0,0,0">
                  <w:txbxContent>
                    <w:p w:rsidR="00D53F39" w:rsidRPr="003C1F92" w:rsidRDefault="00D53F39" w:rsidP="00E24DB7">
                      <w:pPr>
                        <w:spacing w:line="160" w:lineRule="exact"/>
                        <w:jc w:val="center"/>
                        <w:rPr>
                          <w:sz w:val="17"/>
                          <w:szCs w:val="17"/>
                        </w:rPr>
                      </w:pPr>
                      <w:r w:rsidRPr="003C1F92">
                        <w:rPr>
                          <w:sz w:val="17"/>
                          <w:szCs w:val="17"/>
                        </w:rPr>
                        <w:t>Sacs de prélèvement</w:t>
                      </w:r>
                    </w:p>
                  </w:txbxContent>
                </v:textbox>
              </v:shape>
            </w:pict>
          </mc:Fallback>
        </mc:AlternateContent>
      </w:r>
      <w:r w:rsidRPr="002C5876">
        <w:rPr>
          <w:noProof/>
          <w:lang w:val="en-GB" w:eastAsia="zh-CN"/>
        </w:rPr>
        <mc:AlternateContent>
          <mc:Choice Requires="wps">
            <w:drawing>
              <wp:anchor distT="0" distB="0" distL="114300" distR="114300" simplePos="0" relativeHeight="251090944" behindDoc="0" locked="0" layoutInCell="1" allowOverlap="1" wp14:anchorId="396C785D" wp14:editId="11524B86">
                <wp:simplePos x="0" y="0"/>
                <wp:positionH relativeFrom="column">
                  <wp:posOffset>873760</wp:posOffset>
                </wp:positionH>
                <wp:positionV relativeFrom="paragraph">
                  <wp:posOffset>2408555</wp:posOffset>
                </wp:positionV>
                <wp:extent cx="2000250" cy="317500"/>
                <wp:effectExtent l="0" t="0" r="0" b="6350"/>
                <wp:wrapNone/>
                <wp:docPr id="14193" name="Zone de texte 14193"/>
                <wp:cNvGraphicFramePr/>
                <a:graphic xmlns:a="http://schemas.openxmlformats.org/drawingml/2006/main">
                  <a:graphicData uri="http://schemas.microsoft.com/office/word/2010/wordprocessingShape">
                    <wps:wsp>
                      <wps:cNvSpPr txBox="1"/>
                      <wps:spPr>
                        <a:xfrm>
                          <a:off x="0" y="0"/>
                          <a:ext cx="200025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E911A4" w:rsidRDefault="00D53F39" w:rsidP="00E24DB7">
                            <w:pPr>
                              <w:spacing w:line="240" w:lineRule="auto"/>
                              <w:rPr>
                                <w:sz w:val="18"/>
                                <w:szCs w:val="18"/>
                              </w:rPr>
                            </w:pPr>
                            <w:r w:rsidRPr="00E911A4">
                              <w:rPr>
                                <w:sz w:val="18"/>
                                <w:szCs w:val="18"/>
                              </w:rPr>
                              <w:t xml:space="preserve">Nécessaire uniquement pour les essais </w:t>
                            </w:r>
                            <w:r w:rsidRPr="00E911A4">
                              <w:rPr>
                                <w:sz w:val="18"/>
                                <w:szCs w:val="18"/>
                              </w:rPr>
                              <w:br/>
                              <w:t>de véhicules fonctionnant au gazole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C785D" id="Zone de texte 14193" o:spid="_x0000_s1415" type="#_x0000_t202" style="position:absolute;left:0;text-align:left;margin-left:68.8pt;margin-top:189.65pt;width:157.5pt;height:25pt;z-index:2510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" fillcolor="white [3201]" stroked="f" strokeweight=".5pt">
                <v:textbox inset="0,0,0,0">
                  <w:txbxContent>
                    <w:p w:rsidR="00D53F39" w:rsidRPr="00E911A4" w:rsidRDefault="00D53F39" w:rsidP="00E24DB7">
                      <w:pPr>
                        <w:spacing w:line="240" w:lineRule="auto"/>
                        <w:rPr>
                          <w:sz w:val="18"/>
                          <w:szCs w:val="18"/>
                        </w:rPr>
                      </w:pPr>
                      <w:r w:rsidRPr="00E911A4">
                        <w:rPr>
                          <w:sz w:val="18"/>
                          <w:szCs w:val="18"/>
                        </w:rPr>
                        <w:t xml:space="preserve">Nécessaire uniquement pour les essais </w:t>
                      </w:r>
                      <w:r w:rsidRPr="00E911A4">
                        <w:rPr>
                          <w:sz w:val="18"/>
                          <w:szCs w:val="18"/>
                        </w:rPr>
                        <w:br/>
                        <w:t>de véhicules fonctionnant au gazole</w:t>
                      </w:r>
                    </w:p>
                  </w:txbxContent>
                </v:textbox>
              </v:shape>
            </w:pict>
          </mc:Fallback>
        </mc:AlternateContent>
      </w:r>
      <w:r w:rsidRPr="002C5876">
        <w:rPr>
          <w:noProof/>
          <w:lang w:val="en-GB" w:eastAsia="zh-CN"/>
        </w:rPr>
        <mc:AlternateContent>
          <mc:Choice Requires="wps">
            <w:drawing>
              <wp:anchor distT="0" distB="0" distL="114300" distR="114300" simplePos="0" relativeHeight="251085824" behindDoc="0" locked="0" layoutInCell="1" allowOverlap="1" wp14:anchorId="1D280EF3" wp14:editId="24D24DC1">
                <wp:simplePos x="0" y="0"/>
                <wp:positionH relativeFrom="column">
                  <wp:posOffset>1723059</wp:posOffset>
                </wp:positionH>
                <wp:positionV relativeFrom="paragraph">
                  <wp:posOffset>2072691</wp:posOffset>
                </wp:positionV>
                <wp:extent cx="438150" cy="197511"/>
                <wp:effectExtent l="0" t="0" r="0" b="0"/>
                <wp:wrapNone/>
                <wp:docPr id="14188" name="Zone de texte 14188"/>
                <wp:cNvGraphicFramePr/>
                <a:graphic xmlns:a="http://schemas.openxmlformats.org/drawingml/2006/main">
                  <a:graphicData uri="http://schemas.microsoft.com/office/word/2010/wordprocessingShape">
                    <wps:wsp>
                      <wps:cNvSpPr txBox="1"/>
                      <wps:spPr>
                        <a:xfrm>
                          <a:off x="0" y="0"/>
                          <a:ext cx="438150" cy="1975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3C1F92" w:rsidRDefault="00D53F39" w:rsidP="00E24DB7">
                            <w:pPr>
                              <w:spacing w:line="240" w:lineRule="auto"/>
                              <w:jc w:val="center"/>
                              <w:rPr>
                                <w:sz w:val="18"/>
                                <w:szCs w:val="18"/>
                              </w:rPr>
                            </w:pPr>
                            <w:r w:rsidRPr="003C1F92">
                              <w:rPr>
                                <w:sz w:val="18"/>
                                <w:szCs w:val="18"/>
                              </w:rPr>
                              <w:t>HFID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80EF3" id="Zone de texte 14188" o:spid="_x0000_s1416" type="#_x0000_t202" style="position:absolute;left:0;text-align:left;margin-left:135.65pt;margin-top:163.2pt;width:34.5pt;height:15.55pt;z-index:25108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" fillcolor="white [3201]" stroked="f" strokeweight=".5pt">
                <v:textbox inset="0,0,0,0">
                  <w:txbxContent>
                    <w:p w:rsidR="00D53F39" w:rsidRPr="003C1F92" w:rsidRDefault="00D53F39" w:rsidP="00E24DB7">
                      <w:pPr>
                        <w:spacing w:line="240" w:lineRule="auto"/>
                        <w:jc w:val="center"/>
                        <w:rPr>
                          <w:sz w:val="18"/>
                          <w:szCs w:val="18"/>
                        </w:rPr>
                      </w:pPr>
                      <w:r w:rsidRPr="003C1F92">
                        <w:rPr>
                          <w:sz w:val="18"/>
                          <w:szCs w:val="18"/>
                        </w:rPr>
                        <w:t>HFID</w:t>
                      </w:r>
                    </w:p>
                  </w:txbxContent>
                </v:textbox>
              </v:shape>
            </w:pict>
          </mc:Fallback>
        </mc:AlternateContent>
      </w:r>
      <w:r w:rsidRPr="002C5876">
        <w:rPr>
          <w:noProof/>
          <w:lang w:val="en-GB" w:eastAsia="zh-CN"/>
        </w:rPr>
        <mc:AlternateContent>
          <mc:Choice Requires="wps">
            <w:drawing>
              <wp:anchor distT="0" distB="0" distL="114300" distR="114300" simplePos="0" relativeHeight="251086848" behindDoc="0" locked="0" layoutInCell="1" allowOverlap="1" wp14:anchorId="32FDB7E9" wp14:editId="4A853478">
                <wp:simplePos x="0" y="0"/>
                <wp:positionH relativeFrom="column">
                  <wp:posOffset>2820467</wp:posOffset>
                </wp:positionH>
                <wp:positionV relativeFrom="paragraph">
                  <wp:posOffset>2006930</wp:posOffset>
                </wp:positionV>
                <wp:extent cx="488950" cy="292608"/>
                <wp:effectExtent l="0" t="0" r="6350" b="0"/>
                <wp:wrapNone/>
                <wp:docPr id="14189" name="Zone de texte 14189"/>
                <wp:cNvGraphicFramePr/>
                <a:graphic xmlns:a="http://schemas.openxmlformats.org/drawingml/2006/main">
                  <a:graphicData uri="http://schemas.microsoft.com/office/word/2010/wordprocessingShape">
                    <wps:wsp>
                      <wps:cNvSpPr txBox="1"/>
                      <wps:spPr>
                        <a:xfrm>
                          <a:off x="0" y="0"/>
                          <a:ext cx="488950" cy="2926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3C1F92" w:rsidRDefault="00D53F39" w:rsidP="00E24DB7">
                            <w:pPr>
                              <w:spacing w:line="240" w:lineRule="auto"/>
                              <w:jc w:val="center"/>
                              <w:rPr>
                                <w:sz w:val="18"/>
                                <w:szCs w:val="18"/>
                              </w:rPr>
                            </w:pPr>
                            <w:r w:rsidRPr="003C1F92">
                              <w:rPr>
                                <w:sz w:val="18"/>
                                <w:szCs w:val="18"/>
                              </w:rPr>
                              <w:t>Sélection</w:t>
                            </w:r>
                            <w:r w:rsidRPr="003C1F92">
                              <w:rPr>
                                <w:sz w:val="18"/>
                                <w:szCs w:val="18"/>
                              </w:rPr>
                              <w:br/>
                              <w:t>des gaz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DB7E9" id="Zone de texte 14189" o:spid="_x0000_s1417" type="#_x0000_t202" style="position:absolute;left:0;text-align:left;margin-left:222.1pt;margin-top:158.05pt;width:38.5pt;height:23.05pt;z-index:2510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" fillcolor="white [3201]" stroked="f" strokeweight=".5pt">
                <v:textbox inset="0,0,0,0">
                  <w:txbxContent>
                    <w:p w:rsidR="00D53F39" w:rsidRPr="003C1F92" w:rsidRDefault="00D53F39" w:rsidP="00E24DB7">
                      <w:pPr>
                        <w:spacing w:line="240" w:lineRule="auto"/>
                        <w:jc w:val="center"/>
                        <w:rPr>
                          <w:sz w:val="18"/>
                          <w:szCs w:val="18"/>
                        </w:rPr>
                      </w:pPr>
                      <w:r w:rsidRPr="003C1F92">
                        <w:rPr>
                          <w:sz w:val="18"/>
                          <w:szCs w:val="18"/>
                        </w:rPr>
                        <w:t>Sélection</w:t>
                      </w:r>
                      <w:r w:rsidRPr="003C1F92">
                        <w:rPr>
                          <w:sz w:val="18"/>
                          <w:szCs w:val="18"/>
                        </w:rPr>
                        <w:br/>
                        <w:t>des gaz</w:t>
                      </w:r>
                    </w:p>
                  </w:txbxContent>
                </v:textbox>
              </v:shape>
            </w:pict>
          </mc:Fallback>
        </mc:AlternateContent>
      </w:r>
      <w:r w:rsidRPr="002C5876">
        <w:rPr>
          <w:noProof/>
          <w:lang w:val="en-GB" w:eastAsia="zh-CN"/>
        </w:rPr>
        <mc:AlternateContent>
          <mc:Choice Requires="wps">
            <w:drawing>
              <wp:anchor distT="0" distB="0" distL="114300" distR="114300" simplePos="0" relativeHeight="251087872" behindDoc="0" locked="0" layoutInCell="1" allowOverlap="1" wp14:anchorId="733ABCBA" wp14:editId="2F67234F">
                <wp:simplePos x="0" y="0"/>
                <wp:positionH relativeFrom="column">
                  <wp:posOffset>3836010</wp:posOffset>
                </wp:positionH>
                <wp:positionV relativeFrom="paragraph">
                  <wp:posOffset>1960245</wp:posOffset>
                </wp:positionV>
                <wp:extent cx="1314450" cy="203200"/>
                <wp:effectExtent l="0" t="0" r="0" b="6350"/>
                <wp:wrapNone/>
                <wp:docPr id="14190" name="Zone de texte 14190"/>
                <wp:cNvGraphicFramePr/>
                <a:graphic xmlns:a="http://schemas.openxmlformats.org/drawingml/2006/main">
                  <a:graphicData uri="http://schemas.microsoft.com/office/word/2010/wordprocessingShape">
                    <wps:wsp>
                      <wps:cNvSpPr txBox="1"/>
                      <wps:spPr>
                        <a:xfrm>
                          <a:off x="0" y="0"/>
                          <a:ext cx="1314450" cy="20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E911A4" w:rsidRDefault="00D53F39" w:rsidP="00E24DB7">
                            <w:pPr>
                              <w:rPr>
                                <w:sz w:val="18"/>
                                <w:szCs w:val="18"/>
                              </w:rPr>
                            </w:pPr>
                            <w:r w:rsidRPr="00E911A4">
                              <w:rPr>
                                <w:sz w:val="18"/>
                                <w:szCs w:val="18"/>
                              </w:rPr>
                              <w:t>Gaz de mise à zéro (air)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ABCBA" id="Zone de texte 14190" o:spid="_x0000_s1418" type="#_x0000_t202" style="position:absolute;left:0;text-align:left;margin-left:302.05pt;margin-top:154.35pt;width:103.5pt;height:16pt;z-index:2510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" fillcolor="white [3201]" stroked="f" strokeweight=".5pt">
                <v:textbox inset="0,0,0,0">
                  <w:txbxContent>
                    <w:p w:rsidR="00D53F39" w:rsidRPr="00E911A4" w:rsidRDefault="00D53F39" w:rsidP="00E24DB7">
                      <w:pPr>
                        <w:rPr>
                          <w:sz w:val="18"/>
                          <w:szCs w:val="18"/>
                        </w:rPr>
                      </w:pPr>
                      <w:r w:rsidRPr="00E911A4">
                        <w:rPr>
                          <w:sz w:val="18"/>
                          <w:szCs w:val="18"/>
                        </w:rPr>
                        <w:t>Gaz de mise à zéro (air)</w:t>
                      </w:r>
                    </w:p>
                  </w:txbxContent>
                </v:textbox>
              </v:shape>
            </w:pict>
          </mc:Fallback>
        </mc:AlternateContent>
      </w:r>
      <w:r w:rsidRPr="002C5876">
        <w:rPr>
          <w:noProof/>
          <w:lang w:val="en-GB" w:eastAsia="zh-CN"/>
        </w:rPr>
        <mc:AlternateContent>
          <mc:Choice Requires="wps">
            <w:drawing>
              <wp:anchor distT="0" distB="0" distL="114300" distR="114300" simplePos="0" relativeHeight="251088896" behindDoc="0" locked="0" layoutInCell="1" allowOverlap="1" wp14:anchorId="22C24B5E" wp14:editId="12D21B6F">
                <wp:simplePos x="0" y="0"/>
                <wp:positionH relativeFrom="column">
                  <wp:posOffset>3828339</wp:posOffset>
                </wp:positionH>
                <wp:positionV relativeFrom="paragraph">
                  <wp:posOffset>2134235</wp:posOffset>
                </wp:positionV>
                <wp:extent cx="1308100" cy="317500"/>
                <wp:effectExtent l="0" t="0" r="6350" b="6350"/>
                <wp:wrapNone/>
                <wp:docPr id="14191" name="Zone de texte 14191"/>
                <wp:cNvGraphicFramePr/>
                <a:graphic xmlns:a="http://schemas.openxmlformats.org/drawingml/2006/main">
                  <a:graphicData uri="http://schemas.microsoft.com/office/word/2010/wordprocessingShape">
                    <wps:wsp>
                      <wps:cNvSpPr txBox="1"/>
                      <wps:spPr>
                        <a:xfrm>
                          <a:off x="0" y="0"/>
                          <a:ext cx="130810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3C1F92" w:rsidRDefault="00D53F39" w:rsidP="00E24DB7">
                            <w:pPr>
                              <w:spacing w:line="240" w:lineRule="auto"/>
                              <w:rPr>
                                <w:sz w:val="18"/>
                                <w:szCs w:val="18"/>
                              </w:rPr>
                            </w:pPr>
                            <w:r w:rsidRPr="003C1F92">
                              <w:rPr>
                                <w:sz w:val="18"/>
                                <w:szCs w:val="18"/>
                              </w:rPr>
                              <w:t xml:space="preserve">Gaz d’étalonnage </w:t>
                            </w:r>
                            <w:r w:rsidRPr="003C1F92">
                              <w:rPr>
                                <w:sz w:val="18"/>
                                <w:szCs w:val="18"/>
                              </w:rPr>
                              <w:br/>
                              <w:t>(propane/air)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24B5E" id="Zone de texte 14191" o:spid="_x0000_s1419" type="#_x0000_t202" style="position:absolute;left:0;text-align:left;margin-left:301.45pt;margin-top:168.05pt;width:103pt;height:25pt;z-index:2510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" fillcolor="white [3201]" stroked="f" strokeweight=".5pt">
                <v:textbox inset="0,0,0,0">
                  <w:txbxContent>
                    <w:p w:rsidR="00D53F39" w:rsidRPr="003C1F92" w:rsidRDefault="00D53F39" w:rsidP="00E24DB7">
                      <w:pPr>
                        <w:spacing w:line="240" w:lineRule="auto"/>
                        <w:rPr>
                          <w:sz w:val="18"/>
                          <w:szCs w:val="18"/>
                        </w:rPr>
                      </w:pPr>
                      <w:r w:rsidRPr="003C1F92">
                        <w:rPr>
                          <w:sz w:val="18"/>
                          <w:szCs w:val="18"/>
                        </w:rPr>
                        <w:t xml:space="preserve">Gaz d’étalonnage </w:t>
                      </w:r>
                      <w:r w:rsidRPr="003C1F92">
                        <w:rPr>
                          <w:sz w:val="18"/>
                          <w:szCs w:val="18"/>
                        </w:rPr>
                        <w:br/>
                        <w:t>(propane/air)</w:t>
                      </w:r>
                    </w:p>
                  </w:txbxContent>
                </v:textbox>
              </v:shape>
            </w:pict>
          </mc:Fallback>
        </mc:AlternateContent>
      </w:r>
      <w:r w:rsidRPr="002C5876">
        <w:rPr>
          <w:noProof/>
          <w:lang w:val="en-GB" w:eastAsia="zh-CN"/>
        </w:rPr>
        <mc:AlternateContent>
          <mc:Choice Requires="wps">
            <w:drawing>
              <wp:anchor distT="0" distB="0" distL="114300" distR="114300" simplePos="0" relativeHeight="251082752" behindDoc="0" locked="0" layoutInCell="1" allowOverlap="1" wp14:anchorId="21733357" wp14:editId="5B85450E">
                <wp:simplePos x="0" y="0"/>
                <wp:positionH relativeFrom="column">
                  <wp:posOffset>2702890</wp:posOffset>
                </wp:positionH>
                <wp:positionV relativeFrom="paragraph">
                  <wp:posOffset>1092200</wp:posOffset>
                </wp:positionV>
                <wp:extent cx="694944" cy="197511"/>
                <wp:effectExtent l="0" t="0" r="0" b="0"/>
                <wp:wrapNone/>
                <wp:docPr id="144" name="Zone de texte 144"/>
                <wp:cNvGraphicFramePr/>
                <a:graphic xmlns:a="http://schemas.openxmlformats.org/drawingml/2006/main">
                  <a:graphicData uri="http://schemas.microsoft.com/office/word/2010/wordprocessingShape">
                    <wps:wsp>
                      <wps:cNvSpPr txBox="1"/>
                      <wps:spPr>
                        <a:xfrm>
                          <a:off x="0" y="0"/>
                          <a:ext cx="694944" cy="1975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3C1F92" w:rsidRDefault="00D53F39" w:rsidP="00E24DB7">
                            <w:pPr>
                              <w:jc w:val="center"/>
                              <w:rPr>
                                <w:sz w:val="18"/>
                                <w:szCs w:val="18"/>
                              </w:rPr>
                            </w:pPr>
                            <w:r w:rsidRPr="003C1F92">
                              <w:rPr>
                                <w:sz w:val="18"/>
                                <w:szCs w:val="18"/>
                              </w:rPr>
                              <w:t>Filtre chauffé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33357" id="Zone de texte 144" o:spid="_x0000_s1420" type="#_x0000_t202" style="position:absolute;left:0;text-align:left;margin-left:212.85pt;margin-top:86pt;width:54.7pt;height:15.55pt;z-index:2510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" fillcolor="white [3201]" stroked="f" strokeweight=".5pt">
                <v:textbox inset="0,0,0,0">
                  <w:txbxContent>
                    <w:p w:rsidR="00D53F39" w:rsidRPr="003C1F92" w:rsidRDefault="00D53F39" w:rsidP="00E24DB7">
                      <w:pPr>
                        <w:jc w:val="center"/>
                        <w:rPr>
                          <w:sz w:val="18"/>
                          <w:szCs w:val="18"/>
                        </w:rPr>
                      </w:pPr>
                      <w:r w:rsidRPr="003C1F92">
                        <w:rPr>
                          <w:sz w:val="18"/>
                          <w:szCs w:val="18"/>
                        </w:rPr>
                        <w:t>Filtre chauffé</w:t>
                      </w:r>
                    </w:p>
                  </w:txbxContent>
                </v:textbox>
              </v:shape>
            </w:pict>
          </mc:Fallback>
        </mc:AlternateContent>
      </w:r>
      <w:r w:rsidRPr="002C5876">
        <w:rPr>
          <w:noProof/>
          <w:lang w:val="en-GB" w:eastAsia="zh-CN"/>
        </w:rPr>
        <mc:AlternateContent>
          <mc:Choice Requires="wps">
            <w:drawing>
              <wp:anchor distT="0" distB="0" distL="114300" distR="114300" simplePos="0" relativeHeight="251084800" behindDoc="0" locked="0" layoutInCell="1" allowOverlap="1" wp14:anchorId="22B7099F" wp14:editId="62F8E2F0">
                <wp:simplePos x="0" y="0"/>
                <wp:positionH relativeFrom="column">
                  <wp:posOffset>1251865</wp:posOffset>
                </wp:positionH>
                <wp:positionV relativeFrom="paragraph">
                  <wp:posOffset>1067282</wp:posOffset>
                </wp:positionV>
                <wp:extent cx="1384300" cy="317500"/>
                <wp:effectExtent l="0" t="0" r="6350" b="6350"/>
                <wp:wrapNone/>
                <wp:docPr id="14187" name="Zone de texte 14187"/>
                <wp:cNvGraphicFramePr/>
                <a:graphic xmlns:a="http://schemas.openxmlformats.org/drawingml/2006/main">
                  <a:graphicData uri="http://schemas.microsoft.com/office/word/2010/wordprocessingShape">
                    <wps:wsp>
                      <wps:cNvSpPr txBox="1"/>
                      <wps:spPr>
                        <a:xfrm>
                          <a:off x="0" y="0"/>
                          <a:ext cx="138430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3C1F92" w:rsidRDefault="00D53F39" w:rsidP="00E24DB7">
                            <w:pPr>
                              <w:spacing w:line="240" w:lineRule="auto"/>
                              <w:rPr>
                                <w:sz w:val="18"/>
                                <w:szCs w:val="18"/>
                              </w:rPr>
                            </w:pPr>
                            <w:r w:rsidRPr="003C1F92">
                              <w:rPr>
                                <w:sz w:val="18"/>
                                <w:szCs w:val="18"/>
                              </w:rPr>
                              <w:t xml:space="preserve">Composants chauffés </w:t>
                            </w:r>
                            <w:r w:rsidRPr="003C1F92">
                              <w:rPr>
                                <w:sz w:val="18"/>
                                <w:szCs w:val="18"/>
                              </w:rPr>
                              <w:br/>
                              <w:t>à 190 °C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7099F" id="Zone de texte 14187" o:spid="_x0000_s1421" type="#_x0000_t202" style="position:absolute;left:0;text-align:left;margin-left:98.55pt;margin-top:84.05pt;width:109pt;height:25pt;z-index:2510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" fillcolor="white [3201]" stroked="f" strokeweight=".5pt">
                <v:textbox inset="0,0,0,0">
                  <w:txbxContent>
                    <w:p w:rsidR="00D53F39" w:rsidRPr="003C1F92" w:rsidRDefault="00D53F39" w:rsidP="00E24DB7">
                      <w:pPr>
                        <w:spacing w:line="240" w:lineRule="auto"/>
                        <w:rPr>
                          <w:sz w:val="18"/>
                          <w:szCs w:val="18"/>
                        </w:rPr>
                      </w:pPr>
                      <w:r w:rsidRPr="003C1F92">
                        <w:rPr>
                          <w:sz w:val="18"/>
                          <w:szCs w:val="18"/>
                        </w:rPr>
                        <w:t xml:space="preserve">Composants chauffés </w:t>
                      </w:r>
                      <w:r w:rsidRPr="003C1F92">
                        <w:rPr>
                          <w:sz w:val="18"/>
                          <w:szCs w:val="18"/>
                        </w:rPr>
                        <w:br/>
                        <w:t>à 190 °C</w:t>
                      </w:r>
                    </w:p>
                  </w:txbxContent>
                </v:textbox>
              </v:shape>
            </w:pict>
          </mc:Fallback>
        </mc:AlternateContent>
      </w:r>
      <w:r w:rsidRPr="002C5876">
        <w:rPr>
          <w:noProof/>
          <w:lang w:val="en-GB" w:eastAsia="zh-CN"/>
        </w:rPr>
        <mc:AlternateContent>
          <mc:Choice Requires="wps">
            <w:drawing>
              <wp:anchor distT="0" distB="0" distL="114300" distR="114300" simplePos="0" relativeHeight="251100160" behindDoc="0" locked="0" layoutInCell="1" allowOverlap="1" wp14:anchorId="01270AA7" wp14:editId="51D046A3">
                <wp:simplePos x="0" y="0"/>
                <wp:positionH relativeFrom="column">
                  <wp:posOffset>1083310</wp:posOffset>
                </wp:positionH>
                <wp:positionV relativeFrom="paragraph">
                  <wp:posOffset>145415</wp:posOffset>
                </wp:positionV>
                <wp:extent cx="1384300" cy="254000"/>
                <wp:effectExtent l="0" t="0" r="6350" b="0"/>
                <wp:wrapNone/>
                <wp:docPr id="143" name="Zone de texte 143"/>
                <wp:cNvGraphicFramePr/>
                <a:graphic xmlns:a="http://schemas.openxmlformats.org/drawingml/2006/main">
                  <a:graphicData uri="http://schemas.microsoft.com/office/word/2010/wordprocessingShape">
                    <wps:wsp>
                      <wps:cNvSpPr txBox="1"/>
                      <wps:spPr>
                        <a:xfrm>
                          <a:off x="0" y="0"/>
                          <a:ext cx="1384300"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3C1F92" w:rsidRDefault="00D53F39" w:rsidP="00E24DB7">
                            <w:pPr>
                              <w:rPr>
                                <w:sz w:val="18"/>
                                <w:szCs w:val="18"/>
                              </w:rPr>
                            </w:pPr>
                            <w:r w:rsidRPr="003C1F92">
                              <w:rPr>
                                <w:sz w:val="18"/>
                                <w:szCs w:val="18"/>
                              </w:rPr>
                              <w:t>Tunnel de dilution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270AA7" id="Zone de texte 143" o:spid="_x0000_s1422" type="#_x0000_t202" style="position:absolute;left:0;text-align:left;margin-left:85.3pt;margin-top:11.45pt;width:109pt;height:20pt;z-index:25110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" fillcolor="white [3201]" stroked="f" strokeweight=".5pt">
                <v:textbox inset="0,0,0,0">
                  <w:txbxContent>
                    <w:p w:rsidR="00D53F39" w:rsidRPr="003C1F92" w:rsidRDefault="00D53F39" w:rsidP="00E24DB7">
                      <w:pPr>
                        <w:rPr>
                          <w:sz w:val="18"/>
                          <w:szCs w:val="18"/>
                        </w:rPr>
                      </w:pPr>
                      <w:r w:rsidRPr="003C1F92">
                        <w:rPr>
                          <w:sz w:val="18"/>
                          <w:szCs w:val="18"/>
                        </w:rPr>
                        <w:t>Tunnel de dilution</w:t>
                      </w:r>
                    </w:p>
                  </w:txbxContent>
                </v:textbox>
              </v:shape>
            </w:pict>
          </mc:Fallback>
        </mc:AlternateContent>
      </w:r>
      <w:r w:rsidRPr="002C5876">
        <w:rPr>
          <w:noProof/>
          <w:lang w:val="en-GB" w:eastAsia="zh-CN"/>
        </w:rPr>
        <w:drawing>
          <wp:inline distT="0" distB="0" distL="0" distR="0" wp14:anchorId="3E32CE3B" wp14:editId="3E1E8BC5">
            <wp:extent cx="4362450" cy="3219450"/>
            <wp:effectExtent l="0" t="0" r="0" b="0"/>
            <wp:docPr id="590" name="Imag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96" cstate="print">
                      <a:extLst>
                        <a:ext uri="{28A0092B-C50C-407E-A947-70E740481C1C}">
                          <a14:useLocalDpi xmlns:a14="http://schemas.microsoft.com/office/drawing/2010/main" val="0"/>
                        </a:ext>
                      </a:extLst>
                    </a:blip>
                    <a:srcRect l="-2194"/>
                    <a:stretch>
                      <a:fillRect/>
                    </a:stretch>
                  </pic:blipFill>
                  <pic:spPr bwMode="auto">
                    <a:xfrm>
                      <a:off x="0" y="0"/>
                      <a:ext cx="4362450" cy="3219450"/>
                    </a:xfrm>
                    <a:prstGeom prst="rect">
                      <a:avLst/>
                    </a:prstGeom>
                    <a:noFill/>
                    <a:ln>
                      <a:noFill/>
                    </a:ln>
                  </pic:spPr>
                </pic:pic>
              </a:graphicData>
            </a:graphic>
          </wp:inline>
        </w:drawing>
      </w:r>
    </w:p>
    <w:p w:rsidR="00E24DB7" w:rsidRPr="002C5876" w:rsidRDefault="00E24DB7" w:rsidP="00E24DB7">
      <w:pPr>
        <w:pStyle w:val="SingleTxtG"/>
        <w:keepNext/>
        <w:spacing w:before="240"/>
        <w:ind w:left="2268" w:hanging="1134"/>
        <w:jc w:val="left"/>
      </w:pPr>
      <w:r w:rsidRPr="002C5876">
        <w:t>4.2</w:t>
      </w:r>
      <w:r w:rsidRPr="002C5876">
        <w:tab/>
        <w:t>Appareillage de mesure de la masse des particules émises</w:t>
      </w:r>
    </w:p>
    <w:p w:rsidR="00E24DB7" w:rsidRPr="002C5876" w:rsidRDefault="00E24DB7" w:rsidP="00E24DB7">
      <w:pPr>
        <w:pStyle w:val="SingleTxtG"/>
        <w:keepNext/>
        <w:ind w:left="2268" w:hanging="1134"/>
        <w:jc w:val="left"/>
      </w:pPr>
      <w:r w:rsidRPr="002C5876">
        <w:t>4.2.1</w:t>
      </w:r>
      <w:r w:rsidRPr="002C5876">
        <w:tab/>
        <w:t>Description</w:t>
      </w:r>
    </w:p>
    <w:p w:rsidR="00E24DB7" w:rsidRPr="002C5876" w:rsidRDefault="00E24DB7" w:rsidP="00E24DB7">
      <w:pPr>
        <w:pStyle w:val="SingleTxtG"/>
        <w:keepNext/>
        <w:ind w:left="2268" w:hanging="1134"/>
        <w:jc w:val="left"/>
      </w:pPr>
      <w:r w:rsidRPr="002C5876">
        <w:t>4.2.1.1</w:t>
      </w:r>
      <w:r w:rsidRPr="002C5876">
        <w:tab/>
        <w:t>Vue d’ensemble du système</w:t>
      </w:r>
    </w:p>
    <w:p w:rsidR="00E24DB7" w:rsidRPr="002C5876" w:rsidRDefault="00E24DB7" w:rsidP="00E24DB7">
      <w:pPr>
        <w:pStyle w:val="SingleTxtG"/>
        <w:ind w:left="2268" w:hanging="1134"/>
      </w:pPr>
      <w:r w:rsidRPr="002C5876">
        <w:t>4.2.1.1.1</w:t>
      </w:r>
      <w:r w:rsidRPr="002C5876">
        <w:tab/>
      </w:r>
      <w:r w:rsidRPr="002C5876">
        <w:rPr>
          <w:spacing w:val="-2"/>
        </w:rPr>
        <w:t>Le dispositif de prélèvement de l’échantillon de mesure des particules se compose d’une sonde de prélèvement (PSP) située dans le tunnel de dilution, d’un tube de transfert des échantillons de particules (PTT), d’un porte-filtre (FH), d’une ou plusieurs pompes, de régulateurs de débit et de dispositifs de mesure.</w:t>
      </w:r>
      <w:r w:rsidRPr="002C5876">
        <w:t xml:space="preserve"> Voir les figures A5/11, A5/12 et A5/13.</w:t>
      </w:r>
    </w:p>
    <w:p w:rsidR="00E24DB7" w:rsidRPr="002C5876" w:rsidRDefault="00E24DB7" w:rsidP="00E24DB7">
      <w:pPr>
        <w:pStyle w:val="SingleTxtG"/>
        <w:ind w:left="2268" w:hanging="1134"/>
      </w:pPr>
      <w:r w:rsidRPr="002C5876">
        <w:t>4.2.1.1.2</w:t>
      </w:r>
      <w:r w:rsidRPr="002C5876">
        <w:tab/>
        <w:t>Un séparateur primaire PCF (séparateur à impact ou cyclone, par exemple) peut être utilisé. Dans ce cas, il est recommandé de l’utiliser en amont du porte</w:t>
      </w:r>
      <w:r w:rsidRPr="002C5876">
        <w:noBreakHyphen/>
        <w:t xml:space="preserve">filtre. </w:t>
      </w:r>
    </w:p>
    <w:p w:rsidR="00E24DB7" w:rsidRPr="002C5876" w:rsidRDefault="00E24DB7" w:rsidP="00E24DB7">
      <w:pPr>
        <w:pStyle w:val="H23G"/>
      </w:pPr>
      <w:r w:rsidRPr="002C5876">
        <w:rPr>
          <w:b w:val="0"/>
        </w:rPr>
        <w:lastRenderedPageBreak/>
        <w:tab/>
      </w:r>
      <w:r w:rsidRPr="002C5876">
        <w:rPr>
          <w:b w:val="0"/>
        </w:rPr>
        <w:tab/>
        <w:t>Figure A5/11</w:t>
      </w:r>
      <w:r w:rsidRPr="002C5876">
        <w:t xml:space="preserve"> </w:t>
      </w:r>
      <w:r w:rsidRPr="002C5876">
        <w:br/>
        <w:t xml:space="preserve">Autre configuration possible pour une sonde de prélèvement de particules </w:t>
      </w:r>
    </w:p>
    <w:p w:rsidR="00E24DB7" w:rsidRPr="002C5876" w:rsidRDefault="00E24DB7" w:rsidP="00E24DB7">
      <w:pPr>
        <w:ind w:left="1134"/>
      </w:pPr>
      <w:r w:rsidRPr="002C5876">
        <w:rPr>
          <w:noProof/>
          <w:lang w:val="en-GB" w:eastAsia="zh-CN"/>
        </w:rPr>
        <mc:AlternateContent>
          <mc:Choice Requires="wps">
            <w:drawing>
              <wp:anchor distT="0" distB="0" distL="114300" distR="114300" simplePos="0" relativeHeight="251080704" behindDoc="0" locked="0" layoutInCell="1" allowOverlap="1" wp14:anchorId="34E4D258" wp14:editId="49664246">
                <wp:simplePos x="0" y="0"/>
                <wp:positionH relativeFrom="column">
                  <wp:posOffset>752449</wp:posOffset>
                </wp:positionH>
                <wp:positionV relativeFrom="paragraph">
                  <wp:posOffset>1464153</wp:posOffset>
                </wp:positionV>
                <wp:extent cx="2725387" cy="287119"/>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387" cy="287119"/>
                        </a:xfrm>
                        <a:prstGeom prst="rect">
                          <a:avLst/>
                        </a:prstGeom>
                        <a:solidFill>
                          <a:srgbClr val="FFFFFF"/>
                        </a:solidFill>
                        <a:ln w="9525">
                          <a:noFill/>
                          <a:miter lim="800000"/>
                          <a:headEnd/>
                          <a:tailEnd/>
                        </a:ln>
                      </wps:spPr>
                      <wps:txbx>
                        <w:txbxContent>
                          <w:p w:rsidR="00D53F39" w:rsidRPr="00267790" w:rsidRDefault="00D53F39" w:rsidP="00E24DB7">
                            <w:pPr>
                              <w:spacing w:line="200" w:lineRule="atLeast"/>
                              <w:rPr>
                                <w:sz w:val="16"/>
                                <w:szCs w:val="16"/>
                              </w:rPr>
                            </w:pPr>
                            <w:r w:rsidRPr="00267790">
                              <w:rPr>
                                <w:sz w:val="16"/>
                                <w:szCs w:val="16"/>
                              </w:rPr>
                              <w:t xml:space="preserve">(*) Diamètre intérieur minimal </w:t>
                            </w:r>
                            <w:r w:rsidRPr="00267790">
                              <w:rPr>
                                <w:sz w:val="16"/>
                                <w:szCs w:val="16"/>
                              </w:rPr>
                              <w:br/>
                              <w:t>Épaisseur de la paroi ~ 1mm − Matériau : acier inoxydable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4D258" id="_x0000_s1423" type="#_x0000_t202" style="position:absolute;left:0;text-align:left;margin-left:59.25pt;margin-top:115.3pt;width:214.6pt;height:22.6pt;z-index:2510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" stroked="f">
                <v:textbox inset="0,0,0,0">
                  <w:txbxContent>
                    <w:p w:rsidR="00D53F39" w:rsidRPr="00267790" w:rsidRDefault="00D53F39" w:rsidP="00E24DB7">
                      <w:pPr>
                        <w:spacing w:line="200" w:lineRule="atLeast"/>
                        <w:rPr>
                          <w:sz w:val="16"/>
                          <w:szCs w:val="16"/>
                        </w:rPr>
                      </w:pPr>
                      <w:r w:rsidRPr="00267790">
                        <w:rPr>
                          <w:sz w:val="16"/>
                          <w:szCs w:val="16"/>
                        </w:rPr>
                        <w:t xml:space="preserve">(*) Diamètre intérieur minimal </w:t>
                      </w:r>
                      <w:r w:rsidRPr="00267790">
                        <w:rPr>
                          <w:sz w:val="16"/>
                          <w:szCs w:val="16"/>
                        </w:rPr>
                        <w:br/>
                        <w:t>Épaisseur de la paroi ~ 1mm − Matériau : acier inoxydable</w:t>
                      </w:r>
                    </w:p>
                  </w:txbxContent>
                </v:textbox>
              </v:shape>
            </w:pict>
          </mc:Fallback>
        </mc:AlternateContent>
      </w:r>
      <w:r w:rsidRPr="002C5876">
        <w:rPr>
          <w:noProof/>
          <w:lang w:val="en-GB" w:eastAsia="zh-CN"/>
        </w:rPr>
        <w:drawing>
          <wp:inline distT="0" distB="0" distL="0" distR="0" wp14:anchorId="73095C21" wp14:editId="492062FC">
            <wp:extent cx="4644000" cy="1815475"/>
            <wp:effectExtent l="0" t="0" r="444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44000" cy="1815475"/>
                    </a:xfrm>
                    <a:prstGeom prst="rect">
                      <a:avLst/>
                    </a:prstGeom>
                    <a:noFill/>
                    <a:ln>
                      <a:noFill/>
                    </a:ln>
                  </pic:spPr>
                </pic:pic>
              </a:graphicData>
            </a:graphic>
          </wp:inline>
        </w:drawing>
      </w:r>
    </w:p>
    <w:p w:rsidR="00E24DB7" w:rsidRPr="002C5876" w:rsidRDefault="00E24DB7" w:rsidP="00E24DB7">
      <w:pPr>
        <w:pStyle w:val="SingleTxtG"/>
        <w:keepNext/>
        <w:spacing w:before="240"/>
        <w:ind w:left="2268" w:hanging="1134"/>
        <w:jc w:val="left"/>
      </w:pPr>
      <w:r w:rsidRPr="002C5876">
        <w:t>4.2.1.2</w:t>
      </w:r>
      <w:r w:rsidRPr="002C5876">
        <w:tab/>
        <w:t>Prescriptions générales</w:t>
      </w:r>
    </w:p>
    <w:p w:rsidR="00E24DB7" w:rsidRPr="002C5876" w:rsidRDefault="00E24DB7" w:rsidP="00E24DB7">
      <w:pPr>
        <w:pStyle w:val="SingleTxtG"/>
        <w:ind w:left="2268" w:hanging="1134"/>
      </w:pPr>
      <w:r w:rsidRPr="002C5876">
        <w:t>4.2.1.2.1</w:t>
      </w:r>
      <w:r w:rsidRPr="002C5876">
        <w:tab/>
        <w:t>La sonde de prélèvement du flux de gaz pour l’essai de mesure des particules doit être disposée dans le tunnel de dilution de façon à permettre le prélèvement d’un flux de gaz représentatif du mélange homogène air/gaz d’échappement, et doit être située en amont de l’échangeur de chaleur (s’il en existe un).</w:t>
      </w:r>
    </w:p>
    <w:p w:rsidR="00E24DB7" w:rsidRPr="002C5876" w:rsidRDefault="00E24DB7" w:rsidP="00E24DB7">
      <w:pPr>
        <w:pStyle w:val="SingleTxtG"/>
        <w:ind w:left="2268" w:hanging="1134"/>
        <w:rPr>
          <w:spacing w:val="-3"/>
        </w:rPr>
      </w:pPr>
      <w:r w:rsidRPr="002C5876">
        <w:t>4.2.1.2.2</w:t>
      </w:r>
      <w:r w:rsidRPr="002C5876">
        <w:tab/>
        <w:t xml:space="preserve">Le débit de l’échantillon de mesure des particules doit être proportionnel au débit-masse total de gaz d’échappement dilués dans le tunnel de dilution, avec une tolérance de </w:t>
      </w:r>
      <w:r w:rsidRPr="002C5876">
        <w:sym w:font="Symbol" w:char="F0B1"/>
      </w:r>
      <w:r w:rsidRPr="002C5876">
        <w:t>5 %. Le contrôle de cette proportionnalité doit être effectué lors de la mise en service du système et sur demande de l’autorité compétente.</w:t>
      </w:r>
      <w:r w:rsidRPr="002C5876">
        <w:rPr>
          <w:spacing w:val="-3"/>
        </w:rPr>
        <w:t xml:space="preserve"> </w:t>
      </w:r>
    </w:p>
    <w:p w:rsidR="00E24DB7" w:rsidRPr="002C5876" w:rsidRDefault="00E24DB7" w:rsidP="00E24DB7">
      <w:pPr>
        <w:pStyle w:val="SingleTxtG"/>
        <w:ind w:left="2268" w:hanging="1134"/>
      </w:pPr>
      <w:r w:rsidRPr="002C5876">
        <w:t>4.2.1.2.3</w:t>
      </w:r>
      <w:r w:rsidRPr="002C5876">
        <w:tab/>
        <w:t xml:space="preserve">Les gaz d’échappement dilués prélevés doivent être maintenus à une température supérieure à 20 °C et inférieure à 52 °C dans la section comprise entre 20 cm en amont et 20 cm en aval de la surface d’entrée du filtre de collecte des particules. Pour y parvenir, il est permis de chauffer ou d’isoler les éléments du système de prélèvement de particules. </w:t>
      </w:r>
    </w:p>
    <w:p w:rsidR="00E24DB7" w:rsidRPr="002C5876" w:rsidRDefault="00E24DB7" w:rsidP="00E24DB7">
      <w:pPr>
        <w:pStyle w:val="SingleTxtG"/>
        <w:ind w:left="2268"/>
      </w:pPr>
      <w:r w:rsidRPr="002C5876">
        <w:tab/>
        <w:t xml:space="preserve">Dans le cas où la limite de 52 °C serait dépassée lors d’un essai au cours duquel le processus de régénération périodique ne s’est pas produit, il convient soit d’augmenter le débit du système de prélèvement soit d’appliquer une double dilution (ce qui implique que le débit soit déjà suffisant pour ne pas provoquer de condensation dans le système de prélèvement, les sacs de collecte ou le système d’analyse). </w:t>
      </w:r>
    </w:p>
    <w:p w:rsidR="00E24DB7" w:rsidRPr="002C5876" w:rsidRDefault="00E24DB7" w:rsidP="00E24DB7">
      <w:pPr>
        <w:pStyle w:val="SingleTxtG"/>
        <w:ind w:left="2268" w:hanging="1134"/>
      </w:pPr>
      <w:r w:rsidRPr="002C5876">
        <w:t>4.2.1.2.4</w:t>
      </w:r>
      <w:r w:rsidRPr="002C5876">
        <w:tab/>
        <w:t xml:space="preserve">L’échantillon de mesure des particules doit être prélevé sur un seul filtre monté sur un porte-filtre dans le flux de gaz d’échappement dilués prélevés. </w:t>
      </w:r>
    </w:p>
    <w:p w:rsidR="00E24DB7" w:rsidRPr="002C5876" w:rsidRDefault="00E24DB7" w:rsidP="00E24DB7">
      <w:pPr>
        <w:pStyle w:val="SingleTxtG"/>
        <w:ind w:left="2268" w:hanging="1134"/>
      </w:pPr>
      <w:r w:rsidRPr="002C5876">
        <w:t>4.2.1.2.5</w:t>
      </w:r>
      <w:r w:rsidRPr="002C5876">
        <w:tab/>
        <w:t xml:space="preserve">Tous les éléments du système de dilution et du système de prélèvement compris entre le tuyau d’échappement et le porte-filtre qui entrent en contact avec les gaz d’échappement bruts et dilués doivent être conçus de façon à réduire le plus possible les dépôts ou l’altération des matières particulaires. Ils doivent être réalisés en matériaux électriquement conducteurs qui ne réagissent pas avec les constituants des gaz d’échappement, et doivent être mis à la masse de façon à prévenir les effets électrostatiques. </w:t>
      </w:r>
    </w:p>
    <w:p w:rsidR="00E24DB7" w:rsidRPr="002C5876" w:rsidRDefault="00E24DB7" w:rsidP="00E24DB7">
      <w:pPr>
        <w:pStyle w:val="SingleTxtG"/>
        <w:ind w:left="2268" w:hanging="1134"/>
      </w:pPr>
      <w:r w:rsidRPr="002C5876">
        <w:t>4.2.1.2.6</w:t>
      </w:r>
      <w:r w:rsidRPr="002C5876">
        <w:tab/>
        <w:t xml:space="preserve">S’il n’est pas possible de compenser les variations de débit, on doit prévoir un échangeur de chaleur et un dispositif de régulation des températures possédant les caractéristiques spécifiées aux paragraphes 3.3.5.1 ou 3.3.6.4.2 de la présente annexe de façon à garantir la stabilité du débit dans le système et donc la proportionnalité du débit de prélèvement. </w:t>
      </w:r>
    </w:p>
    <w:p w:rsidR="00E24DB7" w:rsidRPr="002C5876" w:rsidRDefault="00E24DB7" w:rsidP="00E24DB7">
      <w:pPr>
        <w:pStyle w:val="SingleTxtG"/>
        <w:ind w:left="2268" w:hanging="1134"/>
      </w:pPr>
      <w:r w:rsidRPr="002C5876">
        <w:t>4.2.1.2.7</w:t>
      </w:r>
      <w:r w:rsidRPr="002C5876">
        <w:tab/>
        <w:t xml:space="preserve">Les températures prescrites pour la mesure de la masse des particules doivent être mesurées avec une exactitude de </w:t>
      </w:r>
      <w:r w:rsidRPr="002C5876">
        <w:sym w:font="Symbol" w:char="F0B1"/>
      </w:r>
      <w:r w:rsidRPr="002C5876">
        <w:t>1 °C et un temps de réponse (t</w:t>
      </w:r>
      <w:r w:rsidRPr="002C5876">
        <w:rPr>
          <w:vertAlign w:val="subscript"/>
        </w:rPr>
        <w:t>90</w:t>
      </w:r>
      <w:r w:rsidRPr="002C5876">
        <w:t> - t</w:t>
      </w:r>
      <w:r w:rsidRPr="002C5876">
        <w:rPr>
          <w:vertAlign w:val="subscript"/>
        </w:rPr>
        <w:t>10</w:t>
      </w:r>
      <w:r w:rsidRPr="002C5876">
        <w:t xml:space="preserve">) ne dépassant pas 15 s. </w:t>
      </w:r>
    </w:p>
    <w:p w:rsidR="00E24DB7" w:rsidRPr="002C5876" w:rsidRDefault="00E24DB7" w:rsidP="00E24DB7">
      <w:pPr>
        <w:pStyle w:val="SingleTxtG"/>
        <w:ind w:left="2268" w:hanging="1134"/>
      </w:pPr>
      <w:r w:rsidRPr="002C5876">
        <w:lastRenderedPageBreak/>
        <w:t>4.2.1.2.8</w:t>
      </w:r>
      <w:r w:rsidRPr="002C5876">
        <w:tab/>
        <w:t xml:space="preserve">Le débit de l’échantillon dans le tunnel de dilution doit être mesuré avec une exactitude de </w:t>
      </w:r>
      <w:r w:rsidRPr="002C5876">
        <w:sym w:font="Symbol" w:char="F0B1"/>
      </w:r>
      <w:r w:rsidRPr="002C5876">
        <w:t xml:space="preserve">2,5 % de la valeur indiquée ou de </w:t>
      </w:r>
      <w:r w:rsidRPr="002C5876">
        <w:sym w:font="Symbol" w:char="F0B1"/>
      </w:r>
      <w:r w:rsidRPr="002C5876">
        <w:t xml:space="preserve">1,5 % de la plage de mesure maximale, la valeur la plus basse étant retenue. </w:t>
      </w:r>
    </w:p>
    <w:p w:rsidR="00E24DB7" w:rsidRPr="002C5876" w:rsidRDefault="00E24DB7" w:rsidP="00E24DB7">
      <w:pPr>
        <w:pStyle w:val="SingleTxtG"/>
        <w:ind w:left="2268"/>
      </w:pPr>
      <w:r w:rsidRPr="002C5876">
        <w:tab/>
        <w:t xml:space="preserve">L’exactitude du débit spécifiée ci-dessus de l’échantillon de matière particulaire dans le tunnel de dilution s’applique également lorsque l’on applique une double dilution. Par conséquent, la mesure et le réglage du débit d’air de dilution secondaire et de gaz d’échappement dilués à travers le filtre doivent être d’une exactitude supérieure. </w:t>
      </w:r>
    </w:p>
    <w:p w:rsidR="00E24DB7" w:rsidRPr="002C5876" w:rsidRDefault="00E24DB7" w:rsidP="00E24DB7">
      <w:pPr>
        <w:pStyle w:val="SingleTxtG"/>
        <w:keepNext/>
        <w:ind w:left="2268" w:hanging="1134"/>
      </w:pPr>
      <w:r w:rsidRPr="002C5876">
        <w:t>4.2.1.2.9</w:t>
      </w:r>
      <w:r w:rsidRPr="002C5876">
        <w:tab/>
        <w:t xml:space="preserve">Toutes les données nécessaires à la mesure de la masse des particules doivent être enregistrées à une fréquence de 1 Hz ou plus. En règle générale, il s’agit des éléments suivants : </w:t>
      </w:r>
    </w:p>
    <w:p w:rsidR="00E24DB7" w:rsidRPr="002C5876" w:rsidRDefault="00E24DB7" w:rsidP="00E24DB7">
      <w:pPr>
        <w:pStyle w:val="SingleTxtG"/>
        <w:ind w:left="2835" w:hanging="567"/>
      </w:pPr>
      <w:r w:rsidRPr="002C5876">
        <w:t>a)</w:t>
      </w:r>
      <w:r w:rsidRPr="002C5876">
        <w:tab/>
        <w:t>La température des gaz d’échappement dilués au droit du filtre à particules ;</w:t>
      </w:r>
    </w:p>
    <w:p w:rsidR="00E24DB7" w:rsidRPr="002C5876" w:rsidRDefault="00E24DB7" w:rsidP="00E24DB7">
      <w:pPr>
        <w:pStyle w:val="SingleTxtG"/>
        <w:ind w:left="2835" w:hanging="567"/>
      </w:pPr>
      <w:r w:rsidRPr="002C5876">
        <w:t>b)</w:t>
      </w:r>
      <w:r w:rsidRPr="002C5876">
        <w:tab/>
        <w:t>Le débit de prélèvement de l’échantillon ;</w:t>
      </w:r>
    </w:p>
    <w:p w:rsidR="00E24DB7" w:rsidRPr="002C5876" w:rsidRDefault="00E24DB7" w:rsidP="00E24DB7">
      <w:pPr>
        <w:pStyle w:val="SingleTxtG"/>
        <w:ind w:left="2835" w:hanging="567"/>
      </w:pPr>
      <w:r w:rsidRPr="002C5876">
        <w:t>c)</w:t>
      </w:r>
      <w:r w:rsidRPr="002C5876">
        <w:tab/>
        <w:t>Le débit d’air de dilution secondaire (s’il est fait recours à une dilution secondaire) ;</w:t>
      </w:r>
    </w:p>
    <w:p w:rsidR="00E24DB7" w:rsidRPr="002C5876" w:rsidRDefault="00E24DB7" w:rsidP="00E24DB7">
      <w:pPr>
        <w:pStyle w:val="SingleTxtG"/>
        <w:ind w:left="2835" w:hanging="567"/>
      </w:pPr>
      <w:r w:rsidRPr="002C5876">
        <w:t>d)</w:t>
      </w:r>
      <w:r w:rsidRPr="002C5876">
        <w:tab/>
        <w:t>La température de l’air de dilution secondaire (s’il est fait recours à une dilution secondaire).</w:t>
      </w:r>
    </w:p>
    <w:p w:rsidR="00E24DB7" w:rsidRPr="002C5876" w:rsidRDefault="00E24DB7" w:rsidP="00E24DB7">
      <w:pPr>
        <w:pStyle w:val="SingleTxtG"/>
        <w:keepNext/>
        <w:ind w:left="2268" w:hanging="1134"/>
      </w:pPr>
      <w:r w:rsidRPr="002C5876">
        <w:t>4.2.1.2.10</w:t>
      </w:r>
      <w:r w:rsidRPr="002C5876">
        <w:tab/>
        <w:t>Dans le cas de systèmes à double dilution, l’exactitude du débit de gaz d’échappement dilués transférés du tunnel de dilution</w:t>
      </w:r>
      <w:r w:rsidR="00C40F56" w:rsidRPr="002C5876">
        <w:t> </w:t>
      </w:r>
      <w:r w:rsidRPr="002C5876">
        <w:t>V</w:t>
      </w:r>
      <w:r w:rsidRPr="002C5876">
        <w:rPr>
          <w:vertAlign w:val="subscript"/>
        </w:rPr>
        <w:t>ep</w:t>
      </w:r>
      <w:r w:rsidRPr="002C5876">
        <w:t xml:space="preserve"> définie dans l’équation figurant au paragraphe</w:t>
      </w:r>
      <w:r w:rsidR="00C40F56" w:rsidRPr="002C5876">
        <w:t> </w:t>
      </w:r>
      <w:r w:rsidRPr="002C5876">
        <w:t>3.3.2 de l’annexe</w:t>
      </w:r>
      <w:r w:rsidR="00C40F56" w:rsidRPr="002C5876">
        <w:t> </w:t>
      </w:r>
      <w:r w:rsidRPr="002C5876">
        <w:t>7 n’est pas mesurée directement mais déterminée par la différence entre les débits.</w:t>
      </w:r>
    </w:p>
    <w:p w:rsidR="00E24DB7" w:rsidRPr="002C5876" w:rsidRDefault="00E24DB7" w:rsidP="00E24DB7">
      <w:pPr>
        <w:pStyle w:val="SingleTxtG"/>
        <w:ind w:left="2268"/>
      </w:pPr>
      <w:r w:rsidRPr="002C5876">
        <w:tab/>
      </w:r>
      <w:r w:rsidRPr="002C5876">
        <w:rPr>
          <w:spacing w:val="-2"/>
        </w:rPr>
        <w:t>L’exactitude des débitmètres utilisés pour la mesure et le réglage du débit des gaz d’échappement doublement dilués traversant les filtres de prélèvement des particules ainsi que pour la mesure et le réglage du débit de l’air de dilution secondaire doit être suffisante pour que le volume différentiel</w:t>
      </w:r>
      <w:r w:rsidR="00C40F56" w:rsidRPr="002C5876">
        <w:rPr>
          <w:spacing w:val="-2"/>
        </w:rPr>
        <w:t> </w:t>
      </w:r>
      <w:r w:rsidRPr="002C5876">
        <w:rPr>
          <w:spacing w:val="-2"/>
        </w:rPr>
        <w:t>V</w:t>
      </w:r>
      <w:r w:rsidRPr="002C5876">
        <w:rPr>
          <w:spacing w:val="-2"/>
          <w:vertAlign w:val="subscript"/>
        </w:rPr>
        <w:t>ep</w:t>
      </w:r>
      <w:r w:rsidRPr="002C5876">
        <w:rPr>
          <w:spacing w:val="-2"/>
        </w:rPr>
        <w:t xml:space="preserve"> réponde aux conditions d’exactitude et de proportionnalité de l’échantillonnage prescrites</w:t>
      </w:r>
      <w:r w:rsidRPr="002C5876">
        <w:t xml:space="preserve"> pour une dilution simple. </w:t>
      </w:r>
    </w:p>
    <w:p w:rsidR="00E24DB7" w:rsidRPr="002C5876" w:rsidRDefault="00E24DB7" w:rsidP="00E24DB7">
      <w:pPr>
        <w:pStyle w:val="SingleTxtG"/>
        <w:keepLines/>
        <w:ind w:left="2268"/>
      </w:pPr>
      <w:r w:rsidRPr="002C5876">
        <w:tab/>
        <w:t xml:space="preserve">La prescription selon laquelle il ne doit pas se produire de condensation des gaz d’échappement dans le tunnel de dilution du système de prélèvement à volume constant, dans le système de mesure du débit des gaz d’échappement dilués, dans les sacs d’échantillonnage du système de prélèvement à volume constant et dans les systèmes d’analyse est également applicable dans le cas où des systèmes à double dilution sont utilisés. </w:t>
      </w:r>
    </w:p>
    <w:p w:rsidR="00E24DB7" w:rsidRPr="002C5876" w:rsidRDefault="00E24DB7" w:rsidP="00E24DB7">
      <w:pPr>
        <w:pStyle w:val="SingleTxtG"/>
        <w:ind w:left="2268" w:hanging="1134"/>
      </w:pPr>
      <w:r w:rsidRPr="002C5876">
        <w:t>4.2.1.2.11</w:t>
      </w:r>
      <w:r w:rsidRPr="002C5876">
        <w:tab/>
        <w:t xml:space="preserve">Tout débitmètre utilisé dans un système de prélèvement d’échantillons de particules ou dans un système à double dilution doit être soumis à une vérification de la linéarité telle que spécifiée par le fabricant. </w:t>
      </w:r>
    </w:p>
    <w:p w:rsidR="00E24DB7" w:rsidRPr="002C5876" w:rsidRDefault="00E24DB7" w:rsidP="00E24DB7">
      <w:pPr>
        <w:pStyle w:val="H23G"/>
      </w:pPr>
      <w:r w:rsidRPr="002C5876">
        <w:rPr>
          <w:b w:val="0"/>
        </w:rPr>
        <w:lastRenderedPageBreak/>
        <w:tab/>
      </w:r>
      <w:r w:rsidRPr="002C5876">
        <w:rPr>
          <w:b w:val="0"/>
        </w:rPr>
        <w:tab/>
        <w:t>Figure A5/12</w:t>
      </w:r>
      <w:r w:rsidRPr="002C5876">
        <w:br/>
        <w:t>Système de prélèvement d’échantillons de particules</w:t>
      </w:r>
    </w:p>
    <w:p w:rsidR="00E24DB7" w:rsidRPr="002C5876" w:rsidRDefault="00E24DB7" w:rsidP="00E24DB7">
      <w:pPr>
        <w:spacing w:after="240"/>
        <w:ind w:left="1134"/>
      </w:pPr>
      <w:r w:rsidRPr="002C5876">
        <w:rPr>
          <w:noProof/>
          <w:lang w:val="en-GB" w:eastAsia="zh-CN"/>
        </w:rPr>
        <mc:AlternateContent>
          <mc:Choice Requires="wps">
            <w:drawing>
              <wp:anchor distT="0" distB="0" distL="114300" distR="114300" simplePos="0" relativeHeight="251092992" behindDoc="0" locked="0" layoutInCell="1" allowOverlap="1" wp14:anchorId="7A824744" wp14:editId="72F50738">
                <wp:simplePos x="0" y="0"/>
                <wp:positionH relativeFrom="column">
                  <wp:posOffset>3870220</wp:posOffset>
                </wp:positionH>
                <wp:positionV relativeFrom="paragraph">
                  <wp:posOffset>1824355</wp:posOffset>
                </wp:positionV>
                <wp:extent cx="100330" cy="100330"/>
                <wp:effectExtent l="0" t="0" r="0" b="0"/>
                <wp:wrapNone/>
                <wp:docPr id="14200" name="Zone de texte 14200"/>
                <wp:cNvGraphicFramePr/>
                <a:graphic xmlns:a="http://schemas.openxmlformats.org/drawingml/2006/main">
                  <a:graphicData uri="http://schemas.microsoft.com/office/word/2010/wordprocessingShape">
                    <wps:wsp>
                      <wps:cNvSpPr txBox="1"/>
                      <wps:spPr>
                        <a:xfrm>
                          <a:off x="0" y="0"/>
                          <a:ext cx="100330" cy="1003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BF0021" w:rsidRDefault="00D53F39" w:rsidP="00E24DB7">
                            <w:pPr>
                              <w:spacing w:line="240" w:lineRule="auto"/>
                              <w:jc w:val="center"/>
                              <w:rPr>
                                <w:sz w:val="18"/>
                                <w:szCs w:val="18"/>
                              </w:rPr>
                            </w:pPr>
                            <w:r w:rsidRPr="00BF0021">
                              <w:rPr>
                                <w:sz w:val="18"/>
                                <w:szCs w:val="18"/>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24744" id="Zone de texte 14200" o:spid="_x0000_s1424" type="#_x0000_t202" style="position:absolute;left:0;text-align:left;margin-left:304.75pt;margin-top:143.65pt;width:7.9pt;height:7.9pt;z-index:2510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" fillcolor="white [3201]" stroked="f" strokeweight=".5pt">
                <v:textbox inset="0,0,0,0">
                  <w:txbxContent>
                    <w:p w:rsidR="00D53F39" w:rsidRPr="00BF0021" w:rsidRDefault="00D53F39" w:rsidP="00E24DB7">
                      <w:pPr>
                        <w:spacing w:line="240" w:lineRule="auto"/>
                        <w:jc w:val="center"/>
                        <w:rPr>
                          <w:sz w:val="18"/>
                          <w:szCs w:val="18"/>
                        </w:rPr>
                      </w:pPr>
                      <w:r w:rsidRPr="00BF0021">
                        <w:rPr>
                          <w:sz w:val="18"/>
                          <w:szCs w:val="18"/>
                        </w:rPr>
                        <w:t>V</w:t>
                      </w:r>
                    </w:p>
                  </w:txbxContent>
                </v:textbox>
              </v:shape>
            </w:pict>
          </mc:Fallback>
        </mc:AlternateContent>
      </w:r>
      <w:r w:rsidRPr="002C5876">
        <w:rPr>
          <w:noProof/>
          <w:lang w:val="en-GB" w:eastAsia="zh-CN"/>
        </w:rPr>
        <mc:AlternateContent>
          <mc:Choice Requires="wps">
            <w:drawing>
              <wp:anchor distT="0" distB="0" distL="114300" distR="114300" simplePos="0" relativeHeight="251091968" behindDoc="0" locked="0" layoutInCell="1" allowOverlap="1" wp14:anchorId="3D22D193" wp14:editId="7BCED355">
                <wp:simplePos x="0" y="0"/>
                <wp:positionH relativeFrom="column">
                  <wp:posOffset>3420110</wp:posOffset>
                </wp:positionH>
                <wp:positionV relativeFrom="paragraph">
                  <wp:posOffset>1824250</wp:posOffset>
                </wp:positionV>
                <wp:extent cx="100330" cy="100330"/>
                <wp:effectExtent l="0" t="0" r="0" b="0"/>
                <wp:wrapNone/>
                <wp:docPr id="14199" name="Zone de texte 14199"/>
                <wp:cNvGraphicFramePr/>
                <a:graphic xmlns:a="http://schemas.openxmlformats.org/drawingml/2006/main">
                  <a:graphicData uri="http://schemas.microsoft.com/office/word/2010/wordprocessingShape">
                    <wps:wsp>
                      <wps:cNvSpPr txBox="1"/>
                      <wps:spPr>
                        <a:xfrm>
                          <a:off x="0" y="0"/>
                          <a:ext cx="100330" cy="1003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BF0021" w:rsidRDefault="00D53F39" w:rsidP="00E24DB7">
                            <w:pPr>
                              <w:spacing w:line="240" w:lineRule="auto"/>
                              <w:jc w:val="center"/>
                              <w:rPr>
                                <w:sz w:val="18"/>
                                <w:szCs w:val="18"/>
                              </w:rPr>
                            </w:pPr>
                            <w:r w:rsidRPr="00BF0021">
                              <w:rPr>
                                <w:sz w:val="18"/>
                                <w:szCs w:val="18"/>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2D193" id="Zone de texte 14199" o:spid="_x0000_s1425" type="#_x0000_t202" style="position:absolute;left:0;text-align:left;margin-left:269.3pt;margin-top:143.65pt;width:7.9pt;height:7.9pt;z-index:2510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" fillcolor="white [3201]" stroked="f" strokeweight=".5pt">
                <v:textbox inset="0,0,0,0">
                  <w:txbxContent>
                    <w:p w:rsidR="00D53F39" w:rsidRPr="00BF0021" w:rsidRDefault="00D53F39" w:rsidP="00E24DB7">
                      <w:pPr>
                        <w:spacing w:line="240" w:lineRule="auto"/>
                        <w:jc w:val="center"/>
                        <w:rPr>
                          <w:sz w:val="18"/>
                          <w:szCs w:val="18"/>
                        </w:rPr>
                      </w:pPr>
                      <w:r w:rsidRPr="00BF0021">
                        <w:rPr>
                          <w:sz w:val="18"/>
                          <w:szCs w:val="18"/>
                        </w:rPr>
                        <w:t>V</w:t>
                      </w:r>
                    </w:p>
                  </w:txbxContent>
                </v:textbox>
              </v:shape>
            </w:pict>
          </mc:Fallback>
        </mc:AlternateContent>
      </w:r>
      <w:r w:rsidRPr="002C5876">
        <w:rPr>
          <w:noProof/>
          <w:lang w:val="en-GB" w:eastAsia="zh-CN"/>
        </w:rPr>
        <mc:AlternateContent>
          <mc:Choice Requires="wps">
            <w:drawing>
              <wp:anchor distT="0" distB="0" distL="114300" distR="114300" simplePos="0" relativeHeight="251099136" behindDoc="0" locked="0" layoutInCell="1" allowOverlap="1" wp14:anchorId="488E6967" wp14:editId="1A6E6245">
                <wp:simplePos x="0" y="0"/>
                <wp:positionH relativeFrom="column">
                  <wp:posOffset>1946910</wp:posOffset>
                </wp:positionH>
                <wp:positionV relativeFrom="paragraph">
                  <wp:posOffset>3447415</wp:posOffset>
                </wp:positionV>
                <wp:extent cx="2222500" cy="476250"/>
                <wp:effectExtent l="0" t="0" r="6350" b="0"/>
                <wp:wrapNone/>
                <wp:docPr id="14206" name="Zone de texte 14206"/>
                <wp:cNvGraphicFramePr/>
                <a:graphic xmlns:a="http://schemas.openxmlformats.org/drawingml/2006/main">
                  <a:graphicData uri="http://schemas.microsoft.com/office/word/2010/wordprocessingShape">
                    <wps:wsp>
                      <wps:cNvSpPr txBox="1"/>
                      <wps:spPr>
                        <a:xfrm>
                          <a:off x="0" y="0"/>
                          <a:ext cx="2222500"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267790" w:rsidRDefault="00D53F39" w:rsidP="00E24DB7">
                            <w:pPr>
                              <w:spacing w:line="240" w:lineRule="auto"/>
                              <w:jc w:val="center"/>
                              <w:rPr>
                                <w:sz w:val="18"/>
                                <w:szCs w:val="18"/>
                              </w:rPr>
                            </w:pPr>
                            <w:r w:rsidRPr="00267790">
                              <w:rPr>
                                <w:sz w:val="18"/>
                                <w:szCs w:val="18"/>
                              </w:rPr>
                              <w:t>Envoyé dans l’atmosphère ou renvoyé</w:t>
                            </w:r>
                            <w:r w:rsidRPr="00267790">
                              <w:rPr>
                                <w:sz w:val="18"/>
                                <w:szCs w:val="18"/>
                              </w:rPr>
                              <w:br/>
                              <w:t>au système de prélèvement à débit constant</w:t>
                            </w:r>
                            <w:r w:rsidRPr="00267790">
                              <w:rPr>
                                <w:sz w:val="18"/>
                                <w:szCs w:val="18"/>
                              </w:rPr>
                              <w:br/>
                              <w:t>en amont de la mesure du débit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E6967" id="Zone de texte 14206" o:spid="_x0000_s1426" type="#_x0000_t202" style="position:absolute;left:0;text-align:left;margin-left:153.3pt;margin-top:271.45pt;width:175pt;height:37.5pt;z-index:2510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" fillcolor="white [3201]" stroked="f" strokeweight=".5pt">
                <v:textbox inset="0,0,0,0">
                  <w:txbxContent>
                    <w:p w:rsidR="00D53F39" w:rsidRPr="00267790" w:rsidRDefault="00D53F39" w:rsidP="00E24DB7">
                      <w:pPr>
                        <w:spacing w:line="240" w:lineRule="auto"/>
                        <w:jc w:val="center"/>
                        <w:rPr>
                          <w:sz w:val="18"/>
                          <w:szCs w:val="18"/>
                        </w:rPr>
                      </w:pPr>
                      <w:r w:rsidRPr="00267790">
                        <w:rPr>
                          <w:sz w:val="18"/>
                          <w:szCs w:val="18"/>
                        </w:rPr>
                        <w:t>Envoyé dans l’atmosphère ou renvoyé</w:t>
                      </w:r>
                      <w:r w:rsidRPr="00267790">
                        <w:rPr>
                          <w:sz w:val="18"/>
                          <w:szCs w:val="18"/>
                        </w:rPr>
                        <w:br/>
                        <w:t>au système de prélèvement à débit constant</w:t>
                      </w:r>
                      <w:r w:rsidRPr="00267790">
                        <w:rPr>
                          <w:sz w:val="18"/>
                          <w:szCs w:val="18"/>
                        </w:rPr>
                        <w:br/>
                        <w:t>en amont de la mesure du débit</w:t>
                      </w:r>
                    </w:p>
                  </w:txbxContent>
                </v:textbox>
              </v:shape>
            </w:pict>
          </mc:Fallback>
        </mc:AlternateContent>
      </w:r>
      <w:r w:rsidRPr="002C5876">
        <w:rPr>
          <w:noProof/>
          <w:lang w:val="en-GB" w:eastAsia="zh-CN"/>
        </w:rPr>
        <mc:AlternateContent>
          <mc:Choice Requires="wps">
            <w:drawing>
              <wp:anchor distT="0" distB="0" distL="114300" distR="114300" simplePos="0" relativeHeight="251098112" behindDoc="0" locked="0" layoutInCell="1" allowOverlap="1" wp14:anchorId="17BCC058" wp14:editId="3F2BAA30">
                <wp:simplePos x="0" y="0"/>
                <wp:positionH relativeFrom="column">
                  <wp:posOffset>4207510</wp:posOffset>
                </wp:positionH>
                <wp:positionV relativeFrom="paragraph">
                  <wp:posOffset>3148965</wp:posOffset>
                </wp:positionV>
                <wp:extent cx="1720850" cy="565150"/>
                <wp:effectExtent l="0" t="0" r="0" b="6350"/>
                <wp:wrapNone/>
                <wp:docPr id="14205" name="Zone de texte 14205"/>
                <wp:cNvGraphicFramePr/>
                <a:graphic xmlns:a="http://schemas.openxmlformats.org/drawingml/2006/main">
                  <a:graphicData uri="http://schemas.microsoft.com/office/word/2010/wordprocessingShape">
                    <wps:wsp>
                      <wps:cNvSpPr txBox="1"/>
                      <wps:spPr>
                        <a:xfrm>
                          <a:off x="0" y="0"/>
                          <a:ext cx="1720850" cy="565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267790" w:rsidRDefault="00D53F39" w:rsidP="00E24DB7">
                            <w:pPr>
                              <w:spacing w:line="240" w:lineRule="auto"/>
                              <w:jc w:val="center"/>
                              <w:rPr>
                                <w:sz w:val="18"/>
                                <w:szCs w:val="18"/>
                              </w:rPr>
                            </w:pPr>
                            <w:r w:rsidRPr="00267790">
                              <w:rPr>
                                <w:sz w:val="18"/>
                                <w:szCs w:val="18"/>
                              </w:rPr>
                              <w:t>Réglage du débit</w:t>
                            </w:r>
                            <w:r w:rsidRPr="00267790">
                              <w:rPr>
                                <w:sz w:val="18"/>
                                <w:szCs w:val="18"/>
                              </w:rPr>
                              <w:br/>
                              <w:t>proportionnellement au débit</w:t>
                            </w:r>
                            <w:r w:rsidRPr="00267790">
                              <w:rPr>
                                <w:sz w:val="18"/>
                                <w:szCs w:val="18"/>
                              </w:rPr>
                              <w:br/>
                              <w:t xml:space="preserve">du système de prélèvement </w:t>
                            </w:r>
                            <w:r w:rsidRPr="00267790">
                              <w:rPr>
                                <w:sz w:val="18"/>
                                <w:szCs w:val="18"/>
                              </w:rPr>
                              <w:br/>
                              <w:t>à débit constant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CC058" id="Zone de texte 14205" o:spid="_x0000_s1427" type="#_x0000_t202" style="position:absolute;left:0;text-align:left;margin-left:331.3pt;margin-top:247.95pt;width:135.5pt;height:44.5pt;z-index:2510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" fillcolor="white [3201]" stroked="f" strokeweight=".5pt">
                <v:textbox inset="0,0,0,0">
                  <w:txbxContent>
                    <w:p w:rsidR="00D53F39" w:rsidRPr="00267790" w:rsidRDefault="00D53F39" w:rsidP="00E24DB7">
                      <w:pPr>
                        <w:spacing w:line="240" w:lineRule="auto"/>
                        <w:jc w:val="center"/>
                        <w:rPr>
                          <w:sz w:val="18"/>
                          <w:szCs w:val="18"/>
                        </w:rPr>
                      </w:pPr>
                      <w:r w:rsidRPr="00267790">
                        <w:rPr>
                          <w:sz w:val="18"/>
                          <w:szCs w:val="18"/>
                        </w:rPr>
                        <w:t>Réglage du débit</w:t>
                      </w:r>
                      <w:r w:rsidRPr="00267790">
                        <w:rPr>
                          <w:sz w:val="18"/>
                          <w:szCs w:val="18"/>
                        </w:rPr>
                        <w:br/>
                        <w:t>proportionnellement au débit</w:t>
                      </w:r>
                      <w:r w:rsidRPr="00267790">
                        <w:rPr>
                          <w:sz w:val="18"/>
                          <w:szCs w:val="18"/>
                        </w:rPr>
                        <w:br/>
                        <w:t xml:space="preserve">du système de prélèvement </w:t>
                      </w:r>
                      <w:r w:rsidRPr="00267790">
                        <w:rPr>
                          <w:sz w:val="18"/>
                          <w:szCs w:val="18"/>
                        </w:rPr>
                        <w:br/>
                        <w:t>à débit constant</w:t>
                      </w:r>
                    </w:p>
                  </w:txbxContent>
                </v:textbox>
              </v:shape>
            </w:pict>
          </mc:Fallback>
        </mc:AlternateContent>
      </w:r>
      <w:r w:rsidRPr="002C5876">
        <w:rPr>
          <w:noProof/>
          <w:lang w:val="en-GB" w:eastAsia="zh-CN"/>
        </w:rPr>
        <mc:AlternateContent>
          <mc:Choice Requires="wps">
            <w:drawing>
              <wp:anchor distT="0" distB="0" distL="114300" distR="114300" simplePos="0" relativeHeight="251097088" behindDoc="0" locked="0" layoutInCell="1" allowOverlap="1" wp14:anchorId="092CD273" wp14:editId="1792458B">
                <wp:simplePos x="0" y="0"/>
                <wp:positionH relativeFrom="column">
                  <wp:posOffset>3934460</wp:posOffset>
                </wp:positionH>
                <wp:positionV relativeFrom="paragraph">
                  <wp:posOffset>2418715</wp:posOffset>
                </wp:positionV>
                <wp:extent cx="698500" cy="304800"/>
                <wp:effectExtent l="0" t="0" r="6350" b="0"/>
                <wp:wrapNone/>
                <wp:docPr id="14204" name="Zone de texte 14204"/>
                <wp:cNvGraphicFramePr/>
                <a:graphic xmlns:a="http://schemas.openxmlformats.org/drawingml/2006/main">
                  <a:graphicData uri="http://schemas.microsoft.com/office/word/2010/wordprocessingShape">
                    <wps:wsp>
                      <wps:cNvSpPr txBox="1"/>
                      <wps:spPr>
                        <a:xfrm>
                          <a:off x="0" y="0"/>
                          <a:ext cx="6985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501853" w:rsidRDefault="00D53F39" w:rsidP="00E24DB7">
                            <w:pPr>
                              <w:spacing w:line="160" w:lineRule="exact"/>
                              <w:jc w:val="center"/>
                              <w:rPr>
                                <w:sz w:val="18"/>
                                <w:szCs w:val="18"/>
                              </w:rPr>
                            </w:pPr>
                            <w:r w:rsidRPr="00501853">
                              <w:rPr>
                                <w:sz w:val="18"/>
                                <w:szCs w:val="18"/>
                              </w:rPr>
                              <w:t xml:space="preserve">Vanne </w:t>
                            </w:r>
                            <w:r>
                              <w:rPr>
                                <w:sz w:val="18"/>
                                <w:szCs w:val="18"/>
                              </w:rPr>
                              <w:br/>
                            </w:r>
                            <w:r w:rsidRPr="00501853">
                              <w:rPr>
                                <w:sz w:val="18"/>
                                <w:szCs w:val="18"/>
                              </w:rPr>
                              <w:t xml:space="preserve">de réglage </w:t>
                            </w:r>
                            <w:r>
                              <w:rPr>
                                <w:sz w:val="18"/>
                                <w:szCs w:val="18"/>
                              </w:rPr>
                              <w:br/>
                            </w:r>
                            <w:r w:rsidRPr="00501853">
                              <w:rPr>
                                <w:sz w:val="18"/>
                                <w:szCs w:val="18"/>
                              </w:rPr>
                              <w:t>du débit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CD273" id="Zone de texte 14204" o:spid="_x0000_s1428" type="#_x0000_t202" style="position:absolute;left:0;text-align:left;margin-left:309.8pt;margin-top:190.45pt;width:55pt;height:24pt;z-index:2510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" fillcolor="white [3201]" stroked="f" strokeweight=".5pt">
                <v:textbox inset="0,0,0,0">
                  <w:txbxContent>
                    <w:p w:rsidR="00D53F39" w:rsidRPr="00501853" w:rsidRDefault="00D53F39" w:rsidP="00E24DB7">
                      <w:pPr>
                        <w:spacing w:line="160" w:lineRule="exact"/>
                        <w:jc w:val="center"/>
                        <w:rPr>
                          <w:sz w:val="18"/>
                          <w:szCs w:val="18"/>
                        </w:rPr>
                      </w:pPr>
                      <w:r w:rsidRPr="00501853">
                        <w:rPr>
                          <w:sz w:val="18"/>
                          <w:szCs w:val="18"/>
                        </w:rPr>
                        <w:t xml:space="preserve">Vanne </w:t>
                      </w:r>
                      <w:r>
                        <w:rPr>
                          <w:sz w:val="18"/>
                          <w:szCs w:val="18"/>
                        </w:rPr>
                        <w:br/>
                      </w:r>
                      <w:r w:rsidRPr="00501853">
                        <w:rPr>
                          <w:sz w:val="18"/>
                          <w:szCs w:val="18"/>
                        </w:rPr>
                        <w:t xml:space="preserve">de réglage </w:t>
                      </w:r>
                      <w:r>
                        <w:rPr>
                          <w:sz w:val="18"/>
                          <w:szCs w:val="18"/>
                        </w:rPr>
                        <w:br/>
                      </w:r>
                      <w:r w:rsidRPr="00501853">
                        <w:rPr>
                          <w:sz w:val="18"/>
                          <w:szCs w:val="18"/>
                        </w:rPr>
                        <w:t>du débit</w:t>
                      </w:r>
                    </w:p>
                  </w:txbxContent>
                </v:textbox>
              </v:shape>
            </w:pict>
          </mc:Fallback>
        </mc:AlternateContent>
      </w:r>
      <w:r w:rsidRPr="002C5876">
        <w:rPr>
          <w:noProof/>
          <w:lang w:val="en-GB" w:eastAsia="zh-CN"/>
        </w:rPr>
        <mc:AlternateContent>
          <mc:Choice Requires="wps">
            <w:drawing>
              <wp:anchor distT="0" distB="0" distL="114300" distR="114300" simplePos="0" relativeHeight="251096064" behindDoc="0" locked="0" layoutInCell="1" allowOverlap="1" wp14:anchorId="6182AF13" wp14:editId="6D8353FA">
                <wp:simplePos x="0" y="0"/>
                <wp:positionH relativeFrom="column">
                  <wp:posOffset>3178810</wp:posOffset>
                </wp:positionH>
                <wp:positionV relativeFrom="paragraph">
                  <wp:posOffset>2787015</wp:posOffset>
                </wp:positionV>
                <wp:extent cx="590550" cy="254000"/>
                <wp:effectExtent l="0" t="0" r="0" b="0"/>
                <wp:wrapNone/>
                <wp:docPr id="14203" name="Zone de texte 14203"/>
                <wp:cNvGraphicFramePr/>
                <a:graphic xmlns:a="http://schemas.openxmlformats.org/drawingml/2006/main">
                  <a:graphicData uri="http://schemas.microsoft.com/office/word/2010/wordprocessingShape">
                    <wps:wsp>
                      <wps:cNvSpPr txBox="1"/>
                      <wps:spPr>
                        <a:xfrm>
                          <a:off x="0" y="0"/>
                          <a:ext cx="590550"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267790" w:rsidRDefault="00D53F39" w:rsidP="00E24DB7">
                            <w:pPr>
                              <w:spacing w:before="60" w:line="240" w:lineRule="auto"/>
                              <w:rPr>
                                <w:sz w:val="18"/>
                                <w:szCs w:val="18"/>
                              </w:rPr>
                            </w:pPr>
                            <w:r w:rsidRPr="00267790">
                              <w:rPr>
                                <w:sz w:val="18"/>
                                <w:szCs w:val="18"/>
                              </w:rPr>
                              <w:t>Débimètre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2AF13" id="Zone de texte 14203" o:spid="_x0000_s1429" type="#_x0000_t202" style="position:absolute;left:0;text-align:left;margin-left:250.3pt;margin-top:219.45pt;width:46.5pt;height:20pt;z-index:2510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" fillcolor="white [3201]" stroked="f" strokeweight=".5pt">
                <v:textbox inset="0,0,0,0">
                  <w:txbxContent>
                    <w:p w:rsidR="00D53F39" w:rsidRPr="00267790" w:rsidRDefault="00D53F39" w:rsidP="00E24DB7">
                      <w:pPr>
                        <w:spacing w:before="60" w:line="240" w:lineRule="auto"/>
                        <w:rPr>
                          <w:sz w:val="18"/>
                          <w:szCs w:val="18"/>
                        </w:rPr>
                      </w:pPr>
                      <w:r w:rsidRPr="00267790">
                        <w:rPr>
                          <w:sz w:val="18"/>
                          <w:szCs w:val="18"/>
                        </w:rPr>
                        <w:t>Débimètre</w:t>
                      </w:r>
                    </w:p>
                  </w:txbxContent>
                </v:textbox>
              </v:shape>
            </w:pict>
          </mc:Fallback>
        </mc:AlternateContent>
      </w:r>
      <w:r w:rsidRPr="002C5876">
        <w:rPr>
          <w:noProof/>
          <w:lang w:val="en-GB" w:eastAsia="zh-CN"/>
        </w:rPr>
        <mc:AlternateContent>
          <mc:Choice Requires="wps">
            <w:drawing>
              <wp:anchor distT="0" distB="0" distL="114300" distR="114300" simplePos="0" relativeHeight="251095040" behindDoc="0" locked="0" layoutInCell="1" allowOverlap="1" wp14:anchorId="6239831F" wp14:editId="53682C47">
                <wp:simplePos x="0" y="0"/>
                <wp:positionH relativeFrom="column">
                  <wp:posOffset>3274060</wp:posOffset>
                </wp:positionH>
                <wp:positionV relativeFrom="paragraph">
                  <wp:posOffset>2196465</wp:posOffset>
                </wp:positionV>
                <wp:extent cx="425450" cy="177800"/>
                <wp:effectExtent l="0" t="0" r="0" b="0"/>
                <wp:wrapNone/>
                <wp:docPr id="14202" name="Zone de texte 14202"/>
                <wp:cNvGraphicFramePr/>
                <a:graphic xmlns:a="http://schemas.openxmlformats.org/drawingml/2006/main">
                  <a:graphicData uri="http://schemas.microsoft.com/office/word/2010/wordprocessingShape">
                    <wps:wsp>
                      <wps:cNvSpPr txBox="1"/>
                      <wps:spPr>
                        <a:xfrm>
                          <a:off x="0" y="0"/>
                          <a:ext cx="425450" cy="17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267790" w:rsidRDefault="00D53F39" w:rsidP="00E24DB7">
                            <w:pPr>
                              <w:spacing w:line="240" w:lineRule="auto"/>
                              <w:rPr>
                                <w:sz w:val="18"/>
                                <w:szCs w:val="18"/>
                              </w:rPr>
                            </w:pPr>
                            <w:r w:rsidRPr="00267790">
                              <w:rPr>
                                <w:sz w:val="18"/>
                                <w:szCs w:val="18"/>
                              </w:rPr>
                              <w:t>Pompe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9831F" id="Zone de texte 14202" o:spid="_x0000_s1430" type="#_x0000_t202" style="position:absolute;left:0;text-align:left;margin-left:257.8pt;margin-top:172.95pt;width:33.5pt;height:14pt;z-index:2510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" fillcolor="white [3201]" stroked="f" strokeweight=".5pt">
                <v:textbox inset="0,0,0,0">
                  <w:txbxContent>
                    <w:p w:rsidR="00D53F39" w:rsidRPr="00267790" w:rsidRDefault="00D53F39" w:rsidP="00E24DB7">
                      <w:pPr>
                        <w:spacing w:line="240" w:lineRule="auto"/>
                        <w:rPr>
                          <w:sz w:val="18"/>
                          <w:szCs w:val="18"/>
                        </w:rPr>
                      </w:pPr>
                      <w:r w:rsidRPr="00267790">
                        <w:rPr>
                          <w:sz w:val="18"/>
                          <w:szCs w:val="18"/>
                        </w:rPr>
                        <w:t>Pompe</w:t>
                      </w:r>
                    </w:p>
                  </w:txbxContent>
                </v:textbox>
              </v:shape>
            </w:pict>
          </mc:Fallback>
        </mc:AlternateContent>
      </w:r>
      <w:r w:rsidRPr="002C5876">
        <w:rPr>
          <w:noProof/>
          <w:lang w:val="en-GB" w:eastAsia="zh-CN"/>
        </w:rPr>
        <mc:AlternateContent>
          <mc:Choice Requires="wps">
            <w:drawing>
              <wp:anchor distT="0" distB="0" distL="114300" distR="114300" simplePos="0" relativeHeight="251094016" behindDoc="0" locked="0" layoutInCell="1" allowOverlap="1" wp14:anchorId="5E778ED6" wp14:editId="2BAF88ED">
                <wp:simplePos x="0" y="0"/>
                <wp:positionH relativeFrom="column">
                  <wp:posOffset>4017010</wp:posOffset>
                </wp:positionH>
                <wp:positionV relativeFrom="paragraph">
                  <wp:posOffset>1980565</wp:posOffset>
                </wp:positionV>
                <wp:extent cx="1581150" cy="215900"/>
                <wp:effectExtent l="0" t="0" r="0" b="0"/>
                <wp:wrapNone/>
                <wp:docPr id="14201" name="Zone de texte 14201"/>
                <wp:cNvGraphicFramePr/>
                <a:graphic xmlns:a="http://schemas.openxmlformats.org/drawingml/2006/main">
                  <a:graphicData uri="http://schemas.microsoft.com/office/word/2010/wordprocessingShape">
                    <wps:wsp>
                      <wps:cNvSpPr txBox="1"/>
                      <wps:spPr>
                        <a:xfrm>
                          <a:off x="0" y="0"/>
                          <a:ext cx="1581150" cy="21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267790" w:rsidRDefault="00D53F39" w:rsidP="00E24DB7">
                            <w:pPr>
                              <w:spacing w:line="240" w:lineRule="auto"/>
                              <w:rPr>
                                <w:sz w:val="18"/>
                                <w:szCs w:val="18"/>
                              </w:rPr>
                            </w:pPr>
                            <w:r w:rsidRPr="00267790">
                              <w:rPr>
                                <w:sz w:val="18"/>
                                <w:szCs w:val="18"/>
                              </w:rPr>
                              <w:t>V : vannes de sélection du flux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778ED6" id="Zone de texte 14201" o:spid="_x0000_s1431" type="#_x0000_t202" style="position:absolute;left:0;text-align:left;margin-left:316.3pt;margin-top:155.95pt;width:124.5pt;height:17pt;z-index:25109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" fillcolor="white [3201]" stroked="f" strokeweight=".5pt">
                <v:textbox inset="0,0,0,0">
                  <w:txbxContent>
                    <w:p w:rsidR="00D53F39" w:rsidRPr="00267790" w:rsidRDefault="00D53F39" w:rsidP="00E24DB7">
                      <w:pPr>
                        <w:spacing w:line="240" w:lineRule="auto"/>
                        <w:rPr>
                          <w:sz w:val="18"/>
                          <w:szCs w:val="18"/>
                        </w:rPr>
                      </w:pPr>
                      <w:r w:rsidRPr="00267790">
                        <w:rPr>
                          <w:sz w:val="18"/>
                          <w:szCs w:val="18"/>
                        </w:rPr>
                        <w:t>V : vannes de sélection du flux</w:t>
                      </w:r>
                    </w:p>
                  </w:txbxContent>
                </v:textbox>
              </v:shape>
            </w:pict>
          </mc:Fallback>
        </mc:AlternateContent>
      </w:r>
      <w:r w:rsidRPr="002C5876">
        <w:rPr>
          <w:noProof/>
          <w:lang w:val="en-GB" w:eastAsia="zh-CN"/>
        </w:rPr>
        <mc:AlternateContent>
          <mc:Choice Requires="wps">
            <w:drawing>
              <wp:anchor distT="0" distB="0" distL="114300" distR="114300" simplePos="0" relativeHeight="251105280" behindDoc="0" locked="0" layoutInCell="1" allowOverlap="1" wp14:anchorId="0824B621" wp14:editId="036BD527">
                <wp:simplePos x="0" y="0"/>
                <wp:positionH relativeFrom="column">
                  <wp:posOffset>3642360</wp:posOffset>
                </wp:positionH>
                <wp:positionV relativeFrom="paragraph">
                  <wp:posOffset>1351915</wp:posOffset>
                </wp:positionV>
                <wp:extent cx="184150" cy="146050"/>
                <wp:effectExtent l="0" t="0" r="6350" b="6350"/>
                <wp:wrapNone/>
                <wp:docPr id="14198" name="Zone de texte 14198"/>
                <wp:cNvGraphicFramePr/>
                <a:graphic xmlns:a="http://schemas.openxmlformats.org/drawingml/2006/main">
                  <a:graphicData uri="http://schemas.microsoft.com/office/word/2010/wordprocessingShape">
                    <wps:wsp>
                      <wps:cNvSpPr txBox="1"/>
                      <wps:spPr>
                        <a:xfrm>
                          <a:off x="0" y="0"/>
                          <a:ext cx="18415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Default="00D53F39" w:rsidP="00E24DB7">
                            <w:pPr>
                              <w:spacing w:line="240" w:lineRule="auto"/>
                              <w:jc w:val="center"/>
                            </w:pPr>
                            <w:r>
                              <w:t>FV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4B621" id="Zone de texte 14198" o:spid="_x0000_s1432" type="#_x0000_t202" style="position:absolute;left:0;text-align:left;margin-left:286.8pt;margin-top:106.45pt;width:14.5pt;height:11.5pt;z-index:2511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" fillcolor="white [3201]" stroked="f" strokeweight=".5pt">
                <v:textbox inset="0,0,0,0">
                  <w:txbxContent>
                    <w:p w:rsidR="00D53F39" w:rsidRDefault="00D53F39" w:rsidP="00E24DB7">
                      <w:pPr>
                        <w:spacing w:line="240" w:lineRule="auto"/>
                        <w:jc w:val="center"/>
                      </w:pPr>
                      <w:r>
                        <w:t>FV</w:t>
                      </w:r>
                    </w:p>
                  </w:txbxContent>
                </v:textbox>
              </v:shape>
            </w:pict>
          </mc:Fallback>
        </mc:AlternateContent>
      </w:r>
      <w:r w:rsidRPr="002C5876">
        <w:rPr>
          <w:noProof/>
          <w:lang w:val="en-GB" w:eastAsia="zh-CN"/>
        </w:rPr>
        <mc:AlternateContent>
          <mc:Choice Requires="wps">
            <w:drawing>
              <wp:anchor distT="0" distB="0" distL="114300" distR="114300" simplePos="0" relativeHeight="251104256" behindDoc="0" locked="0" layoutInCell="1" allowOverlap="1" wp14:anchorId="5ADCDF61" wp14:editId="66727E80">
                <wp:simplePos x="0" y="0"/>
                <wp:positionH relativeFrom="column">
                  <wp:posOffset>2632710</wp:posOffset>
                </wp:positionH>
                <wp:positionV relativeFrom="paragraph">
                  <wp:posOffset>1758315</wp:posOffset>
                </wp:positionV>
                <wp:extent cx="336550" cy="146050"/>
                <wp:effectExtent l="0" t="0" r="6350" b="6350"/>
                <wp:wrapNone/>
                <wp:docPr id="14197" name="Zone de texte 14197"/>
                <wp:cNvGraphicFramePr/>
                <a:graphic xmlns:a="http://schemas.openxmlformats.org/drawingml/2006/main">
                  <a:graphicData uri="http://schemas.microsoft.com/office/word/2010/wordprocessingShape">
                    <wps:wsp>
                      <wps:cNvSpPr txBox="1"/>
                      <wps:spPr>
                        <a:xfrm>
                          <a:off x="0" y="0"/>
                          <a:ext cx="33655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267790" w:rsidRDefault="00D53F39" w:rsidP="00E24DB7">
                            <w:pPr>
                              <w:spacing w:line="240" w:lineRule="auto"/>
                              <w:jc w:val="center"/>
                              <w:rPr>
                                <w:sz w:val="18"/>
                                <w:szCs w:val="18"/>
                              </w:rPr>
                            </w:pPr>
                            <w:r w:rsidRPr="00267790">
                              <w:rPr>
                                <w:sz w:val="18"/>
                                <w:szCs w:val="18"/>
                              </w:rPr>
                              <w:t>PCF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CDF61" id="Zone de texte 14197" o:spid="_x0000_s1433" type="#_x0000_t202" style="position:absolute;left:0;text-align:left;margin-left:207.3pt;margin-top:138.45pt;width:26.5pt;height:11.5pt;z-index:2511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" fillcolor="white [3201]" stroked="f" strokeweight=".5pt">
                <v:textbox inset="0,0,0,0">
                  <w:txbxContent>
                    <w:p w:rsidR="00D53F39" w:rsidRPr="00267790" w:rsidRDefault="00D53F39" w:rsidP="00E24DB7">
                      <w:pPr>
                        <w:spacing w:line="240" w:lineRule="auto"/>
                        <w:jc w:val="center"/>
                        <w:rPr>
                          <w:sz w:val="18"/>
                          <w:szCs w:val="18"/>
                        </w:rPr>
                      </w:pPr>
                      <w:r w:rsidRPr="00267790">
                        <w:rPr>
                          <w:sz w:val="18"/>
                          <w:szCs w:val="18"/>
                        </w:rPr>
                        <w:t>PCF</w:t>
                      </w:r>
                    </w:p>
                  </w:txbxContent>
                </v:textbox>
              </v:shape>
            </w:pict>
          </mc:Fallback>
        </mc:AlternateContent>
      </w:r>
      <w:r w:rsidRPr="002C5876">
        <w:rPr>
          <w:noProof/>
          <w:lang w:val="en-GB" w:eastAsia="zh-CN"/>
        </w:rPr>
        <mc:AlternateContent>
          <mc:Choice Requires="wps">
            <w:drawing>
              <wp:anchor distT="0" distB="0" distL="114300" distR="114300" simplePos="0" relativeHeight="251103232" behindDoc="0" locked="0" layoutInCell="1" allowOverlap="1" wp14:anchorId="516BF4C7" wp14:editId="359A4EEF">
                <wp:simplePos x="0" y="0"/>
                <wp:positionH relativeFrom="column">
                  <wp:posOffset>2080260</wp:posOffset>
                </wp:positionH>
                <wp:positionV relativeFrom="paragraph">
                  <wp:posOffset>964565</wp:posOffset>
                </wp:positionV>
                <wp:extent cx="336550" cy="146050"/>
                <wp:effectExtent l="0" t="0" r="6350" b="6350"/>
                <wp:wrapNone/>
                <wp:docPr id="14196" name="Zone de texte 14196"/>
                <wp:cNvGraphicFramePr/>
                <a:graphic xmlns:a="http://schemas.openxmlformats.org/drawingml/2006/main">
                  <a:graphicData uri="http://schemas.microsoft.com/office/word/2010/wordprocessingShape">
                    <wps:wsp>
                      <wps:cNvSpPr txBox="1"/>
                      <wps:spPr>
                        <a:xfrm>
                          <a:off x="0" y="0"/>
                          <a:ext cx="33655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267790" w:rsidRDefault="00D53F39" w:rsidP="00E24DB7">
                            <w:pPr>
                              <w:spacing w:line="240" w:lineRule="auto"/>
                              <w:rPr>
                                <w:sz w:val="18"/>
                                <w:szCs w:val="18"/>
                              </w:rPr>
                            </w:pPr>
                            <w:r w:rsidRPr="00267790">
                              <w:rPr>
                                <w:sz w:val="18"/>
                                <w:szCs w:val="18"/>
                              </w:rPr>
                              <w:t>PTT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BF4C7" id="Zone de texte 14196" o:spid="_x0000_s1434" type="#_x0000_t202" style="position:absolute;left:0;text-align:left;margin-left:163.8pt;margin-top:75.95pt;width:26.5pt;height:11.5pt;z-index:2511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" fillcolor="white [3201]" stroked="f" strokeweight=".5pt">
                <v:textbox inset="0,0,0,0">
                  <w:txbxContent>
                    <w:p w:rsidR="00D53F39" w:rsidRPr="00267790" w:rsidRDefault="00D53F39" w:rsidP="00E24DB7">
                      <w:pPr>
                        <w:spacing w:line="240" w:lineRule="auto"/>
                        <w:rPr>
                          <w:sz w:val="18"/>
                          <w:szCs w:val="18"/>
                        </w:rPr>
                      </w:pPr>
                      <w:r w:rsidRPr="00267790">
                        <w:rPr>
                          <w:sz w:val="18"/>
                          <w:szCs w:val="18"/>
                        </w:rPr>
                        <w:t>PTT</w:t>
                      </w:r>
                    </w:p>
                  </w:txbxContent>
                </v:textbox>
              </v:shape>
            </w:pict>
          </mc:Fallback>
        </mc:AlternateContent>
      </w:r>
      <w:r w:rsidRPr="002C5876">
        <w:rPr>
          <w:noProof/>
          <w:lang w:val="en-GB" w:eastAsia="zh-CN"/>
        </w:rPr>
        <mc:AlternateContent>
          <mc:Choice Requires="wps">
            <w:drawing>
              <wp:anchor distT="0" distB="0" distL="114300" distR="114300" simplePos="0" relativeHeight="251102208" behindDoc="0" locked="0" layoutInCell="1" allowOverlap="1" wp14:anchorId="7BD2FC17" wp14:editId="681DF351">
                <wp:simplePos x="0" y="0"/>
                <wp:positionH relativeFrom="column">
                  <wp:posOffset>2143760</wp:posOffset>
                </wp:positionH>
                <wp:positionV relativeFrom="paragraph">
                  <wp:posOffset>418465</wp:posOffset>
                </wp:positionV>
                <wp:extent cx="336550" cy="146050"/>
                <wp:effectExtent l="0" t="0" r="6350" b="6350"/>
                <wp:wrapNone/>
                <wp:docPr id="14195" name="Zone de texte 14195"/>
                <wp:cNvGraphicFramePr/>
                <a:graphic xmlns:a="http://schemas.openxmlformats.org/drawingml/2006/main">
                  <a:graphicData uri="http://schemas.microsoft.com/office/word/2010/wordprocessingShape">
                    <wps:wsp>
                      <wps:cNvSpPr txBox="1"/>
                      <wps:spPr>
                        <a:xfrm>
                          <a:off x="0" y="0"/>
                          <a:ext cx="33655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267790" w:rsidRDefault="00D53F39" w:rsidP="00E24DB7">
                            <w:pPr>
                              <w:spacing w:line="240" w:lineRule="auto"/>
                              <w:rPr>
                                <w:sz w:val="18"/>
                                <w:szCs w:val="18"/>
                              </w:rPr>
                            </w:pPr>
                            <w:r w:rsidRPr="00267790">
                              <w:rPr>
                                <w:sz w:val="18"/>
                                <w:szCs w:val="18"/>
                              </w:rPr>
                              <w:t>PSP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2FC17" id="Zone de texte 14195" o:spid="_x0000_s1435" type="#_x0000_t202" style="position:absolute;left:0;text-align:left;margin-left:168.8pt;margin-top:32.95pt;width:26.5pt;height:11.5pt;z-index:2511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" fillcolor="white [3201]" stroked="f" strokeweight=".5pt">
                <v:textbox inset="0,0,0,0">
                  <w:txbxContent>
                    <w:p w:rsidR="00D53F39" w:rsidRPr="00267790" w:rsidRDefault="00D53F39" w:rsidP="00E24DB7">
                      <w:pPr>
                        <w:spacing w:line="240" w:lineRule="auto"/>
                        <w:rPr>
                          <w:sz w:val="18"/>
                          <w:szCs w:val="18"/>
                        </w:rPr>
                      </w:pPr>
                      <w:r w:rsidRPr="00267790">
                        <w:rPr>
                          <w:sz w:val="18"/>
                          <w:szCs w:val="18"/>
                        </w:rPr>
                        <w:t>PSP</w:t>
                      </w:r>
                    </w:p>
                  </w:txbxContent>
                </v:textbox>
              </v:shape>
            </w:pict>
          </mc:Fallback>
        </mc:AlternateContent>
      </w:r>
      <w:r w:rsidRPr="002C5876">
        <w:rPr>
          <w:noProof/>
          <w:lang w:val="en-GB" w:eastAsia="zh-CN"/>
        </w:rPr>
        <mc:AlternateContent>
          <mc:Choice Requires="wps">
            <w:drawing>
              <wp:anchor distT="0" distB="0" distL="114300" distR="114300" simplePos="0" relativeHeight="251101184" behindDoc="0" locked="0" layoutInCell="1" allowOverlap="1" wp14:anchorId="600C5918" wp14:editId="54C2D26C">
                <wp:simplePos x="0" y="0"/>
                <wp:positionH relativeFrom="column">
                  <wp:posOffset>1076960</wp:posOffset>
                </wp:positionH>
                <wp:positionV relativeFrom="paragraph">
                  <wp:posOffset>62865</wp:posOffset>
                </wp:positionV>
                <wp:extent cx="1117600" cy="215900"/>
                <wp:effectExtent l="0" t="0" r="6350" b="0"/>
                <wp:wrapNone/>
                <wp:docPr id="14194" name="Zone de texte 14194"/>
                <wp:cNvGraphicFramePr/>
                <a:graphic xmlns:a="http://schemas.openxmlformats.org/drawingml/2006/main">
                  <a:graphicData uri="http://schemas.microsoft.com/office/word/2010/wordprocessingShape">
                    <wps:wsp>
                      <wps:cNvSpPr txBox="1"/>
                      <wps:spPr>
                        <a:xfrm>
                          <a:off x="0" y="0"/>
                          <a:ext cx="1117600" cy="21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267790" w:rsidRDefault="00D53F39" w:rsidP="00E24DB7">
                            <w:pPr>
                              <w:spacing w:line="240" w:lineRule="auto"/>
                              <w:rPr>
                                <w:sz w:val="18"/>
                                <w:szCs w:val="18"/>
                              </w:rPr>
                            </w:pPr>
                            <w:r w:rsidRPr="00267790">
                              <w:rPr>
                                <w:sz w:val="18"/>
                                <w:szCs w:val="18"/>
                              </w:rPr>
                              <w:t>Tunnel de dilution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00C5918" id="Zone de texte 14194" o:spid="_x0000_s1436" type="#_x0000_t202" style="position:absolute;left:0;text-align:left;margin-left:84.8pt;margin-top:4.95pt;width:88pt;height:17pt;z-index:25110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" fillcolor="white [3201]" stroked="f" strokeweight=".5pt">
                <v:textbox inset="0,0,0,0">
                  <w:txbxContent>
                    <w:p w:rsidR="00D53F39" w:rsidRPr="00267790" w:rsidRDefault="00D53F39" w:rsidP="00E24DB7">
                      <w:pPr>
                        <w:spacing w:line="240" w:lineRule="auto"/>
                        <w:rPr>
                          <w:sz w:val="18"/>
                          <w:szCs w:val="18"/>
                        </w:rPr>
                      </w:pPr>
                      <w:r w:rsidRPr="00267790">
                        <w:rPr>
                          <w:sz w:val="18"/>
                          <w:szCs w:val="18"/>
                        </w:rPr>
                        <w:t>Tunnel de dilution</w:t>
                      </w:r>
                    </w:p>
                  </w:txbxContent>
                </v:textbox>
              </v:shape>
            </w:pict>
          </mc:Fallback>
        </mc:AlternateContent>
      </w:r>
      <w:r w:rsidRPr="002C5876">
        <w:rPr>
          <w:noProof/>
          <w:lang w:val="en-GB" w:eastAsia="zh-CN"/>
        </w:rPr>
        <w:drawing>
          <wp:inline distT="0" distB="0" distL="0" distR="0" wp14:anchorId="510F57DE" wp14:editId="54AAC94C">
            <wp:extent cx="5367600" cy="3895200"/>
            <wp:effectExtent l="0" t="0" r="508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8" cstate="print">
                      <a:extLst>
                        <a:ext uri="{28A0092B-C50C-407E-A947-70E740481C1C}">
                          <a14:useLocalDpi xmlns:a14="http://schemas.microsoft.com/office/drawing/2010/main" val="0"/>
                        </a:ext>
                      </a:extLst>
                    </a:blip>
                    <a:srcRect r="4819" b="3587"/>
                    <a:stretch>
                      <a:fillRect/>
                    </a:stretch>
                  </pic:blipFill>
                  <pic:spPr bwMode="auto">
                    <a:xfrm>
                      <a:off x="0" y="0"/>
                      <a:ext cx="5367600" cy="3895200"/>
                    </a:xfrm>
                    <a:prstGeom prst="rect">
                      <a:avLst/>
                    </a:prstGeom>
                    <a:noFill/>
                    <a:ln w="6350" cmpd="sng">
                      <a:noFill/>
                      <a:miter lim="800000"/>
                      <a:headEnd/>
                      <a:tailEnd/>
                    </a:ln>
                    <a:effectLst/>
                  </pic:spPr>
                </pic:pic>
              </a:graphicData>
            </a:graphic>
          </wp:inline>
        </w:drawing>
      </w:r>
    </w:p>
    <w:p w:rsidR="00E24DB7" w:rsidRPr="002C5876" w:rsidRDefault="00E24DB7" w:rsidP="00E24DB7">
      <w:pPr>
        <w:pStyle w:val="H23G"/>
      </w:pPr>
      <w:r w:rsidRPr="002C5876">
        <w:rPr>
          <w:b w:val="0"/>
        </w:rPr>
        <w:tab/>
      </w:r>
      <w:r w:rsidRPr="002C5876">
        <w:rPr>
          <w:b w:val="0"/>
        </w:rPr>
        <w:tab/>
        <w:t xml:space="preserve">Figure A5/13 </w:t>
      </w:r>
      <w:r w:rsidRPr="002C5876">
        <w:br/>
        <w:t>Système de prélèvement d’échantillons de particules à double dilution</w:t>
      </w:r>
    </w:p>
    <w:p w:rsidR="00E24DB7" w:rsidRPr="002C5876" w:rsidRDefault="00E24DB7" w:rsidP="00E24DB7">
      <w:pPr>
        <w:ind w:left="1134"/>
      </w:pPr>
      <w:r w:rsidRPr="002C5876">
        <w:rPr>
          <w:noProof/>
          <w:lang w:val="en-GB" w:eastAsia="zh-CN"/>
        </w:rPr>
        <mc:AlternateContent>
          <mc:Choice Requires="wps">
            <w:drawing>
              <wp:anchor distT="0" distB="0" distL="114300" distR="114300" simplePos="0" relativeHeight="251121664" behindDoc="0" locked="0" layoutInCell="1" allowOverlap="1" wp14:anchorId="36F946CC" wp14:editId="141DBFF4">
                <wp:simplePos x="0" y="0"/>
                <wp:positionH relativeFrom="column">
                  <wp:posOffset>4709160</wp:posOffset>
                </wp:positionH>
                <wp:positionV relativeFrom="paragraph">
                  <wp:posOffset>1872615</wp:posOffset>
                </wp:positionV>
                <wp:extent cx="590550" cy="254000"/>
                <wp:effectExtent l="0" t="0" r="0" b="0"/>
                <wp:wrapNone/>
                <wp:docPr id="14207" name="Zone de texte 14207"/>
                <wp:cNvGraphicFramePr/>
                <a:graphic xmlns:a="http://schemas.openxmlformats.org/drawingml/2006/main">
                  <a:graphicData uri="http://schemas.microsoft.com/office/word/2010/wordprocessingShape">
                    <wps:wsp>
                      <wps:cNvSpPr txBox="1"/>
                      <wps:spPr>
                        <a:xfrm>
                          <a:off x="0" y="0"/>
                          <a:ext cx="590550"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267790" w:rsidRDefault="00D53F39" w:rsidP="00E24DB7">
                            <w:pPr>
                              <w:spacing w:before="60" w:line="240" w:lineRule="auto"/>
                              <w:rPr>
                                <w:sz w:val="18"/>
                                <w:szCs w:val="18"/>
                              </w:rPr>
                            </w:pPr>
                            <w:r w:rsidRPr="00267790">
                              <w:rPr>
                                <w:sz w:val="18"/>
                                <w:szCs w:val="18"/>
                              </w:rPr>
                              <w:t>Débimètre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946CC" id="Zone de texte 14207" o:spid="_x0000_s1437" type="#_x0000_t202" style="position:absolute;left:0;text-align:left;margin-left:370.8pt;margin-top:147.45pt;width:46.5pt;height:20pt;z-index:2511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" fillcolor="white [3201]" stroked="f" strokeweight=".5pt">
                <v:textbox inset="0,0,0,0">
                  <w:txbxContent>
                    <w:p w:rsidR="00D53F39" w:rsidRPr="00267790" w:rsidRDefault="00D53F39" w:rsidP="00E24DB7">
                      <w:pPr>
                        <w:spacing w:before="60" w:line="240" w:lineRule="auto"/>
                        <w:rPr>
                          <w:sz w:val="18"/>
                          <w:szCs w:val="18"/>
                        </w:rPr>
                      </w:pPr>
                      <w:r w:rsidRPr="00267790">
                        <w:rPr>
                          <w:sz w:val="18"/>
                          <w:szCs w:val="18"/>
                        </w:rPr>
                        <w:t>Débimètre</w:t>
                      </w:r>
                    </w:p>
                  </w:txbxContent>
                </v:textbox>
              </v:shape>
            </w:pict>
          </mc:Fallback>
        </mc:AlternateContent>
      </w:r>
      <w:r w:rsidRPr="002C5876">
        <w:rPr>
          <w:noProof/>
          <w:lang w:val="en-GB" w:eastAsia="zh-CN"/>
        </w:rPr>
        <mc:AlternateContent>
          <mc:Choice Requires="wps">
            <w:drawing>
              <wp:anchor distT="0" distB="0" distL="114300" distR="114300" simplePos="0" relativeHeight="251120640" behindDoc="0" locked="0" layoutInCell="1" allowOverlap="1" wp14:anchorId="54599DD3" wp14:editId="0D088B9C">
                <wp:simplePos x="0" y="0"/>
                <wp:positionH relativeFrom="column">
                  <wp:posOffset>1934210</wp:posOffset>
                </wp:positionH>
                <wp:positionV relativeFrom="paragraph">
                  <wp:posOffset>3568065</wp:posOffset>
                </wp:positionV>
                <wp:extent cx="2222500" cy="444500"/>
                <wp:effectExtent l="0" t="0" r="6350" b="0"/>
                <wp:wrapNone/>
                <wp:docPr id="672" name="Zone de texte 672"/>
                <wp:cNvGraphicFramePr/>
                <a:graphic xmlns:a="http://schemas.openxmlformats.org/drawingml/2006/main">
                  <a:graphicData uri="http://schemas.microsoft.com/office/word/2010/wordprocessingShape">
                    <wps:wsp>
                      <wps:cNvSpPr txBox="1"/>
                      <wps:spPr>
                        <a:xfrm>
                          <a:off x="0" y="0"/>
                          <a:ext cx="2222500" cy="444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267790" w:rsidRDefault="00D53F39" w:rsidP="00E24DB7">
                            <w:pPr>
                              <w:spacing w:line="240" w:lineRule="auto"/>
                              <w:jc w:val="center"/>
                              <w:rPr>
                                <w:sz w:val="18"/>
                                <w:szCs w:val="18"/>
                              </w:rPr>
                            </w:pPr>
                            <w:r w:rsidRPr="00267790">
                              <w:rPr>
                                <w:sz w:val="18"/>
                                <w:szCs w:val="18"/>
                              </w:rPr>
                              <w:t xml:space="preserve">Envoyé dans l’atmosphère ou renvoyé </w:t>
                            </w:r>
                            <w:r w:rsidRPr="00267790">
                              <w:rPr>
                                <w:sz w:val="18"/>
                                <w:szCs w:val="18"/>
                              </w:rPr>
                              <w:br/>
                              <w:t>au système de prélèvement à débit constant</w:t>
                            </w:r>
                            <w:r w:rsidRPr="00267790">
                              <w:rPr>
                                <w:sz w:val="18"/>
                                <w:szCs w:val="18"/>
                              </w:rPr>
                              <w:br/>
                              <w:t>en amont de la mesure du débit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99DD3" id="Zone de texte 672" o:spid="_x0000_s1438" type="#_x0000_t202" style="position:absolute;left:0;text-align:left;margin-left:152.3pt;margin-top:280.95pt;width:175pt;height:35pt;z-index:2511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" fillcolor="white [3201]" stroked="f" strokeweight=".5pt">
                <v:textbox inset="0,0,0,0">
                  <w:txbxContent>
                    <w:p w:rsidR="00D53F39" w:rsidRPr="00267790" w:rsidRDefault="00D53F39" w:rsidP="00E24DB7">
                      <w:pPr>
                        <w:spacing w:line="240" w:lineRule="auto"/>
                        <w:jc w:val="center"/>
                        <w:rPr>
                          <w:sz w:val="18"/>
                          <w:szCs w:val="18"/>
                        </w:rPr>
                      </w:pPr>
                      <w:r w:rsidRPr="00267790">
                        <w:rPr>
                          <w:sz w:val="18"/>
                          <w:szCs w:val="18"/>
                        </w:rPr>
                        <w:t xml:space="preserve">Envoyé dans l’atmosphère ou renvoyé </w:t>
                      </w:r>
                      <w:r w:rsidRPr="00267790">
                        <w:rPr>
                          <w:sz w:val="18"/>
                          <w:szCs w:val="18"/>
                        </w:rPr>
                        <w:br/>
                        <w:t>au système de prélèvement à débit constant</w:t>
                      </w:r>
                      <w:r w:rsidRPr="00267790">
                        <w:rPr>
                          <w:sz w:val="18"/>
                          <w:szCs w:val="18"/>
                        </w:rPr>
                        <w:br/>
                        <w:t>en amont de la mesure du débit</w:t>
                      </w:r>
                    </w:p>
                  </w:txbxContent>
                </v:textbox>
              </v:shape>
            </w:pict>
          </mc:Fallback>
        </mc:AlternateContent>
      </w:r>
      <w:r w:rsidRPr="002C5876">
        <w:rPr>
          <w:noProof/>
          <w:lang w:val="en-GB" w:eastAsia="zh-CN"/>
        </w:rPr>
        <mc:AlternateContent>
          <mc:Choice Requires="wps">
            <w:drawing>
              <wp:anchor distT="0" distB="0" distL="114300" distR="114300" simplePos="0" relativeHeight="251119616" behindDoc="0" locked="0" layoutInCell="1" allowOverlap="1" wp14:anchorId="1BE09EFD" wp14:editId="1340160C">
                <wp:simplePos x="0" y="0"/>
                <wp:positionH relativeFrom="column">
                  <wp:posOffset>4220210</wp:posOffset>
                </wp:positionH>
                <wp:positionV relativeFrom="paragraph">
                  <wp:posOffset>3364865</wp:posOffset>
                </wp:positionV>
                <wp:extent cx="1720850" cy="565150"/>
                <wp:effectExtent l="0" t="0" r="0" b="6350"/>
                <wp:wrapNone/>
                <wp:docPr id="673" name="Zone de texte 673"/>
                <wp:cNvGraphicFramePr/>
                <a:graphic xmlns:a="http://schemas.openxmlformats.org/drawingml/2006/main">
                  <a:graphicData uri="http://schemas.microsoft.com/office/word/2010/wordprocessingShape">
                    <wps:wsp>
                      <wps:cNvSpPr txBox="1"/>
                      <wps:spPr>
                        <a:xfrm>
                          <a:off x="0" y="0"/>
                          <a:ext cx="1720850" cy="565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267790" w:rsidRDefault="00D53F39" w:rsidP="00E24DB7">
                            <w:pPr>
                              <w:spacing w:line="240" w:lineRule="auto"/>
                              <w:jc w:val="center"/>
                              <w:rPr>
                                <w:sz w:val="18"/>
                                <w:szCs w:val="18"/>
                              </w:rPr>
                            </w:pPr>
                            <w:r w:rsidRPr="00267790">
                              <w:rPr>
                                <w:sz w:val="18"/>
                                <w:szCs w:val="18"/>
                              </w:rPr>
                              <w:t>Réglage du débit</w:t>
                            </w:r>
                            <w:r w:rsidRPr="00267790">
                              <w:rPr>
                                <w:sz w:val="18"/>
                                <w:szCs w:val="18"/>
                              </w:rPr>
                              <w:br/>
                              <w:t xml:space="preserve">proportionnellement au débit </w:t>
                            </w:r>
                            <w:r w:rsidRPr="00267790">
                              <w:rPr>
                                <w:sz w:val="18"/>
                                <w:szCs w:val="18"/>
                              </w:rPr>
                              <w:br/>
                              <w:t xml:space="preserve">du système de prélèvement </w:t>
                            </w:r>
                            <w:r w:rsidRPr="00267790">
                              <w:rPr>
                                <w:sz w:val="18"/>
                                <w:szCs w:val="18"/>
                              </w:rPr>
                              <w:br/>
                              <w:t>à débit constant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09EFD" id="Zone de texte 673" o:spid="_x0000_s1439" type="#_x0000_t202" style="position:absolute;left:0;text-align:left;margin-left:332.3pt;margin-top:264.95pt;width:135.5pt;height:44.5pt;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" fillcolor="white [3201]" stroked="f" strokeweight=".5pt">
                <v:textbox inset="0,0,0,0">
                  <w:txbxContent>
                    <w:p w:rsidR="00D53F39" w:rsidRPr="00267790" w:rsidRDefault="00D53F39" w:rsidP="00E24DB7">
                      <w:pPr>
                        <w:spacing w:line="240" w:lineRule="auto"/>
                        <w:jc w:val="center"/>
                        <w:rPr>
                          <w:sz w:val="18"/>
                          <w:szCs w:val="18"/>
                        </w:rPr>
                      </w:pPr>
                      <w:r w:rsidRPr="00267790">
                        <w:rPr>
                          <w:sz w:val="18"/>
                          <w:szCs w:val="18"/>
                        </w:rPr>
                        <w:t>Réglage du débit</w:t>
                      </w:r>
                      <w:r w:rsidRPr="00267790">
                        <w:rPr>
                          <w:sz w:val="18"/>
                          <w:szCs w:val="18"/>
                        </w:rPr>
                        <w:br/>
                        <w:t xml:space="preserve">proportionnellement au débit </w:t>
                      </w:r>
                      <w:r w:rsidRPr="00267790">
                        <w:rPr>
                          <w:sz w:val="18"/>
                          <w:szCs w:val="18"/>
                        </w:rPr>
                        <w:br/>
                        <w:t xml:space="preserve">du système de prélèvement </w:t>
                      </w:r>
                      <w:r w:rsidRPr="00267790">
                        <w:rPr>
                          <w:sz w:val="18"/>
                          <w:szCs w:val="18"/>
                        </w:rPr>
                        <w:br/>
                        <w:t>à débit constant</w:t>
                      </w:r>
                    </w:p>
                  </w:txbxContent>
                </v:textbox>
              </v:shape>
            </w:pict>
          </mc:Fallback>
        </mc:AlternateContent>
      </w:r>
      <w:r w:rsidRPr="002C5876">
        <w:rPr>
          <w:noProof/>
          <w:lang w:val="en-GB" w:eastAsia="zh-CN"/>
        </w:rPr>
        <mc:AlternateContent>
          <mc:Choice Requires="wps">
            <w:drawing>
              <wp:anchor distT="0" distB="0" distL="114300" distR="114300" simplePos="0" relativeHeight="251118592" behindDoc="0" locked="0" layoutInCell="1" allowOverlap="1" wp14:anchorId="1C9A7E70" wp14:editId="6DF14B60">
                <wp:simplePos x="0" y="0"/>
                <wp:positionH relativeFrom="column">
                  <wp:posOffset>5617210</wp:posOffset>
                </wp:positionH>
                <wp:positionV relativeFrom="paragraph">
                  <wp:posOffset>3047365</wp:posOffset>
                </wp:positionV>
                <wp:extent cx="336550" cy="146050"/>
                <wp:effectExtent l="0" t="0" r="6350" b="6350"/>
                <wp:wrapNone/>
                <wp:docPr id="674" name="Zone de texte 674"/>
                <wp:cNvGraphicFramePr/>
                <a:graphic xmlns:a="http://schemas.openxmlformats.org/drawingml/2006/main">
                  <a:graphicData uri="http://schemas.microsoft.com/office/word/2010/wordprocessingShape">
                    <wps:wsp>
                      <wps:cNvSpPr txBox="1"/>
                      <wps:spPr>
                        <a:xfrm>
                          <a:off x="0" y="0"/>
                          <a:ext cx="33655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Default="00D53F39" w:rsidP="00E24DB7">
                            <w:pPr>
                              <w:spacing w:line="240" w:lineRule="auto"/>
                              <w:jc w:val="center"/>
                            </w:pPr>
                            <w:r w:rsidRPr="00267790">
                              <w:rPr>
                                <w:sz w:val="18"/>
                                <w:szCs w:val="18"/>
                              </w:rPr>
                              <w:t>Air</w:t>
                            </w:r>
                            <w:r>
                              <w:rPr>
                                <w:noProof/>
                                <w:lang w:val="en-GB" w:eastAsia="zh-CN"/>
                              </w:rPr>
                              <w:drawing>
                                <wp:inline distT="0" distB="0" distL="0" distR="0" wp14:anchorId="24B486B4" wp14:editId="3CA07F6F">
                                  <wp:extent cx="330200" cy="108043"/>
                                  <wp:effectExtent l="0" t="0" r="0" b="6350"/>
                                  <wp:docPr id="13697" name="Image 1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0200" cy="108043"/>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A7E70" id="Zone de texte 674" o:spid="_x0000_s1440" type="#_x0000_t202" style="position:absolute;left:0;text-align:left;margin-left:442.3pt;margin-top:239.95pt;width:26.5pt;height:11.5pt;z-index:2511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" fillcolor="white [3201]" stroked="f" strokeweight=".5pt">
                <v:textbox inset="0,0,0,0">
                  <w:txbxContent>
                    <w:p w:rsidR="00D53F39" w:rsidRDefault="00D53F39" w:rsidP="00E24DB7">
                      <w:pPr>
                        <w:spacing w:line="240" w:lineRule="auto"/>
                        <w:jc w:val="center"/>
                      </w:pPr>
                      <w:r w:rsidRPr="00267790">
                        <w:rPr>
                          <w:sz w:val="18"/>
                          <w:szCs w:val="18"/>
                        </w:rPr>
                        <w:t>Air</w:t>
                      </w:r>
                      <w:r>
                        <w:rPr>
                          <w:noProof/>
                          <w:lang w:val="en-GB" w:eastAsia="zh-CN"/>
                        </w:rPr>
                        <w:drawing>
                          <wp:inline distT="0" distB="0" distL="0" distR="0" wp14:anchorId="24B486B4" wp14:editId="3CA07F6F">
                            <wp:extent cx="330200" cy="108043"/>
                            <wp:effectExtent l="0" t="0" r="0" b="6350"/>
                            <wp:docPr id="13697" name="Image 1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0200" cy="108043"/>
                                    </a:xfrm>
                                    <a:prstGeom prst="rect">
                                      <a:avLst/>
                                    </a:prstGeom>
                                    <a:noFill/>
                                    <a:ln>
                                      <a:noFill/>
                                    </a:ln>
                                  </pic:spPr>
                                </pic:pic>
                              </a:graphicData>
                            </a:graphic>
                          </wp:inline>
                        </w:drawing>
                      </w:r>
                    </w:p>
                  </w:txbxContent>
                </v:textbox>
              </v:shape>
            </w:pict>
          </mc:Fallback>
        </mc:AlternateContent>
      </w:r>
      <w:r w:rsidRPr="002C5876">
        <w:rPr>
          <w:noProof/>
          <w:lang w:val="en-GB" w:eastAsia="zh-CN"/>
        </w:rPr>
        <mc:AlternateContent>
          <mc:Choice Requires="wps">
            <w:drawing>
              <wp:anchor distT="0" distB="0" distL="114300" distR="114300" simplePos="0" relativeHeight="251117568" behindDoc="0" locked="0" layoutInCell="1" allowOverlap="1" wp14:anchorId="5CE5A705" wp14:editId="71456279">
                <wp:simplePos x="0" y="0"/>
                <wp:positionH relativeFrom="column">
                  <wp:posOffset>4785360</wp:posOffset>
                </wp:positionH>
                <wp:positionV relativeFrom="paragraph">
                  <wp:posOffset>2952115</wp:posOffset>
                </wp:positionV>
                <wp:extent cx="412750" cy="285750"/>
                <wp:effectExtent l="0" t="0" r="6350" b="0"/>
                <wp:wrapNone/>
                <wp:docPr id="675" name="Zone de texte 675"/>
                <wp:cNvGraphicFramePr/>
                <a:graphic xmlns:a="http://schemas.openxmlformats.org/drawingml/2006/main">
                  <a:graphicData uri="http://schemas.microsoft.com/office/word/2010/wordprocessingShape">
                    <wps:wsp>
                      <wps:cNvSpPr txBox="1"/>
                      <wps:spPr>
                        <a:xfrm>
                          <a:off x="0" y="0"/>
                          <a:ext cx="4127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267790" w:rsidRDefault="00D53F39" w:rsidP="00E24DB7">
                            <w:pPr>
                              <w:spacing w:line="240" w:lineRule="auto"/>
                              <w:jc w:val="center"/>
                              <w:rPr>
                                <w:spacing w:val="-2"/>
                                <w:sz w:val="18"/>
                                <w:szCs w:val="18"/>
                              </w:rPr>
                            </w:pPr>
                            <w:r w:rsidRPr="00267790">
                              <w:rPr>
                                <w:spacing w:val="-2"/>
                                <w:sz w:val="18"/>
                                <w:szCs w:val="18"/>
                              </w:rPr>
                              <w:t xml:space="preserve">Filtre </w:t>
                            </w:r>
                            <w:r w:rsidRPr="00267790">
                              <w:rPr>
                                <w:spacing w:val="-2"/>
                                <w:sz w:val="18"/>
                                <w:szCs w:val="18"/>
                              </w:rPr>
                              <w:br/>
                              <w:t>THE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5A705" id="Zone de texte 675" o:spid="_x0000_s1441" type="#_x0000_t202" style="position:absolute;left:0;text-align:left;margin-left:376.8pt;margin-top:232.45pt;width:32.5pt;height:22.5pt;z-index:2511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" fillcolor="white [3201]" stroked="f" strokeweight=".5pt">
                <v:textbox inset="0,0,0,0">
                  <w:txbxContent>
                    <w:p w:rsidR="00D53F39" w:rsidRPr="00267790" w:rsidRDefault="00D53F39" w:rsidP="00E24DB7">
                      <w:pPr>
                        <w:spacing w:line="240" w:lineRule="auto"/>
                        <w:jc w:val="center"/>
                        <w:rPr>
                          <w:spacing w:val="-2"/>
                          <w:sz w:val="18"/>
                          <w:szCs w:val="18"/>
                        </w:rPr>
                      </w:pPr>
                      <w:r w:rsidRPr="00267790">
                        <w:rPr>
                          <w:spacing w:val="-2"/>
                          <w:sz w:val="18"/>
                          <w:szCs w:val="18"/>
                        </w:rPr>
                        <w:t xml:space="preserve">Filtre </w:t>
                      </w:r>
                      <w:r w:rsidRPr="00267790">
                        <w:rPr>
                          <w:spacing w:val="-2"/>
                          <w:sz w:val="18"/>
                          <w:szCs w:val="18"/>
                        </w:rPr>
                        <w:br/>
                        <w:t>THE</w:t>
                      </w:r>
                    </w:p>
                  </w:txbxContent>
                </v:textbox>
              </v:shape>
            </w:pict>
          </mc:Fallback>
        </mc:AlternateContent>
      </w:r>
      <w:r w:rsidRPr="002C5876">
        <w:rPr>
          <w:noProof/>
          <w:lang w:val="en-GB" w:eastAsia="zh-CN"/>
        </w:rPr>
        <mc:AlternateContent>
          <mc:Choice Requires="wps">
            <w:drawing>
              <wp:anchor distT="0" distB="0" distL="114300" distR="114300" simplePos="0" relativeHeight="251116544" behindDoc="0" locked="0" layoutInCell="1" allowOverlap="1" wp14:anchorId="0DDFBF3C" wp14:editId="5BB81D43">
                <wp:simplePos x="0" y="0"/>
                <wp:positionH relativeFrom="column">
                  <wp:posOffset>4804410</wp:posOffset>
                </wp:positionH>
                <wp:positionV relativeFrom="paragraph">
                  <wp:posOffset>2507615</wp:posOffset>
                </wp:positionV>
                <wp:extent cx="412750" cy="177800"/>
                <wp:effectExtent l="0" t="0" r="6350" b="0"/>
                <wp:wrapNone/>
                <wp:docPr id="676" name="Zone de texte 676"/>
                <wp:cNvGraphicFramePr/>
                <a:graphic xmlns:a="http://schemas.openxmlformats.org/drawingml/2006/main">
                  <a:graphicData uri="http://schemas.microsoft.com/office/word/2010/wordprocessingShape">
                    <wps:wsp>
                      <wps:cNvSpPr txBox="1"/>
                      <wps:spPr>
                        <a:xfrm>
                          <a:off x="0" y="0"/>
                          <a:ext cx="412750" cy="17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267790" w:rsidRDefault="00D53F39" w:rsidP="00E24DB7">
                            <w:pPr>
                              <w:spacing w:line="240" w:lineRule="auto"/>
                              <w:rPr>
                                <w:sz w:val="18"/>
                                <w:szCs w:val="18"/>
                              </w:rPr>
                            </w:pPr>
                            <w:r w:rsidRPr="00267790">
                              <w:rPr>
                                <w:sz w:val="18"/>
                                <w:szCs w:val="18"/>
                              </w:rPr>
                              <w:t>Pompe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FBF3C" id="Zone de texte 676" o:spid="_x0000_s1442" type="#_x0000_t202" style="position:absolute;left:0;text-align:left;margin-left:378.3pt;margin-top:197.45pt;width:32.5pt;height:14pt;z-index:2511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" fillcolor="white [3201]" stroked="f" strokeweight=".5pt">
                <v:textbox inset="0,0,0,0">
                  <w:txbxContent>
                    <w:p w:rsidR="00D53F39" w:rsidRPr="00267790" w:rsidRDefault="00D53F39" w:rsidP="00E24DB7">
                      <w:pPr>
                        <w:spacing w:line="240" w:lineRule="auto"/>
                        <w:rPr>
                          <w:sz w:val="18"/>
                          <w:szCs w:val="18"/>
                        </w:rPr>
                      </w:pPr>
                      <w:r w:rsidRPr="00267790">
                        <w:rPr>
                          <w:sz w:val="18"/>
                          <w:szCs w:val="18"/>
                        </w:rPr>
                        <w:t>Pompe</w:t>
                      </w:r>
                    </w:p>
                  </w:txbxContent>
                </v:textbox>
              </v:shape>
            </w:pict>
          </mc:Fallback>
        </mc:AlternateContent>
      </w:r>
      <w:r w:rsidRPr="002C5876">
        <w:rPr>
          <w:noProof/>
          <w:lang w:val="en-GB" w:eastAsia="zh-CN"/>
        </w:rPr>
        <mc:AlternateContent>
          <mc:Choice Requires="wps">
            <w:drawing>
              <wp:anchor distT="0" distB="0" distL="114300" distR="114300" simplePos="0" relativeHeight="251115520" behindDoc="0" locked="0" layoutInCell="1" allowOverlap="1" wp14:anchorId="41478395" wp14:editId="6F8FC8B6">
                <wp:simplePos x="0" y="0"/>
                <wp:positionH relativeFrom="column">
                  <wp:posOffset>3863340</wp:posOffset>
                </wp:positionH>
                <wp:positionV relativeFrom="paragraph">
                  <wp:posOffset>2609215</wp:posOffset>
                </wp:positionV>
                <wp:extent cx="698500" cy="304800"/>
                <wp:effectExtent l="0" t="0" r="6350" b="0"/>
                <wp:wrapNone/>
                <wp:docPr id="677" name="Zone de texte 677"/>
                <wp:cNvGraphicFramePr/>
                <a:graphic xmlns:a="http://schemas.openxmlformats.org/drawingml/2006/main">
                  <a:graphicData uri="http://schemas.microsoft.com/office/word/2010/wordprocessingShape">
                    <wps:wsp>
                      <wps:cNvSpPr txBox="1"/>
                      <wps:spPr>
                        <a:xfrm>
                          <a:off x="0" y="0"/>
                          <a:ext cx="6985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501853" w:rsidRDefault="00D53F39" w:rsidP="00E24DB7">
                            <w:pPr>
                              <w:spacing w:line="160" w:lineRule="exact"/>
                              <w:jc w:val="center"/>
                              <w:rPr>
                                <w:sz w:val="18"/>
                                <w:szCs w:val="18"/>
                              </w:rPr>
                            </w:pPr>
                            <w:r w:rsidRPr="00501853">
                              <w:rPr>
                                <w:sz w:val="18"/>
                                <w:szCs w:val="18"/>
                              </w:rPr>
                              <w:t xml:space="preserve">Vanne </w:t>
                            </w:r>
                            <w:r>
                              <w:rPr>
                                <w:sz w:val="18"/>
                                <w:szCs w:val="18"/>
                              </w:rPr>
                              <w:br/>
                            </w:r>
                            <w:r w:rsidRPr="00501853">
                              <w:rPr>
                                <w:sz w:val="18"/>
                                <w:szCs w:val="18"/>
                              </w:rPr>
                              <w:t xml:space="preserve">de réglage </w:t>
                            </w:r>
                            <w:r>
                              <w:rPr>
                                <w:sz w:val="18"/>
                                <w:szCs w:val="18"/>
                              </w:rPr>
                              <w:br/>
                            </w:r>
                            <w:r w:rsidRPr="00501853">
                              <w:rPr>
                                <w:sz w:val="18"/>
                                <w:szCs w:val="18"/>
                              </w:rPr>
                              <w:t>du débit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78395" id="Zone de texte 677" o:spid="_x0000_s1443" type="#_x0000_t202" style="position:absolute;left:0;text-align:left;margin-left:304.2pt;margin-top:205.45pt;width:55pt;height:24pt;z-index:2511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" fillcolor="white [3201]" stroked="f" strokeweight=".5pt">
                <v:textbox inset="0,0,0,0">
                  <w:txbxContent>
                    <w:p w:rsidR="00D53F39" w:rsidRPr="00501853" w:rsidRDefault="00D53F39" w:rsidP="00E24DB7">
                      <w:pPr>
                        <w:spacing w:line="160" w:lineRule="exact"/>
                        <w:jc w:val="center"/>
                        <w:rPr>
                          <w:sz w:val="18"/>
                          <w:szCs w:val="18"/>
                        </w:rPr>
                      </w:pPr>
                      <w:r w:rsidRPr="00501853">
                        <w:rPr>
                          <w:sz w:val="18"/>
                          <w:szCs w:val="18"/>
                        </w:rPr>
                        <w:t xml:space="preserve">Vanne </w:t>
                      </w:r>
                      <w:r>
                        <w:rPr>
                          <w:sz w:val="18"/>
                          <w:szCs w:val="18"/>
                        </w:rPr>
                        <w:br/>
                      </w:r>
                      <w:r w:rsidRPr="00501853">
                        <w:rPr>
                          <w:sz w:val="18"/>
                          <w:szCs w:val="18"/>
                        </w:rPr>
                        <w:t xml:space="preserve">de réglage </w:t>
                      </w:r>
                      <w:r>
                        <w:rPr>
                          <w:sz w:val="18"/>
                          <w:szCs w:val="18"/>
                        </w:rPr>
                        <w:br/>
                      </w:r>
                      <w:r w:rsidRPr="00501853">
                        <w:rPr>
                          <w:sz w:val="18"/>
                          <w:szCs w:val="18"/>
                        </w:rPr>
                        <w:t>du débit</w:t>
                      </w:r>
                    </w:p>
                  </w:txbxContent>
                </v:textbox>
              </v:shape>
            </w:pict>
          </mc:Fallback>
        </mc:AlternateContent>
      </w:r>
      <w:r w:rsidRPr="002C5876">
        <w:rPr>
          <w:noProof/>
          <w:lang w:val="en-GB" w:eastAsia="zh-CN"/>
        </w:rPr>
        <mc:AlternateContent>
          <mc:Choice Requires="wps">
            <w:drawing>
              <wp:anchor distT="0" distB="0" distL="114300" distR="114300" simplePos="0" relativeHeight="251114496" behindDoc="0" locked="0" layoutInCell="1" allowOverlap="1" wp14:anchorId="7A13E94C" wp14:editId="68E9FA20">
                <wp:simplePos x="0" y="0"/>
                <wp:positionH relativeFrom="column">
                  <wp:posOffset>3115310</wp:posOffset>
                </wp:positionH>
                <wp:positionV relativeFrom="paragraph">
                  <wp:posOffset>2964815</wp:posOffset>
                </wp:positionV>
                <wp:extent cx="590550" cy="254000"/>
                <wp:effectExtent l="0" t="0" r="0" b="0"/>
                <wp:wrapNone/>
                <wp:docPr id="678" name="Zone de texte 678"/>
                <wp:cNvGraphicFramePr/>
                <a:graphic xmlns:a="http://schemas.openxmlformats.org/drawingml/2006/main">
                  <a:graphicData uri="http://schemas.microsoft.com/office/word/2010/wordprocessingShape">
                    <wps:wsp>
                      <wps:cNvSpPr txBox="1"/>
                      <wps:spPr>
                        <a:xfrm>
                          <a:off x="0" y="0"/>
                          <a:ext cx="590550"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267790" w:rsidRDefault="00D53F39" w:rsidP="00E24DB7">
                            <w:pPr>
                              <w:spacing w:before="60" w:line="240" w:lineRule="auto"/>
                              <w:rPr>
                                <w:sz w:val="18"/>
                                <w:szCs w:val="18"/>
                              </w:rPr>
                            </w:pPr>
                            <w:r w:rsidRPr="00267790">
                              <w:rPr>
                                <w:sz w:val="18"/>
                                <w:szCs w:val="18"/>
                              </w:rPr>
                              <w:t>Débimètre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3E94C" id="Zone de texte 678" o:spid="_x0000_s1444" type="#_x0000_t202" style="position:absolute;left:0;text-align:left;margin-left:245.3pt;margin-top:233.45pt;width:46.5pt;height:20pt;z-index:2511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" fillcolor="white [3201]" stroked="f" strokeweight=".5pt">
                <v:textbox inset="0,0,0,0">
                  <w:txbxContent>
                    <w:p w:rsidR="00D53F39" w:rsidRPr="00267790" w:rsidRDefault="00D53F39" w:rsidP="00E24DB7">
                      <w:pPr>
                        <w:spacing w:before="60" w:line="240" w:lineRule="auto"/>
                        <w:rPr>
                          <w:sz w:val="18"/>
                          <w:szCs w:val="18"/>
                        </w:rPr>
                      </w:pPr>
                      <w:r w:rsidRPr="00267790">
                        <w:rPr>
                          <w:sz w:val="18"/>
                          <w:szCs w:val="18"/>
                        </w:rPr>
                        <w:t>Débimètre</w:t>
                      </w:r>
                    </w:p>
                  </w:txbxContent>
                </v:textbox>
              </v:shape>
            </w:pict>
          </mc:Fallback>
        </mc:AlternateContent>
      </w:r>
      <w:r w:rsidRPr="002C5876">
        <w:rPr>
          <w:noProof/>
          <w:lang w:val="en-GB" w:eastAsia="zh-CN"/>
        </w:rPr>
        <mc:AlternateContent>
          <mc:Choice Requires="wps">
            <w:drawing>
              <wp:anchor distT="0" distB="0" distL="114300" distR="114300" simplePos="0" relativeHeight="251113472" behindDoc="0" locked="0" layoutInCell="1" allowOverlap="1" wp14:anchorId="732D7EA8" wp14:editId="3360D57D">
                <wp:simplePos x="0" y="0"/>
                <wp:positionH relativeFrom="column">
                  <wp:posOffset>3204210</wp:posOffset>
                </wp:positionH>
                <wp:positionV relativeFrom="paragraph">
                  <wp:posOffset>2393315</wp:posOffset>
                </wp:positionV>
                <wp:extent cx="412750" cy="177800"/>
                <wp:effectExtent l="0" t="0" r="6350" b="0"/>
                <wp:wrapNone/>
                <wp:docPr id="679" name="Zone de texte 679"/>
                <wp:cNvGraphicFramePr/>
                <a:graphic xmlns:a="http://schemas.openxmlformats.org/drawingml/2006/main">
                  <a:graphicData uri="http://schemas.microsoft.com/office/word/2010/wordprocessingShape">
                    <wps:wsp>
                      <wps:cNvSpPr txBox="1"/>
                      <wps:spPr>
                        <a:xfrm>
                          <a:off x="0" y="0"/>
                          <a:ext cx="412750" cy="17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267790" w:rsidRDefault="00D53F39" w:rsidP="00E24DB7">
                            <w:pPr>
                              <w:spacing w:line="240" w:lineRule="auto"/>
                              <w:rPr>
                                <w:sz w:val="18"/>
                                <w:szCs w:val="18"/>
                              </w:rPr>
                            </w:pPr>
                            <w:r w:rsidRPr="00267790">
                              <w:rPr>
                                <w:sz w:val="18"/>
                                <w:szCs w:val="18"/>
                              </w:rPr>
                              <w:t>Pompe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D7EA8" id="Zone de texte 679" o:spid="_x0000_s1445" type="#_x0000_t202" style="position:absolute;left:0;text-align:left;margin-left:252.3pt;margin-top:188.45pt;width:32.5pt;height:14pt;z-index:2511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" fillcolor="white [3201]" stroked="f" strokeweight=".5pt">
                <v:textbox inset="0,0,0,0">
                  <w:txbxContent>
                    <w:p w:rsidR="00D53F39" w:rsidRPr="00267790" w:rsidRDefault="00D53F39" w:rsidP="00E24DB7">
                      <w:pPr>
                        <w:spacing w:line="240" w:lineRule="auto"/>
                        <w:rPr>
                          <w:sz w:val="18"/>
                          <w:szCs w:val="18"/>
                        </w:rPr>
                      </w:pPr>
                      <w:r w:rsidRPr="00267790">
                        <w:rPr>
                          <w:sz w:val="18"/>
                          <w:szCs w:val="18"/>
                        </w:rPr>
                        <w:t>Pompe</w:t>
                      </w:r>
                    </w:p>
                  </w:txbxContent>
                </v:textbox>
              </v:shape>
            </w:pict>
          </mc:Fallback>
        </mc:AlternateContent>
      </w:r>
      <w:r w:rsidRPr="002C5876">
        <w:rPr>
          <w:noProof/>
          <w:lang w:val="en-GB" w:eastAsia="zh-CN"/>
        </w:rPr>
        <mc:AlternateContent>
          <mc:Choice Requires="wps">
            <w:drawing>
              <wp:anchor distT="0" distB="0" distL="114300" distR="114300" simplePos="0" relativeHeight="251112448" behindDoc="0" locked="0" layoutInCell="1" allowOverlap="1" wp14:anchorId="24EAE9F7" wp14:editId="631E5C21">
                <wp:simplePos x="0" y="0"/>
                <wp:positionH relativeFrom="column">
                  <wp:posOffset>1540510</wp:posOffset>
                </wp:positionH>
                <wp:positionV relativeFrom="paragraph">
                  <wp:posOffset>1802765</wp:posOffset>
                </wp:positionV>
                <wp:extent cx="1695450" cy="215900"/>
                <wp:effectExtent l="0" t="0" r="0" b="0"/>
                <wp:wrapNone/>
                <wp:docPr id="680" name="Zone de texte 680"/>
                <wp:cNvGraphicFramePr/>
                <a:graphic xmlns:a="http://schemas.openxmlformats.org/drawingml/2006/main">
                  <a:graphicData uri="http://schemas.microsoft.com/office/word/2010/wordprocessingShape">
                    <wps:wsp>
                      <wps:cNvSpPr txBox="1"/>
                      <wps:spPr>
                        <a:xfrm>
                          <a:off x="0" y="0"/>
                          <a:ext cx="1695450" cy="21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267790" w:rsidRDefault="00D53F39" w:rsidP="00E24DB7">
                            <w:pPr>
                              <w:spacing w:line="240" w:lineRule="auto"/>
                              <w:rPr>
                                <w:sz w:val="18"/>
                                <w:szCs w:val="18"/>
                              </w:rPr>
                            </w:pPr>
                            <w:r w:rsidRPr="00267790">
                              <w:rPr>
                                <w:sz w:val="18"/>
                                <w:szCs w:val="18"/>
                              </w:rPr>
                              <w:t>V : vannes d’orientation du flux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EAE9F7" id="Zone de texte 680" o:spid="_x0000_s1446" type="#_x0000_t202" style="position:absolute;left:0;text-align:left;margin-left:121.3pt;margin-top:141.95pt;width:133.5pt;height:17pt;z-index:25111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" fillcolor="white [3201]" stroked="f" strokeweight=".5pt">
                <v:textbox inset="0,0,0,0">
                  <w:txbxContent>
                    <w:p w:rsidR="00D53F39" w:rsidRPr="00267790" w:rsidRDefault="00D53F39" w:rsidP="00E24DB7">
                      <w:pPr>
                        <w:spacing w:line="240" w:lineRule="auto"/>
                        <w:rPr>
                          <w:sz w:val="18"/>
                          <w:szCs w:val="18"/>
                        </w:rPr>
                      </w:pPr>
                      <w:r w:rsidRPr="00267790">
                        <w:rPr>
                          <w:sz w:val="18"/>
                          <w:szCs w:val="18"/>
                        </w:rPr>
                        <w:t>V : vannes d’orientation du flux</w:t>
                      </w:r>
                    </w:p>
                  </w:txbxContent>
                </v:textbox>
              </v:shape>
            </w:pict>
          </mc:Fallback>
        </mc:AlternateContent>
      </w:r>
      <w:r w:rsidRPr="002C5876">
        <w:rPr>
          <w:noProof/>
          <w:lang w:val="en-GB" w:eastAsia="zh-CN"/>
        </w:rPr>
        <mc:AlternateContent>
          <mc:Choice Requires="wps">
            <w:drawing>
              <wp:anchor distT="0" distB="0" distL="114300" distR="114300" simplePos="0" relativeHeight="251110400" behindDoc="0" locked="0" layoutInCell="1" allowOverlap="1" wp14:anchorId="1EC14F0F" wp14:editId="7902A998">
                <wp:simplePos x="0" y="0"/>
                <wp:positionH relativeFrom="column">
                  <wp:posOffset>3343910</wp:posOffset>
                </wp:positionH>
                <wp:positionV relativeFrom="paragraph">
                  <wp:posOffset>1684020</wp:posOffset>
                </wp:positionV>
                <wp:extent cx="100330" cy="100330"/>
                <wp:effectExtent l="0" t="0" r="0" b="0"/>
                <wp:wrapNone/>
                <wp:docPr id="682" name="Zone de texte 682"/>
                <wp:cNvGraphicFramePr/>
                <a:graphic xmlns:a="http://schemas.openxmlformats.org/drawingml/2006/main">
                  <a:graphicData uri="http://schemas.microsoft.com/office/word/2010/wordprocessingShape">
                    <wps:wsp>
                      <wps:cNvSpPr txBox="1"/>
                      <wps:spPr>
                        <a:xfrm>
                          <a:off x="0" y="0"/>
                          <a:ext cx="100330" cy="1003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BF0021" w:rsidRDefault="00D53F39" w:rsidP="00E24DB7">
                            <w:pPr>
                              <w:spacing w:line="160" w:lineRule="exact"/>
                              <w:jc w:val="center"/>
                              <w:rPr>
                                <w:sz w:val="18"/>
                                <w:szCs w:val="18"/>
                              </w:rPr>
                            </w:pPr>
                            <w:r w:rsidRPr="00BF0021">
                              <w:rPr>
                                <w:sz w:val="18"/>
                                <w:szCs w:val="18"/>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14F0F" id="Zone de texte 682" o:spid="_x0000_s1447" type="#_x0000_t202" style="position:absolute;left:0;text-align:left;margin-left:263.3pt;margin-top:132.6pt;width:7.9pt;height:7.9pt;z-index:2511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" fillcolor="white [3201]" stroked="f" strokeweight=".5pt">
                <v:textbox inset="0,0,0,0">
                  <w:txbxContent>
                    <w:p w:rsidR="00D53F39" w:rsidRPr="00BF0021" w:rsidRDefault="00D53F39" w:rsidP="00E24DB7">
                      <w:pPr>
                        <w:spacing w:line="160" w:lineRule="exact"/>
                        <w:jc w:val="center"/>
                        <w:rPr>
                          <w:sz w:val="18"/>
                          <w:szCs w:val="18"/>
                        </w:rPr>
                      </w:pPr>
                      <w:r w:rsidRPr="00BF0021">
                        <w:rPr>
                          <w:sz w:val="18"/>
                          <w:szCs w:val="18"/>
                        </w:rPr>
                        <w:t>V</w:t>
                      </w:r>
                    </w:p>
                  </w:txbxContent>
                </v:textbox>
              </v:shape>
            </w:pict>
          </mc:Fallback>
        </mc:AlternateContent>
      </w:r>
      <w:r w:rsidRPr="002C5876">
        <w:rPr>
          <w:noProof/>
          <w:lang w:val="en-GB" w:eastAsia="zh-CN"/>
        </w:rPr>
        <mc:AlternateContent>
          <mc:Choice Requires="wps">
            <w:drawing>
              <wp:anchor distT="0" distB="0" distL="114300" distR="114300" simplePos="0" relativeHeight="251111424" behindDoc="0" locked="0" layoutInCell="1" allowOverlap="1" wp14:anchorId="7631206E" wp14:editId="55B611AC">
                <wp:simplePos x="0" y="0"/>
                <wp:positionH relativeFrom="column">
                  <wp:posOffset>3788410</wp:posOffset>
                </wp:positionH>
                <wp:positionV relativeFrom="paragraph">
                  <wp:posOffset>1684020</wp:posOffset>
                </wp:positionV>
                <wp:extent cx="100330" cy="100330"/>
                <wp:effectExtent l="0" t="0" r="0" b="0"/>
                <wp:wrapNone/>
                <wp:docPr id="683" name="Zone de texte 683"/>
                <wp:cNvGraphicFramePr/>
                <a:graphic xmlns:a="http://schemas.openxmlformats.org/drawingml/2006/main">
                  <a:graphicData uri="http://schemas.microsoft.com/office/word/2010/wordprocessingShape">
                    <wps:wsp>
                      <wps:cNvSpPr txBox="1"/>
                      <wps:spPr>
                        <a:xfrm>
                          <a:off x="0" y="0"/>
                          <a:ext cx="100330" cy="1003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BF0021" w:rsidRDefault="00D53F39" w:rsidP="00E24DB7">
                            <w:pPr>
                              <w:spacing w:line="160" w:lineRule="exact"/>
                              <w:jc w:val="center"/>
                              <w:rPr>
                                <w:sz w:val="18"/>
                                <w:szCs w:val="18"/>
                              </w:rPr>
                            </w:pPr>
                            <w:r w:rsidRPr="00BF0021">
                              <w:rPr>
                                <w:sz w:val="18"/>
                                <w:szCs w:val="18"/>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1206E" id="Zone de texte 683" o:spid="_x0000_s1448" type="#_x0000_t202" style="position:absolute;left:0;text-align:left;margin-left:298.3pt;margin-top:132.6pt;width:7.9pt;height:7.9pt;z-index:2511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" fillcolor="white [3201]" stroked="f" strokeweight=".5pt">
                <v:textbox inset="0,0,0,0">
                  <w:txbxContent>
                    <w:p w:rsidR="00D53F39" w:rsidRPr="00BF0021" w:rsidRDefault="00D53F39" w:rsidP="00E24DB7">
                      <w:pPr>
                        <w:spacing w:line="160" w:lineRule="exact"/>
                        <w:jc w:val="center"/>
                        <w:rPr>
                          <w:sz w:val="18"/>
                          <w:szCs w:val="18"/>
                        </w:rPr>
                      </w:pPr>
                      <w:r w:rsidRPr="00BF0021">
                        <w:rPr>
                          <w:sz w:val="18"/>
                          <w:szCs w:val="18"/>
                        </w:rPr>
                        <w:t>V</w:t>
                      </w:r>
                    </w:p>
                  </w:txbxContent>
                </v:textbox>
              </v:shape>
            </w:pict>
          </mc:Fallback>
        </mc:AlternateContent>
      </w:r>
      <w:r w:rsidRPr="002C5876">
        <w:rPr>
          <w:noProof/>
          <w:lang w:val="en-GB" w:eastAsia="zh-CN"/>
        </w:rPr>
        <mc:AlternateContent>
          <mc:Choice Requires="wps">
            <w:drawing>
              <wp:anchor distT="0" distB="0" distL="114300" distR="114300" simplePos="0" relativeHeight="251109376" behindDoc="0" locked="0" layoutInCell="1" allowOverlap="1" wp14:anchorId="44D0DB1C" wp14:editId="1B72A308">
                <wp:simplePos x="0" y="0"/>
                <wp:positionH relativeFrom="column">
                  <wp:posOffset>3572510</wp:posOffset>
                </wp:positionH>
                <wp:positionV relativeFrom="paragraph">
                  <wp:posOffset>1237615</wp:posOffset>
                </wp:positionV>
                <wp:extent cx="184150" cy="146050"/>
                <wp:effectExtent l="0" t="0" r="6350" b="6350"/>
                <wp:wrapNone/>
                <wp:docPr id="684" name="Zone de texte 684"/>
                <wp:cNvGraphicFramePr/>
                <a:graphic xmlns:a="http://schemas.openxmlformats.org/drawingml/2006/main">
                  <a:graphicData uri="http://schemas.microsoft.com/office/word/2010/wordprocessingShape">
                    <wps:wsp>
                      <wps:cNvSpPr txBox="1"/>
                      <wps:spPr>
                        <a:xfrm>
                          <a:off x="0" y="0"/>
                          <a:ext cx="18415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267790" w:rsidRDefault="00D53F39" w:rsidP="00E24DB7">
                            <w:pPr>
                              <w:spacing w:line="240" w:lineRule="auto"/>
                              <w:jc w:val="center"/>
                              <w:rPr>
                                <w:sz w:val="18"/>
                                <w:szCs w:val="18"/>
                              </w:rPr>
                            </w:pPr>
                            <w:r w:rsidRPr="00267790">
                              <w:rPr>
                                <w:sz w:val="18"/>
                                <w:szCs w:val="18"/>
                              </w:rPr>
                              <w:t>FH</w:t>
                            </w:r>
                            <w:r w:rsidRPr="00267790">
                              <w:rPr>
                                <w:noProof/>
                                <w:sz w:val="18"/>
                                <w:szCs w:val="18"/>
                                <w:lang w:val="en-GB" w:eastAsia="zh-CN"/>
                              </w:rPr>
                              <w:drawing>
                                <wp:inline distT="0" distB="0" distL="0" distR="0" wp14:anchorId="3EACCF1A" wp14:editId="0691EF5E">
                                  <wp:extent cx="101600" cy="101600"/>
                                  <wp:effectExtent l="0" t="0" r="0" b="0"/>
                                  <wp:docPr id="13696" name="Image 1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0DB1C" id="Zone de texte 684" o:spid="_x0000_s1449" type="#_x0000_t202" style="position:absolute;left:0;text-align:left;margin-left:281.3pt;margin-top:97.45pt;width:14.5pt;height:11.5pt;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" fillcolor="white [3201]" stroked="f" strokeweight=".5pt">
                <v:textbox inset="0,0,0,0">
                  <w:txbxContent>
                    <w:p w:rsidR="00D53F39" w:rsidRPr="00267790" w:rsidRDefault="00D53F39" w:rsidP="00E24DB7">
                      <w:pPr>
                        <w:spacing w:line="240" w:lineRule="auto"/>
                        <w:jc w:val="center"/>
                        <w:rPr>
                          <w:sz w:val="18"/>
                          <w:szCs w:val="18"/>
                        </w:rPr>
                      </w:pPr>
                      <w:r w:rsidRPr="00267790">
                        <w:rPr>
                          <w:sz w:val="18"/>
                          <w:szCs w:val="18"/>
                        </w:rPr>
                        <w:t>FH</w:t>
                      </w:r>
                      <w:r w:rsidRPr="00267790">
                        <w:rPr>
                          <w:noProof/>
                          <w:sz w:val="18"/>
                          <w:szCs w:val="18"/>
                          <w:lang w:val="en-GB" w:eastAsia="zh-CN"/>
                        </w:rPr>
                        <w:drawing>
                          <wp:inline distT="0" distB="0" distL="0" distR="0" wp14:anchorId="3EACCF1A" wp14:editId="0691EF5E">
                            <wp:extent cx="101600" cy="101600"/>
                            <wp:effectExtent l="0" t="0" r="0" b="0"/>
                            <wp:docPr id="13696" name="Image 1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p>
                  </w:txbxContent>
                </v:textbox>
              </v:shape>
            </w:pict>
          </mc:Fallback>
        </mc:AlternateContent>
      </w:r>
      <w:r w:rsidRPr="002C5876">
        <w:rPr>
          <w:noProof/>
          <w:lang w:val="en-GB" w:eastAsia="zh-CN"/>
        </w:rPr>
        <mc:AlternateContent>
          <mc:Choice Requires="wps">
            <w:drawing>
              <wp:anchor distT="0" distB="0" distL="114300" distR="114300" simplePos="0" relativeHeight="251108352" behindDoc="0" locked="0" layoutInCell="1" allowOverlap="1" wp14:anchorId="17E525ED" wp14:editId="4CECBB88">
                <wp:simplePos x="0" y="0"/>
                <wp:positionH relativeFrom="column">
                  <wp:posOffset>2581910</wp:posOffset>
                </wp:positionH>
                <wp:positionV relativeFrom="paragraph">
                  <wp:posOffset>1599565</wp:posOffset>
                </wp:positionV>
                <wp:extent cx="336550" cy="146050"/>
                <wp:effectExtent l="0" t="0" r="6350" b="6350"/>
                <wp:wrapNone/>
                <wp:docPr id="685" name="Zone de texte 685"/>
                <wp:cNvGraphicFramePr/>
                <a:graphic xmlns:a="http://schemas.openxmlformats.org/drawingml/2006/main">
                  <a:graphicData uri="http://schemas.microsoft.com/office/word/2010/wordprocessingShape">
                    <wps:wsp>
                      <wps:cNvSpPr txBox="1"/>
                      <wps:spPr>
                        <a:xfrm>
                          <a:off x="0" y="0"/>
                          <a:ext cx="33655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267790" w:rsidRDefault="00D53F39" w:rsidP="00E24DB7">
                            <w:pPr>
                              <w:spacing w:line="240" w:lineRule="auto"/>
                              <w:jc w:val="center"/>
                              <w:rPr>
                                <w:sz w:val="18"/>
                                <w:szCs w:val="18"/>
                              </w:rPr>
                            </w:pPr>
                            <w:r w:rsidRPr="00267790">
                              <w:rPr>
                                <w:sz w:val="18"/>
                                <w:szCs w:val="18"/>
                              </w:rPr>
                              <w:t>PCF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525ED" id="Zone de texte 685" o:spid="_x0000_s1450" type="#_x0000_t202" style="position:absolute;left:0;text-align:left;margin-left:203.3pt;margin-top:125.95pt;width:26.5pt;height:11.5pt;z-index:2511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" fillcolor="white [3201]" stroked="f" strokeweight=".5pt">
                <v:textbox inset="0,0,0,0">
                  <w:txbxContent>
                    <w:p w:rsidR="00D53F39" w:rsidRPr="00267790" w:rsidRDefault="00D53F39" w:rsidP="00E24DB7">
                      <w:pPr>
                        <w:spacing w:line="240" w:lineRule="auto"/>
                        <w:jc w:val="center"/>
                        <w:rPr>
                          <w:sz w:val="18"/>
                          <w:szCs w:val="18"/>
                        </w:rPr>
                      </w:pPr>
                      <w:r w:rsidRPr="00267790">
                        <w:rPr>
                          <w:sz w:val="18"/>
                          <w:szCs w:val="18"/>
                        </w:rPr>
                        <w:t>PCF</w:t>
                      </w:r>
                    </w:p>
                  </w:txbxContent>
                </v:textbox>
              </v:shape>
            </w:pict>
          </mc:Fallback>
        </mc:AlternateContent>
      </w:r>
      <w:r w:rsidRPr="002C5876">
        <w:rPr>
          <w:noProof/>
          <w:lang w:val="en-GB" w:eastAsia="zh-CN"/>
        </w:rPr>
        <mc:AlternateContent>
          <mc:Choice Requires="wps">
            <w:drawing>
              <wp:anchor distT="0" distB="0" distL="114300" distR="114300" simplePos="0" relativeHeight="251107328" behindDoc="0" locked="0" layoutInCell="1" allowOverlap="1" wp14:anchorId="30E3205B" wp14:editId="145D15A2">
                <wp:simplePos x="0" y="0"/>
                <wp:positionH relativeFrom="column">
                  <wp:posOffset>2023110</wp:posOffset>
                </wp:positionH>
                <wp:positionV relativeFrom="paragraph">
                  <wp:posOffset>831215</wp:posOffset>
                </wp:positionV>
                <wp:extent cx="336550" cy="146050"/>
                <wp:effectExtent l="0" t="0" r="6350" b="6350"/>
                <wp:wrapNone/>
                <wp:docPr id="686" name="Zone de texte 686"/>
                <wp:cNvGraphicFramePr/>
                <a:graphic xmlns:a="http://schemas.openxmlformats.org/drawingml/2006/main">
                  <a:graphicData uri="http://schemas.microsoft.com/office/word/2010/wordprocessingShape">
                    <wps:wsp>
                      <wps:cNvSpPr txBox="1"/>
                      <wps:spPr>
                        <a:xfrm>
                          <a:off x="0" y="0"/>
                          <a:ext cx="33655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267790" w:rsidRDefault="00D53F39" w:rsidP="00E24DB7">
                            <w:pPr>
                              <w:spacing w:line="240" w:lineRule="auto"/>
                              <w:rPr>
                                <w:sz w:val="18"/>
                                <w:szCs w:val="18"/>
                              </w:rPr>
                            </w:pPr>
                            <w:r w:rsidRPr="00267790">
                              <w:rPr>
                                <w:sz w:val="18"/>
                                <w:szCs w:val="18"/>
                              </w:rPr>
                              <w:t>PTT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3205B" id="Zone de texte 686" o:spid="_x0000_s1451" type="#_x0000_t202" style="position:absolute;left:0;text-align:left;margin-left:159.3pt;margin-top:65.45pt;width:26.5pt;height:11.5pt;z-index:2511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" fillcolor="white [3201]" stroked="f" strokeweight=".5pt">
                <v:textbox inset="0,0,0,0">
                  <w:txbxContent>
                    <w:p w:rsidR="00D53F39" w:rsidRPr="00267790" w:rsidRDefault="00D53F39" w:rsidP="00E24DB7">
                      <w:pPr>
                        <w:spacing w:line="240" w:lineRule="auto"/>
                        <w:rPr>
                          <w:sz w:val="18"/>
                          <w:szCs w:val="18"/>
                        </w:rPr>
                      </w:pPr>
                      <w:r w:rsidRPr="00267790">
                        <w:rPr>
                          <w:sz w:val="18"/>
                          <w:szCs w:val="18"/>
                        </w:rPr>
                        <w:t>PTT</w:t>
                      </w:r>
                    </w:p>
                  </w:txbxContent>
                </v:textbox>
              </v:shape>
            </w:pict>
          </mc:Fallback>
        </mc:AlternateContent>
      </w:r>
      <w:r w:rsidRPr="002C5876">
        <w:rPr>
          <w:noProof/>
          <w:lang w:val="en-GB" w:eastAsia="zh-CN"/>
        </w:rPr>
        <mc:AlternateContent>
          <mc:Choice Requires="wps">
            <w:drawing>
              <wp:anchor distT="0" distB="0" distL="114300" distR="114300" simplePos="0" relativeHeight="251106304" behindDoc="0" locked="0" layoutInCell="1" allowOverlap="1" wp14:anchorId="5213A1C5" wp14:editId="5631EC10">
                <wp:simplePos x="0" y="0"/>
                <wp:positionH relativeFrom="column">
                  <wp:posOffset>2092960</wp:posOffset>
                </wp:positionH>
                <wp:positionV relativeFrom="paragraph">
                  <wp:posOffset>304165</wp:posOffset>
                </wp:positionV>
                <wp:extent cx="336550" cy="146050"/>
                <wp:effectExtent l="0" t="0" r="6350" b="6350"/>
                <wp:wrapNone/>
                <wp:docPr id="687" name="Zone de texte 687"/>
                <wp:cNvGraphicFramePr/>
                <a:graphic xmlns:a="http://schemas.openxmlformats.org/drawingml/2006/main">
                  <a:graphicData uri="http://schemas.microsoft.com/office/word/2010/wordprocessingShape">
                    <wps:wsp>
                      <wps:cNvSpPr txBox="1"/>
                      <wps:spPr>
                        <a:xfrm>
                          <a:off x="0" y="0"/>
                          <a:ext cx="33655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267790" w:rsidRDefault="00D53F39" w:rsidP="00E24DB7">
                            <w:pPr>
                              <w:spacing w:line="240" w:lineRule="auto"/>
                              <w:rPr>
                                <w:sz w:val="18"/>
                                <w:szCs w:val="18"/>
                              </w:rPr>
                            </w:pPr>
                            <w:r w:rsidRPr="00267790">
                              <w:rPr>
                                <w:sz w:val="18"/>
                                <w:szCs w:val="18"/>
                              </w:rPr>
                              <w:t>PSP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3A1C5" id="Zone de texte 687" o:spid="_x0000_s1452" type="#_x0000_t202" style="position:absolute;left:0;text-align:left;margin-left:164.8pt;margin-top:23.95pt;width:26.5pt;height:11.5pt;z-index:2511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" fillcolor="white [3201]" stroked="f" strokeweight=".5pt">
                <v:textbox inset="0,0,0,0">
                  <w:txbxContent>
                    <w:p w:rsidR="00D53F39" w:rsidRPr="00267790" w:rsidRDefault="00D53F39" w:rsidP="00E24DB7">
                      <w:pPr>
                        <w:spacing w:line="240" w:lineRule="auto"/>
                        <w:rPr>
                          <w:sz w:val="18"/>
                          <w:szCs w:val="18"/>
                        </w:rPr>
                      </w:pPr>
                      <w:r w:rsidRPr="00267790">
                        <w:rPr>
                          <w:sz w:val="18"/>
                          <w:szCs w:val="18"/>
                        </w:rPr>
                        <w:t>PSP</w:t>
                      </w:r>
                    </w:p>
                  </w:txbxContent>
                </v:textbox>
              </v:shape>
            </w:pict>
          </mc:Fallback>
        </mc:AlternateContent>
      </w:r>
      <w:r w:rsidRPr="002C5876">
        <w:rPr>
          <w:noProof/>
          <w:lang w:val="en-GB" w:eastAsia="zh-CN"/>
        </w:rPr>
        <w:drawing>
          <wp:inline distT="0" distB="0" distL="0" distR="0" wp14:anchorId="543A186C" wp14:editId="53C7D5AE">
            <wp:extent cx="5392800" cy="4021200"/>
            <wp:effectExtent l="0" t="0" r="0" b="0"/>
            <wp:docPr id="688" name="Imag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1" cstate="print">
                      <a:extLst>
                        <a:ext uri="{28A0092B-C50C-407E-A947-70E740481C1C}">
                          <a14:useLocalDpi xmlns:a14="http://schemas.microsoft.com/office/drawing/2010/main" val="0"/>
                        </a:ext>
                      </a:extLst>
                    </a:blip>
                    <a:srcRect r="3072"/>
                    <a:stretch>
                      <a:fillRect/>
                    </a:stretch>
                  </pic:blipFill>
                  <pic:spPr bwMode="auto">
                    <a:xfrm>
                      <a:off x="0" y="0"/>
                      <a:ext cx="5392800" cy="4021200"/>
                    </a:xfrm>
                    <a:prstGeom prst="rect">
                      <a:avLst/>
                    </a:prstGeom>
                    <a:noFill/>
                    <a:ln w="6350" cmpd="sng">
                      <a:noFill/>
                      <a:miter lim="800000"/>
                      <a:headEnd/>
                      <a:tailEnd/>
                    </a:ln>
                    <a:effectLst/>
                  </pic:spPr>
                </pic:pic>
              </a:graphicData>
            </a:graphic>
          </wp:inline>
        </w:drawing>
      </w:r>
    </w:p>
    <w:p w:rsidR="00E24DB7" w:rsidRPr="002C5876" w:rsidRDefault="00E24DB7" w:rsidP="00E24DB7">
      <w:pPr>
        <w:pStyle w:val="SingleTxtG"/>
        <w:keepNext/>
        <w:spacing w:before="240"/>
        <w:ind w:left="2268" w:hanging="1134"/>
        <w:jc w:val="left"/>
      </w:pPr>
      <w:r w:rsidRPr="002C5876">
        <w:lastRenderedPageBreak/>
        <w:t>4.2.1.3</w:t>
      </w:r>
      <w:r w:rsidRPr="002C5876">
        <w:tab/>
        <w:t>Prescriptions particulières</w:t>
      </w:r>
    </w:p>
    <w:p w:rsidR="00E24DB7" w:rsidRPr="002C5876" w:rsidRDefault="00E24DB7" w:rsidP="00E24DB7">
      <w:pPr>
        <w:pStyle w:val="SingleTxtG"/>
        <w:keepNext/>
        <w:ind w:left="2268" w:hanging="1134"/>
        <w:jc w:val="left"/>
      </w:pPr>
      <w:r w:rsidRPr="002C5876">
        <w:t>4.2.1.3.1</w:t>
      </w:r>
      <w:r w:rsidRPr="002C5876">
        <w:tab/>
        <w:t xml:space="preserve">Sonde de prélèvement </w:t>
      </w:r>
    </w:p>
    <w:p w:rsidR="00E24DB7" w:rsidRPr="002C5876" w:rsidRDefault="00E24DB7" w:rsidP="00E24DB7">
      <w:pPr>
        <w:pStyle w:val="SingleTxtG"/>
        <w:ind w:left="2268" w:hanging="1134"/>
        <w:rPr>
          <w:spacing w:val="-2"/>
        </w:rPr>
      </w:pPr>
      <w:r w:rsidRPr="002C5876">
        <w:rPr>
          <w:spacing w:val="-2"/>
        </w:rPr>
        <w:t>4.2.1.3.1.1</w:t>
      </w:r>
      <w:r w:rsidRPr="002C5876">
        <w:rPr>
          <w:spacing w:val="-2"/>
        </w:rPr>
        <w:tab/>
        <w:t xml:space="preserve">L’efficacité de la sonde de prélèvement en matière de classification granulométrique des particules doit être conforme aux prescriptions du paragraphe 4.2.1.3.1.4 de la présente annexe. Pour parvenir à cette efficacité, il est recommandé d’utiliser une sonde à arêtes vives et à tube ouvert vers l’amont ainsi qu’un séparateur primaire (type pot à poussières ou cyclone, etc.). On peut également utiliser une sonde de prélèvement telle celle décrite à la figure A5/11, à condition que son efficacité en matière de classification primaire soit conforme aux prescriptions du paragraphe 4.2.1.3.1.4 de la présente annexe. </w:t>
      </w:r>
    </w:p>
    <w:p w:rsidR="00E24DB7" w:rsidRPr="002C5876" w:rsidRDefault="00E24DB7" w:rsidP="00E24DB7">
      <w:pPr>
        <w:pStyle w:val="SingleTxtG"/>
        <w:spacing w:before="240"/>
        <w:ind w:left="2268" w:hanging="1134"/>
      </w:pPr>
      <w:r w:rsidRPr="002C5876">
        <w:t>4.2.1.3.1.2</w:t>
      </w:r>
      <w:r w:rsidRPr="002C5876">
        <w:tab/>
        <w:t xml:space="preserve">La sonde de prélèvement doit être installée en aval de l’entrée des gaz d’échappement dans le tunnel, à une distance au moins égale à 10 diamètres du tunnel. Son diamètre intérieur doit être d’au moins 8 mm. </w:t>
      </w:r>
    </w:p>
    <w:p w:rsidR="00E24DB7" w:rsidRPr="002C5876" w:rsidRDefault="00E24DB7" w:rsidP="00E24DB7">
      <w:pPr>
        <w:pStyle w:val="SingleTxtG"/>
        <w:ind w:left="2268"/>
      </w:pPr>
      <w:r w:rsidRPr="002C5876">
        <w:tab/>
        <w:t xml:space="preserve">Si plusieurs échantillons sont prélevés simultanément à partir d’une sonde de prélèvement unique, le débit prélevé à partir de cette sonde doit être divisé en débits fractionnels égaux afin d’éviter tout effet de distorsion sur le prélèvement. </w:t>
      </w:r>
    </w:p>
    <w:p w:rsidR="00E24DB7" w:rsidRPr="002C5876" w:rsidRDefault="00E24DB7" w:rsidP="00E24DB7">
      <w:pPr>
        <w:pStyle w:val="SingleTxtG"/>
        <w:keepLines/>
        <w:ind w:left="2268"/>
      </w:pPr>
      <w:r w:rsidRPr="002C5876">
        <w:tab/>
        <w:t xml:space="preserve">Si l’on utilise plusieurs sondes, chacune doit avoir des arêtes vives, une extrémité ouverte et doit être orientée vers l’amont. Les sondes doivent être également espacées autour de l’axe longitudinal central du tunnel de dilution, l’espace entre deux sondes devant être d’au moins 5 cm. </w:t>
      </w:r>
    </w:p>
    <w:p w:rsidR="00E24DB7" w:rsidRPr="002C5876" w:rsidRDefault="00E24DB7" w:rsidP="00E24DB7">
      <w:pPr>
        <w:pStyle w:val="SingleTxtG"/>
        <w:ind w:left="2268" w:hanging="1134"/>
      </w:pPr>
      <w:r w:rsidRPr="002C5876">
        <w:t>4.2.1.3.1.3</w:t>
      </w:r>
      <w:r w:rsidRPr="002C5876">
        <w:tab/>
        <w:t xml:space="preserve">La distance entre la pointe de la sonde de prélèvement et le porte-filtre doit être au moins égale à cinq diamètres de la sonde, sans toutefois dépasser 2 000 mm. </w:t>
      </w:r>
    </w:p>
    <w:p w:rsidR="00E24DB7" w:rsidRPr="002C5876" w:rsidRDefault="00E24DB7" w:rsidP="00E24DB7">
      <w:pPr>
        <w:pStyle w:val="SingleTxtG"/>
        <w:ind w:left="2268" w:hanging="1134"/>
      </w:pPr>
      <w:r w:rsidRPr="002C5876">
        <w:t>4.2.1.3.1.4</w:t>
      </w:r>
      <w:r w:rsidRPr="002C5876">
        <w:tab/>
        <w:t xml:space="preserve">Le séparateur granulométrique primaire (par exemple, type pot à poussières ou cyclone) doit être placé en amont du porte-filtre. Son point de coupure à 50 % doit être compris entre 2,5 µm et 10 µm au débit volumique choisi pour le prélèvement des particules. Le séparateur primaire doit laisser au moins 99 % de la concentration massique de particules de 1 µm entrantes traverser le séparateur au débit volumique choisi pour le prélèvement des échantillons de particules. </w:t>
      </w:r>
    </w:p>
    <w:p w:rsidR="00E24DB7" w:rsidRPr="002C5876" w:rsidRDefault="00E24DB7" w:rsidP="00E24DB7">
      <w:pPr>
        <w:pStyle w:val="SingleTxtG"/>
        <w:keepNext/>
        <w:ind w:left="2268" w:hanging="1134"/>
        <w:jc w:val="left"/>
      </w:pPr>
      <w:r w:rsidRPr="002C5876">
        <w:t>4.2.1.3.2</w:t>
      </w:r>
      <w:r w:rsidRPr="002C5876">
        <w:tab/>
        <w:t xml:space="preserve">Tube de transfert des particules (PTT) </w:t>
      </w:r>
    </w:p>
    <w:p w:rsidR="00E24DB7" w:rsidRPr="002C5876" w:rsidRDefault="00E24DB7" w:rsidP="00E24DB7">
      <w:pPr>
        <w:pStyle w:val="SingleTxtG"/>
        <w:ind w:left="2268"/>
      </w:pPr>
      <w:r w:rsidRPr="002C5876">
        <w:tab/>
        <w:t xml:space="preserve">Tout coude du tube de transfert des particules doit être progressif et son rayon de courbure doit être le plus grand possible. </w:t>
      </w:r>
    </w:p>
    <w:p w:rsidR="00E24DB7" w:rsidRPr="002C5876" w:rsidRDefault="00E24DB7" w:rsidP="00E24DB7">
      <w:pPr>
        <w:pStyle w:val="SingleTxtG"/>
        <w:keepNext/>
        <w:ind w:left="2268" w:hanging="1134"/>
        <w:jc w:val="left"/>
      </w:pPr>
      <w:r w:rsidRPr="002C5876">
        <w:t>4.2.1.3.3</w:t>
      </w:r>
      <w:r w:rsidRPr="002C5876">
        <w:tab/>
        <w:t xml:space="preserve">Dilution secondaire </w:t>
      </w:r>
    </w:p>
    <w:p w:rsidR="00E24DB7" w:rsidRPr="002C5876" w:rsidRDefault="00E24DB7" w:rsidP="00E24DB7">
      <w:pPr>
        <w:pStyle w:val="SingleTxtG"/>
        <w:keepNext/>
        <w:ind w:left="2268" w:hanging="1134"/>
      </w:pPr>
      <w:r w:rsidRPr="002C5876">
        <w:t>4.2.1.3.3.1</w:t>
      </w:r>
      <w:r w:rsidRPr="002C5876">
        <w:tab/>
        <w:t>Facultativement, l’échantillon extrait du système de prélèvement aux fins de la mesure des particules peut être soumis à une deuxième dilution, sous réserve des conditions suivantes.</w:t>
      </w:r>
    </w:p>
    <w:p w:rsidR="00E24DB7" w:rsidRPr="002C5876" w:rsidRDefault="00E24DB7" w:rsidP="00E24DB7">
      <w:pPr>
        <w:pStyle w:val="SingleTxtG"/>
        <w:ind w:left="2268" w:hanging="1134"/>
      </w:pPr>
      <w:r w:rsidRPr="002C5876">
        <w:t>4.2.1.3.3.1.1</w:t>
      </w:r>
      <w:r w:rsidRPr="002C5876">
        <w:tab/>
        <w:t>On doit faire passer l’air de dilution utilisé pour la dilution secondaire à travers un dispositif dont le matériau filtrant soit capable de capturer au moins 99,95 % des particules les plus pénétrantes ou à travers un filtre à très haute efficacité (THE) appartenant au minimum à la classe H13 telle que définie par la norme européenne EN 1822:</w:t>
      </w:r>
      <w:r w:rsidRPr="002C5876">
        <w:rPr>
          <w:bCs/>
        </w:rPr>
        <w:t>2009</w:t>
      </w:r>
      <w:r w:rsidRPr="002C5876">
        <w:t xml:space="preserve">. Il est possible d’épurer l’air de dilution au charbon de bois avant de le faire passer dans le filtre THE. Dans ce cas, il est recommandé de placer un filtre supplémentaire à particules grossières avant le filtre THE et après l’épurateur à charbon de bois. </w:t>
      </w:r>
    </w:p>
    <w:p w:rsidR="00E24DB7" w:rsidRPr="002C5876" w:rsidRDefault="00E24DB7" w:rsidP="00E24DB7">
      <w:pPr>
        <w:pStyle w:val="SingleTxtG"/>
        <w:ind w:left="2268" w:hanging="1134"/>
      </w:pPr>
      <w:r w:rsidRPr="002C5876">
        <w:t>4.2.1.3.3.1.2</w:t>
      </w:r>
      <w:r w:rsidRPr="002C5876">
        <w:tab/>
        <w:t>L’air de dilution secondaire doit être injecté dans le tube de transfert des particules aussi près que possible du point de sortie des gaz d’échappement dilués du tunnel de dilution.</w:t>
      </w:r>
    </w:p>
    <w:p w:rsidR="00E24DB7" w:rsidRPr="002C5876" w:rsidRDefault="00E24DB7" w:rsidP="00E24DB7">
      <w:pPr>
        <w:pStyle w:val="SingleTxtG"/>
        <w:ind w:left="2268" w:hanging="1134"/>
      </w:pPr>
      <w:r w:rsidRPr="002C5876">
        <w:t>4.2.1.3.3.1.3</w:t>
      </w:r>
      <w:r w:rsidRPr="002C5876">
        <w:tab/>
        <w:t xml:space="preserve">Le temps de séjour depuis le point d’injection d’air de dilution secondaire jusqu’à la surface d’entrée du filtre doit être d’au moins 0,25 s et inférieur à 5 s. </w:t>
      </w:r>
    </w:p>
    <w:p w:rsidR="00E24DB7" w:rsidRPr="002C5876" w:rsidRDefault="00E24DB7" w:rsidP="00E24DB7">
      <w:pPr>
        <w:pStyle w:val="SingleTxtG"/>
        <w:ind w:left="2268" w:hanging="1134"/>
      </w:pPr>
      <w:r w:rsidRPr="002C5876">
        <w:lastRenderedPageBreak/>
        <w:t>4.2.1.3.3.1.4</w:t>
      </w:r>
      <w:r w:rsidRPr="002C5876">
        <w:tab/>
        <w:t xml:space="preserve">Si des échantillons doublement dilués sont renvoyés au système de prélèvement, l’emplacement du retour des échantillons doit être choisi de manière à ce qu’il n’interfère pas avec l’extraction d’autres échantillons depuis le système CVS. </w:t>
      </w:r>
    </w:p>
    <w:p w:rsidR="00E24DB7" w:rsidRPr="002C5876" w:rsidRDefault="00E24DB7" w:rsidP="00E24DB7">
      <w:pPr>
        <w:pStyle w:val="SingleTxtG"/>
        <w:keepNext/>
        <w:ind w:left="2268" w:hanging="1134"/>
        <w:jc w:val="left"/>
      </w:pPr>
      <w:r w:rsidRPr="002C5876">
        <w:t>4.2.1.3.4</w:t>
      </w:r>
      <w:r w:rsidRPr="002C5876">
        <w:tab/>
        <w:t xml:space="preserve">Pompe de prélèvement et débitmètre </w:t>
      </w:r>
    </w:p>
    <w:p w:rsidR="00E24DB7" w:rsidRPr="002C5876" w:rsidRDefault="00E24DB7" w:rsidP="00E24DB7">
      <w:pPr>
        <w:pStyle w:val="SingleTxtG"/>
        <w:ind w:left="2268" w:hanging="1134"/>
      </w:pPr>
      <w:r w:rsidRPr="002C5876">
        <w:t>4.2.1.3.4.1</w:t>
      </w:r>
      <w:r w:rsidRPr="002C5876">
        <w:tab/>
        <w:t xml:space="preserve">Le dispositif de mesure du flux de gaz prélevé se compose de pompes, de régulateurs de débit et de débitmètres. </w:t>
      </w:r>
    </w:p>
    <w:p w:rsidR="00E24DB7" w:rsidRPr="002C5876" w:rsidRDefault="00E24DB7" w:rsidP="00E24DB7">
      <w:pPr>
        <w:pStyle w:val="SingleTxtG"/>
        <w:keepNext/>
        <w:keepLines/>
        <w:ind w:left="2268" w:hanging="1134"/>
      </w:pPr>
      <w:r w:rsidRPr="002C5876">
        <w:t>4.2.1.3.4.2</w:t>
      </w:r>
      <w:r w:rsidRPr="002C5876">
        <w:tab/>
        <w:t xml:space="preserve">La température du flux de gaz au niveau du débitmètre ne doit pas varier de plus de </w:t>
      </w:r>
      <w:r w:rsidRPr="002C5876">
        <w:sym w:font="Symbol" w:char="F0B1"/>
      </w:r>
      <w:r w:rsidRPr="002C5876">
        <w:t>3 °C, sauf :</w:t>
      </w:r>
    </w:p>
    <w:p w:rsidR="00E24DB7" w:rsidRPr="002C5876" w:rsidRDefault="00E24DB7" w:rsidP="00E24DB7">
      <w:pPr>
        <w:pStyle w:val="SingleTxtG"/>
        <w:ind w:left="2835" w:hanging="567"/>
      </w:pPr>
      <w:r w:rsidRPr="002C5876">
        <w:t>a)</w:t>
      </w:r>
      <w:r w:rsidRPr="002C5876">
        <w:tab/>
        <w:t xml:space="preserve">Lorsque le débitmètre de prélèvement des échantillons est équipé d’un dispositif de contrôle et de réglage de flux en temps réel fonctionnant à la fréquence d’au moins 1 Hz ; </w:t>
      </w:r>
    </w:p>
    <w:p w:rsidR="00E24DB7" w:rsidRPr="002C5876" w:rsidRDefault="00E24DB7" w:rsidP="00E24DB7">
      <w:pPr>
        <w:pStyle w:val="SingleTxtG"/>
        <w:ind w:left="2835" w:hanging="567"/>
      </w:pPr>
      <w:r w:rsidRPr="002C5876">
        <w:t>b)</w:t>
      </w:r>
      <w:r w:rsidRPr="002C5876">
        <w:tab/>
        <w:t xml:space="preserve">Pendant les essais de régénération sur les véhicules équipés de dispositifs de traitement aval à régénération discontinue. </w:t>
      </w:r>
    </w:p>
    <w:p w:rsidR="00E24DB7" w:rsidRPr="002C5876" w:rsidRDefault="00E24DB7" w:rsidP="00E24DB7">
      <w:pPr>
        <w:pStyle w:val="SingleTxtG"/>
        <w:ind w:left="2268"/>
        <w:rPr>
          <w:b/>
        </w:rPr>
      </w:pPr>
      <w:r w:rsidRPr="002C5876">
        <w:tab/>
        <w:t xml:space="preserve">Lorsqu’il se produit une variation excessive du débit en raison d’un encrassement trop élevé du filtre, l’essai doit être interrompu. Lors de la répétition de l’essai, il y a lieu de prévoir un débit moins important. </w:t>
      </w:r>
    </w:p>
    <w:p w:rsidR="00E24DB7" w:rsidRPr="002C5876" w:rsidRDefault="00E24DB7" w:rsidP="00E24DB7">
      <w:pPr>
        <w:pStyle w:val="SingleTxtG"/>
        <w:keepNext/>
        <w:ind w:left="2268" w:hanging="1134"/>
        <w:jc w:val="left"/>
      </w:pPr>
      <w:r w:rsidRPr="002C5876">
        <w:t>4.2.1.3.5</w:t>
      </w:r>
      <w:r w:rsidRPr="002C5876">
        <w:tab/>
        <w:t xml:space="preserve">Filtre et porte-filtre </w:t>
      </w:r>
    </w:p>
    <w:p w:rsidR="00E24DB7" w:rsidRPr="002C5876" w:rsidRDefault="00E24DB7" w:rsidP="00E24DB7">
      <w:pPr>
        <w:pStyle w:val="SingleTxtG"/>
        <w:ind w:left="2268" w:hanging="1134"/>
      </w:pPr>
      <w:r w:rsidRPr="002C5876">
        <w:t>4.2.1.3.5.1</w:t>
      </w:r>
      <w:r w:rsidRPr="002C5876">
        <w:tab/>
      </w:r>
      <w:r w:rsidRPr="002C5876">
        <w:rPr>
          <w:spacing w:val="-4"/>
        </w:rPr>
        <w:t>Une vanne doit être placée en aval du filtre dans la direction du flux. La vanne doit s’ouvrir et se fermer dans la seconde suivant le début et la fin de l’essai.</w:t>
      </w:r>
      <w:r w:rsidRPr="002C5876">
        <w:t xml:space="preserve"> </w:t>
      </w:r>
    </w:p>
    <w:p w:rsidR="00E24DB7" w:rsidRPr="002C5876" w:rsidRDefault="00E24DB7" w:rsidP="00E24DB7">
      <w:pPr>
        <w:pStyle w:val="SingleTxtG"/>
        <w:ind w:left="2268" w:hanging="1134"/>
      </w:pPr>
      <w:r w:rsidRPr="002C5876">
        <w:t>4.2.1.3.5.2</w:t>
      </w:r>
      <w:r w:rsidRPr="002C5876">
        <w:tab/>
        <w:t xml:space="preserve">Pour un essai donné, la vitesse nominale d’entrée du gaz dans le filtre doit être réglée au début de l’essai sur une valeur comprise entre 20 cm/s et 105 cm/s, et de telle manière que la vitesse de 105 cm/s ne soit pas dépassée lorsque le système de dilution fonctionne à un débit de prélèvement proportionnel au débit du système de prélèvement à volume constant. </w:t>
      </w:r>
    </w:p>
    <w:p w:rsidR="00E24DB7" w:rsidRPr="002C5876" w:rsidRDefault="00E24DB7" w:rsidP="00E24DB7">
      <w:pPr>
        <w:pStyle w:val="SingleTxtG"/>
        <w:ind w:left="2268" w:hanging="1134"/>
      </w:pPr>
      <w:r w:rsidRPr="002C5876">
        <w:t>4.2.1.3.5.3</w:t>
      </w:r>
      <w:r w:rsidRPr="002C5876">
        <w:tab/>
        <w:t>Des filtres en fibre de verre revêtus de fluorocarbone ou des filtres membranes à base de fluorocarbone doivent être utilisés.</w:t>
      </w:r>
    </w:p>
    <w:p w:rsidR="00E24DB7" w:rsidRPr="002C5876" w:rsidRDefault="00E24DB7" w:rsidP="00E24DB7">
      <w:pPr>
        <w:pStyle w:val="SingleTxtG"/>
        <w:keepNext/>
        <w:ind w:left="2268"/>
        <w:rPr>
          <w:spacing w:val="-4"/>
        </w:rPr>
      </w:pPr>
      <w:r w:rsidRPr="002C5876">
        <w:rPr>
          <w:spacing w:val="-4"/>
        </w:rPr>
        <w:t>Pour tous les types de filtres, le coefficient de rétention de particules de 0,3 μm de di-octylphtalate (DOP) ou de polyalphaoléfine (PAO) CS 68649-12-7 ou CS</w:t>
      </w:r>
      <w:r w:rsidR="00A9610C" w:rsidRPr="002C5876">
        <w:rPr>
          <w:spacing w:val="-4"/>
        </w:rPr>
        <w:t> </w:t>
      </w:r>
      <w:r w:rsidRPr="002C5876">
        <w:rPr>
          <w:spacing w:val="-4"/>
        </w:rPr>
        <w:t>68037-01-4 doit être d’au moins 99 % à une vitesse nominale d’entrée dans le filtre d’au moins 5,33 cm/s mesurée conformément à l’une des normes ci-après :</w:t>
      </w:r>
    </w:p>
    <w:p w:rsidR="00E24DB7" w:rsidRPr="00D53F39" w:rsidRDefault="00E24DB7" w:rsidP="00E24DB7">
      <w:pPr>
        <w:pStyle w:val="SingleTxtG"/>
        <w:ind w:left="2835" w:hanging="567"/>
        <w:rPr>
          <w:lang w:val="en-US"/>
        </w:rPr>
      </w:pPr>
      <w:r w:rsidRPr="00D53F39">
        <w:rPr>
          <w:lang w:val="en-US"/>
        </w:rPr>
        <w:t>a)</w:t>
      </w:r>
      <w:r w:rsidRPr="00D53F39">
        <w:rPr>
          <w:lang w:val="en-US"/>
        </w:rPr>
        <w:tab/>
        <w:t xml:space="preserve">U.S.A. Department of Defense Test Method Standard, MIL-STD-282 method 102.8: DOP-Smoke Penetration of Aerosol-Filter Element ; </w:t>
      </w:r>
    </w:p>
    <w:p w:rsidR="00E24DB7" w:rsidRPr="00D53F39" w:rsidRDefault="00E24DB7" w:rsidP="00E24DB7">
      <w:pPr>
        <w:pStyle w:val="SingleTxtG"/>
        <w:ind w:left="2835" w:hanging="567"/>
        <w:rPr>
          <w:lang w:val="en-US"/>
        </w:rPr>
      </w:pPr>
      <w:r w:rsidRPr="00D53F39">
        <w:rPr>
          <w:lang w:val="en-US"/>
        </w:rPr>
        <w:t>b)</w:t>
      </w:r>
      <w:r w:rsidRPr="00D53F39">
        <w:rPr>
          <w:lang w:val="en-US"/>
        </w:rPr>
        <w:tab/>
        <w:t xml:space="preserve">U.S.A. Department of Defense Test Method Standard, MIL-STD-282 method 502.1.1: DOP-Smoke Penetration of Gas-Mask Canisters ; </w:t>
      </w:r>
    </w:p>
    <w:p w:rsidR="00E24DB7" w:rsidRPr="00D53F39" w:rsidRDefault="00E24DB7" w:rsidP="00E24DB7">
      <w:pPr>
        <w:pStyle w:val="SingleTxtG"/>
        <w:ind w:left="2835" w:hanging="567"/>
        <w:rPr>
          <w:lang w:val="en-US"/>
        </w:rPr>
      </w:pPr>
      <w:r w:rsidRPr="00D53F39">
        <w:rPr>
          <w:lang w:val="en-US"/>
        </w:rPr>
        <w:t>c)</w:t>
      </w:r>
      <w:r w:rsidRPr="00D53F39">
        <w:rPr>
          <w:lang w:val="en-US"/>
        </w:rPr>
        <w:tab/>
      </w:r>
      <w:r w:rsidRPr="00D53F39">
        <w:rPr>
          <w:spacing w:val="-2"/>
          <w:lang w:val="en-US"/>
        </w:rPr>
        <w:t>Institute of Environmental Sciences and Technology, IEST-RP-CC021:</w:t>
      </w:r>
      <w:r w:rsidRPr="00D53F39">
        <w:rPr>
          <w:lang w:val="en-US"/>
        </w:rPr>
        <w:t xml:space="preserve"> Testing HEPA and ULPA Filter Media. </w:t>
      </w:r>
    </w:p>
    <w:p w:rsidR="00E24DB7" w:rsidRPr="002C5876" w:rsidRDefault="00E24DB7" w:rsidP="00E24DB7">
      <w:pPr>
        <w:pStyle w:val="SingleTxtG"/>
        <w:ind w:left="2268" w:hanging="1134"/>
      </w:pPr>
      <w:r w:rsidRPr="002C5876">
        <w:t>4.2.1.3.5.4</w:t>
      </w:r>
      <w:r w:rsidRPr="002C5876">
        <w:tab/>
        <w:t>Le porte-filtre doit être conçu de manière à permettre une répartition régulière du flux sur toute la surface utile du filtre. Le filtre doit être de section circulaire et sa surface utile d’au moins 1 075 mm</w:t>
      </w:r>
      <w:r w:rsidRPr="002C5876">
        <w:rPr>
          <w:vertAlign w:val="superscript"/>
        </w:rPr>
        <w:t>2</w:t>
      </w:r>
      <w:r w:rsidRPr="002C5876">
        <w:t>.</w:t>
      </w:r>
    </w:p>
    <w:p w:rsidR="00E24DB7" w:rsidRPr="002C5876" w:rsidRDefault="00E24DB7" w:rsidP="00E24DB7">
      <w:pPr>
        <w:pStyle w:val="SingleTxtG"/>
        <w:keepNext/>
        <w:ind w:left="2268" w:hanging="1134"/>
        <w:jc w:val="left"/>
      </w:pPr>
      <w:r w:rsidRPr="002C5876">
        <w:t>4.2.2</w:t>
      </w:r>
      <w:r w:rsidRPr="002C5876">
        <w:tab/>
        <w:t xml:space="preserve">Caractéristiques de la chambre de pesage et de la balance </w:t>
      </w:r>
    </w:p>
    <w:p w:rsidR="00E24DB7" w:rsidRPr="002C5876" w:rsidRDefault="00E24DB7" w:rsidP="00E24DB7">
      <w:pPr>
        <w:pStyle w:val="SingleTxtG"/>
        <w:keepNext/>
        <w:ind w:left="2268" w:hanging="1134"/>
        <w:jc w:val="left"/>
      </w:pPr>
      <w:r w:rsidRPr="002C5876">
        <w:t>4.2.2.1</w:t>
      </w:r>
      <w:r w:rsidRPr="002C5876">
        <w:tab/>
        <w:t>Conditions dans la chambre de pesage</w:t>
      </w:r>
    </w:p>
    <w:p w:rsidR="00E24DB7" w:rsidRPr="002C5876" w:rsidRDefault="00E24DB7" w:rsidP="00E24DB7">
      <w:pPr>
        <w:pStyle w:val="SingleTxtG"/>
        <w:ind w:left="2835" w:hanging="567"/>
      </w:pPr>
      <w:r w:rsidRPr="002C5876">
        <w:t>a)</w:t>
      </w:r>
      <w:r w:rsidRPr="002C5876">
        <w:tab/>
      </w:r>
      <w:r w:rsidRPr="002C5876">
        <w:rPr>
          <w:spacing w:val="-2"/>
        </w:rPr>
        <w:t xml:space="preserve">La chambre où les filtres de prélèvement des particules sont conditionnés et pesés doit être maintenue à une température constante de 22 °C </w:t>
      </w:r>
      <w:r w:rsidRPr="002C5876">
        <w:rPr>
          <w:spacing w:val="-2"/>
        </w:rPr>
        <w:sym w:font="Symbol" w:char="F0B1"/>
      </w:r>
      <w:r w:rsidRPr="002C5876">
        <w:rPr>
          <w:spacing w:val="-2"/>
        </w:rPr>
        <w:t>2 °C</w:t>
      </w:r>
      <w:r w:rsidRPr="002C5876">
        <w:t xml:space="preserve"> (si possible 22 °C</w:t>
      </w:r>
      <w:r w:rsidR="00A9610C" w:rsidRPr="002C5876">
        <w:t> </w:t>
      </w:r>
      <w:r w:rsidRPr="002C5876">
        <w:sym w:font="Symbol" w:char="F0B1"/>
      </w:r>
      <w:r w:rsidR="00A9610C" w:rsidRPr="002C5876">
        <w:t> </w:t>
      </w:r>
      <w:r w:rsidRPr="002C5876">
        <w:t>1 °C) pendant toutes les opérations de conditionnement et de pesage ;</w:t>
      </w:r>
    </w:p>
    <w:p w:rsidR="00E24DB7" w:rsidRPr="002C5876" w:rsidRDefault="00E24DB7" w:rsidP="00E24DB7">
      <w:pPr>
        <w:pStyle w:val="SingleTxtG"/>
        <w:ind w:left="2835" w:hanging="567"/>
      </w:pPr>
      <w:r w:rsidRPr="002C5876">
        <w:t>b)</w:t>
      </w:r>
      <w:r w:rsidRPr="002C5876">
        <w:tab/>
        <w:t xml:space="preserve">L’humidité doit être maintenue à un point de rosée inférieur à 10,5 °C et l’humidité relative à 45 % </w:t>
      </w:r>
      <w:r w:rsidRPr="002C5876">
        <w:sym w:font="Symbol" w:char="F0B1"/>
      </w:r>
      <w:r w:rsidRPr="002C5876">
        <w:t>8 % ;</w:t>
      </w:r>
    </w:p>
    <w:p w:rsidR="00E24DB7" w:rsidRPr="002C5876" w:rsidRDefault="00E24DB7" w:rsidP="00E24DB7">
      <w:pPr>
        <w:pStyle w:val="SingleTxtG"/>
        <w:ind w:left="2835" w:hanging="567"/>
      </w:pPr>
      <w:r w:rsidRPr="002C5876">
        <w:lastRenderedPageBreak/>
        <w:t>c)</w:t>
      </w:r>
      <w:r w:rsidRPr="002C5876">
        <w:tab/>
        <w:t>Des écarts limités par rapport aux conditions de température et d’humidité prescrites pour la chambre de pesage sont autorisés si leur durée totale ne dépasse pas 30 min pendant l’une quelconque des périodes de conditionnement du filtre ;</w:t>
      </w:r>
    </w:p>
    <w:p w:rsidR="00E24DB7" w:rsidRPr="002C5876" w:rsidRDefault="00E24DB7" w:rsidP="00E24DB7">
      <w:pPr>
        <w:pStyle w:val="SingleTxtG"/>
        <w:ind w:left="2835" w:hanging="567"/>
      </w:pPr>
      <w:r w:rsidRPr="002C5876">
        <w:t>d)</w:t>
      </w:r>
      <w:r w:rsidRPr="002C5876">
        <w:tab/>
        <w:t>Les niveaux de contaminants ambiants présents dans la chambre de pesage et susceptibles de se déposer sur les filtres de prélèvement de particules durant leur période de stabilisation doivent être réduits au minimum ;</w:t>
      </w:r>
    </w:p>
    <w:p w:rsidR="00E24DB7" w:rsidRPr="002C5876" w:rsidRDefault="00E24DB7" w:rsidP="00E24DB7">
      <w:pPr>
        <w:pStyle w:val="SingleTxtG"/>
        <w:ind w:left="2835" w:hanging="567"/>
      </w:pPr>
      <w:r w:rsidRPr="002C5876">
        <w:t>e)</w:t>
      </w:r>
      <w:r w:rsidRPr="002C5876">
        <w:tab/>
        <w:t xml:space="preserve">Pendant l’opération de pesage, aucun écart par rapport aux conditions prescrites n’est admis. </w:t>
      </w:r>
    </w:p>
    <w:p w:rsidR="00E24DB7" w:rsidRPr="002C5876" w:rsidRDefault="00E24DB7" w:rsidP="00E24DB7">
      <w:pPr>
        <w:pStyle w:val="SingleTxtG"/>
        <w:keepNext/>
        <w:ind w:left="2268" w:hanging="1134"/>
        <w:jc w:val="left"/>
      </w:pPr>
      <w:r w:rsidRPr="002C5876">
        <w:t>4.2.2.2</w:t>
      </w:r>
      <w:r w:rsidRPr="002C5876">
        <w:tab/>
        <w:t>Réponse linéaire d’une balance</w:t>
      </w:r>
    </w:p>
    <w:p w:rsidR="00E24DB7" w:rsidRPr="002C5876" w:rsidRDefault="00E24DB7" w:rsidP="00E24DB7">
      <w:pPr>
        <w:pStyle w:val="SingleTxtG"/>
        <w:ind w:left="2268"/>
      </w:pPr>
      <w:r w:rsidRPr="002C5876">
        <w:tab/>
        <w:t>La balance utilisée pour déterminer le poids des filtres doit satisfaire aux critères de contrôle de la linéarité formulés dans le tableau A5/1 faisant appel à une régression linéaire. Cela implique une précision d’au moins ±2 µg et un pouvoir de résolution d’au moins 1 µg (1 chiffre =</w:t>
      </w:r>
      <w:r w:rsidR="00A9610C" w:rsidRPr="002C5876">
        <w:t> </w:t>
      </w:r>
      <w:r w:rsidRPr="002C5876">
        <w:t>1 µg). Au moins 4</w:t>
      </w:r>
      <w:r w:rsidR="00A9610C" w:rsidRPr="002C5876">
        <w:t> </w:t>
      </w:r>
      <w:r w:rsidRPr="002C5876">
        <w:t xml:space="preserve">poids de référence également espacés sont soumis à essai. La valeur zéro doit être valable à </w:t>
      </w:r>
      <w:r w:rsidRPr="002C5876">
        <w:sym w:font="Symbol" w:char="F0B1"/>
      </w:r>
      <w:r w:rsidRPr="002C5876">
        <w:t>1µg près.</w:t>
      </w:r>
    </w:p>
    <w:p w:rsidR="00E24DB7" w:rsidRPr="002C5876" w:rsidRDefault="00E24DB7" w:rsidP="00E24DB7">
      <w:pPr>
        <w:pStyle w:val="H23G"/>
      </w:pPr>
      <w:r w:rsidRPr="002C5876">
        <w:rPr>
          <w:b w:val="0"/>
        </w:rPr>
        <w:tab/>
      </w:r>
      <w:r w:rsidRPr="002C5876">
        <w:rPr>
          <w:b w:val="0"/>
        </w:rPr>
        <w:tab/>
        <w:t xml:space="preserve">Tableau A5/1 </w:t>
      </w:r>
      <w:r w:rsidRPr="002C5876">
        <w:br/>
        <w:t xml:space="preserve">Critères de contrôle de la balance </w:t>
      </w:r>
    </w:p>
    <w:tbl>
      <w:tblPr>
        <w:tblW w:w="7370" w:type="dxa"/>
        <w:tblInd w:w="1134" w:type="dxa"/>
        <w:tblBorders>
          <w:top w:val="single" w:sz="4" w:space="0" w:color="auto"/>
          <w:left w:val="single" w:sz="4" w:space="0" w:color="auto"/>
          <w:bottom w:val="single" w:sz="12" w:space="0" w:color="auto"/>
          <w:right w:val="single" w:sz="4" w:space="0" w:color="auto"/>
          <w:insideH w:val="single" w:sz="12" w:space="0" w:color="auto"/>
          <w:insideV w:val="single" w:sz="4" w:space="0" w:color="auto"/>
        </w:tblBorders>
        <w:tblLayout w:type="fixed"/>
        <w:tblCellMar>
          <w:left w:w="0" w:type="dxa"/>
          <w:right w:w="0" w:type="dxa"/>
        </w:tblCellMar>
        <w:tblLook w:val="01E0" w:firstRow="1" w:lastRow="1" w:firstColumn="1" w:lastColumn="1" w:noHBand="0" w:noVBand="0"/>
      </w:tblPr>
      <w:tblGrid>
        <w:gridCol w:w="1923"/>
        <w:gridCol w:w="1183"/>
        <w:gridCol w:w="1183"/>
        <w:gridCol w:w="1540"/>
        <w:gridCol w:w="1541"/>
      </w:tblGrid>
      <w:tr w:rsidR="00E24DB7" w:rsidRPr="002C5876" w:rsidTr="00E24DB7">
        <w:trPr>
          <w:tblHeader/>
        </w:trPr>
        <w:tc>
          <w:tcPr>
            <w:tcW w:w="1923" w:type="dxa"/>
            <w:shd w:val="clear" w:color="auto" w:fill="auto"/>
            <w:vAlign w:val="bottom"/>
          </w:tcPr>
          <w:p w:rsidR="00E24DB7" w:rsidRPr="002C5876" w:rsidRDefault="00E24DB7" w:rsidP="00E24DB7">
            <w:pPr>
              <w:suppressAutoHyphens w:val="0"/>
              <w:spacing w:before="80" w:after="80" w:line="200" w:lineRule="exact"/>
              <w:ind w:left="57" w:right="57"/>
              <w:rPr>
                <w:i/>
                <w:sz w:val="16"/>
              </w:rPr>
            </w:pPr>
            <w:r w:rsidRPr="002C5876">
              <w:rPr>
                <w:i/>
                <w:sz w:val="16"/>
              </w:rPr>
              <w:t>Système de mesure</w:t>
            </w:r>
          </w:p>
        </w:tc>
        <w:tc>
          <w:tcPr>
            <w:tcW w:w="1183" w:type="dxa"/>
            <w:shd w:val="clear" w:color="auto" w:fill="auto"/>
            <w:vAlign w:val="bottom"/>
          </w:tcPr>
          <w:p w:rsidR="00E24DB7" w:rsidRPr="002C5876" w:rsidRDefault="00E24DB7" w:rsidP="00E24DB7">
            <w:pPr>
              <w:suppressAutoHyphens w:val="0"/>
              <w:spacing w:before="80" w:after="80" w:line="200" w:lineRule="exact"/>
              <w:ind w:left="57" w:right="57"/>
              <w:rPr>
                <w:i/>
                <w:sz w:val="16"/>
              </w:rPr>
            </w:pPr>
            <w:r w:rsidRPr="002C5876">
              <w:rPr>
                <w:i/>
                <w:sz w:val="16"/>
              </w:rPr>
              <w:t>Ordonnée</w:t>
            </w:r>
            <w:r w:rsidRPr="002C5876">
              <w:rPr>
                <w:i/>
                <w:sz w:val="16"/>
              </w:rPr>
              <w:br/>
              <w:t>à l’origine a0</w:t>
            </w:r>
          </w:p>
        </w:tc>
        <w:tc>
          <w:tcPr>
            <w:tcW w:w="1183" w:type="dxa"/>
            <w:shd w:val="clear" w:color="auto" w:fill="auto"/>
            <w:vAlign w:val="bottom"/>
          </w:tcPr>
          <w:p w:rsidR="00E24DB7" w:rsidRPr="002C5876" w:rsidRDefault="00E24DB7" w:rsidP="00E24DB7">
            <w:pPr>
              <w:suppressAutoHyphens w:val="0"/>
              <w:spacing w:before="80" w:after="80" w:line="200" w:lineRule="exact"/>
              <w:ind w:left="57" w:right="57"/>
              <w:rPr>
                <w:i/>
                <w:sz w:val="16"/>
              </w:rPr>
            </w:pPr>
            <w:r w:rsidRPr="002C5876">
              <w:rPr>
                <w:i/>
                <w:sz w:val="16"/>
              </w:rPr>
              <w:t>Pente a1</w:t>
            </w:r>
          </w:p>
        </w:tc>
        <w:tc>
          <w:tcPr>
            <w:tcW w:w="1540" w:type="dxa"/>
            <w:shd w:val="clear" w:color="auto" w:fill="auto"/>
            <w:vAlign w:val="bottom"/>
          </w:tcPr>
          <w:p w:rsidR="00E24DB7" w:rsidRPr="002C5876" w:rsidRDefault="00E24DB7" w:rsidP="00E24DB7">
            <w:pPr>
              <w:suppressAutoHyphens w:val="0"/>
              <w:spacing w:before="80" w:after="80" w:line="200" w:lineRule="exact"/>
              <w:ind w:left="57" w:right="57"/>
              <w:rPr>
                <w:i/>
                <w:sz w:val="16"/>
              </w:rPr>
            </w:pPr>
            <w:r w:rsidRPr="002C5876">
              <w:rPr>
                <w:i/>
                <w:sz w:val="16"/>
              </w:rPr>
              <w:t>L’erreur type d’estimation (SEE)</w:t>
            </w:r>
          </w:p>
        </w:tc>
        <w:tc>
          <w:tcPr>
            <w:tcW w:w="1541" w:type="dxa"/>
            <w:shd w:val="clear" w:color="auto" w:fill="auto"/>
            <w:vAlign w:val="bottom"/>
          </w:tcPr>
          <w:p w:rsidR="00E24DB7" w:rsidRPr="002C5876" w:rsidRDefault="00E24DB7" w:rsidP="00E24DB7">
            <w:pPr>
              <w:suppressAutoHyphens w:val="0"/>
              <w:spacing w:before="80" w:after="80" w:line="200" w:lineRule="exact"/>
              <w:ind w:left="57" w:right="57"/>
              <w:rPr>
                <w:i/>
                <w:sz w:val="16"/>
              </w:rPr>
            </w:pPr>
            <w:r w:rsidRPr="002C5876">
              <w:rPr>
                <w:i/>
                <w:sz w:val="16"/>
              </w:rPr>
              <w:t>Coefficient</w:t>
            </w:r>
            <w:r w:rsidRPr="002C5876">
              <w:rPr>
                <w:i/>
                <w:sz w:val="16"/>
              </w:rPr>
              <w:br/>
              <w:t>de détermination (r</w:t>
            </w:r>
            <w:r w:rsidRPr="002C5876">
              <w:rPr>
                <w:i/>
                <w:sz w:val="16"/>
                <w:vertAlign w:val="superscript"/>
              </w:rPr>
              <w:t>2</w:t>
            </w:r>
            <w:r w:rsidRPr="002C5876">
              <w:rPr>
                <w:i/>
                <w:sz w:val="16"/>
              </w:rPr>
              <w:t>)</w:t>
            </w:r>
          </w:p>
        </w:tc>
      </w:tr>
      <w:tr w:rsidR="00E24DB7" w:rsidRPr="002C5876" w:rsidTr="00E24DB7">
        <w:tc>
          <w:tcPr>
            <w:tcW w:w="1923" w:type="dxa"/>
            <w:shd w:val="clear" w:color="auto" w:fill="auto"/>
          </w:tcPr>
          <w:p w:rsidR="00E24DB7" w:rsidRPr="002C5876" w:rsidRDefault="00E24DB7" w:rsidP="00E24DB7">
            <w:pPr>
              <w:suppressAutoHyphens w:val="0"/>
              <w:spacing w:before="60" w:after="60" w:line="220" w:lineRule="atLeast"/>
              <w:ind w:left="57" w:right="57"/>
              <w:rPr>
                <w:sz w:val="18"/>
              </w:rPr>
            </w:pPr>
            <w:r w:rsidRPr="002C5876">
              <w:rPr>
                <w:sz w:val="18"/>
              </w:rPr>
              <w:t>Balance de pesage des matières particulaires</w:t>
            </w:r>
          </w:p>
        </w:tc>
        <w:tc>
          <w:tcPr>
            <w:tcW w:w="1183" w:type="dxa"/>
            <w:shd w:val="clear" w:color="auto" w:fill="auto"/>
            <w:vAlign w:val="bottom"/>
          </w:tcPr>
          <w:p w:rsidR="00E24DB7" w:rsidRPr="002C5876" w:rsidRDefault="00E24DB7" w:rsidP="00E24DB7">
            <w:pPr>
              <w:suppressAutoHyphens w:val="0"/>
              <w:spacing w:before="60" w:after="60" w:line="220" w:lineRule="atLeast"/>
              <w:ind w:left="57" w:right="57"/>
              <w:rPr>
                <w:sz w:val="18"/>
              </w:rPr>
            </w:pPr>
            <w:r w:rsidRPr="002C5876">
              <w:rPr>
                <w:sz w:val="18"/>
              </w:rPr>
              <w:t>≤ 1 µg </w:t>
            </w:r>
          </w:p>
        </w:tc>
        <w:tc>
          <w:tcPr>
            <w:tcW w:w="1183" w:type="dxa"/>
            <w:shd w:val="clear" w:color="auto" w:fill="auto"/>
            <w:vAlign w:val="bottom"/>
          </w:tcPr>
          <w:p w:rsidR="00E24DB7" w:rsidRPr="002C5876" w:rsidRDefault="00E24DB7" w:rsidP="00E24DB7">
            <w:pPr>
              <w:suppressAutoHyphens w:val="0"/>
              <w:spacing w:before="60" w:after="60" w:line="220" w:lineRule="atLeast"/>
              <w:ind w:left="57" w:right="57"/>
              <w:rPr>
                <w:sz w:val="18"/>
              </w:rPr>
            </w:pPr>
            <w:r w:rsidRPr="002C5876">
              <w:rPr>
                <w:sz w:val="18"/>
              </w:rPr>
              <w:t>0,99 − 1,01</w:t>
            </w:r>
          </w:p>
        </w:tc>
        <w:tc>
          <w:tcPr>
            <w:tcW w:w="1540" w:type="dxa"/>
            <w:shd w:val="clear" w:color="auto" w:fill="auto"/>
            <w:vAlign w:val="bottom"/>
          </w:tcPr>
          <w:p w:rsidR="00E24DB7" w:rsidRPr="002C5876" w:rsidRDefault="00E24DB7" w:rsidP="00E24DB7">
            <w:pPr>
              <w:suppressAutoHyphens w:val="0"/>
              <w:spacing w:before="60" w:after="60" w:line="220" w:lineRule="atLeast"/>
              <w:ind w:left="57" w:right="57"/>
              <w:rPr>
                <w:sz w:val="18"/>
              </w:rPr>
            </w:pPr>
            <w:r w:rsidRPr="002C5876">
              <w:rPr>
                <w:sz w:val="18"/>
              </w:rPr>
              <w:t>≤ 1 % max.</w:t>
            </w:r>
          </w:p>
        </w:tc>
        <w:tc>
          <w:tcPr>
            <w:tcW w:w="1541" w:type="dxa"/>
            <w:shd w:val="clear" w:color="auto" w:fill="auto"/>
            <w:vAlign w:val="bottom"/>
          </w:tcPr>
          <w:p w:rsidR="00E24DB7" w:rsidRPr="002C5876" w:rsidRDefault="00E24DB7" w:rsidP="00E24DB7">
            <w:pPr>
              <w:suppressAutoHyphens w:val="0"/>
              <w:spacing w:before="60" w:after="60" w:line="220" w:lineRule="atLeast"/>
              <w:ind w:left="57" w:right="57"/>
              <w:rPr>
                <w:sz w:val="18"/>
              </w:rPr>
            </w:pPr>
            <w:r w:rsidRPr="002C5876">
              <w:rPr>
                <w:sz w:val="18"/>
              </w:rPr>
              <w:t>≥ 0,998</w:t>
            </w:r>
          </w:p>
        </w:tc>
      </w:tr>
    </w:tbl>
    <w:p w:rsidR="00E24DB7" w:rsidRPr="002C5876" w:rsidRDefault="00E24DB7" w:rsidP="00E24DB7">
      <w:pPr>
        <w:pStyle w:val="SingleTxtG"/>
        <w:keepNext/>
        <w:spacing w:before="240"/>
        <w:ind w:left="2268" w:hanging="1134"/>
        <w:jc w:val="left"/>
      </w:pPr>
      <w:r w:rsidRPr="002C5876">
        <w:t>4.2.2.3</w:t>
      </w:r>
      <w:r w:rsidRPr="002C5876">
        <w:tab/>
        <w:t xml:space="preserve">Élimination des effets de l’électricité statique </w:t>
      </w:r>
    </w:p>
    <w:p w:rsidR="00E24DB7" w:rsidRPr="002C5876" w:rsidRDefault="00E24DB7" w:rsidP="00E24DB7">
      <w:pPr>
        <w:pStyle w:val="SingleTxtG"/>
        <w:ind w:left="2268"/>
      </w:pPr>
      <w:r w:rsidRPr="002C5876">
        <w:tab/>
        <w:t xml:space="preserve">Les effets de l’électricité statique doivent être annulés. Pour ce faire, on peut soit mettre à la terre la balance en la plaçant sur un tapis antistatique et en neutralisant les filtres de prélèvement de particules avant le pesage au moyen d’un neutraliseur au polonium ou par un autre moyen également efficace, soit procéder par égalisation de la charge statique. </w:t>
      </w:r>
    </w:p>
    <w:p w:rsidR="00E24DB7" w:rsidRPr="002C5876" w:rsidRDefault="00E24DB7" w:rsidP="00E24DB7">
      <w:pPr>
        <w:pStyle w:val="SingleTxtG"/>
        <w:keepNext/>
        <w:ind w:left="2268" w:hanging="1134"/>
        <w:jc w:val="left"/>
      </w:pPr>
      <w:r w:rsidRPr="002C5876">
        <w:t>4.2.2.4</w:t>
      </w:r>
      <w:r w:rsidRPr="002C5876">
        <w:tab/>
        <w:t>Correction de la flottabilité</w:t>
      </w:r>
    </w:p>
    <w:p w:rsidR="00E24DB7" w:rsidRPr="002C5876" w:rsidRDefault="00E24DB7" w:rsidP="00E24DB7">
      <w:pPr>
        <w:pStyle w:val="SingleTxtG"/>
        <w:ind w:left="2268"/>
      </w:pPr>
      <w:r w:rsidRPr="002C5876">
        <w:tab/>
        <w:t xml:space="preserve">Les poids du filtre de collecte des particules et du filtre de référence doivent être corrigés en fonction de leur flottabilité dans l’air. La correction de flottabilité est fonction des masses volumiques respectives du filtre, de l’air et des poids de tarage de la balance, et ne tient pas compte de la flottabilité des matières particulaires elles-mêmes. </w:t>
      </w:r>
    </w:p>
    <w:p w:rsidR="00E24DB7" w:rsidRPr="002C5876" w:rsidRDefault="00E24DB7" w:rsidP="00E24DB7">
      <w:pPr>
        <w:pStyle w:val="SingleTxtG"/>
        <w:keepNext/>
        <w:ind w:left="2268"/>
      </w:pPr>
      <w:r w:rsidRPr="002C5876">
        <w:tab/>
        <w:t>Si la masse volumique du matériau du filtre n’est pas connue, les valeurs suivantes de masse volumique doivent être appliquées :</w:t>
      </w:r>
    </w:p>
    <w:p w:rsidR="00E24DB7" w:rsidRPr="002C5876" w:rsidRDefault="00E24DB7" w:rsidP="00E24DB7">
      <w:pPr>
        <w:pStyle w:val="SingleTxtG"/>
        <w:ind w:left="2835" w:hanging="567"/>
      </w:pPr>
      <w:r w:rsidRPr="002C5876">
        <w:t>a)</w:t>
      </w:r>
      <w:r w:rsidRPr="002C5876">
        <w:tab/>
        <w:t>Filtre en fibre de verre revêtu de PTFE : 2 300 kg/m</w:t>
      </w:r>
      <w:r w:rsidRPr="002C5876">
        <w:rPr>
          <w:vertAlign w:val="superscript"/>
        </w:rPr>
        <w:t>3</w:t>
      </w:r>
      <w:r w:rsidRPr="002C5876">
        <w:t> ;</w:t>
      </w:r>
    </w:p>
    <w:p w:rsidR="00E24DB7" w:rsidRPr="002C5876" w:rsidRDefault="00E24DB7" w:rsidP="00E24DB7">
      <w:pPr>
        <w:pStyle w:val="SingleTxtG"/>
        <w:ind w:left="2835" w:hanging="567"/>
      </w:pPr>
      <w:r w:rsidRPr="002C5876">
        <w:t>b)</w:t>
      </w:r>
      <w:r w:rsidRPr="002C5876">
        <w:tab/>
        <w:t>Filtre à membrane en PTFE : 2 144 kg/m</w:t>
      </w:r>
      <w:r w:rsidRPr="002C5876">
        <w:rPr>
          <w:vertAlign w:val="superscript"/>
        </w:rPr>
        <w:t>3</w:t>
      </w:r>
      <w:r w:rsidRPr="002C5876">
        <w:t> ;</w:t>
      </w:r>
    </w:p>
    <w:p w:rsidR="00E24DB7" w:rsidRPr="002C5876" w:rsidRDefault="00E24DB7" w:rsidP="00E24DB7">
      <w:pPr>
        <w:pStyle w:val="SingleTxtG"/>
        <w:ind w:left="2835" w:hanging="567"/>
        <w:rPr>
          <w:spacing w:val="-2"/>
        </w:rPr>
      </w:pPr>
      <w:r w:rsidRPr="002C5876">
        <w:rPr>
          <w:spacing w:val="-2"/>
        </w:rPr>
        <w:t>c)</w:t>
      </w:r>
      <w:r w:rsidRPr="002C5876">
        <w:rPr>
          <w:spacing w:val="-2"/>
        </w:rPr>
        <w:tab/>
        <w:t>Filtre à membrane en PTFE avec anneau support en polyméthylpentène : 920 kg/m</w:t>
      </w:r>
      <w:r w:rsidRPr="002C5876">
        <w:rPr>
          <w:spacing w:val="-2"/>
          <w:vertAlign w:val="superscript"/>
        </w:rPr>
        <w:t>3</w:t>
      </w:r>
      <w:r w:rsidRPr="002C5876">
        <w:rPr>
          <w:spacing w:val="-2"/>
        </w:rPr>
        <w:t xml:space="preserve">. </w:t>
      </w:r>
    </w:p>
    <w:p w:rsidR="00E24DB7" w:rsidRPr="002C5876" w:rsidRDefault="00E24DB7" w:rsidP="00E24DB7">
      <w:pPr>
        <w:pStyle w:val="SingleTxtG"/>
        <w:ind w:left="2268"/>
      </w:pPr>
      <w:r w:rsidRPr="002C5876">
        <w:tab/>
        <w:t>Pour les poids de tarage en acier inoxydable, on doit appliquer une masse volumique de 8</w:t>
      </w:r>
      <w:r w:rsidR="00A9610C" w:rsidRPr="002C5876">
        <w:t> </w:t>
      </w:r>
      <w:r w:rsidRPr="002C5876">
        <w:t>000</w:t>
      </w:r>
      <w:r w:rsidR="00A9610C" w:rsidRPr="002C5876">
        <w:t> </w:t>
      </w:r>
      <w:r w:rsidRPr="002C5876">
        <w:t>kg/m</w:t>
      </w:r>
      <w:r w:rsidRPr="002C5876">
        <w:rPr>
          <w:vertAlign w:val="superscript"/>
        </w:rPr>
        <w:t>3</w:t>
      </w:r>
      <w:r w:rsidRPr="002C5876">
        <w:t>. Si le matériau est différent, sa masse volumique doit être connue et utilisée. Il faudrait appliquer la Recommandation internationale OIML R 111</w:t>
      </w:r>
      <w:r w:rsidRPr="002C5876">
        <w:noBreakHyphen/>
        <w:t>1 Édition 2004(F) (ou son équivalent) de l’Organisation internationale de métrologie légale sur les masses étalons.</w:t>
      </w:r>
    </w:p>
    <w:p w:rsidR="00E24DB7" w:rsidRPr="002C5876" w:rsidRDefault="00E24DB7" w:rsidP="00E24DB7">
      <w:pPr>
        <w:pStyle w:val="SingleTxtG"/>
        <w:keepNext/>
        <w:ind w:left="2268"/>
      </w:pPr>
      <w:r w:rsidRPr="002C5876">
        <w:lastRenderedPageBreak/>
        <w:tab/>
        <w:t>L’équation suivante doit être appliquée :</w:t>
      </w:r>
    </w:p>
    <w:p w:rsidR="00A9610C" w:rsidRPr="002C5876" w:rsidRDefault="00731CA6" w:rsidP="00E24DB7">
      <w:pPr>
        <w:pStyle w:val="SingleTxtG"/>
        <w:keepNext/>
        <w:ind w:left="2268"/>
      </w:pPr>
      <m:oMathPara>
        <m:oMath>
          <m:sSub>
            <m:sSubPr>
              <m:ctrlPr>
                <w:rPr>
                  <w:rFonts w:ascii="Cambria Math" w:hAnsi="Cambria Math"/>
                  <w:szCs w:val="24"/>
                </w:rPr>
              </m:ctrlPr>
            </m:sSubPr>
            <m:e>
              <m:r>
                <m:rPr>
                  <m:sty m:val="p"/>
                </m:rPr>
                <w:rPr>
                  <w:rFonts w:ascii="Cambria Math" w:hAnsi="Cambria Math"/>
                  <w:szCs w:val="24"/>
                </w:rPr>
                <m:t>Pe</m:t>
              </m:r>
            </m:e>
            <m:sub>
              <m:r>
                <m:rPr>
                  <m:sty m:val="p"/>
                </m:rPr>
                <w:rPr>
                  <w:rFonts w:ascii="Cambria Math" w:hAnsi="Cambria Math"/>
                  <w:szCs w:val="24"/>
                </w:rPr>
                <m:t>f</m:t>
              </m:r>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Pe</m:t>
              </m:r>
            </m:e>
            <m:sub>
              <m:r>
                <m:rPr>
                  <m:sty m:val="p"/>
                </m:rPr>
                <w:rPr>
                  <w:rFonts w:ascii="Cambria Math" w:hAnsi="Cambria Math"/>
                  <w:szCs w:val="24"/>
                </w:rPr>
                <m:t>uncorr</m:t>
              </m:r>
            </m:sub>
          </m:sSub>
          <m:r>
            <m:rPr>
              <m:sty m:val="p"/>
            </m:rPr>
            <w:rPr>
              <w:rFonts w:ascii="Cambria Math" w:hAnsi="Cambria Math"/>
              <w:szCs w:val="24"/>
            </w:rPr>
            <m:t>×</m:t>
          </m:r>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szCs w:val="24"/>
                    </w:rPr>
                    <m:t>1-</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ρ</m:t>
                          </m:r>
                        </m:e>
                        <m:sub>
                          <m:r>
                            <m:rPr>
                              <m:sty m:val="p"/>
                            </m:rPr>
                            <w:rPr>
                              <w:rFonts w:ascii="Cambria Math" w:hAnsi="Cambria Math"/>
                              <w:szCs w:val="24"/>
                            </w:rPr>
                            <m:t>a</m:t>
                          </m:r>
                        </m:sub>
                      </m:sSub>
                    </m:num>
                    <m:den>
                      <m:sSub>
                        <m:sSubPr>
                          <m:ctrlPr>
                            <w:rPr>
                              <w:rFonts w:ascii="Cambria Math" w:hAnsi="Cambria Math"/>
                              <w:szCs w:val="24"/>
                            </w:rPr>
                          </m:ctrlPr>
                        </m:sSubPr>
                        <m:e>
                          <m:r>
                            <m:rPr>
                              <m:sty m:val="p"/>
                            </m:rPr>
                            <w:rPr>
                              <w:rFonts w:ascii="Cambria Math" w:hAnsi="Cambria Math"/>
                              <w:szCs w:val="24"/>
                            </w:rPr>
                            <m:t>ρ</m:t>
                          </m:r>
                        </m:e>
                        <m:sub>
                          <m:r>
                            <m:rPr>
                              <m:sty m:val="p"/>
                            </m:rPr>
                            <w:rPr>
                              <w:rFonts w:ascii="Cambria Math" w:hAnsi="Cambria Math"/>
                              <w:szCs w:val="24"/>
                            </w:rPr>
                            <m:t>w</m:t>
                          </m:r>
                        </m:sub>
                      </m:sSub>
                    </m:den>
                  </m:f>
                </m:num>
                <m:den>
                  <m:r>
                    <m:rPr>
                      <m:sty m:val="p"/>
                    </m:rPr>
                    <w:rPr>
                      <w:rFonts w:ascii="Cambria Math" w:hAnsi="Cambria Math"/>
                      <w:szCs w:val="24"/>
                    </w:rPr>
                    <m:t>1-</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ρ</m:t>
                          </m:r>
                        </m:e>
                        <m:sub>
                          <m:r>
                            <m:rPr>
                              <m:sty m:val="p"/>
                            </m:rPr>
                            <w:rPr>
                              <w:rFonts w:ascii="Cambria Math" w:hAnsi="Cambria Math"/>
                              <w:szCs w:val="24"/>
                            </w:rPr>
                            <m:t>a</m:t>
                          </m:r>
                        </m:sub>
                      </m:sSub>
                    </m:num>
                    <m:den>
                      <m:sSub>
                        <m:sSubPr>
                          <m:ctrlPr>
                            <w:rPr>
                              <w:rFonts w:ascii="Cambria Math" w:hAnsi="Cambria Math"/>
                              <w:szCs w:val="24"/>
                            </w:rPr>
                          </m:ctrlPr>
                        </m:sSubPr>
                        <m:e>
                          <m:r>
                            <m:rPr>
                              <m:sty m:val="p"/>
                            </m:rPr>
                            <w:rPr>
                              <w:rFonts w:ascii="Cambria Math" w:hAnsi="Cambria Math"/>
                              <w:szCs w:val="24"/>
                            </w:rPr>
                            <m:t>ρ</m:t>
                          </m:r>
                        </m:e>
                        <m:sub>
                          <m:r>
                            <m:rPr>
                              <m:sty m:val="p"/>
                            </m:rPr>
                            <w:rPr>
                              <w:rFonts w:ascii="Cambria Math" w:hAnsi="Cambria Math"/>
                              <w:szCs w:val="24"/>
                            </w:rPr>
                            <m:t>f</m:t>
                          </m:r>
                        </m:sub>
                      </m:sSub>
                    </m:den>
                  </m:f>
                </m:den>
              </m:f>
            </m:e>
          </m:d>
        </m:oMath>
      </m:oMathPara>
    </w:p>
    <w:p w:rsidR="00E24DB7" w:rsidRPr="002C5876" w:rsidRDefault="00E24DB7" w:rsidP="00E24DB7">
      <w:pPr>
        <w:pStyle w:val="SingleTxtG"/>
        <w:keepNext/>
        <w:ind w:left="2268"/>
      </w:pPr>
      <w:r w:rsidRPr="002C5876">
        <w:t>où :</w:t>
      </w:r>
    </w:p>
    <w:p w:rsidR="00E24DB7" w:rsidRPr="002C5876" w:rsidRDefault="00E24DB7" w:rsidP="00E24DB7">
      <w:pPr>
        <w:pStyle w:val="SingleTxtG"/>
        <w:ind w:left="3402" w:hanging="1134"/>
      </w:pPr>
      <w:r w:rsidRPr="002C5876">
        <w:t>Pe</w:t>
      </w:r>
      <w:r w:rsidRPr="002C5876">
        <w:rPr>
          <w:vertAlign w:val="subscript"/>
        </w:rPr>
        <w:t>f</w:t>
      </w:r>
      <w:r w:rsidRPr="002C5876">
        <w:tab/>
        <w:t>est la masse de l’échantillon de particules corrigée, en mg ;</w:t>
      </w:r>
    </w:p>
    <w:p w:rsidR="00E24DB7" w:rsidRPr="002C5876" w:rsidRDefault="00E24DB7" w:rsidP="00E24DB7">
      <w:pPr>
        <w:pStyle w:val="SingleTxtG"/>
        <w:ind w:left="3402" w:hanging="1134"/>
      </w:pPr>
      <w:r w:rsidRPr="002C5876">
        <w:t>Pe</w:t>
      </w:r>
      <w:r w:rsidRPr="002C5876">
        <w:rPr>
          <w:vertAlign w:val="subscript"/>
        </w:rPr>
        <w:t xml:space="preserve">uncorr </w:t>
      </w:r>
      <w:r w:rsidRPr="002C5876">
        <w:tab/>
        <w:t xml:space="preserve">est la masse de l’échantillon de particules non corrigée, en mg ; </w:t>
      </w:r>
    </w:p>
    <w:p w:rsidR="00E24DB7" w:rsidRPr="002C5876" w:rsidRDefault="00E24DB7" w:rsidP="00E24DB7">
      <w:pPr>
        <w:pStyle w:val="SingleTxtG"/>
        <w:ind w:left="3402" w:hanging="1134"/>
      </w:pPr>
      <w:r w:rsidRPr="002C5876">
        <w:t>ρ</w:t>
      </w:r>
      <w:r w:rsidRPr="002C5876">
        <w:rPr>
          <w:vertAlign w:val="subscript"/>
        </w:rPr>
        <w:t>a</w:t>
      </w:r>
      <w:r w:rsidRPr="002C5876">
        <w:tab/>
        <w:t>est la masse volumique de l’air, en kg/m</w:t>
      </w:r>
      <w:r w:rsidRPr="002C5876">
        <w:rPr>
          <w:vertAlign w:val="superscript"/>
        </w:rPr>
        <w:t>3</w:t>
      </w:r>
      <w:r w:rsidRPr="002C5876">
        <w:t xml:space="preserve"> ; </w:t>
      </w:r>
    </w:p>
    <w:p w:rsidR="00E24DB7" w:rsidRPr="002C5876" w:rsidRDefault="00E24DB7" w:rsidP="00E24DB7">
      <w:pPr>
        <w:pStyle w:val="SingleTxtG"/>
        <w:ind w:left="3402" w:hanging="1134"/>
      </w:pPr>
      <w:r w:rsidRPr="002C5876">
        <w:t>ρ</w:t>
      </w:r>
      <w:r w:rsidRPr="002C5876">
        <w:rPr>
          <w:vertAlign w:val="subscript"/>
        </w:rPr>
        <w:t>w</w:t>
      </w:r>
      <w:r w:rsidRPr="002C5876">
        <w:tab/>
        <w:t>est la masse volumique du poids de tarage de la balance, en kg/m</w:t>
      </w:r>
      <w:r w:rsidRPr="002C5876">
        <w:rPr>
          <w:vertAlign w:val="superscript"/>
        </w:rPr>
        <w:t>3</w:t>
      </w:r>
      <w:r w:rsidRPr="002C5876">
        <w:t xml:space="preserve"> ; </w:t>
      </w:r>
    </w:p>
    <w:p w:rsidR="00E24DB7" w:rsidRPr="002C5876" w:rsidRDefault="00E24DB7" w:rsidP="00E24DB7">
      <w:pPr>
        <w:pStyle w:val="SingleTxtG"/>
        <w:ind w:left="3402" w:hanging="1134"/>
      </w:pPr>
      <w:r w:rsidRPr="002C5876">
        <w:t>ρ</w:t>
      </w:r>
      <w:r w:rsidRPr="002C5876">
        <w:rPr>
          <w:vertAlign w:val="subscript"/>
        </w:rPr>
        <w:t>f</w:t>
      </w:r>
      <w:r w:rsidRPr="002C5876">
        <w:tab/>
        <w:t>est la masse volumique du filtre de collecte des particules, en kg/m</w:t>
      </w:r>
      <w:r w:rsidRPr="002C5876">
        <w:rPr>
          <w:vertAlign w:val="superscript"/>
        </w:rPr>
        <w:t>3</w:t>
      </w:r>
      <w:r w:rsidRPr="002C5876">
        <w:t>.</w:t>
      </w:r>
    </w:p>
    <w:p w:rsidR="00E24DB7" w:rsidRPr="002C5876" w:rsidRDefault="00E24DB7" w:rsidP="00E24DB7">
      <w:pPr>
        <w:pStyle w:val="SingleTxtG"/>
        <w:keepNext/>
        <w:ind w:left="2268"/>
      </w:pPr>
      <w:r w:rsidRPr="002C5876">
        <w:t xml:space="preserve">La densité de l’air </w:t>
      </w:r>
      <w:r w:rsidRPr="002C5876">
        <w:rPr>
          <w:noProof/>
          <w:position w:val="-12"/>
          <w:lang w:val="en-GB" w:eastAsia="zh-CN"/>
        </w:rPr>
        <w:drawing>
          <wp:inline distT="0" distB="0" distL="0" distR="0" wp14:anchorId="198E00BC" wp14:editId="77BEEEC1">
            <wp:extent cx="180975" cy="247650"/>
            <wp:effectExtent l="0" t="0" r="9525" b="0"/>
            <wp:docPr id="13921"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2C5876">
        <w:t xml:space="preserve"> est calculée comme suit :</w:t>
      </w:r>
    </w:p>
    <w:p w:rsidR="00E24DB7" w:rsidRPr="002C5876" w:rsidRDefault="00731CA6" w:rsidP="00E24DB7">
      <w:pPr>
        <w:pStyle w:val="SingleTxtG"/>
        <w:keepNext/>
        <w:ind w:left="2268"/>
      </w:pPr>
      <m:oMathPara>
        <m:oMathParaPr>
          <m:jc m:val="center"/>
        </m:oMathParaPr>
        <m:oMath>
          <m:sSub>
            <m:sSubPr>
              <m:ctrlPr>
                <w:rPr>
                  <w:rFonts w:ascii="Cambria Math" w:hAnsi="Cambria Math"/>
                  <w:szCs w:val="24"/>
                </w:rPr>
              </m:ctrlPr>
            </m:sSubPr>
            <m:e>
              <m:r>
                <m:rPr>
                  <m:sty m:val="p"/>
                </m:rPr>
                <w:rPr>
                  <w:rFonts w:ascii="Cambria Math" w:hAnsi="Cambria Math"/>
                  <w:szCs w:val="24"/>
                </w:rPr>
                <m:t>ρ</m:t>
              </m:r>
            </m:e>
            <m:sub>
              <m:r>
                <m:rPr>
                  <m:sty m:val="p"/>
                </m:rPr>
                <w:rPr>
                  <w:rFonts w:ascii="Cambria Math" w:hAnsi="Cambria Math"/>
                  <w:szCs w:val="24"/>
                  <w:vertAlign w:val="subscript"/>
                </w:rPr>
                <m:t>a</m:t>
              </m:r>
            </m:sub>
          </m:sSub>
          <m:r>
            <m:rPr>
              <m:sty m:val="p"/>
            </m:rPr>
            <w:rPr>
              <w:rFonts w:ascii="Cambria Math"/>
              <w:szCs w:val="24"/>
              <w:vertAlign w:val="subscript"/>
            </w:rPr>
            <m:t>=</m:t>
          </m:r>
          <m:f>
            <m:fPr>
              <m:ctrlPr>
                <w:rPr>
                  <w:rFonts w:ascii="Cambria Math" w:hAnsi="Cambria Math"/>
                  <w:szCs w:val="24"/>
                  <w:vertAlign w:val="subscript"/>
                </w:rPr>
              </m:ctrlPr>
            </m:fPr>
            <m:num>
              <m:sSub>
                <m:sSubPr>
                  <m:ctrlPr>
                    <w:rPr>
                      <w:rFonts w:ascii="Cambria Math" w:hAnsi="Cambria Math"/>
                      <w:szCs w:val="24"/>
                      <w:vertAlign w:val="subscript"/>
                    </w:rPr>
                  </m:ctrlPr>
                </m:sSubPr>
                <m:e>
                  <m:r>
                    <m:rPr>
                      <m:sty m:val="p"/>
                    </m:rPr>
                    <w:rPr>
                      <w:rFonts w:ascii="Cambria Math"/>
                      <w:szCs w:val="24"/>
                      <w:vertAlign w:val="subscript"/>
                    </w:rPr>
                    <m:t>p</m:t>
                  </m:r>
                </m:e>
                <m:sub>
                  <m:r>
                    <m:rPr>
                      <m:sty m:val="p"/>
                    </m:rPr>
                    <w:rPr>
                      <w:rFonts w:ascii="Cambria Math"/>
                      <w:szCs w:val="24"/>
                      <w:vertAlign w:val="subscript"/>
                    </w:rPr>
                    <m:t>b</m:t>
                  </m:r>
                </m:sub>
              </m:sSub>
              <m:r>
                <m:rPr>
                  <m:sty m:val="p"/>
                </m:rPr>
                <w:rPr>
                  <w:rFonts w:ascii="Cambria Math" w:hAnsi="Cambria Math"/>
                  <w:szCs w:val="24"/>
                  <w:vertAlign w:val="subscript"/>
                </w:rPr>
                <m:t>×</m:t>
              </m:r>
              <m:sSub>
                <m:sSubPr>
                  <m:ctrlPr>
                    <w:rPr>
                      <w:rFonts w:ascii="Cambria Math" w:hAnsi="Cambria Math"/>
                      <w:szCs w:val="24"/>
                      <w:vertAlign w:val="subscript"/>
                    </w:rPr>
                  </m:ctrlPr>
                </m:sSubPr>
                <m:e>
                  <m:r>
                    <m:rPr>
                      <m:sty m:val="p"/>
                    </m:rPr>
                    <w:rPr>
                      <w:rFonts w:ascii="Cambria Math" w:hAnsi="Cambria Math"/>
                      <w:szCs w:val="24"/>
                      <w:vertAlign w:val="subscript"/>
                    </w:rPr>
                    <m:t>M</m:t>
                  </m:r>
                </m:e>
                <m:sub>
                  <m:r>
                    <m:rPr>
                      <m:sty m:val="p"/>
                    </m:rPr>
                    <w:rPr>
                      <w:rFonts w:ascii="Cambria Math" w:hAnsi="Cambria Math"/>
                      <w:szCs w:val="24"/>
                      <w:vertAlign w:val="subscript"/>
                    </w:rPr>
                    <m:t>mix</m:t>
                  </m:r>
                </m:sub>
              </m:sSub>
              <m:r>
                <m:rPr>
                  <m:sty m:val="p"/>
                </m:rPr>
                <w:rPr>
                  <w:rFonts w:ascii="Cambria Math" w:hAnsi="Cambria Math"/>
                  <w:szCs w:val="24"/>
                  <w:vertAlign w:val="subscript"/>
                </w:rPr>
                <m:t xml:space="preserve"> </m:t>
              </m:r>
            </m:num>
            <m:den>
              <m:r>
                <m:rPr>
                  <m:sty m:val="p"/>
                </m:rPr>
                <w:rPr>
                  <w:rFonts w:ascii="Cambria Math"/>
                  <w:szCs w:val="24"/>
                  <w:vertAlign w:val="subscript"/>
                </w:rPr>
                <m:t xml:space="preserve">R </m:t>
              </m:r>
              <m:r>
                <m:rPr>
                  <m:sty m:val="p"/>
                </m:rPr>
                <w:rPr>
                  <w:rFonts w:ascii="Cambria Math" w:hAnsi="Cambria Math"/>
                  <w:szCs w:val="24"/>
                  <w:vertAlign w:val="subscript"/>
                </w:rPr>
                <m:t>×</m:t>
              </m:r>
              <m:sSub>
                <m:sSubPr>
                  <m:ctrlPr>
                    <w:rPr>
                      <w:rFonts w:ascii="Cambria Math" w:hAnsi="Cambria Math"/>
                      <w:szCs w:val="24"/>
                      <w:vertAlign w:val="subscript"/>
                    </w:rPr>
                  </m:ctrlPr>
                </m:sSubPr>
                <m:e>
                  <m:r>
                    <m:rPr>
                      <m:sty m:val="p"/>
                    </m:rPr>
                    <w:rPr>
                      <w:rFonts w:ascii="Cambria Math"/>
                      <w:szCs w:val="24"/>
                      <w:vertAlign w:val="subscript"/>
                    </w:rPr>
                    <m:t>T</m:t>
                  </m:r>
                </m:e>
                <m:sub>
                  <m:r>
                    <m:rPr>
                      <m:sty m:val="p"/>
                    </m:rPr>
                    <w:rPr>
                      <w:rFonts w:ascii="Cambria Math"/>
                      <w:szCs w:val="24"/>
                      <w:vertAlign w:val="subscript"/>
                    </w:rPr>
                    <m:t>a</m:t>
                  </m:r>
                </m:sub>
              </m:sSub>
            </m:den>
          </m:f>
        </m:oMath>
      </m:oMathPara>
    </w:p>
    <w:p w:rsidR="00E24DB7" w:rsidRPr="002C5876" w:rsidRDefault="00E24DB7" w:rsidP="00E24DB7">
      <w:pPr>
        <w:pStyle w:val="SingleTxtG"/>
        <w:ind w:left="3402" w:hanging="1134"/>
      </w:pPr>
      <w:r w:rsidRPr="002C5876">
        <w:t>Р</w:t>
      </w:r>
      <w:r w:rsidRPr="002C5876">
        <w:rPr>
          <w:vertAlign w:val="subscript"/>
        </w:rPr>
        <w:t>b</w:t>
      </w:r>
      <w:r w:rsidRPr="002C5876">
        <w:tab/>
        <w:t xml:space="preserve">est la pression atmosphérique totale, en kPa ; </w:t>
      </w:r>
    </w:p>
    <w:p w:rsidR="00E24DB7" w:rsidRPr="002C5876" w:rsidRDefault="00E24DB7" w:rsidP="00E24DB7">
      <w:pPr>
        <w:pStyle w:val="SingleTxtG"/>
        <w:ind w:left="3402" w:hanging="1134"/>
      </w:pPr>
      <w:r w:rsidRPr="002C5876">
        <w:t>T</w:t>
      </w:r>
      <w:r w:rsidRPr="002C5876">
        <w:rPr>
          <w:vertAlign w:val="subscript"/>
        </w:rPr>
        <w:t>a</w:t>
      </w:r>
      <w:r w:rsidRPr="002C5876">
        <w:tab/>
        <w:t>est la température de l’air ambiant à proximité de la balance, en K ;</w:t>
      </w:r>
    </w:p>
    <w:p w:rsidR="00E24DB7" w:rsidRPr="002C5876" w:rsidRDefault="00E24DB7" w:rsidP="00E24DB7">
      <w:pPr>
        <w:pStyle w:val="SingleTxtG"/>
        <w:ind w:left="3402" w:hanging="1134"/>
      </w:pPr>
      <w:r w:rsidRPr="002C5876">
        <w:t>M</w:t>
      </w:r>
      <w:r w:rsidRPr="002C5876">
        <w:rPr>
          <w:vertAlign w:val="subscript"/>
        </w:rPr>
        <w:t>mix</w:t>
      </w:r>
      <w:r w:rsidRPr="002C5876">
        <w:tab/>
        <w:t>est la masse molaire de l’air dans un environnement équilibré, 28,836 g mole</w:t>
      </w:r>
      <w:r w:rsidRPr="002C5876">
        <w:rPr>
          <w:vertAlign w:val="superscript"/>
        </w:rPr>
        <w:t>-1</w:t>
      </w:r>
      <w:r w:rsidRPr="002C5876">
        <w:t> ;</w:t>
      </w:r>
    </w:p>
    <w:p w:rsidR="00E24DB7" w:rsidRPr="002C5876" w:rsidRDefault="00E24DB7" w:rsidP="00E24DB7">
      <w:pPr>
        <w:pStyle w:val="SingleTxtG"/>
        <w:ind w:left="3402" w:hanging="1134"/>
      </w:pPr>
      <w:r w:rsidRPr="002C5876">
        <w:t>R</w:t>
      </w:r>
      <w:r w:rsidRPr="002C5876">
        <w:tab/>
        <w:t>est la constante molaire du gaz, 8,3144 J mole</w:t>
      </w:r>
      <w:r w:rsidRPr="002C5876">
        <w:rPr>
          <w:vertAlign w:val="superscript"/>
        </w:rPr>
        <w:t>-1</w:t>
      </w:r>
      <w:r w:rsidRPr="002C5876">
        <w:t xml:space="preserve"> K</w:t>
      </w:r>
      <w:r w:rsidRPr="002C5876">
        <w:rPr>
          <w:vertAlign w:val="superscript"/>
        </w:rPr>
        <w:t>-1</w:t>
      </w:r>
      <w:r w:rsidRPr="002C5876">
        <w:t>.</w:t>
      </w:r>
    </w:p>
    <w:p w:rsidR="00E24DB7" w:rsidRPr="002C5876" w:rsidRDefault="00E24DB7" w:rsidP="00E24DB7">
      <w:pPr>
        <w:pStyle w:val="SingleTxtG"/>
        <w:keepNext/>
        <w:ind w:left="2268" w:hanging="1134"/>
        <w:jc w:val="left"/>
      </w:pPr>
      <w:r w:rsidRPr="002C5876">
        <w:t>4.3</w:t>
      </w:r>
      <w:r w:rsidRPr="002C5876">
        <w:tab/>
        <w:t>Appareillage de mesure du nombre de particules émises (le cas échéant)</w:t>
      </w:r>
    </w:p>
    <w:p w:rsidR="00E24DB7" w:rsidRPr="002C5876" w:rsidRDefault="00E24DB7" w:rsidP="00E24DB7">
      <w:pPr>
        <w:pStyle w:val="SingleTxtG"/>
        <w:keepNext/>
        <w:ind w:left="2268" w:hanging="1134"/>
        <w:jc w:val="left"/>
      </w:pPr>
      <w:r w:rsidRPr="002C5876">
        <w:t>4.3.1</w:t>
      </w:r>
      <w:r w:rsidRPr="002C5876">
        <w:tab/>
        <w:t>Description</w:t>
      </w:r>
    </w:p>
    <w:p w:rsidR="00E24DB7" w:rsidRPr="002C5876" w:rsidRDefault="00E24DB7" w:rsidP="00E24DB7">
      <w:pPr>
        <w:pStyle w:val="SingleTxtG"/>
        <w:keepNext/>
        <w:ind w:left="2268" w:hanging="1134"/>
        <w:jc w:val="left"/>
      </w:pPr>
      <w:r w:rsidRPr="002C5876">
        <w:t>4.3.1.1</w:t>
      </w:r>
      <w:r w:rsidRPr="002C5876">
        <w:tab/>
        <w:t>Vue d’ensemble du système</w:t>
      </w:r>
    </w:p>
    <w:p w:rsidR="00E24DB7" w:rsidRPr="002C5876" w:rsidRDefault="00E24DB7" w:rsidP="00E24DB7">
      <w:pPr>
        <w:pStyle w:val="SingleTxtG"/>
        <w:ind w:left="2268" w:hanging="1134"/>
      </w:pPr>
      <w:r w:rsidRPr="002C5876">
        <w:t>4.3.1.1.1</w:t>
      </w:r>
      <w:r w:rsidRPr="002C5876">
        <w:tab/>
        <w:t>Le système de prélèvement des particules se compose d’une sonde ou un point de prélèvement prélevant un échantillon d’un flux mélangé de manière homogène dans un système de dilution, d’un séparateur de particules volatiles (VPR) situé en amont d’un compteur du nombre de particules (PNC), et d’un tube de transfert approprié. Voir la figure A5/14.</w:t>
      </w:r>
    </w:p>
    <w:p w:rsidR="00E24DB7" w:rsidRPr="002C5876" w:rsidRDefault="00E24DB7" w:rsidP="00E24DB7">
      <w:pPr>
        <w:pStyle w:val="SingleTxtG"/>
        <w:ind w:left="2268" w:hanging="1134"/>
      </w:pPr>
      <w:r w:rsidRPr="002C5876">
        <w:t>4.3.1.1.2</w:t>
      </w:r>
      <w:r w:rsidRPr="002C5876">
        <w:tab/>
        <w:t>Il est recommandé de placer en amont du séparateur de particules volatiles un séparateur primaire (type séparateur à impact ou cyclone par exemple). Ce séparateur doit avoir un point de coupure à 50 % compris entre 2,5 µm et 10 µm au débit volumique choisi pour le prélèvement des particules. Ce séparateur doit laisser au moins 99 % de la concentration massique de particules de 1 µm entrantes traverser le séparateur au débit volumique choisi pour le prélèvement des particules.</w:t>
      </w:r>
    </w:p>
    <w:p w:rsidR="00E24DB7" w:rsidRPr="002C5876" w:rsidRDefault="00E24DB7" w:rsidP="00E24DB7">
      <w:pPr>
        <w:pStyle w:val="SingleTxtG"/>
        <w:ind w:left="2268"/>
      </w:pPr>
      <w:r w:rsidRPr="002C5876">
        <w:tab/>
        <w:t xml:space="preserve">On peut également utiliser une sonde de prélèvement fonctionnant comme un dispositif approprié de classification granulométrique primaire, comme celle qui est représentée à la figure A5/11 au lieu d’un séparateur primaire. </w:t>
      </w:r>
    </w:p>
    <w:p w:rsidR="00E24DB7" w:rsidRPr="002C5876" w:rsidRDefault="00E24DB7" w:rsidP="00E24DB7">
      <w:pPr>
        <w:pStyle w:val="SingleTxtG"/>
        <w:keepNext/>
        <w:ind w:left="2268" w:hanging="1134"/>
        <w:jc w:val="left"/>
      </w:pPr>
      <w:r w:rsidRPr="002C5876">
        <w:t>4.3.1.2</w:t>
      </w:r>
      <w:r w:rsidRPr="002C5876">
        <w:tab/>
        <w:t>Prescriptions générales</w:t>
      </w:r>
    </w:p>
    <w:p w:rsidR="00E24DB7" w:rsidRPr="002C5876" w:rsidRDefault="00E24DB7" w:rsidP="00E24DB7">
      <w:pPr>
        <w:pStyle w:val="SingleTxtG"/>
        <w:ind w:left="2268" w:hanging="1134"/>
      </w:pPr>
      <w:r w:rsidRPr="002C5876">
        <w:t>4.3.1.2.1</w:t>
      </w:r>
      <w:r w:rsidRPr="002C5876">
        <w:tab/>
        <w:t xml:space="preserve">Le point de prélèvement des particules doit être situé dans le système de dilution même. Dans le cas où un système à double dilution est utilisé, le point de prélèvement des particules doit être situé dans le système de dilution primaire. </w:t>
      </w:r>
    </w:p>
    <w:p w:rsidR="00E24DB7" w:rsidRPr="002C5876" w:rsidRDefault="00E24DB7" w:rsidP="00E24DB7">
      <w:pPr>
        <w:pStyle w:val="SingleTxtG"/>
        <w:keepNext/>
        <w:ind w:left="2268" w:hanging="1134"/>
      </w:pPr>
      <w:r w:rsidRPr="002C5876">
        <w:t>4.3.1.2.1.1</w:t>
      </w:r>
      <w:r w:rsidRPr="002C5876">
        <w:tab/>
      </w:r>
      <w:r w:rsidRPr="002C5876">
        <w:rPr>
          <w:spacing w:val="-2"/>
        </w:rPr>
        <w:t xml:space="preserve">L’extrémité amont de la sonde ou le point de prélèvement PSP et le tube de transfert des particules PTT constituent ensemble le système de transfert des </w:t>
      </w:r>
      <w:r w:rsidRPr="002C5876">
        <w:rPr>
          <w:spacing w:val="-2"/>
        </w:rPr>
        <w:lastRenderedPageBreak/>
        <w:t>particules PTS. Le PTS achemine l’échantillon prélevé dans le tunnel de dilution jusqu’à l’entrée du VPR. Le PTS doit remplir les conditions suivantes :</w:t>
      </w:r>
    </w:p>
    <w:p w:rsidR="00E24DB7" w:rsidRPr="002C5876" w:rsidRDefault="00E24DB7" w:rsidP="00E24DB7">
      <w:pPr>
        <w:pStyle w:val="SingleTxtG"/>
        <w:ind w:left="2835" w:hanging="567"/>
      </w:pPr>
      <w:r w:rsidRPr="002C5876">
        <w:t>a)</w:t>
      </w:r>
      <w:r w:rsidRPr="002C5876">
        <w:tab/>
      </w:r>
      <w:r w:rsidRPr="002C5876">
        <w:rPr>
          <w:bCs/>
          <w:spacing w:val="-3"/>
        </w:rPr>
        <w:t xml:space="preserve">La sonde </w:t>
      </w:r>
      <w:r w:rsidRPr="002C5876">
        <w:rPr>
          <w:spacing w:val="-3"/>
        </w:rPr>
        <w:t xml:space="preserve">de prélèvement </w:t>
      </w:r>
      <w:r w:rsidRPr="002C5876">
        <w:rPr>
          <w:bCs/>
          <w:spacing w:val="-3"/>
        </w:rPr>
        <w:t>doit être installée à une distance de l’entrée des gaz au moins égale à 10 diamètres du tunnel de dilution et être dirigée vers l’amont, l’axe de son extrémité étant parallèle à l’axe du tunnel</w:t>
      </w:r>
      <w:r w:rsidRPr="002C5876">
        <w:rPr>
          <w:spacing w:val="-3"/>
        </w:rPr>
        <w:t> ;</w:t>
      </w:r>
    </w:p>
    <w:p w:rsidR="00E24DB7" w:rsidRPr="002C5876" w:rsidRDefault="00E24DB7" w:rsidP="00E24DB7">
      <w:pPr>
        <w:pStyle w:val="SingleTxtG"/>
        <w:ind w:left="2835" w:hanging="567"/>
      </w:pPr>
      <w:r w:rsidRPr="002C5876">
        <w:t>b)</w:t>
      </w:r>
      <w:r w:rsidRPr="002C5876">
        <w:tab/>
      </w:r>
      <w:r w:rsidRPr="002C5876">
        <w:rPr>
          <w:bCs/>
        </w:rPr>
        <w:t xml:space="preserve">La sonde </w:t>
      </w:r>
      <w:r w:rsidRPr="002C5876">
        <w:t>de prélèvement doit être située en amont de tout dispositif de conditionnement (par exemple, l’échangeur de chaleur) ;</w:t>
      </w:r>
    </w:p>
    <w:p w:rsidR="00E24DB7" w:rsidRPr="002C5876" w:rsidRDefault="00E24DB7" w:rsidP="00E24DB7">
      <w:pPr>
        <w:pStyle w:val="SingleTxtG"/>
        <w:ind w:left="2835" w:hanging="567"/>
      </w:pPr>
      <w:r w:rsidRPr="002C5876">
        <w:t>c)</w:t>
      </w:r>
      <w:r w:rsidRPr="002C5876">
        <w:tab/>
        <w:t>La sonde de prélèvement doit être placée dans le tunnel de dilution de sorte que l’échantillon soit prélevé à partir d’un mélange homogène d’air de dilution et de gaz d’échappement.</w:t>
      </w:r>
    </w:p>
    <w:p w:rsidR="00E24DB7" w:rsidRPr="002C5876" w:rsidRDefault="00E24DB7" w:rsidP="00E24DB7">
      <w:pPr>
        <w:pStyle w:val="SingleTxtG"/>
        <w:keepNext/>
        <w:ind w:left="2268" w:hanging="1134"/>
      </w:pPr>
      <w:r w:rsidRPr="002C5876">
        <w:t>4.3.1.2.1.2</w:t>
      </w:r>
      <w:r w:rsidRPr="002C5876">
        <w:tab/>
      </w:r>
      <w:r w:rsidRPr="002C5876">
        <w:rPr>
          <w:spacing w:val="-2"/>
        </w:rPr>
        <w:t>L’échantillon de gaz prélevé dans le PTS doit remplir les conditions suivantes :</w:t>
      </w:r>
    </w:p>
    <w:p w:rsidR="00E24DB7" w:rsidRPr="002C5876" w:rsidRDefault="00E24DB7" w:rsidP="00E24DB7">
      <w:pPr>
        <w:pStyle w:val="SingleTxtG"/>
        <w:ind w:left="2835" w:hanging="567"/>
      </w:pPr>
      <w:r w:rsidRPr="002C5876">
        <w:t>a)</w:t>
      </w:r>
      <w:r w:rsidRPr="002C5876">
        <w:tab/>
        <w:t xml:space="preserve">Dans le cas où un système de dilution du flux total est utilisé, son nombre de Reynolds Re doit être inférieur à 1 700 ; </w:t>
      </w:r>
    </w:p>
    <w:p w:rsidR="00E24DB7" w:rsidRPr="002C5876" w:rsidRDefault="00E24DB7" w:rsidP="00E24DB7">
      <w:pPr>
        <w:pStyle w:val="SingleTxtG"/>
        <w:ind w:left="2835" w:hanging="567"/>
      </w:pPr>
      <w:r w:rsidRPr="002C5876">
        <w:t>b)</w:t>
      </w:r>
      <w:r w:rsidRPr="002C5876">
        <w:tab/>
        <w:t xml:space="preserve">Dans le cas où un système à double dilution est utilisé, son nombre de Reynolds doit être inférieur à 1 700 dans le PTT, c’est-à-dire en aval de la sonde ou du point de prélèvement ; </w:t>
      </w:r>
    </w:p>
    <w:p w:rsidR="00E24DB7" w:rsidRPr="002C5876" w:rsidRDefault="00E24DB7" w:rsidP="00E24DB7">
      <w:pPr>
        <w:pStyle w:val="SingleTxtG"/>
        <w:ind w:left="2835" w:hanging="567"/>
      </w:pPr>
      <w:r w:rsidRPr="002C5876">
        <w:t>c)</w:t>
      </w:r>
      <w:r w:rsidRPr="002C5876">
        <w:tab/>
        <w:t>Son temps de séjour dans le PTS ne doit pas être supérieur à 3 s.</w:t>
      </w:r>
    </w:p>
    <w:p w:rsidR="00E24DB7" w:rsidRPr="002C5876" w:rsidRDefault="00E24DB7" w:rsidP="00E24DB7">
      <w:pPr>
        <w:pStyle w:val="SingleTxtG"/>
        <w:ind w:left="2268" w:hanging="1134"/>
      </w:pPr>
      <w:r w:rsidRPr="002C5876">
        <w:t>4.3.1.2.1.3</w:t>
      </w:r>
      <w:r w:rsidRPr="002C5876">
        <w:tab/>
        <w:t xml:space="preserve">Toute autre configuration de prélèvement du PTS pour laquelle il peut être démontré que la pénétration des particules de 30 nm est équivalente est considérée comme satisfaisante. </w:t>
      </w:r>
    </w:p>
    <w:p w:rsidR="00E24DB7" w:rsidRPr="002C5876" w:rsidRDefault="00E24DB7" w:rsidP="00E24DB7">
      <w:pPr>
        <w:pStyle w:val="SingleTxtG"/>
        <w:keepNext/>
        <w:ind w:left="2268" w:hanging="1134"/>
      </w:pPr>
      <w:r w:rsidRPr="002C5876">
        <w:t>4.3.1.2.1.4</w:t>
      </w:r>
      <w:r w:rsidRPr="002C5876">
        <w:tab/>
        <w:t>Le tuyau de sortie (OT) acheminant l’échantillon dilué du VPR vers l’entrée du PNC doit avoir les caractéristiques suivantes :</w:t>
      </w:r>
    </w:p>
    <w:p w:rsidR="00E24DB7" w:rsidRPr="002C5876" w:rsidRDefault="00E24DB7" w:rsidP="00E24DB7">
      <w:pPr>
        <w:pStyle w:val="SingleTxtG"/>
        <w:ind w:left="2835" w:hanging="567"/>
      </w:pPr>
      <w:r w:rsidRPr="002C5876">
        <w:t>a)</w:t>
      </w:r>
      <w:r w:rsidRPr="002C5876">
        <w:tab/>
        <w:t xml:space="preserve">Son diamètre interne doit être d’au moins 4 mm ; </w:t>
      </w:r>
    </w:p>
    <w:p w:rsidR="00E24DB7" w:rsidRPr="002C5876" w:rsidRDefault="00E24DB7" w:rsidP="00E24DB7">
      <w:pPr>
        <w:pStyle w:val="SingleTxtG"/>
        <w:ind w:left="2835" w:hanging="567"/>
      </w:pPr>
      <w:r w:rsidRPr="002C5876">
        <w:t>b)</w:t>
      </w:r>
      <w:r w:rsidRPr="002C5876">
        <w:tab/>
        <w:t xml:space="preserve">Le temps de séjour du gaz prélevé ne doit pas être supérieur à 0,8 s. </w:t>
      </w:r>
    </w:p>
    <w:p w:rsidR="00E24DB7" w:rsidRPr="002C5876" w:rsidRDefault="00E24DB7" w:rsidP="00E24DB7">
      <w:pPr>
        <w:pStyle w:val="SingleTxtG"/>
        <w:ind w:left="2268" w:hanging="1134"/>
      </w:pPr>
      <w:r w:rsidRPr="002C5876">
        <w:t>4.3.1.2.1.5</w:t>
      </w:r>
      <w:r w:rsidRPr="002C5876">
        <w:tab/>
        <w:t xml:space="preserve">Toute autre configuration de prélèvement de l’OT pour laquelle il peut être démontré que la pénétration des particules de 30 nm est équivalente est considérée comme satisfaisante. </w:t>
      </w:r>
    </w:p>
    <w:p w:rsidR="00E24DB7" w:rsidRPr="002C5876" w:rsidRDefault="00E24DB7" w:rsidP="00E24DB7">
      <w:pPr>
        <w:pStyle w:val="SingleTxtG"/>
        <w:ind w:left="2268" w:hanging="1134"/>
      </w:pPr>
      <w:r w:rsidRPr="002C5876">
        <w:t>4.3.1.2.2</w:t>
      </w:r>
      <w:r w:rsidRPr="002C5876">
        <w:tab/>
        <w:t xml:space="preserve">Le VPR inclut les dispositifs destinés à la dilution de l’échantillon et à la capture des particules volatiles. </w:t>
      </w:r>
    </w:p>
    <w:p w:rsidR="00E24DB7" w:rsidRPr="002C5876" w:rsidRDefault="00E24DB7" w:rsidP="00E24DB7">
      <w:pPr>
        <w:pStyle w:val="SingleTxtG"/>
        <w:ind w:left="2268" w:hanging="1134"/>
      </w:pPr>
      <w:r w:rsidRPr="002C5876">
        <w:t>4.3.1.2.3</w:t>
      </w:r>
      <w:r w:rsidRPr="002C5876">
        <w:tab/>
        <w:t xml:space="preserve">Tous les éléments du système de dilution et du système de prélèvement compris entre le tuyau d’échappement et le PNC qui entrent en contact avec les gaz d’échappement bruts et dilués doivent être conçus pour réduire le plus possible les dépôts de particules. Ils doivent être réalisés en matériaux électriquement conducteurs qui ne réagissent pas avec les constituants des gaz d’échappement, et ils doivent être mis à la masse de façon à prévenir les effets électrostatiques. </w:t>
      </w:r>
    </w:p>
    <w:p w:rsidR="00E24DB7" w:rsidRPr="002C5876" w:rsidRDefault="00E24DB7" w:rsidP="00E24DB7">
      <w:pPr>
        <w:pStyle w:val="SingleTxtG"/>
        <w:ind w:left="2268" w:hanging="1134"/>
      </w:pPr>
      <w:r w:rsidRPr="002C5876">
        <w:t>4.3.1.2.4</w:t>
      </w:r>
      <w:r w:rsidRPr="002C5876">
        <w:tab/>
        <w:t xml:space="preserve">Le système de prélèvement des particules doit satisfaire aux règles de bonne pratique en matière de prélèvement d’aérosols et notamment ne pas comporter de coudes prononcés ni de modifications brusques de la section transversale, leurs surfaces internes doivent être lisses et la tuyauterie de prélèvement être la plus courte possible. Des variations graduelles de la section transversale sont autorisées. </w:t>
      </w:r>
    </w:p>
    <w:p w:rsidR="00E24DB7" w:rsidRPr="002C5876" w:rsidRDefault="00E24DB7" w:rsidP="00E24DB7">
      <w:pPr>
        <w:pStyle w:val="SingleTxtG"/>
        <w:keepNext/>
        <w:ind w:left="2268" w:hanging="1134"/>
        <w:jc w:val="left"/>
      </w:pPr>
      <w:r w:rsidRPr="002C5876">
        <w:t>4.3.1.3</w:t>
      </w:r>
      <w:r w:rsidRPr="002C5876">
        <w:tab/>
        <w:t>Prescriptions particulières</w:t>
      </w:r>
    </w:p>
    <w:p w:rsidR="00E24DB7" w:rsidRPr="002C5876" w:rsidRDefault="00E24DB7" w:rsidP="00E24DB7">
      <w:pPr>
        <w:pStyle w:val="SingleTxtG"/>
        <w:ind w:left="2268" w:hanging="1134"/>
      </w:pPr>
      <w:r w:rsidRPr="002C5876">
        <w:t>4.3.1.3.1</w:t>
      </w:r>
      <w:r w:rsidRPr="002C5876">
        <w:tab/>
        <w:t>L’échantillon de particules ne doit pas traverser une pompe avant de traverser le PNC.</w:t>
      </w:r>
    </w:p>
    <w:p w:rsidR="00E24DB7" w:rsidRPr="002C5876" w:rsidRDefault="00E24DB7" w:rsidP="00E24DB7">
      <w:pPr>
        <w:pStyle w:val="SingleTxtG"/>
        <w:ind w:left="2268" w:hanging="1134"/>
      </w:pPr>
      <w:r w:rsidRPr="002C5876">
        <w:t>4.3.1.3.2</w:t>
      </w:r>
      <w:r w:rsidRPr="002C5876">
        <w:tab/>
        <w:t>Il est recommandé d’utiliser un séparateur primaire.</w:t>
      </w:r>
    </w:p>
    <w:p w:rsidR="00E24DB7" w:rsidRPr="002C5876" w:rsidRDefault="00E24DB7" w:rsidP="00E24DB7">
      <w:pPr>
        <w:pStyle w:val="SingleTxtG"/>
        <w:keepNext/>
        <w:ind w:left="2268" w:hanging="1134"/>
      </w:pPr>
      <w:r w:rsidRPr="002C5876">
        <w:t>4.3.1.3.3</w:t>
      </w:r>
      <w:r w:rsidRPr="002C5876">
        <w:tab/>
        <w:t>L’unité de préconditionnement de l’échantillon doit :</w:t>
      </w:r>
    </w:p>
    <w:p w:rsidR="00E24DB7" w:rsidRPr="002C5876" w:rsidRDefault="00E24DB7" w:rsidP="00E24DB7">
      <w:pPr>
        <w:pStyle w:val="SingleTxtG"/>
        <w:ind w:left="2835" w:hanging="567"/>
      </w:pPr>
      <w:r w:rsidRPr="002C5876">
        <w:t>a)</w:t>
      </w:r>
      <w:r w:rsidRPr="002C5876">
        <w:tab/>
      </w:r>
      <w:r w:rsidRPr="002C5876">
        <w:rPr>
          <w:bCs/>
        </w:rPr>
        <w:t xml:space="preserve">Être capable de diluer l’échantillon en une ou plusieurs étapes pour, d’une part, abaisser la concentration en nombre de particules </w:t>
      </w:r>
      <w:r w:rsidRPr="002C5876">
        <w:rPr>
          <w:bCs/>
        </w:rPr>
        <w:lastRenderedPageBreak/>
        <w:t>au</w:t>
      </w:r>
      <w:r w:rsidRPr="002C5876">
        <w:rPr>
          <w:bCs/>
        </w:rPr>
        <w:noBreakHyphen/>
        <w:t>dessous du seuil à partir duquel le PNC ne peut plus fonctionner en mode de comptage particule par particule et, d’autre part, abaisser la température du gaz à moins de 35 °C à l’entrée du PNC</w:t>
      </w:r>
      <w:r w:rsidRPr="002C5876">
        <w:t> ;</w:t>
      </w:r>
    </w:p>
    <w:p w:rsidR="00E24DB7" w:rsidRPr="002C5876" w:rsidRDefault="00E24DB7" w:rsidP="00E24DB7">
      <w:pPr>
        <w:pStyle w:val="SingleTxtG"/>
        <w:ind w:left="2835" w:hanging="567"/>
      </w:pPr>
      <w:r w:rsidRPr="002C5876">
        <w:t>b)</w:t>
      </w:r>
      <w:r w:rsidRPr="002C5876">
        <w:tab/>
        <w:t xml:space="preserve">Passer par une étape initiale de dilution chauffée, à l’issue de laquelle la température de l’échantillon doit être égale ou supérieure à 150 °C et inférieure ou égale à 350 °C, avec une tolérance de </w:t>
      </w:r>
      <w:r w:rsidRPr="002C5876">
        <w:sym w:font="Symbol" w:char="F0B1"/>
      </w:r>
      <w:r w:rsidRPr="002C5876">
        <w:t xml:space="preserve">10°C et l’échantillon est dilué d’un facteur 10 au minimum ; </w:t>
      </w:r>
    </w:p>
    <w:p w:rsidR="00E24DB7" w:rsidRPr="002C5876" w:rsidRDefault="00E24DB7" w:rsidP="00E24DB7">
      <w:pPr>
        <w:pStyle w:val="SingleTxtG"/>
        <w:ind w:left="2835" w:hanging="567"/>
      </w:pPr>
      <w:r w:rsidRPr="002C5876">
        <w:t>c)</w:t>
      </w:r>
      <w:r w:rsidRPr="002C5876">
        <w:tab/>
        <w:t xml:space="preserve">Maintenir à température nominale constante les étages chauffés du processus, dans la plage comprise entre 150 °C et 400 °C, avec une tolérance de </w:t>
      </w:r>
      <w:r w:rsidRPr="002C5876">
        <w:sym w:font="Symbol" w:char="F0B1"/>
      </w:r>
      <w:r w:rsidRPr="002C5876">
        <w:t>10 °C ;</w:t>
      </w:r>
    </w:p>
    <w:p w:rsidR="00E24DB7" w:rsidRPr="002C5876" w:rsidRDefault="00E24DB7" w:rsidP="00E24DB7">
      <w:pPr>
        <w:pStyle w:val="SingleTxtG"/>
        <w:ind w:left="2835" w:hanging="567"/>
      </w:pPr>
      <w:r w:rsidRPr="002C5876">
        <w:t>d)</w:t>
      </w:r>
      <w:r w:rsidRPr="002C5876">
        <w:tab/>
        <w:t xml:space="preserve">Fournir des indications permettant de savoir si les étages chauffés sont ou non à leur température correcte de fonctionnement ; </w:t>
      </w:r>
    </w:p>
    <w:p w:rsidR="00E24DB7" w:rsidRPr="002C5876" w:rsidRDefault="00E24DB7" w:rsidP="00E24DB7">
      <w:pPr>
        <w:pStyle w:val="SingleTxtG"/>
        <w:ind w:left="2835" w:hanging="567"/>
      </w:pPr>
      <w:r w:rsidRPr="002C5876">
        <w:t>e)</w:t>
      </w:r>
      <w:r w:rsidRPr="002C5876">
        <w:tab/>
        <w:t xml:space="preserve">Être conçue pour obtenir une efficacité de pénétration des particules solides d’au moins 70 % pour des particules d’un diamètre de mobilité électrique de 100 nm ; </w:t>
      </w:r>
    </w:p>
    <w:p w:rsidR="00E24DB7" w:rsidRPr="002C5876" w:rsidRDefault="00E24DB7" w:rsidP="00E24DB7">
      <w:pPr>
        <w:pStyle w:val="SingleTxtG"/>
        <w:ind w:left="2835" w:hanging="567"/>
      </w:pPr>
      <w:r w:rsidRPr="002C5876">
        <w:t>f)</w:t>
      </w:r>
      <w:r w:rsidRPr="002C5876">
        <w:tab/>
        <w:t>Pour l’ensemble du VPR et pour les particules dont le diamètre de mobilité électrique est de 30 nm et 50 nm, réduire la concentration des particules d’un facteur f</w:t>
      </w:r>
      <w:r w:rsidRPr="002C5876">
        <w:rPr>
          <w:vertAlign w:val="subscript"/>
        </w:rPr>
        <w:t>r</w:t>
      </w:r>
      <w:r w:rsidRPr="002C5876">
        <w:t>(d</w:t>
      </w:r>
      <w:r w:rsidRPr="002C5876">
        <w:rPr>
          <w:vertAlign w:val="subscript"/>
        </w:rPr>
        <w:t>i</w:t>
      </w:r>
      <w:r w:rsidRPr="002C5876">
        <w:t xml:space="preserve">), qui ne soit pas supérieur de plus de 30 % et de plus de 20 %, respectivement, ni inférieur de plus de 5 % au facteur de réduction de la concentration des particules dont le diamètre de mobilité électrique est de 100 nm ; </w:t>
      </w:r>
    </w:p>
    <w:p w:rsidR="00E24DB7" w:rsidRPr="002C5876" w:rsidRDefault="00E24DB7" w:rsidP="00E24DB7">
      <w:pPr>
        <w:pStyle w:val="SingleTxtG"/>
        <w:keepNext/>
        <w:ind w:left="2835"/>
      </w:pPr>
      <w:r w:rsidRPr="002C5876">
        <w:tab/>
        <w:t>Le facteur de réduction de la concentration des particules pour chaque granulométrie f</w:t>
      </w:r>
      <w:r w:rsidRPr="002C5876">
        <w:rPr>
          <w:vertAlign w:val="subscript"/>
        </w:rPr>
        <w:t>r</w:t>
      </w:r>
      <w:r w:rsidRPr="002C5876">
        <w:t>(d</w:t>
      </w:r>
      <w:r w:rsidRPr="002C5876">
        <w:rPr>
          <w:vertAlign w:val="subscript"/>
        </w:rPr>
        <w:t>i</w:t>
      </w:r>
      <w:r w:rsidRPr="002C5876">
        <w:t>) est calculé selon l’équation suivante :</w:t>
      </w:r>
    </w:p>
    <w:p w:rsidR="005A6E03" w:rsidRPr="002C5876" w:rsidRDefault="00731CA6" w:rsidP="00E24DB7">
      <w:pPr>
        <w:pStyle w:val="SingleTxtG"/>
        <w:keepNext/>
        <w:ind w:left="2835"/>
      </w:pPr>
      <m:oMathPara>
        <m:oMath>
          <m:sSub>
            <m:sSubPr>
              <m:ctrlPr>
                <w:rPr>
                  <w:rFonts w:ascii="Cambria Math" w:hAnsi="Cambria Math"/>
                </w:rPr>
              </m:ctrlPr>
            </m:sSubPr>
            <m:e>
              <m:r>
                <m:rPr>
                  <m:sty m:val="p"/>
                </m:rPr>
                <w:rPr>
                  <w:rFonts w:ascii="Cambria Math"/>
                </w:rPr>
                <m:t>f</m:t>
              </m:r>
            </m:e>
            <m:sub>
              <m:r>
                <m:rPr>
                  <m:sty m:val="p"/>
                </m:rPr>
                <w:rPr>
                  <w:rFonts w:ascii="Cambria Math"/>
                </w:rPr>
                <m:t>r</m:t>
              </m:r>
            </m:sub>
          </m:sSub>
          <m:d>
            <m:dPr>
              <m:ctrlPr>
                <w:rPr>
                  <w:rFonts w:ascii="Cambria Math" w:hAnsi="Cambria Math"/>
                </w:rPr>
              </m:ctrlPr>
            </m:dPr>
            <m:e>
              <m:sSub>
                <m:sSubPr>
                  <m:ctrlPr>
                    <w:rPr>
                      <w:rFonts w:ascii="Cambria Math" w:hAnsi="Cambria Math"/>
                    </w:rPr>
                  </m:ctrlPr>
                </m:sSubPr>
                <m:e>
                  <m:r>
                    <m:rPr>
                      <m:sty m:val="p"/>
                    </m:rPr>
                    <w:rPr>
                      <w:rFonts w:ascii="Cambria Math"/>
                    </w:rPr>
                    <m:t>d</m:t>
                  </m:r>
                </m:e>
                <m:sub>
                  <m:r>
                    <m:rPr>
                      <m:sty m:val="p"/>
                    </m:rPr>
                    <w:rPr>
                      <w:rFonts w:ascii="Cambria Math"/>
                    </w:rPr>
                    <m:t>i</m:t>
                  </m:r>
                </m:sub>
              </m:sSub>
            </m:e>
          </m:d>
          <m:r>
            <m:rPr>
              <m:nor/>
            </m:rPr>
            <m:t xml:space="preserve"> = </m:t>
          </m:r>
          <m:f>
            <m:fPr>
              <m:ctrlPr>
                <w:rPr>
                  <w:rFonts w:ascii="Cambria Math" w:hAnsi="Cambria Math"/>
                </w:rPr>
              </m:ctrlPr>
            </m:fPr>
            <m:num>
              <m:sSub>
                <m:sSubPr>
                  <m:ctrlPr>
                    <w:rPr>
                      <w:rFonts w:ascii="Cambria Math" w:hAnsi="Cambria Math"/>
                    </w:rPr>
                  </m:ctrlPr>
                </m:sSubPr>
                <m:e>
                  <m:r>
                    <m:rPr>
                      <m:sty m:val="p"/>
                    </m:rPr>
                    <w:rPr>
                      <w:rFonts w:ascii="Cambria Math" w:hAnsi="Cambria Math"/>
                    </w:rPr>
                    <m:t>N</m:t>
                  </m:r>
                </m:e>
                <m:sub>
                  <m:r>
                    <m:rPr>
                      <m:sty m:val="p"/>
                    </m:rPr>
                    <w:rPr>
                      <w:rFonts w:ascii="Cambria Math" w:hAnsi="Cambria Math"/>
                    </w:rPr>
                    <m:t>in</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e>
              </m:d>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out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e>
              </m:d>
            </m:den>
          </m:f>
        </m:oMath>
      </m:oMathPara>
    </w:p>
    <w:p w:rsidR="00E24DB7" w:rsidRPr="002C5876" w:rsidRDefault="00E24DB7" w:rsidP="00E24DB7">
      <w:pPr>
        <w:pStyle w:val="SingleTxtG"/>
        <w:keepNext/>
        <w:ind w:left="2835"/>
      </w:pPr>
      <w:r w:rsidRPr="002C5876">
        <w:t>où :</w:t>
      </w:r>
    </w:p>
    <w:p w:rsidR="00E24DB7" w:rsidRPr="002C5876" w:rsidRDefault="00E24DB7" w:rsidP="00E24DB7">
      <w:pPr>
        <w:pStyle w:val="SingleTxtG"/>
        <w:ind w:left="3686" w:hanging="851"/>
      </w:pPr>
      <w:r w:rsidRPr="002C5876">
        <w:t>N</w:t>
      </w:r>
      <w:r w:rsidRPr="002C5876">
        <w:rPr>
          <w:vertAlign w:val="subscript"/>
        </w:rPr>
        <w:t>in</w:t>
      </w:r>
      <w:r w:rsidRPr="002C5876">
        <w:t>(d</w:t>
      </w:r>
      <w:r w:rsidRPr="002C5876">
        <w:rPr>
          <w:vertAlign w:val="subscript"/>
        </w:rPr>
        <w:t>i</w:t>
      </w:r>
      <w:r w:rsidRPr="002C5876">
        <w:t>)</w:t>
      </w:r>
      <w:r w:rsidRPr="002C5876">
        <w:tab/>
        <w:t>est la concentration en particules de diamètre d</w:t>
      </w:r>
      <w:r w:rsidRPr="002C5876">
        <w:rPr>
          <w:vertAlign w:val="subscript"/>
        </w:rPr>
        <w:t>i</w:t>
      </w:r>
      <w:r w:rsidRPr="002C5876">
        <w:t xml:space="preserve"> en amont ;</w:t>
      </w:r>
    </w:p>
    <w:p w:rsidR="00E24DB7" w:rsidRPr="002C5876" w:rsidRDefault="00E24DB7" w:rsidP="00E24DB7">
      <w:pPr>
        <w:pStyle w:val="SingleTxtG"/>
        <w:ind w:left="3686" w:hanging="851"/>
      </w:pPr>
      <w:r w:rsidRPr="002C5876">
        <w:t>N</w:t>
      </w:r>
      <w:r w:rsidRPr="002C5876">
        <w:rPr>
          <w:vertAlign w:val="subscript"/>
        </w:rPr>
        <w:t>out</w:t>
      </w:r>
      <w:r w:rsidRPr="002C5876">
        <w:t>(d</w:t>
      </w:r>
      <w:r w:rsidRPr="002C5876">
        <w:rPr>
          <w:vertAlign w:val="subscript"/>
        </w:rPr>
        <w:t>i</w:t>
      </w:r>
      <w:r w:rsidRPr="002C5876">
        <w:t>)</w:t>
      </w:r>
      <w:r w:rsidRPr="002C5876">
        <w:tab/>
        <w:t>est la concentration en particules de diamètre d</w:t>
      </w:r>
      <w:r w:rsidRPr="002C5876">
        <w:rPr>
          <w:vertAlign w:val="subscript"/>
        </w:rPr>
        <w:t>i</w:t>
      </w:r>
      <w:r w:rsidRPr="002C5876">
        <w:t xml:space="preserve"> en aval ;</w:t>
      </w:r>
    </w:p>
    <w:p w:rsidR="00E24DB7" w:rsidRPr="002C5876" w:rsidRDefault="00E24DB7" w:rsidP="00E24DB7">
      <w:pPr>
        <w:pStyle w:val="SingleTxtG"/>
        <w:ind w:left="3686" w:hanging="851"/>
      </w:pPr>
      <w:r w:rsidRPr="002C5876">
        <w:t>d</w:t>
      </w:r>
      <w:r w:rsidRPr="002C5876">
        <w:rPr>
          <w:vertAlign w:val="subscript"/>
        </w:rPr>
        <w:t>i</w:t>
      </w:r>
      <w:r w:rsidRPr="002C5876">
        <w:tab/>
        <w:t>est le diamètre de mobilité électrique des particules (30, 50 ou 100 nm).</w:t>
      </w:r>
    </w:p>
    <w:p w:rsidR="00E24DB7" w:rsidRPr="002C5876" w:rsidRDefault="00E24DB7" w:rsidP="00E24DB7">
      <w:pPr>
        <w:pStyle w:val="SingleTxtG"/>
        <w:ind w:left="2835"/>
      </w:pPr>
      <w:r w:rsidRPr="002C5876">
        <w:rPr>
          <w:iCs/>
        </w:rPr>
        <w:tab/>
        <w:t>Il faut corriger N</w:t>
      </w:r>
      <w:r w:rsidRPr="002C5876">
        <w:rPr>
          <w:iCs/>
          <w:vertAlign w:val="subscript"/>
        </w:rPr>
        <w:t>in</w:t>
      </w:r>
      <w:r w:rsidRPr="002C5876">
        <w:rPr>
          <w:iCs/>
        </w:rPr>
        <w:t>(d</w:t>
      </w:r>
      <w:r w:rsidRPr="002C5876">
        <w:rPr>
          <w:iCs/>
          <w:vertAlign w:val="subscript"/>
        </w:rPr>
        <w:t>i</w:t>
      </w:r>
      <w:r w:rsidRPr="002C5876">
        <w:rPr>
          <w:iCs/>
        </w:rPr>
        <w:t xml:space="preserve">) </w:t>
      </w:r>
      <w:r w:rsidRPr="002C5876">
        <w:t>et N</w:t>
      </w:r>
      <w:r w:rsidRPr="002C5876">
        <w:rPr>
          <w:vertAlign w:val="subscript"/>
        </w:rPr>
        <w:t>out</w:t>
      </w:r>
      <w:r w:rsidRPr="002C5876">
        <w:t>(d</w:t>
      </w:r>
      <w:r w:rsidRPr="002C5876">
        <w:rPr>
          <w:vertAlign w:val="subscript"/>
        </w:rPr>
        <w:t>i</w:t>
      </w:r>
      <w:r w:rsidRPr="002C5876">
        <w:t>)</w:t>
      </w:r>
      <w:r w:rsidRPr="002C5876">
        <w:rPr>
          <w:iCs/>
        </w:rPr>
        <w:t xml:space="preserve"> </w:t>
      </w:r>
      <w:r w:rsidRPr="002C5876">
        <w:t>pour les ramener aux mêmes conditions.</w:t>
      </w:r>
    </w:p>
    <w:p w:rsidR="00E24DB7" w:rsidRPr="002C5876" w:rsidRDefault="00E24DB7" w:rsidP="00E24DB7">
      <w:pPr>
        <w:pStyle w:val="SingleTxtG"/>
        <w:keepNext/>
        <w:ind w:left="2835"/>
      </w:pPr>
      <w:r w:rsidRPr="002C5876">
        <w:tab/>
        <w:t xml:space="preserve">Pour un niveau de dilution donné, la valeur moyenne arithmétique de la réduction de la concentration en particules </w:t>
      </w:r>
      <w:r w:rsidRPr="002C5876">
        <w:rPr>
          <w:noProof/>
          <w:position w:val="-10"/>
          <w:lang w:val="en-GB" w:eastAsia="zh-CN"/>
        </w:rPr>
        <w:drawing>
          <wp:inline distT="0" distB="0" distL="0" distR="0" wp14:anchorId="1790B2D7" wp14:editId="25299ECD">
            <wp:extent cx="114300" cy="180975"/>
            <wp:effectExtent l="0" t="0" r="0" b="9525"/>
            <wp:docPr id="223"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2C5876">
        <w:t xml:space="preserve"> est calculée selon l’équation suivante :</w:t>
      </w:r>
    </w:p>
    <w:p w:rsidR="00E24DB7" w:rsidRPr="002C5876" w:rsidRDefault="00731CA6" w:rsidP="00E24DB7">
      <w:pPr>
        <w:pStyle w:val="SingleTxtG"/>
        <w:spacing w:after="240"/>
        <w:ind w:left="2835"/>
        <w:jc w:val="center"/>
      </w:pPr>
      <m:oMathPara>
        <m:oMath>
          <m:acc>
            <m:accPr>
              <m:chr m:val="̅"/>
              <m:ctrlPr>
                <w:rPr>
                  <w:rFonts w:ascii="Cambria Math" w:hAnsi="Cambria Math" w:cstheme="majorBidi"/>
                </w:rPr>
              </m:ctrlPr>
            </m:accPr>
            <m:e>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r</m:t>
                  </m:r>
                </m:sub>
              </m:sSub>
            </m:e>
          </m:acc>
          <m:r>
            <m:rPr>
              <m:sty m:val="p"/>
            </m:rPr>
            <w:rPr>
              <w:rFonts w:ascii="Cambria Math" w:hAnsi="Cambria Math" w:cstheme="majorBidi"/>
            </w:rPr>
            <m:t xml:space="preserve">= </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r</m:t>
                  </m:r>
                </m:sub>
              </m:sSub>
              <m:d>
                <m:dPr>
                  <m:ctrlPr>
                    <w:rPr>
                      <w:rFonts w:ascii="Cambria Math" w:hAnsi="Cambria Math" w:cstheme="majorBidi"/>
                    </w:rPr>
                  </m:ctrlPr>
                </m:dPr>
                <m:e>
                  <m:r>
                    <m:rPr>
                      <m:sty m:val="p"/>
                    </m:rPr>
                    <w:rPr>
                      <w:rFonts w:ascii="Cambria Math" w:hAnsi="Cambria Math" w:cstheme="majorBidi"/>
                    </w:rPr>
                    <m:t>30 нм</m:t>
                  </m:r>
                </m:e>
              </m:d>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r</m:t>
                  </m:r>
                </m:sub>
              </m:sSub>
              <m:d>
                <m:dPr>
                  <m:ctrlPr>
                    <w:rPr>
                      <w:rFonts w:ascii="Cambria Math" w:hAnsi="Cambria Math" w:cstheme="majorBidi"/>
                    </w:rPr>
                  </m:ctrlPr>
                </m:dPr>
                <m:e>
                  <m:r>
                    <m:rPr>
                      <m:sty m:val="p"/>
                    </m:rPr>
                    <w:rPr>
                      <w:rFonts w:ascii="Cambria Math" w:hAnsi="Cambria Math" w:cstheme="majorBidi"/>
                    </w:rPr>
                    <m:t>50 нм</m:t>
                  </m:r>
                </m:e>
              </m:d>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r</m:t>
                  </m:r>
                </m:sub>
              </m:sSub>
              <m:d>
                <m:dPr>
                  <m:ctrlPr>
                    <w:rPr>
                      <w:rFonts w:ascii="Cambria Math" w:hAnsi="Cambria Math" w:cstheme="majorBidi"/>
                    </w:rPr>
                  </m:ctrlPr>
                </m:dPr>
                <m:e>
                  <m:r>
                    <m:rPr>
                      <m:sty m:val="p"/>
                    </m:rPr>
                    <w:rPr>
                      <w:rFonts w:ascii="Cambria Math" w:hAnsi="Cambria Math" w:cstheme="majorBidi"/>
                    </w:rPr>
                    <m:t>100 нм</m:t>
                  </m:r>
                </m:e>
              </m:d>
            </m:num>
            <m:den>
              <m:r>
                <m:rPr>
                  <m:sty m:val="p"/>
                </m:rPr>
                <w:rPr>
                  <w:rFonts w:ascii="Cambria Math" w:hAnsi="Cambria Math" w:cstheme="majorBidi"/>
                </w:rPr>
                <m:t>3</m:t>
              </m:r>
            </m:den>
          </m:f>
          <m:r>
            <w:rPr>
              <w:rFonts w:ascii="Cambria Math" w:hAnsi="Cambria Math"/>
            </w:rPr>
            <m:t xml:space="preserve"> </m:t>
          </m:r>
        </m:oMath>
      </m:oMathPara>
    </w:p>
    <w:p w:rsidR="00E24DB7" w:rsidRPr="002C5876" w:rsidRDefault="00E24DB7" w:rsidP="00E24DB7">
      <w:pPr>
        <w:pStyle w:val="SingleTxtG"/>
        <w:keepNext/>
        <w:ind w:left="2835"/>
      </w:pPr>
      <w:r w:rsidRPr="002C5876">
        <w:tab/>
        <w:t>Il est recommandé d’étalonner et de valider le VPR en tant qu’unité complète ;</w:t>
      </w:r>
    </w:p>
    <w:p w:rsidR="00E24DB7" w:rsidRPr="002C5876" w:rsidRDefault="00E24DB7" w:rsidP="00E24DB7">
      <w:pPr>
        <w:pStyle w:val="SingleTxtG"/>
        <w:ind w:left="2835" w:hanging="567"/>
      </w:pPr>
      <w:r w:rsidRPr="002C5876">
        <w:t>g)</w:t>
      </w:r>
      <w:r w:rsidRPr="002C5876">
        <w:tab/>
        <w:t xml:space="preserve">Être conçue conformément aux règles de bonne pratique technique afin de garantir la stabilité des facteurs de réduction de la concentration de particules au cours d’un essai ; </w:t>
      </w:r>
    </w:p>
    <w:p w:rsidR="00E24DB7" w:rsidRPr="002C5876" w:rsidRDefault="00E24DB7" w:rsidP="00E24DB7">
      <w:pPr>
        <w:pStyle w:val="SingleTxtG"/>
        <w:keepLines/>
        <w:ind w:left="2835" w:hanging="567"/>
      </w:pPr>
      <w:r w:rsidRPr="002C5876">
        <w:t>h)</w:t>
      </w:r>
      <w:r w:rsidRPr="002C5876">
        <w:tab/>
        <w:t>Vaporiser les particules de tétracontane (CH</w:t>
      </w:r>
      <w:r w:rsidRPr="002C5876">
        <w:rPr>
          <w:vertAlign w:val="subscript"/>
        </w:rPr>
        <w:t>3</w:t>
      </w:r>
      <w:r w:rsidRPr="002C5876">
        <w:t>(CH</w:t>
      </w:r>
      <w:r w:rsidRPr="002C5876">
        <w:rPr>
          <w:vertAlign w:val="subscript"/>
        </w:rPr>
        <w:t>2</w:t>
      </w:r>
      <w:r w:rsidRPr="002C5876">
        <w:t>)</w:t>
      </w:r>
      <w:r w:rsidRPr="002C5876">
        <w:rPr>
          <w:vertAlign w:val="subscript"/>
        </w:rPr>
        <w:t>38</w:t>
      </w:r>
      <w:r w:rsidRPr="002C5876">
        <w:t>CH</w:t>
      </w:r>
      <w:r w:rsidRPr="002C5876">
        <w:rPr>
          <w:vertAlign w:val="subscript"/>
        </w:rPr>
        <w:t>3</w:t>
      </w:r>
      <w:r w:rsidRPr="002C5876">
        <w:t>) de 30 nm à plus de 99,0 %, à partir d’une concentration d’entrée supérieure à 10 000 par cm</w:t>
      </w:r>
      <w:r w:rsidRPr="002C5876">
        <w:rPr>
          <w:vertAlign w:val="superscript"/>
        </w:rPr>
        <w:t>3</w:t>
      </w:r>
      <w:r w:rsidRPr="002C5876">
        <w:t xml:space="preserve">, par chauffage et réduction des pressions partielles du tétracontane. </w:t>
      </w:r>
    </w:p>
    <w:p w:rsidR="00E24DB7" w:rsidRPr="002C5876" w:rsidRDefault="00E24DB7" w:rsidP="00E24DB7">
      <w:pPr>
        <w:pStyle w:val="SingleTxtG"/>
        <w:keepNext/>
        <w:ind w:left="2268" w:hanging="1134"/>
        <w:jc w:val="left"/>
      </w:pPr>
      <w:r w:rsidRPr="002C5876">
        <w:t>4.3.1.3.4</w:t>
      </w:r>
      <w:r w:rsidRPr="002C5876">
        <w:tab/>
        <w:t>Le PNC doit satisfaire aux prescriptions suivantes :</w:t>
      </w:r>
    </w:p>
    <w:p w:rsidR="00E24DB7" w:rsidRPr="002C5876" w:rsidRDefault="00E24DB7" w:rsidP="00E24DB7">
      <w:pPr>
        <w:pStyle w:val="SingleTxtG"/>
        <w:ind w:left="2835" w:hanging="567"/>
      </w:pPr>
      <w:r w:rsidRPr="002C5876">
        <w:t>a)</w:t>
      </w:r>
      <w:r w:rsidRPr="002C5876">
        <w:tab/>
        <w:t xml:space="preserve">Il doit fonctionner en flux total ; </w:t>
      </w:r>
    </w:p>
    <w:p w:rsidR="00E24DB7" w:rsidRPr="002C5876" w:rsidRDefault="00E24DB7" w:rsidP="00E24DB7">
      <w:pPr>
        <w:pStyle w:val="SingleTxtG"/>
        <w:ind w:left="2835" w:hanging="567"/>
        <w:rPr>
          <w:spacing w:val="-2"/>
        </w:rPr>
      </w:pPr>
      <w:r w:rsidRPr="002C5876">
        <w:lastRenderedPageBreak/>
        <w:t>b)</w:t>
      </w:r>
      <w:r w:rsidRPr="002C5876">
        <w:tab/>
      </w:r>
      <w:r w:rsidRPr="002C5876">
        <w:rPr>
          <w:spacing w:val="-2"/>
        </w:rPr>
        <w:t xml:space="preserve">Il doit effectuer le comptage avec une exactitude de </w:t>
      </w:r>
      <w:r w:rsidRPr="002C5876">
        <w:rPr>
          <w:spacing w:val="-2"/>
        </w:rPr>
        <w:sym w:font="Symbol" w:char="F0B1"/>
      </w:r>
      <w:r w:rsidRPr="002C5876">
        <w:rPr>
          <w:spacing w:val="-2"/>
        </w:rPr>
        <w:t>10 % dans la plage comprise entre 1 par cm</w:t>
      </w:r>
      <w:r w:rsidRPr="002C5876">
        <w:rPr>
          <w:spacing w:val="-2"/>
          <w:vertAlign w:val="superscript"/>
        </w:rPr>
        <w:t>3</w:t>
      </w:r>
      <w:r w:rsidRPr="002C5876">
        <w:rPr>
          <w:spacing w:val="-2"/>
        </w:rPr>
        <w:t xml:space="preserve"> et le seuil à partir duquel le PNC ne fonctionne plus en mode comptage particule par particule selon une norme adéquate </w:t>
      </w:r>
      <w:r w:rsidRPr="002C5876">
        <w:rPr>
          <w:rFonts w:ascii="TimesNewRoman" w:hAnsi="TimesNewRoman" w:cs="TimesNewRoman"/>
          <w:szCs w:val="24"/>
        </w:rPr>
        <w:t>spécifiée</w:t>
      </w:r>
      <w:r w:rsidRPr="002C5876">
        <w:rPr>
          <w:spacing w:val="-2"/>
        </w:rPr>
        <w:t>. À des concentrations inférieures à 100 par cm</w:t>
      </w:r>
      <w:r w:rsidRPr="002C5876">
        <w:rPr>
          <w:spacing w:val="-2"/>
          <w:vertAlign w:val="superscript"/>
        </w:rPr>
        <w:t>3</w:t>
      </w:r>
      <w:r w:rsidRPr="002C5876">
        <w:rPr>
          <w:spacing w:val="-2"/>
        </w:rPr>
        <w:t xml:space="preserve">, des mesures dont la moyenne est calculée sur des périodes de prélèvement de longue durée peuvent être requises pour démontrer l’exactitude du PNC avec un degré de fiabilité statistique élevé ; </w:t>
      </w:r>
    </w:p>
    <w:p w:rsidR="00E24DB7" w:rsidRPr="002C5876" w:rsidRDefault="00E24DB7" w:rsidP="00E24DB7">
      <w:pPr>
        <w:pStyle w:val="SingleTxtG"/>
        <w:ind w:left="2835" w:hanging="567"/>
      </w:pPr>
      <w:r w:rsidRPr="002C5876">
        <w:t>c)</w:t>
      </w:r>
      <w:r w:rsidRPr="002C5876">
        <w:tab/>
        <w:t xml:space="preserve">Sa résolution doit être de 0,1 particule </w:t>
      </w:r>
      <w:r w:rsidRPr="002C5876">
        <w:rPr>
          <w:spacing w:val="-2"/>
        </w:rPr>
        <w:t>par cm</w:t>
      </w:r>
      <w:r w:rsidRPr="002C5876">
        <w:rPr>
          <w:spacing w:val="-2"/>
          <w:vertAlign w:val="superscript"/>
        </w:rPr>
        <w:t>3</w:t>
      </w:r>
      <w:r w:rsidRPr="002C5876">
        <w:t xml:space="preserve"> ou mieux à des concentrations inférieures à 100 </w:t>
      </w:r>
      <w:r w:rsidRPr="002C5876">
        <w:rPr>
          <w:spacing w:val="-2"/>
        </w:rPr>
        <w:t>par cm</w:t>
      </w:r>
      <w:r w:rsidRPr="002C5876">
        <w:rPr>
          <w:spacing w:val="-2"/>
          <w:vertAlign w:val="superscript"/>
        </w:rPr>
        <w:t>3</w:t>
      </w:r>
      <w:r w:rsidRPr="002C5876">
        <w:t xml:space="preserve"> ; </w:t>
      </w:r>
    </w:p>
    <w:p w:rsidR="00E24DB7" w:rsidRPr="002C5876" w:rsidRDefault="00E24DB7" w:rsidP="00E24DB7">
      <w:pPr>
        <w:pStyle w:val="SingleTxtG"/>
        <w:ind w:left="2835" w:hanging="567"/>
      </w:pPr>
      <w:r w:rsidRPr="002C5876">
        <w:t>d)</w:t>
      </w:r>
      <w:r w:rsidRPr="002C5876">
        <w:tab/>
        <w:t xml:space="preserve">En mode de comptage particule par particule, sa réponse aux concentrations de particules doit être linéaire sur la totalité de la plage de mesure ; </w:t>
      </w:r>
    </w:p>
    <w:p w:rsidR="00E24DB7" w:rsidRPr="002C5876" w:rsidRDefault="00E24DB7" w:rsidP="00E24DB7">
      <w:pPr>
        <w:pStyle w:val="SingleTxtG"/>
        <w:ind w:left="2835" w:hanging="567"/>
      </w:pPr>
      <w:r w:rsidRPr="002C5876">
        <w:t>e)</w:t>
      </w:r>
      <w:r w:rsidRPr="002C5876">
        <w:tab/>
        <w:t xml:space="preserve">La fréquence à laquelle il communique les données doit être égale ou supérieure à 0,5 Hz ; </w:t>
      </w:r>
    </w:p>
    <w:p w:rsidR="00E24DB7" w:rsidRPr="002C5876" w:rsidRDefault="00E24DB7" w:rsidP="00E24DB7">
      <w:pPr>
        <w:pStyle w:val="SingleTxtG"/>
        <w:ind w:left="2835" w:hanging="567"/>
      </w:pPr>
      <w:r w:rsidRPr="002C5876">
        <w:t>f)</w:t>
      </w:r>
      <w:r w:rsidRPr="002C5876">
        <w:tab/>
        <w:t>Sur la plage de mesure des concentrations, son temps de réponse t</w:t>
      </w:r>
      <w:r w:rsidRPr="002C5876">
        <w:rPr>
          <w:vertAlign w:val="subscript"/>
        </w:rPr>
        <w:t>90</w:t>
      </w:r>
      <w:r w:rsidRPr="002C5876">
        <w:t xml:space="preserve"> doit être inférieur à 5 s ; </w:t>
      </w:r>
    </w:p>
    <w:p w:rsidR="00E24DB7" w:rsidRPr="002C5876" w:rsidRDefault="00E24DB7" w:rsidP="00E24DB7">
      <w:pPr>
        <w:pStyle w:val="SingleTxtG"/>
        <w:ind w:left="2835" w:hanging="567"/>
      </w:pPr>
      <w:r w:rsidRPr="002C5876">
        <w:t>g)</w:t>
      </w:r>
      <w:r w:rsidRPr="002C5876">
        <w:tab/>
        <w:t xml:space="preserve">Il doit comporter une fonction de correction de coïncidence jusqu’à une correction maximale de 10 % et pouvoir appliquer un facteur d’étalonnage interne, comme indiqué au paragraphe 5.7.1.3 de la présente annexe, mais ne doit utiliser aucun autre algorithme pour corriger ou définir l’efficacité du comptage ; </w:t>
      </w:r>
    </w:p>
    <w:p w:rsidR="00E24DB7" w:rsidRPr="002C5876" w:rsidRDefault="00E24DB7" w:rsidP="00E24DB7">
      <w:pPr>
        <w:pStyle w:val="SingleTxtG"/>
        <w:ind w:left="2835" w:hanging="567"/>
      </w:pPr>
      <w:r w:rsidRPr="002C5876">
        <w:t>h)</w:t>
      </w:r>
      <w:r w:rsidRPr="002C5876">
        <w:tab/>
        <w:t>L’efficacité du comptage doit être au moins conforme aux seuils définis dans le tableau A5/2 selon la taille des particules.</w:t>
      </w:r>
    </w:p>
    <w:p w:rsidR="00E24DB7" w:rsidRPr="002C5876" w:rsidRDefault="00E24DB7" w:rsidP="00E24DB7">
      <w:pPr>
        <w:pStyle w:val="H23G"/>
      </w:pPr>
      <w:r w:rsidRPr="002C5876">
        <w:rPr>
          <w:b w:val="0"/>
          <w:bCs/>
        </w:rPr>
        <w:tab/>
      </w:r>
      <w:r w:rsidRPr="002C5876">
        <w:rPr>
          <w:b w:val="0"/>
          <w:bCs/>
        </w:rPr>
        <w:tab/>
        <w:t>Tableau A5/2</w:t>
      </w:r>
      <w:r w:rsidRPr="002C5876">
        <w:rPr>
          <w:bCs/>
        </w:rPr>
        <w:br/>
      </w:r>
      <w:r w:rsidRPr="002C5876">
        <w:t>Efficacité de comptage des PNC</w:t>
      </w:r>
    </w:p>
    <w:tbl>
      <w:tblPr>
        <w:tblW w:w="7370" w:type="dxa"/>
        <w:tblInd w:w="1134" w:type="dxa"/>
        <w:tblLayout w:type="fixed"/>
        <w:tblCellMar>
          <w:left w:w="0" w:type="dxa"/>
          <w:right w:w="0" w:type="dxa"/>
        </w:tblCellMar>
        <w:tblLook w:val="04A0" w:firstRow="1" w:lastRow="0" w:firstColumn="1" w:lastColumn="0" w:noHBand="0" w:noVBand="1"/>
      </w:tblPr>
      <w:tblGrid>
        <w:gridCol w:w="3685"/>
        <w:gridCol w:w="3685"/>
      </w:tblGrid>
      <w:tr w:rsidR="00E24DB7" w:rsidRPr="002C5876" w:rsidTr="00E24DB7">
        <w:trPr>
          <w:tblHeader/>
        </w:trPr>
        <w:tc>
          <w:tcPr>
            <w:tcW w:w="3685" w:type="dxa"/>
            <w:tcBorders>
              <w:top w:val="single" w:sz="4" w:space="0" w:color="auto"/>
              <w:left w:val="single" w:sz="4" w:space="0" w:color="auto"/>
              <w:bottom w:val="single" w:sz="12" w:space="0" w:color="auto"/>
              <w:right w:val="single" w:sz="4" w:space="0" w:color="auto"/>
            </w:tcBorders>
            <w:shd w:val="clear" w:color="auto" w:fill="auto"/>
            <w:vAlign w:val="bottom"/>
          </w:tcPr>
          <w:p w:rsidR="00E24DB7" w:rsidRPr="002C5876" w:rsidRDefault="00E24DB7" w:rsidP="00E24DB7">
            <w:pPr>
              <w:suppressAutoHyphens w:val="0"/>
              <w:spacing w:before="80" w:after="80" w:line="200" w:lineRule="exact"/>
              <w:jc w:val="center"/>
              <w:rPr>
                <w:i/>
                <w:sz w:val="16"/>
              </w:rPr>
            </w:pPr>
            <w:r w:rsidRPr="002C5876">
              <w:rPr>
                <w:i/>
                <w:sz w:val="16"/>
              </w:rPr>
              <w:t xml:space="preserve">Diamètre de mobilité électrique </w:t>
            </w:r>
            <w:r w:rsidRPr="002C5876">
              <w:rPr>
                <w:i/>
                <w:sz w:val="16"/>
              </w:rPr>
              <w:br/>
              <w:t>des particules (en nm)</w:t>
            </w:r>
          </w:p>
        </w:tc>
        <w:tc>
          <w:tcPr>
            <w:tcW w:w="3685" w:type="dxa"/>
            <w:tcBorders>
              <w:top w:val="single" w:sz="4" w:space="0" w:color="auto"/>
              <w:left w:val="single" w:sz="4" w:space="0" w:color="auto"/>
              <w:bottom w:val="single" w:sz="12" w:space="0" w:color="auto"/>
              <w:right w:val="single" w:sz="4" w:space="0" w:color="auto"/>
            </w:tcBorders>
            <w:shd w:val="clear" w:color="auto" w:fill="auto"/>
            <w:vAlign w:val="bottom"/>
          </w:tcPr>
          <w:p w:rsidR="00E24DB7" w:rsidRPr="002C5876" w:rsidRDefault="00E24DB7" w:rsidP="00E24DB7">
            <w:pPr>
              <w:suppressAutoHyphens w:val="0"/>
              <w:spacing w:before="80" w:after="80" w:line="200" w:lineRule="exact"/>
              <w:jc w:val="center"/>
              <w:rPr>
                <w:i/>
                <w:sz w:val="16"/>
              </w:rPr>
            </w:pPr>
            <w:r w:rsidRPr="002C5876">
              <w:rPr>
                <w:i/>
                <w:sz w:val="16"/>
              </w:rPr>
              <w:t xml:space="preserve">Efficacité de comptage du PNC </w:t>
            </w:r>
            <w:r w:rsidRPr="002C5876">
              <w:rPr>
                <w:i/>
                <w:sz w:val="16"/>
              </w:rPr>
              <w:br/>
              <w:t>(en pourcentage)</w:t>
            </w:r>
          </w:p>
        </w:tc>
      </w:tr>
      <w:tr w:rsidR="00E24DB7" w:rsidRPr="002C5876" w:rsidTr="00E24DB7">
        <w:tc>
          <w:tcPr>
            <w:tcW w:w="3685" w:type="dxa"/>
            <w:tcBorders>
              <w:top w:val="single" w:sz="12" w:space="0" w:color="auto"/>
              <w:left w:val="single" w:sz="4" w:space="0" w:color="auto"/>
              <w:right w:val="single" w:sz="4" w:space="0" w:color="auto"/>
            </w:tcBorders>
            <w:shd w:val="clear" w:color="auto" w:fill="auto"/>
          </w:tcPr>
          <w:p w:rsidR="00E24DB7" w:rsidRPr="002C5876" w:rsidRDefault="00E24DB7" w:rsidP="00E24DB7">
            <w:pPr>
              <w:suppressAutoHyphens w:val="0"/>
              <w:spacing w:before="40" w:after="40" w:line="220" w:lineRule="exact"/>
              <w:jc w:val="center"/>
              <w:rPr>
                <w:sz w:val="18"/>
              </w:rPr>
            </w:pPr>
            <w:r w:rsidRPr="002C5876">
              <w:rPr>
                <w:sz w:val="18"/>
              </w:rPr>
              <w:t xml:space="preserve">23 </w:t>
            </w:r>
            <w:r w:rsidRPr="002C5876">
              <w:rPr>
                <w:sz w:val="18"/>
              </w:rPr>
              <w:sym w:font="Symbol" w:char="F0B1"/>
            </w:r>
            <w:r w:rsidRPr="002C5876">
              <w:rPr>
                <w:sz w:val="18"/>
              </w:rPr>
              <w:t xml:space="preserve"> 1</w:t>
            </w:r>
          </w:p>
        </w:tc>
        <w:tc>
          <w:tcPr>
            <w:tcW w:w="3685" w:type="dxa"/>
            <w:tcBorders>
              <w:top w:val="single" w:sz="12" w:space="0" w:color="auto"/>
              <w:left w:val="single" w:sz="4" w:space="0" w:color="auto"/>
              <w:right w:val="single" w:sz="4" w:space="0" w:color="auto"/>
            </w:tcBorders>
            <w:shd w:val="clear" w:color="auto" w:fill="auto"/>
            <w:vAlign w:val="bottom"/>
          </w:tcPr>
          <w:p w:rsidR="00E24DB7" w:rsidRPr="002C5876" w:rsidRDefault="00E24DB7" w:rsidP="00E24DB7">
            <w:pPr>
              <w:suppressAutoHyphens w:val="0"/>
              <w:spacing w:before="40" w:after="40" w:line="220" w:lineRule="exact"/>
              <w:jc w:val="center"/>
              <w:rPr>
                <w:sz w:val="18"/>
              </w:rPr>
            </w:pPr>
            <w:r w:rsidRPr="002C5876">
              <w:rPr>
                <w:sz w:val="18"/>
              </w:rPr>
              <w:t xml:space="preserve">50 </w:t>
            </w:r>
            <w:r w:rsidRPr="002C5876">
              <w:rPr>
                <w:sz w:val="18"/>
              </w:rPr>
              <w:sym w:font="Symbol" w:char="F0B1"/>
            </w:r>
            <w:r w:rsidRPr="002C5876">
              <w:rPr>
                <w:sz w:val="18"/>
              </w:rPr>
              <w:t xml:space="preserve"> 12</w:t>
            </w:r>
          </w:p>
        </w:tc>
      </w:tr>
      <w:tr w:rsidR="00E24DB7" w:rsidRPr="002C5876" w:rsidTr="00E24DB7">
        <w:tc>
          <w:tcPr>
            <w:tcW w:w="3685" w:type="dxa"/>
            <w:tcBorders>
              <w:left w:val="single" w:sz="4" w:space="0" w:color="auto"/>
              <w:bottom w:val="single" w:sz="12" w:space="0" w:color="auto"/>
              <w:right w:val="single" w:sz="4" w:space="0" w:color="auto"/>
            </w:tcBorders>
            <w:shd w:val="clear" w:color="auto" w:fill="auto"/>
          </w:tcPr>
          <w:p w:rsidR="00E24DB7" w:rsidRPr="002C5876" w:rsidRDefault="00E24DB7" w:rsidP="00E24DB7">
            <w:pPr>
              <w:suppressAutoHyphens w:val="0"/>
              <w:spacing w:before="40" w:after="40" w:line="220" w:lineRule="exact"/>
              <w:jc w:val="center"/>
              <w:rPr>
                <w:sz w:val="18"/>
              </w:rPr>
            </w:pPr>
            <w:r w:rsidRPr="002C5876">
              <w:rPr>
                <w:sz w:val="18"/>
              </w:rPr>
              <w:t xml:space="preserve">41 </w:t>
            </w:r>
            <w:r w:rsidRPr="002C5876">
              <w:rPr>
                <w:sz w:val="18"/>
              </w:rPr>
              <w:sym w:font="Symbol" w:char="F0B1"/>
            </w:r>
            <w:r w:rsidRPr="002C5876">
              <w:rPr>
                <w:sz w:val="18"/>
              </w:rPr>
              <w:t xml:space="preserve"> 1</w:t>
            </w:r>
          </w:p>
        </w:tc>
        <w:tc>
          <w:tcPr>
            <w:tcW w:w="3685" w:type="dxa"/>
            <w:tcBorders>
              <w:left w:val="single" w:sz="4" w:space="0" w:color="auto"/>
              <w:bottom w:val="single" w:sz="12" w:space="0" w:color="auto"/>
              <w:right w:val="single" w:sz="4" w:space="0" w:color="auto"/>
            </w:tcBorders>
            <w:shd w:val="clear" w:color="auto" w:fill="auto"/>
            <w:vAlign w:val="bottom"/>
          </w:tcPr>
          <w:p w:rsidR="00E24DB7" w:rsidRPr="002C5876" w:rsidRDefault="00E24DB7" w:rsidP="00E24DB7">
            <w:pPr>
              <w:suppressAutoHyphens w:val="0"/>
              <w:spacing w:before="40" w:after="40" w:line="220" w:lineRule="exact"/>
              <w:jc w:val="center"/>
              <w:rPr>
                <w:sz w:val="18"/>
              </w:rPr>
            </w:pPr>
            <w:r w:rsidRPr="002C5876">
              <w:rPr>
                <w:sz w:val="18"/>
              </w:rPr>
              <w:t>&gt;90</w:t>
            </w:r>
          </w:p>
        </w:tc>
      </w:tr>
    </w:tbl>
    <w:p w:rsidR="00E24DB7" w:rsidRPr="002C5876" w:rsidRDefault="00E24DB7" w:rsidP="00E24DB7">
      <w:pPr>
        <w:pStyle w:val="SingleTxtG"/>
        <w:spacing w:before="240"/>
        <w:ind w:left="2268" w:hanging="1134"/>
      </w:pPr>
      <w:r w:rsidRPr="002C5876">
        <w:t>4.3.1.3.5</w:t>
      </w:r>
      <w:r w:rsidRPr="002C5876">
        <w:tab/>
        <w:t>Si le PNC fonctionne avec un liquide, celui-ci doit être remplacé à la fréquence indiquée par le fabricant de l’instrument.</w:t>
      </w:r>
    </w:p>
    <w:p w:rsidR="00E24DB7" w:rsidRPr="002C5876" w:rsidRDefault="00E24DB7" w:rsidP="00E24DB7">
      <w:pPr>
        <w:pStyle w:val="SingleTxtG"/>
        <w:ind w:left="2268" w:hanging="1134"/>
      </w:pPr>
      <w:r w:rsidRPr="002C5876">
        <w:t>4.3.1.3.6</w:t>
      </w:r>
      <w:r w:rsidRPr="002C5876">
        <w:tab/>
        <w:t xml:space="preserve">Si elles ne sont pas maintenues à une valeur constante connue au point où le débit du PNC est réglé, la pression et/ou la température à l’entrée du PNC doivent être mesurées de manière à permettre de corriger les concentrations mesurées en nombre de particules et de les ramener aux conditions normales. </w:t>
      </w:r>
    </w:p>
    <w:p w:rsidR="00E24DB7" w:rsidRPr="002C5876" w:rsidRDefault="00E24DB7" w:rsidP="00E24DB7">
      <w:pPr>
        <w:pStyle w:val="SingleTxtG"/>
        <w:ind w:left="2268" w:hanging="1134"/>
      </w:pPr>
      <w:r w:rsidRPr="002C5876">
        <w:t>4.3.1.3.7</w:t>
      </w:r>
      <w:r w:rsidRPr="002C5876">
        <w:tab/>
        <w:t>La somme des temps de séjour dans le PTS, le VPR et l’OT et du temps de réponse t</w:t>
      </w:r>
      <w:r w:rsidRPr="002C5876">
        <w:rPr>
          <w:vertAlign w:val="subscript"/>
        </w:rPr>
        <w:t>90</w:t>
      </w:r>
      <w:r w:rsidRPr="002C5876">
        <w:t xml:space="preserve"> du PNC ne doit pas dépasser 20 s. </w:t>
      </w:r>
    </w:p>
    <w:p w:rsidR="00E24DB7" w:rsidRPr="002C5876" w:rsidRDefault="00E24DB7" w:rsidP="00E24DB7">
      <w:pPr>
        <w:pStyle w:val="SingleTxtG"/>
        <w:keepNext/>
        <w:ind w:left="2268" w:hanging="1134"/>
        <w:jc w:val="left"/>
      </w:pPr>
      <w:r w:rsidRPr="002C5876">
        <w:t>4.3.1.4</w:t>
      </w:r>
      <w:r w:rsidRPr="002C5876">
        <w:tab/>
        <w:t xml:space="preserve">Description du système recommandé </w:t>
      </w:r>
    </w:p>
    <w:p w:rsidR="00E24DB7" w:rsidRPr="002C5876" w:rsidRDefault="00E24DB7" w:rsidP="00E24DB7">
      <w:pPr>
        <w:pStyle w:val="SingleTxtG"/>
        <w:ind w:left="2268"/>
      </w:pPr>
      <w:r w:rsidRPr="002C5876">
        <w:tab/>
        <w:t>Le paragraphe ci</w:t>
      </w:r>
      <w:r w:rsidRPr="002C5876">
        <w:noBreakHyphen/>
        <w:t>après décrit la pratique recommandée pour la mesure du nombre de particules. Il est toutefois possible d’utiliser un autre système, à condition qu’il satisfasse aux prescriptions fonctionnelles énoncées dans les paragraphes 4.3.1.2 et 4.3.1.3 de la présente annexe.</w:t>
      </w:r>
    </w:p>
    <w:p w:rsidR="00E24DB7" w:rsidRPr="002C5876" w:rsidRDefault="00E24DB7" w:rsidP="00E24DB7">
      <w:pPr>
        <w:pStyle w:val="H23G"/>
      </w:pPr>
      <w:r w:rsidRPr="002C5876">
        <w:rPr>
          <w:b w:val="0"/>
        </w:rPr>
        <w:lastRenderedPageBreak/>
        <w:tab/>
      </w:r>
      <w:r w:rsidRPr="002C5876">
        <w:rPr>
          <w:b w:val="0"/>
        </w:rPr>
        <w:tab/>
        <w:t>Figure A5/14</w:t>
      </w:r>
      <w:r w:rsidRPr="002C5876">
        <w:br/>
        <w:t>Système recommandé de prélèvement des particules</w:t>
      </w:r>
    </w:p>
    <w:p w:rsidR="00E24DB7" w:rsidRPr="002C5876" w:rsidRDefault="00E24DB7" w:rsidP="00E24DB7">
      <w:pPr>
        <w:ind w:left="1134"/>
      </w:pPr>
      <w:bookmarkStart w:id="104" w:name="_MON_1458558952"/>
      <w:bookmarkStart w:id="105" w:name="_MON_1458558291"/>
      <w:bookmarkStart w:id="106" w:name="_MON_1458558831"/>
      <w:bookmarkStart w:id="107" w:name="_MON_1458558934"/>
      <w:bookmarkStart w:id="108" w:name="_MON_1458558937"/>
      <w:bookmarkEnd w:id="104"/>
      <w:bookmarkEnd w:id="105"/>
      <w:bookmarkEnd w:id="106"/>
      <w:bookmarkEnd w:id="107"/>
      <w:bookmarkEnd w:id="108"/>
      <w:r w:rsidRPr="002C5876">
        <w:rPr>
          <w:noProof/>
          <w:lang w:val="en-GB" w:eastAsia="zh-CN"/>
        </w:rPr>
        <mc:AlternateContent>
          <mc:Choice Requires="wps">
            <w:drawing>
              <wp:anchor distT="0" distB="0" distL="114300" distR="114300" simplePos="0" relativeHeight="251042816" behindDoc="0" locked="0" layoutInCell="1" allowOverlap="1" wp14:anchorId="48BDD6E5" wp14:editId="35E9E06A">
                <wp:simplePos x="0" y="0"/>
                <wp:positionH relativeFrom="column">
                  <wp:posOffset>2670810</wp:posOffset>
                </wp:positionH>
                <wp:positionV relativeFrom="paragraph">
                  <wp:posOffset>2501265</wp:posOffset>
                </wp:positionV>
                <wp:extent cx="419100" cy="158750"/>
                <wp:effectExtent l="0" t="0" r="0" b="0"/>
                <wp:wrapNone/>
                <wp:docPr id="696" name="Zone de texte 696"/>
                <wp:cNvGraphicFramePr/>
                <a:graphic xmlns:a="http://schemas.openxmlformats.org/drawingml/2006/main">
                  <a:graphicData uri="http://schemas.microsoft.com/office/word/2010/wordprocessingShape">
                    <wps:wsp>
                      <wps:cNvSpPr txBox="1"/>
                      <wps:spPr>
                        <a:xfrm>
                          <a:off x="0" y="0"/>
                          <a:ext cx="419100"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F86177" w:rsidRDefault="00D53F39" w:rsidP="00E24DB7">
                            <w:pPr>
                              <w:spacing w:line="240" w:lineRule="auto"/>
                              <w:rPr>
                                <w:sz w:val="18"/>
                                <w:szCs w:val="18"/>
                              </w:rPr>
                            </w:pPr>
                            <w:r w:rsidRPr="00F86177">
                              <w:rPr>
                                <w:sz w:val="18"/>
                                <w:szCs w:val="18"/>
                              </w:rPr>
                              <w:t>PND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DD6E5" id="Zone de texte 696" o:spid="_x0000_s1453" type="#_x0000_t202" style="position:absolute;left:0;text-align:left;margin-left:210.3pt;margin-top:196.95pt;width:33pt;height:12.5pt;z-index:2510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" fillcolor="white [3201]" stroked="f" strokeweight=".5pt">
                <v:textbox inset="0,0,0,0">
                  <w:txbxContent>
                    <w:p w:rsidR="00D53F39" w:rsidRPr="00F86177" w:rsidRDefault="00D53F39" w:rsidP="00E24DB7">
                      <w:pPr>
                        <w:spacing w:line="240" w:lineRule="auto"/>
                        <w:rPr>
                          <w:sz w:val="18"/>
                          <w:szCs w:val="18"/>
                        </w:rPr>
                      </w:pPr>
                      <w:r w:rsidRPr="00F86177">
                        <w:rPr>
                          <w:sz w:val="18"/>
                          <w:szCs w:val="18"/>
                        </w:rPr>
                        <w:t>PND 2</w:t>
                      </w:r>
                    </w:p>
                  </w:txbxContent>
                </v:textbox>
              </v:shape>
            </w:pict>
          </mc:Fallback>
        </mc:AlternateContent>
      </w:r>
      <w:r w:rsidRPr="002C5876">
        <w:rPr>
          <w:noProof/>
          <w:lang w:val="en-GB" w:eastAsia="zh-CN"/>
        </w:rPr>
        <mc:AlternateContent>
          <mc:Choice Requires="wps">
            <w:drawing>
              <wp:anchor distT="0" distB="0" distL="114300" distR="114300" simplePos="0" relativeHeight="251054080" behindDoc="0" locked="0" layoutInCell="1" allowOverlap="1" wp14:anchorId="68531873" wp14:editId="56DDDABA">
                <wp:simplePos x="0" y="0"/>
                <wp:positionH relativeFrom="column">
                  <wp:posOffset>3108960</wp:posOffset>
                </wp:positionH>
                <wp:positionV relativeFrom="paragraph">
                  <wp:posOffset>2488565</wp:posOffset>
                </wp:positionV>
                <wp:extent cx="1123950" cy="488950"/>
                <wp:effectExtent l="0" t="0" r="0" b="6350"/>
                <wp:wrapNone/>
                <wp:docPr id="702" name="Zone de texte 702"/>
                <wp:cNvGraphicFramePr/>
                <a:graphic xmlns:a="http://schemas.openxmlformats.org/drawingml/2006/main">
                  <a:graphicData uri="http://schemas.microsoft.com/office/word/2010/wordprocessingShape">
                    <wps:wsp>
                      <wps:cNvSpPr txBox="1"/>
                      <wps:spPr>
                        <a:xfrm>
                          <a:off x="0" y="0"/>
                          <a:ext cx="1123950" cy="488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F86177" w:rsidRDefault="00D53F39" w:rsidP="00E24DB7">
                            <w:pPr>
                              <w:spacing w:line="240" w:lineRule="auto"/>
                              <w:jc w:val="center"/>
                              <w:rPr>
                                <w:sz w:val="18"/>
                                <w:szCs w:val="18"/>
                              </w:rPr>
                            </w:pPr>
                            <w:r w:rsidRPr="00F86177">
                              <w:rPr>
                                <w:sz w:val="18"/>
                                <w:szCs w:val="18"/>
                              </w:rPr>
                              <w:t>ET</w:t>
                            </w:r>
                          </w:p>
                          <w:p w:rsidR="00D53F39" w:rsidRPr="00F86177" w:rsidRDefault="00D53F39" w:rsidP="00E24DB7">
                            <w:pPr>
                              <w:spacing w:line="240" w:lineRule="auto"/>
                              <w:jc w:val="center"/>
                              <w:rPr>
                                <w:sz w:val="18"/>
                                <w:szCs w:val="18"/>
                              </w:rPr>
                            </w:pPr>
                            <w:r w:rsidRPr="00F86177">
                              <w:rPr>
                                <w:sz w:val="18"/>
                                <w:szCs w:val="18"/>
                              </w:rPr>
                              <w:t>Tube d’évaporation</w:t>
                            </w:r>
                            <w:r w:rsidRPr="00F86177">
                              <w:rPr>
                                <w:sz w:val="18"/>
                                <w:szCs w:val="18"/>
                              </w:rPr>
                              <w:br/>
                              <w:t>chauffé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31873" id="Zone de texte 702" o:spid="_x0000_s1454" type="#_x0000_t202" style="position:absolute;left:0;text-align:left;margin-left:244.8pt;margin-top:195.95pt;width:88.5pt;height:38.5pt;z-index:2510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" fillcolor="white [3201]" stroked="f" strokeweight=".5pt">
                <v:textbox inset="0,0,0,0">
                  <w:txbxContent>
                    <w:p w:rsidR="00D53F39" w:rsidRPr="00F86177" w:rsidRDefault="00D53F39" w:rsidP="00E24DB7">
                      <w:pPr>
                        <w:spacing w:line="240" w:lineRule="auto"/>
                        <w:jc w:val="center"/>
                        <w:rPr>
                          <w:sz w:val="18"/>
                          <w:szCs w:val="18"/>
                        </w:rPr>
                      </w:pPr>
                      <w:r w:rsidRPr="00F86177">
                        <w:rPr>
                          <w:sz w:val="18"/>
                          <w:szCs w:val="18"/>
                        </w:rPr>
                        <w:t>ET</w:t>
                      </w:r>
                    </w:p>
                    <w:p w:rsidR="00D53F39" w:rsidRPr="00F86177" w:rsidRDefault="00D53F39" w:rsidP="00E24DB7">
                      <w:pPr>
                        <w:spacing w:line="240" w:lineRule="auto"/>
                        <w:jc w:val="center"/>
                        <w:rPr>
                          <w:sz w:val="18"/>
                          <w:szCs w:val="18"/>
                        </w:rPr>
                      </w:pPr>
                      <w:r w:rsidRPr="00F86177">
                        <w:rPr>
                          <w:sz w:val="18"/>
                          <w:szCs w:val="18"/>
                        </w:rPr>
                        <w:t>Tube d’évaporation</w:t>
                      </w:r>
                      <w:r w:rsidRPr="00F86177">
                        <w:rPr>
                          <w:sz w:val="18"/>
                          <w:szCs w:val="18"/>
                        </w:rPr>
                        <w:br/>
                        <w:t>chauffé</w:t>
                      </w:r>
                    </w:p>
                  </w:txbxContent>
                </v:textbox>
              </v:shape>
            </w:pict>
          </mc:Fallback>
        </mc:AlternateContent>
      </w:r>
      <w:r w:rsidRPr="002C5876">
        <w:rPr>
          <w:noProof/>
          <w:lang w:val="en-GB" w:eastAsia="zh-CN"/>
        </w:rPr>
        <mc:AlternateContent>
          <mc:Choice Requires="wps">
            <w:drawing>
              <wp:anchor distT="0" distB="0" distL="114300" distR="114300" simplePos="0" relativeHeight="251053056" behindDoc="0" locked="0" layoutInCell="1" allowOverlap="1" wp14:anchorId="181D0171" wp14:editId="2BCD06CC">
                <wp:simplePos x="0" y="0"/>
                <wp:positionH relativeFrom="column">
                  <wp:posOffset>4137660</wp:posOffset>
                </wp:positionH>
                <wp:positionV relativeFrom="paragraph">
                  <wp:posOffset>2101215</wp:posOffset>
                </wp:positionV>
                <wp:extent cx="552450" cy="304800"/>
                <wp:effectExtent l="0" t="0" r="0" b="0"/>
                <wp:wrapNone/>
                <wp:docPr id="701" name="Zone de texte 701"/>
                <wp:cNvGraphicFramePr/>
                <a:graphic xmlns:a="http://schemas.openxmlformats.org/drawingml/2006/main">
                  <a:graphicData uri="http://schemas.microsoft.com/office/word/2010/wordprocessingShape">
                    <wps:wsp>
                      <wps:cNvSpPr txBox="1"/>
                      <wps:spPr>
                        <a:xfrm>
                          <a:off x="0" y="0"/>
                          <a:ext cx="5524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F86177" w:rsidRDefault="00D53F39" w:rsidP="00E24DB7">
                            <w:pPr>
                              <w:spacing w:line="240" w:lineRule="auto"/>
                              <w:jc w:val="center"/>
                              <w:rPr>
                                <w:sz w:val="18"/>
                                <w:szCs w:val="18"/>
                              </w:rPr>
                            </w:pPr>
                            <w:r w:rsidRPr="00F86177">
                              <w:rPr>
                                <w:sz w:val="18"/>
                                <w:szCs w:val="18"/>
                              </w:rPr>
                              <w:t xml:space="preserve">Dilution </w:t>
                            </w:r>
                            <w:r w:rsidRPr="00F86177">
                              <w:rPr>
                                <w:sz w:val="18"/>
                                <w:szCs w:val="18"/>
                              </w:rPr>
                              <w:br/>
                              <w:t>à chaud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D0171" id="Zone de texte 701" o:spid="_x0000_s1455" type="#_x0000_t202" style="position:absolute;left:0;text-align:left;margin-left:325.8pt;margin-top:165.45pt;width:43.5pt;height:24pt;z-index:2510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" fillcolor="white [3201]" stroked="f" strokeweight=".5pt">
                <v:textbox inset="0,0,0,0">
                  <w:txbxContent>
                    <w:p w:rsidR="00D53F39" w:rsidRPr="00F86177" w:rsidRDefault="00D53F39" w:rsidP="00E24DB7">
                      <w:pPr>
                        <w:spacing w:line="240" w:lineRule="auto"/>
                        <w:jc w:val="center"/>
                        <w:rPr>
                          <w:sz w:val="18"/>
                          <w:szCs w:val="18"/>
                        </w:rPr>
                      </w:pPr>
                      <w:r w:rsidRPr="00F86177">
                        <w:rPr>
                          <w:sz w:val="18"/>
                          <w:szCs w:val="18"/>
                        </w:rPr>
                        <w:t xml:space="preserve">Dilution </w:t>
                      </w:r>
                      <w:r w:rsidRPr="00F86177">
                        <w:rPr>
                          <w:sz w:val="18"/>
                          <w:szCs w:val="18"/>
                        </w:rPr>
                        <w:br/>
                        <w:t>à chaud</w:t>
                      </w:r>
                    </w:p>
                  </w:txbxContent>
                </v:textbox>
              </v:shape>
            </w:pict>
          </mc:Fallback>
        </mc:AlternateContent>
      </w:r>
      <w:r w:rsidRPr="002C5876">
        <w:rPr>
          <w:noProof/>
          <w:lang w:val="en-GB" w:eastAsia="zh-CN"/>
        </w:rPr>
        <mc:AlternateContent>
          <mc:Choice Requires="wps">
            <w:drawing>
              <wp:anchor distT="0" distB="0" distL="114300" distR="114300" simplePos="0" relativeHeight="251052032" behindDoc="0" locked="0" layoutInCell="1" allowOverlap="1" wp14:anchorId="738A832B" wp14:editId="23D6F844">
                <wp:simplePos x="0" y="0"/>
                <wp:positionH relativeFrom="column">
                  <wp:posOffset>2569210</wp:posOffset>
                </wp:positionH>
                <wp:positionV relativeFrom="paragraph">
                  <wp:posOffset>2107565</wp:posOffset>
                </wp:positionV>
                <wp:extent cx="552450" cy="304800"/>
                <wp:effectExtent l="0" t="0" r="0" b="0"/>
                <wp:wrapNone/>
                <wp:docPr id="700" name="Zone de texte 700"/>
                <wp:cNvGraphicFramePr/>
                <a:graphic xmlns:a="http://schemas.openxmlformats.org/drawingml/2006/main">
                  <a:graphicData uri="http://schemas.microsoft.com/office/word/2010/wordprocessingShape">
                    <wps:wsp>
                      <wps:cNvSpPr txBox="1"/>
                      <wps:spPr>
                        <a:xfrm>
                          <a:off x="0" y="0"/>
                          <a:ext cx="5524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F86177" w:rsidRDefault="00D53F39" w:rsidP="00E24DB7">
                            <w:pPr>
                              <w:spacing w:line="240" w:lineRule="auto"/>
                              <w:jc w:val="center"/>
                              <w:rPr>
                                <w:sz w:val="18"/>
                                <w:szCs w:val="18"/>
                              </w:rPr>
                            </w:pPr>
                            <w:r w:rsidRPr="00F86177">
                              <w:rPr>
                                <w:sz w:val="18"/>
                                <w:szCs w:val="18"/>
                              </w:rPr>
                              <w:t xml:space="preserve">Dilution </w:t>
                            </w:r>
                            <w:r w:rsidRPr="00F86177">
                              <w:rPr>
                                <w:sz w:val="18"/>
                                <w:szCs w:val="18"/>
                              </w:rPr>
                              <w:br/>
                              <w:t>à froid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A832B" id="Zone de texte 700" o:spid="_x0000_s1456" type="#_x0000_t202" style="position:absolute;left:0;text-align:left;margin-left:202.3pt;margin-top:165.95pt;width:43.5pt;height:24pt;z-index:2510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" fillcolor="white [3201]" stroked="f" strokeweight=".5pt">
                <v:textbox inset="0,0,0,0">
                  <w:txbxContent>
                    <w:p w:rsidR="00D53F39" w:rsidRPr="00F86177" w:rsidRDefault="00D53F39" w:rsidP="00E24DB7">
                      <w:pPr>
                        <w:spacing w:line="240" w:lineRule="auto"/>
                        <w:jc w:val="center"/>
                        <w:rPr>
                          <w:sz w:val="18"/>
                          <w:szCs w:val="18"/>
                        </w:rPr>
                      </w:pPr>
                      <w:r w:rsidRPr="00F86177">
                        <w:rPr>
                          <w:sz w:val="18"/>
                          <w:szCs w:val="18"/>
                        </w:rPr>
                        <w:t xml:space="preserve">Dilution </w:t>
                      </w:r>
                      <w:r w:rsidRPr="00F86177">
                        <w:rPr>
                          <w:sz w:val="18"/>
                          <w:szCs w:val="18"/>
                        </w:rPr>
                        <w:br/>
                        <w:t>à froid</w:t>
                      </w:r>
                    </w:p>
                  </w:txbxContent>
                </v:textbox>
              </v:shape>
            </w:pict>
          </mc:Fallback>
        </mc:AlternateContent>
      </w:r>
      <w:r w:rsidRPr="002C5876">
        <w:rPr>
          <w:noProof/>
          <w:lang w:val="en-GB" w:eastAsia="zh-CN"/>
        </w:rPr>
        <mc:AlternateContent>
          <mc:Choice Requires="wps">
            <w:drawing>
              <wp:anchor distT="0" distB="0" distL="114300" distR="114300" simplePos="0" relativeHeight="251051008" behindDoc="0" locked="0" layoutInCell="1" allowOverlap="1" wp14:anchorId="08FF150F" wp14:editId="3CD79772">
                <wp:simplePos x="0" y="0"/>
                <wp:positionH relativeFrom="column">
                  <wp:posOffset>746760</wp:posOffset>
                </wp:positionH>
                <wp:positionV relativeFrom="paragraph">
                  <wp:posOffset>2660015</wp:posOffset>
                </wp:positionV>
                <wp:extent cx="1562100" cy="463550"/>
                <wp:effectExtent l="0" t="0" r="0" b="0"/>
                <wp:wrapNone/>
                <wp:docPr id="699" name="Zone de texte 699"/>
                <wp:cNvGraphicFramePr/>
                <a:graphic xmlns:a="http://schemas.openxmlformats.org/drawingml/2006/main">
                  <a:graphicData uri="http://schemas.microsoft.com/office/word/2010/wordprocessingShape">
                    <wps:wsp>
                      <wps:cNvSpPr txBox="1"/>
                      <wps:spPr>
                        <a:xfrm>
                          <a:off x="0" y="0"/>
                          <a:ext cx="1562100" cy="463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F86177" w:rsidRDefault="00D53F39" w:rsidP="00E24DB7">
                            <w:pPr>
                              <w:spacing w:line="240" w:lineRule="auto"/>
                              <w:jc w:val="center"/>
                              <w:rPr>
                                <w:sz w:val="18"/>
                                <w:szCs w:val="18"/>
                              </w:rPr>
                            </w:pPr>
                            <w:r w:rsidRPr="00F86177">
                              <w:rPr>
                                <w:sz w:val="18"/>
                                <w:szCs w:val="18"/>
                              </w:rPr>
                              <w:t xml:space="preserve">Compteur du nombre </w:t>
                            </w:r>
                            <w:r w:rsidRPr="00F86177">
                              <w:rPr>
                                <w:sz w:val="18"/>
                                <w:szCs w:val="18"/>
                              </w:rPr>
                              <w:br/>
                              <w:t xml:space="preserve">de particules − Efficacité </w:t>
                            </w:r>
                            <w:r w:rsidRPr="00F86177">
                              <w:rPr>
                                <w:sz w:val="18"/>
                                <w:szCs w:val="18"/>
                              </w:rPr>
                              <w:br/>
                              <w:t>de comptage de D</w:t>
                            </w:r>
                            <w:r w:rsidRPr="00F86177">
                              <w:rPr>
                                <w:sz w:val="18"/>
                                <w:szCs w:val="18"/>
                                <w:vertAlign w:val="subscript"/>
                              </w:rPr>
                              <w:t xml:space="preserve">50 </w:t>
                            </w:r>
                            <w:r w:rsidRPr="00F86177">
                              <w:rPr>
                                <w:sz w:val="18"/>
                                <w:szCs w:val="18"/>
                              </w:rPr>
                              <w:t>à 23 nm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F150F" id="Zone de texte 699" o:spid="_x0000_s1457" type="#_x0000_t202" style="position:absolute;left:0;text-align:left;margin-left:58.8pt;margin-top:209.45pt;width:123pt;height:36.5pt;z-index:2510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" fillcolor="white [3201]" stroked="f" strokeweight=".5pt">
                <v:textbox inset="0,0,0,0">
                  <w:txbxContent>
                    <w:p w:rsidR="00D53F39" w:rsidRPr="00F86177" w:rsidRDefault="00D53F39" w:rsidP="00E24DB7">
                      <w:pPr>
                        <w:spacing w:line="240" w:lineRule="auto"/>
                        <w:jc w:val="center"/>
                        <w:rPr>
                          <w:sz w:val="18"/>
                          <w:szCs w:val="18"/>
                        </w:rPr>
                      </w:pPr>
                      <w:r w:rsidRPr="00F86177">
                        <w:rPr>
                          <w:sz w:val="18"/>
                          <w:szCs w:val="18"/>
                        </w:rPr>
                        <w:t xml:space="preserve">Compteur du nombre </w:t>
                      </w:r>
                      <w:r w:rsidRPr="00F86177">
                        <w:rPr>
                          <w:sz w:val="18"/>
                          <w:szCs w:val="18"/>
                        </w:rPr>
                        <w:br/>
                        <w:t xml:space="preserve">de particules − Efficacité </w:t>
                      </w:r>
                      <w:r w:rsidRPr="00F86177">
                        <w:rPr>
                          <w:sz w:val="18"/>
                          <w:szCs w:val="18"/>
                        </w:rPr>
                        <w:br/>
                        <w:t>de comptage de D</w:t>
                      </w:r>
                      <w:r w:rsidRPr="00F86177">
                        <w:rPr>
                          <w:sz w:val="18"/>
                          <w:szCs w:val="18"/>
                          <w:vertAlign w:val="subscript"/>
                        </w:rPr>
                        <w:t xml:space="preserve">50 </w:t>
                      </w:r>
                      <w:r w:rsidRPr="00F86177">
                        <w:rPr>
                          <w:sz w:val="18"/>
                          <w:szCs w:val="18"/>
                        </w:rPr>
                        <w:t>à 23 nm</w:t>
                      </w:r>
                    </w:p>
                  </w:txbxContent>
                </v:textbox>
              </v:shape>
            </w:pict>
          </mc:Fallback>
        </mc:AlternateContent>
      </w:r>
      <w:r w:rsidRPr="002C5876">
        <w:rPr>
          <w:noProof/>
          <w:lang w:val="en-GB" w:eastAsia="zh-CN"/>
        </w:rPr>
        <mc:AlternateContent>
          <mc:Choice Requires="wps">
            <w:drawing>
              <wp:anchor distT="0" distB="0" distL="114300" distR="114300" simplePos="0" relativeHeight="251049984" behindDoc="0" locked="0" layoutInCell="1" allowOverlap="1" wp14:anchorId="35D9D6B1" wp14:editId="010E1BD2">
                <wp:simplePos x="0" y="0"/>
                <wp:positionH relativeFrom="column">
                  <wp:posOffset>4315460</wp:posOffset>
                </wp:positionH>
                <wp:positionV relativeFrom="paragraph">
                  <wp:posOffset>3060065</wp:posOffset>
                </wp:positionV>
                <wp:extent cx="419100" cy="158750"/>
                <wp:effectExtent l="0" t="0" r="0" b="0"/>
                <wp:wrapNone/>
                <wp:docPr id="698" name="Zone de texte 698"/>
                <wp:cNvGraphicFramePr/>
                <a:graphic xmlns:a="http://schemas.openxmlformats.org/drawingml/2006/main">
                  <a:graphicData uri="http://schemas.microsoft.com/office/word/2010/wordprocessingShape">
                    <wps:wsp>
                      <wps:cNvSpPr txBox="1"/>
                      <wps:spPr>
                        <a:xfrm>
                          <a:off x="0" y="0"/>
                          <a:ext cx="419100"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F86177" w:rsidRDefault="00D53F39" w:rsidP="00E24DB7">
                            <w:pPr>
                              <w:spacing w:line="240" w:lineRule="auto"/>
                              <w:jc w:val="center"/>
                              <w:rPr>
                                <w:sz w:val="18"/>
                                <w:szCs w:val="18"/>
                              </w:rPr>
                            </w:pPr>
                            <w:r w:rsidRPr="00F86177">
                              <w:rPr>
                                <w:sz w:val="18"/>
                                <w:szCs w:val="18"/>
                              </w:rPr>
                              <w:t>VPR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9D6B1" id="Zone de texte 698" o:spid="_x0000_s1458" type="#_x0000_t202" style="position:absolute;left:0;text-align:left;margin-left:339.8pt;margin-top:240.95pt;width:33pt;height:12.5pt;z-index:2510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" fillcolor="white [3201]" stroked="f" strokeweight=".5pt">
                <v:textbox inset="0,0,0,0">
                  <w:txbxContent>
                    <w:p w:rsidR="00D53F39" w:rsidRPr="00F86177" w:rsidRDefault="00D53F39" w:rsidP="00E24DB7">
                      <w:pPr>
                        <w:spacing w:line="240" w:lineRule="auto"/>
                        <w:jc w:val="center"/>
                        <w:rPr>
                          <w:sz w:val="18"/>
                          <w:szCs w:val="18"/>
                        </w:rPr>
                      </w:pPr>
                      <w:r w:rsidRPr="00F86177">
                        <w:rPr>
                          <w:sz w:val="18"/>
                          <w:szCs w:val="18"/>
                        </w:rPr>
                        <w:t>VPR</w:t>
                      </w:r>
                    </w:p>
                  </w:txbxContent>
                </v:textbox>
              </v:shape>
            </w:pict>
          </mc:Fallback>
        </mc:AlternateContent>
      </w:r>
      <w:r w:rsidRPr="002C5876">
        <w:rPr>
          <w:noProof/>
          <w:lang w:val="en-GB" w:eastAsia="zh-CN"/>
        </w:rPr>
        <mc:AlternateContent>
          <mc:Choice Requires="wps">
            <w:drawing>
              <wp:anchor distT="0" distB="0" distL="114300" distR="114300" simplePos="0" relativeHeight="251048960" behindDoc="0" locked="0" layoutInCell="1" allowOverlap="1" wp14:anchorId="154E00C3" wp14:editId="6C7FF887">
                <wp:simplePos x="0" y="0"/>
                <wp:positionH relativeFrom="column">
                  <wp:posOffset>4258310</wp:posOffset>
                </wp:positionH>
                <wp:positionV relativeFrom="paragraph">
                  <wp:posOffset>2501265</wp:posOffset>
                </wp:positionV>
                <wp:extent cx="419100" cy="158750"/>
                <wp:effectExtent l="0" t="0" r="0" b="0"/>
                <wp:wrapNone/>
                <wp:docPr id="697" name="Zone de texte 697"/>
                <wp:cNvGraphicFramePr/>
                <a:graphic xmlns:a="http://schemas.openxmlformats.org/drawingml/2006/main">
                  <a:graphicData uri="http://schemas.microsoft.com/office/word/2010/wordprocessingShape">
                    <wps:wsp>
                      <wps:cNvSpPr txBox="1"/>
                      <wps:spPr>
                        <a:xfrm>
                          <a:off x="0" y="0"/>
                          <a:ext cx="419100"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F86177" w:rsidRDefault="00D53F39" w:rsidP="00E24DB7">
                            <w:pPr>
                              <w:spacing w:line="240" w:lineRule="auto"/>
                              <w:rPr>
                                <w:sz w:val="18"/>
                                <w:szCs w:val="18"/>
                              </w:rPr>
                            </w:pPr>
                            <w:r w:rsidRPr="00F86177">
                              <w:rPr>
                                <w:sz w:val="18"/>
                                <w:szCs w:val="18"/>
                              </w:rPr>
                              <w:t>PND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E00C3" id="Zone de texte 697" o:spid="_x0000_s1459" type="#_x0000_t202" style="position:absolute;left:0;text-align:left;margin-left:335.3pt;margin-top:196.95pt;width:33pt;height:12.5pt;z-index:2510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" fillcolor="white [3201]" stroked="f" strokeweight=".5pt">
                <v:textbox inset="0,0,0,0">
                  <w:txbxContent>
                    <w:p w:rsidR="00D53F39" w:rsidRPr="00F86177" w:rsidRDefault="00D53F39" w:rsidP="00E24DB7">
                      <w:pPr>
                        <w:spacing w:line="240" w:lineRule="auto"/>
                        <w:rPr>
                          <w:sz w:val="18"/>
                          <w:szCs w:val="18"/>
                        </w:rPr>
                      </w:pPr>
                      <w:r w:rsidRPr="00F86177">
                        <w:rPr>
                          <w:sz w:val="18"/>
                          <w:szCs w:val="18"/>
                        </w:rPr>
                        <w:t>PND 1</w:t>
                      </w:r>
                    </w:p>
                  </w:txbxContent>
                </v:textbox>
              </v:shape>
            </w:pict>
          </mc:Fallback>
        </mc:AlternateContent>
      </w:r>
      <w:r w:rsidRPr="002C5876">
        <w:rPr>
          <w:noProof/>
          <w:lang w:val="en-GB" w:eastAsia="zh-CN"/>
        </w:rPr>
        <mc:AlternateContent>
          <mc:Choice Requires="wps">
            <w:drawing>
              <wp:anchor distT="0" distB="0" distL="114300" distR="114300" simplePos="0" relativeHeight="251047936" behindDoc="0" locked="0" layoutInCell="1" allowOverlap="1" wp14:anchorId="046E4786" wp14:editId="15BA8DEA">
                <wp:simplePos x="0" y="0"/>
                <wp:positionH relativeFrom="column">
                  <wp:posOffset>1527810</wp:posOffset>
                </wp:positionH>
                <wp:positionV relativeFrom="paragraph">
                  <wp:posOffset>2120265</wp:posOffset>
                </wp:positionV>
                <wp:extent cx="450850" cy="279400"/>
                <wp:effectExtent l="0" t="0" r="6350" b="6350"/>
                <wp:wrapNone/>
                <wp:docPr id="695" name="Zone de texte 695"/>
                <wp:cNvGraphicFramePr/>
                <a:graphic xmlns:a="http://schemas.openxmlformats.org/drawingml/2006/main">
                  <a:graphicData uri="http://schemas.microsoft.com/office/word/2010/wordprocessingShape">
                    <wps:wsp>
                      <wps:cNvSpPr txBox="1"/>
                      <wps:spPr>
                        <a:xfrm>
                          <a:off x="0" y="0"/>
                          <a:ext cx="450850"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F86177" w:rsidRDefault="00D53F39" w:rsidP="00E24DB7">
                            <w:pPr>
                              <w:spacing w:line="240" w:lineRule="auto"/>
                              <w:jc w:val="center"/>
                              <w:rPr>
                                <w:szCs w:val="24"/>
                              </w:rPr>
                            </w:pPr>
                            <w:r w:rsidRPr="00F86177">
                              <w:rPr>
                                <w:szCs w:val="24"/>
                              </w:rPr>
                              <w:t>PNC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E4786" id="Zone de texte 695" o:spid="_x0000_s1460" type="#_x0000_t202" style="position:absolute;left:0;text-align:left;margin-left:120.3pt;margin-top:166.95pt;width:35.5pt;height:22pt;z-index:2510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" fillcolor="white [3201]" stroked="f" strokeweight=".5pt">
                <v:textbox inset="0,0,0,0">
                  <w:txbxContent>
                    <w:p w:rsidR="00D53F39" w:rsidRPr="00F86177" w:rsidRDefault="00D53F39" w:rsidP="00E24DB7">
                      <w:pPr>
                        <w:spacing w:line="240" w:lineRule="auto"/>
                        <w:jc w:val="center"/>
                        <w:rPr>
                          <w:szCs w:val="24"/>
                        </w:rPr>
                      </w:pPr>
                      <w:r w:rsidRPr="00F86177">
                        <w:rPr>
                          <w:szCs w:val="24"/>
                        </w:rPr>
                        <w:t>PNC</w:t>
                      </w:r>
                    </w:p>
                  </w:txbxContent>
                </v:textbox>
              </v:shape>
            </w:pict>
          </mc:Fallback>
        </mc:AlternateContent>
      </w:r>
      <w:r w:rsidRPr="002C5876">
        <w:rPr>
          <w:noProof/>
          <w:lang w:val="en-GB" w:eastAsia="zh-CN"/>
        </w:rPr>
        <mc:AlternateContent>
          <mc:Choice Requires="wps">
            <w:drawing>
              <wp:anchor distT="0" distB="0" distL="114300" distR="114300" simplePos="0" relativeHeight="251046912" behindDoc="0" locked="0" layoutInCell="1" allowOverlap="1" wp14:anchorId="30E30042" wp14:editId="0F8DAAF0">
                <wp:simplePos x="0" y="0"/>
                <wp:positionH relativeFrom="column">
                  <wp:posOffset>3261360</wp:posOffset>
                </wp:positionH>
                <wp:positionV relativeFrom="paragraph">
                  <wp:posOffset>1675765</wp:posOffset>
                </wp:positionV>
                <wp:extent cx="292100" cy="158750"/>
                <wp:effectExtent l="0" t="0" r="0" b="0"/>
                <wp:wrapNone/>
                <wp:docPr id="694" name="Zone de texte 694"/>
                <wp:cNvGraphicFramePr/>
                <a:graphic xmlns:a="http://schemas.openxmlformats.org/drawingml/2006/main">
                  <a:graphicData uri="http://schemas.microsoft.com/office/word/2010/wordprocessingShape">
                    <wps:wsp>
                      <wps:cNvSpPr txBox="1"/>
                      <wps:spPr>
                        <a:xfrm>
                          <a:off x="0" y="0"/>
                          <a:ext cx="292100"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F86177" w:rsidRDefault="00D53F39" w:rsidP="00E24DB7">
                            <w:pPr>
                              <w:spacing w:line="240" w:lineRule="auto"/>
                              <w:rPr>
                                <w:sz w:val="18"/>
                                <w:szCs w:val="18"/>
                              </w:rPr>
                            </w:pPr>
                            <w:r w:rsidRPr="00F86177">
                              <w:rPr>
                                <w:sz w:val="18"/>
                                <w:szCs w:val="18"/>
                              </w:rPr>
                              <w:t>PCF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30042" id="Zone de texte 694" o:spid="_x0000_s1461" type="#_x0000_t202" style="position:absolute;left:0;text-align:left;margin-left:256.8pt;margin-top:131.95pt;width:23pt;height:12.5pt;z-index:2510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" fillcolor="white [3201]" stroked="f" strokeweight=".5pt">
                <v:textbox inset="0,0,0,0">
                  <w:txbxContent>
                    <w:p w:rsidR="00D53F39" w:rsidRPr="00F86177" w:rsidRDefault="00D53F39" w:rsidP="00E24DB7">
                      <w:pPr>
                        <w:spacing w:line="240" w:lineRule="auto"/>
                        <w:rPr>
                          <w:sz w:val="18"/>
                          <w:szCs w:val="18"/>
                        </w:rPr>
                      </w:pPr>
                      <w:r w:rsidRPr="00F86177">
                        <w:rPr>
                          <w:sz w:val="18"/>
                          <w:szCs w:val="18"/>
                        </w:rPr>
                        <w:t>PCF</w:t>
                      </w:r>
                    </w:p>
                  </w:txbxContent>
                </v:textbox>
              </v:shape>
            </w:pict>
          </mc:Fallback>
        </mc:AlternateContent>
      </w:r>
      <w:r w:rsidRPr="002C5876">
        <w:rPr>
          <w:noProof/>
          <w:lang w:val="en-GB" w:eastAsia="zh-CN"/>
        </w:rPr>
        <mc:AlternateContent>
          <mc:Choice Requires="wps">
            <w:drawing>
              <wp:anchor distT="0" distB="0" distL="114300" distR="114300" simplePos="0" relativeHeight="251045888" behindDoc="0" locked="0" layoutInCell="1" allowOverlap="1" wp14:anchorId="48E36D30" wp14:editId="57E0A686">
                <wp:simplePos x="0" y="0"/>
                <wp:positionH relativeFrom="column">
                  <wp:posOffset>3051810</wp:posOffset>
                </wp:positionH>
                <wp:positionV relativeFrom="paragraph">
                  <wp:posOffset>1028065</wp:posOffset>
                </wp:positionV>
                <wp:extent cx="292100" cy="158750"/>
                <wp:effectExtent l="0" t="0" r="0" b="0"/>
                <wp:wrapNone/>
                <wp:docPr id="693" name="Zone de texte 693"/>
                <wp:cNvGraphicFramePr/>
                <a:graphic xmlns:a="http://schemas.openxmlformats.org/drawingml/2006/main">
                  <a:graphicData uri="http://schemas.microsoft.com/office/word/2010/wordprocessingShape">
                    <wps:wsp>
                      <wps:cNvSpPr txBox="1"/>
                      <wps:spPr>
                        <a:xfrm>
                          <a:off x="0" y="0"/>
                          <a:ext cx="292100"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F86177" w:rsidRDefault="00D53F39" w:rsidP="00E24DB7">
                            <w:pPr>
                              <w:spacing w:line="240" w:lineRule="auto"/>
                              <w:rPr>
                                <w:sz w:val="18"/>
                                <w:szCs w:val="18"/>
                              </w:rPr>
                            </w:pPr>
                            <w:r w:rsidRPr="00F86177">
                              <w:rPr>
                                <w:sz w:val="18"/>
                                <w:szCs w:val="18"/>
                              </w:rPr>
                              <w:t>PTT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36D30" id="Zone de texte 693" o:spid="_x0000_s1462" type="#_x0000_t202" style="position:absolute;left:0;text-align:left;margin-left:240.3pt;margin-top:80.95pt;width:23pt;height:12.5pt;z-index:2510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" fillcolor="white [3201]" stroked="f" strokeweight=".5pt">
                <v:textbox inset="0,0,0,0">
                  <w:txbxContent>
                    <w:p w:rsidR="00D53F39" w:rsidRPr="00F86177" w:rsidRDefault="00D53F39" w:rsidP="00E24DB7">
                      <w:pPr>
                        <w:spacing w:line="240" w:lineRule="auto"/>
                        <w:rPr>
                          <w:sz w:val="18"/>
                          <w:szCs w:val="18"/>
                        </w:rPr>
                      </w:pPr>
                      <w:r w:rsidRPr="00F86177">
                        <w:rPr>
                          <w:sz w:val="18"/>
                          <w:szCs w:val="18"/>
                        </w:rPr>
                        <w:t>PTT</w:t>
                      </w:r>
                    </w:p>
                  </w:txbxContent>
                </v:textbox>
              </v:shape>
            </w:pict>
          </mc:Fallback>
        </mc:AlternateContent>
      </w:r>
      <w:r w:rsidRPr="002C5876">
        <w:rPr>
          <w:noProof/>
          <w:lang w:val="en-GB" w:eastAsia="zh-CN"/>
        </w:rPr>
        <mc:AlternateContent>
          <mc:Choice Requires="wps">
            <w:drawing>
              <wp:anchor distT="0" distB="0" distL="114300" distR="114300" simplePos="0" relativeHeight="251044864" behindDoc="0" locked="0" layoutInCell="1" allowOverlap="1" wp14:anchorId="60614595" wp14:editId="0EB75C58">
                <wp:simplePos x="0" y="0"/>
                <wp:positionH relativeFrom="column">
                  <wp:posOffset>3140710</wp:posOffset>
                </wp:positionH>
                <wp:positionV relativeFrom="paragraph">
                  <wp:posOffset>437515</wp:posOffset>
                </wp:positionV>
                <wp:extent cx="292100" cy="158750"/>
                <wp:effectExtent l="0" t="0" r="0" b="0"/>
                <wp:wrapNone/>
                <wp:docPr id="692" name="Zone de texte 692"/>
                <wp:cNvGraphicFramePr/>
                <a:graphic xmlns:a="http://schemas.openxmlformats.org/drawingml/2006/main">
                  <a:graphicData uri="http://schemas.microsoft.com/office/word/2010/wordprocessingShape">
                    <wps:wsp>
                      <wps:cNvSpPr txBox="1"/>
                      <wps:spPr>
                        <a:xfrm>
                          <a:off x="0" y="0"/>
                          <a:ext cx="292100"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F86177" w:rsidRDefault="00D53F39" w:rsidP="00E24DB7">
                            <w:pPr>
                              <w:spacing w:line="240" w:lineRule="auto"/>
                              <w:rPr>
                                <w:sz w:val="18"/>
                                <w:szCs w:val="18"/>
                              </w:rPr>
                            </w:pPr>
                            <w:r w:rsidRPr="00F86177">
                              <w:rPr>
                                <w:sz w:val="18"/>
                                <w:szCs w:val="18"/>
                              </w:rPr>
                              <w:t>PSP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14595" id="Zone de texte 692" o:spid="_x0000_s1463" type="#_x0000_t202" style="position:absolute;left:0;text-align:left;margin-left:247.3pt;margin-top:34.45pt;width:23pt;height:12.5pt;z-index:2510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" fillcolor="white [3201]" stroked="f" strokeweight=".5pt">
                <v:textbox inset="0,0,0,0">
                  <w:txbxContent>
                    <w:p w:rsidR="00D53F39" w:rsidRPr="00F86177" w:rsidRDefault="00D53F39" w:rsidP="00E24DB7">
                      <w:pPr>
                        <w:spacing w:line="240" w:lineRule="auto"/>
                        <w:rPr>
                          <w:sz w:val="18"/>
                          <w:szCs w:val="18"/>
                        </w:rPr>
                      </w:pPr>
                      <w:r w:rsidRPr="00F86177">
                        <w:rPr>
                          <w:sz w:val="18"/>
                          <w:szCs w:val="18"/>
                        </w:rPr>
                        <w:t>PSP</w:t>
                      </w:r>
                    </w:p>
                  </w:txbxContent>
                </v:textbox>
              </v:shape>
            </w:pict>
          </mc:Fallback>
        </mc:AlternateContent>
      </w:r>
      <w:r w:rsidRPr="002C5876">
        <w:rPr>
          <w:noProof/>
          <w:lang w:val="en-GB" w:eastAsia="zh-CN"/>
        </w:rPr>
        <mc:AlternateContent>
          <mc:Choice Requires="wps">
            <w:drawing>
              <wp:anchor distT="0" distB="0" distL="114300" distR="114300" simplePos="0" relativeHeight="251043840" behindDoc="0" locked="0" layoutInCell="1" allowOverlap="1" wp14:anchorId="2B5E4F12" wp14:editId="5C0C3ABB">
                <wp:simplePos x="0" y="0"/>
                <wp:positionH relativeFrom="column">
                  <wp:posOffset>1978660</wp:posOffset>
                </wp:positionH>
                <wp:positionV relativeFrom="paragraph">
                  <wp:posOffset>139065</wp:posOffset>
                </wp:positionV>
                <wp:extent cx="1365250" cy="203200"/>
                <wp:effectExtent l="0" t="0" r="6350" b="6350"/>
                <wp:wrapNone/>
                <wp:docPr id="691" name="Zone de texte 691"/>
                <wp:cNvGraphicFramePr/>
                <a:graphic xmlns:a="http://schemas.openxmlformats.org/drawingml/2006/main">
                  <a:graphicData uri="http://schemas.microsoft.com/office/word/2010/wordprocessingShape">
                    <wps:wsp>
                      <wps:cNvSpPr txBox="1"/>
                      <wps:spPr>
                        <a:xfrm>
                          <a:off x="0" y="0"/>
                          <a:ext cx="1365250" cy="20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F86177" w:rsidRDefault="00D53F39" w:rsidP="00E24DB7">
                            <w:pPr>
                              <w:spacing w:line="240" w:lineRule="auto"/>
                              <w:rPr>
                                <w:sz w:val="18"/>
                                <w:szCs w:val="18"/>
                              </w:rPr>
                            </w:pPr>
                            <w:r w:rsidRPr="00F86177">
                              <w:rPr>
                                <w:sz w:val="18"/>
                                <w:szCs w:val="18"/>
                              </w:rPr>
                              <w:t>Tunnel de dilution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B5E4F12" id="Zone de texte 691" o:spid="_x0000_s1464" type="#_x0000_t202" style="position:absolute;left:0;text-align:left;margin-left:155.8pt;margin-top:10.95pt;width:107.5pt;height:16pt;z-index:25104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" fillcolor="white [3201]" stroked="f" strokeweight=".5pt">
                <v:textbox inset="0,0,0,0">
                  <w:txbxContent>
                    <w:p w:rsidR="00D53F39" w:rsidRPr="00F86177" w:rsidRDefault="00D53F39" w:rsidP="00E24DB7">
                      <w:pPr>
                        <w:spacing w:line="240" w:lineRule="auto"/>
                        <w:rPr>
                          <w:sz w:val="18"/>
                          <w:szCs w:val="18"/>
                        </w:rPr>
                      </w:pPr>
                      <w:r w:rsidRPr="00F86177">
                        <w:rPr>
                          <w:sz w:val="18"/>
                          <w:szCs w:val="18"/>
                        </w:rPr>
                        <w:t>Tunnel de dilution</w:t>
                      </w:r>
                    </w:p>
                  </w:txbxContent>
                </v:textbox>
              </v:shape>
            </w:pict>
          </mc:Fallback>
        </mc:AlternateContent>
      </w:r>
      <w:r w:rsidRPr="002C5876">
        <w:rPr>
          <w:noProof/>
          <w:lang w:val="en-GB" w:eastAsia="zh-CN"/>
        </w:rPr>
        <w:drawing>
          <wp:inline distT="0" distB="0" distL="0" distR="0" wp14:anchorId="5C3605ED" wp14:editId="1F8E47D1">
            <wp:extent cx="4648200" cy="3514725"/>
            <wp:effectExtent l="0" t="0" r="0" b="0"/>
            <wp:docPr id="234"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04" cstate="print">
                      <a:extLst>
                        <a:ext uri="{28A0092B-C50C-407E-A947-70E740481C1C}">
                          <a14:useLocalDpi xmlns:a14="http://schemas.microsoft.com/office/drawing/2010/main" val="0"/>
                        </a:ext>
                      </a:extLst>
                    </a:blip>
                    <a:srcRect l="-9093" r="23239"/>
                    <a:stretch>
                      <a:fillRect/>
                    </a:stretch>
                  </pic:blipFill>
                  <pic:spPr bwMode="auto">
                    <a:xfrm>
                      <a:off x="0" y="0"/>
                      <a:ext cx="4648200" cy="3514725"/>
                    </a:xfrm>
                    <a:prstGeom prst="rect">
                      <a:avLst/>
                    </a:prstGeom>
                    <a:noFill/>
                    <a:ln>
                      <a:noFill/>
                    </a:ln>
                  </pic:spPr>
                </pic:pic>
              </a:graphicData>
            </a:graphic>
          </wp:inline>
        </w:drawing>
      </w:r>
    </w:p>
    <w:p w:rsidR="00E24DB7" w:rsidRPr="002C5876" w:rsidRDefault="00E24DB7" w:rsidP="00E24DB7">
      <w:pPr>
        <w:pStyle w:val="SingleTxtG"/>
        <w:keepNext/>
        <w:keepLines/>
        <w:spacing w:before="240"/>
        <w:ind w:left="2268" w:hanging="1134"/>
        <w:jc w:val="left"/>
      </w:pPr>
      <w:r w:rsidRPr="002C5876">
        <w:t>4.3.1.4.1</w:t>
      </w:r>
      <w:r w:rsidRPr="002C5876">
        <w:tab/>
        <w:t xml:space="preserve">Description du système de prélèvement </w:t>
      </w:r>
    </w:p>
    <w:p w:rsidR="00E24DB7" w:rsidRPr="002C5876" w:rsidRDefault="00E24DB7" w:rsidP="00E24DB7">
      <w:pPr>
        <w:pStyle w:val="SingleTxtG"/>
        <w:keepNext/>
        <w:keepLines/>
        <w:ind w:left="2268" w:hanging="1134"/>
      </w:pPr>
      <w:r w:rsidRPr="002C5876">
        <w:t>4.3.1.4.1.1</w:t>
      </w:r>
      <w:r w:rsidRPr="002C5876">
        <w:tab/>
        <w:t>Le système de prélèvement d’échantillons se compose d’une sonde de prélèvement ou d’un point de prélèvement situé dans le système de dilution, d’un tube de transfert des particules (PTT), d’un séparateur primaire (PCF) et d’un séparateur de particules volatiles (VPR) situés en amont du dispositif de mesure du nombre de particules (PNC).</w:t>
      </w:r>
    </w:p>
    <w:p w:rsidR="00E24DB7" w:rsidRPr="002C5876" w:rsidRDefault="00E24DB7" w:rsidP="00E24DB7">
      <w:pPr>
        <w:pStyle w:val="SingleTxtG"/>
        <w:ind w:left="2268" w:hanging="1134"/>
      </w:pPr>
      <w:r w:rsidRPr="002C5876">
        <w:t>4.3.1.4.1.2</w:t>
      </w:r>
      <w:r w:rsidRPr="002C5876">
        <w:tab/>
        <w:t>Le VPR doit comporter des dispositifs de dilution de l’échantillon (PND</w:t>
      </w:r>
      <w:r w:rsidRPr="002C5876">
        <w:rPr>
          <w:vertAlign w:val="subscript"/>
        </w:rPr>
        <w:t>1</w:t>
      </w:r>
      <w:r w:rsidRPr="002C5876">
        <w:t xml:space="preserve"> et PND</w:t>
      </w:r>
      <w:r w:rsidRPr="002C5876">
        <w:rPr>
          <w:vertAlign w:val="subscript"/>
        </w:rPr>
        <w:t>2</w:t>
      </w:r>
      <w:r w:rsidRPr="002C5876">
        <w:t xml:space="preserve">) et d’évaporation des particules (tube d’évaporation (ET)). </w:t>
      </w:r>
    </w:p>
    <w:p w:rsidR="00E24DB7" w:rsidRPr="002C5876" w:rsidRDefault="00E24DB7" w:rsidP="00E24DB7">
      <w:pPr>
        <w:pStyle w:val="SingleTxtG"/>
        <w:keepLines/>
        <w:ind w:left="2268" w:hanging="1134"/>
      </w:pPr>
      <w:r w:rsidRPr="002C5876">
        <w:t>4.3.1.4.1.3</w:t>
      </w:r>
      <w:r w:rsidRPr="002C5876">
        <w:tab/>
        <w:t xml:space="preserve">La sonde de prélèvement du flux de gaz d’essai doit être disposée dans le tunnel de dilution de façon à permettre le prélèvement d’un flux de gaz représentatif dans un mélange homogène d’air de dilution et de gaz d’échappement. </w:t>
      </w:r>
    </w:p>
    <w:p w:rsidR="00E24DB7" w:rsidRPr="002C5876" w:rsidRDefault="00E24DB7" w:rsidP="00E24DB7">
      <w:pPr>
        <w:pStyle w:val="SingleTxtG"/>
        <w:ind w:left="2268" w:hanging="1134"/>
        <w:jc w:val="left"/>
      </w:pPr>
      <w:r w:rsidRPr="002C5876">
        <w:t>5.</w:t>
      </w:r>
      <w:r w:rsidRPr="002C5876">
        <w:tab/>
        <w:t>Périodicité et procédures d’étalonnage</w:t>
      </w:r>
    </w:p>
    <w:p w:rsidR="00E24DB7" w:rsidRPr="002C5876" w:rsidRDefault="00E24DB7" w:rsidP="00E24DB7">
      <w:pPr>
        <w:pStyle w:val="SingleTxtG"/>
        <w:ind w:left="2268" w:hanging="1134"/>
        <w:jc w:val="left"/>
      </w:pPr>
      <w:r w:rsidRPr="002C5876">
        <w:t>5.1</w:t>
      </w:r>
      <w:r w:rsidRPr="002C5876">
        <w:tab/>
        <w:t>Périodicité d’étalonnage</w:t>
      </w:r>
    </w:p>
    <w:p w:rsidR="00E24DB7" w:rsidRPr="002C5876" w:rsidRDefault="00E24DB7" w:rsidP="00E24DB7">
      <w:pPr>
        <w:pStyle w:val="H23G"/>
        <w:keepNext w:val="0"/>
        <w:keepLines w:val="0"/>
      </w:pPr>
      <w:r w:rsidRPr="002C5876">
        <w:rPr>
          <w:b w:val="0"/>
        </w:rPr>
        <w:tab/>
      </w:r>
      <w:r w:rsidRPr="002C5876">
        <w:rPr>
          <w:b w:val="0"/>
        </w:rPr>
        <w:tab/>
        <w:t>Tableau A5/3</w:t>
      </w:r>
      <w:r w:rsidRPr="002C5876">
        <w:br/>
        <w:t xml:space="preserve">Périodicité d’étalonnage des instruments </w:t>
      </w:r>
    </w:p>
    <w:tbl>
      <w:tblPr>
        <w:tblW w:w="850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247"/>
        <w:gridCol w:w="2225"/>
        <w:gridCol w:w="2028"/>
      </w:tblGrid>
      <w:tr w:rsidR="00E24DB7" w:rsidRPr="002C5876" w:rsidTr="00E24DB7">
        <w:trPr>
          <w:tblHeader/>
        </w:trPr>
        <w:tc>
          <w:tcPr>
            <w:tcW w:w="4247" w:type="dxa"/>
            <w:tcBorders>
              <w:bottom w:val="single" w:sz="12" w:space="0" w:color="auto"/>
            </w:tcBorders>
            <w:shd w:val="clear" w:color="auto" w:fill="auto"/>
            <w:vAlign w:val="bottom"/>
          </w:tcPr>
          <w:p w:rsidR="00E24DB7" w:rsidRPr="002C5876" w:rsidRDefault="00E24DB7" w:rsidP="00E24DB7">
            <w:pPr>
              <w:spacing w:before="80" w:after="80" w:line="200" w:lineRule="exact"/>
              <w:ind w:left="57" w:right="57"/>
              <w:rPr>
                <w:i/>
                <w:sz w:val="16"/>
              </w:rPr>
            </w:pPr>
            <w:r w:rsidRPr="002C5876">
              <w:rPr>
                <w:i/>
                <w:sz w:val="16"/>
              </w:rPr>
              <w:t>Contrôle des appareils</w:t>
            </w:r>
          </w:p>
        </w:tc>
        <w:tc>
          <w:tcPr>
            <w:tcW w:w="2225" w:type="dxa"/>
            <w:tcBorders>
              <w:bottom w:val="single" w:sz="12" w:space="0" w:color="auto"/>
            </w:tcBorders>
            <w:shd w:val="clear" w:color="auto" w:fill="auto"/>
            <w:vAlign w:val="bottom"/>
          </w:tcPr>
          <w:p w:rsidR="00E24DB7" w:rsidRPr="002C5876" w:rsidRDefault="00E24DB7" w:rsidP="00E24DB7">
            <w:pPr>
              <w:spacing w:before="80" w:after="80" w:line="200" w:lineRule="exact"/>
              <w:ind w:left="57" w:right="57"/>
              <w:rPr>
                <w:i/>
                <w:sz w:val="16"/>
              </w:rPr>
            </w:pPr>
            <w:r w:rsidRPr="002C5876">
              <w:rPr>
                <w:i/>
                <w:sz w:val="16"/>
              </w:rPr>
              <w:t>Périodicité</w:t>
            </w:r>
          </w:p>
        </w:tc>
        <w:tc>
          <w:tcPr>
            <w:tcW w:w="2028" w:type="dxa"/>
            <w:tcBorders>
              <w:bottom w:val="single" w:sz="12" w:space="0" w:color="auto"/>
            </w:tcBorders>
            <w:shd w:val="clear" w:color="auto" w:fill="auto"/>
            <w:vAlign w:val="bottom"/>
          </w:tcPr>
          <w:p w:rsidR="00E24DB7" w:rsidRPr="002C5876" w:rsidRDefault="00E24DB7" w:rsidP="00E24DB7">
            <w:pPr>
              <w:spacing w:before="80" w:after="80" w:line="200" w:lineRule="exact"/>
              <w:ind w:left="57" w:right="57"/>
              <w:rPr>
                <w:i/>
                <w:sz w:val="16"/>
              </w:rPr>
            </w:pPr>
            <w:r w:rsidRPr="002C5876">
              <w:rPr>
                <w:i/>
                <w:sz w:val="16"/>
              </w:rPr>
              <w:t>Critère</w:t>
            </w:r>
          </w:p>
        </w:tc>
      </w:tr>
      <w:tr w:rsidR="00E24DB7" w:rsidRPr="002C5876" w:rsidTr="00E24DB7">
        <w:tc>
          <w:tcPr>
            <w:tcW w:w="4247" w:type="dxa"/>
            <w:tcBorders>
              <w:top w:val="single" w:sz="12" w:space="0" w:color="auto"/>
            </w:tcBorders>
            <w:shd w:val="clear" w:color="auto" w:fill="auto"/>
          </w:tcPr>
          <w:p w:rsidR="00E24DB7" w:rsidRPr="002C5876" w:rsidRDefault="00E24DB7" w:rsidP="00E24DB7">
            <w:pPr>
              <w:spacing w:before="60" w:after="60" w:line="240" w:lineRule="auto"/>
              <w:ind w:left="57" w:right="57"/>
            </w:pPr>
            <w:r w:rsidRPr="002C5876">
              <w:t>Linéarisation de l’analyseur de gaz (étalonnage)</w:t>
            </w:r>
          </w:p>
        </w:tc>
        <w:tc>
          <w:tcPr>
            <w:tcW w:w="2225" w:type="dxa"/>
            <w:tcBorders>
              <w:top w:val="single" w:sz="12" w:space="0" w:color="auto"/>
            </w:tcBorders>
            <w:shd w:val="clear" w:color="auto" w:fill="auto"/>
          </w:tcPr>
          <w:p w:rsidR="00E24DB7" w:rsidRPr="002C5876" w:rsidRDefault="00E24DB7" w:rsidP="00E24DB7">
            <w:pPr>
              <w:spacing w:before="60" w:after="60" w:line="240" w:lineRule="auto"/>
              <w:ind w:left="57" w:right="57"/>
            </w:pPr>
            <w:r w:rsidRPr="002C5876">
              <w:t>Semestrielle</w:t>
            </w:r>
          </w:p>
        </w:tc>
        <w:tc>
          <w:tcPr>
            <w:tcW w:w="2028" w:type="dxa"/>
            <w:tcBorders>
              <w:top w:val="single" w:sz="12" w:space="0" w:color="auto"/>
            </w:tcBorders>
            <w:shd w:val="clear" w:color="auto" w:fill="auto"/>
          </w:tcPr>
          <w:p w:rsidR="00E24DB7" w:rsidRPr="002C5876" w:rsidRDefault="00E24DB7" w:rsidP="00E24DB7">
            <w:pPr>
              <w:spacing w:before="60" w:after="60" w:line="240" w:lineRule="auto"/>
              <w:ind w:left="57" w:right="57"/>
            </w:pPr>
            <w:r w:rsidRPr="002C5876">
              <w:sym w:font="Symbol" w:char="F0B1"/>
            </w:r>
            <w:r w:rsidRPr="002C5876">
              <w:t>2 % de la valeur affichée</w:t>
            </w:r>
          </w:p>
        </w:tc>
      </w:tr>
      <w:tr w:rsidR="00E24DB7" w:rsidRPr="002C5876" w:rsidTr="00E24DB7">
        <w:tc>
          <w:tcPr>
            <w:tcW w:w="4247" w:type="dxa"/>
            <w:shd w:val="clear" w:color="auto" w:fill="auto"/>
          </w:tcPr>
          <w:p w:rsidR="00E24DB7" w:rsidRPr="002C5876" w:rsidRDefault="00E24DB7" w:rsidP="00E24DB7">
            <w:pPr>
              <w:spacing w:before="60" w:after="60" w:line="240" w:lineRule="auto"/>
              <w:ind w:left="57" w:right="57"/>
            </w:pPr>
            <w:r w:rsidRPr="002C5876">
              <w:t>Calibrage (à mi-échelle)</w:t>
            </w:r>
          </w:p>
        </w:tc>
        <w:tc>
          <w:tcPr>
            <w:tcW w:w="2225" w:type="dxa"/>
            <w:shd w:val="clear" w:color="auto" w:fill="auto"/>
          </w:tcPr>
          <w:p w:rsidR="00E24DB7" w:rsidRPr="002C5876" w:rsidRDefault="00E24DB7" w:rsidP="00E24DB7">
            <w:pPr>
              <w:spacing w:before="60" w:after="60" w:line="240" w:lineRule="auto"/>
              <w:ind w:left="57" w:right="57"/>
            </w:pPr>
            <w:r w:rsidRPr="002C5876">
              <w:t>Semestrielle</w:t>
            </w:r>
          </w:p>
        </w:tc>
        <w:tc>
          <w:tcPr>
            <w:tcW w:w="2028" w:type="dxa"/>
            <w:shd w:val="clear" w:color="auto" w:fill="auto"/>
          </w:tcPr>
          <w:p w:rsidR="00E24DB7" w:rsidRPr="002C5876" w:rsidRDefault="00E24DB7" w:rsidP="00E24DB7">
            <w:pPr>
              <w:spacing w:before="60" w:after="60" w:line="240" w:lineRule="auto"/>
              <w:ind w:left="57" w:right="57"/>
            </w:pPr>
            <w:r w:rsidRPr="002C5876">
              <w:sym w:font="Symbol" w:char="F0B1"/>
            </w:r>
            <w:r w:rsidRPr="002C5876">
              <w:t xml:space="preserve">2 % </w:t>
            </w:r>
          </w:p>
        </w:tc>
      </w:tr>
      <w:tr w:rsidR="00E24DB7" w:rsidRPr="002C5876" w:rsidTr="00E24DB7">
        <w:tc>
          <w:tcPr>
            <w:tcW w:w="4247" w:type="dxa"/>
            <w:shd w:val="clear" w:color="auto" w:fill="auto"/>
          </w:tcPr>
          <w:p w:rsidR="00E24DB7" w:rsidRPr="002C5876" w:rsidRDefault="00E24DB7" w:rsidP="00E24DB7">
            <w:pPr>
              <w:spacing w:before="60" w:after="60" w:line="240" w:lineRule="auto"/>
              <w:ind w:left="57" w:right="57"/>
            </w:pPr>
            <w:r w:rsidRPr="002C5876">
              <w:t>Analyseur NDIR de CO : interférence CO</w:t>
            </w:r>
            <w:r w:rsidRPr="002C5876">
              <w:rPr>
                <w:vertAlign w:val="subscript"/>
              </w:rPr>
              <w:t>2</w:t>
            </w:r>
            <w:r w:rsidRPr="002C5876">
              <w:t>/H</w:t>
            </w:r>
            <w:r w:rsidRPr="002C5876">
              <w:rPr>
                <w:vertAlign w:val="subscript"/>
              </w:rPr>
              <w:t>2</w:t>
            </w:r>
            <w:r w:rsidRPr="002C5876">
              <w:t xml:space="preserve">O </w:t>
            </w:r>
          </w:p>
        </w:tc>
        <w:tc>
          <w:tcPr>
            <w:tcW w:w="2225" w:type="dxa"/>
            <w:shd w:val="clear" w:color="auto" w:fill="auto"/>
          </w:tcPr>
          <w:p w:rsidR="00E24DB7" w:rsidRPr="002C5876" w:rsidRDefault="00E24DB7" w:rsidP="00E24DB7">
            <w:pPr>
              <w:spacing w:before="60" w:after="60" w:line="240" w:lineRule="auto"/>
              <w:ind w:left="57" w:right="57"/>
            </w:pPr>
            <w:r w:rsidRPr="002C5876">
              <w:t>Mensuelle</w:t>
            </w:r>
          </w:p>
        </w:tc>
        <w:tc>
          <w:tcPr>
            <w:tcW w:w="2028" w:type="dxa"/>
            <w:shd w:val="clear" w:color="auto" w:fill="auto"/>
          </w:tcPr>
          <w:p w:rsidR="00E24DB7" w:rsidRPr="002C5876" w:rsidRDefault="00E24DB7" w:rsidP="00E24DB7">
            <w:pPr>
              <w:spacing w:before="60" w:after="60" w:line="240" w:lineRule="auto"/>
              <w:ind w:left="57" w:right="57"/>
            </w:pPr>
            <w:r w:rsidRPr="002C5876">
              <w:t>-1 à 3 ppm</w:t>
            </w:r>
          </w:p>
        </w:tc>
      </w:tr>
      <w:tr w:rsidR="00E24DB7" w:rsidRPr="002C5876" w:rsidTr="00E24DB7">
        <w:tc>
          <w:tcPr>
            <w:tcW w:w="4247" w:type="dxa"/>
            <w:shd w:val="clear" w:color="auto" w:fill="auto"/>
          </w:tcPr>
          <w:p w:rsidR="00E24DB7" w:rsidRPr="002C5876" w:rsidRDefault="00E24DB7" w:rsidP="00E24DB7">
            <w:pPr>
              <w:spacing w:before="60" w:after="60" w:line="240" w:lineRule="auto"/>
              <w:ind w:left="57" w:right="57"/>
            </w:pPr>
            <w:r w:rsidRPr="002C5876">
              <w:t>Vérification du convertisseur de NO</w:t>
            </w:r>
            <w:r w:rsidRPr="002C5876">
              <w:rPr>
                <w:vertAlign w:val="subscript"/>
              </w:rPr>
              <w:t>x</w:t>
            </w:r>
            <w:r w:rsidRPr="002C5876">
              <w:t xml:space="preserve"> </w:t>
            </w:r>
          </w:p>
        </w:tc>
        <w:tc>
          <w:tcPr>
            <w:tcW w:w="2225" w:type="dxa"/>
            <w:shd w:val="clear" w:color="auto" w:fill="auto"/>
          </w:tcPr>
          <w:p w:rsidR="00E24DB7" w:rsidRPr="002C5876" w:rsidRDefault="00E24DB7" w:rsidP="00E24DB7">
            <w:pPr>
              <w:spacing w:before="60" w:after="60" w:line="240" w:lineRule="auto"/>
              <w:ind w:left="57" w:right="57"/>
            </w:pPr>
            <w:r w:rsidRPr="002C5876">
              <w:t>Mensuelle</w:t>
            </w:r>
          </w:p>
        </w:tc>
        <w:tc>
          <w:tcPr>
            <w:tcW w:w="2028" w:type="dxa"/>
            <w:shd w:val="clear" w:color="auto" w:fill="auto"/>
          </w:tcPr>
          <w:p w:rsidR="00E24DB7" w:rsidRPr="002C5876" w:rsidRDefault="00E24DB7" w:rsidP="00E24DB7">
            <w:pPr>
              <w:spacing w:before="60" w:after="60" w:line="240" w:lineRule="auto"/>
              <w:ind w:left="57" w:right="57"/>
            </w:pPr>
            <w:r w:rsidRPr="002C5876">
              <w:t>&gt;95 %</w:t>
            </w:r>
          </w:p>
        </w:tc>
      </w:tr>
      <w:tr w:rsidR="00E24DB7" w:rsidRPr="002C5876" w:rsidTr="00E24DB7">
        <w:tc>
          <w:tcPr>
            <w:tcW w:w="4247" w:type="dxa"/>
            <w:shd w:val="clear" w:color="auto" w:fill="auto"/>
          </w:tcPr>
          <w:p w:rsidR="00E24DB7" w:rsidRPr="002C5876" w:rsidRDefault="00E24DB7" w:rsidP="00E24DB7">
            <w:pPr>
              <w:spacing w:before="60" w:after="60" w:line="240" w:lineRule="auto"/>
              <w:ind w:left="57" w:right="57"/>
            </w:pPr>
            <w:r w:rsidRPr="002C5876">
              <w:t>Vérification du convertisseur de CH</w:t>
            </w:r>
            <w:r w:rsidRPr="002C5876">
              <w:rPr>
                <w:vertAlign w:val="subscript"/>
              </w:rPr>
              <w:t>4</w:t>
            </w:r>
            <w:r w:rsidRPr="002C5876">
              <w:t xml:space="preserve"> </w:t>
            </w:r>
          </w:p>
        </w:tc>
        <w:tc>
          <w:tcPr>
            <w:tcW w:w="2225" w:type="dxa"/>
            <w:shd w:val="clear" w:color="auto" w:fill="auto"/>
          </w:tcPr>
          <w:p w:rsidR="00E24DB7" w:rsidRPr="002C5876" w:rsidRDefault="00E24DB7" w:rsidP="00E24DB7">
            <w:pPr>
              <w:spacing w:before="60" w:after="60" w:line="240" w:lineRule="auto"/>
              <w:ind w:left="57" w:right="57"/>
            </w:pPr>
            <w:r w:rsidRPr="002C5876">
              <w:t>Annuelle</w:t>
            </w:r>
          </w:p>
        </w:tc>
        <w:tc>
          <w:tcPr>
            <w:tcW w:w="2028" w:type="dxa"/>
            <w:shd w:val="clear" w:color="auto" w:fill="auto"/>
          </w:tcPr>
          <w:p w:rsidR="00E24DB7" w:rsidRPr="002C5876" w:rsidRDefault="00E24DB7" w:rsidP="00E24DB7">
            <w:pPr>
              <w:spacing w:before="60" w:after="60" w:line="240" w:lineRule="auto"/>
              <w:ind w:left="57" w:right="57"/>
            </w:pPr>
            <w:r w:rsidRPr="002C5876">
              <w:t>98 % d’éthane</w:t>
            </w:r>
          </w:p>
        </w:tc>
      </w:tr>
      <w:tr w:rsidR="00E24DB7" w:rsidRPr="002C5876" w:rsidTr="00E24DB7">
        <w:tc>
          <w:tcPr>
            <w:tcW w:w="4247" w:type="dxa"/>
            <w:shd w:val="clear" w:color="auto" w:fill="auto"/>
          </w:tcPr>
          <w:p w:rsidR="00E24DB7" w:rsidRPr="002C5876" w:rsidRDefault="00E24DB7" w:rsidP="00E24DB7">
            <w:pPr>
              <w:keepNext/>
              <w:spacing w:before="60" w:after="60" w:line="240" w:lineRule="auto"/>
              <w:ind w:left="57" w:right="57"/>
            </w:pPr>
            <w:r w:rsidRPr="002C5876">
              <w:lastRenderedPageBreak/>
              <w:t>Réponse du détecteur à ionisation de flamme au CH</w:t>
            </w:r>
            <w:r w:rsidRPr="002C5876">
              <w:rPr>
                <w:vertAlign w:val="subscript"/>
              </w:rPr>
              <w:t>4</w:t>
            </w:r>
          </w:p>
        </w:tc>
        <w:tc>
          <w:tcPr>
            <w:tcW w:w="2225" w:type="dxa"/>
            <w:shd w:val="clear" w:color="auto" w:fill="auto"/>
          </w:tcPr>
          <w:p w:rsidR="00E24DB7" w:rsidRPr="002C5876" w:rsidRDefault="00E24DB7" w:rsidP="00E24DB7">
            <w:pPr>
              <w:keepNext/>
              <w:spacing w:before="60" w:after="60" w:line="240" w:lineRule="auto"/>
              <w:ind w:left="57" w:right="57"/>
            </w:pPr>
            <w:r w:rsidRPr="002C5876">
              <w:t>Annuelle</w:t>
            </w:r>
          </w:p>
        </w:tc>
        <w:tc>
          <w:tcPr>
            <w:tcW w:w="2028" w:type="dxa"/>
            <w:shd w:val="clear" w:color="auto" w:fill="auto"/>
          </w:tcPr>
          <w:p w:rsidR="00E24DB7" w:rsidRPr="002C5876" w:rsidRDefault="00E24DB7" w:rsidP="00E24DB7">
            <w:pPr>
              <w:keepNext/>
              <w:spacing w:before="60" w:after="60" w:line="240" w:lineRule="auto"/>
              <w:ind w:left="57" w:right="57"/>
            </w:pPr>
            <w:r w:rsidRPr="002C5876">
              <w:t xml:space="preserve">Voir par. 5.4.3 de la présente annexe </w:t>
            </w:r>
          </w:p>
        </w:tc>
      </w:tr>
      <w:tr w:rsidR="00E24DB7" w:rsidRPr="002C5876" w:rsidTr="00E24DB7">
        <w:tc>
          <w:tcPr>
            <w:tcW w:w="4247" w:type="dxa"/>
            <w:shd w:val="clear" w:color="auto" w:fill="auto"/>
          </w:tcPr>
          <w:p w:rsidR="00E24DB7" w:rsidRPr="002C5876" w:rsidRDefault="00E24DB7" w:rsidP="00E24DB7">
            <w:pPr>
              <w:spacing w:before="60" w:after="60" w:line="240" w:lineRule="auto"/>
              <w:ind w:left="57" w:right="57"/>
            </w:pPr>
            <w:r w:rsidRPr="002C5876">
              <w:t xml:space="preserve">Débit air/carburant du détecteur à ionisation de flamme </w:t>
            </w:r>
          </w:p>
        </w:tc>
        <w:tc>
          <w:tcPr>
            <w:tcW w:w="2225" w:type="dxa"/>
            <w:shd w:val="clear" w:color="auto" w:fill="auto"/>
          </w:tcPr>
          <w:p w:rsidR="00E24DB7" w:rsidRPr="002C5876" w:rsidRDefault="00E24DB7" w:rsidP="00E24DB7">
            <w:pPr>
              <w:spacing w:before="60" w:after="60" w:line="240" w:lineRule="auto"/>
              <w:ind w:left="57" w:right="57"/>
              <w:rPr>
                <w:spacing w:val="-4"/>
              </w:rPr>
            </w:pPr>
            <w:r w:rsidRPr="002C5876">
              <w:rPr>
                <w:spacing w:val="-4"/>
              </w:rPr>
              <w:t>Lors de toute opération d’entretien importante</w:t>
            </w:r>
          </w:p>
        </w:tc>
        <w:tc>
          <w:tcPr>
            <w:tcW w:w="2028" w:type="dxa"/>
            <w:shd w:val="clear" w:color="auto" w:fill="auto"/>
          </w:tcPr>
          <w:p w:rsidR="00E24DB7" w:rsidRPr="002C5876" w:rsidRDefault="00E24DB7" w:rsidP="00E24DB7">
            <w:pPr>
              <w:spacing w:before="60" w:after="60" w:line="240" w:lineRule="auto"/>
              <w:ind w:left="57" w:right="57"/>
            </w:pPr>
            <w:r w:rsidRPr="002C5876">
              <w:t xml:space="preserve">Suivant prescriptions du fabricant </w:t>
            </w:r>
          </w:p>
        </w:tc>
      </w:tr>
      <w:tr w:rsidR="00E24DB7" w:rsidRPr="002C5876" w:rsidTr="00E24DB7">
        <w:tc>
          <w:tcPr>
            <w:tcW w:w="4247" w:type="dxa"/>
            <w:shd w:val="clear" w:color="auto" w:fill="auto"/>
          </w:tcPr>
          <w:p w:rsidR="00E24DB7" w:rsidRPr="002C5876" w:rsidRDefault="00E24DB7" w:rsidP="00E24DB7">
            <w:pPr>
              <w:spacing w:before="60" w:after="60" w:line="240" w:lineRule="auto"/>
              <w:ind w:left="57" w:right="57"/>
            </w:pPr>
            <w:r w:rsidRPr="002C5876">
              <w:t>Analyseur non dispersif dans l’ultraviolet pour NO/NO</w:t>
            </w:r>
            <w:r w:rsidRPr="002C5876">
              <w:rPr>
                <w:vertAlign w:val="subscript"/>
              </w:rPr>
              <w:t>2</w:t>
            </w:r>
            <w:r w:rsidRPr="002C5876">
              <w:t> : interférence H</w:t>
            </w:r>
            <w:r w:rsidRPr="002C5876">
              <w:rPr>
                <w:vertAlign w:val="subscript"/>
              </w:rPr>
              <w:t>2</w:t>
            </w:r>
            <w:r w:rsidRPr="002C5876">
              <w:t xml:space="preserve">O, HC </w:t>
            </w:r>
          </w:p>
        </w:tc>
        <w:tc>
          <w:tcPr>
            <w:tcW w:w="2225" w:type="dxa"/>
            <w:shd w:val="clear" w:color="auto" w:fill="auto"/>
          </w:tcPr>
          <w:p w:rsidR="00E24DB7" w:rsidRPr="002C5876" w:rsidRDefault="00E24DB7" w:rsidP="00E24DB7">
            <w:pPr>
              <w:spacing w:before="60" w:after="60" w:line="240" w:lineRule="auto"/>
              <w:ind w:left="57" w:right="57"/>
              <w:rPr>
                <w:spacing w:val="-4"/>
              </w:rPr>
            </w:pPr>
            <w:r w:rsidRPr="002C5876">
              <w:rPr>
                <w:spacing w:val="-4"/>
              </w:rPr>
              <w:t>Lors de toute opération d’entretien importante</w:t>
            </w:r>
          </w:p>
        </w:tc>
        <w:tc>
          <w:tcPr>
            <w:tcW w:w="2028" w:type="dxa"/>
            <w:shd w:val="clear" w:color="auto" w:fill="auto"/>
          </w:tcPr>
          <w:p w:rsidR="00E24DB7" w:rsidRPr="002C5876" w:rsidRDefault="00E24DB7" w:rsidP="00E24DB7">
            <w:pPr>
              <w:spacing w:before="60" w:after="60" w:line="240" w:lineRule="auto"/>
              <w:ind w:left="57" w:right="57"/>
            </w:pPr>
            <w:r w:rsidRPr="002C5876">
              <w:t>Suivant prescriptions du fabricant</w:t>
            </w:r>
          </w:p>
        </w:tc>
      </w:tr>
      <w:tr w:rsidR="00E24DB7" w:rsidRPr="002C5876" w:rsidTr="00E24DB7">
        <w:tc>
          <w:tcPr>
            <w:tcW w:w="4247" w:type="dxa"/>
            <w:shd w:val="clear" w:color="auto" w:fill="auto"/>
          </w:tcPr>
          <w:p w:rsidR="00E24DB7" w:rsidRPr="002C5876" w:rsidRDefault="00E24DB7" w:rsidP="00E24DB7">
            <w:pPr>
              <w:spacing w:before="60" w:after="60" w:line="240" w:lineRule="auto"/>
              <w:ind w:left="57" w:right="57"/>
            </w:pPr>
            <w:r w:rsidRPr="002C5876">
              <w:t>Spectromètres laser infrarouge (analyseurs infrarouge haute résolution à bande étroite à modulation de phase) : vérification des interférences</w:t>
            </w:r>
          </w:p>
        </w:tc>
        <w:tc>
          <w:tcPr>
            <w:tcW w:w="2225" w:type="dxa"/>
            <w:shd w:val="clear" w:color="auto" w:fill="auto"/>
          </w:tcPr>
          <w:p w:rsidR="00E24DB7" w:rsidRPr="002C5876" w:rsidRDefault="00E24DB7" w:rsidP="00E24DB7">
            <w:pPr>
              <w:spacing w:before="60" w:after="60" w:line="240" w:lineRule="auto"/>
              <w:ind w:left="57" w:right="57"/>
              <w:rPr>
                <w:spacing w:val="-2"/>
              </w:rPr>
            </w:pPr>
            <w:r w:rsidRPr="002C5876">
              <w:rPr>
                <w:spacing w:val="-2"/>
              </w:rPr>
              <w:t>Annuelle ou lors de toute opération d’entretien importante</w:t>
            </w:r>
          </w:p>
        </w:tc>
        <w:tc>
          <w:tcPr>
            <w:tcW w:w="2028" w:type="dxa"/>
            <w:shd w:val="clear" w:color="auto" w:fill="auto"/>
          </w:tcPr>
          <w:p w:rsidR="00E24DB7" w:rsidRPr="002C5876" w:rsidRDefault="00E24DB7" w:rsidP="00E24DB7">
            <w:pPr>
              <w:spacing w:before="60" w:after="60" w:line="240" w:lineRule="auto"/>
              <w:ind w:left="57" w:right="57"/>
            </w:pPr>
            <w:r w:rsidRPr="002C5876">
              <w:t>Suivant prescriptions du fabricant</w:t>
            </w:r>
          </w:p>
        </w:tc>
      </w:tr>
      <w:tr w:rsidR="00E24DB7" w:rsidRPr="002C5876" w:rsidTr="00E24DB7">
        <w:tc>
          <w:tcPr>
            <w:tcW w:w="4247" w:type="dxa"/>
            <w:shd w:val="clear" w:color="auto" w:fill="auto"/>
          </w:tcPr>
          <w:p w:rsidR="00E24DB7" w:rsidRPr="002C5876" w:rsidRDefault="00E24DB7" w:rsidP="00E24DB7">
            <w:pPr>
              <w:spacing w:before="60" w:after="60" w:line="240" w:lineRule="auto"/>
              <w:ind w:left="57" w:right="57"/>
            </w:pPr>
            <w:r w:rsidRPr="002C5876">
              <w:t>QCL (chromatographie en phase liquide)</w:t>
            </w:r>
          </w:p>
        </w:tc>
        <w:tc>
          <w:tcPr>
            <w:tcW w:w="2225" w:type="dxa"/>
            <w:shd w:val="clear" w:color="auto" w:fill="auto"/>
          </w:tcPr>
          <w:p w:rsidR="00E24DB7" w:rsidRPr="002C5876" w:rsidRDefault="00E24DB7" w:rsidP="00E24DB7">
            <w:pPr>
              <w:spacing w:before="60" w:after="60" w:line="240" w:lineRule="auto"/>
              <w:ind w:left="57" w:right="57"/>
            </w:pPr>
            <w:r w:rsidRPr="002C5876">
              <w:rPr>
                <w:spacing w:val="-2"/>
              </w:rPr>
              <w:t>Annuelle ou lors de toute opération d’entretien importante</w:t>
            </w:r>
          </w:p>
        </w:tc>
        <w:tc>
          <w:tcPr>
            <w:tcW w:w="2028" w:type="dxa"/>
            <w:shd w:val="clear" w:color="auto" w:fill="auto"/>
          </w:tcPr>
          <w:p w:rsidR="00E24DB7" w:rsidRPr="002C5876" w:rsidRDefault="00E24DB7" w:rsidP="00E24DB7">
            <w:pPr>
              <w:spacing w:before="60" w:after="60" w:line="240" w:lineRule="auto"/>
              <w:ind w:left="57" w:right="57"/>
            </w:pPr>
            <w:r w:rsidRPr="002C5876">
              <w:t>Suivant prescriptions du fabricant</w:t>
            </w:r>
          </w:p>
        </w:tc>
      </w:tr>
      <w:tr w:rsidR="00E24DB7" w:rsidRPr="002C5876" w:rsidTr="00E24DB7">
        <w:tc>
          <w:tcPr>
            <w:tcW w:w="4247" w:type="dxa"/>
            <w:shd w:val="clear" w:color="auto" w:fill="auto"/>
          </w:tcPr>
          <w:p w:rsidR="00E24DB7" w:rsidRPr="002C5876" w:rsidRDefault="00E24DB7" w:rsidP="00E24DB7">
            <w:pPr>
              <w:spacing w:before="60" w:after="60" w:line="240" w:lineRule="auto"/>
              <w:ind w:left="57" w:right="57"/>
            </w:pPr>
            <w:r w:rsidRPr="002C5876">
              <w:t>CG (Chromatographie en phase gazeuse)</w:t>
            </w:r>
          </w:p>
        </w:tc>
        <w:tc>
          <w:tcPr>
            <w:tcW w:w="2225" w:type="dxa"/>
            <w:shd w:val="clear" w:color="auto" w:fill="auto"/>
          </w:tcPr>
          <w:p w:rsidR="00E24DB7" w:rsidRPr="002C5876" w:rsidRDefault="00E24DB7" w:rsidP="00E24DB7">
            <w:pPr>
              <w:spacing w:before="60" w:after="60" w:line="240" w:lineRule="auto"/>
              <w:ind w:left="57" w:right="57"/>
            </w:pPr>
            <w:r w:rsidRPr="002C5876">
              <w:t>Voir par. 7.2 de la présente annexe</w:t>
            </w:r>
          </w:p>
        </w:tc>
        <w:tc>
          <w:tcPr>
            <w:tcW w:w="2028" w:type="dxa"/>
            <w:shd w:val="clear" w:color="auto" w:fill="auto"/>
          </w:tcPr>
          <w:p w:rsidR="00E24DB7" w:rsidRPr="002C5876" w:rsidRDefault="00E24DB7" w:rsidP="00E24DB7">
            <w:pPr>
              <w:spacing w:before="60" w:after="60" w:line="240" w:lineRule="auto"/>
              <w:ind w:left="57" w:right="57"/>
            </w:pPr>
            <w:r w:rsidRPr="002C5876">
              <w:t>Voir par. 7.2 de la présente annexe</w:t>
            </w:r>
          </w:p>
        </w:tc>
      </w:tr>
      <w:tr w:rsidR="00E24DB7" w:rsidRPr="002C5876" w:rsidTr="00E24DB7">
        <w:tc>
          <w:tcPr>
            <w:tcW w:w="4247" w:type="dxa"/>
            <w:shd w:val="clear" w:color="auto" w:fill="auto"/>
          </w:tcPr>
          <w:p w:rsidR="00E24DB7" w:rsidRPr="002C5876" w:rsidRDefault="00E24DB7" w:rsidP="00E24DB7">
            <w:pPr>
              <w:spacing w:before="60" w:after="60" w:line="240" w:lineRule="auto"/>
              <w:ind w:left="57" w:right="57"/>
            </w:pPr>
            <w:r w:rsidRPr="002C5876">
              <w:t>Méthodes LC</w:t>
            </w:r>
          </w:p>
        </w:tc>
        <w:tc>
          <w:tcPr>
            <w:tcW w:w="2225" w:type="dxa"/>
            <w:shd w:val="clear" w:color="auto" w:fill="auto"/>
          </w:tcPr>
          <w:p w:rsidR="00E24DB7" w:rsidRPr="002C5876" w:rsidRDefault="00E24DB7" w:rsidP="00E24DB7">
            <w:pPr>
              <w:spacing w:before="60" w:after="60" w:line="240" w:lineRule="auto"/>
              <w:ind w:left="57" w:right="57"/>
            </w:pPr>
            <w:r w:rsidRPr="002C5876">
              <w:rPr>
                <w:spacing w:val="-2"/>
              </w:rPr>
              <w:t>Annuelle ou lors de toute opération d’entretien importante</w:t>
            </w:r>
          </w:p>
        </w:tc>
        <w:tc>
          <w:tcPr>
            <w:tcW w:w="2028" w:type="dxa"/>
            <w:shd w:val="clear" w:color="auto" w:fill="auto"/>
          </w:tcPr>
          <w:p w:rsidR="00E24DB7" w:rsidRPr="002C5876" w:rsidRDefault="00E24DB7" w:rsidP="00E24DB7">
            <w:pPr>
              <w:spacing w:before="60" w:after="60" w:line="240" w:lineRule="auto"/>
              <w:ind w:left="57" w:right="57"/>
            </w:pPr>
            <w:r w:rsidRPr="002C5876">
              <w:t>Suivant prescriptions du fabricant</w:t>
            </w:r>
          </w:p>
        </w:tc>
      </w:tr>
      <w:tr w:rsidR="00E24DB7" w:rsidRPr="002C5876" w:rsidTr="00E24DB7">
        <w:tc>
          <w:tcPr>
            <w:tcW w:w="4247" w:type="dxa"/>
            <w:shd w:val="clear" w:color="auto" w:fill="auto"/>
          </w:tcPr>
          <w:p w:rsidR="00E24DB7" w:rsidRPr="002C5876" w:rsidRDefault="00E24DB7" w:rsidP="00E24DB7">
            <w:pPr>
              <w:spacing w:before="60" w:after="60" w:line="240" w:lineRule="auto"/>
              <w:ind w:left="57" w:right="57"/>
            </w:pPr>
            <w:r w:rsidRPr="002C5876">
              <w:t>Photoacoustique</w:t>
            </w:r>
          </w:p>
        </w:tc>
        <w:tc>
          <w:tcPr>
            <w:tcW w:w="2225" w:type="dxa"/>
            <w:shd w:val="clear" w:color="auto" w:fill="auto"/>
          </w:tcPr>
          <w:p w:rsidR="00E24DB7" w:rsidRPr="002C5876" w:rsidRDefault="00E24DB7" w:rsidP="00E24DB7">
            <w:pPr>
              <w:spacing w:before="60" w:after="60" w:line="240" w:lineRule="auto"/>
              <w:ind w:left="57" w:right="57"/>
            </w:pPr>
            <w:r w:rsidRPr="002C5876">
              <w:rPr>
                <w:spacing w:val="-2"/>
              </w:rPr>
              <w:t>Annuelle ou lors de toute opération d’entretien importante</w:t>
            </w:r>
          </w:p>
        </w:tc>
        <w:tc>
          <w:tcPr>
            <w:tcW w:w="2028" w:type="dxa"/>
            <w:shd w:val="clear" w:color="auto" w:fill="auto"/>
          </w:tcPr>
          <w:p w:rsidR="00E24DB7" w:rsidRPr="002C5876" w:rsidRDefault="00E24DB7" w:rsidP="00E24DB7">
            <w:pPr>
              <w:spacing w:before="60" w:after="60" w:line="240" w:lineRule="auto"/>
              <w:ind w:left="57" w:right="57"/>
            </w:pPr>
            <w:r w:rsidRPr="002C5876">
              <w:t>Suivant prescriptions du fabricant</w:t>
            </w:r>
          </w:p>
        </w:tc>
      </w:tr>
      <w:tr w:rsidR="00E24DB7" w:rsidRPr="002C5876" w:rsidTr="00E24DB7">
        <w:tc>
          <w:tcPr>
            <w:tcW w:w="4247" w:type="dxa"/>
            <w:shd w:val="clear" w:color="auto" w:fill="auto"/>
          </w:tcPr>
          <w:p w:rsidR="00E24DB7" w:rsidRPr="002C5876" w:rsidRDefault="00E24DB7" w:rsidP="00E24DB7">
            <w:pPr>
              <w:spacing w:before="60" w:after="60" w:line="240" w:lineRule="auto"/>
              <w:ind w:left="57" w:right="57"/>
            </w:pPr>
            <w:r w:rsidRPr="002C5876">
              <w:t>Analyseurs infrarouge à transformée</w:t>
            </w:r>
            <w:r w:rsidRPr="002C5876">
              <w:br/>
              <w:t>de Fourier : vérification de la linéarité</w:t>
            </w:r>
          </w:p>
        </w:tc>
        <w:tc>
          <w:tcPr>
            <w:tcW w:w="2225" w:type="dxa"/>
            <w:shd w:val="clear" w:color="auto" w:fill="auto"/>
          </w:tcPr>
          <w:p w:rsidR="00E24DB7" w:rsidRPr="002C5876" w:rsidRDefault="00E24DB7" w:rsidP="00E24DB7">
            <w:pPr>
              <w:spacing w:before="60" w:after="60" w:line="240" w:lineRule="auto"/>
              <w:ind w:left="57" w:right="57"/>
            </w:pPr>
            <w:r w:rsidRPr="002C5876">
              <w:t xml:space="preserve">Dans les 370 jours précédant l’essai et </w:t>
            </w:r>
            <w:r w:rsidRPr="002C5876">
              <w:rPr>
                <w:spacing w:val="-2"/>
              </w:rPr>
              <w:t>après toute opération d’entretien importante</w:t>
            </w:r>
            <w:r w:rsidRPr="002C5876">
              <w:t xml:space="preserve"> </w:t>
            </w:r>
          </w:p>
        </w:tc>
        <w:tc>
          <w:tcPr>
            <w:tcW w:w="2028" w:type="dxa"/>
            <w:shd w:val="clear" w:color="auto" w:fill="auto"/>
          </w:tcPr>
          <w:p w:rsidR="00E24DB7" w:rsidRPr="002C5876" w:rsidRDefault="00E24DB7" w:rsidP="00E24DB7">
            <w:pPr>
              <w:spacing w:before="60" w:after="60" w:line="240" w:lineRule="auto"/>
              <w:ind w:left="57" w:right="57"/>
            </w:pPr>
            <w:r w:rsidRPr="002C5876">
              <w:t xml:space="preserve">Voir par. 7.1 de la présente annexe </w:t>
            </w:r>
          </w:p>
        </w:tc>
      </w:tr>
      <w:tr w:rsidR="00E24DB7" w:rsidRPr="002C5876" w:rsidTr="00E24DB7">
        <w:tc>
          <w:tcPr>
            <w:tcW w:w="4247" w:type="dxa"/>
            <w:shd w:val="clear" w:color="auto" w:fill="auto"/>
          </w:tcPr>
          <w:p w:rsidR="00E24DB7" w:rsidRPr="002C5876" w:rsidRDefault="00E24DB7" w:rsidP="00E24DB7">
            <w:pPr>
              <w:spacing w:before="60" w:after="60" w:line="240" w:lineRule="auto"/>
              <w:ind w:left="57" w:right="57"/>
            </w:pPr>
            <w:r w:rsidRPr="002C5876">
              <w:t xml:space="preserve">Linéarité des microbalances </w:t>
            </w:r>
          </w:p>
        </w:tc>
        <w:tc>
          <w:tcPr>
            <w:tcW w:w="2225" w:type="dxa"/>
            <w:shd w:val="clear" w:color="auto" w:fill="auto"/>
          </w:tcPr>
          <w:p w:rsidR="00E24DB7" w:rsidRPr="002C5876" w:rsidRDefault="00E24DB7" w:rsidP="00E24DB7">
            <w:pPr>
              <w:spacing w:before="60" w:after="60" w:line="240" w:lineRule="auto"/>
              <w:ind w:left="57" w:right="57"/>
            </w:pPr>
            <w:r w:rsidRPr="002C5876">
              <w:t>A</w:t>
            </w:r>
            <w:r w:rsidRPr="002C5876">
              <w:rPr>
                <w:spacing w:val="-2"/>
              </w:rPr>
              <w:t>nnuelle ou lors de toute opération d’entretien importante</w:t>
            </w:r>
          </w:p>
        </w:tc>
        <w:tc>
          <w:tcPr>
            <w:tcW w:w="2028" w:type="dxa"/>
            <w:shd w:val="clear" w:color="auto" w:fill="auto"/>
          </w:tcPr>
          <w:p w:rsidR="00E24DB7" w:rsidRPr="002C5876" w:rsidRDefault="00E24DB7" w:rsidP="00E24DB7">
            <w:pPr>
              <w:spacing w:before="60" w:after="60" w:line="240" w:lineRule="auto"/>
              <w:ind w:left="57" w:right="57"/>
            </w:pPr>
            <w:r w:rsidRPr="002C5876">
              <w:t xml:space="preserve">Voir par. 4.2.2.2 </w:t>
            </w:r>
            <w:r w:rsidRPr="002C5876">
              <w:br/>
              <w:t>de la présente annexe</w:t>
            </w:r>
          </w:p>
        </w:tc>
      </w:tr>
      <w:tr w:rsidR="00E24DB7" w:rsidRPr="002C5876" w:rsidTr="00E24DB7">
        <w:tc>
          <w:tcPr>
            <w:tcW w:w="4247" w:type="dxa"/>
            <w:tcBorders>
              <w:bottom w:val="single" w:sz="4" w:space="0" w:color="auto"/>
            </w:tcBorders>
            <w:shd w:val="clear" w:color="auto" w:fill="auto"/>
          </w:tcPr>
          <w:p w:rsidR="00E24DB7" w:rsidRPr="002C5876" w:rsidRDefault="00E24DB7" w:rsidP="00E24DB7">
            <w:pPr>
              <w:spacing w:before="60" w:after="60" w:line="240" w:lineRule="auto"/>
              <w:ind w:left="57" w:right="57"/>
            </w:pPr>
            <w:r w:rsidRPr="002C5876">
              <w:t>PNC (compteur du nombre de particules)</w:t>
            </w:r>
          </w:p>
        </w:tc>
        <w:tc>
          <w:tcPr>
            <w:tcW w:w="2225" w:type="dxa"/>
            <w:tcBorders>
              <w:bottom w:val="single" w:sz="4" w:space="0" w:color="auto"/>
            </w:tcBorders>
            <w:shd w:val="clear" w:color="auto" w:fill="auto"/>
          </w:tcPr>
          <w:p w:rsidR="00E24DB7" w:rsidRPr="002C5876" w:rsidRDefault="00E24DB7" w:rsidP="00E24DB7">
            <w:pPr>
              <w:spacing w:before="60" w:after="60" w:line="240" w:lineRule="auto"/>
              <w:ind w:left="57" w:right="57"/>
            </w:pPr>
            <w:r w:rsidRPr="002C5876">
              <w:t xml:space="preserve">Voir par. 5.7.1.1 de la présente annexe </w:t>
            </w:r>
          </w:p>
        </w:tc>
        <w:tc>
          <w:tcPr>
            <w:tcW w:w="2028" w:type="dxa"/>
            <w:tcBorders>
              <w:bottom w:val="single" w:sz="4" w:space="0" w:color="auto"/>
            </w:tcBorders>
            <w:shd w:val="clear" w:color="auto" w:fill="auto"/>
          </w:tcPr>
          <w:p w:rsidR="00E24DB7" w:rsidRPr="002C5876" w:rsidRDefault="00E24DB7" w:rsidP="00E24DB7">
            <w:pPr>
              <w:spacing w:before="60" w:after="60" w:line="240" w:lineRule="auto"/>
              <w:ind w:left="57" w:right="57"/>
            </w:pPr>
            <w:r w:rsidRPr="002C5876">
              <w:t xml:space="preserve">Voir par. 5.7.1.3 </w:t>
            </w:r>
            <w:r w:rsidRPr="002C5876">
              <w:br/>
              <w:t xml:space="preserve">de la présente annexe </w:t>
            </w:r>
          </w:p>
        </w:tc>
      </w:tr>
      <w:tr w:rsidR="00E24DB7" w:rsidRPr="002C5876" w:rsidTr="00E24DB7">
        <w:tc>
          <w:tcPr>
            <w:tcW w:w="4247" w:type="dxa"/>
            <w:tcBorders>
              <w:bottom w:val="single" w:sz="12" w:space="0" w:color="auto"/>
            </w:tcBorders>
            <w:shd w:val="clear" w:color="auto" w:fill="auto"/>
          </w:tcPr>
          <w:p w:rsidR="00E24DB7" w:rsidRPr="002C5876" w:rsidRDefault="00E24DB7" w:rsidP="00E24DB7">
            <w:pPr>
              <w:spacing w:before="60" w:after="60" w:line="240" w:lineRule="auto"/>
              <w:ind w:left="57" w:right="57"/>
            </w:pPr>
            <w:r w:rsidRPr="002C5876">
              <w:t xml:space="preserve">VPR (séparateur de particules volatiles) </w:t>
            </w:r>
            <w:bookmarkStart w:id="109" w:name="hit2"/>
            <w:bookmarkEnd w:id="109"/>
          </w:p>
        </w:tc>
        <w:tc>
          <w:tcPr>
            <w:tcW w:w="2225" w:type="dxa"/>
            <w:tcBorders>
              <w:bottom w:val="single" w:sz="12" w:space="0" w:color="auto"/>
            </w:tcBorders>
            <w:shd w:val="clear" w:color="auto" w:fill="auto"/>
          </w:tcPr>
          <w:p w:rsidR="00E24DB7" w:rsidRPr="002C5876" w:rsidRDefault="00E24DB7" w:rsidP="00E24DB7">
            <w:pPr>
              <w:spacing w:before="60" w:after="60" w:line="240" w:lineRule="auto"/>
              <w:ind w:left="57" w:right="57"/>
            </w:pPr>
            <w:r w:rsidRPr="002C5876">
              <w:t xml:space="preserve">Voir par. 5.7.2.1 de la présente annexe </w:t>
            </w:r>
          </w:p>
        </w:tc>
        <w:tc>
          <w:tcPr>
            <w:tcW w:w="2028" w:type="dxa"/>
            <w:tcBorders>
              <w:bottom w:val="single" w:sz="12" w:space="0" w:color="auto"/>
            </w:tcBorders>
            <w:shd w:val="clear" w:color="auto" w:fill="auto"/>
          </w:tcPr>
          <w:p w:rsidR="00E24DB7" w:rsidRPr="002C5876" w:rsidRDefault="00E24DB7" w:rsidP="00E24DB7">
            <w:pPr>
              <w:spacing w:before="60" w:after="60" w:line="240" w:lineRule="auto"/>
              <w:ind w:left="57" w:right="57"/>
            </w:pPr>
            <w:r w:rsidRPr="002C5876">
              <w:t xml:space="preserve">Voir par. 5.7.2 de la présente annexe </w:t>
            </w:r>
          </w:p>
        </w:tc>
      </w:tr>
    </w:tbl>
    <w:p w:rsidR="00E24DB7" w:rsidRPr="002C5876" w:rsidRDefault="00E24DB7" w:rsidP="00E24DB7">
      <w:pPr>
        <w:pStyle w:val="H23G"/>
        <w:keepNext w:val="0"/>
        <w:keepLines w:val="0"/>
      </w:pPr>
      <w:r w:rsidRPr="002C5876">
        <w:rPr>
          <w:b w:val="0"/>
        </w:rPr>
        <w:tab/>
      </w:r>
      <w:r w:rsidRPr="002C5876">
        <w:rPr>
          <w:b w:val="0"/>
        </w:rPr>
        <w:tab/>
        <w:t>Tableau A5/4</w:t>
      </w:r>
      <w:r w:rsidRPr="002C5876">
        <w:br/>
        <w:t xml:space="preserve">Périodicité d’étalonnage des systèmes de prélèvement à volume constant (CVS) </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252"/>
        <w:gridCol w:w="2224"/>
        <w:gridCol w:w="2028"/>
      </w:tblGrid>
      <w:tr w:rsidR="00E24DB7" w:rsidRPr="002C5876" w:rsidTr="00E24DB7">
        <w:trPr>
          <w:tblHeader/>
        </w:trPr>
        <w:tc>
          <w:tcPr>
            <w:tcW w:w="3686" w:type="dxa"/>
            <w:tcBorders>
              <w:bottom w:val="single" w:sz="12" w:space="0" w:color="auto"/>
            </w:tcBorders>
            <w:shd w:val="clear" w:color="auto" w:fill="auto"/>
            <w:vAlign w:val="bottom"/>
          </w:tcPr>
          <w:p w:rsidR="00E24DB7" w:rsidRPr="002C5876" w:rsidRDefault="00E24DB7" w:rsidP="00E24DB7">
            <w:pPr>
              <w:spacing w:before="80" w:after="80" w:line="200" w:lineRule="exact"/>
              <w:ind w:left="57" w:right="57"/>
              <w:rPr>
                <w:i/>
                <w:sz w:val="16"/>
              </w:rPr>
            </w:pPr>
            <w:r w:rsidRPr="002C5876">
              <w:rPr>
                <w:i/>
                <w:sz w:val="16"/>
              </w:rPr>
              <w:t>Système de prélèvement à volume constant</w:t>
            </w:r>
          </w:p>
        </w:tc>
        <w:tc>
          <w:tcPr>
            <w:tcW w:w="1928" w:type="dxa"/>
            <w:tcBorders>
              <w:bottom w:val="single" w:sz="12" w:space="0" w:color="auto"/>
            </w:tcBorders>
            <w:shd w:val="clear" w:color="auto" w:fill="auto"/>
            <w:vAlign w:val="bottom"/>
          </w:tcPr>
          <w:p w:rsidR="00E24DB7" w:rsidRPr="002C5876" w:rsidRDefault="00E24DB7" w:rsidP="00E24DB7">
            <w:pPr>
              <w:spacing w:before="80" w:after="80" w:line="200" w:lineRule="exact"/>
              <w:ind w:left="57" w:right="57"/>
              <w:rPr>
                <w:i/>
                <w:sz w:val="16"/>
              </w:rPr>
            </w:pPr>
            <w:r w:rsidRPr="002C5876">
              <w:rPr>
                <w:i/>
                <w:sz w:val="16"/>
              </w:rPr>
              <w:t>Périodicité</w:t>
            </w:r>
          </w:p>
        </w:tc>
        <w:tc>
          <w:tcPr>
            <w:tcW w:w="1758" w:type="dxa"/>
            <w:tcBorders>
              <w:bottom w:val="single" w:sz="12" w:space="0" w:color="auto"/>
            </w:tcBorders>
            <w:shd w:val="clear" w:color="auto" w:fill="auto"/>
            <w:vAlign w:val="bottom"/>
          </w:tcPr>
          <w:p w:rsidR="00E24DB7" w:rsidRPr="002C5876" w:rsidRDefault="00E24DB7" w:rsidP="00E24DB7">
            <w:pPr>
              <w:spacing w:before="80" w:after="80" w:line="200" w:lineRule="exact"/>
              <w:ind w:left="57" w:right="57"/>
              <w:rPr>
                <w:i/>
                <w:sz w:val="16"/>
              </w:rPr>
            </w:pPr>
            <w:r w:rsidRPr="002C5876">
              <w:rPr>
                <w:i/>
                <w:sz w:val="16"/>
              </w:rPr>
              <w:t>Critère</w:t>
            </w:r>
          </w:p>
        </w:tc>
      </w:tr>
      <w:tr w:rsidR="00E24DB7" w:rsidRPr="002C5876" w:rsidTr="00E24DB7">
        <w:tc>
          <w:tcPr>
            <w:tcW w:w="3686" w:type="dxa"/>
            <w:tcBorders>
              <w:top w:val="single" w:sz="12" w:space="0" w:color="auto"/>
            </w:tcBorders>
            <w:shd w:val="clear" w:color="auto" w:fill="auto"/>
          </w:tcPr>
          <w:p w:rsidR="00E24DB7" w:rsidRPr="002C5876" w:rsidRDefault="00E24DB7" w:rsidP="00E24DB7">
            <w:pPr>
              <w:spacing w:before="60" w:after="60" w:line="240" w:lineRule="auto"/>
              <w:ind w:left="57" w:right="57"/>
              <w:rPr>
                <w:spacing w:val="-2"/>
              </w:rPr>
            </w:pPr>
            <w:r w:rsidRPr="002C5876">
              <w:rPr>
                <w:spacing w:val="-2"/>
              </w:rPr>
              <w:t xml:space="preserve">Débit du système de prélèvement à volume constant </w:t>
            </w:r>
          </w:p>
        </w:tc>
        <w:tc>
          <w:tcPr>
            <w:tcW w:w="1928" w:type="dxa"/>
            <w:tcBorders>
              <w:top w:val="single" w:sz="12" w:space="0" w:color="auto"/>
            </w:tcBorders>
            <w:shd w:val="clear" w:color="auto" w:fill="auto"/>
          </w:tcPr>
          <w:p w:rsidR="00E24DB7" w:rsidRPr="002C5876" w:rsidRDefault="00E24DB7" w:rsidP="00E24DB7">
            <w:pPr>
              <w:spacing w:before="60" w:after="60" w:line="240" w:lineRule="auto"/>
              <w:ind w:left="57" w:right="57"/>
            </w:pPr>
            <w:r w:rsidRPr="002C5876">
              <w:t>Après chaque révision</w:t>
            </w:r>
          </w:p>
        </w:tc>
        <w:tc>
          <w:tcPr>
            <w:tcW w:w="1758" w:type="dxa"/>
            <w:tcBorders>
              <w:top w:val="single" w:sz="12" w:space="0" w:color="auto"/>
            </w:tcBorders>
            <w:shd w:val="clear" w:color="auto" w:fill="auto"/>
          </w:tcPr>
          <w:p w:rsidR="00E24DB7" w:rsidRPr="002C5876" w:rsidRDefault="00E24DB7" w:rsidP="00E24DB7">
            <w:pPr>
              <w:spacing w:before="60" w:after="60" w:line="240" w:lineRule="auto"/>
              <w:ind w:left="57" w:right="57"/>
            </w:pPr>
            <w:r w:rsidRPr="002C5876">
              <w:sym w:font="Symbol" w:char="F0B1"/>
            </w:r>
            <w:r w:rsidRPr="002C5876">
              <w:t>2 %</w:t>
            </w:r>
          </w:p>
        </w:tc>
      </w:tr>
      <w:tr w:rsidR="00E24DB7" w:rsidRPr="002C5876" w:rsidTr="00E24DB7">
        <w:tc>
          <w:tcPr>
            <w:tcW w:w="3686" w:type="dxa"/>
            <w:shd w:val="clear" w:color="auto" w:fill="auto"/>
          </w:tcPr>
          <w:p w:rsidR="00E24DB7" w:rsidRPr="002C5876" w:rsidRDefault="00E24DB7" w:rsidP="00E24DB7">
            <w:pPr>
              <w:spacing w:before="60" w:after="60" w:line="240" w:lineRule="auto"/>
              <w:ind w:left="57" w:right="57"/>
            </w:pPr>
            <w:r w:rsidRPr="002C5876">
              <w:t>Débit de dilution</w:t>
            </w:r>
          </w:p>
        </w:tc>
        <w:tc>
          <w:tcPr>
            <w:tcW w:w="1928" w:type="dxa"/>
            <w:shd w:val="clear" w:color="auto" w:fill="auto"/>
          </w:tcPr>
          <w:p w:rsidR="00E24DB7" w:rsidRPr="002C5876" w:rsidRDefault="00E24DB7" w:rsidP="00E24DB7">
            <w:pPr>
              <w:spacing w:before="60" w:after="60" w:line="240" w:lineRule="auto"/>
              <w:ind w:left="57" w:right="57"/>
            </w:pPr>
            <w:r w:rsidRPr="002C5876">
              <w:t>Annuelle</w:t>
            </w:r>
          </w:p>
        </w:tc>
        <w:tc>
          <w:tcPr>
            <w:tcW w:w="1758" w:type="dxa"/>
            <w:shd w:val="clear" w:color="auto" w:fill="auto"/>
          </w:tcPr>
          <w:p w:rsidR="00E24DB7" w:rsidRPr="002C5876" w:rsidRDefault="00E24DB7" w:rsidP="00E24DB7">
            <w:pPr>
              <w:spacing w:before="60" w:after="60" w:line="240" w:lineRule="auto"/>
              <w:ind w:left="57" w:right="57"/>
            </w:pPr>
            <w:r w:rsidRPr="002C5876">
              <w:sym w:font="Symbol" w:char="F0B1"/>
            </w:r>
            <w:r w:rsidRPr="002C5876">
              <w:t>2 %</w:t>
            </w:r>
          </w:p>
        </w:tc>
      </w:tr>
      <w:tr w:rsidR="00E24DB7" w:rsidRPr="002C5876" w:rsidTr="00E24DB7">
        <w:tc>
          <w:tcPr>
            <w:tcW w:w="3686" w:type="dxa"/>
            <w:shd w:val="clear" w:color="auto" w:fill="auto"/>
          </w:tcPr>
          <w:p w:rsidR="00E24DB7" w:rsidRPr="002C5876" w:rsidRDefault="00E24DB7" w:rsidP="00E24DB7">
            <w:pPr>
              <w:spacing w:before="60" w:after="60" w:line="240" w:lineRule="auto"/>
              <w:ind w:left="57" w:right="57"/>
            </w:pPr>
            <w:r w:rsidRPr="002C5876">
              <w:t>Capteur de température</w:t>
            </w:r>
          </w:p>
        </w:tc>
        <w:tc>
          <w:tcPr>
            <w:tcW w:w="1928" w:type="dxa"/>
            <w:shd w:val="clear" w:color="auto" w:fill="auto"/>
          </w:tcPr>
          <w:p w:rsidR="00E24DB7" w:rsidRPr="002C5876" w:rsidRDefault="00E24DB7" w:rsidP="00E24DB7">
            <w:pPr>
              <w:spacing w:before="60" w:after="60" w:line="240" w:lineRule="auto"/>
              <w:ind w:left="57" w:right="57"/>
            </w:pPr>
            <w:r w:rsidRPr="002C5876">
              <w:t>Annuelle</w:t>
            </w:r>
          </w:p>
        </w:tc>
        <w:tc>
          <w:tcPr>
            <w:tcW w:w="1758" w:type="dxa"/>
            <w:shd w:val="clear" w:color="auto" w:fill="auto"/>
          </w:tcPr>
          <w:p w:rsidR="00E24DB7" w:rsidRPr="002C5876" w:rsidRDefault="00E24DB7" w:rsidP="00E24DB7">
            <w:pPr>
              <w:spacing w:before="60" w:after="60" w:line="240" w:lineRule="auto"/>
              <w:ind w:left="57" w:right="57"/>
            </w:pPr>
            <w:r w:rsidRPr="002C5876">
              <w:sym w:font="Symbol" w:char="F0B1"/>
            </w:r>
            <w:r w:rsidRPr="002C5876">
              <w:t>1 °C</w:t>
            </w:r>
          </w:p>
        </w:tc>
      </w:tr>
      <w:tr w:rsidR="00E24DB7" w:rsidRPr="002C5876" w:rsidTr="00E24DB7">
        <w:tc>
          <w:tcPr>
            <w:tcW w:w="3686" w:type="dxa"/>
            <w:tcBorders>
              <w:bottom w:val="single" w:sz="4" w:space="0" w:color="auto"/>
            </w:tcBorders>
            <w:shd w:val="clear" w:color="auto" w:fill="auto"/>
          </w:tcPr>
          <w:p w:rsidR="00E24DB7" w:rsidRPr="002C5876" w:rsidRDefault="00E24DB7" w:rsidP="00E24DB7">
            <w:pPr>
              <w:spacing w:before="60" w:after="60" w:line="240" w:lineRule="auto"/>
              <w:ind w:left="57" w:right="57"/>
            </w:pPr>
            <w:r w:rsidRPr="002C5876">
              <w:t xml:space="preserve">Capteur de pression </w:t>
            </w:r>
          </w:p>
        </w:tc>
        <w:tc>
          <w:tcPr>
            <w:tcW w:w="1928" w:type="dxa"/>
            <w:tcBorders>
              <w:bottom w:val="single" w:sz="4" w:space="0" w:color="auto"/>
            </w:tcBorders>
            <w:shd w:val="clear" w:color="auto" w:fill="auto"/>
          </w:tcPr>
          <w:p w:rsidR="00E24DB7" w:rsidRPr="002C5876" w:rsidRDefault="00E24DB7" w:rsidP="00E24DB7">
            <w:pPr>
              <w:spacing w:before="60" w:after="60" w:line="240" w:lineRule="auto"/>
              <w:ind w:left="57" w:right="57"/>
            </w:pPr>
            <w:r w:rsidRPr="002C5876">
              <w:t>Annuelle</w:t>
            </w:r>
          </w:p>
        </w:tc>
        <w:tc>
          <w:tcPr>
            <w:tcW w:w="1758" w:type="dxa"/>
            <w:tcBorders>
              <w:bottom w:val="single" w:sz="4" w:space="0" w:color="auto"/>
            </w:tcBorders>
            <w:shd w:val="clear" w:color="auto" w:fill="auto"/>
          </w:tcPr>
          <w:p w:rsidR="00E24DB7" w:rsidRPr="002C5876" w:rsidRDefault="00E24DB7" w:rsidP="00E24DB7">
            <w:pPr>
              <w:spacing w:before="60" w:after="60" w:line="240" w:lineRule="auto"/>
              <w:ind w:left="57" w:right="57"/>
            </w:pPr>
            <w:r w:rsidRPr="002C5876">
              <w:sym w:font="Symbol" w:char="F0B1"/>
            </w:r>
            <w:r w:rsidRPr="002C5876">
              <w:t>0,4 kPa</w:t>
            </w:r>
          </w:p>
        </w:tc>
      </w:tr>
      <w:tr w:rsidR="00E24DB7" w:rsidRPr="002C5876" w:rsidTr="00E24DB7">
        <w:tc>
          <w:tcPr>
            <w:tcW w:w="3686" w:type="dxa"/>
            <w:tcBorders>
              <w:bottom w:val="single" w:sz="12" w:space="0" w:color="auto"/>
            </w:tcBorders>
            <w:shd w:val="clear" w:color="auto" w:fill="auto"/>
          </w:tcPr>
          <w:p w:rsidR="00E24DB7" w:rsidRPr="002C5876" w:rsidRDefault="00E24DB7" w:rsidP="00E24DB7">
            <w:pPr>
              <w:spacing w:before="60" w:after="60" w:line="240" w:lineRule="auto"/>
              <w:ind w:left="57" w:right="57"/>
            </w:pPr>
            <w:r w:rsidRPr="002C5876">
              <w:t xml:space="preserve">Vérification de l’injection </w:t>
            </w:r>
          </w:p>
        </w:tc>
        <w:tc>
          <w:tcPr>
            <w:tcW w:w="1928" w:type="dxa"/>
            <w:tcBorders>
              <w:bottom w:val="single" w:sz="12" w:space="0" w:color="auto"/>
            </w:tcBorders>
            <w:shd w:val="clear" w:color="auto" w:fill="auto"/>
          </w:tcPr>
          <w:p w:rsidR="00E24DB7" w:rsidRPr="002C5876" w:rsidRDefault="00E24DB7" w:rsidP="00E24DB7">
            <w:pPr>
              <w:spacing w:before="60" w:after="60" w:line="240" w:lineRule="auto"/>
              <w:ind w:left="57" w:right="57"/>
            </w:pPr>
            <w:r w:rsidRPr="002C5876">
              <w:t>Hebdomadaire</w:t>
            </w:r>
          </w:p>
        </w:tc>
        <w:tc>
          <w:tcPr>
            <w:tcW w:w="1758" w:type="dxa"/>
            <w:tcBorders>
              <w:bottom w:val="single" w:sz="12" w:space="0" w:color="auto"/>
            </w:tcBorders>
            <w:shd w:val="clear" w:color="auto" w:fill="auto"/>
          </w:tcPr>
          <w:p w:rsidR="00E24DB7" w:rsidRPr="002C5876" w:rsidRDefault="00E24DB7" w:rsidP="00E24DB7">
            <w:pPr>
              <w:spacing w:before="60" w:after="60" w:line="240" w:lineRule="auto"/>
              <w:ind w:left="57" w:right="57"/>
            </w:pPr>
            <w:r w:rsidRPr="002C5876">
              <w:sym w:font="Symbol" w:char="F0B1"/>
            </w:r>
            <w:r w:rsidRPr="002C5876">
              <w:t>2 %</w:t>
            </w:r>
          </w:p>
        </w:tc>
      </w:tr>
    </w:tbl>
    <w:p w:rsidR="00E24DB7" w:rsidRPr="002C5876" w:rsidRDefault="00E24DB7" w:rsidP="00E24DB7">
      <w:pPr>
        <w:pStyle w:val="H23G"/>
      </w:pPr>
      <w:r w:rsidRPr="002C5876">
        <w:rPr>
          <w:b w:val="0"/>
        </w:rPr>
        <w:lastRenderedPageBreak/>
        <w:tab/>
      </w:r>
      <w:r w:rsidRPr="002C5876">
        <w:rPr>
          <w:b w:val="0"/>
        </w:rPr>
        <w:tab/>
        <w:t>Tableau A5/5</w:t>
      </w:r>
      <w:r w:rsidRPr="002C5876">
        <w:br/>
        <w:t xml:space="preserve">Périodicité d’étalonnage pour les données environnementales </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261"/>
        <w:gridCol w:w="2230"/>
        <w:gridCol w:w="2013"/>
      </w:tblGrid>
      <w:tr w:rsidR="00E24DB7" w:rsidRPr="002C5876" w:rsidTr="00E24DB7">
        <w:trPr>
          <w:tblHeader/>
        </w:trPr>
        <w:tc>
          <w:tcPr>
            <w:tcW w:w="4261" w:type="dxa"/>
            <w:tcBorders>
              <w:bottom w:val="single" w:sz="12" w:space="0" w:color="auto"/>
            </w:tcBorders>
            <w:shd w:val="clear" w:color="auto" w:fill="auto"/>
            <w:vAlign w:val="bottom"/>
          </w:tcPr>
          <w:p w:rsidR="00E24DB7" w:rsidRPr="002C5876" w:rsidRDefault="00E24DB7" w:rsidP="00E24DB7">
            <w:pPr>
              <w:keepNext/>
              <w:spacing w:before="80" w:after="80" w:line="200" w:lineRule="exact"/>
              <w:ind w:left="57" w:right="57"/>
              <w:rPr>
                <w:i/>
                <w:sz w:val="16"/>
              </w:rPr>
            </w:pPr>
            <w:r w:rsidRPr="002C5876">
              <w:rPr>
                <w:i/>
                <w:sz w:val="16"/>
              </w:rPr>
              <w:t>Facteur ambiant</w:t>
            </w:r>
          </w:p>
        </w:tc>
        <w:tc>
          <w:tcPr>
            <w:tcW w:w="2230" w:type="dxa"/>
            <w:tcBorders>
              <w:bottom w:val="single" w:sz="12" w:space="0" w:color="auto"/>
            </w:tcBorders>
            <w:shd w:val="clear" w:color="auto" w:fill="auto"/>
            <w:vAlign w:val="bottom"/>
          </w:tcPr>
          <w:p w:rsidR="00E24DB7" w:rsidRPr="002C5876" w:rsidRDefault="00E24DB7" w:rsidP="00E24DB7">
            <w:pPr>
              <w:keepNext/>
              <w:spacing w:before="80" w:after="80" w:line="200" w:lineRule="exact"/>
              <w:ind w:left="57" w:right="57"/>
              <w:rPr>
                <w:i/>
                <w:sz w:val="16"/>
              </w:rPr>
            </w:pPr>
            <w:r w:rsidRPr="002C5876">
              <w:rPr>
                <w:i/>
                <w:sz w:val="16"/>
              </w:rPr>
              <w:t>Périodicité</w:t>
            </w:r>
          </w:p>
        </w:tc>
        <w:tc>
          <w:tcPr>
            <w:tcW w:w="2013" w:type="dxa"/>
            <w:tcBorders>
              <w:bottom w:val="single" w:sz="12" w:space="0" w:color="auto"/>
            </w:tcBorders>
            <w:shd w:val="clear" w:color="auto" w:fill="auto"/>
            <w:vAlign w:val="bottom"/>
          </w:tcPr>
          <w:p w:rsidR="00E24DB7" w:rsidRPr="002C5876" w:rsidRDefault="00E24DB7" w:rsidP="00E24DB7">
            <w:pPr>
              <w:keepNext/>
              <w:spacing w:before="80" w:after="80" w:line="200" w:lineRule="exact"/>
              <w:ind w:left="57" w:right="57"/>
              <w:rPr>
                <w:i/>
                <w:sz w:val="16"/>
              </w:rPr>
            </w:pPr>
            <w:r w:rsidRPr="002C5876">
              <w:rPr>
                <w:i/>
                <w:sz w:val="16"/>
              </w:rPr>
              <w:t>Critère</w:t>
            </w:r>
          </w:p>
        </w:tc>
      </w:tr>
      <w:tr w:rsidR="00E24DB7" w:rsidRPr="002C5876" w:rsidTr="00E24DB7">
        <w:tc>
          <w:tcPr>
            <w:tcW w:w="4261" w:type="dxa"/>
            <w:tcBorders>
              <w:top w:val="single" w:sz="12" w:space="0" w:color="auto"/>
            </w:tcBorders>
            <w:shd w:val="clear" w:color="auto" w:fill="auto"/>
          </w:tcPr>
          <w:p w:rsidR="00E24DB7" w:rsidRPr="002C5876" w:rsidRDefault="00E24DB7" w:rsidP="00E24DB7">
            <w:pPr>
              <w:keepNext/>
              <w:spacing w:before="60" w:after="60" w:line="240" w:lineRule="auto"/>
              <w:ind w:left="57" w:right="57"/>
            </w:pPr>
            <w:r w:rsidRPr="002C5876">
              <w:t>Température</w:t>
            </w:r>
          </w:p>
        </w:tc>
        <w:tc>
          <w:tcPr>
            <w:tcW w:w="2230" w:type="dxa"/>
            <w:tcBorders>
              <w:top w:val="single" w:sz="12" w:space="0" w:color="auto"/>
            </w:tcBorders>
            <w:shd w:val="clear" w:color="auto" w:fill="auto"/>
          </w:tcPr>
          <w:p w:rsidR="00E24DB7" w:rsidRPr="002C5876" w:rsidRDefault="00E24DB7" w:rsidP="00E24DB7">
            <w:pPr>
              <w:keepNext/>
              <w:spacing w:before="60" w:after="60" w:line="240" w:lineRule="auto"/>
              <w:ind w:left="57" w:right="57"/>
            </w:pPr>
            <w:r w:rsidRPr="002C5876">
              <w:t>Annuelle</w:t>
            </w:r>
          </w:p>
        </w:tc>
        <w:tc>
          <w:tcPr>
            <w:tcW w:w="2013" w:type="dxa"/>
            <w:tcBorders>
              <w:top w:val="single" w:sz="12" w:space="0" w:color="auto"/>
            </w:tcBorders>
            <w:shd w:val="clear" w:color="auto" w:fill="auto"/>
          </w:tcPr>
          <w:p w:rsidR="00E24DB7" w:rsidRPr="002C5876" w:rsidRDefault="00E24DB7" w:rsidP="00E24DB7">
            <w:pPr>
              <w:keepNext/>
              <w:spacing w:before="60" w:after="60" w:line="240" w:lineRule="auto"/>
              <w:ind w:left="57" w:right="57"/>
            </w:pPr>
            <w:r w:rsidRPr="002C5876">
              <w:sym w:font="Symbol" w:char="F0B1"/>
            </w:r>
            <w:r w:rsidRPr="002C5876">
              <w:t>1 °C</w:t>
            </w:r>
          </w:p>
        </w:tc>
      </w:tr>
      <w:tr w:rsidR="00E24DB7" w:rsidRPr="002C5876" w:rsidTr="00E24DB7">
        <w:tc>
          <w:tcPr>
            <w:tcW w:w="4261" w:type="dxa"/>
            <w:shd w:val="clear" w:color="auto" w:fill="auto"/>
          </w:tcPr>
          <w:p w:rsidR="00E24DB7" w:rsidRPr="002C5876" w:rsidRDefault="00E24DB7" w:rsidP="00E24DB7">
            <w:pPr>
              <w:spacing w:before="60" w:after="60" w:line="240" w:lineRule="auto"/>
              <w:ind w:left="57" w:right="57"/>
            </w:pPr>
            <w:r w:rsidRPr="002C5876">
              <w:t>Humidité et point de rosée</w:t>
            </w:r>
          </w:p>
        </w:tc>
        <w:tc>
          <w:tcPr>
            <w:tcW w:w="2230" w:type="dxa"/>
            <w:shd w:val="clear" w:color="auto" w:fill="auto"/>
          </w:tcPr>
          <w:p w:rsidR="00E24DB7" w:rsidRPr="002C5876" w:rsidRDefault="00E24DB7" w:rsidP="00E24DB7">
            <w:pPr>
              <w:spacing w:before="60" w:after="60" w:line="240" w:lineRule="auto"/>
              <w:ind w:left="57" w:right="57"/>
            </w:pPr>
            <w:r w:rsidRPr="002C5876">
              <w:t>Annuelle</w:t>
            </w:r>
          </w:p>
        </w:tc>
        <w:tc>
          <w:tcPr>
            <w:tcW w:w="2013" w:type="dxa"/>
            <w:shd w:val="clear" w:color="auto" w:fill="auto"/>
          </w:tcPr>
          <w:p w:rsidR="00E24DB7" w:rsidRPr="002C5876" w:rsidRDefault="00E24DB7" w:rsidP="00E24DB7">
            <w:pPr>
              <w:spacing w:before="60" w:after="60" w:line="240" w:lineRule="auto"/>
              <w:ind w:left="57" w:right="57"/>
            </w:pPr>
            <w:r w:rsidRPr="002C5876">
              <w:sym w:font="Symbol" w:char="F0B1"/>
            </w:r>
            <w:r w:rsidRPr="002C5876">
              <w:t>5 % HR</w:t>
            </w:r>
          </w:p>
        </w:tc>
      </w:tr>
      <w:tr w:rsidR="00E24DB7" w:rsidRPr="002C5876" w:rsidTr="00E24DB7">
        <w:tc>
          <w:tcPr>
            <w:tcW w:w="4261" w:type="dxa"/>
            <w:tcBorders>
              <w:bottom w:val="single" w:sz="4" w:space="0" w:color="auto"/>
            </w:tcBorders>
            <w:shd w:val="clear" w:color="auto" w:fill="auto"/>
          </w:tcPr>
          <w:p w:rsidR="00E24DB7" w:rsidRPr="002C5876" w:rsidRDefault="00E24DB7" w:rsidP="00E24DB7">
            <w:pPr>
              <w:spacing w:before="60" w:after="60" w:line="240" w:lineRule="auto"/>
              <w:ind w:left="57" w:right="57"/>
            </w:pPr>
            <w:r w:rsidRPr="002C5876">
              <w:t>Pression ambiante</w:t>
            </w:r>
          </w:p>
        </w:tc>
        <w:tc>
          <w:tcPr>
            <w:tcW w:w="2230" w:type="dxa"/>
            <w:tcBorders>
              <w:bottom w:val="single" w:sz="4" w:space="0" w:color="auto"/>
            </w:tcBorders>
            <w:shd w:val="clear" w:color="auto" w:fill="auto"/>
          </w:tcPr>
          <w:p w:rsidR="00E24DB7" w:rsidRPr="002C5876" w:rsidRDefault="00E24DB7" w:rsidP="00E24DB7">
            <w:pPr>
              <w:spacing w:before="60" w:after="60" w:line="240" w:lineRule="auto"/>
              <w:ind w:left="57" w:right="57"/>
            </w:pPr>
            <w:r w:rsidRPr="002C5876">
              <w:t>Annuelle</w:t>
            </w:r>
          </w:p>
        </w:tc>
        <w:tc>
          <w:tcPr>
            <w:tcW w:w="2013" w:type="dxa"/>
            <w:tcBorders>
              <w:bottom w:val="single" w:sz="4" w:space="0" w:color="auto"/>
            </w:tcBorders>
            <w:shd w:val="clear" w:color="auto" w:fill="auto"/>
          </w:tcPr>
          <w:p w:rsidR="00E24DB7" w:rsidRPr="002C5876" w:rsidRDefault="00E24DB7" w:rsidP="00E24DB7">
            <w:pPr>
              <w:spacing w:before="60" w:after="60" w:line="240" w:lineRule="auto"/>
              <w:ind w:left="57" w:right="57"/>
            </w:pPr>
            <w:r w:rsidRPr="002C5876">
              <w:sym w:font="Symbol" w:char="F0B1"/>
            </w:r>
            <w:r w:rsidRPr="002C5876">
              <w:t>0,4 kPa</w:t>
            </w:r>
          </w:p>
        </w:tc>
      </w:tr>
      <w:tr w:rsidR="00E24DB7" w:rsidRPr="002C5876" w:rsidTr="00E24DB7">
        <w:tc>
          <w:tcPr>
            <w:tcW w:w="4261" w:type="dxa"/>
            <w:tcBorders>
              <w:bottom w:val="single" w:sz="12" w:space="0" w:color="auto"/>
            </w:tcBorders>
            <w:shd w:val="clear" w:color="auto" w:fill="auto"/>
          </w:tcPr>
          <w:p w:rsidR="00E24DB7" w:rsidRPr="002C5876" w:rsidRDefault="00E24DB7" w:rsidP="00E24DB7">
            <w:pPr>
              <w:spacing w:before="60" w:after="60" w:line="240" w:lineRule="auto"/>
              <w:ind w:left="57" w:right="57"/>
            </w:pPr>
            <w:r w:rsidRPr="002C5876">
              <w:t>Ventilateur de refroidissement</w:t>
            </w:r>
          </w:p>
        </w:tc>
        <w:tc>
          <w:tcPr>
            <w:tcW w:w="2230" w:type="dxa"/>
            <w:tcBorders>
              <w:bottom w:val="single" w:sz="12" w:space="0" w:color="auto"/>
            </w:tcBorders>
            <w:shd w:val="clear" w:color="auto" w:fill="auto"/>
          </w:tcPr>
          <w:p w:rsidR="00E24DB7" w:rsidRPr="002C5876" w:rsidRDefault="00E24DB7" w:rsidP="00E24DB7">
            <w:pPr>
              <w:spacing w:before="60" w:after="60" w:line="240" w:lineRule="auto"/>
              <w:ind w:left="57" w:right="57"/>
            </w:pPr>
            <w:r w:rsidRPr="002C5876">
              <w:t>Après chaque révision</w:t>
            </w:r>
          </w:p>
        </w:tc>
        <w:tc>
          <w:tcPr>
            <w:tcW w:w="2013" w:type="dxa"/>
            <w:tcBorders>
              <w:bottom w:val="single" w:sz="12" w:space="0" w:color="auto"/>
            </w:tcBorders>
            <w:shd w:val="clear" w:color="auto" w:fill="auto"/>
          </w:tcPr>
          <w:p w:rsidR="00E24DB7" w:rsidRPr="002C5876" w:rsidRDefault="00E24DB7" w:rsidP="00E24DB7">
            <w:pPr>
              <w:spacing w:before="60" w:after="60" w:line="240" w:lineRule="auto"/>
              <w:ind w:left="57" w:right="57"/>
              <w:rPr>
                <w:spacing w:val="-2"/>
              </w:rPr>
            </w:pPr>
            <w:r w:rsidRPr="002C5876">
              <w:rPr>
                <w:spacing w:val="-2"/>
              </w:rPr>
              <w:t xml:space="preserve">Suivant prescriptions énoncées au paragraphe 1.1.1 </w:t>
            </w:r>
            <w:r w:rsidRPr="002C5876">
              <w:t>de la présente annexe</w:t>
            </w:r>
            <w:r w:rsidRPr="002C5876">
              <w:rPr>
                <w:spacing w:val="-2"/>
              </w:rPr>
              <w:t xml:space="preserve"> </w:t>
            </w:r>
          </w:p>
        </w:tc>
      </w:tr>
    </w:tbl>
    <w:p w:rsidR="00E24DB7" w:rsidRPr="002C5876" w:rsidRDefault="00E24DB7" w:rsidP="00E24DB7">
      <w:pPr>
        <w:pStyle w:val="SingleTxtG"/>
        <w:keepNext/>
        <w:spacing w:before="240"/>
        <w:ind w:left="2268" w:hanging="1134"/>
        <w:jc w:val="left"/>
      </w:pPr>
      <w:bookmarkStart w:id="110" w:name="_Toc284586967"/>
      <w:bookmarkStart w:id="111" w:name="_Toc284587138"/>
      <w:bookmarkStart w:id="112" w:name="_Toc284587389"/>
      <w:bookmarkStart w:id="113" w:name="_Toc289686207"/>
      <w:bookmarkStart w:id="114" w:name="_Toc284586968"/>
      <w:bookmarkStart w:id="115" w:name="_Toc284587142"/>
      <w:bookmarkStart w:id="116" w:name="_Toc284587393"/>
      <w:bookmarkStart w:id="117" w:name="_Toc289686208"/>
      <w:bookmarkStart w:id="118" w:name="_Toc284587143"/>
      <w:bookmarkStart w:id="119" w:name="_Toc284587394"/>
      <w:r w:rsidRPr="002C5876">
        <w:t>5.2</w:t>
      </w:r>
      <w:r w:rsidRPr="002C5876">
        <w:tab/>
        <w:t>Procédure</w:t>
      </w:r>
      <w:bookmarkEnd w:id="110"/>
      <w:bookmarkEnd w:id="111"/>
      <w:bookmarkEnd w:id="112"/>
      <w:bookmarkEnd w:id="113"/>
      <w:r w:rsidRPr="002C5876">
        <w:t xml:space="preserve"> d’étalonnage des analyseurs </w:t>
      </w:r>
    </w:p>
    <w:p w:rsidR="00E24DB7" w:rsidRPr="002C5876" w:rsidRDefault="00E24DB7" w:rsidP="00E24DB7">
      <w:pPr>
        <w:pStyle w:val="SingleTxtG"/>
        <w:ind w:left="2268" w:hanging="1134"/>
      </w:pPr>
      <w:r w:rsidRPr="002C5876">
        <w:t>5.2.1</w:t>
      </w:r>
      <w:r w:rsidRPr="002C5876">
        <w:tab/>
        <w:t>Chaque analyseur doit être étalonné suivant les prescriptions du fabricant et au moins suivant les périodicités énoncées dans le tableau A5/3.</w:t>
      </w:r>
      <w:bookmarkStart w:id="120" w:name="_Toc284587140"/>
      <w:bookmarkStart w:id="121" w:name="_Toc284587391"/>
      <w:r w:rsidRPr="002C5876">
        <w:t xml:space="preserve"> </w:t>
      </w:r>
    </w:p>
    <w:p w:rsidR="00E24DB7" w:rsidRPr="002C5876" w:rsidRDefault="00E24DB7" w:rsidP="00E24DB7">
      <w:pPr>
        <w:pStyle w:val="SingleTxtG"/>
        <w:keepNext/>
        <w:ind w:left="2268" w:hanging="1134"/>
      </w:pPr>
      <w:r w:rsidRPr="002C5876">
        <w:t>5.2.2</w:t>
      </w:r>
      <w:r w:rsidRPr="002C5876">
        <w:tab/>
        <w:t>La linéarisation de chaque gamme de mesure normalement utilisée est effectuée suivant la méthode définie ci-après</w:t>
      </w:r>
      <w:bookmarkEnd w:id="120"/>
      <w:bookmarkEnd w:id="121"/>
      <w:r w:rsidRPr="002C5876">
        <w:t>.</w:t>
      </w:r>
    </w:p>
    <w:p w:rsidR="00E24DB7" w:rsidRPr="002C5876" w:rsidRDefault="00E24DB7" w:rsidP="00E24DB7">
      <w:pPr>
        <w:pStyle w:val="SingleTxtG"/>
        <w:ind w:left="2268" w:hanging="1134"/>
      </w:pPr>
      <w:r w:rsidRPr="002C5876">
        <w:t>5.2.2.1</w:t>
      </w:r>
      <w:r w:rsidRPr="002C5876">
        <w:tab/>
        <w:t>On détermine la courbe de linéarisation d’après au moins cinq points d’étalonnage espacés aussi régulièrement que possible. La concentration nominale du gaz d’étalonnage à la plus forte concentration doit être au moins égale à 80 % de la pleine échelle.</w:t>
      </w:r>
    </w:p>
    <w:p w:rsidR="00E24DB7" w:rsidRPr="002C5876" w:rsidRDefault="00E24DB7" w:rsidP="00E24DB7">
      <w:pPr>
        <w:pStyle w:val="SingleTxtG"/>
        <w:ind w:left="2268" w:hanging="1134"/>
      </w:pPr>
      <w:r w:rsidRPr="002C5876">
        <w:t>5.2.2.2</w:t>
      </w:r>
      <w:r w:rsidRPr="002C5876">
        <w:tab/>
        <w:t>La concentration du gaz d’étalonnage prescrite peut être obtenue avec un mélangeur doseur de gaz par dilution avec de l’azote ou de l’air synthétique purifiés.</w:t>
      </w:r>
    </w:p>
    <w:p w:rsidR="00E24DB7" w:rsidRPr="002C5876" w:rsidRDefault="00E24DB7" w:rsidP="00E24DB7">
      <w:pPr>
        <w:pStyle w:val="SingleTxtG"/>
        <w:ind w:left="2268" w:hanging="1134"/>
      </w:pPr>
      <w:r w:rsidRPr="002C5876">
        <w:t>5.2.2.3</w:t>
      </w:r>
      <w:r w:rsidRPr="002C5876">
        <w:tab/>
        <w:t>La courbe de linéarisation est calculée par la méthode des moindres carrés. Si le polynôme obtenu est d’un degré supérieur à 3, le nombre de points d’étalonnage doit être au moins égal au degré de ce polynôme plus 2.</w:t>
      </w:r>
    </w:p>
    <w:p w:rsidR="00E24DB7" w:rsidRPr="002C5876" w:rsidRDefault="00E24DB7" w:rsidP="00E24DB7">
      <w:pPr>
        <w:pStyle w:val="SingleTxtG"/>
        <w:ind w:left="2268" w:hanging="1134"/>
      </w:pPr>
      <w:r w:rsidRPr="002C5876">
        <w:t>5.2.2.4</w:t>
      </w:r>
      <w:r w:rsidRPr="002C5876">
        <w:tab/>
        <w:t xml:space="preserve">La courbe d’étalonnage ne doit pas s’écarter de plus de </w:t>
      </w:r>
      <w:r w:rsidRPr="002C5876">
        <w:sym w:font="Symbol" w:char="F0B1"/>
      </w:r>
      <w:r w:rsidRPr="002C5876">
        <w:t>2 % de la valeur nominale de chaque gaz d’étalonnage.</w:t>
      </w:r>
    </w:p>
    <w:p w:rsidR="00E24DB7" w:rsidRPr="002C5876" w:rsidRDefault="00E24DB7" w:rsidP="00E24DB7">
      <w:pPr>
        <w:pStyle w:val="SingleTxtG"/>
        <w:keepNext/>
        <w:ind w:left="2268" w:hanging="1134"/>
      </w:pPr>
      <w:r w:rsidRPr="002C5876">
        <w:t>5.2.2.5</w:t>
      </w:r>
      <w:r w:rsidRPr="002C5876">
        <w:tab/>
        <w:t xml:space="preserve">Le tracé de la courbe de linéarisation et les points de linéarisation permettent de vérifier que l’étalonnage a été correctement exécuté. Les différents paramètres caractéristiques de l’analyseur doivent être indiqués, notamment : </w:t>
      </w:r>
    </w:p>
    <w:p w:rsidR="00E24DB7" w:rsidRPr="002C5876" w:rsidRDefault="00E24DB7" w:rsidP="00E24DB7">
      <w:pPr>
        <w:pStyle w:val="SingleTxtG"/>
        <w:ind w:left="2835" w:hanging="567"/>
      </w:pPr>
      <w:bookmarkStart w:id="122" w:name="_Toc284587141"/>
      <w:bookmarkStart w:id="123" w:name="_Toc284587392"/>
      <w:r w:rsidRPr="002C5876">
        <w:t>a)</w:t>
      </w:r>
      <w:r w:rsidRPr="002C5876">
        <w:tab/>
        <w:t>L’analyseur et le constituant gazeux ;</w:t>
      </w:r>
    </w:p>
    <w:p w:rsidR="00E24DB7" w:rsidRPr="002C5876" w:rsidRDefault="00E24DB7" w:rsidP="00E24DB7">
      <w:pPr>
        <w:pStyle w:val="SingleTxtG"/>
        <w:ind w:left="2835" w:hanging="567"/>
      </w:pPr>
      <w:r w:rsidRPr="002C5876">
        <w:t>b)</w:t>
      </w:r>
      <w:r w:rsidRPr="002C5876">
        <w:tab/>
        <w:t>La gamme ;</w:t>
      </w:r>
    </w:p>
    <w:p w:rsidR="00E24DB7" w:rsidRPr="002C5876" w:rsidRDefault="00E24DB7" w:rsidP="00E24DB7">
      <w:pPr>
        <w:pStyle w:val="SingleTxtG"/>
        <w:ind w:left="2835" w:hanging="567"/>
      </w:pPr>
      <w:r w:rsidRPr="002C5876">
        <w:t>c)</w:t>
      </w:r>
      <w:r w:rsidRPr="002C5876">
        <w:tab/>
        <w:t>La date de la linéarisation.</w:t>
      </w:r>
    </w:p>
    <w:p w:rsidR="00E24DB7" w:rsidRPr="002C5876" w:rsidRDefault="00E24DB7" w:rsidP="00E24DB7">
      <w:pPr>
        <w:pStyle w:val="SingleTxtG"/>
        <w:ind w:left="2268" w:hanging="1134"/>
      </w:pPr>
      <w:r w:rsidRPr="002C5876">
        <w:t>5.2.2.6</w:t>
      </w:r>
      <w:r w:rsidRPr="002C5876">
        <w:tab/>
        <w:t>D’autres techniques (utilisation d’un calculateur, commutation de gamme électronique, etc.) peuvent être appliquées, si l’autorité compétente est convaincue qu’elles offrent une exactitude équivalente.</w:t>
      </w:r>
      <w:bookmarkEnd w:id="122"/>
      <w:bookmarkEnd w:id="123"/>
      <w:r w:rsidRPr="002C5876">
        <w:t xml:space="preserve"> </w:t>
      </w:r>
    </w:p>
    <w:p w:rsidR="00E24DB7" w:rsidRPr="002C5876" w:rsidRDefault="00E24DB7" w:rsidP="00E24DB7">
      <w:pPr>
        <w:pStyle w:val="SingleTxtG"/>
        <w:keepNext/>
        <w:ind w:left="2268" w:hanging="1134"/>
        <w:jc w:val="left"/>
      </w:pPr>
      <w:r w:rsidRPr="002C5876">
        <w:t>5.3</w:t>
      </w:r>
      <w:r w:rsidRPr="002C5876">
        <w:tab/>
        <w:t xml:space="preserve">Procédure de vérification du zéro et de l’étalonnage de l’analyseur </w:t>
      </w:r>
      <w:bookmarkEnd w:id="114"/>
      <w:bookmarkEnd w:id="115"/>
      <w:bookmarkEnd w:id="116"/>
      <w:bookmarkEnd w:id="117"/>
    </w:p>
    <w:p w:rsidR="00E24DB7" w:rsidRPr="002C5876" w:rsidRDefault="00E24DB7" w:rsidP="00E24DB7">
      <w:pPr>
        <w:pStyle w:val="SingleTxtG"/>
        <w:ind w:left="2268" w:hanging="1134"/>
        <w:rPr>
          <w:spacing w:val="-2"/>
        </w:rPr>
      </w:pPr>
      <w:r w:rsidRPr="002C5876">
        <w:rPr>
          <w:spacing w:val="-2"/>
        </w:rPr>
        <w:t>5.3.1</w:t>
      </w:r>
      <w:r w:rsidRPr="002C5876">
        <w:rPr>
          <w:spacing w:val="-2"/>
        </w:rPr>
        <w:tab/>
      </w:r>
      <w:bookmarkEnd w:id="118"/>
      <w:bookmarkEnd w:id="119"/>
      <w:r w:rsidRPr="002C5876">
        <w:rPr>
          <w:spacing w:val="-2"/>
        </w:rPr>
        <w:t>Chaque gamme de mesure normalement utilisée doit être vérifiée avant chaque analyse conformément aux prescriptions des paragraphes 5.3.1.1 et 5.3.1.2 de la présente annexe.</w:t>
      </w:r>
    </w:p>
    <w:p w:rsidR="00E24DB7" w:rsidRPr="002C5876" w:rsidRDefault="00E24DB7" w:rsidP="00E24DB7">
      <w:pPr>
        <w:pStyle w:val="SingleTxtG"/>
        <w:ind w:left="2268" w:hanging="1134"/>
      </w:pPr>
      <w:bookmarkStart w:id="124" w:name="_Toc284587144"/>
      <w:bookmarkStart w:id="125" w:name="_Toc284587395"/>
      <w:r w:rsidRPr="002C5876">
        <w:t>5.3.1.1</w:t>
      </w:r>
      <w:r w:rsidRPr="002C5876">
        <w:tab/>
      </w:r>
      <w:bookmarkEnd w:id="124"/>
      <w:bookmarkEnd w:id="125"/>
      <w:r w:rsidRPr="002C5876">
        <w:t>On vérifie l’étalonnage en utilisant un gaz de zéro et un gaz d’étalonnage comme indiqué au paragraphe 2.14.2.3 de l’annexe 6.</w:t>
      </w:r>
    </w:p>
    <w:p w:rsidR="00E24DB7" w:rsidRPr="002C5876" w:rsidRDefault="00E24DB7" w:rsidP="00E24DB7">
      <w:pPr>
        <w:pStyle w:val="SingleTxtG"/>
        <w:ind w:left="2268" w:hanging="1134"/>
      </w:pPr>
      <w:bookmarkStart w:id="126" w:name="_Toc284587146"/>
      <w:bookmarkStart w:id="127" w:name="_Toc284587397"/>
      <w:r w:rsidRPr="002C5876">
        <w:t>5.3.1.2</w:t>
      </w:r>
      <w:r w:rsidRPr="002C5876">
        <w:tab/>
      </w:r>
      <w:bookmarkStart w:id="128" w:name="_Toc284586969"/>
      <w:bookmarkStart w:id="129" w:name="_Toc284587147"/>
      <w:bookmarkStart w:id="130" w:name="_Toc284587398"/>
      <w:bookmarkStart w:id="131" w:name="_Toc289686209"/>
      <w:bookmarkEnd w:id="126"/>
      <w:bookmarkEnd w:id="127"/>
      <w:r w:rsidRPr="002C5876">
        <w:t>Après l’essai, le gaz de zéro et le même gaz d’étalonnage sont utilisés pour un nouveau contrôle comme indiqué au paragraphe 2.14.2.4 de l’annexe 6.</w:t>
      </w:r>
    </w:p>
    <w:p w:rsidR="00E24DB7" w:rsidRPr="002C5876" w:rsidRDefault="00E24DB7" w:rsidP="00E24DB7">
      <w:pPr>
        <w:pStyle w:val="SingleTxtG"/>
        <w:keepNext/>
        <w:ind w:left="2268" w:hanging="1134"/>
        <w:jc w:val="left"/>
      </w:pPr>
      <w:r w:rsidRPr="002C5876">
        <w:lastRenderedPageBreak/>
        <w:t>5.4</w:t>
      </w:r>
      <w:r w:rsidRPr="002C5876">
        <w:tab/>
        <w:t>Contrôle de la réponse aux hydrocarbures du détecteur à ionisation</w:t>
      </w:r>
      <w:r w:rsidRPr="002C5876">
        <w:br/>
        <w:t>de flamme</w:t>
      </w:r>
      <w:bookmarkStart w:id="132" w:name="_Toc284587148"/>
      <w:bookmarkStart w:id="133" w:name="_Toc284587399"/>
      <w:bookmarkEnd w:id="128"/>
      <w:bookmarkEnd w:id="129"/>
      <w:bookmarkEnd w:id="130"/>
      <w:bookmarkEnd w:id="131"/>
      <w:r w:rsidRPr="002C5876">
        <w:t xml:space="preserve"> </w:t>
      </w:r>
    </w:p>
    <w:p w:rsidR="00E24DB7" w:rsidRPr="002C5876" w:rsidRDefault="00E24DB7" w:rsidP="00E24DB7">
      <w:pPr>
        <w:pStyle w:val="SingleTxtG"/>
        <w:keepNext/>
        <w:ind w:left="2268" w:hanging="1134"/>
        <w:jc w:val="left"/>
      </w:pPr>
      <w:r w:rsidRPr="002C5876">
        <w:t>5.4.1</w:t>
      </w:r>
      <w:r w:rsidRPr="002C5876">
        <w:tab/>
      </w:r>
      <w:bookmarkEnd w:id="132"/>
      <w:bookmarkEnd w:id="133"/>
      <w:r w:rsidRPr="002C5876">
        <w:t>Optimisation de la réponse du détecteur</w:t>
      </w:r>
    </w:p>
    <w:p w:rsidR="00E24DB7" w:rsidRPr="002C5876" w:rsidRDefault="00E24DB7" w:rsidP="00E24DB7">
      <w:pPr>
        <w:pStyle w:val="SingleTxtG"/>
        <w:ind w:left="2268"/>
      </w:pPr>
      <w:r w:rsidRPr="002C5876">
        <w:tab/>
        <w:t xml:space="preserve">Le détecteur doit être réglé selon les instructions fournies par le fabricant. Il faut utiliser un mélange propane-air dans la gamme de mesure la plus courante. </w:t>
      </w:r>
    </w:p>
    <w:p w:rsidR="00E24DB7" w:rsidRPr="002C5876" w:rsidRDefault="00E24DB7" w:rsidP="00E24DB7">
      <w:pPr>
        <w:pStyle w:val="SingleTxtG"/>
        <w:keepNext/>
        <w:ind w:left="2268" w:hanging="1134"/>
        <w:jc w:val="left"/>
      </w:pPr>
      <w:bookmarkStart w:id="134" w:name="_Toc284587149"/>
      <w:bookmarkStart w:id="135" w:name="_Toc284587400"/>
      <w:r w:rsidRPr="002C5876">
        <w:t>5.4.2</w:t>
      </w:r>
      <w:r w:rsidRPr="002C5876">
        <w:tab/>
      </w:r>
      <w:bookmarkEnd w:id="134"/>
      <w:bookmarkEnd w:id="135"/>
      <w:r w:rsidRPr="002C5876">
        <w:t>Étalonnage de l’analyseur d’hydrocarbures</w:t>
      </w:r>
    </w:p>
    <w:p w:rsidR="00E24DB7" w:rsidRPr="002C5876" w:rsidRDefault="00E24DB7" w:rsidP="00E24DB7">
      <w:pPr>
        <w:pStyle w:val="SingleTxtG"/>
        <w:ind w:left="2268" w:hanging="1134"/>
      </w:pPr>
      <w:r w:rsidRPr="002C5876">
        <w:t>5.4.2.1</w:t>
      </w:r>
      <w:r w:rsidRPr="002C5876">
        <w:tab/>
        <w:t xml:space="preserve">L’analyseur doit être étalonné au moyen d’un mélange propane-air et d’air synthétique purifié. </w:t>
      </w:r>
    </w:p>
    <w:p w:rsidR="00E24DB7" w:rsidRPr="002C5876" w:rsidRDefault="00E24DB7" w:rsidP="00E24DB7">
      <w:pPr>
        <w:pStyle w:val="SingleTxtG"/>
        <w:ind w:left="2268" w:hanging="1134"/>
      </w:pPr>
      <w:r w:rsidRPr="002C5876">
        <w:t>5.4.2.2</w:t>
      </w:r>
      <w:r w:rsidRPr="002C5876">
        <w:tab/>
        <w:t>On établit la courbe d’étalonnage comme indiqué au paragraphe 5.2.2 de la présente annexe.</w:t>
      </w:r>
    </w:p>
    <w:p w:rsidR="00E24DB7" w:rsidRPr="002C5876" w:rsidRDefault="00E24DB7" w:rsidP="00E24DB7">
      <w:pPr>
        <w:pStyle w:val="SingleTxtG"/>
        <w:keepNext/>
        <w:ind w:left="2268" w:hanging="1134"/>
        <w:jc w:val="left"/>
      </w:pPr>
      <w:bookmarkStart w:id="136" w:name="_Toc284587150"/>
      <w:bookmarkStart w:id="137" w:name="_Toc284587401"/>
      <w:r w:rsidRPr="002C5876">
        <w:t>5.4.3</w:t>
      </w:r>
      <w:r w:rsidRPr="002C5876">
        <w:tab/>
      </w:r>
      <w:bookmarkEnd w:id="136"/>
      <w:bookmarkEnd w:id="137"/>
      <w:r w:rsidRPr="002C5876">
        <w:rPr>
          <w:spacing w:val="-2"/>
        </w:rPr>
        <w:t>Facteurs de réponse pour les différents hydrocarbures et limites recommandées</w:t>
      </w:r>
    </w:p>
    <w:p w:rsidR="00E24DB7" w:rsidRPr="002C5876" w:rsidRDefault="00E24DB7" w:rsidP="00E24DB7">
      <w:pPr>
        <w:pStyle w:val="SingleTxtG"/>
        <w:ind w:left="2268" w:hanging="1134"/>
      </w:pPr>
      <w:r w:rsidRPr="002C5876">
        <w:t>5.4.3.1</w:t>
      </w:r>
      <w:r w:rsidRPr="002C5876">
        <w:tab/>
        <w:t>Pour un composé hydrocarbure déterminé, le facteur de réponse R</w:t>
      </w:r>
      <w:r w:rsidRPr="002C5876">
        <w:rPr>
          <w:vertAlign w:val="subscript"/>
        </w:rPr>
        <w:t>f</w:t>
      </w:r>
      <w:r w:rsidRPr="002C5876">
        <w:t xml:space="preserve"> s’exprime par le rapport entre l’indication C</w:t>
      </w:r>
      <w:r w:rsidRPr="002C5876">
        <w:rPr>
          <w:vertAlign w:val="subscript"/>
        </w:rPr>
        <w:t>1</w:t>
      </w:r>
      <w:r w:rsidRPr="002C5876">
        <w:t xml:space="preserve"> donnée par le détecteur et la concentration du gaz d’étalonnage exprimée en ppm de C</w:t>
      </w:r>
      <w:r w:rsidRPr="002C5876">
        <w:rPr>
          <w:vertAlign w:val="subscript"/>
        </w:rPr>
        <w:t>1</w:t>
      </w:r>
      <w:r w:rsidRPr="002C5876">
        <w:t>.</w:t>
      </w:r>
    </w:p>
    <w:p w:rsidR="00E24DB7" w:rsidRPr="002C5876" w:rsidRDefault="00E24DB7" w:rsidP="00E24DB7">
      <w:pPr>
        <w:pStyle w:val="SingleTxtG"/>
        <w:ind w:left="2268"/>
      </w:pPr>
      <w:r w:rsidRPr="002C5876">
        <w:tab/>
        <w:t xml:space="preserve">La concentration du gaz d’essai doit être suffisante pour donner une réponse correspondant à environ 80 % de la déviation totale, pour la gamme de sensibilité choisie. La concentration doit être connue à </w:t>
      </w:r>
      <w:r w:rsidRPr="002C5876">
        <w:sym w:font="Symbol" w:char="F0B1"/>
      </w:r>
      <w:r w:rsidRPr="002C5876">
        <w:t xml:space="preserve">2 % près par rapport à un étalon gravimétrique exprimé en volume. En outre, les bouteilles de gaz doivent avoir été entreposées pendant 24 h à une température comprise entre 20 °C et 30 °C avant le contrôle. </w:t>
      </w:r>
    </w:p>
    <w:p w:rsidR="00E24DB7" w:rsidRPr="002C5876" w:rsidRDefault="00E24DB7" w:rsidP="00E24DB7">
      <w:pPr>
        <w:pStyle w:val="SingleTxtG"/>
        <w:keepNext/>
        <w:ind w:left="2268" w:hanging="1134"/>
      </w:pPr>
      <w:r w:rsidRPr="002C5876">
        <w:t>5.4.3.2</w:t>
      </w:r>
      <w:r w:rsidRPr="002C5876">
        <w:tab/>
        <w:t>Les facteurs de réponse sont déterminés lors de la mise en service de l’analyseur puis à des intervalles correspondant aux principales opérations d’entretien. Les gaz d’essai à utiliser et les facteurs de réponse recommandés sont les suivants :</w:t>
      </w:r>
    </w:p>
    <w:p w:rsidR="00E24DB7" w:rsidRPr="002C5876" w:rsidRDefault="00E24DB7" w:rsidP="00E24DB7">
      <w:pPr>
        <w:pStyle w:val="SingleTxtG"/>
        <w:ind w:left="4536" w:hanging="2268"/>
        <w:jc w:val="left"/>
      </w:pPr>
      <w:r w:rsidRPr="002C5876">
        <w:t>Propylène et air purifié :</w:t>
      </w:r>
      <w:r w:rsidRPr="002C5876">
        <w:tab/>
        <w:t>0,90 &lt; R</w:t>
      </w:r>
      <w:r w:rsidRPr="002C5876">
        <w:rPr>
          <w:vertAlign w:val="subscript"/>
        </w:rPr>
        <w:t>f</w:t>
      </w:r>
      <w:r w:rsidRPr="002C5876">
        <w:t xml:space="preserve"> &lt; 1,10</w:t>
      </w:r>
    </w:p>
    <w:p w:rsidR="00E24DB7" w:rsidRPr="002C5876" w:rsidRDefault="00E24DB7" w:rsidP="00E24DB7">
      <w:pPr>
        <w:pStyle w:val="SingleTxtG"/>
        <w:ind w:left="4536" w:hanging="2268"/>
        <w:jc w:val="left"/>
      </w:pPr>
      <w:r w:rsidRPr="002C5876">
        <w:t>Toluène et air purifié :</w:t>
      </w:r>
      <w:r w:rsidRPr="002C5876">
        <w:tab/>
        <w:t>0,90 &lt; R</w:t>
      </w:r>
      <w:r w:rsidRPr="002C5876">
        <w:rPr>
          <w:vertAlign w:val="subscript"/>
        </w:rPr>
        <w:t>f</w:t>
      </w:r>
      <w:r w:rsidRPr="002C5876">
        <w:t xml:space="preserve"> &lt; 1,10</w:t>
      </w:r>
    </w:p>
    <w:p w:rsidR="00E24DB7" w:rsidRPr="002C5876" w:rsidRDefault="00E24DB7" w:rsidP="00E24DB7">
      <w:pPr>
        <w:pStyle w:val="SingleTxtG"/>
        <w:ind w:left="2268"/>
      </w:pPr>
      <w:r w:rsidRPr="002C5876">
        <w:tab/>
        <w:t>Le facteur de réponse (R</w:t>
      </w:r>
      <w:r w:rsidRPr="002C5876">
        <w:rPr>
          <w:vertAlign w:val="subscript"/>
        </w:rPr>
        <w:t>f</w:t>
      </w:r>
      <w:r w:rsidRPr="002C5876">
        <w:t>) de 1,00 correspond au mélange de propane et d’air purifié.</w:t>
      </w:r>
    </w:p>
    <w:p w:rsidR="00E24DB7" w:rsidRPr="002C5876" w:rsidRDefault="00E24DB7" w:rsidP="00E24DB7">
      <w:pPr>
        <w:pStyle w:val="SingleTxtG"/>
        <w:keepNext/>
        <w:ind w:left="2268" w:hanging="1134"/>
        <w:jc w:val="left"/>
      </w:pPr>
      <w:bookmarkStart w:id="138" w:name="_Toc284586970"/>
      <w:bookmarkStart w:id="139" w:name="_Toc284587151"/>
      <w:bookmarkStart w:id="140" w:name="_Toc284587402"/>
      <w:r w:rsidRPr="002C5876">
        <w:t>5.5</w:t>
      </w:r>
      <w:r w:rsidRPr="002C5876">
        <w:tab/>
      </w:r>
      <w:bookmarkEnd w:id="138"/>
      <w:bookmarkEnd w:id="139"/>
      <w:bookmarkEnd w:id="140"/>
      <w:r w:rsidRPr="002C5876">
        <w:t>Essai d’efficacité du convertisseur de NO</w:t>
      </w:r>
      <w:r w:rsidRPr="002C5876">
        <w:rPr>
          <w:vertAlign w:val="subscript"/>
        </w:rPr>
        <w:t>x</w:t>
      </w:r>
    </w:p>
    <w:p w:rsidR="00E24DB7" w:rsidRPr="002C5876" w:rsidRDefault="00E24DB7" w:rsidP="00E24DB7">
      <w:pPr>
        <w:pStyle w:val="SingleTxtG"/>
        <w:ind w:left="2268" w:hanging="1134"/>
      </w:pPr>
      <w:r w:rsidRPr="002C5876">
        <w:t>5.5.1</w:t>
      </w:r>
      <w:r w:rsidRPr="002C5876">
        <w:tab/>
        <w:t>L’efficacité du convertisseur utilisé pour la conversion de NO</w:t>
      </w:r>
      <w:r w:rsidRPr="002C5876">
        <w:rPr>
          <w:vertAlign w:val="subscript"/>
        </w:rPr>
        <w:t>2</w:t>
      </w:r>
      <w:r w:rsidRPr="002C5876">
        <w:t xml:space="preserve"> et NO doit être contrôlée au moyen d’un ozoniseur, conformément au montage d’essai présenté à la figure A5/15 et à la procédure décrite ci-après. </w:t>
      </w:r>
    </w:p>
    <w:p w:rsidR="00E24DB7" w:rsidRPr="002C5876" w:rsidRDefault="00E24DB7" w:rsidP="00E24DB7">
      <w:pPr>
        <w:pStyle w:val="SingleTxtG"/>
        <w:ind w:left="2268" w:hanging="1134"/>
      </w:pPr>
      <w:bookmarkStart w:id="141" w:name="_Toc284587152"/>
      <w:bookmarkStart w:id="142" w:name="_Toc284587403"/>
      <w:r w:rsidRPr="002C5876">
        <w:t>5.5.1.1</w:t>
      </w:r>
      <w:r w:rsidRPr="002C5876">
        <w:tab/>
        <w:t>On étalonne l’analyseur sur la gamme la plus couramment utilisée conformément aux instructions du fabricant, avec un gaz de zéro et un gaz d’étalonnage (la teneur en NO de ce dernier doit correspondre à 80 % environ de la pleine échelle, et la concentration de NO</w:t>
      </w:r>
      <w:r w:rsidRPr="002C5876">
        <w:rPr>
          <w:vertAlign w:val="subscript"/>
        </w:rPr>
        <w:t>2</w:t>
      </w:r>
      <w:r w:rsidRPr="002C5876">
        <w:t xml:space="preserve"> dans le mélange de gaz doit être inférieure à 5 % de la concentration de NO). On doit régler l’analyseur de NO</w:t>
      </w:r>
      <w:r w:rsidRPr="002C5876">
        <w:rPr>
          <w:vertAlign w:val="subscript"/>
        </w:rPr>
        <w:t>x</w:t>
      </w:r>
      <w:r w:rsidRPr="002C5876">
        <w:t xml:space="preserve"> sur le mode NO, afin que le gaz d’étalonnage ne passe pas dans le convertisseur. On enregistre la concentration affichée.</w:t>
      </w:r>
    </w:p>
    <w:p w:rsidR="00E24DB7" w:rsidRPr="002C5876" w:rsidRDefault="00E24DB7" w:rsidP="00E24DB7">
      <w:pPr>
        <w:pStyle w:val="SingleTxtG"/>
        <w:ind w:left="2268" w:hanging="1134"/>
      </w:pPr>
      <w:bookmarkStart w:id="143" w:name="_Toc284587153"/>
      <w:bookmarkStart w:id="144" w:name="_Toc284587404"/>
      <w:bookmarkEnd w:id="141"/>
      <w:bookmarkEnd w:id="142"/>
      <w:r w:rsidRPr="002C5876">
        <w:t>5.5.1.2</w:t>
      </w:r>
      <w:r w:rsidRPr="002C5876">
        <w:tab/>
        <w:t xml:space="preserve">Par un raccord en T, on ajoute de manière continue de l’oxygène ou de l’air synthétique au courant de gaz d’étalonnage jusqu’à ce que la concentration affichée soit d’environ 10 % inférieure à la concentration d’étalonnage affichée telle qu’elle est spécifiée au paragraphe 5.5.1.1 de la présente annexe. On enregistre la concentration affichée c. L’ozoniseur doit demeurer hors fonction pendant toute cette opération. </w:t>
      </w:r>
      <w:bookmarkEnd w:id="143"/>
      <w:bookmarkEnd w:id="144"/>
    </w:p>
    <w:p w:rsidR="00E24DB7" w:rsidRPr="002C5876" w:rsidRDefault="00E24DB7" w:rsidP="00E24DB7">
      <w:pPr>
        <w:pStyle w:val="SingleTxtG"/>
        <w:ind w:left="2268" w:hanging="1134"/>
      </w:pPr>
      <w:bookmarkStart w:id="145" w:name="_Toc284587154"/>
      <w:bookmarkStart w:id="146" w:name="_Toc284587405"/>
      <w:r w:rsidRPr="002C5876">
        <w:t>5.5.1.3</w:t>
      </w:r>
      <w:r w:rsidRPr="002C5876">
        <w:tab/>
        <w:t xml:space="preserve">On met alors en fonction l’ozoniseur de manière à produire suffisamment d’ozone pour abaisser la concentration de NO à 20 % (valeur minimale 10 %) de la concentration d’étalonnage spécifiée au paragraphe 5.5.1.1 de la présente annexe. </w:t>
      </w:r>
      <w:bookmarkEnd w:id="145"/>
      <w:bookmarkEnd w:id="146"/>
      <w:r w:rsidRPr="002C5876">
        <w:t xml:space="preserve">On enregistre la concentration affichée d. </w:t>
      </w:r>
    </w:p>
    <w:p w:rsidR="00E24DB7" w:rsidRPr="002C5876" w:rsidRDefault="00E24DB7" w:rsidP="00E24DB7">
      <w:pPr>
        <w:pStyle w:val="SingleTxtG"/>
        <w:ind w:left="2268" w:hanging="1134"/>
      </w:pPr>
      <w:bookmarkStart w:id="147" w:name="_Toc284587155"/>
      <w:bookmarkStart w:id="148" w:name="_Toc284587406"/>
      <w:r w:rsidRPr="002C5876">
        <w:lastRenderedPageBreak/>
        <w:t>5.5.1.4</w:t>
      </w:r>
      <w:r w:rsidRPr="002C5876">
        <w:tab/>
        <w:t>On commute ensuite l’analyseur sur le mode NO</w:t>
      </w:r>
      <w:r w:rsidRPr="002C5876">
        <w:rPr>
          <w:vertAlign w:val="subscript"/>
        </w:rPr>
        <w:t>x</w:t>
      </w:r>
      <w:r w:rsidRPr="002C5876">
        <w:t>, et le mélange de gaz (constitué de NO, NO</w:t>
      </w:r>
      <w:r w:rsidRPr="002C5876">
        <w:rPr>
          <w:vertAlign w:val="subscript"/>
        </w:rPr>
        <w:t>2</w:t>
      </w:r>
      <w:r w:rsidRPr="002C5876">
        <w:t>, O</w:t>
      </w:r>
      <w:r w:rsidRPr="002C5876">
        <w:rPr>
          <w:vertAlign w:val="subscript"/>
        </w:rPr>
        <w:t>2</w:t>
      </w:r>
      <w:r w:rsidRPr="002C5876">
        <w:t xml:space="preserve"> et N</w:t>
      </w:r>
      <w:r w:rsidRPr="002C5876">
        <w:rPr>
          <w:vertAlign w:val="subscript"/>
        </w:rPr>
        <w:t>2</w:t>
      </w:r>
      <w:r w:rsidRPr="002C5876">
        <w:t xml:space="preserve">) traverse désormais le convertisseur. On enregistre la concentration affichée a. </w:t>
      </w:r>
      <w:bookmarkEnd w:id="147"/>
      <w:bookmarkEnd w:id="148"/>
    </w:p>
    <w:p w:rsidR="00E24DB7" w:rsidRPr="002C5876" w:rsidRDefault="00E24DB7" w:rsidP="00E24DB7">
      <w:pPr>
        <w:pStyle w:val="SingleTxtG"/>
        <w:ind w:left="2268" w:hanging="1134"/>
      </w:pPr>
      <w:bookmarkStart w:id="149" w:name="_Toc284587156"/>
      <w:bookmarkStart w:id="150" w:name="_Toc284587407"/>
      <w:r w:rsidRPr="002C5876">
        <w:t>5.5.1.5</w:t>
      </w:r>
      <w:r w:rsidRPr="002C5876">
        <w:tab/>
        <w:t xml:space="preserve">On met ensuite hors fonction l’ozoniseur. Le mélange de gaz défini au paragraphe 5.5.1.2 de la présente annexe </w:t>
      </w:r>
      <w:bookmarkEnd w:id="149"/>
      <w:bookmarkEnd w:id="150"/>
      <w:r w:rsidRPr="002C5876">
        <w:t>traverse le convertisseur puis le détecteur. On enregistre la concentration affichée b.</w:t>
      </w:r>
    </w:p>
    <w:p w:rsidR="00E24DB7" w:rsidRPr="002C5876" w:rsidRDefault="00E24DB7" w:rsidP="00E24DB7">
      <w:pPr>
        <w:pStyle w:val="H23G"/>
      </w:pPr>
      <w:r w:rsidRPr="002C5876">
        <w:tab/>
      </w:r>
      <w:r w:rsidRPr="002C5876">
        <w:rPr>
          <w:b w:val="0"/>
        </w:rPr>
        <w:tab/>
        <w:t>Figure A5/15</w:t>
      </w:r>
      <w:r w:rsidRPr="002C5876">
        <w:br/>
        <w:t>Configuration de l’essai d’efficacité du convertisseur de NO</w:t>
      </w:r>
      <w:r w:rsidRPr="002C5876">
        <w:rPr>
          <w:vertAlign w:val="subscript"/>
        </w:rPr>
        <w:t xml:space="preserve">x </w:t>
      </w:r>
    </w:p>
    <w:p w:rsidR="00E24DB7" w:rsidRPr="002C5876" w:rsidRDefault="00E24DB7" w:rsidP="00E24DB7">
      <w:pPr>
        <w:ind w:left="1134"/>
      </w:pPr>
      <w:r w:rsidRPr="002C5876">
        <w:rPr>
          <w:noProof/>
          <w:lang w:val="en-GB" w:eastAsia="zh-CN"/>
        </w:rPr>
        <w:drawing>
          <wp:inline distT="0" distB="0" distL="0" distR="0" wp14:anchorId="3065D3ED" wp14:editId="4D7FEB03">
            <wp:extent cx="4619625" cy="2933700"/>
            <wp:effectExtent l="0" t="0" r="9525" b="0"/>
            <wp:docPr id="233"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619625" cy="2933700"/>
                    </a:xfrm>
                    <a:prstGeom prst="rect">
                      <a:avLst/>
                    </a:prstGeom>
                    <a:noFill/>
                    <a:ln>
                      <a:noFill/>
                    </a:ln>
                  </pic:spPr>
                </pic:pic>
              </a:graphicData>
            </a:graphic>
          </wp:inline>
        </w:drawing>
      </w:r>
    </w:p>
    <w:p w:rsidR="00E24DB7" w:rsidRPr="002C5876" w:rsidRDefault="00E24DB7" w:rsidP="00E24DB7">
      <w:pPr>
        <w:pStyle w:val="SingleTxtG"/>
        <w:spacing w:before="240"/>
        <w:ind w:left="2268" w:hanging="1134"/>
      </w:pPr>
      <w:bookmarkStart w:id="151" w:name="_Toc284587157"/>
      <w:bookmarkStart w:id="152" w:name="_Toc284587408"/>
      <w:r w:rsidRPr="002C5876">
        <w:t>5.5.1.6</w:t>
      </w:r>
      <w:r w:rsidRPr="002C5876">
        <w:tab/>
      </w:r>
      <w:r w:rsidRPr="002C5876">
        <w:rPr>
          <w:spacing w:val="-2"/>
        </w:rPr>
        <w:t>L’ozoniseur étant toujours hors fonction, on coupe aussi l’arrivée d’oxygène ou d’air synthétique. La valeur de NO</w:t>
      </w:r>
      <w:r w:rsidRPr="002C5876">
        <w:rPr>
          <w:spacing w:val="-2"/>
          <w:vertAlign w:val="subscript"/>
        </w:rPr>
        <w:t>2</w:t>
      </w:r>
      <w:r w:rsidRPr="002C5876">
        <w:rPr>
          <w:spacing w:val="-2"/>
        </w:rPr>
        <w:t xml:space="preserve"> affichée par l’analyseur ne doit pas alors être supérieure de plus de 5 % à la valeur spécifiée au paragraphe 5.5.1.1 </w:t>
      </w:r>
      <w:r w:rsidRPr="002C5876">
        <w:t>de la présente annexe</w:t>
      </w:r>
      <w:r w:rsidRPr="002C5876">
        <w:rPr>
          <w:spacing w:val="-2"/>
        </w:rPr>
        <w:t>.</w:t>
      </w:r>
      <w:bookmarkEnd w:id="151"/>
      <w:bookmarkEnd w:id="152"/>
    </w:p>
    <w:p w:rsidR="00E24DB7" w:rsidRPr="002C5876" w:rsidRDefault="00E24DB7" w:rsidP="00E24DB7">
      <w:pPr>
        <w:pStyle w:val="SingleTxtG"/>
        <w:keepNext/>
        <w:ind w:left="2268" w:hanging="1134"/>
      </w:pPr>
      <w:bookmarkStart w:id="153" w:name="_Toc284587158"/>
      <w:bookmarkStart w:id="154" w:name="_Toc284587409"/>
      <w:r w:rsidRPr="002C5876">
        <w:t>5.5.1.7</w:t>
      </w:r>
      <w:r w:rsidRPr="002C5876">
        <w:tab/>
        <w:t>Pour calculer l’efficacité en pourcentage du convertisseur de NO</w:t>
      </w:r>
      <w:r w:rsidRPr="002C5876">
        <w:rPr>
          <w:vertAlign w:val="subscript"/>
        </w:rPr>
        <w:t>x</w:t>
      </w:r>
      <w:r w:rsidRPr="002C5876">
        <w:t>, il convient d’utiliser comme suit les concentrations a, b, c et d déterminées comme indiqué aux paragraphes 5.5.1.2 à 5.5.1.5 de la présente annexe en appliquant l’équation ci-après :</w:t>
      </w:r>
      <w:bookmarkEnd w:id="153"/>
      <w:bookmarkEnd w:id="154"/>
      <w:r w:rsidRPr="002C5876">
        <w:t xml:space="preserve"> </w:t>
      </w:r>
    </w:p>
    <w:p w:rsidR="001C30AB" w:rsidRPr="002C5876" w:rsidRDefault="001C30AB" w:rsidP="00E24DB7">
      <w:pPr>
        <w:pStyle w:val="SingleTxtG"/>
        <w:keepNext/>
        <w:ind w:left="2268" w:hanging="1134"/>
      </w:pPr>
      <m:oMathPara>
        <m:oMath>
          <m:r>
            <m:rPr>
              <m:sty m:val="p"/>
            </m:rPr>
            <w:rPr>
              <w:rFonts w:ascii="Cambria Math" w:hAnsi="Cambria Math"/>
            </w:rPr>
            <m:t xml:space="preserve">Efficacité = </m:t>
          </m:r>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a-b</m:t>
                  </m:r>
                </m:num>
                <m:den>
                  <m:r>
                    <m:rPr>
                      <m:sty m:val="p"/>
                    </m:rPr>
                    <w:rPr>
                      <w:rFonts w:ascii="Cambria Math" w:hAnsi="Cambria Math"/>
                    </w:rPr>
                    <m:t>c-d</m:t>
                  </m:r>
                </m:den>
              </m:f>
            </m:e>
          </m:d>
          <m:r>
            <m:rPr>
              <m:sty m:val="p"/>
            </m:rPr>
            <w:rPr>
              <w:rFonts w:ascii="Cambria Math" w:hAnsi="Cambria Math"/>
            </w:rPr>
            <m:t>×100</m:t>
          </m:r>
        </m:oMath>
      </m:oMathPara>
    </w:p>
    <w:p w:rsidR="00E24DB7" w:rsidRPr="002C5876" w:rsidRDefault="00E24DB7" w:rsidP="00E24DB7">
      <w:pPr>
        <w:pStyle w:val="SingleTxtG"/>
        <w:ind w:left="2268"/>
      </w:pPr>
      <w:bookmarkStart w:id="155" w:name="_Toc284587160"/>
      <w:bookmarkStart w:id="156" w:name="_Toc284587411"/>
      <w:r w:rsidRPr="002C5876">
        <w:t>La valeur ainsi obtenue ne doit pas être inférieure à 95 %. L’efficacité du convertisseur doit être contrôlée selon la périodicité prescrite au tableau A5/3.</w:t>
      </w:r>
      <w:bookmarkEnd w:id="155"/>
      <w:bookmarkEnd w:id="156"/>
      <w:r w:rsidRPr="002C5876">
        <w:t xml:space="preserve"> </w:t>
      </w:r>
    </w:p>
    <w:p w:rsidR="00E24DB7" w:rsidRPr="002C5876" w:rsidRDefault="00E24DB7" w:rsidP="00E24DB7">
      <w:pPr>
        <w:pStyle w:val="SingleTxtG"/>
        <w:keepNext/>
        <w:ind w:left="2268" w:hanging="1134"/>
        <w:jc w:val="left"/>
      </w:pPr>
      <w:r w:rsidRPr="002C5876">
        <w:t>5.6</w:t>
      </w:r>
      <w:r w:rsidRPr="002C5876">
        <w:tab/>
        <w:t xml:space="preserve">Étalonnage de la microbalance </w:t>
      </w:r>
    </w:p>
    <w:p w:rsidR="00E24DB7" w:rsidRPr="002C5876" w:rsidRDefault="00E24DB7" w:rsidP="00E24DB7">
      <w:pPr>
        <w:pStyle w:val="SingleTxtG"/>
        <w:ind w:left="2268"/>
      </w:pPr>
      <w:r w:rsidRPr="002C5876">
        <w:tab/>
        <w:t xml:space="preserve">L’étalonnage de la microbalance utilisée pour le pesage du filtre de prélèvement de particules doit être conforme à une norme nationale ou internationale spécifiée. La balance doit être conforme aux prescriptions en matière de linéarité énoncées au paragraphe 4.2.2.2 de la présente annexe. La vérification de la linéarité doit être effectuée au moins tous les 12 mois ou après chaque réparation ou modification du système susceptible de modifier l’étalonnage. </w:t>
      </w:r>
    </w:p>
    <w:p w:rsidR="00E24DB7" w:rsidRPr="002C5876" w:rsidRDefault="00E24DB7" w:rsidP="00E24DB7">
      <w:pPr>
        <w:pStyle w:val="SingleTxtG"/>
        <w:keepNext/>
        <w:ind w:left="2268" w:hanging="1134"/>
        <w:jc w:val="left"/>
      </w:pPr>
      <w:r w:rsidRPr="002C5876">
        <w:t>5.7</w:t>
      </w:r>
      <w:r w:rsidRPr="002C5876">
        <w:tab/>
        <w:t xml:space="preserve">Étalonnage et validation du système de prélèvement des particules </w:t>
      </w:r>
      <w:r w:rsidRPr="002C5876">
        <w:br/>
        <w:t>(le cas échéant)</w:t>
      </w:r>
    </w:p>
    <w:p w:rsidR="00E24DB7" w:rsidRPr="002C5876" w:rsidRDefault="00E24DB7" w:rsidP="00E24DB7">
      <w:pPr>
        <w:pStyle w:val="SingleTxtG"/>
        <w:ind w:left="2268"/>
      </w:pPr>
      <w:r w:rsidRPr="002C5876">
        <w:tab/>
        <w:t>On trouvera des exemples de méthodes d’étalonnage et de validation sur le site suivant : http://www.unece.org/trans/main/wp29/wp29wgs/wp29grpe/</w:t>
      </w:r>
      <w:r w:rsidRPr="002C5876">
        <w:br/>
        <w:t>pmpFCP.html.</w:t>
      </w:r>
    </w:p>
    <w:p w:rsidR="00E24DB7" w:rsidRPr="002C5876" w:rsidRDefault="00E24DB7" w:rsidP="00E24DB7">
      <w:pPr>
        <w:pStyle w:val="SingleTxtG"/>
        <w:keepNext/>
        <w:ind w:left="2268" w:hanging="1134"/>
        <w:jc w:val="left"/>
      </w:pPr>
      <w:r w:rsidRPr="002C5876">
        <w:lastRenderedPageBreak/>
        <w:t>5.7.1</w:t>
      </w:r>
      <w:r w:rsidRPr="002C5876">
        <w:tab/>
        <w:t>Étalonnage du compteur du nombre de particules (PNC)</w:t>
      </w:r>
    </w:p>
    <w:p w:rsidR="00E24DB7" w:rsidRPr="002C5876" w:rsidRDefault="00E24DB7" w:rsidP="00E24DB7">
      <w:pPr>
        <w:pStyle w:val="SingleTxtG"/>
        <w:ind w:left="2268" w:hanging="1134"/>
        <w:rPr>
          <w:spacing w:val="-2"/>
        </w:rPr>
      </w:pPr>
      <w:r w:rsidRPr="002C5876">
        <w:rPr>
          <w:spacing w:val="-2"/>
        </w:rPr>
        <w:t>5.7.1.1</w:t>
      </w:r>
      <w:r w:rsidRPr="002C5876">
        <w:rPr>
          <w:spacing w:val="-2"/>
        </w:rPr>
        <w:tab/>
        <w:t xml:space="preserve">L’autorité compétente vérifie l’existence d’un certificat d’étalonnage du PNC attestant la conformité du PNC à une norme spécifiée, établi dans les 13 mois précédant l’essai. Entre les étalonnages, on doit soit contrôler l’efficacité de comptage du PNC soit remplacer tous les 6 mois la mèche du PNC. Voir les figures A5/16 et A5/17. L’efficacité de comptage du PNC peut être contrôlée par comparaison avec un PNC de référence ou avec au moins deux autres PNC de mesure. Si le PNC indique des concentrations de particules ne s’écartant pas de </w:t>
      </w:r>
      <w:r w:rsidRPr="002C5876">
        <w:rPr>
          <w:spacing w:val="-2"/>
        </w:rPr>
        <w:sym w:font="Symbol" w:char="F0B1"/>
      </w:r>
      <w:r w:rsidRPr="002C5876">
        <w:rPr>
          <w:spacing w:val="-2"/>
        </w:rPr>
        <w:t xml:space="preserve">10 % de la moyenne arithmétique des concentrations du PNC de référence ou d’un groupe des PNC de mesure, il est considéré comme stable ; dans le cas contraire, il faudra procéder à des opérations d’entretien du PNC. Lorsque le PNC est contrôlé par rapport à deux ou plusieurs autres PNC de mesure, il est admis d’utiliser pour le contrôle un véhicule de référence devant passer successivement dans différentes chambres d’essai chacune équipée de son propre PNC. </w:t>
      </w:r>
    </w:p>
    <w:p w:rsidR="00E24DB7" w:rsidRPr="002C5876" w:rsidRDefault="00E24DB7" w:rsidP="00E24DB7">
      <w:pPr>
        <w:pStyle w:val="H23G"/>
      </w:pPr>
      <w:r w:rsidRPr="002C5876">
        <w:rPr>
          <w:b w:val="0"/>
        </w:rPr>
        <w:tab/>
      </w:r>
      <w:r w:rsidRPr="002C5876">
        <w:rPr>
          <w:b w:val="0"/>
        </w:rPr>
        <w:tab/>
        <w:t>Figure A5/16</w:t>
      </w:r>
      <w:r w:rsidRPr="002C5876">
        <w:br/>
        <w:t>Séquence annuelle nominale de vérification d’un PNC</w:t>
      </w:r>
    </w:p>
    <w:p w:rsidR="00E24DB7" w:rsidRPr="002C5876" w:rsidRDefault="00E24DB7" w:rsidP="00E24DB7">
      <w:pPr>
        <w:ind w:left="1134"/>
      </w:pPr>
      <w:r w:rsidRPr="002C5876">
        <w:rPr>
          <w:noProof/>
          <w:lang w:val="en-GB" w:eastAsia="zh-CN"/>
        </w:rPr>
        <w:drawing>
          <wp:inline distT="0" distB="0" distL="0" distR="0" wp14:anchorId="3A346E22" wp14:editId="0871D0F7">
            <wp:extent cx="4249781" cy="1149531"/>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6" cstate="print">
                      <a:extLst>
                        <a:ext uri="{28A0092B-C50C-407E-A947-70E740481C1C}">
                          <a14:useLocalDpi xmlns:a14="http://schemas.microsoft.com/office/drawing/2010/main" val="0"/>
                        </a:ext>
                      </a:extLst>
                    </a:blip>
                    <a:srcRect l="-1479" t="-5609" r="-1479"/>
                    <a:stretch>
                      <a:fillRect/>
                    </a:stretch>
                  </pic:blipFill>
                  <pic:spPr bwMode="auto">
                    <a:xfrm>
                      <a:off x="0" y="0"/>
                      <a:ext cx="4297590" cy="1162463"/>
                    </a:xfrm>
                    <a:prstGeom prst="rect">
                      <a:avLst/>
                    </a:prstGeom>
                    <a:noFill/>
                    <a:ln w="6350" cmpd="sng">
                      <a:noFill/>
                      <a:miter lim="800000"/>
                      <a:headEnd/>
                      <a:tailEnd/>
                    </a:ln>
                    <a:effectLst/>
                  </pic:spPr>
                </pic:pic>
              </a:graphicData>
            </a:graphic>
          </wp:inline>
        </w:drawing>
      </w:r>
    </w:p>
    <w:p w:rsidR="00E24DB7" w:rsidRPr="002C5876" w:rsidRDefault="00E24DB7" w:rsidP="00E24DB7">
      <w:pPr>
        <w:pStyle w:val="H23G"/>
      </w:pPr>
      <w:r w:rsidRPr="002C5876">
        <w:rPr>
          <w:b w:val="0"/>
        </w:rPr>
        <w:tab/>
      </w:r>
      <w:r w:rsidRPr="002C5876">
        <w:rPr>
          <w:b w:val="0"/>
        </w:rPr>
        <w:tab/>
        <w:t>Figure A5/17</w:t>
      </w:r>
      <w:r w:rsidRPr="002C5876">
        <w:br/>
        <w:t xml:space="preserve">Séquence annuelle élargie de vérification d’un PNC (dans le cas où un étalonnage </w:t>
      </w:r>
      <w:r w:rsidRPr="002C5876">
        <w:br/>
        <w:t>complet du PNC est différé)</w:t>
      </w:r>
    </w:p>
    <w:p w:rsidR="00E24DB7" w:rsidRPr="002C5876" w:rsidRDefault="00E24DB7" w:rsidP="00E24DB7">
      <w:pPr>
        <w:ind w:left="1134"/>
      </w:pPr>
      <w:r w:rsidRPr="002C5876">
        <w:rPr>
          <w:noProof/>
          <w:lang w:val="en-GB" w:eastAsia="zh-CN"/>
        </w:rPr>
        <w:drawing>
          <wp:inline distT="0" distB="0" distL="0" distR="0" wp14:anchorId="116A5991" wp14:editId="37FACE3E">
            <wp:extent cx="4648200" cy="1228725"/>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7" cstate="print">
                      <a:extLst>
                        <a:ext uri="{28A0092B-C50C-407E-A947-70E740481C1C}">
                          <a14:useLocalDpi xmlns:a14="http://schemas.microsoft.com/office/drawing/2010/main" val="0"/>
                        </a:ext>
                      </a:extLst>
                    </a:blip>
                    <a:srcRect l="-1228" t="-4918" b="-2458"/>
                    <a:stretch>
                      <a:fillRect/>
                    </a:stretch>
                  </pic:blipFill>
                  <pic:spPr bwMode="auto">
                    <a:xfrm>
                      <a:off x="0" y="0"/>
                      <a:ext cx="4648200" cy="1228725"/>
                    </a:xfrm>
                    <a:prstGeom prst="rect">
                      <a:avLst/>
                    </a:prstGeom>
                    <a:noFill/>
                    <a:ln w="6350" cmpd="sng">
                      <a:noFill/>
                      <a:miter lim="800000"/>
                      <a:headEnd/>
                      <a:tailEnd/>
                    </a:ln>
                    <a:effectLst/>
                  </pic:spPr>
                </pic:pic>
              </a:graphicData>
            </a:graphic>
          </wp:inline>
        </w:drawing>
      </w:r>
    </w:p>
    <w:p w:rsidR="00E24DB7" w:rsidRPr="002C5876" w:rsidRDefault="00E24DB7" w:rsidP="00E24DB7">
      <w:pPr>
        <w:pStyle w:val="SingleTxtG"/>
        <w:spacing w:before="240"/>
        <w:ind w:left="2268" w:hanging="1134"/>
      </w:pPr>
      <w:r w:rsidRPr="002C5876">
        <w:t>5.7.1.2</w:t>
      </w:r>
      <w:r w:rsidRPr="002C5876">
        <w:tab/>
        <w:t xml:space="preserve">Après toute opération d’entretien importante, le PNC doit être à nouveau étalonné et un nouveau certificat d’étalonnage doit être établi. </w:t>
      </w:r>
    </w:p>
    <w:p w:rsidR="00E24DB7" w:rsidRPr="002C5876" w:rsidRDefault="00E24DB7" w:rsidP="00E24DB7">
      <w:pPr>
        <w:pStyle w:val="SingleTxtG"/>
        <w:keepNext/>
        <w:ind w:left="2268" w:hanging="1134"/>
      </w:pPr>
      <w:r w:rsidRPr="002C5876">
        <w:t>5.7.1.3</w:t>
      </w:r>
      <w:r w:rsidRPr="002C5876">
        <w:tab/>
        <w:t>L’étalonnage doit être effectué conformément à une méthode d’étalonnage nationale ou internationale spécifiée, par comparaison de la réponse du PNC à étalonner avec :</w:t>
      </w:r>
    </w:p>
    <w:p w:rsidR="00E24DB7" w:rsidRPr="002C5876" w:rsidRDefault="00E24DB7" w:rsidP="00E24DB7">
      <w:pPr>
        <w:pStyle w:val="SingleTxtG"/>
        <w:ind w:left="2835" w:hanging="567"/>
      </w:pPr>
      <w:r w:rsidRPr="002C5876">
        <w:t>a)</w:t>
      </w:r>
      <w:r w:rsidRPr="002C5876">
        <w:tab/>
        <w:t>Celle d’un électromètre à aérosol étalonné analysant simultanément en fonction de leur charge électrostatique les particules servant à l’étalonnage ; ou</w:t>
      </w:r>
    </w:p>
    <w:p w:rsidR="00E24DB7" w:rsidRPr="002C5876" w:rsidRDefault="00E24DB7" w:rsidP="00E24DB7">
      <w:pPr>
        <w:pStyle w:val="SingleTxtG"/>
        <w:ind w:left="2835" w:hanging="567"/>
      </w:pPr>
      <w:r w:rsidRPr="002C5876">
        <w:t>b)</w:t>
      </w:r>
      <w:r w:rsidRPr="002C5876">
        <w:tab/>
        <w:t xml:space="preserve">Celle d’un deuxième PNC qui a été directement étalonné selon la méthode décrite ci-dessus. </w:t>
      </w:r>
    </w:p>
    <w:p w:rsidR="00E24DB7" w:rsidRPr="002C5876" w:rsidRDefault="00E24DB7" w:rsidP="00E24DB7">
      <w:pPr>
        <w:pStyle w:val="SingleTxtG"/>
        <w:ind w:left="2268" w:hanging="1134"/>
      </w:pPr>
      <w:r w:rsidRPr="002C5876">
        <w:t>5.7.1.3.1</w:t>
      </w:r>
      <w:r w:rsidRPr="002C5876">
        <w:tab/>
      </w:r>
      <w:r w:rsidRPr="002C5876">
        <w:rPr>
          <w:spacing w:val="-1"/>
        </w:rPr>
        <w:t>Dans le cas décrit à l’alinéa a) du paragraphe 5.7.1.3 de la présente annexe, on procède à l’étalonnage en utilisant au moins six concentrations de référence espacées le plus uniformément possible sur la plage de mesure du PNC</w:t>
      </w:r>
      <w:r w:rsidRPr="002C5876">
        <w:t xml:space="preserve">. </w:t>
      </w:r>
    </w:p>
    <w:p w:rsidR="00E24DB7" w:rsidRPr="002C5876" w:rsidRDefault="00E24DB7" w:rsidP="00E24DB7">
      <w:pPr>
        <w:pStyle w:val="SingleTxtG"/>
        <w:ind w:left="2268" w:hanging="1134"/>
      </w:pPr>
      <w:r w:rsidRPr="002C5876">
        <w:t>5.7.1.3.2</w:t>
      </w:r>
      <w:r w:rsidRPr="002C5876">
        <w:tab/>
      </w:r>
      <w:r w:rsidRPr="002C5876">
        <w:rPr>
          <w:spacing w:val="-2"/>
        </w:rPr>
        <w:t xml:space="preserve">Dans le cas décrit à l’alinéa b) du paragraphe 5.7.1.3 </w:t>
      </w:r>
      <w:r w:rsidRPr="002C5876">
        <w:t>de la présente annexe</w:t>
      </w:r>
      <w:r w:rsidRPr="002C5876">
        <w:rPr>
          <w:spacing w:val="-2"/>
        </w:rPr>
        <w:t xml:space="preserve">, on procède à l’étalonnage en utilisant au moins six concentrations de référence réparties sur la plage de mesure du PNC. Trois points au moins doivent être à </w:t>
      </w:r>
      <w:r w:rsidRPr="002C5876">
        <w:rPr>
          <w:spacing w:val="-2"/>
        </w:rPr>
        <w:lastRenderedPageBreak/>
        <w:t>des concentrations inférieures à 1 000 par cm</w:t>
      </w:r>
      <w:r w:rsidRPr="002C5876">
        <w:rPr>
          <w:spacing w:val="-2"/>
          <w:vertAlign w:val="superscript"/>
        </w:rPr>
        <w:t>3</w:t>
      </w:r>
      <w:r w:rsidRPr="002C5876">
        <w:rPr>
          <w:spacing w:val="-2"/>
        </w:rPr>
        <w:t>, les concentrations restantes devant être linéairement espacées entre 1 000 par cm</w:t>
      </w:r>
      <w:r w:rsidRPr="002C5876">
        <w:rPr>
          <w:spacing w:val="-2"/>
          <w:vertAlign w:val="superscript"/>
        </w:rPr>
        <w:t>3</w:t>
      </w:r>
      <w:r w:rsidRPr="002C5876">
        <w:rPr>
          <w:spacing w:val="-2"/>
        </w:rPr>
        <w:t xml:space="preserve"> et la concentration maximale à laquelle le PNC peut fonctionner en mode de comptage particule par particule.</w:t>
      </w:r>
      <w:r w:rsidRPr="002C5876">
        <w:t xml:space="preserve"> </w:t>
      </w:r>
    </w:p>
    <w:p w:rsidR="00E24DB7" w:rsidRPr="002C5876" w:rsidRDefault="00E24DB7" w:rsidP="00E24DB7">
      <w:pPr>
        <w:pStyle w:val="SingleTxtG"/>
        <w:ind w:left="2268" w:hanging="1134"/>
      </w:pPr>
      <w:r w:rsidRPr="002C5876">
        <w:t>5.7.1.3.3</w:t>
      </w:r>
      <w:r w:rsidRPr="002C5876">
        <w:tab/>
        <w:t xml:space="preserve">Dans les cas décrits aux alinéas a) et b) du paragraphe 5.7.1.3 de la présente annexe, l’un des points choisis doit être le point correspondant à une concentration nominale égale à zéro, que l’on obtient en raccordant à l’entrée de chaque instrument un filtre THE répondant au minimum à la classe H13 définie dans la norme EN 1822:2008, ou un filtre équivalent. Aucun facteur d’étalonnage n’étant appliqué au PNC à étalonner, les concentrations mesurées ne doivent pas s’écarter de plus de </w:t>
      </w:r>
      <w:r w:rsidRPr="002C5876">
        <w:sym w:font="Symbol" w:char="F0B1"/>
      </w:r>
      <w:r w:rsidRPr="002C5876">
        <w:t>10 % de la concentration de référence pour chaque concentration utilisée, à l’exception du point zéro. Dans le cas contraire, le PNC doit être rejeté. Le gradient obtenu par régression linéaire, selon la méthode des moindres carrés, des deux ensembles de données doit être calculé et enregistré. Un facteur d’étalonnage égal à l’inverse du gradient est appliqué au PNC à étalonner. On calcule la linéarité de la réponse sur la base du carré du coefficient de corrélation de Pearson (r) des deux ensembles de données ; elle doit être égale ou supérieure à 0,97. Pour le calcul du gradient et de r</w:t>
      </w:r>
      <w:r w:rsidRPr="002C5876">
        <w:rPr>
          <w:vertAlign w:val="superscript"/>
        </w:rPr>
        <w:t>2</w:t>
      </w:r>
      <w:r w:rsidRPr="002C5876">
        <w:t>, on doit faire passer la droite de régression linéaire par l’origine (correspondant à une concentration zéro pour les deux instruments).</w:t>
      </w:r>
    </w:p>
    <w:p w:rsidR="00E24DB7" w:rsidRPr="002C5876" w:rsidRDefault="00E24DB7" w:rsidP="00E24DB7">
      <w:pPr>
        <w:pStyle w:val="SingleTxtG"/>
        <w:ind w:left="2268" w:hanging="1134"/>
      </w:pPr>
      <w:r w:rsidRPr="002C5876">
        <w:t>5.7.1.4</w:t>
      </w:r>
      <w:r w:rsidRPr="002C5876">
        <w:tab/>
        <w:t xml:space="preserve">Lors de l’étalonnage, on doit aussi vérifier qu’il est satisfait aux prescriptions de l’alinéa h) du paragraphe 4.3.1.3.4 de la présente annexe concernant l’efficacité de détection par le PNC de particules ayant un diamètre de mobilité électrique de 23 nm. Par contre, le contrôle de l’efficacité du comptage des particules de 41 nm n’est pas obligatoire. </w:t>
      </w:r>
    </w:p>
    <w:p w:rsidR="00E24DB7" w:rsidRPr="002C5876" w:rsidRDefault="00E24DB7" w:rsidP="00E24DB7">
      <w:pPr>
        <w:pStyle w:val="SingleTxtG"/>
        <w:keepNext/>
        <w:ind w:left="2268" w:hanging="1134"/>
        <w:jc w:val="left"/>
      </w:pPr>
      <w:r w:rsidRPr="002C5876">
        <w:t>5.7.2</w:t>
      </w:r>
      <w:r w:rsidRPr="002C5876">
        <w:tab/>
        <w:t>Étalonnage et validation du séparateur de particules volatiles (VPR)</w:t>
      </w:r>
    </w:p>
    <w:p w:rsidR="00E24DB7" w:rsidRPr="002C5876" w:rsidRDefault="00E24DB7" w:rsidP="00E24DB7">
      <w:pPr>
        <w:pStyle w:val="SingleTxtG"/>
        <w:ind w:left="2268" w:hanging="1134"/>
      </w:pPr>
      <w:r w:rsidRPr="002C5876">
        <w:t>5.7.2.1</w:t>
      </w:r>
      <w:r w:rsidRPr="002C5876">
        <w:tab/>
        <w:t xml:space="preserve">II doit être procédé à l’étalonnage des facteurs de réduction de la concentration de particules applicable au VPR sur toute la plage de réglages de dilution, aux températures nominales de fonctionnement définies pour l’instrument, lorsque l’appareil est neuf ou après toute opération d’entretien importante. La seule obligation concernant la validation périodique du facteur de réduction de la concentration de particules applicable au VPR consiste à effectuer un contrôle dans une seule station d’essai, en général une de celles où l’on procède aux mesures sur les véhicules équipés d’un filtre à particules. L’autorité compétente doit s’assurer qu’il existe un certificat d’étalonnage ou de validation du VPR établi dans les 6 mois précédant l’essai d’émissions. Si le VPR est équipé de dispositifs d’alerte de surveillance de la température, l’intervalle entre deux validations peut être de 13 mois. </w:t>
      </w:r>
    </w:p>
    <w:p w:rsidR="00E24DB7" w:rsidRPr="002C5876" w:rsidRDefault="00E24DB7" w:rsidP="00E24DB7">
      <w:pPr>
        <w:pStyle w:val="SingleTxtG"/>
        <w:ind w:left="2268"/>
      </w:pPr>
      <w:r w:rsidRPr="002C5876">
        <w:tab/>
        <w:t>I</w:t>
      </w:r>
      <w:r w:rsidRPr="002C5876">
        <w:rPr>
          <w:spacing w:val="-2"/>
        </w:rPr>
        <w:t>l est recommandé d’étalonner et de valider le VPR en tant qu’unité complète.</w:t>
      </w:r>
    </w:p>
    <w:p w:rsidR="00E24DB7" w:rsidRPr="002C5876" w:rsidRDefault="00E24DB7" w:rsidP="00E24DB7">
      <w:pPr>
        <w:pStyle w:val="SingleTxtG"/>
        <w:ind w:left="2268"/>
      </w:pPr>
      <w:r w:rsidRPr="002C5876">
        <w:tab/>
        <w:t>Les caractéristiques du VPR doivent être déterminées quant au facteur de réduction de la concentration de particules avec des particules solides ayant un diamètre de mobilité électrique de 30, 50 et 100 nm. Les facteurs de réduction de la concentration de particules f</w:t>
      </w:r>
      <w:r w:rsidRPr="002C5876">
        <w:rPr>
          <w:vertAlign w:val="subscript"/>
        </w:rPr>
        <w:t>r</w:t>
      </w:r>
      <w:r w:rsidRPr="002C5876">
        <w:t xml:space="preserve">(d) pour les particules d’un diamètre de mobilité électrique de 30 nm et 50 nm ne doivent pas être supérieurs de plus de 30 % et de plus de 20 %, respectivement, ni inférieurs de plus de 5 % à ceux obtenus pour les particules d’un diamètre de mobilité électrique de 100 nm. Aux fins de validation, le facteur moyen arithmétique de réduction de la concentration de particules ne doit pas s’écarter de plus de </w:t>
      </w:r>
      <w:r w:rsidRPr="002C5876">
        <w:sym w:font="Symbol" w:char="F0B1"/>
      </w:r>
      <w:r w:rsidRPr="002C5876">
        <w:t>10 % du facteur moyen arithmétique de réduction </w:t>
      </w:r>
      <w:r w:rsidRPr="002C5876">
        <w:rPr>
          <w:noProof/>
          <w:position w:val="-10"/>
          <w:lang w:val="en-GB" w:eastAsia="zh-CN"/>
        </w:rPr>
        <w:drawing>
          <wp:inline distT="0" distB="0" distL="0" distR="0" wp14:anchorId="2BC6EDB3" wp14:editId="0999C951">
            <wp:extent cx="114300" cy="180975"/>
            <wp:effectExtent l="0" t="0" r="0" b="9525"/>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2C5876">
        <w:rPr>
          <w:iCs/>
        </w:rPr>
        <w:t xml:space="preserve"> </w:t>
      </w:r>
      <w:r w:rsidRPr="002C5876">
        <w:t xml:space="preserve">déterminé lors du premier étalonnage du VPR. </w:t>
      </w:r>
    </w:p>
    <w:p w:rsidR="00E24DB7" w:rsidRPr="002C5876" w:rsidRDefault="00E24DB7" w:rsidP="00E24DB7">
      <w:pPr>
        <w:pStyle w:val="SingleTxtG"/>
        <w:ind w:left="2268" w:hanging="1134"/>
      </w:pPr>
      <w:r w:rsidRPr="002C5876">
        <w:t>5.7.2.2</w:t>
      </w:r>
      <w:r w:rsidRPr="002C5876">
        <w:tab/>
        <w:t>L’aérosol d’essai utilisé pour ces mesures est constitué de particules solides d’un diamètre de mobilité électrique de 30, 50 et 100 nm sous une concentration minimale de 5 000 </w:t>
      </w:r>
      <w:r w:rsidRPr="002C5876">
        <w:rPr>
          <w:spacing w:val="-2"/>
        </w:rPr>
        <w:t>par cm</w:t>
      </w:r>
      <w:r w:rsidRPr="002C5876">
        <w:rPr>
          <w:spacing w:val="-2"/>
          <w:vertAlign w:val="superscript"/>
        </w:rPr>
        <w:t>3</w:t>
      </w:r>
      <w:r w:rsidRPr="002C5876">
        <w:t xml:space="preserve"> à l’entrée du VPR. Il est possible d’utiliser pour la validation un aérosol polydispersé avec un diamètre médian de mobilité électrique de 50 nm. L’aérosol d’essai doit être thermiquement </w:t>
      </w:r>
      <w:r w:rsidRPr="002C5876">
        <w:lastRenderedPageBreak/>
        <w:t>stable aux températures de fonctionnement du VPR. Les concentrations en nombre de particules sont mesurées en amont et en aval des composants.</w:t>
      </w:r>
    </w:p>
    <w:p w:rsidR="00E24DB7" w:rsidRPr="002C5876" w:rsidRDefault="00E24DB7" w:rsidP="00E24DB7">
      <w:pPr>
        <w:pStyle w:val="SingleTxtG"/>
        <w:keepNext/>
        <w:ind w:left="2268"/>
      </w:pPr>
      <w:r w:rsidRPr="002C5876">
        <w:tab/>
        <w:t>Le facteur de réduction de la concentration des particules pour chaque granulométrie monodispersée f</w:t>
      </w:r>
      <w:r w:rsidRPr="002C5876">
        <w:rPr>
          <w:vertAlign w:val="subscript"/>
        </w:rPr>
        <w:t>r</w:t>
      </w:r>
      <w:r w:rsidRPr="002C5876">
        <w:t>(d</w:t>
      </w:r>
      <w:r w:rsidRPr="002C5876">
        <w:rPr>
          <w:vertAlign w:val="subscript"/>
        </w:rPr>
        <w:t>i</w:t>
      </w:r>
      <w:r w:rsidRPr="002C5876">
        <w:t>) est calculé selon l’équation suivante :</w:t>
      </w:r>
    </w:p>
    <w:p w:rsidR="00717B6D" w:rsidRPr="002C5876" w:rsidRDefault="00731CA6" w:rsidP="00E24DB7">
      <w:pPr>
        <w:pStyle w:val="SingleTxtG"/>
        <w:keepNext/>
        <w:ind w:left="2268"/>
      </w:pPr>
      <m:oMathPara>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r</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e>
          </m:d>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N</m:t>
                  </m:r>
                </m:e>
                <m:sub>
                  <m:r>
                    <m:rPr>
                      <m:sty m:val="p"/>
                    </m:rPr>
                    <w:rPr>
                      <w:rFonts w:ascii="Cambria Math" w:hAnsi="Cambria Math"/>
                    </w:rPr>
                    <m:t>in</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e>
              </m:d>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out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e>
              </m:d>
            </m:den>
          </m:f>
        </m:oMath>
      </m:oMathPara>
    </w:p>
    <w:p w:rsidR="00E24DB7" w:rsidRPr="002C5876" w:rsidRDefault="00E24DB7" w:rsidP="00E24DB7">
      <w:pPr>
        <w:pStyle w:val="SingleTxtG"/>
        <w:keepNext/>
        <w:ind w:left="2268"/>
      </w:pPr>
      <w:r w:rsidRPr="002C5876">
        <w:t>où :</w:t>
      </w:r>
    </w:p>
    <w:p w:rsidR="00E24DB7" w:rsidRPr="002C5876" w:rsidRDefault="00E24DB7" w:rsidP="00E24DB7">
      <w:pPr>
        <w:pStyle w:val="SingleTxtG"/>
        <w:ind w:left="3402" w:hanging="1134"/>
      </w:pPr>
      <w:r w:rsidRPr="002C5876">
        <w:t>N</w:t>
      </w:r>
      <w:r w:rsidRPr="002C5876">
        <w:rPr>
          <w:vertAlign w:val="subscript"/>
        </w:rPr>
        <w:t>in</w:t>
      </w:r>
      <w:r w:rsidRPr="002C5876">
        <w:t xml:space="preserve"> (d</w:t>
      </w:r>
      <w:r w:rsidRPr="002C5876">
        <w:rPr>
          <w:vertAlign w:val="subscript"/>
        </w:rPr>
        <w:t>i</w:t>
      </w:r>
      <w:r w:rsidRPr="002C5876">
        <w:t>)</w:t>
      </w:r>
      <w:r w:rsidRPr="002C5876">
        <w:tab/>
        <w:t>est la concentration en nombre de particules de diamètre d</w:t>
      </w:r>
      <w:r w:rsidRPr="002C5876">
        <w:rPr>
          <w:vertAlign w:val="subscript"/>
        </w:rPr>
        <w:t>i</w:t>
      </w:r>
      <w:r w:rsidRPr="002C5876">
        <w:t xml:space="preserve"> en amont ;</w:t>
      </w:r>
    </w:p>
    <w:p w:rsidR="00E24DB7" w:rsidRPr="002C5876" w:rsidRDefault="00E24DB7" w:rsidP="00E24DB7">
      <w:pPr>
        <w:pStyle w:val="SingleTxtG"/>
        <w:ind w:left="3402" w:hanging="1134"/>
      </w:pPr>
      <w:r w:rsidRPr="002C5876">
        <w:t>N</w:t>
      </w:r>
      <w:r w:rsidRPr="002C5876">
        <w:rPr>
          <w:vertAlign w:val="subscript"/>
        </w:rPr>
        <w:t>out</w:t>
      </w:r>
      <w:r w:rsidRPr="002C5876">
        <w:t>(d</w:t>
      </w:r>
      <w:r w:rsidRPr="002C5876">
        <w:rPr>
          <w:vertAlign w:val="subscript"/>
        </w:rPr>
        <w:t>i</w:t>
      </w:r>
      <w:r w:rsidRPr="002C5876">
        <w:t>)</w:t>
      </w:r>
      <w:r w:rsidRPr="002C5876">
        <w:tab/>
        <w:t>est la concentration en nombre de particules de diamètre d</w:t>
      </w:r>
      <w:r w:rsidRPr="002C5876">
        <w:rPr>
          <w:vertAlign w:val="subscript"/>
        </w:rPr>
        <w:t>i</w:t>
      </w:r>
      <w:r w:rsidRPr="002C5876">
        <w:t xml:space="preserve"> en aval ;</w:t>
      </w:r>
    </w:p>
    <w:p w:rsidR="00E24DB7" w:rsidRPr="002C5876" w:rsidRDefault="00E24DB7" w:rsidP="00E24DB7">
      <w:pPr>
        <w:pStyle w:val="SingleTxtG"/>
        <w:ind w:left="3402" w:hanging="1134"/>
      </w:pPr>
      <w:r w:rsidRPr="002C5876">
        <w:t>d</w:t>
      </w:r>
      <w:r w:rsidRPr="002C5876">
        <w:rPr>
          <w:vertAlign w:val="subscript"/>
        </w:rPr>
        <w:t>i</w:t>
      </w:r>
      <w:r w:rsidRPr="002C5876">
        <w:tab/>
        <w:t>est le diamètre de mobilité électrique des particules (30, 50 ou 100 nm).</w:t>
      </w:r>
    </w:p>
    <w:p w:rsidR="00E24DB7" w:rsidRPr="002C5876" w:rsidRDefault="00E24DB7" w:rsidP="00E24DB7">
      <w:pPr>
        <w:pStyle w:val="SingleTxtG"/>
        <w:ind w:left="2268"/>
      </w:pPr>
      <w:r w:rsidRPr="002C5876">
        <w:tab/>
        <w:t>N</w:t>
      </w:r>
      <w:r w:rsidRPr="002C5876">
        <w:rPr>
          <w:vertAlign w:val="subscript"/>
        </w:rPr>
        <w:t>in</w:t>
      </w:r>
      <w:r w:rsidRPr="002C5876">
        <w:t xml:space="preserve"> (d</w:t>
      </w:r>
      <w:r w:rsidRPr="002C5876">
        <w:rPr>
          <w:vertAlign w:val="subscript"/>
        </w:rPr>
        <w:t>i</w:t>
      </w:r>
      <w:r w:rsidRPr="002C5876">
        <w:t>) et N</w:t>
      </w:r>
      <w:r w:rsidRPr="002C5876">
        <w:rPr>
          <w:vertAlign w:val="subscript"/>
        </w:rPr>
        <w:t>out</w:t>
      </w:r>
      <w:r w:rsidRPr="002C5876">
        <w:t xml:space="preserve"> (d</w:t>
      </w:r>
      <w:r w:rsidRPr="002C5876">
        <w:rPr>
          <w:vertAlign w:val="subscript"/>
        </w:rPr>
        <w:t>i</w:t>
      </w:r>
      <w:r w:rsidRPr="002C5876">
        <w:t>) doivent être corrigés en fonction des mêmes conditions.</w:t>
      </w:r>
    </w:p>
    <w:p w:rsidR="00E24DB7" w:rsidRPr="002C5876" w:rsidRDefault="00E24DB7" w:rsidP="00E24DB7">
      <w:pPr>
        <w:pStyle w:val="SingleTxtG"/>
        <w:keepNext/>
        <w:ind w:left="2268"/>
      </w:pPr>
      <w:r w:rsidRPr="002C5876">
        <w:tab/>
        <w:t xml:space="preserve">Pour un niveau de dilution donné, la valeur moyenne arithmétique de la réduction de la concentration en particules </w:t>
      </w:r>
      <w:r w:rsidRPr="002C5876">
        <w:rPr>
          <w:noProof/>
          <w:position w:val="-10"/>
          <w:lang w:val="en-GB" w:eastAsia="zh-CN"/>
        </w:rPr>
        <w:drawing>
          <wp:inline distT="0" distB="0" distL="0" distR="0" wp14:anchorId="3E73F257" wp14:editId="0124BDCA">
            <wp:extent cx="114300" cy="180975"/>
            <wp:effectExtent l="0" t="0" r="0" b="9525"/>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2C5876">
        <w:t xml:space="preserve"> est calculée selon l’équation suivante :</w:t>
      </w:r>
    </w:p>
    <w:p w:rsidR="00E24DB7" w:rsidRPr="002C5876" w:rsidRDefault="00731CA6" w:rsidP="00E24DB7">
      <w:pPr>
        <w:pStyle w:val="SingleTxtG"/>
        <w:spacing w:after="240"/>
        <w:ind w:left="2268"/>
        <w:jc w:val="center"/>
      </w:pPr>
      <m:oMathPara>
        <m:oMath>
          <m:acc>
            <m:accPr>
              <m:chr m:val="̅"/>
              <m:ctrlPr>
                <w:rPr>
                  <w:rFonts w:ascii="Cambria Math" w:hAnsi="Cambria Math" w:cstheme="majorBidi"/>
                </w:rPr>
              </m:ctrlPr>
            </m:accPr>
            <m:e>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r</m:t>
                  </m:r>
                </m:sub>
              </m:sSub>
            </m:e>
          </m:acc>
          <m:r>
            <m:rPr>
              <m:sty m:val="p"/>
            </m:rPr>
            <w:rPr>
              <w:rFonts w:ascii="Cambria Math" w:hAnsi="Cambria Math" w:cstheme="majorBidi"/>
            </w:rPr>
            <m:t xml:space="preserve">= </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r</m:t>
                  </m:r>
                </m:sub>
              </m:sSub>
              <m:d>
                <m:dPr>
                  <m:ctrlPr>
                    <w:rPr>
                      <w:rFonts w:ascii="Cambria Math" w:hAnsi="Cambria Math" w:cstheme="majorBidi"/>
                    </w:rPr>
                  </m:ctrlPr>
                </m:dPr>
                <m:e>
                  <m:r>
                    <m:rPr>
                      <m:sty m:val="p"/>
                    </m:rPr>
                    <w:rPr>
                      <w:rFonts w:ascii="Cambria Math" w:hAnsi="Cambria Math" w:cstheme="majorBidi"/>
                    </w:rPr>
                    <m:t>30 </m:t>
                  </m:r>
                  <m:r>
                    <m:rPr>
                      <m:sty m:val="p"/>
                    </m:rPr>
                    <w:rPr>
                      <w:rFonts w:ascii="Cambria Math" w:hAnsiTheme="majorBidi" w:cstheme="majorBidi"/>
                    </w:rPr>
                    <m:t>nm</m:t>
                  </m:r>
                </m:e>
              </m:d>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r</m:t>
                  </m:r>
                </m:sub>
              </m:sSub>
              <m:d>
                <m:dPr>
                  <m:ctrlPr>
                    <w:rPr>
                      <w:rFonts w:ascii="Cambria Math" w:hAnsi="Cambria Math" w:cstheme="majorBidi"/>
                    </w:rPr>
                  </m:ctrlPr>
                </m:dPr>
                <m:e>
                  <m:r>
                    <m:rPr>
                      <m:sty m:val="p"/>
                    </m:rPr>
                    <w:rPr>
                      <w:rFonts w:ascii="Cambria Math" w:hAnsi="Cambria Math" w:cstheme="majorBidi"/>
                    </w:rPr>
                    <m:t>50 </m:t>
                  </m:r>
                  <m:r>
                    <w:rPr>
                      <w:rFonts w:ascii="Cambria Math" w:hAnsi="Cambria Math" w:cstheme="majorBidi"/>
                    </w:rPr>
                    <m:t>n</m:t>
                  </m:r>
                  <m:r>
                    <m:rPr>
                      <m:sty m:val="p"/>
                    </m:rPr>
                    <w:rPr>
                      <w:rFonts w:ascii="Cambria Math" w:hAnsi="Cambria Math" w:cstheme="majorBidi"/>
                    </w:rPr>
                    <m:t>m</m:t>
                  </m:r>
                </m:e>
              </m:d>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r</m:t>
                  </m:r>
                </m:sub>
              </m:sSub>
              <m:d>
                <m:dPr>
                  <m:ctrlPr>
                    <w:rPr>
                      <w:rFonts w:ascii="Cambria Math" w:hAnsi="Cambria Math" w:cstheme="majorBidi"/>
                    </w:rPr>
                  </m:ctrlPr>
                </m:dPr>
                <m:e>
                  <m:r>
                    <m:rPr>
                      <m:sty m:val="p"/>
                    </m:rPr>
                    <w:rPr>
                      <w:rFonts w:ascii="Cambria Math" w:hAnsi="Cambria Math" w:cstheme="majorBidi"/>
                    </w:rPr>
                    <m:t>100 </m:t>
                  </m:r>
                  <m:r>
                    <w:rPr>
                      <w:rFonts w:ascii="Cambria Math" w:hAnsi="Cambria Math" w:cstheme="majorBidi"/>
                    </w:rPr>
                    <m:t>n</m:t>
                  </m:r>
                  <m:r>
                    <m:rPr>
                      <m:sty m:val="p"/>
                    </m:rPr>
                    <w:rPr>
                      <w:rFonts w:ascii="Cambria Math" w:hAnsi="Cambria Math" w:cstheme="majorBidi"/>
                    </w:rPr>
                    <m:t>m</m:t>
                  </m:r>
                </m:e>
              </m:d>
            </m:num>
            <m:den>
              <m:r>
                <m:rPr>
                  <m:sty m:val="p"/>
                </m:rPr>
                <w:rPr>
                  <w:rFonts w:ascii="Cambria Math" w:hAnsi="Cambria Math" w:cstheme="majorBidi"/>
                </w:rPr>
                <m:t>3</m:t>
              </m:r>
            </m:den>
          </m:f>
          <m:r>
            <w:rPr>
              <w:rFonts w:ascii="Cambria Math" w:hAnsi="Cambria Math" w:cstheme="majorBidi"/>
            </w:rPr>
            <m:t xml:space="preserve"> </m:t>
          </m:r>
        </m:oMath>
      </m:oMathPara>
    </w:p>
    <w:p w:rsidR="00E24DB7" w:rsidRPr="002C5876" w:rsidRDefault="00E24DB7" w:rsidP="00E24DB7">
      <w:pPr>
        <w:pStyle w:val="SingleTxtG"/>
        <w:keepNext/>
        <w:ind w:left="2268"/>
      </w:pPr>
      <w:r w:rsidRPr="002C5876">
        <w:tab/>
        <w:t xml:space="preserve">Lorsqu’un aérosol polydispersé de 50 nm est utilisé pour la validation, on calcule le facteur de réduction de la valeur de la concentration moyenne arithmétique de particules </w:t>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v</m:t>
                </m:r>
              </m:sub>
            </m:sSub>
          </m:e>
        </m:acc>
      </m:oMath>
      <w:r w:rsidRPr="002C5876">
        <w:t xml:space="preserve"> à la dilution utilisée pour la validation comme suit :</w:t>
      </w:r>
    </w:p>
    <w:p w:rsidR="00B07B56" w:rsidRPr="002C5876" w:rsidRDefault="00731CA6" w:rsidP="00E24DB7">
      <w:pPr>
        <w:pStyle w:val="SingleTxtG"/>
        <w:keepNext/>
        <w:ind w:left="2268"/>
      </w:pPr>
      <m:oMathPara>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v</m:t>
                  </m:r>
                </m:sub>
              </m:sSub>
            </m:e>
          </m:acc>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N</m:t>
                  </m:r>
                </m:e>
                <m:sub>
                  <m:r>
                    <m:rPr>
                      <m:sty m:val="p"/>
                    </m:rPr>
                    <w:rPr>
                      <w:rFonts w:ascii="Cambria Math" w:hAnsi="Cambria Math"/>
                    </w:rPr>
                    <m:t>in</m:t>
                  </m:r>
                </m:sub>
              </m:sSub>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out</m:t>
                  </m:r>
                </m:sub>
              </m:sSub>
            </m:den>
          </m:f>
        </m:oMath>
      </m:oMathPara>
    </w:p>
    <w:p w:rsidR="00E24DB7" w:rsidRPr="002C5876" w:rsidRDefault="00E24DB7" w:rsidP="00E24DB7">
      <w:pPr>
        <w:pStyle w:val="SingleTxtG"/>
        <w:keepNext/>
        <w:ind w:left="2268"/>
      </w:pPr>
      <w:r w:rsidRPr="002C5876">
        <w:t>où :</w:t>
      </w:r>
    </w:p>
    <w:p w:rsidR="00E24DB7" w:rsidRPr="002C5876" w:rsidRDefault="00E24DB7" w:rsidP="00E24DB7">
      <w:pPr>
        <w:pStyle w:val="SingleTxtG"/>
        <w:ind w:left="3402" w:hanging="1134"/>
      </w:pPr>
      <w:r w:rsidRPr="002C5876">
        <w:t>N</w:t>
      </w:r>
      <w:r w:rsidRPr="002C5876">
        <w:rPr>
          <w:vertAlign w:val="subscript"/>
        </w:rPr>
        <w:t>in</w:t>
      </w:r>
      <w:r w:rsidRPr="002C5876">
        <w:tab/>
        <w:t>est la concentration en nombre de particules en amont ;</w:t>
      </w:r>
    </w:p>
    <w:p w:rsidR="00E24DB7" w:rsidRPr="002C5876" w:rsidRDefault="00E24DB7" w:rsidP="00E24DB7">
      <w:pPr>
        <w:pStyle w:val="SingleTxtG"/>
        <w:ind w:left="3402" w:hanging="1134"/>
      </w:pPr>
      <w:r w:rsidRPr="002C5876">
        <w:t>N</w:t>
      </w:r>
      <w:r w:rsidRPr="002C5876">
        <w:rPr>
          <w:vertAlign w:val="subscript"/>
        </w:rPr>
        <w:t>out</w:t>
      </w:r>
      <w:r w:rsidRPr="002C5876">
        <w:tab/>
        <w:t>est la concentration en nombre de particules en aval.</w:t>
      </w:r>
    </w:p>
    <w:p w:rsidR="00E24DB7" w:rsidRPr="002C5876" w:rsidRDefault="00E24DB7" w:rsidP="00E24DB7">
      <w:pPr>
        <w:pStyle w:val="SingleTxtG"/>
        <w:ind w:left="2268" w:hanging="1134"/>
      </w:pPr>
      <w:r w:rsidRPr="002C5876">
        <w:t>5.7.2.3</w:t>
      </w:r>
      <w:r w:rsidRPr="002C5876">
        <w:tab/>
        <w:t>Le VPR doit retenir à plus de 99,0 % les particules de tétracontane (CH</w:t>
      </w:r>
      <w:r w:rsidRPr="002C5876">
        <w:rPr>
          <w:vertAlign w:val="subscript"/>
        </w:rPr>
        <w:t>3</w:t>
      </w:r>
      <w:r w:rsidRPr="002C5876">
        <w:t>(CH</w:t>
      </w:r>
      <w:r w:rsidRPr="002C5876">
        <w:rPr>
          <w:vertAlign w:val="subscript"/>
        </w:rPr>
        <w:t>2</w:t>
      </w:r>
      <w:r w:rsidRPr="002C5876">
        <w:t>)</w:t>
      </w:r>
      <w:r w:rsidRPr="002C5876">
        <w:rPr>
          <w:vertAlign w:val="subscript"/>
        </w:rPr>
        <w:t>38</w:t>
      </w:r>
      <w:r w:rsidRPr="002C5876">
        <w:t>CH</w:t>
      </w:r>
      <w:r w:rsidRPr="002C5876">
        <w:rPr>
          <w:vertAlign w:val="subscript"/>
        </w:rPr>
        <w:t>3</w:t>
      </w:r>
      <w:r w:rsidRPr="002C5876">
        <w:t>) d’un diamètre de mobilité électrique d’au moins 30 nm à partir d’une concentration d’entrée supérieure ou égale à 10 000 </w:t>
      </w:r>
      <w:r w:rsidRPr="002C5876">
        <w:rPr>
          <w:spacing w:val="-2"/>
        </w:rPr>
        <w:t>par cm</w:t>
      </w:r>
      <w:r w:rsidRPr="002C5876">
        <w:rPr>
          <w:spacing w:val="-2"/>
          <w:vertAlign w:val="superscript"/>
        </w:rPr>
        <w:t>3</w:t>
      </w:r>
      <w:r w:rsidRPr="002C5876">
        <w:t xml:space="preserve">, l’appareil fonctionnant à son niveau minimal de dilution et à la température recommandée par le fabricant. </w:t>
      </w:r>
    </w:p>
    <w:p w:rsidR="00E24DB7" w:rsidRPr="002C5876" w:rsidRDefault="00E24DB7" w:rsidP="00E24DB7">
      <w:pPr>
        <w:pStyle w:val="SingleTxtG"/>
        <w:keepNext/>
        <w:ind w:left="2268" w:hanging="1134"/>
        <w:jc w:val="left"/>
      </w:pPr>
      <w:r w:rsidRPr="002C5876">
        <w:t>5.7.3</w:t>
      </w:r>
      <w:r w:rsidRPr="002C5876">
        <w:tab/>
        <w:t>Procédures de vérification du système de comptage du nombre de particules</w:t>
      </w:r>
    </w:p>
    <w:p w:rsidR="00E24DB7" w:rsidRPr="002C5876" w:rsidRDefault="00E24DB7" w:rsidP="00E24DB7">
      <w:pPr>
        <w:pStyle w:val="SingleTxtG"/>
        <w:ind w:left="2268"/>
        <w:rPr>
          <w:bCs/>
        </w:rPr>
      </w:pPr>
      <w:r w:rsidRPr="002C5876">
        <w:tab/>
      </w:r>
      <w:r w:rsidRPr="002C5876">
        <w:rPr>
          <w:bCs/>
        </w:rPr>
        <w:t xml:space="preserve">On vérifie chaque mois au moyen d’un débitmètre étalonné que la valeur affichée du débit entrant dans le compteur de particules ne s’écarte pas de plus de 5 % du débit nominal du compteur. </w:t>
      </w:r>
    </w:p>
    <w:p w:rsidR="00E24DB7" w:rsidRPr="002C5876" w:rsidRDefault="00E24DB7" w:rsidP="00E24DB7">
      <w:pPr>
        <w:pStyle w:val="SingleTxtG"/>
        <w:ind w:left="2268" w:hanging="1134"/>
        <w:jc w:val="left"/>
      </w:pPr>
      <w:bookmarkStart w:id="157" w:name="_Toc284586972"/>
      <w:bookmarkStart w:id="158" w:name="_Toc284587162"/>
      <w:bookmarkStart w:id="159" w:name="_Toc284587413"/>
      <w:bookmarkStart w:id="160" w:name="_Toc289686211"/>
      <w:r w:rsidRPr="002C5876">
        <w:t>5.8</w:t>
      </w:r>
      <w:r w:rsidRPr="002C5876">
        <w:tab/>
        <w:t>Exactitude du dispositif de mélange</w:t>
      </w:r>
    </w:p>
    <w:p w:rsidR="00E24DB7" w:rsidRPr="002C5876" w:rsidRDefault="00E24DB7" w:rsidP="00E24DB7">
      <w:pPr>
        <w:pStyle w:val="SingleTxtG"/>
        <w:ind w:left="2268"/>
      </w:pPr>
      <w:r w:rsidRPr="002C5876">
        <w:tab/>
        <w:t xml:space="preserve">Si un mélangeur-doseur de gaz est utilisé pour effectuer les étalonnages comme indiqué au paragraphe 5.2 de la présente annexe, l’exactitude du dispositif de mélange doit être telle que la concentration des gaz d’étalonnage dilués puisse être déterminée à </w:t>
      </w:r>
      <w:r w:rsidRPr="002C5876">
        <w:sym w:font="Symbol" w:char="F0B1"/>
      </w:r>
      <w:r w:rsidRPr="002C5876">
        <w:t>2 % près. Une courbe d’étalonnage doit être vérifiée à mi-échelle comme indiqué au paragraphe 5.3 de la présente annexe. Un gaz d’étalonnage dont la concentration est inférieure à 50 % de la gamme de l’analyseur doit avoir une concentration qui ne s’écarte pas de plus de 2 % de sa concentration certifiée.</w:t>
      </w:r>
    </w:p>
    <w:p w:rsidR="00E24DB7" w:rsidRPr="002C5876" w:rsidRDefault="00E24DB7" w:rsidP="00E24DB7">
      <w:pPr>
        <w:pStyle w:val="SingleTxtG"/>
        <w:keepNext/>
        <w:ind w:left="2268" w:hanging="1134"/>
        <w:jc w:val="left"/>
      </w:pPr>
      <w:r w:rsidRPr="002C5876">
        <w:lastRenderedPageBreak/>
        <w:t>6.</w:t>
      </w:r>
      <w:r w:rsidRPr="002C5876">
        <w:tab/>
        <w:t>Gaz de référence</w:t>
      </w:r>
    </w:p>
    <w:p w:rsidR="00E24DB7" w:rsidRPr="002C5876" w:rsidRDefault="00E24DB7" w:rsidP="00E24DB7">
      <w:pPr>
        <w:pStyle w:val="SingleTxtG"/>
        <w:keepNext/>
        <w:ind w:left="2268" w:hanging="1134"/>
        <w:jc w:val="left"/>
      </w:pPr>
      <w:r w:rsidRPr="002C5876">
        <w:t>6.1</w:t>
      </w:r>
      <w:r w:rsidRPr="002C5876">
        <w:tab/>
      </w:r>
      <w:bookmarkEnd w:id="157"/>
      <w:bookmarkEnd w:id="158"/>
      <w:bookmarkEnd w:id="159"/>
      <w:bookmarkEnd w:id="160"/>
      <w:r w:rsidRPr="002C5876">
        <w:t xml:space="preserve">Gaz purs </w:t>
      </w:r>
    </w:p>
    <w:p w:rsidR="00E24DB7" w:rsidRPr="002C5876" w:rsidRDefault="00E24DB7" w:rsidP="00E24DB7">
      <w:pPr>
        <w:pStyle w:val="SingleTxtG"/>
        <w:ind w:left="2268" w:hanging="1134"/>
      </w:pPr>
      <w:r w:rsidRPr="002C5876">
        <w:t>6.1.1</w:t>
      </w:r>
      <w:r w:rsidRPr="002C5876">
        <w:tab/>
        <w:t xml:space="preserve">Toutes les valeurs données en ppm sont en réalité en parties par million en volume (vpm). </w:t>
      </w:r>
    </w:p>
    <w:p w:rsidR="00E24DB7" w:rsidRPr="002C5876" w:rsidRDefault="00E24DB7" w:rsidP="00E24DB7">
      <w:pPr>
        <w:pStyle w:val="SingleTxtG"/>
        <w:ind w:left="2268" w:hanging="1134"/>
      </w:pPr>
      <w:r w:rsidRPr="002C5876">
        <w:t>6.1.2</w:t>
      </w:r>
      <w:r w:rsidRPr="002C5876">
        <w:tab/>
        <w:t>Les gaz purs utilisés selon le cas pour l’étalonnage et l’utilisation de l’appareillage doivent répondre aux conditions suivantes :</w:t>
      </w:r>
    </w:p>
    <w:p w:rsidR="00E24DB7" w:rsidRPr="00D53F39" w:rsidRDefault="00E24DB7" w:rsidP="00E24DB7">
      <w:pPr>
        <w:pStyle w:val="SingleTxtG"/>
        <w:keepNext/>
        <w:ind w:left="2268" w:hanging="1134"/>
        <w:jc w:val="left"/>
        <w:rPr>
          <w:lang w:val="en-US"/>
        </w:rPr>
      </w:pPr>
      <w:r w:rsidRPr="00D53F39">
        <w:rPr>
          <w:lang w:val="en-US"/>
        </w:rPr>
        <w:t>6.1.2.1</w:t>
      </w:r>
      <w:r w:rsidRPr="00D53F39">
        <w:rPr>
          <w:lang w:val="en-US"/>
        </w:rPr>
        <w:tab/>
        <w:t>Azote</w:t>
      </w:r>
    </w:p>
    <w:p w:rsidR="00E24DB7" w:rsidRPr="00D53F39" w:rsidRDefault="00E24DB7" w:rsidP="00E24DB7">
      <w:pPr>
        <w:pStyle w:val="SingleTxtG"/>
        <w:ind w:left="2268"/>
        <w:rPr>
          <w:spacing w:val="-2"/>
          <w:lang w:val="en-US"/>
        </w:rPr>
      </w:pPr>
      <w:r w:rsidRPr="00D53F39">
        <w:rPr>
          <w:spacing w:val="-2"/>
          <w:lang w:val="en-US"/>
        </w:rPr>
        <w:t>Pureté ≤ 1 ppm C</w:t>
      </w:r>
      <w:r w:rsidRPr="00D53F39">
        <w:rPr>
          <w:spacing w:val="-2"/>
          <w:vertAlign w:val="subscript"/>
          <w:lang w:val="en-US"/>
        </w:rPr>
        <w:t>1</w:t>
      </w:r>
      <w:r w:rsidRPr="00D53F39">
        <w:rPr>
          <w:spacing w:val="-2"/>
          <w:lang w:val="en-US"/>
        </w:rPr>
        <w:t>, ≤ 1 ppm CO, ≤ 400 ppm CO</w:t>
      </w:r>
      <w:r w:rsidRPr="00D53F39">
        <w:rPr>
          <w:spacing w:val="-2"/>
          <w:vertAlign w:val="subscript"/>
          <w:lang w:val="en-US"/>
        </w:rPr>
        <w:t>2</w:t>
      </w:r>
      <w:r w:rsidRPr="00D53F39">
        <w:rPr>
          <w:spacing w:val="-2"/>
          <w:lang w:val="en-US"/>
        </w:rPr>
        <w:t>, ≤ 0,1 ppm NO, &lt; 0,1 ppm N</w:t>
      </w:r>
      <w:r w:rsidRPr="00D53F39">
        <w:rPr>
          <w:spacing w:val="-2"/>
          <w:vertAlign w:val="subscript"/>
          <w:lang w:val="en-US"/>
        </w:rPr>
        <w:t>2</w:t>
      </w:r>
      <w:r w:rsidRPr="00D53F39">
        <w:rPr>
          <w:spacing w:val="-2"/>
          <w:lang w:val="en-US"/>
        </w:rPr>
        <w:t>O, &lt; 0,1 ppm NH</w:t>
      </w:r>
      <w:r w:rsidRPr="00D53F39">
        <w:rPr>
          <w:spacing w:val="-2"/>
          <w:vertAlign w:val="subscript"/>
          <w:lang w:val="en-US"/>
        </w:rPr>
        <w:t>3</w:t>
      </w:r>
      <w:r w:rsidRPr="00D53F39">
        <w:rPr>
          <w:spacing w:val="-2"/>
          <w:lang w:val="en-US"/>
        </w:rPr>
        <w:t>.</w:t>
      </w:r>
    </w:p>
    <w:p w:rsidR="00E24DB7" w:rsidRPr="002C5876" w:rsidRDefault="00E24DB7" w:rsidP="00E24DB7">
      <w:pPr>
        <w:pStyle w:val="SingleTxtG"/>
        <w:keepNext/>
        <w:ind w:left="2268" w:hanging="1134"/>
        <w:jc w:val="left"/>
      </w:pPr>
      <w:r w:rsidRPr="002C5876">
        <w:t>6.1.2.2</w:t>
      </w:r>
      <w:r w:rsidRPr="002C5876">
        <w:tab/>
        <w:t>Air synthétique</w:t>
      </w:r>
    </w:p>
    <w:p w:rsidR="00E24DB7" w:rsidRPr="002C5876" w:rsidRDefault="00E24DB7" w:rsidP="00E24DB7">
      <w:pPr>
        <w:pStyle w:val="SingleTxtG"/>
        <w:ind w:left="2268"/>
        <w:rPr>
          <w:spacing w:val="-2"/>
        </w:rPr>
      </w:pPr>
      <w:r w:rsidRPr="002C5876">
        <w:rPr>
          <w:spacing w:val="-2"/>
        </w:rPr>
        <w:tab/>
        <w:t>Pureté ≤ 1 ppm C</w:t>
      </w:r>
      <w:r w:rsidRPr="002C5876">
        <w:rPr>
          <w:spacing w:val="-2"/>
          <w:vertAlign w:val="subscript"/>
        </w:rPr>
        <w:t>1</w:t>
      </w:r>
      <w:r w:rsidRPr="002C5876">
        <w:rPr>
          <w:spacing w:val="-2"/>
        </w:rPr>
        <w:t>, ≤ 1 ppm CO, ≤ 400 ppm CO</w:t>
      </w:r>
      <w:r w:rsidRPr="002C5876">
        <w:rPr>
          <w:spacing w:val="-2"/>
          <w:vertAlign w:val="subscript"/>
        </w:rPr>
        <w:t>2</w:t>
      </w:r>
      <w:r w:rsidRPr="002C5876">
        <w:rPr>
          <w:spacing w:val="-2"/>
        </w:rPr>
        <w:t xml:space="preserve">, ≤ 0,1 ppm NO, </w:t>
      </w:r>
      <w:r w:rsidRPr="002C5876">
        <w:rPr>
          <w:szCs w:val="24"/>
        </w:rPr>
        <w:t>≤ 0,1 ppm NO</w:t>
      </w:r>
      <w:r w:rsidRPr="002C5876">
        <w:rPr>
          <w:szCs w:val="24"/>
          <w:vertAlign w:val="subscript"/>
        </w:rPr>
        <w:t>2</w:t>
      </w:r>
      <w:r w:rsidRPr="002C5876">
        <w:rPr>
          <w:szCs w:val="24"/>
        </w:rPr>
        <w:t xml:space="preserve">; </w:t>
      </w:r>
      <w:r w:rsidRPr="002C5876">
        <w:rPr>
          <w:spacing w:val="-2"/>
        </w:rPr>
        <w:t>concentration d’oxygène de 18 à 21 % en volume.</w:t>
      </w:r>
    </w:p>
    <w:p w:rsidR="00E24DB7" w:rsidRPr="002C5876" w:rsidRDefault="00E24DB7" w:rsidP="00E24DB7">
      <w:pPr>
        <w:pStyle w:val="SingleTxtG"/>
        <w:keepNext/>
        <w:ind w:left="2268" w:hanging="1134"/>
        <w:jc w:val="left"/>
      </w:pPr>
      <w:r w:rsidRPr="002C5876">
        <w:t>6.1.2.3</w:t>
      </w:r>
      <w:r w:rsidRPr="002C5876">
        <w:tab/>
        <w:t>Oxygène</w:t>
      </w:r>
    </w:p>
    <w:p w:rsidR="00E24DB7" w:rsidRPr="002C5876" w:rsidRDefault="00E24DB7" w:rsidP="00E24DB7">
      <w:pPr>
        <w:pStyle w:val="SingleTxtG"/>
        <w:ind w:left="2268"/>
      </w:pPr>
      <w:r w:rsidRPr="002C5876">
        <w:tab/>
        <w:t>Pureté &gt; 99,5 % O</w:t>
      </w:r>
      <w:r w:rsidRPr="002C5876">
        <w:rPr>
          <w:vertAlign w:val="subscript"/>
        </w:rPr>
        <w:t>2</w:t>
      </w:r>
      <w:r w:rsidRPr="002C5876">
        <w:t xml:space="preserve"> en volume.</w:t>
      </w:r>
    </w:p>
    <w:p w:rsidR="00E24DB7" w:rsidRPr="002C5876" w:rsidRDefault="00E24DB7" w:rsidP="00E24DB7">
      <w:pPr>
        <w:pStyle w:val="SingleTxtG"/>
        <w:keepNext/>
        <w:ind w:left="2268" w:hanging="1134"/>
        <w:jc w:val="left"/>
      </w:pPr>
      <w:r w:rsidRPr="002C5876">
        <w:t>6.1.2.4</w:t>
      </w:r>
      <w:r w:rsidRPr="002C5876">
        <w:tab/>
        <w:t>Hydrogène (et mélange contenant de l’hélium ou de l’azote)</w:t>
      </w:r>
    </w:p>
    <w:p w:rsidR="00E24DB7" w:rsidRPr="002C5876" w:rsidRDefault="00E24DB7" w:rsidP="00E24DB7">
      <w:pPr>
        <w:pStyle w:val="SingleTxtG"/>
        <w:ind w:left="2268"/>
      </w:pPr>
      <w:r w:rsidRPr="002C5876">
        <w:tab/>
        <w:t>Pureté ≤ 1 ppm C</w:t>
      </w:r>
      <w:r w:rsidRPr="002C5876">
        <w:rPr>
          <w:vertAlign w:val="subscript"/>
        </w:rPr>
        <w:t>1</w:t>
      </w:r>
      <w:r w:rsidRPr="002C5876">
        <w:t>, ≤ 400 ppm CO</w:t>
      </w:r>
      <w:r w:rsidRPr="002C5876">
        <w:rPr>
          <w:vertAlign w:val="subscript"/>
        </w:rPr>
        <w:t>2</w:t>
      </w:r>
      <w:r w:rsidRPr="002C5876">
        <w:t> ; teneur en hydrogène entre 39 et 41 % en volume.</w:t>
      </w:r>
    </w:p>
    <w:p w:rsidR="00E24DB7" w:rsidRPr="002C5876" w:rsidRDefault="00E24DB7" w:rsidP="00E24DB7">
      <w:pPr>
        <w:pStyle w:val="SingleTxtG"/>
        <w:keepNext/>
        <w:ind w:left="2268" w:hanging="1134"/>
        <w:jc w:val="left"/>
      </w:pPr>
      <w:r w:rsidRPr="002C5876">
        <w:t>6.1.2.5</w:t>
      </w:r>
      <w:r w:rsidRPr="002C5876">
        <w:tab/>
        <w:t>Monoxyde de carbone</w:t>
      </w:r>
    </w:p>
    <w:p w:rsidR="00E24DB7" w:rsidRPr="002C5876" w:rsidRDefault="00E24DB7" w:rsidP="00E24DB7">
      <w:pPr>
        <w:pStyle w:val="SingleTxtG"/>
        <w:ind w:left="2268"/>
      </w:pPr>
      <w:r w:rsidRPr="002C5876">
        <w:tab/>
        <w:t>Pureté minimale 99,5 %.</w:t>
      </w:r>
    </w:p>
    <w:p w:rsidR="00E24DB7" w:rsidRPr="002C5876" w:rsidRDefault="00E24DB7" w:rsidP="00E24DB7">
      <w:pPr>
        <w:pStyle w:val="SingleTxtG"/>
        <w:keepNext/>
        <w:ind w:left="2268" w:hanging="1134"/>
        <w:jc w:val="left"/>
      </w:pPr>
      <w:r w:rsidRPr="002C5876">
        <w:t>6.1.2.6</w:t>
      </w:r>
      <w:r w:rsidRPr="002C5876">
        <w:tab/>
        <w:t>Propane</w:t>
      </w:r>
    </w:p>
    <w:p w:rsidR="00E24DB7" w:rsidRPr="002C5876" w:rsidRDefault="00E24DB7" w:rsidP="00E24DB7">
      <w:pPr>
        <w:pStyle w:val="SingleTxtG"/>
        <w:ind w:left="2268"/>
      </w:pPr>
      <w:r w:rsidRPr="002C5876">
        <w:tab/>
        <w:t>Pureté minimale 99,5 %.</w:t>
      </w:r>
    </w:p>
    <w:p w:rsidR="00E24DB7" w:rsidRPr="002C5876" w:rsidRDefault="00E24DB7" w:rsidP="00E24DB7">
      <w:pPr>
        <w:pStyle w:val="SingleTxtG"/>
        <w:keepNext/>
        <w:ind w:left="2268" w:hanging="1134"/>
        <w:jc w:val="left"/>
      </w:pPr>
      <w:bookmarkStart w:id="161" w:name="_Toc284586973"/>
      <w:bookmarkStart w:id="162" w:name="_Toc284587163"/>
      <w:bookmarkStart w:id="163" w:name="_Toc284587414"/>
      <w:bookmarkStart w:id="164" w:name="_Toc289686212"/>
      <w:r w:rsidRPr="002C5876">
        <w:t>6.2</w:t>
      </w:r>
      <w:r w:rsidRPr="002C5876">
        <w:tab/>
      </w:r>
      <w:bookmarkEnd w:id="161"/>
      <w:bookmarkEnd w:id="162"/>
      <w:bookmarkEnd w:id="163"/>
      <w:bookmarkEnd w:id="164"/>
      <w:r w:rsidRPr="002C5876">
        <w:t xml:space="preserve">Gaz d’étalonnage </w:t>
      </w:r>
    </w:p>
    <w:p w:rsidR="00E24DB7" w:rsidRPr="002C5876" w:rsidRDefault="00E24DB7" w:rsidP="00E24DB7">
      <w:pPr>
        <w:pStyle w:val="SingleTxtG"/>
        <w:keepNext/>
        <w:ind w:left="2268"/>
      </w:pPr>
      <w:r w:rsidRPr="002C5876">
        <w:tab/>
        <w:t xml:space="preserve">La concentration réelle du gaz d’étalonnage ne doit pas s’écarter de plus de </w:t>
      </w:r>
      <w:r w:rsidRPr="002C5876">
        <w:sym w:font="Symbol" w:char="F0B1"/>
      </w:r>
      <w:r w:rsidRPr="002C5876">
        <w:t>1 % de la valeur déclarée ou satisfaire aux valeurs ci-dessous, et être en conformité avec des normes nationales ou internationales.</w:t>
      </w:r>
    </w:p>
    <w:p w:rsidR="00E24DB7" w:rsidRPr="002C5876" w:rsidRDefault="00E24DB7" w:rsidP="00E24DB7">
      <w:pPr>
        <w:pStyle w:val="SingleTxtG"/>
        <w:keepNext/>
        <w:ind w:left="2268"/>
      </w:pPr>
      <w:r w:rsidRPr="002C5876">
        <w:tab/>
        <w:t xml:space="preserve">Les mélanges de gaz des compositions chimiques suivantes doivent répondre aux critères de pureté des gaz énoncés aux paragraphes 6.1.2.1 ou 6.1.2.2 de la présente annexe : </w:t>
      </w:r>
    </w:p>
    <w:p w:rsidR="00E24DB7" w:rsidRPr="002C5876" w:rsidRDefault="00E24DB7" w:rsidP="00E24DB7">
      <w:pPr>
        <w:pStyle w:val="SingleTxtG"/>
        <w:ind w:left="2835" w:hanging="567"/>
      </w:pPr>
      <w:r w:rsidRPr="002C5876">
        <w:t>a)</w:t>
      </w:r>
      <w:r w:rsidRPr="002C5876">
        <w:tab/>
        <w:t>C</w:t>
      </w:r>
      <w:r w:rsidRPr="002C5876">
        <w:rPr>
          <w:vertAlign w:val="subscript"/>
        </w:rPr>
        <w:t>3</w:t>
      </w:r>
      <w:r w:rsidRPr="002C5876">
        <w:t>H</w:t>
      </w:r>
      <w:r w:rsidRPr="002C5876">
        <w:rPr>
          <w:vertAlign w:val="subscript"/>
        </w:rPr>
        <w:t>8</w:t>
      </w:r>
      <w:r w:rsidRPr="002C5876">
        <w:t xml:space="preserve"> mélangé à de l’air synthétique (voir par. 6.1.2.2 de la présente annexe) ;</w:t>
      </w:r>
    </w:p>
    <w:p w:rsidR="00E24DB7" w:rsidRPr="002C5876" w:rsidRDefault="00E24DB7" w:rsidP="00E24DB7">
      <w:pPr>
        <w:pStyle w:val="SingleTxtG"/>
        <w:ind w:left="2835" w:hanging="567"/>
      </w:pPr>
      <w:r w:rsidRPr="002C5876">
        <w:t>b)</w:t>
      </w:r>
      <w:r w:rsidRPr="002C5876">
        <w:tab/>
        <w:t>CO mélangé à de l’azote ;</w:t>
      </w:r>
    </w:p>
    <w:p w:rsidR="00E24DB7" w:rsidRPr="002C5876" w:rsidRDefault="00E24DB7" w:rsidP="00E24DB7">
      <w:pPr>
        <w:pStyle w:val="SingleTxtG"/>
        <w:ind w:left="2835" w:hanging="567"/>
      </w:pPr>
      <w:r w:rsidRPr="002C5876">
        <w:t>c)</w:t>
      </w:r>
      <w:r w:rsidRPr="002C5876">
        <w:tab/>
        <w:t>CO</w:t>
      </w:r>
      <w:r w:rsidRPr="002C5876">
        <w:rPr>
          <w:vertAlign w:val="subscript"/>
        </w:rPr>
        <w:t>2</w:t>
      </w:r>
      <w:r w:rsidRPr="002C5876">
        <w:t xml:space="preserve"> mélangé à de l’azote ;</w:t>
      </w:r>
    </w:p>
    <w:p w:rsidR="00E24DB7" w:rsidRPr="002C5876" w:rsidRDefault="00E24DB7" w:rsidP="00E24DB7">
      <w:pPr>
        <w:pStyle w:val="SingleTxtG"/>
        <w:ind w:left="2835" w:hanging="567"/>
      </w:pPr>
      <w:r w:rsidRPr="002C5876">
        <w:t>d)</w:t>
      </w:r>
      <w:r w:rsidRPr="002C5876">
        <w:tab/>
        <w:t>CH</w:t>
      </w:r>
      <w:r w:rsidRPr="002C5876">
        <w:rPr>
          <w:vertAlign w:val="subscript"/>
        </w:rPr>
        <w:t>4</w:t>
      </w:r>
      <w:r w:rsidRPr="002C5876">
        <w:t xml:space="preserve"> mélangé à de l’air synthétique ;</w:t>
      </w:r>
    </w:p>
    <w:p w:rsidR="00E24DB7" w:rsidRPr="002C5876" w:rsidRDefault="00E24DB7" w:rsidP="00E24DB7">
      <w:pPr>
        <w:pStyle w:val="SingleTxtG"/>
        <w:ind w:left="2835" w:hanging="567"/>
      </w:pPr>
      <w:r w:rsidRPr="002C5876">
        <w:t>e)</w:t>
      </w:r>
      <w:r w:rsidRPr="002C5876">
        <w:tab/>
        <w:t>NO mélangé à de l’azote (la teneur en NO</w:t>
      </w:r>
      <w:r w:rsidRPr="002C5876">
        <w:rPr>
          <w:vertAlign w:val="subscript"/>
        </w:rPr>
        <w:t>2</w:t>
      </w:r>
      <w:r w:rsidRPr="002C5876">
        <w:t xml:space="preserve"> de ce gaz d’étalonnage ne doit pas dépasser 5 % de sa teneur en NO) ;</w:t>
      </w:r>
    </w:p>
    <w:p w:rsidR="00E24DB7" w:rsidRPr="002C5876" w:rsidRDefault="00E24DB7" w:rsidP="00E24DB7">
      <w:pPr>
        <w:pStyle w:val="SingleTxtG"/>
        <w:ind w:left="2835" w:hanging="567"/>
      </w:pPr>
      <w:r w:rsidRPr="002C5876">
        <w:t>f)</w:t>
      </w:r>
      <w:r w:rsidRPr="002C5876">
        <w:tab/>
        <w:t>NO</w:t>
      </w:r>
      <w:r w:rsidRPr="002C5876">
        <w:rPr>
          <w:vertAlign w:val="subscript"/>
        </w:rPr>
        <w:t>2</w:t>
      </w:r>
      <w:r w:rsidRPr="002C5876">
        <w:t xml:space="preserve"> mélangé à de l’air synthétique ou à de l’azote (tolérance : </w:t>
      </w:r>
      <w:r w:rsidRPr="002C5876">
        <w:sym w:font="Symbol" w:char="F0B1"/>
      </w:r>
      <w:r w:rsidRPr="002C5876">
        <w:t>2 %) (le cas échéant) ;</w:t>
      </w:r>
    </w:p>
    <w:p w:rsidR="00E24DB7" w:rsidRPr="002C5876" w:rsidRDefault="00E24DB7" w:rsidP="00E24DB7">
      <w:pPr>
        <w:pStyle w:val="SingleTxtG"/>
        <w:ind w:left="2835" w:hanging="567"/>
      </w:pPr>
      <w:r w:rsidRPr="002C5876">
        <w:t>g)</w:t>
      </w:r>
      <w:r w:rsidRPr="002C5876">
        <w:tab/>
        <w:t>N</w:t>
      </w:r>
      <w:r w:rsidRPr="002C5876">
        <w:rPr>
          <w:vertAlign w:val="subscript"/>
        </w:rPr>
        <w:t>2</w:t>
      </w:r>
      <w:r w:rsidRPr="002C5876">
        <w:t xml:space="preserve">O mélangé à de l’azote (tolérance : </w:t>
      </w:r>
      <w:r w:rsidRPr="002C5876">
        <w:sym w:font="Symbol" w:char="F0B1"/>
      </w:r>
      <w:r w:rsidRPr="002C5876">
        <w:t>2 % ou 0,25 ppm si cette dernière quantité est supérieure) (le cas échéant) ;</w:t>
      </w:r>
    </w:p>
    <w:p w:rsidR="00E24DB7" w:rsidRPr="002C5876" w:rsidRDefault="00E24DB7" w:rsidP="00E24DB7">
      <w:pPr>
        <w:pStyle w:val="SingleTxtG"/>
        <w:ind w:left="2835" w:hanging="567"/>
      </w:pPr>
      <w:r w:rsidRPr="002C5876">
        <w:t>h)</w:t>
      </w:r>
      <w:r w:rsidRPr="002C5876">
        <w:tab/>
        <w:t>NH</w:t>
      </w:r>
      <w:r w:rsidRPr="002C5876">
        <w:rPr>
          <w:vertAlign w:val="subscript"/>
        </w:rPr>
        <w:t>3</w:t>
      </w:r>
      <w:r w:rsidRPr="002C5876">
        <w:t xml:space="preserve"> mélangé à de l’azote (tolérance : </w:t>
      </w:r>
      <w:r w:rsidRPr="002C5876">
        <w:sym w:font="Symbol" w:char="F0B1"/>
      </w:r>
      <w:r w:rsidRPr="002C5876">
        <w:t xml:space="preserve">3 %) (le cas échéant) ; </w:t>
      </w:r>
    </w:p>
    <w:p w:rsidR="00E24DB7" w:rsidRPr="002C5876" w:rsidRDefault="00E24DB7" w:rsidP="00E24DB7">
      <w:pPr>
        <w:pStyle w:val="SingleTxtG"/>
        <w:ind w:left="2835" w:hanging="567"/>
      </w:pPr>
      <w:r w:rsidRPr="002C5876">
        <w:t>i)</w:t>
      </w:r>
      <w:r w:rsidRPr="002C5876">
        <w:tab/>
        <w:t>C</w:t>
      </w:r>
      <w:r w:rsidRPr="002C5876">
        <w:rPr>
          <w:vertAlign w:val="subscript"/>
        </w:rPr>
        <w:t>2</w:t>
      </w:r>
      <w:r w:rsidRPr="002C5876">
        <w:t>H</w:t>
      </w:r>
      <w:r w:rsidRPr="002C5876">
        <w:rPr>
          <w:vertAlign w:val="subscript"/>
        </w:rPr>
        <w:t>5</w:t>
      </w:r>
      <w:r w:rsidRPr="002C5876">
        <w:t xml:space="preserve">OH mélangé à de l’air synthétique ou à de l’azote (tolérance : </w:t>
      </w:r>
      <w:r w:rsidRPr="002C5876">
        <w:sym w:font="Symbol" w:char="F0B1"/>
      </w:r>
      <w:r w:rsidRPr="002C5876">
        <w:t>2 %) (le cas échéant) ;</w:t>
      </w:r>
    </w:p>
    <w:p w:rsidR="00E24DB7" w:rsidRPr="002C5876" w:rsidRDefault="00E24DB7" w:rsidP="00E24DB7">
      <w:pPr>
        <w:pStyle w:val="SingleTxtG"/>
        <w:ind w:left="2835" w:hanging="567"/>
      </w:pPr>
      <w:r w:rsidRPr="002C5876">
        <w:t>j)</w:t>
      </w:r>
      <w:r w:rsidRPr="002C5876">
        <w:tab/>
        <w:t xml:space="preserve">HCHO (tolérance : </w:t>
      </w:r>
      <w:r w:rsidRPr="002C5876">
        <w:sym w:font="Symbol" w:char="F0B1"/>
      </w:r>
      <w:r w:rsidRPr="002C5876">
        <w:t>10 %) (le cas échéant) ;</w:t>
      </w:r>
    </w:p>
    <w:p w:rsidR="00E24DB7" w:rsidRPr="002C5876" w:rsidRDefault="00E24DB7" w:rsidP="00E24DB7">
      <w:pPr>
        <w:pStyle w:val="SingleTxtG"/>
        <w:ind w:left="2835" w:hanging="567"/>
      </w:pPr>
      <w:r w:rsidRPr="002C5876">
        <w:t>k)</w:t>
      </w:r>
      <w:r w:rsidRPr="002C5876">
        <w:tab/>
        <w:t>CH</w:t>
      </w:r>
      <w:r w:rsidRPr="002C5876">
        <w:rPr>
          <w:vertAlign w:val="subscript"/>
        </w:rPr>
        <w:t>3</w:t>
      </w:r>
      <w:r w:rsidRPr="002C5876">
        <w:t xml:space="preserve">CHO (tolérance : </w:t>
      </w:r>
      <w:r w:rsidRPr="002C5876">
        <w:sym w:font="Symbol" w:char="F0B1"/>
      </w:r>
      <w:r w:rsidRPr="002C5876">
        <w:t>5 %) (le cas échéant).</w:t>
      </w:r>
    </w:p>
    <w:p w:rsidR="00E24DB7" w:rsidRPr="002C5876" w:rsidRDefault="00E24DB7" w:rsidP="00E24DB7">
      <w:pPr>
        <w:pStyle w:val="SingleTxtG"/>
        <w:keepNext/>
        <w:ind w:left="2268" w:hanging="1134"/>
        <w:jc w:val="left"/>
      </w:pPr>
      <w:r w:rsidRPr="002C5876">
        <w:lastRenderedPageBreak/>
        <w:t>7.</w:t>
      </w:r>
      <w:r w:rsidRPr="002C5876">
        <w:tab/>
        <w:t>Autres méthodes de prélèvement et d’analyse</w:t>
      </w:r>
    </w:p>
    <w:p w:rsidR="00E24DB7" w:rsidRPr="002C5876" w:rsidRDefault="00E24DB7" w:rsidP="00E24DB7">
      <w:pPr>
        <w:pStyle w:val="SingleTxtG"/>
        <w:keepNext/>
        <w:ind w:left="2268" w:hanging="1134"/>
        <w:jc w:val="left"/>
      </w:pPr>
      <w:r w:rsidRPr="002C5876">
        <w:t>7.1</w:t>
      </w:r>
      <w:r w:rsidRPr="002C5876">
        <w:tab/>
        <w:t>Méthodes de prélèvement et d’analyse du NH</w:t>
      </w:r>
      <w:r w:rsidRPr="002C5876">
        <w:rPr>
          <w:vertAlign w:val="subscript"/>
        </w:rPr>
        <w:t>3</w:t>
      </w:r>
      <w:r w:rsidRPr="002C5876">
        <w:t xml:space="preserve"> (le cas échéant)</w:t>
      </w:r>
    </w:p>
    <w:p w:rsidR="00E24DB7" w:rsidRPr="002C5876" w:rsidRDefault="00E24DB7" w:rsidP="00E24DB7">
      <w:pPr>
        <w:pStyle w:val="SingleTxtG"/>
        <w:ind w:left="2268"/>
      </w:pPr>
      <w:r w:rsidRPr="002C5876">
        <w:tab/>
        <w:t>Deux principes sont énoncés pour la mesure du NH</w:t>
      </w:r>
      <w:r w:rsidRPr="002C5876">
        <w:rPr>
          <w:vertAlign w:val="subscript"/>
        </w:rPr>
        <w:t>3</w:t>
      </w:r>
      <w:r w:rsidRPr="002C5876">
        <w:t> ; l’un ou l’autre peut être appliqué à condition que les critères définis aux paragraphes 7.1.1 ou 7.1.2 de la présente annexe soient satisfaits.</w:t>
      </w:r>
    </w:p>
    <w:p w:rsidR="00E24DB7" w:rsidRPr="002C5876" w:rsidRDefault="00E24DB7" w:rsidP="00E24DB7">
      <w:pPr>
        <w:pStyle w:val="SingleTxtG"/>
        <w:ind w:left="2268"/>
      </w:pPr>
      <w:r w:rsidRPr="002C5876">
        <w:tab/>
        <w:t>Les séchoirs à gaz ne sont pas admis pour la mesure du NH</w:t>
      </w:r>
      <w:r w:rsidRPr="002C5876">
        <w:rPr>
          <w:vertAlign w:val="subscript"/>
        </w:rPr>
        <w:t>3</w:t>
      </w:r>
      <w:r w:rsidRPr="002C5876">
        <w:t>. Pour les analyseurs non linéaires, l’utilisation de circuits de linéarisation est admise.</w:t>
      </w:r>
    </w:p>
    <w:p w:rsidR="00E24DB7" w:rsidRPr="002C5876" w:rsidRDefault="00E24DB7" w:rsidP="00E24DB7">
      <w:pPr>
        <w:pStyle w:val="SingleTxtG"/>
        <w:keepNext/>
        <w:ind w:left="2268" w:hanging="1134"/>
        <w:jc w:val="left"/>
      </w:pPr>
      <w:r w:rsidRPr="002C5876">
        <w:t>7.1.1</w:t>
      </w:r>
      <w:r w:rsidRPr="002C5876">
        <w:tab/>
        <w:t>Spectromètre à diode laser (LDS) ou laser à cascade quantique (QCL)</w:t>
      </w:r>
    </w:p>
    <w:p w:rsidR="00E24DB7" w:rsidRPr="002C5876" w:rsidRDefault="00E24DB7" w:rsidP="00E24DB7">
      <w:pPr>
        <w:pStyle w:val="SingleTxtG"/>
        <w:keepNext/>
        <w:ind w:left="2268" w:hanging="1134"/>
        <w:jc w:val="left"/>
      </w:pPr>
      <w:r w:rsidRPr="002C5876">
        <w:t>7.1.1.1</w:t>
      </w:r>
      <w:r w:rsidRPr="002C5876">
        <w:tab/>
        <w:t>Principe des mesures</w:t>
      </w:r>
    </w:p>
    <w:p w:rsidR="00E24DB7" w:rsidRPr="002C5876" w:rsidRDefault="00E24DB7" w:rsidP="00E24DB7">
      <w:pPr>
        <w:pStyle w:val="SingleTxtG"/>
        <w:ind w:left="2268"/>
      </w:pPr>
      <w:r w:rsidRPr="002C5876">
        <w:tab/>
        <w:t>Le LDS et le QCL fonctionnent selon le principe de la spectroscopie à ligne unique. La ligne d’absorption du NH</w:t>
      </w:r>
      <w:r w:rsidRPr="002C5876">
        <w:rPr>
          <w:vertAlign w:val="subscript"/>
        </w:rPr>
        <w:t>3</w:t>
      </w:r>
      <w:r w:rsidRPr="002C5876">
        <w:t xml:space="preserve"> est choisie dans la gamme spectrale de l’infrarouge proche (LDS) ou de l’infrarouge moyen (QCL).</w:t>
      </w:r>
    </w:p>
    <w:p w:rsidR="00E24DB7" w:rsidRPr="002C5876" w:rsidRDefault="00E24DB7" w:rsidP="00E24DB7">
      <w:pPr>
        <w:pStyle w:val="SingleTxtG"/>
        <w:keepNext/>
        <w:ind w:left="2268" w:hanging="1134"/>
        <w:jc w:val="left"/>
      </w:pPr>
      <w:r w:rsidRPr="002C5876">
        <w:t>7.1.1.2</w:t>
      </w:r>
      <w:r w:rsidRPr="002C5876">
        <w:tab/>
        <w:t>Installation</w:t>
      </w:r>
    </w:p>
    <w:p w:rsidR="00E24DB7" w:rsidRPr="002C5876" w:rsidRDefault="00E24DB7" w:rsidP="00E24DB7">
      <w:pPr>
        <w:pStyle w:val="SingleTxtG"/>
        <w:ind w:left="2268"/>
      </w:pPr>
      <w:r w:rsidRPr="002C5876">
        <w:tab/>
        <w:t>L’analyseur doit être installé soit directement dans le tuyau d’échappement (in situ), soit dans une armoire pour analyseur avec prélèvement par extraction conformément aux instructions du fabricant de l’instrument.</w:t>
      </w:r>
    </w:p>
    <w:p w:rsidR="00E24DB7" w:rsidRPr="002C5876" w:rsidRDefault="00E24DB7" w:rsidP="00E24DB7">
      <w:pPr>
        <w:pStyle w:val="SingleTxtG"/>
        <w:ind w:left="2268"/>
      </w:pPr>
      <w:r w:rsidRPr="002C5876">
        <w:tab/>
        <w:t>Si un écran d’air est utilisé avec la mesure in situ pour la protection de l’instrument, cet air ne doit affecter la concentration d’aucun des constituants des gaz d’échappement mesurés en aval du dispositif ou, si cet air affecte la concentration, le prélèvement des autres constituants des gaz d’échappement doit être fait en amont du dispositif.</w:t>
      </w:r>
    </w:p>
    <w:p w:rsidR="00E24DB7" w:rsidRPr="002C5876" w:rsidRDefault="00E24DB7" w:rsidP="00E24DB7">
      <w:pPr>
        <w:pStyle w:val="SingleTxtG"/>
        <w:keepNext/>
        <w:ind w:left="2268" w:hanging="1134"/>
        <w:jc w:val="left"/>
      </w:pPr>
      <w:r w:rsidRPr="002C5876">
        <w:t>7.1.1.3</w:t>
      </w:r>
      <w:r w:rsidRPr="002C5876">
        <w:tab/>
        <w:t>Interférence réciproque</w:t>
      </w:r>
    </w:p>
    <w:p w:rsidR="00E24DB7" w:rsidRPr="002C5876" w:rsidRDefault="00E24DB7" w:rsidP="00E24DB7">
      <w:pPr>
        <w:pStyle w:val="SingleTxtG"/>
        <w:ind w:left="2268"/>
      </w:pPr>
      <w:r w:rsidRPr="002C5876">
        <w:tab/>
        <w:t>La résolution spectrale du laser doit être de 0,5 par cm au maximum afin de réduire le plus possible l’interférence réciproque d’autres gaz présents dans les gaz d’échappement.</w:t>
      </w:r>
    </w:p>
    <w:p w:rsidR="00E24DB7" w:rsidRPr="002C5876" w:rsidRDefault="00E24DB7" w:rsidP="00E24DB7">
      <w:pPr>
        <w:pStyle w:val="SingleTxtG"/>
        <w:keepNext/>
        <w:ind w:left="2268" w:hanging="1134"/>
        <w:jc w:val="left"/>
      </w:pPr>
      <w:r w:rsidRPr="002C5876">
        <w:t>7.1.2</w:t>
      </w:r>
      <w:r w:rsidRPr="002C5876">
        <w:tab/>
        <w:t xml:space="preserve">Analyseur infrarouge à transformée de Fourier (FTIR) </w:t>
      </w:r>
    </w:p>
    <w:p w:rsidR="00E24DB7" w:rsidRPr="002C5876" w:rsidRDefault="00E24DB7" w:rsidP="00E24DB7">
      <w:pPr>
        <w:pStyle w:val="SingleTxtG"/>
        <w:keepNext/>
        <w:ind w:left="2268" w:hanging="1134"/>
        <w:jc w:val="left"/>
      </w:pPr>
      <w:r w:rsidRPr="002C5876">
        <w:t>7.1.2.1</w:t>
      </w:r>
      <w:r w:rsidRPr="002C5876">
        <w:tab/>
        <w:t>Principe des mesures</w:t>
      </w:r>
    </w:p>
    <w:p w:rsidR="00E24DB7" w:rsidRPr="002C5876" w:rsidRDefault="00E24DB7" w:rsidP="00E24DB7">
      <w:pPr>
        <w:pStyle w:val="SingleTxtG"/>
        <w:ind w:left="2268"/>
      </w:pPr>
      <w:r w:rsidRPr="002C5876">
        <w:tab/>
        <w:t xml:space="preserve">Un analyseur FTIR emploie le principe de la spectroscopie infrarouge à large bande. Il permet de mesurer simultanément divers constituants des gaz d’échappement dont les spectres normalisés sont mémorisés dans l’instrument. Le spectre d’absorption (intensité/longueur d’onde) est calculé à partir de l’interférogramme (intensité/temps) mesuré par la méthode de la transformée de Fourier. </w:t>
      </w:r>
    </w:p>
    <w:p w:rsidR="00E24DB7" w:rsidRPr="002C5876" w:rsidRDefault="00E24DB7" w:rsidP="00E24DB7">
      <w:pPr>
        <w:pStyle w:val="SingleTxtG"/>
        <w:ind w:left="2268" w:hanging="1134"/>
      </w:pPr>
      <w:r w:rsidRPr="002C5876">
        <w:t>7.1.2.2</w:t>
      </w:r>
      <w:r w:rsidRPr="002C5876">
        <w:tab/>
        <w:t>Le flux interne de l’échantillon dans l’analyseur jusqu’à la chambre de mesure et la cellule elle-même doivent être chauffés.</w:t>
      </w:r>
    </w:p>
    <w:p w:rsidR="00E24DB7" w:rsidRPr="002C5876" w:rsidRDefault="00E24DB7" w:rsidP="00E24DB7">
      <w:pPr>
        <w:pStyle w:val="SingleTxtG"/>
        <w:keepNext/>
        <w:ind w:left="2268" w:hanging="1134"/>
        <w:jc w:val="left"/>
      </w:pPr>
      <w:r w:rsidRPr="002C5876">
        <w:t>7.1.2.3</w:t>
      </w:r>
      <w:r w:rsidRPr="002C5876">
        <w:tab/>
        <w:t>Prélèvement par extraction</w:t>
      </w:r>
    </w:p>
    <w:p w:rsidR="00E24DB7" w:rsidRPr="002C5876" w:rsidRDefault="00E24DB7" w:rsidP="00E24DB7">
      <w:pPr>
        <w:pStyle w:val="SingleTxtG"/>
        <w:ind w:left="2268"/>
      </w:pPr>
      <w:r w:rsidRPr="002C5876">
        <w:tab/>
        <w:t>Le canal de prélèvement en amont de l’analyseur (ligne de prélèvement, préfiltre (s), pompes et vannes) doit être en acier inoxydable ou en PTFE et doit être chauffé à des points définis entre 110 °C et 190 °C pour réduire le plus possible les pertes de NH</w:t>
      </w:r>
      <w:r w:rsidRPr="002C5876">
        <w:rPr>
          <w:vertAlign w:val="subscript"/>
        </w:rPr>
        <w:t>3</w:t>
      </w:r>
      <w:r w:rsidRPr="002C5876">
        <w:t xml:space="preserve"> et tout effet de distorsion sur le prélèvement. En outre, la ligne de prélèvement doit être aussi courte que possible. À la demande du fabricant, des températures comprises entre 110 °C et 133 °C peuvent être choisies.</w:t>
      </w:r>
    </w:p>
    <w:p w:rsidR="00E24DB7" w:rsidRPr="002C5876" w:rsidRDefault="00E24DB7" w:rsidP="00E24DB7">
      <w:pPr>
        <w:pStyle w:val="SingleTxtG"/>
        <w:keepNext/>
        <w:ind w:left="2268" w:hanging="1134"/>
        <w:jc w:val="left"/>
      </w:pPr>
      <w:r w:rsidRPr="002C5876">
        <w:t>7.1.2.4</w:t>
      </w:r>
      <w:r w:rsidRPr="002C5876">
        <w:tab/>
        <w:t>Interférences avec les mesures</w:t>
      </w:r>
    </w:p>
    <w:p w:rsidR="00E24DB7" w:rsidRPr="002C5876" w:rsidRDefault="00E24DB7" w:rsidP="00E24DB7">
      <w:pPr>
        <w:pStyle w:val="SingleTxtG"/>
        <w:ind w:left="2268" w:hanging="1134"/>
      </w:pPr>
      <w:r w:rsidRPr="002C5876">
        <w:t>7.1.2.4.1</w:t>
      </w:r>
      <w:r w:rsidRPr="002C5876">
        <w:tab/>
        <w:t>La résolution spectrale de la longueur d’onde cible doit être de 0,5 par cm ou mieux afin de réduire le plus possible les interférences causées par d’autres gaz présents dans les gaz d’échappement.</w:t>
      </w:r>
    </w:p>
    <w:p w:rsidR="00E24DB7" w:rsidRPr="002C5876" w:rsidRDefault="00E24DB7" w:rsidP="00E24DB7">
      <w:pPr>
        <w:pStyle w:val="SingleTxtG"/>
        <w:ind w:left="2268" w:hanging="1134"/>
      </w:pPr>
      <w:r w:rsidRPr="002C5876">
        <w:t>7.1.2.4.2</w:t>
      </w:r>
      <w:r w:rsidRPr="002C5876">
        <w:tab/>
        <w:t xml:space="preserve">La réponse de l’analyseur ne doit pas dépasser </w:t>
      </w:r>
      <w:r w:rsidRPr="002C5876">
        <w:sym w:font="Symbol" w:char="F0B1"/>
      </w:r>
      <w:r w:rsidRPr="002C5876">
        <w:t>2 ppm aux concentrations maximales de CO</w:t>
      </w:r>
      <w:r w:rsidRPr="002C5876">
        <w:rPr>
          <w:vertAlign w:val="subscript"/>
        </w:rPr>
        <w:t>2</w:t>
      </w:r>
      <w:r w:rsidRPr="002C5876">
        <w:t xml:space="preserve"> et de H</w:t>
      </w:r>
      <w:r w:rsidRPr="002C5876">
        <w:rPr>
          <w:vertAlign w:val="subscript"/>
        </w:rPr>
        <w:t>2</w:t>
      </w:r>
      <w:r w:rsidRPr="002C5876">
        <w:t xml:space="preserve">O prévisibles pendant l’essai du véhicule. </w:t>
      </w:r>
    </w:p>
    <w:p w:rsidR="00E24DB7" w:rsidRPr="002C5876" w:rsidRDefault="00E24DB7" w:rsidP="00E24DB7">
      <w:pPr>
        <w:pStyle w:val="SingleTxtG"/>
        <w:keepNext/>
        <w:ind w:left="2268" w:hanging="1134"/>
      </w:pPr>
      <w:r w:rsidRPr="002C5876">
        <w:lastRenderedPageBreak/>
        <w:t>7.1.2.5</w:t>
      </w:r>
      <w:r w:rsidRPr="002C5876">
        <w:tab/>
        <w:t xml:space="preserve">Afin de ne pas influer sur les résultats des mesures en aval dans le système CVS, il faut limiter la quantité de gaz d’échappement bruts extraits pour la mesure du </w:t>
      </w:r>
      <w:r w:rsidRPr="002C5876">
        <w:rPr>
          <w:rFonts w:ascii="TimesNewRoman" w:hAnsi="TimesNewRoman" w:cs="TimesNewRoman"/>
          <w:szCs w:val="24"/>
        </w:rPr>
        <w:t>NH</w:t>
      </w:r>
      <w:r w:rsidRPr="002C5876">
        <w:rPr>
          <w:rFonts w:ascii="TimesNewRoman" w:hAnsi="TimesNewRoman" w:cs="TimesNewRoman"/>
          <w:szCs w:val="24"/>
          <w:vertAlign w:val="subscript"/>
        </w:rPr>
        <w:t>3</w:t>
      </w:r>
      <w:r w:rsidRPr="002C5876">
        <w:rPr>
          <w:rFonts w:ascii="TimesNewRoman" w:hAnsi="TimesNewRoman" w:cs="TimesNewRoman"/>
          <w:szCs w:val="24"/>
        </w:rPr>
        <w:t>. Pour ce faire, on peut effectuer une mesure in-situ, utiliser un analyseur à faible débit de prélèvement ou renvoyer vers le CVS le NH</w:t>
      </w:r>
      <w:r w:rsidRPr="002C5876">
        <w:rPr>
          <w:rFonts w:ascii="TimesNewRoman" w:hAnsi="TimesNewRoman" w:cs="TimesNewRoman"/>
          <w:szCs w:val="24"/>
          <w:vertAlign w:val="subscript"/>
        </w:rPr>
        <w:t>3</w:t>
      </w:r>
      <w:r w:rsidRPr="002C5876">
        <w:rPr>
          <w:rFonts w:ascii="TimesNewRoman" w:hAnsi="TimesNewRoman" w:cs="TimesNewRoman"/>
          <w:szCs w:val="24"/>
        </w:rPr>
        <w:t xml:space="preserve"> prélevé.</w:t>
      </w:r>
    </w:p>
    <w:p w:rsidR="00E24DB7" w:rsidRPr="002C5876" w:rsidRDefault="00E24DB7" w:rsidP="00E24DB7">
      <w:pPr>
        <w:pStyle w:val="SingleTxtG"/>
        <w:ind w:left="2268"/>
        <w:jc w:val="left"/>
        <w:rPr>
          <w:rFonts w:ascii="TimesNewRoman" w:hAnsi="TimesNewRoman" w:cs="TimesNewRoman"/>
          <w:szCs w:val="24"/>
        </w:rPr>
      </w:pPr>
      <w:r w:rsidRPr="002C5876">
        <w:rPr>
          <w:rFonts w:ascii="TimesNewRoman" w:hAnsi="TimesNewRoman" w:cs="TimesNewRoman"/>
          <w:szCs w:val="24"/>
        </w:rPr>
        <w:t>Le flux maximal admissible d’échantillons de NH</w:t>
      </w:r>
      <w:r w:rsidRPr="002C5876">
        <w:rPr>
          <w:rFonts w:ascii="TimesNewRoman" w:hAnsi="TimesNewRoman" w:cs="TimesNewRoman"/>
          <w:szCs w:val="24"/>
          <w:vertAlign w:val="subscript"/>
        </w:rPr>
        <w:t>3</w:t>
      </w:r>
      <w:r w:rsidRPr="002C5876">
        <w:rPr>
          <w:rFonts w:ascii="TimesNewRoman" w:hAnsi="TimesNewRoman" w:cs="TimesNewRoman"/>
          <w:szCs w:val="24"/>
        </w:rPr>
        <w:t xml:space="preserve"> non renvoyés vers le CVS est calculé comme suit :</w:t>
      </w:r>
    </w:p>
    <w:p w:rsidR="00E24DB7" w:rsidRPr="002C5876" w:rsidRDefault="00E24DB7" w:rsidP="00E24DB7">
      <w:pPr>
        <w:pStyle w:val="SingleTxtG"/>
        <w:ind w:left="2268"/>
        <w:jc w:val="center"/>
        <w:rPr>
          <w:rFonts w:ascii="TimesNewRoman" w:hAnsi="TimesNewRoman" w:cs="TimesNewRoman"/>
          <w:szCs w:val="24"/>
        </w:rPr>
      </w:pPr>
      <m:oMathPara>
        <m:oMath>
          <m:r>
            <m:rPr>
              <m:sty m:val="p"/>
            </m:rPr>
            <w:rPr>
              <w:rFonts w:ascii="Cambria Math" w:hAnsi="Cambria Math" w:cstheme="majorBidi"/>
            </w:rPr>
            <m:t>Flow_lost_max=</m:t>
          </m:r>
          <m:f>
            <m:fPr>
              <m:ctrlPr>
                <w:rPr>
                  <w:rFonts w:ascii="Cambria Math" w:hAnsi="Cambria Math" w:cstheme="majorBidi"/>
                </w:rPr>
              </m:ctrlPr>
            </m:fPr>
            <m:num>
              <m:r>
                <m:rPr>
                  <m:sty m:val="p"/>
                </m:rPr>
                <w:rPr>
                  <w:rFonts w:ascii="Cambria Math" w:hAnsi="Cambria Math" w:cstheme="majorBidi"/>
                </w:rPr>
                <m:t>0,005×</m:t>
              </m:r>
              <m:sSub>
                <m:sSubPr>
                  <m:ctrlPr>
                    <w:rPr>
                      <w:rFonts w:ascii="Cambria Math" w:hAnsi="Cambria Math" w:cstheme="majorBidi"/>
                    </w:rPr>
                  </m:ctrlPr>
                </m:sSubPr>
                <m:e>
                  <m:r>
                    <m:rPr>
                      <m:sty m:val="p"/>
                    </m:rPr>
                    <w:rPr>
                      <w:rFonts w:ascii="Cambria Math" w:hAnsi="Cambria Math" w:cstheme="majorBidi"/>
                    </w:rPr>
                    <m:t>V</m:t>
                  </m:r>
                </m:e>
                <m:sub>
                  <m:r>
                    <m:rPr>
                      <m:sty m:val="p"/>
                    </m:rPr>
                    <w:rPr>
                      <w:rFonts w:ascii="Cambria Math" w:hAnsi="Cambria Math" w:cstheme="majorBidi"/>
                    </w:rPr>
                    <m:t>mix</m:t>
                  </m:r>
                </m:sub>
              </m:sSub>
            </m:num>
            <m:den>
              <m:r>
                <m:rPr>
                  <m:sty m:val="p"/>
                </m:rPr>
                <w:rPr>
                  <w:rFonts w:ascii="Cambria Math" w:hAnsi="Cambria Math" w:cstheme="majorBidi"/>
                </w:rPr>
                <m:t>DF</m:t>
              </m:r>
            </m:den>
          </m:f>
        </m:oMath>
      </m:oMathPara>
    </w:p>
    <w:p w:rsidR="00E24DB7" w:rsidRPr="002C5876" w:rsidRDefault="00E24DB7" w:rsidP="00E24DB7">
      <w:pPr>
        <w:pStyle w:val="SingleTxtG"/>
        <w:keepNext/>
        <w:ind w:left="2268"/>
        <w:rPr>
          <w:rFonts w:ascii="TimesNewRoman" w:hAnsi="TimesNewRoman" w:cs="TimesNewRoman"/>
          <w:szCs w:val="24"/>
        </w:rPr>
      </w:pPr>
      <w:r w:rsidRPr="002C5876">
        <w:rPr>
          <w:rFonts w:ascii="TimesNewRoman" w:hAnsi="TimesNewRoman" w:cs="TimesNewRoman"/>
          <w:szCs w:val="24"/>
        </w:rPr>
        <w:tab/>
        <w:t>où :</w:t>
      </w:r>
    </w:p>
    <w:p w:rsidR="00E24DB7" w:rsidRPr="002C5876" w:rsidRDefault="00E24DB7" w:rsidP="00E24DB7">
      <w:pPr>
        <w:pStyle w:val="SingleTxtG"/>
        <w:ind w:left="3686" w:hanging="1418"/>
        <w:rPr>
          <w:rFonts w:ascii="TimesNewRoman" w:hAnsi="TimesNewRoman" w:cs="TimesNewRoman"/>
          <w:szCs w:val="24"/>
        </w:rPr>
      </w:pPr>
      <w:r w:rsidRPr="002C5876">
        <w:rPr>
          <w:rFonts w:ascii="TimesNewRoman" w:hAnsi="TimesNewRoman" w:cs="TimesNewRoman"/>
          <w:szCs w:val="24"/>
        </w:rPr>
        <w:t>Flow_lost_max</w:t>
      </w:r>
      <w:r w:rsidRPr="002C5876">
        <w:rPr>
          <w:rFonts w:ascii="TimesNewRoman" w:hAnsi="TimesNewRoman" w:cs="TimesNewRoman"/>
          <w:szCs w:val="24"/>
        </w:rPr>
        <w:tab/>
        <w:t>est le volume d’échantillons mon renvoyés vers le CVS, en m</w:t>
      </w:r>
      <w:r w:rsidRPr="002C5876">
        <w:rPr>
          <w:rFonts w:ascii="TimesNewRoman" w:hAnsi="TimesNewRoman" w:cs="TimesNewRoman"/>
          <w:szCs w:val="24"/>
          <w:vertAlign w:val="superscript"/>
        </w:rPr>
        <w:t>3</w:t>
      </w:r>
      <w:r w:rsidRPr="002C5876">
        <w:rPr>
          <w:rFonts w:ascii="TimesNewRoman" w:hAnsi="TimesNewRoman" w:cs="TimesNewRoman"/>
          <w:szCs w:val="24"/>
        </w:rPr>
        <w:t> ;</w:t>
      </w:r>
    </w:p>
    <w:p w:rsidR="00E24DB7" w:rsidRPr="002C5876" w:rsidRDefault="00E24DB7" w:rsidP="00E24DB7">
      <w:pPr>
        <w:pStyle w:val="SingleTxtG"/>
        <w:ind w:left="3686" w:hanging="1418"/>
        <w:rPr>
          <w:rFonts w:ascii="TimesNewRoman" w:hAnsi="TimesNewRoman" w:cs="TimesNewRoman"/>
          <w:szCs w:val="24"/>
        </w:rPr>
      </w:pPr>
      <w:r w:rsidRPr="002C5876">
        <w:rPr>
          <w:rFonts w:ascii="TimesNewRoman" w:hAnsi="TimesNewRoman" w:cs="TimesNewRoman"/>
          <w:szCs w:val="24"/>
        </w:rPr>
        <w:t>V</w:t>
      </w:r>
      <w:r w:rsidRPr="002C5876">
        <w:rPr>
          <w:rFonts w:ascii="TimesNewRoman" w:hAnsi="TimesNewRoman" w:cs="TimesNewRoman"/>
          <w:szCs w:val="24"/>
          <w:vertAlign w:val="subscript"/>
        </w:rPr>
        <w:t>mix</w:t>
      </w:r>
      <w:r w:rsidRPr="002C5876">
        <w:rPr>
          <w:rFonts w:ascii="TimesNewRoman" w:hAnsi="TimesNewRoman" w:cs="TimesNewRoman"/>
          <w:szCs w:val="24"/>
        </w:rPr>
        <w:tab/>
        <w:t xml:space="preserve">est le volume de gaz d’échappement dilués par phase, </w:t>
      </w:r>
      <w:r w:rsidRPr="002C5876">
        <w:t>en m</w:t>
      </w:r>
      <w:r w:rsidRPr="002C5876">
        <w:rPr>
          <w:rFonts w:ascii="TimesNewRoman" w:hAnsi="TimesNewRoman" w:cs="TimesNewRoman"/>
          <w:szCs w:val="24"/>
          <w:vertAlign w:val="superscript"/>
        </w:rPr>
        <w:t>3</w:t>
      </w:r>
      <w:r w:rsidRPr="002C5876">
        <w:rPr>
          <w:rFonts w:ascii="TimesNewRoman" w:hAnsi="TimesNewRoman" w:cs="TimesNewRoman"/>
          <w:szCs w:val="24"/>
        </w:rPr>
        <w:t> ;</w:t>
      </w:r>
    </w:p>
    <w:p w:rsidR="00E24DB7" w:rsidRPr="002C5876" w:rsidRDefault="00E24DB7" w:rsidP="00E24DB7">
      <w:pPr>
        <w:pStyle w:val="SingleTxtG"/>
        <w:ind w:left="3686" w:hanging="1418"/>
        <w:rPr>
          <w:rFonts w:ascii="TimesNewRoman" w:hAnsi="TimesNewRoman" w:cs="TimesNewRoman"/>
          <w:szCs w:val="24"/>
        </w:rPr>
      </w:pPr>
      <w:r w:rsidRPr="002C5876">
        <w:rPr>
          <w:rFonts w:ascii="TimesNewRoman" w:hAnsi="TimesNewRoman" w:cs="TimesNewRoman"/>
          <w:szCs w:val="24"/>
        </w:rPr>
        <w:t>DF</w:t>
      </w:r>
      <w:r w:rsidRPr="002C5876">
        <w:rPr>
          <w:rFonts w:ascii="TimesNewRoman" w:hAnsi="TimesNewRoman" w:cs="TimesNewRoman"/>
          <w:szCs w:val="24"/>
        </w:rPr>
        <w:tab/>
        <w:t>est le facteur de dilution.</w:t>
      </w:r>
    </w:p>
    <w:p w:rsidR="00E24DB7" w:rsidRPr="002C5876" w:rsidRDefault="00E24DB7" w:rsidP="00E24DB7">
      <w:pPr>
        <w:pStyle w:val="SingleTxtG"/>
        <w:ind w:left="2268"/>
        <w:rPr>
          <w:rFonts w:ascii="TimesNewRoman" w:hAnsi="TimesNewRoman" w:cs="TimesNewRoman"/>
          <w:szCs w:val="24"/>
        </w:rPr>
      </w:pPr>
      <w:r w:rsidRPr="002C5876">
        <w:rPr>
          <w:rFonts w:ascii="TimesNewRoman" w:hAnsi="TimesNewRoman" w:cs="TimesNewRoman"/>
          <w:szCs w:val="24"/>
        </w:rPr>
        <w:tab/>
        <w:t>Si le volume non renvoyé de NH</w:t>
      </w:r>
      <w:r w:rsidRPr="002C5876">
        <w:rPr>
          <w:rFonts w:ascii="TimesNewRoman" w:hAnsi="TimesNewRoman" w:cs="TimesNewRoman"/>
          <w:szCs w:val="24"/>
          <w:vertAlign w:val="subscript"/>
        </w:rPr>
        <w:t>3</w:t>
      </w:r>
      <w:r w:rsidRPr="002C5876">
        <w:rPr>
          <w:rFonts w:ascii="TimesNewRoman" w:hAnsi="TimesNewRoman" w:cs="TimesNewRoman"/>
          <w:szCs w:val="24"/>
        </w:rPr>
        <w:t xml:space="preserve"> dépasse le the maximum admissible pour l’une quelconque des phases de l’essai, les mesures en aval du CVS ne sont pas valides et ne peuvent être prises en compte. Un essai supplémentaire sans mesure de l’ammoniac doit être effectué.</w:t>
      </w:r>
    </w:p>
    <w:p w:rsidR="00E24DB7" w:rsidRPr="002C5876" w:rsidRDefault="00E24DB7" w:rsidP="00E24DB7">
      <w:pPr>
        <w:pStyle w:val="SingleTxtG"/>
        <w:ind w:left="2268"/>
        <w:rPr>
          <w:rFonts w:ascii="TimesNewRoman" w:hAnsi="TimesNewRoman" w:cs="TimesNewRoman"/>
          <w:szCs w:val="24"/>
        </w:rPr>
      </w:pPr>
      <w:r w:rsidRPr="002C5876">
        <w:rPr>
          <w:rFonts w:ascii="TimesNewRoman" w:hAnsi="TimesNewRoman" w:cs="TimesNewRoman"/>
          <w:szCs w:val="24"/>
        </w:rPr>
        <w:t>Si le flux extrait est renvoyé au CVS, une limite supérieure de 10 l standard/min s’applique. Si cette limite est dépassée, un essai supplémentaire sans mesure de l’ammoniac est donc nécessaire.</w:t>
      </w:r>
    </w:p>
    <w:p w:rsidR="00E24DB7" w:rsidRPr="002C5876" w:rsidRDefault="00E24DB7" w:rsidP="00E24DB7">
      <w:pPr>
        <w:pStyle w:val="SingleTxtG"/>
        <w:keepNext/>
        <w:ind w:left="2268" w:hanging="1134"/>
        <w:jc w:val="left"/>
      </w:pPr>
      <w:r w:rsidRPr="002C5876">
        <w:t>7.2</w:t>
      </w:r>
      <w:r w:rsidRPr="002C5876">
        <w:tab/>
        <w:t>Méthodes de prélèvement et d’analyse du N</w:t>
      </w:r>
      <w:r w:rsidRPr="002C5876">
        <w:rPr>
          <w:vertAlign w:val="subscript"/>
        </w:rPr>
        <w:t>2</w:t>
      </w:r>
      <w:r w:rsidRPr="002C5876">
        <w:t>O</w:t>
      </w:r>
    </w:p>
    <w:p w:rsidR="00E24DB7" w:rsidRPr="002C5876" w:rsidRDefault="00E24DB7" w:rsidP="00E24DB7">
      <w:pPr>
        <w:pStyle w:val="SingleTxtG"/>
        <w:keepNext/>
        <w:ind w:left="2268" w:hanging="1134"/>
        <w:jc w:val="left"/>
      </w:pPr>
      <w:r w:rsidRPr="002C5876">
        <w:t>7.2.1</w:t>
      </w:r>
      <w:r w:rsidRPr="002C5876">
        <w:tab/>
        <w:t>Méthode par chromatographie en phase gazeuse</w:t>
      </w:r>
    </w:p>
    <w:p w:rsidR="00E24DB7" w:rsidRPr="002C5876" w:rsidRDefault="00E24DB7" w:rsidP="00E24DB7">
      <w:pPr>
        <w:pStyle w:val="SingleTxtG"/>
        <w:keepNext/>
        <w:ind w:left="2268" w:hanging="1134"/>
        <w:jc w:val="left"/>
      </w:pPr>
      <w:r w:rsidRPr="002C5876">
        <w:t>7.2.1.1</w:t>
      </w:r>
      <w:r w:rsidRPr="002C5876">
        <w:tab/>
        <w:t xml:space="preserve">Description générale </w:t>
      </w:r>
    </w:p>
    <w:p w:rsidR="00E24DB7" w:rsidRPr="002C5876" w:rsidRDefault="00E24DB7" w:rsidP="00E24DB7">
      <w:pPr>
        <w:pStyle w:val="SingleTxtG"/>
        <w:ind w:left="2268"/>
      </w:pPr>
      <w:r w:rsidRPr="002C5876">
        <w:tab/>
        <w:t>Après séparation chromatographique en phase gazeuse, le N</w:t>
      </w:r>
      <w:r w:rsidRPr="002C5876">
        <w:rPr>
          <w:vertAlign w:val="subscript"/>
        </w:rPr>
        <w:t>2</w:t>
      </w:r>
      <w:r w:rsidRPr="002C5876">
        <w:t>O est analysé par un détecteur à capture d’électrons (ECD).</w:t>
      </w:r>
    </w:p>
    <w:p w:rsidR="00E24DB7" w:rsidRPr="002C5876" w:rsidRDefault="00E24DB7" w:rsidP="00E24DB7">
      <w:pPr>
        <w:pStyle w:val="SingleTxtG"/>
        <w:keepNext/>
        <w:ind w:left="2268" w:hanging="1134"/>
        <w:jc w:val="left"/>
      </w:pPr>
      <w:r w:rsidRPr="002C5876">
        <w:t>7.2.1.2</w:t>
      </w:r>
      <w:r w:rsidRPr="002C5876">
        <w:tab/>
        <w:t>Prélèvement</w:t>
      </w:r>
    </w:p>
    <w:p w:rsidR="00E24DB7" w:rsidRPr="002C5876" w:rsidRDefault="00E24DB7" w:rsidP="00E24DB7">
      <w:pPr>
        <w:pStyle w:val="SingleTxtG"/>
        <w:ind w:left="2268"/>
      </w:pPr>
      <w:r w:rsidRPr="002C5876">
        <w:tab/>
        <w:t>À chaque phase de l’essai, un échantillon de gaz doit être prélevé pour analyse dans le sac de gaz d’échappement dilués et dans le sac d’air de dilution. L’autre solution consiste à analyser le sac d’air de dilution provenant de la phase 1 ou un seul échantillon composite d’air de dilution ambiant en prenant pour hypothèse que la teneur en N</w:t>
      </w:r>
      <w:r w:rsidRPr="002C5876">
        <w:rPr>
          <w:vertAlign w:val="subscript"/>
        </w:rPr>
        <w:t>2</w:t>
      </w:r>
      <w:r w:rsidRPr="002C5876">
        <w:t>O de l’air de dilution est constant.</w:t>
      </w:r>
    </w:p>
    <w:p w:rsidR="00E24DB7" w:rsidRPr="002C5876" w:rsidRDefault="00E24DB7" w:rsidP="00E24DB7">
      <w:pPr>
        <w:pStyle w:val="SingleTxtG"/>
        <w:keepNext/>
        <w:ind w:left="2268" w:hanging="1134"/>
        <w:jc w:val="left"/>
      </w:pPr>
      <w:r w:rsidRPr="002C5876">
        <w:t>7.2.1.2.1</w:t>
      </w:r>
      <w:r w:rsidRPr="002C5876">
        <w:tab/>
        <w:t xml:space="preserve">Transfert des échantillons </w:t>
      </w:r>
    </w:p>
    <w:p w:rsidR="00E24DB7" w:rsidRPr="002C5876" w:rsidRDefault="00E24DB7" w:rsidP="00E24DB7">
      <w:pPr>
        <w:pStyle w:val="SingleTxtG"/>
        <w:keepLines/>
        <w:ind w:left="2268"/>
      </w:pPr>
      <w:r w:rsidRPr="002C5876">
        <w:tab/>
        <w:t xml:space="preserve">Il est possible de stocker les échantillons dans des récipients secondaires en vue de leur transport entre la chambre d’essai et le laboratoire de chromatographie en phase gazeuse. Les précautions techniques nécessaires doivent être prises pour éviter une dilution supplémentaire lors du transfert des échantillons des sacs de collecte dans des sacs secondaires. </w:t>
      </w:r>
    </w:p>
    <w:p w:rsidR="00E24DB7" w:rsidRPr="002C5876" w:rsidRDefault="00E24DB7" w:rsidP="00E24DB7">
      <w:pPr>
        <w:pStyle w:val="SingleTxtG"/>
        <w:keepNext/>
        <w:ind w:left="2268" w:hanging="1134"/>
        <w:jc w:val="left"/>
      </w:pPr>
      <w:r w:rsidRPr="002C5876">
        <w:t>7.2.1.2.2</w:t>
      </w:r>
      <w:r w:rsidRPr="002C5876">
        <w:tab/>
        <w:t xml:space="preserve">Récipients secondaires de stockage des échantillons </w:t>
      </w:r>
    </w:p>
    <w:p w:rsidR="00E24DB7" w:rsidRPr="002C5876" w:rsidRDefault="00E24DB7" w:rsidP="00E24DB7">
      <w:pPr>
        <w:pStyle w:val="SingleTxtG"/>
        <w:ind w:left="2268"/>
      </w:pPr>
      <w:r w:rsidRPr="002C5876">
        <w:tab/>
        <w:t xml:space="preserve">Les volumes de gaz doivent être mis dans des conteneurs suffisamment propres permettant de réduire le plus possible les fuites ou la perméation des gaz. Les règles de bonne pratique technique doivent être prises en compte pour déterminer les processus et seuils acceptables en ce qui concerne la propreté et la perméabilité des conteneurs. </w:t>
      </w:r>
    </w:p>
    <w:p w:rsidR="00E24DB7" w:rsidRPr="002C5876" w:rsidRDefault="00E24DB7" w:rsidP="00E24DB7">
      <w:pPr>
        <w:pStyle w:val="SingleTxtG"/>
        <w:keepNext/>
        <w:ind w:left="2268" w:hanging="1134"/>
        <w:jc w:val="left"/>
      </w:pPr>
      <w:r w:rsidRPr="002C5876">
        <w:t>7.2.1.2.3</w:t>
      </w:r>
      <w:r w:rsidRPr="002C5876">
        <w:tab/>
        <w:t>Stockage des échantillons</w:t>
      </w:r>
    </w:p>
    <w:p w:rsidR="00E24DB7" w:rsidRPr="002C5876" w:rsidRDefault="00E24DB7" w:rsidP="00E24DB7">
      <w:pPr>
        <w:pStyle w:val="SingleTxtG"/>
        <w:ind w:left="2268"/>
      </w:pPr>
      <w:r w:rsidRPr="002C5876">
        <w:tab/>
        <w:t xml:space="preserve">Les sacs secondaires de stockage des échantillons doivent être conservés à température ambiante et leur contenu doit être analysé dans les 24 h. </w:t>
      </w:r>
    </w:p>
    <w:p w:rsidR="00E24DB7" w:rsidRPr="002C5876" w:rsidRDefault="00E24DB7" w:rsidP="00E24DB7">
      <w:pPr>
        <w:pStyle w:val="SingleTxtG"/>
        <w:keepNext/>
        <w:ind w:left="2268" w:hanging="1134"/>
        <w:jc w:val="left"/>
      </w:pPr>
      <w:r w:rsidRPr="002C5876">
        <w:lastRenderedPageBreak/>
        <w:t>7.2.1.3</w:t>
      </w:r>
      <w:r w:rsidRPr="002C5876">
        <w:tab/>
        <w:t xml:space="preserve">Instruments et appareils </w:t>
      </w:r>
    </w:p>
    <w:p w:rsidR="00E24DB7" w:rsidRPr="002C5876" w:rsidRDefault="00E24DB7" w:rsidP="00E24DB7">
      <w:pPr>
        <w:pStyle w:val="SingleTxtG"/>
        <w:ind w:left="2268" w:hanging="1134"/>
      </w:pPr>
      <w:r w:rsidRPr="002C5876">
        <w:t>7.2.1.3.1</w:t>
      </w:r>
      <w:r w:rsidRPr="002C5876">
        <w:tab/>
      </w:r>
      <w:r w:rsidRPr="002C5876">
        <w:rPr>
          <w:spacing w:val="-2"/>
        </w:rPr>
        <w:t>Un chromatographe en phase gazeuse couplé à un détecteur à capture d’électrons peut être utilisé pour mesurer les concentrations de N</w:t>
      </w:r>
      <w:r w:rsidRPr="002C5876">
        <w:rPr>
          <w:spacing w:val="-2"/>
          <w:vertAlign w:val="subscript"/>
        </w:rPr>
        <w:t>2</w:t>
      </w:r>
      <w:r w:rsidRPr="002C5876">
        <w:rPr>
          <w:spacing w:val="-2"/>
        </w:rPr>
        <w:t>O dans les gaz d’échappement dilués dans le cas d’un prélèvement d’échantillons par lots.</w:t>
      </w:r>
      <w:r w:rsidRPr="002C5876">
        <w:t xml:space="preserve"> </w:t>
      </w:r>
    </w:p>
    <w:p w:rsidR="00E24DB7" w:rsidRPr="002C5876" w:rsidRDefault="00E24DB7" w:rsidP="00E24DB7">
      <w:pPr>
        <w:pStyle w:val="SingleTxtG"/>
        <w:ind w:left="2268" w:hanging="1134"/>
      </w:pPr>
      <w:r w:rsidRPr="002C5876">
        <w:t>7.2.1.3.2</w:t>
      </w:r>
      <w:r w:rsidRPr="002C5876">
        <w:tab/>
        <w:t xml:space="preserve">Il est possible soit d’injecter directement l’échantillon dans le chromatographe en phase gazeuse soit d’utiliser un préconcentrateur approprié. Si une préconcentration est effectuée, elle doit être appliquée pour toutes les opérations de vérification et de contrôle de qualité requises. </w:t>
      </w:r>
    </w:p>
    <w:p w:rsidR="00E24DB7" w:rsidRPr="002C5876" w:rsidRDefault="00E24DB7" w:rsidP="00E24DB7">
      <w:pPr>
        <w:pStyle w:val="SingleTxtG"/>
        <w:ind w:left="2268" w:hanging="1134"/>
      </w:pPr>
      <w:r w:rsidRPr="002C5876">
        <w:t>7.2.1.3.3</w:t>
      </w:r>
      <w:r w:rsidRPr="002C5876">
        <w:tab/>
        <w:t>Pour obtenir une résolution adéquate du pic de N</w:t>
      </w:r>
      <w:r w:rsidRPr="002C5876">
        <w:rPr>
          <w:vertAlign w:val="subscript"/>
        </w:rPr>
        <w:t>2</w:t>
      </w:r>
      <w:r w:rsidRPr="002C5876">
        <w:t>O aux fins d’analyse, il faut utiliser une colonne tubulaire ouverte à couche poreuse ou une colonne à garnissage de polarité et de longueur appropriées.</w:t>
      </w:r>
    </w:p>
    <w:p w:rsidR="00E24DB7" w:rsidRPr="002C5876" w:rsidRDefault="00E24DB7" w:rsidP="00E24DB7">
      <w:pPr>
        <w:pStyle w:val="SingleTxtG"/>
        <w:ind w:left="2268" w:hanging="1134"/>
      </w:pPr>
      <w:r w:rsidRPr="002C5876">
        <w:t>7.2.1.3.4</w:t>
      </w:r>
      <w:r w:rsidRPr="002C5876">
        <w:tab/>
        <w:t>Le choix du profil de température de la colonne et du gaz vecteur doit être pris en compte lors de la mise au point de la méthode pour obtenir une résolution adéquate des pics de N</w:t>
      </w:r>
      <w:r w:rsidRPr="002C5876">
        <w:rPr>
          <w:vertAlign w:val="subscript"/>
        </w:rPr>
        <w:t>2</w:t>
      </w:r>
      <w:r w:rsidRPr="002C5876">
        <w:t>O. L’opérateur doit s’efforcer d’obtenir autant que possible des pics dont les bases sont séparées.</w:t>
      </w:r>
    </w:p>
    <w:p w:rsidR="00E24DB7" w:rsidRPr="002C5876" w:rsidRDefault="00E24DB7" w:rsidP="00E24DB7">
      <w:pPr>
        <w:pStyle w:val="SingleTxtG"/>
        <w:ind w:left="2268" w:hanging="1134"/>
      </w:pPr>
      <w:r w:rsidRPr="002C5876">
        <w:t>7.2.1.3.5</w:t>
      </w:r>
      <w:r w:rsidRPr="002C5876">
        <w:tab/>
        <w:t xml:space="preserve">Les règles de bonne pratique technique doivent être prises en compte pour mettre l’instrument à zéro et corriger la dérive. </w:t>
      </w:r>
    </w:p>
    <w:p w:rsidR="00E24DB7" w:rsidRPr="002C5876" w:rsidRDefault="00E24DB7" w:rsidP="00E24DB7">
      <w:pPr>
        <w:pStyle w:val="SingleTxtG"/>
        <w:ind w:left="2268"/>
        <w:rPr>
          <w:spacing w:val="-4"/>
        </w:rPr>
      </w:pPr>
      <w:r w:rsidRPr="002C5876">
        <w:tab/>
      </w:r>
      <w:r w:rsidRPr="002C5876">
        <w:rPr>
          <w:spacing w:val="-4"/>
        </w:rPr>
        <w:t>Exemple : Il est possible d’effectuer une mesure du gaz d’étalonnage avant et après l’analyse de l’échantillon sans remettre l’appareil à zéro, et d’utiliser les valeurs moyennes arithmétiques des aires des mesures avant et après le passage du gaz d’étalonnage pour calculer un facteur de réponse (aires des mesures/concentration du gaz d’étalonnage), que l’on multiplie ensuite par la valeur des aires des mesures de l’échantillon pour déterminer la concentration de l’échantillon.</w:t>
      </w:r>
    </w:p>
    <w:p w:rsidR="00E24DB7" w:rsidRPr="002C5876" w:rsidRDefault="00E24DB7" w:rsidP="00E24DB7">
      <w:pPr>
        <w:pStyle w:val="SingleTxtG"/>
        <w:keepNext/>
        <w:ind w:left="2268" w:hanging="1134"/>
        <w:jc w:val="left"/>
      </w:pPr>
      <w:r w:rsidRPr="002C5876">
        <w:t>7.2.1.4</w:t>
      </w:r>
      <w:r w:rsidRPr="002C5876">
        <w:tab/>
        <w:t>Réactifs et matériel</w:t>
      </w:r>
    </w:p>
    <w:p w:rsidR="00E24DB7" w:rsidRPr="002C5876" w:rsidRDefault="00E24DB7" w:rsidP="00E24DB7">
      <w:pPr>
        <w:pStyle w:val="SingleTxtG"/>
        <w:ind w:left="2268"/>
      </w:pPr>
      <w:r w:rsidRPr="002C5876">
        <w:tab/>
        <w:t>Le degré de pureté de tous les réactifs ainsi que des gaz vecteurs et des gaz d’appoint doit être de 99,995 %. Le gaz d’appoint doit être N</w:t>
      </w:r>
      <w:r w:rsidRPr="002C5876">
        <w:rPr>
          <w:vertAlign w:val="subscript"/>
        </w:rPr>
        <w:t xml:space="preserve">2 </w:t>
      </w:r>
      <w:r w:rsidRPr="002C5876">
        <w:t>ou Ar/CH</w:t>
      </w:r>
      <w:r w:rsidRPr="002C5876">
        <w:rPr>
          <w:vertAlign w:val="subscript"/>
        </w:rPr>
        <w:t>4</w:t>
      </w:r>
      <w:r w:rsidRPr="002C5876">
        <w:t xml:space="preserve">. </w:t>
      </w:r>
    </w:p>
    <w:p w:rsidR="00E24DB7" w:rsidRPr="002C5876" w:rsidRDefault="00E24DB7" w:rsidP="00E24DB7">
      <w:pPr>
        <w:pStyle w:val="SingleTxtG"/>
        <w:keepNext/>
        <w:ind w:left="2268" w:hanging="1134"/>
        <w:jc w:val="left"/>
      </w:pPr>
      <w:r w:rsidRPr="002C5876">
        <w:t>7.2.1.5</w:t>
      </w:r>
      <w:r w:rsidRPr="002C5876">
        <w:tab/>
        <w:t xml:space="preserve">Procédure d’intégration des pics </w:t>
      </w:r>
    </w:p>
    <w:p w:rsidR="00E24DB7" w:rsidRPr="002C5876" w:rsidRDefault="00E24DB7" w:rsidP="00E24DB7">
      <w:pPr>
        <w:pStyle w:val="SingleTxtG"/>
        <w:ind w:left="2268" w:hanging="1134"/>
      </w:pPr>
      <w:r w:rsidRPr="002C5876">
        <w:t>7.2.1.5.1</w:t>
      </w:r>
      <w:r w:rsidRPr="002C5876">
        <w:tab/>
        <w:t>Les valeurs d’intégration des pics doivent être corrigées si nécessaire dans le système de données. Tous les segments de base mal placés doivent être corrigés dans le chromatogramme reconstruit.</w:t>
      </w:r>
    </w:p>
    <w:p w:rsidR="00E24DB7" w:rsidRPr="002C5876" w:rsidRDefault="00E24DB7" w:rsidP="00E24DB7">
      <w:pPr>
        <w:pStyle w:val="SingleTxtG"/>
        <w:ind w:left="2268" w:hanging="1134"/>
      </w:pPr>
      <w:r w:rsidRPr="002C5876">
        <w:t>7.2.1.5.2</w:t>
      </w:r>
      <w:r w:rsidRPr="002C5876">
        <w:tab/>
        <w:t>Les identifications des pics fournies par un ordinateur doivent être vérifiées et corrigées si nécessaire.</w:t>
      </w:r>
    </w:p>
    <w:p w:rsidR="00E24DB7" w:rsidRPr="002C5876" w:rsidRDefault="00E24DB7" w:rsidP="00E24DB7">
      <w:pPr>
        <w:pStyle w:val="SingleTxtG"/>
        <w:ind w:left="2268" w:hanging="1134"/>
      </w:pPr>
      <w:r w:rsidRPr="002C5876">
        <w:t>7.2.1.5.3</w:t>
      </w:r>
      <w:r w:rsidRPr="002C5876">
        <w:tab/>
        <w:t xml:space="preserve">Toutes les évaluations doivent se fonder sur les aires des pics. Une autre solution consiste à utiliser les hauteurs des pics, avec l’accord de l’autorité compétente. </w:t>
      </w:r>
    </w:p>
    <w:p w:rsidR="00E24DB7" w:rsidRPr="002C5876" w:rsidRDefault="00E24DB7" w:rsidP="00E24DB7">
      <w:pPr>
        <w:pStyle w:val="SingleTxtG"/>
        <w:keepNext/>
        <w:ind w:left="2268" w:hanging="1134"/>
        <w:jc w:val="left"/>
      </w:pPr>
      <w:r w:rsidRPr="002C5876">
        <w:t>7.2.1.6</w:t>
      </w:r>
      <w:r w:rsidRPr="002C5876">
        <w:tab/>
        <w:t>Linéarité</w:t>
      </w:r>
    </w:p>
    <w:p w:rsidR="00E24DB7" w:rsidRPr="002C5876" w:rsidRDefault="00E24DB7" w:rsidP="00E24DB7">
      <w:pPr>
        <w:pStyle w:val="SingleTxtG"/>
        <w:keepNext/>
        <w:ind w:left="2268" w:hanging="1134"/>
      </w:pPr>
      <w:r w:rsidRPr="002C5876">
        <w:t>7.2.1.6.1</w:t>
      </w:r>
      <w:r w:rsidRPr="002C5876">
        <w:tab/>
        <w:t>Un étalonnage multipoint, destiné à confirmer la linéarité de l’instrument, doit être effectué pour le composé cible :</w:t>
      </w:r>
    </w:p>
    <w:p w:rsidR="00E24DB7" w:rsidRPr="002C5876" w:rsidRDefault="00E24DB7" w:rsidP="00E24DB7">
      <w:pPr>
        <w:pStyle w:val="SingleTxtG"/>
        <w:ind w:left="2835" w:hanging="567"/>
      </w:pPr>
      <w:r w:rsidRPr="002C5876">
        <w:t>a)</w:t>
      </w:r>
      <w:r w:rsidRPr="002C5876">
        <w:tab/>
        <w:t>Pour tout nouvel instrument ;</w:t>
      </w:r>
    </w:p>
    <w:p w:rsidR="00E24DB7" w:rsidRPr="002C5876" w:rsidRDefault="00E24DB7" w:rsidP="00E24DB7">
      <w:pPr>
        <w:pStyle w:val="SingleTxtG"/>
        <w:ind w:left="2835" w:hanging="567"/>
      </w:pPr>
      <w:r w:rsidRPr="002C5876">
        <w:t>b)</w:t>
      </w:r>
      <w:r w:rsidRPr="002C5876">
        <w:tab/>
        <w:t>Après qu’aient été effectuées des modifications de l’instrument susceptibles d’affecter sa linéarité ; et</w:t>
      </w:r>
    </w:p>
    <w:p w:rsidR="00E24DB7" w:rsidRPr="002C5876" w:rsidRDefault="00E24DB7" w:rsidP="00E24DB7">
      <w:pPr>
        <w:pStyle w:val="SingleTxtG"/>
        <w:ind w:left="2835" w:hanging="567"/>
      </w:pPr>
      <w:r w:rsidRPr="002C5876">
        <w:t>c)</w:t>
      </w:r>
      <w:r w:rsidRPr="002C5876">
        <w:tab/>
        <w:t xml:space="preserve">Au moins une fois par an. </w:t>
      </w:r>
    </w:p>
    <w:p w:rsidR="00E24DB7" w:rsidRPr="002C5876" w:rsidRDefault="00E24DB7" w:rsidP="00E24DB7">
      <w:pPr>
        <w:pStyle w:val="SingleTxtG"/>
        <w:ind w:left="2268" w:hanging="1134"/>
      </w:pPr>
      <w:r w:rsidRPr="002C5876">
        <w:t>7.2.1.6.2</w:t>
      </w:r>
      <w:r w:rsidRPr="002C5876">
        <w:tab/>
        <w:t xml:space="preserve">L’étalonnage multipoint est effectué sur au moins trois concentrations, chacune située au-dessus de la limite de détection, réparties sur la gamme prévue de concentrations de l’échantillon. </w:t>
      </w:r>
    </w:p>
    <w:p w:rsidR="00E24DB7" w:rsidRPr="002C5876" w:rsidRDefault="00E24DB7" w:rsidP="00E24DB7">
      <w:pPr>
        <w:pStyle w:val="SingleTxtG"/>
      </w:pPr>
      <w:r w:rsidRPr="002C5876">
        <w:t>7.2.1.6.3</w:t>
      </w:r>
      <w:r w:rsidRPr="002C5876">
        <w:tab/>
        <w:t>Chaque niveau de concentration est mesuré au moins deux fois.</w:t>
      </w:r>
    </w:p>
    <w:p w:rsidR="00E24DB7" w:rsidRPr="002C5876" w:rsidRDefault="00E24DB7" w:rsidP="00E24DB7">
      <w:pPr>
        <w:pStyle w:val="SingleTxtG"/>
        <w:ind w:left="2268" w:hanging="1134"/>
      </w:pPr>
      <w:r w:rsidRPr="002C5876">
        <w:t>7.2.1.6.4</w:t>
      </w:r>
      <w:r w:rsidRPr="002C5876">
        <w:tab/>
        <w:t xml:space="preserve">Une analyse de régression linéaire par la méthode des moindres carrés est effectuée en utilisant la concentration et les surfaces moyennes arithmétiques pour déterminer le coefficient de corrélation de régression r. Dans le cas d’un </w:t>
      </w:r>
      <w:r w:rsidRPr="002C5876">
        <w:lastRenderedPageBreak/>
        <w:t xml:space="preserve">étalonnage simple, le coefficient de corrélation de régression doit être supérieur à 0,995 pour être considéré comme linéaire pour les étalonnages en un point. </w:t>
      </w:r>
    </w:p>
    <w:p w:rsidR="00E24DB7" w:rsidRPr="002C5876" w:rsidRDefault="00E24DB7" w:rsidP="00E24DB7">
      <w:pPr>
        <w:pStyle w:val="SingleTxtG"/>
        <w:ind w:left="2268"/>
      </w:pPr>
      <w:r w:rsidRPr="002C5876">
        <w:tab/>
        <w:t>Si le contrôle hebdomadaire de la réponse de l’instrument indique que sa linéarité pourrait avoir changé, un étalonnage multipoint doit être effectué.</w:t>
      </w:r>
    </w:p>
    <w:p w:rsidR="00E24DB7" w:rsidRPr="002C5876" w:rsidRDefault="00E24DB7" w:rsidP="00E24DB7">
      <w:pPr>
        <w:pStyle w:val="SingleTxtG"/>
        <w:keepNext/>
        <w:ind w:left="2268" w:hanging="1134"/>
        <w:jc w:val="left"/>
      </w:pPr>
      <w:r w:rsidRPr="002C5876">
        <w:t>7.2.1.7</w:t>
      </w:r>
      <w:r w:rsidRPr="002C5876">
        <w:tab/>
        <w:t xml:space="preserve">Contrôle de la qualité </w:t>
      </w:r>
    </w:p>
    <w:p w:rsidR="00E24DB7" w:rsidRPr="002C5876" w:rsidRDefault="00E24DB7" w:rsidP="00E24DB7">
      <w:pPr>
        <w:pStyle w:val="SingleTxtG"/>
        <w:ind w:left="2268" w:hanging="1134"/>
      </w:pPr>
      <w:r w:rsidRPr="002C5876">
        <w:t>7.2.1.7.1</w:t>
      </w:r>
      <w:r w:rsidRPr="002C5876">
        <w:tab/>
        <w:t xml:space="preserve">L’étalon doit être analysé chaque jour où des analyses sont effectuées afin de calculer les facteurs de réponse à employer pour quantifier les concentrations des échantillons. </w:t>
      </w:r>
    </w:p>
    <w:p w:rsidR="00E24DB7" w:rsidRPr="002C5876" w:rsidRDefault="00E24DB7" w:rsidP="00E24DB7">
      <w:pPr>
        <w:pStyle w:val="SingleTxtG"/>
        <w:ind w:left="2268" w:hanging="1134"/>
      </w:pPr>
      <w:r w:rsidRPr="002C5876">
        <w:t>7.2.1.7.2</w:t>
      </w:r>
      <w:r w:rsidRPr="002C5876">
        <w:tab/>
        <w:t>Aux fins du contrôle de la qualité, l’étalon doit être analysé dans les 24 h précédant l’analyse de l’échantillon.</w:t>
      </w:r>
    </w:p>
    <w:p w:rsidR="00E24DB7" w:rsidRPr="002C5876" w:rsidRDefault="00E24DB7" w:rsidP="00E24DB7">
      <w:pPr>
        <w:pStyle w:val="SingleTxtG"/>
        <w:keepNext/>
        <w:ind w:left="2268" w:hanging="1134"/>
        <w:jc w:val="left"/>
      </w:pPr>
      <w:r w:rsidRPr="002C5876">
        <w:t>7.2.1.8</w:t>
      </w:r>
      <w:r w:rsidRPr="002C5876">
        <w:tab/>
        <w:t xml:space="preserve">Limites de détection et de quantification </w:t>
      </w:r>
    </w:p>
    <w:p w:rsidR="00E24DB7" w:rsidRPr="002C5876" w:rsidRDefault="00E24DB7" w:rsidP="00E24DB7">
      <w:pPr>
        <w:pStyle w:val="SingleTxtG"/>
        <w:keepNext/>
        <w:ind w:left="2268"/>
      </w:pPr>
      <w:r w:rsidRPr="002C5876">
        <w:tab/>
        <w:t>La limite de détection est fondée sur la mesure du bruit à proximité du temps de rétention du N</w:t>
      </w:r>
      <w:r w:rsidRPr="002C5876">
        <w:rPr>
          <w:vertAlign w:val="subscript"/>
        </w:rPr>
        <w:t>2</w:t>
      </w:r>
      <w:r w:rsidRPr="002C5876">
        <w:t xml:space="preserve">O (référence : DIN 32645, 01.11.2008) : </w:t>
      </w:r>
    </w:p>
    <w:p w:rsidR="00E24DB7" w:rsidRPr="002C5876" w:rsidRDefault="00E24DB7" w:rsidP="00E24DB7">
      <w:pPr>
        <w:pStyle w:val="SingleTxtG"/>
        <w:keepNext/>
        <w:ind w:left="2268"/>
      </w:pPr>
      <w:r w:rsidRPr="002C5876">
        <w:tab/>
        <w:t>Limite de détection : LoD = moy. (bruit) + 3 × écart type</w:t>
      </w:r>
    </w:p>
    <w:p w:rsidR="00E24DB7" w:rsidRPr="002C5876" w:rsidRDefault="00E24DB7" w:rsidP="00E24DB7">
      <w:pPr>
        <w:pStyle w:val="SingleTxtG"/>
        <w:ind w:left="2268"/>
      </w:pPr>
      <w:r w:rsidRPr="002C5876">
        <w:tab/>
        <w:t>où l’écart type est considéré comme égal au bruit.</w:t>
      </w:r>
    </w:p>
    <w:p w:rsidR="00E24DB7" w:rsidRPr="002C5876" w:rsidRDefault="00E24DB7" w:rsidP="00E24DB7">
      <w:pPr>
        <w:pStyle w:val="SingleTxtG"/>
        <w:keepNext/>
        <w:ind w:left="2268"/>
      </w:pPr>
      <w:r w:rsidRPr="002C5876">
        <w:tab/>
        <w:t>Limite de quantification : LQ = 3 × LoD.</w:t>
      </w:r>
    </w:p>
    <w:p w:rsidR="00E24DB7" w:rsidRPr="002C5876" w:rsidRDefault="00E24DB7" w:rsidP="00E24DB7">
      <w:pPr>
        <w:pStyle w:val="SingleTxtG"/>
        <w:ind w:left="2268"/>
      </w:pPr>
      <w:r w:rsidRPr="002C5876">
        <w:tab/>
        <w:t>Aux fins du calcul de la masse de N</w:t>
      </w:r>
      <w:r w:rsidRPr="002C5876">
        <w:rPr>
          <w:vertAlign w:val="subscript"/>
        </w:rPr>
        <w:t>2</w:t>
      </w:r>
      <w:r w:rsidRPr="002C5876">
        <w:t xml:space="preserve">O, les concentrations inférieures à LoD sont considérées comme nulles. </w:t>
      </w:r>
    </w:p>
    <w:p w:rsidR="00E24DB7" w:rsidRPr="002C5876" w:rsidRDefault="00E24DB7" w:rsidP="00E24DB7">
      <w:pPr>
        <w:pStyle w:val="SingleTxtG"/>
        <w:keepNext/>
        <w:ind w:left="2268" w:hanging="1134"/>
        <w:jc w:val="left"/>
      </w:pPr>
      <w:r w:rsidRPr="002C5876">
        <w:t>7.2.1.9</w:t>
      </w:r>
      <w:r w:rsidRPr="002C5876">
        <w:tab/>
        <w:t xml:space="preserve">Vérification de l’interférence </w:t>
      </w:r>
    </w:p>
    <w:p w:rsidR="00E24DB7" w:rsidRPr="002C5876" w:rsidRDefault="00E24DB7" w:rsidP="00E24DB7">
      <w:pPr>
        <w:pStyle w:val="SingleTxtG"/>
        <w:ind w:left="2268"/>
      </w:pPr>
      <w:r w:rsidRPr="002C5876">
        <w:tab/>
        <w:t xml:space="preserve">L’interférence provient de tout composant présent dans l’échantillon dont le temps de rétention est similaire à celui du composé cible défini dans la présente méthode. Pour réduire les erreurs d’interférence, une preuve de l’identité chimique peut nécessiter des confirmations périodiques au moyen d’une méthode ou d’instruments de substitution. </w:t>
      </w:r>
    </w:p>
    <w:p w:rsidR="00E24DB7" w:rsidRPr="002C5876" w:rsidRDefault="00E24DB7" w:rsidP="00E24DB7">
      <w:pPr>
        <w:pStyle w:val="SingleTxtG"/>
        <w:keepNext/>
        <w:ind w:left="2268" w:hanging="1134"/>
        <w:jc w:val="left"/>
        <w:rPr>
          <w:rFonts w:ascii="TimesNewRoman" w:hAnsi="TimesNewRoman" w:cs="TimesNewRoman"/>
          <w:szCs w:val="24"/>
        </w:rPr>
      </w:pPr>
      <w:r w:rsidRPr="002C5876">
        <w:rPr>
          <w:rFonts w:ascii="TimesNewRoman" w:hAnsi="TimesNewRoman" w:cs="TimesNewRoman"/>
          <w:szCs w:val="24"/>
        </w:rPr>
        <w:t>7.3</w:t>
      </w:r>
      <w:r w:rsidRPr="002C5876">
        <w:rPr>
          <w:rFonts w:ascii="TimesNewRoman" w:hAnsi="TimesNewRoman" w:cs="TimesNewRoman"/>
          <w:szCs w:val="24"/>
        </w:rPr>
        <w:tab/>
        <w:t>Méthodes de prélèvement et d’analyse de l’éthanol (C</w:t>
      </w:r>
      <w:r w:rsidRPr="002C5876">
        <w:rPr>
          <w:rFonts w:ascii="TimesNewRoman" w:hAnsi="TimesNewRoman" w:cs="TimesNewRoman"/>
          <w:szCs w:val="24"/>
          <w:vertAlign w:val="subscript"/>
        </w:rPr>
        <w:t>2</w:t>
      </w:r>
      <w:r w:rsidRPr="002C5876">
        <w:rPr>
          <w:rFonts w:ascii="TimesNewRoman" w:hAnsi="TimesNewRoman" w:cs="TimesNewRoman"/>
          <w:szCs w:val="24"/>
        </w:rPr>
        <w:t>H</w:t>
      </w:r>
      <w:r w:rsidRPr="002C5876">
        <w:rPr>
          <w:rFonts w:ascii="TimesNewRoman" w:hAnsi="TimesNewRoman" w:cs="TimesNewRoman"/>
          <w:szCs w:val="24"/>
          <w:vertAlign w:val="subscript"/>
        </w:rPr>
        <w:t>5</w:t>
      </w:r>
      <w:r w:rsidRPr="002C5876">
        <w:rPr>
          <w:rFonts w:ascii="TimesNewRoman" w:hAnsi="TimesNewRoman" w:cs="TimesNewRoman"/>
          <w:szCs w:val="24"/>
        </w:rPr>
        <w:t xml:space="preserve">OH) </w:t>
      </w:r>
      <w:r w:rsidRPr="002C5876">
        <w:rPr>
          <w:rFonts w:ascii="TimesNewRoman" w:hAnsi="TimesNewRoman" w:cs="TimesNewRoman"/>
          <w:szCs w:val="24"/>
        </w:rPr>
        <w:br/>
        <w:t>(le cas échéant)</w:t>
      </w:r>
    </w:p>
    <w:p w:rsidR="00E24DB7" w:rsidRPr="002C5876" w:rsidRDefault="00E24DB7" w:rsidP="00E24DB7">
      <w:pPr>
        <w:pStyle w:val="SingleTxtG"/>
        <w:keepNext/>
        <w:ind w:left="2268" w:hanging="1134"/>
        <w:jc w:val="left"/>
        <w:rPr>
          <w:rFonts w:ascii="TimesNewRoman" w:hAnsi="TimesNewRoman" w:cs="TimesNewRoman"/>
          <w:szCs w:val="24"/>
        </w:rPr>
      </w:pPr>
      <w:r w:rsidRPr="002C5876">
        <w:rPr>
          <w:rFonts w:ascii="TimesNewRoman" w:hAnsi="TimesNewRoman" w:cs="TimesNewRoman"/>
          <w:szCs w:val="24"/>
        </w:rPr>
        <w:t>7.3.1</w:t>
      </w:r>
      <w:r w:rsidRPr="002C5876">
        <w:rPr>
          <w:rFonts w:ascii="TimesNewRoman" w:hAnsi="TimesNewRoman" w:cs="TimesNewRoman"/>
          <w:szCs w:val="24"/>
        </w:rPr>
        <w:tab/>
      </w:r>
      <w:r w:rsidRPr="002C5876">
        <w:rPr>
          <w:rFonts w:ascii="TimesNewRoman" w:hAnsi="TimesNewRoman" w:cs="TimesNewRoman"/>
          <w:szCs w:val="24"/>
        </w:rPr>
        <w:tab/>
        <w:t xml:space="preserve">Séparateur à impact et analyse par chromatographie gazeuse </w:t>
      </w:r>
      <w:r w:rsidRPr="002C5876">
        <w:rPr>
          <w:rFonts w:ascii="TimesNewRoman" w:hAnsi="TimesNewRoman" w:cs="TimesNewRoman"/>
          <w:szCs w:val="24"/>
        </w:rPr>
        <w:br/>
        <w:t xml:space="preserve">de l’échantillon liquide </w:t>
      </w:r>
    </w:p>
    <w:p w:rsidR="00E24DB7" w:rsidRPr="002C5876" w:rsidRDefault="00E24DB7" w:rsidP="00E24DB7">
      <w:pPr>
        <w:pStyle w:val="SingleTxtG"/>
        <w:keepNext/>
        <w:ind w:left="2268" w:hanging="1134"/>
        <w:jc w:val="left"/>
        <w:rPr>
          <w:rFonts w:ascii="TimesNewRoman" w:hAnsi="TimesNewRoman" w:cs="TimesNewRoman"/>
          <w:szCs w:val="24"/>
        </w:rPr>
      </w:pPr>
      <w:r w:rsidRPr="002C5876">
        <w:rPr>
          <w:rFonts w:ascii="TimesNewRoman" w:hAnsi="TimesNewRoman" w:cs="TimesNewRoman"/>
          <w:szCs w:val="24"/>
        </w:rPr>
        <w:t>7.3.1.1</w:t>
      </w:r>
      <w:r w:rsidRPr="002C5876">
        <w:rPr>
          <w:rFonts w:ascii="TimesNewRoman" w:hAnsi="TimesNewRoman" w:cs="TimesNewRoman"/>
          <w:szCs w:val="24"/>
        </w:rPr>
        <w:tab/>
        <w:t>Prélèvement</w:t>
      </w:r>
    </w:p>
    <w:p w:rsidR="00E24DB7" w:rsidRPr="002C5876" w:rsidRDefault="00E24DB7" w:rsidP="00E24DB7">
      <w:pPr>
        <w:pStyle w:val="SingleTxtG"/>
        <w:ind w:left="2268"/>
        <w:rPr>
          <w:rFonts w:ascii="TimesNewRoman" w:hAnsi="TimesNewRoman" w:cs="TimesNewRoman"/>
          <w:szCs w:val="24"/>
        </w:rPr>
      </w:pPr>
      <w:r w:rsidRPr="002C5876">
        <w:rPr>
          <w:rFonts w:ascii="TimesNewRoman" w:hAnsi="TimesNewRoman" w:cs="TimesNewRoman"/>
          <w:szCs w:val="24"/>
        </w:rPr>
        <w:t>En fonction de la méthode d’analyse utilisée, les échantillons peuvent être prélevés sur les gaz d’échappement provenant du CVS.</w:t>
      </w:r>
    </w:p>
    <w:p w:rsidR="00E24DB7" w:rsidRPr="002C5876" w:rsidRDefault="00E24DB7" w:rsidP="00E24DB7">
      <w:pPr>
        <w:pStyle w:val="SingleTxtG"/>
        <w:ind w:left="2268"/>
        <w:rPr>
          <w:rFonts w:ascii="TimesNewRoman" w:hAnsi="TimesNewRoman" w:cs="TimesNewRoman"/>
          <w:szCs w:val="24"/>
        </w:rPr>
      </w:pPr>
      <w:r w:rsidRPr="002C5876">
        <w:rPr>
          <w:rFonts w:ascii="TimesNewRoman" w:hAnsi="TimesNewRoman" w:cs="TimesNewRoman"/>
          <w:szCs w:val="24"/>
        </w:rPr>
        <w:t xml:space="preserve">À chaque phase de l’essai, un échantillon de gaz doit être prélevé pour analyse dans le sac de gaz d’échappement dilués et dans le sac d’air de dilution. L’autre solution consiste à analyser un seul échantillon composite d’air ambiant. </w:t>
      </w:r>
    </w:p>
    <w:p w:rsidR="00E24DB7" w:rsidRPr="002C5876" w:rsidRDefault="00E24DB7" w:rsidP="00E24DB7">
      <w:pPr>
        <w:pStyle w:val="SingleTxtG"/>
        <w:ind w:left="2268"/>
        <w:rPr>
          <w:rFonts w:ascii="TimesNewRoman" w:hAnsi="TimesNewRoman" w:cs="TimesNewRoman"/>
          <w:szCs w:val="24"/>
        </w:rPr>
      </w:pPr>
      <w:r w:rsidRPr="002C5876">
        <w:rPr>
          <w:rFonts w:ascii="TimesNewRoman" w:hAnsi="TimesNewRoman" w:cs="TimesNewRoman"/>
          <w:szCs w:val="24"/>
        </w:rPr>
        <w:t>La température des lignes de prélèvement des gaz d’échappement doit être supérieure de plus de 3 °C au point de rosée maximal des gaz d’échappement dilués, mais inférieure à 121</w:t>
      </w:r>
      <w:r w:rsidR="00320A9D" w:rsidRPr="002C5876">
        <w:rPr>
          <w:rFonts w:ascii="TimesNewRoman" w:hAnsi="TimesNewRoman" w:cs="TimesNewRoman"/>
          <w:szCs w:val="24"/>
        </w:rPr>
        <w:t> </w:t>
      </w:r>
      <w:r w:rsidRPr="002C5876">
        <w:rPr>
          <w:rFonts w:ascii="TimesNewRoman" w:hAnsi="TimesNewRoman" w:cs="TimesNewRoman"/>
          <w:szCs w:val="24"/>
        </w:rPr>
        <w:t>°C.</w:t>
      </w:r>
    </w:p>
    <w:p w:rsidR="00E24DB7" w:rsidRPr="002C5876" w:rsidRDefault="00E24DB7" w:rsidP="00E24DB7">
      <w:pPr>
        <w:pStyle w:val="SingleTxtG"/>
        <w:keepNext/>
        <w:ind w:left="2268" w:hanging="1134"/>
        <w:jc w:val="left"/>
        <w:rPr>
          <w:rFonts w:ascii="TimesNewRoman" w:hAnsi="TimesNewRoman" w:cs="TimesNewRoman"/>
          <w:szCs w:val="24"/>
        </w:rPr>
      </w:pPr>
      <w:r w:rsidRPr="002C5876">
        <w:rPr>
          <w:rFonts w:ascii="TimesNewRoman" w:hAnsi="TimesNewRoman" w:cs="TimesNewRoman"/>
          <w:szCs w:val="24"/>
        </w:rPr>
        <w:t>7.3.1.2</w:t>
      </w:r>
      <w:r w:rsidRPr="002C5876">
        <w:rPr>
          <w:rFonts w:ascii="TimesNewRoman" w:hAnsi="TimesNewRoman" w:cs="TimesNewRoman"/>
          <w:szCs w:val="24"/>
        </w:rPr>
        <w:tab/>
        <w:t xml:space="preserve">Méthode de la chromatographie en phase gazeuse. </w:t>
      </w:r>
    </w:p>
    <w:p w:rsidR="00E24DB7" w:rsidRPr="002C5876" w:rsidRDefault="00E24DB7" w:rsidP="00E24DB7">
      <w:pPr>
        <w:pStyle w:val="SingleTxtG"/>
        <w:ind w:left="2268"/>
        <w:rPr>
          <w:rFonts w:ascii="TimesNewRoman" w:hAnsi="TimesNewRoman" w:cs="TimesNewRoman"/>
          <w:szCs w:val="24"/>
        </w:rPr>
      </w:pPr>
      <w:r w:rsidRPr="002C5876">
        <w:rPr>
          <w:rFonts w:ascii="TimesNewRoman" w:hAnsi="TimesNewRoman" w:cs="TimesNewRoman"/>
          <w:szCs w:val="24"/>
        </w:rPr>
        <w:t>Un échantillon doit être introduit dans un chromatographe en phase gazeuse (CG). Les alcools contenus dans l’échantillon doivent être séparés dans une colonne capillaire de CG et l’éthanol doit être détecté et quantifié au moyen d’un détecteur à ionisation de flamme (FID).</w:t>
      </w:r>
    </w:p>
    <w:p w:rsidR="00E24DB7" w:rsidRPr="002C5876" w:rsidRDefault="00E24DB7" w:rsidP="00E24DB7">
      <w:pPr>
        <w:pStyle w:val="SingleTxtG"/>
        <w:keepNext/>
        <w:ind w:left="2268" w:hanging="1134"/>
        <w:jc w:val="left"/>
        <w:rPr>
          <w:rFonts w:ascii="TimesNewRoman" w:hAnsi="TimesNewRoman" w:cs="TimesNewRoman"/>
          <w:szCs w:val="24"/>
        </w:rPr>
      </w:pPr>
      <w:r w:rsidRPr="002C5876">
        <w:rPr>
          <w:rFonts w:ascii="TimesNewRoman" w:hAnsi="TimesNewRoman" w:cs="TimesNewRoman"/>
          <w:szCs w:val="24"/>
        </w:rPr>
        <w:t>7.3.1.2.1</w:t>
      </w:r>
      <w:r w:rsidRPr="002C5876">
        <w:rPr>
          <w:rFonts w:ascii="TimesNewRoman" w:hAnsi="TimesNewRoman" w:cs="TimesNewRoman"/>
          <w:szCs w:val="24"/>
        </w:rPr>
        <w:tab/>
        <w:t xml:space="preserve">Transfert des échantillons </w:t>
      </w:r>
    </w:p>
    <w:p w:rsidR="00E24DB7" w:rsidRPr="002C5876" w:rsidRDefault="00E24DB7" w:rsidP="00E24DB7">
      <w:pPr>
        <w:pStyle w:val="SingleTxtG"/>
        <w:ind w:left="2268"/>
        <w:rPr>
          <w:rFonts w:ascii="TimesNewRoman" w:hAnsi="TimesNewRoman" w:cs="TimesNewRoman"/>
          <w:szCs w:val="24"/>
        </w:rPr>
      </w:pPr>
      <w:r w:rsidRPr="002C5876">
        <w:rPr>
          <w:rFonts w:ascii="TimesNewRoman" w:hAnsi="TimesNewRoman" w:cs="TimesNewRoman"/>
          <w:szCs w:val="24"/>
        </w:rPr>
        <w:t xml:space="preserve">Il est possible de stocker les échantillons dans des récipients secondaires en vue de leur transport entre la chambre d’essai et le laboratoire de chromatographie en phase gazeuse. Les précautions techniques nécessaires </w:t>
      </w:r>
      <w:r w:rsidRPr="002C5876">
        <w:rPr>
          <w:rFonts w:ascii="TimesNewRoman" w:hAnsi="TimesNewRoman" w:cs="TimesNewRoman"/>
          <w:szCs w:val="24"/>
        </w:rPr>
        <w:lastRenderedPageBreak/>
        <w:t xml:space="preserve">doivent être prises pour éviter une dilution supplémentaire lors du transfert des échantillons des sacs de collecte dans des sacs secondaires. </w:t>
      </w:r>
    </w:p>
    <w:p w:rsidR="00E24DB7" w:rsidRPr="002C5876" w:rsidRDefault="00E24DB7" w:rsidP="00E24DB7">
      <w:pPr>
        <w:pStyle w:val="SingleTxtG"/>
        <w:keepNext/>
        <w:ind w:left="2268" w:hanging="1134"/>
        <w:jc w:val="left"/>
        <w:rPr>
          <w:rFonts w:ascii="TimesNewRoman" w:hAnsi="TimesNewRoman" w:cs="TimesNewRoman"/>
          <w:szCs w:val="24"/>
        </w:rPr>
      </w:pPr>
      <w:r w:rsidRPr="002C5876">
        <w:rPr>
          <w:rFonts w:ascii="TimesNewRoman" w:hAnsi="TimesNewRoman" w:cs="TimesNewRoman"/>
          <w:szCs w:val="24"/>
        </w:rPr>
        <w:t>7.3.1.2.1.1</w:t>
      </w:r>
      <w:r w:rsidRPr="002C5876">
        <w:rPr>
          <w:rFonts w:ascii="TimesNewRoman" w:hAnsi="TimesNewRoman" w:cs="TimesNewRoman"/>
          <w:szCs w:val="24"/>
        </w:rPr>
        <w:tab/>
        <w:t xml:space="preserve">Récipients secondaires de stockage des échantillons </w:t>
      </w:r>
    </w:p>
    <w:p w:rsidR="00E24DB7" w:rsidRPr="002C5876" w:rsidRDefault="00E24DB7" w:rsidP="00E24DB7">
      <w:pPr>
        <w:pStyle w:val="SingleTxtG"/>
        <w:ind w:left="2268"/>
        <w:rPr>
          <w:rFonts w:ascii="TimesNewRoman" w:hAnsi="TimesNewRoman" w:cs="TimesNewRoman"/>
          <w:szCs w:val="24"/>
        </w:rPr>
      </w:pPr>
      <w:r w:rsidRPr="002C5876">
        <w:rPr>
          <w:rFonts w:ascii="TimesNewRoman" w:hAnsi="TimesNewRoman" w:cs="TimesNewRoman"/>
          <w:szCs w:val="24"/>
        </w:rPr>
        <w:t xml:space="preserve">Les volumes de gaz doivent être mis dans des conteneurs suffisamment propres, permettant de réduire le plus possible les fuites ou la perméation des gaz. Les règles de bonne pratique technique doivent être prises en compte pour déterminer les processus et seuils acceptables en ce qui concerne la propreté et la perméabilité des conteneurs. </w:t>
      </w:r>
    </w:p>
    <w:p w:rsidR="00E24DB7" w:rsidRPr="002C5876" w:rsidRDefault="00E24DB7" w:rsidP="00E24DB7">
      <w:pPr>
        <w:pStyle w:val="SingleTxtG"/>
        <w:keepNext/>
        <w:ind w:left="2268" w:hanging="1134"/>
        <w:jc w:val="left"/>
        <w:rPr>
          <w:rFonts w:ascii="TimesNewRoman" w:hAnsi="TimesNewRoman" w:cs="TimesNewRoman"/>
          <w:szCs w:val="24"/>
        </w:rPr>
      </w:pPr>
      <w:r w:rsidRPr="002C5876">
        <w:rPr>
          <w:rFonts w:ascii="TimesNewRoman" w:hAnsi="TimesNewRoman" w:cs="TimesNewRoman"/>
          <w:szCs w:val="24"/>
        </w:rPr>
        <w:t>7.3.1.2.1.2</w:t>
      </w:r>
      <w:r w:rsidRPr="002C5876">
        <w:rPr>
          <w:rFonts w:ascii="TimesNewRoman" w:hAnsi="TimesNewRoman" w:cs="TimesNewRoman"/>
          <w:szCs w:val="24"/>
        </w:rPr>
        <w:tab/>
        <w:t>Stockage des échantillons</w:t>
      </w:r>
    </w:p>
    <w:p w:rsidR="00E24DB7" w:rsidRPr="002C5876" w:rsidRDefault="00E24DB7" w:rsidP="00E24DB7">
      <w:pPr>
        <w:pStyle w:val="SingleTxtG"/>
        <w:ind w:left="2268"/>
        <w:rPr>
          <w:rFonts w:ascii="TimesNewRoman" w:hAnsi="TimesNewRoman" w:cs="TimesNewRoman"/>
          <w:szCs w:val="24"/>
        </w:rPr>
      </w:pPr>
      <w:r w:rsidRPr="002C5876">
        <w:rPr>
          <w:rFonts w:ascii="TimesNewRoman" w:hAnsi="TimesNewRoman" w:cs="TimesNewRoman"/>
          <w:szCs w:val="24"/>
        </w:rPr>
        <w:t xml:space="preserve">Les sacs secondaires de stockage des échantillons doivent être conservés à température ambiante et leur contenu doit être analysé dans les 24 h. </w:t>
      </w:r>
    </w:p>
    <w:p w:rsidR="00E24DB7" w:rsidRPr="002C5876" w:rsidRDefault="00E24DB7" w:rsidP="00E24DB7">
      <w:pPr>
        <w:pStyle w:val="SingleTxtG"/>
        <w:keepNext/>
        <w:ind w:left="2268" w:hanging="1134"/>
        <w:jc w:val="left"/>
        <w:rPr>
          <w:rFonts w:ascii="TimesNewRoman" w:hAnsi="TimesNewRoman" w:cs="TimesNewRoman"/>
          <w:szCs w:val="24"/>
        </w:rPr>
      </w:pPr>
      <w:r w:rsidRPr="002C5876">
        <w:rPr>
          <w:rFonts w:ascii="TimesNewRoman" w:hAnsi="TimesNewRoman" w:cs="TimesNewRoman"/>
          <w:szCs w:val="24"/>
        </w:rPr>
        <w:t>7.3.1.2.2</w:t>
      </w:r>
      <w:r w:rsidRPr="002C5876">
        <w:rPr>
          <w:rFonts w:ascii="TimesNewRoman" w:hAnsi="TimesNewRoman" w:cs="TimesNewRoman"/>
          <w:szCs w:val="24"/>
        </w:rPr>
        <w:tab/>
        <w:t>Prélèvement d’échantillons au moyen de séparateurs à impact</w:t>
      </w:r>
    </w:p>
    <w:p w:rsidR="00E24DB7" w:rsidRPr="002C5876" w:rsidRDefault="00E24DB7" w:rsidP="00E24DB7">
      <w:pPr>
        <w:pStyle w:val="SingleTxtG"/>
        <w:ind w:left="2268" w:hanging="1134"/>
      </w:pPr>
      <w:r w:rsidRPr="002C5876">
        <w:t>7.3.1.2.2.1</w:t>
      </w:r>
      <w:r w:rsidRPr="002C5876">
        <w:tab/>
      </w:r>
      <w:r w:rsidRPr="002C5876">
        <w:rPr>
          <w:rFonts w:ascii="TimesNewRoman" w:hAnsi="TimesNewRoman" w:cs="TimesNewRoman"/>
          <w:szCs w:val="24"/>
        </w:rPr>
        <w:t>À chaque phase de l’essai, deux séparateurs à impact sont remplis avec 15 ml</w:t>
      </w:r>
      <w:r w:rsidRPr="002C5876">
        <w:t xml:space="preserve"> d’eau désionisée et raccordés en série et une paire supplémentaire de </w:t>
      </w:r>
      <w:r w:rsidRPr="002C5876">
        <w:rPr>
          <w:rFonts w:ascii="TimesNewRoman" w:hAnsi="TimesNewRoman" w:cs="TimesNewRoman"/>
          <w:szCs w:val="24"/>
        </w:rPr>
        <w:t xml:space="preserve">séparateurs </w:t>
      </w:r>
      <w:r w:rsidRPr="002C5876">
        <w:t xml:space="preserve">à impact est utilisée pour mesurer la concentration résiduelle. </w:t>
      </w:r>
    </w:p>
    <w:p w:rsidR="00E24DB7" w:rsidRPr="002C5876" w:rsidRDefault="00E24DB7" w:rsidP="00E24DB7">
      <w:pPr>
        <w:pStyle w:val="SingleTxtG"/>
        <w:ind w:left="2268" w:hanging="1134"/>
      </w:pPr>
      <w:r w:rsidRPr="002C5876">
        <w:t>7.3.1.2.2.2</w:t>
      </w:r>
      <w:r w:rsidRPr="002C5876">
        <w:tab/>
        <w:t xml:space="preserve">Les </w:t>
      </w:r>
      <w:r w:rsidRPr="002C5876">
        <w:rPr>
          <w:rFonts w:ascii="TimesNewRoman" w:hAnsi="TimesNewRoman" w:cs="TimesNewRoman"/>
          <w:szCs w:val="24"/>
        </w:rPr>
        <w:t xml:space="preserve">séparateurs </w:t>
      </w:r>
      <w:r w:rsidRPr="002C5876">
        <w:t xml:space="preserve">à impact sont conditionnés à la température d’un bain de glace avant la collecte d’échantillons et sont maintenus à cette température pendant la collecte. </w:t>
      </w:r>
    </w:p>
    <w:p w:rsidR="00E24DB7" w:rsidRPr="002C5876" w:rsidRDefault="00E24DB7" w:rsidP="00E24DB7">
      <w:pPr>
        <w:pStyle w:val="SingleTxtG"/>
        <w:ind w:left="2268" w:hanging="1134"/>
      </w:pPr>
      <w:r w:rsidRPr="002C5876">
        <w:t>7.3.1.2.2.3</w:t>
      </w:r>
      <w:r w:rsidRPr="002C5876">
        <w:tab/>
        <w:t xml:space="preserve">Après prélèvement, la solution contenue dans chaque </w:t>
      </w:r>
      <w:r w:rsidRPr="002C5876">
        <w:rPr>
          <w:rFonts w:ascii="TimesNewRoman" w:hAnsi="TimesNewRoman" w:cs="TimesNewRoman"/>
          <w:szCs w:val="24"/>
        </w:rPr>
        <w:t xml:space="preserve">séparateur </w:t>
      </w:r>
      <w:r w:rsidRPr="002C5876">
        <w:t xml:space="preserve">à impact est transférée dans un flacon qui est scellé pour le stockage et/ou le transport avant l’analyse en laboratoire. </w:t>
      </w:r>
    </w:p>
    <w:p w:rsidR="00E24DB7" w:rsidRPr="002C5876" w:rsidRDefault="00E24DB7" w:rsidP="00E24DB7">
      <w:pPr>
        <w:pStyle w:val="SingleTxtG"/>
        <w:ind w:left="2268" w:hanging="1134"/>
      </w:pPr>
      <w:r w:rsidRPr="002C5876">
        <w:t>7.3.1.2.2.4</w:t>
      </w:r>
      <w:r w:rsidRPr="002C5876">
        <w:tab/>
        <w:t xml:space="preserve">Les échantillons doivent être réfrigérés à une température inférieure à 5 °C s’ils ne peuvent pas être analysés immédiatement, mais l’analyse doit avoir lieu dans un délai maximal de 6 jours. </w:t>
      </w:r>
    </w:p>
    <w:p w:rsidR="00E24DB7" w:rsidRPr="002C5876" w:rsidRDefault="00E24DB7" w:rsidP="00E24DB7">
      <w:pPr>
        <w:pStyle w:val="SingleTxtG"/>
        <w:ind w:left="2268" w:hanging="1134"/>
      </w:pPr>
      <w:r w:rsidRPr="002C5876">
        <w:t>7.3.1.2.2.5</w:t>
      </w:r>
      <w:r w:rsidRPr="002C5876">
        <w:tab/>
        <w:t>Les règles de bonne pratique technique doivent être appliquées pour la taille de l’échantillon et sa manipulation.</w:t>
      </w:r>
    </w:p>
    <w:p w:rsidR="00E24DB7" w:rsidRPr="002C5876" w:rsidRDefault="00E24DB7" w:rsidP="00E24DB7">
      <w:pPr>
        <w:pStyle w:val="SingleTxtG"/>
        <w:keepNext/>
        <w:ind w:left="2268" w:hanging="1134"/>
        <w:jc w:val="left"/>
        <w:rPr>
          <w:rFonts w:ascii="TimesNewRoman" w:hAnsi="TimesNewRoman" w:cs="TimesNewRoman"/>
          <w:szCs w:val="24"/>
        </w:rPr>
      </w:pPr>
      <w:r w:rsidRPr="002C5876">
        <w:rPr>
          <w:rFonts w:ascii="TimesNewRoman" w:hAnsi="TimesNewRoman" w:cs="TimesNewRoman"/>
          <w:szCs w:val="24"/>
        </w:rPr>
        <w:t>7.3.1.3</w:t>
      </w:r>
      <w:r w:rsidRPr="002C5876">
        <w:rPr>
          <w:rFonts w:ascii="TimesNewRoman" w:hAnsi="TimesNewRoman" w:cs="TimesNewRoman"/>
          <w:szCs w:val="24"/>
        </w:rPr>
        <w:tab/>
        <w:t>Instruments et appareils</w:t>
      </w:r>
    </w:p>
    <w:p w:rsidR="00E24DB7" w:rsidRPr="002C5876" w:rsidRDefault="00E24DB7" w:rsidP="00E24DB7">
      <w:pPr>
        <w:pStyle w:val="SingleTxtG"/>
        <w:ind w:left="2268" w:hanging="1134"/>
        <w:rPr>
          <w:rFonts w:ascii="TimesNewRoman" w:hAnsi="TimesNewRoman" w:cs="TimesNewRoman"/>
          <w:szCs w:val="24"/>
        </w:rPr>
      </w:pPr>
      <w:r w:rsidRPr="002C5876">
        <w:rPr>
          <w:rFonts w:ascii="TimesNewRoman" w:hAnsi="TimesNewRoman" w:cs="TimesNewRoman"/>
          <w:szCs w:val="24"/>
        </w:rPr>
        <w:t>7.3.1.3.1</w:t>
      </w:r>
      <w:r w:rsidRPr="002C5876">
        <w:rPr>
          <w:rFonts w:ascii="TimesNewRoman" w:hAnsi="TimesNewRoman" w:cs="TimesNewRoman"/>
          <w:szCs w:val="24"/>
        </w:rPr>
        <w:tab/>
        <w:t xml:space="preserve">L’échantillon peut être injecté directement dans le chromatographe en phase gazeuse ou un préconcentrateur approprié peut être utilisé, auquel cas ce dernier doit être utilisé pour toutes les vérifications et contrôles de qualité nécessaires. </w:t>
      </w:r>
    </w:p>
    <w:p w:rsidR="00E24DB7" w:rsidRPr="002C5876" w:rsidRDefault="00E24DB7" w:rsidP="00E24DB7">
      <w:pPr>
        <w:pStyle w:val="SingleTxtG"/>
        <w:ind w:left="2268" w:hanging="1134"/>
        <w:rPr>
          <w:rFonts w:ascii="TimesNewRoman" w:hAnsi="TimesNewRoman" w:cs="TimesNewRoman"/>
          <w:szCs w:val="24"/>
        </w:rPr>
      </w:pPr>
      <w:r w:rsidRPr="002C5876">
        <w:rPr>
          <w:rFonts w:ascii="TimesNewRoman" w:hAnsi="TimesNewRoman" w:cs="TimesNewRoman"/>
          <w:szCs w:val="24"/>
        </w:rPr>
        <w:t>7.3.1.3.2</w:t>
      </w:r>
      <w:r w:rsidRPr="002C5876">
        <w:rPr>
          <w:rFonts w:ascii="TimesNewRoman" w:hAnsi="TimesNewRoman" w:cs="TimesNewRoman"/>
          <w:szCs w:val="24"/>
        </w:rPr>
        <w:tab/>
        <w:t>Une colonne de CG avec une phase stationnaire appropriée d’une durée adaptée pour obtenir une résolution adéquate du pic de C</w:t>
      </w:r>
      <w:r w:rsidRPr="002C5876">
        <w:rPr>
          <w:rFonts w:ascii="TimesNewRoman" w:hAnsi="TimesNewRoman" w:cs="TimesNewRoman"/>
          <w:szCs w:val="24"/>
          <w:vertAlign w:val="subscript"/>
        </w:rPr>
        <w:t>2</w:t>
      </w:r>
      <w:r w:rsidRPr="002C5876">
        <w:rPr>
          <w:rFonts w:ascii="TimesNewRoman" w:hAnsi="TimesNewRoman" w:cs="TimesNewRoman"/>
          <w:szCs w:val="24"/>
        </w:rPr>
        <w:t>H</w:t>
      </w:r>
      <w:r w:rsidRPr="002C5876">
        <w:rPr>
          <w:rFonts w:ascii="TimesNewRoman" w:hAnsi="TimesNewRoman" w:cs="TimesNewRoman"/>
          <w:szCs w:val="24"/>
          <w:vertAlign w:val="subscript"/>
        </w:rPr>
        <w:t>5</w:t>
      </w:r>
      <w:r w:rsidRPr="002C5876">
        <w:rPr>
          <w:rFonts w:ascii="TimesNewRoman" w:hAnsi="TimesNewRoman" w:cs="TimesNewRoman"/>
          <w:szCs w:val="24"/>
        </w:rPr>
        <w:t>OH doit être utilisée pour l’analyse. Le choix du profil de température de la colonne et du gaz vecteur doit être pris en compte lors de la mise au point de la méthode à appliquer pour obtenir une résolution adéquate des pics de C</w:t>
      </w:r>
      <w:r w:rsidRPr="002C5876">
        <w:rPr>
          <w:rFonts w:ascii="TimesNewRoman" w:hAnsi="TimesNewRoman" w:cs="TimesNewRoman"/>
          <w:szCs w:val="24"/>
          <w:vertAlign w:val="subscript"/>
        </w:rPr>
        <w:t>2</w:t>
      </w:r>
      <w:r w:rsidRPr="002C5876">
        <w:rPr>
          <w:rFonts w:ascii="TimesNewRoman" w:hAnsi="TimesNewRoman" w:cs="TimesNewRoman"/>
          <w:szCs w:val="24"/>
        </w:rPr>
        <w:t>H</w:t>
      </w:r>
      <w:r w:rsidRPr="002C5876">
        <w:rPr>
          <w:rFonts w:ascii="TimesNewRoman" w:hAnsi="TimesNewRoman" w:cs="TimesNewRoman"/>
          <w:szCs w:val="24"/>
          <w:vertAlign w:val="subscript"/>
        </w:rPr>
        <w:t>5</w:t>
      </w:r>
      <w:r w:rsidRPr="002C5876">
        <w:rPr>
          <w:rFonts w:ascii="TimesNewRoman" w:hAnsi="TimesNewRoman" w:cs="TimesNewRoman"/>
          <w:szCs w:val="24"/>
        </w:rPr>
        <w:t xml:space="preserve">OH. </w:t>
      </w:r>
      <w:r w:rsidRPr="002C5876">
        <w:t>L’opérateur doit s’efforcer d’obtenir autant que possible des pics dont les bases sont séparées.</w:t>
      </w:r>
    </w:p>
    <w:p w:rsidR="00E24DB7" w:rsidRPr="002C5876" w:rsidRDefault="00E24DB7" w:rsidP="00E24DB7">
      <w:pPr>
        <w:pStyle w:val="SingleTxtG"/>
        <w:ind w:left="2268" w:hanging="1134"/>
        <w:rPr>
          <w:rFonts w:ascii="TimesNewRoman" w:hAnsi="TimesNewRoman" w:cs="TimesNewRoman"/>
          <w:szCs w:val="24"/>
        </w:rPr>
      </w:pPr>
      <w:r w:rsidRPr="002C5876">
        <w:rPr>
          <w:rFonts w:ascii="TimesNewRoman" w:hAnsi="TimesNewRoman" w:cs="TimesNewRoman"/>
          <w:szCs w:val="24"/>
        </w:rPr>
        <w:t>7.3.1.3.3</w:t>
      </w:r>
      <w:r w:rsidRPr="002C5876">
        <w:rPr>
          <w:rFonts w:ascii="TimesNewRoman" w:hAnsi="TimesNewRoman" w:cs="TimesNewRoman"/>
          <w:szCs w:val="24"/>
        </w:rPr>
        <w:tab/>
        <w:t xml:space="preserve">Les règles de bonne pratique technique doivent être prises en compte pour mettre l’instrument à zéro et corriger la dérive. Un exemple d’application des règles de bonne pratique technique est donné au paragraphe 7.2.1.3.5 </w:t>
      </w:r>
      <w:r w:rsidRPr="002C5876">
        <w:rPr>
          <w:szCs w:val="24"/>
        </w:rPr>
        <w:t>de la présente annexe.</w:t>
      </w:r>
    </w:p>
    <w:p w:rsidR="00E24DB7" w:rsidRPr="002C5876" w:rsidRDefault="00E24DB7" w:rsidP="00E24DB7">
      <w:pPr>
        <w:pStyle w:val="SingleTxtG"/>
        <w:keepNext/>
        <w:ind w:left="2268" w:hanging="1134"/>
        <w:jc w:val="left"/>
        <w:rPr>
          <w:rFonts w:ascii="TimesNewRoman" w:hAnsi="TimesNewRoman" w:cs="TimesNewRoman"/>
          <w:szCs w:val="24"/>
        </w:rPr>
      </w:pPr>
      <w:r w:rsidRPr="002C5876">
        <w:rPr>
          <w:rFonts w:ascii="TimesNewRoman" w:hAnsi="TimesNewRoman" w:cs="TimesNewRoman"/>
          <w:szCs w:val="24"/>
        </w:rPr>
        <w:t>7.3.1.4</w:t>
      </w:r>
      <w:r w:rsidRPr="002C5876">
        <w:rPr>
          <w:rFonts w:ascii="TimesNewRoman" w:hAnsi="TimesNewRoman" w:cs="TimesNewRoman"/>
          <w:szCs w:val="24"/>
        </w:rPr>
        <w:tab/>
        <w:t>Réactifs et matériel</w:t>
      </w:r>
    </w:p>
    <w:p w:rsidR="00E24DB7" w:rsidRPr="002C5876" w:rsidRDefault="00E24DB7" w:rsidP="00E24DB7">
      <w:pPr>
        <w:pStyle w:val="SingleTxtG"/>
        <w:ind w:left="2268"/>
        <w:rPr>
          <w:szCs w:val="24"/>
        </w:rPr>
      </w:pPr>
      <w:r w:rsidRPr="002C5876">
        <w:rPr>
          <w:szCs w:val="24"/>
        </w:rPr>
        <w:t>Les puretés minimales des gaz vecteurs doivent être les suivantes :</w:t>
      </w:r>
    </w:p>
    <w:p w:rsidR="00E24DB7" w:rsidRPr="002C5876" w:rsidRDefault="00E24DB7" w:rsidP="00E24DB7">
      <w:pPr>
        <w:pStyle w:val="SingleTxtG"/>
        <w:ind w:left="2268"/>
        <w:rPr>
          <w:szCs w:val="24"/>
        </w:rPr>
      </w:pPr>
      <w:r w:rsidRPr="002C5876">
        <w:rPr>
          <w:szCs w:val="24"/>
        </w:rPr>
        <w:t>Azote :</w:t>
      </w:r>
      <w:r w:rsidRPr="002C5876">
        <w:rPr>
          <w:szCs w:val="24"/>
        </w:rPr>
        <w:tab/>
        <w:t>99,998 %.</w:t>
      </w:r>
    </w:p>
    <w:p w:rsidR="00E24DB7" w:rsidRPr="002C5876" w:rsidRDefault="00E24DB7" w:rsidP="00E24DB7">
      <w:pPr>
        <w:pStyle w:val="SingleTxtG"/>
        <w:ind w:left="2268"/>
        <w:rPr>
          <w:szCs w:val="24"/>
        </w:rPr>
      </w:pPr>
      <w:r w:rsidRPr="002C5876">
        <w:rPr>
          <w:szCs w:val="24"/>
        </w:rPr>
        <w:t>Hélium :</w:t>
      </w:r>
      <w:r w:rsidRPr="002C5876">
        <w:rPr>
          <w:szCs w:val="24"/>
        </w:rPr>
        <w:tab/>
        <w:t>99,995 %.</w:t>
      </w:r>
    </w:p>
    <w:p w:rsidR="00E24DB7" w:rsidRPr="002C5876" w:rsidRDefault="00E24DB7" w:rsidP="00E24DB7">
      <w:pPr>
        <w:pStyle w:val="SingleTxtG"/>
        <w:ind w:left="2268"/>
        <w:rPr>
          <w:szCs w:val="24"/>
        </w:rPr>
      </w:pPr>
      <w:r w:rsidRPr="002C5876">
        <w:rPr>
          <w:szCs w:val="24"/>
        </w:rPr>
        <w:t>Hydrogène :</w:t>
      </w:r>
      <w:r w:rsidRPr="002C5876">
        <w:rPr>
          <w:szCs w:val="24"/>
        </w:rPr>
        <w:tab/>
        <w:t>99,995 %.</w:t>
      </w:r>
    </w:p>
    <w:p w:rsidR="00E24DB7" w:rsidRPr="002C5876" w:rsidRDefault="00E24DB7" w:rsidP="00E24DB7">
      <w:pPr>
        <w:pStyle w:val="SingleTxtG"/>
        <w:ind w:left="2268"/>
      </w:pPr>
      <w:r w:rsidRPr="002C5876">
        <w:t xml:space="preserve">Dans le cas où le prélèvement est effectué avec des </w:t>
      </w:r>
      <w:r w:rsidRPr="002C5876">
        <w:rPr>
          <w:rFonts w:ascii="TimesNewRoman" w:hAnsi="TimesNewRoman" w:cs="TimesNewRoman"/>
          <w:szCs w:val="24"/>
        </w:rPr>
        <w:t xml:space="preserve">séparateurs </w:t>
      </w:r>
      <w:r w:rsidRPr="002C5876">
        <w:t xml:space="preserve">à impact : </w:t>
      </w:r>
    </w:p>
    <w:p w:rsidR="00E24DB7" w:rsidRPr="002C5876" w:rsidRDefault="00E24DB7" w:rsidP="00E24DB7">
      <w:pPr>
        <w:pStyle w:val="SingleTxtG"/>
        <w:ind w:left="2268"/>
        <w:rPr>
          <w:rFonts w:ascii="TimesNewRoman" w:hAnsi="TimesNewRoman" w:cs="TimesNewRoman"/>
          <w:szCs w:val="24"/>
        </w:rPr>
      </w:pPr>
      <w:r w:rsidRPr="002C5876">
        <w:lastRenderedPageBreak/>
        <w:tab/>
        <w:t xml:space="preserve">Étalons liquides de </w:t>
      </w:r>
      <w:r w:rsidRPr="002C5876">
        <w:rPr>
          <w:rFonts w:ascii="TimesNewRoman" w:hAnsi="TimesNewRoman" w:cs="TimesNewRoman"/>
          <w:szCs w:val="24"/>
        </w:rPr>
        <w:t>C</w:t>
      </w:r>
      <w:r w:rsidRPr="002C5876">
        <w:rPr>
          <w:rFonts w:ascii="TimesNewRoman" w:hAnsi="TimesNewRoman" w:cs="TimesNewRoman"/>
          <w:szCs w:val="24"/>
          <w:vertAlign w:val="subscript"/>
        </w:rPr>
        <w:t>2</w:t>
      </w:r>
      <w:r w:rsidRPr="002C5876">
        <w:rPr>
          <w:rFonts w:ascii="TimesNewRoman" w:hAnsi="TimesNewRoman" w:cs="TimesNewRoman"/>
          <w:szCs w:val="24"/>
        </w:rPr>
        <w:t>H</w:t>
      </w:r>
      <w:r w:rsidRPr="002C5876">
        <w:rPr>
          <w:rFonts w:ascii="TimesNewRoman" w:hAnsi="TimesNewRoman" w:cs="TimesNewRoman"/>
          <w:szCs w:val="24"/>
          <w:vertAlign w:val="subscript"/>
        </w:rPr>
        <w:t>5</w:t>
      </w:r>
      <w:r w:rsidRPr="002C5876">
        <w:rPr>
          <w:rFonts w:ascii="TimesNewRoman" w:hAnsi="TimesNewRoman" w:cs="TimesNewRoman"/>
          <w:szCs w:val="24"/>
        </w:rPr>
        <w:t xml:space="preserve">OH </w:t>
      </w:r>
      <w:r w:rsidRPr="002C5876">
        <w:t xml:space="preserve">dans l’eau pure : </w:t>
      </w:r>
      <w:r w:rsidRPr="002C5876">
        <w:rPr>
          <w:rFonts w:ascii="TimesNewRoman" w:hAnsi="TimesNewRoman" w:cs="TimesNewRoman"/>
          <w:szCs w:val="24"/>
        </w:rPr>
        <w:t>C</w:t>
      </w:r>
      <w:r w:rsidRPr="002C5876">
        <w:rPr>
          <w:rFonts w:ascii="TimesNewRoman" w:hAnsi="TimesNewRoman" w:cs="TimesNewRoman"/>
          <w:szCs w:val="24"/>
          <w:vertAlign w:val="subscript"/>
        </w:rPr>
        <w:t>2</w:t>
      </w:r>
      <w:r w:rsidRPr="002C5876">
        <w:rPr>
          <w:rFonts w:ascii="TimesNewRoman" w:hAnsi="TimesNewRoman" w:cs="TimesNewRoman"/>
          <w:szCs w:val="24"/>
        </w:rPr>
        <w:t>H</w:t>
      </w:r>
      <w:r w:rsidRPr="002C5876">
        <w:rPr>
          <w:rFonts w:ascii="TimesNewRoman" w:hAnsi="TimesNewRoman" w:cs="TimesNewRoman"/>
          <w:szCs w:val="24"/>
          <w:vertAlign w:val="subscript"/>
        </w:rPr>
        <w:t>5</w:t>
      </w:r>
      <w:r w:rsidRPr="002C5876">
        <w:rPr>
          <w:rFonts w:ascii="TimesNewRoman" w:hAnsi="TimesNewRoman" w:cs="TimesNewRoman"/>
          <w:szCs w:val="24"/>
        </w:rPr>
        <w:t xml:space="preserve">OH </w:t>
      </w:r>
      <w:r w:rsidRPr="002C5876">
        <w:t xml:space="preserve">100 %, </w:t>
      </w:r>
      <w:r w:rsidRPr="002C5876">
        <w:rPr>
          <w:rFonts w:ascii="TimesNewRoman" w:hAnsi="TimesNewRoman" w:cs="TimesNewRoman"/>
          <w:szCs w:val="24"/>
        </w:rPr>
        <w:t>qualité analytique.</w:t>
      </w:r>
    </w:p>
    <w:p w:rsidR="00E24DB7" w:rsidRPr="002C5876" w:rsidRDefault="00E24DB7" w:rsidP="00E24DB7">
      <w:pPr>
        <w:pStyle w:val="SingleTxtG"/>
        <w:keepNext/>
        <w:ind w:left="2268" w:hanging="1134"/>
        <w:jc w:val="left"/>
        <w:rPr>
          <w:rFonts w:ascii="TimesNewRoman" w:hAnsi="TimesNewRoman" w:cs="TimesNewRoman"/>
          <w:szCs w:val="24"/>
        </w:rPr>
      </w:pPr>
      <w:r w:rsidRPr="002C5876">
        <w:rPr>
          <w:rFonts w:ascii="TimesNewRoman" w:hAnsi="TimesNewRoman" w:cs="TimesNewRoman"/>
          <w:szCs w:val="24"/>
        </w:rPr>
        <w:t>7.3.1.5</w:t>
      </w:r>
      <w:r w:rsidRPr="002C5876">
        <w:rPr>
          <w:rFonts w:ascii="TimesNewRoman" w:hAnsi="TimesNewRoman" w:cs="TimesNewRoman"/>
          <w:szCs w:val="24"/>
        </w:rPr>
        <w:tab/>
        <w:t xml:space="preserve">Procédure d’intégration des pics </w:t>
      </w:r>
    </w:p>
    <w:p w:rsidR="00E24DB7" w:rsidRPr="002C5876" w:rsidRDefault="00E24DB7" w:rsidP="00E24DB7">
      <w:pPr>
        <w:pStyle w:val="SingleTxtG"/>
        <w:ind w:left="2268"/>
        <w:rPr>
          <w:rFonts w:ascii="TimesNewRoman" w:hAnsi="TimesNewRoman" w:cs="TimesNewRoman"/>
          <w:szCs w:val="24"/>
        </w:rPr>
      </w:pPr>
      <w:r w:rsidRPr="002C5876">
        <w:rPr>
          <w:rFonts w:ascii="TimesNewRoman" w:hAnsi="TimesNewRoman" w:cs="TimesNewRoman"/>
          <w:szCs w:val="24"/>
        </w:rPr>
        <w:t>La procédure d’intégration des pics est appliquée comme indiqué au paragraphe 7.2.1.5</w:t>
      </w:r>
      <w:r w:rsidRPr="002C5876">
        <w:rPr>
          <w:szCs w:val="24"/>
        </w:rPr>
        <w:t xml:space="preserve"> de la présente annexe.</w:t>
      </w:r>
    </w:p>
    <w:p w:rsidR="00E24DB7" w:rsidRPr="002C5876" w:rsidRDefault="00E24DB7" w:rsidP="00E24DB7">
      <w:pPr>
        <w:pStyle w:val="SingleTxtG"/>
        <w:keepNext/>
        <w:ind w:left="2268" w:hanging="1134"/>
        <w:jc w:val="left"/>
        <w:rPr>
          <w:rFonts w:ascii="TimesNewRoman" w:hAnsi="TimesNewRoman" w:cs="TimesNewRoman"/>
          <w:szCs w:val="24"/>
        </w:rPr>
      </w:pPr>
      <w:r w:rsidRPr="002C5876">
        <w:rPr>
          <w:rFonts w:ascii="TimesNewRoman" w:hAnsi="TimesNewRoman" w:cs="TimesNewRoman"/>
          <w:szCs w:val="24"/>
        </w:rPr>
        <w:t>7.3.1.6</w:t>
      </w:r>
      <w:r w:rsidRPr="002C5876">
        <w:rPr>
          <w:rFonts w:ascii="TimesNewRoman" w:hAnsi="TimesNewRoman" w:cs="TimesNewRoman"/>
          <w:szCs w:val="24"/>
        </w:rPr>
        <w:tab/>
        <w:t>Linéarité</w:t>
      </w:r>
    </w:p>
    <w:p w:rsidR="00E24DB7" w:rsidRPr="002C5876" w:rsidRDefault="00E24DB7" w:rsidP="00E24DB7">
      <w:pPr>
        <w:pStyle w:val="SingleTxtG"/>
        <w:ind w:left="2268"/>
        <w:rPr>
          <w:rFonts w:ascii="TimesNewRoman" w:hAnsi="TimesNewRoman" w:cs="TimesNewRoman"/>
          <w:szCs w:val="24"/>
        </w:rPr>
      </w:pPr>
      <w:r w:rsidRPr="002C5876">
        <w:rPr>
          <w:rFonts w:ascii="TimesNewRoman" w:hAnsi="TimesNewRoman" w:cs="TimesNewRoman"/>
          <w:szCs w:val="24"/>
        </w:rPr>
        <w:t>Un étalonnage multipoint, destiné à confirmer la linéarité de l’instrument, doit être effectué conformément au paragraphe 7.2.1.6</w:t>
      </w:r>
      <w:r w:rsidRPr="002C5876">
        <w:rPr>
          <w:szCs w:val="24"/>
        </w:rPr>
        <w:t xml:space="preserve"> de la présente annexe.</w:t>
      </w:r>
    </w:p>
    <w:p w:rsidR="00E24DB7" w:rsidRPr="002C5876" w:rsidRDefault="00E24DB7" w:rsidP="00E24DB7">
      <w:pPr>
        <w:pStyle w:val="SingleTxtG"/>
        <w:keepNext/>
        <w:ind w:left="2268" w:hanging="1134"/>
        <w:jc w:val="left"/>
        <w:rPr>
          <w:rFonts w:ascii="TimesNewRoman" w:hAnsi="TimesNewRoman" w:cs="TimesNewRoman"/>
          <w:szCs w:val="24"/>
        </w:rPr>
      </w:pPr>
      <w:r w:rsidRPr="002C5876">
        <w:rPr>
          <w:rFonts w:ascii="TimesNewRoman" w:hAnsi="TimesNewRoman" w:cs="TimesNewRoman"/>
          <w:szCs w:val="24"/>
        </w:rPr>
        <w:t>7.3.1.7</w:t>
      </w:r>
      <w:r w:rsidRPr="002C5876">
        <w:rPr>
          <w:rFonts w:ascii="TimesNewRoman" w:hAnsi="TimesNewRoman" w:cs="TimesNewRoman"/>
          <w:szCs w:val="24"/>
        </w:rPr>
        <w:tab/>
        <w:t xml:space="preserve">Contrôle de la qualité </w:t>
      </w:r>
    </w:p>
    <w:p w:rsidR="00E24DB7" w:rsidRPr="002C5876" w:rsidRDefault="00E24DB7" w:rsidP="00E24DB7">
      <w:pPr>
        <w:pStyle w:val="SingleTxtG"/>
        <w:keepNext/>
        <w:ind w:left="2268" w:hanging="1134"/>
        <w:rPr>
          <w:rFonts w:ascii="TimesNewRoman" w:hAnsi="TimesNewRoman" w:cs="TimesNewRoman"/>
          <w:szCs w:val="24"/>
        </w:rPr>
      </w:pPr>
      <w:r w:rsidRPr="002C5876">
        <w:rPr>
          <w:rFonts w:ascii="TimesNewRoman" w:hAnsi="TimesNewRoman" w:cs="TimesNewRoman"/>
          <w:szCs w:val="24"/>
        </w:rPr>
        <w:t>7.3.1.7.1</w:t>
      </w:r>
      <w:r w:rsidRPr="002C5876">
        <w:rPr>
          <w:rFonts w:ascii="TimesNewRoman" w:hAnsi="TimesNewRoman" w:cs="TimesNewRoman"/>
          <w:szCs w:val="24"/>
        </w:rPr>
        <w:tab/>
        <w:t xml:space="preserve">Un prélèvement à blanc d’azote ou d’air est effectué avant l’exécution de la norme d’étalonnage. </w:t>
      </w:r>
    </w:p>
    <w:p w:rsidR="00E24DB7" w:rsidRPr="002C5876" w:rsidRDefault="00E24DB7" w:rsidP="00E24DB7">
      <w:pPr>
        <w:spacing w:after="120"/>
        <w:ind w:left="2268" w:right="1134"/>
        <w:jc w:val="both"/>
        <w:rPr>
          <w:rFonts w:ascii="TimesNewRoman" w:hAnsi="TimesNewRoman" w:cs="TimesNewRoman"/>
          <w:szCs w:val="24"/>
        </w:rPr>
      </w:pPr>
      <w:r w:rsidRPr="002C5876">
        <w:rPr>
          <w:rFonts w:ascii="TimesNewRoman" w:hAnsi="TimesNewRoman" w:cs="TimesNewRoman"/>
          <w:szCs w:val="24"/>
        </w:rPr>
        <w:t xml:space="preserve">Un prélèvement à blanc hebdomadaire permet de vérifier s’il y a ou non contamination de l’ensemble du système. </w:t>
      </w:r>
    </w:p>
    <w:p w:rsidR="00E24DB7" w:rsidRPr="002C5876" w:rsidRDefault="00E24DB7" w:rsidP="00E24DB7">
      <w:pPr>
        <w:spacing w:after="120"/>
        <w:ind w:left="2268" w:right="1134"/>
        <w:jc w:val="both"/>
        <w:rPr>
          <w:rFonts w:ascii="TimesNewRoman" w:hAnsi="TimesNewRoman" w:cs="TimesNewRoman"/>
          <w:szCs w:val="24"/>
        </w:rPr>
      </w:pPr>
      <w:r w:rsidRPr="002C5876">
        <w:rPr>
          <w:rFonts w:ascii="TimesNewRoman" w:hAnsi="TimesNewRoman" w:cs="TimesNewRoman"/>
          <w:szCs w:val="24"/>
        </w:rPr>
        <w:t>Un prélèvement à blanc est effectué dans la semaine suivant l’essai.</w:t>
      </w:r>
    </w:p>
    <w:p w:rsidR="00E24DB7" w:rsidRPr="002C5876" w:rsidRDefault="00E24DB7" w:rsidP="00E24DB7">
      <w:pPr>
        <w:pStyle w:val="SingleTxtG"/>
        <w:ind w:left="2268" w:hanging="1134"/>
        <w:rPr>
          <w:rFonts w:ascii="TimesNewRoman" w:hAnsi="TimesNewRoman" w:cs="TimesNewRoman"/>
          <w:szCs w:val="24"/>
        </w:rPr>
      </w:pPr>
      <w:r w:rsidRPr="002C5876">
        <w:rPr>
          <w:rFonts w:ascii="TimesNewRoman" w:hAnsi="TimesNewRoman" w:cs="TimesNewRoman"/>
          <w:szCs w:val="24"/>
        </w:rPr>
        <w:t>7.3.1.7.2</w:t>
      </w:r>
      <w:r w:rsidRPr="002C5876">
        <w:rPr>
          <w:rFonts w:ascii="TimesNewRoman" w:hAnsi="TimesNewRoman" w:cs="TimesNewRoman"/>
          <w:szCs w:val="24"/>
        </w:rPr>
        <w:tab/>
        <w:t>L’étalon doit être analysé chaque jour où des analyses sont effectuées afin de calculer les facteurs de réponse à employer pour quantifier les concentrations des échantillons.</w:t>
      </w:r>
    </w:p>
    <w:p w:rsidR="00E24DB7" w:rsidRPr="002C5876" w:rsidRDefault="00E24DB7" w:rsidP="00E24DB7">
      <w:pPr>
        <w:pStyle w:val="SingleTxtG"/>
        <w:ind w:left="2268" w:hanging="1134"/>
        <w:rPr>
          <w:rFonts w:ascii="TimesNewRoman" w:hAnsi="TimesNewRoman" w:cs="TimesNewRoman"/>
          <w:szCs w:val="24"/>
        </w:rPr>
      </w:pPr>
      <w:r w:rsidRPr="002C5876">
        <w:rPr>
          <w:rFonts w:ascii="TimesNewRoman" w:hAnsi="TimesNewRoman" w:cs="TimesNewRoman"/>
          <w:szCs w:val="24"/>
        </w:rPr>
        <w:t>7.3.1.7.3</w:t>
      </w:r>
      <w:r w:rsidRPr="002C5876">
        <w:rPr>
          <w:rFonts w:ascii="TimesNewRoman" w:hAnsi="TimesNewRoman" w:cs="TimesNewRoman"/>
          <w:szCs w:val="24"/>
        </w:rPr>
        <w:tab/>
        <w:t>Aux fins du contrôle de la qualité, un étalon doit être analysé dans les 24 h précédant l’analyse des échantillons.</w:t>
      </w:r>
    </w:p>
    <w:p w:rsidR="00E24DB7" w:rsidRPr="002C5876" w:rsidRDefault="00E24DB7" w:rsidP="00E24DB7">
      <w:pPr>
        <w:pStyle w:val="SingleTxtG"/>
        <w:keepNext/>
        <w:ind w:left="2268" w:hanging="1134"/>
        <w:jc w:val="left"/>
        <w:rPr>
          <w:rFonts w:ascii="TimesNewRoman" w:hAnsi="TimesNewRoman" w:cs="TimesNewRoman"/>
          <w:szCs w:val="24"/>
        </w:rPr>
      </w:pPr>
      <w:r w:rsidRPr="002C5876">
        <w:rPr>
          <w:rFonts w:ascii="TimesNewRoman" w:hAnsi="TimesNewRoman" w:cs="TimesNewRoman"/>
          <w:szCs w:val="24"/>
        </w:rPr>
        <w:t>7.3.1.8</w:t>
      </w:r>
      <w:r w:rsidRPr="002C5876">
        <w:rPr>
          <w:rFonts w:ascii="TimesNewRoman" w:hAnsi="TimesNewRoman" w:cs="TimesNewRoman"/>
          <w:szCs w:val="24"/>
        </w:rPr>
        <w:tab/>
        <w:t xml:space="preserve">Limites de détection et de quantification </w:t>
      </w:r>
    </w:p>
    <w:p w:rsidR="00E24DB7" w:rsidRPr="002C5876" w:rsidRDefault="00E24DB7" w:rsidP="00E24DB7">
      <w:pPr>
        <w:spacing w:after="120"/>
        <w:ind w:left="2268" w:right="1134"/>
        <w:jc w:val="both"/>
        <w:rPr>
          <w:rFonts w:ascii="TimesNewRoman" w:hAnsi="TimesNewRoman" w:cs="TimesNewRoman"/>
          <w:szCs w:val="24"/>
        </w:rPr>
      </w:pPr>
      <w:r w:rsidRPr="002C5876">
        <w:rPr>
          <w:rFonts w:ascii="TimesNewRoman" w:hAnsi="TimesNewRoman" w:cs="TimesNewRoman"/>
          <w:szCs w:val="24"/>
        </w:rPr>
        <w:t>Les limites de détection et de quantification sont déterminées conformément au paragraphe 7.2.1.8</w:t>
      </w:r>
      <w:r w:rsidRPr="002C5876">
        <w:rPr>
          <w:szCs w:val="24"/>
        </w:rPr>
        <w:t xml:space="preserve"> de la présente annexe.</w:t>
      </w:r>
    </w:p>
    <w:p w:rsidR="00E24DB7" w:rsidRPr="002C5876" w:rsidRDefault="00E24DB7" w:rsidP="00E24DB7">
      <w:pPr>
        <w:pStyle w:val="SingleTxtG"/>
        <w:keepNext/>
        <w:ind w:left="2268" w:hanging="1134"/>
        <w:jc w:val="left"/>
        <w:rPr>
          <w:rFonts w:ascii="TimesNewRoman" w:hAnsi="TimesNewRoman" w:cs="TimesNewRoman"/>
          <w:szCs w:val="24"/>
        </w:rPr>
      </w:pPr>
      <w:r w:rsidRPr="002C5876">
        <w:rPr>
          <w:rFonts w:ascii="TimesNewRoman" w:hAnsi="TimesNewRoman" w:cs="TimesNewRoman"/>
          <w:szCs w:val="24"/>
        </w:rPr>
        <w:t>7.3.1.9</w:t>
      </w:r>
      <w:r w:rsidRPr="002C5876">
        <w:rPr>
          <w:rFonts w:ascii="TimesNewRoman" w:hAnsi="TimesNewRoman" w:cs="TimesNewRoman"/>
          <w:szCs w:val="24"/>
        </w:rPr>
        <w:tab/>
        <w:t>Vérification de l’interférence</w:t>
      </w:r>
    </w:p>
    <w:p w:rsidR="00E24DB7" w:rsidRPr="002C5876" w:rsidRDefault="00E24DB7" w:rsidP="00E24DB7">
      <w:pPr>
        <w:spacing w:after="120"/>
        <w:ind w:left="2268" w:right="1134"/>
        <w:jc w:val="both"/>
        <w:rPr>
          <w:rFonts w:ascii="TimesNewRoman" w:hAnsi="TimesNewRoman" w:cs="TimesNewRoman"/>
          <w:szCs w:val="24"/>
        </w:rPr>
      </w:pPr>
      <w:r w:rsidRPr="002C5876">
        <w:rPr>
          <w:rFonts w:ascii="TimesNewRoman" w:hAnsi="TimesNewRoman" w:cs="TimesNewRoman"/>
          <w:szCs w:val="24"/>
        </w:rPr>
        <w:t>L’interférence et la réduction des erreurs d’interférence sont décrites au paragraphe 7.2.1.9 de la présente annexe.</w:t>
      </w:r>
    </w:p>
    <w:p w:rsidR="00E24DB7" w:rsidRPr="002C5876" w:rsidRDefault="00E24DB7" w:rsidP="00E24DB7">
      <w:pPr>
        <w:pStyle w:val="SingleTxtG"/>
        <w:keepNext/>
        <w:ind w:left="2268" w:hanging="1134"/>
        <w:jc w:val="left"/>
        <w:rPr>
          <w:rFonts w:ascii="TimesNewRoman" w:hAnsi="TimesNewRoman" w:cs="TimesNewRoman"/>
          <w:szCs w:val="24"/>
        </w:rPr>
      </w:pPr>
      <w:r w:rsidRPr="002C5876">
        <w:rPr>
          <w:rFonts w:ascii="TimesNewRoman" w:hAnsi="TimesNewRoman" w:cs="TimesNewRoman"/>
          <w:szCs w:val="24"/>
        </w:rPr>
        <w:t>7.3.2</w:t>
      </w:r>
      <w:r w:rsidRPr="002C5876">
        <w:rPr>
          <w:rFonts w:ascii="TimesNewRoman" w:hAnsi="TimesNewRoman" w:cs="TimesNewRoman"/>
          <w:szCs w:val="24"/>
        </w:rPr>
        <w:tab/>
        <w:t>Autres méthodes pour le prélèvement et l’analyse de l’éthanol (C</w:t>
      </w:r>
      <w:r w:rsidRPr="002C5876">
        <w:rPr>
          <w:rFonts w:ascii="TimesNewRoman" w:hAnsi="TimesNewRoman" w:cs="TimesNewRoman"/>
          <w:szCs w:val="24"/>
          <w:vertAlign w:val="subscript"/>
        </w:rPr>
        <w:t>2</w:t>
      </w:r>
      <w:r w:rsidRPr="002C5876">
        <w:rPr>
          <w:rFonts w:ascii="TimesNewRoman" w:hAnsi="TimesNewRoman" w:cs="TimesNewRoman"/>
          <w:szCs w:val="24"/>
        </w:rPr>
        <w:t>H</w:t>
      </w:r>
      <w:r w:rsidRPr="002C5876">
        <w:rPr>
          <w:rFonts w:ascii="TimesNewRoman" w:hAnsi="TimesNewRoman" w:cs="TimesNewRoman"/>
          <w:szCs w:val="24"/>
          <w:vertAlign w:val="subscript"/>
        </w:rPr>
        <w:t>5</w:t>
      </w:r>
      <w:r w:rsidRPr="002C5876">
        <w:rPr>
          <w:rFonts w:ascii="TimesNewRoman" w:hAnsi="TimesNewRoman" w:cs="TimesNewRoman"/>
          <w:szCs w:val="24"/>
        </w:rPr>
        <w:t>OH)</w:t>
      </w:r>
    </w:p>
    <w:p w:rsidR="00E24DB7" w:rsidRPr="002C5876" w:rsidRDefault="00E24DB7" w:rsidP="00E24DB7">
      <w:pPr>
        <w:pStyle w:val="SingleTxtG"/>
        <w:keepNext/>
        <w:ind w:left="2268" w:hanging="1134"/>
        <w:jc w:val="left"/>
        <w:rPr>
          <w:rFonts w:ascii="TimesNewRoman" w:hAnsi="TimesNewRoman" w:cs="TimesNewRoman"/>
          <w:szCs w:val="24"/>
        </w:rPr>
      </w:pPr>
      <w:r w:rsidRPr="002C5876">
        <w:rPr>
          <w:rFonts w:ascii="TimesNewRoman" w:hAnsi="TimesNewRoman" w:cs="TimesNewRoman"/>
          <w:szCs w:val="24"/>
        </w:rPr>
        <w:t>7.3.2.1</w:t>
      </w:r>
      <w:r w:rsidRPr="002C5876">
        <w:rPr>
          <w:rFonts w:ascii="TimesNewRoman" w:hAnsi="TimesNewRoman" w:cs="TimesNewRoman"/>
          <w:szCs w:val="24"/>
        </w:rPr>
        <w:tab/>
        <w:t>Prélèvement</w:t>
      </w:r>
    </w:p>
    <w:p w:rsidR="00E24DB7" w:rsidRPr="002C5876" w:rsidRDefault="00E24DB7" w:rsidP="00E24DB7">
      <w:pPr>
        <w:spacing w:after="120"/>
        <w:ind w:left="2268" w:right="1134"/>
        <w:jc w:val="both"/>
        <w:rPr>
          <w:rFonts w:ascii="TimesNewRoman" w:hAnsi="TimesNewRoman" w:cs="TimesNewRoman"/>
          <w:szCs w:val="24"/>
        </w:rPr>
      </w:pPr>
      <w:r w:rsidRPr="002C5876">
        <w:rPr>
          <w:rFonts w:ascii="TimesNewRoman" w:hAnsi="TimesNewRoman" w:cs="TimesNewRoman"/>
          <w:szCs w:val="24"/>
        </w:rPr>
        <w:tab/>
        <w:t>En fonction de la méthode d’analyse utilisée, des échantillons peuvent être prélevés dans les gaz d’échappement dilués provenant du CVS.</w:t>
      </w:r>
    </w:p>
    <w:p w:rsidR="00E24DB7" w:rsidRPr="002C5876" w:rsidRDefault="00E24DB7" w:rsidP="00E24DB7">
      <w:pPr>
        <w:spacing w:after="120"/>
        <w:ind w:left="2268" w:right="1134"/>
        <w:jc w:val="both"/>
        <w:rPr>
          <w:rFonts w:ascii="TimesNewRoman" w:hAnsi="TimesNewRoman" w:cs="TimesNewRoman"/>
          <w:szCs w:val="24"/>
        </w:rPr>
      </w:pPr>
      <w:r w:rsidRPr="002C5876">
        <w:rPr>
          <w:rFonts w:ascii="TimesNewRoman" w:hAnsi="TimesNewRoman" w:cs="TimesNewRoman"/>
          <w:szCs w:val="24"/>
        </w:rPr>
        <w:t xml:space="preserve">À chaque phase de l’essai, un échantillon de gaz doit être prélevé pour analyse dans le sac de gaz d’échappement dilués et d’air de dilution. </w:t>
      </w:r>
      <w:r w:rsidRPr="002C5876">
        <w:t>L’autre solution consiste à analyser un seul échantillon composite d’air de dilution ambiant.</w:t>
      </w:r>
      <w:r w:rsidRPr="002C5876">
        <w:rPr>
          <w:rFonts w:ascii="TimesNewRoman" w:hAnsi="TimesNewRoman" w:cs="TimesNewRoman"/>
          <w:szCs w:val="24"/>
        </w:rPr>
        <w:t xml:space="preserve"> </w:t>
      </w:r>
    </w:p>
    <w:p w:rsidR="00E24DB7" w:rsidRPr="002C5876" w:rsidRDefault="00E24DB7" w:rsidP="00E24DB7">
      <w:pPr>
        <w:spacing w:after="120"/>
        <w:ind w:left="2268" w:right="1134"/>
        <w:jc w:val="both"/>
        <w:rPr>
          <w:rFonts w:ascii="TimesNewRoman" w:hAnsi="TimesNewRoman" w:cs="TimesNewRoman"/>
          <w:szCs w:val="24"/>
        </w:rPr>
      </w:pPr>
      <w:r w:rsidRPr="002C5876">
        <w:rPr>
          <w:rFonts w:ascii="TimesNewRoman" w:hAnsi="TimesNewRoman" w:cs="TimesNewRoman"/>
          <w:szCs w:val="24"/>
        </w:rPr>
        <w:t xml:space="preserve">La température des lignes de prélèvement dans les gaz d’échappement dilués doit être supérieure de plus de 3 °C au point de rosée maximal des gaz d’échappement dilués, mais inférieure à 121 °C. </w:t>
      </w:r>
    </w:p>
    <w:p w:rsidR="00E24DB7" w:rsidRPr="002C5876" w:rsidRDefault="00E24DB7" w:rsidP="00E24DB7">
      <w:pPr>
        <w:spacing w:after="120"/>
        <w:ind w:left="2268" w:right="1134"/>
        <w:jc w:val="both"/>
        <w:rPr>
          <w:rFonts w:ascii="TimesNewRoman" w:hAnsi="TimesNewRoman" w:cs="TimesNewRoman"/>
          <w:szCs w:val="24"/>
        </w:rPr>
      </w:pPr>
      <w:r w:rsidRPr="002C5876">
        <w:rPr>
          <w:rFonts w:ascii="TimesNewRoman" w:hAnsi="TimesNewRoman" w:cs="TimesNewRoman"/>
          <w:szCs w:val="24"/>
        </w:rPr>
        <w:t xml:space="preserve">La fréquence d’étalonnage et les méthodes d’étalonnage doivent être adaptées à chaque instrument en application des meilleures pratiques et dans le respect systématique des normes relatives au contrôle de qualité. </w:t>
      </w:r>
    </w:p>
    <w:p w:rsidR="00E24DB7" w:rsidRPr="002C5876" w:rsidRDefault="00E24DB7" w:rsidP="00E24DB7">
      <w:pPr>
        <w:pStyle w:val="SingleTxtG"/>
        <w:keepNext/>
        <w:ind w:left="2268" w:hanging="1134"/>
        <w:jc w:val="left"/>
        <w:rPr>
          <w:rFonts w:ascii="TimesNewRoman" w:hAnsi="TimesNewRoman" w:cs="TimesNewRoman"/>
          <w:szCs w:val="24"/>
        </w:rPr>
      </w:pPr>
      <w:r w:rsidRPr="002C5876">
        <w:rPr>
          <w:rFonts w:ascii="TimesNewRoman" w:hAnsi="TimesNewRoman" w:cs="TimesNewRoman"/>
          <w:szCs w:val="24"/>
        </w:rPr>
        <w:t>7.3.2.2</w:t>
      </w:r>
      <w:r w:rsidRPr="002C5876">
        <w:rPr>
          <w:rFonts w:ascii="TimesNewRoman" w:hAnsi="TimesNewRoman" w:cs="TimesNewRoman"/>
          <w:szCs w:val="24"/>
        </w:rPr>
        <w:tab/>
        <w:t>Méthode de l’analyseur infrarouge à transformée de Fourier (FTIR)</w:t>
      </w:r>
    </w:p>
    <w:p w:rsidR="00E24DB7" w:rsidRPr="002C5876" w:rsidRDefault="00E24DB7" w:rsidP="00E24DB7">
      <w:pPr>
        <w:spacing w:after="120"/>
        <w:ind w:left="2268" w:right="1134"/>
        <w:jc w:val="both"/>
        <w:rPr>
          <w:rFonts w:ascii="TimesNewRoman" w:hAnsi="TimesNewRoman" w:cs="TimesNewRoman"/>
          <w:szCs w:val="24"/>
        </w:rPr>
      </w:pPr>
      <w:r w:rsidRPr="002C5876">
        <w:rPr>
          <w:rFonts w:ascii="TimesNewRoman" w:hAnsi="TimesNewRoman" w:cs="TimesNewRoman"/>
          <w:szCs w:val="24"/>
        </w:rPr>
        <w:tab/>
        <w:t>Le système FTIR doit être conçu pour la mesure des gaz d’échappement dilués directement à partir du système CVS sur une base continue ou à partir des sacs de gaz d’échappement dilués.</w:t>
      </w:r>
    </w:p>
    <w:p w:rsidR="00E24DB7" w:rsidRPr="002C5876" w:rsidRDefault="00E24DB7" w:rsidP="00E24DB7">
      <w:pPr>
        <w:pStyle w:val="SingleTxtG"/>
        <w:keepNext/>
        <w:ind w:left="2268" w:hanging="1134"/>
        <w:jc w:val="left"/>
        <w:rPr>
          <w:rFonts w:ascii="TimesNewRoman" w:hAnsi="TimesNewRoman" w:cs="TimesNewRoman"/>
          <w:szCs w:val="24"/>
        </w:rPr>
      </w:pPr>
      <w:r w:rsidRPr="002C5876">
        <w:rPr>
          <w:rFonts w:ascii="TimesNewRoman" w:hAnsi="TimesNewRoman" w:cs="TimesNewRoman"/>
          <w:szCs w:val="24"/>
        </w:rPr>
        <w:t>7.3.2.2.1</w:t>
      </w:r>
      <w:r w:rsidRPr="002C5876">
        <w:rPr>
          <w:rFonts w:ascii="TimesNewRoman" w:hAnsi="TimesNewRoman" w:cs="TimesNewRoman"/>
          <w:szCs w:val="24"/>
        </w:rPr>
        <w:tab/>
        <w:t>Interférences avec les mesures</w:t>
      </w:r>
    </w:p>
    <w:p w:rsidR="00E24DB7" w:rsidRPr="002C5876" w:rsidRDefault="00E24DB7" w:rsidP="00E24DB7">
      <w:pPr>
        <w:spacing w:after="120"/>
        <w:ind w:left="2268" w:right="1134"/>
        <w:jc w:val="both"/>
        <w:rPr>
          <w:rFonts w:ascii="TimesNewRoman" w:hAnsi="TimesNewRoman" w:cs="TimesNewRoman"/>
          <w:szCs w:val="24"/>
        </w:rPr>
      </w:pPr>
      <w:r w:rsidRPr="002C5876">
        <w:rPr>
          <w:rFonts w:ascii="TimesNewRoman" w:hAnsi="TimesNewRoman" w:cs="TimesNewRoman"/>
          <w:szCs w:val="24"/>
        </w:rPr>
        <w:t>La résolution spectrale de la longueur d’onde cible doit être de 0,5 par cm ou mieux afin de réduire le plus possible les interférences causées par d’autres gaz présents dans les gaz d’échappement.</w:t>
      </w:r>
    </w:p>
    <w:p w:rsidR="00E24DB7" w:rsidRPr="002C5876" w:rsidRDefault="00E24DB7" w:rsidP="00E24DB7">
      <w:pPr>
        <w:spacing w:after="120"/>
        <w:ind w:left="2268" w:right="1134"/>
        <w:jc w:val="both"/>
        <w:rPr>
          <w:rFonts w:ascii="TimesNewRoman" w:hAnsi="TimesNewRoman" w:cs="TimesNewRoman"/>
          <w:szCs w:val="24"/>
        </w:rPr>
      </w:pPr>
      <w:r w:rsidRPr="002C5876">
        <w:rPr>
          <w:rFonts w:ascii="TimesNewRoman" w:hAnsi="TimesNewRoman" w:cs="TimesNewRoman"/>
          <w:szCs w:val="24"/>
        </w:rPr>
        <w:lastRenderedPageBreak/>
        <w:t xml:space="preserve">Le FTIR doit être expressément optimisé pour la mesure de l’éthanol en termes de linéarisation selon une norme spécifiée, ainsi que pour la correction et/ou la compensation des gaz interférents coexistants. </w:t>
      </w:r>
    </w:p>
    <w:p w:rsidR="00E24DB7" w:rsidRPr="002C5876" w:rsidRDefault="00E24DB7" w:rsidP="00E24DB7">
      <w:pPr>
        <w:pStyle w:val="SingleTxtG"/>
        <w:keepNext/>
        <w:ind w:left="2268" w:hanging="1134"/>
        <w:jc w:val="left"/>
        <w:rPr>
          <w:rFonts w:ascii="TimesNewRoman" w:hAnsi="TimesNewRoman" w:cs="TimesNewRoman"/>
          <w:szCs w:val="24"/>
        </w:rPr>
      </w:pPr>
      <w:r w:rsidRPr="002C5876">
        <w:rPr>
          <w:rFonts w:ascii="TimesNewRoman" w:hAnsi="TimesNewRoman" w:cs="TimesNewRoman"/>
          <w:szCs w:val="24"/>
        </w:rPr>
        <w:t>7.3.2.3</w:t>
      </w:r>
      <w:r w:rsidRPr="002C5876">
        <w:rPr>
          <w:rFonts w:ascii="TimesNewRoman" w:hAnsi="TimesNewRoman" w:cs="TimesNewRoman"/>
          <w:szCs w:val="24"/>
        </w:rPr>
        <w:tab/>
        <w:t xml:space="preserve">Méthode photo-acoustique </w:t>
      </w:r>
    </w:p>
    <w:p w:rsidR="00E24DB7" w:rsidRPr="002C5876" w:rsidRDefault="00E24DB7" w:rsidP="00E24DB7">
      <w:pPr>
        <w:spacing w:after="120"/>
        <w:ind w:left="2268" w:right="1134"/>
        <w:jc w:val="both"/>
        <w:rPr>
          <w:rFonts w:ascii="TimesNewRoman" w:hAnsi="TimesNewRoman" w:cs="TimesNewRoman"/>
          <w:szCs w:val="24"/>
        </w:rPr>
      </w:pPr>
      <w:r w:rsidRPr="002C5876">
        <w:rPr>
          <w:rFonts w:ascii="TimesNewRoman" w:hAnsi="TimesNewRoman" w:cs="TimesNewRoman"/>
          <w:szCs w:val="24"/>
        </w:rPr>
        <w:tab/>
        <w:t>L’analyseur photo-acoustique doit être expressément conçu pour la mesure de l’éthanol en termes de linéarisation selon une norme spécifiée, ainsi que pour la correction et/ou la compensation des gaz interférents coexistants.</w:t>
      </w:r>
    </w:p>
    <w:p w:rsidR="00E24DB7" w:rsidRPr="002C5876" w:rsidRDefault="00E24DB7" w:rsidP="00E24DB7">
      <w:pPr>
        <w:spacing w:after="120"/>
        <w:ind w:left="2268" w:right="1134" w:hanging="1134"/>
        <w:jc w:val="both"/>
        <w:rPr>
          <w:rFonts w:ascii="TimesNewRoman" w:hAnsi="TimesNewRoman" w:cs="TimesNewRoman"/>
          <w:szCs w:val="24"/>
        </w:rPr>
      </w:pPr>
      <w:r w:rsidRPr="002C5876">
        <w:rPr>
          <w:rFonts w:ascii="TimesNewRoman" w:hAnsi="TimesNewRoman" w:cs="TimesNewRoman"/>
          <w:szCs w:val="24"/>
        </w:rPr>
        <w:tab/>
        <w:t>L’étalonnage est effectué deux fois par an à l’aide d’un gaz d’étalonnage du calibrage (éthanol dans N</w:t>
      </w:r>
      <w:r w:rsidRPr="002C5876">
        <w:rPr>
          <w:rFonts w:ascii="TimesNewRoman" w:hAnsi="TimesNewRoman" w:cs="TimesNewRoman"/>
          <w:szCs w:val="24"/>
          <w:vertAlign w:val="subscript"/>
        </w:rPr>
        <w:t>2</w:t>
      </w:r>
      <w:r w:rsidRPr="002C5876">
        <w:rPr>
          <w:rFonts w:ascii="TimesNewRoman" w:hAnsi="TimesNewRoman" w:cs="TimesNewRoman"/>
          <w:szCs w:val="24"/>
        </w:rPr>
        <w:t xml:space="preserve"> sec par exemple).</w:t>
      </w:r>
    </w:p>
    <w:p w:rsidR="00E24DB7" w:rsidRPr="002C5876" w:rsidRDefault="00E24DB7" w:rsidP="00E24DB7">
      <w:pPr>
        <w:pStyle w:val="SingleTxtG"/>
        <w:keepNext/>
        <w:ind w:left="2268" w:hanging="1134"/>
        <w:jc w:val="left"/>
        <w:rPr>
          <w:rFonts w:ascii="TimesNewRoman" w:hAnsi="TimesNewRoman" w:cs="TimesNewRoman"/>
          <w:szCs w:val="24"/>
        </w:rPr>
      </w:pPr>
      <w:r w:rsidRPr="002C5876">
        <w:rPr>
          <w:rFonts w:ascii="TimesNewRoman" w:hAnsi="TimesNewRoman" w:cs="TimesNewRoman"/>
          <w:szCs w:val="24"/>
        </w:rPr>
        <w:t>7.3.2.4</w:t>
      </w:r>
      <w:r w:rsidRPr="002C5876">
        <w:rPr>
          <w:rFonts w:ascii="TimesNewRoman" w:hAnsi="TimesNewRoman" w:cs="TimesNewRoman"/>
          <w:szCs w:val="24"/>
        </w:rPr>
        <w:tab/>
        <w:t xml:space="preserve">Méthode de spectrométrie de masse par transfert de protons − (PTR-MS) </w:t>
      </w:r>
    </w:p>
    <w:p w:rsidR="00E24DB7" w:rsidRPr="002C5876" w:rsidRDefault="00E24DB7" w:rsidP="00E24DB7">
      <w:pPr>
        <w:spacing w:after="120"/>
        <w:ind w:left="2268" w:right="1134"/>
        <w:jc w:val="both"/>
        <w:rPr>
          <w:rFonts w:ascii="TimesNewRoman" w:hAnsi="TimesNewRoman" w:cs="TimesNewRoman"/>
          <w:szCs w:val="24"/>
        </w:rPr>
      </w:pPr>
      <w:r w:rsidRPr="002C5876">
        <w:rPr>
          <w:rFonts w:ascii="TimesNewRoman" w:hAnsi="TimesNewRoman" w:cs="TimesNewRoman"/>
          <w:szCs w:val="24"/>
        </w:rPr>
        <w:t xml:space="preserve">La PTR-MS est une technique fondée sur une ionisation de chimie douce par transfert de protons pour la détection de composés organiques volatils (COV). </w:t>
      </w:r>
    </w:p>
    <w:p w:rsidR="00E24DB7" w:rsidRPr="002C5876" w:rsidRDefault="00E24DB7" w:rsidP="00E24DB7">
      <w:pPr>
        <w:spacing w:after="120"/>
        <w:ind w:left="2268" w:right="1134"/>
        <w:jc w:val="both"/>
        <w:rPr>
          <w:rFonts w:ascii="TimesNewRoman" w:hAnsi="TimesNewRoman" w:cs="TimesNewRoman"/>
          <w:szCs w:val="24"/>
        </w:rPr>
      </w:pPr>
      <w:r w:rsidRPr="002C5876">
        <w:rPr>
          <w:rFonts w:ascii="TimesNewRoman" w:hAnsi="TimesNewRoman" w:cs="TimesNewRoman"/>
          <w:szCs w:val="24"/>
        </w:rPr>
        <w:t>Les ions réactifs, hydronium, (H</w:t>
      </w:r>
      <w:r w:rsidRPr="002C5876">
        <w:rPr>
          <w:rFonts w:ascii="TimesNewRoman" w:hAnsi="TimesNewRoman" w:cs="TimesNewRoman"/>
          <w:szCs w:val="24"/>
          <w:vertAlign w:val="subscript"/>
        </w:rPr>
        <w:t>3</w:t>
      </w:r>
      <w:r w:rsidRPr="002C5876">
        <w:rPr>
          <w:rFonts w:ascii="TimesNewRoman" w:hAnsi="TimesNewRoman" w:cs="TimesNewRoman"/>
          <w:szCs w:val="24"/>
        </w:rPr>
        <w:t>O</w:t>
      </w:r>
      <w:r w:rsidRPr="002C5876">
        <w:rPr>
          <w:rFonts w:ascii="TimesNewRoman" w:hAnsi="TimesNewRoman" w:cs="TimesNewRoman"/>
          <w:szCs w:val="24"/>
          <w:vertAlign w:val="superscript"/>
        </w:rPr>
        <w:t>+</w:t>
      </w:r>
      <w:r w:rsidRPr="002C5876">
        <w:rPr>
          <w:rFonts w:ascii="TimesNewRoman" w:hAnsi="TimesNewRoman" w:cs="TimesNewRoman"/>
          <w:szCs w:val="24"/>
        </w:rPr>
        <w:t xml:space="preserve">) par exemple, devraient être choisis expressément pour la mesure de l’éthanol et pour réduire le plus possible les interférences avec les mesures des gaz coexistants. </w:t>
      </w:r>
    </w:p>
    <w:p w:rsidR="00E24DB7" w:rsidRPr="002C5876" w:rsidRDefault="00E24DB7" w:rsidP="00E24DB7">
      <w:pPr>
        <w:spacing w:after="120"/>
        <w:ind w:left="2268" w:right="1134"/>
        <w:jc w:val="both"/>
        <w:rPr>
          <w:rFonts w:ascii="TimesNewRoman" w:hAnsi="TimesNewRoman" w:cs="TimesNewRoman"/>
          <w:szCs w:val="24"/>
        </w:rPr>
      </w:pPr>
      <w:r w:rsidRPr="002C5876">
        <w:rPr>
          <w:rFonts w:ascii="TimesNewRoman" w:hAnsi="TimesNewRoman" w:cs="TimesNewRoman"/>
          <w:szCs w:val="24"/>
        </w:rPr>
        <w:t>Le système devrait être linéarisé selon une norme spécifiée.</w:t>
      </w:r>
    </w:p>
    <w:p w:rsidR="00E24DB7" w:rsidRPr="002C5876" w:rsidRDefault="00E24DB7" w:rsidP="00E24DB7">
      <w:pPr>
        <w:pStyle w:val="SingleTxtG"/>
        <w:keepNext/>
        <w:ind w:left="2268" w:hanging="1134"/>
        <w:jc w:val="left"/>
        <w:rPr>
          <w:rFonts w:ascii="TimesNewRoman" w:hAnsi="TimesNewRoman" w:cs="TimesNewRoman"/>
          <w:szCs w:val="24"/>
        </w:rPr>
      </w:pPr>
      <w:r w:rsidRPr="002C5876">
        <w:rPr>
          <w:rFonts w:ascii="TimesNewRoman" w:hAnsi="TimesNewRoman" w:cs="TimesNewRoman"/>
          <w:szCs w:val="24"/>
        </w:rPr>
        <w:t>7.3.2.4.1</w:t>
      </w:r>
      <w:r w:rsidRPr="002C5876">
        <w:rPr>
          <w:rFonts w:ascii="TimesNewRoman" w:hAnsi="TimesNewRoman" w:cs="TimesNewRoman"/>
          <w:szCs w:val="24"/>
        </w:rPr>
        <w:tab/>
        <w:t>Méthode d’étalonnage</w:t>
      </w:r>
    </w:p>
    <w:p w:rsidR="00E24DB7" w:rsidRPr="002C5876" w:rsidRDefault="00E24DB7" w:rsidP="00E24DB7">
      <w:pPr>
        <w:spacing w:after="120"/>
        <w:ind w:left="2268" w:right="1134"/>
        <w:jc w:val="both"/>
        <w:rPr>
          <w:rFonts w:ascii="TimesNewRoman" w:hAnsi="TimesNewRoman" w:cs="TimesNewRoman"/>
          <w:szCs w:val="24"/>
        </w:rPr>
      </w:pPr>
      <w:r w:rsidRPr="002C5876">
        <w:rPr>
          <w:rFonts w:ascii="TimesNewRoman" w:hAnsi="TimesNewRoman" w:cs="TimesNewRoman"/>
          <w:szCs w:val="24"/>
        </w:rPr>
        <w:t>La réponse de l’analyseur devrait être périodiquement étalonnée, au moins une fois par mois, à l’aide d’un gaz consistant en l’analyte cible de la concentration connue équilibrée par un mélange des gaz coexistants aux concentrations normalement prévisibles de l’échantillon de gaz d’échappement (N</w:t>
      </w:r>
      <w:r w:rsidRPr="002C5876">
        <w:rPr>
          <w:rFonts w:ascii="TimesNewRoman" w:hAnsi="TimesNewRoman" w:cs="TimesNewRoman"/>
          <w:szCs w:val="24"/>
          <w:vertAlign w:val="subscript"/>
        </w:rPr>
        <w:t>2</w:t>
      </w:r>
      <w:r w:rsidRPr="002C5876">
        <w:rPr>
          <w:rFonts w:ascii="TimesNewRoman" w:hAnsi="TimesNewRoman" w:cs="TimesNewRoman"/>
          <w:szCs w:val="24"/>
        </w:rPr>
        <w:t>, O</w:t>
      </w:r>
      <w:r w:rsidRPr="002C5876">
        <w:rPr>
          <w:rFonts w:ascii="TimesNewRoman" w:hAnsi="TimesNewRoman" w:cs="TimesNewRoman"/>
          <w:szCs w:val="24"/>
          <w:vertAlign w:val="subscript"/>
        </w:rPr>
        <w:t xml:space="preserve">2 </w:t>
      </w:r>
      <w:r w:rsidRPr="002C5876">
        <w:rPr>
          <w:rFonts w:ascii="TimesNewRoman" w:hAnsi="TimesNewRoman" w:cs="TimesNewRoman"/>
          <w:szCs w:val="24"/>
        </w:rPr>
        <w:t>et H</w:t>
      </w:r>
      <w:r w:rsidRPr="002C5876">
        <w:rPr>
          <w:rFonts w:ascii="TimesNewRoman" w:hAnsi="TimesNewRoman" w:cs="TimesNewRoman"/>
          <w:szCs w:val="24"/>
          <w:vertAlign w:val="subscript"/>
        </w:rPr>
        <w:t>2</w:t>
      </w:r>
      <w:r w:rsidRPr="002C5876">
        <w:rPr>
          <w:rFonts w:ascii="TimesNewRoman" w:hAnsi="TimesNewRoman" w:cs="TimesNewRoman"/>
          <w:szCs w:val="24"/>
        </w:rPr>
        <w:t>O par exemple).</w:t>
      </w:r>
    </w:p>
    <w:p w:rsidR="00E24DB7" w:rsidRPr="002C5876" w:rsidRDefault="00E24DB7" w:rsidP="00E24DB7">
      <w:pPr>
        <w:pStyle w:val="SingleTxtG"/>
        <w:keepNext/>
        <w:ind w:left="2268" w:hanging="1134"/>
        <w:jc w:val="left"/>
        <w:rPr>
          <w:rFonts w:ascii="TimesNewRoman" w:hAnsi="TimesNewRoman" w:cs="TimesNewRoman"/>
          <w:szCs w:val="24"/>
        </w:rPr>
      </w:pPr>
      <w:r w:rsidRPr="002C5876">
        <w:rPr>
          <w:rFonts w:ascii="TimesNewRoman" w:hAnsi="TimesNewRoman" w:cs="TimesNewRoman"/>
          <w:szCs w:val="24"/>
        </w:rPr>
        <w:t>7.3.2.5</w:t>
      </w:r>
      <w:r w:rsidRPr="002C5876">
        <w:rPr>
          <w:rFonts w:ascii="TimesNewRoman" w:hAnsi="TimesNewRoman" w:cs="TimesNewRoman"/>
          <w:szCs w:val="24"/>
        </w:rPr>
        <w:tab/>
        <w:t xml:space="preserve">Méthode de chromatographie en phase gazeuse directe </w:t>
      </w:r>
    </w:p>
    <w:p w:rsidR="00E24DB7" w:rsidRPr="002C5876" w:rsidRDefault="00E24DB7" w:rsidP="00E24DB7">
      <w:pPr>
        <w:spacing w:after="120"/>
        <w:ind w:left="2268" w:right="1134"/>
        <w:jc w:val="both"/>
        <w:rPr>
          <w:rFonts w:ascii="TimesNewRoman" w:hAnsi="TimesNewRoman" w:cs="TimesNewRoman"/>
          <w:szCs w:val="24"/>
        </w:rPr>
      </w:pPr>
      <w:r w:rsidRPr="002C5876">
        <w:rPr>
          <w:rFonts w:ascii="TimesNewRoman" w:hAnsi="TimesNewRoman" w:cs="TimesNewRoman"/>
          <w:szCs w:val="24"/>
        </w:rPr>
        <w:t xml:space="preserve">Les gaz d’échappement dilués doivent être collectés sur un piège et injectés dans une colonne à chromatographie en vue de la séparation des gaz qui les constituent. Il faut étalonner le piège en déterminant la linéarité du système dans la fourchette des concentrations attendues des gaz d’échappement dilués (y compris le gaz de zéro) et en confirmant la concentration maximale que l’on peut mesurer sans surcharger et saturer le piège. </w:t>
      </w:r>
    </w:p>
    <w:p w:rsidR="00E24DB7" w:rsidRPr="002C5876" w:rsidRDefault="00E24DB7" w:rsidP="00E24DB7">
      <w:pPr>
        <w:spacing w:after="120"/>
        <w:ind w:left="2268" w:right="1134"/>
        <w:jc w:val="both"/>
        <w:rPr>
          <w:rFonts w:ascii="TimesNewRoman" w:hAnsi="TimesNewRoman" w:cs="TimesNewRoman"/>
          <w:szCs w:val="24"/>
        </w:rPr>
      </w:pPr>
      <w:r w:rsidRPr="002C5876">
        <w:rPr>
          <w:rFonts w:ascii="TimesNewRoman" w:hAnsi="TimesNewRoman" w:cs="TimesNewRoman"/>
          <w:szCs w:val="24"/>
        </w:rPr>
        <w:t>L’éthanol est détecté à partir de la colonne au moyen d’un détecteur à photo</w:t>
      </w:r>
      <w:r w:rsidRPr="002C5876">
        <w:rPr>
          <w:rFonts w:ascii="TimesNewRoman" w:hAnsi="TimesNewRoman" w:cs="TimesNewRoman"/>
          <w:szCs w:val="24"/>
        </w:rPr>
        <w:noBreakHyphen/>
        <w:t>ionisation (PID) ou d’un détecteur à ionisation de flamme (FID).</w:t>
      </w:r>
    </w:p>
    <w:p w:rsidR="00E24DB7" w:rsidRPr="002C5876" w:rsidRDefault="00E24DB7" w:rsidP="00E24DB7">
      <w:pPr>
        <w:spacing w:after="120"/>
        <w:ind w:left="2268" w:right="1134"/>
        <w:jc w:val="both"/>
        <w:rPr>
          <w:rFonts w:ascii="TimesNewRoman" w:hAnsi="TimesNewRoman" w:cs="TimesNewRoman"/>
          <w:szCs w:val="24"/>
        </w:rPr>
      </w:pPr>
      <w:r w:rsidRPr="002C5876">
        <w:rPr>
          <w:rFonts w:ascii="TimesNewRoman" w:hAnsi="TimesNewRoman" w:cs="TimesNewRoman"/>
          <w:szCs w:val="24"/>
        </w:rPr>
        <w:t>Le système doit être configuré pour effectuer des mesures spécifiques de l’éthanol à partir des phases applicables du WLTC.</w:t>
      </w:r>
    </w:p>
    <w:p w:rsidR="00E24DB7" w:rsidRPr="002C5876" w:rsidRDefault="00E24DB7" w:rsidP="00E24DB7">
      <w:pPr>
        <w:spacing w:after="120"/>
        <w:ind w:left="2268" w:right="1134"/>
        <w:jc w:val="both"/>
        <w:rPr>
          <w:rFonts w:ascii="TimesNewRoman" w:hAnsi="TimesNewRoman" w:cs="TimesNewRoman"/>
          <w:szCs w:val="24"/>
        </w:rPr>
      </w:pPr>
      <w:r w:rsidRPr="002C5876">
        <w:rPr>
          <w:rFonts w:ascii="TimesNewRoman" w:hAnsi="TimesNewRoman" w:cs="TimesNewRoman"/>
          <w:szCs w:val="24"/>
        </w:rPr>
        <w:t>Le système doit être linéarisé selon une norme spécifiée.</w:t>
      </w:r>
    </w:p>
    <w:p w:rsidR="00E24DB7" w:rsidRPr="002C5876" w:rsidRDefault="00E24DB7" w:rsidP="00E24DB7">
      <w:pPr>
        <w:pStyle w:val="SingleTxtG"/>
        <w:keepNext/>
        <w:ind w:left="2268" w:hanging="1134"/>
        <w:jc w:val="left"/>
        <w:rPr>
          <w:rFonts w:ascii="TimesNewRoman" w:hAnsi="TimesNewRoman" w:cs="TimesNewRoman"/>
          <w:szCs w:val="24"/>
        </w:rPr>
      </w:pPr>
      <w:r w:rsidRPr="002C5876">
        <w:rPr>
          <w:rFonts w:ascii="TimesNewRoman" w:hAnsi="TimesNewRoman" w:cs="TimesNewRoman"/>
          <w:szCs w:val="24"/>
        </w:rPr>
        <w:t>7.3.2.5.1</w:t>
      </w:r>
      <w:r w:rsidRPr="002C5876">
        <w:rPr>
          <w:rFonts w:ascii="TimesNewRoman" w:hAnsi="TimesNewRoman" w:cs="TimesNewRoman"/>
          <w:szCs w:val="24"/>
        </w:rPr>
        <w:tab/>
        <w:t xml:space="preserve">Fréquence d’étalonnage </w:t>
      </w:r>
    </w:p>
    <w:p w:rsidR="00E24DB7" w:rsidRPr="002C5876" w:rsidRDefault="00E24DB7" w:rsidP="00E24DB7">
      <w:pPr>
        <w:spacing w:after="120"/>
        <w:ind w:left="2268" w:right="1134"/>
        <w:jc w:val="both"/>
        <w:rPr>
          <w:rFonts w:ascii="TimesNewRoman" w:hAnsi="TimesNewRoman" w:cs="TimesNewRoman"/>
          <w:szCs w:val="24"/>
        </w:rPr>
      </w:pPr>
      <w:r w:rsidRPr="002C5876">
        <w:rPr>
          <w:rFonts w:ascii="TimesNewRoman" w:hAnsi="TimesNewRoman" w:cs="TimesNewRoman"/>
          <w:szCs w:val="24"/>
        </w:rPr>
        <w:t>Un étalonnage doit être effectué une fois par semaine ou après un entretien. Aucune compensation n’est nécessaire.</w:t>
      </w:r>
    </w:p>
    <w:p w:rsidR="00E24DB7" w:rsidRPr="002C5876" w:rsidRDefault="00E24DB7" w:rsidP="00E24DB7">
      <w:pPr>
        <w:pStyle w:val="SingleTxtG"/>
        <w:keepNext/>
        <w:ind w:left="2268" w:hanging="1134"/>
        <w:jc w:val="left"/>
      </w:pPr>
      <w:r w:rsidRPr="002C5876">
        <w:t>7.4</w:t>
      </w:r>
      <w:r w:rsidRPr="002C5876">
        <w:tab/>
        <w:t xml:space="preserve">Méthodes de prélèvement et d’analyse pour le formaldéhyde </w:t>
      </w:r>
      <w:r w:rsidRPr="002C5876">
        <w:br/>
        <w:t>et l’acétaldéhyde (le cas échéant)</w:t>
      </w:r>
    </w:p>
    <w:p w:rsidR="00E24DB7" w:rsidRPr="002C5876" w:rsidRDefault="00E24DB7" w:rsidP="00E24DB7">
      <w:pPr>
        <w:spacing w:after="120"/>
        <w:ind w:left="2268" w:right="1134"/>
        <w:jc w:val="both"/>
        <w:rPr>
          <w:rFonts w:ascii="TimesNewRoman" w:hAnsi="TimesNewRoman" w:cs="TimesNewRoman"/>
          <w:szCs w:val="24"/>
        </w:rPr>
      </w:pPr>
      <w:r w:rsidRPr="002C5876">
        <w:rPr>
          <w:rFonts w:ascii="TimesNewRoman" w:hAnsi="TimesNewRoman" w:cs="TimesNewRoman"/>
          <w:szCs w:val="24"/>
        </w:rPr>
        <w:t>Les aldéhydes doivent être prélevés avec des cartouches imprégnées de dinitrophénylhydrazine (DNPH). L’élution des cartouches doit être faite avec l’acétonitrile. L’analyse doit être effectuée par chromatographie en phase liquide à haute performance (HPLC), avec un détecteur ultraviolet (UV) à 360 nm ou un détecteur à barrettes de diodes (DAD). Les masses de carbonyle de la gamme comprise entre 0,02 et 200 µg sont mesurées avec cette méthode.</w:t>
      </w:r>
    </w:p>
    <w:p w:rsidR="00E24DB7" w:rsidRPr="002C5876" w:rsidRDefault="00E24DB7" w:rsidP="00E24DB7">
      <w:pPr>
        <w:pStyle w:val="SingleTxtG"/>
        <w:keepNext/>
        <w:ind w:left="2268" w:hanging="1134"/>
        <w:jc w:val="left"/>
      </w:pPr>
      <w:r w:rsidRPr="002C5876">
        <w:t>7.4.1.1</w:t>
      </w:r>
      <w:r w:rsidRPr="002C5876">
        <w:tab/>
        <w:t>Prélèvement</w:t>
      </w:r>
    </w:p>
    <w:p w:rsidR="00E24DB7" w:rsidRPr="002C5876" w:rsidRDefault="00E24DB7" w:rsidP="00E24DB7">
      <w:pPr>
        <w:pStyle w:val="SingleTxtG"/>
        <w:ind w:left="2268"/>
        <w:rPr>
          <w:rFonts w:ascii="TimesNewRoman" w:hAnsi="TimesNewRoman" w:cs="TimesNewRoman"/>
          <w:szCs w:val="24"/>
        </w:rPr>
      </w:pPr>
      <w:r w:rsidRPr="002C5876">
        <w:rPr>
          <w:rFonts w:ascii="TimesNewRoman" w:hAnsi="TimesNewRoman" w:cs="TimesNewRoman"/>
          <w:szCs w:val="24"/>
        </w:rPr>
        <w:t>En fonction de la méthode d’analyse utilisée, les échantillons peuvent être prélevés sur les gaz d’échappement provenant du CVS.</w:t>
      </w:r>
    </w:p>
    <w:p w:rsidR="00E24DB7" w:rsidRPr="002C5876" w:rsidRDefault="00E24DB7" w:rsidP="00E24DB7">
      <w:pPr>
        <w:pStyle w:val="SingleTxtG"/>
        <w:ind w:left="2268"/>
        <w:rPr>
          <w:rFonts w:ascii="TimesNewRoman" w:hAnsi="TimesNewRoman" w:cs="TimesNewRoman"/>
          <w:szCs w:val="24"/>
        </w:rPr>
      </w:pPr>
      <w:r w:rsidRPr="002C5876">
        <w:rPr>
          <w:rFonts w:ascii="TimesNewRoman" w:hAnsi="TimesNewRoman" w:cs="TimesNewRoman"/>
          <w:szCs w:val="24"/>
        </w:rPr>
        <w:lastRenderedPageBreak/>
        <w:t xml:space="preserve">À chaque phase de l’essai, un échantillon de gaz doit être prélevé pour analyse dans le sac de gaz d’échappement dilués et d’air de dilution. </w:t>
      </w:r>
      <w:r w:rsidRPr="002C5876">
        <w:t>L’autre solution consiste à analyser un seul échantillon composite d’air de dilution ambiant.</w:t>
      </w:r>
    </w:p>
    <w:p w:rsidR="00E24DB7" w:rsidRPr="002C5876" w:rsidRDefault="00E24DB7" w:rsidP="00E24DB7">
      <w:pPr>
        <w:pStyle w:val="SingleTxtG"/>
        <w:ind w:left="2268"/>
        <w:rPr>
          <w:rFonts w:ascii="TimesNewRoman" w:hAnsi="TimesNewRoman" w:cs="TimesNewRoman"/>
          <w:szCs w:val="24"/>
        </w:rPr>
      </w:pPr>
      <w:r w:rsidRPr="002C5876">
        <w:rPr>
          <w:rFonts w:ascii="TimesNewRoman" w:hAnsi="TimesNewRoman" w:cs="TimesNewRoman"/>
          <w:szCs w:val="24"/>
        </w:rPr>
        <w:t>La température des lignes de prélèvement dans les gaz d’échappement dilués doit être supérieure de plus de 3 °C au point de rosée maximal des gaz d’échappement dilués, mais inférieure à 121 °C.</w:t>
      </w:r>
    </w:p>
    <w:p w:rsidR="00E24DB7" w:rsidRPr="002C5876" w:rsidRDefault="00E24DB7" w:rsidP="00E24DB7">
      <w:pPr>
        <w:pStyle w:val="SingleTxtG"/>
        <w:keepNext/>
        <w:ind w:left="2268" w:hanging="1134"/>
        <w:jc w:val="left"/>
        <w:rPr>
          <w:rFonts w:ascii="TimesNewRoman" w:hAnsi="TimesNewRoman" w:cs="TimesNewRoman"/>
          <w:szCs w:val="24"/>
        </w:rPr>
      </w:pPr>
      <w:r w:rsidRPr="002C5876">
        <w:rPr>
          <w:rFonts w:ascii="TimesNewRoman" w:hAnsi="TimesNewRoman" w:cs="TimesNewRoman"/>
          <w:szCs w:val="24"/>
        </w:rPr>
        <w:t>7.4.1.2</w:t>
      </w:r>
      <w:r w:rsidRPr="002C5876">
        <w:rPr>
          <w:rFonts w:ascii="TimesNewRoman" w:hAnsi="TimesNewRoman" w:cs="TimesNewRoman"/>
          <w:szCs w:val="24"/>
        </w:rPr>
        <w:tab/>
        <w:t>Cartouches</w:t>
      </w:r>
    </w:p>
    <w:p w:rsidR="00E24DB7" w:rsidRPr="002C5876" w:rsidRDefault="00E24DB7" w:rsidP="00E24DB7">
      <w:pPr>
        <w:spacing w:after="120"/>
        <w:ind w:left="2268" w:right="1134"/>
        <w:jc w:val="both"/>
        <w:rPr>
          <w:rFonts w:ascii="TimesNewRoman" w:hAnsi="TimesNewRoman" w:cs="TimesNewRoman"/>
          <w:szCs w:val="24"/>
        </w:rPr>
      </w:pPr>
      <w:r w:rsidRPr="002C5876">
        <w:rPr>
          <w:rFonts w:ascii="TimesNewRoman" w:hAnsi="TimesNewRoman" w:cs="TimesNewRoman"/>
          <w:szCs w:val="24"/>
        </w:rPr>
        <w:t xml:space="preserve">Les cartouches imprégnées de DNPH doivent être scellées et réfrigérées à une température inférieure à 4 °C depuis leur réception en provenance du fabricant jusqu’au moment où elles sont prêtes à l’emploi. </w:t>
      </w:r>
    </w:p>
    <w:p w:rsidR="00E24DB7" w:rsidRPr="002C5876" w:rsidRDefault="00E24DB7" w:rsidP="00E24DB7">
      <w:pPr>
        <w:pStyle w:val="SingleTxtG"/>
        <w:keepNext/>
        <w:ind w:left="2268" w:hanging="1134"/>
        <w:jc w:val="left"/>
        <w:rPr>
          <w:rFonts w:ascii="TimesNewRoman" w:hAnsi="TimesNewRoman" w:cs="TimesNewRoman"/>
          <w:szCs w:val="24"/>
        </w:rPr>
      </w:pPr>
      <w:r w:rsidRPr="002C5876">
        <w:rPr>
          <w:rFonts w:ascii="TimesNewRoman" w:hAnsi="TimesNewRoman" w:cs="TimesNewRoman"/>
          <w:szCs w:val="24"/>
        </w:rPr>
        <w:t>7.4.1.2.1</w:t>
      </w:r>
      <w:r w:rsidRPr="002C5876">
        <w:rPr>
          <w:rFonts w:ascii="TimesNewRoman" w:hAnsi="TimesNewRoman" w:cs="TimesNewRoman"/>
          <w:szCs w:val="24"/>
        </w:rPr>
        <w:tab/>
        <w:t>Capacité du système</w:t>
      </w:r>
    </w:p>
    <w:p w:rsidR="00E24DB7" w:rsidRPr="002C5876" w:rsidRDefault="00E24DB7" w:rsidP="00E24DB7">
      <w:pPr>
        <w:pStyle w:val="SingleTxtG"/>
        <w:ind w:left="2268"/>
        <w:rPr>
          <w:rFonts w:ascii="TimesNewRoman" w:hAnsi="TimesNewRoman" w:cs="TimesNewRoman"/>
          <w:szCs w:val="24"/>
        </w:rPr>
      </w:pPr>
      <w:r w:rsidRPr="002C5876">
        <w:rPr>
          <w:rFonts w:ascii="TimesNewRoman" w:hAnsi="TimesNewRoman" w:cs="TimesNewRoman"/>
          <w:szCs w:val="24"/>
        </w:rPr>
        <w:t>Le système de prélèvement du formaldéhyde et de l’acétaldéhyde doit avoir une capacité suffisante pour permettre la collecte d’échantillons d’une taille convenant pour l’analyse sans que cela ait un impact notable sur le volume des gaz d’échappement passant par le CVS.</w:t>
      </w:r>
    </w:p>
    <w:p w:rsidR="00E24DB7" w:rsidRPr="002C5876" w:rsidRDefault="00E24DB7" w:rsidP="00E24DB7">
      <w:pPr>
        <w:pStyle w:val="SingleTxtG"/>
        <w:keepNext/>
        <w:ind w:left="2268" w:hanging="1134"/>
        <w:jc w:val="left"/>
        <w:rPr>
          <w:rFonts w:ascii="TimesNewRoman" w:hAnsi="TimesNewRoman" w:cs="TimesNewRoman"/>
          <w:szCs w:val="24"/>
        </w:rPr>
      </w:pPr>
      <w:r w:rsidRPr="002C5876">
        <w:rPr>
          <w:rFonts w:ascii="TimesNewRoman" w:hAnsi="TimesNewRoman" w:cs="TimesNewRoman"/>
          <w:szCs w:val="24"/>
        </w:rPr>
        <w:t>7.4.1.2.2</w:t>
      </w:r>
      <w:r w:rsidRPr="002C5876">
        <w:rPr>
          <w:rFonts w:ascii="TimesNewRoman" w:hAnsi="TimesNewRoman" w:cs="TimesNewRoman"/>
          <w:szCs w:val="24"/>
        </w:rPr>
        <w:tab/>
        <w:t>Stockage des échantillons</w:t>
      </w:r>
    </w:p>
    <w:p w:rsidR="00E24DB7" w:rsidRPr="002C5876" w:rsidRDefault="00E24DB7" w:rsidP="00E24DB7">
      <w:pPr>
        <w:pStyle w:val="SingleTxtG"/>
        <w:ind w:left="2268"/>
        <w:rPr>
          <w:rFonts w:ascii="TimesNewRoman" w:hAnsi="TimesNewRoman" w:cs="TimesNewRoman"/>
          <w:szCs w:val="24"/>
        </w:rPr>
      </w:pPr>
      <w:r w:rsidRPr="002C5876">
        <w:rPr>
          <w:rFonts w:ascii="TimesNewRoman" w:hAnsi="TimesNewRoman" w:cs="TimesNewRoman"/>
          <w:szCs w:val="24"/>
        </w:rPr>
        <w:t xml:space="preserve">Les échantillons qui n’ont pas été analysés dans les 24 h suivant leur prélèvement doivent être réfrigérés à une température inférieure à 4 °C. Les échantillons réfrigérés ne doivent pas être analysés après plus de 30 jours de stockage. </w:t>
      </w:r>
    </w:p>
    <w:p w:rsidR="00E24DB7" w:rsidRPr="002C5876" w:rsidRDefault="00E24DB7" w:rsidP="00E24DB7">
      <w:pPr>
        <w:pStyle w:val="SingleTxtG"/>
        <w:keepNext/>
        <w:ind w:left="2268" w:hanging="1134"/>
        <w:jc w:val="left"/>
        <w:rPr>
          <w:rFonts w:ascii="TimesNewRoman" w:hAnsi="TimesNewRoman" w:cs="TimesNewRoman"/>
          <w:szCs w:val="24"/>
        </w:rPr>
      </w:pPr>
      <w:r w:rsidRPr="002C5876">
        <w:rPr>
          <w:rFonts w:ascii="TimesNewRoman" w:hAnsi="TimesNewRoman" w:cs="TimesNewRoman"/>
          <w:szCs w:val="24"/>
        </w:rPr>
        <w:t>7.4.1.2.3</w:t>
      </w:r>
      <w:r w:rsidRPr="002C5876">
        <w:rPr>
          <w:rFonts w:ascii="TimesNewRoman" w:hAnsi="TimesNewRoman" w:cs="TimesNewRoman"/>
          <w:szCs w:val="24"/>
        </w:rPr>
        <w:tab/>
        <w:t>Préparation des échantillons</w:t>
      </w:r>
    </w:p>
    <w:p w:rsidR="00E24DB7" w:rsidRPr="002C5876" w:rsidRDefault="00E24DB7" w:rsidP="00E24DB7">
      <w:pPr>
        <w:pStyle w:val="SingleTxtG"/>
        <w:ind w:left="2268"/>
        <w:rPr>
          <w:rFonts w:ascii="TimesNewRoman" w:hAnsi="TimesNewRoman" w:cs="TimesNewRoman"/>
          <w:szCs w:val="24"/>
        </w:rPr>
      </w:pPr>
      <w:r w:rsidRPr="002C5876">
        <w:rPr>
          <w:rFonts w:ascii="TimesNewRoman" w:hAnsi="TimesNewRoman" w:cs="TimesNewRoman"/>
          <w:szCs w:val="24"/>
        </w:rPr>
        <w:t>Pour l’élution des cartouches, il faut enlever leurs bouchons, faire l’extraction avec l’acétonitrile et placer l’extrait dans des bouteilles de stockage en verre. La solution doit être transférée depuis chaque cartouche vers des flacons en verre scellés avec de nouveaux bouchons à vis avec septum.</w:t>
      </w:r>
    </w:p>
    <w:p w:rsidR="00E24DB7" w:rsidRPr="002C5876" w:rsidRDefault="00E24DB7" w:rsidP="00E24DB7">
      <w:pPr>
        <w:pStyle w:val="SingleTxtG"/>
        <w:keepNext/>
        <w:ind w:left="2268" w:hanging="1134"/>
        <w:jc w:val="left"/>
        <w:rPr>
          <w:rFonts w:ascii="TimesNewRoman" w:hAnsi="TimesNewRoman" w:cs="TimesNewRoman"/>
          <w:szCs w:val="24"/>
        </w:rPr>
      </w:pPr>
      <w:r w:rsidRPr="002C5876">
        <w:rPr>
          <w:rFonts w:ascii="TimesNewRoman" w:hAnsi="TimesNewRoman" w:cs="TimesNewRoman"/>
          <w:szCs w:val="24"/>
        </w:rPr>
        <w:t>7.4.1.2.4</w:t>
      </w:r>
      <w:r w:rsidRPr="002C5876">
        <w:rPr>
          <w:rFonts w:ascii="TimesNewRoman" w:hAnsi="TimesNewRoman" w:cs="TimesNewRoman"/>
          <w:szCs w:val="24"/>
        </w:rPr>
        <w:tab/>
        <w:t xml:space="preserve">Les règles de bonne pratique technique doivent être appliquées pour éviter que le volume de claquage ne soit atteint. </w:t>
      </w:r>
    </w:p>
    <w:p w:rsidR="00E24DB7" w:rsidRPr="002C5876" w:rsidRDefault="00E24DB7" w:rsidP="00E24DB7">
      <w:pPr>
        <w:pStyle w:val="SingleTxtG"/>
        <w:keepNext/>
        <w:ind w:left="2268" w:hanging="1134"/>
        <w:jc w:val="left"/>
        <w:rPr>
          <w:rFonts w:ascii="TimesNewRoman" w:hAnsi="TimesNewRoman" w:cs="TimesNewRoman"/>
          <w:szCs w:val="24"/>
        </w:rPr>
      </w:pPr>
      <w:r w:rsidRPr="002C5876">
        <w:rPr>
          <w:rFonts w:ascii="TimesNewRoman" w:hAnsi="TimesNewRoman" w:cs="TimesNewRoman"/>
          <w:szCs w:val="24"/>
        </w:rPr>
        <w:t>7.4.1.3</w:t>
      </w:r>
      <w:r w:rsidRPr="002C5876">
        <w:rPr>
          <w:rFonts w:ascii="TimesNewRoman" w:hAnsi="TimesNewRoman" w:cs="TimesNewRoman"/>
          <w:szCs w:val="24"/>
        </w:rPr>
        <w:tab/>
        <w:t>Instruments</w:t>
      </w:r>
    </w:p>
    <w:p w:rsidR="00E24DB7" w:rsidRPr="002C5876" w:rsidRDefault="00E24DB7" w:rsidP="00E24DB7">
      <w:pPr>
        <w:pStyle w:val="SingleTxtG"/>
        <w:ind w:left="2268"/>
        <w:rPr>
          <w:rFonts w:ascii="TimesNewRoman" w:hAnsi="TimesNewRoman" w:cs="TimesNewRoman"/>
          <w:szCs w:val="24"/>
        </w:rPr>
      </w:pPr>
      <w:r w:rsidRPr="002C5876">
        <w:rPr>
          <w:rFonts w:ascii="TimesNewRoman" w:hAnsi="TimesNewRoman" w:cs="TimesNewRoman"/>
          <w:szCs w:val="24"/>
        </w:rPr>
        <w:t>Un échantillonneur automatique de liquides et soit un HPLC-UV soit un HPLC-DAD doivent être utilisés.</w:t>
      </w:r>
    </w:p>
    <w:p w:rsidR="00E24DB7" w:rsidRPr="002C5876" w:rsidRDefault="00E24DB7" w:rsidP="00E24DB7">
      <w:pPr>
        <w:pStyle w:val="SingleTxtG"/>
        <w:keepNext/>
        <w:ind w:left="2268" w:hanging="1134"/>
        <w:jc w:val="left"/>
        <w:rPr>
          <w:rFonts w:ascii="TimesNewRoman" w:hAnsi="TimesNewRoman" w:cs="TimesNewRoman"/>
          <w:szCs w:val="24"/>
        </w:rPr>
      </w:pPr>
      <w:r w:rsidRPr="002C5876">
        <w:rPr>
          <w:rFonts w:ascii="TimesNewRoman" w:hAnsi="TimesNewRoman" w:cs="TimesNewRoman"/>
          <w:szCs w:val="24"/>
        </w:rPr>
        <w:t>7.4.1.4</w:t>
      </w:r>
      <w:r w:rsidRPr="002C5876">
        <w:rPr>
          <w:rFonts w:ascii="TimesNewRoman" w:hAnsi="TimesNewRoman" w:cs="TimesNewRoman"/>
          <w:szCs w:val="24"/>
        </w:rPr>
        <w:tab/>
        <w:t>Réactifs</w:t>
      </w:r>
    </w:p>
    <w:p w:rsidR="00E24DB7" w:rsidRPr="002C5876" w:rsidRDefault="00E24DB7" w:rsidP="00E24DB7">
      <w:pPr>
        <w:pStyle w:val="SingleTxtG"/>
        <w:keepNext/>
        <w:ind w:left="2268"/>
        <w:rPr>
          <w:rFonts w:ascii="TimesNewRoman" w:hAnsi="TimesNewRoman" w:cs="TimesNewRoman"/>
          <w:szCs w:val="24"/>
        </w:rPr>
      </w:pPr>
      <w:r w:rsidRPr="002C5876">
        <w:rPr>
          <w:rFonts w:ascii="TimesNewRoman" w:hAnsi="TimesNewRoman" w:cs="TimesNewRoman"/>
          <w:szCs w:val="24"/>
        </w:rPr>
        <w:t>Les réactifs suivants doivent être utilisés :</w:t>
      </w:r>
    </w:p>
    <w:p w:rsidR="00E24DB7" w:rsidRPr="002C5876" w:rsidRDefault="00E24DB7" w:rsidP="00E24DB7">
      <w:pPr>
        <w:pStyle w:val="SingleTxtG"/>
        <w:ind w:left="2835" w:hanging="567"/>
      </w:pPr>
      <w:r w:rsidRPr="002C5876">
        <w:t>a)</w:t>
      </w:r>
      <w:r w:rsidRPr="002C5876">
        <w:tab/>
        <w:t>Acétonitrile, qualité HPLC ;</w:t>
      </w:r>
    </w:p>
    <w:p w:rsidR="00E24DB7" w:rsidRPr="002C5876" w:rsidRDefault="00E24DB7" w:rsidP="00E24DB7">
      <w:pPr>
        <w:pStyle w:val="SingleTxtG"/>
        <w:ind w:left="2835" w:hanging="567"/>
      </w:pPr>
      <w:r w:rsidRPr="002C5876">
        <w:t>b)</w:t>
      </w:r>
      <w:r w:rsidRPr="002C5876">
        <w:tab/>
        <w:t>Eau, qualité HPLC ;</w:t>
      </w:r>
    </w:p>
    <w:p w:rsidR="00E24DB7" w:rsidRPr="002C5876" w:rsidRDefault="00E24DB7" w:rsidP="00E24DB7">
      <w:pPr>
        <w:pStyle w:val="SingleTxtG"/>
        <w:ind w:left="2835" w:hanging="567"/>
      </w:pPr>
      <w:r w:rsidRPr="002C5876">
        <w:t>c)</w:t>
      </w:r>
      <w:r w:rsidRPr="002C5876">
        <w:tab/>
        <w:t xml:space="preserve">2,4 DNPH purifiée : la DNPH non purifiée doit être recristallisée deux fois à partir d’acétonitrile. Il faut vérifier s’il y a des contaminants dans la DNPH recristallisée en injectant dans la HPLC une solution diluée de DNPH dans de l’acétonitrile non contaminée ; </w:t>
      </w:r>
    </w:p>
    <w:p w:rsidR="00E24DB7" w:rsidRPr="002C5876" w:rsidRDefault="00E24DB7" w:rsidP="00E24DB7">
      <w:pPr>
        <w:pStyle w:val="SingleTxtG"/>
        <w:keepLines/>
        <w:ind w:left="2835" w:hanging="567"/>
      </w:pPr>
      <w:r w:rsidRPr="002C5876">
        <w:t>d)</w:t>
      </w:r>
      <w:r w:rsidRPr="002C5876">
        <w:tab/>
      </w:r>
      <w:r w:rsidRPr="002C5876">
        <w:rPr>
          <w:spacing w:val="-2"/>
        </w:rPr>
        <w:t>Des complexes carbonyle/2,4-dinitrophénylhydrazone peuvent provenir</w:t>
      </w:r>
      <w:r w:rsidRPr="002C5876">
        <w:t xml:space="preserve"> de sources extérieures ou être préparés dans le laboratoire. Les étalons utilisés doivent être recristallisés au moins trois fois à partir de l’éthanol à 95 % ;</w:t>
      </w:r>
    </w:p>
    <w:p w:rsidR="00E24DB7" w:rsidRPr="002C5876" w:rsidRDefault="00E24DB7" w:rsidP="00E24DB7">
      <w:pPr>
        <w:pStyle w:val="SingleTxtG"/>
        <w:ind w:left="2835" w:hanging="567"/>
      </w:pPr>
      <w:r w:rsidRPr="002C5876">
        <w:t>e)</w:t>
      </w:r>
      <w:r w:rsidRPr="002C5876">
        <w:tab/>
        <w:t>Acide sulfurique ou acide perchlorique, qualité de réactif d’analyse ;</w:t>
      </w:r>
    </w:p>
    <w:p w:rsidR="00E24DB7" w:rsidRPr="002C5876" w:rsidRDefault="00E24DB7" w:rsidP="00E24DB7">
      <w:pPr>
        <w:pStyle w:val="SingleTxtG"/>
        <w:ind w:left="2835" w:hanging="567"/>
      </w:pPr>
      <w:r w:rsidRPr="002C5876">
        <w:t>f)</w:t>
      </w:r>
      <w:r w:rsidRPr="002C5876">
        <w:tab/>
        <w:t>Cartouches imprégnées de DNPH.</w:t>
      </w:r>
    </w:p>
    <w:p w:rsidR="00E24DB7" w:rsidRPr="002C5876" w:rsidRDefault="00E24DB7" w:rsidP="00E24DB7">
      <w:pPr>
        <w:pStyle w:val="SingleTxtG"/>
        <w:ind w:left="2268" w:hanging="1134"/>
      </w:pPr>
      <w:r w:rsidRPr="002C5876">
        <w:t>7.4.1.4.1</w:t>
      </w:r>
      <w:r w:rsidRPr="002C5876">
        <w:tab/>
        <w:t>Solution mère et étalon</w:t>
      </w:r>
    </w:p>
    <w:p w:rsidR="00E24DB7" w:rsidRPr="002C5876" w:rsidRDefault="00E24DB7" w:rsidP="00E24DB7">
      <w:pPr>
        <w:pStyle w:val="SingleTxtG"/>
        <w:ind w:left="2268" w:hanging="1134"/>
      </w:pPr>
      <w:r w:rsidRPr="002C5876">
        <w:t>7.4.1.4.1.1</w:t>
      </w:r>
      <w:r w:rsidRPr="002C5876">
        <w:tab/>
        <w:t>On prépare une solution mère étalon en diluant avec de l’acétonitrile les complexes cibles carbonyle/2,4-DNPH. Une solution mère étalon contient généralement 3,0 µg/ml de chaque composé carbonylé.</w:t>
      </w:r>
    </w:p>
    <w:p w:rsidR="00E24DB7" w:rsidRPr="002C5876" w:rsidRDefault="00E24DB7" w:rsidP="00E24DB7">
      <w:pPr>
        <w:pStyle w:val="SingleTxtG"/>
        <w:ind w:left="2268" w:hanging="1134"/>
      </w:pPr>
      <w:r w:rsidRPr="002C5876">
        <w:lastRenderedPageBreak/>
        <w:t>7.4.1.4.1.2</w:t>
      </w:r>
      <w:r w:rsidRPr="002C5876">
        <w:tab/>
        <w:t>On peut aussi utiliser des solutions mères étalons à d’autres concentrations.</w:t>
      </w:r>
    </w:p>
    <w:p w:rsidR="00E24DB7" w:rsidRPr="002C5876" w:rsidRDefault="00E24DB7" w:rsidP="00E24DB7">
      <w:pPr>
        <w:pStyle w:val="SingleTxtG"/>
        <w:ind w:left="2268" w:hanging="1134"/>
      </w:pPr>
      <w:r w:rsidRPr="002C5876">
        <w:t>7.4.1.4.1.3</w:t>
      </w:r>
      <w:r w:rsidRPr="002C5876">
        <w:tab/>
        <w:t>On prépare un étalon, lorsque cela est nécessaire, en diluant la solution mère étalon tout en veillant à ce que la concentration la plus élevée de l’étalon soit supérieure au niveau d’essai attendu.</w:t>
      </w:r>
    </w:p>
    <w:p w:rsidR="00E24DB7" w:rsidRPr="002C5876" w:rsidRDefault="00E24DB7" w:rsidP="00E24DB7">
      <w:pPr>
        <w:pStyle w:val="SingleTxtG"/>
        <w:ind w:left="2268" w:hanging="1134"/>
      </w:pPr>
      <w:r w:rsidRPr="002C5876">
        <w:t>7.4.1.4.2</w:t>
      </w:r>
      <w:r w:rsidRPr="002C5876">
        <w:tab/>
        <w:t>Étalon de contrôle</w:t>
      </w:r>
    </w:p>
    <w:p w:rsidR="00E24DB7" w:rsidRPr="002C5876" w:rsidRDefault="00E24DB7" w:rsidP="00E24DB7">
      <w:pPr>
        <w:pStyle w:val="SingleTxtG"/>
        <w:ind w:left="2268"/>
        <w:rPr>
          <w:rFonts w:ascii="TimesNewRoman" w:hAnsi="TimesNewRoman" w:cs="TimesNewRoman"/>
          <w:szCs w:val="24"/>
        </w:rPr>
      </w:pPr>
      <w:r w:rsidRPr="002C5876">
        <w:rPr>
          <w:rFonts w:ascii="TimesNewRoman" w:hAnsi="TimesNewRoman" w:cs="TimesNewRoman"/>
          <w:szCs w:val="24"/>
        </w:rPr>
        <w:t xml:space="preserve">Un étalon de contrôle qualité, contenant tous les complexes cibles carbonyles/2,4 DNPH dans la fourchette typique de concentration des échantillons réels, doit être analysé pour contrôler la </w:t>
      </w:r>
      <w:r w:rsidRPr="002C5876">
        <w:t xml:space="preserve">précision </w:t>
      </w:r>
      <w:r w:rsidRPr="002C5876">
        <w:rPr>
          <w:rFonts w:ascii="TimesNewRoman" w:hAnsi="TimesNewRoman" w:cs="TimesNewRoman"/>
          <w:szCs w:val="24"/>
        </w:rPr>
        <w:t>de l’analyse de chaque carbonyle cible.</w:t>
      </w:r>
    </w:p>
    <w:p w:rsidR="00E24DB7" w:rsidRPr="002C5876" w:rsidRDefault="00E24DB7" w:rsidP="00E24DB7">
      <w:pPr>
        <w:pStyle w:val="SingleTxtG"/>
        <w:ind w:left="2268"/>
        <w:rPr>
          <w:rFonts w:ascii="TimesNewRoman" w:hAnsi="TimesNewRoman" w:cs="TimesNewRoman"/>
          <w:szCs w:val="24"/>
        </w:rPr>
      </w:pPr>
      <w:r w:rsidRPr="002C5876">
        <w:rPr>
          <w:rFonts w:ascii="TimesNewRoman" w:hAnsi="TimesNewRoman" w:cs="TimesNewRoman"/>
          <w:szCs w:val="24"/>
        </w:rPr>
        <w:tab/>
        <w:t>L’étalon de contrôle qualité peut provenir de sources extérieures, être préparé en laboratoire à partir d’une solution mère différente de l’étalon ou être préparé par mélange de lots de vieux échantillons. L’étalon de contrôle doit être additionné d’une solution mère de composés cibles et remué pendant au moins 2 h. Si besoin est, la solution doit être filtrée au moyen d’un papier filtre pour éliminer les précipités.</w:t>
      </w:r>
    </w:p>
    <w:p w:rsidR="00E24DB7" w:rsidRPr="002C5876" w:rsidRDefault="00E24DB7" w:rsidP="00E24DB7">
      <w:pPr>
        <w:pStyle w:val="SingleTxtG"/>
        <w:keepNext/>
        <w:ind w:left="2268" w:hanging="1134"/>
      </w:pPr>
      <w:r w:rsidRPr="002C5876">
        <w:t>7.4.1.5</w:t>
      </w:r>
      <w:r w:rsidRPr="002C5876">
        <w:tab/>
        <w:t>Procédure</w:t>
      </w:r>
    </w:p>
    <w:p w:rsidR="00E24DB7" w:rsidRPr="002C5876" w:rsidRDefault="00E24DB7" w:rsidP="00E24DB7">
      <w:pPr>
        <w:pStyle w:val="SingleTxtG"/>
        <w:ind w:left="2268" w:hanging="1134"/>
      </w:pPr>
      <w:r w:rsidRPr="002C5876">
        <w:t>7.4.1.5.1</w:t>
      </w:r>
      <w:r w:rsidRPr="002C5876">
        <w:tab/>
        <w:t xml:space="preserve">Les flacons contenant l’échantillon zéro, l’étalon, l’étalon de contrôle, et les échantillons en vue de l’injection ultérieure dans la HPLC doivent être préparés. </w:t>
      </w:r>
    </w:p>
    <w:p w:rsidR="00E24DB7" w:rsidRPr="002C5876" w:rsidRDefault="00E24DB7" w:rsidP="00E24DB7">
      <w:pPr>
        <w:pStyle w:val="SingleTxtG"/>
        <w:ind w:left="2268" w:hanging="1134"/>
      </w:pPr>
      <w:r w:rsidRPr="002C5876">
        <w:t>7.4.1.5.2</w:t>
      </w:r>
      <w:r w:rsidRPr="002C5876">
        <w:tab/>
        <w:t xml:space="preserve">Les colonnes, les températures et les solvants/éluants doivent être choisis de manière à obtenir une résolution adéquate des pics. Des colonnes de polarité et longueur adéquates doivent être utilisées. La méthode doit spécifier la colonne, la température, le détecteur, le volume de l’échantillon, les solvants et le débit. </w:t>
      </w:r>
    </w:p>
    <w:p w:rsidR="00E24DB7" w:rsidRPr="002C5876" w:rsidRDefault="00E24DB7" w:rsidP="00E24DB7">
      <w:pPr>
        <w:pStyle w:val="SingleTxtG"/>
        <w:ind w:left="2268" w:hanging="1134"/>
      </w:pPr>
      <w:r w:rsidRPr="002C5876">
        <w:t>7.4.1.5.3</w:t>
      </w:r>
      <w:r w:rsidRPr="002C5876">
        <w:tab/>
        <w:t xml:space="preserve">Il faut faire preuve de bonnes capacités d’analyse pour évaluer la qualité du fonctionnement de l’instrument et de tous les éléments du protocole. </w:t>
      </w:r>
    </w:p>
    <w:p w:rsidR="00E24DB7" w:rsidRPr="002C5876" w:rsidRDefault="00E24DB7" w:rsidP="00E24DB7">
      <w:pPr>
        <w:pStyle w:val="SingleTxtG"/>
        <w:keepNext/>
        <w:ind w:left="2268" w:hanging="1134"/>
      </w:pPr>
      <w:r w:rsidRPr="002C5876">
        <w:t>7.4.1.6</w:t>
      </w:r>
      <w:r w:rsidRPr="002C5876">
        <w:tab/>
        <w:t>Linéarité</w:t>
      </w:r>
    </w:p>
    <w:p w:rsidR="00E24DB7" w:rsidRPr="002C5876" w:rsidRDefault="00E24DB7" w:rsidP="00E24DB7">
      <w:pPr>
        <w:pStyle w:val="SingleTxtG"/>
        <w:ind w:left="2268"/>
        <w:rPr>
          <w:rFonts w:ascii="TimesNewRoman" w:hAnsi="TimesNewRoman" w:cs="TimesNewRoman"/>
          <w:szCs w:val="24"/>
        </w:rPr>
      </w:pPr>
      <w:r w:rsidRPr="002C5876">
        <w:rPr>
          <w:rFonts w:ascii="TimesNewRoman" w:hAnsi="TimesNewRoman" w:cs="TimesNewRoman"/>
          <w:szCs w:val="24"/>
        </w:rPr>
        <w:t>Un étalonnage multipoint, destiné à confirmer la linéarité de l’instrument, doit être effectué conformément au paragraphe 7.2.1.6.</w:t>
      </w:r>
    </w:p>
    <w:p w:rsidR="00E24DB7" w:rsidRPr="002C5876" w:rsidRDefault="00E24DB7" w:rsidP="00E24DB7">
      <w:pPr>
        <w:pStyle w:val="SingleTxtG"/>
        <w:keepNext/>
        <w:ind w:left="2268" w:hanging="1134"/>
      </w:pPr>
      <w:r w:rsidRPr="002C5876">
        <w:t>7.4.1.7</w:t>
      </w:r>
      <w:r w:rsidRPr="002C5876">
        <w:tab/>
        <w:t>Contrôle de la qualité</w:t>
      </w:r>
    </w:p>
    <w:p w:rsidR="00E24DB7" w:rsidRPr="002C5876" w:rsidRDefault="00E24DB7" w:rsidP="00E24DB7">
      <w:pPr>
        <w:pStyle w:val="SingleTxtG"/>
        <w:keepNext/>
        <w:ind w:left="2268" w:hanging="1134"/>
      </w:pPr>
      <w:r w:rsidRPr="002C5876">
        <w:t>7.4.1.7.1</w:t>
      </w:r>
      <w:r w:rsidRPr="002C5876">
        <w:tab/>
        <w:t>Échantillon zéro</w:t>
      </w:r>
    </w:p>
    <w:p w:rsidR="00E24DB7" w:rsidRPr="002C5876" w:rsidRDefault="00E24DB7" w:rsidP="00E24DB7">
      <w:pPr>
        <w:pStyle w:val="SingleTxtG"/>
        <w:ind w:left="2268"/>
        <w:rPr>
          <w:rFonts w:ascii="TimesNewRoman" w:hAnsi="TimesNewRoman" w:cs="TimesNewRoman"/>
          <w:szCs w:val="24"/>
        </w:rPr>
      </w:pPr>
      <w:r w:rsidRPr="002C5876">
        <w:rPr>
          <w:rFonts w:ascii="TimesNewRoman" w:hAnsi="TimesNewRoman" w:cs="TimesNewRoman"/>
          <w:szCs w:val="24"/>
        </w:rPr>
        <w:t>Une cartouche doit être analysée comme échantillon zéro pour chaque essai d’émission. Si l’échantillon zéro présente un pic plus grand que la limite de détection (LOD) dans la région concernée, il faut enquêter sur la source de la contamination et y remédier.</w:t>
      </w:r>
    </w:p>
    <w:p w:rsidR="00E24DB7" w:rsidRPr="002C5876" w:rsidRDefault="00E24DB7" w:rsidP="00E24DB7">
      <w:pPr>
        <w:pStyle w:val="SingleTxtG"/>
        <w:keepNext/>
        <w:ind w:left="2268" w:hanging="1134"/>
      </w:pPr>
      <w:r w:rsidRPr="002C5876">
        <w:t>7.4.1.7.2</w:t>
      </w:r>
      <w:r w:rsidRPr="002C5876">
        <w:tab/>
        <w:t>Exercice d’étalonnage</w:t>
      </w:r>
    </w:p>
    <w:p w:rsidR="00E24DB7" w:rsidRPr="002C5876" w:rsidRDefault="00E24DB7" w:rsidP="00E24DB7">
      <w:pPr>
        <w:pStyle w:val="SingleTxtG"/>
        <w:ind w:left="2268"/>
        <w:rPr>
          <w:rFonts w:ascii="TimesNewRoman" w:hAnsi="TimesNewRoman" w:cs="TimesNewRoman"/>
          <w:szCs w:val="24"/>
        </w:rPr>
      </w:pPr>
      <w:r w:rsidRPr="002C5876">
        <w:t>L’étalon doit être analysé chaque jour où des analyses sont effectuées afin de calculer les facteurs de réponse à employer pour quantifier les concentrations des échantillons.</w:t>
      </w:r>
    </w:p>
    <w:p w:rsidR="00E24DB7" w:rsidRPr="002C5876" w:rsidRDefault="00E24DB7" w:rsidP="00E24DB7">
      <w:pPr>
        <w:pStyle w:val="SingleTxtG"/>
        <w:keepNext/>
        <w:ind w:left="2268" w:hanging="1134"/>
      </w:pPr>
      <w:r w:rsidRPr="002C5876">
        <w:t>7.4.1.7.3</w:t>
      </w:r>
      <w:r w:rsidRPr="002C5876">
        <w:tab/>
        <w:t>Étalon de contrôle</w:t>
      </w:r>
    </w:p>
    <w:p w:rsidR="00E24DB7" w:rsidRPr="002C5876" w:rsidRDefault="00E24DB7" w:rsidP="00E24DB7">
      <w:pPr>
        <w:pStyle w:val="SingleTxtG"/>
        <w:ind w:left="2268"/>
        <w:rPr>
          <w:rFonts w:ascii="TimesNewRoman" w:hAnsi="TimesNewRoman" w:cs="TimesNewRoman"/>
          <w:szCs w:val="24"/>
        </w:rPr>
      </w:pPr>
      <w:r w:rsidRPr="002C5876">
        <w:rPr>
          <w:rFonts w:ascii="TimesNewRoman" w:hAnsi="TimesNewRoman" w:cs="TimesNewRoman"/>
          <w:szCs w:val="24"/>
        </w:rPr>
        <w:t>Un étalon de contrôle de la qualité doit être analysé au moins une fois tous les 7 jours.</w:t>
      </w:r>
    </w:p>
    <w:p w:rsidR="00E24DB7" w:rsidRPr="002C5876" w:rsidRDefault="00E24DB7" w:rsidP="00E24DB7">
      <w:pPr>
        <w:pStyle w:val="SingleTxtG"/>
        <w:keepNext/>
        <w:ind w:left="2268" w:hanging="1134"/>
      </w:pPr>
      <w:r w:rsidRPr="002C5876">
        <w:t>7.4.1.8</w:t>
      </w:r>
      <w:r w:rsidRPr="002C5876">
        <w:tab/>
        <w:t>Limite de détection et limite de quantification</w:t>
      </w:r>
    </w:p>
    <w:p w:rsidR="00E24DB7" w:rsidRPr="002C5876" w:rsidRDefault="00E24DB7" w:rsidP="00E24DB7">
      <w:pPr>
        <w:pStyle w:val="SingleTxtG"/>
        <w:ind w:left="2268"/>
        <w:rPr>
          <w:rFonts w:ascii="TimesNewRoman" w:hAnsi="TimesNewRoman" w:cs="TimesNewRoman"/>
          <w:szCs w:val="24"/>
        </w:rPr>
      </w:pPr>
      <w:r w:rsidRPr="002C5876">
        <w:rPr>
          <w:rFonts w:ascii="TimesNewRoman" w:hAnsi="TimesNewRoman" w:cs="TimesNewRoman"/>
          <w:szCs w:val="24"/>
        </w:rPr>
        <w:t>La LoD pour les analytes cibles doit être déterminée :</w:t>
      </w:r>
    </w:p>
    <w:p w:rsidR="00E24DB7" w:rsidRPr="002C5876" w:rsidRDefault="00E24DB7" w:rsidP="00E24DB7">
      <w:pPr>
        <w:pStyle w:val="SingleTxtG"/>
        <w:ind w:left="2835" w:hanging="567"/>
      </w:pPr>
      <w:r w:rsidRPr="002C5876">
        <w:t>a)</w:t>
      </w:r>
      <w:r w:rsidRPr="002C5876">
        <w:tab/>
        <w:t xml:space="preserve">Pour les nouveaux instruments ; </w:t>
      </w:r>
    </w:p>
    <w:p w:rsidR="00E24DB7" w:rsidRPr="002C5876" w:rsidRDefault="00E24DB7" w:rsidP="00E24DB7">
      <w:pPr>
        <w:pStyle w:val="SingleTxtG"/>
        <w:ind w:left="2835" w:hanging="567"/>
      </w:pPr>
      <w:r w:rsidRPr="002C5876">
        <w:t>b)</w:t>
      </w:r>
      <w:r w:rsidRPr="002C5876">
        <w:tab/>
        <w:t>Après avoir apporté aux instruments des modifications susceptibles d’affecter la LoD ; et</w:t>
      </w:r>
    </w:p>
    <w:p w:rsidR="00E24DB7" w:rsidRPr="002C5876" w:rsidRDefault="00E24DB7" w:rsidP="00E24DB7">
      <w:pPr>
        <w:pStyle w:val="SingleTxtG"/>
        <w:ind w:left="2835" w:hanging="567"/>
      </w:pPr>
      <w:r w:rsidRPr="002C5876">
        <w:t>c)</w:t>
      </w:r>
      <w:r w:rsidRPr="002C5876">
        <w:tab/>
        <w:t>Au moins une fois par an.</w:t>
      </w:r>
    </w:p>
    <w:p w:rsidR="00E24DB7" w:rsidRPr="002C5876" w:rsidRDefault="00E24DB7" w:rsidP="00E24DB7">
      <w:pPr>
        <w:pStyle w:val="SingleTxtG"/>
        <w:ind w:left="2268" w:hanging="1134"/>
        <w:rPr>
          <w:rFonts w:ascii="TimesNewRoman" w:hAnsi="TimesNewRoman" w:cs="TimesNewRoman"/>
          <w:szCs w:val="24"/>
        </w:rPr>
      </w:pPr>
      <w:r w:rsidRPr="002C5876">
        <w:rPr>
          <w:rFonts w:ascii="TimesNewRoman" w:hAnsi="TimesNewRoman" w:cs="TimesNewRoman"/>
          <w:szCs w:val="24"/>
        </w:rPr>
        <w:lastRenderedPageBreak/>
        <w:t>7.4.1.8.1</w:t>
      </w:r>
      <w:r w:rsidRPr="002C5876">
        <w:rPr>
          <w:rFonts w:ascii="TimesNewRoman" w:hAnsi="TimesNewRoman" w:cs="TimesNewRoman"/>
          <w:szCs w:val="24"/>
        </w:rPr>
        <w:tab/>
        <w:t xml:space="preserve">Un étalonnage multipoint comprenant au moins quatre niveaux de concentration </w:t>
      </w:r>
      <w:r w:rsidRPr="002C5876">
        <w:rPr>
          <w:szCs w:val="24"/>
        </w:rPr>
        <w:t>« </w:t>
      </w:r>
      <w:r w:rsidRPr="002C5876">
        <w:rPr>
          <w:rFonts w:ascii="TimesNewRoman" w:hAnsi="TimesNewRoman" w:cs="TimesNewRoman"/>
          <w:szCs w:val="24"/>
        </w:rPr>
        <w:t>faibles </w:t>
      </w:r>
      <w:r w:rsidRPr="002C5876">
        <w:rPr>
          <w:szCs w:val="24"/>
        </w:rPr>
        <w:t>»</w:t>
      </w:r>
      <w:r w:rsidRPr="002C5876">
        <w:rPr>
          <w:rFonts w:ascii="TimesNewRoman" w:hAnsi="TimesNewRoman" w:cs="TimesNewRoman"/>
          <w:szCs w:val="24"/>
        </w:rPr>
        <w:t xml:space="preserve">, chacun au-dessus de la LoD, avec au moins cinq déterminations successives du plus petit étalon standard de concentration, doit être effectué. </w:t>
      </w:r>
    </w:p>
    <w:p w:rsidR="00E24DB7" w:rsidRPr="002C5876" w:rsidRDefault="00E24DB7" w:rsidP="00E24DB7">
      <w:pPr>
        <w:pStyle w:val="SingleTxtG"/>
        <w:ind w:left="2268" w:hanging="1134"/>
      </w:pPr>
      <w:r w:rsidRPr="002C5876">
        <w:t>7.4.1.8.2</w:t>
      </w:r>
      <w:r w:rsidRPr="002C5876">
        <w:tab/>
        <w:t>La LoD maximale admissible des dérivés de l’hydrazine est 0,0075</w:t>
      </w:r>
      <w:r w:rsidR="006A13AF">
        <w:t> </w:t>
      </w:r>
      <w:r w:rsidRPr="002C5876">
        <w:t xml:space="preserve">µg/ml. </w:t>
      </w:r>
    </w:p>
    <w:p w:rsidR="00E24DB7" w:rsidRPr="002C5876" w:rsidRDefault="00E24DB7" w:rsidP="00E24DB7">
      <w:pPr>
        <w:pStyle w:val="SingleTxtG"/>
        <w:ind w:left="2268" w:hanging="1134"/>
      </w:pPr>
      <w:r w:rsidRPr="002C5876">
        <w:t>7.4.1.8.3</w:t>
      </w:r>
      <w:r w:rsidRPr="002C5876">
        <w:tab/>
        <w:t xml:space="preserve">La LoD calculée en laboratoire doit être inférieure ou égale à la LoD maximale admissible. </w:t>
      </w:r>
    </w:p>
    <w:p w:rsidR="00E24DB7" w:rsidRPr="002C5876" w:rsidRDefault="00E24DB7" w:rsidP="00E24DB7">
      <w:pPr>
        <w:pStyle w:val="SingleTxtG"/>
        <w:ind w:left="2268" w:hanging="1134"/>
      </w:pPr>
      <w:r w:rsidRPr="002C5876">
        <w:t>7.4.1.8.4</w:t>
      </w:r>
      <w:r w:rsidRPr="002C5876">
        <w:tab/>
        <w:t>Tous les pics identifiés comme correspondant à des composés cibles qui sont supérieurs ou égaux à la LoD maximale admissible doivent être enregistrés.</w:t>
      </w:r>
    </w:p>
    <w:p w:rsidR="00E24DB7" w:rsidRPr="002C5876" w:rsidRDefault="00E24DB7" w:rsidP="00E24DB7">
      <w:pPr>
        <w:pStyle w:val="SingleTxtG"/>
        <w:ind w:left="2268" w:hanging="1134"/>
      </w:pPr>
      <w:r w:rsidRPr="002C5876">
        <w:t>7.4.1.8.5</w:t>
      </w:r>
      <w:r w:rsidRPr="002C5876">
        <w:tab/>
        <w:t>Aux fins du calcul de la masse totale de toutes les espèces, les concentrations des composés inférieures à la LoD sont considérées comme égales à zéro.</w:t>
      </w:r>
    </w:p>
    <w:p w:rsidR="00E24DB7" w:rsidRPr="002C5876" w:rsidRDefault="00E24DB7" w:rsidP="00E24DB7">
      <w:pPr>
        <w:pStyle w:val="SingleTxtG"/>
        <w:ind w:left="2268"/>
      </w:pPr>
      <w:r w:rsidRPr="002C5876">
        <w:t>Le calcul final de la masse est effectué selon l’équation du paragraphe 3.2.1.7 de l’annexe 7.</w:t>
      </w:r>
    </w:p>
    <w:p w:rsidR="00E24DB7" w:rsidRPr="002C5876" w:rsidRDefault="00E24DB7" w:rsidP="00E24DB7">
      <w:pPr>
        <w:pStyle w:val="SingleTxtG"/>
        <w:keepNext/>
        <w:ind w:left="2268" w:hanging="1134"/>
        <w:jc w:val="left"/>
        <w:rPr>
          <w:rFonts w:ascii="TimesNewRoman" w:hAnsi="TimesNewRoman" w:cs="TimesNewRoman"/>
          <w:szCs w:val="24"/>
        </w:rPr>
      </w:pPr>
      <w:r w:rsidRPr="002C5876">
        <w:rPr>
          <w:rFonts w:ascii="TimesNewRoman" w:hAnsi="TimesNewRoman" w:cs="TimesNewRoman"/>
          <w:szCs w:val="24"/>
        </w:rPr>
        <w:t>7.4.1.9</w:t>
      </w:r>
      <w:r w:rsidRPr="002C5876">
        <w:rPr>
          <w:rFonts w:ascii="TimesNewRoman" w:hAnsi="TimesNewRoman" w:cs="TimesNewRoman"/>
          <w:szCs w:val="24"/>
        </w:rPr>
        <w:tab/>
        <w:t>Vérification des interférences</w:t>
      </w:r>
    </w:p>
    <w:p w:rsidR="00E24DB7" w:rsidRPr="002C5876" w:rsidRDefault="00E24DB7" w:rsidP="00E24DB7">
      <w:pPr>
        <w:pStyle w:val="SingleTxtG"/>
        <w:ind w:left="2268"/>
        <w:rPr>
          <w:rFonts w:ascii="TimesNewRoman" w:hAnsi="TimesNewRoman" w:cs="TimesNewRoman"/>
          <w:szCs w:val="24"/>
        </w:rPr>
      </w:pPr>
      <w:r w:rsidRPr="002C5876">
        <w:rPr>
          <w:rFonts w:ascii="TimesNewRoman" w:hAnsi="TimesNewRoman" w:cs="TimesNewRoman"/>
          <w:szCs w:val="24"/>
        </w:rPr>
        <w:t>Pour réduire les erreurs dues aux interférences, une preuve de l’identité chimique peut nécessiter des confirmations périodiques au moyen d’une méthode ou d’instruments de substitution, comme par exemple d’autres colonnes HPLC ou des compositions de phase mobiles.</w:t>
      </w:r>
    </w:p>
    <w:p w:rsidR="00E24DB7" w:rsidRPr="002C5876" w:rsidRDefault="00E24DB7" w:rsidP="00E24DB7">
      <w:pPr>
        <w:pStyle w:val="SingleTxtG"/>
        <w:keepNext/>
        <w:ind w:left="2268" w:hanging="1134"/>
        <w:jc w:val="left"/>
        <w:rPr>
          <w:rFonts w:ascii="TimesNewRoman" w:hAnsi="TimesNewRoman" w:cs="TimesNewRoman"/>
          <w:szCs w:val="24"/>
        </w:rPr>
      </w:pPr>
      <w:r w:rsidRPr="002C5876">
        <w:rPr>
          <w:rFonts w:ascii="TimesNewRoman" w:hAnsi="TimesNewRoman" w:cs="TimesNewRoman"/>
          <w:szCs w:val="24"/>
        </w:rPr>
        <w:t>7.4.2</w:t>
      </w:r>
      <w:r w:rsidRPr="002C5876">
        <w:rPr>
          <w:rFonts w:ascii="TimesNewRoman" w:hAnsi="TimesNewRoman" w:cs="TimesNewRoman"/>
          <w:szCs w:val="24"/>
        </w:rPr>
        <w:tab/>
        <w:t xml:space="preserve">Autres méthodes de prélèvement et d’analyse du formaldéhyde </w:t>
      </w:r>
      <w:r w:rsidRPr="002C5876">
        <w:rPr>
          <w:rFonts w:ascii="TimesNewRoman" w:hAnsi="TimesNewRoman" w:cs="TimesNewRoman"/>
          <w:szCs w:val="24"/>
        </w:rPr>
        <w:br/>
        <w:t>et de l’acétaldéhyde</w:t>
      </w:r>
    </w:p>
    <w:p w:rsidR="00E24DB7" w:rsidRPr="002C5876" w:rsidRDefault="00E24DB7" w:rsidP="00E24DB7">
      <w:pPr>
        <w:pStyle w:val="SingleTxtG"/>
        <w:keepNext/>
        <w:ind w:left="2268" w:hanging="1134"/>
        <w:jc w:val="left"/>
        <w:rPr>
          <w:rFonts w:ascii="TimesNewRoman" w:hAnsi="TimesNewRoman" w:cs="TimesNewRoman"/>
          <w:szCs w:val="24"/>
        </w:rPr>
      </w:pPr>
      <w:r w:rsidRPr="002C5876">
        <w:rPr>
          <w:rFonts w:ascii="TimesNewRoman" w:hAnsi="TimesNewRoman" w:cs="TimesNewRoman"/>
          <w:szCs w:val="24"/>
        </w:rPr>
        <w:t>7.4.2.1</w:t>
      </w:r>
      <w:r w:rsidRPr="002C5876">
        <w:rPr>
          <w:rFonts w:ascii="TimesNewRoman" w:hAnsi="TimesNewRoman" w:cs="TimesNewRoman"/>
          <w:szCs w:val="24"/>
        </w:rPr>
        <w:tab/>
        <w:t>Prélèvements</w:t>
      </w:r>
    </w:p>
    <w:p w:rsidR="00E24DB7" w:rsidRPr="002C5876" w:rsidRDefault="00E24DB7" w:rsidP="00E24DB7">
      <w:pPr>
        <w:pStyle w:val="SingleTxtG"/>
        <w:ind w:left="2268"/>
        <w:rPr>
          <w:rFonts w:ascii="TimesNewRoman" w:hAnsi="TimesNewRoman" w:cs="TimesNewRoman"/>
          <w:szCs w:val="24"/>
        </w:rPr>
      </w:pPr>
      <w:r w:rsidRPr="002C5876">
        <w:rPr>
          <w:rFonts w:ascii="TimesNewRoman" w:hAnsi="TimesNewRoman" w:cs="TimesNewRoman"/>
          <w:szCs w:val="24"/>
        </w:rPr>
        <w:t xml:space="preserve">En fonction de la méthode d’analyse utilisée, les prélèvements peuvent être effectués à partir des gaz d’échappement provenant du CVS. </w:t>
      </w:r>
    </w:p>
    <w:p w:rsidR="00E24DB7" w:rsidRPr="002C5876" w:rsidRDefault="00E24DB7" w:rsidP="00E24DB7">
      <w:pPr>
        <w:pStyle w:val="SingleTxtG"/>
        <w:ind w:left="2268"/>
        <w:rPr>
          <w:rFonts w:ascii="TimesNewRoman" w:hAnsi="TimesNewRoman" w:cs="TimesNewRoman"/>
          <w:szCs w:val="24"/>
        </w:rPr>
      </w:pPr>
      <w:r w:rsidRPr="002C5876">
        <w:rPr>
          <w:rFonts w:ascii="TimesNewRoman" w:hAnsi="TimesNewRoman" w:cs="TimesNewRoman"/>
          <w:szCs w:val="24"/>
        </w:rPr>
        <w:t>À chaque phase de l’essai, un échantillon de gaz doit être prélevé pour analyse dans le sac de gaz d’échappement dilués et d’air de dilution. L’autre solution consiste à analyser un seul échantillon composite d’air de dilution ambiant.</w:t>
      </w:r>
    </w:p>
    <w:p w:rsidR="00E24DB7" w:rsidRPr="002C5876" w:rsidRDefault="00E24DB7" w:rsidP="00E24DB7">
      <w:pPr>
        <w:pStyle w:val="SingleTxtG"/>
        <w:ind w:left="2268"/>
        <w:rPr>
          <w:rFonts w:ascii="TimesNewRoman" w:hAnsi="TimesNewRoman" w:cs="TimesNewRoman"/>
          <w:szCs w:val="24"/>
        </w:rPr>
      </w:pPr>
      <w:r w:rsidRPr="002C5876">
        <w:rPr>
          <w:rFonts w:ascii="TimesNewRoman" w:hAnsi="TimesNewRoman" w:cs="TimesNewRoman"/>
          <w:szCs w:val="24"/>
        </w:rPr>
        <w:t>La température des lignes de prélèvement dans les gaz d’échappement dilués doit être supérieure de plus de 3 °C au point de rosée maximal des gaz d’échappement dilués, mais inférieure à 121 °C.</w:t>
      </w:r>
    </w:p>
    <w:p w:rsidR="00E24DB7" w:rsidRPr="002C5876" w:rsidRDefault="00E24DB7" w:rsidP="00E24DB7">
      <w:pPr>
        <w:pStyle w:val="SingleTxtG"/>
        <w:ind w:left="2268"/>
        <w:rPr>
          <w:rFonts w:ascii="TimesNewRoman" w:hAnsi="TimesNewRoman" w:cs="TimesNewRoman"/>
          <w:szCs w:val="24"/>
        </w:rPr>
      </w:pPr>
      <w:r w:rsidRPr="002C5876">
        <w:rPr>
          <w:rFonts w:ascii="TimesNewRoman" w:hAnsi="TimesNewRoman" w:cs="TimesNewRoman"/>
          <w:szCs w:val="24"/>
        </w:rPr>
        <w:t>La fréquence d’étalonnage et les méthodes d’étalonnage doivent être adaptées à chaque instrument en application des meilleures pratiques et dans le respect des normes relatives au contrôle de qualité.</w:t>
      </w:r>
    </w:p>
    <w:p w:rsidR="00E24DB7" w:rsidRPr="002C5876" w:rsidRDefault="00E24DB7" w:rsidP="00E24DB7">
      <w:pPr>
        <w:pStyle w:val="SingleTxtG"/>
        <w:keepNext/>
        <w:ind w:left="2268" w:hanging="1134"/>
        <w:jc w:val="left"/>
        <w:rPr>
          <w:rFonts w:ascii="TimesNewRoman" w:hAnsi="TimesNewRoman" w:cs="TimesNewRoman"/>
          <w:szCs w:val="24"/>
        </w:rPr>
      </w:pPr>
      <w:r w:rsidRPr="002C5876">
        <w:rPr>
          <w:rFonts w:ascii="TimesNewRoman" w:hAnsi="TimesNewRoman" w:cs="TimesNewRoman"/>
          <w:szCs w:val="24"/>
        </w:rPr>
        <w:t>7.4.2.2</w:t>
      </w:r>
      <w:r w:rsidRPr="002C5876">
        <w:rPr>
          <w:rFonts w:ascii="TimesNewRoman" w:hAnsi="TimesNewRoman" w:cs="TimesNewRoman"/>
          <w:szCs w:val="24"/>
        </w:rPr>
        <w:tab/>
        <w:t>Méthode de l’analyseur infrarouge à transformée de Fourier (FTIR)</w:t>
      </w:r>
    </w:p>
    <w:p w:rsidR="00E24DB7" w:rsidRPr="002C5876" w:rsidRDefault="00E24DB7" w:rsidP="00E24DB7">
      <w:pPr>
        <w:pStyle w:val="SingleTxtG"/>
        <w:ind w:left="2268"/>
        <w:rPr>
          <w:rFonts w:ascii="TimesNewRoman" w:hAnsi="TimesNewRoman" w:cs="TimesNewRoman"/>
          <w:szCs w:val="24"/>
        </w:rPr>
      </w:pPr>
      <w:r w:rsidRPr="002C5876">
        <w:rPr>
          <w:rFonts w:ascii="TimesNewRoman" w:hAnsi="TimesNewRoman" w:cs="TimesNewRoman"/>
          <w:szCs w:val="24"/>
        </w:rPr>
        <w:tab/>
        <w:t>Le système FTIR doit être conçu pour la mesure des gaz d’échappement dilués directement à partir du système CVS sur une base continue ainsi qu’à partir de la source d’air dilué du CVS, ou à partir des sacs de gaz d’échappement dilués.</w:t>
      </w:r>
    </w:p>
    <w:p w:rsidR="00E24DB7" w:rsidRPr="002C5876" w:rsidRDefault="00E24DB7" w:rsidP="00E24DB7">
      <w:pPr>
        <w:pStyle w:val="SingleTxtG"/>
        <w:keepNext/>
        <w:ind w:left="2268" w:hanging="1134"/>
        <w:jc w:val="left"/>
        <w:rPr>
          <w:rFonts w:ascii="TimesNewRoman" w:hAnsi="TimesNewRoman" w:cs="TimesNewRoman"/>
          <w:szCs w:val="24"/>
        </w:rPr>
      </w:pPr>
      <w:r w:rsidRPr="002C5876">
        <w:rPr>
          <w:rFonts w:ascii="TimesNewRoman" w:hAnsi="TimesNewRoman" w:cs="TimesNewRoman"/>
          <w:szCs w:val="24"/>
        </w:rPr>
        <w:t>7.4.2.2.1</w:t>
      </w:r>
      <w:r w:rsidRPr="002C5876">
        <w:rPr>
          <w:rFonts w:ascii="TimesNewRoman" w:hAnsi="TimesNewRoman" w:cs="TimesNewRoman"/>
          <w:szCs w:val="24"/>
        </w:rPr>
        <w:tab/>
        <w:t xml:space="preserve">Interférences avec les mesures </w:t>
      </w:r>
    </w:p>
    <w:p w:rsidR="00E24DB7" w:rsidRPr="002C5876" w:rsidRDefault="00E24DB7" w:rsidP="00E24DB7">
      <w:pPr>
        <w:pStyle w:val="SingleTxtG"/>
        <w:ind w:left="2268"/>
        <w:rPr>
          <w:rFonts w:ascii="TimesNewRoman" w:hAnsi="TimesNewRoman" w:cs="TimesNewRoman"/>
          <w:szCs w:val="24"/>
        </w:rPr>
      </w:pPr>
      <w:r w:rsidRPr="002C5876">
        <w:rPr>
          <w:rFonts w:ascii="TimesNewRoman" w:hAnsi="TimesNewRoman" w:cs="TimesNewRoman"/>
          <w:szCs w:val="24"/>
        </w:rPr>
        <w:t>La résolution spectrale de la longueur d’onde cible doit être de 0,5 par cm ou mieux afin de réduire le plus possible les interférences causées par d’autres gaz présents dans les gaz d’échappement.</w:t>
      </w:r>
    </w:p>
    <w:p w:rsidR="00E24DB7" w:rsidRPr="002C5876" w:rsidRDefault="00E24DB7" w:rsidP="00E24DB7">
      <w:pPr>
        <w:pStyle w:val="SingleTxtG"/>
        <w:ind w:left="2268"/>
        <w:rPr>
          <w:rFonts w:ascii="TimesNewRoman" w:hAnsi="TimesNewRoman" w:cs="TimesNewRoman"/>
          <w:szCs w:val="24"/>
        </w:rPr>
      </w:pPr>
      <w:r w:rsidRPr="002C5876">
        <w:rPr>
          <w:rFonts w:ascii="TimesNewRoman" w:hAnsi="TimesNewRoman" w:cs="TimesNewRoman"/>
          <w:szCs w:val="24"/>
        </w:rPr>
        <w:t>Le FTIR doit être expressément optimisé pour la mesure de l’acétaldéhyde et du formaldéhyde en termes de linéarisation selon une norme spécifiée, ainsi que pour la correction et/ou la compensation des gaz interférents coexistants.</w:t>
      </w:r>
    </w:p>
    <w:p w:rsidR="00E24DB7" w:rsidRPr="002C5876" w:rsidRDefault="00E24DB7" w:rsidP="00E24DB7">
      <w:pPr>
        <w:pStyle w:val="SingleTxtG"/>
        <w:keepNext/>
        <w:ind w:left="2268" w:hanging="1134"/>
        <w:jc w:val="left"/>
        <w:rPr>
          <w:rFonts w:ascii="TimesNewRoman" w:hAnsi="TimesNewRoman" w:cs="TimesNewRoman"/>
          <w:szCs w:val="24"/>
        </w:rPr>
      </w:pPr>
      <w:r w:rsidRPr="002C5876">
        <w:rPr>
          <w:rFonts w:ascii="TimesNewRoman" w:hAnsi="TimesNewRoman" w:cs="TimesNewRoman"/>
          <w:szCs w:val="24"/>
        </w:rPr>
        <w:t>7.4.2.3</w:t>
      </w:r>
      <w:r w:rsidRPr="002C5876">
        <w:rPr>
          <w:rFonts w:ascii="TimesNewRoman" w:hAnsi="TimesNewRoman" w:cs="TimesNewRoman"/>
          <w:szCs w:val="24"/>
        </w:rPr>
        <w:tab/>
        <w:t xml:space="preserve">Méthode de spectrométrie de masse par transfert de protons − (PTR-MS) </w:t>
      </w:r>
    </w:p>
    <w:p w:rsidR="00E24DB7" w:rsidRPr="002C5876" w:rsidRDefault="00E24DB7" w:rsidP="00E24DB7">
      <w:pPr>
        <w:pStyle w:val="SingleTxtG"/>
        <w:ind w:left="2268"/>
        <w:rPr>
          <w:rFonts w:ascii="TimesNewRoman" w:hAnsi="TimesNewRoman" w:cs="TimesNewRoman"/>
          <w:szCs w:val="24"/>
        </w:rPr>
      </w:pPr>
      <w:r w:rsidRPr="002C5876">
        <w:rPr>
          <w:rFonts w:ascii="TimesNewRoman" w:hAnsi="TimesNewRoman" w:cs="TimesNewRoman"/>
          <w:szCs w:val="24"/>
        </w:rPr>
        <w:t>La PTR-MS est une technique fondée sur une ionisation de chimie douce par transfert de protons pour la détection de composés organiques volatils (COV).</w:t>
      </w:r>
    </w:p>
    <w:p w:rsidR="00E24DB7" w:rsidRPr="002C5876" w:rsidRDefault="00E24DB7" w:rsidP="00E24DB7">
      <w:pPr>
        <w:pStyle w:val="SingleTxtG"/>
        <w:ind w:left="2268"/>
        <w:rPr>
          <w:rFonts w:ascii="TimesNewRoman" w:hAnsi="TimesNewRoman" w:cs="TimesNewRoman"/>
          <w:szCs w:val="24"/>
        </w:rPr>
      </w:pPr>
      <w:r w:rsidRPr="002C5876">
        <w:rPr>
          <w:rFonts w:ascii="TimesNewRoman" w:hAnsi="TimesNewRoman" w:cs="TimesNewRoman"/>
          <w:szCs w:val="24"/>
        </w:rPr>
        <w:t>Les ions réactifs, hydronium (H</w:t>
      </w:r>
      <w:r w:rsidRPr="002C5876">
        <w:rPr>
          <w:rFonts w:ascii="TimesNewRoman" w:hAnsi="TimesNewRoman" w:cs="TimesNewRoman"/>
          <w:szCs w:val="24"/>
          <w:vertAlign w:val="subscript"/>
        </w:rPr>
        <w:t>3</w:t>
      </w:r>
      <w:r w:rsidRPr="002C5876">
        <w:rPr>
          <w:rFonts w:ascii="TimesNewRoman" w:hAnsi="TimesNewRoman" w:cs="TimesNewRoman"/>
          <w:szCs w:val="24"/>
        </w:rPr>
        <w:t xml:space="preserve">O+) par exemple, doivent être choisis expressément pour la mesure de l’acétaldéhyde et du formaldéhyde et pour </w:t>
      </w:r>
      <w:r w:rsidRPr="002C5876">
        <w:rPr>
          <w:rFonts w:ascii="TimesNewRoman" w:hAnsi="TimesNewRoman" w:cs="TimesNewRoman"/>
          <w:szCs w:val="24"/>
        </w:rPr>
        <w:lastRenderedPageBreak/>
        <w:t xml:space="preserve">réduire le plus possible les interférences avec les mesures des gaz coexistants. Le système devrait être linéarisé selon une norme spécifiée. </w:t>
      </w:r>
    </w:p>
    <w:p w:rsidR="00E24DB7" w:rsidRPr="002C5876" w:rsidRDefault="00E24DB7" w:rsidP="00E24DB7">
      <w:pPr>
        <w:pStyle w:val="SingleTxtG"/>
        <w:keepNext/>
        <w:ind w:left="2268" w:hanging="1134"/>
        <w:jc w:val="left"/>
        <w:rPr>
          <w:rFonts w:ascii="TimesNewRoman" w:hAnsi="TimesNewRoman" w:cs="TimesNewRoman"/>
          <w:szCs w:val="24"/>
        </w:rPr>
      </w:pPr>
      <w:r w:rsidRPr="002C5876">
        <w:rPr>
          <w:rFonts w:ascii="TimesNewRoman" w:hAnsi="TimesNewRoman" w:cs="TimesNewRoman"/>
          <w:szCs w:val="24"/>
        </w:rPr>
        <w:t>7.4.2.3.1</w:t>
      </w:r>
      <w:r w:rsidRPr="002C5876">
        <w:rPr>
          <w:rFonts w:ascii="TimesNewRoman" w:hAnsi="TimesNewRoman" w:cs="TimesNewRoman"/>
          <w:szCs w:val="24"/>
        </w:rPr>
        <w:tab/>
        <w:t>Méthode d’étalonnage</w:t>
      </w:r>
    </w:p>
    <w:p w:rsidR="00E24DB7" w:rsidRPr="002C5876" w:rsidRDefault="00E24DB7" w:rsidP="00E24DB7">
      <w:pPr>
        <w:pStyle w:val="SingleTxtG"/>
        <w:ind w:left="2268"/>
        <w:rPr>
          <w:rFonts w:ascii="TimesNewRoman" w:hAnsi="TimesNewRoman" w:cs="TimesNewRoman"/>
          <w:szCs w:val="24"/>
        </w:rPr>
      </w:pPr>
      <w:r w:rsidRPr="002C5876">
        <w:rPr>
          <w:rFonts w:ascii="TimesNewRoman" w:hAnsi="TimesNewRoman" w:cs="TimesNewRoman"/>
          <w:szCs w:val="24"/>
        </w:rPr>
        <w:t>La réponse de l’analyseur devrait être périodiquement étalonnée, au moins une fois par mois, à l’aide d’un gaz constitué par l’analyte cible de la concentration connue équilibré par un mélange des gaz coexistants aux concentrations normalement attendues de l’échantillon de gaz d’échappement (N</w:t>
      </w:r>
      <w:r w:rsidRPr="002C5876">
        <w:rPr>
          <w:rFonts w:ascii="TimesNewRoman" w:hAnsi="TimesNewRoman" w:cs="TimesNewRoman"/>
          <w:szCs w:val="24"/>
          <w:vertAlign w:val="subscript"/>
        </w:rPr>
        <w:t>2</w:t>
      </w:r>
      <w:r w:rsidRPr="002C5876">
        <w:rPr>
          <w:rFonts w:ascii="TimesNewRoman" w:hAnsi="TimesNewRoman" w:cs="TimesNewRoman"/>
          <w:szCs w:val="24"/>
        </w:rPr>
        <w:t>, O</w:t>
      </w:r>
      <w:r w:rsidRPr="002C5876">
        <w:rPr>
          <w:rFonts w:ascii="TimesNewRoman" w:hAnsi="TimesNewRoman" w:cs="TimesNewRoman"/>
          <w:szCs w:val="24"/>
          <w:vertAlign w:val="subscript"/>
        </w:rPr>
        <w:t>2</w:t>
      </w:r>
      <w:r w:rsidRPr="002C5876">
        <w:rPr>
          <w:rFonts w:ascii="TimesNewRoman" w:hAnsi="TimesNewRoman" w:cs="TimesNewRoman"/>
          <w:szCs w:val="24"/>
        </w:rPr>
        <w:t xml:space="preserve"> et H</w:t>
      </w:r>
      <w:r w:rsidRPr="002C5876">
        <w:rPr>
          <w:rFonts w:ascii="TimesNewRoman" w:hAnsi="TimesNewRoman" w:cs="TimesNewRoman"/>
          <w:szCs w:val="24"/>
          <w:vertAlign w:val="subscript"/>
        </w:rPr>
        <w:t>2</w:t>
      </w:r>
      <w:r w:rsidRPr="002C5876">
        <w:rPr>
          <w:rFonts w:ascii="TimesNewRoman" w:hAnsi="TimesNewRoman" w:cs="TimesNewRoman"/>
          <w:szCs w:val="24"/>
        </w:rPr>
        <w:t>O par exemple).</w:t>
      </w:r>
    </w:p>
    <w:p w:rsidR="00320A9D" w:rsidRPr="002C5876" w:rsidRDefault="00320A9D" w:rsidP="00E24DB7">
      <w:pPr>
        <w:pStyle w:val="HChG"/>
        <w:sectPr w:rsidR="00320A9D" w:rsidRPr="002C5876" w:rsidSect="00CE537D">
          <w:headerReference w:type="even" r:id="rId108"/>
          <w:headerReference w:type="default" r:id="rId109"/>
          <w:endnotePr>
            <w:numFmt w:val="decimal"/>
          </w:endnotePr>
          <w:pgSz w:w="11907" w:h="16840" w:code="9"/>
          <w:pgMar w:top="1418" w:right="1134" w:bottom="1134" w:left="1134" w:header="680" w:footer="567" w:gutter="0"/>
          <w:cols w:space="720"/>
          <w:docGrid w:linePitch="272"/>
        </w:sectPr>
      </w:pPr>
    </w:p>
    <w:p w:rsidR="00E24DB7" w:rsidRPr="002C5876" w:rsidRDefault="00E24DB7" w:rsidP="00E24DB7">
      <w:pPr>
        <w:pStyle w:val="HChG"/>
      </w:pPr>
      <w:r w:rsidRPr="002C5876">
        <w:lastRenderedPageBreak/>
        <w:t>Annexe 6</w:t>
      </w:r>
    </w:p>
    <w:p w:rsidR="00E24DB7" w:rsidRPr="002C5876" w:rsidRDefault="00E24DB7" w:rsidP="00E24DB7">
      <w:pPr>
        <w:pStyle w:val="HChG"/>
      </w:pPr>
      <w:r w:rsidRPr="002C5876">
        <w:tab/>
      </w:r>
      <w:r w:rsidRPr="002C5876">
        <w:tab/>
        <w:t>Procédures et conditions pour l’essai de type 1</w:t>
      </w:r>
    </w:p>
    <w:p w:rsidR="00E24DB7" w:rsidRPr="002C5876" w:rsidRDefault="00E24DB7" w:rsidP="00E24DB7">
      <w:pPr>
        <w:pStyle w:val="SingleTxtG"/>
        <w:keepNext/>
        <w:ind w:left="2268" w:hanging="1134"/>
        <w:jc w:val="left"/>
      </w:pPr>
      <w:r w:rsidRPr="002C5876">
        <w:t>1.</w:t>
      </w:r>
      <w:r w:rsidRPr="002C5876">
        <w:tab/>
        <w:t>Description des essais</w:t>
      </w:r>
    </w:p>
    <w:p w:rsidR="00E24DB7" w:rsidRPr="002C5876" w:rsidRDefault="00E24DB7" w:rsidP="00E24DB7">
      <w:pPr>
        <w:pStyle w:val="SingleTxtG"/>
        <w:ind w:left="2268" w:hanging="1134"/>
      </w:pPr>
      <w:r w:rsidRPr="002C5876">
        <w:t>1.1</w:t>
      </w:r>
      <w:r w:rsidRPr="002C5876">
        <w:tab/>
        <w:t>L’essai de type 1 est utilisé pour mesurer les émissions de composés gazeux, les matières particulaires, le nombre de particules (le cas échéant), les émissions massiques de CO</w:t>
      </w:r>
      <w:r w:rsidRPr="002C5876">
        <w:rPr>
          <w:vertAlign w:val="subscript"/>
        </w:rPr>
        <w:t>2</w:t>
      </w:r>
      <w:r w:rsidRPr="002C5876">
        <w:t>, la consommation de carburant, la consommation d’énergie électrique et l’autonomie électrique au cours du cycle d’essai WLTP applicable.</w:t>
      </w:r>
    </w:p>
    <w:p w:rsidR="00E24DB7" w:rsidRPr="002C5876" w:rsidRDefault="00E24DB7" w:rsidP="00E24DB7">
      <w:pPr>
        <w:pStyle w:val="SingleTxtG"/>
        <w:ind w:left="2268" w:hanging="1134"/>
      </w:pPr>
      <w:r w:rsidRPr="002C5876">
        <w:t>1.1.1</w:t>
      </w:r>
      <w:r w:rsidRPr="002C5876">
        <w:tab/>
        <w:t xml:space="preserve">Les essais doivent être exécutés selon la méthode présentée au paragraphe 2 de la présente annexe ou au paragraphe 3 de l’annexe 8 pour les véhicules électriques purs, les véhicules hybrides électriques et les véhicules hybrides à pile à combustible à hydrogène comprimé. Les gaz d’échappement et les matières particulaires doivent être prélevés et analysés selon les méthodes prescrites et le nombre de particules (le cas échéant) mesuré. </w:t>
      </w:r>
    </w:p>
    <w:p w:rsidR="00E24DB7" w:rsidRPr="002C5876" w:rsidRDefault="00E24DB7" w:rsidP="00E24DB7">
      <w:pPr>
        <w:pStyle w:val="SingleTxtG"/>
        <w:ind w:left="2268" w:hanging="1134"/>
      </w:pPr>
      <w:r w:rsidRPr="002C5876">
        <w:t>1.2</w:t>
      </w:r>
      <w:r w:rsidRPr="002C5876">
        <w:tab/>
        <w:t>Le nombre d’essais à effectuer est déterminé selon le diagramme de la figure A6/1. La valeur limite est la valeur maximale autorisée pour les polluants réglementés telle qu’elle est définie par la Partie contractante.</w:t>
      </w:r>
    </w:p>
    <w:p w:rsidR="00E24DB7" w:rsidRPr="002C5876" w:rsidRDefault="00E24DB7" w:rsidP="00E24DB7">
      <w:pPr>
        <w:pStyle w:val="SingleTxtG"/>
        <w:ind w:left="2268" w:hanging="1134"/>
        <w:rPr>
          <w:szCs w:val="24"/>
          <w:lang w:eastAsia="ja-JP"/>
        </w:rPr>
      </w:pPr>
      <w:r w:rsidRPr="002C5876">
        <w:rPr>
          <w:szCs w:val="24"/>
          <w:lang w:eastAsia="ja-JP"/>
        </w:rPr>
        <w:t>1.2.1</w:t>
      </w:r>
      <w:r w:rsidRPr="002C5876">
        <w:rPr>
          <w:szCs w:val="24"/>
          <w:lang w:eastAsia="ja-JP"/>
        </w:rPr>
        <w:tab/>
        <w:t xml:space="preserve">Le diagramme de la figure A6/1 n’est applicable qu’à l’ensemble du cycle d’essai WLTP applicable et non à telle ou telle de ses phases. </w:t>
      </w:r>
    </w:p>
    <w:p w:rsidR="00E24DB7" w:rsidRPr="002C5876" w:rsidRDefault="00E24DB7" w:rsidP="00E24DB7">
      <w:pPr>
        <w:pStyle w:val="SingleTxtG"/>
        <w:ind w:left="2268" w:hanging="1134"/>
        <w:rPr>
          <w:lang w:eastAsia="ja-JP"/>
        </w:rPr>
      </w:pPr>
      <w:r w:rsidRPr="002C5876">
        <w:rPr>
          <w:szCs w:val="24"/>
          <w:lang w:eastAsia="ja-JP"/>
        </w:rPr>
        <w:t>1.2.2</w:t>
      </w:r>
      <w:r w:rsidRPr="002C5876">
        <w:rPr>
          <w:szCs w:val="24"/>
          <w:lang w:eastAsia="ja-JP"/>
        </w:rPr>
        <w:tab/>
      </w:r>
      <w:r w:rsidRPr="002C5876">
        <w:rPr>
          <w:lang w:eastAsia="ja-JP"/>
        </w:rPr>
        <w:t xml:space="preserve">Les résultats des essais sont les valeurs obtenues lorsque la correction fondée sur la variation d’énergie dans le SRSEE, Ki, et d’autres corrections régionales (le cas échéant) sont appliquées. </w:t>
      </w:r>
    </w:p>
    <w:p w:rsidR="00E24DB7" w:rsidRPr="002C5876" w:rsidRDefault="00E24DB7" w:rsidP="00E24DB7">
      <w:pPr>
        <w:pStyle w:val="SingleTxtG"/>
        <w:keepNext/>
        <w:ind w:left="2268" w:hanging="1134"/>
        <w:jc w:val="left"/>
        <w:rPr>
          <w:lang w:eastAsia="ja-JP"/>
        </w:rPr>
      </w:pPr>
      <w:r w:rsidRPr="002C5876">
        <w:rPr>
          <w:lang w:eastAsia="ja-JP"/>
        </w:rPr>
        <w:t>1.2.3</w:t>
      </w:r>
      <w:r w:rsidRPr="002C5876">
        <w:rPr>
          <w:lang w:eastAsia="ja-JP"/>
        </w:rPr>
        <w:tab/>
        <w:t xml:space="preserve">Détermination des valeurs du cycle total </w:t>
      </w:r>
    </w:p>
    <w:p w:rsidR="00E24DB7" w:rsidRPr="002C5876" w:rsidRDefault="00E24DB7" w:rsidP="00E24DB7">
      <w:pPr>
        <w:pStyle w:val="SingleTxtG"/>
        <w:ind w:left="2268" w:hanging="1134"/>
        <w:rPr>
          <w:lang w:eastAsia="ja-JP"/>
        </w:rPr>
      </w:pPr>
      <w:r w:rsidRPr="002C5876">
        <w:rPr>
          <w:lang w:eastAsia="ja-JP"/>
        </w:rPr>
        <w:t>1.2.3.1</w:t>
      </w:r>
      <w:r w:rsidRPr="002C5876">
        <w:rPr>
          <w:lang w:eastAsia="ja-JP"/>
        </w:rPr>
        <w:tab/>
        <w:t>Si, durant l’un quelconque des essais la limite est dépassée pour un critère, le véhicule doit être rejeté.</w:t>
      </w:r>
    </w:p>
    <w:p w:rsidR="00E24DB7" w:rsidRPr="002C5876" w:rsidRDefault="00E24DB7" w:rsidP="00E24DB7">
      <w:pPr>
        <w:pStyle w:val="SingleTxtG"/>
        <w:ind w:left="2268" w:hanging="1134"/>
        <w:rPr>
          <w:lang w:eastAsia="ja-JP"/>
        </w:rPr>
      </w:pPr>
      <w:r w:rsidRPr="002C5876">
        <w:rPr>
          <w:lang w:eastAsia="ja-JP"/>
        </w:rPr>
        <w:t>1.2.3.2</w:t>
      </w:r>
      <w:r w:rsidRPr="002C5876">
        <w:rPr>
          <w:lang w:eastAsia="ja-JP"/>
        </w:rPr>
        <w:tab/>
        <w:t>En fonction du type de véhicule, le constructeur déclare applicables la valeur du cycle total des émissions massiques de CO</w:t>
      </w:r>
      <w:r w:rsidRPr="002C5876">
        <w:rPr>
          <w:vertAlign w:val="subscript"/>
          <w:lang w:eastAsia="ja-JP"/>
        </w:rPr>
        <w:t>2</w:t>
      </w:r>
      <w:r w:rsidRPr="002C5876">
        <w:rPr>
          <w:lang w:eastAsia="ja-JP"/>
        </w:rPr>
        <w:t>, la consommation d’énergie électrique, la consommation de combustible pour les VHPC-NRE, ainsi que la PER et l’AER selon le tableau A6/1.</w:t>
      </w:r>
    </w:p>
    <w:p w:rsidR="00E24DB7" w:rsidRPr="002C5876" w:rsidRDefault="00E24DB7" w:rsidP="00E24DB7">
      <w:pPr>
        <w:pStyle w:val="SingleTxtG"/>
        <w:ind w:left="2268" w:hanging="1134"/>
        <w:rPr>
          <w:lang w:eastAsia="ja-JP"/>
        </w:rPr>
      </w:pPr>
      <w:r w:rsidRPr="002C5876">
        <w:rPr>
          <w:lang w:eastAsia="ja-JP"/>
        </w:rPr>
        <w:t>1.2.3.3</w:t>
      </w:r>
      <w:r w:rsidRPr="002C5876">
        <w:rPr>
          <w:lang w:eastAsia="ja-JP"/>
        </w:rPr>
        <w:tab/>
        <w:t>La valeur déclarée de la consommation d’énergie électrique pour les VHE-RE en mode épuisement de la charge ne doit pas être déterminée selon la figure A6/1. Elle est retenue comme valeur d’homologation de type si la valeur déclarée du CO</w:t>
      </w:r>
      <w:r w:rsidRPr="002C5876">
        <w:rPr>
          <w:vertAlign w:val="subscript"/>
          <w:lang w:eastAsia="ja-JP"/>
        </w:rPr>
        <w:t>2</w:t>
      </w:r>
      <w:r w:rsidRPr="002C5876">
        <w:rPr>
          <w:lang w:eastAsia="ja-JP"/>
        </w:rPr>
        <w:t xml:space="preserve"> est acceptée comme la valeur d’homologation. Si ce n’est pas le cas, la valeur mesurée de la consommation d’énergie électrique est retenue comme valeur d’homologation de type. Le cas échéant, les éléments témoignant d’une corrélation entre les émissions massiques déclarées de CO</w:t>
      </w:r>
      <w:r w:rsidRPr="002C5876">
        <w:rPr>
          <w:vertAlign w:val="subscript"/>
          <w:lang w:eastAsia="ja-JP"/>
        </w:rPr>
        <w:t>2</w:t>
      </w:r>
      <w:r w:rsidRPr="002C5876">
        <w:rPr>
          <w:lang w:eastAsia="ja-JP"/>
        </w:rPr>
        <w:t xml:space="preserve"> et la consommation d’énergie électrique sont communiqués à l’avance à l’autorité compétente. </w:t>
      </w:r>
    </w:p>
    <w:p w:rsidR="00E24DB7" w:rsidRPr="002C5876" w:rsidRDefault="00E24DB7" w:rsidP="00E24DB7">
      <w:pPr>
        <w:pStyle w:val="SingleTxtG"/>
        <w:ind w:left="2268" w:hanging="1134"/>
        <w:rPr>
          <w:lang w:eastAsia="ja-JP"/>
        </w:rPr>
      </w:pPr>
      <w:r w:rsidRPr="002C5876">
        <w:rPr>
          <w:szCs w:val="24"/>
          <w:lang w:eastAsia="ja-JP"/>
        </w:rPr>
        <w:t>1.2.3.4</w:t>
      </w:r>
      <w:r w:rsidRPr="002C5876">
        <w:rPr>
          <w:szCs w:val="24"/>
          <w:lang w:eastAsia="ja-JP"/>
        </w:rPr>
        <w:tab/>
        <w:t>Si, après le premier essai, il est satisfait à tous les critères de la ligne 1 du tableau A6/2 applicable</w:t>
      </w:r>
      <w:r w:rsidRPr="002C5876">
        <w:rPr>
          <w:lang w:eastAsia="ja-JP"/>
        </w:rPr>
        <w:t xml:space="preserve">, toutes les valeurs déclarées par le constructeur doivent être acceptées comme valeurs d’homologation de type. S’il n’est pas satisfait à l’un quelconque des critères de la ligne 1 </w:t>
      </w:r>
      <w:r w:rsidRPr="002C5876">
        <w:rPr>
          <w:szCs w:val="24"/>
          <w:lang w:eastAsia="ja-JP"/>
        </w:rPr>
        <w:t>du tableau A6/2 applicable</w:t>
      </w:r>
      <w:r w:rsidRPr="002C5876">
        <w:rPr>
          <w:lang w:eastAsia="ja-JP"/>
        </w:rPr>
        <w:t xml:space="preserve"> un deuxième essai doit être effectué avec le même véhicule.</w:t>
      </w:r>
    </w:p>
    <w:p w:rsidR="00E24DB7" w:rsidRPr="002C5876" w:rsidRDefault="00E24DB7" w:rsidP="00E24DB7">
      <w:pPr>
        <w:pStyle w:val="SingleTxtG"/>
        <w:ind w:left="2268" w:hanging="1134"/>
        <w:rPr>
          <w:lang w:eastAsia="ja-JP"/>
        </w:rPr>
      </w:pPr>
      <w:r w:rsidRPr="002C5876">
        <w:rPr>
          <w:szCs w:val="24"/>
          <w:lang w:eastAsia="ja-JP"/>
        </w:rPr>
        <w:t>1.2.3.5</w:t>
      </w:r>
      <w:r w:rsidRPr="002C5876">
        <w:rPr>
          <w:szCs w:val="24"/>
          <w:lang w:eastAsia="ja-JP"/>
        </w:rPr>
        <w:tab/>
        <w:t>Après le deuxième essai, les valeurs moyennes arithmétiques correspondant aux résultats des deux essais sont calculées. Si ces valeurs moyennes arithmétiques satisfont à tous les critères de la ligne 2 du tableau A6/2 applicable</w:t>
      </w:r>
      <w:r w:rsidRPr="002C5876">
        <w:rPr>
          <w:lang w:eastAsia="ja-JP"/>
        </w:rPr>
        <w:t>, toutes les valeurs déclarées par le constructeur doivent être acceptées comme valeurs d’homologation de type.</w:t>
      </w:r>
      <w:r w:rsidRPr="002C5876">
        <w:rPr>
          <w:szCs w:val="24"/>
          <w:lang w:eastAsia="ja-JP"/>
        </w:rPr>
        <w:t xml:space="preserve"> </w:t>
      </w:r>
      <w:r w:rsidRPr="002C5876">
        <w:rPr>
          <w:lang w:eastAsia="ja-JP"/>
        </w:rPr>
        <w:t xml:space="preserve">S’il n’est pas satisfait à l’un quelconque des critères de la ligne 2 </w:t>
      </w:r>
      <w:r w:rsidRPr="002C5876">
        <w:rPr>
          <w:szCs w:val="24"/>
          <w:lang w:eastAsia="ja-JP"/>
        </w:rPr>
        <w:t>du tableau A6/2 applicable</w:t>
      </w:r>
      <w:r w:rsidRPr="002C5876">
        <w:rPr>
          <w:lang w:eastAsia="ja-JP"/>
        </w:rPr>
        <w:t>, un troisième essai doit être effectué avec le même véhicule.</w:t>
      </w:r>
    </w:p>
    <w:p w:rsidR="00E24DB7" w:rsidRPr="002C5876" w:rsidRDefault="00E24DB7" w:rsidP="00E24DB7">
      <w:pPr>
        <w:pStyle w:val="SingleTxtG"/>
        <w:spacing w:line="220" w:lineRule="atLeast"/>
        <w:ind w:left="2268" w:hanging="1134"/>
        <w:rPr>
          <w:szCs w:val="24"/>
          <w:lang w:eastAsia="ja-JP"/>
        </w:rPr>
      </w:pPr>
      <w:r w:rsidRPr="002C5876">
        <w:rPr>
          <w:szCs w:val="24"/>
          <w:lang w:eastAsia="ja-JP"/>
        </w:rPr>
        <w:lastRenderedPageBreak/>
        <w:t>1.2.3.6</w:t>
      </w:r>
      <w:r w:rsidRPr="002C5876">
        <w:rPr>
          <w:szCs w:val="24"/>
          <w:lang w:eastAsia="ja-JP"/>
        </w:rPr>
        <w:tab/>
        <w:t xml:space="preserve">Après le troisième essai, les valeurs moyennes arithmétiques correspondant aux résultats des trois essais sont calculées. Pour tous les paramètres qui satisfont au critère correspondant de la ligne 3 du tableau A6/2 applicable, la valeur déclarée doit être retenue comme la valeur d’homologation de type. Pour tout paramètre qui ne satisfait pas au critère correspondant de la ligne 3 du tableau A6/2 applicable, le résultat correspondant à la valeur moyenne </w:t>
      </w:r>
      <w:r w:rsidRPr="002C5876">
        <w:t>arithmétique est retenu comme valeur</w:t>
      </w:r>
      <w:r w:rsidRPr="002C5876">
        <w:rPr>
          <w:szCs w:val="24"/>
          <w:lang w:eastAsia="ja-JP"/>
        </w:rPr>
        <w:t xml:space="preserve"> d’homologation de type.</w:t>
      </w:r>
    </w:p>
    <w:p w:rsidR="00E24DB7" w:rsidRPr="002C5876" w:rsidRDefault="00E24DB7" w:rsidP="00E24DB7">
      <w:pPr>
        <w:pStyle w:val="SingleTxtG"/>
        <w:spacing w:line="220" w:lineRule="atLeast"/>
        <w:ind w:left="2268" w:hanging="1134"/>
        <w:rPr>
          <w:szCs w:val="24"/>
          <w:lang w:eastAsia="ja-JP"/>
        </w:rPr>
      </w:pPr>
      <w:r w:rsidRPr="002C5876">
        <w:rPr>
          <w:szCs w:val="24"/>
          <w:lang w:eastAsia="ja-JP"/>
        </w:rPr>
        <w:t>1.2.3.7</w:t>
      </w:r>
      <w:r w:rsidRPr="002C5876">
        <w:rPr>
          <w:szCs w:val="24"/>
          <w:lang w:eastAsia="ja-JP"/>
        </w:rPr>
        <w:tab/>
        <w:t>Dans le cas où il n’est pas satisfait à l’un quelconque des critères du tableau A6/2 applicable après le premier ou deuxième essai, à la demande du constructeur et avec l’approbation de l’autorité compétente, les valeurs peuvent être déclarées à nouveau comme valeurs plus élevées pour les émissions ou comme valeurs plus faibles pour l’autonomie électrique, afin de réduire le nombre d’essais requis pour l’homologation de type.</w:t>
      </w:r>
    </w:p>
    <w:p w:rsidR="00E24DB7" w:rsidRPr="002C5876" w:rsidRDefault="00E24DB7" w:rsidP="00E24DB7">
      <w:pPr>
        <w:pStyle w:val="SingleTxtG"/>
        <w:keepNext/>
        <w:spacing w:line="220" w:lineRule="atLeast"/>
        <w:ind w:left="2268" w:hanging="1134"/>
        <w:jc w:val="left"/>
        <w:rPr>
          <w:szCs w:val="24"/>
          <w:lang w:eastAsia="ja-JP"/>
        </w:rPr>
      </w:pPr>
      <w:r w:rsidRPr="002C5876">
        <w:rPr>
          <w:szCs w:val="24"/>
          <w:lang w:eastAsia="ja-JP"/>
        </w:rPr>
        <w:t>1.2.3.8</w:t>
      </w:r>
      <w:r w:rsidRPr="002C5876">
        <w:rPr>
          <w:szCs w:val="24"/>
          <w:lang w:eastAsia="ja-JP"/>
        </w:rPr>
        <w:tab/>
        <w:t>Détermination de dCO2</w:t>
      </w:r>
      <w:r w:rsidRPr="002C5876">
        <w:rPr>
          <w:szCs w:val="24"/>
          <w:vertAlign w:val="subscript"/>
          <w:lang w:eastAsia="ja-JP"/>
        </w:rPr>
        <w:t>1</w:t>
      </w:r>
      <w:r w:rsidRPr="002C5876">
        <w:rPr>
          <w:szCs w:val="24"/>
          <w:lang w:eastAsia="ja-JP"/>
        </w:rPr>
        <w:t>, dCO2</w:t>
      </w:r>
      <w:r w:rsidRPr="002C5876">
        <w:rPr>
          <w:szCs w:val="24"/>
          <w:vertAlign w:val="subscript"/>
          <w:lang w:eastAsia="ja-JP"/>
        </w:rPr>
        <w:t>2</w:t>
      </w:r>
      <w:r w:rsidRPr="002C5876">
        <w:rPr>
          <w:szCs w:val="24"/>
          <w:lang w:eastAsia="ja-JP"/>
        </w:rPr>
        <w:t xml:space="preserve"> et dCO2</w:t>
      </w:r>
      <w:r w:rsidRPr="002C5876">
        <w:rPr>
          <w:szCs w:val="24"/>
          <w:vertAlign w:val="subscript"/>
          <w:lang w:eastAsia="ja-JP"/>
        </w:rPr>
        <w:t>3</w:t>
      </w:r>
      <w:r w:rsidRPr="002C5876">
        <w:rPr>
          <w:rStyle w:val="FootnoteReference"/>
          <w:szCs w:val="24"/>
          <w:lang w:eastAsia="ja-JP"/>
        </w:rPr>
        <w:footnoteReference w:customMarkFollows="1" w:id="4"/>
        <w:t>*</w:t>
      </w:r>
    </w:p>
    <w:p w:rsidR="00E24DB7" w:rsidRPr="002C5876" w:rsidRDefault="00E24DB7" w:rsidP="00E24DB7">
      <w:pPr>
        <w:pStyle w:val="SingleTxtG"/>
        <w:spacing w:line="220" w:lineRule="atLeast"/>
        <w:ind w:left="2268" w:hanging="1134"/>
        <w:rPr>
          <w:szCs w:val="24"/>
          <w:lang w:eastAsia="ja-JP"/>
        </w:rPr>
      </w:pPr>
      <w:r w:rsidRPr="002C5876">
        <w:rPr>
          <w:szCs w:val="24"/>
          <w:lang w:eastAsia="ja-JP"/>
        </w:rPr>
        <w:t>1.2.3.8.1</w:t>
      </w:r>
      <w:r w:rsidRPr="002C5876">
        <w:rPr>
          <w:szCs w:val="24"/>
          <w:lang w:eastAsia="ja-JP"/>
        </w:rPr>
        <w:tab/>
        <w:t>En sus des prescriptions du paragraphe 1.2.3.8.2, la Partie contractante détermine une valeur allant de 0,990 à 1,020 pour dCO2</w:t>
      </w:r>
      <w:r w:rsidRPr="002C5876">
        <w:rPr>
          <w:szCs w:val="24"/>
          <w:vertAlign w:val="subscript"/>
          <w:lang w:eastAsia="ja-JP"/>
        </w:rPr>
        <w:t>1</w:t>
      </w:r>
      <w:r w:rsidRPr="002C5876">
        <w:rPr>
          <w:szCs w:val="24"/>
          <w:lang w:eastAsia="ja-JP"/>
        </w:rPr>
        <w:t>, de 0,995 à 1,020 pour dCO2</w:t>
      </w:r>
      <w:r w:rsidRPr="002C5876">
        <w:rPr>
          <w:szCs w:val="24"/>
          <w:vertAlign w:val="subscript"/>
          <w:lang w:eastAsia="ja-JP"/>
        </w:rPr>
        <w:t>2</w:t>
      </w:r>
      <w:r w:rsidRPr="002C5876">
        <w:rPr>
          <w:szCs w:val="24"/>
          <w:lang w:eastAsia="ja-JP"/>
        </w:rPr>
        <w:t xml:space="preserve"> et de 1,000 à 1,020 pour dCO2</w:t>
      </w:r>
      <w:r w:rsidRPr="002C5876">
        <w:rPr>
          <w:szCs w:val="24"/>
          <w:vertAlign w:val="subscript"/>
          <w:lang w:eastAsia="ja-JP"/>
        </w:rPr>
        <w:t>3</w:t>
      </w:r>
      <w:r w:rsidRPr="002C5876">
        <w:rPr>
          <w:szCs w:val="24"/>
          <w:lang w:eastAsia="ja-JP"/>
        </w:rPr>
        <w:t xml:space="preserve"> dans le tableau A6/2. </w:t>
      </w:r>
    </w:p>
    <w:p w:rsidR="00E24DB7" w:rsidRPr="002C5876" w:rsidRDefault="00E24DB7" w:rsidP="00E24DB7">
      <w:pPr>
        <w:pStyle w:val="SingleTxtG"/>
        <w:spacing w:line="220" w:lineRule="atLeast"/>
        <w:ind w:left="2268" w:hanging="1134"/>
        <w:rPr>
          <w:szCs w:val="24"/>
          <w:lang w:eastAsia="ja-JP"/>
        </w:rPr>
      </w:pPr>
      <w:r w:rsidRPr="002C5876">
        <w:rPr>
          <w:szCs w:val="24"/>
          <w:lang w:eastAsia="ja-JP"/>
        </w:rPr>
        <w:t>1.2.3.8.2</w:t>
      </w:r>
      <w:r w:rsidRPr="002C5876">
        <w:rPr>
          <w:szCs w:val="24"/>
          <w:lang w:eastAsia="ja-JP"/>
        </w:rPr>
        <w:tab/>
        <w:t>Si l’essai d’épuisement de la charge du type 1 pour les VHE-RE comprend plusieurs cycles d’essai WLTP applicables et que la valeur de dCO2x est inférieure à 1,0, la valeur de dCO2x est remplacée par</w:t>
      </w:r>
      <w:r w:rsidR="00D72EEE" w:rsidRPr="002C5876">
        <w:rPr>
          <w:szCs w:val="24"/>
          <w:lang w:eastAsia="ja-JP"/>
        </w:rPr>
        <w:t> </w:t>
      </w:r>
      <w:r w:rsidRPr="002C5876">
        <w:rPr>
          <w:szCs w:val="24"/>
          <w:lang w:eastAsia="ja-JP"/>
        </w:rPr>
        <w:t xml:space="preserve">1,0. </w:t>
      </w:r>
    </w:p>
    <w:p w:rsidR="00E24DB7" w:rsidRPr="002C5876" w:rsidRDefault="00E24DB7" w:rsidP="00E24DB7">
      <w:pPr>
        <w:pStyle w:val="SingleTxtG"/>
        <w:spacing w:line="220" w:lineRule="atLeast"/>
        <w:ind w:left="2268" w:hanging="1134"/>
        <w:rPr>
          <w:szCs w:val="24"/>
          <w:lang w:eastAsia="ja-JP"/>
        </w:rPr>
      </w:pPr>
      <w:r w:rsidRPr="002C5876">
        <w:rPr>
          <w:szCs w:val="24"/>
          <w:lang w:eastAsia="ja-JP"/>
        </w:rPr>
        <w:t>1.2.3.9</w:t>
      </w:r>
      <w:r w:rsidRPr="002C5876">
        <w:rPr>
          <w:szCs w:val="24"/>
          <w:lang w:eastAsia="ja-JP"/>
        </w:rPr>
        <w:tab/>
        <w:t>Si un résultat d’essai ou la moyenne de résultats est confirmé et retenu comme valeur d’homologation de type, cette valeur est dénommée « valeur déclarée » en vue de calculs ultérieurs.</w:t>
      </w:r>
    </w:p>
    <w:p w:rsidR="00E24DB7" w:rsidRPr="002C5876" w:rsidRDefault="00E24DB7" w:rsidP="00E24DB7">
      <w:pPr>
        <w:pStyle w:val="H23G"/>
        <w:ind w:left="0" w:firstLine="0"/>
        <w:rPr>
          <w:lang w:eastAsia="ja-JP"/>
        </w:rPr>
      </w:pPr>
      <w:r w:rsidRPr="002C5876">
        <w:rPr>
          <w:b w:val="0"/>
        </w:rPr>
        <w:t>Tableau A6</w:t>
      </w:r>
      <w:r w:rsidRPr="002C5876">
        <w:rPr>
          <w:b w:val="0"/>
          <w:lang w:eastAsia="ja-JP"/>
        </w:rPr>
        <w:t>/1</w:t>
      </w:r>
      <w:r w:rsidRPr="002C5876">
        <w:rPr>
          <w:lang w:eastAsia="ja-JP"/>
        </w:rPr>
        <w:br/>
        <w:t>Règles applicables aux valeurs déclarées par un constructeur (valeurs du cycle total)</w:t>
      </w:r>
      <w:r w:rsidRPr="002C5876">
        <w:rPr>
          <w:b w:val="0"/>
          <w:sz w:val="18"/>
          <w:szCs w:val="18"/>
          <w:vertAlign w:val="superscript"/>
          <w:lang w:eastAsia="ja-JP"/>
        </w:rPr>
        <w:t>1</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4"/>
        <w:gridCol w:w="740"/>
        <w:gridCol w:w="2223"/>
        <w:gridCol w:w="1641"/>
        <w:gridCol w:w="2150"/>
        <w:gridCol w:w="2001"/>
      </w:tblGrid>
      <w:tr w:rsidR="00E24DB7" w:rsidRPr="002C5876" w:rsidTr="00E24DB7">
        <w:trPr>
          <w:tblHeader/>
        </w:trPr>
        <w:tc>
          <w:tcPr>
            <w:tcW w:w="1605" w:type="dxa"/>
            <w:gridSpan w:val="2"/>
            <w:tcBorders>
              <w:bottom w:val="single" w:sz="12" w:space="0" w:color="auto"/>
            </w:tcBorders>
            <w:vAlign w:val="bottom"/>
          </w:tcPr>
          <w:p w:rsidR="00E24DB7" w:rsidRPr="002C5876" w:rsidRDefault="00E24DB7" w:rsidP="00E24DB7">
            <w:pPr>
              <w:pStyle w:val="SingleTxtG"/>
              <w:suppressAutoHyphens w:val="0"/>
              <w:spacing w:before="80" w:after="80" w:line="200" w:lineRule="exact"/>
              <w:ind w:left="57" w:right="57"/>
              <w:jc w:val="left"/>
              <w:rPr>
                <w:i/>
                <w:sz w:val="16"/>
                <w:szCs w:val="16"/>
                <w:lang w:eastAsia="ja-JP"/>
              </w:rPr>
            </w:pPr>
            <w:r w:rsidRPr="002C5876">
              <w:rPr>
                <w:i/>
                <w:sz w:val="16"/>
                <w:szCs w:val="16"/>
                <w:lang w:eastAsia="ja-JP"/>
              </w:rPr>
              <w:t xml:space="preserve">Type de véhicule </w:t>
            </w:r>
          </w:p>
        </w:tc>
        <w:tc>
          <w:tcPr>
            <w:tcW w:w="2198" w:type="dxa"/>
            <w:tcBorders>
              <w:bottom w:val="single" w:sz="12" w:space="0" w:color="auto"/>
            </w:tcBorders>
            <w:vAlign w:val="bottom"/>
          </w:tcPr>
          <w:p w:rsidR="00E24DB7" w:rsidRPr="002C5876" w:rsidRDefault="00E24DB7" w:rsidP="00E24DB7">
            <w:pPr>
              <w:pStyle w:val="SingleTxtG"/>
              <w:suppressAutoHyphens w:val="0"/>
              <w:spacing w:before="80" w:after="80" w:line="200" w:lineRule="exact"/>
              <w:ind w:left="57" w:right="57"/>
              <w:jc w:val="left"/>
              <w:rPr>
                <w:i/>
                <w:sz w:val="16"/>
                <w:szCs w:val="16"/>
                <w:vertAlign w:val="superscript"/>
                <w:lang w:eastAsia="ja-JP"/>
              </w:rPr>
            </w:pPr>
            <w:r w:rsidRPr="002C5876">
              <w:rPr>
                <w:i/>
                <w:sz w:val="16"/>
                <w:szCs w:val="16"/>
                <w:lang w:eastAsia="ja-JP"/>
              </w:rPr>
              <w:t>M</w:t>
            </w:r>
            <w:r w:rsidRPr="002C5876">
              <w:rPr>
                <w:i/>
                <w:sz w:val="16"/>
                <w:szCs w:val="16"/>
                <w:vertAlign w:val="subscript"/>
                <w:lang w:eastAsia="ja-JP"/>
              </w:rPr>
              <w:t>CO2</w:t>
            </w:r>
            <w:r w:rsidRPr="002C5876">
              <w:rPr>
                <w:i/>
                <w:sz w:val="16"/>
                <w:szCs w:val="16"/>
                <w:vertAlign w:val="superscript"/>
                <w:lang w:eastAsia="ja-JP"/>
              </w:rPr>
              <w:t xml:space="preserve">2 </w:t>
            </w:r>
            <w:r w:rsidRPr="002C5876">
              <w:rPr>
                <w:i/>
                <w:sz w:val="16"/>
                <w:szCs w:val="16"/>
                <w:vertAlign w:val="superscript"/>
                <w:lang w:eastAsia="ja-JP"/>
              </w:rPr>
              <w:br/>
            </w:r>
            <w:r w:rsidRPr="002C5876">
              <w:rPr>
                <w:i/>
                <w:sz w:val="16"/>
                <w:szCs w:val="16"/>
                <w:lang w:eastAsia="ja-JP"/>
              </w:rPr>
              <w:t>(g/km)</w:t>
            </w:r>
          </w:p>
        </w:tc>
        <w:tc>
          <w:tcPr>
            <w:tcW w:w="1623" w:type="dxa"/>
            <w:tcBorders>
              <w:bottom w:val="single" w:sz="12" w:space="0" w:color="auto"/>
            </w:tcBorders>
            <w:vAlign w:val="bottom"/>
          </w:tcPr>
          <w:p w:rsidR="00E24DB7" w:rsidRPr="002C5876" w:rsidRDefault="00E24DB7" w:rsidP="00E24DB7">
            <w:pPr>
              <w:pStyle w:val="SingleTxtG"/>
              <w:suppressAutoHyphens w:val="0"/>
              <w:spacing w:before="80" w:after="80" w:line="200" w:lineRule="exact"/>
              <w:ind w:left="57" w:right="57"/>
              <w:jc w:val="left"/>
              <w:rPr>
                <w:i/>
                <w:sz w:val="16"/>
                <w:szCs w:val="16"/>
                <w:lang w:eastAsia="ja-JP"/>
              </w:rPr>
            </w:pPr>
            <w:r w:rsidRPr="002C5876">
              <w:rPr>
                <w:i/>
                <w:sz w:val="16"/>
                <w:szCs w:val="16"/>
                <w:lang w:eastAsia="ja-JP"/>
              </w:rPr>
              <w:t xml:space="preserve">FC </w:t>
            </w:r>
            <w:r w:rsidRPr="002C5876">
              <w:rPr>
                <w:i/>
                <w:sz w:val="16"/>
                <w:szCs w:val="16"/>
                <w:lang w:eastAsia="ja-JP"/>
              </w:rPr>
              <w:br/>
              <w:t>(kg/100 km)</w:t>
            </w:r>
          </w:p>
        </w:tc>
        <w:tc>
          <w:tcPr>
            <w:tcW w:w="2126" w:type="dxa"/>
            <w:tcBorders>
              <w:bottom w:val="single" w:sz="12" w:space="0" w:color="auto"/>
            </w:tcBorders>
            <w:vAlign w:val="bottom"/>
          </w:tcPr>
          <w:p w:rsidR="00E24DB7" w:rsidRPr="002C5876" w:rsidRDefault="00E24DB7" w:rsidP="00E24DB7">
            <w:pPr>
              <w:pStyle w:val="SingleTxtG"/>
              <w:suppressAutoHyphens w:val="0"/>
              <w:spacing w:before="80" w:after="80" w:line="200" w:lineRule="exact"/>
              <w:ind w:left="57" w:right="57"/>
              <w:jc w:val="left"/>
              <w:rPr>
                <w:i/>
                <w:sz w:val="16"/>
                <w:szCs w:val="16"/>
                <w:lang w:eastAsia="ja-JP"/>
              </w:rPr>
            </w:pPr>
            <w:r w:rsidRPr="002C5876">
              <w:rPr>
                <w:i/>
                <w:sz w:val="16"/>
                <w:szCs w:val="16"/>
                <w:lang w:eastAsia="ja-JP"/>
              </w:rPr>
              <w:t>Consommation d’énergie électrique</w:t>
            </w:r>
            <w:r w:rsidRPr="002C5876">
              <w:rPr>
                <w:i/>
                <w:sz w:val="16"/>
                <w:szCs w:val="16"/>
                <w:vertAlign w:val="superscript"/>
                <w:lang w:eastAsia="ja-JP"/>
              </w:rPr>
              <w:t>3</w:t>
            </w:r>
            <w:r w:rsidRPr="002C5876">
              <w:rPr>
                <w:sz w:val="16"/>
                <w:szCs w:val="16"/>
                <w:vertAlign w:val="superscript"/>
                <w:lang w:eastAsia="ja-JP"/>
              </w:rPr>
              <w:t xml:space="preserve"> </w:t>
            </w:r>
            <w:r w:rsidRPr="002C5876">
              <w:rPr>
                <w:sz w:val="16"/>
                <w:szCs w:val="16"/>
                <w:vertAlign w:val="superscript"/>
                <w:lang w:eastAsia="ja-JP"/>
              </w:rPr>
              <w:br/>
            </w:r>
            <w:r w:rsidRPr="002C5876">
              <w:rPr>
                <w:i/>
                <w:sz w:val="16"/>
                <w:szCs w:val="16"/>
                <w:lang w:eastAsia="ja-JP"/>
              </w:rPr>
              <w:t>(Wh/km)</w:t>
            </w:r>
          </w:p>
        </w:tc>
        <w:tc>
          <w:tcPr>
            <w:tcW w:w="1979" w:type="dxa"/>
            <w:tcBorders>
              <w:bottom w:val="single" w:sz="12" w:space="0" w:color="auto"/>
            </w:tcBorders>
            <w:vAlign w:val="bottom"/>
          </w:tcPr>
          <w:p w:rsidR="00E24DB7" w:rsidRPr="002C5876" w:rsidRDefault="00E24DB7" w:rsidP="00E24DB7">
            <w:pPr>
              <w:pStyle w:val="SingleTxtG"/>
              <w:suppressAutoHyphens w:val="0"/>
              <w:spacing w:before="80" w:after="80" w:line="200" w:lineRule="exact"/>
              <w:ind w:left="57" w:right="57"/>
              <w:jc w:val="left"/>
              <w:rPr>
                <w:i/>
                <w:sz w:val="16"/>
                <w:szCs w:val="16"/>
                <w:lang w:eastAsia="ja-JP"/>
              </w:rPr>
            </w:pPr>
            <w:r w:rsidRPr="002C5876">
              <w:rPr>
                <w:i/>
                <w:sz w:val="16"/>
                <w:szCs w:val="16"/>
                <w:lang w:eastAsia="ja-JP"/>
              </w:rPr>
              <w:t>Autonomie en mode électrique pur</w:t>
            </w:r>
            <w:r w:rsidRPr="002C5876">
              <w:rPr>
                <w:i/>
                <w:sz w:val="16"/>
                <w:szCs w:val="16"/>
                <w:vertAlign w:val="superscript"/>
                <w:lang w:eastAsia="ja-JP"/>
              </w:rPr>
              <w:t>3</w:t>
            </w:r>
            <w:r w:rsidRPr="002C5876">
              <w:rPr>
                <w:sz w:val="16"/>
                <w:szCs w:val="16"/>
                <w:vertAlign w:val="superscript"/>
                <w:lang w:eastAsia="ja-JP"/>
              </w:rPr>
              <w:t xml:space="preserve"> </w:t>
            </w:r>
            <w:r w:rsidRPr="002C5876">
              <w:rPr>
                <w:sz w:val="16"/>
                <w:szCs w:val="16"/>
                <w:vertAlign w:val="superscript"/>
                <w:lang w:eastAsia="ja-JP"/>
              </w:rPr>
              <w:br/>
            </w:r>
            <w:r w:rsidRPr="002C5876">
              <w:rPr>
                <w:i/>
                <w:sz w:val="16"/>
                <w:szCs w:val="16"/>
                <w:lang w:eastAsia="ja-JP"/>
              </w:rPr>
              <w:t>(km)</w:t>
            </w:r>
          </w:p>
        </w:tc>
      </w:tr>
      <w:tr w:rsidR="00E24DB7" w:rsidRPr="002C5876" w:rsidTr="00E24DB7">
        <w:trPr>
          <w:trHeight w:val="445"/>
        </w:trPr>
        <w:tc>
          <w:tcPr>
            <w:tcW w:w="1605" w:type="dxa"/>
            <w:gridSpan w:val="2"/>
            <w:tcBorders>
              <w:top w:val="single" w:sz="12" w:space="0" w:color="auto"/>
            </w:tcBorders>
          </w:tcPr>
          <w:p w:rsidR="00E24DB7" w:rsidRPr="002C5876" w:rsidRDefault="00E24DB7" w:rsidP="00E24DB7">
            <w:pPr>
              <w:pStyle w:val="SingleTxtG"/>
              <w:suppressAutoHyphens w:val="0"/>
              <w:spacing w:before="60" w:after="60" w:line="240" w:lineRule="auto"/>
              <w:ind w:left="57" w:right="57"/>
              <w:jc w:val="left"/>
              <w:rPr>
                <w:rFonts w:eastAsia="MS Mincho"/>
                <w:sz w:val="16"/>
                <w:szCs w:val="16"/>
              </w:rPr>
            </w:pPr>
            <w:r w:rsidRPr="002C5876">
              <w:rPr>
                <w:sz w:val="18"/>
                <w:szCs w:val="18"/>
                <w:lang w:eastAsia="ja-JP"/>
              </w:rPr>
              <w:t xml:space="preserve">Véhicules soumis </w:t>
            </w:r>
            <w:r w:rsidRPr="002C5876">
              <w:rPr>
                <w:sz w:val="18"/>
                <w:szCs w:val="18"/>
                <w:lang w:eastAsia="ja-JP"/>
              </w:rPr>
              <w:br/>
              <w:t xml:space="preserve">à des essais conformément </w:t>
            </w:r>
            <w:r w:rsidRPr="002C5876">
              <w:rPr>
                <w:sz w:val="18"/>
                <w:szCs w:val="18"/>
                <w:lang w:eastAsia="ja-JP"/>
              </w:rPr>
              <w:br/>
              <w:t>à l’annexe 6 (équipés d’un moteur à combustion interne uniquement)</w:t>
            </w:r>
          </w:p>
        </w:tc>
        <w:tc>
          <w:tcPr>
            <w:tcW w:w="2198" w:type="dxa"/>
            <w:tcBorders>
              <w:top w:val="single" w:sz="12" w:space="0" w:color="auto"/>
            </w:tcBorders>
          </w:tcPr>
          <w:p w:rsidR="00E24DB7" w:rsidRPr="002C5876" w:rsidRDefault="00E24DB7" w:rsidP="00E24DB7">
            <w:pPr>
              <w:pStyle w:val="SingleTxtG"/>
              <w:suppressAutoHyphens w:val="0"/>
              <w:spacing w:before="60" w:after="60" w:line="240" w:lineRule="auto"/>
              <w:ind w:left="57" w:right="57"/>
              <w:jc w:val="left"/>
              <w:rPr>
                <w:sz w:val="18"/>
                <w:szCs w:val="18"/>
                <w:lang w:eastAsia="ja-JP"/>
              </w:rPr>
            </w:pPr>
            <w:r w:rsidRPr="002C5876">
              <w:rPr>
                <w:lang w:eastAsia="ja-JP"/>
              </w:rPr>
              <w:t>M</w:t>
            </w:r>
            <w:r w:rsidRPr="002C5876">
              <w:rPr>
                <w:vertAlign w:val="subscript"/>
                <w:lang w:eastAsia="ja-JP"/>
              </w:rPr>
              <w:t>CO2</w:t>
            </w:r>
          </w:p>
          <w:p w:rsidR="00E24DB7" w:rsidRPr="002C5876" w:rsidRDefault="00E24DB7" w:rsidP="00E24DB7">
            <w:pPr>
              <w:pStyle w:val="SingleTxtG"/>
              <w:suppressAutoHyphens w:val="0"/>
              <w:spacing w:before="60" w:after="60" w:line="240" w:lineRule="auto"/>
              <w:ind w:left="57" w:right="57"/>
              <w:jc w:val="left"/>
              <w:rPr>
                <w:sz w:val="18"/>
                <w:szCs w:val="18"/>
                <w:lang w:eastAsia="ja-JP"/>
              </w:rPr>
            </w:pPr>
            <w:r w:rsidRPr="002C5876">
              <w:rPr>
                <w:sz w:val="18"/>
                <w:szCs w:val="18"/>
                <w:lang w:eastAsia="ja-JP"/>
              </w:rPr>
              <w:t>Par. 3 de l’annexe 7</w:t>
            </w:r>
          </w:p>
        </w:tc>
        <w:tc>
          <w:tcPr>
            <w:tcW w:w="1623" w:type="dxa"/>
            <w:tcBorders>
              <w:top w:val="single" w:sz="12" w:space="0" w:color="auto"/>
            </w:tcBorders>
          </w:tcPr>
          <w:p w:rsidR="00E24DB7" w:rsidRPr="002C5876" w:rsidRDefault="00E24DB7" w:rsidP="00E24DB7">
            <w:pPr>
              <w:pStyle w:val="SingleTxtG"/>
              <w:suppressAutoHyphens w:val="0"/>
              <w:spacing w:before="60" w:after="60" w:line="240" w:lineRule="auto"/>
              <w:ind w:left="57" w:right="57"/>
              <w:jc w:val="left"/>
              <w:rPr>
                <w:sz w:val="18"/>
                <w:szCs w:val="18"/>
                <w:lang w:eastAsia="ja-JP"/>
              </w:rPr>
            </w:pPr>
            <w:r w:rsidRPr="002C5876">
              <w:rPr>
                <w:sz w:val="18"/>
                <w:szCs w:val="18"/>
                <w:lang w:eastAsia="ja-JP"/>
              </w:rPr>
              <w:t>-</w:t>
            </w:r>
          </w:p>
        </w:tc>
        <w:tc>
          <w:tcPr>
            <w:tcW w:w="2126" w:type="dxa"/>
            <w:tcBorders>
              <w:top w:val="single" w:sz="12" w:space="0" w:color="auto"/>
            </w:tcBorders>
          </w:tcPr>
          <w:p w:rsidR="00E24DB7" w:rsidRPr="002C5876" w:rsidRDefault="00E24DB7" w:rsidP="00E24DB7">
            <w:pPr>
              <w:pStyle w:val="SingleTxtG"/>
              <w:suppressAutoHyphens w:val="0"/>
              <w:spacing w:before="60" w:after="60" w:line="240" w:lineRule="auto"/>
              <w:ind w:left="57" w:right="57"/>
              <w:jc w:val="left"/>
              <w:rPr>
                <w:sz w:val="18"/>
                <w:szCs w:val="18"/>
                <w:lang w:eastAsia="ja-JP"/>
              </w:rPr>
            </w:pPr>
            <w:r w:rsidRPr="002C5876">
              <w:rPr>
                <w:sz w:val="18"/>
                <w:szCs w:val="18"/>
                <w:lang w:eastAsia="ja-JP"/>
              </w:rPr>
              <w:t>-</w:t>
            </w:r>
          </w:p>
        </w:tc>
        <w:tc>
          <w:tcPr>
            <w:tcW w:w="1979" w:type="dxa"/>
            <w:tcBorders>
              <w:top w:val="single" w:sz="12" w:space="0" w:color="auto"/>
            </w:tcBorders>
          </w:tcPr>
          <w:p w:rsidR="00E24DB7" w:rsidRPr="002C5876" w:rsidRDefault="00E24DB7" w:rsidP="00E24DB7">
            <w:pPr>
              <w:pStyle w:val="SingleTxtG"/>
              <w:suppressAutoHyphens w:val="0"/>
              <w:spacing w:before="60" w:after="60" w:line="240" w:lineRule="auto"/>
              <w:ind w:left="57" w:right="57"/>
              <w:jc w:val="left"/>
              <w:rPr>
                <w:sz w:val="18"/>
                <w:szCs w:val="18"/>
                <w:lang w:eastAsia="ja-JP"/>
              </w:rPr>
            </w:pPr>
            <w:r w:rsidRPr="002C5876">
              <w:rPr>
                <w:sz w:val="18"/>
                <w:szCs w:val="18"/>
                <w:lang w:eastAsia="ja-JP"/>
              </w:rPr>
              <w:t>-</w:t>
            </w:r>
          </w:p>
        </w:tc>
      </w:tr>
      <w:tr w:rsidR="00E24DB7" w:rsidRPr="002C5876" w:rsidTr="00E24DB7">
        <w:trPr>
          <w:trHeight w:val="445"/>
        </w:trPr>
        <w:tc>
          <w:tcPr>
            <w:tcW w:w="1605" w:type="dxa"/>
            <w:gridSpan w:val="2"/>
          </w:tcPr>
          <w:p w:rsidR="00E24DB7" w:rsidRPr="002C5876" w:rsidRDefault="00E24DB7" w:rsidP="00E24DB7">
            <w:pPr>
              <w:pStyle w:val="SingleTxtG"/>
              <w:suppressAutoHyphens w:val="0"/>
              <w:spacing w:before="60" w:after="60" w:line="240" w:lineRule="auto"/>
              <w:ind w:left="57" w:right="57"/>
              <w:jc w:val="left"/>
              <w:rPr>
                <w:sz w:val="18"/>
                <w:szCs w:val="18"/>
                <w:lang w:eastAsia="ja-JP"/>
              </w:rPr>
            </w:pPr>
            <w:r w:rsidRPr="002C5876">
              <w:rPr>
                <w:sz w:val="18"/>
                <w:szCs w:val="18"/>
                <w:lang w:eastAsia="ja-JP"/>
              </w:rPr>
              <w:t>VHPC-NRE</w:t>
            </w:r>
          </w:p>
        </w:tc>
        <w:tc>
          <w:tcPr>
            <w:tcW w:w="2198" w:type="dxa"/>
          </w:tcPr>
          <w:p w:rsidR="00E24DB7" w:rsidRPr="002C5876" w:rsidRDefault="00E24DB7" w:rsidP="00E24DB7">
            <w:pPr>
              <w:pStyle w:val="SingleTxtG"/>
              <w:suppressAutoHyphens w:val="0"/>
              <w:spacing w:before="60" w:after="60" w:line="240" w:lineRule="auto"/>
              <w:ind w:left="57" w:right="57"/>
              <w:jc w:val="left"/>
              <w:rPr>
                <w:sz w:val="18"/>
                <w:szCs w:val="18"/>
                <w:lang w:eastAsia="ja-JP"/>
              </w:rPr>
            </w:pPr>
            <w:r w:rsidRPr="002C5876">
              <w:rPr>
                <w:sz w:val="18"/>
                <w:szCs w:val="18"/>
                <w:lang w:eastAsia="ja-JP"/>
              </w:rPr>
              <w:t>-</w:t>
            </w:r>
          </w:p>
        </w:tc>
        <w:tc>
          <w:tcPr>
            <w:tcW w:w="1623" w:type="dxa"/>
          </w:tcPr>
          <w:p w:rsidR="00E24DB7" w:rsidRPr="002C5876" w:rsidRDefault="00E24DB7" w:rsidP="00E24DB7">
            <w:pPr>
              <w:pStyle w:val="SingleTxtG"/>
              <w:suppressAutoHyphens w:val="0"/>
              <w:spacing w:before="60" w:after="60" w:line="240" w:lineRule="auto"/>
              <w:ind w:left="57" w:right="57"/>
              <w:jc w:val="left"/>
              <w:rPr>
                <w:lang w:eastAsia="ja-JP"/>
              </w:rPr>
            </w:pPr>
            <w:r w:rsidRPr="002C5876">
              <w:rPr>
                <w:lang w:eastAsia="ja-JP"/>
              </w:rPr>
              <w:t>FC</w:t>
            </w:r>
            <w:r w:rsidRPr="002C5876">
              <w:rPr>
                <w:vertAlign w:val="subscript"/>
                <w:lang w:eastAsia="ja-JP"/>
              </w:rPr>
              <w:t>CS</w:t>
            </w:r>
          </w:p>
          <w:p w:rsidR="00E24DB7" w:rsidRPr="002C5876" w:rsidRDefault="00E24DB7" w:rsidP="00E24DB7">
            <w:pPr>
              <w:pStyle w:val="SingleTxtG"/>
              <w:suppressAutoHyphens w:val="0"/>
              <w:spacing w:before="60" w:after="60" w:line="240" w:lineRule="auto"/>
              <w:ind w:left="57" w:right="57"/>
              <w:jc w:val="left"/>
              <w:rPr>
                <w:sz w:val="18"/>
                <w:szCs w:val="18"/>
                <w:lang w:eastAsia="ja-JP"/>
              </w:rPr>
            </w:pPr>
            <w:r w:rsidRPr="002C5876">
              <w:rPr>
                <w:sz w:val="18"/>
                <w:szCs w:val="18"/>
                <w:lang w:eastAsia="ja-JP"/>
              </w:rPr>
              <w:t xml:space="preserve">Par. 4.2.1.2.1 </w:t>
            </w:r>
            <w:r w:rsidRPr="002C5876">
              <w:rPr>
                <w:sz w:val="18"/>
                <w:szCs w:val="18"/>
                <w:lang w:eastAsia="ja-JP"/>
              </w:rPr>
              <w:br/>
              <w:t>de l’annexe 8</w:t>
            </w:r>
          </w:p>
        </w:tc>
        <w:tc>
          <w:tcPr>
            <w:tcW w:w="2126" w:type="dxa"/>
          </w:tcPr>
          <w:p w:rsidR="00E24DB7" w:rsidRPr="002C5876" w:rsidRDefault="00E24DB7" w:rsidP="00E24DB7">
            <w:pPr>
              <w:pStyle w:val="SingleTxtG"/>
              <w:suppressAutoHyphens w:val="0"/>
              <w:spacing w:before="60" w:after="60" w:line="240" w:lineRule="auto"/>
              <w:ind w:left="57" w:right="57"/>
              <w:jc w:val="left"/>
              <w:rPr>
                <w:sz w:val="18"/>
                <w:szCs w:val="18"/>
                <w:lang w:eastAsia="ja-JP"/>
              </w:rPr>
            </w:pPr>
            <w:r w:rsidRPr="002C5876">
              <w:rPr>
                <w:sz w:val="18"/>
                <w:szCs w:val="18"/>
                <w:lang w:eastAsia="ja-JP"/>
              </w:rPr>
              <w:t>-</w:t>
            </w:r>
          </w:p>
        </w:tc>
        <w:tc>
          <w:tcPr>
            <w:tcW w:w="1979" w:type="dxa"/>
          </w:tcPr>
          <w:p w:rsidR="00E24DB7" w:rsidRPr="002C5876" w:rsidRDefault="00E24DB7" w:rsidP="00E24DB7">
            <w:pPr>
              <w:pStyle w:val="SingleTxtG"/>
              <w:suppressAutoHyphens w:val="0"/>
              <w:spacing w:before="60" w:after="60" w:line="240" w:lineRule="auto"/>
              <w:ind w:left="57" w:right="57"/>
              <w:jc w:val="left"/>
              <w:rPr>
                <w:sz w:val="18"/>
                <w:szCs w:val="18"/>
                <w:lang w:eastAsia="ja-JP"/>
              </w:rPr>
            </w:pPr>
            <w:r w:rsidRPr="002C5876">
              <w:rPr>
                <w:sz w:val="18"/>
                <w:szCs w:val="18"/>
                <w:lang w:eastAsia="ja-JP"/>
              </w:rPr>
              <w:t>-</w:t>
            </w:r>
          </w:p>
        </w:tc>
      </w:tr>
      <w:tr w:rsidR="00E24DB7" w:rsidRPr="002C5876" w:rsidTr="00E24DB7">
        <w:trPr>
          <w:trHeight w:val="445"/>
        </w:trPr>
        <w:tc>
          <w:tcPr>
            <w:tcW w:w="1605" w:type="dxa"/>
            <w:gridSpan w:val="2"/>
          </w:tcPr>
          <w:p w:rsidR="00E24DB7" w:rsidRPr="002C5876" w:rsidRDefault="00E24DB7" w:rsidP="00E24DB7">
            <w:pPr>
              <w:pStyle w:val="SingleTxtG"/>
              <w:suppressAutoHyphens w:val="0"/>
              <w:spacing w:before="60" w:after="60" w:line="240" w:lineRule="auto"/>
              <w:ind w:left="57" w:right="57"/>
              <w:jc w:val="left"/>
              <w:rPr>
                <w:rFonts w:eastAsia="MS Mincho"/>
                <w:sz w:val="16"/>
                <w:szCs w:val="16"/>
              </w:rPr>
            </w:pPr>
            <w:r w:rsidRPr="002C5876">
              <w:rPr>
                <w:sz w:val="18"/>
                <w:szCs w:val="18"/>
                <w:lang w:eastAsia="ja-JP"/>
              </w:rPr>
              <w:t>VHE-NRE</w:t>
            </w:r>
          </w:p>
        </w:tc>
        <w:tc>
          <w:tcPr>
            <w:tcW w:w="2198" w:type="dxa"/>
          </w:tcPr>
          <w:p w:rsidR="00E24DB7" w:rsidRPr="002C5876" w:rsidRDefault="00E24DB7" w:rsidP="00E24DB7">
            <w:pPr>
              <w:pStyle w:val="SingleTxtG"/>
              <w:suppressAutoHyphens w:val="0"/>
              <w:spacing w:before="60" w:after="60" w:line="240" w:lineRule="auto"/>
              <w:ind w:left="57" w:right="57"/>
              <w:jc w:val="left"/>
              <w:rPr>
                <w:sz w:val="18"/>
                <w:szCs w:val="18"/>
                <w:lang w:eastAsia="ja-JP"/>
              </w:rPr>
            </w:pPr>
            <w:r w:rsidRPr="002C5876">
              <w:rPr>
                <w:sz w:val="18"/>
                <w:szCs w:val="18"/>
                <w:lang w:eastAsia="ja-JP"/>
              </w:rPr>
              <w:t>M</w:t>
            </w:r>
            <w:r w:rsidRPr="002C5876">
              <w:rPr>
                <w:sz w:val="18"/>
                <w:szCs w:val="18"/>
                <w:vertAlign w:val="subscript"/>
                <w:lang w:eastAsia="ja-JP"/>
              </w:rPr>
              <w:t>CO2,CS</w:t>
            </w:r>
          </w:p>
          <w:p w:rsidR="00E24DB7" w:rsidRPr="002C5876" w:rsidRDefault="00E24DB7" w:rsidP="00E24DB7">
            <w:pPr>
              <w:pStyle w:val="SingleTxtG"/>
              <w:suppressAutoHyphens w:val="0"/>
              <w:spacing w:before="60" w:after="60" w:line="240" w:lineRule="auto"/>
              <w:ind w:left="57" w:right="57"/>
              <w:jc w:val="left"/>
              <w:rPr>
                <w:sz w:val="18"/>
                <w:szCs w:val="18"/>
                <w:lang w:eastAsia="ja-JP"/>
              </w:rPr>
            </w:pPr>
            <w:r w:rsidRPr="002C5876">
              <w:rPr>
                <w:sz w:val="18"/>
                <w:szCs w:val="18"/>
                <w:lang w:eastAsia="ja-JP"/>
              </w:rPr>
              <w:t>Par. 4.1.1 de l’annexe 8</w:t>
            </w:r>
          </w:p>
        </w:tc>
        <w:tc>
          <w:tcPr>
            <w:tcW w:w="1623" w:type="dxa"/>
          </w:tcPr>
          <w:p w:rsidR="00E24DB7" w:rsidRPr="002C5876" w:rsidRDefault="00E24DB7" w:rsidP="00E24DB7">
            <w:pPr>
              <w:pStyle w:val="SingleTxtG"/>
              <w:suppressAutoHyphens w:val="0"/>
              <w:spacing w:before="60" w:after="60" w:line="240" w:lineRule="auto"/>
              <w:ind w:left="57" w:right="57"/>
              <w:jc w:val="left"/>
              <w:rPr>
                <w:sz w:val="18"/>
                <w:szCs w:val="18"/>
                <w:lang w:eastAsia="ja-JP"/>
              </w:rPr>
            </w:pPr>
            <w:r w:rsidRPr="002C5876">
              <w:rPr>
                <w:sz w:val="18"/>
                <w:szCs w:val="18"/>
                <w:lang w:eastAsia="ja-JP"/>
              </w:rPr>
              <w:t>-</w:t>
            </w:r>
          </w:p>
        </w:tc>
        <w:tc>
          <w:tcPr>
            <w:tcW w:w="2126" w:type="dxa"/>
          </w:tcPr>
          <w:p w:rsidR="00E24DB7" w:rsidRPr="002C5876" w:rsidRDefault="00E24DB7" w:rsidP="00E24DB7">
            <w:pPr>
              <w:pStyle w:val="SingleTxtG"/>
              <w:suppressAutoHyphens w:val="0"/>
              <w:spacing w:before="60" w:after="60" w:line="240" w:lineRule="auto"/>
              <w:ind w:left="57" w:right="57"/>
              <w:jc w:val="left"/>
              <w:rPr>
                <w:sz w:val="18"/>
                <w:szCs w:val="18"/>
                <w:lang w:eastAsia="ja-JP"/>
              </w:rPr>
            </w:pPr>
            <w:r w:rsidRPr="002C5876">
              <w:rPr>
                <w:sz w:val="18"/>
                <w:szCs w:val="18"/>
                <w:lang w:eastAsia="ja-JP"/>
              </w:rPr>
              <w:t>-</w:t>
            </w:r>
          </w:p>
        </w:tc>
        <w:tc>
          <w:tcPr>
            <w:tcW w:w="1979" w:type="dxa"/>
          </w:tcPr>
          <w:p w:rsidR="00E24DB7" w:rsidRPr="002C5876" w:rsidRDefault="00E24DB7" w:rsidP="00E24DB7">
            <w:pPr>
              <w:pStyle w:val="SingleTxtG"/>
              <w:suppressAutoHyphens w:val="0"/>
              <w:spacing w:before="60" w:after="60" w:line="240" w:lineRule="auto"/>
              <w:ind w:left="57" w:right="57"/>
              <w:jc w:val="left"/>
              <w:rPr>
                <w:sz w:val="18"/>
                <w:szCs w:val="18"/>
                <w:lang w:eastAsia="ja-JP"/>
              </w:rPr>
            </w:pPr>
            <w:r w:rsidRPr="002C5876">
              <w:rPr>
                <w:sz w:val="18"/>
                <w:szCs w:val="18"/>
                <w:lang w:eastAsia="ja-JP"/>
              </w:rPr>
              <w:t>-</w:t>
            </w:r>
          </w:p>
        </w:tc>
      </w:tr>
      <w:tr w:rsidR="00E24DB7" w:rsidRPr="002C5876" w:rsidTr="00E24DB7">
        <w:trPr>
          <w:trHeight w:val="445"/>
        </w:trPr>
        <w:tc>
          <w:tcPr>
            <w:tcW w:w="873" w:type="dxa"/>
            <w:vMerge w:val="restart"/>
            <w:vAlign w:val="center"/>
          </w:tcPr>
          <w:p w:rsidR="00E24DB7" w:rsidRPr="002C5876" w:rsidRDefault="00E24DB7" w:rsidP="00E24DB7">
            <w:pPr>
              <w:pStyle w:val="SingleTxtG"/>
              <w:keepNext/>
              <w:suppressAutoHyphens w:val="0"/>
              <w:spacing w:before="60" w:after="60" w:line="240" w:lineRule="auto"/>
              <w:ind w:left="57" w:right="57"/>
              <w:jc w:val="left"/>
              <w:rPr>
                <w:sz w:val="18"/>
                <w:szCs w:val="18"/>
                <w:lang w:eastAsia="ja-JP"/>
              </w:rPr>
            </w:pPr>
            <w:r w:rsidRPr="002C5876">
              <w:rPr>
                <w:sz w:val="18"/>
                <w:szCs w:val="18"/>
                <w:lang w:eastAsia="ja-JP"/>
              </w:rPr>
              <w:t>VHE-RE</w:t>
            </w:r>
          </w:p>
        </w:tc>
        <w:tc>
          <w:tcPr>
            <w:tcW w:w="732" w:type="dxa"/>
          </w:tcPr>
          <w:p w:rsidR="00E24DB7" w:rsidRPr="002C5876" w:rsidRDefault="00E24DB7" w:rsidP="00E24DB7">
            <w:pPr>
              <w:pStyle w:val="SingleTxtG"/>
              <w:keepNext/>
              <w:suppressAutoHyphens w:val="0"/>
              <w:spacing w:before="60" w:after="60" w:line="240" w:lineRule="auto"/>
              <w:ind w:left="57" w:right="57"/>
              <w:jc w:val="left"/>
              <w:rPr>
                <w:rFonts w:eastAsia="MS Mincho"/>
                <w:sz w:val="16"/>
                <w:szCs w:val="16"/>
                <w:lang w:eastAsia="ja-JP"/>
              </w:rPr>
            </w:pPr>
            <w:r w:rsidRPr="002C5876">
              <w:rPr>
                <w:rFonts w:eastAsia="MS Mincho"/>
                <w:sz w:val="16"/>
                <w:szCs w:val="16"/>
                <w:lang w:eastAsia="ja-JP"/>
              </w:rPr>
              <w:t>CD</w:t>
            </w:r>
          </w:p>
        </w:tc>
        <w:tc>
          <w:tcPr>
            <w:tcW w:w="2198" w:type="dxa"/>
          </w:tcPr>
          <w:p w:rsidR="00E24DB7" w:rsidRPr="002C5876" w:rsidRDefault="00E24DB7" w:rsidP="00E24DB7">
            <w:pPr>
              <w:pStyle w:val="SingleTxtG"/>
              <w:keepNext/>
              <w:suppressAutoHyphens w:val="0"/>
              <w:spacing w:before="60" w:after="60" w:line="240" w:lineRule="auto"/>
              <w:ind w:left="57" w:right="57"/>
              <w:jc w:val="left"/>
              <w:rPr>
                <w:sz w:val="18"/>
                <w:szCs w:val="18"/>
                <w:vertAlign w:val="superscript"/>
                <w:lang w:eastAsia="ja-JP"/>
              </w:rPr>
            </w:pPr>
            <w:r w:rsidRPr="002C5876">
              <w:rPr>
                <w:sz w:val="18"/>
                <w:szCs w:val="18"/>
                <w:lang w:eastAsia="ja-JP"/>
              </w:rPr>
              <w:t>M</w:t>
            </w:r>
            <w:r w:rsidRPr="002C5876">
              <w:rPr>
                <w:sz w:val="18"/>
                <w:szCs w:val="18"/>
                <w:vertAlign w:val="subscript"/>
                <w:lang w:eastAsia="ja-JP"/>
              </w:rPr>
              <w:t>CO2,CD</w:t>
            </w:r>
          </w:p>
          <w:p w:rsidR="00E24DB7" w:rsidRPr="002C5876" w:rsidRDefault="00E24DB7" w:rsidP="00E24DB7">
            <w:pPr>
              <w:pStyle w:val="SingleTxtG"/>
              <w:keepNext/>
              <w:suppressAutoHyphens w:val="0"/>
              <w:spacing w:before="60" w:after="60" w:line="240" w:lineRule="auto"/>
              <w:ind w:left="57" w:right="57"/>
              <w:jc w:val="left"/>
              <w:rPr>
                <w:rFonts w:eastAsia="MS Mincho"/>
                <w:sz w:val="16"/>
                <w:szCs w:val="16"/>
                <w:lang w:eastAsia="ja-JP"/>
              </w:rPr>
            </w:pPr>
            <w:r w:rsidRPr="002C5876">
              <w:rPr>
                <w:sz w:val="18"/>
                <w:szCs w:val="18"/>
                <w:lang w:eastAsia="ja-JP"/>
              </w:rPr>
              <w:t>Par. 4.1.2 de l’annexe 8</w:t>
            </w:r>
          </w:p>
        </w:tc>
        <w:tc>
          <w:tcPr>
            <w:tcW w:w="1623" w:type="dxa"/>
          </w:tcPr>
          <w:p w:rsidR="00E24DB7" w:rsidRPr="002C5876" w:rsidRDefault="00E24DB7" w:rsidP="00E24DB7">
            <w:pPr>
              <w:pStyle w:val="SingleTxtG"/>
              <w:keepNext/>
              <w:suppressAutoHyphens w:val="0"/>
              <w:spacing w:before="60" w:after="60" w:line="240" w:lineRule="auto"/>
              <w:ind w:left="57" w:right="57"/>
              <w:jc w:val="left"/>
              <w:rPr>
                <w:sz w:val="18"/>
                <w:szCs w:val="18"/>
                <w:lang w:eastAsia="ja-JP"/>
              </w:rPr>
            </w:pPr>
            <w:r w:rsidRPr="002C5876">
              <w:rPr>
                <w:sz w:val="18"/>
                <w:szCs w:val="18"/>
                <w:lang w:eastAsia="ja-JP"/>
              </w:rPr>
              <w:t>-</w:t>
            </w:r>
          </w:p>
        </w:tc>
        <w:tc>
          <w:tcPr>
            <w:tcW w:w="2126" w:type="dxa"/>
          </w:tcPr>
          <w:p w:rsidR="00E24DB7" w:rsidRPr="002C5876" w:rsidRDefault="00E24DB7" w:rsidP="00E24DB7">
            <w:pPr>
              <w:pStyle w:val="SingleTxtG"/>
              <w:keepNext/>
              <w:suppressAutoHyphens w:val="0"/>
              <w:spacing w:before="60" w:after="60" w:line="240" w:lineRule="auto"/>
              <w:ind w:left="57" w:right="57"/>
              <w:jc w:val="left"/>
              <w:rPr>
                <w:sz w:val="18"/>
                <w:szCs w:val="18"/>
                <w:lang w:eastAsia="ja-JP"/>
              </w:rPr>
            </w:pPr>
            <w:r w:rsidRPr="002C5876">
              <w:rPr>
                <w:sz w:val="18"/>
                <w:szCs w:val="18"/>
                <w:lang w:eastAsia="ja-JP"/>
              </w:rPr>
              <w:t>EC</w:t>
            </w:r>
            <w:r w:rsidRPr="002C5876">
              <w:rPr>
                <w:sz w:val="18"/>
                <w:szCs w:val="18"/>
                <w:vertAlign w:val="subscript"/>
                <w:lang w:eastAsia="ja-JP"/>
              </w:rPr>
              <w:t>AC,CD</w:t>
            </w:r>
          </w:p>
          <w:p w:rsidR="00E24DB7" w:rsidRPr="002C5876" w:rsidRDefault="00E24DB7" w:rsidP="00E24DB7">
            <w:pPr>
              <w:pStyle w:val="SingleTxtG"/>
              <w:keepNext/>
              <w:suppressAutoHyphens w:val="0"/>
              <w:spacing w:before="60" w:after="60" w:line="240" w:lineRule="auto"/>
              <w:ind w:left="57" w:right="57"/>
              <w:jc w:val="left"/>
              <w:rPr>
                <w:rFonts w:eastAsia="MS Mincho"/>
                <w:spacing w:val="-2"/>
                <w:sz w:val="16"/>
                <w:szCs w:val="16"/>
                <w:vertAlign w:val="superscript"/>
                <w:lang w:eastAsia="ja-JP"/>
              </w:rPr>
            </w:pPr>
            <w:r w:rsidRPr="002C5876">
              <w:rPr>
                <w:spacing w:val="-2"/>
                <w:sz w:val="18"/>
                <w:szCs w:val="18"/>
                <w:lang w:eastAsia="ja-JP"/>
              </w:rPr>
              <w:t xml:space="preserve">Par. 4.3.1 </w:t>
            </w:r>
            <w:r w:rsidRPr="002C5876">
              <w:rPr>
                <w:sz w:val="18"/>
                <w:szCs w:val="18"/>
                <w:lang w:eastAsia="ja-JP"/>
              </w:rPr>
              <w:t xml:space="preserve">de l’annexe </w:t>
            </w:r>
            <w:r w:rsidRPr="002C5876">
              <w:rPr>
                <w:spacing w:val="-2"/>
                <w:sz w:val="18"/>
                <w:szCs w:val="18"/>
                <w:lang w:eastAsia="ja-JP"/>
              </w:rPr>
              <w:t>8</w:t>
            </w:r>
          </w:p>
        </w:tc>
        <w:tc>
          <w:tcPr>
            <w:tcW w:w="1979" w:type="dxa"/>
          </w:tcPr>
          <w:p w:rsidR="00E24DB7" w:rsidRPr="002C5876" w:rsidRDefault="00E24DB7" w:rsidP="00E24DB7">
            <w:pPr>
              <w:pStyle w:val="SingleTxtG"/>
              <w:keepNext/>
              <w:suppressAutoHyphens w:val="0"/>
              <w:spacing w:before="60" w:after="60" w:line="240" w:lineRule="auto"/>
              <w:ind w:left="57" w:right="57"/>
              <w:jc w:val="left"/>
              <w:rPr>
                <w:sz w:val="18"/>
                <w:szCs w:val="18"/>
                <w:lang w:eastAsia="ja-JP"/>
              </w:rPr>
            </w:pPr>
            <w:r w:rsidRPr="002C5876">
              <w:rPr>
                <w:sz w:val="18"/>
                <w:szCs w:val="18"/>
                <w:lang w:eastAsia="ja-JP"/>
              </w:rPr>
              <w:t>AER</w:t>
            </w:r>
          </w:p>
          <w:p w:rsidR="00E24DB7" w:rsidRPr="002C5876" w:rsidRDefault="00E24DB7" w:rsidP="00E24DB7">
            <w:pPr>
              <w:pStyle w:val="SingleTxtG"/>
              <w:keepNext/>
              <w:suppressAutoHyphens w:val="0"/>
              <w:spacing w:before="60" w:after="60" w:line="240" w:lineRule="auto"/>
              <w:ind w:left="57" w:right="57"/>
              <w:jc w:val="left"/>
              <w:rPr>
                <w:rFonts w:eastAsia="MS Mincho"/>
                <w:sz w:val="16"/>
                <w:szCs w:val="16"/>
                <w:lang w:eastAsia="ja-JP"/>
              </w:rPr>
            </w:pPr>
            <w:r w:rsidRPr="002C5876">
              <w:rPr>
                <w:spacing w:val="-2"/>
                <w:sz w:val="18"/>
                <w:szCs w:val="18"/>
                <w:lang w:eastAsia="ja-JP"/>
              </w:rPr>
              <w:t>Par. 4.4.1.1 de l’annexe 8</w:t>
            </w:r>
          </w:p>
        </w:tc>
      </w:tr>
      <w:tr w:rsidR="00E24DB7" w:rsidRPr="002C5876" w:rsidTr="00E24DB7">
        <w:trPr>
          <w:trHeight w:val="445"/>
        </w:trPr>
        <w:tc>
          <w:tcPr>
            <w:tcW w:w="873" w:type="dxa"/>
            <w:vMerge/>
            <w:tcBorders>
              <w:bottom w:val="single" w:sz="4" w:space="0" w:color="auto"/>
            </w:tcBorders>
          </w:tcPr>
          <w:p w:rsidR="00E24DB7" w:rsidRPr="002C5876" w:rsidRDefault="00E24DB7" w:rsidP="00E24DB7">
            <w:pPr>
              <w:pStyle w:val="SingleTxtG"/>
              <w:suppressAutoHyphens w:val="0"/>
              <w:spacing w:before="60" w:after="60" w:line="240" w:lineRule="auto"/>
              <w:ind w:left="57" w:right="57"/>
              <w:jc w:val="left"/>
              <w:rPr>
                <w:sz w:val="18"/>
                <w:szCs w:val="18"/>
                <w:lang w:eastAsia="ja-JP"/>
              </w:rPr>
            </w:pPr>
          </w:p>
        </w:tc>
        <w:tc>
          <w:tcPr>
            <w:tcW w:w="732" w:type="dxa"/>
            <w:tcBorders>
              <w:bottom w:val="single" w:sz="4" w:space="0" w:color="auto"/>
            </w:tcBorders>
          </w:tcPr>
          <w:p w:rsidR="00E24DB7" w:rsidRPr="002C5876" w:rsidRDefault="00E24DB7" w:rsidP="00E24DB7">
            <w:pPr>
              <w:pStyle w:val="SingleTxtG"/>
              <w:suppressAutoHyphens w:val="0"/>
              <w:spacing w:before="60" w:after="60" w:line="240" w:lineRule="auto"/>
              <w:ind w:left="57" w:right="57"/>
              <w:jc w:val="left"/>
              <w:rPr>
                <w:rFonts w:eastAsia="MS Mincho"/>
                <w:sz w:val="16"/>
                <w:szCs w:val="16"/>
                <w:lang w:eastAsia="ja-JP"/>
              </w:rPr>
            </w:pPr>
            <w:r w:rsidRPr="002C5876">
              <w:rPr>
                <w:rFonts w:eastAsia="MS Mincho"/>
                <w:sz w:val="16"/>
                <w:szCs w:val="16"/>
                <w:lang w:eastAsia="ja-JP"/>
              </w:rPr>
              <w:t>CS</w:t>
            </w:r>
          </w:p>
        </w:tc>
        <w:tc>
          <w:tcPr>
            <w:tcW w:w="2198" w:type="dxa"/>
            <w:tcBorders>
              <w:bottom w:val="single" w:sz="4" w:space="0" w:color="auto"/>
            </w:tcBorders>
          </w:tcPr>
          <w:p w:rsidR="00E24DB7" w:rsidRPr="002C5876" w:rsidRDefault="00E24DB7" w:rsidP="00E24DB7">
            <w:pPr>
              <w:pStyle w:val="SingleTxtG"/>
              <w:suppressAutoHyphens w:val="0"/>
              <w:spacing w:before="60" w:after="60" w:line="240" w:lineRule="auto"/>
              <w:ind w:left="57" w:right="57"/>
              <w:jc w:val="left"/>
              <w:rPr>
                <w:sz w:val="18"/>
                <w:szCs w:val="18"/>
                <w:lang w:eastAsia="ja-JP"/>
              </w:rPr>
            </w:pPr>
            <w:r w:rsidRPr="002C5876">
              <w:rPr>
                <w:sz w:val="18"/>
                <w:szCs w:val="18"/>
                <w:lang w:eastAsia="ja-JP"/>
              </w:rPr>
              <w:t>M</w:t>
            </w:r>
            <w:r w:rsidRPr="002C5876">
              <w:rPr>
                <w:sz w:val="18"/>
                <w:szCs w:val="18"/>
                <w:vertAlign w:val="subscript"/>
                <w:lang w:eastAsia="ja-JP"/>
              </w:rPr>
              <w:t>CO2,CS</w:t>
            </w:r>
          </w:p>
          <w:p w:rsidR="00E24DB7" w:rsidRPr="002C5876" w:rsidRDefault="00E24DB7" w:rsidP="00E24DB7">
            <w:pPr>
              <w:pStyle w:val="SingleTxtG"/>
              <w:suppressAutoHyphens w:val="0"/>
              <w:spacing w:before="60" w:after="60" w:line="240" w:lineRule="auto"/>
              <w:ind w:left="57" w:right="57"/>
              <w:jc w:val="left"/>
              <w:rPr>
                <w:rFonts w:eastAsia="MS Mincho"/>
                <w:sz w:val="16"/>
                <w:szCs w:val="16"/>
                <w:lang w:eastAsia="ja-JP"/>
              </w:rPr>
            </w:pPr>
            <w:r w:rsidRPr="002C5876">
              <w:rPr>
                <w:sz w:val="18"/>
                <w:szCs w:val="18"/>
                <w:lang w:eastAsia="ja-JP"/>
              </w:rPr>
              <w:t>Par. 4.1.1 de l’annexe 8</w:t>
            </w:r>
          </w:p>
        </w:tc>
        <w:tc>
          <w:tcPr>
            <w:tcW w:w="1623" w:type="dxa"/>
            <w:tcBorders>
              <w:bottom w:val="single" w:sz="4" w:space="0" w:color="auto"/>
            </w:tcBorders>
          </w:tcPr>
          <w:p w:rsidR="00E24DB7" w:rsidRPr="002C5876" w:rsidRDefault="00E24DB7" w:rsidP="00E24DB7">
            <w:pPr>
              <w:pStyle w:val="SingleTxtG"/>
              <w:suppressAutoHyphens w:val="0"/>
              <w:spacing w:before="60" w:after="60" w:line="240" w:lineRule="auto"/>
              <w:ind w:left="57" w:right="57"/>
              <w:jc w:val="left"/>
              <w:rPr>
                <w:rFonts w:eastAsia="MS Mincho"/>
                <w:sz w:val="16"/>
                <w:szCs w:val="16"/>
                <w:lang w:eastAsia="ja-JP"/>
              </w:rPr>
            </w:pPr>
            <w:r w:rsidRPr="002C5876">
              <w:rPr>
                <w:rFonts w:eastAsia="MS Mincho"/>
                <w:sz w:val="16"/>
                <w:szCs w:val="16"/>
                <w:lang w:eastAsia="ja-JP"/>
              </w:rPr>
              <w:t>-</w:t>
            </w:r>
          </w:p>
        </w:tc>
        <w:tc>
          <w:tcPr>
            <w:tcW w:w="2126" w:type="dxa"/>
            <w:tcBorders>
              <w:bottom w:val="single" w:sz="4" w:space="0" w:color="auto"/>
            </w:tcBorders>
          </w:tcPr>
          <w:p w:rsidR="00E24DB7" w:rsidRPr="002C5876" w:rsidRDefault="00E24DB7" w:rsidP="00E24DB7">
            <w:pPr>
              <w:pStyle w:val="SingleTxtG"/>
              <w:suppressAutoHyphens w:val="0"/>
              <w:spacing w:before="60" w:after="60" w:line="240" w:lineRule="auto"/>
              <w:ind w:left="57" w:right="57"/>
              <w:jc w:val="left"/>
              <w:rPr>
                <w:rFonts w:eastAsia="MS Mincho"/>
                <w:sz w:val="16"/>
                <w:szCs w:val="16"/>
                <w:lang w:eastAsia="ja-JP"/>
              </w:rPr>
            </w:pPr>
            <w:r w:rsidRPr="002C5876">
              <w:rPr>
                <w:rFonts w:eastAsia="MS Mincho"/>
                <w:sz w:val="16"/>
                <w:szCs w:val="16"/>
                <w:lang w:eastAsia="ja-JP"/>
              </w:rPr>
              <w:t>-</w:t>
            </w:r>
          </w:p>
        </w:tc>
        <w:tc>
          <w:tcPr>
            <w:tcW w:w="1979" w:type="dxa"/>
            <w:tcBorders>
              <w:bottom w:val="single" w:sz="4" w:space="0" w:color="auto"/>
            </w:tcBorders>
          </w:tcPr>
          <w:p w:rsidR="00E24DB7" w:rsidRPr="002C5876" w:rsidRDefault="00E24DB7" w:rsidP="00E24DB7">
            <w:pPr>
              <w:pStyle w:val="SingleTxtG"/>
              <w:suppressAutoHyphens w:val="0"/>
              <w:spacing w:before="60" w:after="60" w:line="240" w:lineRule="auto"/>
              <w:ind w:left="57" w:right="57"/>
              <w:jc w:val="left"/>
              <w:rPr>
                <w:rFonts w:eastAsia="MS Mincho"/>
                <w:sz w:val="16"/>
                <w:szCs w:val="16"/>
                <w:lang w:eastAsia="ja-JP"/>
              </w:rPr>
            </w:pPr>
            <w:r w:rsidRPr="002C5876">
              <w:rPr>
                <w:rFonts w:eastAsia="MS Mincho"/>
                <w:sz w:val="16"/>
                <w:szCs w:val="16"/>
                <w:lang w:eastAsia="ja-JP"/>
              </w:rPr>
              <w:t>-</w:t>
            </w:r>
          </w:p>
        </w:tc>
      </w:tr>
      <w:tr w:rsidR="00E24DB7" w:rsidRPr="002C5876" w:rsidTr="00E24DB7">
        <w:trPr>
          <w:trHeight w:val="445"/>
        </w:trPr>
        <w:tc>
          <w:tcPr>
            <w:tcW w:w="1605" w:type="dxa"/>
            <w:gridSpan w:val="2"/>
            <w:tcBorders>
              <w:bottom w:val="single" w:sz="12" w:space="0" w:color="auto"/>
            </w:tcBorders>
          </w:tcPr>
          <w:p w:rsidR="00E24DB7" w:rsidRPr="002C5876" w:rsidRDefault="00E24DB7" w:rsidP="00E24DB7">
            <w:pPr>
              <w:pStyle w:val="SingleTxtG"/>
              <w:suppressAutoHyphens w:val="0"/>
              <w:spacing w:before="60" w:after="60" w:line="240" w:lineRule="auto"/>
              <w:ind w:left="57" w:right="57"/>
              <w:jc w:val="left"/>
              <w:rPr>
                <w:rFonts w:eastAsia="MS Mincho"/>
                <w:sz w:val="16"/>
                <w:szCs w:val="16"/>
              </w:rPr>
            </w:pPr>
            <w:r w:rsidRPr="002C5876">
              <w:rPr>
                <w:sz w:val="18"/>
                <w:szCs w:val="18"/>
                <w:lang w:eastAsia="ja-JP"/>
              </w:rPr>
              <w:t>PEV</w:t>
            </w:r>
          </w:p>
        </w:tc>
        <w:tc>
          <w:tcPr>
            <w:tcW w:w="2198" w:type="dxa"/>
            <w:tcBorders>
              <w:bottom w:val="single" w:sz="12" w:space="0" w:color="auto"/>
            </w:tcBorders>
          </w:tcPr>
          <w:p w:rsidR="00E24DB7" w:rsidRPr="002C5876" w:rsidRDefault="00E24DB7" w:rsidP="00E24DB7">
            <w:pPr>
              <w:pStyle w:val="SingleTxtG"/>
              <w:suppressAutoHyphens w:val="0"/>
              <w:spacing w:before="60" w:after="60" w:line="240" w:lineRule="auto"/>
              <w:ind w:left="57" w:right="57"/>
              <w:jc w:val="left"/>
              <w:rPr>
                <w:rFonts w:eastAsia="MS Mincho"/>
                <w:sz w:val="16"/>
                <w:szCs w:val="16"/>
                <w:lang w:eastAsia="ja-JP"/>
              </w:rPr>
            </w:pPr>
            <w:r w:rsidRPr="002C5876">
              <w:rPr>
                <w:rFonts w:eastAsia="MS Mincho"/>
                <w:sz w:val="16"/>
                <w:szCs w:val="16"/>
                <w:lang w:eastAsia="ja-JP"/>
              </w:rPr>
              <w:t>-</w:t>
            </w:r>
          </w:p>
        </w:tc>
        <w:tc>
          <w:tcPr>
            <w:tcW w:w="1623" w:type="dxa"/>
            <w:tcBorders>
              <w:bottom w:val="single" w:sz="12" w:space="0" w:color="auto"/>
            </w:tcBorders>
          </w:tcPr>
          <w:p w:rsidR="00E24DB7" w:rsidRPr="002C5876" w:rsidRDefault="00E24DB7" w:rsidP="00E24DB7">
            <w:pPr>
              <w:pStyle w:val="SingleTxtG"/>
              <w:suppressAutoHyphens w:val="0"/>
              <w:spacing w:before="60" w:after="60" w:line="240" w:lineRule="auto"/>
              <w:ind w:left="57" w:right="57"/>
              <w:jc w:val="left"/>
              <w:rPr>
                <w:sz w:val="18"/>
                <w:szCs w:val="18"/>
                <w:lang w:eastAsia="ja-JP"/>
              </w:rPr>
            </w:pPr>
            <w:r w:rsidRPr="002C5876">
              <w:rPr>
                <w:sz w:val="18"/>
                <w:szCs w:val="18"/>
                <w:lang w:eastAsia="ja-JP"/>
              </w:rPr>
              <w:t>-</w:t>
            </w:r>
          </w:p>
        </w:tc>
        <w:tc>
          <w:tcPr>
            <w:tcW w:w="2126" w:type="dxa"/>
            <w:tcBorders>
              <w:bottom w:val="single" w:sz="12" w:space="0" w:color="auto"/>
            </w:tcBorders>
          </w:tcPr>
          <w:p w:rsidR="00E24DB7" w:rsidRPr="002C5876" w:rsidRDefault="00E24DB7" w:rsidP="00E24DB7">
            <w:pPr>
              <w:pStyle w:val="SingleTxtG"/>
              <w:suppressAutoHyphens w:val="0"/>
              <w:spacing w:before="60" w:after="60" w:line="240" w:lineRule="auto"/>
              <w:ind w:left="57" w:right="57"/>
              <w:jc w:val="left"/>
              <w:rPr>
                <w:sz w:val="18"/>
                <w:szCs w:val="18"/>
                <w:lang w:eastAsia="ja-JP"/>
              </w:rPr>
            </w:pPr>
            <w:r w:rsidRPr="002C5876">
              <w:rPr>
                <w:sz w:val="18"/>
                <w:szCs w:val="18"/>
                <w:lang w:eastAsia="ja-JP"/>
              </w:rPr>
              <w:t>EC</w:t>
            </w:r>
            <w:r w:rsidRPr="002C5876">
              <w:rPr>
                <w:sz w:val="18"/>
                <w:szCs w:val="18"/>
                <w:vertAlign w:val="subscript"/>
                <w:lang w:eastAsia="ja-JP"/>
              </w:rPr>
              <w:t>WLTC</w:t>
            </w:r>
          </w:p>
          <w:p w:rsidR="00E24DB7" w:rsidRPr="002C5876" w:rsidRDefault="00E24DB7" w:rsidP="00E24DB7">
            <w:pPr>
              <w:pStyle w:val="SingleTxtG"/>
              <w:suppressAutoHyphens w:val="0"/>
              <w:spacing w:before="60" w:after="60" w:line="240" w:lineRule="auto"/>
              <w:ind w:left="57" w:right="57"/>
              <w:jc w:val="left"/>
              <w:rPr>
                <w:rFonts w:eastAsia="MS Mincho"/>
                <w:sz w:val="16"/>
                <w:szCs w:val="16"/>
                <w:lang w:eastAsia="ja-JP"/>
              </w:rPr>
            </w:pPr>
            <w:r w:rsidRPr="002C5876">
              <w:rPr>
                <w:spacing w:val="-2"/>
                <w:sz w:val="18"/>
                <w:szCs w:val="18"/>
                <w:lang w:eastAsia="ja-JP"/>
              </w:rPr>
              <w:t xml:space="preserve">Par. 4.3.4.2 </w:t>
            </w:r>
            <w:r w:rsidRPr="002C5876">
              <w:rPr>
                <w:sz w:val="18"/>
                <w:szCs w:val="18"/>
                <w:lang w:eastAsia="ja-JP"/>
              </w:rPr>
              <w:t>de l’annexe</w:t>
            </w:r>
            <w:r w:rsidRPr="002C5876">
              <w:rPr>
                <w:spacing w:val="-2"/>
                <w:sz w:val="18"/>
                <w:szCs w:val="18"/>
                <w:lang w:eastAsia="ja-JP"/>
              </w:rPr>
              <w:t xml:space="preserve"> 8</w:t>
            </w:r>
          </w:p>
        </w:tc>
        <w:tc>
          <w:tcPr>
            <w:tcW w:w="1979" w:type="dxa"/>
            <w:tcBorders>
              <w:bottom w:val="single" w:sz="12" w:space="0" w:color="auto"/>
            </w:tcBorders>
          </w:tcPr>
          <w:p w:rsidR="00E24DB7" w:rsidRPr="002C5876" w:rsidRDefault="00E24DB7" w:rsidP="00E24DB7">
            <w:pPr>
              <w:pStyle w:val="SingleTxtG"/>
              <w:suppressAutoHyphens w:val="0"/>
              <w:spacing w:before="60" w:after="60" w:line="240" w:lineRule="auto"/>
              <w:ind w:left="57" w:right="57"/>
              <w:jc w:val="left"/>
              <w:rPr>
                <w:sz w:val="18"/>
                <w:szCs w:val="18"/>
                <w:lang w:eastAsia="ja-JP"/>
              </w:rPr>
            </w:pPr>
            <w:r w:rsidRPr="002C5876">
              <w:rPr>
                <w:sz w:val="18"/>
                <w:szCs w:val="18"/>
                <w:lang w:eastAsia="ja-JP"/>
              </w:rPr>
              <w:t>PER</w:t>
            </w:r>
            <w:r w:rsidRPr="002C5876">
              <w:rPr>
                <w:sz w:val="18"/>
                <w:szCs w:val="18"/>
                <w:vertAlign w:val="subscript"/>
                <w:lang w:eastAsia="ja-JP"/>
              </w:rPr>
              <w:t>WLTC</w:t>
            </w:r>
          </w:p>
          <w:p w:rsidR="00E24DB7" w:rsidRPr="002C5876" w:rsidRDefault="00E24DB7" w:rsidP="00E24DB7">
            <w:pPr>
              <w:pStyle w:val="SingleTxtG"/>
              <w:suppressAutoHyphens w:val="0"/>
              <w:spacing w:before="60" w:after="60" w:line="240" w:lineRule="auto"/>
              <w:ind w:left="57" w:right="57"/>
              <w:jc w:val="left"/>
              <w:rPr>
                <w:rFonts w:eastAsia="MS Mincho"/>
                <w:sz w:val="16"/>
                <w:szCs w:val="16"/>
                <w:lang w:eastAsia="ja-JP"/>
              </w:rPr>
            </w:pPr>
            <w:r w:rsidRPr="002C5876">
              <w:rPr>
                <w:sz w:val="18"/>
                <w:szCs w:val="18"/>
                <w:lang w:eastAsia="ja-JP"/>
              </w:rPr>
              <w:t>Par. 4.4.2 de l’annexe 8</w:t>
            </w:r>
          </w:p>
        </w:tc>
      </w:tr>
    </w:tbl>
    <w:p w:rsidR="00E24DB7" w:rsidRPr="002C5876" w:rsidRDefault="00E24DB7" w:rsidP="00E24DB7">
      <w:pPr>
        <w:spacing w:before="120"/>
        <w:ind w:firstLine="170"/>
        <w:rPr>
          <w:sz w:val="18"/>
          <w:szCs w:val="18"/>
          <w:lang w:eastAsia="ja-JP"/>
        </w:rPr>
      </w:pPr>
      <w:r w:rsidRPr="002C5876">
        <w:rPr>
          <w:i/>
          <w:sz w:val="18"/>
          <w:szCs w:val="18"/>
          <w:vertAlign w:val="superscript"/>
          <w:lang w:eastAsia="ja-JP"/>
        </w:rPr>
        <w:t>1</w:t>
      </w:r>
      <w:r w:rsidRPr="002C5876">
        <w:rPr>
          <w:sz w:val="18"/>
          <w:szCs w:val="18"/>
          <w:lang w:eastAsia="ja-JP"/>
        </w:rPr>
        <w:t xml:space="preserve">  La valeur déclarée doit être la valeur à laquelle les corrections nécessaires sont appliquées (correction Ki et autres corrections régionales).</w:t>
      </w:r>
    </w:p>
    <w:p w:rsidR="00E24DB7" w:rsidRPr="002C5876" w:rsidRDefault="00E24DB7" w:rsidP="00E24DB7">
      <w:pPr>
        <w:ind w:firstLine="170"/>
        <w:rPr>
          <w:sz w:val="18"/>
          <w:szCs w:val="18"/>
          <w:lang w:eastAsia="ja-JP"/>
        </w:rPr>
      </w:pPr>
      <w:r w:rsidRPr="002C5876">
        <w:rPr>
          <w:i/>
          <w:sz w:val="18"/>
          <w:szCs w:val="18"/>
          <w:vertAlign w:val="superscript"/>
          <w:lang w:eastAsia="ja-JP"/>
        </w:rPr>
        <w:t>2</w:t>
      </w:r>
      <w:r w:rsidRPr="002C5876">
        <w:rPr>
          <w:sz w:val="18"/>
          <w:szCs w:val="18"/>
          <w:lang w:eastAsia="ja-JP"/>
        </w:rPr>
        <w:t xml:space="preserve">  Arrondir comme suit : xxx.xx.</w:t>
      </w:r>
    </w:p>
    <w:p w:rsidR="00E24DB7" w:rsidRPr="002C5876" w:rsidRDefault="00E24DB7" w:rsidP="00E24DB7">
      <w:pPr>
        <w:spacing w:after="240"/>
        <w:ind w:firstLine="170"/>
        <w:rPr>
          <w:sz w:val="18"/>
          <w:szCs w:val="18"/>
          <w:lang w:eastAsia="ja-JP"/>
        </w:rPr>
      </w:pPr>
      <w:r w:rsidRPr="002C5876">
        <w:rPr>
          <w:i/>
          <w:sz w:val="18"/>
          <w:szCs w:val="18"/>
          <w:vertAlign w:val="superscript"/>
          <w:lang w:eastAsia="ja-JP"/>
        </w:rPr>
        <w:lastRenderedPageBreak/>
        <w:t>3</w:t>
      </w:r>
      <w:r w:rsidRPr="002C5876">
        <w:rPr>
          <w:sz w:val="18"/>
          <w:szCs w:val="18"/>
          <w:lang w:eastAsia="ja-JP"/>
        </w:rPr>
        <w:t xml:space="preserve">  Arrondir comme suit : xxx.x.</w:t>
      </w:r>
    </w:p>
    <w:p w:rsidR="00E24DB7" w:rsidRPr="002C5876" w:rsidRDefault="00E24DB7" w:rsidP="00E24DB7">
      <w:pPr>
        <w:pStyle w:val="Heading1"/>
        <w:spacing w:after="120" w:line="240" w:lineRule="atLeast"/>
        <w:rPr>
          <w:b/>
        </w:rPr>
      </w:pPr>
      <w:r w:rsidRPr="002C5876">
        <w:t>Figure A6/1</w:t>
      </w:r>
      <w:r w:rsidRPr="002C5876">
        <w:br/>
      </w:r>
      <w:r w:rsidRPr="002C5876">
        <w:rPr>
          <w:b/>
        </w:rPr>
        <w:t>Diagramme de décision relatif au nombre d’essais de type 1 à réaliser</w:t>
      </w:r>
    </w:p>
    <w:p w:rsidR="00E24DB7" w:rsidRPr="002C5876" w:rsidRDefault="00E24DB7" w:rsidP="00E24DB7">
      <w:pPr>
        <w:ind w:left="1134"/>
      </w:pPr>
      <w:r w:rsidRPr="002C5876">
        <w:rPr>
          <w:noProof/>
          <w:lang w:val="en-GB" w:eastAsia="zh-CN"/>
        </w:rPr>
        <mc:AlternateContent>
          <mc:Choice Requires="wps">
            <w:drawing>
              <wp:anchor distT="0" distB="0" distL="114300" distR="114300" simplePos="0" relativeHeight="251066368" behindDoc="0" locked="0" layoutInCell="1" allowOverlap="1" wp14:anchorId="180EDFFE" wp14:editId="0DB3BEBC">
                <wp:simplePos x="0" y="0"/>
                <wp:positionH relativeFrom="column">
                  <wp:posOffset>2880360</wp:posOffset>
                </wp:positionH>
                <wp:positionV relativeFrom="paragraph">
                  <wp:posOffset>3030220</wp:posOffset>
                </wp:positionV>
                <wp:extent cx="330200" cy="95250"/>
                <wp:effectExtent l="0" t="0" r="0" b="0"/>
                <wp:wrapNone/>
                <wp:docPr id="7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95250"/>
                        </a:xfrm>
                        <a:prstGeom prst="rect">
                          <a:avLst/>
                        </a:prstGeom>
                        <a:solidFill>
                          <a:schemeClr val="lt1"/>
                        </a:solidFill>
                        <a:ln w="9525">
                          <a:noFill/>
                          <a:miter lim="800000"/>
                          <a:headEnd/>
                          <a:tailEnd/>
                        </a:ln>
                      </wps:spPr>
                      <wps:txbx>
                        <w:txbxContent>
                          <w:p w:rsidR="00D53F39" w:rsidRPr="003D2B4B" w:rsidRDefault="00D53F39" w:rsidP="00E24DB7">
                            <w:pPr>
                              <w:spacing w:line="160" w:lineRule="exact"/>
                              <w:jc w:val="center"/>
                              <w:rPr>
                                <w:sz w:val="18"/>
                                <w:szCs w:val="18"/>
                              </w:rPr>
                            </w:pPr>
                            <w:r>
                              <w:rPr>
                                <w:sz w:val="18"/>
                                <w:szCs w:val="18"/>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EDFFE" id="_x0000_s1465" type="#_x0000_t202" style="position:absolute;left:0;text-align:left;margin-left:226.8pt;margin-top:238.6pt;width:26pt;height:7.5pt;z-index:2510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" fillcolor="white [3201]" stroked="f">
                <v:textbox inset="0,0,0,0">
                  <w:txbxContent>
                    <w:p w:rsidR="00D53F39" w:rsidRPr="003D2B4B" w:rsidRDefault="00D53F39" w:rsidP="00E24DB7">
                      <w:pPr>
                        <w:spacing w:line="160" w:lineRule="exact"/>
                        <w:jc w:val="center"/>
                        <w:rPr>
                          <w:sz w:val="18"/>
                          <w:szCs w:val="18"/>
                        </w:rPr>
                      </w:pPr>
                      <w:r>
                        <w:rPr>
                          <w:sz w:val="18"/>
                          <w:szCs w:val="18"/>
                        </w:rPr>
                        <w:t>Non</w:t>
                      </w:r>
                    </w:p>
                  </w:txbxContent>
                </v:textbox>
              </v:shape>
            </w:pict>
          </mc:Fallback>
        </mc:AlternateContent>
      </w:r>
      <w:r w:rsidRPr="002C5876">
        <w:rPr>
          <w:noProof/>
          <w:lang w:val="en-GB" w:eastAsia="zh-CN"/>
        </w:rPr>
        <mc:AlternateContent>
          <mc:Choice Requires="wps">
            <w:drawing>
              <wp:anchor distT="0" distB="0" distL="114300" distR="114300" simplePos="0" relativeHeight="251065344" behindDoc="0" locked="0" layoutInCell="1" allowOverlap="1" wp14:anchorId="43A8F343" wp14:editId="43891753">
                <wp:simplePos x="0" y="0"/>
                <wp:positionH relativeFrom="column">
                  <wp:posOffset>3246798</wp:posOffset>
                </wp:positionH>
                <wp:positionV relativeFrom="paragraph">
                  <wp:posOffset>2195021</wp:posOffset>
                </wp:positionV>
                <wp:extent cx="250520" cy="137786"/>
                <wp:effectExtent l="0" t="0" r="0" b="0"/>
                <wp:wrapNone/>
                <wp:docPr id="14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20" cy="137786"/>
                        </a:xfrm>
                        <a:prstGeom prst="rect">
                          <a:avLst/>
                        </a:prstGeom>
                        <a:solidFill>
                          <a:schemeClr val="lt1"/>
                        </a:solidFill>
                        <a:ln w="9525">
                          <a:noFill/>
                          <a:miter lim="800000"/>
                          <a:headEnd/>
                          <a:tailEnd/>
                        </a:ln>
                      </wps:spPr>
                      <wps:txbx>
                        <w:txbxContent>
                          <w:p w:rsidR="00D53F39" w:rsidRPr="003D2B4B" w:rsidRDefault="00D53F39" w:rsidP="00E24DB7">
                            <w:pPr>
                              <w:spacing w:line="240" w:lineRule="auto"/>
                              <w:rPr>
                                <w:sz w:val="18"/>
                                <w:szCs w:val="18"/>
                              </w:rPr>
                            </w:pPr>
                            <w:r>
                              <w:rPr>
                                <w:sz w:val="18"/>
                                <w:szCs w:val="18"/>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8F343" id="_x0000_s1466" type="#_x0000_t202" style="position:absolute;left:0;text-align:left;margin-left:255.65pt;margin-top:172.85pt;width:19.75pt;height:10.85pt;z-index:2510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" fillcolor="white [3201]" stroked="f">
                <v:textbox inset="0,0,0,0">
                  <w:txbxContent>
                    <w:p w:rsidR="00D53F39" w:rsidRPr="003D2B4B" w:rsidRDefault="00D53F39" w:rsidP="00E24DB7">
                      <w:pPr>
                        <w:spacing w:line="240" w:lineRule="auto"/>
                        <w:rPr>
                          <w:sz w:val="18"/>
                          <w:szCs w:val="18"/>
                        </w:rPr>
                      </w:pPr>
                      <w:r>
                        <w:rPr>
                          <w:sz w:val="18"/>
                          <w:szCs w:val="18"/>
                        </w:rPr>
                        <w:t>Non</w:t>
                      </w:r>
                    </w:p>
                  </w:txbxContent>
                </v:textbox>
              </v:shape>
            </w:pict>
          </mc:Fallback>
        </mc:AlternateContent>
      </w:r>
      <w:r w:rsidRPr="002C5876">
        <w:rPr>
          <w:noProof/>
          <w:lang w:val="en-GB" w:eastAsia="zh-CN"/>
        </w:rPr>
        <mc:AlternateContent>
          <mc:Choice Requires="wps">
            <w:drawing>
              <wp:anchor distT="0" distB="0" distL="114300" distR="114300" simplePos="0" relativeHeight="251064320" behindDoc="0" locked="0" layoutInCell="1" allowOverlap="1" wp14:anchorId="7D5097A7" wp14:editId="17D6CCF8">
                <wp:simplePos x="0" y="0"/>
                <wp:positionH relativeFrom="column">
                  <wp:posOffset>2880995</wp:posOffset>
                </wp:positionH>
                <wp:positionV relativeFrom="paragraph">
                  <wp:posOffset>1386118</wp:posOffset>
                </wp:positionV>
                <wp:extent cx="331200" cy="100800"/>
                <wp:effectExtent l="0" t="0" r="0" b="0"/>
                <wp:wrapNone/>
                <wp:docPr id="142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00" cy="100800"/>
                        </a:xfrm>
                        <a:prstGeom prst="rect">
                          <a:avLst/>
                        </a:prstGeom>
                        <a:solidFill>
                          <a:schemeClr val="lt1"/>
                        </a:solidFill>
                        <a:ln w="9525">
                          <a:noFill/>
                          <a:miter lim="800000"/>
                          <a:headEnd/>
                          <a:tailEnd/>
                        </a:ln>
                      </wps:spPr>
                      <wps:txbx>
                        <w:txbxContent>
                          <w:p w:rsidR="00D53F39" w:rsidRPr="00A04467" w:rsidRDefault="00D53F39" w:rsidP="00E24DB7">
                            <w:pPr>
                              <w:spacing w:line="140" w:lineRule="exact"/>
                              <w:jc w:val="center"/>
                              <w:rPr>
                                <w:sz w:val="16"/>
                                <w:szCs w:val="16"/>
                              </w:rPr>
                            </w:pPr>
                            <w:r w:rsidRPr="00A04467">
                              <w:rPr>
                                <w:sz w:val="16"/>
                                <w:szCs w:val="16"/>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097A7" id="_x0000_s1467" type="#_x0000_t202" style="position:absolute;left:0;text-align:left;margin-left:226.85pt;margin-top:109.15pt;width:26.1pt;height:7.95pt;z-index:2510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" fillcolor="white [3201]" stroked="f">
                <v:textbox inset="0,0,0,0">
                  <w:txbxContent>
                    <w:p w:rsidR="00D53F39" w:rsidRPr="00A04467" w:rsidRDefault="00D53F39" w:rsidP="00E24DB7">
                      <w:pPr>
                        <w:spacing w:line="140" w:lineRule="exact"/>
                        <w:jc w:val="center"/>
                        <w:rPr>
                          <w:sz w:val="16"/>
                          <w:szCs w:val="16"/>
                        </w:rPr>
                      </w:pPr>
                      <w:r w:rsidRPr="00A04467">
                        <w:rPr>
                          <w:sz w:val="16"/>
                          <w:szCs w:val="16"/>
                        </w:rPr>
                        <w:t>Non</w:t>
                      </w:r>
                    </w:p>
                  </w:txbxContent>
                </v:textbox>
              </v:shape>
            </w:pict>
          </mc:Fallback>
        </mc:AlternateContent>
      </w:r>
      <w:r w:rsidRPr="002C5876">
        <w:rPr>
          <w:noProof/>
          <w:lang w:val="en-GB" w:eastAsia="zh-CN"/>
        </w:rPr>
        <mc:AlternateContent>
          <mc:Choice Requires="wps">
            <w:drawing>
              <wp:anchor distT="0" distB="0" distL="114300" distR="114300" simplePos="0" relativeHeight="251055104" behindDoc="0" locked="0" layoutInCell="1" allowOverlap="1" wp14:anchorId="2681FDC4" wp14:editId="63F12077">
                <wp:simplePos x="0" y="0"/>
                <wp:positionH relativeFrom="column">
                  <wp:posOffset>2898241</wp:posOffset>
                </wp:positionH>
                <wp:positionV relativeFrom="paragraph">
                  <wp:posOffset>43122</wp:posOffset>
                </wp:positionV>
                <wp:extent cx="579120" cy="241222"/>
                <wp:effectExtent l="0" t="0" r="0" b="6985"/>
                <wp:wrapNone/>
                <wp:docPr id="142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41222"/>
                        </a:xfrm>
                        <a:prstGeom prst="rect">
                          <a:avLst/>
                        </a:prstGeom>
                        <a:solidFill>
                          <a:schemeClr val="lt1"/>
                        </a:solidFill>
                        <a:ln w="9525">
                          <a:noFill/>
                          <a:miter lim="800000"/>
                          <a:headEnd/>
                          <a:tailEnd/>
                        </a:ln>
                      </wps:spPr>
                      <wps:txbx>
                        <w:txbxContent>
                          <w:p w:rsidR="00D53F39" w:rsidRPr="003D2B4B" w:rsidRDefault="00D53F39" w:rsidP="00E24DB7">
                            <w:pPr>
                              <w:spacing w:line="180" w:lineRule="exact"/>
                              <w:jc w:val="center"/>
                              <w:rPr>
                                <w:sz w:val="18"/>
                                <w:szCs w:val="18"/>
                              </w:rPr>
                            </w:pPr>
                            <w:r>
                              <w:rPr>
                                <w:sz w:val="18"/>
                                <w:szCs w:val="18"/>
                              </w:rPr>
                              <w:t>Premier</w:t>
                            </w:r>
                            <w:r>
                              <w:rPr>
                                <w:sz w:val="18"/>
                                <w:szCs w:val="18"/>
                              </w:rPr>
                              <w:br/>
                            </w:r>
                            <w:r w:rsidRPr="003D2B4B">
                              <w:rPr>
                                <w:sz w:val="18"/>
                                <w:szCs w:val="18"/>
                              </w:rPr>
                              <w:t>essai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1FDC4" id="_x0000_s1468" type="#_x0000_t202" style="position:absolute;left:0;text-align:left;margin-left:228.2pt;margin-top:3.4pt;width:45.6pt;height:19pt;z-index:2510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" fillcolor="white [3201]" stroked="f">
                <v:textbox inset="0,0,0,0">
                  <w:txbxContent>
                    <w:p w:rsidR="00D53F39" w:rsidRPr="003D2B4B" w:rsidRDefault="00D53F39" w:rsidP="00E24DB7">
                      <w:pPr>
                        <w:spacing w:line="180" w:lineRule="exact"/>
                        <w:jc w:val="center"/>
                        <w:rPr>
                          <w:sz w:val="18"/>
                          <w:szCs w:val="18"/>
                        </w:rPr>
                      </w:pPr>
                      <w:r>
                        <w:rPr>
                          <w:sz w:val="18"/>
                          <w:szCs w:val="18"/>
                        </w:rPr>
                        <w:t>Premier</w:t>
                      </w:r>
                      <w:r>
                        <w:rPr>
                          <w:sz w:val="18"/>
                          <w:szCs w:val="18"/>
                        </w:rPr>
                        <w:br/>
                      </w:r>
                      <w:r w:rsidRPr="003D2B4B">
                        <w:rPr>
                          <w:sz w:val="18"/>
                          <w:szCs w:val="18"/>
                        </w:rPr>
                        <w:t>essai</w:t>
                      </w:r>
                    </w:p>
                  </w:txbxContent>
                </v:textbox>
              </v:shape>
            </w:pict>
          </mc:Fallback>
        </mc:AlternateContent>
      </w:r>
      <w:r w:rsidRPr="002C5876">
        <w:rPr>
          <w:noProof/>
          <w:lang w:val="en-GB" w:eastAsia="zh-CN"/>
        </w:rPr>
        <mc:AlternateContent>
          <mc:Choice Requires="wps">
            <w:drawing>
              <wp:anchor distT="0" distB="0" distL="114300" distR="114300" simplePos="0" relativeHeight="251071488" behindDoc="0" locked="0" layoutInCell="1" allowOverlap="1" wp14:anchorId="34777463" wp14:editId="65B8B6CE">
                <wp:simplePos x="0" y="0"/>
                <wp:positionH relativeFrom="column">
                  <wp:posOffset>2258060</wp:posOffset>
                </wp:positionH>
                <wp:positionV relativeFrom="paragraph">
                  <wp:posOffset>3540125</wp:posOffset>
                </wp:positionV>
                <wp:extent cx="1860550" cy="215900"/>
                <wp:effectExtent l="0" t="0" r="6350" b="0"/>
                <wp:wrapNone/>
                <wp:docPr id="142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15900"/>
                        </a:xfrm>
                        <a:prstGeom prst="rect">
                          <a:avLst/>
                        </a:prstGeom>
                        <a:solidFill>
                          <a:srgbClr val="FFFF99"/>
                        </a:solidFill>
                        <a:ln w="9525">
                          <a:noFill/>
                          <a:miter lim="800000"/>
                          <a:headEnd/>
                          <a:tailEnd/>
                        </a:ln>
                      </wps:spPr>
                      <wps:txbx>
                        <w:txbxContent>
                          <w:p w:rsidR="00D53F39" w:rsidRPr="00ED76BA" w:rsidRDefault="00D53F39" w:rsidP="00E24DB7">
                            <w:pPr>
                              <w:spacing w:before="60"/>
                              <w:jc w:val="center"/>
                              <w:rPr>
                                <w:sz w:val="18"/>
                                <w:szCs w:val="18"/>
                              </w:rPr>
                            </w:pPr>
                            <w:r w:rsidRPr="00ED76BA">
                              <w:rPr>
                                <w:sz w:val="18"/>
                                <w:szCs w:val="18"/>
                              </w:rPr>
                              <w:t>Tout polluant réglementé &gt; Limite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77463" id="_x0000_s1469" type="#_x0000_t202" style="position:absolute;left:0;text-align:left;margin-left:177.8pt;margin-top:278.75pt;width:146.5pt;height:17pt;z-index:2510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" fillcolor="#ff9" stroked="f">
                <v:textbox inset="0,0,0,0">
                  <w:txbxContent>
                    <w:p w:rsidR="00D53F39" w:rsidRPr="00ED76BA" w:rsidRDefault="00D53F39" w:rsidP="00E24DB7">
                      <w:pPr>
                        <w:spacing w:before="60"/>
                        <w:jc w:val="center"/>
                        <w:rPr>
                          <w:sz w:val="18"/>
                          <w:szCs w:val="18"/>
                        </w:rPr>
                      </w:pPr>
                      <w:r w:rsidRPr="00ED76BA">
                        <w:rPr>
                          <w:sz w:val="18"/>
                          <w:szCs w:val="18"/>
                        </w:rPr>
                        <w:t>Tout polluant réglementé &gt; Limite</w:t>
                      </w:r>
                    </w:p>
                  </w:txbxContent>
                </v:textbox>
              </v:shape>
            </w:pict>
          </mc:Fallback>
        </mc:AlternateContent>
      </w:r>
      <w:r w:rsidRPr="002C5876">
        <w:rPr>
          <w:noProof/>
          <w:lang w:val="en-GB" w:eastAsia="zh-CN"/>
        </w:rPr>
        <mc:AlternateContent>
          <mc:Choice Requires="wps">
            <w:drawing>
              <wp:anchor distT="0" distB="0" distL="114300" distR="114300" simplePos="0" relativeHeight="251063296" behindDoc="0" locked="0" layoutInCell="1" allowOverlap="1" wp14:anchorId="7A49E98E" wp14:editId="0091DBEF">
                <wp:simplePos x="0" y="0"/>
                <wp:positionH relativeFrom="column">
                  <wp:posOffset>2874010</wp:posOffset>
                </wp:positionH>
                <wp:positionV relativeFrom="paragraph">
                  <wp:posOffset>725805</wp:posOffset>
                </wp:positionV>
                <wp:extent cx="330200" cy="158750"/>
                <wp:effectExtent l="0" t="0" r="0" b="0"/>
                <wp:wrapNone/>
                <wp:docPr id="142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58750"/>
                        </a:xfrm>
                        <a:prstGeom prst="rect">
                          <a:avLst/>
                        </a:prstGeom>
                        <a:solidFill>
                          <a:schemeClr val="lt1"/>
                        </a:solidFill>
                        <a:ln w="9525">
                          <a:noFill/>
                          <a:miter lim="800000"/>
                          <a:headEnd/>
                          <a:tailEnd/>
                        </a:ln>
                      </wps:spPr>
                      <wps:txbx>
                        <w:txbxContent>
                          <w:p w:rsidR="00D53F39" w:rsidRPr="003D2B4B" w:rsidRDefault="00D53F39" w:rsidP="00E24DB7">
                            <w:pPr>
                              <w:spacing w:line="240" w:lineRule="auto"/>
                              <w:jc w:val="center"/>
                              <w:rPr>
                                <w:sz w:val="18"/>
                                <w:szCs w:val="18"/>
                              </w:rPr>
                            </w:pPr>
                            <w:r>
                              <w:rPr>
                                <w:sz w:val="18"/>
                                <w:szCs w:val="18"/>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9E98E" id="_x0000_s1470" type="#_x0000_t202" style="position:absolute;left:0;text-align:left;margin-left:226.3pt;margin-top:57.15pt;width:26pt;height:12.5pt;z-index:2510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" fillcolor="white [3201]" stroked="f">
                <v:textbox inset="0,0,0,0">
                  <w:txbxContent>
                    <w:p w:rsidR="00D53F39" w:rsidRPr="003D2B4B" w:rsidRDefault="00D53F39" w:rsidP="00E24DB7">
                      <w:pPr>
                        <w:spacing w:line="240" w:lineRule="auto"/>
                        <w:jc w:val="center"/>
                        <w:rPr>
                          <w:sz w:val="18"/>
                          <w:szCs w:val="18"/>
                        </w:rPr>
                      </w:pPr>
                      <w:r>
                        <w:rPr>
                          <w:sz w:val="18"/>
                          <w:szCs w:val="18"/>
                        </w:rPr>
                        <w:t>Non</w:t>
                      </w:r>
                    </w:p>
                  </w:txbxContent>
                </v:textbox>
              </v:shape>
            </w:pict>
          </mc:Fallback>
        </mc:AlternateContent>
      </w:r>
      <w:r w:rsidRPr="002C5876">
        <w:rPr>
          <w:noProof/>
          <w:lang w:val="en-GB" w:eastAsia="zh-CN"/>
        </w:rPr>
        <mc:AlternateContent>
          <mc:Choice Requires="wps">
            <w:drawing>
              <wp:anchor distT="0" distB="0" distL="114300" distR="114300" simplePos="0" relativeHeight="251077632" behindDoc="0" locked="0" layoutInCell="1" allowOverlap="1" wp14:anchorId="76AF104D" wp14:editId="351147D2">
                <wp:simplePos x="0" y="0"/>
                <wp:positionH relativeFrom="column">
                  <wp:posOffset>829310</wp:posOffset>
                </wp:positionH>
                <wp:positionV relativeFrom="paragraph">
                  <wp:posOffset>4124325</wp:posOffset>
                </wp:positionV>
                <wp:extent cx="1033200" cy="525600"/>
                <wp:effectExtent l="0" t="0" r="0" b="8255"/>
                <wp:wrapNone/>
                <wp:docPr id="142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200" cy="525600"/>
                        </a:xfrm>
                        <a:prstGeom prst="rect">
                          <a:avLst/>
                        </a:prstGeom>
                        <a:solidFill>
                          <a:schemeClr val="lt1"/>
                        </a:solidFill>
                        <a:ln w="9525">
                          <a:noFill/>
                          <a:miter lim="800000"/>
                          <a:headEnd/>
                          <a:tailEnd/>
                        </a:ln>
                      </wps:spPr>
                      <wps:txbx>
                        <w:txbxContent>
                          <w:p w:rsidR="00D53F39" w:rsidRPr="00E911A4" w:rsidRDefault="00D53F39" w:rsidP="00E24DB7">
                            <w:pPr>
                              <w:spacing w:line="240" w:lineRule="auto"/>
                              <w:jc w:val="center"/>
                              <w:rPr>
                                <w:sz w:val="18"/>
                                <w:szCs w:val="18"/>
                              </w:rPr>
                            </w:pPr>
                            <w:r w:rsidRPr="00E911A4">
                              <w:rPr>
                                <w:sz w:val="18"/>
                                <w:szCs w:val="18"/>
                              </w:rPr>
                              <w:t xml:space="preserve">Acceptation </w:t>
                            </w:r>
                            <w:r w:rsidRPr="00E911A4">
                              <w:rPr>
                                <w:sz w:val="18"/>
                                <w:szCs w:val="18"/>
                              </w:rPr>
                              <w:br/>
                              <w:t xml:space="preserve">de toutes les valeurs </w:t>
                            </w:r>
                            <w:r w:rsidRPr="00E911A4">
                              <w:rPr>
                                <w:sz w:val="18"/>
                                <w:szCs w:val="18"/>
                              </w:rPr>
                              <w:br/>
                              <w:t xml:space="preserve">et émissions </w:t>
                            </w:r>
                            <w:r w:rsidRPr="00E911A4">
                              <w:rPr>
                                <w:sz w:val="18"/>
                                <w:szCs w:val="18"/>
                              </w:rPr>
                              <w:br/>
                              <w:t>déclarées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F104D" id="_x0000_s1471" type="#_x0000_t202" style="position:absolute;left:0;text-align:left;margin-left:65.3pt;margin-top:324.75pt;width:81.35pt;height:41.4pt;z-index:2510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" fillcolor="white [3201]" stroked="f">
                <v:textbox inset="0,0,0,0">
                  <w:txbxContent>
                    <w:p w:rsidR="00D53F39" w:rsidRPr="00E911A4" w:rsidRDefault="00D53F39" w:rsidP="00E24DB7">
                      <w:pPr>
                        <w:spacing w:line="240" w:lineRule="auto"/>
                        <w:jc w:val="center"/>
                        <w:rPr>
                          <w:sz w:val="18"/>
                          <w:szCs w:val="18"/>
                        </w:rPr>
                      </w:pPr>
                      <w:r w:rsidRPr="00E911A4">
                        <w:rPr>
                          <w:sz w:val="18"/>
                          <w:szCs w:val="18"/>
                        </w:rPr>
                        <w:t xml:space="preserve">Acceptation </w:t>
                      </w:r>
                      <w:r w:rsidRPr="00E911A4">
                        <w:rPr>
                          <w:sz w:val="18"/>
                          <w:szCs w:val="18"/>
                        </w:rPr>
                        <w:br/>
                        <w:t xml:space="preserve">de toutes les valeurs </w:t>
                      </w:r>
                      <w:r w:rsidRPr="00E911A4">
                        <w:rPr>
                          <w:sz w:val="18"/>
                          <w:szCs w:val="18"/>
                        </w:rPr>
                        <w:br/>
                        <w:t xml:space="preserve">et émissions </w:t>
                      </w:r>
                      <w:r w:rsidRPr="00E911A4">
                        <w:rPr>
                          <w:sz w:val="18"/>
                          <w:szCs w:val="18"/>
                        </w:rPr>
                        <w:br/>
                        <w:t>déclarées</w:t>
                      </w:r>
                    </w:p>
                  </w:txbxContent>
                </v:textbox>
              </v:shape>
            </w:pict>
          </mc:Fallback>
        </mc:AlternateContent>
      </w:r>
      <w:r w:rsidRPr="002C5876">
        <w:rPr>
          <w:noProof/>
          <w:lang w:val="en-GB" w:eastAsia="zh-CN"/>
        </w:rPr>
        <mc:AlternateContent>
          <mc:Choice Requires="wps">
            <w:drawing>
              <wp:anchor distT="0" distB="0" distL="114300" distR="114300" simplePos="0" relativeHeight="251081728" behindDoc="0" locked="0" layoutInCell="1" allowOverlap="1" wp14:anchorId="72FD0D3E" wp14:editId="70F1E813">
                <wp:simplePos x="0" y="0"/>
                <wp:positionH relativeFrom="column">
                  <wp:posOffset>2207260</wp:posOffset>
                </wp:positionH>
                <wp:positionV relativeFrom="paragraph">
                  <wp:posOffset>4175125</wp:posOffset>
                </wp:positionV>
                <wp:extent cx="2062480" cy="431800"/>
                <wp:effectExtent l="0" t="0" r="0" b="6350"/>
                <wp:wrapNone/>
                <wp:docPr id="142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431800"/>
                        </a:xfrm>
                        <a:prstGeom prst="rect">
                          <a:avLst/>
                        </a:prstGeom>
                        <a:solidFill>
                          <a:schemeClr val="lt1"/>
                        </a:solidFill>
                        <a:ln w="9525">
                          <a:noFill/>
                          <a:miter lim="800000"/>
                          <a:headEnd/>
                          <a:tailEnd/>
                        </a:ln>
                      </wps:spPr>
                      <wps:txbx>
                        <w:txbxContent>
                          <w:p w:rsidR="00D53F39" w:rsidRPr="00E911A4" w:rsidRDefault="00D53F39" w:rsidP="00E24DB7">
                            <w:pPr>
                              <w:spacing w:line="240" w:lineRule="auto"/>
                              <w:jc w:val="center"/>
                              <w:rPr>
                                <w:sz w:val="18"/>
                                <w:szCs w:val="18"/>
                              </w:rPr>
                            </w:pPr>
                            <w:r w:rsidRPr="00E911A4">
                              <w:rPr>
                                <w:sz w:val="18"/>
                                <w:szCs w:val="18"/>
                              </w:rPr>
                              <w:t xml:space="preserve">Valeur déclarée ou moyenne </w:t>
                            </w:r>
                            <w:r w:rsidRPr="00E911A4">
                              <w:rPr>
                                <w:sz w:val="18"/>
                                <w:szCs w:val="18"/>
                              </w:rPr>
                              <w:br/>
                              <w:t xml:space="preserve">des trois acceptée selon l’appréciation </w:t>
                            </w:r>
                            <w:r w:rsidRPr="00E911A4">
                              <w:rPr>
                                <w:sz w:val="18"/>
                                <w:szCs w:val="18"/>
                              </w:rPr>
                              <w:br/>
                              <w:t>de chaque valeur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D0D3E" id="_x0000_s1472" type="#_x0000_t202" style="position:absolute;left:0;text-align:left;margin-left:173.8pt;margin-top:328.75pt;width:162.4pt;height:34pt;z-index:2510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" fillcolor="white [3201]" stroked="f">
                <v:textbox inset="0,0,0,0">
                  <w:txbxContent>
                    <w:p w:rsidR="00D53F39" w:rsidRPr="00E911A4" w:rsidRDefault="00D53F39" w:rsidP="00E24DB7">
                      <w:pPr>
                        <w:spacing w:line="240" w:lineRule="auto"/>
                        <w:jc w:val="center"/>
                        <w:rPr>
                          <w:sz w:val="18"/>
                          <w:szCs w:val="18"/>
                        </w:rPr>
                      </w:pPr>
                      <w:r w:rsidRPr="00E911A4">
                        <w:rPr>
                          <w:sz w:val="18"/>
                          <w:szCs w:val="18"/>
                        </w:rPr>
                        <w:t xml:space="preserve">Valeur déclarée ou moyenne </w:t>
                      </w:r>
                      <w:r w:rsidRPr="00E911A4">
                        <w:rPr>
                          <w:sz w:val="18"/>
                          <w:szCs w:val="18"/>
                        </w:rPr>
                        <w:br/>
                        <w:t xml:space="preserve">des trois acceptée selon l’appréciation </w:t>
                      </w:r>
                      <w:r w:rsidRPr="00E911A4">
                        <w:rPr>
                          <w:sz w:val="18"/>
                          <w:szCs w:val="18"/>
                        </w:rPr>
                        <w:br/>
                        <w:t>de chaque valeur</w:t>
                      </w:r>
                    </w:p>
                  </w:txbxContent>
                </v:textbox>
              </v:shape>
            </w:pict>
          </mc:Fallback>
        </mc:AlternateContent>
      </w:r>
      <w:r w:rsidRPr="002C5876">
        <w:rPr>
          <w:noProof/>
          <w:lang w:val="en-GB" w:eastAsia="zh-CN"/>
        </w:rPr>
        <mc:AlternateContent>
          <mc:Choice Requires="wps">
            <w:drawing>
              <wp:anchor distT="0" distB="0" distL="114300" distR="114300" simplePos="0" relativeHeight="251067392" behindDoc="0" locked="0" layoutInCell="1" allowOverlap="1" wp14:anchorId="0B61181E" wp14:editId="26E6EA14">
                <wp:simplePos x="0" y="0"/>
                <wp:positionH relativeFrom="column">
                  <wp:posOffset>3260090</wp:posOffset>
                </wp:positionH>
                <wp:positionV relativeFrom="paragraph">
                  <wp:posOffset>3823335</wp:posOffset>
                </wp:positionV>
                <wp:extent cx="330200" cy="175260"/>
                <wp:effectExtent l="0" t="0" r="0" b="0"/>
                <wp:wrapNone/>
                <wp:docPr id="142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75260"/>
                        </a:xfrm>
                        <a:prstGeom prst="rect">
                          <a:avLst/>
                        </a:prstGeom>
                        <a:solidFill>
                          <a:schemeClr val="lt1"/>
                        </a:solidFill>
                        <a:ln w="9525">
                          <a:noFill/>
                          <a:miter lim="800000"/>
                          <a:headEnd/>
                          <a:tailEnd/>
                        </a:ln>
                      </wps:spPr>
                      <wps:txbx>
                        <w:txbxContent>
                          <w:p w:rsidR="00D53F39" w:rsidRPr="003D2B4B" w:rsidRDefault="00D53F39" w:rsidP="00E24DB7">
                            <w:pPr>
                              <w:spacing w:line="240" w:lineRule="auto"/>
                              <w:rPr>
                                <w:sz w:val="18"/>
                                <w:szCs w:val="18"/>
                              </w:rPr>
                            </w:pPr>
                            <w:r>
                              <w:rPr>
                                <w:sz w:val="18"/>
                                <w:szCs w:val="18"/>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1181E" id="_x0000_s1473" type="#_x0000_t202" style="position:absolute;left:0;text-align:left;margin-left:256.7pt;margin-top:301.05pt;width:26pt;height:13.8pt;z-index:2510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" fillcolor="white [3201]" stroked="f">
                <v:textbox inset="0,0,0,0">
                  <w:txbxContent>
                    <w:p w:rsidR="00D53F39" w:rsidRPr="003D2B4B" w:rsidRDefault="00D53F39" w:rsidP="00E24DB7">
                      <w:pPr>
                        <w:spacing w:line="240" w:lineRule="auto"/>
                        <w:rPr>
                          <w:sz w:val="18"/>
                          <w:szCs w:val="18"/>
                        </w:rPr>
                      </w:pPr>
                      <w:r>
                        <w:rPr>
                          <w:sz w:val="18"/>
                          <w:szCs w:val="18"/>
                        </w:rPr>
                        <w:t>Non</w:t>
                      </w:r>
                    </w:p>
                  </w:txbxContent>
                </v:textbox>
              </v:shape>
            </w:pict>
          </mc:Fallback>
        </mc:AlternateContent>
      </w:r>
      <w:r w:rsidRPr="002C5876">
        <w:rPr>
          <w:noProof/>
          <w:lang w:val="en-GB" w:eastAsia="zh-CN"/>
        </w:rPr>
        <mc:AlternateContent>
          <mc:Choice Requires="wps">
            <w:drawing>
              <wp:anchor distT="0" distB="0" distL="114300" distR="114300" simplePos="0" relativeHeight="251069440" behindDoc="0" locked="0" layoutInCell="1" allowOverlap="1" wp14:anchorId="03AEB711" wp14:editId="60B1CAAF">
                <wp:simplePos x="0" y="0"/>
                <wp:positionH relativeFrom="column">
                  <wp:posOffset>2893060</wp:posOffset>
                </wp:positionH>
                <wp:positionV relativeFrom="paragraph">
                  <wp:posOffset>3165475</wp:posOffset>
                </wp:positionV>
                <wp:extent cx="871220" cy="182880"/>
                <wp:effectExtent l="0" t="0" r="5080" b="7620"/>
                <wp:wrapNone/>
                <wp:docPr id="142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182880"/>
                        </a:xfrm>
                        <a:prstGeom prst="rect">
                          <a:avLst/>
                        </a:prstGeom>
                        <a:solidFill>
                          <a:schemeClr val="lt1"/>
                        </a:solidFill>
                        <a:ln w="9525">
                          <a:noFill/>
                          <a:miter lim="800000"/>
                          <a:headEnd/>
                          <a:tailEnd/>
                        </a:ln>
                      </wps:spPr>
                      <wps:txbx>
                        <w:txbxContent>
                          <w:p w:rsidR="00D53F39" w:rsidRPr="003D2B4B" w:rsidRDefault="00D53F39" w:rsidP="00E24DB7">
                            <w:pPr>
                              <w:spacing w:line="240" w:lineRule="auto"/>
                              <w:jc w:val="center"/>
                              <w:rPr>
                                <w:sz w:val="18"/>
                                <w:szCs w:val="18"/>
                              </w:rPr>
                            </w:pPr>
                            <w:r>
                              <w:rPr>
                                <w:sz w:val="18"/>
                                <w:szCs w:val="18"/>
                              </w:rPr>
                              <w:t>Troisième</w:t>
                            </w:r>
                            <w:r w:rsidRPr="003D2B4B">
                              <w:rPr>
                                <w:sz w:val="18"/>
                                <w:szCs w:val="18"/>
                              </w:rPr>
                              <w:t xml:space="preserve"> essai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EB711" id="_x0000_s1474" type="#_x0000_t202" style="position:absolute;left:0;text-align:left;margin-left:227.8pt;margin-top:249.25pt;width:68.6pt;height:14.4pt;z-index:2510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" fillcolor="white [3201]" stroked="f">
                <v:textbox inset="0,0,0,0">
                  <w:txbxContent>
                    <w:p w:rsidR="00D53F39" w:rsidRPr="003D2B4B" w:rsidRDefault="00D53F39" w:rsidP="00E24DB7">
                      <w:pPr>
                        <w:spacing w:line="240" w:lineRule="auto"/>
                        <w:jc w:val="center"/>
                        <w:rPr>
                          <w:sz w:val="18"/>
                          <w:szCs w:val="18"/>
                        </w:rPr>
                      </w:pPr>
                      <w:r>
                        <w:rPr>
                          <w:sz w:val="18"/>
                          <w:szCs w:val="18"/>
                        </w:rPr>
                        <w:t>Troisième</w:t>
                      </w:r>
                      <w:r w:rsidRPr="003D2B4B">
                        <w:rPr>
                          <w:sz w:val="18"/>
                          <w:szCs w:val="18"/>
                        </w:rPr>
                        <w:t xml:space="preserve"> essai</w:t>
                      </w:r>
                    </w:p>
                  </w:txbxContent>
                </v:textbox>
              </v:shape>
            </w:pict>
          </mc:Fallback>
        </mc:AlternateContent>
      </w:r>
      <w:r w:rsidRPr="002C5876">
        <w:rPr>
          <w:noProof/>
          <w:lang w:val="en-GB" w:eastAsia="zh-CN"/>
        </w:rPr>
        <mc:AlternateContent>
          <mc:Choice Requires="wps">
            <w:drawing>
              <wp:anchor distT="0" distB="0" distL="114300" distR="114300" simplePos="0" relativeHeight="251073536" behindDoc="0" locked="0" layoutInCell="1" allowOverlap="1" wp14:anchorId="1FB98EAB" wp14:editId="2CA2E999">
                <wp:simplePos x="0" y="0"/>
                <wp:positionH relativeFrom="column">
                  <wp:posOffset>2162810</wp:posOffset>
                </wp:positionH>
                <wp:positionV relativeFrom="paragraph">
                  <wp:posOffset>2460625</wp:posOffset>
                </wp:positionV>
                <wp:extent cx="2114550" cy="443230"/>
                <wp:effectExtent l="0" t="0" r="0" b="0"/>
                <wp:wrapNone/>
                <wp:docPr id="142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443230"/>
                        </a:xfrm>
                        <a:prstGeom prst="rect">
                          <a:avLst/>
                        </a:prstGeom>
                        <a:solidFill>
                          <a:srgbClr val="FFFF99"/>
                        </a:solidFill>
                        <a:ln w="9525">
                          <a:noFill/>
                          <a:miter lim="800000"/>
                          <a:headEnd/>
                          <a:tailEnd/>
                        </a:ln>
                      </wps:spPr>
                      <wps:txbx>
                        <w:txbxContent>
                          <w:p w:rsidR="00D53F39" w:rsidRPr="00E911A4" w:rsidRDefault="00D53F39" w:rsidP="00E24DB7">
                            <w:pPr>
                              <w:spacing w:before="100"/>
                              <w:jc w:val="center"/>
                              <w:rPr>
                                <w:sz w:val="18"/>
                                <w:szCs w:val="18"/>
                              </w:rPr>
                            </w:pPr>
                            <w:r w:rsidRPr="00E911A4">
                              <w:rPr>
                                <w:sz w:val="18"/>
                                <w:szCs w:val="18"/>
                              </w:rPr>
                              <w:t xml:space="preserve">Il est satisfait à tous les critères </w:t>
                            </w:r>
                            <w:r w:rsidRPr="00E911A4">
                              <w:rPr>
                                <w:sz w:val="18"/>
                                <w:szCs w:val="18"/>
                              </w:rPr>
                              <w:br/>
                              <w:t>du tableau A6/2 à la ligne « deuxième essai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98EAB" id="_x0000_s1475" type="#_x0000_t202" style="position:absolute;left:0;text-align:left;margin-left:170.3pt;margin-top:193.75pt;width:166.5pt;height:34.9pt;z-index:2510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" fillcolor="#ff9" stroked="f">
                <v:textbox inset="0,0,0,0">
                  <w:txbxContent>
                    <w:p w:rsidR="00D53F39" w:rsidRPr="00E911A4" w:rsidRDefault="00D53F39" w:rsidP="00E24DB7">
                      <w:pPr>
                        <w:spacing w:before="100"/>
                        <w:jc w:val="center"/>
                        <w:rPr>
                          <w:sz w:val="18"/>
                          <w:szCs w:val="18"/>
                        </w:rPr>
                      </w:pPr>
                      <w:r w:rsidRPr="00E911A4">
                        <w:rPr>
                          <w:sz w:val="18"/>
                          <w:szCs w:val="18"/>
                        </w:rPr>
                        <w:t xml:space="preserve">Il est satisfait à tous les critères </w:t>
                      </w:r>
                      <w:r w:rsidRPr="00E911A4">
                        <w:rPr>
                          <w:sz w:val="18"/>
                          <w:szCs w:val="18"/>
                        </w:rPr>
                        <w:br/>
                        <w:t>du tableau A6/2 à la ligne « deuxième essai »</w:t>
                      </w:r>
                    </w:p>
                  </w:txbxContent>
                </v:textbox>
              </v:shape>
            </w:pict>
          </mc:Fallback>
        </mc:AlternateContent>
      </w:r>
      <w:r w:rsidRPr="002C5876">
        <w:rPr>
          <w:noProof/>
          <w:lang w:val="en-GB" w:eastAsia="zh-CN"/>
        </w:rPr>
        <mc:AlternateContent>
          <mc:Choice Requires="wps">
            <w:drawing>
              <wp:anchor distT="0" distB="0" distL="114300" distR="114300" simplePos="0" relativeHeight="251060224" behindDoc="0" locked="0" layoutInCell="1" allowOverlap="1" wp14:anchorId="00E86442" wp14:editId="6E5AEB00">
                <wp:simplePos x="0" y="0"/>
                <wp:positionH relativeFrom="column">
                  <wp:posOffset>1586230</wp:posOffset>
                </wp:positionH>
                <wp:positionV relativeFrom="paragraph">
                  <wp:posOffset>2413000</wp:posOffset>
                </wp:positionV>
                <wp:extent cx="330200" cy="171450"/>
                <wp:effectExtent l="0" t="0" r="0" b="0"/>
                <wp:wrapNone/>
                <wp:docPr id="142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71450"/>
                        </a:xfrm>
                        <a:prstGeom prst="rect">
                          <a:avLst/>
                        </a:prstGeom>
                        <a:solidFill>
                          <a:schemeClr val="lt1"/>
                        </a:solidFill>
                        <a:ln w="9525">
                          <a:noFill/>
                          <a:miter lim="800000"/>
                          <a:headEnd/>
                          <a:tailEnd/>
                        </a:ln>
                      </wps:spPr>
                      <wps:txbx>
                        <w:txbxContent>
                          <w:p w:rsidR="00D53F39" w:rsidRPr="003D2B4B" w:rsidRDefault="00D53F39" w:rsidP="00E24DB7">
                            <w:pPr>
                              <w:jc w:val="right"/>
                              <w:rPr>
                                <w:sz w:val="18"/>
                                <w:szCs w:val="18"/>
                              </w:rPr>
                            </w:pPr>
                            <w:r w:rsidRPr="003D2B4B">
                              <w:rPr>
                                <w:sz w:val="18"/>
                                <w:szCs w:val="18"/>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86442" id="_x0000_s1476" type="#_x0000_t202" style="position:absolute;left:0;text-align:left;margin-left:124.9pt;margin-top:190pt;width:26pt;height:13.5pt;z-index:2510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" fillcolor="white [3201]" stroked="f">
                <v:textbox inset="0,0,0,0">
                  <w:txbxContent>
                    <w:p w:rsidR="00D53F39" w:rsidRPr="003D2B4B" w:rsidRDefault="00D53F39" w:rsidP="00E24DB7">
                      <w:pPr>
                        <w:jc w:val="right"/>
                        <w:rPr>
                          <w:sz w:val="18"/>
                          <w:szCs w:val="18"/>
                        </w:rPr>
                      </w:pPr>
                      <w:r w:rsidRPr="003D2B4B">
                        <w:rPr>
                          <w:sz w:val="18"/>
                          <w:szCs w:val="18"/>
                        </w:rPr>
                        <w:t>Oui</w:t>
                      </w:r>
                    </w:p>
                  </w:txbxContent>
                </v:textbox>
              </v:shape>
            </w:pict>
          </mc:Fallback>
        </mc:AlternateContent>
      </w:r>
      <w:r w:rsidRPr="002C5876">
        <w:rPr>
          <w:noProof/>
          <w:lang w:val="en-GB" w:eastAsia="zh-CN"/>
        </w:rPr>
        <mc:AlternateContent>
          <mc:Choice Requires="wps">
            <w:drawing>
              <wp:anchor distT="0" distB="0" distL="114300" distR="114300" simplePos="0" relativeHeight="251070464" behindDoc="0" locked="0" layoutInCell="1" allowOverlap="1" wp14:anchorId="30F65397" wp14:editId="74F19F25">
                <wp:simplePos x="0" y="0"/>
                <wp:positionH relativeFrom="column">
                  <wp:posOffset>2277110</wp:posOffset>
                </wp:positionH>
                <wp:positionV relativeFrom="paragraph">
                  <wp:posOffset>1882775</wp:posOffset>
                </wp:positionV>
                <wp:extent cx="1860550" cy="234950"/>
                <wp:effectExtent l="0" t="0" r="6350" b="0"/>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34950"/>
                        </a:xfrm>
                        <a:prstGeom prst="rect">
                          <a:avLst/>
                        </a:prstGeom>
                        <a:solidFill>
                          <a:srgbClr val="FFFF99"/>
                        </a:solidFill>
                        <a:ln w="9525">
                          <a:noFill/>
                          <a:miter lim="800000"/>
                          <a:headEnd/>
                          <a:tailEnd/>
                        </a:ln>
                      </wps:spPr>
                      <wps:txbx>
                        <w:txbxContent>
                          <w:p w:rsidR="00D53F39" w:rsidRPr="00ED76BA" w:rsidRDefault="00D53F39" w:rsidP="00E24DB7">
                            <w:pPr>
                              <w:spacing w:before="60"/>
                              <w:jc w:val="center"/>
                              <w:rPr>
                                <w:sz w:val="18"/>
                                <w:szCs w:val="18"/>
                              </w:rPr>
                            </w:pPr>
                            <w:r w:rsidRPr="00ED76BA">
                              <w:rPr>
                                <w:sz w:val="18"/>
                                <w:szCs w:val="18"/>
                              </w:rPr>
                              <w:t>Tout polluant réglementé &gt; Limite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65397" id="_x0000_s1477" type="#_x0000_t202" style="position:absolute;left:0;text-align:left;margin-left:179.3pt;margin-top:148.25pt;width:146.5pt;height:18.5pt;z-index:2510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" fillcolor="#ff9" stroked="f">
                <v:textbox inset="0,0,0,0">
                  <w:txbxContent>
                    <w:p w:rsidR="00D53F39" w:rsidRPr="00ED76BA" w:rsidRDefault="00D53F39" w:rsidP="00E24DB7">
                      <w:pPr>
                        <w:spacing w:before="60"/>
                        <w:jc w:val="center"/>
                        <w:rPr>
                          <w:sz w:val="18"/>
                          <w:szCs w:val="18"/>
                        </w:rPr>
                      </w:pPr>
                      <w:r w:rsidRPr="00ED76BA">
                        <w:rPr>
                          <w:sz w:val="18"/>
                          <w:szCs w:val="18"/>
                        </w:rPr>
                        <w:t>Tout polluant réglementé &gt; Limite</w:t>
                      </w:r>
                    </w:p>
                  </w:txbxContent>
                </v:textbox>
              </v:shape>
            </w:pict>
          </mc:Fallback>
        </mc:AlternateContent>
      </w:r>
      <w:r w:rsidRPr="002C5876">
        <w:rPr>
          <w:noProof/>
          <w:lang w:val="en-GB" w:eastAsia="zh-CN"/>
        </w:rPr>
        <mc:AlternateContent>
          <mc:Choice Requires="wps">
            <w:drawing>
              <wp:anchor distT="0" distB="0" distL="114300" distR="114300" simplePos="0" relativeHeight="251068416" behindDoc="0" locked="0" layoutInCell="1" allowOverlap="1" wp14:anchorId="74733FBB" wp14:editId="0460DB5A">
                <wp:simplePos x="0" y="0"/>
                <wp:positionH relativeFrom="column">
                  <wp:posOffset>2839720</wp:posOffset>
                </wp:positionH>
                <wp:positionV relativeFrom="paragraph">
                  <wp:posOffset>1528445</wp:posOffset>
                </wp:positionV>
                <wp:extent cx="960120" cy="182880"/>
                <wp:effectExtent l="0" t="0" r="0" b="7620"/>
                <wp:wrapNone/>
                <wp:docPr id="142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182880"/>
                        </a:xfrm>
                        <a:prstGeom prst="rect">
                          <a:avLst/>
                        </a:prstGeom>
                        <a:solidFill>
                          <a:schemeClr val="lt1"/>
                        </a:solidFill>
                        <a:ln w="9525">
                          <a:noFill/>
                          <a:miter lim="800000"/>
                          <a:headEnd/>
                          <a:tailEnd/>
                        </a:ln>
                      </wps:spPr>
                      <wps:txbx>
                        <w:txbxContent>
                          <w:p w:rsidR="00D53F39" w:rsidRPr="003D2B4B" w:rsidRDefault="00D53F39" w:rsidP="00E24DB7">
                            <w:pPr>
                              <w:spacing w:line="240" w:lineRule="auto"/>
                              <w:jc w:val="center"/>
                              <w:rPr>
                                <w:sz w:val="18"/>
                                <w:szCs w:val="18"/>
                              </w:rPr>
                            </w:pPr>
                            <w:r>
                              <w:rPr>
                                <w:sz w:val="18"/>
                                <w:szCs w:val="18"/>
                              </w:rPr>
                              <w:t>Deuxième</w:t>
                            </w:r>
                            <w:r w:rsidRPr="003D2B4B">
                              <w:rPr>
                                <w:sz w:val="18"/>
                                <w:szCs w:val="18"/>
                              </w:rPr>
                              <w:t xml:space="preserve"> essai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33FBB" id="_x0000_s1478" type="#_x0000_t202" style="position:absolute;left:0;text-align:left;margin-left:223.6pt;margin-top:120.35pt;width:75.6pt;height:14.4pt;z-index:2510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" fillcolor="white [3201]" stroked="f">
                <v:textbox inset="0,0,0,0">
                  <w:txbxContent>
                    <w:p w:rsidR="00D53F39" w:rsidRPr="003D2B4B" w:rsidRDefault="00D53F39" w:rsidP="00E24DB7">
                      <w:pPr>
                        <w:spacing w:line="240" w:lineRule="auto"/>
                        <w:jc w:val="center"/>
                        <w:rPr>
                          <w:sz w:val="18"/>
                          <w:szCs w:val="18"/>
                        </w:rPr>
                      </w:pPr>
                      <w:r>
                        <w:rPr>
                          <w:sz w:val="18"/>
                          <w:szCs w:val="18"/>
                        </w:rPr>
                        <w:t>Deuxième</w:t>
                      </w:r>
                      <w:r w:rsidRPr="003D2B4B">
                        <w:rPr>
                          <w:sz w:val="18"/>
                          <w:szCs w:val="18"/>
                        </w:rPr>
                        <w:t xml:space="preserve"> essai</w:t>
                      </w:r>
                    </w:p>
                  </w:txbxContent>
                </v:textbox>
              </v:shape>
            </w:pict>
          </mc:Fallback>
        </mc:AlternateContent>
      </w:r>
      <w:r w:rsidRPr="002C5876">
        <w:rPr>
          <w:noProof/>
          <w:lang w:val="en-GB" w:eastAsia="zh-CN"/>
        </w:rPr>
        <mc:AlternateContent>
          <mc:Choice Requires="wps">
            <w:drawing>
              <wp:anchor distT="0" distB="0" distL="114300" distR="114300" simplePos="0" relativeHeight="251062272" behindDoc="0" locked="0" layoutInCell="1" allowOverlap="1" wp14:anchorId="12CBCD43" wp14:editId="2F8E3458">
                <wp:simplePos x="0" y="0"/>
                <wp:positionH relativeFrom="column">
                  <wp:posOffset>2226310</wp:posOffset>
                </wp:positionH>
                <wp:positionV relativeFrom="paragraph">
                  <wp:posOffset>936625</wp:posOffset>
                </wp:positionV>
                <wp:extent cx="2004060" cy="400050"/>
                <wp:effectExtent l="0" t="0" r="0" b="0"/>
                <wp:wrapNone/>
                <wp:docPr id="142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400050"/>
                        </a:xfrm>
                        <a:prstGeom prst="rect">
                          <a:avLst/>
                        </a:prstGeom>
                        <a:solidFill>
                          <a:srgbClr val="FFFF99"/>
                        </a:solidFill>
                        <a:ln w="9525">
                          <a:noFill/>
                          <a:miter lim="800000"/>
                          <a:headEnd/>
                          <a:tailEnd/>
                        </a:ln>
                      </wps:spPr>
                      <wps:txbx>
                        <w:txbxContent>
                          <w:p w:rsidR="00D53F39" w:rsidRPr="00E911A4" w:rsidRDefault="00D53F39" w:rsidP="00E24DB7">
                            <w:pPr>
                              <w:spacing w:before="60"/>
                              <w:jc w:val="center"/>
                              <w:rPr>
                                <w:sz w:val="18"/>
                                <w:szCs w:val="18"/>
                              </w:rPr>
                            </w:pPr>
                            <w:r w:rsidRPr="00E911A4">
                              <w:rPr>
                                <w:sz w:val="18"/>
                                <w:szCs w:val="18"/>
                              </w:rPr>
                              <w:t xml:space="preserve">Il est satisfait à tous les critères </w:t>
                            </w:r>
                            <w:r w:rsidRPr="00E911A4">
                              <w:rPr>
                                <w:sz w:val="18"/>
                                <w:szCs w:val="18"/>
                              </w:rPr>
                              <w:br/>
                              <w:t>du tableau A6/2 à la ligne « premier essai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BCD43" id="_x0000_s1479" type="#_x0000_t202" style="position:absolute;left:0;text-align:left;margin-left:175.3pt;margin-top:73.75pt;width:157.8pt;height:31.5pt;z-index:2510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" fillcolor="#ff9" stroked="f">
                <v:textbox inset="0,0,0,0">
                  <w:txbxContent>
                    <w:p w:rsidR="00D53F39" w:rsidRPr="00E911A4" w:rsidRDefault="00D53F39" w:rsidP="00E24DB7">
                      <w:pPr>
                        <w:spacing w:before="60"/>
                        <w:jc w:val="center"/>
                        <w:rPr>
                          <w:sz w:val="18"/>
                          <w:szCs w:val="18"/>
                        </w:rPr>
                      </w:pPr>
                      <w:r w:rsidRPr="00E911A4">
                        <w:rPr>
                          <w:sz w:val="18"/>
                          <w:szCs w:val="18"/>
                        </w:rPr>
                        <w:t xml:space="preserve">Il est satisfait à tous les critères </w:t>
                      </w:r>
                      <w:r w:rsidRPr="00E911A4">
                        <w:rPr>
                          <w:sz w:val="18"/>
                          <w:szCs w:val="18"/>
                        </w:rPr>
                        <w:br/>
                        <w:t>du tableau A6/2 à la ligne « premier essai »</w:t>
                      </w:r>
                    </w:p>
                  </w:txbxContent>
                </v:textbox>
              </v:shape>
            </w:pict>
          </mc:Fallback>
        </mc:AlternateContent>
      </w:r>
      <w:r w:rsidRPr="002C5876">
        <w:rPr>
          <w:noProof/>
          <w:lang w:val="en-GB" w:eastAsia="zh-CN"/>
        </w:rPr>
        <mc:AlternateContent>
          <mc:Choice Requires="wps">
            <w:drawing>
              <wp:anchor distT="0" distB="0" distL="114300" distR="114300" simplePos="0" relativeHeight="251059200" behindDoc="0" locked="0" layoutInCell="1" allowOverlap="1" wp14:anchorId="7D7AE5DD" wp14:editId="6ED13D94">
                <wp:simplePos x="0" y="0"/>
                <wp:positionH relativeFrom="column">
                  <wp:posOffset>1516380</wp:posOffset>
                </wp:positionH>
                <wp:positionV relativeFrom="paragraph">
                  <wp:posOffset>875030</wp:posOffset>
                </wp:positionV>
                <wp:extent cx="330200" cy="171450"/>
                <wp:effectExtent l="0" t="0" r="0" b="0"/>
                <wp:wrapNone/>
                <wp:docPr id="142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71450"/>
                        </a:xfrm>
                        <a:prstGeom prst="rect">
                          <a:avLst/>
                        </a:prstGeom>
                        <a:solidFill>
                          <a:schemeClr val="lt1"/>
                        </a:solidFill>
                        <a:ln w="9525">
                          <a:noFill/>
                          <a:miter lim="800000"/>
                          <a:headEnd/>
                          <a:tailEnd/>
                        </a:ln>
                      </wps:spPr>
                      <wps:txbx>
                        <w:txbxContent>
                          <w:p w:rsidR="00D53F39" w:rsidRPr="003D2B4B" w:rsidRDefault="00D53F39" w:rsidP="00E24DB7">
                            <w:pPr>
                              <w:jc w:val="center"/>
                              <w:rPr>
                                <w:sz w:val="18"/>
                                <w:szCs w:val="18"/>
                              </w:rPr>
                            </w:pPr>
                            <w:r w:rsidRPr="003D2B4B">
                              <w:rPr>
                                <w:sz w:val="18"/>
                                <w:szCs w:val="18"/>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AE5DD" id="_x0000_s1480" type="#_x0000_t202" style="position:absolute;left:0;text-align:left;margin-left:119.4pt;margin-top:68.9pt;width:26pt;height:13.5pt;z-index:2510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" fillcolor="white [3201]" stroked="f">
                <v:textbox inset="0,0,0,0">
                  <w:txbxContent>
                    <w:p w:rsidR="00D53F39" w:rsidRPr="003D2B4B" w:rsidRDefault="00D53F39" w:rsidP="00E24DB7">
                      <w:pPr>
                        <w:jc w:val="center"/>
                        <w:rPr>
                          <w:sz w:val="18"/>
                          <w:szCs w:val="18"/>
                        </w:rPr>
                      </w:pPr>
                      <w:r w:rsidRPr="003D2B4B">
                        <w:rPr>
                          <w:sz w:val="18"/>
                          <w:szCs w:val="18"/>
                        </w:rPr>
                        <w:t>Oui</w:t>
                      </w:r>
                    </w:p>
                  </w:txbxContent>
                </v:textbox>
              </v:shape>
            </w:pict>
          </mc:Fallback>
        </mc:AlternateContent>
      </w:r>
      <w:r w:rsidRPr="002C5876">
        <w:rPr>
          <w:noProof/>
          <w:lang w:val="en-GB" w:eastAsia="zh-CN"/>
        </w:rPr>
        <mc:AlternateContent>
          <mc:Choice Requires="wps">
            <w:drawing>
              <wp:anchor distT="0" distB="0" distL="114300" distR="114300" simplePos="0" relativeHeight="251061248" behindDoc="0" locked="0" layoutInCell="1" allowOverlap="1" wp14:anchorId="6C343EFD" wp14:editId="2B61633A">
                <wp:simplePos x="0" y="0"/>
                <wp:positionH relativeFrom="column">
                  <wp:posOffset>2277110</wp:posOffset>
                </wp:positionH>
                <wp:positionV relativeFrom="paragraph">
                  <wp:posOffset>434975</wp:posOffset>
                </wp:positionV>
                <wp:extent cx="1860550" cy="234950"/>
                <wp:effectExtent l="0" t="0" r="6350" b="0"/>
                <wp:wrapNone/>
                <wp:docPr id="142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34950"/>
                        </a:xfrm>
                        <a:prstGeom prst="rect">
                          <a:avLst/>
                        </a:prstGeom>
                        <a:solidFill>
                          <a:srgbClr val="FFFF99"/>
                        </a:solidFill>
                        <a:ln w="9525">
                          <a:noFill/>
                          <a:miter lim="800000"/>
                          <a:headEnd/>
                          <a:tailEnd/>
                        </a:ln>
                      </wps:spPr>
                      <wps:txbx>
                        <w:txbxContent>
                          <w:p w:rsidR="00D53F39" w:rsidRPr="00ED76BA" w:rsidRDefault="00D53F39" w:rsidP="00E24DB7">
                            <w:pPr>
                              <w:spacing w:before="60"/>
                              <w:jc w:val="center"/>
                              <w:rPr>
                                <w:sz w:val="18"/>
                                <w:szCs w:val="18"/>
                              </w:rPr>
                            </w:pPr>
                            <w:r w:rsidRPr="00ED76BA">
                              <w:rPr>
                                <w:sz w:val="18"/>
                                <w:szCs w:val="18"/>
                              </w:rPr>
                              <w:t>Tout polluant réglementé &gt; Limite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43EFD" id="_x0000_s1481" type="#_x0000_t202" style="position:absolute;left:0;text-align:left;margin-left:179.3pt;margin-top:34.25pt;width:146.5pt;height:18.5pt;z-index:2510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" fillcolor="#ff9" stroked="f">
                <v:textbox inset="0,0,0,0">
                  <w:txbxContent>
                    <w:p w:rsidR="00D53F39" w:rsidRPr="00ED76BA" w:rsidRDefault="00D53F39" w:rsidP="00E24DB7">
                      <w:pPr>
                        <w:spacing w:before="60"/>
                        <w:jc w:val="center"/>
                        <w:rPr>
                          <w:sz w:val="18"/>
                          <w:szCs w:val="18"/>
                        </w:rPr>
                      </w:pPr>
                      <w:r w:rsidRPr="00ED76BA">
                        <w:rPr>
                          <w:sz w:val="18"/>
                          <w:szCs w:val="18"/>
                        </w:rPr>
                        <w:t>Tout polluant réglementé &gt; Limite</w:t>
                      </w:r>
                    </w:p>
                  </w:txbxContent>
                </v:textbox>
              </v:shape>
            </w:pict>
          </mc:Fallback>
        </mc:AlternateContent>
      </w:r>
      <w:r w:rsidRPr="002C5876">
        <w:rPr>
          <w:noProof/>
          <w:lang w:val="en-GB" w:eastAsia="zh-CN"/>
        </w:rPr>
        <mc:AlternateContent>
          <mc:Choice Requires="wps">
            <w:drawing>
              <wp:anchor distT="0" distB="0" distL="114300" distR="114300" simplePos="0" relativeHeight="251083776" behindDoc="0" locked="0" layoutInCell="1" allowOverlap="1" wp14:anchorId="52287086" wp14:editId="7471B751">
                <wp:simplePos x="0" y="0"/>
                <wp:positionH relativeFrom="column">
                  <wp:posOffset>4805680</wp:posOffset>
                </wp:positionH>
                <wp:positionV relativeFrom="paragraph">
                  <wp:posOffset>4279265</wp:posOffset>
                </wp:positionV>
                <wp:extent cx="577850" cy="274320"/>
                <wp:effectExtent l="0" t="0" r="0" b="0"/>
                <wp:wrapNone/>
                <wp:docPr id="142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74320"/>
                        </a:xfrm>
                        <a:prstGeom prst="rect">
                          <a:avLst/>
                        </a:prstGeom>
                        <a:solidFill>
                          <a:schemeClr val="lt1"/>
                        </a:solidFill>
                        <a:ln w="9525">
                          <a:noFill/>
                          <a:miter lim="800000"/>
                          <a:headEnd/>
                          <a:tailEnd/>
                        </a:ln>
                      </wps:spPr>
                      <wps:txbx>
                        <w:txbxContent>
                          <w:p w:rsidR="00D53F39" w:rsidRPr="003D2B4B" w:rsidRDefault="00D53F39" w:rsidP="00E24DB7">
                            <w:pPr>
                              <w:spacing w:line="240" w:lineRule="auto"/>
                              <w:jc w:val="center"/>
                              <w:rPr>
                                <w:sz w:val="18"/>
                                <w:szCs w:val="18"/>
                              </w:rPr>
                            </w:pPr>
                            <w:r>
                              <w:rPr>
                                <w:sz w:val="18"/>
                                <w:szCs w:val="18"/>
                              </w:rPr>
                              <w:t>Rejet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87086" id="_x0000_s1482" type="#_x0000_t202" style="position:absolute;left:0;text-align:left;margin-left:378.4pt;margin-top:336.95pt;width:45.5pt;height:21.6pt;z-index:25108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" fillcolor="white [3201]" stroked="f">
                <v:textbox inset="0,0,0,0">
                  <w:txbxContent>
                    <w:p w:rsidR="00D53F39" w:rsidRPr="003D2B4B" w:rsidRDefault="00D53F39" w:rsidP="00E24DB7">
                      <w:pPr>
                        <w:spacing w:line="240" w:lineRule="auto"/>
                        <w:jc w:val="center"/>
                        <w:rPr>
                          <w:sz w:val="18"/>
                          <w:szCs w:val="18"/>
                        </w:rPr>
                      </w:pPr>
                      <w:r>
                        <w:rPr>
                          <w:sz w:val="18"/>
                          <w:szCs w:val="18"/>
                        </w:rPr>
                        <w:t>Rejet</w:t>
                      </w:r>
                    </w:p>
                  </w:txbxContent>
                </v:textbox>
              </v:shape>
            </w:pict>
          </mc:Fallback>
        </mc:AlternateContent>
      </w:r>
      <w:r w:rsidRPr="002C5876">
        <w:rPr>
          <w:noProof/>
          <w:lang w:val="en-GB" w:eastAsia="zh-CN"/>
        </w:rPr>
        <mc:AlternateContent>
          <mc:Choice Requires="wps">
            <w:drawing>
              <wp:anchor distT="0" distB="0" distL="114300" distR="114300" simplePos="0" relativeHeight="251058176" behindDoc="0" locked="0" layoutInCell="1" allowOverlap="1" wp14:anchorId="49929B2E" wp14:editId="18581E30">
                <wp:simplePos x="0" y="0"/>
                <wp:positionH relativeFrom="column">
                  <wp:posOffset>5088890</wp:posOffset>
                </wp:positionH>
                <wp:positionV relativeFrom="paragraph">
                  <wp:posOffset>3434080</wp:posOffset>
                </wp:positionV>
                <wp:extent cx="330200" cy="171450"/>
                <wp:effectExtent l="0" t="0" r="0" b="0"/>
                <wp:wrapNone/>
                <wp:docPr id="142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71450"/>
                        </a:xfrm>
                        <a:prstGeom prst="rect">
                          <a:avLst/>
                        </a:prstGeom>
                        <a:solidFill>
                          <a:schemeClr val="lt1"/>
                        </a:solidFill>
                        <a:ln w="9525">
                          <a:noFill/>
                          <a:miter lim="800000"/>
                          <a:headEnd/>
                          <a:tailEnd/>
                        </a:ln>
                      </wps:spPr>
                      <wps:txbx>
                        <w:txbxContent>
                          <w:p w:rsidR="00D53F39" w:rsidRPr="003D2B4B" w:rsidRDefault="00D53F39" w:rsidP="00E24DB7">
                            <w:pPr>
                              <w:jc w:val="center"/>
                              <w:rPr>
                                <w:sz w:val="18"/>
                                <w:szCs w:val="18"/>
                              </w:rPr>
                            </w:pPr>
                            <w:r w:rsidRPr="003D2B4B">
                              <w:rPr>
                                <w:sz w:val="18"/>
                                <w:szCs w:val="18"/>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29B2E" id="_x0000_s1483" type="#_x0000_t202" style="position:absolute;left:0;text-align:left;margin-left:400.7pt;margin-top:270.4pt;width:26pt;height:13.5pt;z-index:2510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" fillcolor="white [3201]" stroked="f">
                <v:textbox inset="0,0,0,0">
                  <w:txbxContent>
                    <w:p w:rsidR="00D53F39" w:rsidRPr="003D2B4B" w:rsidRDefault="00D53F39" w:rsidP="00E24DB7">
                      <w:pPr>
                        <w:jc w:val="center"/>
                        <w:rPr>
                          <w:sz w:val="18"/>
                          <w:szCs w:val="18"/>
                        </w:rPr>
                      </w:pPr>
                      <w:r w:rsidRPr="003D2B4B">
                        <w:rPr>
                          <w:sz w:val="18"/>
                          <w:szCs w:val="18"/>
                        </w:rPr>
                        <w:t>Oui</w:t>
                      </w:r>
                    </w:p>
                  </w:txbxContent>
                </v:textbox>
              </v:shape>
            </w:pict>
          </mc:Fallback>
        </mc:AlternateContent>
      </w:r>
      <w:r w:rsidRPr="002C5876">
        <w:rPr>
          <w:noProof/>
          <w:lang w:val="en-GB" w:eastAsia="zh-CN"/>
        </w:rPr>
        <mc:AlternateContent>
          <mc:Choice Requires="wps">
            <w:drawing>
              <wp:anchor distT="0" distB="0" distL="114300" distR="114300" simplePos="0" relativeHeight="251057152" behindDoc="0" locked="0" layoutInCell="1" allowOverlap="1" wp14:anchorId="078ACF30" wp14:editId="733B1D4E">
                <wp:simplePos x="0" y="0"/>
                <wp:positionH relativeFrom="column">
                  <wp:posOffset>5091430</wp:posOffset>
                </wp:positionH>
                <wp:positionV relativeFrom="paragraph">
                  <wp:posOffset>1828800</wp:posOffset>
                </wp:positionV>
                <wp:extent cx="330200" cy="171450"/>
                <wp:effectExtent l="0" t="0" r="0" b="0"/>
                <wp:wrapNone/>
                <wp:docPr id="14224" name="Zone de texte 14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71450"/>
                        </a:xfrm>
                        <a:prstGeom prst="rect">
                          <a:avLst/>
                        </a:prstGeom>
                        <a:solidFill>
                          <a:schemeClr val="lt1"/>
                        </a:solidFill>
                        <a:ln w="9525">
                          <a:noFill/>
                          <a:miter lim="800000"/>
                          <a:headEnd/>
                          <a:tailEnd/>
                        </a:ln>
                      </wps:spPr>
                      <wps:txbx>
                        <w:txbxContent>
                          <w:p w:rsidR="00D53F39" w:rsidRPr="003D2B4B" w:rsidRDefault="00D53F39" w:rsidP="00E24DB7">
                            <w:pPr>
                              <w:jc w:val="center"/>
                              <w:rPr>
                                <w:sz w:val="18"/>
                                <w:szCs w:val="18"/>
                              </w:rPr>
                            </w:pPr>
                            <w:r w:rsidRPr="003D2B4B">
                              <w:rPr>
                                <w:sz w:val="18"/>
                                <w:szCs w:val="18"/>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ACF30" id="Zone de texte 14224" o:spid="_x0000_s1484" type="#_x0000_t202" style="position:absolute;left:0;text-align:left;margin-left:400.9pt;margin-top:2in;width:26pt;height:13.5pt;z-index:2510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" fillcolor="white [3201]" stroked="f">
                <v:textbox inset="0,0,0,0">
                  <w:txbxContent>
                    <w:p w:rsidR="00D53F39" w:rsidRPr="003D2B4B" w:rsidRDefault="00D53F39" w:rsidP="00E24DB7">
                      <w:pPr>
                        <w:jc w:val="center"/>
                        <w:rPr>
                          <w:sz w:val="18"/>
                          <w:szCs w:val="18"/>
                        </w:rPr>
                      </w:pPr>
                      <w:r w:rsidRPr="003D2B4B">
                        <w:rPr>
                          <w:sz w:val="18"/>
                          <w:szCs w:val="18"/>
                        </w:rPr>
                        <w:t>Oui</w:t>
                      </w:r>
                    </w:p>
                  </w:txbxContent>
                </v:textbox>
              </v:shape>
            </w:pict>
          </mc:Fallback>
        </mc:AlternateContent>
      </w:r>
      <w:r w:rsidRPr="002C5876">
        <w:rPr>
          <w:noProof/>
          <w:lang w:val="en-GB" w:eastAsia="zh-CN"/>
        </w:rPr>
        <mc:AlternateContent>
          <mc:Choice Requires="wps">
            <w:drawing>
              <wp:anchor distT="0" distB="0" distL="114300" distR="114300" simplePos="0" relativeHeight="251056128" behindDoc="0" locked="0" layoutInCell="1" allowOverlap="1" wp14:anchorId="3DE0345E" wp14:editId="5D45DDE0">
                <wp:simplePos x="0" y="0"/>
                <wp:positionH relativeFrom="column">
                  <wp:posOffset>4725670</wp:posOffset>
                </wp:positionH>
                <wp:positionV relativeFrom="paragraph">
                  <wp:posOffset>377190</wp:posOffset>
                </wp:positionV>
                <wp:extent cx="330200" cy="171450"/>
                <wp:effectExtent l="0" t="0" r="0" b="0"/>
                <wp:wrapNone/>
                <wp:docPr id="142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71450"/>
                        </a:xfrm>
                        <a:prstGeom prst="rect">
                          <a:avLst/>
                        </a:prstGeom>
                        <a:solidFill>
                          <a:schemeClr val="lt1"/>
                        </a:solidFill>
                        <a:ln w="9525">
                          <a:noFill/>
                          <a:miter lim="800000"/>
                          <a:headEnd/>
                          <a:tailEnd/>
                        </a:ln>
                      </wps:spPr>
                      <wps:txbx>
                        <w:txbxContent>
                          <w:p w:rsidR="00D53F39" w:rsidRPr="003D2B4B" w:rsidRDefault="00D53F39" w:rsidP="00E24DB7">
                            <w:pPr>
                              <w:jc w:val="center"/>
                              <w:rPr>
                                <w:sz w:val="18"/>
                                <w:szCs w:val="18"/>
                              </w:rPr>
                            </w:pPr>
                            <w:r w:rsidRPr="003D2B4B">
                              <w:rPr>
                                <w:sz w:val="18"/>
                                <w:szCs w:val="18"/>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0345E" id="_x0000_s1485" type="#_x0000_t202" style="position:absolute;left:0;text-align:left;margin-left:372.1pt;margin-top:29.7pt;width:26pt;height:13.5pt;z-index:2510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" fillcolor="white [3201]" stroked="f">
                <v:textbox inset="0,0,0,0">
                  <w:txbxContent>
                    <w:p w:rsidR="00D53F39" w:rsidRPr="003D2B4B" w:rsidRDefault="00D53F39" w:rsidP="00E24DB7">
                      <w:pPr>
                        <w:jc w:val="center"/>
                        <w:rPr>
                          <w:sz w:val="18"/>
                          <w:szCs w:val="18"/>
                        </w:rPr>
                      </w:pPr>
                      <w:r w:rsidRPr="003D2B4B">
                        <w:rPr>
                          <w:sz w:val="18"/>
                          <w:szCs w:val="18"/>
                        </w:rPr>
                        <w:t>Oui</w:t>
                      </w:r>
                    </w:p>
                  </w:txbxContent>
                </v:textbox>
              </v:shape>
            </w:pict>
          </mc:Fallback>
        </mc:AlternateContent>
      </w:r>
      <w:r w:rsidRPr="002C5876">
        <w:rPr>
          <w:noProof/>
          <w:lang w:val="en-GB" w:eastAsia="zh-CN"/>
        </w:rPr>
        <w:drawing>
          <wp:inline distT="0" distB="0" distL="0" distR="0" wp14:anchorId="5C5DD182" wp14:editId="163B6117">
            <wp:extent cx="5374800" cy="4960800"/>
            <wp:effectExtent l="0" t="0" r="0" b="0"/>
            <wp:docPr id="14227" name="Image 1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374800" cy="4960800"/>
                    </a:xfrm>
                    <a:prstGeom prst="rect">
                      <a:avLst/>
                    </a:prstGeom>
                    <a:noFill/>
                    <a:ln>
                      <a:noFill/>
                    </a:ln>
                  </pic:spPr>
                </pic:pic>
              </a:graphicData>
            </a:graphic>
          </wp:inline>
        </w:drawing>
      </w:r>
    </w:p>
    <w:p w:rsidR="00E24DB7" w:rsidRPr="002C5876" w:rsidRDefault="00E24DB7" w:rsidP="00E24DB7">
      <w:pPr>
        <w:pStyle w:val="H23G"/>
        <w:ind w:left="0" w:firstLine="0"/>
        <w:rPr>
          <w:szCs w:val="24"/>
          <w:lang w:eastAsia="ja-JP"/>
        </w:rPr>
      </w:pPr>
      <w:r w:rsidRPr="002C5876">
        <w:rPr>
          <w:b w:val="0"/>
        </w:rPr>
        <w:t>Tableau A6</w:t>
      </w:r>
      <w:r w:rsidRPr="002C5876">
        <w:rPr>
          <w:b w:val="0"/>
          <w:lang w:eastAsia="ja-JP"/>
        </w:rPr>
        <w:t>/2</w:t>
      </w:r>
      <w:r w:rsidRPr="002C5876">
        <w:rPr>
          <w:lang w:eastAsia="ja-JP"/>
        </w:rPr>
        <w:br/>
      </w:r>
      <w:r w:rsidRPr="002C5876">
        <w:rPr>
          <w:szCs w:val="24"/>
          <w:lang w:eastAsia="ja-JP"/>
        </w:rPr>
        <w:t xml:space="preserve">Critères pour déterminer le nombre d’essais </w:t>
      </w:r>
    </w:p>
    <w:p w:rsidR="00E24DB7" w:rsidRPr="002C5876" w:rsidRDefault="00E24DB7" w:rsidP="00E24DB7">
      <w:pPr>
        <w:pStyle w:val="H56G"/>
        <w:ind w:left="0" w:firstLine="0"/>
        <w:rPr>
          <w:szCs w:val="24"/>
        </w:rPr>
      </w:pPr>
      <w:r w:rsidRPr="002C5876">
        <w:rPr>
          <w:lang w:eastAsia="ja-JP"/>
        </w:rPr>
        <w:t>Essai de maintien de charge de type 1 pour les véhicules VHE-NRE et VHE-RE à moteur à combustion interne (véhicules équipés uniquement d’un moteur à combustion interne)</w:t>
      </w:r>
    </w:p>
    <w:tbl>
      <w:tblPr>
        <w:tblW w:w="9637" w:type="dxa"/>
        <w:tblLayout w:type="fixed"/>
        <w:tblCellMar>
          <w:left w:w="0" w:type="dxa"/>
          <w:right w:w="0" w:type="dxa"/>
        </w:tblCellMar>
        <w:tblLook w:val="04A0" w:firstRow="1" w:lastRow="0" w:firstColumn="1" w:lastColumn="0" w:noHBand="0" w:noVBand="1"/>
      </w:tblPr>
      <w:tblGrid>
        <w:gridCol w:w="977"/>
        <w:gridCol w:w="1649"/>
        <w:gridCol w:w="2491"/>
        <w:gridCol w:w="2259"/>
        <w:gridCol w:w="2261"/>
      </w:tblGrid>
      <w:tr w:rsidR="00E24DB7" w:rsidRPr="002C5876" w:rsidTr="00E24DB7">
        <w:trPr>
          <w:tblHeader/>
        </w:trPr>
        <w:tc>
          <w:tcPr>
            <w:tcW w:w="977" w:type="dxa"/>
            <w:tcBorders>
              <w:top w:val="single" w:sz="4" w:space="0" w:color="auto"/>
              <w:left w:val="single" w:sz="4" w:space="0" w:color="auto"/>
              <w:bottom w:val="single" w:sz="12" w:space="0" w:color="auto"/>
              <w:right w:val="single" w:sz="4" w:space="0" w:color="auto"/>
            </w:tcBorders>
            <w:shd w:val="clear" w:color="auto" w:fill="auto"/>
            <w:vAlign w:val="bottom"/>
          </w:tcPr>
          <w:p w:rsidR="00E24DB7" w:rsidRPr="002C5876" w:rsidRDefault="00E24DB7" w:rsidP="00E24DB7">
            <w:pPr>
              <w:suppressAutoHyphens w:val="0"/>
              <w:spacing w:before="80" w:after="80" w:line="200" w:lineRule="exact"/>
              <w:rPr>
                <w:i/>
                <w:sz w:val="16"/>
              </w:rPr>
            </w:pPr>
          </w:p>
        </w:tc>
        <w:tc>
          <w:tcPr>
            <w:tcW w:w="1649" w:type="dxa"/>
            <w:tcBorders>
              <w:top w:val="single" w:sz="4" w:space="0" w:color="auto"/>
              <w:left w:val="single" w:sz="4" w:space="0" w:color="auto"/>
              <w:bottom w:val="single" w:sz="12" w:space="0" w:color="auto"/>
              <w:right w:val="single" w:sz="4" w:space="0" w:color="auto"/>
            </w:tcBorders>
            <w:shd w:val="clear" w:color="auto" w:fill="auto"/>
            <w:vAlign w:val="bottom"/>
          </w:tcPr>
          <w:p w:rsidR="00E24DB7" w:rsidRPr="002C5876" w:rsidRDefault="00E24DB7" w:rsidP="00E24DB7">
            <w:pPr>
              <w:suppressAutoHyphens w:val="0"/>
              <w:spacing w:before="80" w:after="80" w:line="200" w:lineRule="exact"/>
              <w:ind w:left="113"/>
              <w:rPr>
                <w:i/>
                <w:sz w:val="16"/>
              </w:rPr>
            </w:pPr>
            <w:r w:rsidRPr="002C5876">
              <w:rPr>
                <w:i/>
                <w:sz w:val="16"/>
              </w:rPr>
              <w:t>Essai</w:t>
            </w:r>
          </w:p>
        </w:tc>
        <w:tc>
          <w:tcPr>
            <w:tcW w:w="2491" w:type="dxa"/>
            <w:tcBorders>
              <w:top w:val="single" w:sz="4" w:space="0" w:color="auto"/>
              <w:left w:val="single" w:sz="4" w:space="0" w:color="auto"/>
              <w:bottom w:val="single" w:sz="12" w:space="0" w:color="auto"/>
              <w:right w:val="single" w:sz="4" w:space="0" w:color="auto"/>
            </w:tcBorders>
            <w:shd w:val="clear" w:color="auto" w:fill="auto"/>
            <w:vAlign w:val="bottom"/>
          </w:tcPr>
          <w:p w:rsidR="00E24DB7" w:rsidRPr="002C5876" w:rsidRDefault="00E24DB7" w:rsidP="00E24DB7">
            <w:pPr>
              <w:suppressAutoHyphens w:val="0"/>
              <w:spacing w:before="80" w:after="80" w:line="200" w:lineRule="exact"/>
              <w:ind w:left="113"/>
              <w:rPr>
                <w:i/>
                <w:sz w:val="16"/>
              </w:rPr>
            </w:pPr>
            <w:r w:rsidRPr="002C5876">
              <w:rPr>
                <w:i/>
                <w:sz w:val="16"/>
              </w:rPr>
              <w:t>Paramètre d’appréciation</w:t>
            </w:r>
          </w:p>
        </w:tc>
        <w:tc>
          <w:tcPr>
            <w:tcW w:w="2259" w:type="dxa"/>
            <w:tcBorders>
              <w:top w:val="single" w:sz="4" w:space="0" w:color="auto"/>
              <w:left w:val="single" w:sz="4" w:space="0" w:color="auto"/>
              <w:bottom w:val="single" w:sz="12" w:space="0" w:color="auto"/>
              <w:right w:val="single" w:sz="4" w:space="0" w:color="auto"/>
            </w:tcBorders>
            <w:shd w:val="clear" w:color="auto" w:fill="auto"/>
            <w:vAlign w:val="bottom"/>
          </w:tcPr>
          <w:p w:rsidR="00E24DB7" w:rsidRPr="002C5876" w:rsidRDefault="00E24DB7" w:rsidP="00E24DB7">
            <w:pPr>
              <w:suppressAutoHyphens w:val="0"/>
              <w:spacing w:before="80" w:after="80" w:line="200" w:lineRule="exact"/>
              <w:ind w:left="113"/>
              <w:rPr>
                <w:i/>
                <w:sz w:val="16"/>
              </w:rPr>
            </w:pPr>
            <w:r w:rsidRPr="002C5876">
              <w:rPr>
                <w:i/>
                <w:sz w:val="16"/>
              </w:rPr>
              <w:t>Émission réglementée</w:t>
            </w:r>
          </w:p>
        </w:tc>
        <w:tc>
          <w:tcPr>
            <w:tcW w:w="2261" w:type="dxa"/>
            <w:tcBorders>
              <w:top w:val="single" w:sz="4" w:space="0" w:color="auto"/>
              <w:left w:val="single" w:sz="4" w:space="0" w:color="auto"/>
              <w:bottom w:val="single" w:sz="12" w:space="0" w:color="auto"/>
              <w:right w:val="single" w:sz="4" w:space="0" w:color="auto"/>
            </w:tcBorders>
            <w:shd w:val="clear" w:color="auto" w:fill="auto"/>
            <w:vAlign w:val="bottom"/>
          </w:tcPr>
          <w:p w:rsidR="00E24DB7" w:rsidRPr="002C5876" w:rsidRDefault="00E24DB7" w:rsidP="00E24DB7">
            <w:pPr>
              <w:suppressAutoHyphens w:val="0"/>
              <w:spacing w:before="80" w:after="80" w:line="200" w:lineRule="exact"/>
              <w:ind w:left="113"/>
              <w:rPr>
                <w:i/>
                <w:sz w:val="16"/>
              </w:rPr>
            </w:pPr>
            <w:r w:rsidRPr="002C5876">
              <w:rPr>
                <w:i/>
                <w:sz w:val="16"/>
              </w:rPr>
              <w:t>M</w:t>
            </w:r>
            <w:r w:rsidRPr="002C5876">
              <w:rPr>
                <w:i/>
                <w:sz w:val="16"/>
                <w:vertAlign w:val="subscript"/>
              </w:rPr>
              <w:t>CO2</w:t>
            </w:r>
          </w:p>
        </w:tc>
      </w:tr>
      <w:tr w:rsidR="00E24DB7" w:rsidRPr="002C5876" w:rsidTr="00E24DB7">
        <w:tc>
          <w:tcPr>
            <w:tcW w:w="977" w:type="dxa"/>
            <w:tcBorders>
              <w:top w:val="single" w:sz="12" w:space="0" w:color="auto"/>
              <w:left w:val="single" w:sz="4" w:space="0" w:color="auto"/>
              <w:bottom w:val="single" w:sz="4" w:space="0" w:color="auto"/>
              <w:right w:val="single" w:sz="4" w:space="0" w:color="auto"/>
            </w:tcBorders>
            <w:shd w:val="clear" w:color="auto" w:fill="auto"/>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Ligne 1</w:t>
            </w:r>
          </w:p>
        </w:tc>
        <w:tc>
          <w:tcPr>
            <w:tcW w:w="1649" w:type="dxa"/>
            <w:tcBorders>
              <w:top w:val="single" w:sz="12" w:space="0" w:color="auto"/>
              <w:left w:val="single" w:sz="4" w:space="0" w:color="auto"/>
              <w:bottom w:val="single" w:sz="4" w:space="0" w:color="auto"/>
              <w:right w:val="single" w:sz="4" w:space="0" w:color="auto"/>
            </w:tcBorders>
            <w:shd w:val="clear" w:color="auto" w:fill="auto"/>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Premier essai</w:t>
            </w:r>
          </w:p>
        </w:tc>
        <w:tc>
          <w:tcPr>
            <w:tcW w:w="2491" w:type="dxa"/>
            <w:tcBorders>
              <w:top w:val="single" w:sz="12" w:space="0" w:color="auto"/>
              <w:left w:val="single" w:sz="4" w:space="0" w:color="auto"/>
              <w:bottom w:val="single" w:sz="4" w:space="0" w:color="auto"/>
              <w:right w:val="single" w:sz="4" w:space="0" w:color="auto"/>
            </w:tcBorders>
            <w:shd w:val="clear" w:color="auto" w:fill="auto"/>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Résultat du premier essai</w:t>
            </w:r>
          </w:p>
        </w:tc>
        <w:tc>
          <w:tcPr>
            <w:tcW w:w="2259" w:type="dxa"/>
            <w:tcBorders>
              <w:top w:val="single" w:sz="12" w:space="0" w:color="auto"/>
              <w:left w:val="single" w:sz="4" w:space="0" w:color="auto"/>
              <w:bottom w:val="single" w:sz="4" w:space="0" w:color="auto"/>
              <w:right w:val="single" w:sz="4" w:space="0" w:color="auto"/>
            </w:tcBorders>
            <w:shd w:val="clear" w:color="auto" w:fill="auto"/>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Limite imposée × 0,9</w:t>
            </w:r>
          </w:p>
        </w:tc>
        <w:tc>
          <w:tcPr>
            <w:tcW w:w="2261" w:type="dxa"/>
            <w:tcBorders>
              <w:top w:val="single" w:sz="12" w:space="0" w:color="auto"/>
              <w:left w:val="single" w:sz="4" w:space="0" w:color="auto"/>
              <w:bottom w:val="single" w:sz="4" w:space="0" w:color="auto"/>
              <w:right w:val="single" w:sz="4" w:space="0" w:color="auto"/>
            </w:tcBorders>
            <w:shd w:val="clear" w:color="auto" w:fill="auto"/>
            <w:vAlign w:val="bottom"/>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Valeur déclarée × dCO2</w:t>
            </w:r>
            <w:r w:rsidRPr="002C5876">
              <w:rPr>
                <w:sz w:val="18"/>
                <w:szCs w:val="18"/>
                <w:vertAlign w:val="subscript"/>
              </w:rPr>
              <w:t>1</w:t>
            </w:r>
            <w:r w:rsidRPr="002C5876">
              <w:rPr>
                <w:i/>
                <w:sz w:val="18"/>
                <w:szCs w:val="18"/>
                <w:vertAlign w:val="superscript"/>
              </w:rPr>
              <w:t>2</w:t>
            </w:r>
          </w:p>
        </w:tc>
      </w:tr>
      <w:tr w:rsidR="00E24DB7" w:rsidRPr="002C5876" w:rsidTr="00E24DB7">
        <w:tc>
          <w:tcPr>
            <w:tcW w:w="977" w:type="dxa"/>
            <w:tcBorders>
              <w:top w:val="single" w:sz="4" w:space="0" w:color="auto"/>
              <w:left w:val="single" w:sz="4" w:space="0" w:color="auto"/>
              <w:bottom w:val="single" w:sz="4" w:space="0" w:color="auto"/>
              <w:right w:val="single" w:sz="4" w:space="0" w:color="auto"/>
            </w:tcBorders>
            <w:shd w:val="clear" w:color="auto" w:fill="auto"/>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Ligne 2</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Deuxième essai</w:t>
            </w:r>
          </w:p>
        </w:tc>
        <w:tc>
          <w:tcPr>
            <w:tcW w:w="2491" w:type="dxa"/>
            <w:tcBorders>
              <w:top w:val="single" w:sz="4" w:space="0" w:color="auto"/>
              <w:left w:val="single" w:sz="4" w:space="0" w:color="auto"/>
              <w:bottom w:val="single" w:sz="4" w:space="0" w:color="auto"/>
              <w:right w:val="single" w:sz="4" w:space="0" w:color="auto"/>
            </w:tcBorders>
            <w:shd w:val="clear" w:color="auto" w:fill="auto"/>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xml:space="preserve">Moyenne arithmétique des résultats des premier et deuxième essais </w:t>
            </w:r>
          </w:p>
        </w:tc>
        <w:tc>
          <w:tcPr>
            <w:tcW w:w="2259" w:type="dxa"/>
            <w:tcBorders>
              <w:top w:val="single" w:sz="4" w:space="0" w:color="auto"/>
              <w:left w:val="single" w:sz="4" w:space="0" w:color="auto"/>
              <w:bottom w:val="single" w:sz="4" w:space="0" w:color="auto"/>
              <w:right w:val="single" w:sz="4" w:space="0" w:color="auto"/>
            </w:tcBorders>
            <w:shd w:val="clear" w:color="auto" w:fill="auto"/>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Limite imposée × 1,0</w:t>
            </w:r>
            <w:r w:rsidRPr="002C5876">
              <w:rPr>
                <w:i/>
                <w:sz w:val="18"/>
                <w:szCs w:val="18"/>
                <w:vertAlign w:val="superscript"/>
              </w:rPr>
              <w:t>1</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bottom"/>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Valeur déclarée × dCO2</w:t>
            </w:r>
            <w:r w:rsidRPr="002C5876">
              <w:rPr>
                <w:sz w:val="18"/>
                <w:szCs w:val="18"/>
                <w:vertAlign w:val="subscript"/>
              </w:rPr>
              <w:t>2</w:t>
            </w:r>
            <w:r w:rsidRPr="002C5876">
              <w:rPr>
                <w:i/>
                <w:sz w:val="18"/>
                <w:szCs w:val="18"/>
                <w:vertAlign w:val="superscript"/>
              </w:rPr>
              <w:t>2</w:t>
            </w:r>
          </w:p>
        </w:tc>
      </w:tr>
      <w:tr w:rsidR="00E24DB7" w:rsidRPr="002C5876" w:rsidTr="00E24DB7">
        <w:tc>
          <w:tcPr>
            <w:tcW w:w="977" w:type="dxa"/>
            <w:tcBorders>
              <w:top w:val="single" w:sz="4" w:space="0" w:color="auto"/>
              <w:left w:val="single" w:sz="4" w:space="0" w:color="auto"/>
              <w:bottom w:val="single" w:sz="12" w:space="0" w:color="auto"/>
              <w:right w:val="single" w:sz="4" w:space="0" w:color="auto"/>
            </w:tcBorders>
            <w:shd w:val="clear" w:color="auto" w:fill="auto"/>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Ligne 3</w:t>
            </w:r>
          </w:p>
        </w:tc>
        <w:tc>
          <w:tcPr>
            <w:tcW w:w="1649" w:type="dxa"/>
            <w:tcBorders>
              <w:top w:val="single" w:sz="4" w:space="0" w:color="auto"/>
              <w:left w:val="single" w:sz="4" w:space="0" w:color="auto"/>
              <w:bottom w:val="single" w:sz="12" w:space="0" w:color="auto"/>
              <w:right w:val="single" w:sz="4" w:space="0" w:color="auto"/>
            </w:tcBorders>
            <w:shd w:val="clear" w:color="auto" w:fill="auto"/>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Troisième essai</w:t>
            </w:r>
          </w:p>
        </w:tc>
        <w:tc>
          <w:tcPr>
            <w:tcW w:w="2491" w:type="dxa"/>
            <w:tcBorders>
              <w:top w:val="single" w:sz="4" w:space="0" w:color="auto"/>
              <w:left w:val="single" w:sz="4" w:space="0" w:color="auto"/>
              <w:bottom w:val="single" w:sz="12" w:space="0" w:color="auto"/>
              <w:right w:val="single" w:sz="4" w:space="0" w:color="auto"/>
            </w:tcBorders>
            <w:shd w:val="clear" w:color="auto" w:fill="auto"/>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Moyenne arithmétique des résultats des trois essais</w:t>
            </w:r>
          </w:p>
        </w:tc>
        <w:tc>
          <w:tcPr>
            <w:tcW w:w="2259" w:type="dxa"/>
            <w:tcBorders>
              <w:top w:val="single" w:sz="4" w:space="0" w:color="auto"/>
              <w:left w:val="single" w:sz="4" w:space="0" w:color="auto"/>
              <w:bottom w:val="single" w:sz="12" w:space="0" w:color="auto"/>
              <w:right w:val="single" w:sz="4" w:space="0" w:color="auto"/>
            </w:tcBorders>
            <w:shd w:val="clear" w:color="auto" w:fill="auto"/>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Limite imposée × 1,0</w:t>
            </w:r>
            <w:r w:rsidRPr="002C5876">
              <w:rPr>
                <w:i/>
                <w:sz w:val="18"/>
                <w:szCs w:val="18"/>
                <w:vertAlign w:val="superscript"/>
              </w:rPr>
              <w:t>1</w:t>
            </w:r>
          </w:p>
        </w:tc>
        <w:tc>
          <w:tcPr>
            <w:tcW w:w="2261" w:type="dxa"/>
            <w:tcBorders>
              <w:top w:val="single" w:sz="4" w:space="0" w:color="auto"/>
              <w:left w:val="single" w:sz="4" w:space="0" w:color="auto"/>
              <w:bottom w:val="single" w:sz="12" w:space="0" w:color="auto"/>
              <w:right w:val="single" w:sz="4" w:space="0" w:color="auto"/>
            </w:tcBorders>
            <w:shd w:val="clear" w:color="auto" w:fill="auto"/>
            <w:vAlign w:val="bottom"/>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 Valeur déclarée × dCO2</w:t>
            </w:r>
            <w:r w:rsidRPr="002C5876">
              <w:rPr>
                <w:sz w:val="18"/>
                <w:szCs w:val="18"/>
                <w:vertAlign w:val="subscript"/>
              </w:rPr>
              <w:t>3</w:t>
            </w:r>
            <w:r w:rsidRPr="002C5876">
              <w:rPr>
                <w:i/>
                <w:sz w:val="18"/>
                <w:szCs w:val="18"/>
                <w:vertAlign w:val="superscript"/>
              </w:rPr>
              <w:t>2</w:t>
            </w:r>
          </w:p>
        </w:tc>
      </w:tr>
    </w:tbl>
    <w:p w:rsidR="00E24DB7" w:rsidRPr="002C5876" w:rsidRDefault="00E24DB7" w:rsidP="00E24DB7">
      <w:pPr>
        <w:spacing w:before="120"/>
        <w:ind w:firstLine="170"/>
        <w:rPr>
          <w:sz w:val="18"/>
          <w:szCs w:val="18"/>
          <w:lang w:eastAsia="ja-JP"/>
        </w:rPr>
      </w:pPr>
      <w:r w:rsidRPr="002C5876">
        <w:rPr>
          <w:i/>
          <w:sz w:val="18"/>
          <w:szCs w:val="18"/>
          <w:vertAlign w:val="superscript"/>
          <w:lang w:eastAsia="ja-JP"/>
        </w:rPr>
        <w:t>1</w:t>
      </w:r>
      <w:r w:rsidRPr="002C5876">
        <w:rPr>
          <w:sz w:val="18"/>
          <w:szCs w:val="18"/>
          <w:lang w:eastAsia="ja-JP"/>
        </w:rPr>
        <w:t xml:space="preserve">  Chaque résultat d’essai doit respecter la limite imposée.</w:t>
      </w:r>
    </w:p>
    <w:p w:rsidR="00E24DB7" w:rsidRPr="002C5876" w:rsidRDefault="00E24DB7" w:rsidP="00E24DB7">
      <w:pPr>
        <w:spacing w:after="240"/>
        <w:ind w:firstLine="170"/>
        <w:rPr>
          <w:bCs/>
          <w:sz w:val="18"/>
          <w:szCs w:val="18"/>
          <w:lang w:eastAsia="ja-JP"/>
        </w:rPr>
      </w:pPr>
      <w:r w:rsidRPr="002C5876">
        <w:rPr>
          <w:i/>
          <w:sz w:val="18"/>
          <w:szCs w:val="18"/>
          <w:vertAlign w:val="superscript"/>
          <w:lang w:eastAsia="ja-JP"/>
        </w:rPr>
        <w:t>2</w:t>
      </w:r>
      <w:r w:rsidRPr="002C5876">
        <w:rPr>
          <w:sz w:val="18"/>
          <w:szCs w:val="18"/>
          <w:lang w:eastAsia="ja-JP"/>
        </w:rPr>
        <w:t xml:space="preserve">  dCO2</w:t>
      </w:r>
      <w:r w:rsidRPr="002C5876">
        <w:rPr>
          <w:sz w:val="18"/>
          <w:szCs w:val="18"/>
          <w:vertAlign w:val="subscript"/>
          <w:lang w:eastAsia="ja-JP"/>
        </w:rPr>
        <w:t>1</w:t>
      </w:r>
      <w:r w:rsidRPr="002C5876">
        <w:rPr>
          <w:sz w:val="18"/>
          <w:szCs w:val="18"/>
          <w:lang w:eastAsia="ja-JP"/>
        </w:rPr>
        <w:t>, dCO2</w:t>
      </w:r>
      <w:r w:rsidRPr="002C5876">
        <w:rPr>
          <w:sz w:val="18"/>
          <w:szCs w:val="18"/>
          <w:vertAlign w:val="subscript"/>
          <w:lang w:eastAsia="ja-JP"/>
        </w:rPr>
        <w:t>2</w:t>
      </w:r>
      <w:r w:rsidRPr="002C5876">
        <w:rPr>
          <w:sz w:val="18"/>
          <w:szCs w:val="18"/>
          <w:lang w:eastAsia="ja-JP"/>
        </w:rPr>
        <w:t xml:space="preserve"> et dCO2</w:t>
      </w:r>
      <w:r w:rsidRPr="002C5876">
        <w:rPr>
          <w:sz w:val="18"/>
          <w:szCs w:val="18"/>
          <w:vertAlign w:val="subscript"/>
          <w:lang w:eastAsia="ja-JP"/>
        </w:rPr>
        <w:t xml:space="preserve">3 </w:t>
      </w:r>
      <w:r w:rsidRPr="002C5876">
        <w:rPr>
          <w:sz w:val="18"/>
          <w:szCs w:val="18"/>
          <w:lang w:eastAsia="ja-JP"/>
        </w:rPr>
        <w:t>doivent être déterminés conformément au paragraphe 1.2.3.8 de la présente annexe.</w:t>
      </w:r>
    </w:p>
    <w:p w:rsidR="00E24DB7" w:rsidRPr="002C5876" w:rsidRDefault="00E24DB7" w:rsidP="00E24DB7">
      <w:pPr>
        <w:pStyle w:val="H56G"/>
        <w:rPr>
          <w:lang w:eastAsia="ja-JP"/>
        </w:rPr>
      </w:pPr>
      <w:r w:rsidRPr="002C5876">
        <w:rPr>
          <w:lang w:eastAsia="ja-JP"/>
        </w:rPr>
        <w:br w:type="page"/>
      </w:r>
      <w:r w:rsidRPr="002C5876">
        <w:rPr>
          <w:lang w:eastAsia="ja-JP"/>
        </w:rPr>
        <w:lastRenderedPageBreak/>
        <w:t>Essai d’épuisement de la charge de type 1 pour les VHE-RE</w:t>
      </w:r>
    </w:p>
    <w:tbl>
      <w:tblPr>
        <w:tblW w:w="96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1567"/>
        <w:gridCol w:w="1996"/>
        <w:gridCol w:w="1759"/>
        <w:gridCol w:w="1773"/>
        <w:gridCol w:w="1698"/>
      </w:tblGrid>
      <w:tr w:rsidR="00E24DB7" w:rsidRPr="002C5876" w:rsidTr="00E24DB7">
        <w:tc>
          <w:tcPr>
            <w:tcW w:w="851" w:type="dxa"/>
            <w:tcBorders>
              <w:bottom w:val="single" w:sz="12" w:space="0" w:color="auto"/>
            </w:tcBorders>
            <w:vAlign w:val="bottom"/>
          </w:tcPr>
          <w:p w:rsidR="00E24DB7" w:rsidRPr="002C5876" w:rsidRDefault="00E24DB7" w:rsidP="00E24DB7">
            <w:pPr>
              <w:pStyle w:val="SingleTxtG"/>
              <w:spacing w:before="80" w:after="80" w:line="200" w:lineRule="exact"/>
              <w:ind w:left="57" w:right="57"/>
              <w:jc w:val="left"/>
              <w:rPr>
                <w:i/>
                <w:sz w:val="16"/>
                <w:szCs w:val="16"/>
              </w:rPr>
            </w:pPr>
          </w:p>
        </w:tc>
        <w:tc>
          <w:tcPr>
            <w:tcW w:w="1567" w:type="dxa"/>
            <w:tcBorders>
              <w:bottom w:val="single" w:sz="12" w:space="0" w:color="auto"/>
            </w:tcBorders>
            <w:vAlign w:val="bottom"/>
          </w:tcPr>
          <w:p w:rsidR="00E24DB7" w:rsidRPr="002C5876" w:rsidRDefault="00E24DB7" w:rsidP="00E24DB7">
            <w:pPr>
              <w:pStyle w:val="SingleTxtG"/>
              <w:spacing w:before="80" w:after="80" w:line="200" w:lineRule="exact"/>
              <w:ind w:left="57" w:right="57"/>
              <w:jc w:val="left"/>
              <w:rPr>
                <w:i/>
                <w:sz w:val="16"/>
                <w:szCs w:val="16"/>
              </w:rPr>
            </w:pPr>
            <w:r w:rsidRPr="002C5876">
              <w:rPr>
                <w:i/>
                <w:sz w:val="16"/>
                <w:szCs w:val="16"/>
              </w:rPr>
              <w:t>Essai</w:t>
            </w:r>
          </w:p>
        </w:tc>
        <w:tc>
          <w:tcPr>
            <w:tcW w:w="1996" w:type="dxa"/>
            <w:tcBorders>
              <w:bottom w:val="single" w:sz="12" w:space="0" w:color="auto"/>
            </w:tcBorders>
            <w:vAlign w:val="bottom"/>
          </w:tcPr>
          <w:p w:rsidR="00E24DB7" w:rsidRPr="002C5876" w:rsidRDefault="00E24DB7" w:rsidP="00E24DB7">
            <w:pPr>
              <w:pStyle w:val="SingleTxtG"/>
              <w:spacing w:before="80" w:after="80" w:line="200" w:lineRule="exact"/>
              <w:ind w:left="57" w:right="57"/>
              <w:jc w:val="left"/>
              <w:rPr>
                <w:i/>
                <w:sz w:val="16"/>
                <w:szCs w:val="16"/>
              </w:rPr>
            </w:pPr>
            <w:r w:rsidRPr="002C5876">
              <w:rPr>
                <w:i/>
                <w:sz w:val="16"/>
                <w:szCs w:val="16"/>
              </w:rPr>
              <w:t>Paramètre d’appréciation</w:t>
            </w:r>
          </w:p>
        </w:tc>
        <w:tc>
          <w:tcPr>
            <w:tcW w:w="1759" w:type="dxa"/>
            <w:tcBorders>
              <w:bottom w:val="single" w:sz="12" w:space="0" w:color="auto"/>
            </w:tcBorders>
            <w:vAlign w:val="bottom"/>
          </w:tcPr>
          <w:p w:rsidR="00E24DB7" w:rsidRPr="002C5876" w:rsidRDefault="00E24DB7" w:rsidP="00E24DB7">
            <w:pPr>
              <w:pStyle w:val="SingleTxtG"/>
              <w:spacing w:before="80" w:after="80" w:line="200" w:lineRule="exact"/>
              <w:ind w:left="57" w:right="57"/>
              <w:jc w:val="left"/>
              <w:rPr>
                <w:i/>
                <w:sz w:val="16"/>
                <w:szCs w:val="16"/>
              </w:rPr>
            </w:pPr>
            <w:r w:rsidRPr="002C5876">
              <w:rPr>
                <w:i/>
                <w:sz w:val="16"/>
                <w:szCs w:val="16"/>
              </w:rPr>
              <w:t>Émission réglementée</w:t>
            </w:r>
          </w:p>
        </w:tc>
        <w:tc>
          <w:tcPr>
            <w:tcW w:w="1773" w:type="dxa"/>
            <w:tcBorders>
              <w:bottom w:val="single" w:sz="12" w:space="0" w:color="auto"/>
            </w:tcBorders>
            <w:vAlign w:val="bottom"/>
          </w:tcPr>
          <w:p w:rsidR="00E24DB7" w:rsidRPr="002C5876" w:rsidRDefault="00E24DB7" w:rsidP="00E24DB7">
            <w:pPr>
              <w:pStyle w:val="SingleTxtG"/>
              <w:spacing w:before="80" w:after="80" w:line="200" w:lineRule="exact"/>
              <w:ind w:left="57" w:right="57"/>
              <w:jc w:val="left"/>
              <w:rPr>
                <w:i/>
                <w:sz w:val="16"/>
                <w:szCs w:val="16"/>
              </w:rPr>
            </w:pPr>
            <w:r w:rsidRPr="002C5876">
              <w:rPr>
                <w:i/>
                <w:sz w:val="16"/>
                <w:szCs w:val="16"/>
              </w:rPr>
              <w:t>M</w:t>
            </w:r>
            <w:r w:rsidRPr="002C5876">
              <w:rPr>
                <w:i/>
                <w:sz w:val="16"/>
                <w:szCs w:val="16"/>
                <w:vertAlign w:val="subscript"/>
              </w:rPr>
              <w:t>CO2,CD</w:t>
            </w:r>
          </w:p>
        </w:tc>
        <w:tc>
          <w:tcPr>
            <w:tcW w:w="1698" w:type="dxa"/>
            <w:tcBorders>
              <w:bottom w:val="single" w:sz="12" w:space="0" w:color="auto"/>
            </w:tcBorders>
            <w:vAlign w:val="bottom"/>
          </w:tcPr>
          <w:p w:rsidR="00E24DB7" w:rsidRPr="002C5876" w:rsidRDefault="00E24DB7" w:rsidP="00E24DB7">
            <w:pPr>
              <w:pStyle w:val="SingleTxtG"/>
              <w:spacing w:before="80" w:after="80" w:line="200" w:lineRule="exact"/>
              <w:ind w:left="57" w:right="57"/>
              <w:jc w:val="left"/>
              <w:rPr>
                <w:i/>
                <w:sz w:val="16"/>
                <w:szCs w:val="16"/>
              </w:rPr>
            </w:pPr>
            <w:r w:rsidRPr="002C5876">
              <w:rPr>
                <w:i/>
                <w:sz w:val="16"/>
                <w:szCs w:val="16"/>
              </w:rPr>
              <w:t>AER</w:t>
            </w:r>
          </w:p>
        </w:tc>
      </w:tr>
      <w:tr w:rsidR="00E24DB7" w:rsidRPr="002C5876" w:rsidTr="00E24DB7">
        <w:tc>
          <w:tcPr>
            <w:tcW w:w="851" w:type="dxa"/>
            <w:tcBorders>
              <w:top w:val="single" w:sz="12" w:space="0" w:color="auto"/>
            </w:tcBorders>
          </w:tcPr>
          <w:p w:rsidR="00E24DB7" w:rsidRPr="002C5876" w:rsidRDefault="00E24DB7" w:rsidP="00E24DB7">
            <w:pPr>
              <w:pStyle w:val="SingleTxtG"/>
              <w:spacing w:before="60" w:after="60" w:line="220" w:lineRule="atLeast"/>
              <w:ind w:left="57" w:right="57"/>
              <w:jc w:val="left"/>
              <w:rPr>
                <w:spacing w:val="-4"/>
                <w:sz w:val="18"/>
                <w:szCs w:val="18"/>
              </w:rPr>
            </w:pPr>
            <w:r w:rsidRPr="002C5876">
              <w:rPr>
                <w:spacing w:val="-4"/>
                <w:sz w:val="18"/>
                <w:szCs w:val="18"/>
              </w:rPr>
              <w:t>Ligne 1</w:t>
            </w:r>
          </w:p>
        </w:tc>
        <w:tc>
          <w:tcPr>
            <w:tcW w:w="1567" w:type="dxa"/>
            <w:tcBorders>
              <w:top w:val="single" w:sz="12" w:space="0" w:color="auto"/>
            </w:tcBorders>
          </w:tcPr>
          <w:p w:rsidR="00E24DB7" w:rsidRPr="002C5876" w:rsidRDefault="00E24DB7" w:rsidP="00E24DB7">
            <w:pPr>
              <w:pStyle w:val="SingleTxtG"/>
              <w:spacing w:before="60" w:after="60" w:line="220" w:lineRule="atLeast"/>
              <w:ind w:left="57" w:right="57"/>
              <w:jc w:val="left"/>
              <w:rPr>
                <w:sz w:val="18"/>
                <w:szCs w:val="18"/>
              </w:rPr>
            </w:pPr>
            <w:r w:rsidRPr="002C5876">
              <w:rPr>
                <w:sz w:val="18"/>
                <w:szCs w:val="18"/>
              </w:rPr>
              <w:t xml:space="preserve">Premier </w:t>
            </w:r>
            <w:r w:rsidRPr="002C5876">
              <w:rPr>
                <w:sz w:val="18"/>
                <w:szCs w:val="18"/>
              </w:rPr>
              <w:br/>
              <w:t>essai</w:t>
            </w:r>
          </w:p>
        </w:tc>
        <w:tc>
          <w:tcPr>
            <w:tcW w:w="1996" w:type="dxa"/>
            <w:tcBorders>
              <w:top w:val="single" w:sz="12" w:space="0" w:color="auto"/>
            </w:tcBorders>
          </w:tcPr>
          <w:p w:rsidR="00E24DB7" w:rsidRPr="002C5876" w:rsidRDefault="00E24DB7" w:rsidP="00E24DB7">
            <w:pPr>
              <w:pStyle w:val="SingleTxtG"/>
              <w:suppressAutoHyphens w:val="0"/>
              <w:spacing w:before="60" w:after="60" w:line="220" w:lineRule="atLeast"/>
              <w:ind w:left="57" w:right="57"/>
              <w:jc w:val="left"/>
              <w:rPr>
                <w:sz w:val="18"/>
                <w:szCs w:val="18"/>
              </w:rPr>
            </w:pPr>
            <w:r w:rsidRPr="002C5876">
              <w:rPr>
                <w:sz w:val="18"/>
                <w:szCs w:val="18"/>
              </w:rPr>
              <w:t>Résultat du premier essai</w:t>
            </w:r>
          </w:p>
        </w:tc>
        <w:tc>
          <w:tcPr>
            <w:tcW w:w="1759" w:type="dxa"/>
            <w:tcBorders>
              <w:top w:val="single" w:sz="12" w:space="0" w:color="auto"/>
            </w:tcBorders>
          </w:tcPr>
          <w:p w:rsidR="00E24DB7" w:rsidRPr="002C5876" w:rsidRDefault="00E24DB7" w:rsidP="00E24DB7">
            <w:pPr>
              <w:pStyle w:val="SingleTxtG"/>
              <w:spacing w:before="60" w:after="60" w:line="220" w:lineRule="atLeast"/>
              <w:ind w:left="57" w:right="57"/>
              <w:jc w:val="left"/>
              <w:rPr>
                <w:sz w:val="18"/>
                <w:szCs w:val="18"/>
              </w:rPr>
            </w:pPr>
            <w:r w:rsidRPr="002C5876">
              <w:rPr>
                <w:sz w:val="18"/>
                <w:szCs w:val="18"/>
              </w:rPr>
              <w:t>≤ Limite imposée × 0,9</w:t>
            </w:r>
            <w:r w:rsidRPr="002C5876">
              <w:rPr>
                <w:i/>
                <w:sz w:val="18"/>
                <w:szCs w:val="18"/>
                <w:vertAlign w:val="superscript"/>
              </w:rPr>
              <w:t>1</w:t>
            </w:r>
          </w:p>
        </w:tc>
        <w:tc>
          <w:tcPr>
            <w:tcW w:w="1773" w:type="dxa"/>
            <w:tcBorders>
              <w:top w:val="single" w:sz="12" w:space="0" w:color="auto"/>
            </w:tcBorders>
          </w:tcPr>
          <w:p w:rsidR="00E24DB7" w:rsidRPr="002C5876" w:rsidRDefault="00E24DB7" w:rsidP="00E24DB7">
            <w:pPr>
              <w:pStyle w:val="SingleTxtG"/>
              <w:spacing w:before="60" w:after="60" w:line="220" w:lineRule="atLeast"/>
              <w:ind w:left="57" w:right="57"/>
              <w:jc w:val="left"/>
              <w:rPr>
                <w:sz w:val="18"/>
                <w:szCs w:val="18"/>
              </w:rPr>
            </w:pPr>
            <w:r w:rsidRPr="002C5876">
              <w:rPr>
                <w:sz w:val="18"/>
                <w:szCs w:val="18"/>
              </w:rPr>
              <w:t>≤ Valeur déclarée × dCO2</w:t>
            </w:r>
            <w:r w:rsidRPr="002C5876">
              <w:rPr>
                <w:sz w:val="18"/>
                <w:szCs w:val="18"/>
                <w:vertAlign w:val="subscript"/>
              </w:rPr>
              <w:t>1</w:t>
            </w:r>
            <w:r w:rsidRPr="002C5876">
              <w:rPr>
                <w:i/>
                <w:sz w:val="18"/>
                <w:szCs w:val="18"/>
                <w:vertAlign w:val="superscript"/>
                <w:lang w:eastAsia="ja-JP"/>
              </w:rPr>
              <w:t>3</w:t>
            </w:r>
          </w:p>
        </w:tc>
        <w:tc>
          <w:tcPr>
            <w:tcW w:w="1698" w:type="dxa"/>
            <w:tcBorders>
              <w:top w:val="single" w:sz="12" w:space="0" w:color="auto"/>
            </w:tcBorders>
          </w:tcPr>
          <w:p w:rsidR="00E24DB7" w:rsidRPr="002C5876" w:rsidRDefault="00E24DB7" w:rsidP="00E24DB7">
            <w:pPr>
              <w:pStyle w:val="SingleTxtG"/>
              <w:spacing w:before="60" w:after="60" w:line="220" w:lineRule="atLeast"/>
              <w:ind w:left="57" w:right="57"/>
              <w:jc w:val="left"/>
              <w:rPr>
                <w:sz w:val="18"/>
                <w:szCs w:val="18"/>
              </w:rPr>
            </w:pPr>
            <w:r w:rsidRPr="002C5876">
              <w:rPr>
                <w:sz w:val="18"/>
                <w:szCs w:val="18"/>
              </w:rPr>
              <w:t>≥ Valeur déclarée × 1,0</w:t>
            </w:r>
          </w:p>
        </w:tc>
      </w:tr>
      <w:tr w:rsidR="00E24DB7" w:rsidRPr="002C5876" w:rsidTr="00E24DB7">
        <w:tc>
          <w:tcPr>
            <w:tcW w:w="851" w:type="dxa"/>
            <w:tcBorders>
              <w:bottom w:val="single" w:sz="4" w:space="0" w:color="auto"/>
            </w:tcBorders>
          </w:tcPr>
          <w:p w:rsidR="00E24DB7" w:rsidRPr="002C5876" w:rsidRDefault="00E24DB7" w:rsidP="00E24DB7">
            <w:pPr>
              <w:pStyle w:val="SingleTxtG"/>
              <w:spacing w:before="60" w:after="60" w:line="220" w:lineRule="atLeast"/>
              <w:ind w:left="57" w:right="57"/>
              <w:jc w:val="left"/>
              <w:rPr>
                <w:spacing w:val="-4"/>
                <w:sz w:val="18"/>
                <w:szCs w:val="18"/>
              </w:rPr>
            </w:pPr>
            <w:r w:rsidRPr="002C5876">
              <w:rPr>
                <w:spacing w:val="-4"/>
                <w:sz w:val="18"/>
                <w:szCs w:val="18"/>
              </w:rPr>
              <w:t>Ligne 2</w:t>
            </w:r>
          </w:p>
        </w:tc>
        <w:tc>
          <w:tcPr>
            <w:tcW w:w="1567" w:type="dxa"/>
            <w:tcBorders>
              <w:bottom w:val="single" w:sz="4" w:space="0" w:color="auto"/>
            </w:tcBorders>
          </w:tcPr>
          <w:p w:rsidR="00E24DB7" w:rsidRPr="002C5876" w:rsidRDefault="00E24DB7" w:rsidP="00E24DB7">
            <w:pPr>
              <w:pStyle w:val="SingleTxtG"/>
              <w:spacing w:before="60" w:after="60" w:line="220" w:lineRule="atLeast"/>
              <w:ind w:left="57" w:right="57"/>
              <w:jc w:val="left"/>
              <w:rPr>
                <w:sz w:val="18"/>
                <w:szCs w:val="18"/>
              </w:rPr>
            </w:pPr>
            <w:r w:rsidRPr="002C5876">
              <w:rPr>
                <w:sz w:val="18"/>
                <w:szCs w:val="18"/>
              </w:rPr>
              <w:t>Deuxième essai</w:t>
            </w:r>
          </w:p>
        </w:tc>
        <w:tc>
          <w:tcPr>
            <w:tcW w:w="1996" w:type="dxa"/>
            <w:tcBorders>
              <w:bottom w:val="single" w:sz="4" w:space="0" w:color="auto"/>
            </w:tcBorders>
          </w:tcPr>
          <w:p w:rsidR="00E24DB7" w:rsidRPr="002C5876" w:rsidRDefault="00E24DB7" w:rsidP="00E24DB7">
            <w:pPr>
              <w:pStyle w:val="SingleTxtG"/>
              <w:spacing w:before="60" w:after="60" w:line="220" w:lineRule="atLeast"/>
              <w:ind w:left="57" w:right="57"/>
              <w:jc w:val="left"/>
              <w:rPr>
                <w:sz w:val="18"/>
                <w:szCs w:val="18"/>
              </w:rPr>
            </w:pPr>
            <w:r w:rsidRPr="002C5876">
              <w:rPr>
                <w:sz w:val="18"/>
                <w:szCs w:val="18"/>
              </w:rPr>
              <w:t xml:space="preserve">Moyenne arithmétique </w:t>
            </w:r>
            <w:r w:rsidRPr="002C5876">
              <w:rPr>
                <w:sz w:val="18"/>
                <w:szCs w:val="18"/>
              </w:rPr>
              <w:br/>
              <w:t xml:space="preserve">des résultats des premier </w:t>
            </w:r>
            <w:r w:rsidRPr="002C5876">
              <w:rPr>
                <w:sz w:val="18"/>
                <w:szCs w:val="18"/>
              </w:rPr>
              <w:br/>
              <w:t xml:space="preserve">et deuxième essais </w:t>
            </w:r>
          </w:p>
        </w:tc>
        <w:tc>
          <w:tcPr>
            <w:tcW w:w="1759" w:type="dxa"/>
            <w:tcBorders>
              <w:bottom w:val="single" w:sz="4" w:space="0" w:color="auto"/>
            </w:tcBorders>
          </w:tcPr>
          <w:p w:rsidR="00E24DB7" w:rsidRPr="002C5876" w:rsidRDefault="00E24DB7" w:rsidP="00E24DB7">
            <w:pPr>
              <w:pStyle w:val="SingleTxtG"/>
              <w:spacing w:before="60" w:after="60" w:line="220" w:lineRule="atLeast"/>
              <w:ind w:left="57" w:right="57"/>
              <w:jc w:val="left"/>
              <w:rPr>
                <w:sz w:val="18"/>
                <w:szCs w:val="18"/>
              </w:rPr>
            </w:pPr>
            <w:r w:rsidRPr="002C5876">
              <w:rPr>
                <w:sz w:val="18"/>
                <w:szCs w:val="18"/>
              </w:rPr>
              <w:t>≤ Limite imposée × 1,0</w:t>
            </w:r>
            <w:r w:rsidRPr="002C5876">
              <w:rPr>
                <w:i/>
                <w:sz w:val="18"/>
                <w:szCs w:val="18"/>
                <w:vertAlign w:val="superscript"/>
                <w:lang w:eastAsia="ja-JP"/>
              </w:rPr>
              <w:t>2</w:t>
            </w:r>
          </w:p>
        </w:tc>
        <w:tc>
          <w:tcPr>
            <w:tcW w:w="1773" w:type="dxa"/>
            <w:tcBorders>
              <w:bottom w:val="single" w:sz="4" w:space="0" w:color="auto"/>
            </w:tcBorders>
          </w:tcPr>
          <w:p w:rsidR="00E24DB7" w:rsidRPr="002C5876" w:rsidRDefault="00E24DB7" w:rsidP="00E24DB7">
            <w:pPr>
              <w:pStyle w:val="SingleTxtG"/>
              <w:spacing w:before="60" w:after="60" w:line="220" w:lineRule="atLeast"/>
              <w:ind w:left="57" w:right="57"/>
              <w:jc w:val="left"/>
              <w:rPr>
                <w:sz w:val="18"/>
                <w:szCs w:val="18"/>
              </w:rPr>
            </w:pPr>
            <w:r w:rsidRPr="002C5876">
              <w:rPr>
                <w:sz w:val="18"/>
                <w:szCs w:val="18"/>
              </w:rPr>
              <w:t>≤ Valeur déclarée × dCO2</w:t>
            </w:r>
            <w:r w:rsidRPr="002C5876">
              <w:rPr>
                <w:sz w:val="18"/>
                <w:szCs w:val="18"/>
                <w:vertAlign w:val="subscript"/>
              </w:rPr>
              <w:t>2</w:t>
            </w:r>
            <w:r w:rsidRPr="002C5876">
              <w:rPr>
                <w:i/>
                <w:sz w:val="18"/>
                <w:szCs w:val="18"/>
                <w:vertAlign w:val="superscript"/>
                <w:lang w:eastAsia="ja-JP"/>
              </w:rPr>
              <w:t>3</w:t>
            </w:r>
          </w:p>
        </w:tc>
        <w:tc>
          <w:tcPr>
            <w:tcW w:w="1698" w:type="dxa"/>
            <w:tcBorders>
              <w:bottom w:val="single" w:sz="4" w:space="0" w:color="auto"/>
            </w:tcBorders>
          </w:tcPr>
          <w:p w:rsidR="00E24DB7" w:rsidRPr="002C5876" w:rsidRDefault="00E24DB7" w:rsidP="00E24DB7">
            <w:pPr>
              <w:pStyle w:val="SingleTxtG"/>
              <w:spacing w:before="60" w:after="60" w:line="220" w:lineRule="atLeast"/>
              <w:ind w:left="57" w:right="57"/>
              <w:jc w:val="left"/>
              <w:rPr>
                <w:sz w:val="18"/>
                <w:szCs w:val="18"/>
              </w:rPr>
            </w:pPr>
            <w:r w:rsidRPr="002C5876">
              <w:rPr>
                <w:sz w:val="18"/>
                <w:szCs w:val="18"/>
              </w:rPr>
              <w:t>≥ Valeur déclarée × 1,0</w:t>
            </w:r>
          </w:p>
        </w:tc>
      </w:tr>
      <w:tr w:rsidR="00E24DB7" w:rsidRPr="002C5876" w:rsidTr="00E24DB7">
        <w:tc>
          <w:tcPr>
            <w:tcW w:w="851" w:type="dxa"/>
            <w:tcBorders>
              <w:bottom w:val="single" w:sz="12" w:space="0" w:color="auto"/>
            </w:tcBorders>
          </w:tcPr>
          <w:p w:rsidR="00E24DB7" w:rsidRPr="002C5876" w:rsidRDefault="00E24DB7" w:rsidP="00E24DB7">
            <w:pPr>
              <w:pStyle w:val="SingleTxtG"/>
              <w:spacing w:before="60" w:after="60" w:line="220" w:lineRule="atLeast"/>
              <w:ind w:left="57" w:right="57"/>
              <w:jc w:val="left"/>
              <w:rPr>
                <w:spacing w:val="-4"/>
                <w:sz w:val="18"/>
                <w:szCs w:val="18"/>
              </w:rPr>
            </w:pPr>
            <w:r w:rsidRPr="002C5876">
              <w:rPr>
                <w:spacing w:val="-4"/>
                <w:sz w:val="18"/>
                <w:szCs w:val="18"/>
              </w:rPr>
              <w:t>Ligne 3</w:t>
            </w:r>
          </w:p>
        </w:tc>
        <w:tc>
          <w:tcPr>
            <w:tcW w:w="1567" w:type="dxa"/>
            <w:tcBorders>
              <w:bottom w:val="single" w:sz="12" w:space="0" w:color="auto"/>
            </w:tcBorders>
          </w:tcPr>
          <w:p w:rsidR="00E24DB7" w:rsidRPr="002C5876" w:rsidRDefault="00E24DB7" w:rsidP="00E24DB7">
            <w:pPr>
              <w:pStyle w:val="SingleTxtG"/>
              <w:spacing w:before="60" w:after="60" w:line="220" w:lineRule="atLeast"/>
              <w:ind w:left="57" w:right="57"/>
              <w:jc w:val="left"/>
              <w:rPr>
                <w:sz w:val="18"/>
                <w:szCs w:val="18"/>
              </w:rPr>
            </w:pPr>
            <w:r w:rsidRPr="002C5876">
              <w:rPr>
                <w:sz w:val="18"/>
                <w:szCs w:val="18"/>
              </w:rPr>
              <w:t>Troisième essai</w:t>
            </w:r>
          </w:p>
        </w:tc>
        <w:tc>
          <w:tcPr>
            <w:tcW w:w="1996" w:type="dxa"/>
            <w:tcBorders>
              <w:bottom w:val="single" w:sz="12" w:space="0" w:color="auto"/>
            </w:tcBorders>
          </w:tcPr>
          <w:p w:rsidR="00E24DB7" w:rsidRPr="002C5876" w:rsidRDefault="00E24DB7" w:rsidP="00E24DB7">
            <w:pPr>
              <w:pStyle w:val="SingleTxtG"/>
              <w:spacing w:before="60" w:after="60" w:line="220" w:lineRule="atLeast"/>
              <w:ind w:left="57" w:right="57"/>
              <w:jc w:val="left"/>
              <w:rPr>
                <w:sz w:val="18"/>
                <w:szCs w:val="18"/>
              </w:rPr>
            </w:pPr>
            <w:r w:rsidRPr="002C5876">
              <w:rPr>
                <w:sz w:val="18"/>
                <w:szCs w:val="18"/>
              </w:rPr>
              <w:t xml:space="preserve">Moyenne arithmétique </w:t>
            </w:r>
            <w:r w:rsidRPr="002C5876">
              <w:rPr>
                <w:sz w:val="18"/>
                <w:szCs w:val="18"/>
              </w:rPr>
              <w:br/>
              <w:t>des résultats des trois essais</w:t>
            </w:r>
          </w:p>
        </w:tc>
        <w:tc>
          <w:tcPr>
            <w:tcW w:w="1759" w:type="dxa"/>
            <w:tcBorders>
              <w:bottom w:val="single" w:sz="12" w:space="0" w:color="auto"/>
            </w:tcBorders>
          </w:tcPr>
          <w:p w:rsidR="00E24DB7" w:rsidRPr="002C5876" w:rsidRDefault="00E24DB7" w:rsidP="00E24DB7">
            <w:pPr>
              <w:pStyle w:val="SingleTxtG"/>
              <w:spacing w:before="60" w:after="60" w:line="220" w:lineRule="atLeast"/>
              <w:ind w:left="57" w:right="57"/>
              <w:jc w:val="left"/>
              <w:rPr>
                <w:sz w:val="18"/>
                <w:szCs w:val="18"/>
              </w:rPr>
            </w:pPr>
            <w:r w:rsidRPr="002C5876">
              <w:rPr>
                <w:sz w:val="18"/>
                <w:szCs w:val="18"/>
              </w:rPr>
              <w:t>≤ Limite imposée × 1,0</w:t>
            </w:r>
            <w:r w:rsidRPr="002C5876">
              <w:rPr>
                <w:i/>
                <w:sz w:val="18"/>
                <w:szCs w:val="18"/>
                <w:vertAlign w:val="superscript"/>
                <w:lang w:eastAsia="ja-JP"/>
              </w:rPr>
              <w:t>2</w:t>
            </w:r>
          </w:p>
        </w:tc>
        <w:tc>
          <w:tcPr>
            <w:tcW w:w="1773" w:type="dxa"/>
            <w:tcBorders>
              <w:bottom w:val="single" w:sz="12" w:space="0" w:color="auto"/>
            </w:tcBorders>
          </w:tcPr>
          <w:p w:rsidR="00E24DB7" w:rsidRPr="002C5876" w:rsidRDefault="00E24DB7" w:rsidP="00E24DB7">
            <w:pPr>
              <w:pStyle w:val="SingleTxtG"/>
              <w:spacing w:before="60" w:after="60" w:line="220" w:lineRule="atLeast"/>
              <w:ind w:left="57" w:right="57"/>
              <w:jc w:val="left"/>
              <w:rPr>
                <w:sz w:val="18"/>
                <w:szCs w:val="18"/>
              </w:rPr>
            </w:pPr>
            <w:r w:rsidRPr="002C5876">
              <w:rPr>
                <w:sz w:val="18"/>
                <w:szCs w:val="18"/>
              </w:rPr>
              <w:t>≤ Valeur déclarée × dCO2</w:t>
            </w:r>
            <w:r w:rsidRPr="002C5876">
              <w:rPr>
                <w:sz w:val="18"/>
                <w:szCs w:val="18"/>
                <w:vertAlign w:val="subscript"/>
              </w:rPr>
              <w:t>3</w:t>
            </w:r>
            <w:r w:rsidRPr="002C5876">
              <w:rPr>
                <w:i/>
                <w:sz w:val="18"/>
                <w:szCs w:val="18"/>
                <w:vertAlign w:val="superscript"/>
                <w:lang w:eastAsia="ja-JP"/>
              </w:rPr>
              <w:t>3</w:t>
            </w:r>
          </w:p>
        </w:tc>
        <w:tc>
          <w:tcPr>
            <w:tcW w:w="1698" w:type="dxa"/>
            <w:tcBorders>
              <w:bottom w:val="single" w:sz="12" w:space="0" w:color="auto"/>
            </w:tcBorders>
          </w:tcPr>
          <w:p w:rsidR="00E24DB7" w:rsidRPr="002C5876" w:rsidRDefault="00E24DB7" w:rsidP="00E24DB7">
            <w:pPr>
              <w:pStyle w:val="SingleTxtG"/>
              <w:spacing w:before="60" w:after="60" w:line="220" w:lineRule="atLeast"/>
              <w:ind w:left="57" w:right="57"/>
              <w:jc w:val="left"/>
              <w:rPr>
                <w:sz w:val="18"/>
                <w:szCs w:val="18"/>
              </w:rPr>
            </w:pPr>
            <w:r w:rsidRPr="002C5876">
              <w:rPr>
                <w:sz w:val="18"/>
                <w:szCs w:val="18"/>
              </w:rPr>
              <w:t>≥ Valeur déclarée × 1,0</w:t>
            </w:r>
          </w:p>
        </w:tc>
      </w:tr>
    </w:tbl>
    <w:p w:rsidR="00E24DB7" w:rsidRPr="002C5876" w:rsidRDefault="00E24DB7" w:rsidP="00E24DB7">
      <w:pPr>
        <w:spacing w:before="120"/>
        <w:ind w:firstLine="170"/>
        <w:rPr>
          <w:sz w:val="18"/>
          <w:lang w:eastAsia="ja-JP"/>
        </w:rPr>
      </w:pPr>
      <w:r w:rsidRPr="002C5876">
        <w:rPr>
          <w:i/>
          <w:szCs w:val="24"/>
          <w:vertAlign w:val="superscript"/>
        </w:rPr>
        <w:t>1</w:t>
      </w:r>
      <w:r w:rsidRPr="002C5876">
        <w:rPr>
          <w:sz w:val="18"/>
          <w:lang w:eastAsia="ja-JP"/>
        </w:rPr>
        <w:t xml:space="preserve">  « 0,9 » n’est remplacé par « 1,0 » pour l’essai d’épuisement de la charge de type 1 pour les VHE-RE, que si l’essai d’épuisement de la charge contient plusieurs cycles WLTC applicables.</w:t>
      </w:r>
    </w:p>
    <w:p w:rsidR="00E24DB7" w:rsidRPr="002C5876" w:rsidRDefault="00E24DB7" w:rsidP="00E24DB7">
      <w:pPr>
        <w:ind w:firstLine="170"/>
        <w:rPr>
          <w:sz w:val="18"/>
          <w:lang w:eastAsia="ja-JP"/>
        </w:rPr>
      </w:pPr>
      <w:r w:rsidRPr="002C5876">
        <w:rPr>
          <w:i/>
          <w:sz w:val="18"/>
          <w:szCs w:val="18"/>
          <w:vertAlign w:val="superscript"/>
          <w:lang w:eastAsia="ja-JP"/>
        </w:rPr>
        <w:t>2</w:t>
      </w:r>
      <w:r w:rsidRPr="002C5876">
        <w:rPr>
          <w:sz w:val="18"/>
          <w:lang w:eastAsia="ja-JP"/>
        </w:rPr>
        <w:t xml:space="preserve">  Tout résultat d’essai doit aussi être en dessous de la limite imposée.</w:t>
      </w:r>
    </w:p>
    <w:p w:rsidR="00E24DB7" w:rsidRPr="002C5876" w:rsidRDefault="00E24DB7" w:rsidP="00E24DB7">
      <w:pPr>
        <w:spacing w:after="240"/>
        <w:ind w:firstLine="170"/>
        <w:rPr>
          <w:bCs/>
          <w:lang w:eastAsia="ja-JP"/>
        </w:rPr>
      </w:pPr>
      <w:r w:rsidRPr="002C5876">
        <w:rPr>
          <w:i/>
          <w:sz w:val="18"/>
          <w:szCs w:val="18"/>
          <w:vertAlign w:val="superscript"/>
          <w:lang w:eastAsia="ja-JP"/>
        </w:rPr>
        <w:t>3</w:t>
      </w:r>
      <w:r w:rsidRPr="002C5876">
        <w:rPr>
          <w:sz w:val="18"/>
          <w:lang w:eastAsia="ja-JP"/>
        </w:rPr>
        <w:t xml:space="preserve">  dCO2</w:t>
      </w:r>
      <w:r w:rsidRPr="002C5876">
        <w:rPr>
          <w:sz w:val="18"/>
          <w:vertAlign w:val="subscript"/>
          <w:lang w:eastAsia="ja-JP"/>
        </w:rPr>
        <w:t>1</w:t>
      </w:r>
      <w:r w:rsidRPr="002C5876">
        <w:rPr>
          <w:sz w:val="18"/>
          <w:lang w:eastAsia="ja-JP"/>
        </w:rPr>
        <w:t>, dCO2</w:t>
      </w:r>
      <w:r w:rsidRPr="002C5876">
        <w:rPr>
          <w:sz w:val="18"/>
          <w:vertAlign w:val="subscript"/>
          <w:lang w:eastAsia="ja-JP"/>
        </w:rPr>
        <w:t>2</w:t>
      </w:r>
      <w:r w:rsidRPr="002C5876">
        <w:rPr>
          <w:sz w:val="18"/>
          <w:lang w:eastAsia="ja-JP"/>
        </w:rPr>
        <w:t xml:space="preserve"> et dCO2</w:t>
      </w:r>
      <w:r w:rsidRPr="002C5876">
        <w:rPr>
          <w:sz w:val="18"/>
          <w:vertAlign w:val="subscript"/>
          <w:lang w:eastAsia="ja-JP"/>
        </w:rPr>
        <w:t xml:space="preserve">3 </w:t>
      </w:r>
      <w:r w:rsidRPr="002C5876">
        <w:rPr>
          <w:sz w:val="18"/>
          <w:lang w:eastAsia="ja-JP"/>
        </w:rPr>
        <w:t>doivent être déterminés conformément au paragraphe 1.2.3.8 de la présente annexe.</w:t>
      </w:r>
    </w:p>
    <w:p w:rsidR="00E24DB7" w:rsidRPr="002C5876" w:rsidRDefault="00E24DB7" w:rsidP="00E24DB7">
      <w:pPr>
        <w:pStyle w:val="H56G"/>
      </w:pPr>
      <w:r w:rsidRPr="002C5876">
        <w:t>Pour les VEP</w:t>
      </w:r>
    </w:p>
    <w:tbl>
      <w:tblPr>
        <w:tblW w:w="9637" w:type="dxa"/>
        <w:tblLayout w:type="fixed"/>
        <w:tblCellMar>
          <w:left w:w="0" w:type="dxa"/>
          <w:right w:w="0" w:type="dxa"/>
        </w:tblCellMar>
        <w:tblLook w:val="04A0" w:firstRow="1" w:lastRow="0" w:firstColumn="1" w:lastColumn="0" w:noHBand="0" w:noVBand="1"/>
      </w:tblPr>
      <w:tblGrid>
        <w:gridCol w:w="961"/>
        <w:gridCol w:w="1455"/>
        <w:gridCol w:w="3748"/>
        <w:gridCol w:w="1778"/>
        <w:gridCol w:w="1695"/>
      </w:tblGrid>
      <w:tr w:rsidR="00E24DB7" w:rsidRPr="002C5876" w:rsidTr="00E24DB7">
        <w:trPr>
          <w:tblHeader/>
        </w:trPr>
        <w:tc>
          <w:tcPr>
            <w:tcW w:w="961" w:type="dxa"/>
            <w:tcBorders>
              <w:top w:val="single" w:sz="4" w:space="0" w:color="auto"/>
              <w:left w:val="single" w:sz="4" w:space="0" w:color="auto"/>
              <w:bottom w:val="single" w:sz="12" w:space="0" w:color="auto"/>
              <w:right w:val="single" w:sz="4" w:space="0" w:color="auto"/>
            </w:tcBorders>
            <w:shd w:val="clear" w:color="auto" w:fill="auto"/>
            <w:vAlign w:val="bottom"/>
          </w:tcPr>
          <w:p w:rsidR="00E24DB7" w:rsidRPr="002C5876" w:rsidRDefault="00E24DB7" w:rsidP="00E24DB7">
            <w:pPr>
              <w:suppressAutoHyphens w:val="0"/>
              <w:spacing w:before="80" w:after="80" w:line="200" w:lineRule="exact"/>
              <w:ind w:left="57" w:right="57"/>
              <w:rPr>
                <w:i/>
                <w:sz w:val="16"/>
              </w:rPr>
            </w:pPr>
          </w:p>
        </w:tc>
        <w:tc>
          <w:tcPr>
            <w:tcW w:w="1455" w:type="dxa"/>
            <w:tcBorders>
              <w:top w:val="single" w:sz="4" w:space="0" w:color="auto"/>
              <w:left w:val="single" w:sz="4" w:space="0" w:color="auto"/>
              <w:bottom w:val="single" w:sz="12" w:space="0" w:color="auto"/>
              <w:right w:val="single" w:sz="4" w:space="0" w:color="auto"/>
            </w:tcBorders>
            <w:shd w:val="clear" w:color="auto" w:fill="auto"/>
            <w:vAlign w:val="bottom"/>
          </w:tcPr>
          <w:p w:rsidR="00E24DB7" w:rsidRPr="002C5876" w:rsidRDefault="00E24DB7" w:rsidP="00E24DB7">
            <w:pPr>
              <w:suppressAutoHyphens w:val="0"/>
              <w:spacing w:before="80" w:after="80" w:line="200" w:lineRule="exact"/>
              <w:ind w:left="57" w:right="57"/>
              <w:rPr>
                <w:i/>
                <w:sz w:val="16"/>
              </w:rPr>
            </w:pPr>
            <w:r w:rsidRPr="002C5876">
              <w:rPr>
                <w:i/>
                <w:sz w:val="16"/>
              </w:rPr>
              <w:t>Essai</w:t>
            </w:r>
          </w:p>
        </w:tc>
        <w:tc>
          <w:tcPr>
            <w:tcW w:w="3748" w:type="dxa"/>
            <w:tcBorders>
              <w:top w:val="single" w:sz="4" w:space="0" w:color="auto"/>
              <w:left w:val="single" w:sz="4" w:space="0" w:color="auto"/>
              <w:bottom w:val="single" w:sz="12" w:space="0" w:color="auto"/>
              <w:right w:val="single" w:sz="4" w:space="0" w:color="auto"/>
            </w:tcBorders>
            <w:shd w:val="clear" w:color="auto" w:fill="auto"/>
            <w:vAlign w:val="bottom"/>
          </w:tcPr>
          <w:p w:rsidR="00E24DB7" w:rsidRPr="002C5876" w:rsidRDefault="00E24DB7" w:rsidP="00E24DB7">
            <w:pPr>
              <w:suppressAutoHyphens w:val="0"/>
              <w:spacing w:before="80" w:after="80" w:line="200" w:lineRule="exact"/>
              <w:ind w:left="57" w:right="57"/>
              <w:rPr>
                <w:i/>
                <w:sz w:val="16"/>
              </w:rPr>
            </w:pPr>
            <w:r w:rsidRPr="002C5876">
              <w:rPr>
                <w:i/>
                <w:sz w:val="16"/>
              </w:rPr>
              <w:t>Paramètre d’appréciation</w:t>
            </w:r>
          </w:p>
        </w:tc>
        <w:tc>
          <w:tcPr>
            <w:tcW w:w="1778" w:type="dxa"/>
            <w:tcBorders>
              <w:top w:val="single" w:sz="4" w:space="0" w:color="auto"/>
              <w:left w:val="single" w:sz="4" w:space="0" w:color="auto"/>
              <w:bottom w:val="single" w:sz="12" w:space="0" w:color="auto"/>
              <w:right w:val="single" w:sz="4" w:space="0" w:color="auto"/>
            </w:tcBorders>
            <w:shd w:val="clear" w:color="auto" w:fill="auto"/>
            <w:vAlign w:val="bottom"/>
          </w:tcPr>
          <w:p w:rsidR="00E24DB7" w:rsidRPr="002C5876" w:rsidRDefault="00E24DB7" w:rsidP="00E24DB7">
            <w:pPr>
              <w:suppressAutoHyphens w:val="0"/>
              <w:spacing w:before="80" w:after="80" w:line="200" w:lineRule="exact"/>
              <w:ind w:left="57" w:right="57"/>
              <w:rPr>
                <w:i/>
                <w:sz w:val="16"/>
              </w:rPr>
            </w:pPr>
            <w:r w:rsidRPr="002C5876">
              <w:rPr>
                <w:i/>
                <w:sz w:val="16"/>
              </w:rPr>
              <w:t>Consommation d’énergie électrique</w:t>
            </w:r>
          </w:p>
        </w:tc>
        <w:tc>
          <w:tcPr>
            <w:tcW w:w="1695" w:type="dxa"/>
            <w:tcBorders>
              <w:top w:val="single" w:sz="4" w:space="0" w:color="auto"/>
              <w:left w:val="single" w:sz="4" w:space="0" w:color="auto"/>
              <w:bottom w:val="single" w:sz="12" w:space="0" w:color="auto"/>
              <w:right w:val="single" w:sz="4" w:space="0" w:color="auto"/>
            </w:tcBorders>
            <w:shd w:val="clear" w:color="auto" w:fill="auto"/>
            <w:vAlign w:val="bottom"/>
          </w:tcPr>
          <w:p w:rsidR="00E24DB7" w:rsidRPr="002C5876" w:rsidRDefault="00E24DB7" w:rsidP="00E24DB7">
            <w:pPr>
              <w:suppressAutoHyphens w:val="0"/>
              <w:spacing w:before="80" w:after="80" w:line="200" w:lineRule="exact"/>
              <w:ind w:left="57" w:right="57"/>
              <w:rPr>
                <w:i/>
                <w:sz w:val="16"/>
              </w:rPr>
            </w:pPr>
            <w:r w:rsidRPr="002C5876">
              <w:rPr>
                <w:i/>
                <w:sz w:val="16"/>
              </w:rPr>
              <w:t>PER</w:t>
            </w:r>
          </w:p>
        </w:tc>
      </w:tr>
      <w:tr w:rsidR="00E24DB7" w:rsidRPr="002C5876" w:rsidTr="00E24DB7">
        <w:tc>
          <w:tcPr>
            <w:tcW w:w="961" w:type="dxa"/>
            <w:tcBorders>
              <w:top w:val="single" w:sz="12" w:space="0" w:color="auto"/>
              <w:left w:val="single" w:sz="4" w:space="0" w:color="auto"/>
              <w:bottom w:val="single" w:sz="4" w:space="0" w:color="auto"/>
              <w:right w:val="single" w:sz="4" w:space="0" w:color="auto"/>
            </w:tcBorders>
            <w:shd w:val="clear" w:color="auto" w:fill="auto"/>
          </w:tcPr>
          <w:p w:rsidR="00E24DB7" w:rsidRPr="002C5876" w:rsidRDefault="00E24DB7" w:rsidP="00E24DB7">
            <w:pPr>
              <w:suppressAutoHyphens w:val="0"/>
              <w:spacing w:before="60" w:after="60" w:line="220" w:lineRule="exact"/>
              <w:ind w:left="57" w:right="57"/>
              <w:rPr>
                <w:sz w:val="18"/>
                <w:szCs w:val="18"/>
              </w:rPr>
            </w:pPr>
            <w:r w:rsidRPr="002C5876">
              <w:rPr>
                <w:sz w:val="18"/>
                <w:szCs w:val="18"/>
              </w:rPr>
              <w:t>Ligne 1</w:t>
            </w:r>
          </w:p>
        </w:tc>
        <w:tc>
          <w:tcPr>
            <w:tcW w:w="1455" w:type="dxa"/>
            <w:tcBorders>
              <w:top w:val="single" w:sz="12" w:space="0" w:color="auto"/>
              <w:left w:val="single" w:sz="4" w:space="0" w:color="auto"/>
              <w:bottom w:val="single" w:sz="4" w:space="0" w:color="auto"/>
              <w:right w:val="single" w:sz="4" w:space="0" w:color="auto"/>
            </w:tcBorders>
            <w:shd w:val="clear" w:color="auto" w:fill="auto"/>
          </w:tcPr>
          <w:p w:rsidR="00E24DB7" w:rsidRPr="002C5876" w:rsidRDefault="00E24DB7" w:rsidP="00E24DB7">
            <w:pPr>
              <w:suppressAutoHyphens w:val="0"/>
              <w:spacing w:before="60" w:after="60" w:line="220" w:lineRule="exact"/>
              <w:ind w:left="57" w:right="57"/>
              <w:rPr>
                <w:sz w:val="18"/>
                <w:szCs w:val="18"/>
              </w:rPr>
            </w:pPr>
            <w:r w:rsidRPr="002C5876">
              <w:rPr>
                <w:sz w:val="18"/>
                <w:szCs w:val="18"/>
              </w:rPr>
              <w:t>Premier essai</w:t>
            </w:r>
          </w:p>
        </w:tc>
        <w:tc>
          <w:tcPr>
            <w:tcW w:w="3748" w:type="dxa"/>
            <w:tcBorders>
              <w:top w:val="single" w:sz="12" w:space="0" w:color="auto"/>
              <w:left w:val="single" w:sz="4" w:space="0" w:color="auto"/>
              <w:bottom w:val="single" w:sz="4" w:space="0" w:color="auto"/>
              <w:right w:val="single" w:sz="4" w:space="0" w:color="auto"/>
            </w:tcBorders>
            <w:shd w:val="clear" w:color="auto" w:fill="auto"/>
          </w:tcPr>
          <w:p w:rsidR="00E24DB7" w:rsidRPr="002C5876" w:rsidRDefault="00E24DB7" w:rsidP="00E24DB7">
            <w:pPr>
              <w:suppressAutoHyphens w:val="0"/>
              <w:spacing w:before="60" w:after="60" w:line="220" w:lineRule="exact"/>
              <w:ind w:left="57" w:right="57"/>
              <w:rPr>
                <w:sz w:val="18"/>
                <w:szCs w:val="18"/>
              </w:rPr>
            </w:pPr>
            <w:r w:rsidRPr="002C5876">
              <w:rPr>
                <w:sz w:val="18"/>
                <w:szCs w:val="18"/>
              </w:rPr>
              <w:t>Résultat du premier essai</w:t>
            </w:r>
          </w:p>
        </w:tc>
        <w:tc>
          <w:tcPr>
            <w:tcW w:w="1778" w:type="dxa"/>
            <w:tcBorders>
              <w:top w:val="single" w:sz="12" w:space="0" w:color="auto"/>
              <w:left w:val="single" w:sz="4" w:space="0" w:color="auto"/>
              <w:bottom w:val="single" w:sz="4" w:space="0" w:color="auto"/>
              <w:right w:val="single" w:sz="4" w:space="0" w:color="auto"/>
            </w:tcBorders>
            <w:shd w:val="clear" w:color="auto" w:fill="auto"/>
          </w:tcPr>
          <w:p w:rsidR="00E24DB7" w:rsidRPr="002C5876" w:rsidRDefault="00E24DB7" w:rsidP="00E24DB7">
            <w:pPr>
              <w:suppressAutoHyphens w:val="0"/>
              <w:spacing w:before="60" w:after="60" w:line="220" w:lineRule="exact"/>
              <w:ind w:left="57" w:right="57"/>
              <w:rPr>
                <w:sz w:val="18"/>
                <w:szCs w:val="18"/>
              </w:rPr>
            </w:pPr>
            <w:r w:rsidRPr="002C5876">
              <w:rPr>
                <w:sz w:val="18"/>
                <w:szCs w:val="18"/>
              </w:rPr>
              <w:t>≤ Valeur déclarée × 1,0</w:t>
            </w:r>
          </w:p>
        </w:tc>
        <w:tc>
          <w:tcPr>
            <w:tcW w:w="1695" w:type="dxa"/>
            <w:tcBorders>
              <w:top w:val="single" w:sz="12" w:space="0" w:color="auto"/>
              <w:left w:val="single" w:sz="4" w:space="0" w:color="auto"/>
              <w:bottom w:val="single" w:sz="4" w:space="0" w:color="auto"/>
              <w:right w:val="single" w:sz="4" w:space="0" w:color="auto"/>
            </w:tcBorders>
            <w:shd w:val="clear" w:color="auto" w:fill="auto"/>
          </w:tcPr>
          <w:p w:rsidR="00E24DB7" w:rsidRPr="002C5876" w:rsidRDefault="00E24DB7" w:rsidP="00E24DB7">
            <w:pPr>
              <w:suppressAutoHyphens w:val="0"/>
              <w:spacing w:before="60" w:after="60" w:line="220" w:lineRule="exact"/>
              <w:ind w:left="57" w:right="57"/>
              <w:rPr>
                <w:sz w:val="18"/>
                <w:szCs w:val="18"/>
              </w:rPr>
            </w:pPr>
            <w:r w:rsidRPr="002C5876">
              <w:rPr>
                <w:sz w:val="18"/>
                <w:szCs w:val="18"/>
              </w:rPr>
              <w:t>≥ Valeur déclarée × 1,0</w:t>
            </w:r>
          </w:p>
        </w:tc>
      </w:tr>
      <w:tr w:rsidR="00E24DB7" w:rsidRPr="002C5876" w:rsidTr="00E24DB7">
        <w:tc>
          <w:tcPr>
            <w:tcW w:w="961" w:type="dxa"/>
            <w:tcBorders>
              <w:top w:val="single" w:sz="4" w:space="0" w:color="auto"/>
              <w:left w:val="single" w:sz="4" w:space="0" w:color="auto"/>
              <w:bottom w:val="single" w:sz="4" w:space="0" w:color="auto"/>
              <w:right w:val="single" w:sz="4" w:space="0" w:color="auto"/>
            </w:tcBorders>
            <w:shd w:val="clear" w:color="auto" w:fill="auto"/>
          </w:tcPr>
          <w:p w:rsidR="00E24DB7" w:rsidRPr="002C5876" w:rsidRDefault="00E24DB7" w:rsidP="00E24DB7">
            <w:pPr>
              <w:suppressAutoHyphens w:val="0"/>
              <w:spacing w:before="60" w:after="60" w:line="220" w:lineRule="exact"/>
              <w:ind w:left="57" w:right="57"/>
              <w:rPr>
                <w:sz w:val="18"/>
                <w:szCs w:val="18"/>
              </w:rPr>
            </w:pPr>
            <w:r w:rsidRPr="002C5876">
              <w:rPr>
                <w:sz w:val="18"/>
                <w:szCs w:val="18"/>
              </w:rPr>
              <w:t>Ligne 2</w:t>
            </w:r>
          </w:p>
        </w:tc>
        <w:tc>
          <w:tcPr>
            <w:tcW w:w="1455" w:type="dxa"/>
            <w:tcBorders>
              <w:top w:val="single" w:sz="4" w:space="0" w:color="auto"/>
              <w:left w:val="single" w:sz="4" w:space="0" w:color="auto"/>
              <w:bottom w:val="single" w:sz="4" w:space="0" w:color="auto"/>
              <w:right w:val="single" w:sz="4" w:space="0" w:color="auto"/>
            </w:tcBorders>
            <w:shd w:val="clear" w:color="auto" w:fill="auto"/>
          </w:tcPr>
          <w:p w:rsidR="00E24DB7" w:rsidRPr="002C5876" w:rsidRDefault="00E24DB7" w:rsidP="00E24DB7">
            <w:pPr>
              <w:suppressAutoHyphens w:val="0"/>
              <w:spacing w:before="60" w:after="60" w:line="220" w:lineRule="exact"/>
              <w:ind w:left="57" w:right="57"/>
              <w:rPr>
                <w:sz w:val="18"/>
                <w:szCs w:val="18"/>
              </w:rPr>
            </w:pPr>
            <w:r w:rsidRPr="002C5876">
              <w:rPr>
                <w:sz w:val="18"/>
                <w:szCs w:val="18"/>
              </w:rPr>
              <w:t>Deuxième essai</w:t>
            </w:r>
          </w:p>
        </w:tc>
        <w:tc>
          <w:tcPr>
            <w:tcW w:w="3748" w:type="dxa"/>
            <w:tcBorders>
              <w:top w:val="single" w:sz="4" w:space="0" w:color="auto"/>
              <w:left w:val="single" w:sz="4" w:space="0" w:color="auto"/>
              <w:bottom w:val="single" w:sz="4" w:space="0" w:color="auto"/>
              <w:right w:val="single" w:sz="4" w:space="0" w:color="auto"/>
            </w:tcBorders>
            <w:shd w:val="clear" w:color="auto" w:fill="auto"/>
          </w:tcPr>
          <w:p w:rsidR="00E24DB7" w:rsidRPr="002C5876" w:rsidRDefault="00E24DB7" w:rsidP="00E24DB7">
            <w:pPr>
              <w:suppressAutoHyphens w:val="0"/>
              <w:spacing w:before="60" w:after="60" w:line="220" w:lineRule="exact"/>
              <w:ind w:left="57" w:right="57"/>
              <w:rPr>
                <w:sz w:val="18"/>
                <w:szCs w:val="18"/>
              </w:rPr>
            </w:pPr>
            <w:r w:rsidRPr="002C5876">
              <w:rPr>
                <w:sz w:val="18"/>
                <w:szCs w:val="18"/>
              </w:rPr>
              <w:t xml:space="preserve">Moyenne arithmétique des résultats des premier et deuxième essais </w:t>
            </w:r>
          </w:p>
        </w:tc>
        <w:tc>
          <w:tcPr>
            <w:tcW w:w="1778" w:type="dxa"/>
            <w:tcBorders>
              <w:top w:val="single" w:sz="4" w:space="0" w:color="auto"/>
              <w:left w:val="single" w:sz="4" w:space="0" w:color="auto"/>
              <w:bottom w:val="single" w:sz="4" w:space="0" w:color="auto"/>
              <w:right w:val="single" w:sz="4" w:space="0" w:color="auto"/>
            </w:tcBorders>
            <w:shd w:val="clear" w:color="auto" w:fill="auto"/>
          </w:tcPr>
          <w:p w:rsidR="00E24DB7" w:rsidRPr="002C5876" w:rsidRDefault="00E24DB7" w:rsidP="00E24DB7">
            <w:pPr>
              <w:suppressAutoHyphens w:val="0"/>
              <w:spacing w:before="60" w:after="60" w:line="220" w:lineRule="exact"/>
              <w:ind w:left="57" w:right="57"/>
              <w:rPr>
                <w:sz w:val="18"/>
                <w:szCs w:val="18"/>
              </w:rPr>
            </w:pPr>
            <w:r w:rsidRPr="002C5876">
              <w:rPr>
                <w:sz w:val="18"/>
                <w:szCs w:val="18"/>
              </w:rPr>
              <w:t>≤ Valeur déclarée × 1,0</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E24DB7" w:rsidRPr="002C5876" w:rsidRDefault="00E24DB7" w:rsidP="00E24DB7">
            <w:pPr>
              <w:suppressAutoHyphens w:val="0"/>
              <w:spacing w:before="60" w:after="60" w:line="220" w:lineRule="exact"/>
              <w:ind w:left="57" w:right="57"/>
              <w:rPr>
                <w:sz w:val="18"/>
                <w:szCs w:val="18"/>
              </w:rPr>
            </w:pPr>
            <w:r w:rsidRPr="002C5876">
              <w:rPr>
                <w:sz w:val="18"/>
                <w:szCs w:val="18"/>
              </w:rPr>
              <w:t>≥ Valeur déclarée × 1,0</w:t>
            </w:r>
          </w:p>
        </w:tc>
      </w:tr>
      <w:tr w:rsidR="00E24DB7" w:rsidRPr="002C5876" w:rsidTr="00E24DB7">
        <w:tc>
          <w:tcPr>
            <w:tcW w:w="961" w:type="dxa"/>
            <w:tcBorders>
              <w:top w:val="single" w:sz="4" w:space="0" w:color="auto"/>
              <w:left w:val="single" w:sz="4" w:space="0" w:color="auto"/>
              <w:bottom w:val="single" w:sz="12" w:space="0" w:color="auto"/>
              <w:right w:val="single" w:sz="4" w:space="0" w:color="auto"/>
            </w:tcBorders>
            <w:shd w:val="clear" w:color="auto" w:fill="auto"/>
          </w:tcPr>
          <w:p w:rsidR="00E24DB7" w:rsidRPr="002C5876" w:rsidRDefault="00E24DB7" w:rsidP="00E24DB7">
            <w:pPr>
              <w:suppressAutoHyphens w:val="0"/>
              <w:spacing w:before="60" w:after="60" w:line="220" w:lineRule="exact"/>
              <w:ind w:left="57" w:right="57"/>
              <w:rPr>
                <w:sz w:val="18"/>
                <w:szCs w:val="18"/>
              </w:rPr>
            </w:pPr>
            <w:r w:rsidRPr="002C5876">
              <w:rPr>
                <w:sz w:val="18"/>
                <w:szCs w:val="18"/>
              </w:rPr>
              <w:t>Ligne 3</w:t>
            </w:r>
          </w:p>
        </w:tc>
        <w:tc>
          <w:tcPr>
            <w:tcW w:w="1455" w:type="dxa"/>
            <w:tcBorders>
              <w:top w:val="single" w:sz="4" w:space="0" w:color="auto"/>
              <w:left w:val="single" w:sz="4" w:space="0" w:color="auto"/>
              <w:bottom w:val="single" w:sz="12" w:space="0" w:color="auto"/>
              <w:right w:val="single" w:sz="4" w:space="0" w:color="auto"/>
            </w:tcBorders>
            <w:shd w:val="clear" w:color="auto" w:fill="auto"/>
          </w:tcPr>
          <w:p w:rsidR="00E24DB7" w:rsidRPr="002C5876" w:rsidRDefault="00E24DB7" w:rsidP="00E24DB7">
            <w:pPr>
              <w:suppressAutoHyphens w:val="0"/>
              <w:spacing w:before="60" w:after="60" w:line="220" w:lineRule="exact"/>
              <w:ind w:left="57" w:right="57"/>
              <w:rPr>
                <w:sz w:val="18"/>
                <w:szCs w:val="18"/>
              </w:rPr>
            </w:pPr>
            <w:r w:rsidRPr="002C5876">
              <w:rPr>
                <w:sz w:val="18"/>
                <w:szCs w:val="18"/>
              </w:rPr>
              <w:t>Troisième essai</w:t>
            </w:r>
          </w:p>
        </w:tc>
        <w:tc>
          <w:tcPr>
            <w:tcW w:w="3748" w:type="dxa"/>
            <w:tcBorders>
              <w:top w:val="single" w:sz="4" w:space="0" w:color="auto"/>
              <w:left w:val="single" w:sz="4" w:space="0" w:color="auto"/>
              <w:bottom w:val="single" w:sz="12" w:space="0" w:color="auto"/>
              <w:right w:val="single" w:sz="4" w:space="0" w:color="auto"/>
            </w:tcBorders>
            <w:shd w:val="clear" w:color="auto" w:fill="auto"/>
          </w:tcPr>
          <w:p w:rsidR="00E24DB7" w:rsidRPr="002C5876" w:rsidRDefault="00E24DB7" w:rsidP="00E24DB7">
            <w:pPr>
              <w:suppressAutoHyphens w:val="0"/>
              <w:spacing w:before="60" w:after="60" w:line="220" w:lineRule="exact"/>
              <w:ind w:left="57" w:right="57"/>
              <w:rPr>
                <w:sz w:val="18"/>
                <w:szCs w:val="18"/>
              </w:rPr>
            </w:pPr>
            <w:r w:rsidRPr="002C5876">
              <w:rPr>
                <w:sz w:val="18"/>
                <w:szCs w:val="18"/>
              </w:rPr>
              <w:t>Moyenne arithmétique des résultats des trois essais</w:t>
            </w:r>
          </w:p>
        </w:tc>
        <w:tc>
          <w:tcPr>
            <w:tcW w:w="1778" w:type="dxa"/>
            <w:tcBorders>
              <w:top w:val="single" w:sz="4" w:space="0" w:color="auto"/>
              <w:left w:val="single" w:sz="4" w:space="0" w:color="auto"/>
              <w:bottom w:val="single" w:sz="12" w:space="0" w:color="auto"/>
              <w:right w:val="single" w:sz="4" w:space="0" w:color="auto"/>
            </w:tcBorders>
            <w:shd w:val="clear" w:color="auto" w:fill="auto"/>
          </w:tcPr>
          <w:p w:rsidR="00E24DB7" w:rsidRPr="002C5876" w:rsidRDefault="00E24DB7" w:rsidP="00E24DB7">
            <w:pPr>
              <w:suppressAutoHyphens w:val="0"/>
              <w:spacing w:before="60" w:after="60" w:line="220" w:lineRule="exact"/>
              <w:ind w:left="57" w:right="57"/>
              <w:rPr>
                <w:sz w:val="18"/>
                <w:szCs w:val="18"/>
              </w:rPr>
            </w:pPr>
            <w:r w:rsidRPr="002C5876">
              <w:rPr>
                <w:sz w:val="18"/>
                <w:szCs w:val="18"/>
              </w:rPr>
              <w:t>≤ Valeur déclarée × 1,0</w:t>
            </w:r>
          </w:p>
        </w:tc>
        <w:tc>
          <w:tcPr>
            <w:tcW w:w="1695" w:type="dxa"/>
            <w:tcBorders>
              <w:top w:val="single" w:sz="4" w:space="0" w:color="auto"/>
              <w:left w:val="single" w:sz="4" w:space="0" w:color="auto"/>
              <w:bottom w:val="single" w:sz="12" w:space="0" w:color="auto"/>
              <w:right w:val="single" w:sz="4" w:space="0" w:color="auto"/>
            </w:tcBorders>
            <w:shd w:val="clear" w:color="auto" w:fill="auto"/>
          </w:tcPr>
          <w:p w:rsidR="00E24DB7" w:rsidRPr="002C5876" w:rsidRDefault="00E24DB7" w:rsidP="00E24DB7">
            <w:pPr>
              <w:suppressAutoHyphens w:val="0"/>
              <w:spacing w:before="60" w:after="60" w:line="220" w:lineRule="exact"/>
              <w:ind w:left="57" w:right="57"/>
              <w:rPr>
                <w:sz w:val="18"/>
                <w:szCs w:val="18"/>
              </w:rPr>
            </w:pPr>
            <w:r w:rsidRPr="002C5876">
              <w:rPr>
                <w:sz w:val="18"/>
                <w:szCs w:val="18"/>
              </w:rPr>
              <w:t>≥ Valeur déclarée × 1,0</w:t>
            </w:r>
          </w:p>
        </w:tc>
      </w:tr>
    </w:tbl>
    <w:p w:rsidR="00E24DB7" w:rsidRPr="002C5876" w:rsidRDefault="00E24DB7" w:rsidP="00E24DB7">
      <w:pPr>
        <w:pStyle w:val="H56G"/>
        <w:rPr>
          <w:lang w:eastAsia="ja-JP"/>
        </w:rPr>
      </w:pPr>
      <w:r w:rsidRPr="002C5876">
        <w:rPr>
          <w:lang w:eastAsia="ja-JP"/>
        </w:rPr>
        <w:t>Pour les VHPC-NRE</w:t>
      </w:r>
    </w:p>
    <w:tbl>
      <w:tblPr>
        <w:tblW w:w="9637" w:type="dxa"/>
        <w:tblLayout w:type="fixed"/>
        <w:tblCellMar>
          <w:left w:w="0" w:type="dxa"/>
          <w:right w:w="0" w:type="dxa"/>
        </w:tblCellMar>
        <w:tblLook w:val="04A0" w:firstRow="1" w:lastRow="0" w:firstColumn="1" w:lastColumn="0" w:noHBand="0" w:noVBand="1"/>
      </w:tblPr>
      <w:tblGrid>
        <w:gridCol w:w="957"/>
        <w:gridCol w:w="1442"/>
        <w:gridCol w:w="5529"/>
        <w:gridCol w:w="1709"/>
      </w:tblGrid>
      <w:tr w:rsidR="00E24DB7" w:rsidRPr="002C5876" w:rsidTr="00E24DB7">
        <w:trPr>
          <w:tblHeader/>
        </w:trPr>
        <w:tc>
          <w:tcPr>
            <w:tcW w:w="957" w:type="dxa"/>
            <w:tcBorders>
              <w:top w:val="single" w:sz="4" w:space="0" w:color="auto"/>
              <w:left w:val="single" w:sz="4" w:space="0" w:color="auto"/>
              <w:bottom w:val="single" w:sz="12" w:space="0" w:color="auto"/>
              <w:right w:val="single" w:sz="4" w:space="0" w:color="auto"/>
            </w:tcBorders>
            <w:shd w:val="clear" w:color="auto" w:fill="auto"/>
            <w:vAlign w:val="bottom"/>
          </w:tcPr>
          <w:p w:rsidR="00E24DB7" w:rsidRPr="002C5876" w:rsidRDefault="00E24DB7" w:rsidP="00E24DB7">
            <w:pPr>
              <w:suppressAutoHyphens w:val="0"/>
              <w:spacing w:before="80" w:after="80" w:line="200" w:lineRule="exact"/>
              <w:ind w:left="57"/>
              <w:rPr>
                <w:i/>
                <w:sz w:val="16"/>
              </w:rPr>
            </w:pPr>
          </w:p>
        </w:tc>
        <w:tc>
          <w:tcPr>
            <w:tcW w:w="1442" w:type="dxa"/>
            <w:tcBorders>
              <w:top w:val="single" w:sz="4" w:space="0" w:color="auto"/>
              <w:left w:val="single" w:sz="4" w:space="0" w:color="auto"/>
              <w:bottom w:val="single" w:sz="12" w:space="0" w:color="auto"/>
              <w:right w:val="single" w:sz="4" w:space="0" w:color="auto"/>
            </w:tcBorders>
            <w:shd w:val="clear" w:color="auto" w:fill="auto"/>
            <w:vAlign w:val="bottom"/>
          </w:tcPr>
          <w:p w:rsidR="00E24DB7" w:rsidRPr="002C5876" w:rsidRDefault="00E24DB7" w:rsidP="00E24DB7">
            <w:pPr>
              <w:suppressAutoHyphens w:val="0"/>
              <w:spacing w:before="80" w:after="80" w:line="200" w:lineRule="exact"/>
              <w:ind w:left="57"/>
              <w:rPr>
                <w:i/>
                <w:sz w:val="16"/>
              </w:rPr>
            </w:pPr>
            <w:r w:rsidRPr="002C5876">
              <w:rPr>
                <w:i/>
                <w:sz w:val="16"/>
              </w:rPr>
              <w:t>Essai</w:t>
            </w:r>
          </w:p>
        </w:tc>
        <w:tc>
          <w:tcPr>
            <w:tcW w:w="5529" w:type="dxa"/>
            <w:tcBorders>
              <w:top w:val="single" w:sz="4" w:space="0" w:color="auto"/>
              <w:left w:val="single" w:sz="4" w:space="0" w:color="auto"/>
              <w:bottom w:val="single" w:sz="12" w:space="0" w:color="auto"/>
              <w:right w:val="single" w:sz="4" w:space="0" w:color="auto"/>
            </w:tcBorders>
            <w:shd w:val="clear" w:color="auto" w:fill="auto"/>
            <w:vAlign w:val="bottom"/>
          </w:tcPr>
          <w:p w:rsidR="00E24DB7" w:rsidRPr="002C5876" w:rsidRDefault="00E24DB7" w:rsidP="00E24DB7">
            <w:pPr>
              <w:suppressAutoHyphens w:val="0"/>
              <w:spacing w:before="80" w:after="80" w:line="200" w:lineRule="exact"/>
              <w:ind w:left="57"/>
              <w:rPr>
                <w:i/>
                <w:sz w:val="16"/>
              </w:rPr>
            </w:pPr>
            <w:r w:rsidRPr="002C5876">
              <w:rPr>
                <w:i/>
                <w:sz w:val="16"/>
              </w:rPr>
              <w:t>Paramètre d’appréciation</w:t>
            </w:r>
          </w:p>
        </w:tc>
        <w:tc>
          <w:tcPr>
            <w:tcW w:w="1709" w:type="dxa"/>
            <w:tcBorders>
              <w:top w:val="single" w:sz="4" w:space="0" w:color="auto"/>
              <w:left w:val="single" w:sz="4" w:space="0" w:color="auto"/>
              <w:bottom w:val="single" w:sz="12" w:space="0" w:color="auto"/>
              <w:right w:val="single" w:sz="4" w:space="0" w:color="auto"/>
            </w:tcBorders>
            <w:shd w:val="clear" w:color="auto" w:fill="auto"/>
            <w:vAlign w:val="bottom"/>
          </w:tcPr>
          <w:p w:rsidR="00E24DB7" w:rsidRPr="002C5876" w:rsidRDefault="00E24DB7" w:rsidP="00E24DB7">
            <w:pPr>
              <w:suppressAutoHyphens w:val="0"/>
              <w:spacing w:before="80" w:after="80" w:line="200" w:lineRule="exact"/>
              <w:ind w:left="57"/>
              <w:rPr>
                <w:i/>
                <w:sz w:val="16"/>
              </w:rPr>
            </w:pPr>
            <w:r w:rsidRPr="002C5876">
              <w:rPr>
                <w:i/>
                <w:sz w:val="16"/>
              </w:rPr>
              <w:t>FC</w:t>
            </w:r>
            <w:r w:rsidRPr="002C5876">
              <w:rPr>
                <w:i/>
                <w:sz w:val="16"/>
                <w:vertAlign w:val="subscript"/>
              </w:rPr>
              <w:t>CS</w:t>
            </w:r>
          </w:p>
        </w:tc>
      </w:tr>
      <w:tr w:rsidR="00E24DB7" w:rsidRPr="002C5876" w:rsidTr="00E24DB7">
        <w:tc>
          <w:tcPr>
            <w:tcW w:w="957" w:type="dxa"/>
            <w:tcBorders>
              <w:top w:val="single" w:sz="12" w:space="0" w:color="auto"/>
              <w:left w:val="single" w:sz="4" w:space="0" w:color="auto"/>
              <w:bottom w:val="single" w:sz="4" w:space="0" w:color="auto"/>
              <w:right w:val="single" w:sz="4" w:space="0" w:color="auto"/>
            </w:tcBorders>
            <w:shd w:val="clear" w:color="auto" w:fill="auto"/>
          </w:tcPr>
          <w:p w:rsidR="00E24DB7" w:rsidRPr="002C5876" w:rsidRDefault="00E24DB7" w:rsidP="00E24DB7">
            <w:pPr>
              <w:suppressAutoHyphens w:val="0"/>
              <w:spacing w:before="40" w:after="40" w:line="220" w:lineRule="exact"/>
              <w:ind w:left="57"/>
              <w:rPr>
                <w:sz w:val="18"/>
                <w:szCs w:val="18"/>
              </w:rPr>
            </w:pPr>
            <w:r w:rsidRPr="002C5876">
              <w:rPr>
                <w:sz w:val="18"/>
                <w:szCs w:val="18"/>
              </w:rPr>
              <w:t>Ligne 1</w:t>
            </w:r>
          </w:p>
        </w:tc>
        <w:tc>
          <w:tcPr>
            <w:tcW w:w="1442" w:type="dxa"/>
            <w:tcBorders>
              <w:top w:val="single" w:sz="12" w:space="0" w:color="auto"/>
              <w:left w:val="single" w:sz="4" w:space="0" w:color="auto"/>
              <w:bottom w:val="single" w:sz="4" w:space="0" w:color="auto"/>
              <w:right w:val="single" w:sz="4" w:space="0" w:color="auto"/>
            </w:tcBorders>
            <w:shd w:val="clear" w:color="auto" w:fill="auto"/>
          </w:tcPr>
          <w:p w:rsidR="00E24DB7" w:rsidRPr="002C5876" w:rsidRDefault="00E24DB7" w:rsidP="00E24DB7">
            <w:pPr>
              <w:suppressAutoHyphens w:val="0"/>
              <w:spacing w:before="40" w:after="40" w:line="220" w:lineRule="exact"/>
              <w:ind w:left="57"/>
              <w:rPr>
                <w:sz w:val="18"/>
                <w:szCs w:val="18"/>
              </w:rPr>
            </w:pPr>
            <w:r w:rsidRPr="002C5876">
              <w:rPr>
                <w:sz w:val="18"/>
                <w:szCs w:val="18"/>
              </w:rPr>
              <w:t>Premier essai</w:t>
            </w:r>
          </w:p>
        </w:tc>
        <w:tc>
          <w:tcPr>
            <w:tcW w:w="5529" w:type="dxa"/>
            <w:tcBorders>
              <w:top w:val="single" w:sz="12" w:space="0" w:color="auto"/>
              <w:left w:val="single" w:sz="4" w:space="0" w:color="auto"/>
              <w:bottom w:val="single" w:sz="4" w:space="0" w:color="auto"/>
              <w:right w:val="single" w:sz="4" w:space="0" w:color="auto"/>
            </w:tcBorders>
            <w:shd w:val="clear" w:color="auto" w:fill="auto"/>
          </w:tcPr>
          <w:p w:rsidR="00E24DB7" w:rsidRPr="002C5876" w:rsidRDefault="00E24DB7" w:rsidP="00E24DB7">
            <w:pPr>
              <w:suppressAutoHyphens w:val="0"/>
              <w:spacing w:before="40" w:after="40" w:line="220" w:lineRule="exact"/>
              <w:ind w:left="57"/>
              <w:rPr>
                <w:sz w:val="18"/>
                <w:szCs w:val="18"/>
              </w:rPr>
            </w:pPr>
            <w:r w:rsidRPr="002C5876">
              <w:rPr>
                <w:sz w:val="18"/>
                <w:szCs w:val="18"/>
              </w:rPr>
              <w:t>Résultat du premier essai</w:t>
            </w:r>
          </w:p>
        </w:tc>
        <w:tc>
          <w:tcPr>
            <w:tcW w:w="1709" w:type="dxa"/>
            <w:tcBorders>
              <w:top w:val="single" w:sz="12" w:space="0" w:color="auto"/>
              <w:left w:val="single" w:sz="4" w:space="0" w:color="auto"/>
              <w:bottom w:val="single" w:sz="4" w:space="0" w:color="auto"/>
              <w:right w:val="single" w:sz="4" w:space="0" w:color="auto"/>
            </w:tcBorders>
            <w:shd w:val="clear" w:color="auto" w:fill="auto"/>
          </w:tcPr>
          <w:p w:rsidR="00E24DB7" w:rsidRPr="002C5876" w:rsidRDefault="00E24DB7" w:rsidP="00E24DB7">
            <w:pPr>
              <w:suppressAutoHyphens w:val="0"/>
              <w:spacing w:before="40" w:after="40" w:line="220" w:lineRule="exact"/>
              <w:ind w:left="57"/>
              <w:rPr>
                <w:sz w:val="18"/>
                <w:szCs w:val="18"/>
              </w:rPr>
            </w:pPr>
            <w:r w:rsidRPr="002C5876">
              <w:rPr>
                <w:sz w:val="18"/>
                <w:szCs w:val="18"/>
              </w:rPr>
              <w:t>≤ Valeur déclarée × 1,0</w:t>
            </w:r>
          </w:p>
        </w:tc>
      </w:tr>
      <w:tr w:rsidR="00E24DB7" w:rsidRPr="002C5876" w:rsidTr="00E24DB7">
        <w:tc>
          <w:tcPr>
            <w:tcW w:w="957" w:type="dxa"/>
            <w:tcBorders>
              <w:top w:val="single" w:sz="4" w:space="0" w:color="auto"/>
              <w:left w:val="single" w:sz="4" w:space="0" w:color="auto"/>
              <w:bottom w:val="single" w:sz="4" w:space="0" w:color="auto"/>
              <w:right w:val="single" w:sz="4" w:space="0" w:color="auto"/>
            </w:tcBorders>
            <w:shd w:val="clear" w:color="auto" w:fill="auto"/>
          </w:tcPr>
          <w:p w:rsidR="00E24DB7" w:rsidRPr="002C5876" w:rsidRDefault="00E24DB7" w:rsidP="00E24DB7">
            <w:pPr>
              <w:suppressAutoHyphens w:val="0"/>
              <w:spacing w:before="40" w:after="40" w:line="220" w:lineRule="exact"/>
              <w:ind w:left="57"/>
              <w:rPr>
                <w:sz w:val="18"/>
                <w:szCs w:val="18"/>
              </w:rPr>
            </w:pPr>
            <w:r w:rsidRPr="002C5876">
              <w:rPr>
                <w:sz w:val="18"/>
                <w:szCs w:val="18"/>
              </w:rPr>
              <w:t>Ligne 2</w:t>
            </w:r>
          </w:p>
        </w:tc>
        <w:tc>
          <w:tcPr>
            <w:tcW w:w="1442" w:type="dxa"/>
            <w:tcBorders>
              <w:top w:val="single" w:sz="4" w:space="0" w:color="auto"/>
              <w:left w:val="single" w:sz="4" w:space="0" w:color="auto"/>
              <w:bottom w:val="single" w:sz="4" w:space="0" w:color="auto"/>
              <w:right w:val="single" w:sz="4" w:space="0" w:color="auto"/>
            </w:tcBorders>
            <w:shd w:val="clear" w:color="auto" w:fill="auto"/>
          </w:tcPr>
          <w:p w:rsidR="00E24DB7" w:rsidRPr="002C5876" w:rsidRDefault="00E24DB7" w:rsidP="00E24DB7">
            <w:pPr>
              <w:suppressAutoHyphens w:val="0"/>
              <w:spacing w:before="40" w:after="40" w:line="220" w:lineRule="exact"/>
              <w:ind w:left="57"/>
              <w:rPr>
                <w:sz w:val="18"/>
                <w:szCs w:val="18"/>
              </w:rPr>
            </w:pPr>
            <w:r w:rsidRPr="002C5876">
              <w:rPr>
                <w:sz w:val="18"/>
                <w:szCs w:val="18"/>
              </w:rPr>
              <w:t>Deuxième essai</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E24DB7" w:rsidRPr="002C5876" w:rsidRDefault="00E24DB7" w:rsidP="00E24DB7">
            <w:pPr>
              <w:suppressAutoHyphens w:val="0"/>
              <w:spacing w:before="40" w:after="40" w:line="220" w:lineRule="exact"/>
              <w:ind w:left="57"/>
              <w:rPr>
                <w:sz w:val="18"/>
                <w:szCs w:val="18"/>
              </w:rPr>
            </w:pPr>
            <w:r w:rsidRPr="002C5876">
              <w:rPr>
                <w:sz w:val="18"/>
                <w:szCs w:val="18"/>
              </w:rPr>
              <w:t xml:space="preserve">Moyenne arithmétique des résultats des premier </w:t>
            </w:r>
            <w:r w:rsidRPr="002C5876">
              <w:rPr>
                <w:sz w:val="18"/>
                <w:szCs w:val="18"/>
              </w:rPr>
              <w:br/>
              <w:t xml:space="preserve">et deuxième essais </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E24DB7" w:rsidRPr="002C5876" w:rsidRDefault="00E24DB7" w:rsidP="00E24DB7">
            <w:pPr>
              <w:suppressAutoHyphens w:val="0"/>
              <w:spacing w:before="40" w:after="40" w:line="220" w:lineRule="exact"/>
              <w:ind w:left="57"/>
              <w:rPr>
                <w:sz w:val="18"/>
                <w:szCs w:val="18"/>
              </w:rPr>
            </w:pPr>
            <w:r w:rsidRPr="002C5876">
              <w:rPr>
                <w:sz w:val="18"/>
                <w:szCs w:val="18"/>
              </w:rPr>
              <w:t>≤ Valeur déclarée × 1,0</w:t>
            </w:r>
          </w:p>
        </w:tc>
      </w:tr>
      <w:tr w:rsidR="00E24DB7" w:rsidRPr="002C5876" w:rsidTr="00E24DB7">
        <w:tc>
          <w:tcPr>
            <w:tcW w:w="957" w:type="dxa"/>
            <w:tcBorders>
              <w:top w:val="single" w:sz="4" w:space="0" w:color="auto"/>
              <w:left w:val="single" w:sz="4" w:space="0" w:color="auto"/>
              <w:bottom w:val="single" w:sz="12" w:space="0" w:color="auto"/>
              <w:right w:val="single" w:sz="4" w:space="0" w:color="auto"/>
            </w:tcBorders>
            <w:shd w:val="clear" w:color="auto" w:fill="auto"/>
          </w:tcPr>
          <w:p w:rsidR="00E24DB7" w:rsidRPr="002C5876" w:rsidRDefault="00E24DB7" w:rsidP="00E24DB7">
            <w:pPr>
              <w:suppressAutoHyphens w:val="0"/>
              <w:spacing w:before="40" w:after="40" w:line="220" w:lineRule="exact"/>
              <w:ind w:left="57"/>
              <w:rPr>
                <w:sz w:val="18"/>
                <w:szCs w:val="18"/>
              </w:rPr>
            </w:pPr>
            <w:r w:rsidRPr="002C5876">
              <w:rPr>
                <w:sz w:val="18"/>
                <w:szCs w:val="18"/>
              </w:rPr>
              <w:t>Ligne 3</w:t>
            </w:r>
          </w:p>
        </w:tc>
        <w:tc>
          <w:tcPr>
            <w:tcW w:w="1442" w:type="dxa"/>
            <w:tcBorders>
              <w:top w:val="single" w:sz="4" w:space="0" w:color="auto"/>
              <w:left w:val="single" w:sz="4" w:space="0" w:color="auto"/>
              <w:bottom w:val="single" w:sz="12" w:space="0" w:color="auto"/>
              <w:right w:val="single" w:sz="4" w:space="0" w:color="auto"/>
            </w:tcBorders>
            <w:shd w:val="clear" w:color="auto" w:fill="auto"/>
          </w:tcPr>
          <w:p w:rsidR="00E24DB7" w:rsidRPr="002C5876" w:rsidRDefault="00E24DB7" w:rsidP="00E24DB7">
            <w:pPr>
              <w:suppressAutoHyphens w:val="0"/>
              <w:spacing w:before="40" w:after="40" w:line="220" w:lineRule="exact"/>
              <w:ind w:left="57"/>
              <w:rPr>
                <w:sz w:val="18"/>
                <w:szCs w:val="18"/>
              </w:rPr>
            </w:pPr>
            <w:r w:rsidRPr="002C5876">
              <w:rPr>
                <w:sz w:val="18"/>
                <w:szCs w:val="18"/>
              </w:rPr>
              <w:t>Troisième essai</w:t>
            </w:r>
          </w:p>
        </w:tc>
        <w:tc>
          <w:tcPr>
            <w:tcW w:w="5529" w:type="dxa"/>
            <w:tcBorders>
              <w:top w:val="single" w:sz="4" w:space="0" w:color="auto"/>
              <w:left w:val="single" w:sz="4" w:space="0" w:color="auto"/>
              <w:bottom w:val="single" w:sz="12" w:space="0" w:color="auto"/>
              <w:right w:val="single" w:sz="4" w:space="0" w:color="auto"/>
            </w:tcBorders>
            <w:shd w:val="clear" w:color="auto" w:fill="auto"/>
          </w:tcPr>
          <w:p w:rsidR="00E24DB7" w:rsidRPr="002C5876" w:rsidRDefault="00E24DB7" w:rsidP="00E24DB7">
            <w:pPr>
              <w:suppressAutoHyphens w:val="0"/>
              <w:spacing w:before="40" w:after="40" w:line="220" w:lineRule="exact"/>
              <w:ind w:left="57"/>
              <w:rPr>
                <w:sz w:val="18"/>
                <w:szCs w:val="18"/>
              </w:rPr>
            </w:pPr>
            <w:r w:rsidRPr="002C5876">
              <w:rPr>
                <w:sz w:val="18"/>
                <w:szCs w:val="18"/>
              </w:rPr>
              <w:t>Moyenne arithmétique des résultats des trois essais</w:t>
            </w:r>
          </w:p>
        </w:tc>
        <w:tc>
          <w:tcPr>
            <w:tcW w:w="1709" w:type="dxa"/>
            <w:tcBorders>
              <w:top w:val="single" w:sz="4" w:space="0" w:color="auto"/>
              <w:left w:val="single" w:sz="4" w:space="0" w:color="auto"/>
              <w:bottom w:val="single" w:sz="12" w:space="0" w:color="auto"/>
              <w:right w:val="single" w:sz="4" w:space="0" w:color="auto"/>
            </w:tcBorders>
            <w:shd w:val="clear" w:color="auto" w:fill="auto"/>
          </w:tcPr>
          <w:p w:rsidR="00E24DB7" w:rsidRPr="002C5876" w:rsidRDefault="00E24DB7" w:rsidP="00E24DB7">
            <w:pPr>
              <w:suppressAutoHyphens w:val="0"/>
              <w:spacing w:before="40" w:after="40" w:line="220" w:lineRule="exact"/>
              <w:ind w:left="57"/>
              <w:rPr>
                <w:sz w:val="18"/>
                <w:szCs w:val="18"/>
              </w:rPr>
            </w:pPr>
            <w:r w:rsidRPr="002C5876">
              <w:rPr>
                <w:sz w:val="18"/>
                <w:szCs w:val="18"/>
              </w:rPr>
              <w:t>≤ Valeur déclarée × 1,0</w:t>
            </w:r>
          </w:p>
        </w:tc>
      </w:tr>
    </w:tbl>
    <w:p w:rsidR="00E24DB7" w:rsidRPr="002C5876" w:rsidRDefault="00E24DB7" w:rsidP="00E24DB7">
      <w:pPr>
        <w:pStyle w:val="SingleTxtG"/>
        <w:keepNext/>
        <w:spacing w:before="240"/>
        <w:ind w:left="2268" w:hanging="1134"/>
        <w:rPr>
          <w:lang w:eastAsia="ja-JP"/>
        </w:rPr>
      </w:pPr>
      <w:r w:rsidRPr="002C5876">
        <w:rPr>
          <w:lang w:eastAsia="ja-JP"/>
        </w:rPr>
        <w:t>1.2.4</w:t>
      </w:r>
      <w:r w:rsidRPr="002C5876">
        <w:rPr>
          <w:lang w:eastAsia="ja-JP"/>
        </w:rPr>
        <w:tab/>
        <w:t>Détermination des valeurs propres à une phase</w:t>
      </w:r>
    </w:p>
    <w:p w:rsidR="00E24DB7" w:rsidRPr="002C5876" w:rsidRDefault="00E24DB7" w:rsidP="00E24DB7">
      <w:pPr>
        <w:pStyle w:val="SingleTxtG"/>
        <w:keepNext/>
        <w:ind w:left="2268" w:hanging="1134"/>
        <w:jc w:val="left"/>
        <w:rPr>
          <w:lang w:eastAsia="ja-JP"/>
        </w:rPr>
      </w:pPr>
      <w:r w:rsidRPr="002C5876">
        <w:rPr>
          <w:lang w:eastAsia="ja-JP"/>
        </w:rPr>
        <w:t>1.2.4.1</w:t>
      </w:r>
      <w:r w:rsidRPr="002C5876">
        <w:rPr>
          <w:lang w:eastAsia="ja-JP"/>
        </w:rPr>
        <w:tab/>
        <w:t>Valeur propre à une phase pour le CO</w:t>
      </w:r>
      <w:r w:rsidRPr="002C5876">
        <w:rPr>
          <w:vertAlign w:val="subscript"/>
          <w:lang w:eastAsia="ja-JP"/>
        </w:rPr>
        <w:t>2</w:t>
      </w:r>
      <w:r w:rsidRPr="002C5876">
        <w:rPr>
          <w:lang w:eastAsia="ja-JP"/>
        </w:rPr>
        <w:t xml:space="preserve"> </w:t>
      </w:r>
    </w:p>
    <w:p w:rsidR="00E24DB7" w:rsidRPr="002C5876" w:rsidRDefault="00E24DB7" w:rsidP="00E24DB7">
      <w:pPr>
        <w:pStyle w:val="SingleTxtG"/>
        <w:ind w:left="2268" w:hanging="1134"/>
        <w:rPr>
          <w:lang w:eastAsia="ja-JP"/>
        </w:rPr>
      </w:pPr>
      <w:r w:rsidRPr="002C5876">
        <w:rPr>
          <w:lang w:eastAsia="ja-JP"/>
        </w:rPr>
        <w:t>1.2.4.1.1</w:t>
      </w:r>
      <w:r w:rsidRPr="002C5876">
        <w:rPr>
          <w:lang w:eastAsia="ja-JP"/>
        </w:rPr>
        <w:tab/>
        <w:t>Une fois que la valeur déclarée des émissions massiques de CO</w:t>
      </w:r>
      <w:r w:rsidRPr="002C5876">
        <w:rPr>
          <w:vertAlign w:val="subscript"/>
          <w:lang w:eastAsia="ja-JP"/>
        </w:rPr>
        <w:t>2</w:t>
      </w:r>
      <w:r w:rsidRPr="002C5876">
        <w:rPr>
          <w:lang w:eastAsia="ja-JP"/>
        </w:rPr>
        <w:t xml:space="preserve"> pour le cycle total a été acceptée, la moyenne arithmétique des valeurs propres aux phases des résultats d’essai en g/km est multipliée par le coefficient d’ajustement CO2</w:t>
      </w:r>
      <w:r w:rsidRPr="002C5876">
        <w:rPr>
          <w:lang w:eastAsia="ja-JP"/>
        </w:rPr>
        <w:noBreakHyphen/>
        <w:t>AF pour compenser la différence entre la valeur déclarée et les résultats des essais. Cette valeur corrigée est la valeur d’homologation de type pour le CO</w:t>
      </w:r>
      <w:r w:rsidRPr="002C5876">
        <w:rPr>
          <w:vertAlign w:val="subscript"/>
          <w:lang w:eastAsia="ja-JP"/>
        </w:rPr>
        <w:t>2</w:t>
      </w:r>
      <w:r w:rsidRPr="002C5876">
        <w:rPr>
          <w:lang w:eastAsia="ja-JP"/>
        </w:rPr>
        <w:t>.</w:t>
      </w:r>
    </w:p>
    <w:p w:rsidR="00662132" w:rsidRPr="002C5876" w:rsidRDefault="00662132" w:rsidP="00E24DB7">
      <w:pPr>
        <w:pStyle w:val="SingleTxtG"/>
        <w:ind w:left="2268" w:hanging="1134"/>
        <w:rPr>
          <w:lang w:eastAsia="ja-JP"/>
        </w:rPr>
      </w:pPr>
      <m:oMathPara>
        <m:oMath>
          <m:r>
            <m:rPr>
              <m:sty m:val="p"/>
            </m:rPr>
            <w:rPr>
              <w:rFonts w:ascii="Cambria Math" w:hAnsi="Cambria Math"/>
              <w:lang w:eastAsia="ja-JP"/>
            </w:rPr>
            <m:t>CO2_AF=</m:t>
          </m:r>
          <m:f>
            <m:fPr>
              <m:ctrlPr>
                <w:rPr>
                  <w:rFonts w:ascii="Cambria Math" w:hAnsi="Cambria Math"/>
                  <w:lang w:eastAsia="ja-JP"/>
                </w:rPr>
              </m:ctrlPr>
            </m:fPr>
            <m:num>
              <m:r>
                <m:rPr>
                  <m:sty m:val="p"/>
                </m:rPr>
                <w:rPr>
                  <w:rFonts w:ascii="Cambria Math" w:hAnsi="Cambria Math"/>
                  <w:lang w:eastAsia="ja-JP"/>
                </w:rPr>
                <m:t>valeur déclarée</m:t>
              </m:r>
            </m:num>
            <m:den>
              <m:r>
                <m:rPr>
                  <m:sty m:val="p"/>
                </m:rPr>
                <w:rPr>
                  <w:rFonts w:ascii="Cambria Math" w:hAnsi="Cambria Math"/>
                  <w:lang w:eastAsia="ja-JP"/>
                </w:rPr>
                <m:t>valeur combinée de phase</m:t>
              </m:r>
            </m:den>
          </m:f>
        </m:oMath>
      </m:oMathPara>
    </w:p>
    <w:p w:rsidR="00E24DB7" w:rsidRPr="002C5876" w:rsidRDefault="00E24DB7" w:rsidP="00E24DB7">
      <w:pPr>
        <w:pStyle w:val="SingleTxtG"/>
        <w:keepNext/>
        <w:keepLines/>
        <w:ind w:left="3402" w:hanging="1134"/>
        <w:rPr>
          <w:lang w:eastAsia="ja-JP"/>
        </w:rPr>
      </w:pPr>
      <w:r w:rsidRPr="002C5876">
        <w:rPr>
          <w:lang w:eastAsia="ja-JP"/>
        </w:rPr>
        <w:lastRenderedPageBreak/>
        <w:t>où :</w:t>
      </w:r>
    </w:p>
    <w:p w:rsidR="00E24DB7" w:rsidRPr="002C5876" w:rsidRDefault="00E24DB7" w:rsidP="00E24DB7">
      <w:pPr>
        <w:pStyle w:val="SingleTxtG"/>
        <w:keepNext/>
        <w:keepLines/>
        <w:spacing w:after="240"/>
        <w:ind w:left="2268"/>
        <w:rPr>
          <w:rFonts w:eastAsiaTheme="minorEastAsia"/>
          <w:lang w:eastAsia="ja-JP"/>
        </w:rPr>
      </w:pPr>
      <m:oMathPara>
        <m:oMathParaPr>
          <m:jc m:val="left"/>
        </m:oMathParaPr>
        <m:oMath>
          <m:r>
            <m:rPr>
              <m:sty m:val="p"/>
            </m:rPr>
            <w:rPr>
              <w:rFonts w:ascii="Cambria Math" w:hAnsi="Cambria Math"/>
              <w:lang w:eastAsia="ja-JP"/>
            </w:rPr>
            <m:t>Valeur combinée de phase</m:t>
          </m:r>
        </m:oMath>
      </m:oMathPara>
    </w:p>
    <w:p w:rsidR="00E24DB7" w:rsidRPr="002C5876" w:rsidRDefault="00E24DB7" w:rsidP="00441401">
      <w:pPr>
        <w:pStyle w:val="SingleTxtG"/>
        <w:keepNext/>
        <w:keepLines/>
        <w:spacing w:after="240"/>
        <w:ind w:left="2268"/>
        <w:jc w:val="center"/>
        <w:rPr>
          <w:rFonts w:eastAsiaTheme="minorEastAsia"/>
          <w:lang w:eastAsia="ja-JP"/>
        </w:rPr>
      </w:pPr>
      <m:oMathPara>
        <m:oMathParaPr>
          <m:jc m:val="center"/>
        </m:oMathParaPr>
        <m:oMath>
          <m:r>
            <m:rPr>
              <m:sty m:val="p"/>
            </m:rPr>
            <w:rPr>
              <w:rFonts w:ascii="Cambria Math" w:hAnsi="Cambria Math" w:cstheme="majorBidi"/>
              <w:lang w:eastAsia="ja-JP"/>
            </w:rPr>
            <m:t>=</m:t>
          </m:r>
          <m:f>
            <m:fPr>
              <m:ctrlPr>
                <w:rPr>
                  <w:rFonts w:ascii="Cambria Math" w:hAnsi="Cambria Math" w:cstheme="majorBidi"/>
                  <w:iCs/>
                  <w:lang w:eastAsia="ja-JP"/>
                </w:rPr>
              </m:ctrlPr>
            </m:fPr>
            <m:num>
              <m:r>
                <m:rPr>
                  <m:sty m:val="p"/>
                </m:rPr>
                <w:rPr>
                  <w:rFonts w:ascii="Cambria Math" w:hAnsi="Cambria Math" w:cstheme="majorBidi"/>
                  <w:lang w:eastAsia="ja-JP"/>
                </w:rPr>
                <m:t>(CO</m:t>
              </m:r>
              <m:sSub>
                <m:sSubPr>
                  <m:ctrlPr>
                    <w:rPr>
                      <w:rFonts w:ascii="Cambria Math" w:hAnsi="Cambria Math" w:cstheme="majorBidi"/>
                      <w:iCs/>
                      <w:lang w:eastAsia="ja-JP"/>
                    </w:rPr>
                  </m:ctrlPr>
                </m:sSubPr>
                <m:e>
                  <m:r>
                    <m:rPr>
                      <m:sty m:val="p"/>
                    </m:rPr>
                    <w:rPr>
                      <w:rFonts w:ascii="Cambria Math" w:hAnsi="Cambria Math" w:cstheme="majorBidi"/>
                      <w:lang w:eastAsia="ja-JP"/>
                    </w:rPr>
                    <m:t>2</m:t>
                  </m:r>
                </m:e>
                <m:sub>
                  <m:r>
                    <m:rPr>
                      <m:sty m:val="p"/>
                    </m:rPr>
                    <w:rPr>
                      <w:rFonts w:ascii="Cambria Math" w:hAnsi="Cambria Math" w:cstheme="majorBidi"/>
                      <w:lang w:eastAsia="ja-JP"/>
                    </w:rPr>
                    <m:t>av</m:t>
                  </m:r>
                  <m:sSub>
                    <m:sSubPr>
                      <m:ctrlPr>
                        <w:rPr>
                          <w:rFonts w:ascii="Cambria Math" w:hAnsi="Cambria Math" w:cstheme="majorBidi"/>
                          <w:iCs/>
                          <w:lang w:eastAsia="ja-JP"/>
                        </w:rPr>
                      </m:ctrlPr>
                    </m:sSubPr>
                    <m:e>
                      <m:r>
                        <m:rPr>
                          <m:sty m:val="p"/>
                        </m:rPr>
                        <w:rPr>
                          <w:rFonts w:ascii="Cambria Math" w:hAnsi="Cambria Math" w:cstheme="majorBidi"/>
                          <w:lang w:eastAsia="ja-JP"/>
                        </w:rPr>
                        <m:t>e</m:t>
                      </m:r>
                    </m:e>
                    <m:sub>
                      <m:r>
                        <m:rPr>
                          <m:sty m:val="p"/>
                        </m:rPr>
                        <w:rPr>
                          <w:rFonts w:ascii="Cambria Math" w:hAnsi="Cambria Math" w:cstheme="majorBidi"/>
                          <w:lang w:eastAsia="ja-JP"/>
                        </w:rPr>
                        <m:t>L</m:t>
                      </m:r>
                    </m:sub>
                  </m:sSub>
                </m:sub>
              </m:sSub>
              <m:r>
                <m:rPr>
                  <m:sty m:val="p"/>
                </m:rPr>
                <w:rPr>
                  <w:rFonts w:ascii="Cambria Math" w:hAnsi="Cambria Math" w:cstheme="majorBidi"/>
                  <w:lang w:eastAsia="ja-JP"/>
                </w:rPr>
                <m:t>×</m:t>
              </m:r>
              <m:sSub>
                <m:sSubPr>
                  <m:ctrlPr>
                    <w:rPr>
                      <w:rFonts w:ascii="Cambria Math" w:hAnsi="Cambria Math" w:cstheme="majorBidi"/>
                      <w:iCs/>
                      <w:lang w:eastAsia="ja-JP"/>
                    </w:rPr>
                  </m:ctrlPr>
                </m:sSubPr>
                <m:e>
                  <m:r>
                    <m:rPr>
                      <m:sty m:val="p"/>
                    </m:rPr>
                    <w:rPr>
                      <w:rFonts w:ascii="Cambria Math" w:hAnsi="Cambria Math" w:cstheme="majorBidi"/>
                      <w:lang w:eastAsia="ja-JP"/>
                    </w:rPr>
                    <m:t>D</m:t>
                  </m:r>
                </m:e>
                <m:sub>
                  <m:r>
                    <m:rPr>
                      <m:sty m:val="p"/>
                    </m:rPr>
                    <w:rPr>
                      <w:rFonts w:ascii="Cambria Math" w:hAnsi="Cambria Math" w:cstheme="majorBidi"/>
                      <w:lang w:eastAsia="ja-JP"/>
                    </w:rPr>
                    <m:t>L</m:t>
                  </m:r>
                </m:sub>
              </m:sSub>
              <m:r>
                <m:rPr>
                  <m:sty m:val="p"/>
                </m:rPr>
                <w:rPr>
                  <w:rFonts w:ascii="Cambria Math" w:hAnsi="Cambria Math" w:cstheme="majorBidi"/>
                  <w:lang w:eastAsia="ja-JP"/>
                </w:rPr>
                <m:t>)+(CO</m:t>
              </m:r>
              <m:sSub>
                <m:sSubPr>
                  <m:ctrlPr>
                    <w:rPr>
                      <w:rFonts w:ascii="Cambria Math" w:hAnsi="Cambria Math" w:cstheme="majorBidi"/>
                      <w:iCs/>
                      <w:lang w:eastAsia="ja-JP"/>
                    </w:rPr>
                  </m:ctrlPr>
                </m:sSubPr>
                <m:e>
                  <m:r>
                    <m:rPr>
                      <m:sty m:val="p"/>
                    </m:rPr>
                    <w:rPr>
                      <w:rFonts w:ascii="Cambria Math" w:hAnsi="Cambria Math" w:cstheme="majorBidi"/>
                      <w:lang w:eastAsia="ja-JP"/>
                    </w:rPr>
                    <m:t>2</m:t>
                  </m:r>
                </m:e>
                <m:sub>
                  <m:r>
                    <m:rPr>
                      <m:sty m:val="p"/>
                    </m:rPr>
                    <w:rPr>
                      <w:rFonts w:ascii="Cambria Math" w:hAnsi="Cambria Math" w:cstheme="majorBidi"/>
                      <w:lang w:eastAsia="ja-JP"/>
                    </w:rPr>
                    <m:t>av</m:t>
                  </m:r>
                  <m:sSub>
                    <m:sSubPr>
                      <m:ctrlPr>
                        <w:rPr>
                          <w:rFonts w:ascii="Cambria Math" w:hAnsi="Cambria Math" w:cstheme="majorBidi"/>
                          <w:iCs/>
                          <w:lang w:eastAsia="ja-JP"/>
                        </w:rPr>
                      </m:ctrlPr>
                    </m:sSubPr>
                    <m:e>
                      <m:r>
                        <m:rPr>
                          <m:sty m:val="p"/>
                        </m:rPr>
                        <w:rPr>
                          <w:rFonts w:ascii="Cambria Math" w:hAnsi="Cambria Math" w:cstheme="majorBidi"/>
                          <w:lang w:eastAsia="ja-JP"/>
                        </w:rPr>
                        <m:t>e</m:t>
                      </m:r>
                    </m:e>
                    <m:sub>
                      <m:r>
                        <m:rPr>
                          <m:sty m:val="p"/>
                        </m:rPr>
                        <w:rPr>
                          <w:rFonts w:ascii="Cambria Math" w:hAnsi="Cambria Math" w:cstheme="majorBidi"/>
                          <w:lang w:eastAsia="ja-JP"/>
                        </w:rPr>
                        <m:t>M</m:t>
                      </m:r>
                    </m:sub>
                  </m:sSub>
                </m:sub>
              </m:sSub>
              <m:r>
                <m:rPr>
                  <m:sty m:val="p"/>
                </m:rPr>
                <w:rPr>
                  <w:rFonts w:ascii="Cambria Math" w:hAnsi="Cambria Math" w:cstheme="majorBidi"/>
                  <w:lang w:eastAsia="ja-JP"/>
                </w:rPr>
                <m:t>×</m:t>
              </m:r>
              <m:sSub>
                <m:sSubPr>
                  <m:ctrlPr>
                    <w:rPr>
                      <w:rFonts w:ascii="Cambria Math" w:hAnsi="Cambria Math" w:cstheme="majorBidi"/>
                      <w:iCs/>
                      <w:lang w:eastAsia="ja-JP"/>
                    </w:rPr>
                  </m:ctrlPr>
                </m:sSubPr>
                <m:e>
                  <m:r>
                    <m:rPr>
                      <m:sty m:val="p"/>
                    </m:rPr>
                    <w:rPr>
                      <w:rFonts w:ascii="Cambria Math" w:hAnsi="Cambria Math" w:cstheme="majorBidi"/>
                      <w:lang w:eastAsia="ja-JP"/>
                    </w:rPr>
                    <m:t>D</m:t>
                  </m:r>
                </m:e>
                <m:sub>
                  <m:r>
                    <m:rPr>
                      <m:sty m:val="p"/>
                    </m:rPr>
                    <w:rPr>
                      <w:rFonts w:ascii="Cambria Math" w:hAnsi="Cambria Math" w:cstheme="majorBidi"/>
                      <w:lang w:eastAsia="ja-JP"/>
                    </w:rPr>
                    <m:t>M</m:t>
                  </m:r>
                </m:sub>
              </m:sSub>
              <m:r>
                <m:rPr>
                  <m:sty m:val="p"/>
                </m:rPr>
                <w:rPr>
                  <w:rFonts w:ascii="Cambria Math" w:hAnsi="Cambria Math" w:cstheme="majorBidi"/>
                  <w:lang w:eastAsia="ja-JP"/>
                </w:rPr>
                <m:t>)+(CO</m:t>
              </m:r>
              <m:sSub>
                <m:sSubPr>
                  <m:ctrlPr>
                    <w:rPr>
                      <w:rFonts w:ascii="Cambria Math" w:hAnsi="Cambria Math" w:cstheme="majorBidi"/>
                      <w:iCs/>
                      <w:lang w:eastAsia="ja-JP"/>
                    </w:rPr>
                  </m:ctrlPr>
                </m:sSubPr>
                <m:e>
                  <m:r>
                    <m:rPr>
                      <m:sty m:val="p"/>
                    </m:rPr>
                    <w:rPr>
                      <w:rFonts w:ascii="Cambria Math" w:hAnsi="Cambria Math" w:cstheme="majorBidi"/>
                      <w:lang w:eastAsia="ja-JP"/>
                    </w:rPr>
                    <m:t>2</m:t>
                  </m:r>
                </m:e>
                <m:sub>
                  <m:r>
                    <m:rPr>
                      <m:sty m:val="p"/>
                    </m:rPr>
                    <w:rPr>
                      <w:rFonts w:ascii="Cambria Math" w:hAnsi="Cambria Math" w:cstheme="majorBidi"/>
                      <w:lang w:eastAsia="ja-JP"/>
                    </w:rPr>
                    <m:t>av</m:t>
                  </m:r>
                  <m:sSub>
                    <m:sSubPr>
                      <m:ctrlPr>
                        <w:rPr>
                          <w:rFonts w:ascii="Cambria Math" w:hAnsi="Cambria Math" w:cstheme="majorBidi"/>
                          <w:iCs/>
                          <w:lang w:eastAsia="ja-JP"/>
                        </w:rPr>
                      </m:ctrlPr>
                    </m:sSubPr>
                    <m:e>
                      <m:r>
                        <m:rPr>
                          <m:sty m:val="p"/>
                        </m:rPr>
                        <w:rPr>
                          <w:rFonts w:ascii="Cambria Math" w:hAnsi="Cambria Math" w:cstheme="majorBidi"/>
                          <w:lang w:eastAsia="ja-JP"/>
                        </w:rPr>
                        <m:t>e</m:t>
                      </m:r>
                    </m:e>
                    <m:sub>
                      <m:r>
                        <m:rPr>
                          <m:sty m:val="p"/>
                        </m:rPr>
                        <w:rPr>
                          <w:rFonts w:ascii="Cambria Math" w:hAnsi="Cambria Math" w:cstheme="majorBidi"/>
                          <w:lang w:eastAsia="ja-JP"/>
                        </w:rPr>
                        <m:t>H</m:t>
                      </m:r>
                    </m:sub>
                  </m:sSub>
                </m:sub>
              </m:sSub>
              <m:r>
                <m:rPr>
                  <m:sty m:val="p"/>
                </m:rPr>
                <w:rPr>
                  <w:rFonts w:ascii="Cambria Math" w:hAnsi="Cambria Math" w:cstheme="majorBidi"/>
                  <w:lang w:eastAsia="ja-JP"/>
                </w:rPr>
                <m:t>×</m:t>
              </m:r>
              <m:sSub>
                <m:sSubPr>
                  <m:ctrlPr>
                    <w:rPr>
                      <w:rFonts w:ascii="Cambria Math" w:hAnsi="Cambria Math" w:cstheme="majorBidi"/>
                      <w:iCs/>
                      <w:lang w:eastAsia="ja-JP"/>
                    </w:rPr>
                  </m:ctrlPr>
                </m:sSubPr>
                <m:e>
                  <m:r>
                    <m:rPr>
                      <m:sty m:val="p"/>
                    </m:rPr>
                    <w:rPr>
                      <w:rFonts w:ascii="Cambria Math" w:hAnsi="Cambria Math" w:cstheme="majorBidi"/>
                      <w:lang w:eastAsia="ja-JP"/>
                    </w:rPr>
                    <m:t>D</m:t>
                  </m:r>
                </m:e>
                <m:sub>
                  <m:r>
                    <m:rPr>
                      <m:sty m:val="p"/>
                    </m:rPr>
                    <w:rPr>
                      <w:rFonts w:ascii="Cambria Math" w:hAnsi="Cambria Math" w:cstheme="majorBidi"/>
                      <w:lang w:eastAsia="ja-JP"/>
                    </w:rPr>
                    <m:t>H</m:t>
                  </m:r>
                </m:sub>
              </m:sSub>
              <m:r>
                <m:rPr>
                  <m:sty m:val="p"/>
                </m:rPr>
                <w:rPr>
                  <w:rFonts w:ascii="Cambria Math" w:hAnsi="Cambria Math" w:cstheme="majorBidi"/>
                  <w:lang w:eastAsia="ja-JP"/>
                </w:rPr>
                <m:t>)+(CO</m:t>
              </m:r>
              <m:sSub>
                <m:sSubPr>
                  <m:ctrlPr>
                    <w:rPr>
                      <w:rFonts w:ascii="Cambria Math" w:hAnsi="Cambria Math" w:cstheme="majorBidi"/>
                      <w:iCs/>
                      <w:lang w:eastAsia="ja-JP"/>
                    </w:rPr>
                  </m:ctrlPr>
                </m:sSubPr>
                <m:e>
                  <m:r>
                    <m:rPr>
                      <m:sty m:val="p"/>
                    </m:rPr>
                    <w:rPr>
                      <w:rFonts w:ascii="Cambria Math" w:hAnsi="Cambria Math" w:cstheme="majorBidi"/>
                      <w:lang w:eastAsia="ja-JP"/>
                    </w:rPr>
                    <m:t>2</m:t>
                  </m:r>
                </m:e>
                <m:sub>
                  <m:r>
                    <m:rPr>
                      <m:sty m:val="p"/>
                    </m:rPr>
                    <w:rPr>
                      <w:rFonts w:ascii="Cambria Math" w:hAnsi="Cambria Math" w:cstheme="majorBidi"/>
                      <w:lang w:eastAsia="ja-JP"/>
                    </w:rPr>
                    <m:t>av</m:t>
                  </m:r>
                  <m:sSub>
                    <m:sSubPr>
                      <m:ctrlPr>
                        <w:rPr>
                          <w:rFonts w:ascii="Cambria Math" w:hAnsi="Cambria Math" w:cstheme="majorBidi"/>
                          <w:iCs/>
                          <w:lang w:eastAsia="ja-JP"/>
                        </w:rPr>
                      </m:ctrlPr>
                    </m:sSubPr>
                    <m:e>
                      <m:r>
                        <m:rPr>
                          <m:sty m:val="p"/>
                        </m:rPr>
                        <w:rPr>
                          <w:rFonts w:ascii="Cambria Math" w:hAnsi="Cambria Math" w:cstheme="majorBidi"/>
                          <w:lang w:eastAsia="ja-JP"/>
                        </w:rPr>
                        <m:t>e</m:t>
                      </m:r>
                    </m:e>
                    <m:sub>
                      <m:r>
                        <m:rPr>
                          <m:sty m:val="p"/>
                        </m:rPr>
                        <w:rPr>
                          <w:rFonts w:ascii="Cambria Math" w:hAnsi="Cambria Math" w:cstheme="majorBidi"/>
                          <w:lang w:eastAsia="ja-JP"/>
                        </w:rPr>
                        <m:t>exH</m:t>
                      </m:r>
                    </m:sub>
                  </m:sSub>
                </m:sub>
              </m:sSub>
              <m:r>
                <m:rPr>
                  <m:sty m:val="p"/>
                </m:rPr>
                <w:rPr>
                  <w:rFonts w:ascii="Cambria Math" w:hAnsi="Cambria Math" w:cstheme="majorBidi"/>
                  <w:lang w:eastAsia="ja-JP"/>
                </w:rPr>
                <m:t>×</m:t>
              </m:r>
              <m:sSub>
                <m:sSubPr>
                  <m:ctrlPr>
                    <w:rPr>
                      <w:rFonts w:ascii="Cambria Math" w:hAnsi="Cambria Math" w:cstheme="majorBidi"/>
                      <w:iCs/>
                      <w:lang w:eastAsia="ja-JP"/>
                    </w:rPr>
                  </m:ctrlPr>
                </m:sSubPr>
                <m:e>
                  <m:r>
                    <m:rPr>
                      <m:sty m:val="p"/>
                    </m:rPr>
                    <w:rPr>
                      <w:rFonts w:ascii="Cambria Math" w:hAnsi="Cambria Math" w:cstheme="majorBidi"/>
                      <w:lang w:eastAsia="ja-JP"/>
                    </w:rPr>
                    <m:t>D</m:t>
                  </m:r>
                </m:e>
                <m:sub>
                  <m:r>
                    <m:rPr>
                      <m:sty m:val="p"/>
                    </m:rPr>
                    <w:rPr>
                      <w:rFonts w:ascii="Cambria Math" w:hAnsi="Cambria Math" w:cstheme="majorBidi"/>
                      <w:lang w:eastAsia="ja-JP"/>
                    </w:rPr>
                    <m:t>exH</m:t>
                  </m:r>
                </m:sub>
              </m:sSub>
              <m:r>
                <w:rPr>
                  <w:rFonts w:ascii="Cambria Math" w:hAnsi="Cambria Math" w:cstheme="majorBidi"/>
                  <w:lang w:eastAsia="ja-JP"/>
                </w:rPr>
                <m:t>)</m:t>
              </m:r>
            </m:num>
            <m:den>
              <m:sSub>
                <m:sSubPr>
                  <m:ctrlPr>
                    <w:rPr>
                      <w:rFonts w:ascii="Cambria Math" w:hAnsi="Cambria Math" w:cstheme="majorBidi"/>
                      <w:iCs/>
                      <w:lang w:eastAsia="ja-JP"/>
                    </w:rPr>
                  </m:ctrlPr>
                </m:sSubPr>
                <m:e>
                  <m:r>
                    <m:rPr>
                      <m:sty m:val="p"/>
                    </m:rPr>
                    <w:rPr>
                      <w:rFonts w:ascii="Cambria Math" w:hAnsi="Cambria Math" w:cstheme="majorBidi"/>
                      <w:lang w:eastAsia="ja-JP"/>
                    </w:rPr>
                    <m:t>D</m:t>
                  </m:r>
                </m:e>
                <m:sub>
                  <m:r>
                    <m:rPr>
                      <m:sty m:val="p"/>
                    </m:rPr>
                    <w:rPr>
                      <w:rFonts w:ascii="Cambria Math" w:hAnsi="Cambria Math" w:cstheme="majorBidi"/>
                      <w:lang w:eastAsia="ja-JP"/>
                    </w:rPr>
                    <m:t>L</m:t>
                  </m:r>
                </m:sub>
              </m:sSub>
              <m:r>
                <m:rPr>
                  <m:sty m:val="p"/>
                </m:rPr>
                <w:rPr>
                  <w:rFonts w:ascii="Cambria Math" w:hAnsi="Cambria Math" w:cstheme="majorBidi"/>
                  <w:lang w:eastAsia="ja-JP"/>
                </w:rPr>
                <m:t>+</m:t>
              </m:r>
              <m:sSub>
                <m:sSubPr>
                  <m:ctrlPr>
                    <w:rPr>
                      <w:rFonts w:ascii="Cambria Math" w:hAnsi="Cambria Math" w:cstheme="majorBidi"/>
                      <w:iCs/>
                      <w:lang w:eastAsia="ja-JP"/>
                    </w:rPr>
                  </m:ctrlPr>
                </m:sSubPr>
                <m:e>
                  <m:r>
                    <m:rPr>
                      <m:sty m:val="p"/>
                    </m:rPr>
                    <w:rPr>
                      <w:rFonts w:ascii="Cambria Math" w:hAnsi="Cambria Math" w:cstheme="majorBidi"/>
                      <w:lang w:eastAsia="ja-JP"/>
                    </w:rPr>
                    <m:t>D</m:t>
                  </m:r>
                </m:e>
                <m:sub>
                  <m:r>
                    <m:rPr>
                      <m:sty m:val="p"/>
                    </m:rPr>
                    <w:rPr>
                      <w:rFonts w:ascii="Cambria Math" w:hAnsi="Cambria Math" w:cstheme="majorBidi"/>
                      <w:lang w:eastAsia="ja-JP"/>
                    </w:rPr>
                    <m:t>M</m:t>
                  </m:r>
                </m:sub>
              </m:sSub>
              <m:r>
                <m:rPr>
                  <m:sty m:val="p"/>
                </m:rPr>
                <w:rPr>
                  <w:rFonts w:ascii="Cambria Math" w:hAnsi="Cambria Math" w:cstheme="majorBidi"/>
                  <w:lang w:eastAsia="ja-JP"/>
                </w:rPr>
                <m:t>+</m:t>
              </m:r>
              <m:sSub>
                <m:sSubPr>
                  <m:ctrlPr>
                    <w:rPr>
                      <w:rFonts w:ascii="Cambria Math" w:hAnsi="Cambria Math" w:cstheme="majorBidi"/>
                      <w:iCs/>
                      <w:lang w:eastAsia="ja-JP"/>
                    </w:rPr>
                  </m:ctrlPr>
                </m:sSubPr>
                <m:e>
                  <m:r>
                    <m:rPr>
                      <m:sty m:val="p"/>
                    </m:rPr>
                    <w:rPr>
                      <w:rFonts w:ascii="Cambria Math" w:hAnsi="Cambria Math" w:cstheme="majorBidi"/>
                      <w:lang w:eastAsia="ja-JP"/>
                    </w:rPr>
                    <m:t>D</m:t>
                  </m:r>
                </m:e>
                <m:sub>
                  <m:r>
                    <m:rPr>
                      <m:sty m:val="p"/>
                    </m:rPr>
                    <w:rPr>
                      <w:rFonts w:ascii="Cambria Math" w:hAnsi="Cambria Math" w:cstheme="majorBidi"/>
                      <w:lang w:eastAsia="ja-JP"/>
                    </w:rPr>
                    <m:t>H</m:t>
                  </m:r>
                </m:sub>
              </m:sSub>
              <m:r>
                <m:rPr>
                  <m:sty m:val="p"/>
                </m:rPr>
                <w:rPr>
                  <w:rFonts w:ascii="Cambria Math" w:hAnsi="Cambria Math" w:cstheme="majorBidi"/>
                  <w:lang w:eastAsia="ja-JP"/>
                </w:rPr>
                <m:t>+</m:t>
              </m:r>
              <m:sSub>
                <m:sSubPr>
                  <m:ctrlPr>
                    <w:rPr>
                      <w:rFonts w:ascii="Cambria Math" w:hAnsi="Cambria Math" w:cstheme="majorBidi"/>
                      <w:iCs/>
                      <w:lang w:eastAsia="ja-JP"/>
                    </w:rPr>
                  </m:ctrlPr>
                </m:sSubPr>
                <m:e>
                  <m:r>
                    <m:rPr>
                      <m:sty m:val="p"/>
                    </m:rPr>
                    <w:rPr>
                      <w:rFonts w:ascii="Cambria Math" w:hAnsi="Cambria Math" w:cstheme="majorBidi"/>
                      <w:lang w:eastAsia="ja-JP"/>
                    </w:rPr>
                    <m:t>D</m:t>
                  </m:r>
                </m:e>
                <m:sub>
                  <m:r>
                    <m:rPr>
                      <m:sty m:val="p"/>
                    </m:rPr>
                    <w:rPr>
                      <w:rFonts w:ascii="Cambria Math" w:hAnsi="Cambria Math" w:cstheme="majorBidi"/>
                      <w:lang w:eastAsia="ja-JP"/>
                    </w:rPr>
                    <m:t>exH</m:t>
                  </m:r>
                </m:sub>
              </m:sSub>
            </m:den>
          </m:f>
          <m:r>
            <w:rPr>
              <w:rFonts w:ascii="Cambria Math" w:hAnsi="Cambria Math"/>
              <w:lang w:eastAsia="ja-JP"/>
            </w:rPr>
            <m:t xml:space="preserve"> </m:t>
          </m:r>
        </m:oMath>
      </m:oMathPara>
    </w:p>
    <w:p w:rsidR="00E24DB7" w:rsidRPr="002C5876" w:rsidRDefault="00E24DB7" w:rsidP="00E24DB7">
      <w:pPr>
        <w:pStyle w:val="SingleTxtG"/>
        <w:ind w:left="2268"/>
        <w:rPr>
          <w:lang w:eastAsia="ja-JP"/>
        </w:rPr>
      </w:pPr>
      <w:r w:rsidRPr="002C5876">
        <w:rPr>
          <w:iCs/>
          <w:lang w:eastAsia="ja-JP"/>
        </w:rPr>
        <w:t>où :</w:t>
      </w:r>
    </w:p>
    <w:p w:rsidR="00E24DB7" w:rsidRPr="002C5876" w:rsidRDefault="00E24DB7" w:rsidP="00E24DB7">
      <w:pPr>
        <w:pStyle w:val="SingleTxtG"/>
        <w:tabs>
          <w:tab w:val="left" w:pos="8080"/>
        </w:tabs>
        <w:ind w:left="3402" w:hanging="1134"/>
        <w:rPr>
          <w:iCs/>
          <w:lang w:eastAsia="ja-JP"/>
        </w:rPr>
      </w:pPr>
      <w:r w:rsidRPr="002C5876">
        <w:rPr>
          <w:noProof/>
          <w:position w:val="-14"/>
          <w:lang w:val="en-GB" w:eastAsia="zh-CN"/>
        </w:rPr>
        <w:drawing>
          <wp:inline distT="0" distB="0" distL="0" distR="0" wp14:anchorId="265F81F4" wp14:editId="3909404A">
            <wp:extent cx="485775" cy="219075"/>
            <wp:effectExtent l="0" t="0" r="9525" b="9525"/>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rsidRPr="002C5876">
        <w:rPr>
          <w:iCs/>
          <w:lang w:eastAsia="ja-JP"/>
        </w:rPr>
        <w:tab/>
        <w:t xml:space="preserve">est la moyenne arithmétique des résultats d’émissions massiques de </w:t>
      </w:r>
      <w:r w:rsidRPr="002C5876">
        <w:rPr>
          <w:lang w:eastAsia="ja-JP"/>
        </w:rPr>
        <w:t>CO</w:t>
      </w:r>
      <w:r w:rsidRPr="002C5876">
        <w:rPr>
          <w:vertAlign w:val="subscript"/>
          <w:lang w:eastAsia="ja-JP"/>
        </w:rPr>
        <w:t>2</w:t>
      </w:r>
      <w:r w:rsidRPr="002C5876">
        <w:rPr>
          <w:iCs/>
          <w:lang w:eastAsia="ja-JP"/>
        </w:rPr>
        <w:t xml:space="preserve"> pour la phase L, en g/km ;</w:t>
      </w:r>
    </w:p>
    <w:p w:rsidR="00E24DB7" w:rsidRPr="002C5876" w:rsidRDefault="00E24DB7" w:rsidP="00E24DB7">
      <w:pPr>
        <w:pStyle w:val="SingleTxtG"/>
        <w:ind w:left="3402" w:hanging="1134"/>
        <w:rPr>
          <w:iCs/>
          <w:lang w:eastAsia="ja-JP"/>
        </w:rPr>
      </w:pPr>
      <w:r w:rsidRPr="002C5876">
        <w:rPr>
          <w:noProof/>
          <w:position w:val="-14"/>
          <w:lang w:val="en-GB" w:eastAsia="zh-CN"/>
        </w:rPr>
        <w:drawing>
          <wp:inline distT="0" distB="0" distL="0" distR="0" wp14:anchorId="32F417C6" wp14:editId="5940C5F1">
            <wp:extent cx="495300" cy="219075"/>
            <wp:effectExtent l="0" t="0" r="0" b="9525"/>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rsidRPr="002C5876">
        <w:rPr>
          <w:iCs/>
          <w:lang w:eastAsia="ja-JP"/>
        </w:rPr>
        <w:tab/>
        <w:t xml:space="preserve">est la moyenne arithmétique des résultats d’émissions massiques de </w:t>
      </w:r>
      <w:r w:rsidRPr="002C5876">
        <w:rPr>
          <w:lang w:eastAsia="ja-JP"/>
        </w:rPr>
        <w:t>CO</w:t>
      </w:r>
      <w:r w:rsidRPr="002C5876">
        <w:rPr>
          <w:vertAlign w:val="subscript"/>
          <w:lang w:eastAsia="ja-JP"/>
        </w:rPr>
        <w:t>2</w:t>
      </w:r>
      <w:r w:rsidRPr="002C5876">
        <w:rPr>
          <w:iCs/>
          <w:lang w:eastAsia="ja-JP"/>
        </w:rPr>
        <w:t xml:space="preserve"> pour la phase M, en g/km ;</w:t>
      </w:r>
    </w:p>
    <w:p w:rsidR="00E24DB7" w:rsidRPr="002C5876" w:rsidRDefault="00E24DB7" w:rsidP="00E24DB7">
      <w:pPr>
        <w:pStyle w:val="SingleTxtG"/>
        <w:ind w:left="3402" w:hanging="1134"/>
        <w:rPr>
          <w:iCs/>
          <w:lang w:eastAsia="ja-JP"/>
        </w:rPr>
      </w:pPr>
      <w:r w:rsidRPr="002C5876">
        <w:rPr>
          <w:noProof/>
          <w:position w:val="-14"/>
          <w:lang w:val="en-GB" w:eastAsia="zh-CN"/>
        </w:rPr>
        <w:drawing>
          <wp:inline distT="0" distB="0" distL="0" distR="0" wp14:anchorId="24F6A58A" wp14:editId="253963B2">
            <wp:extent cx="485775" cy="219075"/>
            <wp:effectExtent l="0" t="0" r="9525" b="9525"/>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rsidRPr="002C5876">
        <w:rPr>
          <w:iCs/>
          <w:lang w:eastAsia="ja-JP"/>
        </w:rPr>
        <w:tab/>
        <w:t xml:space="preserve">est la moyenne arithmétique des résultats d’émissions massiques de </w:t>
      </w:r>
      <w:r w:rsidRPr="002C5876">
        <w:rPr>
          <w:lang w:eastAsia="ja-JP"/>
        </w:rPr>
        <w:t>CO</w:t>
      </w:r>
      <w:r w:rsidRPr="002C5876">
        <w:rPr>
          <w:vertAlign w:val="subscript"/>
          <w:lang w:eastAsia="ja-JP"/>
        </w:rPr>
        <w:t>2</w:t>
      </w:r>
      <w:r w:rsidRPr="002C5876">
        <w:rPr>
          <w:iCs/>
          <w:lang w:eastAsia="ja-JP"/>
        </w:rPr>
        <w:t xml:space="preserve"> pour la phase H en g/km ;</w:t>
      </w:r>
    </w:p>
    <w:p w:rsidR="00E24DB7" w:rsidRPr="002C5876" w:rsidRDefault="00E24DB7" w:rsidP="00E24DB7">
      <w:pPr>
        <w:pStyle w:val="SingleTxtG"/>
        <w:ind w:left="3402" w:hanging="1134"/>
        <w:rPr>
          <w:iCs/>
          <w:lang w:eastAsia="ja-JP"/>
        </w:rPr>
      </w:pPr>
      <w:r w:rsidRPr="002C5876">
        <w:rPr>
          <w:noProof/>
          <w:position w:val="-16"/>
          <w:lang w:val="en-GB" w:eastAsia="zh-CN"/>
        </w:rPr>
        <w:drawing>
          <wp:inline distT="0" distB="0" distL="0" distR="0" wp14:anchorId="25B25EDC" wp14:editId="46EDE46E">
            <wp:extent cx="581025" cy="228600"/>
            <wp:effectExtent l="0" t="0" r="9525"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2C5876">
        <w:rPr>
          <w:iCs/>
          <w:lang w:eastAsia="ja-JP"/>
        </w:rPr>
        <w:tab/>
        <w:t xml:space="preserve">est la moyenne arithmétique des résultats d’émissions massiques de </w:t>
      </w:r>
      <w:r w:rsidRPr="002C5876">
        <w:rPr>
          <w:lang w:eastAsia="ja-JP"/>
        </w:rPr>
        <w:t>CO</w:t>
      </w:r>
      <w:r w:rsidRPr="002C5876">
        <w:rPr>
          <w:vertAlign w:val="subscript"/>
          <w:lang w:eastAsia="ja-JP"/>
        </w:rPr>
        <w:t>2</w:t>
      </w:r>
      <w:r w:rsidRPr="002C5876">
        <w:rPr>
          <w:iCs/>
          <w:lang w:eastAsia="ja-JP"/>
        </w:rPr>
        <w:t xml:space="preserve"> pour la phase exH, en g/km ;</w:t>
      </w:r>
    </w:p>
    <w:p w:rsidR="00E24DB7" w:rsidRPr="002C5876" w:rsidRDefault="00E24DB7" w:rsidP="00E24DB7">
      <w:pPr>
        <w:pStyle w:val="SingleTxtG"/>
        <w:ind w:left="3402" w:hanging="1134"/>
        <w:rPr>
          <w:iCs/>
          <w:lang w:eastAsia="ja-JP"/>
        </w:rPr>
      </w:pPr>
      <w:r w:rsidRPr="002C5876">
        <w:rPr>
          <w:iCs/>
          <w:lang w:eastAsia="ja-JP"/>
        </w:rPr>
        <w:t>D</w:t>
      </w:r>
      <w:r w:rsidRPr="002C5876">
        <w:rPr>
          <w:iCs/>
          <w:vertAlign w:val="subscript"/>
          <w:lang w:eastAsia="ja-JP"/>
        </w:rPr>
        <w:t>L</w:t>
      </w:r>
      <w:r w:rsidRPr="002C5876">
        <w:rPr>
          <w:iCs/>
          <w:vertAlign w:val="subscript"/>
          <w:lang w:eastAsia="ja-JP"/>
        </w:rPr>
        <w:tab/>
      </w:r>
      <w:r w:rsidRPr="002C5876">
        <w:rPr>
          <w:iCs/>
          <w:lang w:eastAsia="ja-JP"/>
        </w:rPr>
        <w:t>est la distance théorique pour la phase L, en km ;</w:t>
      </w:r>
    </w:p>
    <w:p w:rsidR="00E24DB7" w:rsidRPr="002C5876" w:rsidRDefault="00E24DB7" w:rsidP="00E24DB7">
      <w:pPr>
        <w:pStyle w:val="SingleTxtG"/>
        <w:ind w:left="3402" w:hanging="1134"/>
        <w:rPr>
          <w:iCs/>
          <w:lang w:eastAsia="ja-JP"/>
        </w:rPr>
      </w:pPr>
      <w:r w:rsidRPr="002C5876">
        <w:rPr>
          <w:iCs/>
          <w:lang w:eastAsia="ja-JP"/>
        </w:rPr>
        <w:t>D</w:t>
      </w:r>
      <w:r w:rsidRPr="002C5876">
        <w:rPr>
          <w:iCs/>
          <w:vertAlign w:val="subscript"/>
          <w:lang w:eastAsia="ja-JP"/>
        </w:rPr>
        <w:t>M</w:t>
      </w:r>
      <w:r w:rsidRPr="002C5876">
        <w:rPr>
          <w:iCs/>
          <w:vertAlign w:val="subscript"/>
          <w:lang w:eastAsia="ja-JP"/>
        </w:rPr>
        <w:tab/>
      </w:r>
      <w:r w:rsidRPr="002C5876">
        <w:rPr>
          <w:iCs/>
          <w:lang w:eastAsia="ja-JP"/>
        </w:rPr>
        <w:t>est la distance théorique pour la phase M, en km ;</w:t>
      </w:r>
    </w:p>
    <w:p w:rsidR="00E24DB7" w:rsidRPr="002C5876" w:rsidRDefault="00E24DB7" w:rsidP="00E24DB7">
      <w:pPr>
        <w:pStyle w:val="SingleTxtG"/>
        <w:ind w:left="3402" w:hanging="1134"/>
        <w:rPr>
          <w:iCs/>
          <w:lang w:eastAsia="ja-JP"/>
        </w:rPr>
      </w:pPr>
      <w:r w:rsidRPr="002C5876">
        <w:rPr>
          <w:iCs/>
          <w:lang w:eastAsia="ja-JP"/>
        </w:rPr>
        <w:t>D</w:t>
      </w:r>
      <w:r w:rsidRPr="002C5876">
        <w:rPr>
          <w:iCs/>
          <w:vertAlign w:val="subscript"/>
          <w:lang w:eastAsia="ja-JP"/>
        </w:rPr>
        <w:t>H</w:t>
      </w:r>
      <w:r w:rsidRPr="002C5876">
        <w:rPr>
          <w:iCs/>
          <w:vertAlign w:val="subscript"/>
          <w:lang w:eastAsia="ja-JP"/>
        </w:rPr>
        <w:tab/>
      </w:r>
      <w:r w:rsidRPr="002C5876">
        <w:rPr>
          <w:iCs/>
          <w:lang w:eastAsia="ja-JP"/>
        </w:rPr>
        <w:t>est la distance théorique pour la phase H, en km ;</w:t>
      </w:r>
    </w:p>
    <w:p w:rsidR="00E24DB7" w:rsidRPr="002C5876" w:rsidRDefault="00E24DB7" w:rsidP="00E24DB7">
      <w:pPr>
        <w:pStyle w:val="SingleTxtG"/>
        <w:ind w:left="3402" w:hanging="1134"/>
        <w:rPr>
          <w:iCs/>
          <w:lang w:eastAsia="ja-JP"/>
        </w:rPr>
      </w:pPr>
      <w:r w:rsidRPr="002C5876">
        <w:rPr>
          <w:iCs/>
          <w:lang w:eastAsia="ja-JP"/>
        </w:rPr>
        <w:t>D</w:t>
      </w:r>
      <w:r w:rsidRPr="002C5876">
        <w:rPr>
          <w:iCs/>
          <w:vertAlign w:val="subscript"/>
          <w:lang w:eastAsia="ja-JP"/>
        </w:rPr>
        <w:t>exH</w:t>
      </w:r>
      <w:r w:rsidRPr="002C5876">
        <w:rPr>
          <w:iCs/>
          <w:vertAlign w:val="subscript"/>
          <w:lang w:eastAsia="ja-JP"/>
        </w:rPr>
        <w:tab/>
      </w:r>
      <w:r w:rsidRPr="002C5876">
        <w:rPr>
          <w:iCs/>
          <w:lang w:eastAsia="ja-JP"/>
        </w:rPr>
        <w:t>est la distance théorique pour la phase exH, en km.</w:t>
      </w:r>
    </w:p>
    <w:p w:rsidR="00E24DB7" w:rsidRPr="002C5876" w:rsidRDefault="00E24DB7" w:rsidP="00E24DB7">
      <w:pPr>
        <w:pStyle w:val="SingleTxtG"/>
        <w:ind w:left="2268" w:hanging="1134"/>
        <w:rPr>
          <w:lang w:eastAsia="ja-JP"/>
        </w:rPr>
      </w:pPr>
      <w:r w:rsidRPr="002C5876">
        <w:rPr>
          <w:lang w:eastAsia="ja-JP"/>
        </w:rPr>
        <w:t>1.2.4.1.2</w:t>
      </w:r>
      <w:r w:rsidRPr="002C5876">
        <w:rPr>
          <w:lang w:eastAsia="ja-JP"/>
        </w:rPr>
        <w:tab/>
        <w:t>Si la valeur déclarée des émissions massiques de CO</w:t>
      </w:r>
      <w:r w:rsidRPr="002C5876">
        <w:rPr>
          <w:vertAlign w:val="subscript"/>
          <w:lang w:eastAsia="ja-JP"/>
        </w:rPr>
        <w:t>2</w:t>
      </w:r>
      <w:r w:rsidRPr="002C5876">
        <w:rPr>
          <w:lang w:eastAsia="ja-JP"/>
        </w:rPr>
        <w:t xml:space="preserve"> sur le cycle total n’est pas acceptée, il faut calculer la valeur des émissions massiques de CO</w:t>
      </w:r>
      <w:r w:rsidRPr="002C5876">
        <w:rPr>
          <w:vertAlign w:val="subscript"/>
          <w:lang w:eastAsia="ja-JP"/>
        </w:rPr>
        <w:t>2</w:t>
      </w:r>
      <w:r w:rsidRPr="002C5876">
        <w:rPr>
          <w:lang w:eastAsia="ja-JP"/>
        </w:rPr>
        <w:t xml:space="preserve"> spécifiques par phase de l’homologation de type en prenant la moyenne arithmétique de tous les résultats d’essai pour la phase concernée.</w:t>
      </w:r>
    </w:p>
    <w:p w:rsidR="00E24DB7" w:rsidRPr="002C5876" w:rsidRDefault="00E24DB7" w:rsidP="00E24DB7">
      <w:pPr>
        <w:pStyle w:val="SingleTxtG"/>
        <w:keepNext/>
        <w:ind w:left="2268" w:hanging="1134"/>
        <w:jc w:val="left"/>
        <w:rPr>
          <w:lang w:eastAsia="ja-JP"/>
        </w:rPr>
      </w:pPr>
      <w:r w:rsidRPr="002C5876">
        <w:rPr>
          <w:lang w:eastAsia="ja-JP"/>
        </w:rPr>
        <w:t>1.2.4.2</w:t>
      </w:r>
      <w:r w:rsidRPr="002C5876">
        <w:rPr>
          <w:lang w:eastAsia="ja-JP"/>
        </w:rPr>
        <w:tab/>
        <w:t xml:space="preserve">Valeurs spécifiques par phase pour la consommation de carburant </w:t>
      </w:r>
    </w:p>
    <w:p w:rsidR="00E24DB7" w:rsidRPr="002C5876" w:rsidRDefault="00E24DB7" w:rsidP="00E24DB7">
      <w:pPr>
        <w:pStyle w:val="SingleTxtG"/>
        <w:ind w:left="2268"/>
        <w:rPr>
          <w:lang w:eastAsia="ja-JP"/>
        </w:rPr>
      </w:pPr>
      <w:r w:rsidRPr="002C5876">
        <w:rPr>
          <w:lang w:eastAsia="ja-JP"/>
        </w:rPr>
        <w:tab/>
        <w:t>On calcule la valeur de la consommation de carburant en fonction des émissions massiques de CO</w:t>
      </w:r>
      <w:r w:rsidRPr="002C5876">
        <w:rPr>
          <w:vertAlign w:val="subscript"/>
          <w:lang w:eastAsia="ja-JP"/>
        </w:rPr>
        <w:t>2</w:t>
      </w:r>
      <w:r w:rsidRPr="002C5876">
        <w:rPr>
          <w:lang w:eastAsia="ja-JP"/>
        </w:rPr>
        <w:t xml:space="preserve"> en utilisant les équations du paragraphe 1.2.4.1 de la présente annexe et la moyenne </w:t>
      </w:r>
      <w:r w:rsidRPr="002C5876">
        <w:t>arithmétique des</w:t>
      </w:r>
      <w:r w:rsidRPr="002C5876">
        <w:rPr>
          <w:lang w:eastAsia="ja-JP"/>
        </w:rPr>
        <w:t xml:space="preserve"> émissions.</w:t>
      </w:r>
    </w:p>
    <w:p w:rsidR="00E24DB7" w:rsidRPr="002C5876" w:rsidRDefault="00E24DB7" w:rsidP="00E24DB7">
      <w:pPr>
        <w:pStyle w:val="SingleTxtG"/>
        <w:keepNext/>
        <w:ind w:left="2268" w:hanging="1134"/>
        <w:jc w:val="left"/>
        <w:rPr>
          <w:lang w:eastAsia="ja-JP"/>
        </w:rPr>
      </w:pPr>
      <w:r w:rsidRPr="002C5876">
        <w:rPr>
          <w:lang w:eastAsia="ja-JP"/>
        </w:rPr>
        <w:t>1.2.4.3</w:t>
      </w:r>
      <w:r w:rsidRPr="002C5876">
        <w:rPr>
          <w:lang w:eastAsia="ja-JP"/>
        </w:rPr>
        <w:tab/>
        <w:t xml:space="preserve">Valeur spécifique par phase pour la consommation d’énergie électrique, </w:t>
      </w:r>
      <w:r w:rsidRPr="002C5876">
        <w:rPr>
          <w:lang w:eastAsia="ja-JP"/>
        </w:rPr>
        <w:br/>
        <w:t>PER et AER</w:t>
      </w:r>
    </w:p>
    <w:p w:rsidR="00E24DB7" w:rsidRPr="002C5876" w:rsidRDefault="00E24DB7" w:rsidP="00E24DB7">
      <w:pPr>
        <w:pStyle w:val="SingleTxtG"/>
        <w:ind w:left="2268"/>
        <w:rPr>
          <w:szCs w:val="24"/>
          <w:lang w:eastAsia="ja-JP"/>
        </w:rPr>
      </w:pPr>
      <w:r w:rsidRPr="002C5876">
        <w:rPr>
          <w:lang w:eastAsia="ja-JP"/>
        </w:rPr>
        <w:tab/>
        <w:t xml:space="preserve">On calcule la consommation spécifique par phase d’énergie électrique et les autonomies spécifiques par phase en mode électrique en utilisant la moyenne arithmétique des valeurs spécifiques par phase des résultats des essais, sans facteur d’ajustement. </w:t>
      </w:r>
    </w:p>
    <w:p w:rsidR="00E24DB7" w:rsidRPr="002C5876" w:rsidRDefault="00E24DB7" w:rsidP="00E24DB7">
      <w:pPr>
        <w:pStyle w:val="SingleTxtG"/>
        <w:keepNext/>
        <w:ind w:left="2268" w:hanging="1134"/>
        <w:jc w:val="left"/>
      </w:pPr>
      <w:r w:rsidRPr="002C5876">
        <w:t>2.</w:t>
      </w:r>
      <w:r w:rsidRPr="002C5876">
        <w:tab/>
        <w:t>Conditions d’exécution de l’essai de type 1</w:t>
      </w:r>
    </w:p>
    <w:p w:rsidR="00E24DB7" w:rsidRPr="002C5876" w:rsidRDefault="00E24DB7" w:rsidP="00E24DB7">
      <w:pPr>
        <w:pStyle w:val="SingleTxtG"/>
        <w:keepNext/>
        <w:ind w:left="2268" w:hanging="1134"/>
        <w:jc w:val="left"/>
      </w:pPr>
      <w:r w:rsidRPr="002C5876">
        <w:t>2.1</w:t>
      </w:r>
      <w:r w:rsidRPr="002C5876">
        <w:tab/>
        <w:t>Présentation générale</w:t>
      </w:r>
    </w:p>
    <w:p w:rsidR="00E24DB7" w:rsidRPr="002C5876" w:rsidRDefault="00E24DB7" w:rsidP="00E24DB7">
      <w:pPr>
        <w:pStyle w:val="SingleTxtG"/>
        <w:ind w:left="2268" w:hanging="1134"/>
      </w:pPr>
      <w:r w:rsidRPr="002C5876">
        <w:t>2.1.1</w:t>
      </w:r>
      <w:r w:rsidRPr="002C5876">
        <w:tab/>
      </w:r>
      <w:r w:rsidRPr="002C5876">
        <w:rPr>
          <w:spacing w:val="-3"/>
        </w:rPr>
        <w:t>L’essai de type 1 est une séquence d’opérations de préparation du dynamomètre, d’approvisionnement en carburant, de stabilisation à chaud et d’essai.</w:t>
      </w:r>
    </w:p>
    <w:p w:rsidR="00E24DB7" w:rsidRPr="002C5876" w:rsidRDefault="00E24DB7" w:rsidP="00E24DB7">
      <w:pPr>
        <w:pStyle w:val="SingleTxtG"/>
        <w:ind w:left="2268" w:hanging="1134"/>
      </w:pPr>
      <w:r w:rsidRPr="002C5876">
        <w:t>2.1.2</w:t>
      </w:r>
      <w:r w:rsidRPr="002C5876">
        <w:tab/>
        <w:t>Il consiste à faire fonctionner le véhicule sur un banc à rouleaux dans le cadre du cycle WLTC applicable pour l’interpolation. Une partie proportionnelle des gaz d’échappement dilués est recueillie de façon continue pour être analysée ensuite, à l’aide d’un dispositif de prélèvement à volume constant.</w:t>
      </w:r>
    </w:p>
    <w:p w:rsidR="00E24DB7" w:rsidRPr="002C5876" w:rsidRDefault="00E24DB7" w:rsidP="00E24DB7">
      <w:pPr>
        <w:pStyle w:val="SingleTxtG"/>
        <w:ind w:left="2268" w:hanging="1134"/>
      </w:pPr>
      <w:r w:rsidRPr="002C5876">
        <w:t>2.1.3</w:t>
      </w:r>
      <w:r w:rsidRPr="002C5876">
        <w:tab/>
        <w:t>On mesure les concentrations ambiantes de tous les composés dont les émissions font l’objet d’une évaluation. Pour les essais portant sur les gaz d’échappement émis, cela implique de prélever et d’analyser l’air de dilution.</w:t>
      </w:r>
    </w:p>
    <w:p w:rsidR="00E24DB7" w:rsidRPr="002C5876" w:rsidRDefault="00E24DB7" w:rsidP="00E24DB7">
      <w:pPr>
        <w:pStyle w:val="SingleTxtG"/>
        <w:keepNext/>
        <w:ind w:left="2268" w:hanging="1134"/>
        <w:jc w:val="left"/>
      </w:pPr>
      <w:r w:rsidRPr="002C5876">
        <w:lastRenderedPageBreak/>
        <w:t>2.1.3.1</w:t>
      </w:r>
      <w:bookmarkStart w:id="165" w:name="_Toc284587092"/>
      <w:bookmarkStart w:id="166" w:name="_Toc284587343"/>
      <w:r w:rsidRPr="002C5876">
        <w:tab/>
        <w:t xml:space="preserve">Mesure des particules dans l’air ambiant </w:t>
      </w:r>
      <w:bookmarkEnd w:id="165"/>
      <w:bookmarkEnd w:id="166"/>
    </w:p>
    <w:p w:rsidR="00E24DB7" w:rsidRPr="002C5876" w:rsidRDefault="00E24DB7" w:rsidP="00E24DB7">
      <w:pPr>
        <w:pStyle w:val="SingleTxtG"/>
        <w:ind w:left="2268" w:hanging="1134"/>
        <w:rPr>
          <w:spacing w:val="-2"/>
        </w:rPr>
      </w:pPr>
      <w:r w:rsidRPr="002C5876">
        <w:t>2.1.3.1.1</w:t>
      </w:r>
      <w:r w:rsidRPr="002C5876">
        <w:tab/>
      </w:r>
      <w:r w:rsidRPr="002C5876">
        <w:rPr>
          <w:spacing w:val="-2"/>
        </w:rPr>
        <w:t xml:space="preserve">Dans le cas où le constructeur demande et où la Partie contractante autorise que la masse des particules ambiantes prélevées dans l’air de dilution ou le tunnel de dilution soit soustraite des émissions mesurées, les concentrations ambiantes correspondantes doivent être déterminées comme indiqué dans les paragraphes </w:t>
      </w:r>
      <w:r w:rsidRPr="002C5876">
        <w:t>2.1.3.1.1.1 à 2.1.3.1.1.3 de la présente annexe</w:t>
      </w:r>
      <w:r w:rsidRPr="002C5876">
        <w:rPr>
          <w:spacing w:val="-2"/>
        </w:rPr>
        <w:t>.</w:t>
      </w:r>
    </w:p>
    <w:p w:rsidR="00E24DB7" w:rsidRPr="002C5876" w:rsidRDefault="00E24DB7" w:rsidP="00E24DB7">
      <w:pPr>
        <w:pStyle w:val="SingleTxtG"/>
        <w:ind w:left="2268" w:hanging="1134"/>
      </w:pPr>
      <w:r w:rsidRPr="002C5876">
        <w:t>2.1.3.1.1.1</w:t>
      </w:r>
      <w:r w:rsidRPr="002C5876">
        <w:tab/>
        <w:t>La correction maximale admissible pour tenir compte des concentrations ambiantes est égale à une masse sur le filtre équivalant à 1 mg/km au débit fixé pour l’essai.</w:t>
      </w:r>
    </w:p>
    <w:p w:rsidR="00E24DB7" w:rsidRPr="002C5876" w:rsidRDefault="00E24DB7" w:rsidP="00E24DB7">
      <w:pPr>
        <w:pStyle w:val="SingleTxtG"/>
        <w:ind w:left="2268" w:hanging="1134"/>
      </w:pPr>
      <w:r w:rsidRPr="002C5876">
        <w:t>2.1.3.1.1.2</w:t>
      </w:r>
      <w:r w:rsidRPr="002C5876">
        <w:tab/>
        <w:t>Si la concentration ambiante est supérieure à cette valeur, on soustrait la valeur par défaut de 1 mg/km.</w:t>
      </w:r>
    </w:p>
    <w:p w:rsidR="00E24DB7" w:rsidRPr="002C5876" w:rsidRDefault="00E24DB7" w:rsidP="00E24DB7">
      <w:pPr>
        <w:pStyle w:val="SingleTxtG"/>
        <w:ind w:left="2268" w:hanging="1134"/>
      </w:pPr>
      <w:r w:rsidRPr="002C5876">
        <w:t>2.1.3.1.1.3</w:t>
      </w:r>
      <w:r w:rsidRPr="002C5876">
        <w:tab/>
        <w:t>Si la soustraction de la concentration ambiante produit un résultat négatif, on retient la valeur zéro.</w:t>
      </w:r>
    </w:p>
    <w:p w:rsidR="00E24DB7" w:rsidRPr="002C5876" w:rsidRDefault="00E24DB7" w:rsidP="00E24DB7">
      <w:pPr>
        <w:pStyle w:val="SingleTxtG"/>
        <w:ind w:left="2268" w:hanging="1134"/>
      </w:pPr>
      <w:r w:rsidRPr="002C5876">
        <w:t>2.1.3.1.2</w:t>
      </w:r>
      <w:r w:rsidRPr="002C5876">
        <w:tab/>
        <w:t>La masse de particules ambiantes de matières particulaires dans l’air de dilution est déterminée en faisant passer de l’air de dilution filtré par le filtre à particules ambiantes. Cette opération s’effectue en un point situé directement en aval des filtres de l’air de dilution. Les concentrations, exprimées en μg/m</w:t>
      </w:r>
      <w:r w:rsidRPr="002C5876">
        <w:rPr>
          <w:vertAlign w:val="superscript"/>
        </w:rPr>
        <w:t>3</w:t>
      </w:r>
      <w:r w:rsidRPr="002C5876">
        <w:t xml:space="preserve">, sont déterminées en calculant la moyenne arithmétique mobile d’un minimum de 14 mesures, sachant qu’une mesure au moins doit être effectuée chaque semaine. </w:t>
      </w:r>
    </w:p>
    <w:p w:rsidR="00E24DB7" w:rsidRPr="002C5876" w:rsidRDefault="00E24DB7" w:rsidP="00E24DB7">
      <w:pPr>
        <w:pStyle w:val="SingleTxtG"/>
        <w:ind w:left="2268" w:hanging="1134"/>
      </w:pPr>
      <w:r w:rsidRPr="002C5876">
        <w:t>2.1.3.1.3</w:t>
      </w:r>
      <w:r w:rsidRPr="002C5876">
        <w:tab/>
        <w:t>La masse de particules ambiantes dans le tunnel de dilution est déterminée en faisant passer de l’air de dilution filtré par le filtre à particules ambiantes. Cette opération s’effectue au même point que le prélèvement des matières particulaires. Lorsqu’une dilution secondaire est prévue dans le cadre de l’essai, le dispositif de dilution secondaire doit être en service aux fins de la mesure de la concentration ambiante. Une mesure peut être faite le jour de l’essai, avant ou après ce dernier.</w:t>
      </w:r>
    </w:p>
    <w:p w:rsidR="00E24DB7" w:rsidRPr="002C5876" w:rsidRDefault="00E24DB7" w:rsidP="00E24DB7">
      <w:pPr>
        <w:pStyle w:val="SingleTxtG"/>
        <w:keepNext/>
        <w:ind w:left="2268" w:hanging="1134"/>
        <w:jc w:val="left"/>
      </w:pPr>
      <w:bookmarkStart w:id="167" w:name="_Toc284587093"/>
      <w:bookmarkStart w:id="168" w:name="_Toc284587344"/>
      <w:r w:rsidRPr="002C5876">
        <w:t>2.1.3.2</w:t>
      </w:r>
      <w:r w:rsidRPr="002C5876">
        <w:tab/>
        <w:t>Détermination du nombre de particules dans l’air ambiant</w:t>
      </w:r>
      <w:bookmarkStart w:id="169" w:name="_Toc284586954"/>
      <w:bookmarkStart w:id="170" w:name="_Toc284587076"/>
      <w:bookmarkStart w:id="171" w:name="_Toc284587327"/>
      <w:bookmarkStart w:id="172" w:name="_Toc289686195"/>
      <w:bookmarkEnd w:id="167"/>
      <w:bookmarkEnd w:id="168"/>
      <w:r w:rsidRPr="002C5876">
        <w:t xml:space="preserve"> (le cas échéant)</w:t>
      </w:r>
    </w:p>
    <w:p w:rsidR="00E24DB7" w:rsidRPr="002C5876" w:rsidRDefault="00E24DB7" w:rsidP="00E24DB7">
      <w:pPr>
        <w:pStyle w:val="SingleTxtG"/>
        <w:ind w:left="2268" w:hanging="1134"/>
      </w:pPr>
      <w:r w:rsidRPr="002C5876">
        <w:t>2.1.3.2.1</w:t>
      </w:r>
      <w:r w:rsidRPr="002C5876">
        <w:tab/>
        <w:t>Lorsqu’une Partie contractante autorise que le nombre de particules ambiantes constaté dans l’air de dilution ou le tunnel de dilution soit soustrait des résultats de mesure des émissions et qu’un constructeur demande une correction pour tenir compte des particules ambiantes, le calcul du nombre de particules doit s’effectuer comme suit :</w:t>
      </w:r>
    </w:p>
    <w:p w:rsidR="00E24DB7" w:rsidRPr="002C5876" w:rsidRDefault="00E24DB7" w:rsidP="00E24DB7">
      <w:pPr>
        <w:pStyle w:val="SingleTxtG"/>
        <w:keepLines/>
        <w:ind w:left="2268" w:hanging="1134"/>
      </w:pPr>
      <w:r w:rsidRPr="002C5876">
        <w:t>2.1.3.2.1.1</w:t>
      </w:r>
      <w:r w:rsidRPr="002C5876">
        <w:tab/>
      </w:r>
      <w:r w:rsidRPr="002C5876">
        <w:rPr>
          <w:spacing w:val="-3"/>
        </w:rPr>
        <w:t>La valeur ambiante peut être soit calculée, soit mesurée. La correction maximale admissible pour tenir compte du nombre de particules ambiantes est liée au taux de fuite maximal permissible du système de mesures du nombre de particules (0,5 particules/cm</w:t>
      </w:r>
      <w:r w:rsidRPr="002C5876">
        <w:rPr>
          <w:spacing w:val="-3"/>
          <w:vertAlign w:val="superscript"/>
        </w:rPr>
        <w:t>3</w:t>
      </w:r>
      <w:r w:rsidRPr="002C5876">
        <w:rPr>
          <w:spacing w:val="-3"/>
        </w:rPr>
        <w:t>) calculé à partir du facteur de réduction de la concentration de particules (PCRF) et du débit du CVS utilisés dans l’essai réel ;</w:t>
      </w:r>
    </w:p>
    <w:p w:rsidR="00E24DB7" w:rsidRPr="002C5876" w:rsidRDefault="00E24DB7" w:rsidP="00E24DB7">
      <w:pPr>
        <w:pStyle w:val="SingleTxtG"/>
        <w:ind w:left="2268" w:hanging="1134"/>
      </w:pPr>
      <w:r w:rsidRPr="002C5876">
        <w:t>2.1.3.2.1.2</w:t>
      </w:r>
      <w:r w:rsidRPr="002C5876">
        <w:tab/>
        <w:t>La Partie contractante ou le fabricant peut demander que les mesures du niveau ambiant réel soient utilisées au lieu des niveaux calculés ;</w:t>
      </w:r>
    </w:p>
    <w:p w:rsidR="00E24DB7" w:rsidRPr="002C5876" w:rsidRDefault="00E24DB7" w:rsidP="00E24DB7">
      <w:pPr>
        <w:pStyle w:val="SingleTxtG"/>
        <w:ind w:left="2268" w:hanging="1134"/>
      </w:pPr>
      <w:r w:rsidRPr="002C5876">
        <w:t>2.1.3.2.1.3</w:t>
      </w:r>
      <w:r w:rsidRPr="002C5876">
        <w:tab/>
        <w:t>Si la soustraction du nombre de particules ambiantes produit un résultat négatif, on retient la valeur zéro.</w:t>
      </w:r>
    </w:p>
    <w:p w:rsidR="00E24DB7" w:rsidRPr="002C5876" w:rsidRDefault="00E24DB7" w:rsidP="00E24DB7">
      <w:pPr>
        <w:pStyle w:val="SingleTxtG"/>
        <w:ind w:left="2268" w:hanging="1134"/>
        <w:rPr>
          <w:bCs/>
        </w:rPr>
      </w:pPr>
      <w:r w:rsidRPr="002C5876">
        <w:t>2.1.3.2.2</w:t>
      </w:r>
      <w:r w:rsidRPr="002C5876">
        <w:tab/>
        <w:t>Le nombre de particules ambiantes dans l’air de dilution est déterminé par prélèvement d’air de dilution filtré. Cette opération s’effectue en un point situé directement en aval des filtres de l’air de dilution, dans le dispositif de mesure du nombre de particules. La quantité de particules, exprimée en cm</w:t>
      </w:r>
      <w:r w:rsidRPr="002C5876">
        <w:rPr>
          <w:vertAlign w:val="superscript"/>
        </w:rPr>
        <w:t>3</w:t>
      </w:r>
      <w:r w:rsidRPr="002C5876">
        <w:t>, est déterminée en calculant la moyenne arithmétique mobile d’un minimum de 14 mesures, sachant qu’une mesure au moins doit être effectuée chaque semaine.</w:t>
      </w:r>
    </w:p>
    <w:p w:rsidR="00E24DB7" w:rsidRPr="002C5876" w:rsidRDefault="00E24DB7" w:rsidP="00E24DB7">
      <w:pPr>
        <w:pStyle w:val="SingleTxtG"/>
        <w:ind w:left="2268" w:hanging="1134"/>
      </w:pPr>
      <w:r w:rsidRPr="002C5876">
        <w:t>2.1.3.2.3</w:t>
      </w:r>
      <w:r w:rsidRPr="002C5876">
        <w:tab/>
        <w:t xml:space="preserve">Le nombre de particules ambiantes dans le tunnel de dilution est déterminé par prélèvement d’air de dilution filtré. Cette opération s’effectue au même point que le prélèvement aux fins de la mesure du nombre de particules. Lorsqu’une dilution secondaire est prévue dans le cadre de l’essai, le dispositif de dilution </w:t>
      </w:r>
      <w:r w:rsidRPr="002C5876">
        <w:lastRenderedPageBreak/>
        <w:t>secondaire doit être en service aux fins de la mesure du nombre de particules ambiantes. On peut effectuer une mesure le jour de l’essai, avant ou après ce dernier, en utilisant le PCRF réel et le débit du CVS utilisés durant l’essai.</w:t>
      </w:r>
    </w:p>
    <w:p w:rsidR="00E24DB7" w:rsidRPr="002C5876" w:rsidRDefault="00E24DB7" w:rsidP="00E24DB7">
      <w:pPr>
        <w:pStyle w:val="SingleTxtG"/>
        <w:keepNext/>
        <w:ind w:left="2268" w:hanging="1134"/>
        <w:jc w:val="left"/>
      </w:pPr>
      <w:r w:rsidRPr="002C5876">
        <w:t>2.2</w:t>
      </w:r>
      <w:r w:rsidRPr="002C5876">
        <w:tab/>
        <w:t xml:space="preserve">Équipement général de la chambre d’essai </w:t>
      </w:r>
    </w:p>
    <w:p w:rsidR="00E24DB7" w:rsidRPr="002C5876" w:rsidRDefault="00E24DB7" w:rsidP="00E24DB7">
      <w:pPr>
        <w:pStyle w:val="SingleTxtG"/>
        <w:keepNext/>
        <w:ind w:left="2268" w:hanging="1134"/>
        <w:jc w:val="left"/>
      </w:pPr>
      <w:r w:rsidRPr="002C5876">
        <w:t>2.2.1</w:t>
      </w:r>
      <w:r w:rsidRPr="002C5876">
        <w:tab/>
        <w:t xml:space="preserve">Paramètres à mesurer </w:t>
      </w:r>
    </w:p>
    <w:p w:rsidR="00E24DB7" w:rsidRPr="002C5876" w:rsidRDefault="00E24DB7" w:rsidP="00E24DB7">
      <w:pPr>
        <w:pStyle w:val="SingleTxtG"/>
        <w:ind w:left="2268" w:hanging="1134"/>
      </w:pPr>
      <w:r w:rsidRPr="002C5876">
        <w:t>2.2.1.1</w:t>
      </w:r>
      <w:r w:rsidRPr="002C5876">
        <w:tab/>
        <w:t xml:space="preserve">Les températures ci-après doivent être mesurées avec une erreur maximale de mesure de </w:t>
      </w:r>
      <w:r w:rsidRPr="002C5876">
        <w:sym w:font="Symbol" w:char="F0B1"/>
      </w:r>
      <w:r w:rsidRPr="002C5876">
        <w:rPr>
          <w:szCs w:val="24"/>
        </w:rPr>
        <w:t>1,5 °C</w:t>
      </w:r>
      <w:r w:rsidRPr="002C5876">
        <w:t> :</w:t>
      </w:r>
    </w:p>
    <w:p w:rsidR="00E24DB7" w:rsidRPr="002C5876" w:rsidRDefault="00E24DB7" w:rsidP="00E24DB7">
      <w:pPr>
        <w:pStyle w:val="SingleTxtG"/>
        <w:ind w:left="2268"/>
      </w:pPr>
      <w:r w:rsidRPr="002C5876">
        <w:t>a)</w:t>
      </w:r>
      <w:r w:rsidRPr="002C5876">
        <w:tab/>
        <w:t>Température de l’air ambiant dans la chambre d’essai ;</w:t>
      </w:r>
    </w:p>
    <w:p w:rsidR="00E24DB7" w:rsidRPr="002C5876" w:rsidRDefault="00E24DB7" w:rsidP="00E24DB7">
      <w:pPr>
        <w:pStyle w:val="SingleTxtG"/>
        <w:ind w:left="2835" w:hanging="567"/>
      </w:pPr>
      <w:r w:rsidRPr="002C5876">
        <w:t>b)</w:t>
      </w:r>
      <w:r w:rsidRPr="002C5876">
        <w:tab/>
        <w:t>Températures dans les dispositifs de dilution et de prélèvement, selon les valeurs requises pour les appareils de mesure des émissions présentés à l’annexe 5.</w:t>
      </w:r>
    </w:p>
    <w:p w:rsidR="00E24DB7" w:rsidRPr="002C5876" w:rsidRDefault="00E24DB7" w:rsidP="00E24DB7">
      <w:pPr>
        <w:pStyle w:val="SingleTxtG"/>
        <w:ind w:left="2268" w:hanging="1134"/>
      </w:pPr>
      <w:r w:rsidRPr="002C5876">
        <w:t>2.2.1.2</w:t>
      </w:r>
      <w:r w:rsidRPr="002C5876">
        <w:tab/>
        <w:t xml:space="preserve">La pression atmosphérique doit être mesurable avec une précision de </w:t>
      </w:r>
      <w:r w:rsidRPr="002C5876">
        <w:sym w:font="Symbol" w:char="F0B1"/>
      </w:r>
      <w:r w:rsidRPr="002C5876">
        <w:t>0,1 kPa.</w:t>
      </w:r>
    </w:p>
    <w:p w:rsidR="00E24DB7" w:rsidRPr="002C5876" w:rsidRDefault="00E24DB7" w:rsidP="00E24DB7">
      <w:pPr>
        <w:pStyle w:val="SingleTxtG"/>
        <w:ind w:left="2268" w:hanging="1134"/>
      </w:pPr>
      <w:r w:rsidRPr="002C5876">
        <w:t>2.2.1.3</w:t>
      </w:r>
      <w:r w:rsidRPr="002C5876">
        <w:tab/>
        <w:t xml:space="preserve">L’humidité spécifique H doit être mesurable avec une précision de </w:t>
      </w:r>
      <w:r w:rsidRPr="002C5876">
        <w:sym w:font="Symbol" w:char="F0B1"/>
      </w:r>
      <w:r w:rsidRPr="002C5876">
        <w:t>1 g H</w:t>
      </w:r>
      <w:r w:rsidRPr="002C5876">
        <w:rPr>
          <w:vertAlign w:val="subscript"/>
        </w:rPr>
        <w:t>2</w:t>
      </w:r>
      <w:r w:rsidRPr="002C5876">
        <w:t>O/kg d’air sec.</w:t>
      </w:r>
    </w:p>
    <w:p w:rsidR="00E24DB7" w:rsidRPr="002C5876" w:rsidRDefault="00E24DB7" w:rsidP="00E24DB7">
      <w:pPr>
        <w:pStyle w:val="SingleTxtG"/>
        <w:keepNext/>
        <w:ind w:left="2268" w:hanging="1134"/>
      </w:pPr>
      <w:r w:rsidRPr="002C5876">
        <w:t>2.2.2</w:t>
      </w:r>
      <w:r w:rsidRPr="002C5876">
        <w:tab/>
        <w:t>Chambre d’essai et espace de stabilisation</w:t>
      </w:r>
      <w:bookmarkEnd w:id="169"/>
      <w:bookmarkEnd w:id="170"/>
      <w:bookmarkEnd w:id="171"/>
      <w:bookmarkEnd w:id="172"/>
      <w:r w:rsidRPr="002C5876">
        <w:t xml:space="preserve"> </w:t>
      </w:r>
    </w:p>
    <w:p w:rsidR="00E24DB7" w:rsidRPr="002C5876" w:rsidRDefault="00E24DB7" w:rsidP="00E24DB7">
      <w:pPr>
        <w:pStyle w:val="SingleTxtG"/>
        <w:keepNext/>
        <w:ind w:left="2268" w:hanging="1134"/>
        <w:jc w:val="left"/>
      </w:pPr>
      <w:bookmarkStart w:id="173" w:name="_Toc284587077"/>
      <w:bookmarkStart w:id="174" w:name="_Toc284587328"/>
      <w:r w:rsidRPr="002C5876">
        <w:t>2.2.2.1</w:t>
      </w:r>
      <w:r w:rsidRPr="002C5876">
        <w:tab/>
        <w:t xml:space="preserve">Chambre </w:t>
      </w:r>
      <w:bookmarkEnd w:id="173"/>
      <w:bookmarkEnd w:id="174"/>
      <w:r w:rsidRPr="002C5876">
        <w:t xml:space="preserve">d’essai </w:t>
      </w:r>
    </w:p>
    <w:p w:rsidR="00E24DB7" w:rsidRPr="002C5876" w:rsidRDefault="00E24DB7" w:rsidP="00E24DB7">
      <w:pPr>
        <w:pStyle w:val="SingleTxtG"/>
        <w:ind w:left="2268" w:hanging="1134"/>
      </w:pPr>
      <w:r w:rsidRPr="002C5876">
        <w:t>2.2.2.1.1</w:t>
      </w:r>
      <w:r w:rsidRPr="002C5876">
        <w:tab/>
        <w:t>Pour la chambre d’essai, la température de consigne est de 23 </w:t>
      </w:r>
      <w:r w:rsidRPr="002C5876">
        <w:rPr>
          <w:szCs w:val="24"/>
        </w:rPr>
        <w:t>°C</w:t>
      </w:r>
      <w:r w:rsidRPr="002C5876">
        <w:t xml:space="preserve">, avec une tolérance de </w:t>
      </w:r>
      <w:r w:rsidRPr="002C5876">
        <w:sym w:font="Symbol" w:char="F0B1"/>
      </w:r>
      <w:r w:rsidRPr="002C5876">
        <w:rPr>
          <w:szCs w:val="24"/>
        </w:rPr>
        <w:t>5 °C</w:t>
      </w:r>
      <w:r w:rsidRPr="002C5876">
        <w:t>. La température et l’humidité de l’air doivent être mesurées à la sortie du ventilateur de refroidissement de la chambre d’essai, à une fréquence de 0,1 Hz au minimum. Pour la température au début de l’essai, voir le paragraphe 2.8.1 de la présente annexe.</w:t>
      </w:r>
    </w:p>
    <w:p w:rsidR="00E24DB7" w:rsidRPr="002C5876" w:rsidRDefault="00E24DB7" w:rsidP="00E24DB7">
      <w:pPr>
        <w:pStyle w:val="SingleTxtG"/>
        <w:keepNext/>
        <w:ind w:left="2268" w:hanging="1134"/>
      </w:pPr>
      <w:r w:rsidRPr="002C5876">
        <w:t>2.2.2.1.2</w:t>
      </w:r>
      <w:r w:rsidRPr="002C5876">
        <w:tab/>
        <w:t>L’humidité spécifique H de l’air dans la chambre d’essai ou de l’air d’admission du moteur doit satisfaire à la condition suivante :</w:t>
      </w:r>
    </w:p>
    <w:p w:rsidR="00E24DB7" w:rsidRPr="00D53F39" w:rsidRDefault="00E24DB7" w:rsidP="00E24DB7">
      <w:pPr>
        <w:pStyle w:val="SingleTxtG"/>
        <w:ind w:left="2268"/>
        <w:jc w:val="center"/>
        <w:rPr>
          <w:lang w:val="en-US"/>
        </w:rPr>
      </w:pPr>
      <w:r w:rsidRPr="00D53F39">
        <w:rPr>
          <w:lang w:val="en-US"/>
        </w:rPr>
        <w:t>5,5</w:t>
      </w:r>
      <w:r w:rsidR="00886DBA" w:rsidRPr="00D53F39">
        <w:rPr>
          <w:lang w:val="en-US"/>
        </w:rPr>
        <w:t> </w:t>
      </w:r>
      <w:r w:rsidRPr="00D53F39">
        <w:rPr>
          <w:lang w:val="en-US"/>
        </w:rPr>
        <w:t>≤</w:t>
      </w:r>
      <w:r w:rsidR="00886DBA" w:rsidRPr="00D53F39">
        <w:rPr>
          <w:lang w:val="en-US"/>
        </w:rPr>
        <w:t> </w:t>
      </w:r>
      <w:r w:rsidRPr="00D53F39">
        <w:rPr>
          <w:lang w:val="en-US"/>
        </w:rPr>
        <w:t>H</w:t>
      </w:r>
      <w:r w:rsidR="00886DBA" w:rsidRPr="00D53F39">
        <w:rPr>
          <w:lang w:val="en-US"/>
        </w:rPr>
        <w:t> </w:t>
      </w:r>
      <w:r w:rsidRPr="00D53F39">
        <w:rPr>
          <w:lang w:val="en-US"/>
        </w:rPr>
        <w:t>≤</w:t>
      </w:r>
      <w:r w:rsidR="00886DBA" w:rsidRPr="00D53F39">
        <w:rPr>
          <w:lang w:val="en-US"/>
        </w:rPr>
        <w:t> </w:t>
      </w:r>
      <w:r w:rsidRPr="00D53F39">
        <w:rPr>
          <w:lang w:val="en-US"/>
        </w:rPr>
        <w:t>12,2 (g H</w:t>
      </w:r>
      <w:r w:rsidRPr="00D53F39">
        <w:rPr>
          <w:vertAlign w:val="subscript"/>
          <w:lang w:val="en-US"/>
        </w:rPr>
        <w:t>2</w:t>
      </w:r>
      <w:r w:rsidRPr="00D53F39">
        <w:rPr>
          <w:lang w:val="en-US"/>
        </w:rPr>
        <w:t>O/kg air sec)</w:t>
      </w:r>
    </w:p>
    <w:p w:rsidR="00E24DB7" w:rsidRPr="002C5876" w:rsidRDefault="00E24DB7" w:rsidP="00E24DB7">
      <w:pPr>
        <w:pStyle w:val="SingleTxtG"/>
        <w:ind w:left="2268" w:hanging="1134"/>
      </w:pPr>
      <w:r w:rsidRPr="002C5876">
        <w:t>2.2.2.1.3</w:t>
      </w:r>
      <w:r w:rsidRPr="002C5876">
        <w:tab/>
      </w:r>
      <w:r w:rsidRPr="002C5876">
        <w:rPr>
          <w:spacing w:val="-2"/>
        </w:rPr>
        <w:t>L’humidité doit être mesurée en continu, à une fréquence de 0,1 Hz au minimum.</w:t>
      </w:r>
    </w:p>
    <w:p w:rsidR="00E24DB7" w:rsidRPr="002C5876" w:rsidRDefault="00E24DB7" w:rsidP="00E24DB7">
      <w:pPr>
        <w:pStyle w:val="SingleTxtG"/>
        <w:keepNext/>
        <w:ind w:left="2268" w:hanging="1134"/>
        <w:jc w:val="left"/>
      </w:pPr>
      <w:bookmarkStart w:id="175" w:name="_Toc284587078"/>
      <w:bookmarkStart w:id="176" w:name="_Toc284587329"/>
      <w:r w:rsidRPr="002C5876">
        <w:t>2.2.2.2</w:t>
      </w:r>
      <w:r w:rsidRPr="002C5876">
        <w:tab/>
        <w:t>Espace de stabilisation</w:t>
      </w:r>
      <w:bookmarkEnd w:id="175"/>
      <w:bookmarkEnd w:id="176"/>
    </w:p>
    <w:p w:rsidR="00E24DB7" w:rsidRPr="002C5876" w:rsidRDefault="00E24DB7" w:rsidP="00E24DB7">
      <w:pPr>
        <w:pStyle w:val="SingleTxtG"/>
        <w:ind w:left="2268"/>
      </w:pPr>
      <w:r w:rsidRPr="002C5876">
        <w:t xml:space="preserve">Pour l’espace de stabilisation, la température de consigne est de </w:t>
      </w:r>
      <w:r w:rsidRPr="002C5876">
        <w:rPr>
          <w:szCs w:val="24"/>
        </w:rPr>
        <w:t>23 °C</w:t>
      </w:r>
      <w:r w:rsidRPr="002C5876">
        <w:t xml:space="preserve">, avec une tolérance de </w:t>
      </w:r>
      <w:r w:rsidRPr="002C5876">
        <w:sym w:font="Symbol" w:char="F0B1"/>
      </w:r>
      <w:r w:rsidRPr="002C5876">
        <w:rPr>
          <w:szCs w:val="24"/>
        </w:rPr>
        <w:t>3 °C</w:t>
      </w:r>
      <w:r w:rsidRPr="002C5876">
        <w:t xml:space="preserve"> sur une moyenne arithmétique mobile de 5 min et sans écart systématique par rapport à la température de consigne. L’humidité doit être mesurée en continu, à une fréquence de 0,033 Hz (toutes les 30 s) au minimum. </w:t>
      </w:r>
    </w:p>
    <w:p w:rsidR="00E24DB7" w:rsidRPr="002C5876" w:rsidRDefault="00E24DB7" w:rsidP="00E24DB7">
      <w:pPr>
        <w:pStyle w:val="SingleTxtG"/>
        <w:keepNext/>
        <w:ind w:left="2268" w:hanging="1134"/>
        <w:jc w:val="left"/>
      </w:pPr>
      <w:bookmarkStart w:id="177" w:name="_Toc284587079"/>
      <w:bookmarkStart w:id="178" w:name="_Toc284587330"/>
      <w:r w:rsidRPr="002C5876">
        <w:t>2.3</w:t>
      </w:r>
      <w:r w:rsidRPr="002C5876">
        <w:tab/>
        <w:t xml:space="preserve">Véhicule d’essai </w:t>
      </w:r>
      <w:bookmarkEnd w:id="177"/>
      <w:bookmarkEnd w:id="178"/>
    </w:p>
    <w:p w:rsidR="00E24DB7" w:rsidRPr="002C5876" w:rsidRDefault="00E24DB7" w:rsidP="00E24DB7">
      <w:pPr>
        <w:pStyle w:val="SingleTxtG"/>
        <w:keepNext/>
        <w:ind w:left="2268" w:hanging="1134"/>
        <w:jc w:val="left"/>
      </w:pPr>
      <w:r w:rsidRPr="002C5876">
        <w:t>2.3.1</w:t>
      </w:r>
      <w:r w:rsidRPr="002C5876">
        <w:tab/>
        <w:t>Généralités</w:t>
      </w:r>
    </w:p>
    <w:p w:rsidR="00E24DB7" w:rsidRPr="002C5876" w:rsidRDefault="00E24DB7" w:rsidP="00E24DB7">
      <w:pPr>
        <w:pStyle w:val="SingleTxtG"/>
        <w:ind w:left="2268"/>
      </w:pPr>
      <w:r w:rsidRPr="002C5876">
        <w:t xml:space="preserve">Le véhicule d’essai doit être conforme en tout point au modèle qui est produit en série. Si ce n’est pas le cas, une description complète doit être consignée. Lorsqu’ils choisissent le véhicule d’essai, le constructeur et l’autorité compétente doivent convenir du modèle représentatif de la famille d’interpolation. </w:t>
      </w:r>
    </w:p>
    <w:p w:rsidR="00E24DB7" w:rsidRPr="002C5876" w:rsidRDefault="00E24DB7" w:rsidP="00E24DB7">
      <w:pPr>
        <w:pStyle w:val="SingleTxtG"/>
        <w:ind w:left="2268"/>
      </w:pPr>
      <w:r w:rsidRPr="002C5876">
        <w:t>Pour la mesure des émissions, la résistance à l’avancement sur route telle que déterminée avec le véhicule d’essai H est appliquée. Dans le cas d’une famille de matrices de résistance à l’avancement sur route, pour la mesure des émissions, il faut appliquer la résistance à l’avancement sur route telle qu’elle a été calculée pour le véhicule H</w:t>
      </w:r>
      <w:r w:rsidRPr="002C5876">
        <w:rPr>
          <w:vertAlign w:val="subscript"/>
        </w:rPr>
        <w:t>M</w:t>
      </w:r>
      <w:r w:rsidRPr="002C5876">
        <w:t xml:space="preserve"> conformément au paragraphe 5.1 de l’annexe 4.</w:t>
      </w:r>
    </w:p>
    <w:p w:rsidR="00E24DB7" w:rsidRPr="002C5876" w:rsidRDefault="00E24DB7" w:rsidP="00E24DB7">
      <w:pPr>
        <w:pStyle w:val="SingleTxtG"/>
        <w:ind w:left="2268"/>
      </w:pPr>
      <w:r w:rsidRPr="002C5876">
        <w:t xml:space="preserve">Si, à la demande du constructeur, la méthode d’interpolation est utilisée (voir le paragraphe 3.2.3.2 de l’annexe 7), une mesure additionnelle des émissions est effectuée en tenant compte de la résistance à l’avancement sur route telle que déterminée avec le véhicule d’essai L. Les véhicules H et L devraient être soumis à essai avec le même véhicule d’essai et il faut utiliser le rapport n/v le </w:t>
      </w:r>
      <w:r w:rsidRPr="002C5876">
        <w:lastRenderedPageBreak/>
        <w:t>plus court (avec une tolérance de ± 1,5 %) dans la famille d’interpolation. Dans le cas d’une famille de matrices de résistance à l’avancement sur route, il faut effectuer une mesure supplémentaire avec la résistance à l’avancement sur route qui a été calculée pour le véhicule L</w:t>
      </w:r>
      <w:r w:rsidRPr="002C5876">
        <w:rPr>
          <w:vertAlign w:val="subscript"/>
        </w:rPr>
        <w:t>M</w:t>
      </w:r>
      <w:r w:rsidRPr="002C5876">
        <w:t xml:space="preserve"> conformément au paragraphe 5.1 de l’annexe 4.</w:t>
      </w:r>
    </w:p>
    <w:p w:rsidR="00E24DB7" w:rsidRPr="002C5876" w:rsidRDefault="00E24DB7" w:rsidP="00E24DB7">
      <w:pPr>
        <w:pStyle w:val="SingleTxtG"/>
        <w:ind w:left="2268"/>
      </w:pPr>
      <w:r w:rsidRPr="002C5876">
        <w:t>Les coefficients de résistance à l’avancement sur route et les masses d’essai des véhicules d’essai L et H peuvent être tirés de familles de résistance à l’avancement sur route différentes, sous réserve que l’écart entre ces familles résulte de l’application du paragraphe 6.8 de l’annexe 4 et que les prescriptions du paragraphe 2.3.2 de la présente annexe soient respectées.</w:t>
      </w:r>
    </w:p>
    <w:p w:rsidR="00E24DB7" w:rsidRPr="002C5876" w:rsidRDefault="00E24DB7" w:rsidP="00E24DB7">
      <w:pPr>
        <w:pStyle w:val="SingleTxtG"/>
        <w:keepNext/>
        <w:ind w:left="2268" w:hanging="1134"/>
        <w:jc w:val="left"/>
        <w:rPr>
          <w:vertAlign w:val="subscript"/>
        </w:rPr>
      </w:pPr>
      <w:r w:rsidRPr="002C5876">
        <w:t>2.3.2</w:t>
      </w:r>
      <w:r w:rsidRPr="002C5876">
        <w:tab/>
        <w:t>Plage d’interpolation pour le CO</w:t>
      </w:r>
      <w:r w:rsidRPr="002C5876">
        <w:rPr>
          <w:vertAlign w:val="subscript"/>
        </w:rPr>
        <w:t>2</w:t>
      </w:r>
    </w:p>
    <w:p w:rsidR="00E24DB7" w:rsidRPr="002C5876" w:rsidRDefault="00E24DB7" w:rsidP="00E24DB7">
      <w:pPr>
        <w:pStyle w:val="SingleTxtG"/>
        <w:ind w:left="2268" w:hanging="1134"/>
      </w:pPr>
      <w:r w:rsidRPr="002C5876">
        <w:t>2.3.2.1</w:t>
      </w:r>
      <w:r w:rsidRPr="002C5876">
        <w:tab/>
        <w:t xml:space="preserve">La méthode d’interpolation ne doit être appliquée que si : </w:t>
      </w:r>
    </w:p>
    <w:p w:rsidR="00E24DB7" w:rsidRPr="002C5876" w:rsidRDefault="00E24DB7" w:rsidP="00E24DB7">
      <w:pPr>
        <w:pStyle w:val="SingleTxtG"/>
        <w:ind w:left="2268"/>
      </w:pPr>
      <w:r w:rsidRPr="002C5876">
        <w:t>La différence entre les véhicules d’essai L et H en ce qui concerne le CO</w:t>
      </w:r>
      <w:r w:rsidRPr="002C5876">
        <w:rPr>
          <w:vertAlign w:val="subscript"/>
        </w:rPr>
        <w:t>2</w:t>
      </w:r>
      <w:r w:rsidRPr="002C5876">
        <w:t xml:space="preserve"> durant le cycle applicable résultant de l’étape 9 du tableau A7/1 de l’annexe 7 se situe entre un minimum de 5 g/km et un maximum défini au paragraphe 2.3.2.2 de la présente annexe.</w:t>
      </w:r>
    </w:p>
    <w:p w:rsidR="00E24DB7" w:rsidRPr="002C5876" w:rsidRDefault="00E24DB7" w:rsidP="00E24DB7">
      <w:pPr>
        <w:pStyle w:val="SingleTxtG"/>
        <w:ind w:left="2268" w:hanging="1134"/>
      </w:pPr>
      <w:r w:rsidRPr="002C5876">
        <w:t>2.3.2.2</w:t>
      </w:r>
      <w:r w:rsidRPr="002C5876">
        <w:tab/>
        <w:t>L’écart de CO</w:t>
      </w:r>
      <w:r w:rsidRPr="002C5876">
        <w:rPr>
          <w:vertAlign w:val="subscript"/>
        </w:rPr>
        <w:t>2</w:t>
      </w:r>
      <w:r w:rsidRPr="002C5876">
        <w:t xml:space="preserve"> maximum autorisé durant le cycle applicable résultant de l’étape 9 du tableau A7/1 de l’annexe 7 entre les véhicules d’essai L et H est de 20 % plus 5 g/kg des émissions de CO</w:t>
      </w:r>
      <w:r w:rsidRPr="002C5876">
        <w:rPr>
          <w:vertAlign w:val="subscript"/>
        </w:rPr>
        <w:t>2</w:t>
      </w:r>
      <w:r w:rsidRPr="002C5876">
        <w:t xml:space="preserve"> provenant du véhicule H, soit 15 g/km au moins et 30 g/km au plus.</w:t>
      </w:r>
    </w:p>
    <w:p w:rsidR="00E24DB7" w:rsidRPr="002C5876" w:rsidRDefault="00E24DB7" w:rsidP="00E24DB7">
      <w:pPr>
        <w:pStyle w:val="SingleTxtG"/>
        <w:ind w:left="2268" w:hanging="1134"/>
      </w:pPr>
      <w:r w:rsidRPr="002C5876">
        <w:tab/>
        <w:t>Cette restriction ne peut s’appliquer à une famille de matrices de résistance à l’avancement sur route.</w:t>
      </w:r>
    </w:p>
    <w:p w:rsidR="00E24DB7" w:rsidRPr="002C5876" w:rsidRDefault="00E24DB7" w:rsidP="00E24DB7">
      <w:pPr>
        <w:pStyle w:val="SingleTxtG"/>
        <w:ind w:left="2268" w:hanging="1134"/>
      </w:pPr>
      <w:r w:rsidRPr="002C5876">
        <w:t>2.3.2.3</w:t>
      </w:r>
      <w:r w:rsidRPr="002C5876">
        <w:tab/>
      </w:r>
      <w:r w:rsidRPr="002C5876">
        <w:tab/>
        <w:t>À la demande du constructeur, et avec l’accord de l’autorité compétente, la ligne d’interpolation peut être extrapolée à un maximum de 3 g/km au</w:t>
      </w:r>
      <w:r w:rsidRPr="002C5876">
        <w:noBreakHyphen/>
        <w:t>dessus du niveau d’émissions de CO</w:t>
      </w:r>
      <w:r w:rsidRPr="002C5876">
        <w:rPr>
          <w:vertAlign w:val="subscript"/>
        </w:rPr>
        <w:t>2</w:t>
      </w:r>
      <w:r w:rsidRPr="002C5876">
        <w:t xml:space="preserve"> du véhicule H et/ou au-dessous du niveau d’émissions de CO</w:t>
      </w:r>
      <w:r w:rsidRPr="002C5876">
        <w:rPr>
          <w:vertAlign w:val="subscript"/>
        </w:rPr>
        <w:t>2</w:t>
      </w:r>
      <w:r w:rsidRPr="002C5876">
        <w:t xml:space="preserve"> du véhicule L.</w:t>
      </w:r>
    </w:p>
    <w:p w:rsidR="00E24DB7" w:rsidRPr="002C5876" w:rsidRDefault="00E24DB7" w:rsidP="00E24DB7">
      <w:pPr>
        <w:pStyle w:val="SingleTxtG"/>
        <w:ind w:left="2268"/>
      </w:pPr>
      <w:r w:rsidRPr="002C5876">
        <w:t>L’extrapolation n’est pas autorisée pour application à une  famille de matrices de résistance à l’avancement sur route.</w:t>
      </w:r>
    </w:p>
    <w:p w:rsidR="00E24DB7" w:rsidRPr="002C5876" w:rsidRDefault="00E24DB7" w:rsidP="00E24DB7">
      <w:pPr>
        <w:pStyle w:val="SingleTxtG"/>
        <w:keepNext/>
        <w:ind w:left="2268" w:hanging="1134"/>
        <w:jc w:val="left"/>
      </w:pPr>
      <w:r w:rsidRPr="002C5876">
        <w:t>2.3.3</w:t>
      </w:r>
      <w:r w:rsidRPr="002C5876">
        <w:tab/>
        <w:t>Rodage</w:t>
      </w:r>
    </w:p>
    <w:p w:rsidR="00E24DB7" w:rsidRPr="002C5876" w:rsidRDefault="00E24DB7" w:rsidP="00E24DB7">
      <w:pPr>
        <w:pStyle w:val="SingleTxtG"/>
        <w:ind w:left="2268"/>
      </w:pPr>
      <w:r w:rsidRPr="002C5876">
        <w:t>Le véhicule doit être présenté en bon état sur le plan technique. Il doit avoir été rodé et avoir parcouru entre 3 000 et 15 000 km avant l’essai. Le rodage du moteur, de la transmission et du véhicule doit être effectué conformément aux prescriptions du constructeur.</w:t>
      </w:r>
    </w:p>
    <w:p w:rsidR="00E24DB7" w:rsidRPr="002C5876" w:rsidRDefault="00E24DB7" w:rsidP="00E24DB7">
      <w:pPr>
        <w:pStyle w:val="SingleTxtG"/>
        <w:keepNext/>
        <w:ind w:left="2268" w:hanging="1134"/>
        <w:jc w:val="left"/>
      </w:pPr>
      <w:bookmarkStart w:id="179" w:name="_Toc284587082"/>
      <w:bookmarkStart w:id="180" w:name="_Toc284587333"/>
      <w:r w:rsidRPr="002C5876">
        <w:t>2.4</w:t>
      </w:r>
      <w:bookmarkEnd w:id="179"/>
      <w:bookmarkEnd w:id="180"/>
      <w:r w:rsidRPr="002C5876">
        <w:tab/>
        <w:t>Réglages</w:t>
      </w:r>
    </w:p>
    <w:p w:rsidR="00E24DB7" w:rsidRPr="002C5876" w:rsidRDefault="00E24DB7" w:rsidP="00E24DB7">
      <w:pPr>
        <w:pStyle w:val="SingleTxtG"/>
        <w:ind w:left="2268" w:hanging="1134"/>
      </w:pPr>
      <w:bookmarkStart w:id="181" w:name="_Toc284587094"/>
      <w:bookmarkStart w:id="182" w:name="_Toc284587345"/>
      <w:r w:rsidRPr="002C5876">
        <w:t>2.4.1</w:t>
      </w:r>
      <w:r w:rsidRPr="002C5876">
        <w:tab/>
        <w:t>Les réglages et la vérification du dynamomètre</w:t>
      </w:r>
      <w:bookmarkEnd w:id="181"/>
      <w:bookmarkEnd w:id="182"/>
      <w:r w:rsidRPr="002C5876">
        <w:t xml:space="preserve"> doivent être effectués conformément aux dispositions de l’annexe 4. </w:t>
      </w:r>
    </w:p>
    <w:p w:rsidR="00E24DB7" w:rsidRPr="002C5876" w:rsidRDefault="00E24DB7" w:rsidP="00E24DB7">
      <w:pPr>
        <w:pStyle w:val="SingleTxtG"/>
        <w:keepNext/>
        <w:ind w:left="2268" w:hanging="1134"/>
        <w:jc w:val="left"/>
      </w:pPr>
      <w:r w:rsidRPr="002C5876">
        <w:t>2.4.2</w:t>
      </w:r>
      <w:r w:rsidRPr="002C5876">
        <w:tab/>
        <w:t xml:space="preserve">Fonctionnement du dynamomètre </w:t>
      </w:r>
    </w:p>
    <w:p w:rsidR="00E24DB7" w:rsidRPr="002C5876" w:rsidRDefault="00E24DB7" w:rsidP="00E24DB7">
      <w:pPr>
        <w:pStyle w:val="SingleTxtG"/>
        <w:ind w:left="2268" w:hanging="1134"/>
      </w:pPr>
      <w:r w:rsidRPr="002C5876">
        <w:t>2.4.2.1</w:t>
      </w:r>
      <w:r w:rsidRPr="002C5876">
        <w:tab/>
        <w:t xml:space="preserve">Lorsque le dynamomètre est en marche, les dispositifs auxiliaires doivent être arrêtés ou désactivés à moins que leur fonctionnement ne soit imposé par la législation régionale. </w:t>
      </w:r>
    </w:p>
    <w:p w:rsidR="00E24DB7" w:rsidRPr="002C5876" w:rsidRDefault="00E24DB7" w:rsidP="00E24DB7">
      <w:pPr>
        <w:pStyle w:val="SingleTxtG"/>
        <w:ind w:left="2268" w:hanging="1134"/>
      </w:pPr>
      <w:r w:rsidRPr="002C5876">
        <w:t>2.4.2.2</w:t>
      </w:r>
      <w:r w:rsidRPr="002C5876">
        <w:tab/>
        <w:t xml:space="preserve">Le mode de fonctionnement du dynamomètre du véhicule, s’il existe, doit être activé conformément aux instructions du constructeur (par exemple, en appuyant sur une série de boutons au volant dans un ordre déterminé, en utilisant l’appareil d’essai en atelier du constructeur ou en retirant un fusible). </w:t>
      </w:r>
    </w:p>
    <w:p w:rsidR="00E24DB7" w:rsidRPr="002C5876" w:rsidRDefault="00E24DB7" w:rsidP="00E24DB7">
      <w:pPr>
        <w:pStyle w:val="SingleTxtG"/>
        <w:ind w:left="2268"/>
      </w:pPr>
      <w:r w:rsidRPr="002C5876">
        <w:t>Le constructeur doit fournir à l’autorité compétente la liste des dispositifs désactivés et lui indiquer les raisons de leur désactivation. Le mode de fonctionnement du dynamomètre doit être homologué par l’autorité compétente et l’utilisation de ce mode doit être enregistrée.</w:t>
      </w:r>
    </w:p>
    <w:p w:rsidR="00E24DB7" w:rsidRPr="002C5876" w:rsidRDefault="00E24DB7" w:rsidP="00E24DB7">
      <w:pPr>
        <w:pStyle w:val="SingleTxtG"/>
        <w:ind w:left="2268" w:hanging="1134"/>
      </w:pPr>
      <w:r w:rsidRPr="002C5876">
        <w:t>2.4.2.3</w:t>
      </w:r>
      <w:r w:rsidRPr="002C5876">
        <w:tab/>
        <w:t xml:space="preserve">Le mode de fonctionnement du dynamomètre du véhicule ne doit pas activer, moduler, retarder ou désactiver le fonctionnement d’un quelconque élément ayant une incidence sur les émissions et la consommation de carburant dans </w:t>
      </w:r>
      <w:r w:rsidRPr="002C5876">
        <w:lastRenderedPageBreak/>
        <w:t>les conditions d’essai. Tout dispositif ayant une incidence sur le fonctionnement du banc à rouleaux doit être mis dans un état assurant un fonctionnement normal.</w:t>
      </w:r>
    </w:p>
    <w:p w:rsidR="00E24DB7" w:rsidRPr="002C5876" w:rsidRDefault="00E24DB7" w:rsidP="00E24DB7">
      <w:pPr>
        <w:pStyle w:val="SingleTxtG"/>
        <w:ind w:left="2268" w:hanging="1134"/>
      </w:pPr>
      <w:r w:rsidRPr="002C5876">
        <w:t>2.4.3</w:t>
      </w:r>
      <w:r w:rsidRPr="002C5876">
        <w:tab/>
        <w:t>Le système d’échappement du véhicule ne doit pas présenter de fuite ayant pour effet de réduire la quantité de gaz collectée.</w:t>
      </w:r>
    </w:p>
    <w:p w:rsidR="00E24DB7" w:rsidRPr="002C5876" w:rsidRDefault="00E24DB7" w:rsidP="00E24DB7">
      <w:pPr>
        <w:pStyle w:val="SingleTxtG"/>
        <w:ind w:left="2268" w:hanging="1134"/>
      </w:pPr>
      <w:r w:rsidRPr="002C5876">
        <w:t>2.4.4</w:t>
      </w:r>
      <w:r w:rsidRPr="002C5876">
        <w:tab/>
        <w:t>Les réglages de la chaîne de traction et des commandes du véhicule doivent être conformes à ceux prescrits par le constructeur pour la production en série.</w:t>
      </w:r>
    </w:p>
    <w:p w:rsidR="00E24DB7" w:rsidRPr="002C5876" w:rsidRDefault="00E24DB7" w:rsidP="00E24DB7">
      <w:pPr>
        <w:pStyle w:val="SingleTxtG"/>
        <w:keepLines/>
        <w:ind w:left="2268" w:hanging="1134"/>
      </w:pPr>
      <w:bookmarkStart w:id="183" w:name="_Toc284587083"/>
      <w:bookmarkStart w:id="184" w:name="_Toc284587334"/>
      <w:r w:rsidRPr="002C5876">
        <w:t>2.4.5</w:t>
      </w:r>
      <w:r w:rsidRPr="002C5876">
        <w:tab/>
        <w:t>Les pneumatiques</w:t>
      </w:r>
      <w:bookmarkEnd w:id="183"/>
      <w:bookmarkEnd w:id="184"/>
      <w:r w:rsidRPr="002C5876">
        <w:t xml:space="preserve"> doivent être d’un type reconnu par le constructeur comme équipement d’origine. Leur pression peut être augmentée jusqu’à 50 % au</w:t>
      </w:r>
      <w:r w:rsidRPr="002C5876">
        <w:noBreakHyphen/>
        <w:t xml:space="preserve">dessus de la pression indiquée au paragraphe 4.2.2.3 de l’annexe 4. Une même pression doit être appliquée pour le réglage du dynamomètre et pour tous les essais ultérieurs. La pression appliquée doit être consignée. </w:t>
      </w:r>
    </w:p>
    <w:p w:rsidR="00E24DB7" w:rsidRPr="002C5876" w:rsidRDefault="00E24DB7" w:rsidP="00E24DB7">
      <w:pPr>
        <w:pStyle w:val="SingleTxtG"/>
        <w:keepNext/>
        <w:ind w:left="2268" w:hanging="1134"/>
        <w:jc w:val="left"/>
      </w:pPr>
      <w:bookmarkStart w:id="185" w:name="_Toc284586955"/>
      <w:bookmarkStart w:id="186" w:name="_Toc284587084"/>
      <w:bookmarkStart w:id="187" w:name="_Toc284587335"/>
      <w:bookmarkStart w:id="188" w:name="_Toc289686196"/>
      <w:r w:rsidRPr="002C5876">
        <w:t>2.4.6</w:t>
      </w:r>
      <w:r w:rsidRPr="002C5876">
        <w:tab/>
        <w:t>Carburant de référence</w:t>
      </w:r>
      <w:bookmarkEnd w:id="185"/>
      <w:bookmarkEnd w:id="186"/>
      <w:bookmarkEnd w:id="187"/>
      <w:bookmarkEnd w:id="188"/>
    </w:p>
    <w:p w:rsidR="00E24DB7" w:rsidRPr="002C5876" w:rsidRDefault="00E24DB7" w:rsidP="00E24DB7">
      <w:pPr>
        <w:pStyle w:val="SingleTxtG"/>
        <w:ind w:left="2268" w:hanging="1134"/>
      </w:pPr>
      <w:r w:rsidRPr="002C5876">
        <w:tab/>
        <w:t xml:space="preserve">Le carburant de référence approprié, tel que spécifié à l’annexe 3, doit être utilisé pour les essais. </w:t>
      </w:r>
    </w:p>
    <w:p w:rsidR="00E24DB7" w:rsidRPr="002C5876" w:rsidRDefault="00E24DB7" w:rsidP="00E24DB7">
      <w:pPr>
        <w:pStyle w:val="SingleTxtG"/>
        <w:keepNext/>
        <w:ind w:left="2268" w:hanging="1134"/>
        <w:jc w:val="left"/>
      </w:pPr>
      <w:r w:rsidRPr="002C5876">
        <w:t>2.4.7</w:t>
      </w:r>
      <w:r w:rsidRPr="002C5876">
        <w:tab/>
        <w:t>Préparation du véhicule d’essai</w:t>
      </w:r>
    </w:p>
    <w:p w:rsidR="00E24DB7" w:rsidRPr="002C5876" w:rsidRDefault="00E24DB7" w:rsidP="00E24DB7">
      <w:pPr>
        <w:pStyle w:val="SingleTxtG"/>
        <w:ind w:left="2268" w:hanging="1134"/>
      </w:pPr>
      <w:r w:rsidRPr="002C5876">
        <w:t>2.4.7.1</w:t>
      </w:r>
      <w:r w:rsidRPr="002C5876">
        <w:tab/>
        <w:t>Le véhicule doit être approximativement à l’horizontale durant l’essai, de façon à éviter toute distribution anormale du carburant.</w:t>
      </w:r>
    </w:p>
    <w:p w:rsidR="00E24DB7" w:rsidRPr="002C5876" w:rsidRDefault="00E24DB7" w:rsidP="00E24DB7">
      <w:pPr>
        <w:pStyle w:val="SingleTxtG"/>
        <w:ind w:left="2268" w:hanging="1134"/>
      </w:pPr>
      <w:r w:rsidRPr="002C5876">
        <w:t>2.4.7.2</w:t>
      </w:r>
      <w:r w:rsidRPr="002C5876">
        <w:tab/>
      </w:r>
      <w:r w:rsidRPr="002C5876">
        <w:rPr>
          <w:spacing w:val="-2"/>
        </w:rPr>
        <w:t>Au besoin, le constructeur doit fournir des accessoires et des adaptateurs supplémentaires nécessaires pour installer un système de vidange du carburant au point le plus bas possible du ou des réservoirs tels qu’ils sont montés sur le véhicule et pour recueillir des échantillons de gaz d’échappement.</w:t>
      </w:r>
    </w:p>
    <w:p w:rsidR="00E24DB7" w:rsidRPr="002C5876" w:rsidRDefault="00E24DB7" w:rsidP="00E24DB7">
      <w:pPr>
        <w:pStyle w:val="SingleTxtG"/>
        <w:keepNext/>
        <w:ind w:left="2268" w:hanging="1134"/>
      </w:pPr>
      <w:r w:rsidRPr="002C5876">
        <w:t>2.4.7.3</w:t>
      </w:r>
      <w:r w:rsidRPr="002C5876">
        <w:tab/>
        <w:t xml:space="preserve">Pour le prélèvement de matières particulaires pendant un essai au cours duquel le filtre à régénération est en condition de charge stabilisée (c’est à dire que le véhicule n’est pas en phase de régénération), il est recommandé que le véhicule ait effectué </w:t>
      </w:r>
      <w:r w:rsidRPr="002C5876">
        <w:rPr>
          <w:szCs w:val="24"/>
        </w:rPr>
        <w:t xml:space="preserve">&gt; 1/3 </w:t>
      </w:r>
      <w:r w:rsidRPr="002C5876">
        <w:t>du kilométrage entre les régénérations prévues ou que le filtre à régénération discontinue, démonté du véhicule, ait été soumis à une opération d’encrassement équivalente.</w:t>
      </w:r>
    </w:p>
    <w:p w:rsidR="00E24DB7" w:rsidRPr="002C5876" w:rsidRDefault="00E24DB7" w:rsidP="00E24DB7">
      <w:pPr>
        <w:pStyle w:val="SingleTxtG"/>
        <w:keepNext/>
        <w:ind w:left="2268" w:hanging="1134"/>
        <w:jc w:val="left"/>
      </w:pPr>
      <w:r w:rsidRPr="002C5876">
        <w:t>2.5</w:t>
      </w:r>
      <w:r w:rsidRPr="002C5876">
        <w:tab/>
        <w:t>Cycles d’essai préliminaires</w:t>
      </w:r>
    </w:p>
    <w:p w:rsidR="00E24DB7" w:rsidRPr="002C5876" w:rsidRDefault="00E24DB7" w:rsidP="00E24DB7">
      <w:pPr>
        <w:pStyle w:val="SingleTxtG"/>
        <w:ind w:left="2268"/>
      </w:pPr>
      <w:r w:rsidRPr="002C5876">
        <w:tab/>
        <w:t xml:space="preserve">À la demande du constructeur, des cycles d’essai préliminaires peuvent être exécutés afin de suivre la courbe de vitesse dans les limites prescrites. </w:t>
      </w:r>
    </w:p>
    <w:p w:rsidR="00E24DB7" w:rsidRPr="002C5876" w:rsidRDefault="00E24DB7" w:rsidP="00E24DB7">
      <w:pPr>
        <w:pStyle w:val="SingleTxtG"/>
        <w:keepNext/>
        <w:ind w:left="2268" w:hanging="1134"/>
        <w:jc w:val="left"/>
      </w:pPr>
      <w:bookmarkStart w:id="189" w:name="_Toc284587164"/>
      <w:bookmarkStart w:id="190" w:name="_Toc284587415"/>
      <w:r w:rsidRPr="002C5876">
        <w:t>2.6</w:t>
      </w:r>
      <w:r w:rsidRPr="002C5876">
        <w:tab/>
        <w:t>Préconditionnement du véhicule d’essai</w:t>
      </w:r>
      <w:bookmarkEnd w:id="189"/>
      <w:bookmarkEnd w:id="190"/>
    </w:p>
    <w:p w:rsidR="00E24DB7" w:rsidRPr="002C5876" w:rsidRDefault="00E24DB7" w:rsidP="00E24DB7">
      <w:pPr>
        <w:pStyle w:val="SingleTxtG"/>
        <w:keepNext/>
        <w:ind w:left="2268" w:hanging="1134"/>
        <w:jc w:val="left"/>
      </w:pPr>
      <w:r w:rsidRPr="002C5876">
        <w:t>2.6.1</w:t>
      </w:r>
      <w:r w:rsidRPr="002C5876">
        <w:tab/>
        <w:t>Préparation du véhicule</w:t>
      </w:r>
    </w:p>
    <w:p w:rsidR="00E24DB7" w:rsidRPr="002C5876" w:rsidRDefault="00E24DB7" w:rsidP="00E24DB7">
      <w:pPr>
        <w:pStyle w:val="SingleTxtG"/>
        <w:keepNext/>
        <w:ind w:left="2268" w:hanging="1134"/>
        <w:jc w:val="left"/>
      </w:pPr>
      <w:r w:rsidRPr="002C5876">
        <w:t>2.6.1.1</w:t>
      </w:r>
      <w:r w:rsidRPr="002C5876">
        <w:tab/>
        <w:t>Remplissage du réservoir de carburant</w:t>
      </w:r>
    </w:p>
    <w:p w:rsidR="00E24DB7" w:rsidRPr="002C5876" w:rsidRDefault="00E24DB7" w:rsidP="00E24DB7">
      <w:pPr>
        <w:pStyle w:val="SingleTxtG"/>
        <w:ind w:left="2268"/>
      </w:pPr>
      <w:r w:rsidRPr="002C5876">
        <w:tab/>
        <w:t>Le ou les réservoirs de carburant doivent être remplis avec le carburant d’essai spécifié. Si le carburant qui se trouve déjà dans le ou les réservoirs ne satisfait pas aux prescriptions du paragraphe 2.4.6 de la présente annexe, il convient de le vidanger avant de procéder au remplissage. Le dispositif de réduction des émissions par évaporation ne doit pas être vidangé ni rempli de façon anormale.</w:t>
      </w:r>
    </w:p>
    <w:p w:rsidR="00E24DB7" w:rsidRPr="002C5876" w:rsidRDefault="00E24DB7" w:rsidP="00E24DB7">
      <w:pPr>
        <w:pStyle w:val="SingleTxtG"/>
        <w:keepNext/>
        <w:ind w:left="2268" w:hanging="1134"/>
        <w:jc w:val="left"/>
      </w:pPr>
      <w:r w:rsidRPr="002C5876">
        <w:t>2.6.1.2</w:t>
      </w:r>
      <w:r w:rsidRPr="002C5876">
        <w:tab/>
        <w:t>Charge des SRSEE</w:t>
      </w:r>
    </w:p>
    <w:p w:rsidR="00E24DB7" w:rsidRPr="002C5876" w:rsidRDefault="00E24DB7" w:rsidP="00E24DB7">
      <w:pPr>
        <w:pStyle w:val="SingleTxtG"/>
        <w:ind w:left="2268"/>
      </w:pPr>
      <w:r w:rsidRPr="002C5876">
        <w:t>Les SRSEE doivent être chargés à 100 % avant le cycle de préconditionnement. À la demande du constructeur, la charge peut être omise avant le préconditionnement. Les SRSEE ne doivent pas être chargés à nouveau avant l’exécution des essais officiels.</w:t>
      </w:r>
    </w:p>
    <w:p w:rsidR="00E24DB7" w:rsidRPr="002C5876" w:rsidRDefault="00E24DB7" w:rsidP="00E24DB7">
      <w:pPr>
        <w:pStyle w:val="SingleTxtG"/>
        <w:keepNext/>
        <w:ind w:left="2268" w:hanging="1134"/>
        <w:jc w:val="left"/>
        <w:rPr>
          <w:szCs w:val="24"/>
          <w:lang w:eastAsia="de-DE"/>
        </w:rPr>
      </w:pPr>
      <w:r w:rsidRPr="002C5876">
        <w:rPr>
          <w:szCs w:val="24"/>
          <w:lang w:eastAsia="de-DE"/>
        </w:rPr>
        <w:t>2.6.1.3</w:t>
      </w:r>
      <w:r w:rsidRPr="002C5876">
        <w:rPr>
          <w:szCs w:val="24"/>
          <w:lang w:eastAsia="de-DE"/>
        </w:rPr>
        <w:tab/>
        <w:t>Pression des pneumatiques</w:t>
      </w:r>
    </w:p>
    <w:p w:rsidR="00E24DB7" w:rsidRPr="002C5876" w:rsidRDefault="00E24DB7" w:rsidP="00E24DB7">
      <w:pPr>
        <w:pStyle w:val="SingleTxtG"/>
        <w:ind w:left="2268"/>
        <w:rPr>
          <w:szCs w:val="24"/>
          <w:lang w:eastAsia="de-DE"/>
        </w:rPr>
      </w:pPr>
      <w:r w:rsidRPr="002C5876">
        <w:rPr>
          <w:szCs w:val="24"/>
          <w:lang w:eastAsia="de-DE"/>
        </w:rPr>
        <w:tab/>
        <w:t>La pression des pneumatiques des roues motrices doit être réglée conformément au paragraphe 2.4.5 de la présente annexe.</w:t>
      </w:r>
    </w:p>
    <w:p w:rsidR="00E24DB7" w:rsidRPr="002C5876" w:rsidRDefault="00E24DB7" w:rsidP="00E24DB7">
      <w:pPr>
        <w:pStyle w:val="SingleTxtG"/>
        <w:ind w:left="2268" w:hanging="1134"/>
        <w:jc w:val="left"/>
        <w:rPr>
          <w:szCs w:val="24"/>
          <w:lang w:eastAsia="de-DE"/>
        </w:rPr>
      </w:pPr>
      <w:r w:rsidRPr="002C5876">
        <w:rPr>
          <w:szCs w:val="24"/>
          <w:lang w:eastAsia="de-DE"/>
        </w:rPr>
        <w:t>2.6.1.4</w:t>
      </w:r>
      <w:r w:rsidRPr="002C5876">
        <w:rPr>
          <w:szCs w:val="24"/>
          <w:lang w:eastAsia="de-DE"/>
        </w:rPr>
        <w:tab/>
        <w:t>Véhicules à carburant gazeux</w:t>
      </w:r>
    </w:p>
    <w:p w:rsidR="00E24DB7" w:rsidRPr="002C5876" w:rsidRDefault="00E24DB7" w:rsidP="00E24DB7">
      <w:pPr>
        <w:pStyle w:val="SingleTxtG"/>
        <w:ind w:left="2268"/>
      </w:pPr>
      <w:r w:rsidRPr="002C5876">
        <w:lastRenderedPageBreak/>
        <w:t>Entre les essais réalisés avec le premier carburant gazeux de référence puis avec le deuxième carburant gazeux de référence, pour les véhicules à allumage commandé alimentés au GPL ou au GN/biométhane, ou équipés de façon à pouvoir être alimentés à l’essence, au GPL ou au GN/biométhane, le véhicule doit être préconditionné une nouvelle fois avant le test sur le deuxième carburant gazeux de référence. Entre les essais réalisés avec le premier carburant gazeux de référence puis avec le deuxième carburant gazeux de référence, pour les véhicules à allumage commandé alimentés au GPL ou au GN/biométhane, ou équipés de façon à pouvoir être alimentés à l’essence, au GPL ou au GN/biométhane, le véhicule doit être préconditionné une nouvelle fois.</w:t>
      </w:r>
    </w:p>
    <w:p w:rsidR="00E24DB7" w:rsidRPr="002C5876" w:rsidRDefault="00E24DB7" w:rsidP="00E24DB7">
      <w:pPr>
        <w:pStyle w:val="SingleTxtG"/>
        <w:keepNext/>
        <w:ind w:left="2268" w:hanging="1134"/>
        <w:jc w:val="left"/>
      </w:pPr>
      <w:r w:rsidRPr="002C5876">
        <w:t>2.6.2</w:t>
      </w:r>
      <w:r w:rsidRPr="002C5876">
        <w:tab/>
        <w:t>Chambre d’essai</w:t>
      </w:r>
    </w:p>
    <w:p w:rsidR="00E24DB7" w:rsidRPr="002C5876" w:rsidRDefault="00E24DB7" w:rsidP="00E24DB7">
      <w:pPr>
        <w:pStyle w:val="SingleTxtG"/>
        <w:keepNext/>
        <w:ind w:left="2268" w:hanging="1134"/>
        <w:jc w:val="left"/>
      </w:pPr>
      <w:r w:rsidRPr="002C5876">
        <w:t>2.6.2.1</w:t>
      </w:r>
      <w:r w:rsidRPr="002C5876">
        <w:tab/>
        <w:t>Température</w:t>
      </w:r>
    </w:p>
    <w:p w:rsidR="00E24DB7" w:rsidRPr="002C5876" w:rsidRDefault="00E24DB7" w:rsidP="00E24DB7">
      <w:pPr>
        <w:pStyle w:val="SingleTxtG"/>
        <w:ind w:left="2268"/>
      </w:pPr>
      <w:r w:rsidRPr="002C5876">
        <w:tab/>
        <w:t>Lors du préconditionnement, la température de la chambre d’essai doit être la même que celle fixée pour l’essai de type 1 (par. 2.2.2.1.1 de la présente annexe).</w:t>
      </w:r>
    </w:p>
    <w:p w:rsidR="00E24DB7" w:rsidRPr="002C5876" w:rsidRDefault="00E24DB7" w:rsidP="00E24DB7">
      <w:pPr>
        <w:pStyle w:val="SingleTxtG"/>
        <w:keepNext/>
        <w:ind w:left="2268" w:hanging="1134"/>
        <w:jc w:val="left"/>
      </w:pPr>
      <w:r w:rsidRPr="002C5876">
        <w:t>2.6.2.2</w:t>
      </w:r>
      <w:r w:rsidRPr="002C5876">
        <w:tab/>
        <w:t>Mesures des concentrations ambiantes</w:t>
      </w:r>
    </w:p>
    <w:p w:rsidR="00E24DB7" w:rsidRPr="002C5876" w:rsidRDefault="00E24DB7" w:rsidP="00E24DB7">
      <w:pPr>
        <w:pStyle w:val="SingleTxtG"/>
        <w:ind w:left="2268"/>
      </w:pPr>
      <w:r w:rsidRPr="002C5876">
        <w:tab/>
        <w:t>Dans le cas d’une installation d’essai où les résultats des essais effectués sur un véhicule à faibles émissions de particules risqueraient d’être faussés par les résidus d’un essai précédent effectué sur un véhicule à fortes émissions de particules, il est recommandé d’effectuer, à titre de préconditionnement de l’équipement de prélèvement, un cycle d’essai en conditions stabilisées à 120 km/h pendant 20 min avec un véhicule à faibles émissions de particules. Ce cycle de préconditionnement peut être prolongé et/ou exécuté à une plus grande vitesse si nécessaire. S’il y a lieu, les mesures des concentrations ambiantes dans le tunnel de dilution doivent se faire après le préconditionnement du tunnel et avant tout essai ultérieur sur le véhicule.</w:t>
      </w:r>
    </w:p>
    <w:p w:rsidR="00E24DB7" w:rsidRPr="002C5876" w:rsidRDefault="00E24DB7" w:rsidP="00E24DB7">
      <w:pPr>
        <w:pStyle w:val="SingleTxtG"/>
        <w:keepNext/>
        <w:ind w:left="2268" w:hanging="1134"/>
        <w:jc w:val="left"/>
      </w:pPr>
      <w:r w:rsidRPr="002C5876">
        <w:t>2.6.3</w:t>
      </w:r>
      <w:r w:rsidRPr="002C5876">
        <w:tab/>
        <w:t>Procédure</w:t>
      </w:r>
    </w:p>
    <w:p w:rsidR="00E24DB7" w:rsidRPr="002C5876" w:rsidRDefault="00E24DB7" w:rsidP="00E24DB7">
      <w:pPr>
        <w:pStyle w:val="SingleTxtG"/>
        <w:ind w:left="2268" w:hanging="1134"/>
      </w:pPr>
      <w:r w:rsidRPr="002C5876">
        <w:t>2.6.3.1</w:t>
      </w:r>
      <w:r w:rsidRPr="002C5876">
        <w:tab/>
        <w:t>Le véhicule doit être conduit ou poussé sur le banc à rouleaux et soumis aux cycles d’essai WLTC applicables. Il ne doit pas nécessairement être froid et il peut être utilisé pour le réglage du banc.</w:t>
      </w:r>
    </w:p>
    <w:p w:rsidR="00E24DB7" w:rsidRPr="002C5876" w:rsidRDefault="00E24DB7" w:rsidP="00E24DB7">
      <w:pPr>
        <w:pStyle w:val="SingleTxtG"/>
        <w:ind w:left="2268" w:hanging="1134"/>
      </w:pPr>
      <w:r w:rsidRPr="002C5876">
        <w:t>2.6.3.2</w:t>
      </w:r>
      <w:r w:rsidRPr="002C5876">
        <w:tab/>
        <w:t>La force de résistance du dynamomètre doit être réglée conformément aux paragraphes 7 et 8 de l’annexe 4.</w:t>
      </w:r>
    </w:p>
    <w:p w:rsidR="00E24DB7" w:rsidRPr="002C5876" w:rsidRDefault="00E24DB7" w:rsidP="00E24DB7">
      <w:pPr>
        <w:pStyle w:val="SingleTxtG"/>
        <w:keepNext/>
        <w:ind w:left="2268" w:hanging="1134"/>
        <w:jc w:val="left"/>
      </w:pPr>
      <w:r w:rsidRPr="002C5876">
        <w:t>2.6.4</w:t>
      </w:r>
      <w:r w:rsidRPr="002C5876">
        <w:tab/>
        <w:t>Fonctionnement du véhicule</w:t>
      </w:r>
    </w:p>
    <w:p w:rsidR="00E24DB7" w:rsidRPr="002C5876" w:rsidRDefault="00E24DB7" w:rsidP="00E24DB7">
      <w:pPr>
        <w:pStyle w:val="SingleTxtG"/>
        <w:ind w:left="2268" w:hanging="1134"/>
      </w:pPr>
      <w:r w:rsidRPr="002C5876">
        <w:t>2.6.4.1</w:t>
      </w:r>
      <w:r w:rsidRPr="002C5876">
        <w:tab/>
        <w:t>La chaîne de traction doit être démarrée à l’aide des dispositifs prévus à cet effet et conformément aux instructions du constructeur.</w:t>
      </w:r>
    </w:p>
    <w:p w:rsidR="00E24DB7" w:rsidRPr="002C5876" w:rsidRDefault="00E24DB7" w:rsidP="00E24DB7">
      <w:pPr>
        <w:pStyle w:val="SingleTxtG"/>
        <w:ind w:left="2268"/>
      </w:pPr>
      <w:r w:rsidRPr="002C5876">
        <w:t>Sauf disposition contraire, un changement non initié par le véhicule de mode de fonctionnement pendant l’essai n’est pas autorisé.</w:t>
      </w:r>
    </w:p>
    <w:p w:rsidR="00E24DB7" w:rsidRPr="002C5876" w:rsidRDefault="00E24DB7" w:rsidP="00E24DB7">
      <w:pPr>
        <w:pStyle w:val="SingleTxtG"/>
        <w:ind w:left="2268" w:hanging="1134"/>
      </w:pPr>
      <w:r w:rsidRPr="002C5876">
        <w:t>2.6.4.1.1</w:t>
      </w:r>
      <w:r w:rsidRPr="002C5876">
        <w:tab/>
        <w:t>Si la chaîne de traction ne peut pas être mise en route, parce que le moteur ne démarre pas comme prévu par exemple ou si le véhicule affiche une erreur de démarrage, l’essai est annulé, le préconditionnement doit être répété et un nouvel essai doit être exécuté.</w:t>
      </w:r>
    </w:p>
    <w:p w:rsidR="00E24DB7" w:rsidRPr="002C5876" w:rsidRDefault="00E24DB7" w:rsidP="00E24DB7">
      <w:pPr>
        <w:pStyle w:val="SingleTxtG"/>
        <w:ind w:left="2268" w:hanging="1134"/>
      </w:pPr>
      <w:r w:rsidRPr="002C5876">
        <w:t>2.6.4.1.2</w:t>
      </w:r>
      <w:r w:rsidRPr="002C5876">
        <w:tab/>
        <w:t>En cas d’utilisation de GPL ou de GN/biométhane comme carburant, il est admis que le moteur démarre à l’essence puis passe automatiquement au GPL ou au GN/biométhane après un laps de temps prédéterminé qui ne peut pas être modifié par le conducteur. Ce laps de temps ne doit pas dépasser 60 s.</w:t>
      </w:r>
    </w:p>
    <w:p w:rsidR="00E24DB7" w:rsidRPr="002C5876" w:rsidRDefault="00E24DB7" w:rsidP="00E24DB7">
      <w:pPr>
        <w:pStyle w:val="SingleTxtG"/>
        <w:ind w:left="2268" w:hanging="1134"/>
      </w:pPr>
      <w:r w:rsidRPr="002C5876">
        <w:tab/>
        <w:t>Il est admis d’utiliser de l’essence uniquement, ou bien de l’essence et du gaz à la fois en mode gaz, sous réserve que la part du gaz représente plus de 80 % de la consommation totale d’énergie au cours de l’essai de type 1. Ce pourcentage est calculé selon la méthode exposée à l’appendice 3 de la présente annexe.</w:t>
      </w:r>
    </w:p>
    <w:p w:rsidR="00E24DB7" w:rsidRPr="002C5876" w:rsidRDefault="00E24DB7" w:rsidP="00E24DB7">
      <w:pPr>
        <w:pStyle w:val="SingleTxtG"/>
        <w:ind w:left="2268" w:hanging="1134"/>
      </w:pPr>
      <w:r w:rsidRPr="002C5876">
        <w:t>2.6.4.2</w:t>
      </w:r>
      <w:r w:rsidRPr="002C5876">
        <w:tab/>
        <w:t>Le cycle commence au début de la phase de démarrage de la chaîne de traction.</w:t>
      </w:r>
    </w:p>
    <w:p w:rsidR="00E24DB7" w:rsidRPr="002C5876" w:rsidRDefault="00E24DB7" w:rsidP="00E24DB7">
      <w:pPr>
        <w:pStyle w:val="SingleTxtG"/>
        <w:ind w:left="2268" w:hanging="1134"/>
      </w:pPr>
      <w:r w:rsidRPr="002C5876">
        <w:lastRenderedPageBreak/>
        <w:t>2.6.4.3</w:t>
      </w:r>
      <w:r w:rsidRPr="002C5876">
        <w:tab/>
      </w:r>
      <w:r w:rsidRPr="002C5876">
        <w:tab/>
        <w:t>Aux fins du préconditionnement, le cycle d’essai WLTC applicable doit être exécuté.</w:t>
      </w:r>
    </w:p>
    <w:p w:rsidR="00E24DB7" w:rsidRPr="002C5876" w:rsidRDefault="00E24DB7" w:rsidP="00E24DB7">
      <w:pPr>
        <w:pStyle w:val="SingleTxtG"/>
        <w:ind w:left="2268"/>
      </w:pPr>
      <w:r w:rsidRPr="002C5876">
        <w:tab/>
        <w:t>Si le constructeur ou l’autorité compétente en fait la demande, il est possible d’exécuter des cycles WLTC additionnels afin de stabiliser les paramètres du véhicule et de ses dispositifs antipollution.</w:t>
      </w:r>
    </w:p>
    <w:p w:rsidR="00E24DB7" w:rsidRPr="002C5876" w:rsidRDefault="00E24DB7" w:rsidP="00E24DB7">
      <w:pPr>
        <w:pStyle w:val="SingleTxtG"/>
        <w:ind w:left="2268"/>
      </w:pPr>
      <w:r w:rsidRPr="002C5876">
        <w:tab/>
        <w:t>L’autorité compétente doit consigner toutes les opérations de préconditionnement additionnelles.</w:t>
      </w:r>
    </w:p>
    <w:p w:rsidR="00E24DB7" w:rsidRPr="002C5876" w:rsidRDefault="00E24DB7" w:rsidP="00E24DB7">
      <w:pPr>
        <w:pStyle w:val="SingleTxtG"/>
        <w:keepNext/>
        <w:ind w:left="2268" w:hanging="1134"/>
        <w:jc w:val="left"/>
      </w:pPr>
      <w:r w:rsidRPr="002C5876">
        <w:t>2.6.4.4</w:t>
      </w:r>
      <w:r w:rsidRPr="002C5876">
        <w:tab/>
        <w:t>Accélérations</w:t>
      </w:r>
    </w:p>
    <w:p w:rsidR="00E24DB7" w:rsidRPr="002C5876" w:rsidRDefault="00E24DB7" w:rsidP="00E24DB7">
      <w:pPr>
        <w:pStyle w:val="SingleTxtG"/>
        <w:ind w:left="2268"/>
      </w:pPr>
      <w:r w:rsidRPr="002C5876">
        <w:tab/>
        <w:t>Le véhicule doit être conduit par manœuvre de l’accélérateur de manière à suivre fidèlement la courbe de vitesse.</w:t>
      </w:r>
    </w:p>
    <w:p w:rsidR="00E24DB7" w:rsidRPr="002C5876" w:rsidRDefault="00E24DB7" w:rsidP="00E24DB7">
      <w:pPr>
        <w:pStyle w:val="SingleTxtG"/>
        <w:ind w:left="2268"/>
      </w:pPr>
      <w:r w:rsidRPr="002C5876">
        <w:tab/>
        <w:t>Il doit être conduit avec souplesse, conformément à des vitesses et modes de changement de rapports représentatifs.</w:t>
      </w:r>
    </w:p>
    <w:p w:rsidR="00E24DB7" w:rsidRPr="002C5876" w:rsidRDefault="00E24DB7" w:rsidP="00E24DB7">
      <w:pPr>
        <w:pStyle w:val="SingleTxtG"/>
        <w:ind w:left="2268"/>
      </w:pPr>
      <w:r w:rsidRPr="002C5876">
        <w:tab/>
        <w:t>Dans le cas d’une transmission manuelle, l’accélérateur doit être relâché à chaque changement de rapports et ce dernier doit s’effectuer en un minimum de temps.</w:t>
      </w:r>
    </w:p>
    <w:p w:rsidR="00E24DB7" w:rsidRPr="002C5876" w:rsidRDefault="00E24DB7" w:rsidP="00E24DB7">
      <w:pPr>
        <w:pStyle w:val="SingleTxtG"/>
        <w:ind w:left="2268"/>
      </w:pPr>
      <w:r w:rsidRPr="002C5876">
        <w:tab/>
        <w:t xml:space="preserve">Si le véhicule ne peut pas suivre la courbe de vitesse, il doit être conduit à sa puissance maximale disponible jusqu’à ce qu’il atteigne à nouveau la vitesse visée. </w:t>
      </w:r>
    </w:p>
    <w:p w:rsidR="00E24DB7" w:rsidRPr="002C5876" w:rsidRDefault="00E24DB7" w:rsidP="00E24DB7">
      <w:pPr>
        <w:pStyle w:val="SingleTxtG"/>
        <w:keepNext/>
        <w:ind w:left="2268" w:hanging="1134"/>
        <w:jc w:val="left"/>
        <w:rPr>
          <w:szCs w:val="24"/>
          <w:lang w:eastAsia="de-DE"/>
        </w:rPr>
      </w:pPr>
      <w:r w:rsidRPr="002C5876">
        <w:rPr>
          <w:szCs w:val="24"/>
          <w:lang w:eastAsia="de-DE"/>
        </w:rPr>
        <w:t>2.6.4.5</w:t>
      </w:r>
      <w:r w:rsidRPr="002C5876">
        <w:rPr>
          <w:szCs w:val="24"/>
          <w:lang w:eastAsia="de-DE"/>
        </w:rPr>
        <w:tab/>
        <w:t>Décélérations</w:t>
      </w:r>
    </w:p>
    <w:p w:rsidR="00E24DB7" w:rsidRPr="002C5876" w:rsidRDefault="00E24DB7" w:rsidP="00E24DB7">
      <w:pPr>
        <w:pStyle w:val="SingleTxtG"/>
        <w:ind w:left="2268"/>
      </w:pPr>
      <w:r w:rsidRPr="002C5876">
        <w:tab/>
        <w:t>Durant les phases de décélération du cycle, le conducteur doit relâcher l’accélérateur mais ne doit pas débrayer jusqu’au point spécifié aux alinéas d), e) et f) du paragraphe 4 de l’annexe 2.</w:t>
      </w:r>
    </w:p>
    <w:p w:rsidR="00E24DB7" w:rsidRPr="002C5876" w:rsidRDefault="00E24DB7" w:rsidP="00E24DB7">
      <w:pPr>
        <w:pStyle w:val="SingleTxtG"/>
        <w:ind w:left="2268"/>
      </w:pPr>
      <w:r w:rsidRPr="002C5876">
        <w:tab/>
        <w:t>Si le véhicule ralentit plus rapidement que prescrit selon la courbe de vitesse, l’accélérateur doit être actionné de manière à suivre fidèlement cette dernière.</w:t>
      </w:r>
    </w:p>
    <w:p w:rsidR="00E24DB7" w:rsidRPr="002C5876" w:rsidRDefault="00E24DB7" w:rsidP="00E24DB7">
      <w:pPr>
        <w:pStyle w:val="SingleTxtG"/>
        <w:ind w:left="2268"/>
      </w:pPr>
      <w:r w:rsidRPr="002C5876">
        <w:tab/>
        <w:t>Si le véhicule ne ralentit pas assez rapidement pour suivre la courbe de décélération prévue, il convient d’actionner les freins de manière à suivre fidèlement la courbe de vitesse.</w:t>
      </w:r>
    </w:p>
    <w:p w:rsidR="00E24DB7" w:rsidRPr="002C5876" w:rsidRDefault="00E24DB7" w:rsidP="00E24DB7">
      <w:pPr>
        <w:pStyle w:val="SingleTxtG"/>
        <w:keepNext/>
        <w:ind w:left="2268" w:hanging="1134"/>
        <w:jc w:val="left"/>
        <w:rPr>
          <w:szCs w:val="24"/>
          <w:lang w:eastAsia="de-DE"/>
        </w:rPr>
      </w:pPr>
      <w:r w:rsidRPr="002C5876">
        <w:rPr>
          <w:szCs w:val="24"/>
          <w:lang w:eastAsia="de-DE"/>
        </w:rPr>
        <w:t>2.6.4.6</w:t>
      </w:r>
      <w:r w:rsidRPr="002C5876">
        <w:rPr>
          <w:szCs w:val="24"/>
          <w:lang w:eastAsia="de-DE"/>
        </w:rPr>
        <w:tab/>
        <w:t>Actionnement des freins</w:t>
      </w:r>
    </w:p>
    <w:p w:rsidR="00E24DB7" w:rsidRPr="002C5876" w:rsidRDefault="00E24DB7" w:rsidP="00E24DB7">
      <w:pPr>
        <w:pStyle w:val="SingleTxtG"/>
        <w:ind w:left="2268"/>
        <w:rPr>
          <w:szCs w:val="24"/>
          <w:lang w:eastAsia="de-DE"/>
        </w:rPr>
      </w:pPr>
      <w:r w:rsidRPr="002C5876">
        <w:rPr>
          <w:szCs w:val="24"/>
          <w:lang w:eastAsia="de-DE"/>
        </w:rPr>
        <w:tab/>
        <w:t>Durant les phases d’arrêt/de ralenti du véhicule, les freins doivent être actionnés avec suffisamment de force pour que les roues motrices ne tournent pas.</w:t>
      </w:r>
    </w:p>
    <w:p w:rsidR="00E24DB7" w:rsidRPr="002C5876" w:rsidRDefault="00E24DB7" w:rsidP="00E24DB7">
      <w:pPr>
        <w:pStyle w:val="SingleTxtG"/>
        <w:keepNext/>
        <w:ind w:left="2268" w:hanging="1134"/>
        <w:jc w:val="left"/>
        <w:rPr>
          <w:szCs w:val="24"/>
          <w:lang w:eastAsia="de-DE"/>
        </w:rPr>
      </w:pPr>
      <w:r w:rsidRPr="002C5876">
        <w:rPr>
          <w:szCs w:val="24"/>
          <w:lang w:eastAsia="de-DE"/>
        </w:rPr>
        <w:t>2.6.5</w:t>
      </w:r>
      <w:r w:rsidRPr="002C5876">
        <w:rPr>
          <w:szCs w:val="24"/>
          <w:lang w:eastAsia="de-DE"/>
        </w:rPr>
        <w:tab/>
        <w:t>Utilisation de la transmission</w:t>
      </w:r>
    </w:p>
    <w:p w:rsidR="00E24DB7" w:rsidRPr="002C5876" w:rsidRDefault="00E24DB7" w:rsidP="00E24DB7">
      <w:pPr>
        <w:pStyle w:val="SingleTxtG"/>
        <w:keepNext/>
        <w:ind w:left="2268" w:hanging="1134"/>
        <w:jc w:val="left"/>
        <w:rPr>
          <w:szCs w:val="24"/>
          <w:lang w:eastAsia="de-DE"/>
        </w:rPr>
      </w:pPr>
      <w:r w:rsidRPr="002C5876">
        <w:rPr>
          <w:szCs w:val="24"/>
          <w:lang w:eastAsia="de-DE"/>
        </w:rPr>
        <w:t>2.6.5.1</w:t>
      </w:r>
      <w:r w:rsidRPr="002C5876">
        <w:rPr>
          <w:szCs w:val="24"/>
          <w:lang w:eastAsia="de-DE"/>
        </w:rPr>
        <w:tab/>
        <w:t>Transmissions manuelles</w:t>
      </w:r>
    </w:p>
    <w:p w:rsidR="00E24DB7" w:rsidRPr="002C5876" w:rsidRDefault="00E24DB7" w:rsidP="00E24DB7">
      <w:pPr>
        <w:pStyle w:val="SingleTxtG"/>
        <w:keepNext/>
        <w:ind w:left="2268" w:hanging="1134"/>
        <w:rPr>
          <w:szCs w:val="24"/>
          <w:lang w:eastAsia="de-DE"/>
        </w:rPr>
      </w:pPr>
      <w:r w:rsidRPr="002C5876">
        <w:rPr>
          <w:szCs w:val="24"/>
          <w:lang w:eastAsia="de-DE"/>
        </w:rPr>
        <w:t>2.6.5.1.1</w:t>
      </w:r>
      <w:r w:rsidRPr="002C5876">
        <w:rPr>
          <w:szCs w:val="24"/>
          <w:lang w:eastAsia="de-DE"/>
        </w:rPr>
        <w:tab/>
        <w:t>Il convient de se conformer aux prescriptions de changement de rapports énoncées à l’annexe 2. Les véhicules soumis à des essais en application de l’annexe 8 doivent être conduits conformément au paragraphe 1.5 de ladite annexe.</w:t>
      </w:r>
    </w:p>
    <w:p w:rsidR="00E24DB7" w:rsidRPr="002C5876" w:rsidRDefault="00E24DB7" w:rsidP="00E24DB7">
      <w:pPr>
        <w:pStyle w:val="SingleTxtG"/>
        <w:ind w:left="2268" w:hanging="1134"/>
        <w:rPr>
          <w:szCs w:val="24"/>
          <w:lang w:eastAsia="de-DE"/>
        </w:rPr>
      </w:pPr>
      <w:r w:rsidRPr="002C5876">
        <w:rPr>
          <w:szCs w:val="24"/>
          <w:lang w:eastAsia="de-DE"/>
        </w:rPr>
        <w:t>2.6.5.1.2</w:t>
      </w:r>
      <w:r w:rsidRPr="002C5876">
        <w:rPr>
          <w:szCs w:val="24"/>
          <w:lang w:eastAsia="de-DE"/>
        </w:rPr>
        <w:tab/>
        <w:t xml:space="preserve">Le changement de rapports doit avoir lieu à </w:t>
      </w:r>
      <w:r w:rsidRPr="002C5876">
        <w:rPr>
          <w:szCs w:val="24"/>
          <w:lang w:eastAsia="de-DE"/>
        </w:rPr>
        <w:sym w:font="Symbol" w:char="F0B1"/>
      </w:r>
      <w:r w:rsidRPr="002C5876">
        <w:rPr>
          <w:szCs w:val="24"/>
          <w:lang w:eastAsia="de-DE"/>
        </w:rPr>
        <w:t>1,0 s du point de changement de rapport prescrit.</w:t>
      </w:r>
    </w:p>
    <w:p w:rsidR="00E24DB7" w:rsidRPr="002C5876" w:rsidRDefault="00E24DB7" w:rsidP="00E24DB7">
      <w:pPr>
        <w:pStyle w:val="SingleTxtG"/>
        <w:ind w:left="2268" w:hanging="1134"/>
        <w:rPr>
          <w:szCs w:val="24"/>
          <w:lang w:eastAsia="de-DE"/>
        </w:rPr>
      </w:pPr>
      <w:r w:rsidRPr="002C5876">
        <w:rPr>
          <w:szCs w:val="24"/>
          <w:lang w:eastAsia="de-DE"/>
        </w:rPr>
        <w:t>2.6.5.1.3</w:t>
      </w:r>
      <w:r w:rsidRPr="002C5876">
        <w:rPr>
          <w:szCs w:val="24"/>
          <w:lang w:eastAsia="de-DE"/>
        </w:rPr>
        <w:tab/>
        <w:t xml:space="preserve">La manœuvre de débrayage doit être effectuée à </w:t>
      </w:r>
      <w:r w:rsidRPr="002C5876">
        <w:rPr>
          <w:szCs w:val="24"/>
          <w:lang w:eastAsia="de-DE"/>
        </w:rPr>
        <w:sym w:font="Symbol" w:char="F0B1"/>
      </w:r>
      <w:r w:rsidRPr="002C5876">
        <w:rPr>
          <w:szCs w:val="24"/>
          <w:lang w:eastAsia="de-DE"/>
        </w:rPr>
        <w:t>1,0 s du point d’actionnement prescrit.</w:t>
      </w:r>
    </w:p>
    <w:p w:rsidR="00E24DB7" w:rsidRPr="002C5876" w:rsidRDefault="00E24DB7" w:rsidP="00E24DB7">
      <w:pPr>
        <w:pStyle w:val="SingleTxtG"/>
        <w:keepNext/>
        <w:ind w:left="2268" w:hanging="1134"/>
        <w:jc w:val="left"/>
        <w:rPr>
          <w:szCs w:val="24"/>
          <w:lang w:eastAsia="de-DE"/>
        </w:rPr>
      </w:pPr>
      <w:r w:rsidRPr="002C5876">
        <w:rPr>
          <w:szCs w:val="24"/>
          <w:lang w:eastAsia="de-DE"/>
        </w:rPr>
        <w:t>2.6.5.2</w:t>
      </w:r>
      <w:r w:rsidRPr="002C5876">
        <w:rPr>
          <w:szCs w:val="24"/>
          <w:lang w:eastAsia="de-DE"/>
        </w:rPr>
        <w:tab/>
        <w:t>Transmissions automatiques</w:t>
      </w:r>
    </w:p>
    <w:p w:rsidR="00E24DB7" w:rsidRPr="002C5876" w:rsidRDefault="00E24DB7" w:rsidP="00E24DB7">
      <w:pPr>
        <w:pStyle w:val="SingleTxtG"/>
        <w:ind w:left="2268" w:hanging="1134"/>
        <w:rPr>
          <w:szCs w:val="24"/>
          <w:lang w:eastAsia="de-DE"/>
        </w:rPr>
      </w:pPr>
      <w:r w:rsidRPr="002C5876">
        <w:rPr>
          <w:szCs w:val="24"/>
          <w:lang w:eastAsia="de-DE"/>
        </w:rPr>
        <w:t>2.6.5.2.1</w:t>
      </w:r>
      <w:r w:rsidRPr="002C5876">
        <w:rPr>
          <w:szCs w:val="24"/>
          <w:lang w:eastAsia="de-DE"/>
        </w:rPr>
        <w:tab/>
        <w:t xml:space="preserve">Après avoir été actionné initialement, le levier de sélection ne doit être actionné à aucun moment au cours de l’essai. L’actionnement initial doit être réalisé 1 s avant le début de la première accélération. </w:t>
      </w:r>
    </w:p>
    <w:p w:rsidR="00E24DB7" w:rsidRPr="002C5876" w:rsidRDefault="00E24DB7" w:rsidP="00E24DB7">
      <w:pPr>
        <w:pStyle w:val="SingleTxtG"/>
        <w:ind w:left="2268" w:hanging="1134"/>
        <w:rPr>
          <w:szCs w:val="24"/>
          <w:lang w:eastAsia="de-DE"/>
        </w:rPr>
      </w:pPr>
      <w:r w:rsidRPr="002C5876">
        <w:rPr>
          <w:szCs w:val="24"/>
          <w:lang w:eastAsia="de-DE"/>
        </w:rPr>
        <w:t>2.6.5.2.2</w:t>
      </w:r>
      <w:r w:rsidRPr="002C5876">
        <w:rPr>
          <w:szCs w:val="24"/>
          <w:lang w:eastAsia="de-DE"/>
        </w:rPr>
        <w:tab/>
        <w:t>Les véhicules à transmission automatique avec un mode manuel ne doivent pas être soumis aux essais en mode manuel.</w:t>
      </w:r>
    </w:p>
    <w:p w:rsidR="00E24DB7" w:rsidRPr="002C5876" w:rsidRDefault="00E24DB7" w:rsidP="00E24DB7">
      <w:pPr>
        <w:pStyle w:val="SingleTxtG"/>
        <w:keepNext/>
        <w:ind w:left="2268" w:hanging="1134"/>
        <w:jc w:val="left"/>
        <w:rPr>
          <w:szCs w:val="24"/>
          <w:lang w:eastAsia="de-DE"/>
        </w:rPr>
      </w:pPr>
      <w:r w:rsidRPr="002C5876">
        <w:rPr>
          <w:szCs w:val="24"/>
          <w:lang w:eastAsia="de-DE"/>
        </w:rPr>
        <w:lastRenderedPageBreak/>
        <w:t>2.6.6</w:t>
      </w:r>
      <w:r w:rsidRPr="002C5876">
        <w:rPr>
          <w:szCs w:val="24"/>
          <w:lang w:eastAsia="de-DE"/>
        </w:rPr>
        <w:tab/>
        <w:t>Modes de fonctionnement sélectionnables</w:t>
      </w:r>
    </w:p>
    <w:p w:rsidR="00E24DB7" w:rsidRPr="002C5876" w:rsidRDefault="00E24DB7" w:rsidP="00E24DB7">
      <w:pPr>
        <w:pStyle w:val="SingleTxtG"/>
        <w:ind w:left="2268" w:hanging="1134"/>
        <w:rPr>
          <w:sz w:val="14"/>
          <w:szCs w:val="24"/>
          <w:lang w:eastAsia="de-DE"/>
        </w:rPr>
      </w:pPr>
      <w:r w:rsidRPr="002C5876">
        <w:rPr>
          <w:szCs w:val="24"/>
          <w:lang w:eastAsia="de-DE"/>
        </w:rPr>
        <w:t>2.6.6.1</w:t>
      </w:r>
      <w:r w:rsidRPr="002C5876">
        <w:rPr>
          <w:szCs w:val="24"/>
          <w:lang w:eastAsia="de-DE"/>
        </w:rPr>
        <w:tab/>
        <w:t xml:space="preserve">Les véhicules équipés d’un mode prédominant doivent être essayés sur ce mode. </w:t>
      </w:r>
      <w:r w:rsidRPr="002C5876">
        <w:rPr>
          <w:color w:val="333333"/>
          <w:szCs w:val="26"/>
          <w:shd w:val="clear" w:color="auto" w:fill="FFFFFF"/>
        </w:rPr>
        <w:t>À la demande du constructeur, le véhicule peut aussi être soumis à l'essai dans le mode le plus défavorable pour les émissions de CO</w:t>
      </w:r>
      <w:r w:rsidRPr="002C5876">
        <w:rPr>
          <w:color w:val="333333"/>
          <w:sz w:val="14"/>
          <w:szCs w:val="19"/>
          <w:vertAlign w:val="subscript"/>
        </w:rPr>
        <w:t>2</w:t>
      </w:r>
      <w:r w:rsidRPr="002C5876">
        <w:rPr>
          <w:color w:val="333333"/>
          <w:szCs w:val="26"/>
          <w:shd w:val="clear" w:color="auto" w:fill="FFFFFF"/>
        </w:rPr>
        <w:t>.</w:t>
      </w:r>
    </w:p>
    <w:p w:rsidR="00E24DB7" w:rsidRPr="002C5876" w:rsidRDefault="00E24DB7" w:rsidP="00E24DB7">
      <w:pPr>
        <w:pStyle w:val="SingleTxtG"/>
        <w:ind w:left="2268" w:hanging="1134"/>
        <w:rPr>
          <w:szCs w:val="24"/>
          <w:lang w:eastAsia="de-DE"/>
        </w:rPr>
      </w:pPr>
      <w:r w:rsidRPr="002C5876">
        <w:rPr>
          <w:szCs w:val="24"/>
          <w:lang w:eastAsia="de-DE"/>
        </w:rPr>
        <w:t>2.6.6.2</w:t>
      </w:r>
      <w:r w:rsidRPr="002C5876">
        <w:rPr>
          <w:szCs w:val="24"/>
          <w:lang w:eastAsia="de-DE"/>
        </w:rPr>
        <w:tab/>
        <w:t>Le constructeur doit communiquer à l’autorité compétente les éléments prouvant l’existence d’un mode qui satisfait aux prescriptions du paragraphe 3.5.9 du présent RTM</w:t>
      </w:r>
      <w:r w:rsidR="004E07C9">
        <w:rPr>
          <w:szCs w:val="24"/>
          <w:lang w:eastAsia="de-DE"/>
        </w:rPr>
        <w:t xml:space="preserve"> ONU</w:t>
      </w:r>
      <w:r w:rsidRPr="002C5876">
        <w:rPr>
          <w:szCs w:val="24"/>
          <w:lang w:eastAsia="de-DE"/>
        </w:rPr>
        <w:t>. Avec l’accord de l’autorité compétente, le mode prédominant peut être utilisé comme le mode unique aux fins de la détermination des émissions de référence, des émissions de CO</w:t>
      </w:r>
      <w:r w:rsidRPr="002C5876">
        <w:rPr>
          <w:szCs w:val="24"/>
          <w:vertAlign w:val="subscript"/>
          <w:lang w:eastAsia="de-DE"/>
        </w:rPr>
        <w:t>2</w:t>
      </w:r>
      <w:r w:rsidRPr="002C5876">
        <w:rPr>
          <w:szCs w:val="24"/>
          <w:lang w:eastAsia="de-DE"/>
        </w:rPr>
        <w:t xml:space="preserve"> et de la consommation de carburant. </w:t>
      </w:r>
    </w:p>
    <w:p w:rsidR="00E24DB7" w:rsidRPr="002C5876" w:rsidRDefault="00E24DB7" w:rsidP="00E24DB7">
      <w:pPr>
        <w:pStyle w:val="SingleTxtG"/>
        <w:ind w:left="2268" w:hanging="1134"/>
        <w:rPr>
          <w:szCs w:val="24"/>
          <w:lang w:eastAsia="de-DE"/>
        </w:rPr>
      </w:pPr>
      <w:r w:rsidRPr="002C5876">
        <w:rPr>
          <w:szCs w:val="24"/>
          <w:lang w:eastAsia="de-DE"/>
        </w:rPr>
        <w:t>2.6.6.3</w:t>
      </w:r>
      <w:r w:rsidRPr="002C5876">
        <w:rPr>
          <w:szCs w:val="24"/>
          <w:lang w:eastAsia="de-DE"/>
        </w:rPr>
        <w:tab/>
        <w:t>Si le véhicule n’a pas de mode prédominant ou si le mode prédominant demandé n’est pas accepté comme tel par l’autorité compétente, le véhicule doit être soumis à un essai dans le mode correspondant au cas le plus favorable et dans le mode correspondant au cas le plus défavorable pour les émissions de référence, les émissions de CO</w:t>
      </w:r>
      <w:r w:rsidRPr="002C5876">
        <w:rPr>
          <w:szCs w:val="24"/>
          <w:vertAlign w:val="subscript"/>
          <w:lang w:eastAsia="de-DE"/>
        </w:rPr>
        <w:t>2</w:t>
      </w:r>
      <w:r w:rsidRPr="002C5876">
        <w:rPr>
          <w:szCs w:val="24"/>
          <w:lang w:eastAsia="de-DE"/>
        </w:rPr>
        <w:t xml:space="preserve"> et la consommation de carburant. Le cas le plus favorable et le cas le plus défavorable sont identifiés en fonction des éléments probants communiqués sur les émissions de CO</w:t>
      </w:r>
      <w:r w:rsidRPr="002C5876">
        <w:rPr>
          <w:szCs w:val="24"/>
          <w:vertAlign w:val="subscript"/>
          <w:lang w:eastAsia="de-DE"/>
        </w:rPr>
        <w:t>2</w:t>
      </w:r>
      <w:r w:rsidRPr="002C5876">
        <w:rPr>
          <w:szCs w:val="24"/>
          <w:lang w:eastAsia="de-DE"/>
        </w:rPr>
        <w:t xml:space="preserve"> et la consommation de carburant dans tous les modes. Les résultats de la mesure des émissions de CO</w:t>
      </w:r>
      <w:r w:rsidRPr="002C5876">
        <w:rPr>
          <w:szCs w:val="24"/>
          <w:vertAlign w:val="subscript"/>
          <w:lang w:eastAsia="de-DE"/>
        </w:rPr>
        <w:t>2</w:t>
      </w:r>
      <w:r w:rsidRPr="002C5876">
        <w:rPr>
          <w:szCs w:val="24"/>
          <w:lang w:eastAsia="de-DE"/>
        </w:rPr>
        <w:t xml:space="preserve"> et de la consommation de carburant doivent être obtenus par calcul de la moyenne arithmétique des deux modes. Ces résultats doivent être consignés.</w:t>
      </w:r>
    </w:p>
    <w:p w:rsidR="00E24DB7" w:rsidRPr="002C5876" w:rsidRDefault="00E24DB7" w:rsidP="00E24DB7">
      <w:pPr>
        <w:pStyle w:val="SingleTxtG"/>
        <w:ind w:left="2268"/>
        <w:rPr>
          <w:szCs w:val="24"/>
          <w:lang w:eastAsia="de-DE"/>
        </w:rPr>
      </w:pPr>
      <w:r w:rsidRPr="002C5876">
        <w:rPr>
          <w:color w:val="333333"/>
          <w:szCs w:val="26"/>
          <w:shd w:val="clear" w:color="auto" w:fill="FFFFFF"/>
        </w:rPr>
        <w:t>À la demande du constructeur, le véhicule peut aussi être soumis à l'essai avec le mode sélectionnable dans la position la plus défavorable pour les émissions de CO</w:t>
      </w:r>
      <w:r w:rsidRPr="002C5876">
        <w:rPr>
          <w:color w:val="333333"/>
          <w:sz w:val="14"/>
          <w:szCs w:val="19"/>
          <w:vertAlign w:val="subscript"/>
        </w:rPr>
        <w:t>2</w:t>
      </w:r>
      <w:r w:rsidRPr="002C5876">
        <w:rPr>
          <w:color w:val="333333"/>
        </w:rPr>
        <w:t>.</w:t>
      </w:r>
    </w:p>
    <w:p w:rsidR="00E24DB7" w:rsidRPr="002C5876" w:rsidRDefault="00E24DB7" w:rsidP="00E24DB7">
      <w:pPr>
        <w:pStyle w:val="SingleTxtG"/>
        <w:ind w:left="2268" w:hanging="1134"/>
        <w:rPr>
          <w:szCs w:val="24"/>
          <w:lang w:eastAsia="de-DE"/>
        </w:rPr>
      </w:pPr>
      <w:r w:rsidRPr="002C5876">
        <w:rPr>
          <w:szCs w:val="24"/>
          <w:lang w:eastAsia="de-DE"/>
        </w:rPr>
        <w:t>2.6.6.4</w:t>
      </w:r>
      <w:r w:rsidRPr="002C5876">
        <w:rPr>
          <w:szCs w:val="24"/>
          <w:lang w:eastAsia="de-DE"/>
        </w:rPr>
        <w:tab/>
        <w:t>Sur la base des éléments techniques probants présentés par le constructeur et avec l’accord de l’autorité compétente, les modes sélectionnables par le conducteur réservés à des fins limitées très spécifiques ne doivent pas être pris en compte (mode maintenance ou mode à chenilles par exemple). Tous les autres modes utilisés pour la conduite vers l’avant doivent être pris en compte et les limites des émissions de référence doivent être respectées dans tous ces modes.</w:t>
      </w:r>
    </w:p>
    <w:p w:rsidR="00E24DB7" w:rsidRPr="002C5876" w:rsidRDefault="00E24DB7" w:rsidP="00E24DB7">
      <w:pPr>
        <w:pStyle w:val="SingleTxtG"/>
        <w:ind w:left="2268" w:hanging="1134"/>
        <w:rPr>
          <w:szCs w:val="24"/>
          <w:lang w:eastAsia="de-DE"/>
        </w:rPr>
      </w:pPr>
      <w:r w:rsidRPr="002C5876">
        <w:rPr>
          <w:szCs w:val="24"/>
          <w:lang w:eastAsia="de-DE"/>
        </w:rPr>
        <w:t>2.6.6.5</w:t>
      </w:r>
      <w:r w:rsidRPr="002C5876">
        <w:rPr>
          <w:szCs w:val="24"/>
          <w:lang w:eastAsia="de-DE"/>
        </w:rPr>
        <w:tab/>
        <w:t>Les paragraphes 2.6.6.1 à 2.6.6.4 de la présente annexe s'appliquent à tous les systèmes embarqués à modes sélectionnables, y compris ceux qui ne concernent pas uniquement la transmission.</w:t>
      </w:r>
    </w:p>
    <w:p w:rsidR="00E24DB7" w:rsidRPr="002C5876" w:rsidRDefault="00E24DB7" w:rsidP="00E24DB7">
      <w:pPr>
        <w:pStyle w:val="SingleTxtG"/>
        <w:ind w:left="2268" w:hanging="1134"/>
        <w:rPr>
          <w:szCs w:val="24"/>
          <w:lang w:eastAsia="de-DE"/>
        </w:rPr>
      </w:pPr>
      <w:r w:rsidRPr="002C5876">
        <w:rPr>
          <w:szCs w:val="24"/>
          <w:lang w:eastAsia="de-DE"/>
        </w:rPr>
        <w:t>2.6.7</w:t>
      </w:r>
      <w:r w:rsidRPr="002C5876">
        <w:rPr>
          <w:szCs w:val="24"/>
          <w:lang w:eastAsia="de-DE"/>
        </w:rPr>
        <w:tab/>
      </w:r>
      <w:bookmarkStart w:id="191" w:name="_Hlk482777961"/>
      <w:r w:rsidRPr="002C5876">
        <w:rPr>
          <w:szCs w:val="24"/>
          <w:lang w:eastAsia="de-DE"/>
        </w:rPr>
        <w:t>Invalidation de l'essai du type 1 et fin de cycle</w:t>
      </w:r>
    </w:p>
    <w:bookmarkEnd w:id="191"/>
    <w:p w:rsidR="00E24DB7" w:rsidRPr="002C5876" w:rsidRDefault="00E24DB7" w:rsidP="00E24DB7">
      <w:pPr>
        <w:pStyle w:val="SingleTxtG"/>
        <w:ind w:left="2268"/>
        <w:rPr>
          <w:szCs w:val="24"/>
          <w:lang w:eastAsia="de-DE"/>
        </w:rPr>
      </w:pPr>
      <w:r w:rsidRPr="002C5876">
        <w:rPr>
          <w:szCs w:val="24"/>
          <w:lang w:eastAsia="de-DE"/>
        </w:rPr>
        <w:t>Si le moteur s’arrête de façon imprévue, le préconditionnement ou l’essai du type 1 est déclaré nul.</w:t>
      </w:r>
    </w:p>
    <w:p w:rsidR="00E24DB7" w:rsidRPr="002C5876" w:rsidRDefault="00E24DB7" w:rsidP="00E24DB7">
      <w:pPr>
        <w:pStyle w:val="SingleTxtG"/>
        <w:ind w:left="2268"/>
        <w:rPr>
          <w:szCs w:val="24"/>
          <w:lang w:eastAsia="de-DE"/>
        </w:rPr>
      </w:pPr>
      <w:r w:rsidRPr="002C5876">
        <w:rPr>
          <w:szCs w:val="24"/>
          <w:lang w:eastAsia="de-DE"/>
        </w:rPr>
        <w:t xml:space="preserve">Lorsque le cycle est terminé, le moteur doit être arrêté. Le véhicule ne doit </w:t>
      </w:r>
      <w:r w:rsidRPr="002C5876">
        <w:rPr>
          <w:spacing w:val="-3"/>
          <w:szCs w:val="24"/>
          <w:lang w:eastAsia="de-DE"/>
        </w:rPr>
        <w:t>pas être redémarré avant le début de l’essai pour lequel il a été préconditionné.</w:t>
      </w:r>
    </w:p>
    <w:p w:rsidR="00E24DB7" w:rsidRPr="002C5876" w:rsidRDefault="00E24DB7" w:rsidP="00E24DB7">
      <w:pPr>
        <w:pStyle w:val="SingleTxtG"/>
        <w:keepNext/>
        <w:ind w:left="2268" w:hanging="1134"/>
        <w:jc w:val="left"/>
        <w:rPr>
          <w:szCs w:val="24"/>
          <w:lang w:eastAsia="de-DE"/>
        </w:rPr>
      </w:pPr>
      <w:r w:rsidRPr="002C5876">
        <w:rPr>
          <w:szCs w:val="24"/>
          <w:lang w:eastAsia="de-DE"/>
        </w:rPr>
        <w:t>2.6.8</w:t>
      </w:r>
      <w:r w:rsidRPr="002C5876">
        <w:rPr>
          <w:szCs w:val="24"/>
          <w:lang w:eastAsia="de-DE"/>
        </w:rPr>
        <w:tab/>
        <w:t>Données requises et contrôle de la qualité</w:t>
      </w:r>
    </w:p>
    <w:p w:rsidR="00E24DB7" w:rsidRPr="002C5876" w:rsidRDefault="00E24DB7" w:rsidP="00E24DB7">
      <w:pPr>
        <w:pStyle w:val="SingleTxtG"/>
        <w:keepNext/>
        <w:ind w:left="2268" w:hanging="1134"/>
        <w:jc w:val="left"/>
        <w:rPr>
          <w:szCs w:val="24"/>
          <w:lang w:eastAsia="de-DE"/>
        </w:rPr>
      </w:pPr>
      <w:r w:rsidRPr="002C5876">
        <w:rPr>
          <w:szCs w:val="24"/>
          <w:lang w:eastAsia="de-DE"/>
        </w:rPr>
        <w:t>2.6.8.1</w:t>
      </w:r>
      <w:r w:rsidRPr="002C5876">
        <w:rPr>
          <w:szCs w:val="24"/>
          <w:lang w:eastAsia="de-DE"/>
        </w:rPr>
        <w:tab/>
        <w:t>Mesure de la vitesse</w:t>
      </w:r>
    </w:p>
    <w:p w:rsidR="00E24DB7" w:rsidRPr="002C5876" w:rsidRDefault="00E24DB7" w:rsidP="00E24DB7">
      <w:pPr>
        <w:pStyle w:val="SingleTxtG"/>
        <w:ind w:left="2268"/>
        <w:rPr>
          <w:szCs w:val="24"/>
          <w:lang w:eastAsia="de-DE"/>
        </w:rPr>
      </w:pPr>
      <w:r w:rsidRPr="002C5876">
        <w:rPr>
          <w:szCs w:val="24"/>
          <w:lang w:eastAsia="de-DE"/>
        </w:rPr>
        <w:tab/>
        <w:t>Lors du préconditionnement, la vitesse doit être mesurée par rapport au temps ou relevée par le système d’acquisition de données à une fréquence au moins égale à 1 Hz pour permettre son évaluation effective.</w:t>
      </w:r>
    </w:p>
    <w:p w:rsidR="00E24DB7" w:rsidRPr="002C5876" w:rsidRDefault="00E24DB7" w:rsidP="00E24DB7">
      <w:pPr>
        <w:pStyle w:val="SingleTxtG"/>
        <w:keepNext/>
        <w:ind w:left="2268" w:hanging="1134"/>
        <w:jc w:val="left"/>
        <w:rPr>
          <w:szCs w:val="24"/>
          <w:lang w:eastAsia="de-DE"/>
        </w:rPr>
      </w:pPr>
      <w:r w:rsidRPr="002C5876">
        <w:rPr>
          <w:szCs w:val="24"/>
          <w:lang w:eastAsia="de-DE"/>
        </w:rPr>
        <w:t>2.6.8.2</w:t>
      </w:r>
      <w:r w:rsidRPr="002C5876">
        <w:rPr>
          <w:szCs w:val="24"/>
          <w:lang w:eastAsia="de-DE"/>
        </w:rPr>
        <w:tab/>
        <w:t>Distance parcourue</w:t>
      </w:r>
    </w:p>
    <w:p w:rsidR="00E24DB7" w:rsidRPr="002C5876" w:rsidRDefault="00E24DB7" w:rsidP="00E24DB7">
      <w:pPr>
        <w:pStyle w:val="SingleTxtG"/>
        <w:ind w:left="2268"/>
        <w:rPr>
          <w:szCs w:val="24"/>
          <w:lang w:eastAsia="de-DE"/>
        </w:rPr>
      </w:pPr>
      <w:r w:rsidRPr="002C5876">
        <w:rPr>
          <w:szCs w:val="24"/>
          <w:lang w:eastAsia="de-DE"/>
        </w:rPr>
        <w:tab/>
        <w:t>La distance effectivement parcourue par le véhicule doit être enregistrée pour chaque phase du cycle WLTC.</w:t>
      </w:r>
    </w:p>
    <w:p w:rsidR="00E24DB7" w:rsidRPr="002C5876" w:rsidRDefault="00E24DB7" w:rsidP="00E24DB7">
      <w:pPr>
        <w:pStyle w:val="SingleTxtG"/>
        <w:keepNext/>
        <w:ind w:left="2268" w:hanging="1134"/>
        <w:jc w:val="left"/>
        <w:rPr>
          <w:szCs w:val="24"/>
          <w:lang w:eastAsia="de-DE"/>
        </w:rPr>
      </w:pPr>
      <w:r w:rsidRPr="002C5876">
        <w:rPr>
          <w:szCs w:val="24"/>
          <w:lang w:eastAsia="de-DE"/>
        </w:rPr>
        <w:t>2.6.8.3</w:t>
      </w:r>
      <w:r w:rsidRPr="002C5876">
        <w:rPr>
          <w:szCs w:val="24"/>
          <w:lang w:eastAsia="de-DE"/>
        </w:rPr>
        <w:tab/>
        <w:t>Tolérances par rapport à la courbe de vitesse</w:t>
      </w:r>
    </w:p>
    <w:p w:rsidR="00E24DB7" w:rsidRPr="002C5876" w:rsidRDefault="00E24DB7" w:rsidP="00E24DB7">
      <w:pPr>
        <w:pStyle w:val="SingleTxtG"/>
        <w:ind w:left="2268"/>
        <w:rPr>
          <w:szCs w:val="24"/>
          <w:lang w:eastAsia="de-DE"/>
        </w:rPr>
      </w:pPr>
      <w:r w:rsidRPr="002C5876">
        <w:t xml:space="preserve">Lorsqu’un véhicule n’est pas en mesure d’atteindre l’accélération et la vitesse maximale exigées pour le cycle WLTC applicable, l’essai est exécuté avec l’accélérateur à fond de course jusqu’à ce que la courbe prescrite soit rattrapée. Un écart par rapport à la courbe de vitesse dans ces conditions n’a pas pour </w:t>
      </w:r>
      <w:r w:rsidRPr="002C5876">
        <w:lastRenderedPageBreak/>
        <w:t>effet d’annuler l’essai. Les écarts par rapport au cycle de conduite doivent être enregistrés.</w:t>
      </w:r>
    </w:p>
    <w:p w:rsidR="00E24DB7" w:rsidRPr="002C5876" w:rsidRDefault="00E24DB7" w:rsidP="00886DBA">
      <w:pPr>
        <w:pStyle w:val="SingleTxtG"/>
        <w:keepNext/>
        <w:keepLines/>
        <w:ind w:left="2268"/>
        <w:rPr>
          <w:szCs w:val="24"/>
          <w:lang w:eastAsia="de-DE"/>
        </w:rPr>
      </w:pPr>
      <w:r w:rsidRPr="002C5876">
        <w:rPr>
          <w:szCs w:val="24"/>
          <w:lang w:eastAsia="de-DE"/>
        </w:rPr>
        <w:t>Les tolérances ne doivent pas être visibles pour le conducteur :</w:t>
      </w:r>
    </w:p>
    <w:p w:rsidR="00E24DB7" w:rsidRPr="002C5876" w:rsidRDefault="00E24DB7" w:rsidP="00E24DB7">
      <w:pPr>
        <w:pStyle w:val="SingleTxtG"/>
        <w:ind w:left="2835" w:hanging="567"/>
        <w:rPr>
          <w:szCs w:val="24"/>
          <w:lang w:eastAsia="de-DE"/>
        </w:rPr>
      </w:pPr>
      <w:r w:rsidRPr="002C5876">
        <w:rPr>
          <w:szCs w:val="24"/>
          <w:lang w:eastAsia="de-DE"/>
        </w:rPr>
        <w:t>a)</w:t>
      </w:r>
      <w:r w:rsidRPr="002C5876">
        <w:rPr>
          <w:szCs w:val="24"/>
          <w:lang w:eastAsia="de-DE"/>
        </w:rPr>
        <w:tab/>
        <w:t xml:space="preserve">Limite supérieure : 2,0 km/h au-dessus de la courbe à </w:t>
      </w:r>
      <w:r w:rsidRPr="002C5876">
        <w:rPr>
          <w:szCs w:val="24"/>
          <w:lang w:eastAsia="de-DE"/>
        </w:rPr>
        <w:sym w:font="Symbol" w:char="F0B1"/>
      </w:r>
      <w:r w:rsidRPr="002C5876">
        <w:rPr>
          <w:szCs w:val="24"/>
          <w:lang w:eastAsia="de-DE"/>
        </w:rPr>
        <w:t>1,0 s de l’instant donné ;</w:t>
      </w:r>
    </w:p>
    <w:p w:rsidR="00E24DB7" w:rsidRPr="002C5876" w:rsidRDefault="00E24DB7" w:rsidP="00E24DB7">
      <w:pPr>
        <w:pStyle w:val="SingleTxtG"/>
        <w:ind w:left="2835" w:hanging="567"/>
        <w:rPr>
          <w:szCs w:val="24"/>
          <w:lang w:eastAsia="de-DE"/>
        </w:rPr>
      </w:pPr>
      <w:r w:rsidRPr="002C5876">
        <w:rPr>
          <w:szCs w:val="24"/>
          <w:lang w:eastAsia="de-DE"/>
        </w:rPr>
        <w:t>b)</w:t>
      </w:r>
      <w:r w:rsidRPr="002C5876">
        <w:rPr>
          <w:szCs w:val="24"/>
          <w:lang w:eastAsia="de-DE"/>
        </w:rPr>
        <w:tab/>
        <w:t xml:space="preserve">Limite inférieure : 2,0 km/h au-dessous de la courbe à </w:t>
      </w:r>
      <w:r w:rsidRPr="002C5876">
        <w:rPr>
          <w:szCs w:val="24"/>
          <w:lang w:eastAsia="de-DE"/>
        </w:rPr>
        <w:sym w:font="Symbol" w:char="F0B1"/>
      </w:r>
      <w:r w:rsidRPr="002C5876">
        <w:rPr>
          <w:szCs w:val="24"/>
          <w:lang w:eastAsia="de-DE"/>
        </w:rPr>
        <w:t>1,0 s de l’instant donné.</w:t>
      </w:r>
    </w:p>
    <w:p w:rsidR="00E24DB7" w:rsidRPr="002C5876" w:rsidRDefault="00E24DB7" w:rsidP="00E24DB7">
      <w:pPr>
        <w:pStyle w:val="SingleTxtG"/>
        <w:ind w:left="2268"/>
        <w:rPr>
          <w:szCs w:val="24"/>
          <w:lang w:eastAsia="de-DE"/>
        </w:rPr>
      </w:pPr>
      <w:r w:rsidRPr="002C5876">
        <w:rPr>
          <w:szCs w:val="24"/>
          <w:lang w:eastAsia="de-DE"/>
        </w:rPr>
        <w:t>Voir la figure A6/2.</w:t>
      </w:r>
    </w:p>
    <w:p w:rsidR="00E24DB7" w:rsidRPr="002C5876" w:rsidRDefault="00E24DB7" w:rsidP="00E24DB7">
      <w:pPr>
        <w:pStyle w:val="SingleTxtG"/>
        <w:ind w:left="2268"/>
        <w:rPr>
          <w:szCs w:val="24"/>
          <w:lang w:eastAsia="de-DE"/>
        </w:rPr>
      </w:pPr>
      <w:r w:rsidRPr="002C5876">
        <w:rPr>
          <w:szCs w:val="24"/>
          <w:lang w:eastAsia="de-DE"/>
        </w:rPr>
        <w:t xml:space="preserve">Les écarts de vitesse supérieurs aux valeurs prescrites sont admis à condition que leur durée ne dépasse jamais 1 s. </w:t>
      </w:r>
    </w:p>
    <w:p w:rsidR="00E24DB7" w:rsidRPr="002C5876" w:rsidRDefault="00E24DB7" w:rsidP="00E24DB7">
      <w:pPr>
        <w:pStyle w:val="SingleTxtG"/>
        <w:ind w:left="2268"/>
        <w:rPr>
          <w:szCs w:val="24"/>
          <w:lang w:eastAsia="de-DE"/>
        </w:rPr>
      </w:pPr>
      <w:r w:rsidRPr="002C5876">
        <w:rPr>
          <w:szCs w:val="24"/>
          <w:lang w:eastAsia="de-DE"/>
        </w:rPr>
        <w:t>Le nombre d’écarts de vitesse par essai ne doit pas dépasser 10.</w:t>
      </w:r>
    </w:p>
    <w:p w:rsidR="00E24DB7" w:rsidRPr="002C5876" w:rsidRDefault="00E24DB7" w:rsidP="00E24DB7">
      <w:pPr>
        <w:pStyle w:val="H23G"/>
      </w:pPr>
      <w:r w:rsidRPr="002C5876">
        <w:rPr>
          <w:b w:val="0"/>
        </w:rPr>
        <w:tab/>
      </w:r>
      <w:r w:rsidRPr="002C5876">
        <w:rPr>
          <w:b w:val="0"/>
        </w:rPr>
        <w:tab/>
        <w:t>Figure A6/2</w:t>
      </w:r>
      <w:r w:rsidRPr="002C5876">
        <w:br/>
        <w:t>Tolérances par rapport à la courbe de vitesse</w:t>
      </w:r>
    </w:p>
    <w:p w:rsidR="00E24DB7" w:rsidRPr="002C5876" w:rsidRDefault="00E24DB7" w:rsidP="00E24DB7">
      <w:pPr>
        <w:ind w:left="1134"/>
      </w:pPr>
      <w:bookmarkStart w:id="192" w:name="_MON_1455525426"/>
      <w:bookmarkEnd w:id="192"/>
      <w:r w:rsidRPr="002C5876">
        <w:rPr>
          <w:noProof/>
          <w:lang w:val="en-GB" w:eastAsia="zh-CN"/>
        </w:rPr>
        <w:drawing>
          <wp:inline distT="0" distB="0" distL="0" distR="0" wp14:anchorId="2F6126E1" wp14:editId="3D1D5430">
            <wp:extent cx="5400000" cy="3475570"/>
            <wp:effectExtent l="0" t="0" r="0" b="0"/>
            <wp:docPr id="1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400000" cy="3475570"/>
                    </a:xfrm>
                    <a:prstGeom prst="rect">
                      <a:avLst/>
                    </a:prstGeom>
                    <a:noFill/>
                    <a:ln>
                      <a:noFill/>
                    </a:ln>
                  </pic:spPr>
                </pic:pic>
              </a:graphicData>
            </a:graphic>
          </wp:inline>
        </w:drawing>
      </w:r>
    </w:p>
    <w:p w:rsidR="00E24DB7" w:rsidRPr="002C5876" w:rsidRDefault="00E24DB7" w:rsidP="00E24DB7">
      <w:pPr>
        <w:pStyle w:val="SingleTxtG"/>
        <w:keepNext/>
        <w:spacing w:before="240"/>
        <w:ind w:left="2268" w:hanging="1134"/>
        <w:jc w:val="left"/>
      </w:pPr>
      <w:r w:rsidRPr="002C5876">
        <w:t>2.7</w:t>
      </w:r>
      <w:r w:rsidRPr="002C5876">
        <w:tab/>
        <w:t>Stabilisation à chaud</w:t>
      </w:r>
    </w:p>
    <w:p w:rsidR="00E24DB7" w:rsidRPr="002C5876" w:rsidRDefault="00E24DB7" w:rsidP="00E24DB7">
      <w:pPr>
        <w:pStyle w:val="SingleTxtG"/>
        <w:ind w:left="2268" w:hanging="1134"/>
      </w:pPr>
      <w:r w:rsidRPr="002C5876">
        <w:t>2.7.1</w:t>
      </w:r>
      <w:r w:rsidRPr="002C5876">
        <w:tab/>
        <w:t>À la suite du préconditionnement et avant les essais, le véhicule d’essai doit être maintenu en un lieu où les conditions ambiantes correspondent à celles spécifiées au paragraphe 2.2.2.2 de la présente annexe.</w:t>
      </w:r>
    </w:p>
    <w:p w:rsidR="00E24DB7" w:rsidRPr="002C5876" w:rsidRDefault="00E24DB7" w:rsidP="00E24DB7">
      <w:pPr>
        <w:pStyle w:val="SingleTxtG"/>
        <w:keepLines/>
        <w:ind w:left="2268" w:hanging="1134"/>
      </w:pPr>
      <w:r w:rsidRPr="002C5876">
        <w:t>2.7.2</w:t>
      </w:r>
      <w:r w:rsidRPr="002C5876">
        <w:tab/>
        <w:t>Le véhicule doit être stabilisé à chaud durant 6 h au moins et 36 h au plus, le capot du compartiment moteur étant ouvert ou fermé. Sauf si ce cas est exclu par des prescriptions spécifiques s’appliquant au véhicule visé, le refroidissement peut être forcé jusqu’à la température de consigne. Si le refroidissement est accéléré au moyen de ventilateurs, ceux-ci doivent être placés de sorte que le refroidissement maximal du groupe motopropulseur, du moteur et du système de traitement aval des gaz d’échappement soit réparti de manière égale.</w:t>
      </w:r>
    </w:p>
    <w:p w:rsidR="00E24DB7" w:rsidRPr="002C5876" w:rsidRDefault="00E24DB7" w:rsidP="00E24DB7">
      <w:pPr>
        <w:pStyle w:val="SingleTxtG"/>
        <w:keepNext/>
        <w:ind w:left="2268" w:hanging="1134"/>
        <w:jc w:val="left"/>
      </w:pPr>
      <w:r w:rsidRPr="002C5876">
        <w:lastRenderedPageBreak/>
        <w:t>2.8</w:t>
      </w:r>
      <w:r w:rsidRPr="002C5876">
        <w:tab/>
        <w:t xml:space="preserve">Essai de mesure des émissions et de consommation de carburant </w:t>
      </w:r>
      <w:r w:rsidRPr="002C5876">
        <w:br/>
        <w:t>(essai de type 1)</w:t>
      </w:r>
    </w:p>
    <w:p w:rsidR="00E24DB7" w:rsidRPr="002C5876" w:rsidRDefault="00E24DB7" w:rsidP="00E24DB7">
      <w:pPr>
        <w:pStyle w:val="SingleTxtG"/>
        <w:ind w:left="2268" w:hanging="1134"/>
      </w:pPr>
      <w:r w:rsidRPr="002C5876">
        <w:t>2.8.1</w:t>
      </w:r>
      <w:r w:rsidRPr="002C5876">
        <w:tab/>
        <w:t>La température de la chambre d’essai au début de l’essai doit être de 23 °C </w:t>
      </w:r>
      <w:r w:rsidRPr="002C5876">
        <w:sym w:font="Symbol" w:char="F0B1"/>
      </w:r>
      <w:r w:rsidRPr="002C5876">
        <w:t xml:space="preserve">3 °C. La température de l’huile moteur et la température du liquide de refroidissement, s’il y en a un, doivent être de 23 °C </w:t>
      </w:r>
      <w:r w:rsidRPr="002C5876">
        <w:sym w:font="Symbol" w:char="F0B1"/>
      </w:r>
      <w:r w:rsidRPr="002C5876">
        <w:t>2 °C.</w:t>
      </w:r>
    </w:p>
    <w:p w:rsidR="00E24DB7" w:rsidRPr="002C5876" w:rsidRDefault="00E24DB7" w:rsidP="00E24DB7">
      <w:pPr>
        <w:pStyle w:val="SingleTxtG"/>
        <w:ind w:left="2268" w:hanging="1134"/>
      </w:pPr>
      <w:r w:rsidRPr="002C5876">
        <w:t>2.8.2</w:t>
      </w:r>
      <w:r w:rsidRPr="002C5876">
        <w:tab/>
        <w:t>Le véhicule d’essai doit être poussé pour le placer sur un banc à rouleaux.</w:t>
      </w:r>
    </w:p>
    <w:p w:rsidR="00E24DB7" w:rsidRPr="002C5876" w:rsidRDefault="00E24DB7" w:rsidP="00E24DB7">
      <w:pPr>
        <w:pStyle w:val="SingleTxtG"/>
        <w:ind w:left="2268" w:hanging="1134"/>
      </w:pPr>
      <w:r w:rsidRPr="002C5876">
        <w:t>2.8.2.1</w:t>
      </w:r>
      <w:r w:rsidRPr="002C5876">
        <w:tab/>
        <w:t>Les roues motrices du véhicule doivent être positionnées sur le banc sans que le moteur soit démarré.</w:t>
      </w:r>
    </w:p>
    <w:p w:rsidR="00E24DB7" w:rsidRPr="002C5876" w:rsidRDefault="00E24DB7" w:rsidP="00E24DB7">
      <w:pPr>
        <w:pStyle w:val="SingleTxtG"/>
        <w:ind w:left="2268" w:hanging="1134"/>
      </w:pPr>
      <w:r w:rsidRPr="002C5876">
        <w:t>2.8.2.2</w:t>
      </w:r>
      <w:r w:rsidRPr="002C5876">
        <w:tab/>
        <w:t>La pression des pneumatiques des roues motrices doit être réglée conformément aux dispositions du paragraphe 2.4.5 de la présente annexe.</w:t>
      </w:r>
    </w:p>
    <w:p w:rsidR="00E24DB7" w:rsidRPr="002C5876" w:rsidRDefault="00E24DB7" w:rsidP="00E24DB7">
      <w:pPr>
        <w:pStyle w:val="SingleTxtG"/>
        <w:ind w:left="2268" w:hanging="1134"/>
      </w:pPr>
      <w:r w:rsidRPr="002C5876">
        <w:t>2.8.2.3</w:t>
      </w:r>
      <w:r w:rsidRPr="002C5876">
        <w:tab/>
        <w:t>Le capot du compartiment moteur doit être fermé.</w:t>
      </w:r>
    </w:p>
    <w:p w:rsidR="00E24DB7" w:rsidRPr="002C5876" w:rsidRDefault="00E24DB7" w:rsidP="00E24DB7">
      <w:pPr>
        <w:pStyle w:val="SingleTxtG"/>
        <w:ind w:left="2268" w:hanging="1134"/>
      </w:pPr>
      <w:bookmarkStart w:id="193" w:name="OLE_LINK3"/>
      <w:r w:rsidRPr="002C5876">
        <w:t>2.8.2.4</w:t>
      </w:r>
      <w:r w:rsidRPr="002C5876">
        <w:tab/>
        <w:t>Un tuyau de raccordement doit être rattaché à la ou aux sortie(s) d’échappement du véhicule immédiatement avant le démarrage du moteur.</w:t>
      </w:r>
    </w:p>
    <w:bookmarkEnd w:id="193"/>
    <w:p w:rsidR="00E24DB7" w:rsidRPr="002C5876" w:rsidRDefault="00E24DB7" w:rsidP="00E24DB7">
      <w:pPr>
        <w:pStyle w:val="SingleTxtG"/>
        <w:keepNext/>
        <w:ind w:left="2268" w:hanging="1134"/>
        <w:jc w:val="left"/>
      </w:pPr>
      <w:r w:rsidRPr="002C5876">
        <w:t>2.8.3</w:t>
      </w:r>
      <w:r w:rsidRPr="002C5876">
        <w:tab/>
        <w:t xml:space="preserve">Démarrage de la chaîne de traction et conduite du véhicule </w:t>
      </w:r>
    </w:p>
    <w:p w:rsidR="00E24DB7" w:rsidRPr="002C5876" w:rsidRDefault="00E24DB7" w:rsidP="00E24DB7">
      <w:pPr>
        <w:pStyle w:val="SingleTxtG"/>
        <w:ind w:left="2268" w:hanging="1134"/>
      </w:pPr>
      <w:r w:rsidRPr="002C5876">
        <w:t>2.8.3.1</w:t>
      </w:r>
      <w:r w:rsidRPr="002C5876">
        <w:tab/>
        <w:t>La chaîne de traction doit être mise en route à l’aide des dispositifs prévus à cet effet et conformément aux instructions du constructeur.</w:t>
      </w:r>
    </w:p>
    <w:p w:rsidR="00E24DB7" w:rsidRPr="002C5876" w:rsidRDefault="00E24DB7" w:rsidP="00E24DB7">
      <w:pPr>
        <w:pStyle w:val="SingleTxtG"/>
        <w:ind w:left="2268" w:hanging="1134"/>
      </w:pPr>
      <w:r w:rsidRPr="002C5876">
        <w:t>2.8.3.2</w:t>
      </w:r>
      <w:r w:rsidRPr="002C5876">
        <w:tab/>
        <w:t>L’essai doit être exécuté comme indiqué aux paragraphes 2.6.4 à 2.6.7 de la présente annexe, selon le cycle WLTC applicable, comme spécifié dans l’annexe 1.</w:t>
      </w:r>
    </w:p>
    <w:p w:rsidR="00E24DB7" w:rsidRPr="002C5876" w:rsidRDefault="00E24DB7" w:rsidP="00E24DB7">
      <w:pPr>
        <w:pStyle w:val="SingleTxtG"/>
        <w:ind w:left="2268" w:hanging="1134"/>
      </w:pPr>
      <w:r w:rsidRPr="002C5876">
        <w:t>2.8.4</w:t>
      </w:r>
      <w:r w:rsidRPr="002C5876">
        <w:tab/>
        <w:t>Les données RCB doivent être mesurées pour chaque phase du cycle WLTC, comme indiqué dans l’appendice 2 de la présente annexe.</w:t>
      </w:r>
    </w:p>
    <w:p w:rsidR="00E24DB7" w:rsidRPr="002C5876" w:rsidRDefault="00E24DB7" w:rsidP="00E24DB7">
      <w:pPr>
        <w:pStyle w:val="SingleTxtG"/>
        <w:keepNext/>
        <w:ind w:left="2268" w:hanging="1134"/>
      </w:pPr>
      <w:r w:rsidRPr="002C5876">
        <w:t>2.8.5</w:t>
      </w:r>
      <w:r w:rsidRPr="002C5876">
        <w:tab/>
        <w:t>La vitesse réelle du véhicule est mesurée à une fréquence de 10 Hz et les index de la courbe d’essai décrits au paragraphe 7 de l’annexe 7 doivent être calculés et indiqués.</w:t>
      </w:r>
    </w:p>
    <w:p w:rsidR="00E24DB7" w:rsidRPr="002C5876" w:rsidRDefault="00E24DB7" w:rsidP="00E24DB7">
      <w:pPr>
        <w:pStyle w:val="SingleTxtG"/>
        <w:keepNext/>
        <w:ind w:left="2268" w:hanging="1134"/>
        <w:jc w:val="left"/>
      </w:pPr>
      <w:r w:rsidRPr="002C5876">
        <w:t>2.9</w:t>
      </w:r>
      <w:r w:rsidRPr="002C5876">
        <w:tab/>
        <w:t>Prélèvement des gaz</w:t>
      </w:r>
    </w:p>
    <w:p w:rsidR="00E24DB7" w:rsidRPr="002C5876" w:rsidRDefault="00E24DB7" w:rsidP="00E24DB7">
      <w:pPr>
        <w:pStyle w:val="SingleTxtG"/>
        <w:ind w:left="2268"/>
      </w:pPr>
      <w:r w:rsidRPr="002C5876">
        <w:t xml:space="preserve">Des échantillons de gaz doivent être collectés dans des sacs puis analysés à la fin de l’essai ou d’une phase de l’essai. Les échantillons peuvent également être analysés en continu et les valeurs intégrées sur tout le cycle. </w:t>
      </w:r>
    </w:p>
    <w:p w:rsidR="00E24DB7" w:rsidRPr="002C5876" w:rsidRDefault="00E24DB7" w:rsidP="00E24DB7">
      <w:pPr>
        <w:pStyle w:val="SingleTxtG"/>
        <w:ind w:left="2268" w:hanging="1134"/>
      </w:pPr>
      <w:r w:rsidRPr="002C5876">
        <w:t>2.9.1</w:t>
      </w:r>
      <w:r w:rsidRPr="002C5876">
        <w:tab/>
        <w:t>Les opérations suivantes doivent être effectuées avant chaque essai :</w:t>
      </w:r>
    </w:p>
    <w:p w:rsidR="00E24DB7" w:rsidRPr="002C5876" w:rsidRDefault="00E24DB7" w:rsidP="00E24DB7">
      <w:pPr>
        <w:pStyle w:val="SingleTxtG"/>
        <w:ind w:left="2268" w:hanging="1134"/>
      </w:pPr>
      <w:r w:rsidRPr="002C5876">
        <w:t>2.9.1.1</w:t>
      </w:r>
      <w:r w:rsidRPr="002C5876">
        <w:tab/>
        <w:t>Après avoir été purgés, les sacs de collecte doivent être rattachés aux dispositifs de prélèvement des gaz d’échappement dilués et de l’air de dilution ;</w:t>
      </w:r>
    </w:p>
    <w:p w:rsidR="00E24DB7" w:rsidRPr="002C5876" w:rsidRDefault="00E24DB7" w:rsidP="00E24DB7">
      <w:pPr>
        <w:pStyle w:val="SingleTxtG"/>
        <w:ind w:left="2268" w:hanging="1134"/>
      </w:pPr>
      <w:r w:rsidRPr="002C5876">
        <w:t>2.9.1.2</w:t>
      </w:r>
      <w:r w:rsidRPr="002C5876">
        <w:tab/>
        <w:t>Les appareils de mesure doivent être mis en marche conformément aux instructions du fabricant ;</w:t>
      </w:r>
    </w:p>
    <w:p w:rsidR="00E24DB7" w:rsidRPr="002C5876" w:rsidRDefault="00E24DB7" w:rsidP="00E24DB7">
      <w:pPr>
        <w:pStyle w:val="SingleTxtG"/>
        <w:ind w:left="2268" w:hanging="1134"/>
      </w:pPr>
      <w:r w:rsidRPr="002C5876">
        <w:t>2.9.1.3</w:t>
      </w:r>
      <w:r w:rsidRPr="002C5876">
        <w:tab/>
        <w:t>L’échangeur de chaleur CVS (s’il est installé) doit être préchauffé ou prérefroidi pour être ramené dans les limites de tolérance de température d’essai spécifiées au paragraphe 3.3.5.1 de l’annexe 5 ;</w:t>
      </w:r>
    </w:p>
    <w:p w:rsidR="00E24DB7" w:rsidRPr="002C5876" w:rsidRDefault="00E24DB7" w:rsidP="00E24DB7">
      <w:pPr>
        <w:pStyle w:val="SingleTxtG"/>
        <w:ind w:left="2268" w:hanging="1134"/>
      </w:pPr>
      <w:r w:rsidRPr="002C5876">
        <w:t>2.9.1.4</w:t>
      </w:r>
      <w:r w:rsidRPr="002C5876">
        <w:tab/>
        <w:t>Les éléments tels que les lignes de prélèvement, les filtres, les refroidisseurs et les pompes doivent être chauffés ou refroidis pour être ramenés à des températures de fonctionnement stabilisées ;</w:t>
      </w:r>
    </w:p>
    <w:p w:rsidR="00E24DB7" w:rsidRPr="002C5876" w:rsidRDefault="00E24DB7" w:rsidP="00E24DB7">
      <w:pPr>
        <w:pStyle w:val="SingleTxtG"/>
        <w:ind w:left="2268" w:hanging="1134"/>
      </w:pPr>
      <w:r w:rsidRPr="002C5876">
        <w:t>2.9.1.5</w:t>
      </w:r>
      <w:r w:rsidRPr="002C5876">
        <w:tab/>
        <w:t>Les débits CVS doivent être réglés conformément aux dispositions du paragraphe 3.3.4 de l’annexe 5. Les débits de prélèvement doivent être réglés aux niveaux appropriés ;</w:t>
      </w:r>
    </w:p>
    <w:p w:rsidR="00E24DB7" w:rsidRPr="002C5876" w:rsidRDefault="00E24DB7" w:rsidP="00E24DB7">
      <w:pPr>
        <w:pStyle w:val="SingleTxtG"/>
        <w:ind w:left="2268" w:hanging="1134"/>
      </w:pPr>
      <w:r w:rsidRPr="002C5876">
        <w:t>2.9.1.6</w:t>
      </w:r>
      <w:r w:rsidRPr="002C5876">
        <w:tab/>
        <w:t>Tous les dispositifs électroniques d’intégration doivent être mis à zéro et peuvent être remis à zéro avant le début d’une phase quelconque du cycle ;</w:t>
      </w:r>
    </w:p>
    <w:p w:rsidR="00E24DB7" w:rsidRPr="002C5876" w:rsidRDefault="00E24DB7" w:rsidP="00E24DB7">
      <w:pPr>
        <w:pStyle w:val="SingleTxtG"/>
        <w:ind w:left="2268" w:hanging="1134"/>
      </w:pPr>
      <w:r w:rsidRPr="002C5876">
        <w:t>2.9.1.7</w:t>
      </w:r>
      <w:r w:rsidRPr="002C5876">
        <w:tab/>
        <w:t xml:space="preserve">Pour tous les analyseurs de gaz en continu, il convient de sélectionner les gammes appropriées. Il est admis de changer de gamme lors d’un essai uniquement si le changement s’effectue avec modification de la plage à </w:t>
      </w:r>
      <w:r w:rsidRPr="002C5876">
        <w:lastRenderedPageBreak/>
        <w:t>laquelle s’applique la résolution numérique de l’appareil. Les gains des amplificateurs opérationnels analogiques d’un analyseur ne peuvent être modifiés au cours d’un essai ;</w:t>
      </w:r>
    </w:p>
    <w:p w:rsidR="00E24DB7" w:rsidRPr="002C5876" w:rsidRDefault="00E24DB7" w:rsidP="00E24DB7">
      <w:pPr>
        <w:pStyle w:val="SingleTxtG"/>
        <w:ind w:left="2268" w:hanging="1134"/>
      </w:pPr>
      <w:r w:rsidRPr="002C5876">
        <w:t>2.9.1.8</w:t>
      </w:r>
      <w:r w:rsidRPr="002C5876">
        <w:tab/>
        <w:t>Tous les analyseurs de gaz en continu doivent être mis à zéro et étalonnés à l’aide de gaz répondant aux prescriptions du paragraphe 6 de l’annexe 5.</w:t>
      </w:r>
    </w:p>
    <w:p w:rsidR="00E24DB7" w:rsidRPr="002C5876" w:rsidRDefault="00E24DB7" w:rsidP="00E24DB7">
      <w:pPr>
        <w:pStyle w:val="SingleTxtG"/>
        <w:keepNext/>
        <w:ind w:left="2268" w:hanging="1134"/>
        <w:jc w:val="left"/>
      </w:pPr>
      <w:r w:rsidRPr="002C5876">
        <w:t>2.10</w:t>
      </w:r>
      <w:r w:rsidRPr="002C5876">
        <w:tab/>
        <w:t>Prélèvement pour la détermination de la masse de particules</w:t>
      </w:r>
    </w:p>
    <w:p w:rsidR="00E24DB7" w:rsidRPr="002C5876" w:rsidRDefault="00E24DB7" w:rsidP="00E24DB7">
      <w:pPr>
        <w:pStyle w:val="SingleTxtG"/>
        <w:ind w:left="2268" w:hanging="1134"/>
      </w:pPr>
      <w:r w:rsidRPr="002C5876">
        <w:t>2.10.1</w:t>
      </w:r>
      <w:r w:rsidRPr="002C5876">
        <w:tab/>
        <w:t xml:space="preserve">Les opérations décrites aux paragraphes 2.10.1.1 à </w:t>
      </w:r>
      <w:r w:rsidRPr="002C5876">
        <w:rPr>
          <w:szCs w:val="24"/>
        </w:rPr>
        <w:t>2.10.1.2.2 de la présente annexe</w:t>
      </w:r>
      <w:r w:rsidRPr="002C5876">
        <w:t xml:space="preserve"> doivent être effectuées avant chaque essai.</w:t>
      </w:r>
    </w:p>
    <w:p w:rsidR="00E24DB7" w:rsidRPr="002C5876" w:rsidRDefault="00E24DB7" w:rsidP="00E24DB7">
      <w:pPr>
        <w:pStyle w:val="SingleTxtG"/>
        <w:keepNext/>
        <w:ind w:left="2268" w:hanging="1134"/>
        <w:jc w:val="left"/>
      </w:pPr>
      <w:r w:rsidRPr="002C5876">
        <w:t>2.10.1.1</w:t>
      </w:r>
      <w:r w:rsidRPr="002C5876">
        <w:tab/>
        <w:t xml:space="preserve">Sélection des filtres </w:t>
      </w:r>
    </w:p>
    <w:p w:rsidR="00E24DB7" w:rsidRPr="002C5876" w:rsidRDefault="00E24DB7" w:rsidP="00E24DB7">
      <w:pPr>
        <w:pStyle w:val="SingleTxtG"/>
        <w:ind w:left="2268"/>
      </w:pPr>
      <w:r w:rsidRPr="002C5876">
        <w:tab/>
        <w:t>Un filtre unique de collecte de particulat, sans filtre secondaire, doit être employé pour tout le cycle WLTC. Afin de prendre en compte les variations régionales du cycle, il est possible d’utiliser un filtre unique pour les trois premières phases et un filtre distinct pour la quatrième phase.</w:t>
      </w:r>
    </w:p>
    <w:p w:rsidR="00E24DB7" w:rsidRPr="002C5876" w:rsidRDefault="00E24DB7" w:rsidP="00E24DB7">
      <w:pPr>
        <w:pStyle w:val="SingleTxtG"/>
        <w:keepNext/>
        <w:ind w:left="2268" w:hanging="1134"/>
        <w:jc w:val="left"/>
      </w:pPr>
      <w:r w:rsidRPr="002C5876">
        <w:t>2.10.1.2</w:t>
      </w:r>
      <w:r w:rsidRPr="002C5876">
        <w:tab/>
        <w:t>Préparation du filtre</w:t>
      </w:r>
    </w:p>
    <w:p w:rsidR="00E24DB7" w:rsidRPr="002C5876" w:rsidRDefault="00E24DB7" w:rsidP="00E24DB7">
      <w:pPr>
        <w:pStyle w:val="SingleTxtG"/>
        <w:ind w:left="2268" w:hanging="1134"/>
      </w:pPr>
      <w:r w:rsidRPr="002C5876">
        <w:t>2.10.1.2.1</w:t>
      </w:r>
      <w:r w:rsidRPr="002C5876">
        <w:tab/>
        <w:t>Une heure au moins avant l’essai, le filtre doit être déposé dans une boîte de Pétri protégée contre la contamination par les poussières mais permettant l’échange d’air, et placé dans une chambre de pesée pour une période de stabilisation.</w:t>
      </w:r>
    </w:p>
    <w:p w:rsidR="00E24DB7" w:rsidRPr="002C5876" w:rsidRDefault="00E24DB7" w:rsidP="00E24DB7">
      <w:pPr>
        <w:pStyle w:val="SingleTxtG"/>
        <w:ind w:left="2268"/>
        <w:rPr>
          <w:bCs/>
        </w:rPr>
      </w:pPr>
      <w:r w:rsidRPr="002C5876">
        <w:t>À la fin de cette période, le filtre doit être pesé et sa tare enregistrée. Le filtre doit ensuite être stocké dans une boîte de Pétri fermée ou dans un porte-filtre scellé jusqu’à l’essai. Le filtre doit être utilisé dans les 8 h suivant son retrait de la chambre de pesée.</w:t>
      </w:r>
    </w:p>
    <w:p w:rsidR="00E24DB7" w:rsidRPr="002C5876" w:rsidRDefault="00E24DB7" w:rsidP="00E24DB7">
      <w:pPr>
        <w:pStyle w:val="SingleTxtG"/>
        <w:ind w:left="2268"/>
        <w:rPr>
          <w:bCs/>
        </w:rPr>
      </w:pPr>
      <w:r w:rsidRPr="002C5876">
        <w:t>Il doit être ramené dans la chambre de stabilisation dans l’heure suivant l’essai et doit être conditionné durant 1 h au moins avant d’être pesé.</w:t>
      </w:r>
    </w:p>
    <w:p w:rsidR="00E24DB7" w:rsidRPr="002C5876" w:rsidRDefault="00E24DB7" w:rsidP="00E24DB7">
      <w:pPr>
        <w:pStyle w:val="SingleTxtG"/>
        <w:ind w:left="2268" w:hanging="1134"/>
      </w:pPr>
      <w:r w:rsidRPr="002C5876">
        <w:t>2.10.1.2.2</w:t>
      </w:r>
      <w:r w:rsidRPr="002C5876">
        <w:tab/>
        <w:t>Le filtre de collecte des particules doit être placé précautionneusement dans le porte</w:t>
      </w:r>
      <w:r w:rsidRPr="002C5876">
        <w:noBreakHyphen/>
        <w:t xml:space="preserve">filtre. Il doit être manipulé avec des pinces uniquement. Toute manipulation brutale ou abrasive engendrera des erreurs sur le poids. En attendant la mesure, le porte-filtre doit être placé dans une ligne de prélèvement dans laquelle il n’y a aucune circulation d’air. </w:t>
      </w:r>
    </w:p>
    <w:p w:rsidR="00E24DB7" w:rsidRPr="002C5876" w:rsidRDefault="00E24DB7" w:rsidP="00E24DB7">
      <w:pPr>
        <w:pStyle w:val="SingleTxtG"/>
        <w:keepLines/>
        <w:ind w:left="2268" w:hanging="1134"/>
      </w:pPr>
      <w:r w:rsidRPr="002C5876">
        <w:t>2.10.1.2.3</w:t>
      </w:r>
      <w:r w:rsidRPr="002C5876">
        <w:tab/>
        <w:t xml:space="preserve">Il est recommandé de vérifier la microbalance au début de chaque session de pesage, dans les 24 h de la pesée de l’échantillon, au moyen d’un poids de référence de 100 mg environ. Après avoir pesé ce poids trois fois de suite, on consigne la valeur moyenne arithmétique. Si cette valeur moyenne arithmétique est à </w:t>
      </w:r>
      <w:r w:rsidRPr="002C5876">
        <w:sym w:font="Symbol" w:char="F0B1"/>
      </w:r>
      <w:r w:rsidRPr="002C5876">
        <w:t>5 µg près la même que celle obtenue lors de la précédente session de pesage, la session de pesage et la balance sont considérées comme valides.</w:t>
      </w:r>
    </w:p>
    <w:p w:rsidR="00E24DB7" w:rsidRPr="002C5876" w:rsidRDefault="00E24DB7" w:rsidP="00E24DB7">
      <w:pPr>
        <w:pStyle w:val="SingleTxtG"/>
        <w:keepNext/>
        <w:ind w:left="2268" w:hanging="1134"/>
        <w:jc w:val="left"/>
      </w:pPr>
      <w:r w:rsidRPr="002C5876">
        <w:t>2.11</w:t>
      </w:r>
      <w:r w:rsidRPr="002C5876">
        <w:tab/>
        <w:t>Mesure du nombre de particules (le cas échéant)</w:t>
      </w:r>
    </w:p>
    <w:p w:rsidR="00E24DB7" w:rsidRPr="002C5876" w:rsidRDefault="00E24DB7" w:rsidP="00E24DB7">
      <w:pPr>
        <w:pStyle w:val="SingleTxtG"/>
        <w:ind w:left="2268" w:hanging="1134"/>
      </w:pPr>
      <w:r w:rsidRPr="002C5876">
        <w:t>2.11.1</w:t>
      </w:r>
      <w:r w:rsidRPr="002C5876">
        <w:tab/>
        <w:t>Les opérations décrites aux paragraphes 2.11.1.1 et 2.11.1.2 de la présente annexe doivent être effectuées avant chaque essai :</w:t>
      </w:r>
    </w:p>
    <w:p w:rsidR="00E24DB7" w:rsidRPr="002C5876" w:rsidRDefault="00E24DB7" w:rsidP="00E24DB7">
      <w:pPr>
        <w:pStyle w:val="SingleTxtG"/>
        <w:ind w:left="2268" w:hanging="1134"/>
      </w:pPr>
      <w:r w:rsidRPr="002C5876">
        <w:t>2.11.1.1</w:t>
      </w:r>
      <w:r w:rsidRPr="002C5876">
        <w:tab/>
        <w:t>Le système de dilution et l’appareillage de mesure des particules doivent être mis en marche et préparés en vue de la collecte ;</w:t>
      </w:r>
    </w:p>
    <w:p w:rsidR="00E24DB7" w:rsidRPr="002C5876" w:rsidRDefault="00E24DB7" w:rsidP="00E24DB7">
      <w:pPr>
        <w:pStyle w:val="SingleTxtG"/>
        <w:keepNext/>
        <w:keepLines/>
        <w:ind w:left="2268" w:hanging="1134"/>
      </w:pPr>
      <w:r w:rsidRPr="002C5876">
        <w:t>2.11.1.2</w:t>
      </w:r>
      <w:r w:rsidRPr="002C5876">
        <w:tab/>
        <w:t>Le bon fonctionnement du compteur de particules (PNC) et des éléments VPR) du dispositif de collecte des particules doit être confirmé par application des procédures énumérées aux paragraphes 2.11.1.2.1 à 2.11.1.2.4 de la présente annexe.</w:t>
      </w:r>
    </w:p>
    <w:p w:rsidR="00E24DB7" w:rsidRPr="002C5876" w:rsidRDefault="00E24DB7" w:rsidP="00E24DB7">
      <w:pPr>
        <w:pStyle w:val="SingleTxtG"/>
        <w:ind w:left="2268" w:hanging="1134"/>
      </w:pPr>
      <w:r w:rsidRPr="002C5876">
        <w:t>2.11.1.2.1</w:t>
      </w:r>
      <w:r w:rsidRPr="002C5876">
        <w:tab/>
        <w:t>Un essai d’étanchéité, effectué au moyen d’un filtre suffisamment efficace placé à l’entrée du système de mesure du nombre de particules (comprenant le VPR et le PNC), doit donner une concentration mesurée inférieure à 0,5 particules par cm</w:t>
      </w:r>
      <w:r w:rsidRPr="002C5876">
        <w:rPr>
          <w:vertAlign w:val="superscript"/>
        </w:rPr>
        <w:t>3</w:t>
      </w:r>
      <w:r w:rsidRPr="002C5876">
        <w:t>.</w:t>
      </w:r>
    </w:p>
    <w:p w:rsidR="00E24DB7" w:rsidRPr="002C5876" w:rsidRDefault="00E24DB7" w:rsidP="00E24DB7">
      <w:pPr>
        <w:pStyle w:val="SingleTxtG"/>
        <w:ind w:left="2268" w:hanging="1134"/>
      </w:pPr>
      <w:r w:rsidRPr="002C5876">
        <w:t>2.11.1.2.2</w:t>
      </w:r>
      <w:r w:rsidRPr="002C5876">
        <w:tab/>
        <w:t xml:space="preserve">Chaque jour, un contrôle de zéro du PNC, effectué au moyen d’un filtre suffisamment efficace placé à l’entrée du PNC, doit donner une concentration </w:t>
      </w:r>
      <w:r w:rsidRPr="002C5876">
        <w:lastRenderedPageBreak/>
        <w:t>inférieure ou égale à 0,2 particules par cm</w:t>
      </w:r>
      <w:r w:rsidRPr="002C5876">
        <w:rPr>
          <w:vertAlign w:val="superscript"/>
        </w:rPr>
        <w:t>3</w:t>
      </w:r>
      <w:r w:rsidRPr="002C5876">
        <w:t>. Ce filtre une fois déposé, le PNC, lorsqu’il mesure de l’air ambiant, doit indiquer une concentration d’au moins 100 particules par cm</w:t>
      </w:r>
      <w:r w:rsidRPr="002C5876">
        <w:rPr>
          <w:vertAlign w:val="superscript"/>
        </w:rPr>
        <w:t>3</w:t>
      </w:r>
      <w:r w:rsidRPr="002C5876">
        <w:t>. Lorsqu’on remet le filtre en place, la concentration doit de nouveau être inférieure ou égale à 0,2 particules par cm</w:t>
      </w:r>
      <w:r w:rsidRPr="002C5876">
        <w:rPr>
          <w:vertAlign w:val="superscript"/>
        </w:rPr>
        <w:t>3</w:t>
      </w:r>
      <w:r w:rsidRPr="002C5876">
        <w:t>.</w:t>
      </w:r>
    </w:p>
    <w:p w:rsidR="00E24DB7" w:rsidRPr="002C5876" w:rsidRDefault="00E24DB7" w:rsidP="00E24DB7">
      <w:pPr>
        <w:pStyle w:val="SingleTxtG"/>
        <w:ind w:left="2268" w:hanging="1134"/>
      </w:pPr>
      <w:r w:rsidRPr="002C5876">
        <w:t>2.11.1.2.3</w:t>
      </w:r>
      <w:r w:rsidRPr="002C5876">
        <w:tab/>
        <w:t>Il doit être confirmé que le système de mesure indique que le tube d’évaporation, s’il fait partie de l’appareillage, a atteint sa température correcte de fonctionnement.</w:t>
      </w:r>
    </w:p>
    <w:p w:rsidR="00E24DB7" w:rsidRPr="002C5876" w:rsidRDefault="00E24DB7" w:rsidP="00E24DB7">
      <w:pPr>
        <w:pStyle w:val="SingleTxtG"/>
        <w:ind w:left="2268" w:hanging="1134"/>
      </w:pPr>
      <w:r w:rsidRPr="002C5876">
        <w:t>2.11.1.2.4</w:t>
      </w:r>
      <w:r w:rsidRPr="002C5876">
        <w:tab/>
        <w:t>Il doit être confirmé que le système de mesure indique que le dilueur PND</w:t>
      </w:r>
      <w:r w:rsidRPr="002C5876">
        <w:rPr>
          <w:vertAlign w:val="subscript"/>
        </w:rPr>
        <w:t>1</w:t>
      </w:r>
      <w:r w:rsidRPr="002C5876">
        <w:t xml:space="preserve"> a atteint sa température correcte de fonctionnement.</w:t>
      </w:r>
    </w:p>
    <w:p w:rsidR="00E24DB7" w:rsidRPr="002C5876" w:rsidRDefault="00E24DB7" w:rsidP="00E24DB7">
      <w:pPr>
        <w:pStyle w:val="SingleTxtG"/>
        <w:keepNext/>
        <w:ind w:left="2268" w:hanging="1134"/>
        <w:jc w:val="left"/>
      </w:pPr>
      <w:r w:rsidRPr="002C5876">
        <w:t>2.12</w:t>
      </w:r>
      <w:r w:rsidRPr="002C5876">
        <w:tab/>
        <w:t>Prélèvement d’échantillons au cours de l’essai</w:t>
      </w:r>
    </w:p>
    <w:p w:rsidR="00E24DB7" w:rsidRPr="002C5876" w:rsidRDefault="00E24DB7" w:rsidP="00E24DB7">
      <w:pPr>
        <w:pStyle w:val="SingleTxtG"/>
        <w:ind w:left="2268" w:hanging="1134"/>
      </w:pPr>
      <w:r w:rsidRPr="002C5876">
        <w:t>2.12.1</w:t>
      </w:r>
      <w:r w:rsidRPr="002C5876">
        <w:tab/>
        <w:t>Le système de dilution, les pompes de prélèvement et le système de collecte de données doivent être démarrés.</w:t>
      </w:r>
    </w:p>
    <w:p w:rsidR="00E24DB7" w:rsidRPr="002C5876" w:rsidRDefault="00E24DB7" w:rsidP="00E24DB7">
      <w:pPr>
        <w:pStyle w:val="SingleTxtG"/>
        <w:ind w:left="2268" w:hanging="1134"/>
      </w:pPr>
      <w:r w:rsidRPr="002C5876">
        <w:t>2.12.2</w:t>
      </w:r>
      <w:r w:rsidRPr="002C5876">
        <w:tab/>
        <w:t xml:space="preserve">Les appareils de prélèvement pour la mesure de la masse et, le cas échéant, du nombre de particules doivent être mis en marche. </w:t>
      </w:r>
    </w:p>
    <w:p w:rsidR="00E24DB7" w:rsidRPr="002C5876" w:rsidRDefault="00E24DB7" w:rsidP="00E24DB7">
      <w:pPr>
        <w:pStyle w:val="SingleTxtG"/>
        <w:ind w:left="2268" w:hanging="1134"/>
      </w:pPr>
      <w:r w:rsidRPr="002C5876">
        <w:t>2.12.3</w:t>
      </w:r>
      <w:r w:rsidRPr="002C5876">
        <w:tab/>
        <w:t>Le nombre de particules, le cas échéant, doit être mesuré en continu. La</w:t>
      </w:r>
      <w:r w:rsidR="00886DBA" w:rsidRPr="002C5876">
        <w:t> </w:t>
      </w:r>
      <w:r w:rsidRPr="002C5876">
        <w:t xml:space="preserve">valeur moyenne arithmétique de la concentration est déterminée par intégration des signaux de l’analyseur au cours de chaque phase. </w:t>
      </w:r>
    </w:p>
    <w:p w:rsidR="00E24DB7" w:rsidRPr="002C5876" w:rsidRDefault="00E24DB7" w:rsidP="00E24DB7">
      <w:pPr>
        <w:pStyle w:val="SingleTxtG"/>
        <w:ind w:left="2268" w:hanging="1134"/>
      </w:pPr>
      <w:r w:rsidRPr="002C5876">
        <w:t>2.12.4</w:t>
      </w:r>
      <w:r w:rsidRPr="002C5876">
        <w:tab/>
        <w:t>Le prélèvement commence avant ou au début de l’opération de démarrage de la chaîne de traction et se termine à la fin du cycle.</w:t>
      </w:r>
    </w:p>
    <w:p w:rsidR="00E24DB7" w:rsidRPr="002C5876" w:rsidRDefault="00E24DB7" w:rsidP="00E24DB7">
      <w:pPr>
        <w:pStyle w:val="SingleTxtG"/>
        <w:keepNext/>
        <w:ind w:left="2268" w:hanging="1134"/>
        <w:jc w:val="left"/>
      </w:pPr>
      <w:r w:rsidRPr="002C5876">
        <w:t>2.12.5</w:t>
      </w:r>
      <w:r w:rsidRPr="002C5876">
        <w:tab/>
        <w:t>Changement des sacs de collecte</w:t>
      </w:r>
    </w:p>
    <w:p w:rsidR="00E24DB7" w:rsidRPr="002C5876" w:rsidRDefault="00E24DB7" w:rsidP="00E24DB7">
      <w:pPr>
        <w:pStyle w:val="SingleTxtG"/>
        <w:keepNext/>
        <w:ind w:left="2268" w:hanging="1134"/>
        <w:jc w:val="left"/>
      </w:pPr>
      <w:r w:rsidRPr="002C5876">
        <w:t>2.12.5.1</w:t>
      </w:r>
      <w:r w:rsidRPr="002C5876">
        <w:tab/>
        <w:t>Émissions de gaz</w:t>
      </w:r>
    </w:p>
    <w:p w:rsidR="00E24DB7" w:rsidRPr="002C5876" w:rsidRDefault="00E24DB7" w:rsidP="00E24DB7">
      <w:pPr>
        <w:pStyle w:val="SingleTxtG"/>
        <w:ind w:left="2268"/>
      </w:pPr>
      <w:r w:rsidRPr="002C5876">
        <w:tab/>
        <w:t>Lors du prélèvement des gaz d’échappement dilués et de l’air de dilution, une paire de sacs de collecte peut être remplacée par une autre paire de sacs, si nécessaire, à la fin de chaque phase du cycle WLTC applicable.</w:t>
      </w:r>
    </w:p>
    <w:p w:rsidR="00E24DB7" w:rsidRPr="002C5876" w:rsidRDefault="00E24DB7" w:rsidP="00E24DB7">
      <w:pPr>
        <w:pStyle w:val="SingleTxtG"/>
        <w:keepNext/>
        <w:ind w:left="2268" w:hanging="1134"/>
        <w:jc w:val="left"/>
      </w:pPr>
      <w:r w:rsidRPr="002C5876">
        <w:t>2.12.5.2</w:t>
      </w:r>
      <w:r w:rsidRPr="002C5876">
        <w:tab/>
        <w:t>Particulat</w:t>
      </w:r>
    </w:p>
    <w:p w:rsidR="00E24DB7" w:rsidRPr="002C5876" w:rsidRDefault="00E24DB7" w:rsidP="00E24DB7">
      <w:pPr>
        <w:pStyle w:val="SingleTxtG"/>
        <w:ind w:left="2268"/>
      </w:pPr>
      <w:r w:rsidRPr="002C5876">
        <w:tab/>
        <w:t>Les prescriptions du paragraphe 2.10.1.1 de la présente annexe doivent être appliquées.</w:t>
      </w:r>
    </w:p>
    <w:p w:rsidR="00E24DB7" w:rsidRPr="002C5876" w:rsidRDefault="00E24DB7" w:rsidP="00E24DB7">
      <w:pPr>
        <w:pStyle w:val="SingleTxtG"/>
        <w:ind w:left="2268" w:hanging="1134"/>
      </w:pPr>
      <w:r w:rsidRPr="002C5876">
        <w:t>2.12.6</w:t>
      </w:r>
      <w:r w:rsidRPr="002C5876">
        <w:tab/>
        <w:t>La distance parcourue sur le banc à rouleaux doit être enregistrée pour chaque phase.</w:t>
      </w:r>
    </w:p>
    <w:p w:rsidR="00E24DB7" w:rsidRPr="002C5876" w:rsidRDefault="00E24DB7" w:rsidP="00E24DB7">
      <w:pPr>
        <w:pStyle w:val="SingleTxtG"/>
        <w:keepNext/>
        <w:ind w:left="2268" w:hanging="1134"/>
        <w:jc w:val="left"/>
      </w:pPr>
      <w:r w:rsidRPr="002C5876">
        <w:t>2.13</w:t>
      </w:r>
      <w:r w:rsidRPr="002C5876">
        <w:tab/>
        <w:t>Achèvement de l’essai</w:t>
      </w:r>
    </w:p>
    <w:p w:rsidR="00E24DB7" w:rsidRPr="002C5876" w:rsidRDefault="00E24DB7" w:rsidP="00E24DB7">
      <w:pPr>
        <w:pStyle w:val="SingleTxtG"/>
        <w:ind w:left="2268" w:hanging="1134"/>
      </w:pPr>
      <w:r w:rsidRPr="002C5876">
        <w:t>2.13.1</w:t>
      </w:r>
      <w:r w:rsidRPr="002C5876">
        <w:tab/>
        <w:t>Le moteur doit être arrêté immédiatement après la fin de la dernière partie de l’essai.</w:t>
      </w:r>
    </w:p>
    <w:p w:rsidR="00E24DB7" w:rsidRPr="002C5876" w:rsidRDefault="00E24DB7" w:rsidP="00E24DB7">
      <w:pPr>
        <w:pStyle w:val="SingleTxtG"/>
        <w:ind w:left="2268" w:hanging="1134"/>
      </w:pPr>
      <w:r w:rsidRPr="002C5876">
        <w:t>2.13.2</w:t>
      </w:r>
      <w:r w:rsidRPr="002C5876">
        <w:tab/>
        <w:t>Le dispositif de prélèvement à volume constant (CVS) ou tout autre dispositif d’aspiration doit être mis à l’arrêt, ou le tuyau de raccordement du ou des tuyaux d’échappement du véhicule doit être désaccouplé.</w:t>
      </w:r>
    </w:p>
    <w:p w:rsidR="00E24DB7" w:rsidRPr="002C5876" w:rsidRDefault="00E24DB7" w:rsidP="00E24DB7">
      <w:pPr>
        <w:pStyle w:val="SingleTxtG"/>
        <w:ind w:left="2268" w:hanging="1134"/>
      </w:pPr>
      <w:r w:rsidRPr="002C5876">
        <w:t>2.13.3</w:t>
      </w:r>
      <w:r w:rsidRPr="002C5876">
        <w:tab/>
        <w:t>Le véhicule peut être enlevé du banc à rouleaux.</w:t>
      </w:r>
    </w:p>
    <w:p w:rsidR="00E24DB7" w:rsidRPr="002C5876" w:rsidRDefault="00E24DB7" w:rsidP="00E24DB7">
      <w:pPr>
        <w:pStyle w:val="SingleTxtG"/>
        <w:keepNext/>
        <w:ind w:left="2268" w:hanging="1134"/>
        <w:jc w:val="left"/>
      </w:pPr>
      <w:bookmarkStart w:id="194" w:name="_Toc284586959"/>
      <w:bookmarkStart w:id="195" w:name="_Toc284587095"/>
      <w:bookmarkStart w:id="196" w:name="_Toc284587346"/>
      <w:bookmarkStart w:id="197" w:name="_Toc289686200"/>
      <w:r w:rsidRPr="002C5876">
        <w:t>2.14</w:t>
      </w:r>
      <w:r w:rsidRPr="002C5876">
        <w:tab/>
        <w:t>Procédures après essai</w:t>
      </w:r>
      <w:bookmarkStart w:id="198" w:name="_Toc284595031"/>
      <w:bookmarkEnd w:id="194"/>
      <w:bookmarkEnd w:id="195"/>
      <w:bookmarkEnd w:id="196"/>
      <w:bookmarkEnd w:id="197"/>
    </w:p>
    <w:p w:rsidR="00E24DB7" w:rsidRPr="002C5876" w:rsidRDefault="00E24DB7" w:rsidP="00E24DB7">
      <w:pPr>
        <w:pStyle w:val="SingleTxtG"/>
        <w:keepNext/>
        <w:ind w:left="2268" w:hanging="1134"/>
        <w:jc w:val="left"/>
      </w:pPr>
      <w:bookmarkStart w:id="199" w:name="_Toc284587096"/>
      <w:bookmarkStart w:id="200" w:name="_Toc284587347"/>
      <w:bookmarkEnd w:id="198"/>
      <w:r w:rsidRPr="002C5876">
        <w:t>2.14.1</w:t>
      </w:r>
      <w:r w:rsidRPr="002C5876">
        <w:tab/>
        <w:t>Vérification de l’analyseur de gaz</w:t>
      </w:r>
      <w:bookmarkEnd w:id="199"/>
      <w:bookmarkEnd w:id="200"/>
    </w:p>
    <w:p w:rsidR="00E24DB7" w:rsidRPr="002C5876" w:rsidRDefault="00E24DB7" w:rsidP="00E24DB7">
      <w:pPr>
        <w:pStyle w:val="SingleTxtG"/>
        <w:ind w:left="2268"/>
      </w:pPr>
      <w:r w:rsidRPr="002C5876">
        <w:tab/>
        <w:t>Les valeurs de mesure pour le gaz de zéro et le gaz d’étalonnage indiquées par les analyseurs utilisés pour les mesures en continu des éléments dilués doivent être vérifiées. Ce contrôle est considéré comme satisfaisant si l’écart entre les résultats avant essai et après essai est de moins de 2 % de la valeur d’étalonnage.</w:t>
      </w:r>
    </w:p>
    <w:p w:rsidR="00E24DB7" w:rsidRPr="002C5876" w:rsidRDefault="00E24DB7" w:rsidP="00E24DB7">
      <w:pPr>
        <w:pStyle w:val="SingleTxtG"/>
        <w:keepNext/>
        <w:ind w:left="2268" w:hanging="1134"/>
        <w:jc w:val="left"/>
      </w:pPr>
      <w:bookmarkStart w:id="201" w:name="_Toc284587098"/>
      <w:bookmarkStart w:id="202" w:name="_Toc284587349"/>
      <w:r w:rsidRPr="002C5876">
        <w:t>2.14.2</w:t>
      </w:r>
      <w:r w:rsidRPr="002C5876">
        <w:tab/>
        <w:t>Analyse des sacs</w:t>
      </w:r>
      <w:bookmarkEnd w:id="201"/>
      <w:bookmarkEnd w:id="202"/>
    </w:p>
    <w:p w:rsidR="00E24DB7" w:rsidRPr="002C5876" w:rsidRDefault="00E24DB7" w:rsidP="00E24DB7">
      <w:pPr>
        <w:pStyle w:val="SingleTxtG"/>
        <w:ind w:left="2268" w:hanging="1134"/>
      </w:pPr>
      <w:r w:rsidRPr="002C5876">
        <w:t>2.14.2.1</w:t>
      </w:r>
      <w:r w:rsidRPr="002C5876">
        <w:tab/>
        <w:t>Les gaz d’échappement et l’air de dilution contenus dans les sacs doivent être analysés dès que possible. Les gaz d’échappement doivent l’être, en tout état de cause, dans un délai maximal de 30 min après la fin de la phase du cycle d’essai.</w:t>
      </w:r>
    </w:p>
    <w:p w:rsidR="00E24DB7" w:rsidRPr="002C5876" w:rsidRDefault="00E24DB7" w:rsidP="00E24DB7">
      <w:pPr>
        <w:pStyle w:val="SingleTxtG"/>
        <w:ind w:left="2268"/>
      </w:pPr>
      <w:r w:rsidRPr="002C5876">
        <w:lastRenderedPageBreak/>
        <w:t>Il convient de tenir compte du délai de réactivité pour les composés contenus dans les sacs.</w:t>
      </w:r>
    </w:p>
    <w:p w:rsidR="00E24DB7" w:rsidRPr="002C5876" w:rsidRDefault="00E24DB7" w:rsidP="00E24DB7">
      <w:pPr>
        <w:pStyle w:val="SingleTxtG"/>
        <w:ind w:left="2268" w:hanging="1134"/>
      </w:pPr>
      <w:r w:rsidRPr="002C5876">
        <w:t>2.14.2.2</w:t>
      </w:r>
      <w:r w:rsidRPr="002C5876">
        <w:tab/>
        <w:t>Aussitôt que possible avant l’analyse d’échantillon, il faut exécuter la mise à zéro de l’analyseur sur la gamme à utiliser pour chaque composé avec le gaz de zéro qui convient.</w:t>
      </w:r>
    </w:p>
    <w:p w:rsidR="00E24DB7" w:rsidRPr="002C5876" w:rsidRDefault="00E24DB7" w:rsidP="00E24DB7">
      <w:pPr>
        <w:pStyle w:val="SingleTxtG"/>
        <w:ind w:left="2268" w:hanging="1134"/>
      </w:pPr>
      <w:r w:rsidRPr="002C5876">
        <w:t>2.14.2.3</w:t>
      </w:r>
      <w:r w:rsidRPr="002C5876">
        <w:tab/>
        <w:t>Les courbes de calibrage des analyseurs doivent être établies au moyen de gaz d’étalonnage ayant des concentrations nominales comprises entre 70 et 100 % de la pleine échelle pour la gamme considérée.</w:t>
      </w:r>
    </w:p>
    <w:p w:rsidR="00E24DB7" w:rsidRPr="002C5876" w:rsidRDefault="00E24DB7" w:rsidP="00E24DB7">
      <w:pPr>
        <w:pStyle w:val="SingleTxtG"/>
        <w:ind w:left="2268" w:hanging="1134"/>
      </w:pPr>
      <w:r w:rsidRPr="002C5876">
        <w:t>2.14.2.4</w:t>
      </w:r>
      <w:r w:rsidRPr="002C5876">
        <w:tab/>
        <w:t>Le zéro de l’analyseur doit ensuite être contrôlé de nouveau. Si la valeur lue s’écarte de plus de 2 % de la pleine échelle de la valeur obtenue lors du réglage prescrit au paragraphe 2.14.2.2 de la présente annexe, l’opération doit être répétée pour l’analyseur concerné.</w:t>
      </w:r>
    </w:p>
    <w:p w:rsidR="00E24DB7" w:rsidRPr="002C5876" w:rsidRDefault="00E24DB7" w:rsidP="00E24DB7">
      <w:pPr>
        <w:pStyle w:val="SingleTxtG"/>
        <w:ind w:left="2268" w:hanging="1134"/>
      </w:pPr>
      <w:r w:rsidRPr="002C5876">
        <w:t>2.14.2.5</w:t>
      </w:r>
      <w:r w:rsidRPr="002C5876">
        <w:tab/>
        <w:t>Les échantillons sont ensuite analysés.</w:t>
      </w:r>
    </w:p>
    <w:p w:rsidR="00E24DB7" w:rsidRPr="002C5876" w:rsidRDefault="00E24DB7" w:rsidP="00E24DB7">
      <w:pPr>
        <w:pStyle w:val="SingleTxtG"/>
        <w:ind w:left="2268" w:hanging="1134"/>
      </w:pPr>
      <w:r w:rsidRPr="002C5876">
        <w:t>2.14.2.6</w:t>
      </w:r>
      <w:r w:rsidRPr="002C5876">
        <w:tab/>
        <w:t>Après l’analyse, le zéro et les points d’étalonnage doivent être contrôlés une nouvelle fois en utilisant les mêmes gaz. L’essai est considéré comme valable si les écarts entre les nouvelles et les anciennes valeurs sont inférieurs à 2 % de la valeur correspondant au gaz d’étalonnage.</w:t>
      </w:r>
    </w:p>
    <w:p w:rsidR="00E24DB7" w:rsidRPr="002C5876" w:rsidRDefault="00E24DB7" w:rsidP="00E24DB7">
      <w:pPr>
        <w:pStyle w:val="SingleTxtG"/>
        <w:ind w:left="2268" w:hanging="1134"/>
      </w:pPr>
      <w:r w:rsidRPr="002C5876">
        <w:t>2.14.2.7</w:t>
      </w:r>
      <w:r w:rsidRPr="002C5876">
        <w:tab/>
        <w:t>Les débits et pressions des divers gaz qui passent par les analyseurs doivent être les mêmes que lors de l’étalonnage des analyseurs.</w:t>
      </w:r>
    </w:p>
    <w:p w:rsidR="00E24DB7" w:rsidRPr="002C5876" w:rsidRDefault="00E24DB7" w:rsidP="00E24DB7">
      <w:pPr>
        <w:pStyle w:val="SingleTxtG"/>
        <w:ind w:left="2268" w:hanging="1134"/>
      </w:pPr>
      <w:r w:rsidRPr="002C5876">
        <w:t>2.14.2.8</w:t>
      </w:r>
      <w:r w:rsidRPr="002C5876">
        <w:tab/>
        <w:t>La concentration de chacun des composés mesurés doit être consignée après stabilisation de l’appareil de mesure.</w:t>
      </w:r>
    </w:p>
    <w:p w:rsidR="00E24DB7" w:rsidRPr="002C5876" w:rsidRDefault="00E24DB7" w:rsidP="00E24DB7">
      <w:pPr>
        <w:pStyle w:val="SingleTxtG"/>
        <w:ind w:left="2268" w:hanging="1134"/>
      </w:pPr>
      <w:r w:rsidRPr="002C5876">
        <w:t>2.14.2.9</w:t>
      </w:r>
      <w:r w:rsidRPr="002C5876">
        <w:tab/>
        <w:t>La masse et le nombre de tous les polluants doivent s’il y a lieu être calculés conformément aux dispositions de l’annexe 7.</w:t>
      </w:r>
    </w:p>
    <w:p w:rsidR="00E24DB7" w:rsidRPr="002C5876" w:rsidRDefault="00E24DB7" w:rsidP="00E24DB7">
      <w:pPr>
        <w:pStyle w:val="SingleTxtG"/>
        <w:ind w:left="2268" w:hanging="1134"/>
      </w:pPr>
      <w:r w:rsidRPr="002C5876">
        <w:t>1.2.14.2.10</w:t>
      </w:r>
      <w:r w:rsidRPr="002C5876">
        <w:tab/>
        <w:t>Les étalonnages et les contrôles sont effectués soit :</w:t>
      </w:r>
    </w:p>
    <w:p w:rsidR="00E24DB7" w:rsidRPr="002C5876" w:rsidRDefault="00E24DB7" w:rsidP="00E24DB7">
      <w:pPr>
        <w:pStyle w:val="SingleTxtG"/>
        <w:ind w:left="2268"/>
        <w:rPr>
          <w:bCs/>
        </w:rPr>
      </w:pPr>
      <w:r w:rsidRPr="002C5876">
        <w:rPr>
          <w:bCs/>
        </w:rPr>
        <w:t>a)</w:t>
      </w:r>
      <w:r w:rsidRPr="002C5876">
        <w:rPr>
          <w:bCs/>
        </w:rPr>
        <w:tab/>
        <w:t>Avant et après l’analyse de chaque paire de sacs ; soit</w:t>
      </w:r>
    </w:p>
    <w:p w:rsidR="00E24DB7" w:rsidRPr="002C5876" w:rsidRDefault="00E24DB7" w:rsidP="00E24DB7">
      <w:pPr>
        <w:pStyle w:val="SingleTxtG"/>
        <w:ind w:left="2268"/>
        <w:rPr>
          <w:bCs/>
        </w:rPr>
      </w:pPr>
      <w:r w:rsidRPr="002C5876">
        <w:rPr>
          <w:bCs/>
        </w:rPr>
        <w:t>b)</w:t>
      </w:r>
      <w:r w:rsidRPr="002C5876">
        <w:rPr>
          <w:bCs/>
        </w:rPr>
        <w:tab/>
        <w:t>Avant et après l’essai complet.</w:t>
      </w:r>
    </w:p>
    <w:p w:rsidR="00E24DB7" w:rsidRPr="002C5876" w:rsidRDefault="00E24DB7" w:rsidP="00E24DB7">
      <w:pPr>
        <w:pStyle w:val="SingleTxtG"/>
        <w:ind w:left="2268"/>
        <w:rPr>
          <w:bCs/>
        </w:rPr>
      </w:pPr>
      <w:r w:rsidRPr="002C5876">
        <w:rPr>
          <w:bCs/>
        </w:rPr>
        <w:t>Dans le cas b), les étalonnages et les essais sont effectués sur tous les analyseurs pour toutes les gammes utilisées durant l’essai.</w:t>
      </w:r>
    </w:p>
    <w:p w:rsidR="00E24DB7" w:rsidRPr="002C5876" w:rsidRDefault="00E24DB7" w:rsidP="00E24DB7">
      <w:pPr>
        <w:pStyle w:val="SingleTxtG"/>
        <w:ind w:left="2268"/>
        <w:rPr>
          <w:bCs/>
        </w:rPr>
      </w:pPr>
      <w:r w:rsidRPr="002C5876">
        <w:rPr>
          <w:bCs/>
        </w:rPr>
        <w:t>Dans le cas a) comme dans le cas b), la même gamme devrait être utilisée pour l’air ambiant et les sacs de gaz d’échappement correspondants.</w:t>
      </w:r>
    </w:p>
    <w:p w:rsidR="00E24DB7" w:rsidRPr="002C5876" w:rsidRDefault="00E24DB7" w:rsidP="00E24DB7">
      <w:pPr>
        <w:pStyle w:val="SingleTxtG"/>
        <w:keepNext/>
        <w:ind w:left="2268" w:hanging="1134"/>
        <w:jc w:val="left"/>
      </w:pPr>
      <w:r w:rsidRPr="002C5876">
        <w:t>2.14.3</w:t>
      </w:r>
      <w:r w:rsidRPr="002C5876">
        <w:tab/>
        <w:t>Pesage du filtre à particules</w:t>
      </w:r>
    </w:p>
    <w:p w:rsidR="00E24DB7" w:rsidRPr="002C5876" w:rsidRDefault="00E24DB7" w:rsidP="00E24DB7">
      <w:pPr>
        <w:pStyle w:val="SingleTxtG"/>
        <w:ind w:left="2268" w:hanging="1134"/>
      </w:pPr>
      <w:r w:rsidRPr="002C5876">
        <w:t>2.14.3.1</w:t>
      </w:r>
      <w:r w:rsidRPr="002C5876">
        <w:tab/>
        <w:t>Le filtre à particules doit être replacé dans la chambre de pesée au plus tard 1 h après la fin de l’essai. Il doit être conditionné dans une boîte de Pétri, protégée contre la contamination par les poussières mais permettant l’échange d’air, pendant au moins 1 h et doit ensuite être pesé. Le poids brut du filtre doit être enregistré.</w:t>
      </w:r>
    </w:p>
    <w:p w:rsidR="00E24DB7" w:rsidRPr="002C5876" w:rsidRDefault="00E24DB7" w:rsidP="00E24DB7">
      <w:pPr>
        <w:pStyle w:val="SingleTxtG"/>
        <w:ind w:left="2268" w:hanging="1134"/>
      </w:pPr>
      <w:r w:rsidRPr="002C5876">
        <w:t>2.14.3.2</w:t>
      </w:r>
      <w:r w:rsidRPr="002C5876">
        <w:tab/>
        <w:t>Au moins deux filtres de référence inutilisés doivent être pesés, de préférence en même temps que le filtre de collecte, mais en tout cas dans un délai maximal de 8 h. Les filtres de référence doivent être de la même dimension et du même matériau que le filtre de prélèvement.</w:t>
      </w:r>
    </w:p>
    <w:p w:rsidR="00E24DB7" w:rsidRPr="002C5876" w:rsidRDefault="00E24DB7" w:rsidP="00E24DB7">
      <w:pPr>
        <w:pStyle w:val="SingleTxtG"/>
        <w:ind w:left="2268" w:hanging="1134"/>
      </w:pPr>
      <w:r w:rsidRPr="002C5876">
        <w:t>2.14.3.3</w:t>
      </w:r>
      <w:r w:rsidRPr="002C5876">
        <w:tab/>
        <w:t xml:space="preserve">Si le poids individuel d’un filtre de référence varie de plus de </w:t>
      </w:r>
      <w:r w:rsidRPr="002C5876">
        <w:sym w:font="Symbol" w:char="F0B1"/>
      </w:r>
      <w:r w:rsidRPr="002C5876">
        <w:t xml:space="preserve">5 µg entre les pesages du filtre de collecte, le filtre de collecte et les filtres de référence doivent alors être conditionnés à nouveau dans la chambre de pesée puis pesés une nouvelle fois. </w:t>
      </w:r>
    </w:p>
    <w:p w:rsidR="00E24DB7" w:rsidRPr="002C5876" w:rsidRDefault="00E24DB7" w:rsidP="00E24DB7">
      <w:pPr>
        <w:pStyle w:val="SingleTxtG"/>
        <w:ind w:left="2268" w:hanging="1134"/>
      </w:pPr>
      <w:r w:rsidRPr="002C5876">
        <w:t>2.14.3.4</w:t>
      </w:r>
      <w:r w:rsidRPr="002C5876">
        <w:tab/>
        <w:t>Pour comparer les pesées d’un filtre de référence, on compare les poids individuels de ce filtre et la moyenne arithmétique mobile de ces poids. La</w:t>
      </w:r>
      <w:r w:rsidR="00886DBA" w:rsidRPr="002C5876">
        <w:t> </w:t>
      </w:r>
      <w:r w:rsidRPr="002C5876">
        <w:t>moyenne arithmétique mobile doit être calculée à partir des poids individuels mesurés pendant la période qui a débuté après que les filtres de référence ont été placés dans la chambre de pesée. Cette période ne doit être ni inférieure à un jour ni supérieure à quinze jours.</w:t>
      </w:r>
    </w:p>
    <w:p w:rsidR="00E24DB7" w:rsidRPr="002C5876" w:rsidRDefault="00E24DB7" w:rsidP="00E24DB7">
      <w:pPr>
        <w:pStyle w:val="SingleTxtG"/>
        <w:ind w:left="2268" w:hanging="1134"/>
      </w:pPr>
      <w:r w:rsidRPr="002C5876">
        <w:lastRenderedPageBreak/>
        <w:t>2.14.3.5</w:t>
      </w:r>
      <w:r w:rsidRPr="002C5876">
        <w:tab/>
        <w:t xml:space="preserve">Le conditionnement et le pesage des filtres de collecte et de référence peuvent être répétés pendant les 80 h qui suivent la mesure des gaz lors de l’essai de mesure des émissions. Si, avant l’expiration ou à l’expiration de ce délai de 80 h, plus de la moitié du nombre de filtres de référence satisfont au critère de </w:t>
      </w:r>
      <w:r w:rsidRPr="002C5876">
        <w:sym w:font="Symbol" w:char="F0B1"/>
      </w:r>
      <w:r w:rsidRPr="002C5876">
        <w:t xml:space="preserve">5 µg, la pesée du filtre de prélèvement peut être considérée comme valide. Si, à l’expiration du délai de 80 h, deux filtres de référence sont employés et si un filtre ne remplit pas le critère de </w:t>
      </w:r>
      <w:r w:rsidRPr="002C5876">
        <w:sym w:font="Symbol" w:char="F0B1"/>
      </w:r>
      <w:r w:rsidRPr="002C5876">
        <w:t>5 µg, la pesée du filtre de prélèvement peut être considérée comme valide à condition que la somme des différences absolues entre les moyennes spécifiques et les moyennes mobiles des deux filtres de référence soit inférieure ou égale à 10 µg.</w:t>
      </w:r>
    </w:p>
    <w:p w:rsidR="00E24DB7" w:rsidRPr="002C5876" w:rsidRDefault="00E24DB7" w:rsidP="00E24DB7">
      <w:pPr>
        <w:pStyle w:val="SingleTxtG"/>
        <w:keepNext/>
        <w:keepLines/>
        <w:ind w:left="2268" w:hanging="1134"/>
      </w:pPr>
      <w:r w:rsidRPr="002C5876">
        <w:t>2.14.3.6</w:t>
      </w:r>
      <w:r w:rsidRPr="002C5876">
        <w:tab/>
        <w:t xml:space="preserve">Si moins de la moitié des filtres de référence satisfont au critère de </w:t>
      </w:r>
      <w:r w:rsidRPr="002C5876">
        <w:sym w:font="Symbol" w:char="F0B1"/>
      </w:r>
      <w:r w:rsidRPr="002C5876">
        <w:t>5 µg, le filtre de collecte doit être éliminé et l’essai de mesure des émissions doit être répété. En outre, tous les filtres de référence doivent être éliminés et remplacés dans les 48 h. Dans tous les autres cas, les filtres de référence doivent être remplacés au moins tous les 30 jours et de telle manière qu’aucun filtre de collecte ne soit pesé sans être comparé à un filtre de référence présent dans la chambre de pesée depuis au moins un jour.</w:t>
      </w:r>
    </w:p>
    <w:p w:rsidR="00E24DB7" w:rsidRPr="002C5876" w:rsidRDefault="00E24DB7" w:rsidP="00E24DB7">
      <w:pPr>
        <w:pStyle w:val="SingleTxtG"/>
        <w:ind w:left="2268" w:hanging="1134"/>
      </w:pPr>
      <w:r w:rsidRPr="002C5876">
        <w:t>2.14.3.7</w:t>
      </w:r>
      <w:r w:rsidRPr="002C5876">
        <w:tab/>
        <w:t>Si les critères de stabilité des conditions dans la chambre de pesée énoncés au paragraphe 4.2.2.1 de l’annexe 5 ne sont pas respectés, mais si les pesées des filtres de référence satisfont aux critères ci-dessus, le constructeur du véhicule peut soit accepter la pesée du filtre de collecte, soit déclarer l’essai nul, faire réparer le système de conditionnement de la chambre de pesée et procéder à un nouvel essai.</w:t>
      </w:r>
    </w:p>
    <w:p w:rsidR="00886DBA" w:rsidRPr="002C5876" w:rsidRDefault="00886DBA" w:rsidP="00E24DB7">
      <w:pPr>
        <w:pStyle w:val="HChG"/>
        <w:sectPr w:rsidR="00886DBA" w:rsidRPr="002C5876" w:rsidSect="00CE537D">
          <w:headerReference w:type="even" r:id="rId116"/>
          <w:headerReference w:type="default" r:id="rId117"/>
          <w:endnotePr>
            <w:numFmt w:val="decimal"/>
          </w:endnotePr>
          <w:pgSz w:w="11907" w:h="16840" w:code="9"/>
          <w:pgMar w:top="1418" w:right="1134" w:bottom="1134" w:left="1134" w:header="680" w:footer="567" w:gutter="0"/>
          <w:cols w:space="720"/>
          <w:docGrid w:linePitch="272"/>
        </w:sectPr>
      </w:pPr>
    </w:p>
    <w:p w:rsidR="00E24DB7" w:rsidRPr="002C5876" w:rsidRDefault="00E24DB7" w:rsidP="00E24DB7">
      <w:pPr>
        <w:pStyle w:val="HChG"/>
      </w:pPr>
      <w:r w:rsidRPr="002C5876">
        <w:lastRenderedPageBreak/>
        <w:t>Annexe 6 − Appendice 1</w:t>
      </w:r>
    </w:p>
    <w:p w:rsidR="00E24DB7" w:rsidRPr="002C5876" w:rsidRDefault="00E24DB7" w:rsidP="00E24DB7">
      <w:pPr>
        <w:pStyle w:val="HChG"/>
      </w:pPr>
      <w:r w:rsidRPr="002C5876">
        <w:tab/>
      </w:r>
      <w:r w:rsidRPr="002C5876">
        <w:tab/>
        <w:t>Méthode d’essai pour le contrôle des émissions d’un véhicule équipé d’un système à régénération périodique</w:t>
      </w:r>
    </w:p>
    <w:p w:rsidR="00E24DB7" w:rsidRPr="002C5876" w:rsidRDefault="00E24DB7" w:rsidP="00E24DB7">
      <w:pPr>
        <w:pStyle w:val="SingleTxtG"/>
        <w:keepNext/>
        <w:ind w:left="2268" w:hanging="1134"/>
        <w:jc w:val="left"/>
      </w:pPr>
      <w:r w:rsidRPr="002C5876">
        <w:t>1.</w:t>
      </w:r>
      <w:r w:rsidRPr="002C5876">
        <w:tab/>
        <w:t>Généralités</w:t>
      </w:r>
    </w:p>
    <w:p w:rsidR="00E24DB7" w:rsidRPr="002C5876" w:rsidRDefault="00E24DB7" w:rsidP="00E24DB7">
      <w:pPr>
        <w:pStyle w:val="SingleTxtG"/>
        <w:ind w:left="2268" w:hanging="1134"/>
      </w:pPr>
      <w:r w:rsidRPr="002C5876">
        <w:t>1.1</w:t>
      </w:r>
      <w:r w:rsidRPr="002C5876">
        <w:tab/>
        <w:t>On trouvera dans le présent appendice les prescriptions qui s’appliquent aux essais des véhicules équipés d’un système à régénération périodique tel qu’il est défini au paragraphe 3.8.1 du présent RTM</w:t>
      </w:r>
      <w:r w:rsidR="00E07C00" w:rsidRPr="002C5876">
        <w:t xml:space="preserve"> ONU</w:t>
      </w:r>
      <w:r w:rsidRPr="002C5876">
        <w:t xml:space="preserve">. </w:t>
      </w:r>
    </w:p>
    <w:p w:rsidR="00E24DB7" w:rsidRPr="002C5876" w:rsidRDefault="00E24DB7" w:rsidP="00E24DB7">
      <w:pPr>
        <w:pStyle w:val="SingleTxtG"/>
        <w:ind w:left="2268" w:hanging="1134"/>
      </w:pPr>
      <w:r w:rsidRPr="002C5876">
        <w:t>1.2</w:t>
      </w:r>
      <w:r w:rsidRPr="002C5876">
        <w:tab/>
        <w:t>Au cours des cycles où se produit une régénération, il n’y a pas lieu d’appliquer des limites d’émissions de polluants. Si une régénération du système antipollution se produit au moins une fois pendant le cycle d’essai de type 1 et s’il s’en est déjà produit une au moins pendant le cycle de préparation du véhicule ou si la distance entre deux périodes successives de régénérations dépasse 4 000 km de conduite dans les conditions des essais de type</w:t>
      </w:r>
      <w:r w:rsidR="00BD3650">
        <w:t> </w:t>
      </w:r>
      <w:r w:rsidRPr="002C5876">
        <w:t>1, le système n’est pas soumis à une procédure d’essai spéciale. Dans un tel cas, le présent appendice ne s’applique pas et un facteur K</w:t>
      </w:r>
      <w:r w:rsidRPr="002C5876">
        <w:rPr>
          <w:vertAlign w:val="subscript"/>
        </w:rPr>
        <w:t>i</w:t>
      </w:r>
      <w:r w:rsidRPr="002C5876">
        <w:t xml:space="preserve"> de 1,0 est utilisé.</w:t>
      </w:r>
    </w:p>
    <w:p w:rsidR="00E24DB7" w:rsidRPr="002C5876" w:rsidRDefault="00E24DB7" w:rsidP="00E24DB7">
      <w:pPr>
        <w:pStyle w:val="SingleTxtG"/>
        <w:ind w:left="2268" w:hanging="1134"/>
      </w:pPr>
      <w:r w:rsidRPr="002C5876">
        <w:t>1.3</w:t>
      </w:r>
      <w:r w:rsidRPr="002C5876">
        <w:tab/>
        <w:t xml:space="preserve">Les dispositions du présent appendice s’appliquent aux fins de la mesure de la masse de particules et non aux fins de la mesure du nombre de particules. </w:t>
      </w:r>
    </w:p>
    <w:p w:rsidR="00E24DB7" w:rsidRPr="002C5876" w:rsidRDefault="00E24DB7" w:rsidP="00E24DB7">
      <w:pPr>
        <w:pStyle w:val="SingleTxtG"/>
        <w:ind w:left="2268" w:hanging="1134"/>
      </w:pPr>
      <w:r w:rsidRPr="002C5876">
        <w:t>1.4</w:t>
      </w:r>
      <w:r w:rsidRPr="002C5876">
        <w:tab/>
        <w:t>Si le constructeur en fait la demande, et sous réserve de l’accord de l’autorité compétente, il n’est pas nécessaire d’appliquer la procédure d’essai applicable aux systèmes à régénération périodique à un système de régénération lorsque le constructeur soumet des données prouvant qu’au cours des cycles où se produit une régénération, les émissions demeurent inférieures aux valeurs limites appliquées par la Partie contractante pour la catégorie de véhicules visée. Dans ce cas, une valeur fixe de 1,05 pour Ki est utilisée pour le CO</w:t>
      </w:r>
      <w:r w:rsidRPr="002C5876">
        <w:rPr>
          <w:vertAlign w:val="subscript"/>
        </w:rPr>
        <w:t>2</w:t>
      </w:r>
      <w:r w:rsidRPr="002C5876">
        <w:t xml:space="preserve"> et la consommation de carburant.</w:t>
      </w:r>
    </w:p>
    <w:p w:rsidR="00E24DB7" w:rsidRPr="002C5876" w:rsidRDefault="00E24DB7" w:rsidP="00E24DB7">
      <w:pPr>
        <w:pStyle w:val="SingleTxtG"/>
        <w:ind w:left="2268" w:hanging="1134"/>
      </w:pPr>
      <w:r w:rsidRPr="002C5876">
        <w:t>1.5</w:t>
      </w:r>
      <w:r w:rsidRPr="002C5876">
        <w:tab/>
        <w:t>Si la Partie contractante le souhaite, la phase Extra High</w:t>
      </w:r>
      <w:r w:rsidRPr="002C5876">
        <w:rPr>
          <w:vertAlign w:val="subscript"/>
        </w:rPr>
        <w:t>2</w:t>
      </w:r>
      <w:r w:rsidRPr="002C5876">
        <w:t xml:space="preserve"> peut être exclue pour déterminer le coefficient de régénération K</w:t>
      </w:r>
      <w:r w:rsidRPr="002C5876">
        <w:rPr>
          <w:vertAlign w:val="subscript"/>
        </w:rPr>
        <w:t>i</w:t>
      </w:r>
      <w:r w:rsidRPr="002C5876">
        <w:t xml:space="preserve"> dans le cas des véhicules de la classe 2.</w:t>
      </w:r>
    </w:p>
    <w:p w:rsidR="00E24DB7" w:rsidRPr="002C5876" w:rsidRDefault="00E24DB7" w:rsidP="00E24DB7">
      <w:pPr>
        <w:pStyle w:val="SingleTxtG"/>
        <w:ind w:left="2268" w:hanging="1134"/>
      </w:pPr>
      <w:r w:rsidRPr="002C5876">
        <w:t>1.6</w:t>
      </w:r>
      <w:r w:rsidRPr="002C5876">
        <w:tab/>
        <w:t>Si la Partie contractante le souhaite, la phase Extra High</w:t>
      </w:r>
      <w:r w:rsidRPr="002C5876">
        <w:rPr>
          <w:vertAlign w:val="subscript"/>
        </w:rPr>
        <w:t>3</w:t>
      </w:r>
      <w:r w:rsidRPr="002C5876">
        <w:t xml:space="preserve"> peut être exclue pour déterminer le coefficient de régénération K</w:t>
      </w:r>
      <w:r w:rsidRPr="002C5876">
        <w:rPr>
          <w:vertAlign w:val="subscript"/>
        </w:rPr>
        <w:t>i</w:t>
      </w:r>
      <w:r w:rsidRPr="002C5876">
        <w:t xml:space="preserve"> dans le cas des véhicules de la classe 3.</w:t>
      </w:r>
    </w:p>
    <w:p w:rsidR="00E24DB7" w:rsidRPr="002C5876" w:rsidRDefault="00E24DB7" w:rsidP="00E24DB7">
      <w:pPr>
        <w:pStyle w:val="SingleTxtG"/>
        <w:keepNext/>
        <w:ind w:left="2268" w:hanging="1134"/>
        <w:jc w:val="left"/>
      </w:pPr>
      <w:r w:rsidRPr="002C5876">
        <w:t>2.</w:t>
      </w:r>
      <w:r w:rsidRPr="002C5876">
        <w:tab/>
        <w:t>Mode opératoire</w:t>
      </w:r>
    </w:p>
    <w:p w:rsidR="00E24DB7" w:rsidRPr="002C5876" w:rsidRDefault="00E24DB7" w:rsidP="00E24DB7">
      <w:pPr>
        <w:pStyle w:val="SingleTxtG"/>
        <w:ind w:left="2268"/>
      </w:pPr>
      <w:r w:rsidRPr="002C5876">
        <w:t>Le véhicule d’essai doit pouvoir empêcher ou permettre le processus de régénération, à condition que cette opération n’ait aucune incidence sur les réglages d’origine du moteur. Le blocage de la régénération n’est autorisé que pendant la phase d’encrassement du dispositif d’épuration et pendant les cycles de préconditionnement. Il n’est pas autorisé pendant la mesure des émissions au cours de l’épisode de régénération. L’essai de mesure des émissions doit être exécuté avec le module de commande d’origine non modifié. Si le constructeur en fait la demande, et sous réserve de l’accord de l’autorité compétente, un module de commande technique n’ayant pas d’effets sur les étalonnages d’origine du moteur peut être utilisé lors de la détermination de K</w:t>
      </w:r>
      <w:r w:rsidRPr="002C5876">
        <w:rPr>
          <w:vertAlign w:val="subscript"/>
        </w:rPr>
        <w:t>i</w:t>
      </w:r>
      <w:r w:rsidRPr="002C5876">
        <w:t>.</w:t>
      </w:r>
    </w:p>
    <w:p w:rsidR="00E24DB7" w:rsidRPr="002C5876" w:rsidRDefault="00E24DB7" w:rsidP="00E24DB7">
      <w:pPr>
        <w:pStyle w:val="SingleTxtG"/>
        <w:keepNext/>
        <w:ind w:left="2268" w:hanging="1134"/>
        <w:jc w:val="left"/>
      </w:pPr>
      <w:r w:rsidRPr="002C5876">
        <w:t>2.1</w:t>
      </w:r>
      <w:r w:rsidRPr="002C5876">
        <w:tab/>
        <w:t>Mesure des émissions d’échappement entre deux cycles WLTC</w:t>
      </w:r>
      <w:r w:rsidRPr="002C5876">
        <w:br/>
        <w:t>où se produisent des régénérations</w:t>
      </w:r>
    </w:p>
    <w:p w:rsidR="00E24DB7" w:rsidRPr="002C5876" w:rsidRDefault="00E24DB7" w:rsidP="00E24DB7">
      <w:pPr>
        <w:pStyle w:val="SingleTxtG"/>
        <w:ind w:left="2268" w:hanging="1134"/>
      </w:pPr>
      <w:r w:rsidRPr="002C5876">
        <w:t>2.1.1</w:t>
      </w:r>
      <w:r w:rsidRPr="002C5876">
        <w:tab/>
        <w:t>Les valeurs moyennes arithmétiques des émissions entre épisodes de régénération et pendant la phase d’encrassement du dispositif d’épuration sont déterminées d’après la moyenne arithmétique de plusieurs essais de type 1 effectués à intervalles sensiblement réguliers (s’il y en a plus de deux). Autre possibilité, le constructeur peut fournir des données prouvant que les émissions demeurent constantes (</w:t>
      </w:r>
      <w:r w:rsidRPr="002C5876">
        <w:sym w:font="Symbol" w:char="F0B1"/>
      </w:r>
      <w:r w:rsidRPr="002C5876">
        <w:t xml:space="preserve">15 %) pendant les cycles WLTC entre les épisodes de </w:t>
      </w:r>
      <w:r w:rsidRPr="002C5876">
        <w:lastRenderedPageBreak/>
        <w:t>régénération. Dans ce cas, les émissions mesurées lors de l’essai de type 1 peuvent être utilisées. Dans tout autre cas, on doit effectuer des mesures des émissions pendant au moins deux cycles de type 1, l’une immédiatement après régénération (avant une nouvelle phase d’encrassement) et l’autre juste avant un épisode de régénération. Toutes les mesures des émissions doivent se faire conformément aux prescriptions de la présente annexe et tous les calculs doivent se faire conformément aux prescriptions du paragraphe 3 du présent appendice.</w:t>
      </w:r>
    </w:p>
    <w:p w:rsidR="00E24DB7" w:rsidRPr="002C5876" w:rsidRDefault="00E24DB7" w:rsidP="00E24DB7">
      <w:pPr>
        <w:pStyle w:val="SingleTxtG"/>
        <w:ind w:left="2268" w:hanging="1134"/>
      </w:pPr>
      <w:r w:rsidRPr="002C5876">
        <w:t>2.1.2</w:t>
      </w:r>
      <w:r w:rsidRPr="002C5876">
        <w:tab/>
        <w:t>L’opération d’encrassement et la détermination du coefficient</w:t>
      </w:r>
      <w:r w:rsidR="004E4440" w:rsidRPr="002C5876">
        <w:t> </w:t>
      </w:r>
      <w:r w:rsidRPr="002C5876">
        <w:t>K</w:t>
      </w:r>
      <w:r w:rsidRPr="002C5876">
        <w:rPr>
          <w:vertAlign w:val="subscript"/>
        </w:rPr>
        <w:t>i</w:t>
      </w:r>
      <w:r w:rsidRPr="002C5876">
        <w:t xml:space="preserve"> doivent s’effectuer au cours d’un cycle de conduite sur banc à rouleaux ou d’un cycle d’essai équivalent sur banc d’essai de moteur. Ces cycles peuvent être exécutés en séquence continue (c’est-à-dire sans qu’il soit nécessaire d’arrêter le moteur entre les cycles). Après un nombre quelconque de cycles complets, le véhicule peut être enlevé du banc à rouleaux, et l’essai peut être repris ultérieurement. Si le constructeur en fait la demande, et sous réserve de l’accord de l’autorité compétente, un constructeur peut mettre au point une procédure de remplacement pour démontrer son équivalence, notamment en ce qui concerne la température du filtre, l’intensité de l’encrassement et la distance parcourue. Ceci peut être fait sur un banc-moteur ou un banc à rouleaux.</w:t>
      </w:r>
    </w:p>
    <w:p w:rsidR="00E24DB7" w:rsidRPr="002C5876" w:rsidRDefault="00E24DB7" w:rsidP="00E24DB7">
      <w:pPr>
        <w:pStyle w:val="SingleTxtG"/>
        <w:ind w:left="2268" w:hanging="1134"/>
      </w:pPr>
      <w:r w:rsidRPr="002C5876">
        <w:t>2.1.3</w:t>
      </w:r>
      <w:r w:rsidRPr="002C5876">
        <w:tab/>
        <w:t>Le nombre de cycles</w:t>
      </w:r>
      <w:r w:rsidR="004E4440" w:rsidRPr="002C5876">
        <w:t> </w:t>
      </w:r>
      <w:r w:rsidRPr="002C5876">
        <w:t>D entre deux cycles où se produit une régénération, le nombre n des cycles sur lesquels les émissions sont mesurées et chaque mesure d’émissions massiques M’</w:t>
      </w:r>
      <w:r w:rsidRPr="002C5876">
        <w:rPr>
          <w:vertAlign w:val="subscript"/>
        </w:rPr>
        <w:t>sij</w:t>
      </w:r>
      <w:r w:rsidRPr="002C5876">
        <w:t xml:space="preserve"> pour chaque composé i sur chaque cycle j doivent être consignés.</w:t>
      </w:r>
    </w:p>
    <w:p w:rsidR="00E24DB7" w:rsidRPr="002C5876" w:rsidRDefault="00E24DB7" w:rsidP="00E24DB7">
      <w:pPr>
        <w:pStyle w:val="SingleTxtG"/>
        <w:keepNext/>
        <w:ind w:left="2268" w:hanging="1134"/>
        <w:jc w:val="left"/>
      </w:pPr>
      <w:r w:rsidRPr="002C5876">
        <w:t>2.2</w:t>
      </w:r>
      <w:r w:rsidRPr="002C5876">
        <w:tab/>
        <w:t>Mesure des émissions pendant des épisodes de régénération</w:t>
      </w:r>
    </w:p>
    <w:p w:rsidR="00E24DB7" w:rsidRPr="002C5876" w:rsidRDefault="00E24DB7" w:rsidP="00E24DB7">
      <w:pPr>
        <w:pStyle w:val="SingleTxtG"/>
        <w:ind w:left="2268" w:hanging="1134"/>
      </w:pPr>
      <w:r w:rsidRPr="002C5876">
        <w:t>2.2.1</w:t>
      </w:r>
      <w:r w:rsidRPr="002C5876">
        <w:tab/>
        <w:t>La préparation du véhicule, si nécessaire, en vue de l’essai de mesure des émissions pendant un épisode de régénération peut être effectuée au moyen des cycles de préconditionnement décrits au paragraphe 2.6 de la présente annexe ou de cycles d’essai équivalents au banc-moteur, selon la méthode choisie pour la phase d’encrassement conformément au paragraphe 2.1.2 du présent appendice.</w:t>
      </w:r>
    </w:p>
    <w:p w:rsidR="00E24DB7" w:rsidRPr="002C5876" w:rsidRDefault="00E24DB7" w:rsidP="00E24DB7">
      <w:pPr>
        <w:pStyle w:val="SingleTxtG"/>
        <w:ind w:left="2268" w:hanging="1134"/>
      </w:pPr>
      <w:r w:rsidRPr="002C5876">
        <w:t>2.2.2</w:t>
      </w:r>
      <w:r w:rsidRPr="002C5876">
        <w:tab/>
        <w:t>Les conditions relatives à l’essai et au véhicule énoncées dans le présent RTM ONU pour l’essai de type 1 sont applicables avant que le premier essai valide de mesure des émissions soit exécuté.</w:t>
      </w:r>
    </w:p>
    <w:p w:rsidR="00E24DB7" w:rsidRPr="002C5876" w:rsidRDefault="00E24DB7" w:rsidP="00E24DB7">
      <w:pPr>
        <w:pStyle w:val="SingleTxtG"/>
        <w:keepNext/>
        <w:ind w:left="2268" w:hanging="1134"/>
      </w:pPr>
      <w:r w:rsidRPr="002C5876">
        <w:t>2.2.3</w:t>
      </w:r>
      <w:r w:rsidRPr="002C5876">
        <w:tab/>
        <w:t>Il ne doit pas se produire de régénération pendant la préparation du véhicule. Pour s’en assurer, on a recours à l’une des méthodes suivantes :</w:t>
      </w:r>
    </w:p>
    <w:p w:rsidR="00E24DB7" w:rsidRPr="002C5876" w:rsidRDefault="00E24DB7" w:rsidP="00E24DB7">
      <w:pPr>
        <w:pStyle w:val="SingleTxtG"/>
        <w:ind w:left="2268" w:hanging="1134"/>
      </w:pPr>
      <w:r w:rsidRPr="002C5876">
        <w:t>2.2.3.1</w:t>
      </w:r>
      <w:r w:rsidRPr="002C5876">
        <w:tab/>
        <w:t>Un système de régénération « factice » ou partiel peut être installé pour les cycles de préconditionnement ;</w:t>
      </w:r>
    </w:p>
    <w:p w:rsidR="00E24DB7" w:rsidRPr="002C5876" w:rsidRDefault="00E24DB7" w:rsidP="00E24DB7">
      <w:pPr>
        <w:pStyle w:val="SingleTxtG"/>
        <w:ind w:left="2268" w:hanging="1134"/>
      </w:pPr>
      <w:r w:rsidRPr="002C5876">
        <w:t>2.2.3.2</w:t>
      </w:r>
      <w:r w:rsidRPr="002C5876">
        <w:tab/>
        <w:t>Une autre méthode peut être choisie d’entente entre le constructeur et l’autorité compétente.</w:t>
      </w:r>
    </w:p>
    <w:p w:rsidR="00E24DB7" w:rsidRPr="002C5876" w:rsidRDefault="00E24DB7" w:rsidP="00E24DB7">
      <w:pPr>
        <w:pStyle w:val="SingleTxtG"/>
        <w:ind w:left="2268" w:hanging="1134"/>
      </w:pPr>
      <w:r w:rsidRPr="002C5876">
        <w:t>2.2.4</w:t>
      </w:r>
      <w:r w:rsidRPr="002C5876">
        <w:tab/>
        <w:t>Un essai de mesure des émissions d’échappement avec démarrage à froid, incluant un épisode de régénération, doit être exécuté conformément au cycle d’essai WLTC applicable.</w:t>
      </w:r>
    </w:p>
    <w:p w:rsidR="00E24DB7" w:rsidRPr="002C5876" w:rsidRDefault="00E24DB7" w:rsidP="00E24DB7">
      <w:pPr>
        <w:pStyle w:val="SingleTxtG"/>
        <w:ind w:left="2268" w:hanging="1134"/>
      </w:pPr>
      <w:r w:rsidRPr="002C5876">
        <w:t>2.2.5</w:t>
      </w:r>
      <w:r w:rsidRPr="002C5876">
        <w:tab/>
        <w:t xml:space="preserve">Si l’épisode de régénération occupe plus d’un cycle WLTC, tous les cycles WLTC doivent être achevés. Il est permis d’utiliser un même filtre à particules pour les multiples cycles requis afin d’achever la régénération. </w:t>
      </w:r>
    </w:p>
    <w:p w:rsidR="00E24DB7" w:rsidRPr="002C5876" w:rsidRDefault="00E24DB7" w:rsidP="00E24DB7">
      <w:pPr>
        <w:pStyle w:val="SingleTxtG"/>
        <w:ind w:left="2268" w:hanging="1134"/>
      </w:pPr>
      <w:r w:rsidRPr="002C5876">
        <w:tab/>
        <w:t>Si plus d’un cycle WLTC est requis, le ou les cycles WLTC suivants sont immédiatement exécutés, sans arrêt du moteur, jusqu’à ce que l’épisode complet de régénération soit terminé. Dans le cas où le nombre de sacs pour émissions gazeuses nécessaires pour les multiples cycles dépasserait le nombre de sacs disponibles, le temps nécessaire pour préparer un nouvel essai devrait être aussi bref que possible. Le moteur ne doit pas être arrêté pendant cette période.</w:t>
      </w:r>
    </w:p>
    <w:p w:rsidR="00E24DB7" w:rsidRPr="002C5876" w:rsidRDefault="00E24DB7" w:rsidP="00E24DB7">
      <w:pPr>
        <w:pStyle w:val="SingleTxtG"/>
        <w:ind w:left="2268" w:hanging="1134"/>
      </w:pPr>
      <w:r w:rsidRPr="002C5876">
        <w:lastRenderedPageBreak/>
        <w:t>2.2.6</w:t>
      </w:r>
      <w:r w:rsidRPr="002C5876">
        <w:tab/>
        <w:t>Les valeurs d’émissions au cours d’un épisode de régénération M</w:t>
      </w:r>
      <w:r w:rsidRPr="002C5876">
        <w:rPr>
          <w:vertAlign w:val="subscript"/>
        </w:rPr>
        <w:t>ri</w:t>
      </w:r>
      <w:r w:rsidRPr="002C5876">
        <w:t xml:space="preserve"> pour chaque composé i doivent être calculées conformément au paragraphe 3 du présent appendice. Le nombre de cycles d’essai applicables d mesurés pour une régénération complète doit être consigné.</w:t>
      </w:r>
    </w:p>
    <w:p w:rsidR="00E24DB7" w:rsidRPr="002C5876" w:rsidRDefault="00E24DB7" w:rsidP="00E24DB7">
      <w:pPr>
        <w:pStyle w:val="SingleTxtG"/>
        <w:keepNext/>
        <w:ind w:left="2268" w:hanging="1134"/>
        <w:jc w:val="left"/>
      </w:pPr>
      <w:r w:rsidRPr="002C5876">
        <w:t>3.</w:t>
      </w:r>
      <w:r w:rsidRPr="002C5876">
        <w:tab/>
        <w:t>Calculs</w:t>
      </w:r>
    </w:p>
    <w:p w:rsidR="00E24DB7" w:rsidRPr="002C5876" w:rsidRDefault="00E24DB7" w:rsidP="00E24DB7">
      <w:pPr>
        <w:pStyle w:val="SingleTxtG"/>
        <w:ind w:left="2268" w:hanging="1134"/>
        <w:jc w:val="left"/>
      </w:pPr>
      <w:r w:rsidRPr="002C5876">
        <w:t>3.1</w:t>
      </w:r>
      <w:r w:rsidRPr="002C5876">
        <w:tab/>
        <w:t>Calcul des émissions d’échappement et de CO</w:t>
      </w:r>
      <w:r w:rsidRPr="002C5876">
        <w:rPr>
          <w:vertAlign w:val="subscript"/>
        </w:rPr>
        <w:t>2</w:t>
      </w:r>
      <w:r w:rsidRPr="002C5876">
        <w:t xml:space="preserve"> et de la consommation</w:t>
      </w:r>
      <w:r w:rsidRPr="002C5876">
        <w:br/>
        <w:t>de carburant d’un système à régénération simple</w:t>
      </w:r>
    </w:p>
    <w:p w:rsidR="00E07C00" w:rsidRPr="002C5876" w:rsidRDefault="00731CA6" w:rsidP="00E24DB7">
      <w:pPr>
        <w:pStyle w:val="SingleTxtG"/>
        <w:ind w:left="2268" w:hanging="1134"/>
        <w:jc w:val="left"/>
        <w:rPr>
          <w:szCs w:val="24"/>
        </w:rPr>
      </w:pPr>
      <m:oMathPara>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m:t>
              </m:r>
            </m:sub>
          </m:sSub>
          <m:r>
            <m:rPr>
              <m:sty m:val="p"/>
            </m:rPr>
            <w:rPr>
              <w:rFonts w:ascii="Cambria Math" w:hAnsi="Cambria Math"/>
              <w:szCs w:val="24"/>
            </w:rPr>
            <m:t>=</m:t>
          </m:r>
          <m:f>
            <m:fPr>
              <m:ctrlPr>
                <w:rPr>
                  <w:rFonts w:ascii="Cambria Math" w:hAnsi="Cambria Math"/>
                  <w:szCs w:val="24"/>
                </w:rPr>
              </m:ctrlPr>
            </m:fPr>
            <m:num>
              <m:nary>
                <m:naryPr>
                  <m:chr m:val="∑"/>
                  <m:limLoc m:val="undOvr"/>
                  <m:ctrlPr>
                    <w:rPr>
                      <w:rFonts w:ascii="Cambria Math" w:hAnsi="Cambria Math"/>
                      <w:szCs w:val="24"/>
                    </w:rPr>
                  </m:ctrlPr>
                </m:naryPr>
                <m:sub>
                  <m:r>
                    <m:rPr>
                      <m:sty m:val="p"/>
                    </m:rPr>
                    <w:rPr>
                      <w:rFonts w:ascii="Cambria Math" w:hAnsi="Cambria Math"/>
                      <w:szCs w:val="24"/>
                    </w:rPr>
                    <m:t>j=1</m:t>
                  </m:r>
                </m:sub>
                <m:sup>
                  <m:r>
                    <m:rPr>
                      <m:sty m:val="p"/>
                    </m:rPr>
                    <w:rPr>
                      <w:rFonts w:ascii="Cambria Math" w:hAnsi="Cambria Math"/>
                      <w:szCs w:val="24"/>
                    </w:rPr>
                    <m:t>n</m:t>
                  </m:r>
                </m:sup>
                <m:e>
                  <m:sSubSup>
                    <m:sSubSupPr>
                      <m:ctrlPr>
                        <w:rPr>
                          <w:rFonts w:ascii="Cambria Math" w:hAnsi="Cambria Math"/>
                          <w:szCs w:val="24"/>
                        </w:rPr>
                      </m:ctrlPr>
                    </m:sSubSupPr>
                    <m:e>
                      <m:r>
                        <m:rPr>
                          <m:sty m:val="p"/>
                        </m:rPr>
                        <w:rPr>
                          <w:rFonts w:ascii="Cambria Math" w:hAnsi="Cambria Math"/>
                          <w:szCs w:val="24"/>
                        </w:rPr>
                        <m:t>M</m:t>
                      </m:r>
                    </m:e>
                    <m:sub>
                      <m:r>
                        <m:rPr>
                          <m:sty m:val="p"/>
                        </m:rPr>
                        <w:rPr>
                          <w:rFonts w:ascii="Cambria Math" w:hAnsi="Cambria Math"/>
                          <w:szCs w:val="24"/>
                        </w:rPr>
                        <m:t>sij</m:t>
                      </m:r>
                    </m:sub>
                    <m:sup>
                      <m:r>
                        <m:rPr>
                          <m:sty m:val="p"/>
                        </m:rPr>
                        <w:rPr>
                          <w:rFonts w:ascii="Cambria Math" w:hAnsi="Cambria Math"/>
                          <w:szCs w:val="24"/>
                        </w:rPr>
                        <m:t>'</m:t>
                      </m:r>
                    </m:sup>
                  </m:sSubSup>
                </m:e>
              </m:nary>
            </m:num>
            <m:den>
              <m:r>
                <m:rPr>
                  <m:sty m:val="p"/>
                </m:rPr>
                <w:rPr>
                  <w:rFonts w:ascii="Cambria Math" w:hAnsi="Cambria Math"/>
                  <w:szCs w:val="24"/>
                </w:rPr>
                <m:t>n</m:t>
              </m:r>
            </m:den>
          </m:f>
          <m:r>
            <m:rPr>
              <m:sty m:val="p"/>
            </m:rPr>
            <w:rPr>
              <w:rFonts w:ascii="Cambria Math" w:hAnsi="Cambria Math"/>
              <w:szCs w:val="24"/>
            </w:rPr>
            <m:t xml:space="preserve"> pour n≥ 1</m:t>
          </m:r>
        </m:oMath>
      </m:oMathPara>
    </w:p>
    <w:p w:rsidR="00E07C00" w:rsidRPr="002C5876" w:rsidRDefault="00731CA6" w:rsidP="00E24DB7">
      <w:pPr>
        <w:pStyle w:val="SingleTxtG"/>
        <w:ind w:left="2268" w:hanging="1134"/>
        <w:jc w:val="left"/>
      </w:pPr>
      <m:oMathPara>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m:t>
              </m:r>
            </m:sub>
          </m:sSub>
          <m:r>
            <m:rPr>
              <m:sty m:val="p"/>
            </m:rPr>
            <w:rPr>
              <w:rFonts w:ascii="Cambria Math" w:hAnsi="Cambria Math"/>
              <w:szCs w:val="24"/>
            </w:rPr>
            <m:t>=</m:t>
          </m:r>
          <m:f>
            <m:fPr>
              <m:ctrlPr>
                <w:rPr>
                  <w:rFonts w:ascii="Cambria Math" w:hAnsi="Cambria Math"/>
                  <w:szCs w:val="24"/>
                </w:rPr>
              </m:ctrlPr>
            </m:fPr>
            <m:num>
              <m:nary>
                <m:naryPr>
                  <m:chr m:val="∑"/>
                  <m:limLoc m:val="subSup"/>
                  <m:ctrlPr>
                    <w:rPr>
                      <w:rFonts w:ascii="Cambria Math" w:hAnsi="Cambria Math"/>
                      <w:szCs w:val="24"/>
                    </w:rPr>
                  </m:ctrlPr>
                </m:naryPr>
                <m:sub>
                  <m:r>
                    <m:rPr>
                      <m:sty m:val="p"/>
                    </m:rPr>
                    <w:rPr>
                      <w:rFonts w:ascii="Cambria Math" w:hAnsi="Cambria Math"/>
                      <w:szCs w:val="24"/>
                    </w:rPr>
                    <m:t>j=1</m:t>
                  </m:r>
                </m:sub>
                <m:sup>
                  <m:r>
                    <m:rPr>
                      <m:sty m:val="p"/>
                    </m:rPr>
                    <w:rPr>
                      <w:rFonts w:ascii="Cambria Math" w:hAnsi="Cambria Math"/>
                      <w:szCs w:val="24"/>
                    </w:rPr>
                    <m:t>d</m:t>
                  </m:r>
                </m:sup>
                <m:e>
                  <m:sSubSup>
                    <m:sSubSupPr>
                      <m:ctrlPr>
                        <w:rPr>
                          <w:rFonts w:ascii="Cambria Math" w:hAnsi="Cambria Math"/>
                          <w:szCs w:val="24"/>
                        </w:rPr>
                      </m:ctrlPr>
                    </m:sSubSupPr>
                    <m:e>
                      <m:r>
                        <m:rPr>
                          <m:sty m:val="p"/>
                        </m:rPr>
                        <w:rPr>
                          <w:rFonts w:ascii="Cambria Math" w:hAnsi="Cambria Math"/>
                          <w:szCs w:val="24"/>
                        </w:rPr>
                        <m:t>M</m:t>
                      </m:r>
                    </m:e>
                    <m:sub>
                      <m:r>
                        <m:rPr>
                          <m:sty m:val="p"/>
                        </m:rPr>
                        <w:rPr>
                          <w:rFonts w:ascii="Cambria Math" w:hAnsi="Cambria Math"/>
                          <w:szCs w:val="24"/>
                        </w:rPr>
                        <m:t>rij</m:t>
                      </m:r>
                    </m:sub>
                    <m:sup>
                      <m:r>
                        <m:rPr>
                          <m:sty m:val="p"/>
                        </m:rPr>
                        <w:rPr>
                          <w:rFonts w:ascii="Cambria Math" w:hAnsi="Cambria Math"/>
                          <w:szCs w:val="24"/>
                        </w:rPr>
                        <m:t>'</m:t>
                      </m:r>
                    </m:sup>
                  </m:sSubSup>
                </m:e>
              </m:nary>
            </m:num>
            <m:den>
              <m:r>
                <m:rPr>
                  <m:sty m:val="p"/>
                </m:rPr>
                <w:rPr>
                  <w:rFonts w:ascii="Cambria Math" w:hAnsi="Cambria Math"/>
                  <w:szCs w:val="24"/>
                </w:rPr>
                <m:t>d</m:t>
              </m:r>
            </m:den>
          </m:f>
          <m:r>
            <m:rPr>
              <m:sty m:val="p"/>
            </m:rPr>
            <w:rPr>
              <w:rFonts w:ascii="Cambria Math" w:hAnsi="Cambria Math"/>
              <w:szCs w:val="24"/>
            </w:rPr>
            <m:t xml:space="preserve"> pour d≥1</m:t>
          </m:r>
        </m:oMath>
      </m:oMathPara>
    </w:p>
    <w:p w:rsidR="00E24DB7" w:rsidRPr="002C5876" w:rsidRDefault="00731CA6" w:rsidP="00D60EC2">
      <w:pPr>
        <w:pStyle w:val="SingleTxtG"/>
        <w:tabs>
          <w:tab w:val="left" w:pos="8231"/>
        </w:tabs>
        <w:ind w:left="2268"/>
        <w:jc w:val="center"/>
      </w:pPr>
      <m:oMathPara>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pi</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m:t>
                  </m:r>
                </m:sub>
              </m:sSub>
              <m:r>
                <m:rPr>
                  <m:sty m:val="p"/>
                </m:rPr>
                <w:rPr>
                  <w:rFonts w:ascii="Cambria Math" w:hAnsi="Cambria Math"/>
                  <w:szCs w:val="24"/>
                </w:rPr>
                <m:t xml:space="preserve">×D+ </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m:t>
                  </m:r>
                </m:sub>
              </m:sSub>
              <m:r>
                <m:rPr>
                  <m:sty m:val="p"/>
                </m:rPr>
                <w:rPr>
                  <w:rFonts w:ascii="Cambria Math" w:hAnsi="Cambria Math"/>
                  <w:szCs w:val="24"/>
                </w:rPr>
                <m:t>×d</m:t>
              </m:r>
            </m:num>
            <m:den>
              <m:r>
                <m:rPr>
                  <m:sty m:val="p"/>
                </m:rPr>
                <w:rPr>
                  <w:rFonts w:ascii="Cambria Math" w:hAnsi="Cambria Math"/>
                  <w:szCs w:val="24"/>
                </w:rPr>
                <m:t>D+d</m:t>
              </m:r>
            </m:den>
          </m:f>
        </m:oMath>
      </m:oMathPara>
    </w:p>
    <w:p w:rsidR="00E24DB7" w:rsidRPr="002C5876" w:rsidRDefault="00E24DB7" w:rsidP="00E24DB7">
      <w:pPr>
        <w:pStyle w:val="SingleTxtG"/>
        <w:keepNext/>
        <w:keepLines/>
        <w:ind w:left="2268"/>
      </w:pPr>
      <w:r w:rsidRPr="002C5876">
        <w:t>où, pour chaque composé i considéré :</w:t>
      </w:r>
    </w:p>
    <w:p w:rsidR="00E24DB7" w:rsidRPr="002C5876" w:rsidRDefault="00E24DB7" w:rsidP="00E24DB7">
      <w:pPr>
        <w:pStyle w:val="SingleTxtG"/>
        <w:ind w:left="3402" w:hanging="1134"/>
      </w:pPr>
      <w:r w:rsidRPr="002C5876">
        <w:t>M’</w:t>
      </w:r>
      <w:r w:rsidRPr="002C5876">
        <w:rPr>
          <w:vertAlign w:val="subscript"/>
        </w:rPr>
        <w:t>sij</w:t>
      </w:r>
      <w:r w:rsidRPr="002C5876">
        <w:rPr>
          <w:vertAlign w:val="subscript"/>
        </w:rPr>
        <w:tab/>
      </w:r>
      <w:r w:rsidRPr="002C5876">
        <w:t>représente les émissions massiques du composé i, en g/km, sur un cycle d’essai j, sans régénération ;</w:t>
      </w:r>
    </w:p>
    <w:p w:rsidR="00E24DB7" w:rsidRPr="002C5876" w:rsidRDefault="00E24DB7" w:rsidP="00E24DB7">
      <w:pPr>
        <w:pStyle w:val="SingleTxtG"/>
        <w:ind w:left="3402" w:hanging="1134"/>
      </w:pPr>
      <w:r w:rsidRPr="002C5876">
        <w:t>M’</w:t>
      </w:r>
      <w:r w:rsidRPr="002C5876">
        <w:rPr>
          <w:vertAlign w:val="subscript"/>
        </w:rPr>
        <w:t>rij</w:t>
      </w:r>
      <w:r w:rsidRPr="002C5876">
        <w:rPr>
          <w:vertAlign w:val="subscript"/>
        </w:rPr>
        <w:tab/>
      </w:r>
      <w:r w:rsidRPr="002C5876">
        <w:t>représente les émissions massiques du composé i, en g/km, sur un cycle d’essai j au cours de la régénération (si d &gt; 1, le premier essai WLTC est effectué à froid et les cycles suivants à chaud) ;</w:t>
      </w:r>
    </w:p>
    <w:p w:rsidR="00E24DB7" w:rsidRPr="002C5876" w:rsidRDefault="00E24DB7" w:rsidP="00E24DB7">
      <w:pPr>
        <w:pStyle w:val="SingleTxtG"/>
        <w:ind w:left="3402" w:hanging="1134"/>
      </w:pPr>
      <w:r w:rsidRPr="002C5876">
        <w:t>M</w:t>
      </w:r>
      <w:r w:rsidRPr="002C5876">
        <w:rPr>
          <w:vertAlign w:val="subscript"/>
        </w:rPr>
        <w:t>si</w:t>
      </w:r>
      <w:r w:rsidRPr="002C5876">
        <w:rPr>
          <w:vertAlign w:val="subscript"/>
        </w:rPr>
        <w:tab/>
      </w:r>
      <w:r w:rsidRPr="002C5876">
        <w:t>représente les émissions massiques moyennes du composé i, en g/km, sans régénération ;</w:t>
      </w:r>
    </w:p>
    <w:p w:rsidR="00E24DB7" w:rsidRPr="002C5876" w:rsidRDefault="00E24DB7" w:rsidP="00E24DB7">
      <w:pPr>
        <w:pStyle w:val="SingleTxtG"/>
        <w:ind w:left="3402" w:hanging="1134"/>
      </w:pPr>
      <w:r w:rsidRPr="002C5876">
        <w:t>M</w:t>
      </w:r>
      <w:r w:rsidRPr="002C5876">
        <w:rPr>
          <w:vertAlign w:val="subscript"/>
        </w:rPr>
        <w:t>ri</w:t>
      </w:r>
      <w:r w:rsidRPr="002C5876">
        <w:tab/>
        <w:t>représente les émissions massiques moyennes du composé i, en g/km, pendant la régénération ;</w:t>
      </w:r>
    </w:p>
    <w:p w:rsidR="00E24DB7" w:rsidRPr="002C5876" w:rsidRDefault="00E24DB7" w:rsidP="00E24DB7">
      <w:pPr>
        <w:pStyle w:val="SingleTxtG"/>
        <w:ind w:left="3402" w:hanging="1134"/>
      </w:pPr>
      <w:r w:rsidRPr="002C5876">
        <w:t>M</w:t>
      </w:r>
      <w:r w:rsidRPr="002C5876">
        <w:rPr>
          <w:vertAlign w:val="subscript"/>
        </w:rPr>
        <w:t>pi</w:t>
      </w:r>
      <w:r w:rsidRPr="002C5876">
        <w:tab/>
        <w:t>représente les émissions massiques moyennes du composé i, en g/km ;</w:t>
      </w:r>
    </w:p>
    <w:p w:rsidR="00E24DB7" w:rsidRPr="002C5876" w:rsidRDefault="00E24DB7" w:rsidP="00E24DB7">
      <w:pPr>
        <w:pStyle w:val="SingleTxtG"/>
        <w:ind w:left="3402" w:hanging="1134"/>
      </w:pPr>
      <w:r w:rsidRPr="002C5876">
        <w:t>n</w:t>
      </w:r>
      <w:r w:rsidRPr="002C5876">
        <w:tab/>
        <w:t xml:space="preserve">est le nombre de cycles d’essai, entre les cycles où se produit une régénération, pendant lesquels des mesures des émissions durant les essais WLTC de type 1 sont effectuées </w:t>
      </w:r>
      <w:r w:rsidRPr="002C5876">
        <w:sym w:font="Symbol" w:char="F0B3"/>
      </w:r>
      <w:r w:rsidRPr="002C5876">
        <w:t> 1 ;</w:t>
      </w:r>
    </w:p>
    <w:p w:rsidR="00E24DB7" w:rsidRPr="002C5876" w:rsidRDefault="00E24DB7" w:rsidP="00E24DB7">
      <w:pPr>
        <w:pStyle w:val="SingleTxtG"/>
        <w:ind w:left="3402" w:hanging="1134"/>
      </w:pPr>
      <w:r w:rsidRPr="002C5876">
        <w:t>d</w:t>
      </w:r>
      <w:r w:rsidRPr="002C5876">
        <w:tab/>
        <w:t>est le nombre de cycles d’essai complets applicables occupés par la régénération ;</w:t>
      </w:r>
    </w:p>
    <w:p w:rsidR="00E24DB7" w:rsidRPr="002C5876" w:rsidRDefault="00E24DB7" w:rsidP="00E24DB7">
      <w:pPr>
        <w:pStyle w:val="SingleTxtG"/>
        <w:ind w:left="3402" w:hanging="1134"/>
      </w:pPr>
      <w:r w:rsidRPr="002C5876">
        <w:t>D</w:t>
      </w:r>
      <w:r w:rsidRPr="002C5876">
        <w:tab/>
        <w:t>est le nombre de cycles d’essai complets applicables entre deux cycles où se produit une régénération.</w:t>
      </w:r>
    </w:p>
    <w:p w:rsidR="00E24DB7" w:rsidRPr="002C5876" w:rsidRDefault="00E24DB7" w:rsidP="00E24DB7">
      <w:pPr>
        <w:pStyle w:val="SingleTxtG"/>
        <w:ind w:left="2835" w:hanging="567"/>
      </w:pPr>
      <w:r w:rsidRPr="002C5876">
        <w:t>Le calcul de M</w:t>
      </w:r>
      <w:r w:rsidRPr="002C5876">
        <w:rPr>
          <w:vertAlign w:val="subscript"/>
        </w:rPr>
        <w:t>pi</w:t>
      </w:r>
      <w:r w:rsidRPr="002C5876">
        <w:t xml:space="preserve"> est présenté graphiquement dans la figure A6.App1/1.</w:t>
      </w:r>
    </w:p>
    <w:p w:rsidR="00E24DB7" w:rsidRPr="002C5876" w:rsidRDefault="00E24DB7" w:rsidP="00E24DB7">
      <w:pPr>
        <w:pStyle w:val="H23G"/>
      </w:pPr>
      <w:r w:rsidRPr="002C5876">
        <w:rPr>
          <w:b w:val="0"/>
        </w:rPr>
        <w:lastRenderedPageBreak/>
        <w:tab/>
      </w:r>
      <w:r w:rsidRPr="002C5876">
        <w:rPr>
          <w:b w:val="0"/>
        </w:rPr>
        <w:tab/>
        <w:t>Figure A6.App1/1</w:t>
      </w:r>
      <w:r w:rsidRPr="002C5876">
        <w:br/>
        <w:t xml:space="preserve">Paramètres mesurés lors des essais d’émissions pendant et entre les cycles </w:t>
      </w:r>
      <w:r w:rsidRPr="002C5876">
        <w:br/>
        <w:t xml:space="preserve">où se produit une régénération (il s’agit d’un exemple : les émissions </w:t>
      </w:r>
      <w:r w:rsidRPr="002C5876">
        <w:br/>
        <w:t>pendant la période D peuvent en fait augmenter ou diminuer)</w:t>
      </w:r>
    </w:p>
    <w:p w:rsidR="00E24DB7" w:rsidRPr="002C5876" w:rsidRDefault="00E24DB7" w:rsidP="00E24DB7">
      <w:pPr>
        <w:ind w:left="1134"/>
      </w:pPr>
      <w:bookmarkStart w:id="203" w:name="_MON_1347721525"/>
      <w:bookmarkStart w:id="204" w:name="_MON_1455527251"/>
      <w:bookmarkStart w:id="205" w:name="_MON_1057995089"/>
      <w:bookmarkEnd w:id="203"/>
      <w:bookmarkEnd w:id="204"/>
      <w:bookmarkEnd w:id="205"/>
      <w:r w:rsidRPr="002C5876">
        <w:rPr>
          <w:noProof/>
          <w:lang w:val="en-GB" w:eastAsia="zh-CN"/>
        </w:rPr>
        <w:drawing>
          <wp:inline distT="0" distB="0" distL="0" distR="0" wp14:anchorId="5A89043C" wp14:editId="55744F3B">
            <wp:extent cx="4018135" cy="2392729"/>
            <wp:effectExtent l="19050" t="19050" r="20955" b="2667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034441" cy="2402439"/>
                    </a:xfrm>
                    <a:prstGeom prst="rect">
                      <a:avLst/>
                    </a:prstGeom>
                    <a:noFill/>
                    <a:ln w="6350" cmpd="sng">
                      <a:solidFill>
                        <a:srgbClr val="000000"/>
                      </a:solidFill>
                      <a:miter lim="800000"/>
                      <a:headEnd/>
                      <a:tailEnd/>
                    </a:ln>
                    <a:effectLst/>
                  </pic:spPr>
                </pic:pic>
              </a:graphicData>
            </a:graphic>
          </wp:inline>
        </w:drawing>
      </w:r>
    </w:p>
    <w:p w:rsidR="00E24DB7" w:rsidRPr="002C5876" w:rsidRDefault="00E24DB7" w:rsidP="00E24DB7">
      <w:pPr>
        <w:ind w:left="1134"/>
      </w:pPr>
    </w:p>
    <w:p w:rsidR="00E24DB7" w:rsidRPr="002C5876" w:rsidRDefault="00E24DB7" w:rsidP="00E24DB7">
      <w:pPr>
        <w:pStyle w:val="SingleTxtG"/>
        <w:keepNext/>
        <w:spacing w:before="240"/>
        <w:ind w:left="2268" w:hanging="1134"/>
        <w:jc w:val="left"/>
      </w:pPr>
      <w:r w:rsidRPr="002C5876">
        <w:t>3.1.1</w:t>
      </w:r>
      <w:r w:rsidRPr="002C5876">
        <w:tab/>
        <w:t>Calcul du coefficient de régénération K</w:t>
      </w:r>
      <w:r w:rsidRPr="002C5876">
        <w:rPr>
          <w:vertAlign w:val="subscript"/>
        </w:rPr>
        <w:t>i</w:t>
      </w:r>
      <w:r w:rsidRPr="002C5876">
        <w:t xml:space="preserve"> pour chaque composé i considéré</w:t>
      </w:r>
    </w:p>
    <w:p w:rsidR="00E24DB7" w:rsidRPr="002C5876" w:rsidRDefault="00E24DB7" w:rsidP="00E24DB7">
      <w:pPr>
        <w:pStyle w:val="SingleTxtG"/>
        <w:ind w:left="2268"/>
      </w:pPr>
      <w:r w:rsidRPr="002C5876">
        <w:t xml:space="preserve">Le constructeur peut choisir de déterminer indépendamment pour chaque composé des facteurs additifs ou multiplicatifs. </w:t>
      </w:r>
    </w:p>
    <w:p w:rsidR="00E24DB7" w:rsidRPr="002C5876" w:rsidRDefault="00E24DB7" w:rsidP="00E24DB7">
      <w:pPr>
        <w:pStyle w:val="SingleTxtG"/>
        <w:ind w:left="2268"/>
      </w:pPr>
      <w:r w:rsidRPr="002C5876">
        <w:t>Facteur multiplicatif K</w:t>
      </w:r>
      <w:r w:rsidRPr="002C5876">
        <w:rPr>
          <w:vertAlign w:val="subscript"/>
        </w:rPr>
        <w:t>i</w:t>
      </w:r>
      <w:r w:rsidRPr="002C5876">
        <w:t> :</w:t>
      </w:r>
      <w:r w:rsidRPr="002C5876">
        <w:tab/>
      </w:r>
      <m:oMath>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i</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pi</m:t>
                </m:r>
              </m:sub>
            </m:sSub>
          </m:num>
          <m:den>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si</m:t>
                </m:r>
              </m:sub>
            </m:sSub>
          </m:den>
        </m:f>
      </m:oMath>
    </w:p>
    <w:p w:rsidR="00E24DB7" w:rsidRPr="002C5876" w:rsidRDefault="00E24DB7" w:rsidP="00E24DB7">
      <w:pPr>
        <w:pStyle w:val="SingleTxtG"/>
        <w:ind w:left="2268"/>
      </w:pPr>
      <w:r w:rsidRPr="002C5876">
        <w:t>Facteur additif K</w:t>
      </w:r>
      <w:r w:rsidRPr="002C5876">
        <w:rPr>
          <w:vertAlign w:val="subscript"/>
        </w:rPr>
        <w:t>i</w:t>
      </w:r>
      <w:r w:rsidRPr="002C5876">
        <w:t> :</w:t>
      </w:r>
      <w:r w:rsidRPr="002C5876">
        <w:tab/>
      </w:r>
      <w:r w:rsidRPr="002C5876">
        <w:tab/>
      </w:r>
      <m:oMath>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i</m:t>
            </m:r>
          </m:sub>
        </m:sSub>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pi</m:t>
            </m:r>
          </m:sub>
        </m:sSub>
        <m: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si</m:t>
            </m:r>
          </m:sub>
        </m:sSub>
      </m:oMath>
    </w:p>
    <w:p w:rsidR="00E24DB7" w:rsidRPr="002C5876" w:rsidRDefault="00E24DB7" w:rsidP="00E24DB7">
      <w:pPr>
        <w:pStyle w:val="SingleTxtG"/>
        <w:ind w:left="2268"/>
      </w:pPr>
      <w:r w:rsidRPr="002C5876">
        <w:t>Les résultats en ce qui concerne M</w:t>
      </w:r>
      <w:r w:rsidRPr="002C5876">
        <w:rPr>
          <w:vertAlign w:val="subscript"/>
        </w:rPr>
        <w:t>si</w:t>
      </w:r>
      <w:r w:rsidRPr="002C5876">
        <w:t>, M</w:t>
      </w:r>
      <w:r w:rsidRPr="002C5876">
        <w:rPr>
          <w:vertAlign w:val="subscript"/>
        </w:rPr>
        <w:t>pi</w:t>
      </w:r>
      <w:r w:rsidRPr="002C5876">
        <w:t xml:space="preserve"> et K</w:t>
      </w:r>
      <w:r w:rsidRPr="002C5876">
        <w:rPr>
          <w:vertAlign w:val="subscript"/>
        </w:rPr>
        <w:t>i</w:t>
      </w:r>
      <w:r w:rsidRPr="002C5876">
        <w:t>, ainsi que le choix du constructeur pour le type de facteur, doivent être consignés.</w:t>
      </w:r>
    </w:p>
    <w:p w:rsidR="00E24DB7" w:rsidRPr="002C5876" w:rsidRDefault="00E24DB7" w:rsidP="00E24DB7">
      <w:pPr>
        <w:pStyle w:val="SingleTxtG"/>
        <w:ind w:left="2268"/>
      </w:pPr>
      <w:r w:rsidRPr="002C5876">
        <w:t>K</w:t>
      </w:r>
      <w:r w:rsidRPr="002C5876">
        <w:rPr>
          <w:vertAlign w:val="subscript"/>
        </w:rPr>
        <w:t>i</w:t>
      </w:r>
      <w:r w:rsidRPr="002C5876">
        <w:t xml:space="preserve"> peut être déterminé après exécution d’une seule séquence de régénération comprenant des mesures avant, pendant et après les épisodes de régénération comme indiqué dans la figure A6.App1/1.</w:t>
      </w:r>
    </w:p>
    <w:p w:rsidR="00E24DB7" w:rsidRPr="002C5876" w:rsidRDefault="00E24DB7" w:rsidP="00E24DB7">
      <w:pPr>
        <w:pStyle w:val="SingleTxtG"/>
        <w:keepNext/>
        <w:ind w:left="2268" w:hanging="1134"/>
        <w:jc w:val="left"/>
      </w:pPr>
      <w:r w:rsidRPr="002C5876">
        <w:t>3.2</w:t>
      </w:r>
      <w:r w:rsidRPr="002C5876">
        <w:tab/>
        <w:t>Calcul des émissions d’échappement et des émissions de CO</w:t>
      </w:r>
      <w:r w:rsidRPr="002C5876">
        <w:rPr>
          <w:vertAlign w:val="subscript"/>
        </w:rPr>
        <w:t>2</w:t>
      </w:r>
      <w:r w:rsidRPr="002C5876">
        <w:t xml:space="preserve"> ainsi que de la consommation de carburant de systèmes à régénération périodique multiples</w:t>
      </w:r>
    </w:p>
    <w:p w:rsidR="00E24DB7" w:rsidRPr="002C5876" w:rsidRDefault="00E24DB7" w:rsidP="00E24DB7">
      <w:pPr>
        <w:pStyle w:val="SingleTxtG"/>
        <w:ind w:left="2268"/>
      </w:pPr>
      <w:r w:rsidRPr="002C5876">
        <w:t>Les éléments suivants sont calculés pour un cycle d’opération de type 1 pour les émissions de référence et pour les émissions de CO</w:t>
      </w:r>
      <w:r w:rsidRPr="002C5876">
        <w:rPr>
          <w:vertAlign w:val="subscript"/>
        </w:rPr>
        <w:t>2</w:t>
      </w:r>
      <w:r w:rsidRPr="002C5876">
        <w:t>. Les émissions de CO</w:t>
      </w:r>
      <w:r w:rsidRPr="002C5876">
        <w:rPr>
          <w:vertAlign w:val="subscript"/>
        </w:rPr>
        <w:t xml:space="preserve">2 </w:t>
      </w:r>
      <w:r w:rsidRPr="002C5876">
        <w:t>utilisées pour ce calcul proviennent des résultats de l’étape 3 décrite dans le tableau A7/1 de l’annexe 7.</w:t>
      </w:r>
    </w:p>
    <w:p w:rsidR="00E24DB7" w:rsidRPr="002C5876" w:rsidRDefault="00731CA6" w:rsidP="00E24DB7">
      <w:pPr>
        <w:pStyle w:val="SingleTxtG"/>
        <w:tabs>
          <w:tab w:val="left" w:pos="8231"/>
        </w:tabs>
        <w:ind w:left="2268"/>
        <w:jc w:val="cente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sik</m:t>
            </m:r>
          </m:sub>
        </m:sSub>
        <m:r>
          <m:rPr>
            <m:sty m:val="p"/>
          </m:rPr>
          <w:rPr>
            <w:rFonts w:ascii="Cambria Math" w:hAnsi="Cambria Math"/>
            <w:szCs w:val="24"/>
          </w:rPr>
          <m:t>=</m:t>
        </m:r>
        <m:f>
          <m:fPr>
            <m:ctrlPr>
              <w:rPr>
                <w:rFonts w:ascii="Cambria Math" w:hAnsi="Cambria Math"/>
                <w:szCs w:val="24"/>
              </w:rPr>
            </m:ctrlPr>
          </m:fPr>
          <m:num>
            <m:nary>
              <m:naryPr>
                <m:chr m:val="∑"/>
                <m:limLoc m:val="undOvr"/>
                <m:ctrlPr>
                  <w:rPr>
                    <w:rFonts w:ascii="Cambria Math" w:hAnsi="Cambria Math"/>
                    <w:szCs w:val="24"/>
                  </w:rPr>
                </m:ctrlPr>
              </m:naryPr>
              <m:sub>
                <m:r>
                  <m:rPr>
                    <m:sty m:val="p"/>
                  </m:rPr>
                  <w:rPr>
                    <w:rFonts w:ascii="Cambria Math" w:hAnsi="Cambria Math"/>
                    <w:szCs w:val="24"/>
                  </w:rPr>
                  <m:t>j=1</m:t>
                </m:r>
              </m:sub>
              <m:sup>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k</m:t>
                    </m:r>
                  </m:sub>
                </m:sSub>
              </m:sup>
              <m:e>
                <m:sSubSup>
                  <m:sSubSupPr>
                    <m:ctrlPr>
                      <w:rPr>
                        <w:rFonts w:ascii="Cambria Math" w:hAnsi="Cambria Math"/>
                        <w:szCs w:val="24"/>
                      </w:rPr>
                    </m:ctrlPr>
                  </m:sSubSupPr>
                  <m:e>
                    <m:r>
                      <m:rPr>
                        <m:sty m:val="p"/>
                      </m:rPr>
                      <w:rPr>
                        <w:rFonts w:ascii="Cambria Math" w:hAnsi="Cambria Math"/>
                        <w:szCs w:val="24"/>
                      </w:rPr>
                      <m:t>M</m:t>
                    </m:r>
                  </m:e>
                  <m:sub>
                    <m:r>
                      <m:rPr>
                        <m:sty m:val="p"/>
                      </m:rPr>
                      <w:rPr>
                        <w:rFonts w:ascii="Cambria Math" w:hAnsi="Cambria Math"/>
                        <w:szCs w:val="24"/>
                      </w:rPr>
                      <m:t>sik,j</m:t>
                    </m:r>
                  </m:sub>
                  <m:sup>
                    <m:r>
                      <m:rPr>
                        <m:sty m:val="p"/>
                      </m:rPr>
                      <w:rPr>
                        <w:rFonts w:ascii="Cambria Math" w:hAnsi="Cambria Math"/>
                        <w:szCs w:val="24"/>
                      </w:rPr>
                      <m:t>'</m:t>
                    </m:r>
                  </m:sup>
                </m:sSubSup>
              </m:e>
            </m:nary>
          </m:num>
          <m:den>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k</m:t>
                </m:r>
              </m:sub>
            </m:sSub>
          </m:den>
        </m:f>
      </m:oMath>
      <w:r w:rsidR="008552F4" w:rsidRPr="002C5876">
        <w:t xml:space="preserve"> </w:t>
      </w:r>
      <w:r w:rsidR="00E24DB7" w:rsidRPr="002C5876">
        <w:t>pour n</w:t>
      </w:r>
      <w:r w:rsidR="00E24DB7" w:rsidRPr="002C5876">
        <w:rPr>
          <w:vertAlign w:val="subscript"/>
        </w:rPr>
        <w:t>j</w:t>
      </w:r>
      <w:r w:rsidR="00E24DB7" w:rsidRPr="002C5876">
        <w:t xml:space="preserve"> ≥ 1</w:t>
      </w:r>
    </w:p>
    <w:p w:rsidR="00845B42" w:rsidRPr="002C5876" w:rsidRDefault="00731CA6" w:rsidP="00E24DB7">
      <w:pPr>
        <w:pStyle w:val="SingleTxtG"/>
        <w:tabs>
          <w:tab w:val="left" w:pos="8231"/>
        </w:tabs>
        <w:ind w:left="2268"/>
        <w:jc w:val="center"/>
        <w:rPr>
          <w:szCs w:val="24"/>
        </w:rPr>
      </w:pPr>
      <m:oMathPara>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rik</m:t>
              </m:r>
            </m:sub>
          </m:sSub>
          <m:r>
            <m:rPr>
              <m:sty m:val="p"/>
            </m:rPr>
            <w:rPr>
              <w:rFonts w:ascii="Cambria Math" w:hAnsi="Cambria Math"/>
              <w:szCs w:val="24"/>
            </w:rPr>
            <m:t>=</m:t>
          </m:r>
          <m:f>
            <m:fPr>
              <m:ctrlPr>
                <w:rPr>
                  <w:rFonts w:ascii="Cambria Math" w:hAnsi="Cambria Math"/>
                  <w:szCs w:val="24"/>
                </w:rPr>
              </m:ctrlPr>
            </m:fPr>
            <m:num>
              <m:nary>
                <m:naryPr>
                  <m:chr m:val="∑"/>
                  <m:limLoc m:val="undOvr"/>
                  <m:ctrlPr>
                    <w:rPr>
                      <w:rFonts w:ascii="Cambria Math" w:hAnsi="Cambria Math"/>
                      <w:szCs w:val="24"/>
                    </w:rPr>
                  </m:ctrlPr>
                </m:naryPr>
                <m:sub>
                  <m:r>
                    <m:rPr>
                      <m:sty m:val="p"/>
                    </m:rPr>
                    <w:rPr>
                      <w:rFonts w:ascii="Cambria Math" w:hAnsi="Cambria Math"/>
                      <w:szCs w:val="24"/>
                    </w:rPr>
                    <m:t>j=1</m:t>
                  </m:r>
                </m:sub>
                <m:sup>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sup>
                <m:e>
                  <m:sSubSup>
                    <m:sSubSupPr>
                      <m:ctrlPr>
                        <w:rPr>
                          <w:rFonts w:ascii="Cambria Math" w:hAnsi="Cambria Math"/>
                          <w:szCs w:val="24"/>
                        </w:rPr>
                      </m:ctrlPr>
                    </m:sSubSupPr>
                    <m:e>
                      <m:r>
                        <m:rPr>
                          <m:sty m:val="p"/>
                        </m:rPr>
                        <w:rPr>
                          <w:rFonts w:ascii="Cambria Math" w:hAnsi="Cambria Math"/>
                          <w:szCs w:val="24"/>
                        </w:rPr>
                        <m:t>M</m:t>
                      </m:r>
                    </m:e>
                    <m:sub>
                      <m:r>
                        <m:rPr>
                          <m:sty m:val="p"/>
                        </m:rPr>
                        <w:rPr>
                          <w:rFonts w:ascii="Cambria Math" w:hAnsi="Cambria Math"/>
                          <w:szCs w:val="24"/>
                        </w:rPr>
                        <m:t>rik,j</m:t>
                      </m:r>
                    </m:sub>
                    <m:sup>
                      <m:r>
                        <m:rPr>
                          <m:sty m:val="p"/>
                        </m:rPr>
                        <w:rPr>
                          <w:rFonts w:ascii="Cambria Math" w:hAnsi="Cambria Math"/>
                          <w:szCs w:val="24"/>
                        </w:rPr>
                        <m:t>'</m:t>
                      </m:r>
                    </m:sup>
                  </m:sSubSup>
                </m:e>
              </m:nary>
            </m:num>
            <m:den>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den>
          </m:f>
          <m:r>
            <m:rPr>
              <m:sty m:val="p"/>
            </m:rPr>
            <w:rPr>
              <w:rFonts w:ascii="Cambria Math" w:hAnsi="Cambria Math"/>
              <w:szCs w:val="24"/>
            </w:rPr>
            <m:t>pour d≥1</m:t>
          </m:r>
        </m:oMath>
      </m:oMathPara>
    </w:p>
    <w:p w:rsidR="00845B42" w:rsidRPr="002C5876" w:rsidRDefault="00731CA6" w:rsidP="00E24DB7">
      <w:pPr>
        <w:pStyle w:val="SingleTxtG"/>
        <w:tabs>
          <w:tab w:val="left" w:pos="8231"/>
        </w:tabs>
        <w:ind w:left="2268"/>
        <w:jc w:val="center"/>
      </w:pPr>
      <m:oMathPara>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m:t>
              </m:r>
            </m:sub>
          </m:sSub>
          <m:r>
            <m:rPr>
              <m:sty m:val="p"/>
            </m:rPr>
            <w:rPr>
              <w:rFonts w:ascii="Cambria Math" w:hAnsi="Cambria Math"/>
              <w:szCs w:val="24"/>
            </w:rPr>
            <m:t>=</m:t>
          </m:r>
          <m:f>
            <m:fPr>
              <m:ctrlPr>
                <w:rPr>
                  <w:rFonts w:ascii="Cambria Math" w:hAnsi="Cambria Math"/>
                  <w:szCs w:val="24"/>
                </w:rPr>
              </m:ctrlPr>
            </m:fPr>
            <m:num>
              <m:nary>
                <m:naryPr>
                  <m:chr m:val="∑"/>
                  <m:limLoc m:val="undOvr"/>
                  <m:ctrlPr>
                    <w:rPr>
                      <w:rFonts w:ascii="Cambria Math" w:hAnsi="Cambria Math"/>
                      <w:szCs w:val="24"/>
                    </w:rPr>
                  </m:ctrlPr>
                </m:naryPr>
                <m:sub>
                  <m:r>
                    <m:rPr>
                      <m:sty m:val="p"/>
                    </m:rPr>
                    <w:rPr>
                      <w:rFonts w:ascii="Cambria Math" w:hAnsi="Cambria Math"/>
                      <w:szCs w:val="24"/>
                    </w:rPr>
                    <m:t>k=1</m:t>
                  </m:r>
                </m:sub>
                <m:sup>
                  <m:r>
                    <m:rPr>
                      <m:sty m:val="p"/>
                    </m:rPr>
                    <w:rPr>
                      <w:rFonts w:ascii="Cambria Math" w:hAnsi="Cambria Math"/>
                      <w:szCs w:val="24"/>
                    </w:rPr>
                    <m:t>x</m:t>
                  </m:r>
                </m:sup>
                <m:e>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sik</m:t>
                      </m:r>
                    </m:sub>
                  </m:sSub>
                </m:e>
              </m:nary>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num>
            <m:den>
              <m:nary>
                <m:naryPr>
                  <m:chr m:val="∑"/>
                  <m:limLoc m:val="undOvr"/>
                  <m:ctrlPr>
                    <w:rPr>
                      <w:rFonts w:ascii="Cambria Math" w:hAnsi="Cambria Math"/>
                      <w:szCs w:val="24"/>
                    </w:rPr>
                  </m:ctrlPr>
                </m:naryPr>
                <m:sub>
                  <m:r>
                    <m:rPr>
                      <m:sty m:val="p"/>
                    </m:rPr>
                    <w:rPr>
                      <w:rFonts w:ascii="Cambria Math" w:hAnsi="Cambria Math"/>
                      <w:szCs w:val="24"/>
                    </w:rPr>
                    <m:t>k=1</m:t>
                  </m:r>
                </m:sub>
                <m:sup>
                  <m:r>
                    <m:rPr>
                      <m:sty m:val="p"/>
                    </m:rPr>
                    <w:rPr>
                      <w:rFonts w:ascii="Cambria Math" w:hAnsi="Cambria Math"/>
                      <w:szCs w:val="24"/>
                    </w:rPr>
                    <m:t>x</m:t>
                  </m:r>
                </m:sup>
                <m:e>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e>
              </m:nary>
            </m:den>
          </m:f>
        </m:oMath>
      </m:oMathPara>
    </w:p>
    <w:p w:rsidR="00E24DB7" w:rsidRPr="002C5876" w:rsidRDefault="00731CA6" w:rsidP="00E24DB7">
      <w:pPr>
        <w:pStyle w:val="SingleTxtG"/>
        <w:tabs>
          <w:tab w:val="left" w:pos="8231"/>
        </w:tabs>
        <w:ind w:left="2268"/>
        <w:jc w:val="center"/>
        <w:rPr>
          <w:szCs w:val="24"/>
        </w:rPr>
      </w:pPr>
      <m:oMathPara>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m:t>
              </m:r>
            </m:sub>
          </m:sSub>
          <m:r>
            <m:rPr>
              <m:sty m:val="p"/>
            </m:rPr>
            <w:rPr>
              <w:rFonts w:ascii="Cambria Math" w:hAnsi="Cambria Math"/>
              <w:szCs w:val="24"/>
            </w:rPr>
            <m:t>=</m:t>
          </m:r>
          <m:f>
            <m:fPr>
              <m:ctrlPr>
                <w:rPr>
                  <w:rFonts w:ascii="Cambria Math" w:hAnsi="Cambria Math"/>
                  <w:szCs w:val="24"/>
                </w:rPr>
              </m:ctrlPr>
            </m:fPr>
            <m:num>
              <m:nary>
                <m:naryPr>
                  <m:chr m:val="∑"/>
                  <m:limLoc m:val="undOvr"/>
                  <m:ctrlPr>
                    <w:rPr>
                      <w:rFonts w:ascii="Cambria Math" w:hAnsi="Cambria Math"/>
                      <w:szCs w:val="24"/>
                    </w:rPr>
                  </m:ctrlPr>
                </m:naryPr>
                <m:sub>
                  <m:r>
                    <m:rPr>
                      <m:sty m:val="p"/>
                    </m:rPr>
                    <w:rPr>
                      <w:rFonts w:ascii="Cambria Math" w:hAnsi="Cambria Math"/>
                      <w:szCs w:val="24"/>
                    </w:rPr>
                    <m:t>k=1</m:t>
                  </m:r>
                </m:sub>
                <m:sup>
                  <m:r>
                    <m:rPr>
                      <m:sty m:val="p"/>
                    </m:rPr>
                    <w:rPr>
                      <w:rFonts w:ascii="Cambria Math" w:hAnsi="Cambria Math"/>
                      <w:szCs w:val="24"/>
                    </w:rPr>
                    <m:t>x</m:t>
                  </m:r>
                </m:sup>
                <m:e>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rik</m:t>
                      </m:r>
                    </m:sub>
                  </m:sSub>
                </m:e>
              </m:nary>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num>
            <m:den>
              <m:nary>
                <m:naryPr>
                  <m:chr m:val="∑"/>
                  <m:limLoc m:val="undOvr"/>
                  <m:ctrlPr>
                    <w:rPr>
                      <w:rFonts w:ascii="Cambria Math" w:hAnsi="Cambria Math"/>
                      <w:szCs w:val="24"/>
                    </w:rPr>
                  </m:ctrlPr>
                </m:naryPr>
                <m:sub>
                  <m:r>
                    <m:rPr>
                      <m:sty m:val="p"/>
                    </m:rPr>
                    <w:rPr>
                      <w:rFonts w:ascii="Cambria Math" w:hAnsi="Cambria Math"/>
                      <w:szCs w:val="24"/>
                    </w:rPr>
                    <m:t>k=1</m:t>
                  </m:r>
                </m:sub>
                <m:sup>
                  <m:r>
                    <m:rPr>
                      <m:sty m:val="p"/>
                    </m:rPr>
                    <w:rPr>
                      <w:rFonts w:ascii="Cambria Math" w:hAnsi="Cambria Math"/>
                      <w:szCs w:val="24"/>
                    </w:rPr>
                    <m:t>x</m:t>
                  </m:r>
                </m:sup>
                <m:e>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e>
              </m:nary>
            </m:den>
          </m:f>
        </m:oMath>
      </m:oMathPara>
    </w:p>
    <w:p w:rsidR="00845B42" w:rsidRPr="002C5876" w:rsidRDefault="00731CA6" w:rsidP="00E24DB7">
      <w:pPr>
        <w:pStyle w:val="SingleTxtG"/>
        <w:tabs>
          <w:tab w:val="left" w:pos="8231"/>
        </w:tabs>
        <w:ind w:left="2268"/>
        <w:jc w:val="center"/>
      </w:pPr>
      <m:oMathPara>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pi</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m:t>
                  </m:r>
                </m:sub>
              </m:sSub>
              <m:r>
                <m:rPr>
                  <m:sty m:val="p"/>
                </m:rPr>
                <w:rPr>
                  <w:rFonts w:ascii="Cambria Math" w:hAnsi="Cambria Math"/>
                  <w:szCs w:val="24"/>
                </w:rPr>
                <m:t>×</m:t>
              </m:r>
              <m:nary>
                <m:naryPr>
                  <m:chr m:val="∑"/>
                  <m:limLoc m:val="undOvr"/>
                  <m:ctrlPr>
                    <w:rPr>
                      <w:rFonts w:ascii="Cambria Math" w:hAnsi="Cambria Math"/>
                      <w:szCs w:val="24"/>
                    </w:rPr>
                  </m:ctrlPr>
                </m:naryPr>
                <m:sub>
                  <m:r>
                    <m:rPr>
                      <m:sty m:val="p"/>
                    </m:rPr>
                    <w:rPr>
                      <w:rFonts w:ascii="Cambria Math" w:hAnsi="Cambria Math"/>
                      <w:szCs w:val="24"/>
                    </w:rPr>
                    <m:t>k=1</m:t>
                  </m:r>
                </m:sub>
                <m:sup>
                  <m:r>
                    <m:rPr>
                      <m:sty m:val="p"/>
                    </m:rPr>
                    <w:rPr>
                      <w:rFonts w:ascii="Cambria Math" w:hAnsi="Cambria Math"/>
                      <w:szCs w:val="24"/>
                    </w:rPr>
                    <m:t>x</m:t>
                  </m:r>
                </m:sup>
                <m:e>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m:t>
                      </m:r>
                    </m:sub>
                  </m:sSub>
                  <m:r>
                    <m:rPr>
                      <m:sty m:val="p"/>
                    </m:rPr>
                    <w:rPr>
                      <w:rFonts w:ascii="Cambria Math" w:hAnsi="Cambria Math"/>
                      <w:szCs w:val="24"/>
                    </w:rPr>
                    <m:t>×</m:t>
                  </m:r>
                  <m:nary>
                    <m:naryPr>
                      <m:chr m:val="∑"/>
                      <m:limLoc m:val="undOvr"/>
                      <m:ctrlPr>
                        <w:rPr>
                          <w:rFonts w:ascii="Cambria Math" w:hAnsi="Cambria Math"/>
                          <w:szCs w:val="24"/>
                        </w:rPr>
                      </m:ctrlPr>
                    </m:naryPr>
                    <m:sub>
                      <m:r>
                        <m:rPr>
                          <m:sty m:val="p"/>
                        </m:rPr>
                        <w:rPr>
                          <w:rFonts w:ascii="Cambria Math" w:hAnsi="Cambria Math"/>
                          <w:szCs w:val="24"/>
                        </w:rPr>
                        <m:t>k=1</m:t>
                      </m:r>
                    </m:sub>
                    <m:sup>
                      <m:r>
                        <m:rPr>
                          <m:sty m:val="p"/>
                        </m:rPr>
                        <w:rPr>
                          <w:rFonts w:ascii="Cambria Math" w:hAnsi="Cambria Math"/>
                          <w:szCs w:val="24"/>
                        </w:rPr>
                        <m:t>x</m:t>
                      </m:r>
                    </m:sup>
                    <m:e>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e>
                  </m:nary>
                </m:e>
              </m:nary>
            </m:num>
            <m:den>
              <m:nary>
                <m:naryPr>
                  <m:chr m:val="∑"/>
                  <m:limLoc m:val="undOvr"/>
                  <m:ctrlPr>
                    <w:rPr>
                      <w:rFonts w:ascii="Cambria Math" w:hAnsi="Cambria Math"/>
                      <w:szCs w:val="24"/>
                    </w:rPr>
                  </m:ctrlPr>
                </m:naryPr>
                <m:sub>
                  <m:r>
                    <m:rPr>
                      <m:sty m:val="p"/>
                    </m:rPr>
                    <w:rPr>
                      <w:rFonts w:ascii="Cambria Math" w:hAnsi="Cambria Math"/>
                      <w:szCs w:val="24"/>
                    </w:rPr>
                    <m:t>k=1</m:t>
                  </m:r>
                </m:sub>
                <m:sup>
                  <m:r>
                    <m:rPr>
                      <m:sty m:val="p"/>
                    </m:rPr>
                    <w:rPr>
                      <w:rFonts w:ascii="Cambria Math" w:hAnsi="Cambria Math"/>
                      <w:szCs w:val="24"/>
                    </w:rPr>
                    <m:t>x</m:t>
                  </m:r>
                </m:sup>
                <m:e>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e>
                  </m:d>
                </m:e>
              </m:nary>
            </m:den>
          </m:f>
        </m:oMath>
      </m:oMathPara>
    </w:p>
    <w:p w:rsidR="00E24DB7" w:rsidRPr="002C5876" w:rsidRDefault="00731CA6" w:rsidP="00E24DB7">
      <w:pPr>
        <w:pStyle w:val="SingleTxtG"/>
        <w:tabs>
          <w:tab w:val="left" w:pos="8231"/>
        </w:tabs>
        <w:ind w:left="2268"/>
        <w:jc w:val="center"/>
      </w:pPr>
      <m:oMathPara>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pi</m:t>
              </m:r>
            </m:sub>
          </m:sSub>
          <m:r>
            <m:rPr>
              <m:sty m:val="p"/>
            </m:rPr>
            <w:rPr>
              <w:rFonts w:ascii="Cambria Math" w:hAnsi="Cambria Math"/>
              <w:szCs w:val="24"/>
            </w:rPr>
            <m:t>=</m:t>
          </m:r>
          <m:f>
            <m:fPr>
              <m:ctrlPr>
                <w:rPr>
                  <w:rFonts w:ascii="Cambria Math" w:hAnsi="Cambria Math"/>
                  <w:szCs w:val="24"/>
                </w:rPr>
              </m:ctrlPr>
            </m:fPr>
            <m:num>
              <m:nary>
                <m:naryPr>
                  <m:chr m:val="∑"/>
                  <m:limLoc m:val="undOvr"/>
                  <m:ctrlPr>
                    <w:rPr>
                      <w:rFonts w:ascii="Cambria Math" w:hAnsi="Cambria Math"/>
                      <w:szCs w:val="24"/>
                    </w:rPr>
                  </m:ctrlPr>
                </m:naryPr>
                <m:sub>
                  <m:r>
                    <m:rPr>
                      <m:sty m:val="p"/>
                    </m:rPr>
                    <w:rPr>
                      <w:rFonts w:ascii="Cambria Math" w:hAnsi="Cambria Math"/>
                      <w:szCs w:val="24"/>
                    </w:rPr>
                    <m:t>k=1</m:t>
                  </m:r>
                </m:sub>
                <m:sup>
                  <m:r>
                    <m:rPr>
                      <m:sty m:val="p"/>
                    </m:rPr>
                    <w:rPr>
                      <w:rFonts w:ascii="Cambria Math" w:hAnsi="Cambria Math"/>
                      <w:szCs w:val="24"/>
                    </w:rPr>
                    <m:t>x</m:t>
                  </m:r>
                </m:sup>
                <m:e>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sik</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rik</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e>
                  </m:d>
                </m:e>
              </m:nary>
            </m:num>
            <m:den>
              <m:nary>
                <m:naryPr>
                  <m:chr m:val="∑"/>
                  <m:limLoc m:val="undOvr"/>
                  <m:ctrlPr>
                    <w:rPr>
                      <w:rFonts w:ascii="Cambria Math" w:hAnsi="Cambria Math"/>
                      <w:szCs w:val="24"/>
                    </w:rPr>
                  </m:ctrlPr>
                </m:naryPr>
                <m:sub>
                  <m:r>
                    <m:rPr>
                      <m:sty m:val="p"/>
                    </m:rPr>
                    <w:rPr>
                      <w:rFonts w:ascii="Cambria Math" w:hAnsi="Cambria Math"/>
                      <w:szCs w:val="24"/>
                    </w:rPr>
                    <m:t>k=1</m:t>
                  </m:r>
                </m:sub>
                <m:sup>
                  <m:r>
                    <m:rPr>
                      <m:sty m:val="p"/>
                    </m:rPr>
                    <w:rPr>
                      <w:rFonts w:ascii="Cambria Math" w:hAnsi="Cambria Math"/>
                      <w:szCs w:val="24"/>
                    </w:rPr>
                    <m:t>x</m:t>
                  </m:r>
                </m:sup>
                <m:e>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e>
                  </m:d>
                </m:e>
              </m:nary>
            </m:den>
          </m:f>
        </m:oMath>
      </m:oMathPara>
    </w:p>
    <w:p w:rsidR="00E24DB7" w:rsidRPr="002C5876" w:rsidRDefault="00E24DB7" w:rsidP="00486146">
      <w:pPr>
        <w:pStyle w:val="SingleTxtG"/>
        <w:ind w:left="2268"/>
      </w:pPr>
      <w:r w:rsidRPr="002C5876">
        <w:lastRenderedPageBreak/>
        <w:t>Facteur multiplicatif K</w:t>
      </w:r>
      <w:r w:rsidRPr="002C5876">
        <w:rPr>
          <w:vertAlign w:val="subscript"/>
        </w:rPr>
        <w:t>i</w:t>
      </w:r>
      <w:r w:rsidRPr="002C5876">
        <w:t> :</w:t>
      </w:r>
      <w:r w:rsidRPr="002C5876">
        <w:tab/>
      </w:r>
      <w:r w:rsidRPr="002C5876">
        <w:rPr>
          <w:noProof/>
          <w:position w:val="-26"/>
          <w:lang w:val="en-GB" w:eastAsia="zh-CN"/>
        </w:rPr>
        <w:drawing>
          <wp:inline distT="0" distB="0" distL="0" distR="0" wp14:anchorId="0BC2EFB6" wp14:editId="5072C207">
            <wp:extent cx="552450" cy="390525"/>
            <wp:effectExtent l="0" t="0" r="0" b="9525"/>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52450" cy="390525"/>
                    </a:xfrm>
                    <a:prstGeom prst="rect">
                      <a:avLst/>
                    </a:prstGeom>
                    <a:noFill/>
                    <a:ln>
                      <a:noFill/>
                    </a:ln>
                  </pic:spPr>
                </pic:pic>
              </a:graphicData>
            </a:graphic>
          </wp:inline>
        </w:drawing>
      </w:r>
    </w:p>
    <w:p w:rsidR="00E24DB7" w:rsidRPr="002C5876" w:rsidRDefault="00E24DB7" w:rsidP="00486146">
      <w:pPr>
        <w:pStyle w:val="SingleTxtG"/>
        <w:ind w:left="2268"/>
      </w:pPr>
      <w:r w:rsidRPr="002C5876">
        <w:t>Facteur additif K</w:t>
      </w:r>
      <w:r w:rsidRPr="002C5876">
        <w:rPr>
          <w:vertAlign w:val="subscript"/>
        </w:rPr>
        <w:t>i</w:t>
      </w:r>
      <w:r w:rsidRPr="002C5876">
        <w:t> :</w:t>
      </w:r>
      <w:r w:rsidRPr="002C5876">
        <w:tab/>
      </w:r>
      <w:r w:rsidRPr="002C5876">
        <w:tab/>
      </w:r>
      <w:r w:rsidRPr="002C5876">
        <w:rPr>
          <w:noProof/>
          <w:position w:val="-14"/>
          <w:lang w:val="en-GB" w:eastAsia="zh-CN"/>
        </w:rPr>
        <w:drawing>
          <wp:inline distT="0" distB="0" distL="0" distR="0" wp14:anchorId="5D8A6720" wp14:editId="21A315A3">
            <wp:extent cx="828675" cy="219075"/>
            <wp:effectExtent l="0" t="0" r="9525" b="9525"/>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p>
    <w:p w:rsidR="00E24DB7" w:rsidRPr="002C5876" w:rsidRDefault="00E24DB7" w:rsidP="00E24DB7">
      <w:pPr>
        <w:pStyle w:val="SingleTxtG"/>
        <w:keepNext/>
        <w:ind w:left="2268"/>
      </w:pPr>
      <w:r w:rsidRPr="002C5876">
        <w:t>où :</w:t>
      </w:r>
    </w:p>
    <w:p w:rsidR="00E24DB7" w:rsidRPr="002C5876" w:rsidRDefault="00E24DB7" w:rsidP="00E24DB7">
      <w:pPr>
        <w:pStyle w:val="SingleTxtG"/>
        <w:ind w:left="3402" w:hanging="1134"/>
      </w:pPr>
      <w:r w:rsidRPr="002C5876">
        <w:t>M</w:t>
      </w:r>
      <w:r w:rsidRPr="002C5876">
        <w:rPr>
          <w:vertAlign w:val="subscript"/>
        </w:rPr>
        <w:t>si</w:t>
      </w:r>
      <w:r w:rsidRPr="002C5876">
        <w:tab/>
        <w:t>représente les émissions massiques moyennes, pendant tous les épisodes de régénération k, de composé i, en g/km, sans régénération ;</w:t>
      </w:r>
    </w:p>
    <w:p w:rsidR="00E24DB7" w:rsidRPr="002C5876" w:rsidRDefault="00E24DB7" w:rsidP="00E24DB7">
      <w:pPr>
        <w:pStyle w:val="SingleTxtG"/>
        <w:ind w:left="3402" w:hanging="1134"/>
      </w:pPr>
      <w:r w:rsidRPr="002C5876">
        <w:t>M</w:t>
      </w:r>
      <w:r w:rsidRPr="002C5876">
        <w:rPr>
          <w:vertAlign w:val="subscript"/>
        </w:rPr>
        <w:t>ri</w:t>
      </w:r>
      <w:r w:rsidRPr="002C5876">
        <w:tab/>
        <w:t>représente les émissions massiques moyennes, pendant tous les épisodes de régénération k, de composé i, en g/km, au cours de la régénération ;</w:t>
      </w:r>
    </w:p>
    <w:p w:rsidR="00E24DB7" w:rsidRPr="002C5876" w:rsidRDefault="00E24DB7" w:rsidP="00E24DB7">
      <w:pPr>
        <w:pStyle w:val="SingleTxtG"/>
        <w:ind w:left="3402" w:hanging="1134"/>
      </w:pPr>
      <w:r w:rsidRPr="002C5876">
        <w:t>M</w:t>
      </w:r>
      <w:r w:rsidRPr="002C5876">
        <w:rPr>
          <w:vertAlign w:val="subscript"/>
        </w:rPr>
        <w:t>pi</w:t>
      </w:r>
      <w:r w:rsidRPr="002C5876">
        <w:tab/>
        <w:t>représente les émissions massiques moyennes, pendant tous les épisodes de régénération k, de composé i, en g/km ;</w:t>
      </w:r>
    </w:p>
    <w:p w:rsidR="00E24DB7" w:rsidRPr="002C5876" w:rsidRDefault="00E24DB7" w:rsidP="00E24DB7">
      <w:pPr>
        <w:pStyle w:val="SingleTxtG"/>
        <w:ind w:left="3402" w:hanging="1134"/>
      </w:pPr>
      <w:r w:rsidRPr="002C5876">
        <w:t>M</w:t>
      </w:r>
      <w:r w:rsidRPr="002C5876">
        <w:rPr>
          <w:vertAlign w:val="subscript"/>
        </w:rPr>
        <w:t>sik</w:t>
      </w:r>
      <w:r w:rsidRPr="002C5876">
        <w:tab/>
        <w:t>représente les émissions massiques moyennes, pendant l’épisode de régénération k, de composé i, en g/km, sans régénération ;</w:t>
      </w:r>
    </w:p>
    <w:p w:rsidR="00E24DB7" w:rsidRPr="002C5876" w:rsidRDefault="00E24DB7" w:rsidP="00E24DB7">
      <w:pPr>
        <w:pStyle w:val="SingleTxtG"/>
        <w:ind w:left="3402" w:hanging="1134"/>
      </w:pPr>
      <w:r w:rsidRPr="002C5876">
        <w:t>M</w:t>
      </w:r>
      <w:r w:rsidRPr="002C5876">
        <w:rPr>
          <w:vertAlign w:val="subscript"/>
        </w:rPr>
        <w:t>rik</w:t>
      </w:r>
      <w:r w:rsidRPr="002C5876">
        <w:tab/>
        <w:t>représente les émissions massiques moyennes, pendant l’épisode de régénération k, de composé i, en g/km, au cours de la régénération ;</w:t>
      </w:r>
    </w:p>
    <w:p w:rsidR="00E24DB7" w:rsidRPr="002C5876" w:rsidRDefault="00E24DB7" w:rsidP="00E24DB7">
      <w:pPr>
        <w:pStyle w:val="SingleTxtG"/>
        <w:ind w:left="3402" w:hanging="1134"/>
      </w:pPr>
      <w:r w:rsidRPr="002C5876">
        <w:t>M’</w:t>
      </w:r>
      <w:r w:rsidRPr="002C5876">
        <w:rPr>
          <w:vertAlign w:val="subscript"/>
        </w:rPr>
        <w:t>sik,j</w:t>
      </w:r>
      <w:r w:rsidRPr="002C5876">
        <w:tab/>
        <w:t>représente les émissions massiques, pendant l’épisode de régénération k, de composé i, en g/km, sans régénération, mesurées au point j ; 1 ≤ j ≤ n</w:t>
      </w:r>
      <w:r w:rsidRPr="002C5876">
        <w:rPr>
          <w:vertAlign w:val="subscript"/>
        </w:rPr>
        <w:t>k</w:t>
      </w:r>
      <w:r w:rsidRPr="002C5876">
        <w:t> ;</w:t>
      </w:r>
    </w:p>
    <w:p w:rsidR="00E24DB7" w:rsidRPr="002C5876" w:rsidRDefault="00E24DB7" w:rsidP="00E24DB7">
      <w:pPr>
        <w:pStyle w:val="SingleTxtG"/>
        <w:ind w:left="3402" w:hanging="1134"/>
      </w:pPr>
      <w:r w:rsidRPr="002C5876">
        <w:t>M’</w:t>
      </w:r>
      <w:r w:rsidRPr="002C5876">
        <w:rPr>
          <w:vertAlign w:val="subscript"/>
        </w:rPr>
        <w:t>rik,j</w:t>
      </w:r>
      <w:r w:rsidRPr="002C5876">
        <w:rPr>
          <w:vertAlign w:val="subscript"/>
        </w:rPr>
        <w:tab/>
      </w:r>
      <w:r w:rsidRPr="002C5876">
        <w:t>représente les émissions massiques, pendant l’épisode de régénération k, de composé i, en g/km, pendant la régénération (lorsque j &gt; 1, le premier essai de type 1 se fait à froid et les cycles suivants à chaud), mesurées au cycle d’essai j ; 1 ≤ j ≤ d</w:t>
      </w:r>
      <w:r w:rsidRPr="002C5876">
        <w:rPr>
          <w:vertAlign w:val="subscript"/>
        </w:rPr>
        <w:t>k</w:t>
      </w:r>
      <w:r w:rsidRPr="002C5876">
        <w:t> ;</w:t>
      </w:r>
    </w:p>
    <w:p w:rsidR="00E24DB7" w:rsidRPr="002C5876" w:rsidRDefault="00E24DB7" w:rsidP="00E24DB7">
      <w:pPr>
        <w:pStyle w:val="SingleTxtG"/>
        <w:ind w:left="3402" w:hanging="1134"/>
      </w:pPr>
      <w:r w:rsidRPr="002C5876">
        <w:t>n</w:t>
      </w:r>
      <w:r w:rsidRPr="002C5876">
        <w:rPr>
          <w:vertAlign w:val="subscript"/>
        </w:rPr>
        <w:t>k</w:t>
      </w:r>
      <w:r w:rsidRPr="002C5876">
        <w:tab/>
        <w:t>est le nombre de cycles d’essai complets, pendant l’épisode de régénération k, entre deux cycles pendant lesquels se produisent des épisodes de régénération, au cours desquels sont faites les mesures d’émissions (cycle WLTC de type 1 ou cycle d’essai équivalent au banc-moteur), ≥ 2 ;</w:t>
      </w:r>
    </w:p>
    <w:p w:rsidR="00E24DB7" w:rsidRPr="002C5876" w:rsidRDefault="00E24DB7" w:rsidP="00E24DB7">
      <w:pPr>
        <w:pStyle w:val="SingleTxtG"/>
        <w:ind w:left="3402" w:hanging="1134"/>
      </w:pPr>
      <w:r w:rsidRPr="002C5876">
        <w:t>d</w:t>
      </w:r>
      <w:r w:rsidRPr="002C5876">
        <w:rPr>
          <w:vertAlign w:val="subscript"/>
        </w:rPr>
        <w:t>k</w:t>
      </w:r>
      <w:r w:rsidRPr="002C5876">
        <w:tab/>
        <w:t>est le nombre de cycles d’essai complets applicables, pendant l’épisode de régénération k, occupés par la régénération complète ;</w:t>
      </w:r>
    </w:p>
    <w:p w:rsidR="00E24DB7" w:rsidRPr="002C5876" w:rsidRDefault="00E24DB7" w:rsidP="00E24DB7">
      <w:pPr>
        <w:pStyle w:val="SingleTxtG"/>
        <w:ind w:left="3402" w:hanging="1134"/>
      </w:pPr>
      <w:r w:rsidRPr="002C5876">
        <w:t>D</w:t>
      </w:r>
      <w:r w:rsidRPr="002C5876">
        <w:rPr>
          <w:vertAlign w:val="subscript"/>
        </w:rPr>
        <w:t>k</w:t>
      </w:r>
      <w:r w:rsidRPr="002C5876">
        <w:tab/>
        <w:t>est le nombre de cycles d’essai complets applicables, pendant l’épisode de régénération k, entre deux cycles où se produisent des épisodes de régénération ;</w:t>
      </w:r>
    </w:p>
    <w:p w:rsidR="00E24DB7" w:rsidRPr="002C5876" w:rsidRDefault="00E24DB7" w:rsidP="00E24DB7">
      <w:pPr>
        <w:pStyle w:val="SingleTxtG"/>
        <w:ind w:left="3402" w:hanging="1134"/>
      </w:pPr>
      <w:r w:rsidRPr="002C5876">
        <w:t>x</w:t>
      </w:r>
      <w:r w:rsidRPr="002C5876">
        <w:tab/>
        <w:t>est le nombre de régénérations complètes.</w:t>
      </w:r>
    </w:p>
    <w:p w:rsidR="00E24DB7" w:rsidRPr="002C5876" w:rsidRDefault="00E24DB7" w:rsidP="00E24DB7">
      <w:pPr>
        <w:pStyle w:val="SingleTxtG"/>
        <w:ind w:left="2268"/>
        <w:rPr>
          <w:spacing w:val="-4"/>
        </w:rPr>
      </w:pPr>
      <w:r w:rsidRPr="002C5876">
        <w:rPr>
          <w:spacing w:val="-4"/>
        </w:rPr>
        <w:tab/>
        <w:t>Le calcul graphique de M</w:t>
      </w:r>
      <w:r w:rsidRPr="002C5876">
        <w:rPr>
          <w:spacing w:val="-4"/>
          <w:vertAlign w:val="subscript"/>
        </w:rPr>
        <w:t>pi</w:t>
      </w:r>
      <w:r w:rsidRPr="002C5876">
        <w:rPr>
          <w:spacing w:val="-4"/>
        </w:rPr>
        <w:t xml:space="preserve"> est présenté graphiquement dans la figure A6.App1/</w:t>
      </w:r>
      <w:r w:rsidRPr="002C5876">
        <w:rPr>
          <w:spacing w:val="-4"/>
        </w:rPr>
        <w:sym w:font="WP TypographicSymbols" w:char="F032"/>
      </w:r>
      <w:r w:rsidRPr="002C5876">
        <w:rPr>
          <w:spacing w:val="-4"/>
        </w:rPr>
        <w:t>.</w:t>
      </w:r>
    </w:p>
    <w:p w:rsidR="00E24DB7" w:rsidRPr="002C5876" w:rsidRDefault="00E24DB7" w:rsidP="00E24DB7">
      <w:pPr>
        <w:pStyle w:val="H23G"/>
      </w:pPr>
      <w:r w:rsidRPr="002C5876">
        <w:rPr>
          <w:b w:val="0"/>
        </w:rPr>
        <w:lastRenderedPageBreak/>
        <w:tab/>
      </w:r>
      <w:r w:rsidRPr="002C5876">
        <w:rPr>
          <w:b w:val="0"/>
        </w:rPr>
        <w:tab/>
        <w:t>Figure A6.App1/2</w:t>
      </w:r>
      <w:r w:rsidRPr="002C5876">
        <w:br/>
        <w:t xml:space="preserve">Paramètres mesurés lors des essais d’émissions pendant et entre les cycles </w:t>
      </w:r>
      <w:r w:rsidRPr="002C5876">
        <w:br/>
        <w:t>où se produit une régénération (il ne s’agit que d’un exemple)</w:t>
      </w:r>
    </w:p>
    <w:p w:rsidR="00E24DB7" w:rsidRPr="002C5876" w:rsidRDefault="00E24DB7" w:rsidP="00E24DB7">
      <w:pPr>
        <w:spacing w:line="240" w:lineRule="auto"/>
        <w:ind w:left="1134"/>
        <w:rPr>
          <w:sz w:val="16"/>
          <w:szCs w:val="16"/>
        </w:rPr>
      </w:pPr>
      <w:r w:rsidRPr="002C5876">
        <w:rPr>
          <w:noProof/>
          <w:lang w:val="en-GB" w:eastAsia="zh-CN"/>
        </w:rPr>
        <w:drawing>
          <wp:inline distT="0" distB="0" distL="0" distR="0" wp14:anchorId="0881CDFC" wp14:editId="76C7DFC3">
            <wp:extent cx="4638675" cy="5314950"/>
            <wp:effectExtent l="0" t="0" r="9525" b="0"/>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21" cstate="print">
                      <a:extLst>
                        <a:ext uri="{28A0092B-C50C-407E-A947-70E740481C1C}">
                          <a14:useLocalDpi xmlns:a14="http://schemas.microsoft.com/office/drawing/2010/main" val="0"/>
                        </a:ext>
                      </a:extLst>
                    </a:blip>
                    <a:srcRect b="2071"/>
                    <a:stretch>
                      <a:fillRect/>
                    </a:stretch>
                  </pic:blipFill>
                  <pic:spPr bwMode="auto">
                    <a:xfrm>
                      <a:off x="0" y="0"/>
                      <a:ext cx="4638675" cy="5314950"/>
                    </a:xfrm>
                    <a:prstGeom prst="rect">
                      <a:avLst/>
                    </a:prstGeom>
                    <a:noFill/>
                    <a:ln>
                      <a:noFill/>
                    </a:ln>
                  </pic:spPr>
                </pic:pic>
              </a:graphicData>
            </a:graphic>
          </wp:inline>
        </w:drawing>
      </w:r>
    </w:p>
    <w:p w:rsidR="00E24DB7" w:rsidRPr="002C5876" w:rsidRDefault="00E24DB7" w:rsidP="00E24DB7">
      <w:pPr>
        <w:pStyle w:val="SingleTxtG"/>
        <w:spacing w:before="120"/>
        <w:ind w:left="2268"/>
      </w:pPr>
      <w:r w:rsidRPr="002C5876">
        <w:t>Le calcul du facteur K</w:t>
      </w:r>
      <w:r w:rsidRPr="002C5876">
        <w:rPr>
          <w:vertAlign w:val="subscript"/>
        </w:rPr>
        <w:t>i</w:t>
      </w:r>
      <w:r w:rsidRPr="002C5876">
        <w:t xml:space="preserve"> pour les systèmes à régénération périodique multiple n’est possible qu’après un certain nombre d’épisodes de régénération pour chaque dispositif. </w:t>
      </w:r>
    </w:p>
    <w:p w:rsidR="00E24DB7" w:rsidRPr="002C5876" w:rsidRDefault="00E24DB7" w:rsidP="00E24DB7">
      <w:pPr>
        <w:pStyle w:val="SingleTxtG"/>
        <w:ind w:left="2268"/>
      </w:pPr>
      <w:r w:rsidRPr="002C5876">
        <w:t>À l’issue de la procédure complète (A à</w:t>
      </w:r>
      <w:r w:rsidR="00A863C4" w:rsidRPr="002C5876">
        <w:t> </w:t>
      </w:r>
      <w:r w:rsidRPr="002C5876">
        <w:t>B, voir fig. A6.App1/2), on devrait retrouver la condition de départ</w:t>
      </w:r>
      <w:r w:rsidR="00A863C4" w:rsidRPr="002C5876">
        <w:t> </w:t>
      </w:r>
      <w:r w:rsidRPr="002C5876">
        <w:t>A.</w:t>
      </w:r>
    </w:p>
    <w:p w:rsidR="00E24DB7" w:rsidRPr="002C5876" w:rsidRDefault="00E24DB7" w:rsidP="00E24DB7">
      <w:pPr>
        <w:pStyle w:val="SingleTxtG"/>
        <w:ind w:left="2268" w:hanging="1134"/>
      </w:pPr>
      <w:r w:rsidRPr="002C5876">
        <w:t>3.3</w:t>
      </w:r>
      <w:r w:rsidRPr="002C5876">
        <w:tab/>
        <w:t>Les facteurs K</w:t>
      </w:r>
      <w:r w:rsidRPr="002C5876">
        <w:rPr>
          <w:vertAlign w:val="subscript"/>
        </w:rPr>
        <w:t xml:space="preserve">i </w:t>
      </w:r>
      <w:r w:rsidRPr="002C5876">
        <w:t>(multiplicatifs ou additifs)</w:t>
      </w:r>
      <w:r w:rsidRPr="002C5876">
        <w:rPr>
          <w:vertAlign w:val="subscript"/>
        </w:rPr>
        <w:t xml:space="preserve"> </w:t>
      </w:r>
      <w:r w:rsidRPr="002C5876">
        <w:t>doivent être arrondis à la quatrième décimale sur la base de l’unité physique des valeurs normales d’émission</w:t>
      </w:r>
    </w:p>
    <w:p w:rsidR="00A863C4" w:rsidRPr="002C5876" w:rsidRDefault="00A863C4" w:rsidP="00E24DB7">
      <w:pPr>
        <w:pStyle w:val="HChG"/>
        <w:sectPr w:rsidR="00A863C4" w:rsidRPr="002C5876" w:rsidSect="00CE537D">
          <w:headerReference w:type="even" r:id="rId122"/>
          <w:headerReference w:type="default" r:id="rId123"/>
          <w:endnotePr>
            <w:numFmt w:val="decimal"/>
          </w:endnotePr>
          <w:pgSz w:w="11907" w:h="16840" w:code="9"/>
          <w:pgMar w:top="1418" w:right="1134" w:bottom="1134" w:left="1134" w:header="680" w:footer="567" w:gutter="0"/>
          <w:cols w:space="720"/>
          <w:docGrid w:linePitch="272"/>
        </w:sectPr>
      </w:pPr>
    </w:p>
    <w:p w:rsidR="00E24DB7" w:rsidRPr="002C5876" w:rsidRDefault="00E24DB7" w:rsidP="00E24DB7">
      <w:pPr>
        <w:pStyle w:val="HChG"/>
      </w:pPr>
      <w:r w:rsidRPr="002C5876">
        <w:lastRenderedPageBreak/>
        <w:t xml:space="preserve">Annexe 6 − Appendice 2 </w:t>
      </w:r>
    </w:p>
    <w:p w:rsidR="00E24DB7" w:rsidRPr="002C5876" w:rsidRDefault="00E24DB7" w:rsidP="00E24DB7">
      <w:pPr>
        <w:pStyle w:val="HChG"/>
      </w:pPr>
      <w:r w:rsidRPr="002C5876">
        <w:tab/>
      </w:r>
      <w:r w:rsidRPr="002C5876">
        <w:tab/>
        <w:t>Procédure d’essai relative à la surveillance du système rechargeable de stockage de l’énergie électrique</w:t>
      </w:r>
    </w:p>
    <w:p w:rsidR="00E24DB7" w:rsidRPr="002C5876" w:rsidRDefault="00E24DB7" w:rsidP="00E24DB7">
      <w:pPr>
        <w:pStyle w:val="SingleTxtG"/>
        <w:keepNext/>
        <w:ind w:left="2268" w:hanging="1134"/>
        <w:jc w:val="left"/>
      </w:pPr>
      <w:r w:rsidRPr="002C5876">
        <w:t>1.</w:t>
      </w:r>
      <w:r w:rsidRPr="002C5876">
        <w:tab/>
        <w:t>Généralités</w:t>
      </w:r>
    </w:p>
    <w:p w:rsidR="00E24DB7" w:rsidRPr="002C5876" w:rsidRDefault="00E24DB7" w:rsidP="00E24DB7">
      <w:pPr>
        <w:pStyle w:val="SingleTxtG"/>
        <w:ind w:left="2268"/>
      </w:pPr>
      <w:r w:rsidRPr="002C5876">
        <w:t>Dans le cas des essais des véhicules VEH-NRE et VEH-RE, les appendices 2 et 3 de l’annexe 8 s’appliquent.</w:t>
      </w:r>
    </w:p>
    <w:p w:rsidR="00E24DB7" w:rsidRPr="002C5876" w:rsidRDefault="00E24DB7" w:rsidP="00E24DB7">
      <w:pPr>
        <w:pStyle w:val="SingleTxtG"/>
        <w:ind w:left="2268"/>
      </w:pPr>
      <w:r w:rsidRPr="002C5876">
        <w:t>On trouvera dans le présent appendice les dispositions relatives à la correction des résultats des essais d’émissions de CO</w:t>
      </w:r>
      <w:r w:rsidRPr="002C5876">
        <w:rPr>
          <w:vertAlign w:val="subscript"/>
        </w:rPr>
        <w:t>2</w:t>
      </w:r>
      <w:r w:rsidRPr="002C5876">
        <w:t xml:space="preserve"> en fonction du bilan énergétique ∆E</w:t>
      </w:r>
      <w:r w:rsidRPr="002C5876">
        <w:rPr>
          <w:vertAlign w:val="subscript"/>
        </w:rPr>
        <w:t>REESS</w:t>
      </w:r>
      <w:r w:rsidRPr="002C5876">
        <w:t xml:space="preserve"> pour tous les SRSEE.</w:t>
      </w:r>
    </w:p>
    <w:p w:rsidR="00E24DB7" w:rsidRPr="002C5876" w:rsidRDefault="00E24DB7" w:rsidP="00E24DB7">
      <w:pPr>
        <w:pStyle w:val="SingleTxtG"/>
        <w:ind w:left="2268"/>
      </w:pPr>
      <w:r w:rsidRPr="002C5876">
        <w:t>Les</w:t>
      </w:r>
      <w:r w:rsidRPr="002C5876">
        <w:rPr>
          <w:spacing w:val="-2"/>
        </w:rPr>
        <w:t xml:space="preserve"> valeurs corrigées pour les émissions de CO</w:t>
      </w:r>
      <w:r w:rsidRPr="002C5876">
        <w:rPr>
          <w:spacing w:val="-2"/>
          <w:vertAlign w:val="subscript"/>
        </w:rPr>
        <w:t>2</w:t>
      </w:r>
      <w:r w:rsidRPr="002C5876">
        <w:rPr>
          <w:spacing w:val="-2"/>
        </w:rPr>
        <w:t xml:space="preserve"> doivent correspondre à un bilan énergétique égal à zéro (∆E</w:t>
      </w:r>
      <w:r w:rsidRPr="002C5876">
        <w:rPr>
          <w:spacing w:val="-2"/>
          <w:vertAlign w:val="subscript"/>
        </w:rPr>
        <w:t>REESS</w:t>
      </w:r>
      <w:r w:rsidRPr="002C5876">
        <w:rPr>
          <w:spacing w:val="-2"/>
        </w:rPr>
        <w:t xml:space="preserve"> = 0) </w:t>
      </w:r>
      <w:r w:rsidRPr="002C5876">
        <w:t>et sont calculées en appliquant un coefficient de correction déterminé comme indiqué ci-après.</w:t>
      </w:r>
    </w:p>
    <w:p w:rsidR="00E24DB7" w:rsidRPr="002C5876" w:rsidRDefault="00E24DB7" w:rsidP="00E24DB7">
      <w:pPr>
        <w:pStyle w:val="SingleTxtG"/>
        <w:keepNext/>
        <w:ind w:left="2268" w:hanging="1134"/>
        <w:jc w:val="left"/>
      </w:pPr>
      <w:r w:rsidRPr="002C5876">
        <w:t>2.</w:t>
      </w:r>
      <w:r w:rsidRPr="002C5876">
        <w:tab/>
        <w:t>Appareils et instruments de mesure</w:t>
      </w:r>
    </w:p>
    <w:p w:rsidR="00E24DB7" w:rsidRPr="002C5876" w:rsidRDefault="00E24DB7" w:rsidP="00E24DB7">
      <w:pPr>
        <w:pStyle w:val="SingleTxtG"/>
        <w:keepNext/>
        <w:ind w:left="2268" w:hanging="1134"/>
        <w:jc w:val="left"/>
      </w:pPr>
      <w:r w:rsidRPr="002C5876">
        <w:t>2.1</w:t>
      </w:r>
      <w:r w:rsidRPr="002C5876">
        <w:tab/>
        <w:t>Mesure du courant</w:t>
      </w:r>
    </w:p>
    <w:p w:rsidR="00E24DB7" w:rsidRPr="002C5876" w:rsidRDefault="00E24DB7" w:rsidP="00E24DB7">
      <w:pPr>
        <w:pStyle w:val="SingleTxtG"/>
        <w:ind w:left="2268"/>
        <w:rPr>
          <w:spacing w:val="-2"/>
        </w:rPr>
      </w:pPr>
      <w:r w:rsidRPr="002C5876">
        <w:rPr>
          <w:spacing w:val="-2"/>
        </w:rPr>
        <w:t>L’épuisement de la charge du SRSEE est défini comme un courant négatif.</w:t>
      </w:r>
    </w:p>
    <w:p w:rsidR="00E24DB7" w:rsidRPr="002C5876" w:rsidRDefault="00E24DB7" w:rsidP="00E24DB7">
      <w:pPr>
        <w:pStyle w:val="SingleTxtG"/>
        <w:ind w:left="2268" w:hanging="1134"/>
        <w:rPr>
          <w:spacing w:val="-2"/>
        </w:rPr>
      </w:pPr>
      <w:r w:rsidRPr="002C5876">
        <w:rPr>
          <w:spacing w:val="-2"/>
        </w:rPr>
        <w:t>2.1.1</w:t>
      </w:r>
      <w:r w:rsidRPr="002C5876">
        <w:rPr>
          <w:spacing w:val="-2"/>
        </w:rPr>
        <w:tab/>
        <w:t xml:space="preserve">Lors des essais, le ou les courants doivent être mesurés à l’aide d’un ampèremètre du type à pince ou en boucle fermée. Le système de mesure du courant doit satisfaire aux prescriptions du tableau A8/1. Le ou les transducteurs de courant doivent pouvoir faire face aux courants de pointe lors du démarrage du moteur et aux conditions thermiques au point de mesure. </w:t>
      </w:r>
    </w:p>
    <w:p w:rsidR="00E24DB7" w:rsidRPr="002C5876" w:rsidRDefault="00E24DB7" w:rsidP="00E24DB7">
      <w:pPr>
        <w:pStyle w:val="SingleTxtG"/>
        <w:ind w:left="2268"/>
        <w:rPr>
          <w:spacing w:val="-2"/>
        </w:rPr>
      </w:pPr>
      <w:r w:rsidRPr="002C5876">
        <w:rPr>
          <w:spacing w:val="-2"/>
        </w:rPr>
        <w:t>Pour une mesure précise, on effectuera un réglage du zéro et une démagnétisation avant l'essai conformément aux instructions du fabricant.</w:t>
      </w:r>
    </w:p>
    <w:p w:rsidR="00E24DB7" w:rsidRPr="002C5876" w:rsidRDefault="00E24DB7" w:rsidP="00E24DB7">
      <w:pPr>
        <w:pStyle w:val="SingleTxtG"/>
        <w:ind w:left="2268" w:hanging="1134"/>
      </w:pPr>
      <w:r w:rsidRPr="002C5876">
        <w:t>2.1.2</w:t>
      </w:r>
      <w:r w:rsidRPr="002C5876">
        <w:tab/>
        <w:t>Les transducteurs de courant doivent être reliés à l’un quelconque des SRSEE par le biais de l’un des conducteurs directement raccordés au SRSEE et doivent inclure la totalité du courant du SRSEE.</w:t>
      </w:r>
    </w:p>
    <w:p w:rsidR="00E24DB7" w:rsidRPr="002C5876" w:rsidRDefault="00E24DB7" w:rsidP="00E24DB7">
      <w:pPr>
        <w:pStyle w:val="SingleTxtG"/>
        <w:ind w:left="2268"/>
      </w:pPr>
      <w:r w:rsidRPr="002C5876">
        <w:tab/>
        <w:t>Dans le cas de câbles blindés, des méthodes appropriées doivent être appliquées conformément aux instructions de l’autorité compétente.</w:t>
      </w:r>
    </w:p>
    <w:p w:rsidR="00E24DB7" w:rsidRPr="002C5876" w:rsidRDefault="00E24DB7" w:rsidP="00E24DB7">
      <w:pPr>
        <w:pStyle w:val="SingleTxtG"/>
        <w:ind w:left="2268"/>
      </w:pPr>
      <w:r w:rsidRPr="002C5876">
        <w:tab/>
        <w:t>Pour faciliter la mesure du courant du SRSEE à l’aide d’un appareil de mesure extérieur, les constructeurs devraient de préférence monter d’origine sur le véhicule des points de raccordement appropriés, sûrs et accessibles. Si cela n’est pas faisable, le constructeur est tenu d’aider l’autorité compétente en fournissant les moyens de relier de la manière décrite ci-dessus un transducteur de courant aux conducteurs raccordés au SRSEE.</w:t>
      </w:r>
    </w:p>
    <w:p w:rsidR="00E24DB7" w:rsidRPr="002C5876" w:rsidRDefault="00E24DB7" w:rsidP="00E24DB7">
      <w:pPr>
        <w:pStyle w:val="SingleTxtG"/>
        <w:ind w:left="2268" w:hanging="1134"/>
      </w:pPr>
      <w:r w:rsidRPr="002C5876">
        <w:t>2.1.3</w:t>
      </w:r>
      <w:r w:rsidRPr="002C5876">
        <w:tab/>
        <w:t xml:space="preserve">Le courant mesuré doit être intégré dans le temps à une fréquence minimale de 20 Hz, permettant ainsi d’obtenir la valeur mesurée de Q, exprimée en ampères-heures (Ah). Le courant mesuré doit être intégré dans le temps, ce qui permet d’obtenir la valeur mesurée de Q, exprimée en ampère heure (Ah). L’intégration peut être effectuée dans le système de mesure du courant. </w:t>
      </w:r>
    </w:p>
    <w:p w:rsidR="00E24DB7" w:rsidRPr="002C5876" w:rsidRDefault="00E24DB7" w:rsidP="00E24DB7">
      <w:pPr>
        <w:pStyle w:val="SingleTxtG"/>
        <w:keepNext/>
        <w:ind w:left="2268" w:hanging="1134"/>
        <w:jc w:val="left"/>
      </w:pPr>
      <w:r w:rsidRPr="002C5876">
        <w:t>2.2</w:t>
      </w:r>
      <w:r w:rsidRPr="002C5876">
        <w:tab/>
        <w:t>Données des calculateurs embarqués</w:t>
      </w:r>
    </w:p>
    <w:p w:rsidR="00E24DB7" w:rsidRPr="002C5876" w:rsidRDefault="00E24DB7" w:rsidP="00E24DB7">
      <w:pPr>
        <w:pStyle w:val="SingleTxtG"/>
        <w:keepNext/>
        <w:ind w:left="2268" w:hanging="1134"/>
      </w:pPr>
      <w:r w:rsidRPr="002C5876">
        <w:t>2.2.1</w:t>
      </w:r>
      <w:r w:rsidRPr="002C5876">
        <w:tab/>
        <w:t>Le courant du SRSEE peut aussi être mesuré à partir des données des calculateurs embarqués. Pour appliquer cette méthode de mesure, il faut pouvoir obtenir les données suivantes à partir du véhicule d’essai :</w:t>
      </w:r>
    </w:p>
    <w:p w:rsidR="00E24DB7" w:rsidRPr="002C5876" w:rsidRDefault="00E24DB7" w:rsidP="00E24DB7">
      <w:pPr>
        <w:pStyle w:val="SingleTxtG"/>
        <w:ind w:left="2835" w:hanging="567"/>
      </w:pPr>
      <w:r w:rsidRPr="002C5876">
        <w:t>a)</w:t>
      </w:r>
      <w:r w:rsidRPr="002C5876">
        <w:tab/>
        <w:t>Bilan de charge intégré, en Ah, déterminé depuis la dernière mise en marche ;</w:t>
      </w:r>
    </w:p>
    <w:p w:rsidR="00E24DB7" w:rsidRPr="002C5876" w:rsidRDefault="00E24DB7" w:rsidP="00E24DB7">
      <w:pPr>
        <w:pStyle w:val="SingleTxtG"/>
        <w:ind w:left="2835" w:hanging="567"/>
      </w:pPr>
      <w:r w:rsidRPr="002C5876">
        <w:t>b)</w:t>
      </w:r>
      <w:r w:rsidRPr="002C5876">
        <w:tab/>
        <w:t>Bilan de charge intégré calculé d’après les données des calculateurs embarqués, à une fréquence d’échantillonnage de 5 Hz au minimum ;</w:t>
      </w:r>
    </w:p>
    <w:p w:rsidR="00E24DB7" w:rsidRPr="002C5876" w:rsidRDefault="00E24DB7" w:rsidP="00E24DB7">
      <w:pPr>
        <w:pStyle w:val="SingleTxtG"/>
        <w:ind w:left="2835" w:hanging="567"/>
      </w:pPr>
      <w:r w:rsidRPr="002C5876">
        <w:lastRenderedPageBreak/>
        <w:t>c)</w:t>
      </w:r>
      <w:r w:rsidRPr="002C5876">
        <w:tab/>
        <w:t>Bilan de charge déterminé au moyen d’un connecteur de diagnostic OBD (voir la norme SAE J1962).</w:t>
      </w:r>
    </w:p>
    <w:p w:rsidR="00E24DB7" w:rsidRPr="002C5876" w:rsidRDefault="00E24DB7" w:rsidP="00E24DB7">
      <w:pPr>
        <w:pStyle w:val="SingleTxtG"/>
        <w:ind w:left="2268" w:hanging="1134"/>
      </w:pPr>
      <w:r w:rsidRPr="002C5876">
        <w:t>2.2.2</w:t>
      </w:r>
      <w:r w:rsidRPr="002C5876">
        <w:tab/>
      </w:r>
      <w:r w:rsidRPr="002C5876">
        <w:rPr>
          <w:spacing w:val="-2"/>
        </w:rPr>
        <w:t>L’exactitude des données sur la recharge et la décharge du SRSEE obtenues au moyen des calculateurs embarqués doit être démontrée à l’autorité compétente</w:t>
      </w:r>
      <w:r w:rsidRPr="002C5876">
        <w:t xml:space="preserve"> </w:t>
      </w:r>
      <w:r w:rsidRPr="002C5876">
        <w:rPr>
          <w:spacing w:val="-2"/>
        </w:rPr>
        <w:t>par le constructeur.</w:t>
      </w:r>
    </w:p>
    <w:p w:rsidR="00E24DB7" w:rsidRPr="002C5876" w:rsidRDefault="00E24DB7" w:rsidP="00E24DB7">
      <w:pPr>
        <w:pStyle w:val="SingleTxtG"/>
        <w:ind w:left="2268"/>
      </w:pPr>
      <w:r w:rsidRPr="002C5876">
        <w:t xml:space="preserve">Le constructeur peut créer une famille de véhicules sur le plan de la surveillance du SRSEE dans le but de démontrer que les données sur la recharge et la décharge du SRSEE obtenues au moyen des calculateurs embarqués sont correctes. Dans ce cas, l’exactitude des données doit être démontrée sur un véhicule représentatif. </w:t>
      </w:r>
    </w:p>
    <w:p w:rsidR="00E24DB7" w:rsidRPr="002C5876" w:rsidRDefault="00E24DB7" w:rsidP="00E24DB7">
      <w:pPr>
        <w:pStyle w:val="SingleTxtG"/>
        <w:keepNext/>
        <w:keepLines/>
        <w:ind w:left="2268"/>
      </w:pPr>
      <w:r w:rsidRPr="002C5876">
        <w:t>Les critères suivants doivent être remplis pour l’appartenance à une famille :</w:t>
      </w:r>
    </w:p>
    <w:p w:rsidR="00E24DB7" w:rsidRPr="002C5876" w:rsidRDefault="00E24DB7" w:rsidP="00E24DB7">
      <w:pPr>
        <w:pStyle w:val="SingleTxtG"/>
        <w:ind w:left="2835" w:hanging="567"/>
      </w:pPr>
      <w:r w:rsidRPr="002C5876">
        <w:t>a)</w:t>
      </w:r>
      <w:r w:rsidRPr="002C5876">
        <w:tab/>
        <w:t>Des processus de combustion (allumage commandé, allumage par compression, deux temps, quatre temps) identiques ;</w:t>
      </w:r>
    </w:p>
    <w:p w:rsidR="00E24DB7" w:rsidRPr="002C5876" w:rsidRDefault="00E24DB7" w:rsidP="00E24DB7">
      <w:pPr>
        <w:pStyle w:val="SingleTxtG"/>
        <w:ind w:left="2835" w:hanging="567"/>
      </w:pPr>
      <w:r w:rsidRPr="002C5876">
        <w:t>b)</w:t>
      </w:r>
      <w:r w:rsidRPr="002C5876">
        <w:tab/>
        <w:t>Une même stratégie de charge et/ou de récupération (module électronique de gestion du SRSEE) ;</w:t>
      </w:r>
    </w:p>
    <w:p w:rsidR="00E24DB7" w:rsidRPr="002C5876" w:rsidRDefault="00E24DB7" w:rsidP="00E24DB7">
      <w:pPr>
        <w:pStyle w:val="SingleTxtG"/>
        <w:ind w:left="2835" w:hanging="567"/>
      </w:pPr>
      <w:r w:rsidRPr="002C5876">
        <w:t>c)</w:t>
      </w:r>
      <w:r w:rsidRPr="002C5876">
        <w:tab/>
        <w:t>La disponibilité des données des calculateurs embarqués ;</w:t>
      </w:r>
    </w:p>
    <w:p w:rsidR="00E24DB7" w:rsidRPr="002C5876" w:rsidRDefault="00E24DB7" w:rsidP="00E24DB7">
      <w:pPr>
        <w:pStyle w:val="SingleTxtG"/>
        <w:ind w:left="2835" w:hanging="567"/>
      </w:pPr>
      <w:r w:rsidRPr="002C5876">
        <w:t>d)</w:t>
      </w:r>
      <w:r w:rsidRPr="002C5876">
        <w:tab/>
        <w:t>Un bilan de charge identique mesuré par le module de gestion du SRSEE ;</w:t>
      </w:r>
    </w:p>
    <w:p w:rsidR="00E24DB7" w:rsidRPr="002C5876" w:rsidRDefault="00E24DB7" w:rsidP="00E24DB7">
      <w:pPr>
        <w:pStyle w:val="SingleTxtG"/>
        <w:ind w:left="2835" w:hanging="567"/>
      </w:pPr>
      <w:r w:rsidRPr="002C5876">
        <w:t>e)</w:t>
      </w:r>
      <w:r w:rsidRPr="002C5876">
        <w:tab/>
        <w:t>Une simulation identique du bilan de charge au moyen des calculateurs embarqués.</w:t>
      </w:r>
    </w:p>
    <w:p w:rsidR="00E24DB7" w:rsidRPr="002C5876" w:rsidRDefault="00E24DB7" w:rsidP="00E24DB7">
      <w:pPr>
        <w:pStyle w:val="SingleTxtG"/>
        <w:keepNext/>
        <w:ind w:left="2268" w:hanging="1134"/>
        <w:jc w:val="left"/>
      </w:pPr>
      <w:r w:rsidRPr="002C5876">
        <w:t>2.2.3</w:t>
      </w:r>
      <w:r w:rsidRPr="002C5876">
        <w:tab/>
        <w:t xml:space="preserve">Tous les SRSEE qui n’ont pas d’incidence sur les émissions massiques de </w:t>
      </w:r>
      <w:r w:rsidRPr="002C5876">
        <w:rPr>
          <w:szCs w:val="24"/>
        </w:rPr>
        <w:t>CO</w:t>
      </w:r>
      <w:r w:rsidRPr="002C5876">
        <w:rPr>
          <w:szCs w:val="24"/>
          <w:vertAlign w:val="subscript"/>
        </w:rPr>
        <w:t>2</w:t>
      </w:r>
      <w:r w:rsidRPr="002C5876">
        <w:t xml:space="preserve"> doivent être exclus de la procédure de surveillance.</w:t>
      </w:r>
    </w:p>
    <w:p w:rsidR="00E24DB7" w:rsidRPr="002C5876" w:rsidRDefault="00E24DB7" w:rsidP="00E24DB7">
      <w:pPr>
        <w:pStyle w:val="SingleTxtG"/>
        <w:keepNext/>
        <w:ind w:left="2268" w:hanging="1134"/>
        <w:jc w:val="left"/>
      </w:pPr>
      <w:r w:rsidRPr="002C5876">
        <w:t>3.</w:t>
      </w:r>
      <w:r w:rsidRPr="002C5876">
        <w:tab/>
        <w:t xml:space="preserve">Procédure de correction fondée sur la variation énergétique du SRSEE </w:t>
      </w:r>
    </w:p>
    <w:p w:rsidR="00E24DB7" w:rsidRPr="002C5876" w:rsidRDefault="00E24DB7" w:rsidP="00E24DB7">
      <w:pPr>
        <w:pStyle w:val="SingleTxtG"/>
        <w:ind w:left="2268" w:hanging="1134"/>
      </w:pPr>
      <w:r w:rsidRPr="002C5876">
        <w:t>3.1</w:t>
      </w:r>
      <w:r w:rsidRPr="002C5876">
        <w:tab/>
        <w:t>La mesure du courant du SRSEE doit commencer à l’instant même où l’essai débute et se terminer immédiatement après l’achèvement du cycle d’essai complet pour le véhicule.</w:t>
      </w:r>
    </w:p>
    <w:p w:rsidR="00E24DB7" w:rsidRPr="002C5876" w:rsidRDefault="00E24DB7" w:rsidP="00E24DB7">
      <w:pPr>
        <w:pStyle w:val="SingleTxtG"/>
        <w:ind w:left="2268" w:hanging="1134"/>
      </w:pPr>
      <w:r w:rsidRPr="002C5876">
        <w:t>3.2</w:t>
      </w:r>
      <w:r w:rsidRPr="002C5876">
        <w:tab/>
      </w:r>
      <w:r w:rsidRPr="002C5876">
        <w:rPr>
          <w:spacing w:val="-2"/>
        </w:rPr>
        <w:t>Le bilan électrique, Q, mesuré dans le système d’alimentation électrique, est utilisé comme indicateur de la différence de contenu énergétique dans le SRSEE à la fin du cycle par rapport au début. Il doit être déterminé pour le cycle d’essai WLTC exécuté complet.</w:t>
      </w:r>
    </w:p>
    <w:p w:rsidR="00E24DB7" w:rsidRPr="002C5876" w:rsidRDefault="00E24DB7" w:rsidP="00E24DB7">
      <w:pPr>
        <w:pStyle w:val="SingleTxtG"/>
        <w:ind w:left="2268" w:hanging="1134"/>
      </w:pPr>
      <w:r w:rsidRPr="002C5876">
        <w:t>3.3</w:t>
      </w:r>
      <w:r w:rsidRPr="002C5876">
        <w:tab/>
        <w:t>Des valeurs distinctes Q</w:t>
      </w:r>
      <w:r w:rsidRPr="002C5876">
        <w:rPr>
          <w:vertAlign w:val="subscript"/>
        </w:rPr>
        <w:t>phase</w:t>
      </w:r>
      <w:r w:rsidRPr="002C5876">
        <w:t xml:space="preserve"> doivent être enregistrées aux phases successives du cycle </w:t>
      </w:r>
      <w:r w:rsidRPr="002C5876">
        <w:rPr>
          <w:spacing w:val="-2"/>
        </w:rPr>
        <w:t>exécuté</w:t>
      </w:r>
      <w:r w:rsidRPr="002C5876">
        <w:t>.</w:t>
      </w:r>
    </w:p>
    <w:p w:rsidR="00E24DB7" w:rsidRPr="002C5876" w:rsidRDefault="00E24DB7" w:rsidP="00E24DB7">
      <w:pPr>
        <w:pStyle w:val="SingleTxtG"/>
        <w:ind w:left="2268" w:hanging="1134"/>
      </w:pPr>
      <w:r w:rsidRPr="002C5876">
        <w:t>3.4</w:t>
      </w:r>
      <w:r w:rsidRPr="002C5876">
        <w:tab/>
        <w:t>Correction des émissions massiques de CO</w:t>
      </w:r>
      <w:r w:rsidRPr="002C5876">
        <w:rPr>
          <w:vertAlign w:val="subscript"/>
        </w:rPr>
        <w:t>2</w:t>
      </w:r>
      <w:r w:rsidRPr="002C5876">
        <w:t xml:space="preserve"> sur l’ensemble du cycle en tant que fonction du critère de correction c</w:t>
      </w:r>
    </w:p>
    <w:p w:rsidR="00E24DB7" w:rsidRPr="002C5876" w:rsidRDefault="00E24DB7" w:rsidP="00E24DB7">
      <w:pPr>
        <w:pStyle w:val="SingleTxtG"/>
        <w:keepNext/>
        <w:ind w:left="2268" w:hanging="1134"/>
      </w:pPr>
      <w:bookmarkStart w:id="206" w:name="OLE_LINK8"/>
      <w:r w:rsidRPr="002C5876">
        <w:t>3.4.1</w:t>
      </w:r>
      <w:r w:rsidRPr="002C5876">
        <w:tab/>
        <w:t>Calcul du critère de correction c</w:t>
      </w:r>
    </w:p>
    <w:p w:rsidR="00E24DB7" w:rsidRPr="002C5876" w:rsidRDefault="00E24DB7" w:rsidP="00E24DB7">
      <w:pPr>
        <w:pStyle w:val="SingleTxtG"/>
        <w:ind w:left="2268"/>
        <w:rPr>
          <w:szCs w:val="24"/>
        </w:rPr>
      </w:pPr>
      <w:r w:rsidRPr="002C5876">
        <w:tab/>
      </w:r>
      <w:r w:rsidRPr="002C5876">
        <w:rPr>
          <w:szCs w:val="24"/>
        </w:rPr>
        <w:t>Le critère de correction c’est le rapport de la valeur absolue de la variation du contenu énergétique ∆E</w:t>
      </w:r>
      <w:r w:rsidRPr="002C5876">
        <w:rPr>
          <w:szCs w:val="24"/>
          <w:vertAlign w:val="subscript"/>
        </w:rPr>
        <w:t>REESS,j</w:t>
      </w:r>
      <w:r w:rsidRPr="002C5876">
        <w:rPr>
          <w:szCs w:val="24"/>
        </w:rPr>
        <w:t xml:space="preserve"> à la valeur énergétique du carburant E</w:t>
      </w:r>
      <w:r w:rsidRPr="002C5876">
        <w:rPr>
          <w:szCs w:val="24"/>
          <w:vertAlign w:val="subscript"/>
        </w:rPr>
        <w:t>fuel</w:t>
      </w:r>
      <w:r w:rsidRPr="002C5876">
        <w:rPr>
          <w:szCs w:val="24"/>
        </w:rPr>
        <w:t xml:space="preserve"> et est calculé selon l’équation suivante : </w:t>
      </w:r>
    </w:p>
    <w:p w:rsidR="00E24DB7" w:rsidRPr="00D53F39" w:rsidRDefault="00E24DB7" w:rsidP="00E24DB7">
      <w:pPr>
        <w:pStyle w:val="SingleTxtG"/>
        <w:spacing w:after="240"/>
        <w:ind w:left="2268"/>
        <w:rPr>
          <w:szCs w:val="24"/>
          <w:lang w:val="es-ES"/>
        </w:rPr>
      </w:pPr>
      <m:oMathPara>
        <m:oMath>
          <m:r>
            <m:rPr>
              <m:nor/>
            </m:rPr>
            <w:rPr>
              <w:rFonts w:asciiTheme="majorBidi" w:hAnsiTheme="majorBidi" w:cstheme="majorBidi"/>
              <w:lang w:val="es-ES"/>
            </w:rPr>
            <m:t>c</m:t>
          </m:r>
          <m:r>
            <m:rPr>
              <m:nor/>
            </m:rPr>
            <w:rPr>
              <w:rFonts w:ascii="Cambria Math" w:hAnsiTheme="majorBidi" w:cstheme="majorBidi"/>
              <w:lang w:val="es-ES"/>
            </w:rPr>
            <m:t xml:space="preserve"> </m:t>
          </m:r>
          <m:r>
            <m:rPr>
              <m:nor/>
            </m:rPr>
            <w:rPr>
              <w:rFonts w:asciiTheme="majorBidi" w:hAnsiTheme="majorBidi" w:cstheme="majorBidi"/>
              <w:lang w:val="es-ES"/>
            </w:rPr>
            <m:t>=</m:t>
          </m:r>
          <m:d>
            <m:dPr>
              <m:begChr m:val="|"/>
              <m:endChr m:val="|"/>
              <m:ctrlPr>
                <w:rPr>
                  <w:rFonts w:ascii="Cambria Math" w:hAnsi="Cambria Math" w:cstheme="majorBidi"/>
                </w:rPr>
              </m:ctrlPr>
            </m:dPr>
            <m:e>
              <m:f>
                <m:fPr>
                  <m:ctrlPr>
                    <w:rPr>
                      <w:rFonts w:ascii="Cambria Math" w:hAnsi="Cambria Math" w:cstheme="majorBidi"/>
                    </w:rPr>
                  </m:ctrlPr>
                </m:fPr>
                <m:num>
                  <m:r>
                    <m:rPr>
                      <m:nor/>
                    </m:rPr>
                    <w:rPr>
                      <w:rFonts w:asciiTheme="majorBidi" w:hAnsiTheme="majorBidi" w:cstheme="majorBidi"/>
                      <w:lang w:val="es-ES"/>
                    </w:rPr>
                    <m:t>∆</m:t>
                  </m:r>
                  <m:sSub>
                    <m:sSubPr>
                      <m:ctrlPr>
                        <w:rPr>
                          <w:rFonts w:ascii="Cambria Math" w:hAnsi="Cambria Math" w:cstheme="majorBidi"/>
                        </w:rPr>
                      </m:ctrlPr>
                    </m:sSubPr>
                    <m:e>
                      <m:r>
                        <m:rPr>
                          <m:nor/>
                        </m:rPr>
                        <w:rPr>
                          <w:rFonts w:asciiTheme="majorBidi" w:hAnsiTheme="majorBidi" w:cstheme="majorBidi"/>
                          <w:lang w:val="es-ES"/>
                        </w:rPr>
                        <m:t>E</m:t>
                      </m:r>
                    </m:e>
                    <m:sub>
                      <m:r>
                        <m:rPr>
                          <m:nor/>
                        </m:rPr>
                        <w:rPr>
                          <w:rFonts w:asciiTheme="majorBidi" w:hAnsiTheme="majorBidi" w:cstheme="majorBidi"/>
                          <w:lang w:val="es-ES"/>
                        </w:rPr>
                        <m:t>REESS,j</m:t>
                      </m:r>
                    </m:sub>
                  </m:sSub>
                </m:num>
                <m:den>
                  <m:sSub>
                    <m:sSubPr>
                      <m:ctrlPr>
                        <w:rPr>
                          <w:rFonts w:ascii="Cambria Math" w:hAnsi="Cambria Math" w:cstheme="majorBidi"/>
                        </w:rPr>
                      </m:ctrlPr>
                    </m:sSubPr>
                    <m:e>
                      <m:r>
                        <m:rPr>
                          <m:nor/>
                        </m:rPr>
                        <w:rPr>
                          <w:rFonts w:asciiTheme="majorBidi" w:hAnsiTheme="majorBidi" w:cstheme="majorBidi"/>
                          <w:lang w:val="es-ES"/>
                        </w:rPr>
                        <m:t>E</m:t>
                      </m:r>
                    </m:e>
                    <m:sub>
                      <m:r>
                        <m:rPr>
                          <m:nor/>
                        </m:rPr>
                        <w:rPr>
                          <w:rFonts w:asciiTheme="majorBidi" w:hAnsiTheme="majorBidi" w:cstheme="majorBidi"/>
                          <w:lang w:val="es-ES"/>
                        </w:rPr>
                        <m:t>fuel</m:t>
                      </m:r>
                    </m:sub>
                  </m:sSub>
                </m:den>
              </m:f>
              <m:ctrlPr>
                <w:rPr>
                  <w:rFonts w:ascii="Cambria Math" w:hAnsi="Cambria Math" w:cstheme="majorBidi"/>
                  <w:i/>
                </w:rPr>
              </m:ctrlPr>
            </m:e>
          </m:d>
        </m:oMath>
      </m:oMathPara>
    </w:p>
    <w:p w:rsidR="00E24DB7" w:rsidRPr="002C5876" w:rsidRDefault="00E24DB7" w:rsidP="00E24DB7">
      <w:pPr>
        <w:pStyle w:val="SingleTxtG"/>
        <w:keepNext/>
        <w:ind w:left="2268"/>
      </w:pPr>
      <w:r w:rsidRPr="002C5876">
        <w:t>où :</w:t>
      </w:r>
    </w:p>
    <w:p w:rsidR="00E24DB7" w:rsidRPr="002C5876" w:rsidRDefault="00E24DB7" w:rsidP="00E24DB7">
      <w:pPr>
        <w:pStyle w:val="SingleTxtG"/>
        <w:ind w:left="3402" w:hanging="1134"/>
      </w:pPr>
      <w:r w:rsidRPr="002C5876">
        <w:t>c</w:t>
      </w:r>
      <w:r w:rsidRPr="002C5876">
        <w:tab/>
        <w:t>est le critère de correction ;</w:t>
      </w:r>
    </w:p>
    <w:p w:rsidR="00E24DB7" w:rsidRPr="002C5876" w:rsidRDefault="00E24DB7" w:rsidP="00E24DB7">
      <w:pPr>
        <w:pStyle w:val="SingleTxtG"/>
        <w:ind w:left="3402" w:hanging="1134"/>
      </w:pPr>
      <w:r w:rsidRPr="002C5876">
        <w:t>∆E</w:t>
      </w:r>
      <w:r w:rsidRPr="002C5876">
        <w:rPr>
          <w:vertAlign w:val="subscript"/>
        </w:rPr>
        <w:t>REESS,j</w:t>
      </w:r>
      <w:r w:rsidRPr="002C5876">
        <w:tab/>
        <w:t>est la variation, déterminée conformément au paragraphe</w:t>
      </w:r>
      <w:r w:rsidR="00776CD8" w:rsidRPr="002C5876">
        <w:t> </w:t>
      </w:r>
      <w:r w:rsidRPr="002C5876">
        <w:t>4.1 du présent appendice, du contenu énergétique du SRSEE sur la période j, en Wh ;</w:t>
      </w:r>
    </w:p>
    <w:p w:rsidR="00E24DB7" w:rsidRPr="002C5876" w:rsidRDefault="00E24DB7" w:rsidP="00E24DB7">
      <w:pPr>
        <w:pStyle w:val="SingleTxtG"/>
        <w:ind w:left="3402" w:hanging="1134"/>
      </w:pPr>
      <w:r w:rsidRPr="002C5876">
        <w:t>j</w:t>
      </w:r>
      <w:r w:rsidRPr="002C5876">
        <w:tab/>
        <w:t>est, dans le présent paragraphe, la totalité du cycle d’essai WLTP applicable ;</w:t>
      </w:r>
    </w:p>
    <w:p w:rsidR="00E24DB7" w:rsidRPr="002C5876" w:rsidRDefault="00E24DB7" w:rsidP="00E24DB7">
      <w:pPr>
        <w:pStyle w:val="SingleTxtG"/>
        <w:keepNext/>
        <w:ind w:left="3402" w:hanging="1134"/>
      </w:pPr>
      <w:r w:rsidRPr="002C5876">
        <w:lastRenderedPageBreak/>
        <w:t>E</w:t>
      </w:r>
      <w:r w:rsidRPr="002C5876">
        <w:rPr>
          <w:vertAlign w:val="subscript"/>
        </w:rPr>
        <w:t>Fuel</w:t>
      </w:r>
      <w:r w:rsidRPr="002C5876">
        <w:tab/>
        <w:t>est le contenu énergétique du carburant, calculé selon l’équation suivante :</w:t>
      </w:r>
    </w:p>
    <w:p w:rsidR="00E24DB7" w:rsidRPr="002C5876" w:rsidRDefault="00731CA6" w:rsidP="00E24DB7">
      <w:pPr>
        <w:pStyle w:val="SingleTxtG"/>
        <w:keepNext/>
        <w:spacing w:after="240"/>
        <w:ind w:left="3175" w:hanging="907"/>
      </w:pPr>
      <m:oMathPara>
        <m:oMath>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fuel</m:t>
              </m:r>
            </m:sub>
          </m:sSub>
          <m:r>
            <m:rPr>
              <m:sty m:val="p"/>
            </m:rPr>
            <w:rPr>
              <w:rFonts w:ascii="Cambria Math" w:hAnsi="Cambria Math" w:cstheme="majorBidi"/>
            </w:rPr>
            <m:t>=10×HV×</m:t>
          </m:r>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nb</m:t>
              </m:r>
            </m:sub>
          </m:sSub>
          <m:r>
            <m:rPr>
              <m:sty m:val="p"/>
            </m:rPr>
            <w:rPr>
              <w:rFonts w:ascii="Cambria Math" w:hAnsi="Cambria Math" w:cstheme="majorBidi"/>
            </w:rPr>
            <m:t>×d</m:t>
          </m:r>
        </m:oMath>
      </m:oMathPara>
    </w:p>
    <w:p w:rsidR="00E24DB7" w:rsidRPr="002C5876" w:rsidRDefault="00E24DB7" w:rsidP="00E24DB7">
      <w:pPr>
        <w:pStyle w:val="SingleTxtG"/>
        <w:keepNext/>
        <w:ind w:left="2268"/>
        <w:rPr>
          <w:szCs w:val="24"/>
        </w:rPr>
      </w:pPr>
      <w:r w:rsidRPr="002C5876">
        <w:rPr>
          <w:szCs w:val="24"/>
        </w:rPr>
        <w:t>où :</w:t>
      </w:r>
    </w:p>
    <w:p w:rsidR="00E24DB7" w:rsidRPr="002C5876" w:rsidRDefault="00E24DB7" w:rsidP="00E24DB7">
      <w:pPr>
        <w:pStyle w:val="SingleTxtG"/>
        <w:ind w:left="3402" w:hanging="1134"/>
      </w:pPr>
      <w:r w:rsidRPr="002C5876">
        <w:t>E</w:t>
      </w:r>
      <w:r w:rsidRPr="002C5876">
        <w:rPr>
          <w:vertAlign w:val="subscript"/>
        </w:rPr>
        <w:t>Fuel</w:t>
      </w:r>
      <w:r w:rsidRPr="002C5876">
        <w:tab/>
        <w:t>est le contenu énergétique du carburant consommé, en Wh, au cours du cycle d’essai WLTP applicable ;</w:t>
      </w:r>
    </w:p>
    <w:p w:rsidR="00E24DB7" w:rsidRPr="002C5876" w:rsidRDefault="00E24DB7" w:rsidP="00E24DB7">
      <w:pPr>
        <w:pStyle w:val="SingleTxtG"/>
        <w:ind w:left="3402" w:hanging="1134"/>
      </w:pPr>
      <w:r w:rsidRPr="002C5876">
        <w:t>HV</w:t>
      </w:r>
      <w:r w:rsidRPr="002C5876">
        <w:tab/>
        <w:t>est le pouvoir calorifique, en kWh/l, selon le tableau A6.App2/1 ;</w:t>
      </w:r>
    </w:p>
    <w:p w:rsidR="00E24DB7" w:rsidRPr="002C5876" w:rsidRDefault="00E24DB7" w:rsidP="00E24DB7">
      <w:pPr>
        <w:pStyle w:val="SingleTxtG"/>
        <w:ind w:left="3402" w:hanging="1134"/>
      </w:pPr>
      <w:r w:rsidRPr="002C5876">
        <w:t>FC</w:t>
      </w:r>
      <w:r w:rsidRPr="002C5876">
        <w:rPr>
          <w:vertAlign w:val="subscript"/>
        </w:rPr>
        <w:t>nb</w:t>
      </w:r>
      <w:r w:rsidRPr="002C5876">
        <w:tab/>
        <w:t>est la consommation non compensée de carburant pour l’essai de type 1, non corrigée du bilan énergétique, déterminée conformément au paragraphe 6 de l’annexe 7 et à l’aide des résultats obtenus pour les émissions de référence et le CO</w:t>
      </w:r>
      <w:r w:rsidRPr="002C5876">
        <w:rPr>
          <w:vertAlign w:val="subscript"/>
        </w:rPr>
        <w:t>2</w:t>
      </w:r>
      <w:r w:rsidRPr="002C5876">
        <w:t xml:space="preserve"> à l’étape 2 du tableau A7/1, en l/100 km ;</w:t>
      </w:r>
    </w:p>
    <w:p w:rsidR="00E24DB7" w:rsidRPr="002C5876" w:rsidRDefault="00E24DB7" w:rsidP="00E24DB7">
      <w:pPr>
        <w:pStyle w:val="SingleTxtG"/>
        <w:ind w:left="3402" w:hanging="1134"/>
      </w:pPr>
      <w:r w:rsidRPr="002C5876">
        <w:t>d</w:t>
      </w:r>
      <w:r w:rsidRPr="002C5876">
        <w:tab/>
        <w:t>est la distance parcourue, en km, au cours du cycle d’essai applicable WLTP ;</w:t>
      </w:r>
    </w:p>
    <w:p w:rsidR="00E24DB7" w:rsidRPr="002C5876" w:rsidRDefault="00E24DB7" w:rsidP="00E24DB7">
      <w:pPr>
        <w:pStyle w:val="SingleTxtG"/>
        <w:ind w:left="3402" w:hanging="1134"/>
      </w:pPr>
      <w:r w:rsidRPr="002C5876">
        <w:t>10</w:t>
      </w:r>
      <w:r w:rsidRPr="002C5876">
        <w:tab/>
        <w:t>est le facteur de conversion, en Wh.</w:t>
      </w:r>
    </w:p>
    <w:p w:rsidR="00E24DB7" w:rsidRPr="002C5876" w:rsidRDefault="00E24DB7" w:rsidP="00E24DB7">
      <w:pPr>
        <w:pStyle w:val="SingleTxtG"/>
        <w:ind w:left="2268" w:hanging="1134"/>
        <w:rPr>
          <w:szCs w:val="24"/>
        </w:rPr>
      </w:pPr>
      <w:r w:rsidRPr="002C5876">
        <w:t>3.4.2</w:t>
      </w:r>
      <w:r w:rsidRPr="002C5876">
        <w:tab/>
      </w:r>
      <w:r w:rsidRPr="002C5876">
        <w:rPr>
          <w:szCs w:val="24"/>
        </w:rPr>
        <w:t xml:space="preserve">La correction est appliquée si </w:t>
      </w:r>
      <w:r w:rsidRPr="002C5876">
        <w:t>∆E</w:t>
      </w:r>
      <w:r w:rsidRPr="002C5876">
        <w:rPr>
          <w:vertAlign w:val="subscript"/>
        </w:rPr>
        <w:t>REESS</w:t>
      </w:r>
      <w:r w:rsidRPr="002C5876">
        <w:rPr>
          <w:szCs w:val="24"/>
        </w:rPr>
        <w:t xml:space="preserve"> a une valeur négative (correspondant à la décharge du SRSEE) et que le critère de correction c calculé conformément au paragraphe 3.4.1 du présent appendice est supérieur au seuil applicable selon le tableau A6.App2/2.</w:t>
      </w:r>
    </w:p>
    <w:p w:rsidR="00E24DB7" w:rsidRPr="002C5876" w:rsidRDefault="00E24DB7" w:rsidP="00E24DB7">
      <w:pPr>
        <w:pStyle w:val="SingleTxtG"/>
        <w:ind w:left="2268" w:hanging="1134"/>
        <w:rPr>
          <w:spacing w:val="2"/>
          <w:szCs w:val="24"/>
        </w:rPr>
      </w:pPr>
      <w:r w:rsidRPr="002C5876">
        <w:rPr>
          <w:spacing w:val="2"/>
          <w:szCs w:val="24"/>
        </w:rPr>
        <w:t>3.4.3</w:t>
      </w:r>
      <w:r w:rsidRPr="002C5876">
        <w:rPr>
          <w:spacing w:val="2"/>
          <w:szCs w:val="24"/>
        </w:rPr>
        <w:tab/>
        <w:t xml:space="preserve">La correction est omise et les valeurs non corrigées sont utilisées si le </w:t>
      </w:r>
      <w:r w:rsidRPr="002C5876">
        <w:rPr>
          <w:szCs w:val="24"/>
        </w:rPr>
        <w:t>critère de correction c calculé conformément au paragraphe 3.4.1 du présent appendice est inférieur</w:t>
      </w:r>
      <w:r w:rsidRPr="002C5876">
        <w:rPr>
          <w:spacing w:val="2"/>
          <w:szCs w:val="24"/>
        </w:rPr>
        <w:t xml:space="preserve"> </w:t>
      </w:r>
      <w:r w:rsidRPr="002C5876">
        <w:rPr>
          <w:szCs w:val="24"/>
        </w:rPr>
        <w:t>au seuil applicable selon le tableau A6.App2/2.</w:t>
      </w:r>
    </w:p>
    <w:p w:rsidR="00E24DB7" w:rsidRPr="002C5876" w:rsidRDefault="00E24DB7" w:rsidP="00E24DB7">
      <w:pPr>
        <w:pStyle w:val="SingleTxtG"/>
        <w:keepNext/>
        <w:ind w:left="2268" w:hanging="1134"/>
        <w:rPr>
          <w:szCs w:val="24"/>
        </w:rPr>
      </w:pPr>
      <w:r w:rsidRPr="002C5876">
        <w:rPr>
          <w:szCs w:val="24"/>
        </w:rPr>
        <w:t>3.4.4</w:t>
      </w:r>
      <w:r w:rsidRPr="002C5876">
        <w:rPr>
          <w:szCs w:val="24"/>
        </w:rPr>
        <w:tab/>
        <w:t xml:space="preserve">La correction peut être omise et </w:t>
      </w:r>
      <w:r w:rsidRPr="002C5876">
        <w:rPr>
          <w:spacing w:val="2"/>
          <w:szCs w:val="24"/>
        </w:rPr>
        <w:t>les valeurs non corrigées peuvent être utilisées</w:t>
      </w:r>
      <w:r w:rsidRPr="002C5876">
        <w:rPr>
          <w:szCs w:val="24"/>
        </w:rPr>
        <w:t xml:space="preserve"> si :</w:t>
      </w:r>
    </w:p>
    <w:p w:rsidR="00E24DB7" w:rsidRPr="002C5876" w:rsidRDefault="00E24DB7" w:rsidP="00E24DB7">
      <w:pPr>
        <w:pStyle w:val="SingleTxtG"/>
        <w:ind w:left="2835" w:hanging="567"/>
        <w:rPr>
          <w:szCs w:val="24"/>
        </w:rPr>
      </w:pPr>
      <w:r w:rsidRPr="002C5876">
        <w:rPr>
          <w:szCs w:val="24"/>
        </w:rPr>
        <w:t>a)</w:t>
      </w:r>
      <w:r w:rsidRPr="002C5876">
        <w:rPr>
          <w:szCs w:val="24"/>
        </w:rPr>
        <w:tab/>
      </w:r>
      <w:r w:rsidRPr="002C5876">
        <w:t>∆E</w:t>
      </w:r>
      <w:r w:rsidRPr="002C5876">
        <w:rPr>
          <w:vertAlign w:val="subscript"/>
        </w:rPr>
        <w:t>REESS</w:t>
      </w:r>
      <w:r w:rsidRPr="002C5876">
        <w:rPr>
          <w:szCs w:val="24"/>
        </w:rPr>
        <w:t xml:space="preserve"> a une valeur positive (</w:t>
      </w:r>
      <w:r w:rsidRPr="002C5876">
        <w:t>correspondant à un SRSEE en cours de charge</w:t>
      </w:r>
      <w:r w:rsidRPr="002C5876">
        <w:rPr>
          <w:szCs w:val="24"/>
        </w:rPr>
        <w:t>) et le critère de correction c calculé conformément au paragraphe 3.4.1 du présent appendice est supérieur au seuil applicable selon le tableau A6.App2/2 ;</w:t>
      </w:r>
    </w:p>
    <w:p w:rsidR="00E24DB7" w:rsidRPr="002C5876" w:rsidRDefault="00E24DB7" w:rsidP="00E24DB7">
      <w:pPr>
        <w:pStyle w:val="SingleTxtG"/>
        <w:keepLines/>
        <w:ind w:left="2835" w:hanging="567"/>
        <w:rPr>
          <w:szCs w:val="24"/>
        </w:rPr>
      </w:pPr>
      <w:r w:rsidRPr="002C5876">
        <w:rPr>
          <w:szCs w:val="24"/>
        </w:rPr>
        <w:t>b)</w:t>
      </w:r>
      <w:r w:rsidRPr="002C5876">
        <w:rPr>
          <w:szCs w:val="24"/>
        </w:rPr>
        <w:tab/>
        <w:t xml:space="preserve">Le constructeur peut prouver à l’autorité compétente, au moyen d’une mesure, qu’il n’y a ni relation entre </w:t>
      </w:r>
      <w:r w:rsidRPr="002C5876">
        <w:t>∆E</w:t>
      </w:r>
      <w:r w:rsidRPr="002C5876">
        <w:rPr>
          <w:vertAlign w:val="subscript"/>
        </w:rPr>
        <w:t>REESS</w:t>
      </w:r>
      <w:r w:rsidRPr="002C5876">
        <w:rPr>
          <w:szCs w:val="24"/>
        </w:rPr>
        <w:t xml:space="preserve"> et les émissions massiques de </w:t>
      </w: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m:t>
            </m:r>
          </m:sub>
        </m:sSub>
      </m:oMath>
      <w:r w:rsidRPr="002C5876">
        <w:rPr>
          <w:szCs w:val="24"/>
        </w:rPr>
        <w:t xml:space="preserve"> ni entre </w:t>
      </w:r>
      <w:r w:rsidRPr="002C5876">
        <w:t>∆E</w:t>
      </w:r>
      <w:r w:rsidRPr="002C5876">
        <w:rPr>
          <w:vertAlign w:val="subscript"/>
        </w:rPr>
        <w:t>REESS</w:t>
      </w:r>
      <w:r w:rsidRPr="002C5876">
        <w:rPr>
          <w:szCs w:val="24"/>
        </w:rPr>
        <w:t xml:space="preserve"> et la consommation de carburant.</w:t>
      </w:r>
    </w:p>
    <w:p w:rsidR="00E24DB7" w:rsidRPr="002C5876" w:rsidRDefault="00E24DB7" w:rsidP="00E24DB7">
      <w:pPr>
        <w:pStyle w:val="H23G"/>
        <w:ind w:left="0" w:firstLine="0"/>
      </w:pPr>
      <w:r w:rsidRPr="002C5876">
        <w:rPr>
          <w:b w:val="0"/>
        </w:rPr>
        <w:t>Tableau A6.App2/1</w:t>
      </w:r>
      <w:r w:rsidRPr="002C5876">
        <w:t xml:space="preserve"> </w:t>
      </w:r>
      <w:r w:rsidRPr="002C5876">
        <w:br/>
        <w:t>Contenu énergétique du carburant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9"/>
        <w:gridCol w:w="638"/>
        <w:gridCol w:w="638"/>
        <w:gridCol w:w="638"/>
        <w:gridCol w:w="639"/>
        <w:gridCol w:w="638"/>
        <w:gridCol w:w="638"/>
        <w:gridCol w:w="650"/>
        <w:gridCol w:w="628"/>
        <w:gridCol w:w="638"/>
        <w:gridCol w:w="638"/>
        <w:gridCol w:w="638"/>
        <w:gridCol w:w="639"/>
      </w:tblGrid>
      <w:tr w:rsidR="00E24DB7" w:rsidRPr="002C5876" w:rsidTr="00E24DB7">
        <w:trPr>
          <w:trHeight w:val="358"/>
          <w:tblHeader/>
        </w:trPr>
        <w:tc>
          <w:tcPr>
            <w:tcW w:w="1979" w:type="dxa"/>
            <w:tcBorders>
              <w:bottom w:val="single" w:sz="12" w:space="0" w:color="auto"/>
            </w:tcBorders>
            <w:shd w:val="clear" w:color="auto" w:fill="auto"/>
            <w:vAlign w:val="bottom"/>
          </w:tcPr>
          <w:p w:rsidR="00E24DB7" w:rsidRPr="002C5876" w:rsidRDefault="00E24DB7" w:rsidP="00E24DB7">
            <w:pPr>
              <w:suppressAutoHyphens w:val="0"/>
              <w:spacing w:before="80" w:after="80" w:line="200" w:lineRule="exact"/>
              <w:ind w:left="57" w:right="57"/>
              <w:rPr>
                <w:i/>
                <w:sz w:val="16"/>
              </w:rPr>
            </w:pPr>
            <w:r w:rsidRPr="002C5876">
              <w:rPr>
                <w:i/>
                <w:sz w:val="16"/>
              </w:rPr>
              <w:t>Carburant</w:t>
            </w:r>
          </w:p>
        </w:tc>
        <w:tc>
          <w:tcPr>
            <w:tcW w:w="4479" w:type="dxa"/>
            <w:gridSpan w:val="7"/>
            <w:tcBorders>
              <w:bottom w:val="single" w:sz="12" w:space="0" w:color="auto"/>
            </w:tcBorders>
            <w:shd w:val="clear" w:color="auto" w:fill="auto"/>
            <w:vAlign w:val="bottom"/>
          </w:tcPr>
          <w:p w:rsidR="00E24DB7" w:rsidRPr="002C5876" w:rsidRDefault="00E24DB7" w:rsidP="00E24DB7">
            <w:pPr>
              <w:suppressAutoHyphens w:val="0"/>
              <w:spacing w:before="80" w:after="80" w:line="200" w:lineRule="exact"/>
              <w:ind w:left="57" w:right="57"/>
              <w:jc w:val="center"/>
              <w:rPr>
                <w:i/>
                <w:sz w:val="16"/>
              </w:rPr>
            </w:pPr>
            <w:r w:rsidRPr="002C5876">
              <w:rPr>
                <w:i/>
                <w:sz w:val="16"/>
              </w:rPr>
              <w:t>Essence</w:t>
            </w:r>
          </w:p>
        </w:tc>
        <w:tc>
          <w:tcPr>
            <w:tcW w:w="3181" w:type="dxa"/>
            <w:gridSpan w:val="5"/>
            <w:tcBorders>
              <w:bottom w:val="single" w:sz="12" w:space="0" w:color="auto"/>
            </w:tcBorders>
            <w:shd w:val="clear" w:color="auto" w:fill="auto"/>
            <w:vAlign w:val="bottom"/>
          </w:tcPr>
          <w:p w:rsidR="00E24DB7" w:rsidRPr="002C5876" w:rsidRDefault="00E24DB7" w:rsidP="00E24DB7">
            <w:pPr>
              <w:suppressAutoHyphens w:val="0"/>
              <w:spacing w:before="80" w:after="80" w:line="200" w:lineRule="exact"/>
              <w:ind w:left="57" w:right="57"/>
              <w:jc w:val="center"/>
              <w:rPr>
                <w:i/>
                <w:sz w:val="16"/>
              </w:rPr>
            </w:pPr>
            <w:r w:rsidRPr="002C5876">
              <w:rPr>
                <w:i/>
                <w:sz w:val="16"/>
              </w:rPr>
              <w:t>Gazole</w:t>
            </w:r>
          </w:p>
        </w:tc>
      </w:tr>
      <w:tr w:rsidR="00E24DB7" w:rsidRPr="002C5876" w:rsidTr="00E24DB7">
        <w:tc>
          <w:tcPr>
            <w:tcW w:w="1979" w:type="dxa"/>
            <w:tcBorders>
              <w:top w:val="single" w:sz="12" w:space="0" w:color="auto"/>
              <w:bottom w:val="single" w:sz="4" w:space="0" w:color="auto"/>
            </w:tcBorders>
            <w:shd w:val="clear" w:color="auto" w:fill="auto"/>
          </w:tcPr>
          <w:p w:rsidR="00E24DB7" w:rsidRPr="002C5876" w:rsidRDefault="00E24DB7" w:rsidP="00E24DB7">
            <w:pPr>
              <w:suppressAutoHyphens w:val="0"/>
              <w:spacing w:before="60" w:after="60" w:line="240" w:lineRule="auto"/>
              <w:ind w:left="57" w:right="57"/>
              <w:rPr>
                <w:sz w:val="18"/>
                <w:szCs w:val="18"/>
              </w:rPr>
            </w:pPr>
            <w:r w:rsidRPr="002C5876">
              <w:rPr>
                <w:sz w:val="18"/>
                <w:szCs w:val="18"/>
              </w:rPr>
              <w:t xml:space="preserve">Teneur </w:t>
            </w:r>
            <w:r w:rsidRPr="002C5876">
              <w:rPr>
                <w:sz w:val="18"/>
                <w:szCs w:val="18"/>
              </w:rPr>
              <w:br/>
              <w:t>éthanol/biogazole, %</w:t>
            </w:r>
          </w:p>
        </w:tc>
        <w:tc>
          <w:tcPr>
            <w:tcW w:w="638" w:type="dxa"/>
            <w:tcBorders>
              <w:top w:val="single" w:sz="12" w:space="0" w:color="auto"/>
              <w:bottom w:val="single" w:sz="4" w:space="0" w:color="auto"/>
            </w:tcBorders>
            <w:shd w:val="clear" w:color="auto" w:fill="auto"/>
            <w:vAlign w:val="bottom"/>
          </w:tcPr>
          <w:p w:rsidR="00E24DB7" w:rsidRPr="002C5876" w:rsidRDefault="00E24DB7" w:rsidP="00E9513C">
            <w:pPr>
              <w:suppressAutoHyphens w:val="0"/>
              <w:spacing w:before="60" w:after="60" w:line="240" w:lineRule="auto"/>
              <w:ind w:left="57" w:right="57"/>
              <w:rPr>
                <w:sz w:val="18"/>
                <w:szCs w:val="18"/>
              </w:rPr>
            </w:pPr>
            <w:r w:rsidRPr="002C5876">
              <w:rPr>
                <w:sz w:val="18"/>
                <w:szCs w:val="18"/>
              </w:rPr>
              <w:t>E0</w:t>
            </w:r>
          </w:p>
        </w:tc>
        <w:tc>
          <w:tcPr>
            <w:tcW w:w="638" w:type="dxa"/>
            <w:tcBorders>
              <w:top w:val="single" w:sz="12" w:space="0" w:color="auto"/>
              <w:bottom w:val="single" w:sz="4" w:space="0" w:color="auto"/>
            </w:tcBorders>
            <w:shd w:val="clear" w:color="auto" w:fill="auto"/>
            <w:vAlign w:val="bottom"/>
          </w:tcPr>
          <w:p w:rsidR="00E24DB7" w:rsidRPr="002C5876" w:rsidRDefault="00E24DB7" w:rsidP="00E9513C">
            <w:pPr>
              <w:suppressAutoHyphens w:val="0"/>
              <w:spacing w:before="60" w:after="60" w:line="240" w:lineRule="auto"/>
              <w:ind w:left="57" w:right="57"/>
              <w:rPr>
                <w:sz w:val="18"/>
                <w:szCs w:val="18"/>
              </w:rPr>
            </w:pPr>
            <w:r w:rsidRPr="002C5876">
              <w:rPr>
                <w:sz w:val="18"/>
                <w:szCs w:val="18"/>
              </w:rPr>
              <w:t>E5</w:t>
            </w:r>
          </w:p>
        </w:tc>
        <w:tc>
          <w:tcPr>
            <w:tcW w:w="638" w:type="dxa"/>
            <w:tcBorders>
              <w:top w:val="single" w:sz="12" w:space="0" w:color="auto"/>
              <w:bottom w:val="single" w:sz="4" w:space="0" w:color="auto"/>
            </w:tcBorders>
            <w:shd w:val="clear" w:color="auto" w:fill="auto"/>
            <w:vAlign w:val="bottom"/>
          </w:tcPr>
          <w:p w:rsidR="00E24DB7" w:rsidRPr="002C5876" w:rsidRDefault="00E24DB7" w:rsidP="00E9513C">
            <w:pPr>
              <w:suppressAutoHyphens w:val="0"/>
              <w:spacing w:before="60" w:after="60" w:line="240" w:lineRule="auto"/>
              <w:ind w:left="57" w:right="57"/>
              <w:rPr>
                <w:sz w:val="18"/>
                <w:szCs w:val="18"/>
              </w:rPr>
            </w:pPr>
            <w:r w:rsidRPr="002C5876">
              <w:rPr>
                <w:sz w:val="18"/>
                <w:szCs w:val="18"/>
              </w:rPr>
              <w:t>E10</w:t>
            </w:r>
          </w:p>
        </w:tc>
        <w:tc>
          <w:tcPr>
            <w:tcW w:w="639" w:type="dxa"/>
            <w:tcBorders>
              <w:top w:val="single" w:sz="12" w:space="0" w:color="auto"/>
              <w:bottom w:val="single" w:sz="4" w:space="0" w:color="auto"/>
            </w:tcBorders>
            <w:shd w:val="clear" w:color="auto" w:fill="auto"/>
            <w:vAlign w:val="bottom"/>
          </w:tcPr>
          <w:p w:rsidR="00E24DB7" w:rsidRPr="002C5876" w:rsidRDefault="00E24DB7" w:rsidP="00E9513C">
            <w:pPr>
              <w:suppressAutoHyphens w:val="0"/>
              <w:spacing w:before="60" w:after="60" w:line="240" w:lineRule="auto"/>
              <w:ind w:left="57" w:right="57"/>
              <w:rPr>
                <w:sz w:val="18"/>
                <w:szCs w:val="18"/>
              </w:rPr>
            </w:pPr>
            <w:r w:rsidRPr="002C5876">
              <w:rPr>
                <w:sz w:val="18"/>
                <w:szCs w:val="18"/>
              </w:rPr>
              <w:t>E15</w:t>
            </w:r>
          </w:p>
        </w:tc>
        <w:tc>
          <w:tcPr>
            <w:tcW w:w="638" w:type="dxa"/>
            <w:tcBorders>
              <w:top w:val="single" w:sz="12" w:space="0" w:color="auto"/>
              <w:bottom w:val="single" w:sz="4" w:space="0" w:color="auto"/>
            </w:tcBorders>
            <w:shd w:val="clear" w:color="auto" w:fill="auto"/>
            <w:vAlign w:val="bottom"/>
          </w:tcPr>
          <w:p w:rsidR="00E24DB7" w:rsidRPr="002C5876" w:rsidRDefault="00E24DB7" w:rsidP="00E9513C">
            <w:pPr>
              <w:suppressAutoHyphens w:val="0"/>
              <w:spacing w:before="60" w:after="60" w:line="240" w:lineRule="auto"/>
              <w:ind w:left="57" w:right="57"/>
              <w:rPr>
                <w:sz w:val="18"/>
                <w:szCs w:val="18"/>
              </w:rPr>
            </w:pPr>
            <w:r w:rsidRPr="002C5876">
              <w:rPr>
                <w:sz w:val="18"/>
                <w:szCs w:val="18"/>
              </w:rPr>
              <w:t>E22</w:t>
            </w:r>
          </w:p>
        </w:tc>
        <w:tc>
          <w:tcPr>
            <w:tcW w:w="638" w:type="dxa"/>
            <w:tcBorders>
              <w:top w:val="single" w:sz="12" w:space="0" w:color="auto"/>
              <w:bottom w:val="single" w:sz="4" w:space="0" w:color="auto"/>
            </w:tcBorders>
            <w:shd w:val="clear" w:color="auto" w:fill="auto"/>
            <w:vAlign w:val="bottom"/>
          </w:tcPr>
          <w:p w:rsidR="00E24DB7" w:rsidRPr="002C5876" w:rsidRDefault="00E24DB7" w:rsidP="00E9513C">
            <w:pPr>
              <w:suppressAutoHyphens w:val="0"/>
              <w:spacing w:before="60" w:after="60" w:line="240" w:lineRule="auto"/>
              <w:ind w:left="57" w:right="57"/>
              <w:rPr>
                <w:sz w:val="18"/>
                <w:szCs w:val="18"/>
              </w:rPr>
            </w:pPr>
            <w:r w:rsidRPr="002C5876">
              <w:rPr>
                <w:sz w:val="18"/>
                <w:szCs w:val="18"/>
              </w:rPr>
              <w:t>E85</w:t>
            </w:r>
          </w:p>
        </w:tc>
        <w:tc>
          <w:tcPr>
            <w:tcW w:w="650" w:type="dxa"/>
            <w:tcBorders>
              <w:top w:val="single" w:sz="12" w:space="0" w:color="auto"/>
              <w:bottom w:val="single" w:sz="4" w:space="0" w:color="auto"/>
            </w:tcBorders>
            <w:shd w:val="clear" w:color="auto" w:fill="auto"/>
            <w:vAlign w:val="bottom"/>
          </w:tcPr>
          <w:p w:rsidR="00E24DB7" w:rsidRPr="002C5876" w:rsidRDefault="00E24DB7" w:rsidP="00E9513C">
            <w:pPr>
              <w:suppressAutoHyphens w:val="0"/>
              <w:spacing w:before="60" w:after="60" w:line="240" w:lineRule="auto"/>
              <w:ind w:left="57" w:right="57"/>
              <w:rPr>
                <w:sz w:val="18"/>
                <w:szCs w:val="18"/>
              </w:rPr>
            </w:pPr>
            <w:r w:rsidRPr="002C5876">
              <w:rPr>
                <w:sz w:val="18"/>
                <w:szCs w:val="18"/>
              </w:rPr>
              <w:t>E100</w:t>
            </w:r>
          </w:p>
        </w:tc>
        <w:tc>
          <w:tcPr>
            <w:tcW w:w="628" w:type="dxa"/>
            <w:tcBorders>
              <w:top w:val="single" w:sz="12" w:space="0" w:color="auto"/>
              <w:bottom w:val="single" w:sz="4" w:space="0" w:color="auto"/>
            </w:tcBorders>
            <w:shd w:val="clear" w:color="auto" w:fill="auto"/>
            <w:vAlign w:val="bottom"/>
          </w:tcPr>
          <w:p w:rsidR="00E24DB7" w:rsidRPr="002C5876" w:rsidRDefault="00E24DB7" w:rsidP="00E9513C">
            <w:pPr>
              <w:suppressAutoHyphens w:val="0"/>
              <w:spacing w:before="60" w:after="60" w:line="240" w:lineRule="auto"/>
              <w:ind w:left="57" w:right="57"/>
              <w:rPr>
                <w:sz w:val="18"/>
                <w:szCs w:val="18"/>
              </w:rPr>
            </w:pPr>
            <w:r w:rsidRPr="002C5876">
              <w:rPr>
                <w:sz w:val="18"/>
                <w:szCs w:val="18"/>
              </w:rPr>
              <w:t>B0</w:t>
            </w:r>
          </w:p>
        </w:tc>
        <w:tc>
          <w:tcPr>
            <w:tcW w:w="638" w:type="dxa"/>
            <w:tcBorders>
              <w:top w:val="single" w:sz="12" w:space="0" w:color="auto"/>
              <w:bottom w:val="single" w:sz="4" w:space="0" w:color="auto"/>
            </w:tcBorders>
            <w:shd w:val="clear" w:color="auto" w:fill="auto"/>
            <w:vAlign w:val="bottom"/>
          </w:tcPr>
          <w:p w:rsidR="00E24DB7" w:rsidRPr="002C5876" w:rsidRDefault="00E24DB7" w:rsidP="00E9513C">
            <w:pPr>
              <w:suppressAutoHyphens w:val="0"/>
              <w:spacing w:before="60" w:after="60" w:line="240" w:lineRule="auto"/>
              <w:ind w:left="57" w:right="57"/>
              <w:rPr>
                <w:sz w:val="18"/>
                <w:szCs w:val="18"/>
              </w:rPr>
            </w:pPr>
            <w:r w:rsidRPr="002C5876">
              <w:rPr>
                <w:sz w:val="18"/>
                <w:szCs w:val="18"/>
              </w:rPr>
              <w:t>B5</w:t>
            </w:r>
          </w:p>
        </w:tc>
        <w:tc>
          <w:tcPr>
            <w:tcW w:w="638" w:type="dxa"/>
            <w:tcBorders>
              <w:top w:val="single" w:sz="12" w:space="0" w:color="auto"/>
              <w:bottom w:val="single" w:sz="4" w:space="0" w:color="auto"/>
            </w:tcBorders>
            <w:shd w:val="clear" w:color="auto" w:fill="auto"/>
            <w:vAlign w:val="bottom"/>
          </w:tcPr>
          <w:p w:rsidR="00E24DB7" w:rsidRPr="002C5876" w:rsidRDefault="00E24DB7" w:rsidP="00E9513C">
            <w:pPr>
              <w:suppressAutoHyphens w:val="0"/>
              <w:spacing w:before="60" w:after="60" w:line="240" w:lineRule="auto"/>
              <w:ind w:left="57" w:right="57"/>
              <w:rPr>
                <w:sz w:val="18"/>
                <w:szCs w:val="18"/>
              </w:rPr>
            </w:pPr>
            <w:r w:rsidRPr="002C5876">
              <w:rPr>
                <w:sz w:val="18"/>
                <w:szCs w:val="18"/>
              </w:rPr>
              <w:t>B7</w:t>
            </w:r>
          </w:p>
        </w:tc>
        <w:tc>
          <w:tcPr>
            <w:tcW w:w="638" w:type="dxa"/>
            <w:tcBorders>
              <w:top w:val="single" w:sz="12" w:space="0" w:color="auto"/>
              <w:bottom w:val="single" w:sz="4" w:space="0" w:color="auto"/>
            </w:tcBorders>
            <w:shd w:val="clear" w:color="auto" w:fill="auto"/>
            <w:vAlign w:val="bottom"/>
          </w:tcPr>
          <w:p w:rsidR="00E24DB7" w:rsidRPr="002C5876" w:rsidRDefault="00E24DB7" w:rsidP="00E9513C">
            <w:pPr>
              <w:suppressAutoHyphens w:val="0"/>
              <w:spacing w:before="60" w:after="60" w:line="240" w:lineRule="auto"/>
              <w:ind w:left="57" w:right="57"/>
              <w:rPr>
                <w:sz w:val="18"/>
                <w:szCs w:val="18"/>
              </w:rPr>
            </w:pPr>
            <w:r w:rsidRPr="002C5876">
              <w:rPr>
                <w:sz w:val="18"/>
                <w:szCs w:val="18"/>
              </w:rPr>
              <w:t>B20</w:t>
            </w:r>
          </w:p>
        </w:tc>
        <w:tc>
          <w:tcPr>
            <w:tcW w:w="639" w:type="dxa"/>
            <w:tcBorders>
              <w:top w:val="single" w:sz="12" w:space="0" w:color="auto"/>
              <w:bottom w:val="single" w:sz="4" w:space="0" w:color="auto"/>
            </w:tcBorders>
            <w:shd w:val="clear" w:color="auto" w:fill="auto"/>
            <w:vAlign w:val="bottom"/>
          </w:tcPr>
          <w:p w:rsidR="00E24DB7" w:rsidRPr="002C5876" w:rsidRDefault="00E24DB7" w:rsidP="00E9513C">
            <w:pPr>
              <w:suppressAutoHyphens w:val="0"/>
              <w:spacing w:before="60" w:after="60" w:line="240" w:lineRule="auto"/>
              <w:ind w:left="57" w:right="57"/>
              <w:rPr>
                <w:sz w:val="18"/>
                <w:szCs w:val="18"/>
              </w:rPr>
            </w:pPr>
            <w:r w:rsidRPr="002C5876">
              <w:rPr>
                <w:sz w:val="18"/>
                <w:szCs w:val="18"/>
              </w:rPr>
              <w:t>B100</w:t>
            </w:r>
          </w:p>
        </w:tc>
      </w:tr>
      <w:tr w:rsidR="00E24DB7" w:rsidRPr="002C5876" w:rsidTr="00E24DB7">
        <w:tc>
          <w:tcPr>
            <w:tcW w:w="1979" w:type="dxa"/>
            <w:tcBorders>
              <w:bottom w:val="single" w:sz="12" w:space="0" w:color="auto"/>
            </w:tcBorders>
            <w:shd w:val="clear" w:color="auto" w:fill="auto"/>
          </w:tcPr>
          <w:p w:rsidR="00E24DB7" w:rsidRPr="002C5876" w:rsidRDefault="00E24DB7" w:rsidP="00E24DB7">
            <w:pPr>
              <w:suppressAutoHyphens w:val="0"/>
              <w:spacing w:before="60" w:after="60" w:line="240" w:lineRule="auto"/>
              <w:ind w:left="57" w:right="57"/>
              <w:rPr>
                <w:sz w:val="18"/>
                <w:szCs w:val="18"/>
              </w:rPr>
            </w:pPr>
            <w:r w:rsidRPr="002C5876">
              <w:rPr>
                <w:sz w:val="18"/>
                <w:szCs w:val="18"/>
              </w:rPr>
              <w:t>Pouvoir calorifique (kWh/l)</w:t>
            </w:r>
          </w:p>
        </w:tc>
        <w:tc>
          <w:tcPr>
            <w:tcW w:w="638" w:type="dxa"/>
            <w:tcBorders>
              <w:bottom w:val="single" w:sz="12" w:space="0" w:color="auto"/>
            </w:tcBorders>
            <w:shd w:val="clear" w:color="auto" w:fill="auto"/>
            <w:vAlign w:val="bottom"/>
          </w:tcPr>
          <w:p w:rsidR="00E24DB7" w:rsidRPr="002C5876" w:rsidRDefault="00E24DB7" w:rsidP="00E9513C">
            <w:pPr>
              <w:suppressAutoHyphens w:val="0"/>
              <w:spacing w:before="60" w:after="60" w:line="240" w:lineRule="auto"/>
              <w:ind w:left="57" w:right="57"/>
              <w:rPr>
                <w:sz w:val="18"/>
                <w:szCs w:val="18"/>
              </w:rPr>
            </w:pPr>
            <w:r w:rsidRPr="002C5876">
              <w:rPr>
                <w:sz w:val="18"/>
                <w:szCs w:val="18"/>
              </w:rPr>
              <w:t>8,92</w:t>
            </w:r>
          </w:p>
        </w:tc>
        <w:tc>
          <w:tcPr>
            <w:tcW w:w="638" w:type="dxa"/>
            <w:tcBorders>
              <w:bottom w:val="single" w:sz="12" w:space="0" w:color="auto"/>
            </w:tcBorders>
            <w:shd w:val="clear" w:color="auto" w:fill="auto"/>
            <w:vAlign w:val="bottom"/>
          </w:tcPr>
          <w:p w:rsidR="00E24DB7" w:rsidRPr="002C5876" w:rsidRDefault="00E24DB7" w:rsidP="00E9513C">
            <w:pPr>
              <w:suppressAutoHyphens w:val="0"/>
              <w:spacing w:before="60" w:after="60" w:line="240" w:lineRule="auto"/>
              <w:ind w:left="57" w:right="57"/>
              <w:rPr>
                <w:sz w:val="18"/>
                <w:szCs w:val="18"/>
              </w:rPr>
            </w:pPr>
            <w:r w:rsidRPr="002C5876">
              <w:rPr>
                <w:sz w:val="18"/>
                <w:szCs w:val="18"/>
              </w:rPr>
              <w:t>8,78</w:t>
            </w:r>
          </w:p>
        </w:tc>
        <w:tc>
          <w:tcPr>
            <w:tcW w:w="638" w:type="dxa"/>
            <w:tcBorders>
              <w:bottom w:val="single" w:sz="12" w:space="0" w:color="auto"/>
            </w:tcBorders>
            <w:shd w:val="clear" w:color="auto" w:fill="auto"/>
            <w:vAlign w:val="bottom"/>
          </w:tcPr>
          <w:p w:rsidR="00E24DB7" w:rsidRPr="002C5876" w:rsidRDefault="00E24DB7" w:rsidP="00E9513C">
            <w:pPr>
              <w:suppressAutoHyphens w:val="0"/>
              <w:spacing w:before="60" w:after="60" w:line="240" w:lineRule="auto"/>
              <w:ind w:left="57" w:right="57"/>
              <w:rPr>
                <w:sz w:val="18"/>
                <w:szCs w:val="18"/>
              </w:rPr>
            </w:pPr>
            <w:r w:rsidRPr="002C5876">
              <w:rPr>
                <w:sz w:val="18"/>
                <w:szCs w:val="18"/>
              </w:rPr>
              <w:t>8,64</w:t>
            </w:r>
          </w:p>
        </w:tc>
        <w:tc>
          <w:tcPr>
            <w:tcW w:w="639" w:type="dxa"/>
            <w:tcBorders>
              <w:bottom w:val="single" w:sz="12" w:space="0" w:color="auto"/>
            </w:tcBorders>
            <w:shd w:val="clear" w:color="auto" w:fill="auto"/>
            <w:vAlign w:val="bottom"/>
          </w:tcPr>
          <w:p w:rsidR="00E24DB7" w:rsidRPr="002C5876" w:rsidRDefault="00E24DB7" w:rsidP="00E9513C">
            <w:pPr>
              <w:suppressAutoHyphens w:val="0"/>
              <w:spacing w:before="60" w:after="60" w:line="240" w:lineRule="auto"/>
              <w:ind w:left="57" w:right="57"/>
              <w:rPr>
                <w:sz w:val="18"/>
                <w:szCs w:val="18"/>
              </w:rPr>
            </w:pPr>
            <w:r w:rsidRPr="002C5876">
              <w:rPr>
                <w:sz w:val="18"/>
                <w:szCs w:val="18"/>
              </w:rPr>
              <w:t>8,50</w:t>
            </w:r>
          </w:p>
        </w:tc>
        <w:tc>
          <w:tcPr>
            <w:tcW w:w="638" w:type="dxa"/>
            <w:tcBorders>
              <w:bottom w:val="single" w:sz="12" w:space="0" w:color="auto"/>
            </w:tcBorders>
            <w:shd w:val="clear" w:color="auto" w:fill="auto"/>
            <w:vAlign w:val="bottom"/>
          </w:tcPr>
          <w:p w:rsidR="00E24DB7" w:rsidRPr="002C5876" w:rsidRDefault="00E24DB7" w:rsidP="00E9513C">
            <w:pPr>
              <w:suppressAutoHyphens w:val="0"/>
              <w:spacing w:before="60" w:after="60" w:line="240" w:lineRule="auto"/>
              <w:ind w:left="57" w:right="57"/>
              <w:rPr>
                <w:sz w:val="18"/>
                <w:szCs w:val="18"/>
              </w:rPr>
            </w:pPr>
            <w:r w:rsidRPr="002C5876">
              <w:rPr>
                <w:sz w:val="18"/>
                <w:szCs w:val="18"/>
              </w:rPr>
              <w:t>8,30</w:t>
            </w:r>
          </w:p>
        </w:tc>
        <w:tc>
          <w:tcPr>
            <w:tcW w:w="638" w:type="dxa"/>
            <w:tcBorders>
              <w:bottom w:val="single" w:sz="12" w:space="0" w:color="auto"/>
            </w:tcBorders>
            <w:shd w:val="clear" w:color="auto" w:fill="auto"/>
            <w:vAlign w:val="bottom"/>
          </w:tcPr>
          <w:p w:rsidR="00E24DB7" w:rsidRPr="002C5876" w:rsidRDefault="00E24DB7" w:rsidP="00E9513C">
            <w:pPr>
              <w:suppressAutoHyphens w:val="0"/>
              <w:spacing w:before="60" w:after="60" w:line="240" w:lineRule="auto"/>
              <w:ind w:left="57" w:right="57"/>
              <w:rPr>
                <w:sz w:val="18"/>
                <w:szCs w:val="18"/>
              </w:rPr>
            </w:pPr>
            <w:r w:rsidRPr="002C5876">
              <w:rPr>
                <w:sz w:val="18"/>
                <w:szCs w:val="18"/>
              </w:rPr>
              <w:t>6,41</w:t>
            </w:r>
          </w:p>
        </w:tc>
        <w:tc>
          <w:tcPr>
            <w:tcW w:w="650" w:type="dxa"/>
            <w:tcBorders>
              <w:bottom w:val="single" w:sz="12" w:space="0" w:color="auto"/>
            </w:tcBorders>
            <w:shd w:val="clear" w:color="auto" w:fill="auto"/>
            <w:vAlign w:val="bottom"/>
          </w:tcPr>
          <w:p w:rsidR="00E24DB7" w:rsidRPr="002C5876" w:rsidRDefault="00E24DB7" w:rsidP="00E9513C">
            <w:pPr>
              <w:suppressAutoHyphens w:val="0"/>
              <w:spacing w:before="60" w:after="60" w:line="240" w:lineRule="auto"/>
              <w:ind w:left="57" w:right="57"/>
              <w:rPr>
                <w:sz w:val="18"/>
                <w:szCs w:val="18"/>
              </w:rPr>
            </w:pPr>
            <w:r w:rsidRPr="002C5876">
              <w:rPr>
                <w:sz w:val="18"/>
                <w:szCs w:val="18"/>
              </w:rPr>
              <w:t>5,95</w:t>
            </w:r>
          </w:p>
        </w:tc>
        <w:tc>
          <w:tcPr>
            <w:tcW w:w="628" w:type="dxa"/>
            <w:tcBorders>
              <w:bottom w:val="single" w:sz="12" w:space="0" w:color="auto"/>
            </w:tcBorders>
            <w:shd w:val="clear" w:color="auto" w:fill="auto"/>
            <w:vAlign w:val="bottom"/>
          </w:tcPr>
          <w:p w:rsidR="00E24DB7" w:rsidRPr="002C5876" w:rsidRDefault="00E24DB7" w:rsidP="00E9513C">
            <w:pPr>
              <w:suppressAutoHyphens w:val="0"/>
              <w:spacing w:before="60" w:after="60" w:line="240" w:lineRule="auto"/>
              <w:ind w:left="57" w:right="57"/>
              <w:rPr>
                <w:sz w:val="18"/>
                <w:szCs w:val="18"/>
              </w:rPr>
            </w:pPr>
            <w:r w:rsidRPr="002C5876">
              <w:rPr>
                <w:sz w:val="18"/>
                <w:szCs w:val="18"/>
              </w:rPr>
              <w:t>9,85</w:t>
            </w:r>
          </w:p>
        </w:tc>
        <w:tc>
          <w:tcPr>
            <w:tcW w:w="638" w:type="dxa"/>
            <w:tcBorders>
              <w:bottom w:val="single" w:sz="12" w:space="0" w:color="auto"/>
            </w:tcBorders>
            <w:shd w:val="clear" w:color="auto" w:fill="auto"/>
            <w:vAlign w:val="bottom"/>
          </w:tcPr>
          <w:p w:rsidR="00E24DB7" w:rsidRPr="002C5876" w:rsidRDefault="00E24DB7" w:rsidP="00E9513C">
            <w:pPr>
              <w:suppressAutoHyphens w:val="0"/>
              <w:spacing w:before="60" w:after="60" w:line="240" w:lineRule="auto"/>
              <w:ind w:left="57" w:right="57"/>
              <w:rPr>
                <w:sz w:val="18"/>
                <w:szCs w:val="18"/>
              </w:rPr>
            </w:pPr>
            <w:r w:rsidRPr="002C5876">
              <w:rPr>
                <w:sz w:val="18"/>
                <w:szCs w:val="18"/>
              </w:rPr>
              <w:t>9,80</w:t>
            </w:r>
          </w:p>
        </w:tc>
        <w:tc>
          <w:tcPr>
            <w:tcW w:w="638" w:type="dxa"/>
            <w:tcBorders>
              <w:bottom w:val="single" w:sz="12" w:space="0" w:color="auto"/>
            </w:tcBorders>
            <w:shd w:val="clear" w:color="auto" w:fill="auto"/>
            <w:vAlign w:val="bottom"/>
          </w:tcPr>
          <w:p w:rsidR="00E24DB7" w:rsidRPr="002C5876" w:rsidRDefault="00E24DB7" w:rsidP="00E9513C">
            <w:pPr>
              <w:suppressAutoHyphens w:val="0"/>
              <w:spacing w:before="60" w:after="60" w:line="240" w:lineRule="auto"/>
              <w:ind w:left="57" w:right="57"/>
              <w:rPr>
                <w:sz w:val="18"/>
                <w:szCs w:val="18"/>
              </w:rPr>
            </w:pPr>
            <w:r w:rsidRPr="002C5876">
              <w:rPr>
                <w:sz w:val="18"/>
                <w:szCs w:val="18"/>
              </w:rPr>
              <w:t>9,79</w:t>
            </w:r>
          </w:p>
        </w:tc>
        <w:tc>
          <w:tcPr>
            <w:tcW w:w="638" w:type="dxa"/>
            <w:tcBorders>
              <w:bottom w:val="single" w:sz="12" w:space="0" w:color="auto"/>
            </w:tcBorders>
            <w:shd w:val="clear" w:color="auto" w:fill="auto"/>
            <w:vAlign w:val="bottom"/>
          </w:tcPr>
          <w:p w:rsidR="00E24DB7" w:rsidRPr="002C5876" w:rsidRDefault="00E24DB7" w:rsidP="00E9513C">
            <w:pPr>
              <w:suppressAutoHyphens w:val="0"/>
              <w:spacing w:before="60" w:after="60" w:line="240" w:lineRule="auto"/>
              <w:ind w:left="57" w:right="57"/>
              <w:rPr>
                <w:sz w:val="18"/>
                <w:szCs w:val="18"/>
              </w:rPr>
            </w:pPr>
            <w:r w:rsidRPr="002C5876">
              <w:rPr>
                <w:sz w:val="18"/>
                <w:szCs w:val="18"/>
              </w:rPr>
              <w:t>9,67</w:t>
            </w:r>
          </w:p>
        </w:tc>
        <w:tc>
          <w:tcPr>
            <w:tcW w:w="639" w:type="dxa"/>
            <w:tcBorders>
              <w:bottom w:val="single" w:sz="12" w:space="0" w:color="auto"/>
            </w:tcBorders>
            <w:shd w:val="clear" w:color="auto" w:fill="auto"/>
            <w:vAlign w:val="bottom"/>
          </w:tcPr>
          <w:p w:rsidR="00E24DB7" w:rsidRPr="002C5876" w:rsidRDefault="00E24DB7" w:rsidP="00E9513C">
            <w:pPr>
              <w:suppressAutoHyphens w:val="0"/>
              <w:spacing w:before="60" w:after="60" w:line="240" w:lineRule="auto"/>
              <w:ind w:left="57" w:right="57"/>
              <w:rPr>
                <w:sz w:val="18"/>
                <w:szCs w:val="18"/>
              </w:rPr>
            </w:pPr>
            <w:r w:rsidRPr="002C5876">
              <w:rPr>
                <w:sz w:val="18"/>
                <w:szCs w:val="18"/>
              </w:rPr>
              <w:t>8,90</w:t>
            </w:r>
          </w:p>
        </w:tc>
      </w:tr>
    </w:tbl>
    <w:p w:rsidR="00E24DB7" w:rsidRPr="002C5876" w:rsidRDefault="00E24DB7" w:rsidP="00E24DB7">
      <w:pPr>
        <w:pStyle w:val="H23G"/>
        <w:ind w:left="0" w:firstLine="0"/>
        <w:rPr>
          <w:i/>
          <w:sz w:val="16"/>
          <w:szCs w:val="16"/>
        </w:rPr>
      </w:pPr>
      <w:r w:rsidRPr="002C5876">
        <w:rPr>
          <w:b w:val="0"/>
        </w:rPr>
        <w:tab/>
        <w:t>Tableau A6.App2/2</w:t>
      </w:r>
      <w:r w:rsidRPr="002C5876">
        <w:br/>
        <w:t>Seuils de correction du RCB</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09"/>
        <w:gridCol w:w="2409"/>
        <w:gridCol w:w="2409"/>
        <w:gridCol w:w="2410"/>
      </w:tblGrid>
      <w:tr w:rsidR="00E24DB7" w:rsidRPr="00D53F39" w:rsidTr="00E24DB7">
        <w:trPr>
          <w:tblHeader/>
        </w:trPr>
        <w:tc>
          <w:tcPr>
            <w:tcW w:w="2409" w:type="dxa"/>
            <w:tcBorders>
              <w:bottom w:val="single" w:sz="12" w:space="0" w:color="auto"/>
            </w:tcBorders>
            <w:shd w:val="clear" w:color="auto" w:fill="auto"/>
            <w:vAlign w:val="bottom"/>
          </w:tcPr>
          <w:p w:rsidR="00E24DB7" w:rsidRPr="002C5876" w:rsidRDefault="00E24DB7" w:rsidP="00E24DB7">
            <w:pPr>
              <w:pStyle w:val="SingleTxtG"/>
              <w:keepNext/>
              <w:suppressAutoHyphens w:val="0"/>
              <w:spacing w:before="80" w:after="80" w:line="200" w:lineRule="exact"/>
              <w:ind w:left="57" w:right="57"/>
              <w:jc w:val="left"/>
              <w:rPr>
                <w:i/>
                <w:sz w:val="16"/>
                <w:szCs w:val="16"/>
              </w:rPr>
            </w:pPr>
            <w:r w:rsidRPr="002C5876">
              <w:rPr>
                <w:i/>
                <w:sz w:val="16"/>
                <w:szCs w:val="16"/>
              </w:rPr>
              <w:t>Cycle</w:t>
            </w:r>
          </w:p>
        </w:tc>
        <w:tc>
          <w:tcPr>
            <w:tcW w:w="2409" w:type="dxa"/>
            <w:tcBorders>
              <w:bottom w:val="single" w:sz="12" w:space="0" w:color="auto"/>
            </w:tcBorders>
            <w:shd w:val="clear" w:color="auto" w:fill="auto"/>
            <w:vAlign w:val="bottom"/>
          </w:tcPr>
          <w:p w:rsidR="00E24DB7" w:rsidRPr="002C5876" w:rsidRDefault="00E24DB7" w:rsidP="00E9513C">
            <w:pPr>
              <w:pStyle w:val="SingleTxtG"/>
              <w:keepNext/>
              <w:suppressAutoHyphens w:val="0"/>
              <w:spacing w:before="80" w:after="80" w:line="200" w:lineRule="exact"/>
              <w:ind w:left="57" w:right="57"/>
              <w:jc w:val="left"/>
              <w:rPr>
                <w:i/>
                <w:sz w:val="16"/>
                <w:szCs w:val="16"/>
              </w:rPr>
            </w:pPr>
            <w:r w:rsidRPr="002C5876">
              <w:rPr>
                <w:i/>
                <w:sz w:val="16"/>
                <w:szCs w:val="16"/>
              </w:rPr>
              <w:t>low + medium</w:t>
            </w:r>
          </w:p>
        </w:tc>
        <w:tc>
          <w:tcPr>
            <w:tcW w:w="2409" w:type="dxa"/>
            <w:tcBorders>
              <w:bottom w:val="single" w:sz="12" w:space="0" w:color="auto"/>
            </w:tcBorders>
            <w:shd w:val="clear" w:color="auto" w:fill="auto"/>
            <w:vAlign w:val="bottom"/>
          </w:tcPr>
          <w:p w:rsidR="00E24DB7" w:rsidRPr="002C5876" w:rsidRDefault="00E24DB7" w:rsidP="00E9513C">
            <w:pPr>
              <w:pStyle w:val="SingleTxtG"/>
              <w:keepNext/>
              <w:suppressAutoHyphens w:val="0"/>
              <w:spacing w:before="80" w:after="80" w:line="200" w:lineRule="exact"/>
              <w:ind w:left="57" w:right="57"/>
              <w:jc w:val="left"/>
              <w:rPr>
                <w:i/>
                <w:sz w:val="16"/>
                <w:szCs w:val="16"/>
              </w:rPr>
            </w:pPr>
            <w:r w:rsidRPr="002C5876">
              <w:rPr>
                <w:i/>
                <w:sz w:val="16"/>
                <w:szCs w:val="16"/>
              </w:rPr>
              <w:t>low + medium + high</w:t>
            </w:r>
          </w:p>
        </w:tc>
        <w:tc>
          <w:tcPr>
            <w:tcW w:w="2410" w:type="dxa"/>
            <w:tcBorders>
              <w:bottom w:val="single" w:sz="12" w:space="0" w:color="auto"/>
            </w:tcBorders>
            <w:shd w:val="clear" w:color="auto" w:fill="auto"/>
            <w:vAlign w:val="bottom"/>
          </w:tcPr>
          <w:p w:rsidR="00E24DB7" w:rsidRPr="00D53F39" w:rsidRDefault="00E24DB7" w:rsidP="00E9513C">
            <w:pPr>
              <w:pStyle w:val="SingleTxtG"/>
              <w:keepNext/>
              <w:suppressAutoHyphens w:val="0"/>
              <w:spacing w:before="80" w:after="80" w:line="200" w:lineRule="exact"/>
              <w:ind w:left="57" w:right="57"/>
              <w:jc w:val="left"/>
              <w:rPr>
                <w:i/>
                <w:sz w:val="16"/>
                <w:szCs w:val="16"/>
                <w:lang w:val="en-US"/>
              </w:rPr>
            </w:pPr>
            <w:r w:rsidRPr="00D53F39">
              <w:rPr>
                <w:i/>
                <w:sz w:val="16"/>
                <w:szCs w:val="16"/>
                <w:lang w:val="en-US"/>
              </w:rPr>
              <w:t>low + medium + high + extra high</w:t>
            </w:r>
          </w:p>
        </w:tc>
      </w:tr>
      <w:tr w:rsidR="00E24DB7" w:rsidRPr="002C5876" w:rsidTr="00E24DB7">
        <w:trPr>
          <w:trHeight w:val="296"/>
        </w:trPr>
        <w:tc>
          <w:tcPr>
            <w:tcW w:w="2409" w:type="dxa"/>
            <w:tcBorders>
              <w:top w:val="single" w:sz="12" w:space="0" w:color="auto"/>
              <w:bottom w:val="single" w:sz="12" w:space="0" w:color="auto"/>
            </w:tcBorders>
            <w:shd w:val="clear" w:color="auto" w:fill="auto"/>
            <w:vAlign w:val="bottom"/>
          </w:tcPr>
          <w:p w:rsidR="00E24DB7" w:rsidRPr="002C5876" w:rsidRDefault="00E24DB7" w:rsidP="00E24DB7">
            <w:pPr>
              <w:pStyle w:val="SingleTxtG"/>
              <w:suppressAutoHyphens w:val="0"/>
              <w:spacing w:before="60" w:after="60" w:line="220" w:lineRule="atLeast"/>
              <w:ind w:left="57" w:right="57"/>
              <w:jc w:val="left"/>
              <w:rPr>
                <w:sz w:val="18"/>
                <w:szCs w:val="18"/>
              </w:rPr>
            </w:pPr>
            <w:r w:rsidRPr="002C5876">
              <w:rPr>
                <w:sz w:val="18"/>
                <w:szCs w:val="18"/>
              </w:rPr>
              <w:t>Seuil pour le critère de correction c</w:t>
            </w:r>
          </w:p>
        </w:tc>
        <w:tc>
          <w:tcPr>
            <w:tcW w:w="2409" w:type="dxa"/>
            <w:tcBorders>
              <w:top w:val="single" w:sz="12" w:space="0" w:color="auto"/>
              <w:bottom w:val="single" w:sz="12" w:space="0" w:color="auto"/>
            </w:tcBorders>
            <w:shd w:val="clear" w:color="auto" w:fill="auto"/>
            <w:vAlign w:val="bottom"/>
          </w:tcPr>
          <w:p w:rsidR="00E24DB7" w:rsidRPr="002C5876" w:rsidRDefault="00E24DB7" w:rsidP="00E9513C">
            <w:pPr>
              <w:pStyle w:val="SingleTxtG"/>
              <w:suppressAutoHyphens w:val="0"/>
              <w:spacing w:before="60" w:after="60" w:line="220" w:lineRule="atLeast"/>
              <w:ind w:left="57" w:right="57"/>
              <w:jc w:val="left"/>
              <w:rPr>
                <w:sz w:val="18"/>
                <w:szCs w:val="18"/>
              </w:rPr>
            </w:pPr>
            <w:r w:rsidRPr="002C5876">
              <w:rPr>
                <w:sz w:val="18"/>
                <w:szCs w:val="18"/>
              </w:rPr>
              <w:t>0,015</w:t>
            </w:r>
          </w:p>
        </w:tc>
        <w:tc>
          <w:tcPr>
            <w:tcW w:w="2409" w:type="dxa"/>
            <w:tcBorders>
              <w:top w:val="single" w:sz="12" w:space="0" w:color="auto"/>
              <w:bottom w:val="single" w:sz="12" w:space="0" w:color="auto"/>
            </w:tcBorders>
            <w:shd w:val="clear" w:color="auto" w:fill="auto"/>
            <w:vAlign w:val="bottom"/>
          </w:tcPr>
          <w:p w:rsidR="00E24DB7" w:rsidRPr="002C5876" w:rsidRDefault="00E24DB7" w:rsidP="00E9513C">
            <w:pPr>
              <w:pStyle w:val="SingleTxtG"/>
              <w:suppressAutoHyphens w:val="0"/>
              <w:spacing w:before="60" w:after="60" w:line="220" w:lineRule="atLeast"/>
              <w:ind w:left="57" w:right="57"/>
              <w:jc w:val="left"/>
              <w:rPr>
                <w:sz w:val="18"/>
                <w:szCs w:val="18"/>
              </w:rPr>
            </w:pPr>
            <w:r w:rsidRPr="002C5876">
              <w:rPr>
                <w:sz w:val="18"/>
                <w:szCs w:val="18"/>
              </w:rPr>
              <w:t>0,01</w:t>
            </w:r>
          </w:p>
        </w:tc>
        <w:tc>
          <w:tcPr>
            <w:tcW w:w="2410" w:type="dxa"/>
            <w:tcBorders>
              <w:top w:val="single" w:sz="12" w:space="0" w:color="auto"/>
              <w:bottom w:val="single" w:sz="12" w:space="0" w:color="auto"/>
            </w:tcBorders>
            <w:shd w:val="clear" w:color="auto" w:fill="auto"/>
            <w:vAlign w:val="bottom"/>
          </w:tcPr>
          <w:p w:rsidR="00E24DB7" w:rsidRPr="002C5876" w:rsidRDefault="00E24DB7" w:rsidP="00E9513C">
            <w:pPr>
              <w:pStyle w:val="SingleTxtG"/>
              <w:suppressAutoHyphens w:val="0"/>
              <w:spacing w:before="60" w:after="60" w:line="220" w:lineRule="atLeast"/>
              <w:ind w:left="57" w:right="57"/>
              <w:jc w:val="left"/>
              <w:rPr>
                <w:sz w:val="18"/>
                <w:szCs w:val="18"/>
              </w:rPr>
            </w:pPr>
            <w:r w:rsidRPr="002C5876">
              <w:rPr>
                <w:sz w:val="18"/>
                <w:szCs w:val="18"/>
              </w:rPr>
              <w:t>0,005</w:t>
            </w:r>
          </w:p>
        </w:tc>
      </w:tr>
    </w:tbl>
    <w:p w:rsidR="00E24DB7" w:rsidRPr="002C5876" w:rsidRDefault="00E24DB7" w:rsidP="00E24DB7">
      <w:pPr>
        <w:pStyle w:val="SingleTxtG"/>
        <w:keepNext/>
        <w:spacing w:before="240"/>
        <w:ind w:left="2268" w:hanging="1134"/>
        <w:jc w:val="left"/>
        <w:rPr>
          <w:szCs w:val="24"/>
        </w:rPr>
      </w:pPr>
      <w:r w:rsidRPr="002C5876">
        <w:rPr>
          <w:szCs w:val="24"/>
        </w:rPr>
        <w:lastRenderedPageBreak/>
        <w:t>4.</w:t>
      </w:r>
      <w:r w:rsidRPr="002C5876">
        <w:rPr>
          <w:szCs w:val="24"/>
        </w:rPr>
        <w:tab/>
        <w:t xml:space="preserve">Application de la fonction de correction </w:t>
      </w:r>
    </w:p>
    <w:p w:rsidR="00E24DB7" w:rsidRPr="002C5876" w:rsidRDefault="00E24DB7" w:rsidP="00E24DB7">
      <w:pPr>
        <w:pStyle w:val="SingleTxtG"/>
        <w:keepNext/>
        <w:ind w:left="2268" w:hanging="1134"/>
        <w:rPr>
          <w:szCs w:val="24"/>
        </w:rPr>
      </w:pPr>
      <w:r w:rsidRPr="002C5876">
        <w:rPr>
          <w:szCs w:val="24"/>
        </w:rPr>
        <w:t>4.1</w:t>
      </w:r>
      <w:r w:rsidRPr="002C5876">
        <w:rPr>
          <w:szCs w:val="24"/>
        </w:rPr>
        <w:tab/>
        <w:t xml:space="preserve">Pour appliquer la fonction de correction, la variation du contenu énergétique </w:t>
      </w: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REESS,j</m:t>
            </m:r>
          </m:sub>
        </m:sSub>
      </m:oMath>
      <w:r w:rsidRPr="002C5876">
        <w:rPr>
          <w:szCs w:val="24"/>
        </w:rPr>
        <w:t xml:space="preserve"> d’une période j pour tous les </w:t>
      </w:r>
      <w:r w:rsidRPr="002C5876">
        <w:t>SRSEE</w:t>
      </w:r>
      <w:r w:rsidRPr="002C5876">
        <w:rPr>
          <w:szCs w:val="24"/>
        </w:rPr>
        <w:t xml:space="preserve"> est calculée à partir du courant mesuré et de la tension nominale :</w:t>
      </w:r>
    </w:p>
    <w:p w:rsidR="00E24DB7" w:rsidRPr="002C5876" w:rsidRDefault="00731CA6" w:rsidP="00E24DB7">
      <w:pPr>
        <w:pStyle w:val="SingleTxtG"/>
        <w:keepNext/>
        <w:spacing w:after="240"/>
        <w:ind w:left="2268"/>
        <w:jc w:val="center"/>
        <w:rPr>
          <w:szCs w:val="24"/>
        </w:rPr>
      </w:pPr>
      <m:oMathPara>
        <m:oMath>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REESS,j</m:t>
              </m:r>
            </m:sub>
          </m:sSub>
          <m:r>
            <m:rPr>
              <m:sty m:val="p"/>
            </m:rPr>
            <w:rPr>
              <w:rFonts w:ascii="Cambria Math" w:hAnsi="Cambria Math" w:cstheme="majorBidi"/>
            </w:rPr>
            <m:t>=</m:t>
          </m:r>
          <m:nary>
            <m:naryPr>
              <m:chr m:val="∑"/>
              <m:limLoc m:val="undOvr"/>
              <m:ctrlPr>
                <w:rPr>
                  <w:rFonts w:ascii="Cambria Math" w:hAnsi="Cambria Math" w:cstheme="majorBidi"/>
                </w:rPr>
              </m:ctrlPr>
            </m:naryPr>
            <m:sub>
              <m:r>
                <m:rPr>
                  <m:sty m:val="p"/>
                </m:rPr>
                <w:rPr>
                  <w:rFonts w:ascii="Cambria Math" w:hAnsi="Cambria Math" w:cstheme="majorBidi"/>
                </w:rPr>
                <m:t>i=1</m:t>
              </m:r>
            </m:sub>
            <m:sup>
              <m:r>
                <m:rPr>
                  <m:sty m:val="p"/>
                </m:rPr>
                <w:rPr>
                  <w:rFonts w:ascii="Cambria Math" w:hAnsi="Cambria Math" w:cstheme="majorBidi"/>
                </w:rPr>
                <m:t>n</m:t>
              </m:r>
            </m:sup>
            <m:e>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REESS,j,i</m:t>
                  </m:r>
                </m:sub>
              </m:sSub>
            </m:e>
          </m:nary>
          <m:r>
            <w:rPr>
              <w:rFonts w:ascii="Cambria Math" w:hAnsi="Cambria Math"/>
            </w:rPr>
            <m:t xml:space="preserve"> </m:t>
          </m:r>
        </m:oMath>
      </m:oMathPara>
    </w:p>
    <w:p w:rsidR="00E24DB7" w:rsidRPr="002C5876" w:rsidRDefault="00E24DB7" w:rsidP="00E24DB7">
      <w:pPr>
        <w:pStyle w:val="SingleTxtG"/>
        <w:keepNext/>
        <w:ind w:left="2268"/>
        <w:rPr>
          <w:szCs w:val="24"/>
        </w:rPr>
      </w:pPr>
      <w:r w:rsidRPr="002C5876">
        <w:rPr>
          <w:szCs w:val="24"/>
        </w:rPr>
        <w:t>où :</w:t>
      </w:r>
    </w:p>
    <w:p w:rsidR="00E24DB7" w:rsidRPr="002C5876" w:rsidRDefault="00E24DB7" w:rsidP="00E24DB7">
      <w:pPr>
        <w:pStyle w:val="SingleTxtG"/>
        <w:ind w:left="3402" w:hanging="1134"/>
        <w:rPr>
          <w:szCs w:val="24"/>
        </w:rPr>
      </w:pPr>
      <w:r w:rsidRPr="002C5876">
        <w:rPr>
          <w:noProof/>
          <w:position w:val="-12"/>
          <w:lang w:val="en-GB" w:eastAsia="zh-CN"/>
        </w:rPr>
        <w:drawing>
          <wp:inline distT="0" distB="0" distL="0" distR="0" wp14:anchorId="6CE023EA" wp14:editId="6DCEAD62">
            <wp:extent cx="600075" cy="200025"/>
            <wp:effectExtent l="0" t="0" r="9525" b="9525"/>
            <wp:docPr id="231" name="Imag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Pr="002C5876">
        <w:rPr>
          <w:szCs w:val="24"/>
        </w:rPr>
        <w:tab/>
        <w:t>est la variation du contenu énergétique du SRSEE i durant la période j considérée, en Wh ;</w:t>
      </w:r>
    </w:p>
    <w:p w:rsidR="00E24DB7" w:rsidRPr="002C5876" w:rsidRDefault="00E24DB7" w:rsidP="00E24DB7">
      <w:pPr>
        <w:pStyle w:val="SingleTxtG"/>
        <w:keepNext/>
        <w:ind w:left="3402" w:hanging="1134"/>
        <w:rPr>
          <w:szCs w:val="24"/>
        </w:rPr>
      </w:pPr>
      <w:r w:rsidRPr="002C5876">
        <w:rPr>
          <w:szCs w:val="24"/>
        </w:rPr>
        <w:t>et :</w:t>
      </w:r>
    </w:p>
    <w:p w:rsidR="00E24DB7" w:rsidRPr="002C5876" w:rsidRDefault="00731CA6" w:rsidP="00E24DB7">
      <w:pPr>
        <w:pStyle w:val="SingleTxtG"/>
        <w:keepNext/>
        <w:spacing w:after="240"/>
        <w:ind w:left="2268"/>
        <w:jc w:val="center"/>
        <w:rPr>
          <w:szCs w:val="24"/>
        </w:rPr>
      </w:pPr>
      <m:oMathPara>
        <m:oMath>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REESS,j,i</m:t>
              </m:r>
            </m:sub>
          </m:sSub>
          <m:r>
            <m:rPr>
              <m:sty m:val="p"/>
            </m:rPr>
            <w:rPr>
              <w:rFonts w:ascii="Cambria Math" w:hAnsi="Cambria Math" w:cstheme="majorBidi"/>
            </w:rPr>
            <m:t>=</m:t>
          </m:r>
          <m:sSub>
            <m:sSubPr>
              <m:ctrlPr>
                <w:rPr>
                  <w:rFonts w:ascii="Cambria Math" w:hAnsi="Cambria Math" w:cstheme="majorBidi"/>
                </w:rPr>
              </m:ctrlPr>
            </m:sSubPr>
            <m:e>
              <m:f>
                <m:fPr>
                  <m:ctrlPr>
                    <w:rPr>
                      <w:rFonts w:ascii="Cambria Math" w:hAnsi="Cambria Math" w:cstheme="majorBidi"/>
                    </w:rPr>
                  </m:ctrlPr>
                </m:fPr>
                <m:num>
                  <m:r>
                    <m:rPr>
                      <m:sty m:val="p"/>
                    </m:rPr>
                    <w:rPr>
                      <w:rFonts w:ascii="Cambria Math" w:hAnsi="Cambria Math" w:cstheme="majorBidi"/>
                    </w:rPr>
                    <m:t>1</m:t>
                  </m:r>
                </m:num>
                <m:den>
                  <m:r>
                    <m:rPr>
                      <m:sty m:val="p"/>
                    </m:rPr>
                    <w:rPr>
                      <w:rFonts w:ascii="Cambria Math" w:hAnsi="Cambria Math" w:cstheme="majorBidi"/>
                    </w:rPr>
                    <m:t>3 600</m:t>
                  </m:r>
                </m:den>
              </m:f>
              <m:r>
                <m:rPr>
                  <m:sty m:val="p"/>
                </m:rPr>
                <w:rPr>
                  <w:rFonts w:ascii="Cambria Math" w:hAnsi="Cambria Math" w:cstheme="majorBidi"/>
                </w:rPr>
                <m:t>×U</m:t>
              </m:r>
            </m:e>
            <m:sub>
              <m:r>
                <m:rPr>
                  <m:sty m:val="p"/>
                </m:rPr>
                <w:rPr>
                  <w:rFonts w:ascii="Cambria Math" w:hAnsi="Cambria Math" w:cstheme="majorBidi"/>
                </w:rPr>
                <m:t>REESS</m:t>
              </m:r>
            </m:sub>
          </m:sSub>
          <m:r>
            <m:rPr>
              <m:sty m:val="p"/>
            </m:rPr>
            <w:rPr>
              <w:rFonts w:ascii="Cambria Math" w:hAnsi="Cambria Math" w:cstheme="majorBidi"/>
            </w:rPr>
            <m:t>×</m:t>
          </m:r>
          <m:nary>
            <m:naryPr>
              <m:limLoc m:val="subSup"/>
              <m:ctrlPr>
                <w:rPr>
                  <w:rFonts w:ascii="Cambria Math" w:hAnsi="Cambria Math" w:cstheme="majorBidi"/>
                </w:rPr>
              </m:ctrlPr>
            </m:naryPr>
            <m:sub>
              <m:sSub>
                <m:sSubPr>
                  <m:ctrlPr>
                    <w:rPr>
                      <w:rFonts w:ascii="Cambria Math" w:hAnsi="Cambria Math" w:cstheme="majorBidi"/>
                    </w:rPr>
                  </m:ctrlPr>
                </m:sSubPr>
                <m:e>
                  <m:r>
                    <m:rPr>
                      <m:sty m:val="p"/>
                    </m:rPr>
                    <w:rPr>
                      <w:rFonts w:ascii="Cambria Math" w:hAnsi="Cambria Math" w:cstheme="majorBidi"/>
                    </w:rPr>
                    <m:t>t</m:t>
                  </m:r>
                </m:e>
                <m:sub>
                  <m:r>
                    <m:rPr>
                      <m:sty m:val="p"/>
                    </m:rPr>
                    <w:rPr>
                      <w:rFonts w:ascii="Cambria Math" w:hAnsi="Cambria Math" w:cstheme="majorBidi"/>
                    </w:rPr>
                    <m:t>0</m:t>
                  </m:r>
                </m:sub>
              </m:sSub>
            </m:sub>
            <m:sup>
              <m:sSub>
                <m:sSubPr>
                  <m:ctrlPr>
                    <w:rPr>
                      <w:rFonts w:ascii="Cambria Math" w:hAnsi="Cambria Math" w:cstheme="majorBidi"/>
                    </w:rPr>
                  </m:ctrlPr>
                </m:sSubPr>
                <m:e>
                  <m:r>
                    <m:rPr>
                      <m:sty m:val="p"/>
                    </m:rPr>
                    <w:rPr>
                      <w:rFonts w:ascii="Cambria Math" w:hAnsi="Cambria Math" w:cstheme="majorBidi"/>
                    </w:rPr>
                    <m:t>t</m:t>
                  </m:r>
                </m:e>
                <m:sub>
                  <m:r>
                    <m:rPr>
                      <m:sty m:val="p"/>
                    </m:rPr>
                    <w:rPr>
                      <w:rFonts w:ascii="Cambria Math" w:hAnsi="Cambria Math" w:cstheme="majorBidi"/>
                    </w:rPr>
                    <m:t>end</m:t>
                  </m:r>
                </m:sub>
              </m:sSub>
            </m:sup>
            <m:e>
              <m:sSub>
                <m:sSubPr>
                  <m:ctrlPr>
                    <w:rPr>
                      <w:rFonts w:ascii="Cambria Math" w:hAnsi="Cambria Math" w:cstheme="majorBidi"/>
                    </w:rPr>
                  </m:ctrlPr>
                </m:sSubPr>
                <m:e>
                  <m:r>
                    <m:rPr>
                      <m:sty m:val="p"/>
                    </m:rPr>
                    <w:rPr>
                      <w:rFonts w:ascii="Cambria Math" w:hAnsi="Cambria Math" w:cstheme="majorBidi"/>
                    </w:rPr>
                    <m:t>I(t)</m:t>
                  </m:r>
                </m:e>
                <m:sub>
                  <m:r>
                    <m:rPr>
                      <m:sty m:val="p"/>
                    </m:rPr>
                    <w:rPr>
                      <w:rFonts w:ascii="Cambria Math" w:hAnsi="Cambria Math" w:cstheme="majorBidi"/>
                    </w:rPr>
                    <m:t>j,i</m:t>
                  </m:r>
                </m:sub>
              </m:sSub>
            </m:e>
          </m:nary>
          <m:r>
            <m:rPr>
              <m:sty m:val="p"/>
            </m:rPr>
            <w:rPr>
              <w:rFonts w:ascii="Cambria Math" w:hAnsi="Cambria Math" w:cstheme="majorBidi"/>
            </w:rPr>
            <m:t>dt</m:t>
          </m:r>
        </m:oMath>
      </m:oMathPara>
    </w:p>
    <w:p w:rsidR="00E24DB7" w:rsidRPr="002C5876" w:rsidRDefault="00E24DB7" w:rsidP="00E24DB7">
      <w:pPr>
        <w:pStyle w:val="SingleTxtG"/>
        <w:keepNext/>
        <w:ind w:left="3402" w:hanging="1134"/>
        <w:rPr>
          <w:szCs w:val="24"/>
        </w:rPr>
      </w:pPr>
      <w:r w:rsidRPr="002C5876">
        <w:rPr>
          <w:szCs w:val="24"/>
        </w:rPr>
        <w:t>où :</w:t>
      </w:r>
    </w:p>
    <w:p w:rsidR="00E24DB7" w:rsidRPr="002C5876" w:rsidRDefault="00E24DB7" w:rsidP="00E24DB7">
      <w:pPr>
        <w:pStyle w:val="SingleTxtG"/>
        <w:tabs>
          <w:tab w:val="left" w:pos="3686"/>
        </w:tabs>
        <w:ind w:left="3175" w:hanging="907"/>
        <w:rPr>
          <w:szCs w:val="24"/>
        </w:rPr>
      </w:pPr>
      <w:r w:rsidRPr="002C5876">
        <w:rPr>
          <w:szCs w:val="24"/>
        </w:rPr>
        <w:t>U</w:t>
      </w:r>
      <w:r w:rsidRPr="002C5876">
        <w:rPr>
          <w:szCs w:val="24"/>
          <w:vertAlign w:val="subscript"/>
        </w:rPr>
        <w:t>REESS</w:t>
      </w:r>
      <w:r w:rsidRPr="002C5876">
        <w:rPr>
          <w:szCs w:val="24"/>
        </w:rPr>
        <w:tab/>
        <w:t>est la tension nominale, en V, du SRSEE déterminée selon la CEI 60050-482 ;</w:t>
      </w:r>
    </w:p>
    <w:p w:rsidR="00E24DB7" w:rsidRPr="002C5876" w:rsidRDefault="00E24DB7" w:rsidP="00E24DB7">
      <w:pPr>
        <w:pStyle w:val="SingleTxtG"/>
        <w:tabs>
          <w:tab w:val="left" w:pos="3686"/>
        </w:tabs>
        <w:ind w:left="3175" w:hanging="907"/>
        <w:rPr>
          <w:szCs w:val="24"/>
        </w:rPr>
      </w:pPr>
      <w:r w:rsidRPr="002C5876">
        <w:rPr>
          <w:szCs w:val="24"/>
        </w:rPr>
        <w:t>I(t)</w:t>
      </w:r>
      <w:r w:rsidRPr="002C5876">
        <w:rPr>
          <w:szCs w:val="24"/>
          <w:vertAlign w:val="subscript"/>
        </w:rPr>
        <w:t>j,i</w:t>
      </w:r>
      <w:r w:rsidRPr="002C5876">
        <w:rPr>
          <w:szCs w:val="24"/>
        </w:rPr>
        <w:tab/>
        <w:t>est le courant électrique, en A, du SRSEE i durant la période j considérée, déterminé conformément au paragraphe 2 de l’appendice A ;</w:t>
      </w:r>
    </w:p>
    <w:p w:rsidR="00E24DB7" w:rsidRPr="002C5876" w:rsidRDefault="00E24DB7" w:rsidP="00E24DB7">
      <w:pPr>
        <w:pStyle w:val="SingleTxtG"/>
        <w:tabs>
          <w:tab w:val="left" w:pos="3686"/>
        </w:tabs>
        <w:ind w:left="3175" w:right="850" w:hanging="907"/>
        <w:rPr>
          <w:szCs w:val="24"/>
        </w:rPr>
      </w:pPr>
      <w:r w:rsidRPr="002C5876">
        <w:rPr>
          <w:szCs w:val="24"/>
        </w:rPr>
        <w:t>t</w:t>
      </w:r>
      <w:r w:rsidRPr="002C5876">
        <w:rPr>
          <w:szCs w:val="24"/>
          <w:vertAlign w:val="subscript"/>
        </w:rPr>
        <w:t>0</w:t>
      </w:r>
      <w:r w:rsidRPr="002C5876">
        <w:rPr>
          <w:szCs w:val="24"/>
        </w:rPr>
        <w:tab/>
        <w:t>est le temps au début de la période j considérée, en s ;</w:t>
      </w:r>
    </w:p>
    <w:p w:rsidR="00E24DB7" w:rsidRPr="002C5876" w:rsidRDefault="00E24DB7" w:rsidP="00E24DB7">
      <w:pPr>
        <w:pStyle w:val="SingleTxtG"/>
        <w:tabs>
          <w:tab w:val="left" w:pos="3686"/>
        </w:tabs>
        <w:ind w:left="3175" w:hanging="907"/>
        <w:rPr>
          <w:szCs w:val="24"/>
        </w:rPr>
      </w:pPr>
      <w:r w:rsidRPr="002C5876">
        <w:rPr>
          <w:szCs w:val="24"/>
        </w:rPr>
        <w:t>t</w:t>
      </w:r>
      <w:r w:rsidRPr="002C5876">
        <w:rPr>
          <w:szCs w:val="24"/>
          <w:vertAlign w:val="subscript"/>
        </w:rPr>
        <w:t>end</w:t>
      </w:r>
      <w:r w:rsidRPr="002C5876">
        <w:rPr>
          <w:szCs w:val="24"/>
          <w:vertAlign w:val="subscript"/>
        </w:rPr>
        <w:tab/>
      </w:r>
      <w:r w:rsidRPr="002C5876">
        <w:rPr>
          <w:szCs w:val="24"/>
        </w:rPr>
        <w:t>est le temps à la fin de la période j considérée, en s ;</w:t>
      </w:r>
    </w:p>
    <w:p w:rsidR="00E24DB7" w:rsidRPr="002C5876" w:rsidRDefault="00E24DB7" w:rsidP="00E24DB7">
      <w:pPr>
        <w:pStyle w:val="SingleTxtG"/>
        <w:tabs>
          <w:tab w:val="left" w:pos="3686"/>
        </w:tabs>
        <w:ind w:left="3175" w:hanging="907"/>
        <w:rPr>
          <w:szCs w:val="24"/>
        </w:rPr>
      </w:pPr>
      <w:r w:rsidRPr="002C5876">
        <w:rPr>
          <w:szCs w:val="24"/>
        </w:rPr>
        <w:t>i</w:t>
      </w:r>
      <w:r w:rsidRPr="002C5876">
        <w:rPr>
          <w:szCs w:val="24"/>
        </w:rPr>
        <w:tab/>
        <w:t>est l’indice pour le SRSEE considéré ;</w:t>
      </w:r>
    </w:p>
    <w:p w:rsidR="00E24DB7" w:rsidRPr="002C5876" w:rsidRDefault="00E24DB7" w:rsidP="00E24DB7">
      <w:pPr>
        <w:pStyle w:val="SingleTxtG"/>
        <w:tabs>
          <w:tab w:val="left" w:pos="3686"/>
        </w:tabs>
        <w:ind w:left="3175" w:hanging="907"/>
        <w:rPr>
          <w:szCs w:val="24"/>
        </w:rPr>
      </w:pPr>
      <w:r w:rsidRPr="002C5876">
        <w:rPr>
          <w:szCs w:val="24"/>
        </w:rPr>
        <w:t>n</w:t>
      </w:r>
      <w:r w:rsidRPr="002C5876">
        <w:rPr>
          <w:szCs w:val="24"/>
        </w:rPr>
        <w:tab/>
        <w:t>est le nombre total de SRSEE ;</w:t>
      </w:r>
    </w:p>
    <w:p w:rsidR="00E24DB7" w:rsidRPr="002C5876" w:rsidRDefault="00E24DB7" w:rsidP="00E24DB7">
      <w:pPr>
        <w:pStyle w:val="SingleTxtG"/>
        <w:tabs>
          <w:tab w:val="left" w:pos="3686"/>
        </w:tabs>
        <w:ind w:left="3175" w:hanging="907"/>
        <w:rPr>
          <w:szCs w:val="24"/>
        </w:rPr>
      </w:pPr>
      <w:r w:rsidRPr="002C5876">
        <w:rPr>
          <w:szCs w:val="24"/>
        </w:rPr>
        <w:t>j</w:t>
      </w:r>
      <w:r w:rsidRPr="002C5876">
        <w:rPr>
          <w:szCs w:val="24"/>
        </w:rPr>
        <w:tab/>
        <w:t>est l’indice pour la période considérée, une période pouvant être une phase du cycle applicable, une combinaison de phases du cycle ou l’ensemble du cycle applicable ;</w:t>
      </w:r>
    </w:p>
    <w:p w:rsidR="00E24DB7" w:rsidRPr="002C5876" w:rsidRDefault="00E24DB7" w:rsidP="00E24DB7">
      <w:pPr>
        <w:pStyle w:val="SingleTxtG"/>
        <w:tabs>
          <w:tab w:val="left" w:pos="3686"/>
        </w:tabs>
        <w:ind w:left="3175" w:hanging="907"/>
        <w:rPr>
          <w:szCs w:val="24"/>
        </w:rPr>
      </w:pPr>
      <w:r w:rsidRPr="002C5876">
        <w:rPr>
          <w:noProof/>
          <w:position w:val="-20"/>
          <w:lang w:val="en-GB" w:eastAsia="zh-CN"/>
        </w:rPr>
        <w:drawing>
          <wp:inline distT="0" distB="0" distL="0" distR="0" wp14:anchorId="2CDE7FAA" wp14:editId="6ED4685C">
            <wp:extent cx="333375" cy="333375"/>
            <wp:effectExtent l="0" t="0" r="9525" b="9525"/>
            <wp:docPr id="229" name="Imag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2C5876">
        <w:rPr>
          <w:szCs w:val="24"/>
        </w:rPr>
        <w:tab/>
        <w:t>est le facteur de conversion pour passer des Ws aux Wh.</w:t>
      </w:r>
    </w:p>
    <w:p w:rsidR="00E24DB7" w:rsidRPr="002C5876" w:rsidRDefault="00E24DB7" w:rsidP="00E24DB7">
      <w:pPr>
        <w:pStyle w:val="SingleTxtG"/>
        <w:ind w:left="2268" w:hanging="1134"/>
        <w:rPr>
          <w:szCs w:val="24"/>
        </w:rPr>
      </w:pPr>
      <w:r w:rsidRPr="002C5876">
        <w:rPr>
          <w:szCs w:val="24"/>
        </w:rPr>
        <w:t>4.2</w:t>
      </w:r>
      <w:r w:rsidRPr="002C5876">
        <w:rPr>
          <w:szCs w:val="24"/>
        </w:rPr>
        <w:tab/>
        <w:t>Pour corriger les émissions massiques de CO</w:t>
      </w:r>
      <w:r w:rsidRPr="002C5876">
        <w:rPr>
          <w:szCs w:val="24"/>
          <w:vertAlign w:val="subscript"/>
        </w:rPr>
        <w:t>2</w:t>
      </w:r>
      <w:r w:rsidRPr="002C5876">
        <w:rPr>
          <w:szCs w:val="24"/>
        </w:rPr>
        <w:t>, en g/km, il faut utiliser les facteurs de Willans correspondant au procédé de combustion particulier qui figurent dans le tableau A6.App2/3.</w:t>
      </w:r>
    </w:p>
    <w:p w:rsidR="00E24DB7" w:rsidRPr="002C5876" w:rsidRDefault="00E24DB7" w:rsidP="00E24DB7">
      <w:pPr>
        <w:pStyle w:val="SingleTxtG"/>
        <w:ind w:left="2268" w:hanging="1134"/>
        <w:rPr>
          <w:szCs w:val="24"/>
        </w:rPr>
      </w:pPr>
      <w:r w:rsidRPr="002C5876">
        <w:rPr>
          <w:szCs w:val="24"/>
        </w:rPr>
        <w:t>4.3</w:t>
      </w:r>
      <w:r w:rsidRPr="002C5876">
        <w:rPr>
          <w:szCs w:val="24"/>
        </w:rPr>
        <w:tab/>
        <w:t xml:space="preserve">La correction est effectuée et appliquée pour le cycle total et pour chacune de ses phases séparément et est enregistrée. </w:t>
      </w:r>
    </w:p>
    <w:p w:rsidR="00E24DB7" w:rsidRPr="002C5876" w:rsidRDefault="00E24DB7" w:rsidP="00E24DB7">
      <w:pPr>
        <w:pStyle w:val="SingleTxtG"/>
        <w:keepNext/>
        <w:ind w:left="2268" w:hanging="1134"/>
        <w:rPr>
          <w:szCs w:val="24"/>
        </w:rPr>
      </w:pPr>
      <w:r w:rsidRPr="002C5876">
        <w:rPr>
          <w:szCs w:val="24"/>
        </w:rPr>
        <w:t>4.4</w:t>
      </w:r>
      <w:r w:rsidRPr="002C5876">
        <w:rPr>
          <w:szCs w:val="24"/>
        </w:rPr>
        <w:tab/>
        <w:t xml:space="preserve">Aux fins des calculs ci-dessus, on utilise une valeur constante pour le rendement de l’alternateur du système d’alimentation électrique, à savoir : </w:t>
      </w:r>
    </w:p>
    <w:p w:rsidR="00E24DB7" w:rsidRPr="002C5876" w:rsidRDefault="00E24DB7" w:rsidP="00E24DB7">
      <w:pPr>
        <w:pStyle w:val="SingleTxtG"/>
        <w:tabs>
          <w:tab w:val="left" w:pos="3686"/>
        </w:tabs>
        <w:ind w:left="3175" w:hanging="907"/>
        <w:rPr>
          <w:szCs w:val="24"/>
        </w:rPr>
      </w:pPr>
      <w:r w:rsidRPr="002C5876">
        <w:rPr>
          <w:noProof/>
          <w:position w:val="-10"/>
          <w:szCs w:val="24"/>
          <w:lang w:val="en-GB" w:eastAsia="zh-CN"/>
        </w:rPr>
        <w:drawing>
          <wp:inline distT="0" distB="0" distL="0" distR="0" wp14:anchorId="65B475D3" wp14:editId="571908C7">
            <wp:extent cx="866775" cy="209550"/>
            <wp:effectExtent l="0" t="0" r="9525" b="0"/>
            <wp:docPr id="228" name="Imag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866775" cy="209550"/>
                    </a:xfrm>
                    <a:prstGeom prst="rect">
                      <a:avLst/>
                    </a:prstGeom>
                    <a:noFill/>
                    <a:ln>
                      <a:noFill/>
                    </a:ln>
                  </pic:spPr>
                </pic:pic>
              </a:graphicData>
            </a:graphic>
          </wp:inline>
        </w:drawing>
      </w:r>
      <w:r w:rsidRPr="002C5876">
        <w:rPr>
          <w:szCs w:val="24"/>
        </w:rPr>
        <w:t>pour les alternateurs du système d’alimentation électrique du SRSEE</w:t>
      </w:r>
    </w:p>
    <w:p w:rsidR="00E24DB7" w:rsidRPr="002C5876" w:rsidRDefault="00E24DB7" w:rsidP="00E24DB7">
      <w:pPr>
        <w:pStyle w:val="SingleTxtG"/>
        <w:ind w:left="2268" w:hanging="1134"/>
        <w:rPr>
          <w:szCs w:val="24"/>
        </w:rPr>
      </w:pPr>
      <w:r w:rsidRPr="002C5876">
        <w:rPr>
          <w:szCs w:val="24"/>
        </w:rPr>
        <w:br w:type="page"/>
      </w:r>
      <w:r w:rsidRPr="002C5876">
        <w:rPr>
          <w:szCs w:val="24"/>
        </w:rPr>
        <w:lastRenderedPageBreak/>
        <w:t>4.5</w:t>
      </w:r>
      <w:r w:rsidRPr="002C5876">
        <w:rPr>
          <w:szCs w:val="24"/>
        </w:rPr>
        <w:tab/>
        <w:t>La différence résultante en ce qui concerne les émissions massiques de CO</w:t>
      </w:r>
      <w:r w:rsidRPr="002C5876">
        <w:rPr>
          <w:szCs w:val="24"/>
          <w:vertAlign w:val="subscript"/>
        </w:rPr>
        <w:t>2</w:t>
      </w:r>
      <w:r w:rsidRPr="002C5876">
        <w:rPr>
          <w:szCs w:val="24"/>
        </w:rPr>
        <w:t xml:space="preserve"> pour la période considérée j, </w:t>
      </w:r>
      <w:r w:rsidRPr="002C5876">
        <w:t>due à la charge pour l’alternateur</w:t>
      </w:r>
      <w:r w:rsidRPr="002C5876">
        <w:rPr>
          <w:szCs w:val="24"/>
        </w:rPr>
        <w:t xml:space="preserve"> </w:t>
      </w:r>
      <w:r w:rsidRPr="002C5876">
        <w:t>résultant de la recharge du SRSEE,</w:t>
      </w:r>
      <w:r w:rsidRPr="002C5876">
        <w:rPr>
          <w:szCs w:val="24"/>
        </w:rPr>
        <w:t xml:space="preserve"> </w:t>
      </w:r>
      <w:r w:rsidRPr="002C5876">
        <w:t>doit être calculée comme suit </w:t>
      </w:r>
      <w:r w:rsidRPr="002C5876">
        <w:rPr>
          <w:szCs w:val="24"/>
        </w:rPr>
        <w:t>:</w:t>
      </w:r>
      <w:r w:rsidRPr="002C5876" w:rsidDel="00657306">
        <w:rPr>
          <w:szCs w:val="24"/>
        </w:rPr>
        <w:t xml:space="preserve"> </w:t>
      </w:r>
    </w:p>
    <w:p w:rsidR="00E24DB7" w:rsidRPr="002C5876" w:rsidRDefault="00731CA6" w:rsidP="00E24DB7">
      <w:pPr>
        <w:pStyle w:val="SingleTxtG"/>
        <w:spacing w:after="240"/>
        <w:ind w:left="2268"/>
        <w:jc w:val="center"/>
      </w:pPr>
      <m:oMathPara>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0,0036× ∆E</m:t>
              </m:r>
            </m:e>
            <m:sub>
              <m:r>
                <m:rPr>
                  <m:sty m:val="p"/>
                </m:rPr>
                <w:rPr>
                  <w:rFonts w:ascii="Cambria Math" w:hAnsi="Cambria Math"/>
                </w:rPr>
                <m:t>REESS,j</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m:rPr>
                      <m:sty m:val="p"/>
                    </m:rPr>
                    <w:rPr>
                      <w:rFonts w:ascii="Cambria Math" w:hAnsi="Cambria Math"/>
                    </w:rPr>
                    <m:t>η</m:t>
                  </m:r>
                </m:e>
                <m:sub>
                  <m:r>
                    <m:rPr>
                      <m:sty m:val="p"/>
                    </m:rPr>
                    <w:rPr>
                      <w:rFonts w:ascii="Cambria Math" w:hAnsi="Cambria Math"/>
                    </w:rPr>
                    <m:t>alternator</m:t>
                  </m:r>
                </m:sub>
              </m:sSub>
            </m:den>
          </m:f>
          <m:r>
            <m:rPr>
              <m:sty m:val="p"/>
            </m:rPr>
            <w:rPr>
              <w:rFonts w:ascii="Cambria Math" w:hAnsi="Cambria Math"/>
            </w:rPr>
            <m:t>×</m:t>
          </m:r>
          <m:sSub>
            <m:sSubPr>
              <m:ctrlPr>
                <w:rPr>
                  <w:rFonts w:ascii="Cambria Math" w:hAnsi="Cambria Math"/>
                </w:rPr>
              </m:ctrlPr>
            </m:sSubPr>
            <m:e>
              <m:r>
                <m:rPr>
                  <m:sty m:val="p"/>
                </m:rPr>
                <w:rPr>
                  <w:rFonts w:ascii="Cambria Math" w:hAnsi="Cambria Math"/>
                </w:rPr>
                <m:t>Willans</m:t>
              </m:r>
            </m:e>
            <m:sub>
              <m:r>
                <m:rPr>
                  <m:sty m:val="p"/>
                </m:rPr>
                <w:rPr>
                  <w:rFonts w:ascii="Cambria Math" w:hAnsi="Cambria Math"/>
                </w:rPr>
                <m:t>factor</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m:rPr>
                      <m:sty m:val="p"/>
                    </m:rPr>
                    <w:rPr>
                      <w:rFonts w:ascii="Cambria Math" w:hAnsi="Cambria Math"/>
                    </w:rPr>
                    <m:t>d</m:t>
                  </m:r>
                </m:e>
                <m:sub>
                  <m:r>
                    <m:rPr>
                      <m:sty m:val="p"/>
                    </m:rPr>
                    <w:rPr>
                      <w:rFonts w:ascii="Cambria Math" w:hAnsi="Cambria Math"/>
                    </w:rPr>
                    <m:t>j</m:t>
                  </m:r>
                </m:sub>
              </m:sSub>
            </m:den>
          </m:f>
        </m:oMath>
      </m:oMathPara>
    </w:p>
    <w:p w:rsidR="00E24DB7" w:rsidRPr="002C5876" w:rsidRDefault="00E24DB7" w:rsidP="00E24DB7">
      <w:pPr>
        <w:pStyle w:val="SingleTxtG"/>
        <w:keepNext/>
        <w:ind w:left="2268"/>
        <w:rPr>
          <w:szCs w:val="24"/>
        </w:rPr>
      </w:pPr>
      <w:r w:rsidRPr="002C5876">
        <w:rPr>
          <w:szCs w:val="24"/>
        </w:rPr>
        <w:t>où :</w:t>
      </w:r>
    </w:p>
    <w:p w:rsidR="00E24DB7" w:rsidRPr="002C5876" w:rsidRDefault="00E24DB7" w:rsidP="00E24DB7">
      <w:pPr>
        <w:pStyle w:val="SingleTxtG"/>
        <w:ind w:left="3402" w:hanging="1134"/>
        <w:rPr>
          <w:szCs w:val="24"/>
        </w:rPr>
      </w:pPr>
      <w:r w:rsidRPr="002C5876">
        <w:rPr>
          <w:noProof/>
          <w:position w:val="-14"/>
          <w:lang w:val="en-GB" w:eastAsia="zh-CN"/>
        </w:rPr>
        <w:drawing>
          <wp:inline distT="0" distB="0" distL="0" distR="0" wp14:anchorId="76728E0F" wp14:editId="23C0D880">
            <wp:extent cx="523875" cy="247650"/>
            <wp:effectExtent l="0" t="0" r="9525" b="0"/>
            <wp:docPr id="226" name="Imag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23875" cy="247650"/>
                    </a:xfrm>
                    <a:prstGeom prst="rect">
                      <a:avLst/>
                    </a:prstGeom>
                    <a:noFill/>
                    <a:ln>
                      <a:noFill/>
                    </a:ln>
                  </pic:spPr>
                </pic:pic>
              </a:graphicData>
            </a:graphic>
          </wp:inline>
        </w:drawing>
      </w:r>
      <w:r w:rsidRPr="002C5876">
        <w:rPr>
          <w:szCs w:val="24"/>
          <w:vertAlign w:val="subscript"/>
        </w:rPr>
        <w:tab/>
      </w:r>
      <w:r w:rsidRPr="002C5876">
        <w:t>est la différence résultante en ce qui concerne les émissions massiques de CO</w:t>
      </w:r>
      <w:r w:rsidRPr="002C5876">
        <w:rPr>
          <w:vertAlign w:val="subscript"/>
        </w:rPr>
        <w:t xml:space="preserve">2 </w:t>
      </w:r>
      <w:r w:rsidRPr="002C5876">
        <w:t>pour la</w:t>
      </w:r>
      <w:r w:rsidRPr="002C5876">
        <w:rPr>
          <w:szCs w:val="24"/>
        </w:rPr>
        <w:t xml:space="preserve"> période j, en g/km ;</w:t>
      </w:r>
    </w:p>
    <w:p w:rsidR="00E24DB7" w:rsidRPr="002C5876" w:rsidRDefault="00E24DB7" w:rsidP="00E24DB7">
      <w:pPr>
        <w:pStyle w:val="SingleTxtG"/>
        <w:ind w:left="3402" w:hanging="1134"/>
        <w:rPr>
          <w:szCs w:val="24"/>
        </w:rPr>
      </w:pPr>
      <w:r w:rsidRPr="002C5876">
        <w:rPr>
          <w:noProof/>
          <w:position w:val="-14"/>
          <w:lang w:val="en-GB" w:eastAsia="zh-CN"/>
        </w:rPr>
        <w:drawing>
          <wp:inline distT="0" distB="0" distL="0" distR="0" wp14:anchorId="383E7480" wp14:editId="4F082FB6">
            <wp:extent cx="581025" cy="247650"/>
            <wp:effectExtent l="0" t="0" r="9525" b="0"/>
            <wp:docPr id="225" name="Imag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81025" cy="247650"/>
                    </a:xfrm>
                    <a:prstGeom prst="rect">
                      <a:avLst/>
                    </a:prstGeom>
                    <a:noFill/>
                    <a:ln>
                      <a:noFill/>
                    </a:ln>
                  </pic:spPr>
                </pic:pic>
              </a:graphicData>
            </a:graphic>
          </wp:inline>
        </w:drawing>
      </w:r>
      <w:r w:rsidRPr="002C5876">
        <w:rPr>
          <w:szCs w:val="24"/>
        </w:rPr>
        <w:tab/>
        <w:t>est la variation d’énergie du SRSEE pour la période j considérée, calculée conformément au paragraphe 4.1 du présent appendice, en Wh ;</w:t>
      </w:r>
    </w:p>
    <w:p w:rsidR="00E24DB7" w:rsidRPr="002C5876" w:rsidRDefault="00E24DB7" w:rsidP="00E24DB7">
      <w:pPr>
        <w:pStyle w:val="SingleTxtG"/>
        <w:ind w:left="3402" w:hanging="1134"/>
        <w:rPr>
          <w:szCs w:val="24"/>
        </w:rPr>
      </w:pPr>
      <w:r w:rsidRPr="002C5876">
        <w:rPr>
          <w:szCs w:val="24"/>
        </w:rPr>
        <w:t>d</w:t>
      </w:r>
      <w:r w:rsidRPr="002C5876">
        <w:rPr>
          <w:szCs w:val="24"/>
          <w:vertAlign w:val="subscript"/>
        </w:rPr>
        <w:t>j</w:t>
      </w:r>
      <w:r w:rsidRPr="002C5876">
        <w:rPr>
          <w:szCs w:val="24"/>
        </w:rPr>
        <w:tab/>
        <w:t>est la distance parcourue durant la période j considérée, en km ;</w:t>
      </w:r>
    </w:p>
    <w:p w:rsidR="00E24DB7" w:rsidRPr="002C5876" w:rsidRDefault="00E24DB7" w:rsidP="00E24DB7">
      <w:pPr>
        <w:pStyle w:val="SingleTxtG"/>
        <w:tabs>
          <w:tab w:val="left" w:pos="3686"/>
        </w:tabs>
        <w:ind w:left="3402" w:hanging="1134"/>
        <w:rPr>
          <w:szCs w:val="24"/>
        </w:rPr>
      </w:pPr>
      <w:r w:rsidRPr="002C5876">
        <w:rPr>
          <w:szCs w:val="24"/>
        </w:rPr>
        <w:t>j</w:t>
      </w:r>
      <w:r w:rsidRPr="002C5876">
        <w:rPr>
          <w:szCs w:val="24"/>
        </w:rPr>
        <w:tab/>
        <w:t>est l’indice pour la période considérée, une période pouvant être une phase du cycle applicable, une combinaison de phases du cycle ou l’ensemble du cycle applicable ;</w:t>
      </w:r>
    </w:p>
    <w:p w:rsidR="00E24DB7" w:rsidRPr="002C5876" w:rsidRDefault="00E24DB7" w:rsidP="00E24DB7">
      <w:pPr>
        <w:pStyle w:val="SingleTxtG"/>
        <w:tabs>
          <w:tab w:val="left" w:pos="3686"/>
        </w:tabs>
        <w:ind w:left="3402" w:hanging="1134"/>
        <w:rPr>
          <w:szCs w:val="24"/>
        </w:rPr>
      </w:pPr>
      <w:r w:rsidRPr="002C5876">
        <w:rPr>
          <w:szCs w:val="24"/>
        </w:rPr>
        <w:t>0,0036</w:t>
      </w:r>
      <w:r w:rsidRPr="002C5876">
        <w:rPr>
          <w:szCs w:val="24"/>
        </w:rPr>
        <w:tab/>
        <w:t xml:space="preserve">est le facteur de conversion pour passer des Wh aux MJ ; </w:t>
      </w:r>
    </w:p>
    <w:p w:rsidR="00E24DB7" w:rsidRPr="002C5876" w:rsidRDefault="00E24DB7" w:rsidP="00E24DB7">
      <w:pPr>
        <w:pStyle w:val="SingleTxtG"/>
        <w:ind w:left="3402" w:hanging="1134"/>
        <w:rPr>
          <w:szCs w:val="24"/>
        </w:rPr>
      </w:pPr>
      <w:r w:rsidRPr="002C5876">
        <w:rPr>
          <w:noProof/>
          <w:position w:val="-12"/>
          <w:lang w:val="en-GB" w:eastAsia="zh-CN"/>
        </w:rPr>
        <w:drawing>
          <wp:inline distT="0" distB="0" distL="0" distR="0" wp14:anchorId="081B3176" wp14:editId="16453544">
            <wp:extent cx="485775" cy="228600"/>
            <wp:effectExtent l="0" t="0" r="9525" b="0"/>
            <wp:docPr id="224" name="Imag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Pr="002C5876">
        <w:rPr>
          <w:szCs w:val="24"/>
        </w:rPr>
        <w:tab/>
        <w:t>est le rendement de l’alternateur selon le paragraphe 4.4 du présent appendice ;</w:t>
      </w:r>
    </w:p>
    <w:p w:rsidR="00E24DB7" w:rsidRPr="002C5876" w:rsidRDefault="00E24DB7" w:rsidP="00E24DB7">
      <w:pPr>
        <w:pStyle w:val="SingleTxtG"/>
        <w:ind w:left="3402" w:hanging="1134"/>
        <w:rPr>
          <w:szCs w:val="24"/>
        </w:rPr>
      </w:pPr>
      <w:r w:rsidRPr="002C5876">
        <w:rPr>
          <w:szCs w:val="24"/>
        </w:rPr>
        <w:t>Willans</w:t>
      </w:r>
      <w:r w:rsidRPr="002C5876">
        <w:rPr>
          <w:szCs w:val="24"/>
          <w:vertAlign w:val="subscript"/>
        </w:rPr>
        <w:t>factor</w:t>
      </w:r>
      <w:r w:rsidRPr="002C5876">
        <w:rPr>
          <w:szCs w:val="24"/>
        </w:rPr>
        <w:t xml:space="preserve"> </w:t>
      </w:r>
      <w:r w:rsidRPr="002C5876">
        <w:rPr>
          <w:szCs w:val="24"/>
        </w:rPr>
        <w:tab/>
        <w:t>est le facteur de Willans correspondant au procédé de combustion particulier tel qu’il est défini dans le tableau A6.App2/3, en gCO</w:t>
      </w:r>
      <w:r w:rsidRPr="002C5876">
        <w:rPr>
          <w:szCs w:val="24"/>
          <w:vertAlign w:val="subscript"/>
        </w:rPr>
        <w:t>2</w:t>
      </w:r>
      <w:r w:rsidRPr="002C5876">
        <w:rPr>
          <w:szCs w:val="24"/>
        </w:rPr>
        <w:t>/MJ.</w:t>
      </w:r>
    </w:p>
    <w:p w:rsidR="00E24DB7" w:rsidRPr="002C5876" w:rsidRDefault="00E24DB7" w:rsidP="00E24DB7">
      <w:pPr>
        <w:pStyle w:val="SingleTxtG"/>
        <w:keepNext/>
        <w:ind w:left="2268" w:hanging="1134"/>
        <w:rPr>
          <w:szCs w:val="24"/>
        </w:rPr>
      </w:pPr>
      <w:r w:rsidRPr="002C5876">
        <w:rPr>
          <w:szCs w:val="24"/>
        </w:rPr>
        <w:t>4.5.1</w:t>
      </w:r>
      <w:r w:rsidRPr="002C5876">
        <w:rPr>
          <w:szCs w:val="24"/>
        </w:rPr>
        <w:tab/>
        <w:t>Les valeurs de CO</w:t>
      </w:r>
      <w:r w:rsidRPr="002C5876">
        <w:rPr>
          <w:szCs w:val="24"/>
          <w:vertAlign w:val="subscript"/>
        </w:rPr>
        <w:t>2</w:t>
      </w:r>
      <w:r w:rsidRPr="002C5876">
        <w:rPr>
          <w:szCs w:val="24"/>
        </w:rPr>
        <w:t xml:space="preserve"> pour chaque phase et pour l’ensemble du cycle doivent être corrigées comme suit : </w:t>
      </w:r>
    </w:p>
    <w:p w:rsidR="00E24DB7" w:rsidRPr="002C5876" w:rsidRDefault="00E24DB7" w:rsidP="00E24DB7">
      <w:pPr>
        <w:pStyle w:val="SingleTxtG"/>
        <w:ind w:left="2268" w:right="567"/>
      </w:pPr>
      <w:r w:rsidRPr="002C5876">
        <w:t>M</w:t>
      </w:r>
      <w:r w:rsidRPr="002C5876">
        <w:rPr>
          <w:vertAlign w:val="subscript"/>
        </w:rPr>
        <w:t>CO2,p,3</w:t>
      </w:r>
      <w:r w:rsidRPr="002C5876">
        <w:t xml:space="preserve"> = M</w:t>
      </w:r>
      <w:r w:rsidRPr="002C5876">
        <w:rPr>
          <w:vertAlign w:val="subscript"/>
        </w:rPr>
        <w:t>CO2,p,1</w:t>
      </w:r>
      <w:r w:rsidRPr="002C5876">
        <w:t xml:space="preserve"> - ΔM</w:t>
      </w:r>
      <w:r w:rsidRPr="002C5876">
        <w:rPr>
          <w:vertAlign w:val="subscript"/>
        </w:rPr>
        <w:t>CO2,j</w:t>
      </w:r>
    </w:p>
    <w:p w:rsidR="00E24DB7" w:rsidRPr="002C5876" w:rsidRDefault="00E24DB7" w:rsidP="00E24DB7">
      <w:pPr>
        <w:pStyle w:val="SingleTxtG"/>
        <w:ind w:left="2268" w:right="567"/>
      </w:pPr>
      <w:r w:rsidRPr="002C5876">
        <w:t>M</w:t>
      </w:r>
      <w:r w:rsidRPr="002C5876">
        <w:rPr>
          <w:vertAlign w:val="subscript"/>
        </w:rPr>
        <w:t>CO2,c,3</w:t>
      </w:r>
      <w:r w:rsidRPr="002C5876">
        <w:t xml:space="preserve"> = M</w:t>
      </w:r>
      <w:r w:rsidRPr="002C5876">
        <w:rPr>
          <w:vertAlign w:val="subscript"/>
        </w:rPr>
        <w:t>CO2,c,2</w:t>
      </w:r>
      <w:r w:rsidRPr="002C5876">
        <w:t xml:space="preserve"> - ΔM</w:t>
      </w:r>
      <w:r w:rsidRPr="002C5876">
        <w:rPr>
          <w:vertAlign w:val="subscript"/>
        </w:rPr>
        <w:t>CO2,j</w:t>
      </w:r>
    </w:p>
    <w:p w:rsidR="00E24DB7" w:rsidRPr="002C5876" w:rsidRDefault="00E24DB7" w:rsidP="00E24DB7">
      <w:pPr>
        <w:pStyle w:val="SingleTxtG"/>
        <w:keepNext/>
        <w:ind w:left="2268" w:right="567"/>
      </w:pPr>
      <w:r w:rsidRPr="002C5876">
        <w:t>où :</w:t>
      </w:r>
    </w:p>
    <w:p w:rsidR="00E24DB7" w:rsidRPr="002C5876" w:rsidRDefault="00E24DB7" w:rsidP="00E24DB7">
      <w:pPr>
        <w:pStyle w:val="SingleTxtG"/>
        <w:ind w:left="3402" w:hanging="1134"/>
        <w:rPr>
          <w:szCs w:val="24"/>
        </w:rPr>
      </w:pPr>
      <w:r w:rsidRPr="002C5876">
        <w:t>ΔM</w:t>
      </w:r>
      <w:r w:rsidRPr="002C5876">
        <w:rPr>
          <w:vertAlign w:val="subscript"/>
        </w:rPr>
        <w:t>CO2,j</w:t>
      </w:r>
      <w:r w:rsidRPr="002C5876">
        <w:t xml:space="preserve"> </w:t>
      </w:r>
      <w:r w:rsidRPr="002C5876">
        <w:tab/>
        <w:t xml:space="preserve">est le </w:t>
      </w:r>
      <w:r w:rsidRPr="002C5876">
        <w:rPr>
          <w:szCs w:val="24"/>
        </w:rPr>
        <w:t>résultat</w:t>
      </w:r>
      <w:r w:rsidRPr="002C5876">
        <w:t xml:space="preserve"> visé au paragraphe 4.5 du présent appendice pour la période j, en g/km.</w:t>
      </w:r>
    </w:p>
    <w:p w:rsidR="00E24DB7" w:rsidRPr="002C5876" w:rsidRDefault="00E24DB7" w:rsidP="00E24DB7">
      <w:pPr>
        <w:pStyle w:val="SingleTxtG"/>
        <w:ind w:left="2268" w:hanging="1134"/>
      </w:pPr>
      <w:r w:rsidRPr="002C5876">
        <w:t>4.6</w:t>
      </w:r>
      <w:r w:rsidRPr="002C5876">
        <w:tab/>
        <w:t>Pour la correction des émissions de CO</w:t>
      </w:r>
      <w:r w:rsidRPr="002C5876">
        <w:rPr>
          <w:vertAlign w:val="subscript"/>
        </w:rPr>
        <w:t>2</w:t>
      </w:r>
      <w:r w:rsidRPr="002C5876">
        <w:t>, en g/km, il faut utiliser les facteurs de Willans indiqués dans le tableau A6.App2/3.</w:t>
      </w:r>
    </w:p>
    <w:p w:rsidR="00E24DB7" w:rsidRPr="002C5876" w:rsidRDefault="00E24DB7" w:rsidP="00E24DB7">
      <w:pPr>
        <w:pStyle w:val="H23G"/>
        <w:keepNext w:val="0"/>
      </w:pPr>
      <w:r w:rsidRPr="002C5876">
        <w:tab/>
      </w:r>
      <w:r w:rsidRPr="002C5876">
        <w:rPr>
          <w:b w:val="0"/>
        </w:rPr>
        <w:tab/>
        <w:t>Tableau A6.App2/3</w:t>
      </w:r>
      <w:r w:rsidRPr="002C5876">
        <w:br/>
        <w:t>Facteurs de Willans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2"/>
        <w:gridCol w:w="1382"/>
        <w:gridCol w:w="1382"/>
        <w:gridCol w:w="1382"/>
        <w:gridCol w:w="1382"/>
      </w:tblGrid>
      <w:tr w:rsidR="00E24DB7" w:rsidRPr="002C5876" w:rsidTr="00E24DB7">
        <w:trPr>
          <w:trHeight w:val="300"/>
          <w:tblHeader/>
        </w:trPr>
        <w:tc>
          <w:tcPr>
            <w:tcW w:w="4606" w:type="dxa"/>
            <w:gridSpan w:val="3"/>
            <w:tcBorders>
              <w:bottom w:val="single" w:sz="12" w:space="0" w:color="auto"/>
            </w:tcBorders>
            <w:shd w:val="clear" w:color="auto" w:fill="auto"/>
            <w:noWrap/>
            <w:vAlign w:val="bottom"/>
          </w:tcPr>
          <w:p w:rsidR="00E24DB7" w:rsidRPr="002C5876" w:rsidRDefault="00E24DB7" w:rsidP="00E24DB7">
            <w:pPr>
              <w:suppressAutoHyphens w:val="0"/>
              <w:spacing w:before="80" w:after="80" w:line="200" w:lineRule="exact"/>
              <w:ind w:left="57" w:right="57"/>
              <w:jc w:val="right"/>
              <w:rPr>
                <w:i/>
                <w:sz w:val="16"/>
                <w:szCs w:val="16"/>
                <w:lang w:eastAsia="en-GB"/>
              </w:rPr>
            </w:pPr>
          </w:p>
        </w:tc>
        <w:tc>
          <w:tcPr>
            <w:tcW w:w="1382" w:type="dxa"/>
            <w:tcBorders>
              <w:bottom w:val="single" w:sz="12" w:space="0" w:color="auto"/>
            </w:tcBorders>
            <w:shd w:val="clear" w:color="auto" w:fill="auto"/>
            <w:vAlign w:val="bottom"/>
          </w:tcPr>
          <w:p w:rsidR="00E24DB7" w:rsidRPr="002C5876" w:rsidRDefault="00E24DB7" w:rsidP="00E24DB7">
            <w:pPr>
              <w:suppressAutoHyphens w:val="0"/>
              <w:spacing w:before="80" w:after="80" w:line="200" w:lineRule="exact"/>
              <w:ind w:left="57" w:right="57"/>
              <w:jc w:val="right"/>
              <w:rPr>
                <w:i/>
                <w:sz w:val="16"/>
                <w:szCs w:val="16"/>
                <w:lang w:eastAsia="en-GB"/>
              </w:rPr>
            </w:pPr>
            <w:r w:rsidRPr="002C5876">
              <w:rPr>
                <w:i/>
                <w:sz w:val="16"/>
                <w:szCs w:val="16"/>
                <w:lang w:eastAsia="en-GB"/>
              </w:rPr>
              <w:t>Aspiration naturelle</w:t>
            </w:r>
          </w:p>
        </w:tc>
        <w:tc>
          <w:tcPr>
            <w:tcW w:w="1382" w:type="dxa"/>
            <w:tcBorders>
              <w:bottom w:val="single" w:sz="12" w:space="0" w:color="auto"/>
            </w:tcBorders>
            <w:shd w:val="clear" w:color="auto" w:fill="auto"/>
            <w:vAlign w:val="bottom"/>
          </w:tcPr>
          <w:p w:rsidR="00E24DB7" w:rsidRPr="002C5876" w:rsidRDefault="00E24DB7" w:rsidP="00E24DB7">
            <w:pPr>
              <w:suppressAutoHyphens w:val="0"/>
              <w:spacing w:before="80" w:after="80" w:line="200" w:lineRule="exact"/>
              <w:ind w:left="57" w:right="57"/>
              <w:jc w:val="right"/>
              <w:rPr>
                <w:i/>
                <w:sz w:val="16"/>
                <w:szCs w:val="16"/>
                <w:lang w:eastAsia="en-GB"/>
              </w:rPr>
            </w:pPr>
            <w:r w:rsidRPr="002C5876">
              <w:rPr>
                <w:i/>
                <w:sz w:val="16"/>
                <w:szCs w:val="16"/>
                <w:lang w:eastAsia="en-GB"/>
              </w:rPr>
              <w:t>Suralimentation</w:t>
            </w:r>
          </w:p>
        </w:tc>
      </w:tr>
      <w:tr w:rsidR="00E24DB7" w:rsidRPr="002C5876" w:rsidTr="00E24DB7">
        <w:trPr>
          <w:trHeight w:val="300"/>
        </w:trPr>
        <w:tc>
          <w:tcPr>
            <w:tcW w:w="1842" w:type="dxa"/>
            <w:vMerge w:val="restart"/>
            <w:tcBorders>
              <w:top w:val="single" w:sz="12" w:space="0" w:color="auto"/>
            </w:tcBorders>
            <w:shd w:val="clear" w:color="auto" w:fill="auto"/>
          </w:tcPr>
          <w:p w:rsidR="00E24DB7" w:rsidRPr="002C5876" w:rsidRDefault="00E24DB7" w:rsidP="00E24DB7">
            <w:pPr>
              <w:suppressAutoHyphens w:val="0"/>
              <w:spacing w:before="60" w:after="60" w:line="220" w:lineRule="atLeast"/>
              <w:ind w:left="57" w:right="57"/>
              <w:rPr>
                <w:sz w:val="18"/>
                <w:szCs w:val="18"/>
                <w:lang w:eastAsia="en-GB"/>
              </w:rPr>
            </w:pPr>
            <w:r w:rsidRPr="002C5876">
              <w:rPr>
                <w:sz w:val="18"/>
                <w:szCs w:val="18"/>
                <w:lang w:eastAsia="en-GB"/>
              </w:rPr>
              <w:t>Allumage commandé</w:t>
            </w:r>
          </w:p>
        </w:tc>
        <w:tc>
          <w:tcPr>
            <w:tcW w:w="1382" w:type="dxa"/>
            <w:vMerge w:val="restart"/>
            <w:tcBorders>
              <w:top w:val="single" w:sz="12" w:space="0" w:color="auto"/>
            </w:tcBorders>
            <w:shd w:val="clear" w:color="auto" w:fill="auto"/>
          </w:tcPr>
          <w:p w:rsidR="00E24DB7" w:rsidRPr="002C5876" w:rsidRDefault="00E24DB7" w:rsidP="00E24DB7">
            <w:pPr>
              <w:suppressAutoHyphens w:val="0"/>
              <w:spacing w:before="60" w:after="60" w:line="220" w:lineRule="atLeast"/>
              <w:ind w:left="57" w:right="57"/>
              <w:rPr>
                <w:sz w:val="18"/>
                <w:szCs w:val="18"/>
                <w:lang w:eastAsia="en-GB"/>
              </w:rPr>
            </w:pPr>
            <w:r w:rsidRPr="002C5876">
              <w:rPr>
                <w:sz w:val="18"/>
                <w:szCs w:val="18"/>
                <w:lang w:eastAsia="en-GB"/>
              </w:rPr>
              <w:t>Essence (E0)</w:t>
            </w:r>
          </w:p>
        </w:tc>
        <w:tc>
          <w:tcPr>
            <w:tcW w:w="1382" w:type="dxa"/>
            <w:tcBorders>
              <w:top w:val="single" w:sz="12" w:space="0" w:color="auto"/>
            </w:tcBorders>
            <w:shd w:val="clear" w:color="auto" w:fill="auto"/>
          </w:tcPr>
          <w:p w:rsidR="00E24DB7" w:rsidRPr="002C5876" w:rsidRDefault="00E24DB7" w:rsidP="00E24DB7">
            <w:pPr>
              <w:suppressAutoHyphens w:val="0"/>
              <w:spacing w:before="60" w:after="60" w:line="220" w:lineRule="atLeast"/>
              <w:ind w:left="57" w:right="57"/>
              <w:rPr>
                <w:sz w:val="18"/>
                <w:szCs w:val="18"/>
                <w:lang w:eastAsia="en-GB"/>
              </w:rPr>
            </w:pPr>
            <w:r w:rsidRPr="002C5876">
              <w:rPr>
                <w:sz w:val="18"/>
                <w:szCs w:val="18"/>
                <w:lang w:eastAsia="en-GB"/>
              </w:rPr>
              <w:t>l/MJ</w:t>
            </w:r>
          </w:p>
        </w:tc>
        <w:tc>
          <w:tcPr>
            <w:tcW w:w="1382" w:type="dxa"/>
            <w:tcBorders>
              <w:top w:val="single" w:sz="12" w:space="0" w:color="auto"/>
            </w:tcBorders>
            <w:shd w:val="clear" w:color="auto" w:fill="auto"/>
          </w:tcPr>
          <w:p w:rsidR="00E24DB7" w:rsidRPr="002C5876" w:rsidRDefault="00E24DB7" w:rsidP="00E24DB7">
            <w:pPr>
              <w:suppressAutoHyphens w:val="0"/>
              <w:spacing w:before="60" w:after="60" w:line="220" w:lineRule="atLeast"/>
              <w:ind w:left="57" w:right="57"/>
              <w:jc w:val="right"/>
              <w:rPr>
                <w:sz w:val="18"/>
                <w:szCs w:val="18"/>
                <w:lang w:eastAsia="en-GB"/>
              </w:rPr>
            </w:pPr>
            <w:r w:rsidRPr="002C5876">
              <w:rPr>
                <w:sz w:val="18"/>
                <w:szCs w:val="18"/>
                <w:lang w:eastAsia="en-GB"/>
              </w:rPr>
              <w:t>0,0733</w:t>
            </w:r>
          </w:p>
        </w:tc>
        <w:tc>
          <w:tcPr>
            <w:tcW w:w="1382" w:type="dxa"/>
            <w:tcBorders>
              <w:top w:val="single" w:sz="12" w:space="0" w:color="auto"/>
            </w:tcBorders>
            <w:shd w:val="clear" w:color="auto" w:fill="auto"/>
          </w:tcPr>
          <w:p w:rsidR="00E24DB7" w:rsidRPr="002C5876" w:rsidRDefault="00E24DB7" w:rsidP="00E24DB7">
            <w:pPr>
              <w:suppressAutoHyphens w:val="0"/>
              <w:spacing w:before="60" w:after="60" w:line="220" w:lineRule="atLeast"/>
              <w:ind w:left="57" w:right="57"/>
              <w:jc w:val="right"/>
              <w:rPr>
                <w:sz w:val="18"/>
                <w:szCs w:val="18"/>
                <w:lang w:eastAsia="en-GB"/>
              </w:rPr>
            </w:pPr>
            <w:r w:rsidRPr="002C5876">
              <w:rPr>
                <w:sz w:val="18"/>
                <w:szCs w:val="18"/>
                <w:lang w:eastAsia="en-GB"/>
              </w:rPr>
              <w:t>0,0778</w:t>
            </w:r>
          </w:p>
        </w:tc>
      </w:tr>
      <w:tr w:rsidR="00E24DB7" w:rsidRPr="002C5876" w:rsidTr="00E24DB7">
        <w:trPr>
          <w:trHeight w:val="300"/>
        </w:trPr>
        <w:tc>
          <w:tcPr>
            <w:tcW w:w="1842" w:type="dxa"/>
            <w:vMerge/>
            <w:shd w:val="clear" w:color="auto" w:fill="auto"/>
          </w:tcPr>
          <w:p w:rsidR="00E24DB7" w:rsidRPr="002C5876" w:rsidRDefault="00E24DB7" w:rsidP="00E24DB7">
            <w:pPr>
              <w:suppressAutoHyphens w:val="0"/>
              <w:spacing w:before="60" w:after="60" w:line="220" w:lineRule="atLeast"/>
              <w:ind w:left="57" w:right="57"/>
              <w:rPr>
                <w:sz w:val="18"/>
                <w:szCs w:val="18"/>
                <w:lang w:eastAsia="en-GB"/>
              </w:rPr>
            </w:pPr>
          </w:p>
        </w:tc>
        <w:tc>
          <w:tcPr>
            <w:tcW w:w="1382" w:type="dxa"/>
            <w:vMerge/>
            <w:shd w:val="clear" w:color="auto" w:fill="auto"/>
          </w:tcPr>
          <w:p w:rsidR="00E24DB7" w:rsidRPr="002C5876" w:rsidRDefault="00E24DB7" w:rsidP="00E24DB7">
            <w:pPr>
              <w:suppressAutoHyphens w:val="0"/>
              <w:spacing w:before="60" w:after="60" w:line="220" w:lineRule="atLeast"/>
              <w:ind w:left="57" w:right="57"/>
              <w:rPr>
                <w:sz w:val="18"/>
                <w:szCs w:val="18"/>
                <w:lang w:eastAsia="en-GB"/>
              </w:rPr>
            </w:pPr>
          </w:p>
        </w:tc>
        <w:tc>
          <w:tcPr>
            <w:tcW w:w="1382" w:type="dxa"/>
            <w:shd w:val="clear" w:color="auto" w:fill="auto"/>
          </w:tcPr>
          <w:p w:rsidR="00E24DB7" w:rsidRPr="002C5876" w:rsidRDefault="00E24DB7" w:rsidP="00E24DB7">
            <w:pPr>
              <w:suppressAutoHyphens w:val="0"/>
              <w:spacing w:before="60" w:after="60" w:line="220" w:lineRule="atLeast"/>
              <w:ind w:left="57" w:right="57"/>
              <w:rPr>
                <w:sz w:val="18"/>
                <w:szCs w:val="18"/>
                <w:lang w:eastAsia="en-GB"/>
              </w:rPr>
            </w:pPr>
            <w:r w:rsidRPr="002C5876">
              <w:rPr>
                <w:sz w:val="18"/>
                <w:szCs w:val="18"/>
                <w:lang w:eastAsia="en-GB"/>
              </w:rPr>
              <w:t>gCO</w:t>
            </w:r>
            <w:r w:rsidRPr="002C5876">
              <w:rPr>
                <w:sz w:val="18"/>
                <w:szCs w:val="18"/>
                <w:vertAlign w:val="subscript"/>
                <w:lang w:eastAsia="en-GB"/>
              </w:rPr>
              <w:t>2</w:t>
            </w:r>
            <w:r w:rsidRPr="002C5876">
              <w:rPr>
                <w:sz w:val="18"/>
                <w:szCs w:val="18"/>
                <w:lang w:eastAsia="en-GB"/>
              </w:rPr>
              <w:t>/MJ</w:t>
            </w:r>
          </w:p>
        </w:tc>
        <w:tc>
          <w:tcPr>
            <w:tcW w:w="1382" w:type="dxa"/>
            <w:shd w:val="clear" w:color="auto" w:fill="auto"/>
          </w:tcPr>
          <w:p w:rsidR="00E24DB7" w:rsidRPr="002C5876" w:rsidRDefault="00E24DB7" w:rsidP="00E24DB7">
            <w:pPr>
              <w:suppressAutoHyphens w:val="0"/>
              <w:spacing w:before="60" w:after="60" w:line="220" w:lineRule="atLeast"/>
              <w:ind w:left="57" w:right="57"/>
              <w:jc w:val="right"/>
              <w:rPr>
                <w:sz w:val="18"/>
                <w:szCs w:val="18"/>
                <w:lang w:eastAsia="en-GB"/>
              </w:rPr>
            </w:pPr>
            <w:r w:rsidRPr="002C5876">
              <w:rPr>
                <w:sz w:val="18"/>
                <w:szCs w:val="18"/>
                <w:lang w:eastAsia="en-GB"/>
              </w:rPr>
              <w:t>175</w:t>
            </w:r>
          </w:p>
        </w:tc>
        <w:tc>
          <w:tcPr>
            <w:tcW w:w="1382" w:type="dxa"/>
            <w:shd w:val="clear" w:color="auto" w:fill="auto"/>
          </w:tcPr>
          <w:p w:rsidR="00E24DB7" w:rsidRPr="002C5876" w:rsidRDefault="00E24DB7" w:rsidP="00E24DB7">
            <w:pPr>
              <w:suppressAutoHyphens w:val="0"/>
              <w:spacing w:before="60" w:after="60" w:line="220" w:lineRule="atLeast"/>
              <w:ind w:left="57" w:right="57"/>
              <w:jc w:val="right"/>
              <w:rPr>
                <w:sz w:val="18"/>
                <w:szCs w:val="18"/>
                <w:lang w:eastAsia="en-GB"/>
              </w:rPr>
            </w:pPr>
            <w:r w:rsidRPr="002C5876">
              <w:rPr>
                <w:sz w:val="18"/>
                <w:szCs w:val="18"/>
                <w:lang w:eastAsia="en-GB"/>
              </w:rPr>
              <w:t>186</w:t>
            </w:r>
          </w:p>
        </w:tc>
      </w:tr>
      <w:tr w:rsidR="00E24DB7" w:rsidRPr="002C5876" w:rsidTr="00E24DB7">
        <w:trPr>
          <w:trHeight w:val="300"/>
        </w:trPr>
        <w:tc>
          <w:tcPr>
            <w:tcW w:w="1842" w:type="dxa"/>
            <w:vMerge/>
            <w:shd w:val="clear" w:color="auto" w:fill="auto"/>
          </w:tcPr>
          <w:p w:rsidR="00E24DB7" w:rsidRPr="002C5876" w:rsidRDefault="00E24DB7" w:rsidP="00E24DB7">
            <w:pPr>
              <w:suppressAutoHyphens w:val="0"/>
              <w:spacing w:before="60" w:after="60" w:line="220" w:lineRule="atLeast"/>
              <w:ind w:left="57" w:right="57"/>
              <w:rPr>
                <w:sz w:val="18"/>
                <w:szCs w:val="18"/>
                <w:lang w:eastAsia="en-GB"/>
              </w:rPr>
            </w:pPr>
          </w:p>
        </w:tc>
        <w:tc>
          <w:tcPr>
            <w:tcW w:w="1382" w:type="dxa"/>
            <w:vMerge w:val="restart"/>
            <w:shd w:val="clear" w:color="auto" w:fill="auto"/>
          </w:tcPr>
          <w:p w:rsidR="00E24DB7" w:rsidRPr="002C5876" w:rsidRDefault="00E24DB7" w:rsidP="00E24DB7">
            <w:pPr>
              <w:suppressAutoHyphens w:val="0"/>
              <w:spacing w:before="60" w:after="60" w:line="220" w:lineRule="atLeast"/>
              <w:ind w:left="57" w:right="57"/>
              <w:rPr>
                <w:sz w:val="18"/>
                <w:szCs w:val="18"/>
                <w:lang w:eastAsia="en-GB"/>
              </w:rPr>
            </w:pPr>
            <w:r w:rsidRPr="002C5876">
              <w:rPr>
                <w:sz w:val="18"/>
                <w:szCs w:val="18"/>
                <w:lang w:eastAsia="en-GB"/>
              </w:rPr>
              <w:t>Essence (E5)</w:t>
            </w:r>
          </w:p>
        </w:tc>
        <w:tc>
          <w:tcPr>
            <w:tcW w:w="1382" w:type="dxa"/>
            <w:shd w:val="clear" w:color="auto" w:fill="auto"/>
          </w:tcPr>
          <w:p w:rsidR="00E24DB7" w:rsidRPr="002C5876" w:rsidRDefault="00E24DB7" w:rsidP="00E24DB7">
            <w:pPr>
              <w:suppressAutoHyphens w:val="0"/>
              <w:spacing w:before="60" w:after="60" w:line="220" w:lineRule="atLeast"/>
              <w:ind w:left="57" w:right="57"/>
              <w:rPr>
                <w:sz w:val="18"/>
                <w:szCs w:val="18"/>
                <w:lang w:eastAsia="en-GB"/>
              </w:rPr>
            </w:pPr>
            <w:r w:rsidRPr="002C5876">
              <w:rPr>
                <w:sz w:val="18"/>
                <w:szCs w:val="18"/>
                <w:lang w:eastAsia="en-GB"/>
              </w:rPr>
              <w:t>l/MJ</w:t>
            </w:r>
          </w:p>
        </w:tc>
        <w:tc>
          <w:tcPr>
            <w:tcW w:w="1382" w:type="dxa"/>
            <w:shd w:val="clear" w:color="auto" w:fill="auto"/>
          </w:tcPr>
          <w:p w:rsidR="00E24DB7" w:rsidRPr="002C5876" w:rsidRDefault="00E24DB7" w:rsidP="00E24DB7">
            <w:pPr>
              <w:suppressAutoHyphens w:val="0"/>
              <w:spacing w:before="60" w:after="60" w:line="220" w:lineRule="atLeast"/>
              <w:ind w:left="57" w:right="57"/>
              <w:jc w:val="right"/>
              <w:rPr>
                <w:sz w:val="18"/>
                <w:szCs w:val="18"/>
                <w:lang w:eastAsia="en-GB"/>
              </w:rPr>
            </w:pPr>
            <w:r w:rsidRPr="002C5876">
              <w:rPr>
                <w:sz w:val="18"/>
                <w:szCs w:val="18"/>
                <w:lang w:eastAsia="en-GB"/>
              </w:rPr>
              <w:t>0,0744</w:t>
            </w:r>
          </w:p>
        </w:tc>
        <w:tc>
          <w:tcPr>
            <w:tcW w:w="1382" w:type="dxa"/>
            <w:shd w:val="clear" w:color="auto" w:fill="auto"/>
          </w:tcPr>
          <w:p w:rsidR="00E24DB7" w:rsidRPr="002C5876" w:rsidRDefault="00E24DB7" w:rsidP="00E24DB7">
            <w:pPr>
              <w:suppressAutoHyphens w:val="0"/>
              <w:spacing w:before="60" w:after="60" w:line="220" w:lineRule="atLeast"/>
              <w:ind w:left="57" w:right="57"/>
              <w:jc w:val="right"/>
              <w:rPr>
                <w:sz w:val="18"/>
                <w:szCs w:val="18"/>
                <w:lang w:eastAsia="en-GB"/>
              </w:rPr>
            </w:pPr>
            <w:r w:rsidRPr="002C5876">
              <w:rPr>
                <w:sz w:val="18"/>
                <w:szCs w:val="18"/>
                <w:lang w:eastAsia="en-GB"/>
              </w:rPr>
              <w:t>0,0789</w:t>
            </w:r>
          </w:p>
        </w:tc>
      </w:tr>
      <w:tr w:rsidR="00E24DB7" w:rsidRPr="002C5876" w:rsidTr="00E24DB7">
        <w:trPr>
          <w:trHeight w:val="300"/>
        </w:trPr>
        <w:tc>
          <w:tcPr>
            <w:tcW w:w="1842" w:type="dxa"/>
            <w:vMerge/>
            <w:shd w:val="clear" w:color="auto" w:fill="auto"/>
          </w:tcPr>
          <w:p w:rsidR="00E24DB7" w:rsidRPr="002C5876" w:rsidRDefault="00E24DB7" w:rsidP="00E24DB7">
            <w:pPr>
              <w:suppressAutoHyphens w:val="0"/>
              <w:spacing w:before="60" w:after="60" w:line="220" w:lineRule="atLeast"/>
              <w:ind w:left="57" w:right="57"/>
              <w:rPr>
                <w:sz w:val="18"/>
                <w:szCs w:val="18"/>
                <w:lang w:eastAsia="en-GB"/>
              </w:rPr>
            </w:pPr>
          </w:p>
        </w:tc>
        <w:tc>
          <w:tcPr>
            <w:tcW w:w="1382" w:type="dxa"/>
            <w:vMerge/>
            <w:shd w:val="clear" w:color="auto" w:fill="auto"/>
          </w:tcPr>
          <w:p w:rsidR="00E24DB7" w:rsidRPr="002C5876" w:rsidRDefault="00E24DB7" w:rsidP="00E24DB7">
            <w:pPr>
              <w:suppressAutoHyphens w:val="0"/>
              <w:spacing w:before="60" w:after="60" w:line="220" w:lineRule="atLeast"/>
              <w:ind w:left="57" w:right="57"/>
              <w:rPr>
                <w:sz w:val="18"/>
                <w:szCs w:val="18"/>
                <w:lang w:eastAsia="en-GB"/>
              </w:rPr>
            </w:pPr>
          </w:p>
        </w:tc>
        <w:tc>
          <w:tcPr>
            <w:tcW w:w="1382" w:type="dxa"/>
            <w:shd w:val="clear" w:color="auto" w:fill="auto"/>
          </w:tcPr>
          <w:p w:rsidR="00E24DB7" w:rsidRPr="002C5876" w:rsidRDefault="00E24DB7" w:rsidP="00E24DB7">
            <w:pPr>
              <w:suppressAutoHyphens w:val="0"/>
              <w:spacing w:before="60" w:after="60" w:line="220" w:lineRule="atLeast"/>
              <w:ind w:left="57" w:right="57"/>
              <w:rPr>
                <w:sz w:val="18"/>
                <w:szCs w:val="18"/>
                <w:lang w:eastAsia="en-GB"/>
              </w:rPr>
            </w:pPr>
            <w:r w:rsidRPr="002C5876">
              <w:rPr>
                <w:sz w:val="18"/>
                <w:szCs w:val="18"/>
                <w:lang w:eastAsia="en-GB"/>
              </w:rPr>
              <w:t>gCO</w:t>
            </w:r>
            <w:r w:rsidRPr="002C5876">
              <w:rPr>
                <w:sz w:val="18"/>
                <w:szCs w:val="18"/>
                <w:vertAlign w:val="subscript"/>
                <w:lang w:eastAsia="en-GB"/>
              </w:rPr>
              <w:t>2</w:t>
            </w:r>
            <w:r w:rsidRPr="002C5876">
              <w:rPr>
                <w:sz w:val="18"/>
                <w:szCs w:val="18"/>
                <w:lang w:eastAsia="en-GB"/>
              </w:rPr>
              <w:t>/MJ</w:t>
            </w:r>
          </w:p>
        </w:tc>
        <w:tc>
          <w:tcPr>
            <w:tcW w:w="1382" w:type="dxa"/>
            <w:shd w:val="clear" w:color="auto" w:fill="auto"/>
          </w:tcPr>
          <w:p w:rsidR="00E24DB7" w:rsidRPr="002C5876" w:rsidRDefault="00E24DB7" w:rsidP="00E24DB7">
            <w:pPr>
              <w:suppressAutoHyphens w:val="0"/>
              <w:spacing w:before="60" w:after="60" w:line="220" w:lineRule="atLeast"/>
              <w:ind w:left="57" w:right="57"/>
              <w:jc w:val="right"/>
              <w:rPr>
                <w:sz w:val="18"/>
                <w:szCs w:val="18"/>
                <w:lang w:eastAsia="en-GB"/>
              </w:rPr>
            </w:pPr>
            <w:r w:rsidRPr="002C5876">
              <w:rPr>
                <w:sz w:val="18"/>
                <w:szCs w:val="18"/>
                <w:lang w:eastAsia="en-GB"/>
              </w:rPr>
              <w:t>174</w:t>
            </w:r>
          </w:p>
        </w:tc>
        <w:tc>
          <w:tcPr>
            <w:tcW w:w="1382" w:type="dxa"/>
            <w:shd w:val="clear" w:color="auto" w:fill="auto"/>
          </w:tcPr>
          <w:p w:rsidR="00E24DB7" w:rsidRPr="002C5876" w:rsidRDefault="00E24DB7" w:rsidP="00E24DB7">
            <w:pPr>
              <w:suppressAutoHyphens w:val="0"/>
              <w:spacing w:before="60" w:after="60" w:line="220" w:lineRule="atLeast"/>
              <w:ind w:left="57" w:right="57"/>
              <w:jc w:val="right"/>
              <w:rPr>
                <w:sz w:val="18"/>
                <w:szCs w:val="18"/>
                <w:lang w:eastAsia="en-GB"/>
              </w:rPr>
            </w:pPr>
            <w:r w:rsidRPr="002C5876">
              <w:rPr>
                <w:sz w:val="18"/>
                <w:szCs w:val="18"/>
                <w:lang w:eastAsia="en-GB"/>
              </w:rPr>
              <w:t>185</w:t>
            </w:r>
          </w:p>
        </w:tc>
      </w:tr>
      <w:tr w:rsidR="00E24DB7" w:rsidRPr="002C5876" w:rsidTr="00E24DB7">
        <w:trPr>
          <w:trHeight w:val="300"/>
        </w:trPr>
        <w:tc>
          <w:tcPr>
            <w:tcW w:w="1842" w:type="dxa"/>
            <w:vMerge/>
            <w:shd w:val="clear" w:color="auto" w:fill="auto"/>
          </w:tcPr>
          <w:p w:rsidR="00E24DB7" w:rsidRPr="002C5876" w:rsidRDefault="00E24DB7" w:rsidP="00E24DB7">
            <w:pPr>
              <w:suppressAutoHyphens w:val="0"/>
              <w:spacing w:before="60" w:after="60" w:line="220" w:lineRule="atLeast"/>
              <w:ind w:left="57" w:right="57"/>
              <w:rPr>
                <w:sz w:val="18"/>
                <w:szCs w:val="18"/>
                <w:lang w:eastAsia="en-GB"/>
              </w:rPr>
            </w:pPr>
          </w:p>
        </w:tc>
        <w:tc>
          <w:tcPr>
            <w:tcW w:w="1382" w:type="dxa"/>
            <w:vMerge w:val="restart"/>
            <w:shd w:val="clear" w:color="auto" w:fill="auto"/>
          </w:tcPr>
          <w:p w:rsidR="00E24DB7" w:rsidRPr="002C5876" w:rsidRDefault="00E24DB7" w:rsidP="00E24DB7">
            <w:pPr>
              <w:suppressAutoHyphens w:val="0"/>
              <w:spacing w:before="60" w:after="60" w:line="220" w:lineRule="atLeast"/>
              <w:ind w:left="57" w:right="57"/>
              <w:rPr>
                <w:sz w:val="18"/>
                <w:szCs w:val="18"/>
                <w:lang w:eastAsia="en-GB"/>
              </w:rPr>
            </w:pPr>
            <w:r w:rsidRPr="002C5876">
              <w:rPr>
                <w:sz w:val="18"/>
                <w:szCs w:val="18"/>
                <w:lang w:eastAsia="en-GB"/>
              </w:rPr>
              <w:t>Essence (E10)</w:t>
            </w:r>
          </w:p>
        </w:tc>
        <w:tc>
          <w:tcPr>
            <w:tcW w:w="1382" w:type="dxa"/>
            <w:shd w:val="clear" w:color="auto" w:fill="auto"/>
          </w:tcPr>
          <w:p w:rsidR="00E24DB7" w:rsidRPr="002C5876" w:rsidRDefault="00E24DB7" w:rsidP="00E24DB7">
            <w:pPr>
              <w:suppressAutoHyphens w:val="0"/>
              <w:spacing w:before="60" w:after="60" w:line="220" w:lineRule="atLeast"/>
              <w:ind w:left="57" w:right="57"/>
              <w:rPr>
                <w:sz w:val="18"/>
                <w:szCs w:val="18"/>
                <w:lang w:eastAsia="en-GB"/>
              </w:rPr>
            </w:pPr>
            <w:r w:rsidRPr="002C5876">
              <w:rPr>
                <w:sz w:val="18"/>
                <w:szCs w:val="18"/>
                <w:lang w:eastAsia="en-GB"/>
              </w:rPr>
              <w:t>l/MJ</w:t>
            </w:r>
          </w:p>
        </w:tc>
        <w:tc>
          <w:tcPr>
            <w:tcW w:w="1382" w:type="dxa"/>
            <w:shd w:val="clear" w:color="auto" w:fill="auto"/>
          </w:tcPr>
          <w:p w:rsidR="00E24DB7" w:rsidRPr="002C5876" w:rsidRDefault="00E24DB7" w:rsidP="00E24DB7">
            <w:pPr>
              <w:suppressAutoHyphens w:val="0"/>
              <w:spacing w:before="60" w:after="60" w:line="220" w:lineRule="atLeast"/>
              <w:ind w:left="57" w:right="57"/>
              <w:jc w:val="right"/>
              <w:rPr>
                <w:sz w:val="18"/>
                <w:szCs w:val="18"/>
                <w:lang w:eastAsia="en-GB"/>
              </w:rPr>
            </w:pPr>
            <w:r w:rsidRPr="002C5876">
              <w:rPr>
                <w:sz w:val="18"/>
                <w:szCs w:val="18"/>
                <w:lang w:eastAsia="en-GB"/>
              </w:rPr>
              <w:t>0,0756</w:t>
            </w:r>
          </w:p>
        </w:tc>
        <w:tc>
          <w:tcPr>
            <w:tcW w:w="1382" w:type="dxa"/>
            <w:shd w:val="clear" w:color="auto" w:fill="auto"/>
          </w:tcPr>
          <w:p w:rsidR="00E24DB7" w:rsidRPr="002C5876" w:rsidRDefault="00E24DB7" w:rsidP="00E24DB7">
            <w:pPr>
              <w:suppressAutoHyphens w:val="0"/>
              <w:spacing w:before="60" w:after="60" w:line="220" w:lineRule="atLeast"/>
              <w:ind w:left="57" w:right="57"/>
              <w:jc w:val="right"/>
              <w:rPr>
                <w:sz w:val="18"/>
                <w:szCs w:val="18"/>
                <w:lang w:eastAsia="en-GB"/>
              </w:rPr>
            </w:pPr>
            <w:r w:rsidRPr="002C5876">
              <w:rPr>
                <w:sz w:val="18"/>
                <w:szCs w:val="18"/>
                <w:lang w:eastAsia="en-GB"/>
              </w:rPr>
              <w:t>0,0803</w:t>
            </w:r>
          </w:p>
        </w:tc>
      </w:tr>
      <w:tr w:rsidR="00E24DB7" w:rsidRPr="002C5876" w:rsidTr="00E24DB7">
        <w:trPr>
          <w:trHeight w:val="300"/>
        </w:trPr>
        <w:tc>
          <w:tcPr>
            <w:tcW w:w="1842" w:type="dxa"/>
            <w:vMerge/>
            <w:shd w:val="clear" w:color="auto" w:fill="auto"/>
          </w:tcPr>
          <w:p w:rsidR="00E24DB7" w:rsidRPr="002C5876" w:rsidRDefault="00E24DB7" w:rsidP="00E24DB7">
            <w:pPr>
              <w:suppressAutoHyphens w:val="0"/>
              <w:spacing w:before="60" w:after="60" w:line="220" w:lineRule="atLeast"/>
              <w:ind w:left="57" w:right="57"/>
              <w:rPr>
                <w:sz w:val="18"/>
                <w:szCs w:val="18"/>
                <w:lang w:eastAsia="en-GB"/>
              </w:rPr>
            </w:pPr>
          </w:p>
        </w:tc>
        <w:tc>
          <w:tcPr>
            <w:tcW w:w="1382" w:type="dxa"/>
            <w:vMerge/>
            <w:shd w:val="clear" w:color="auto" w:fill="auto"/>
          </w:tcPr>
          <w:p w:rsidR="00E24DB7" w:rsidRPr="002C5876" w:rsidRDefault="00E24DB7" w:rsidP="00E24DB7">
            <w:pPr>
              <w:suppressAutoHyphens w:val="0"/>
              <w:spacing w:before="60" w:after="60" w:line="220" w:lineRule="atLeast"/>
              <w:ind w:left="57" w:right="57"/>
              <w:rPr>
                <w:sz w:val="18"/>
                <w:szCs w:val="18"/>
                <w:lang w:eastAsia="en-GB"/>
              </w:rPr>
            </w:pPr>
          </w:p>
        </w:tc>
        <w:tc>
          <w:tcPr>
            <w:tcW w:w="1382" w:type="dxa"/>
            <w:shd w:val="clear" w:color="auto" w:fill="auto"/>
          </w:tcPr>
          <w:p w:rsidR="00E24DB7" w:rsidRPr="002C5876" w:rsidRDefault="00E24DB7" w:rsidP="00E24DB7">
            <w:pPr>
              <w:suppressAutoHyphens w:val="0"/>
              <w:spacing w:before="60" w:after="60" w:line="220" w:lineRule="atLeast"/>
              <w:ind w:left="57" w:right="57"/>
              <w:rPr>
                <w:sz w:val="18"/>
                <w:szCs w:val="18"/>
                <w:lang w:eastAsia="en-GB"/>
              </w:rPr>
            </w:pPr>
            <w:r w:rsidRPr="002C5876">
              <w:rPr>
                <w:sz w:val="18"/>
                <w:szCs w:val="18"/>
                <w:lang w:eastAsia="en-GB"/>
              </w:rPr>
              <w:t>gCO</w:t>
            </w:r>
            <w:r w:rsidRPr="002C5876">
              <w:rPr>
                <w:sz w:val="18"/>
                <w:szCs w:val="18"/>
                <w:vertAlign w:val="subscript"/>
                <w:lang w:eastAsia="en-GB"/>
              </w:rPr>
              <w:t>2</w:t>
            </w:r>
            <w:r w:rsidRPr="002C5876">
              <w:rPr>
                <w:sz w:val="18"/>
                <w:szCs w:val="18"/>
                <w:lang w:eastAsia="en-GB"/>
              </w:rPr>
              <w:t>/MJ</w:t>
            </w:r>
          </w:p>
        </w:tc>
        <w:tc>
          <w:tcPr>
            <w:tcW w:w="1382" w:type="dxa"/>
            <w:shd w:val="clear" w:color="auto" w:fill="auto"/>
          </w:tcPr>
          <w:p w:rsidR="00E24DB7" w:rsidRPr="002C5876" w:rsidRDefault="00E24DB7" w:rsidP="00E24DB7">
            <w:pPr>
              <w:suppressAutoHyphens w:val="0"/>
              <w:spacing w:before="60" w:after="60" w:line="220" w:lineRule="atLeast"/>
              <w:ind w:left="57" w:right="57"/>
              <w:jc w:val="right"/>
              <w:rPr>
                <w:sz w:val="18"/>
                <w:szCs w:val="18"/>
                <w:lang w:eastAsia="en-GB"/>
              </w:rPr>
            </w:pPr>
            <w:r w:rsidRPr="002C5876">
              <w:rPr>
                <w:sz w:val="18"/>
                <w:szCs w:val="18"/>
                <w:lang w:eastAsia="en-GB"/>
              </w:rPr>
              <w:t>174</w:t>
            </w:r>
          </w:p>
        </w:tc>
        <w:tc>
          <w:tcPr>
            <w:tcW w:w="1382" w:type="dxa"/>
            <w:shd w:val="clear" w:color="auto" w:fill="auto"/>
          </w:tcPr>
          <w:p w:rsidR="00E24DB7" w:rsidRPr="002C5876" w:rsidRDefault="00E24DB7" w:rsidP="00E24DB7">
            <w:pPr>
              <w:suppressAutoHyphens w:val="0"/>
              <w:spacing w:before="60" w:after="60" w:line="220" w:lineRule="atLeast"/>
              <w:ind w:left="57" w:right="57"/>
              <w:jc w:val="right"/>
              <w:rPr>
                <w:sz w:val="18"/>
                <w:szCs w:val="18"/>
                <w:lang w:eastAsia="en-GB"/>
              </w:rPr>
            </w:pPr>
            <w:r w:rsidRPr="002C5876">
              <w:rPr>
                <w:sz w:val="18"/>
                <w:szCs w:val="18"/>
                <w:lang w:eastAsia="en-GB"/>
              </w:rPr>
              <w:t>184</w:t>
            </w:r>
          </w:p>
        </w:tc>
      </w:tr>
      <w:tr w:rsidR="00E24DB7" w:rsidRPr="002C5876" w:rsidTr="00E24DB7">
        <w:trPr>
          <w:trHeight w:val="300"/>
        </w:trPr>
        <w:tc>
          <w:tcPr>
            <w:tcW w:w="1842" w:type="dxa"/>
            <w:vMerge/>
            <w:shd w:val="clear" w:color="auto" w:fill="auto"/>
          </w:tcPr>
          <w:p w:rsidR="00E24DB7" w:rsidRPr="002C5876" w:rsidRDefault="00E24DB7" w:rsidP="00E24DB7">
            <w:pPr>
              <w:suppressAutoHyphens w:val="0"/>
              <w:spacing w:before="60" w:after="60" w:line="220" w:lineRule="atLeast"/>
              <w:ind w:left="57" w:right="57"/>
              <w:rPr>
                <w:sz w:val="18"/>
                <w:szCs w:val="18"/>
                <w:lang w:eastAsia="en-GB"/>
              </w:rPr>
            </w:pPr>
          </w:p>
        </w:tc>
        <w:tc>
          <w:tcPr>
            <w:tcW w:w="1382" w:type="dxa"/>
            <w:vMerge w:val="restart"/>
            <w:shd w:val="clear" w:color="auto" w:fill="auto"/>
          </w:tcPr>
          <w:p w:rsidR="00E24DB7" w:rsidRPr="002C5876" w:rsidRDefault="00E24DB7" w:rsidP="00E24DB7">
            <w:pPr>
              <w:suppressAutoHyphens w:val="0"/>
              <w:spacing w:before="60" w:after="60" w:line="220" w:lineRule="atLeast"/>
              <w:ind w:left="57" w:right="57"/>
              <w:rPr>
                <w:sz w:val="18"/>
                <w:szCs w:val="18"/>
                <w:lang w:eastAsia="en-GB"/>
              </w:rPr>
            </w:pPr>
            <w:r w:rsidRPr="002C5876">
              <w:rPr>
                <w:sz w:val="18"/>
                <w:szCs w:val="18"/>
                <w:lang w:eastAsia="en-GB"/>
              </w:rPr>
              <w:t>GNC (G20)</w:t>
            </w:r>
          </w:p>
        </w:tc>
        <w:tc>
          <w:tcPr>
            <w:tcW w:w="1382" w:type="dxa"/>
            <w:shd w:val="clear" w:color="auto" w:fill="auto"/>
          </w:tcPr>
          <w:p w:rsidR="00E24DB7" w:rsidRPr="002C5876" w:rsidRDefault="00E24DB7" w:rsidP="00E24DB7">
            <w:pPr>
              <w:suppressAutoHyphens w:val="0"/>
              <w:spacing w:before="60" w:after="60" w:line="220" w:lineRule="atLeast"/>
              <w:ind w:left="57" w:right="57"/>
              <w:rPr>
                <w:sz w:val="18"/>
                <w:szCs w:val="18"/>
                <w:lang w:eastAsia="en-GB"/>
              </w:rPr>
            </w:pPr>
            <w:r w:rsidRPr="002C5876">
              <w:rPr>
                <w:sz w:val="18"/>
                <w:szCs w:val="18"/>
                <w:lang w:eastAsia="en-GB"/>
              </w:rPr>
              <w:t>m³/MJ</w:t>
            </w:r>
          </w:p>
        </w:tc>
        <w:tc>
          <w:tcPr>
            <w:tcW w:w="1382" w:type="dxa"/>
            <w:shd w:val="clear" w:color="auto" w:fill="auto"/>
          </w:tcPr>
          <w:p w:rsidR="00E24DB7" w:rsidRPr="002C5876" w:rsidRDefault="00E24DB7" w:rsidP="00E24DB7">
            <w:pPr>
              <w:suppressAutoHyphens w:val="0"/>
              <w:spacing w:before="60" w:after="60" w:line="220" w:lineRule="atLeast"/>
              <w:ind w:left="57" w:right="57"/>
              <w:jc w:val="right"/>
              <w:rPr>
                <w:sz w:val="18"/>
                <w:szCs w:val="18"/>
                <w:lang w:eastAsia="en-GB"/>
              </w:rPr>
            </w:pPr>
            <w:r w:rsidRPr="002C5876">
              <w:rPr>
                <w:sz w:val="18"/>
                <w:szCs w:val="18"/>
                <w:lang w:eastAsia="en-GB"/>
              </w:rPr>
              <w:t>0,0719</w:t>
            </w:r>
          </w:p>
        </w:tc>
        <w:tc>
          <w:tcPr>
            <w:tcW w:w="1382" w:type="dxa"/>
            <w:shd w:val="clear" w:color="auto" w:fill="auto"/>
          </w:tcPr>
          <w:p w:rsidR="00E24DB7" w:rsidRPr="002C5876" w:rsidRDefault="00E24DB7" w:rsidP="00E24DB7">
            <w:pPr>
              <w:suppressAutoHyphens w:val="0"/>
              <w:spacing w:before="60" w:after="60" w:line="220" w:lineRule="atLeast"/>
              <w:ind w:left="57" w:right="57"/>
              <w:jc w:val="right"/>
              <w:rPr>
                <w:sz w:val="18"/>
                <w:szCs w:val="18"/>
                <w:lang w:eastAsia="en-GB"/>
              </w:rPr>
            </w:pPr>
            <w:r w:rsidRPr="002C5876">
              <w:rPr>
                <w:sz w:val="18"/>
                <w:szCs w:val="18"/>
                <w:lang w:eastAsia="en-GB"/>
              </w:rPr>
              <w:t>0,0764</w:t>
            </w:r>
          </w:p>
        </w:tc>
      </w:tr>
      <w:tr w:rsidR="00E24DB7" w:rsidRPr="002C5876" w:rsidTr="00E24DB7">
        <w:trPr>
          <w:trHeight w:val="300"/>
        </w:trPr>
        <w:tc>
          <w:tcPr>
            <w:tcW w:w="1842" w:type="dxa"/>
            <w:vMerge/>
            <w:shd w:val="clear" w:color="auto" w:fill="auto"/>
          </w:tcPr>
          <w:p w:rsidR="00E24DB7" w:rsidRPr="002C5876" w:rsidRDefault="00E24DB7" w:rsidP="00E24DB7">
            <w:pPr>
              <w:suppressAutoHyphens w:val="0"/>
              <w:spacing w:before="60" w:after="60" w:line="220" w:lineRule="atLeast"/>
              <w:ind w:left="57" w:right="57"/>
              <w:rPr>
                <w:sz w:val="18"/>
                <w:szCs w:val="18"/>
                <w:lang w:eastAsia="en-GB"/>
              </w:rPr>
            </w:pPr>
          </w:p>
        </w:tc>
        <w:tc>
          <w:tcPr>
            <w:tcW w:w="1382" w:type="dxa"/>
            <w:vMerge/>
            <w:shd w:val="clear" w:color="auto" w:fill="auto"/>
          </w:tcPr>
          <w:p w:rsidR="00E24DB7" w:rsidRPr="002C5876" w:rsidRDefault="00E24DB7" w:rsidP="00E24DB7">
            <w:pPr>
              <w:suppressAutoHyphens w:val="0"/>
              <w:spacing w:before="60" w:after="60" w:line="220" w:lineRule="atLeast"/>
              <w:ind w:left="57" w:right="57"/>
              <w:rPr>
                <w:sz w:val="18"/>
                <w:szCs w:val="18"/>
                <w:lang w:eastAsia="en-GB"/>
              </w:rPr>
            </w:pPr>
          </w:p>
        </w:tc>
        <w:tc>
          <w:tcPr>
            <w:tcW w:w="1382" w:type="dxa"/>
            <w:shd w:val="clear" w:color="auto" w:fill="auto"/>
          </w:tcPr>
          <w:p w:rsidR="00E24DB7" w:rsidRPr="002C5876" w:rsidRDefault="00E24DB7" w:rsidP="00E24DB7">
            <w:pPr>
              <w:suppressAutoHyphens w:val="0"/>
              <w:spacing w:before="60" w:after="60" w:line="220" w:lineRule="atLeast"/>
              <w:ind w:left="57" w:right="57"/>
              <w:rPr>
                <w:sz w:val="18"/>
                <w:szCs w:val="18"/>
                <w:lang w:eastAsia="en-GB"/>
              </w:rPr>
            </w:pPr>
            <w:r w:rsidRPr="002C5876">
              <w:rPr>
                <w:sz w:val="18"/>
                <w:szCs w:val="18"/>
                <w:lang w:eastAsia="en-GB"/>
              </w:rPr>
              <w:t>gCO</w:t>
            </w:r>
            <w:r w:rsidRPr="002C5876">
              <w:rPr>
                <w:sz w:val="18"/>
                <w:szCs w:val="18"/>
                <w:vertAlign w:val="subscript"/>
                <w:lang w:eastAsia="en-GB"/>
              </w:rPr>
              <w:t>2</w:t>
            </w:r>
            <w:r w:rsidRPr="002C5876">
              <w:rPr>
                <w:sz w:val="18"/>
                <w:szCs w:val="18"/>
                <w:lang w:eastAsia="en-GB"/>
              </w:rPr>
              <w:t>/MJ</w:t>
            </w:r>
          </w:p>
        </w:tc>
        <w:tc>
          <w:tcPr>
            <w:tcW w:w="1382" w:type="dxa"/>
            <w:shd w:val="clear" w:color="auto" w:fill="auto"/>
          </w:tcPr>
          <w:p w:rsidR="00E24DB7" w:rsidRPr="002C5876" w:rsidRDefault="00E24DB7" w:rsidP="00E24DB7">
            <w:pPr>
              <w:suppressAutoHyphens w:val="0"/>
              <w:spacing w:before="60" w:after="60" w:line="220" w:lineRule="atLeast"/>
              <w:ind w:left="57" w:right="57"/>
              <w:jc w:val="right"/>
              <w:rPr>
                <w:sz w:val="18"/>
                <w:szCs w:val="18"/>
                <w:lang w:eastAsia="en-GB"/>
              </w:rPr>
            </w:pPr>
            <w:r w:rsidRPr="002C5876">
              <w:rPr>
                <w:sz w:val="18"/>
                <w:szCs w:val="18"/>
                <w:lang w:eastAsia="en-GB"/>
              </w:rPr>
              <w:t>129</w:t>
            </w:r>
          </w:p>
        </w:tc>
        <w:tc>
          <w:tcPr>
            <w:tcW w:w="1382" w:type="dxa"/>
            <w:shd w:val="clear" w:color="auto" w:fill="auto"/>
          </w:tcPr>
          <w:p w:rsidR="00E24DB7" w:rsidRPr="002C5876" w:rsidRDefault="00E24DB7" w:rsidP="00E24DB7">
            <w:pPr>
              <w:suppressAutoHyphens w:val="0"/>
              <w:spacing w:before="60" w:after="60" w:line="220" w:lineRule="atLeast"/>
              <w:ind w:left="57" w:right="57"/>
              <w:jc w:val="right"/>
              <w:rPr>
                <w:sz w:val="18"/>
                <w:szCs w:val="18"/>
                <w:lang w:eastAsia="en-GB"/>
              </w:rPr>
            </w:pPr>
            <w:r w:rsidRPr="002C5876">
              <w:rPr>
                <w:sz w:val="18"/>
                <w:szCs w:val="18"/>
                <w:lang w:eastAsia="en-GB"/>
              </w:rPr>
              <w:t>137</w:t>
            </w:r>
          </w:p>
        </w:tc>
      </w:tr>
      <w:tr w:rsidR="00E24DB7" w:rsidRPr="002C5876" w:rsidTr="00E24DB7">
        <w:trPr>
          <w:trHeight w:val="300"/>
        </w:trPr>
        <w:tc>
          <w:tcPr>
            <w:tcW w:w="1842" w:type="dxa"/>
            <w:vMerge/>
            <w:shd w:val="clear" w:color="auto" w:fill="auto"/>
          </w:tcPr>
          <w:p w:rsidR="00E24DB7" w:rsidRPr="002C5876" w:rsidRDefault="00E24DB7" w:rsidP="00E24DB7">
            <w:pPr>
              <w:suppressAutoHyphens w:val="0"/>
              <w:spacing w:before="60" w:after="60" w:line="220" w:lineRule="atLeast"/>
              <w:ind w:left="57" w:right="57"/>
              <w:rPr>
                <w:sz w:val="18"/>
                <w:szCs w:val="18"/>
                <w:lang w:eastAsia="en-GB"/>
              </w:rPr>
            </w:pPr>
          </w:p>
        </w:tc>
        <w:tc>
          <w:tcPr>
            <w:tcW w:w="1382" w:type="dxa"/>
            <w:vMerge w:val="restart"/>
            <w:shd w:val="clear" w:color="auto" w:fill="auto"/>
          </w:tcPr>
          <w:p w:rsidR="00E24DB7" w:rsidRPr="002C5876" w:rsidRDefault="00E24DB7" w:rsidP="00E24DB7">
            <w:pPr>
              <w:suppressAutoHyphens w:val="0"/>
              <w:spacing w:before="60" w:after="60" w:line="220" w:lineRule="atLeast"/>
              <w:ind w:left="57" w:right="57"/>
              <w:rPr>
                <w:sz w:val="18"/>
                <w:szCs w:val="18"/>
                <w:lang w:eastAsia="en-GB"/>
              </w:rPr>
            </w:pPr>
            <w:r w:rsidRPr="002C5876">
              <w:rPr>
                <w:sz w:val="18"/>
                <w:szCs w:val="18"/>
                <w:lang w:eastAsia="en-GB"/>
              </w:rPr>
              <w:t>GPL</w:t>
            </w:r>
          </w:p>
        </w:tc>
        <w:tc>
          <w:tcPr>
            <w:tcW w:w="1382" w:type="dxa"/>
            <w:shd w:val="clear" w:color="auto" w:fill="auto"/>
          </w:tcPr>
          <w:p w:rsidR="00E24DB7" w:rsidRPr="002C5876" w:rsidRDefault="00E24DB7" w:rsidP="00E24DB7">
            <w:pPr>
              <w:suppressAutoHyphens w:val="0"/>
              <w:spacing w:before="60" w:after="60" w:line="220" w:lineRule="atLeast"/>
              <w:ind w:left="57" w:right="57"/>
              <w:rPr>
                <w:sz w:val="18"/>
                <w:szCs w:val="18"/>
                <w:lang w:eastAsia="en-GB"/>
              </w:rPr>
            </w:pPr>
            <w:r w:rsidRPr="002C5876">
              <w:rPr>
                <w:sz w:val="18"/>
                <w:szCs w:val="18"/>
                <w:lang w:eastAsia="en-GB"/>
              </w:rPr>
              <w:t>l/MJ</w:t>
            </w:r>
          </w:p>
        </w:tc>
        <w:tc>
          <w:tcPr>
            <w:tcW w:w="1382" w:type="dxa"/>
            <w:shd w:val="clear" w:color="auto" w:fill="auto"/>
          </w:tcPr>
          <w:p w:rsidR="00E24DB7" w:rsidRPr="002C5876" w:rsidRDefault="00E24DB7" w:rsidP="00E24DB7">
            <w:pPr>
              <w:suppressAutoHyphens w:val="0"/>
              <w:spacing w:before="60" w:after="60" w:line="220" w:lineRule="atLeast"/>
              <w:ind w:left="57" w:right="57"/>
              <w:jc w:val="right"/>
              <w:rPr>
                <w:sz w:val="18"/>
                <w:szCs w:val="18"/>
                <w:lang w:eastAsia="en-GB"/>
              </w:rPr>
            </w:pPr>
            <w:r w:rsidRPr="002C5876">
              <w:rPr>
                <w:sz w:val="18"/>
                <w:szCs w:val="18"/>
                <w:lang w:eastAsia="en-GB"/>
              </w:rPr>
              <w:t>0,0950</w:t>
            </w:r>
          </w:p>
        </w:tc>
        <w:tc>
          <w:tcPr>
            <w:tcW w:w="1382" w:type="dxa"/>
            <w:shd w:val="clear" w:color="auto" w:fill="auto"/>
          </w:tcPr>
          <w:p w:rsidR="00E24DB7" w:rsidRPr="002C5876" w:rsidRDefault="00E24DB7" w:rsidP="00E24DB7">
            <w:pPr>
              <w:suppressAutoHyphens w:val="0"/>
              <w:spacing w:before="60" w:after="60" w:line="220" w:lineRule="atLeast"/>
              <w:ind w:left="57" w:right="57"/>
              <w:jc w:val="right"/>
              <w:rPr>
                <w:sz w:val="18"/>
                <w:szCs w:val="18"/>
                <w:lang w:eastAsia="en-GB"/>
              </w:rPr>
            </w:pPr>
            <w:r w:rsidRPr="002C5876">
              <w:rPr>
                <w:sz w:val="18"/>
                <w:szCs w:val="18"/>
                <w:lang w:eastAsia="en-GB"/>
              </w:rPr>
              <w:t>0,101</w:t>
            </w:r>
          </w:p>
        </w:tc>
      </w:tr>
      <w:tr w:rsidR="00E24DB7" w:rsidRPr="002C5876" w:rsidTr="00E24DB7">
        <w:trPr>
          <w:trHeight w:val="300"/>
        </w:trPr>
        <w:tc>
          <w:tcPr>
            <w:tcW w:w="1842" w:type="dxa"/>
            <w:vMerge/>
            <w:shd w:val="clear" w:color="auto" w:fill="auto"/>
          </w:tcPr>
          <w:p w:rsidR="00E24DB7" w:rsidRPr="002C5876" w:rsidRDefault="00E24DB7" w:rsidP="00E24DB7">
            <w:pPr>
              <w:suppressAutoHyphens w:val="0"/>
              <w:spacing w:before="60" w:after="60" w:line="220" w:lineRule="atLeast"/>
              <w:ind w:left="57" w:right="57"/>
              <w:rPr>
                <w:sz w:val="18"/>
                <w:szCs w:val="18"/>
                <w:lang w:eastAsia="en-GB"/>
              </w:rPr>
            </w:pPr>
          </w:p>
        </w:tc>
        <w:tc>
          <w:tcPr>
            <w:tcW w:w="1382" w:type="dxa"/>
            <w:vMerge/>
            <w:shd w:val="clear" w:color="auto" w:fill="auto"/>
          </w:tcPr>
          <w:p w:rsidR="00E24DB7" w:rsidRPr="002C5876" w:rsidRDefault="00E24DB7" w:rsidP="00E24DB7">
            <w:pPr>
              <w:suppressAutoHyphens w:val="0"/>
              <w:spacing w:before="60" w:after="60" w:line="220" w:lineRule="atLeast"/>
              <w:ind w:left="57" w:right="57"/>
              <w:rPr>
                <w:sz w:val="18"/>
                <w:szCs w:val="18"/>
                <w:lang w:eastAsia="en-GB"/>
              </w:rPr>
            </w:pPr>
          </w:p>
        </w:tc>
        <w:tc>
          <w:tcPr>
            <w:tcW w:w="1382" w:type="dxa"/>
            <w:shd w:val="clear" w:color="auto" w:fill="auto"/>
          </w:tcPr>
          <w:p w:rsidR="00E24DB7" w:rsidRPr="002C5876" w:rsidRDefault="00E24DB7" w:rsidP="00E24DB7">
            <w:pPr>
              <w:suppressAutoHyphens w:val="0"/>
              <w:spacing w:before="60" w:after="60" w:line="220" w:lineRule="atLeast"/>
              <w:ind w:left="57" w:right="57"/>
              <w:rPr>
                <w:sz w:val="18"/>
                <w:szCs w:val="18"/>
                <w:lang w:eastAsia="en-GB"/>
              </w:rPr>
            </w:pPr>
            <w:r w:rsidRPr="002C5876">
              <w:rPr>
                <w:sz w:val="18"/>
                <w:szCs w:val="18"/>
                <w:lang w:eastAsia="en-GB"/>
              </w:rPr>
              <w:t>gCO</w:t>
            </w:r>
            <w:r w:rsidRPr="002C5876">
              <w:rPr>
                <w:sz w:val="18"/>
                <w:szCs w:val="18"/>
                <w:vertAlign w:val="subscript"/>
                <w:lang w:eastAsia="en-GB"/>
              </w:rPr>
              <w:t>2</w:t>
            </w:r>
            <w:r w:rsidRPr="002C5876">
              <w:rPr>
                <w:sz w:val="18"/>
                <w:szCs w:val="18"/>
                <w:lang w:eastAsia="en-GB"/>
              </w:rPr>
              <w:t>/MJ</w:t>
            </w:r>
          </w:p>
        </w:tc>
        <w:tc>
          <w:tcPr>
            <w:tcW w:w="1382" w:type="dxa"/>
            <w:shd w:val="clear" w:color="auto" w:fill="auto"/>
          </w:tcPr>
          <w:p w:rsidR="00E24DB7" w:rsidRPr="002C5876" w:rsidRDefault="00E24DB7" w:rsidP="00E24DB7">
            <w:pPr>
              <w:suppressAutoHyphens w:val="0"/>
              <w:spacing w:before="60" w:after="60" w:line="220" w:lineRule="atLeast"/>
              <w:ind w:left="57" w:right="57"/>
              <w:jc w:val="right"/>
              <w:rPr>
                <w:sz w:val="18"/>
                <w:szCs w:val="18"/>
                <w:lang w:eastAsia="en-GB"/>
              </w:rPr>
            </w:pPr>
            <w:r w:rsidRPr="002C5876">
              <w:rPr>
                <w:sz w:val="18"/>
                <w:szCs w:val="18"/>
                <w:lang w:eastAsia="en-GB"/>
              </w:rPr>
              <w:t>155</w:t>
            </w:r>
          </w:p>
        </w:tc>
        <w:tc>
          <w:tcPr>
            <w:tcW w:w="1382" w:type="dxa"/>
            <w:shd w:val="clear" w:color="auto" w:fill="auto"/>
          </w:tcPr>
          <w:p w:rsidR="00E24DB7" w:rsidRPr="002C5876" w:rsidRDefault="00E24DB7" w:rsidP="00E24DB7">
            <w:pPr>
              <w:suppressAutoHyphens w:val="0"/>
              <w:spacing w:before="60" w:after="60" w:line="220" w:lineRule="atLeast"/>
              <w:ind w:left="57" w:right="57"/>
              <w:jc w:val="right"/>
              <w:rPr>
                <w:sz w:val="18"/>
                <w:szCs w:val="18"/>
                <w:lang w:eastAsia="en-GB"/>
              </w:rPr>
            </w:pPr>
            <w:r w:rsidRPr="002C5876">
              <w:rPr>
                <w:sz w:val="18"/>
                <w:szCs w:val="18"/>
                <w:lang w:eastAsia="en-GB"/>
              </w:rPr>
              <w:t>164</w:t>
            </w:r>
          </w:p>
        </w:tc>
      </w:tr>
      <w:tr w:rsidR="00E24DB7" w:rsidRPr="002C5876" w:rsidTr="00E24DB7">
        <w:trPr>
          <w:trHeight w:val="300"/>
        </w:trPr>
        <w:tc>
          <w:tcPr>
            <w:tcW w:w="1842" w:type="dxa"/>
            <w:vMerge/>
            <w:shd w:val="clear" w:color="auto" w:fill="auto"/>
          </w:tcPr>
          <w:p w:rsidR="00E24DB7" w:rsidRPr="002C5876" w:rsidRDefault="00E24DB7" w:rsidP="00E24DB7">
            <w:pPr>
              <w:suppressAutoHyphens w:val="0"/>
              <w:spacing w:before="60" w:after="60" w:line="220" w:lineRule="atLeast"/>
              <w:ind w:left="57" w:right="57"/>
              <w:rPr>
                <w:sz w:val="18"/>
                <w:szCs w:val="18"/>
                <w:lang w:eastAsia="en-GB"/>
              </w:rPr>
            </w:pPr>
          </w:p>
        </w:tc>
        <w:tc>
          <w:tcPr>
            <w:tcW w:w="1382" w:type="dxa"/>
            <w:vMerge w:val="restart"/>
            <w:shd w:val="clear" w:color="auto" w:fill="auto"/>
          </w:tcPr>
          <w:p w:rsidR="00E24DB7" w:rsidRPr="002C5876" w:rsidRDefault="00E24DB7" w:rsidP="00E24DB7">
            <w:pPr>
              <w:suppressAutoHyphens w:val="0"/>
              <w:spacing w:before="60" w:after="60" w:line="220" w:lineRule="atLeast"/>
              <w:ind w:left="57" w:right="57"/>
              <w:rPr>
                <w:sz w:val="18"/>
                <w:szCs w:val="18"/>
                <w:lang w:eastAsia="en-GB"/>
              </w:rPr>
            </w:pPr>
            <w:r w:rsidRPr="002C5876">
              <w:rPr>
                <w:sz w:val="18"/>
                <w:szCs w:val="18"/>
                <w:lang w:eastAsia="en-GB"/>
              </w:rPr>
              <w:t>E85</w:t>
            </w:r>
          </w:p>
        </w:tc>
        <w:tc>
          <w:tcPr>
            <w:tcW w:w="1382" w:type="dxa"/>
            <w:shd w:val="clear" w:color="auto" w:fill="auto"/>
          </w:tcPr>
          <w:p w:rsidR="00E24DB7" w:rsidRPr="002C5876" w:rsidRDefault="00E24DB7" w:rsidP="00E24DB7">
            <w:pPr>
              <w:suppressAutoHyphens w:val="0"/>
              <w:spacing w:before="60" w:after="60" w:line="220" w:lineRule="atLeast"/>
              <w:ind w:left="57" w:right="57"/>
              <w:rPr>
                <w:sz w:val="18"/>
                <w:szCs w:val="18"/>
                <w:lang w:eastAsia="en-GB"/>
              </w:rPr>
            </w:pPr>
            <w:r w:rsidRPr="002C5876">
              <w:rPr>
                <w:sz w:val="18"/>
                <w:szCs w:val="18"/>
                <w:lang w:eastAsia="en-GB"/>
              </w:rPr>
              <w:t>l/MJ</w:t>
            </w:r>
          </w:p>
        </w:tc>
        <w:tc>
          <w:tcPr>
            <w:tcW w:w="1382" w:type="dxa"/>
            <w:shd w:val="clear" w:color="auto" w:fill="auto"/>
          </w:tcPr>
          <w:p w:rsidR="00E24DB7" w:rsidRPr="002C5876" w:rsidRDefault="00E24DB7" w:rsidP="00E24DB7">
            <w:pPr>
              <w:suppressAutoHyphens w:val="0"/>
              <w:spacing w:before="60" w:after="60" w:line="220" w:lineRule="atLeast"/>
              <w:ind w:left="57" w:right="57"/>
              <w:jc w:val="right"/>
              <w:rPr>
                <w:sz w:val="18"/>
                <w:szCs w:val="18"/>
                <w:lang w:eastAsia="en-GB"/>
              </w:rPr>
            </w:pPr>
            <w:r w:rsidRPr="002C5876">
              <w:rPr>
                <w:sz w:val="18"/>
                <w:szCs w:val="18"/>
                <w:lang w:eastAsia="en-GB"/>
              </w:rPr>
              <w:t>0,102</w:t>
            </w:r>
          </w:p>
        </w:tc>
        <w:tc>
          <w:tcPr>
            <w:tcW w:w="1382" w:type="dxa"/>
            <w:shd w:val="clear" w:color="auto" w:fill="auto"/>
          </w:tcPr>
          <w:p w:rsidR="00E24DB7" w:rsidRPr="002C5876" w:rsidRDefault="00E24DB7" w:rsidP="00E24DB7">
            <w:pPr>
              <w:suppressAutoHyphens w:val="0"/>
              <w:spacing w:before="60" w:after="60" w:line="220" w:lineRule="atLeast"/>
              <w:ind w:left="57" w:right="57"/>
              <w:jc w:val="right"/>
              <w:rPr>
                <w:sz w:val="18"/>
                <w:szCs w:val="18"/>
                <w:lang w:eastAsia="en-GB"/>
              </w:rPr>
            </w:pPr>
            <w:r w:rsidRPr="002C5876">
              <w:rPr>
                <w:sz w:val="18"/>
                <w:szCs w:val="18"/>
                <w:lang w:eastAsia="en-GB"/>
              </w:rPr>
              <w:t>0,108</w:t>
            </w:r>
          </w:p>
        </w:tc>
      </w:tr>
      <w:tr w:rsidR="00E24DB7" w:rsidRPr="002C5876" w:rsidTr="00E24DB7">
        <w:trPr>
          <w:trHeight w:val="300"/>
        </w:trPr>
        <w:tc>
          <w:tcPr>
            <w:tcW w:w="1842" w:type="dxa"/>
            <w:vMerge/>
            <w:tcBorders>
              <w:bottom w:val="single" w:sz="4" w:space="0" w:color="auto"/>
            </w:tcBorders>
            <w:shd w:val="clear" w:color="auto" w:fill="auto"/>
          </w:tcPr>
          <w:p w:rsidR="00E24DB7" w:rsidRPr="002C5876" w:rsidRDefault="00E24DB7" w:rsidP="00E24DB7">
            <w:pPr>
              <w:suppressAutoHyphens w:val="0"/>
              <w:spacing w:before="60" w:after="60" w:line="220" w:lineRule="atLeast"/>
              <w:ind w:left="57" w:right="57"/>
              <w:rPr>
                <w:sz w:val="18"/>
                <w:szCs w:val="18"/>
                <w:lang w:eastAsia="en-GB"/>
              </w:rPr>
            </w:pPr>
          </w:p>
        </w:tc>
        <w:tc>
          <w:tcPr>
            <w:tcW w:w="1382" w:type="dxa"/>
            <w:vMerge/>
            <w:tcBorders>
              <w:bottom w:val="single" w:sz="4" w:space="0" w:color="auto"/>
            </w:tcBorders>
            <w:shd w:val="clear" w:color="auto" w:fill="auto"/>
          </w:tcPr>
          <w:p w:rsidR="00E24DB7" w:rsidRPr="002C5876" w:rsidRDefault="00E24DB7" w:rsidP="00E24DB7">
            <w:pPr>
              <w:suppressAutoHyphens w:val="0"/>
              <w:spacing w:before="60" w:after="60" w:line="220" w:lineRule="atLeast"/>
              <w:ind w:left="57" w:right="57"/>
              <w:rPr>
                <w:sz w:val="18"/>
                <w:szCs w:val="18"/>
                <w:lang w:eastAsia="en-GB"/>
              </w:rPr>
            </w:pPr>
          </w:p>
        </w:tc>
        <w:tc>
          <w:tcPr>
            <w:tcW w:w="1382" w:type="dxa"/>
            <w:tcBorders>
              <w:bottom w:val="single" w:sz="4" w:space="0" w:color="auto"/>
            </w:tcBorders>
            <w:shd w:val="clear" w:color="auto" w:fill="auto"/>
          </w:tcPr>
          <w:p w:rsidR="00E24DB7" w:rsidRPr="002C5876" w:rsidRDefault="00E24DB7" w:rsidP="00E24DB7">
            <w:pPr>
              <w:suppressAutoHyphens w:val="0"/>
              <w:spacing w:before="60" w:after="60" w:line="220" w:lineRule="atLeast"/>
              <w:ind w:left="57" w:right="57"/>
              <w:rPr>
                <w:sz w:val="18"/>
                <w:szCs w:val="18"/>
                <w:lang w:eastAsia="en-GB"/>
              </w:rPr>
            </w:pPr>
            <w:r w:rsidRPr="002C5876">
              <w:rPr>
                <w:sz w:val="18"/>
                <w:szCs w:val="18"/>
                <w:lang w:eastAsia="en-GB"/>
              </w:rPr>
              <w:t>gCO</w:t>
            </w:r>
            <w:r w:rsidRPr="002C5876">
              <w:rPr>
                <w:sz w:val="18"/>
                <w:szCs w:val="18"/>
                <w:vertAlign w:val="subscript"/>
                <w:lang w:eastAsia="en-GB"/>
              </w:rPr>
              <w:t>2</w:t>
            </w:r>
            <w:r w:rsidRPr="002C5876">
              <w:rPr>
                <w:sz w:val="18"/>
                <w:szCs w:val="18"/>
                <w:lang w:eastAsia="en-GB"/>
              </w:rPr>
              <w:t>/MJ</w:t>
            </w:r>
          </w:p>
        </w:tc>
        <w:tc>
          <w:tcPr>
            <w:tcW w:w="1382" w:type="dxa"/>
            <w:tcBorders>
              <w:bottom w:val="single" w:sz="4" w:space="0" w:color="auto"/>
            </w:tcBorders>
            <w:shd w:val="clear" w:color="auto" w:fill="auto"/>
          </w:tcPr>
          <w:p w:rsidR="00E24DB7" w:rsidRPr="002C5876" w:rsidRDefault="00E24DB7" w:rsidP="00E24DB7">
            <w:pPr>
              <w:suppressAutoHyphens w:val="0"/>
              <w:spacing w:before="60" w:after="60" w:line="220" w:lineRule="atLeast"/>
              <w:ind w:left="57" w:right="57"/>
              <w:jc w:val="right"/>
              <w:rPr>
                <w:sz w:val="18"/>
                <w:szCs w:val="18"/>
                <w:lang w:eastAsia="en-GB"/>
              </w:rPr>
            </w:pPr>
            <w:r w:rsidRPr="002C5876">
              <w:rPr>
                <w:sz w:val="18"/>
                <w:szCs w:val="18"/>
                <w:lang w:eastAsia="en-GB"/>
              </w:rPr>
              <w:t>169</w:t>
            </w:r>
          </w:p>
        </w:tc>
        <w:tc>
          <w:tcPr>
            <w:tcW w:w="1382" w:type="dxa"/>
            <w:tcBorders>
              <w:bottom w:val="single" w:sz="4" w:space="0" w:color="auto"/>
            </w:tcBorders>
            <w:shd w:val="clear" w:color="auto" w:fill="auto"/>
          </w:tcPr>
          <w:p w:rsidR="00E24DB7" w:rsidRPr="002C5876" w:rsidRDefault="00E24DB7" w:rsidP="00E24DB7">
            <w:pPr>
              <w:suppressAutoHyphens w:val="0"/>
              <w:spacing w:before="60" w:after="60" w:line="220" w:lineRule="atLeast"/>
              <w:ind w:left="57" w:right="57"/>
              <w:jc w:val="right"/>
              <w:rPr>
                <w:sz w:val="18"/>
                <w:szCs w:val="18"/>
                <w:lang w:eastAsia="en-GB"/>
              </w:rPr>
            </w:pPr>
            <w:r w:rsidRPr="002C5876">
              <w:rPr>
                <w:sz w:val="18"/>
                <w:szCs w:val="18"/>
                <w:lang w:eastAsia="en-GB"/>
              </w:rPr>
              <w:t>179</w:t>
            </w:r>
          </w:p>
        </w:tc>
      </w:tr>
      <w:tr w:rsidR="00E24DB7" w:rsidRPr="002C5876" w:rsidTr="00E24DB7">
        <w:trPr>
          <w:trHeight w:val="300"/>
        </w:trPr>
        <w:tc>
          <w:tcPr>
            <w:tcW w:w="1842" w:type="dxa"/>
            <w:vMerge w:val="restart"/>
            <w:shd w:val="clear" w:color="auto" w:fill="auto"/>
          </w:tcPr>
          <w:p w:rsidR="00E24DB7" w:rsidRPr="002C5876" w:rsidRDefault="00E24DB7" w:rsidP="00E24DB7">
            <w:pPr>
              <w:keepNext/>
              <w:suppressAutoHyphens w:val="0"/>
              <w:spacing w:before="60" w:after="60" w:line="220" w:lineRule="atLeast"/>
              <w:ind w:left="57" w:right="57"/>
              <w:rPr>
                <w:sz w:val="18"/>
                <w:szCs w:val="18"/>
                <w:lang w:eastAsia="en-GB"/>
              </w:rPr>
            </w:pPr>
            <w:r w:rsidRPr="002C5876">
              <w:rPr>
                <w:sz w:val="18"/>
                <w:szCs w:val="18"/>
                <w:lang w:eastAsia="en-GB"/>
              </w:rPr>
              <w:t xml:space="preserve">Allumage par compression </w:t>
            </w:r>
          </w:p>
        </w:tc>
        <w:tc>
          <w:tcPr>
            <w:tcW w:w="1382" w:type="dxa"/>
            <w:vMerge w:val="restart"/>
            <w:shd w:val="clear" w:color="auto" w:fill="auto"/>
          </w:tcPr>
          <w:p w:rsidR="00E24DB7" w:rsidRPr="002C5876" w:rsidRDefault="00E24DB7" w:rsidP="00E24DB7">
            <w:pPr>
              <w:keepNext/>
              <w:suppressAutoHyphens w:val="0"/>
              <w:spacing w:before="60" w:after="60" w:line="220" w:lineRule="atLeast"/>
              <w:ind w:left="57" w:right="57"/>
              <w:rPr>
                <w:sz w:val="18"/>
                <w:szCs w:val="18"/>
                <w:lang w:eastAsia="en-GB"/>
              </w:rPr>
            </w:pPr>
            <w:r w:rsidRPr="002C5876">
              <w:rPr>
                <w:sz w:val="18"/>
                <w:szCs w:val="18"/>
                <w:lang w:eastAsia="en-GB"/>
              </w:rPr>
              <w:t>Gazole (B0)</w:t>
            </w:r>
          </w:p>
        </w:tc>
        <w:tc>
          <w:tcPr>
            <w:tcW w:w="1382" w:type="dxa"/>
            <w:shd w:val="clear" w:color="auto" w:fill="auto"/>
          </w:tcPr>
          <w:p w:rsidR="00E24DB7" w:rsidRPr="002C5876" w:rsidRDefault="00E24DB7" w:rsidP="00E24DB7">
            <w:pPr>
              <w:keepNext/>
              <w:suppressAutoHyphens w:val="0"/>
              <w:spacing w:before="60" w:after="60" w:line="220" w:lineRule="atLeast"/>
              <w:ind w:left="57" w:right="57"/>
              <w:rPr>
                <w:sz w:val="18"/>
                <w:szCs w:val="18"/>
                <w:lang w:eastAsia="en-GB"/>
              </w:rPr>
            </w:pPr>
            <w:r w:rsidRPr="002C5876">
              <w:rPr>
                <w:sz w:val="18"/>
                <w:szCs w:val="18"/>
                <w:lang w:eastAsia="en-GB"/>
              </w:rPr>
              <w:t>l/MJ</w:t>
            </w:r>
          </w:p>
        </w:tc>
        <w:tc>
          <w:tcPr>
            <w:tcW w:w="1382" w:type="dxa"/>
            <w:shd w:val="clear" w:color="auto" w:fill="auto"/>
          </w:tcPr>
          <w:p w:rsidR="00E24DB7" w:rsidRPr="002C5876" w:rsidRDefault="00E24DB7" w:rsidP="00E24DB7">
            <w:pPr>
              <w:keepNext/>
              <w:suppressAutoHyphens w:val="0"/>
              <w:spacing w:before="60" w:after="60" w:line="220" w:lineRule="atLeast"/>
              <w:ind w:left="57" w:right="57"/>
              <w:jc w:val="right"/>
              <w:rPr>
                <w:sz w:val="18"/>
                <w:szCs w:val="18"/>
                <w:lang w:eastAsia="en-GB"/>
              </w:rPr>
            </w:pPr>
            <w:r w:rsidRPr="002C5876">
              <w:rPr>
                <w:sz w:val="18"/>
                <w:szCs w:val="18"/>
                <w:lang w:eastAsia="en-GB"/>
              </w:rPr>
              <w:t>0,0611</w:t>
            </w:r>
          </w:p>
        </w:tc>
        <w:tc>
          <w:tcPr>
            <w:tcW w:w="1382" w:type="dxa"/>
            <w:shd w:val="clear" w:color="auto" w:fill="auto"/>
          </w:tcPr>
          <w:p w:rsidR="00E24DB7" w:rsidRPr="002C5876" w:rsidRDefault="00E24DB7" w:rsidP="00E24DB7">
            <w:pPr>
              <w:keepNext/>
              <w:suppressAutoHyphens w:val="0"/>
              <w:spacing w:before="60" w:after="60" w:line="220" w:lineRule="atLeast"/>
              <w:ind w:left="57" w:right="57"/>
              <w:jc w:val="right"/>
              <w:rPr>
                <w:sz w:val="18"/>
                <w:szCs w:val="18"/>
                <w:lang w:eastAsia="en-GB"/>
              </w:rPr>
            </w:pPr>
            <w:r w:rsidRPr="002C5876">
              <w:rPr>
                <w:sz w:val="18"/>
                <w:szCs w:val="18"/>
                <w:lang w:eastAsia="en-GB"/>
              </w:rPr>
              <w:t>0,0611</w:t>
            </w:r>
          </w:p>
        </w:tc>
      </w:tr>
      <w:tr w:rsidR="00E24DB7" w:rsidRPr="002C5876" w:rsidTr="00E24DB7">
        <w:trPr>
          <w:trHeight w:val="300"/>
        </w:trPr>
        <w:tc>
          <w:tcPr>
            <w:tcW w:w="1842" w:type="dxa"/>
            <w:vMerge/>
            <w:shd w:val="clear" w:color="auto" w:fill="auto"/>
          </w:tcPr>
          <w:p w:rsidR="00E24DB7" w:rsidRPr="002C5876" w:rsidRDefault="00E24DB7" w:rsidP="00E24DB7">
            <w:pPr>
              <w:keepNext/>
              <w:suppressAutoHyphens w:val="0"/>
              <w:spacing w:before="60" w:after="60" w:line="220" w:lineRule="atLeast"/>
              <w:ind w:left="57" w:right="57"/>
              <w:rPr>
                <w:sz w:val="18"/>
                <w:szCs w:val="18"/>
                <w:lang w:eastAsia="en-GB"/>
              </w:rPr>
            </w:pPr>
          </w:p>
        </w:tc>
        <w:tc>
          <w:tcPr>
            <w:tcW w:w="1382" w:type="dxa"/>
            <w:vMerge/>
            <w:shd w:val="clear" w:color="auto" w:fill="auto"/>
          </w:tcPr>
          <w:p w:rsidR="00E24DB7" w:rsidRPr="002C5876" w:rsidRDefault="00E24DB7" w:rsidP="00E24DB7">
            <w:pPr>
              <w:keepNext/>
              <w:suppressAutoHyphens w:val="0"/>
              <w:spacing w:before="60" w:after="60" w:line="220" w:lineRule="atLeast"/>
              <w:ind w:left="57" w:right="57"/>
              <w:rPr>
                <w:sz w:val="18"/>
                <w:szCs w:val="18"/>
                <w:lang w:eastAsia="en-GB"/>
              </w:rPr>
            </w:pPr>
          </w:p>
        </w:tc>
        <w:tc>
          <w:tcPr>
            <w:tcW w:w="1382" w:type="dxa"/>
            <w:shd w:val="clear" w:color="auto" w:fill="auto"/>
          </w:tcPr>
          <w:p w:rsidR="00E24DB7" w:rsidRPr="002C5876" w:rsidRDefault="00E24DB7" w:rsidP="00E24DB7">
            <w:pPr>
              <w:keepNext/>
              <w:suppressAutoHyphens w:val="0"/>
              <w:spacing w:before="60" w:after="60" w:line="220" w:lineRule="atLeast"/>
              <w:ind w:left="57" w:right="57"/>
              <w:rPr>
                <w:sz w:val="18"/>
                <w:szCs w:val="18"/>
                <w:lang w:eastAsia="en-GB"/>
              </w:rPr>
            </w:pPr>
            <w:r w:rsidRPr="002C5876">
              <w:rPr>
                <w:sz w:val="18"/>
                <w:szCs w:val="18"/>
                <w:lang w:eastAsia="en-GB"/>
              </w:rPr>
              <w:t>gCO</w:t>
            </w:r>
            <w:r w:rsidRPr="002C5876">
              <w:rPr>
                <w:sz w:val="18"/>
                <w:szCs w:val="18"/>
                <w:vertAlign w:val="subscript"/>
                <w:lang w:eastAsia="en-GB"/>
              </w:rPr>
              <w:t>2</w:t>
            </w:r>
            <w:r w:rsidRPr="002C5876">
              <w:rPr>
                <w:sz w:val="18"/>
                <w:szCs w:val="18"/>
                <w:lang w:eastAsia="en-GB"/>
              </w:rPr>
              <w:t>/MJ</w:t>
            </w:r>
          </w:p>
        </w:tc>
        <w:tc>
          <w:tcPr>
            <w:tcW w:w="1382" w:type="dxa"/>
            <w:shd w:val="clear" w:color="auto" w:fill="auto"/>
          </w:tcPr>
          <w:p w:rsidR="00E24DB7" w:rsidRPr="002C5876" w:rsidRDefault="00E24DB7" w:rsidP="00E24DB7">
            <w:pPr>
              <w:keepNext/>
              <w:suppressAutoHyphens w:val="0"/>
              <w:spacing w:before="60" w:after="60" w:line="220" w:lineRule="atLeast"/>
              <w:ind w:left="57" w:right="57"/>
              <w:jc w:val="right"/>
              <w:rPr>
                <w:sz w:val="18"/>
                <w:szCs w:val="18"/>
                <w:lang w:eastAsia="en-GB"/>
              </w:rPr>
            </w:pPr>
            <w:r w:rsidRPr="002C5876">
              <w:rPr>
                <w:sz w:val="18"/>
                <w:szCs w:val="18"/>
                <w:lang w:eastAsia="en-GB"/>
              </w:rPr>
              <w:t>161</w:t>
            </w:r>
          </w:p>
        </w:tc>
        <w:tc>
          <w:tcPr>
            <w:tcW w:w="1382" w:type="dxa"/>
            <w:shd w:val="clear" w:color="auto" w:fill="auto"/>
          </w:tcPr>
          <w:p w:rsidR="00E24DB7" w:rsidRPr="002C5876" w:rsidRDefault="00E24DB7" w:rsidP="00E24DB7">
            <w:pPr>
              <w:keepNext/>
              <w:suppressAutoHyphens w:val="0"/>
              <w:spacing w:before="60" w:after="60" w:line="220" w:lineRule="atLeast"/>
              <w:ind w:left="57" w:right="57"/>
              <w:jc w:val="right"/>
              <w:rPr>
                <w:sz w:val="18"/>
                <w:szCs w:val="18"/>
                <w:lang w:eastAsia="en-GB"/>
              </w:rPr>
            </w:pPr>
            <w:r w:rsidRPr="002C5876">
              <w:rPr>
                <w:sz w:val="18"/>
                <w:szCs w:val="18"/>
                <w:lang w:eastAsia="en-GB"/>
              </w:rPr>
              <w:t>161</w:t>
            </w:r>
          </w:p>
        </w:tc>
      </w:tr>
      <w:tr w:rsidR="00E24DB7" w:rsidRPr="002C5876" w:rsidTr="00E24DB7">
        <w:trPr>
          <w:trHeight w:val="300"/>
        </w:trPr>
        <w:tc>
          <w:tcPr>
            <w:tcW w:w="1842" w:type="dxa"/>
            <w:vMerge/>
            <w:shd w:val="clear" w:color="auto" w:fill="auto"/>
          </w:tcPr>
          <w:p w:rsidR="00E24DB7" w:rsidRPr="002C5876" w:rsidRDefault="00E24DB7" w:rsidP="00E24DB7">
            <w:pPr>
              <w:suppressAutoHyphens w:val="0"/>
              <w:spacing w:before="60" w:after="60" w:line="220" w:lineRule="atLeast"/>
              <w:ind w:left="57" w:right="57"/>
              <w:rPr>
                <w:sz w:val="18"/>
                <w:szCs w:val="18"/>
                <w:lang w:eastAsia="en-GB"/>
              </w:rPr>
            </w:pPr>
          </w:p>
        </w:tc>
        <w:tc>
          <w:tcPr>
            <w:tcW w:w="1382" w:type="dxa"/>
            <w:vMerge w:val="restart"/>
            <w:shd w:val="clear" w:color="auto" w:fill="auto"/>
          </w:tcPr>
          <w:p w:rsidR="00E24DB7" w:rsidRPr="002C5876" w:rsidRDefault="00E24DB7" w:rsidP="00E24DB7">
            <w:pPr>
              <w:suppressAutoHyphens w:val="0"/>
              <w:spacing w:before="60" w:after="60" w:line="220" w:lineRule="atLeast"/>
              <w:ind w:left="57" w:right="57"/>
              <w:rPr>
                <w:sz w:val="18"/>
                <w:szCs w:val="18"/>
                <w:lang w:eastAsia="en-GB"/>
              </w:rPr>
            </w:pPr>
            <w:r w:rsidRPr="002C5876">
              <w:rPr>
                <w:sz w:val="18"/>
                <w:szCs w:val="18"/>
                <w:lang w:eastAsia="en-GB"/>
              </w:rPr>
              <w:t>Gazole (B5)</w:t>
            </w:r>
          </w:p>
        </w:tc>
        <w:tc>
          <w:tcPr>
            <w:tcW w:w="1382" w:type="dxa"/>
            <w:shd w:val="clear" w:color="auto" w:fill="auto"/>
          </w:tcPr>
          <w:p w:rsidR="00E24DB7" w:rsidRPr="002C5876" w:rsidRDefault="00E24DB7" w:rsidP="00E24DB7">
            <w:pPr>
              <w:suppressAutoHyphens w:val="0"/>
              <w:spacing w:before="60" w:after="60" w:line="220" w:lineRule="atLeast"/>
              <w:ind w:left="57" w:right="57"/>
              <w:rPr>
                <w:sz w:val="18"/>
                <w:szCs w:val="18"/>
                <w:lang w:eastAsia="en-GB"/>
              </w:rPr>
            </w:pPr>
            <w:r w:rsidRPr="002C5876">
              <w:rPr>
                <w:sz w:val="18"/>
                <w:szCs w:val="18"/>
                <w:lang w:eastAsia="en-GB"/>
              </w:rPr>
              <w:t>l/MJ</w:t>
            </w:r>
          </w:p>
        </w:tc>
        <w:tc>
          <w:tcPr>
            <w:tcW w:w="1382" w:type="dxa"/>
            <w:shd w:val="clear" w:color="auto" w:fill="auto"/>
          </w:tcPr>
          <w:p w:rsidR="00E24DB7" w:rsidRPr="002C5876" w:rsidRDefault="00E24DB7" w:rsidP="00E24DB7">
            <w:pPr>
              <w:suppressAutoHyphens w:val="0"/>
              <w:spacing w:before="60" w:after="60" w:line="220" w:lineRule="atLeast"/>
              <w:ind w:left="57" w:right="57"/>
              <w:jc w:val="right"/>
              <w:rPr>
                <w:sz w:val="18"/>
                <w:szCs w:val="18"/>
                <w:lang w:eastAsia="en-GB"/>
              </w:rPr>
            </w:pPr>
            <w:r w:rsidRPr="002C5876">
              <w:rPr>
                <w:sz w:val="18"/>
                <w:szCs w:val="18"/>
                <w:lang w:eastAsia="en-GB"/>
              </w:rPr>
              <w:t>0,0611</w:t>
            </w:r>
          </w:p>
        </w:tc>
        <w:tc>
          <w:tcPr>
            <w:tcW w:w="1382" w:type="dxa"/>
            <w:shd w:val="clear" w:color="auto" w:fill="auto"/>
          </w:tcPr>
          <w:p w:rsidR="00E24DB7" w:rsidRPr="002C5876" w:rsidRDefault="00E24DB7" w:rsidP="00E24DB7">
            <w:pPr>
              <w:suppressAutoHyphens w:val="0"/>
              <w:spacing w:before="60" w:after="60" w:line="220" w:lineRule="atLeast"/>
              <w:ind w:left="57" w:right="57"/>
              <w:jc w:val="right"/>
              <w:rPr>
                <w:sz w:val="18"/>
                <w:szCs w:val="18"/>
                <w:lang w:eastAsia="en-GB"/>
              </w:rPr>
            </w:pPr>
            <w:r w:rsidRPr="002C5876">
              <w:rPr>
                <w:sz w:val="18"/>
                <w:szCs w:val="18"/>
                <w:lang w:eastAsia="en-GB"/>
              </w:rPr>
              <w:t>0,0611</w:t>
            </w:r>
          </w:p>
        </w:tc>
      </w:tr>
      <w:tr w:rsidR="00E24DB7" w:rsidRPr="002C5876" w:rsidTr="00E24DB7">
        <w:trPr>
          <w:trHeight w:val="300"/>
        </w:trPr>
        <w:tc>
          <w:tcPr>
            <w:tcW w:w="1842" w:type="dxa"/>
            <w:vMerge/>
            <w:shd w:val="clear" w:color="auto" w:fill="auto"/>
          </w:tcPr>
          <w:p w:rsidR="00E24DB7" w:rsidRPr="002C5876" w:rsidRDefault="00E24DB7" w:rsidP="00E24DB7">
            <w:pPr>
              <w:suppressAutoHyphens w:val="0"/>
              <w:spacing w:before="60" w:after="60" w:line="220" w:lineRule="atLeast"/>
              <w:ind w:left="57" w:right="57"/>
              <w:rPr>
                <w:sz w:val="18"/>
                <w:szCs w:val="18"/>
                <w:lang w:eastAsia="en-GB"/>
              </w:rPr>
            </w:pPr>
          </w:p>
        </w:tc>
        <w:tc>
          <w:tcPr>
            <w:tcW w:w="1382" w:type="dxa"/>
            <w:vMerge/>
            <w:shd w:val="clear" w:color="auto" w:fill="auto"/>
          </w:tcPr>
          <w:p w:rsidR="00E24DB7" w:rsidRPr="002C5876" w:rsidRDefault="00E24DB7" w:rsidP="00E24DB7">
            <w:pPr>
              <w:suppressAutoHyphens w:val="0"/>
              <w:spacing w:before="60" w:after="60" w:line="220" w:lineRule="atLeast"/>
              <w:ind w:left="57" w:right="57"/>
              <w:rPr>
                <w:sz w:val="18"/>
                <w:szCs w:val="18"/>
                <w:lang w:eastAsia="en-GB"/>
              </w:rPr>
            </w:pPr>
          </w:p>
        </w:tc>
        <w:tc>
          <w:tcPr>
            <w:tcW w:w="1382" w:type="dxa"/>
            <w:shd w:val="clear" w:color="auto" w:fill="auto"/>
          </w:tcPr>
          <w:p w:rsidR="00E24DB7" w:rsidRPr="002C5876" w:rsidRDefault="00E24DB7" w:rsidP="00E24DB7">
            <w:pPr>
              <w:suppressAutoHyphens w:val="0"/>
              <w:spacing w:before="60" w:after="60" w:line="220" w:lineRule="atLeast"/>
              <w:ind w:left="57" w:right="57"/>
              <w:rPr>
                <w:sz w:val="18"/>
                <w:szCs w:val="18"/>
                <w:lang w:eastAsia="en-GB"/>
              </w:rPr>
            </w:pPr>
            <w:r w:rsidRPr="002C5876">
              <w:rPr>
                <w:sz w:val="18"/>
                <w:szCs w:val="18"/>
                <w:lang w:eastAsia="en-GB"/>
              </w:rPr>
              <w:t>gCO</w:t>
            </w:r>
            <w:r w:rsidRPr="002C5876">
              <w:rPr>
                <w:sz w:val="18"/>
                <w:szCs w:val="18"/>
                <w:vertAlign w:val="subscript"/>
                <w:lang w:eastAsia="en-GB"/>
              </w:rPr>
              <w:t>2</w:t>
            </w:r>
            <w:r w:rsidRPr="002C5876">
              <w:rPr>
                <w:sz w:val="18"/>
                <w:szCs w:val="18"/>
                <w:lang w:eastAsia="en-GB"/>
              </w:rPr>
              <w:t>/MJ</w:t>
            </w:r>
          </w:p>
        </w:tc>
        <w:tc>
          <w:tcPr>
            <w:tcW w:w="1382" w:type="dxa"/>
            <w:shd w:val="clear" w:color="auto" w:fill="auto"/>
          </w:tcPr>
          <w:p w:rsidR="00E24DB7" w:rsidRPr="002C5876" w:rsidRDefault="00E24DB7" w:rsidP="00E24DB7">
            <w:pPr>
              <w:suppressAutoHyphens w:val="0"/>
              <w:spacing w:before="60" w:after="60" w:line="220" w:lineRule="atLeast"/>
              <w:ind w:left="57" w:right="57"/>
              <w:jc w:val="right"/>
              <w:rPr>
                <w:sz w:val="18"/>
                <w:szCs w:val="18"/>
                <w:lang w:eastAsia="en-GB"/>
              </w:rPr>
            </w:pPr>
            <w:r w:rsidRPr="002C5876">
              <w:rPr>
                <w:sz w:val="18"/>
                <w:szCs w:val="18"/>
                <w:lang w:eastAsia="en-GB"/>
              </w:rPr>
              <w:t>161</w:t>
            </w:r>
          </w:p>
        </w:tc>
        <w:tc>
          <w:tcPr>
            <w:tcW w:w="1382" w:type="dxa"/>
            <w:shd w:val="clear" w:color="auto" w:fill="auto"/>
          </w:tcPr>
          <w:p w:rsidR="00E24DB7" w:rsidRPr="002C5876" w:rsidRDefault="00E24DB7" w:rsidP="00E24DB7">
            <w:pPr>
              <w:suppressAutoHyphens w:val="0"/>
              <w:spacing w:before="60" w:after="60" w:line="220" w:lineRule="atLeast"/>
              <w:ind w:left="57" w:right="57"/>
              <w:jc w:val="right"/>
              <w:rPr>
                <w:sz w:val="18"/>
                <w:szCs w:val="18"/>
                <w:lang w:eastAsia="en-GB"/>
              </w:rPr>
            </w:pPr>
            <w:r w:rsidRPr="002C5876">
              <w:rPr>
                <w:sz w:val="18"/>
                <w:szCs w:val="18"/>
                <w:lang w:eastAsia="en-GB"/>
              </w:rPr>
              <w:t>161</w:t>
            </w:r>
          </w:p>
        </w:tc>
      </w:tr>
      <w:tr w:rsidR="00E24DB7" w:rsidRPr="002C5876" w:rsidTr="00E24DB7">
        <w:trPr>
          <w:trHeight w:val="300"/>
        </w:trPr>
        <w:tc>
          <w:tcPr>
            <w:tcW w:w="1842" w:type="dxa"/>
            <w:vMerge/>
            <w:shd w:val="clear" w:color="auto" w:fill="auto"/>
          </w:tcPr>
          <w:p w:rsidR="00E24DB7" w:rsidRPr="002C5876" w:rsidRDefault="00E24DB7" w:rsidP="00E24DB7">
            <w:pPr>
              <w:suppressAutoHyphens w:val="0"/>
              <w:spacing w:before="60" w:after="60" w:line="220" w:lineRule="atLeast"/>
              <w:ind w:left="57" w:right="57"/>
              <w:rPr>
                <w:sz w:val="18"/>
                <w:szCs w:val="18"/>
                <w:lang w:eastAsia="en-GB"/>
              </w:rPr>
            </w:pPr>
          </w:p>
        </w:tc>
        <w:tc>
          <w:tcPr>
            <w:tcW w:w="1382" w:type="dxa"/>
            <w:vMerge w:val="restart"/>
            <w:shd w:val="clear" w:color="auto" w:fill="auto"/>
          </w:tcPr>
          <w:p w:rsidR="00E24DB7" w:rsidRPr="002C5876" w:rsidRDefault="00E24DB7" w:rsidP="00E24DB7">
            <w:pPr>
              <w:suppressAutoHyphens w:val="0"/>
              <w:spacing w:before="60" w:after="60" w:line="220" w:lineRule="atLeast"/>
              <w:ind w:left="57" w:right="57"/>
              <w:rPr>
                <w:sz w:val="18"/>
                <w:szCs w:val="18"/>
                <w:lang w:eastAsia="en-GB"/>
              </w:rPr>
            </w:pPr>
            <w:r w:rsidRPr="002C5876">
              <w:rPr>
                <w:sz w:val="18"/>
                <w:szCs w:val="18"/>
                <w:lang w:eastAsia="en-GB"/>
              </w:rPr>
              <w:t>Gazole (B7)</w:t>
            </w:r>
          </w:p>
        </w:tc>
        <w:tc>
          <w:tcPr>
            <w:tcW w:w="1382" w:type="dxa"/>
            <w:shd w:val="clear" w:color="auto" w:fill="auto"/>
          </w:tcPr>
          <w:p w:rsidR="00E24DB7" w:rsidRPr="002C5876" w:rsidRDefault="00E24DB7" w:rsidP="00E24DB7">
            <w:pPr>
              <w:suppressAutoHyphens w:val="0"/>
              <w:spacing w:before="60" w:after="60" w:line="220" w:lineRule="atLeast"/>
              <w:ind w:left="57" w:right="57"/>
              <w:rPr>
                <w:sz w:val="18"/>
                <w:szCs w:val="18"/>
                <w:lang w:eastAsia="en-GB"/>
              </w:rPr>
            </w:pPr>
            <w:r w:rsidRPr="002C5876">
              <w:rPr>
                <w:sz w:val="18"/>
                <w:szCs w:val="18"/>
                <w:lang w:eastAsia="en-GB"/>
              </w:rPr>
              <w:t>l/MJ</w:t>
            </w:r>
          </w:p>
        </w:tc>
        <w:tc>
          <w:tcPr>
            <w:tcW w:w="1382" w:type="dxa"/>
            <w:shd w:val="clear" w:color="auto" w:fill="auto"/>
          </w:tcPr>
          <w:p w:rsidR="00E24DB7" w:rsidRPr="002C5876" w:rsidRDefault="00E24DB7" w:rsidP="00E24DB7">
            <w:pPr>
              <w:suppressAutoHyphens w:val="0"/>
              <w:spacing w:before="60" w:after="60" w:line="220" w:lineRule="atLeast"/>
              <w:ind w:left="57" w:right="57"/>
              <w:jc w:val="right"/>
              <w:rPr>
                <w:sz w:val="18"/>
                <w:szCs w:val="18"/>
                <w:lang w:eastAsia="en-GB"/>
              </w:rPr>
            </w:pPr>
            <w:r w:rsidRPr="002C5876">
              <w:rPr>
                <w:sz w:val="18"/>
                <w:szCs w:val="18"/>
                <w:lang w:eastAsia="en-GB"/>
              </w:rPr>
              <w:t>0,0611</w:t>
            </w:r>
          </w:p>
        </w:tc>
        <w:tc>
          <w:tcPr>
            <w:tcW w:w="1382" w:type="dxa"/>
            <w:shd w:val="clear" w:color="auto" w:fill="auto"/>
          </w:tcPr>
          <w:p w:rsidR="00E24DB7" w:rsidRPr="002C5876" w:rsidRDefault="00E24DB7" w:rsidP="00E24DB7">
            <w:pPr>
              <w:suppressAutoHyphens w:val="0"/>
              <w:spacing w:before="60" w:after="60" w:line="220" w:lineRule="atLeast"/>
              <w:ind w:left="57" w:right="57"/>
              <w:jc w:val="right"/>
              <w:rPr>
                <w:sz w:val="18"/>
                <w:szCs w:val="18"/>
                <w:lang w:eastAsia="en-GB"/>
              </w:rPr>
            </w:pPr>
            <w:r w:rsidRPr="002C5876">
              <w:rPr>
                <w:sz w:val="18"/>
                <w:szCs w:val="18"/>
                <w:lang w:eastAsia="en-GB"/>
              </w:rPr>
              <w:t>0,0611</w:t>
            </w:r>
          </w:p>
        </w:tc>
      </w:tr>
      <w:tr w:rsidR="00E24DB7" w:rsidRPr="002C5876" w:rsidTr="00E24DB7">
        <w:trPr>
          <w:trHeight w:val="300"/>
        </w:trPr>
        <w:tc>
          <w:tcPr>
            <w:tcW w:w="1842" w:type="dxa"/>
            <w:vMerge/>
            <w:tcBorders>
              <w:bottom w:val="single" w:sz="12" w:space="0" w:color="auto"/>
            </w:tcBorders>
            <w:shd w:val="clear" w:color="auto" w:fill="auto"/>
          </w:tcPr>
          <w:p w:rsidR="00E24DB7" w:rsidRPr="002C5876" w:rsidRDefault="00E24DB7" w:rsidP="00E24DB7">
            <w:pPr>
              <w:suppressAutoHyphens w:val="0"/>
              <w:spacing w:before="60" w:after="60" w:line="220" w:lineRule="atLeast"/>
              <w:ind w:left="57" w:right="57"/>
              <w:rPr>
                <w:sz w:val="18"/>
                <w:szCs w:val="18"/>
                <w:lang w:eastAsia="en-GB"/>
              </w:rPr>
            </w:pPr>
          </w:p>
        </w:tc>
        <w:tc>
          <w:tcPr>
            <w:tcW w:w="1382" w:type="dxa"/>
            <w:vMerge/>
            <w:tcBorders>
              <w:bottom w:val="single" w:sz="12" w:space="0" w:color="auto"/>
            </w:tcBorders>
            <w:shd w:val="clear" w:color="auto" w:fill="auto"/>
            <w:vAlign w:val="bottom"/>
          </w:tcPr>
          <w:p w:rsidR="00E24DB7" w:rsidRPr="002C5876" w:rsidRDefault="00E24DB7" w:rsidP="00E24DB7">
            <w:pPr>
              <w:suppressAutoHyphens w:val="0"/>
              <w:spacing w:before="60" w:after="60" w:line="220" w:lineRule="atLeast"/>
              <w:ind w:left="57" w:right="57"/>
              <w:rPr>
                <w:sz w:val="18"/>
                <w:szCs w:val="18"/>
                <w:lang w:eastAsia="en-GB"/>
              </w:rPr>
            </w:pPr>
          </w:p>
        </w:tc>
        <w:tc>
          <w:tcPr>
            <w:tcW w:w="1382" w:type="dxa"/>
            <w:tcBorders>
              <w:bottom w:val="single" w:sz="12" w:space="0" w:color="auto"/>
            </w:tcBorders>
            <w:shd w:val="clear" w:color="auto" w:fill="auto"/>
          </w:tcPr>
          <w:p w:rsidR="00E24DB7" w:rsidRPr="002C5876" w:rsidRDefault="00E24DB7" w:rsidP="00E24DB7">
            <w:pPr>
              <w:suppressAutoHyphens w:val="0"/>
              <w:spacing w:before="60" w:after="60" w:line="220" w:lineRule="atLeast"/>
              <w:ind w:left="57" w:right="57"/>
              <w:rPr>
                <w:sz w:val="18"/>
                <w:szCs w:val="18"/>
                <w:lang w:eastAsia="en-GB"/>
              </w:rPr>
            </w:pPr>
            <w:r w:rsidRPr="002C5876">
              <w:rPr>
                <w:sz w:val="18"/>
                <w:szCs w:val="18"/>
                <w:lang w:eastAsia="en-GB"/>
              </w:rPr>
              <w:t>gCO</w:t>
            </w:r>
            <w:r w:rsidRPr="002C5876">
              <w:rPr>
                <w:sz w:val="18"/>
                <w:szCs w:val="18"/>
                <w:vertAlign w:val="subscript"/>
                <w:lang w:eastAsia="en-GB"/>
              </w:rPr>
              <w:t>2</w:t>
            </w:r>
            <w:r w:rsidRPr="002C5876">
              <w:rPr>
                <w:sz w:val="18"/>
                <w:szCs w:val="18"/>
                <w:lang w:eastAsia="en-GB"/>
              </w:rPr>
              <w:t>/MJ</w:t>
            </w:r>
          </w:p>
        </w:tc>
        <w:tc>
          <w:tcPr>
            <w:tcW w:w="1382" w:type="dxa"/>
            <w:tcBorders>
              <w:bottom w:val="single" w:sz="12" w:space="0" w:color="auto"/>
            </w:tcBorders>
            <w:shd w:val="clear" w:color="auto" w:fill="auto"/>
          </w:tcPr>
          <w:p w:rsidR="00E24DB7" w:rsidRPr="002C5876" w:rsidRDefault="00E24DB7" w:rsidP="00E24DB7">
            <w:pPr>
              <w:suppressAutoHyphens w:val="0"/>
              <w:spacing w:before="60" w:after="60" w:line="220" w:lineRule="atLeast"/>
              <w:ind w:left="57" w:right="57"/>
              <w:jc w:val="right"/>
              <w:rPr>
                <w:sz w:val="18"/>
                <w:szCs w:val="18"/>
                <w:lang w:eastAsia="en-GB"/>
              </w:rPr>
            </w:pPr>
            <w:r w:rsidRPr="002C5876">
              <w:rPr>
                <w:sz w:val="18"/>
                <w:szCs w:val="18"/>
                <w:lang w:eastAsia="en-GB"/>
              </w:rPr>
              <w:t>161</w:t>
            </w:r>
          </w:p>
        </w:tc>
        <w:tc>
          <w:tcPr>
            <w:tcW w:w="1382" w:type="dxa"/>
            <w:tcBorders>
              <w:bottom w:val="single" w:sz="12" w:space="0" w:color="auto"/>
            </w:tcBorders>
            <w:shd w:val="clear" w:color="auto" w:fill="auto"/>
          </w:tcPr>
          <w:p w:rsidR="00E24DB7" w:rsidRPr="002C5876" w:rsidRDefault="00E24DB7" w:rsidP="00E24DB7">
            <w:pPr>
              <w:suppressAutoHyphens w:val="0"/>
              <w:spacing w:before="60" w:after="60" w:line="220" w:lineRule="atLeast"/>
              <w:ind w:left="57" w:right="57"/>
              <w:jc w:val="right"/>
              <w:rPr>
                <w:sz w:val="18"/>
                <w:szCs w:val="18"/>
                <w:lang w:eastAsia="en-GB"/>
              </w:rPr>
            </w:pPr>
            <w:r w:rsidRPr="002C5876">
              <w:rPr>
                <w:sz w:val="18"/>
                <w:szCs w:val="18"/>
                <w:lang w:eastAsia="en-GB"/>
              </w:rPr>
              <w:t>161</w:t>
            </w:r>
          </w:p>
        </w:tc>
      </w:tr>
      <w:bookmarkEnd w:id="206"/>
    </w:tbl>
    <w:p w:rsidR="00E24DB7" w:rsidRPr="002C5876" w:rsidRDefault="00E24DB7" w:rsidP="00E24DB7">
      <w:pPr>
        <w:pStyle w:val="SingleTxtG"/>
      </w:pPr>
    </w:p>
    <w:p w:rsidR="0048069D" w:rsidRPr="002C5876" w:rsidRDefault="0048069D" w:rsidP="00E24DB7">
      <w:pPr>
        <w:pStyle w:val="HChG"/>
        <w:sectPr w:rsidR="0048069D" w:rsidRPr="002C5876" w:rsidSect="00CE537D">
          <w:headerReference w:type="even" r:id="rId130"/>
          <w:headerReference w:type="default" r:id="rId131"/>
          <w:endnotePr>
            <w:numFmt w:val="decimal"/>
          </w:endnotePr>
          <w:pgSz w:w="11907" w:h="16840" w:code="9"/>
          <w:pgMar w:top="1418" w:right="1134" w:bottom="1134" w:left="1134" w:header="680" w:footer="567" w:gutter="0"/>
          <w:cols w:space="720"/>
          <w:docGrid w:linePitch="272"/>
        </w:sectPr>
      </w:pPr>
    </w:p>
    <w:p w:rsidR="00E24DB7" w:rsidRPr="002C5876" w:rsidRDefault="00E24DB7" w:rsidP="00E24DB7">
      <w:pPr>
        <w:pStyle w:val="HChG"/>
      </w:pPr>
      <w:r w:rsidRPr="002C5876">
        <w:lastRenderedPageBreak/>
        <w:t>Annexe 6 − Appendice 3</w:t>
      </w:r>
    </w:p>
    <w:p w:rsidR="00E24DB7" w:rsidRPr="002C5876" w:rsidRDefault="00E24DB7" w:rsidP="00E24DB7">
      <w:pPr>
        <w:pStyle w:val="HChG"/>
      </w:pPr>
      <w:r w:rsidRPr="002C5876">
        <w:tab/>
      </w:r>
      <w:r w:rsidRPr="002C5876">
        <w:tab/>
        <w:t>Calcul de la part de carburant gazeux (GPL</w:t>
      </w:r>
      <w:r w:rsidRPr="002C5876">
        <w:br/>
        <w:t>et GN/biométhane) dans l’énergie consommée</w:t>
      </w:r>
    </w:p>
    <w:p w:rsidR="00E24DB7" w:rsidRPr="002C5876" w:rsidRDefault="00E24DB7" w:rsidP="00E24DB7">
      <w:pPr>
        <w:pStyle w:val="SingleTxtG"/>
        <w:ind w:left="2268" w:hanging="1134"/>
        <w:rPr>
          <w:b/>
        </w:rPr>
      </w:pPr>
      <w:r w:rsidRPr="002C5876">
        <w:t xml:space="preserve">1. </w:t>
      </w:r>
      <w:r w:rsidRPr="002C5876">
        <w:tab/>
        <w:t>Mesure de la masse de carburant gazeux consommée au cours du cycle d’essai du type I</w:t>
      </w:r>
    </w:p>
    <w:p w:rsidR="00E24DB7" w:rsidRPr="002C5876" w:rsidRDefault="00E24DB7" w:rsidP="00E24DB7">
      <w:pPr>
        <w:pStyle w:val="SingleTxtG"/>
        <w:ind w:left="2268"/>
      </w:pPr>
      <w:r w:rsidRPr="002C5876">
        <w:t>Pour mesurer la masse de gaz consommée au cours du cycle, il convient de peser le réservoir en début et en fin d’essai en respectant les prescriptions suivantes :</w:t>
      </w:r>
    </w:p>
    <w:p w:rsidR="00E24DB7" w:rsidRPr="002C5876" w:rsidRDefault="00E24DB7" w:rsidP="00E24DB7">
      <w:pPr>
        <w:pStyle w:val="SingleTxtG"/>
        <w:ind w:left="2835" w:hanging="567"/>
      </w:pPr>
      <w:r w:rsidRPr="002C5876">
        <w:t xml:space="preserve">a) </w:t>
      </w:r>
      <w:r w:rsidRPr="002C5876">
        <w:tab/>
        <w:t>L’exactitude doit être de ±2 % ou mieux dans la différence entre les lectures au début et à la fin de l’essai ;</w:t>
      </w:r>
    </w:p>
    <w:p w:rsidR="00E24DB7" w:rsidRPr="002C5876" w:rsidRDefault="00E24DB7" w:rsidP="00E24DB7">
      <w:pPr>
        <w:pStyle w:val="SingleTxtG"/>
        <w:ind w:left="2268"/>
      </w:pPr>
      <w:r w:rsidRPr="002C5876">
        <w:t xml:space="preserve">b) </w:t>
      </w:r>
      <w:r w:rsidRPr="002C5876">
        <w:tab/>
        <w:t>Des précautions doivent être prises pour éviter les erreurs de mesure.</w:t>
      </w:r>
    </w:p>
    <w:p w:rsidR="00E24DB7" w:rsidRPr="002C5876" w:rsidRDefault="00E24DB7" w:rsidP="00E24DB7">
      <w:pPr>
        <w:pStyle w:val="SingleTxtG"/>
        <w:ind w:left="2835"/>
      </w:pPr>
      <w:r w:rsidRPr="002C5876">
        <w:t>Ces précautions doivent consister au minimum à soigneusement mettre en place l’instrument de mesure, conformément aux recommandations de son fabricant et dans les règles de l’art.</w:t>
      </w:r>
    </w:p>
    <w:p w:rsidR="00E24DB7" w:rsidRPr="002C5876" w:rsidRDefault="00E24DB7" w:rsidP="00E24DB7">
      <w:pPr>
        <w:pStyle w:val="SingleTxtG"/>
        <w:ind w:left="2835" w:hanging="567"/>
      </w:pPr>
      <w:r w:rsidRPr="002C5876">
        <w:t xml:space="preserve">c) </w:t>
      </w:r>
      <w:r w:rsidRPr="002C5876">
        <w:tab/>
        <w:t>D’autres méthodes de mesure sont admises à condition que l’on puisse démontrer qu’on obtient une exactitude équivalente.</w:t>
      </w:r>
    </w:p>
    <w:p w:rsidR="00E24DB7" w:rsidRPr="002C5876" w:rsidRDefault="00E24DB7" w:rsidP="00E24DB7">
      <w:pPr>
        <w:pStyle w:val="SingleTxtG"/>
        <w:keepNext/>
        <w:keepLines/>
        <w:ind w:left="2268" w:hanging="1134"/>
      </w:pPr>
      <w:r w:rsidRPr="002C5876">
        <w:t>2.</w:t>
      </w:r>
      <w:r w:rsidRPr="002C5876">
        <w:tab/>
        <w:t>Calcul de la part de carburant gazeux dans l’énergie consommée</w:t>
      </w:r>
    </w:p>
    <w:p w:rsidR="00E24DB7" w:rsidRPr="002C5876" w:rsidRDefault="00E24DB7" w:rsidP="00E24DB7">
      <w:pPr>
        <w:pStyle w:val="SingleTxtG"/>
        <w:ind w:left="2268"/>
      </w:pPr>
      <w:r w:rsidRPr="002C5876">
        <w:t>La consommation de carburant doit être calculée à partir des émissions d’hydrocarbures, de monoxyde de carbone et de dioxyde de carbone, déterminées sur la base des résultats des mesures, si l’on pose en principe que seul du carburant gazeux est consommé durant l’essai.</w:t>
      </w:r>
    </w:p>
    <w:p w:rsidR="00E24DB7" w:rsidRPr="002C5876" w:rsidRDefault="00E24DB7" w:rsidP="00E24DB7">
      <w:pPr>
        <w:pStyle w:val="SingleTxtG"/>
        <w:ind w:left="2268"/>
      </w:pPr>
      <w:r w:rsidRPr="002C5876">
        <w:t>La part de carburant gazeux dans l’énergie consommée au cours du cycle est déterminée à l’aide de l’équation suivante :</w:t>
      </w:r>
    </w:p>
    <w:p w:rsidR="00E24DB7" w:rsidRPr="00D53F39" w:rsidRDefault="00731CA6" w:rsidP="00E24DB7">
      <w:pPr>
        <w:pStyle w:val="SingleTxtG"/>
        <w:ind w:left="2268"/>
        <w:jc w:val="center"/>
        <w:rPr>
          <w:lang w:val="en-US"/>
        </w:rPr>
      </w:pPr>
      <m:oMathPara>
        <m:oMath>
          <m:sSub>
            <m:sSubPr>
              <m:ctrlPr>
                <w:rPr>
                  <w:rFonts w:ascii="Cambria Math" w:hAnsi="Cambria Math" w:cstheme="majorBidi"/>
                </w:rPr>
              </m:ctrlPr>
            </m:sSubPr>
            <m:e>
              <m:r>
                <m:rPr>
                  <m:nor/>
                </m:rPr>
                <w:rPr>
                  <w:rFonts w:asciiTheme="majorBidi" w:hAnsiTheme="majorBidi" w:cstheme="majorBidi"/>
                  <w:lang w:val="en-US"/>
                </w:rPr>
                <m:t>G</m:t>
              </m:r>
            </m:e>
            <m:sub>
              <m:r>
                <m:rPr>
                  <m:nor/>
                </m:rPr>
                <w:rPr>
                  <w:rFonts w:asciiTheme="majorBidi" w:hAnsiTheme="majorBidi" w:cstheme="majorBidi"/>
                  <w:lang w:val="en-US"/>
                </w:rPr>
                <m:t>gas</m:t>
              </m:r>
            </m:sub>
          </m:sSub>
          <m:r>
            <m:rPr>
              <m:nor/>
            </m:rPr>
            <w:rPr>
              <w:rFonts w:ascii="Cambria Math" w:hAnsiTheme="majorBidi" w:cstheme="majorBidi"/>
              <w:lang w:val="en-US"/>
            </w:rPr>
            <m:t xml:space="preserve"> </m:t>
          </m:r>
          <m:r>
            <m:rPr>
              <m:nor/>
            </m:rPr>
            <w:rPr>
              <w:rFonts w:asciiTheme="majorBidi" w:hAnsiTheme="majorBidi" w:cstheme="majorBidi"/>
              <w:lang w:val="en-US"/>
            </w:rPr>
            <m:t xml:space="preserve">= </m:t>
          </m:r>
          <m:d>
            <m:dPr>
              <m:ctrlPr>
                <w:rPr>
                  <w:rFonts w:ascii="Cambria Math" w:hAnsi="Cambria Math" w:cstheme="majorBidi"/>
                </w:rPr>
              </m:ctrlPr>
            </m:dPr>
            <m:e>
              <m:f>
                <m:fPr>
                  <m:ctrlPr>
                    <w:rPr>
                      <w:rFonts w:ascii="Cambria Math" w:hAnsi="Cambria Math" w:cstheme="majorBidi"/>
                    </w:rPr>
                  </m:ctrlPr>
                </m:fPr>
                <m:num>
                  <m:sSub>
                    <m:sSubPr>
                      <m:ctrlPr>
                        <w:rPr>
                          <w:rFonts w:ascii="Cambria Math" w:hAnsi="Cambria Math" w:cstheme="majorBidi"/>
                        </w:rPr>
                      </m:ctrlPr>
                    </m:sSubPr>
                    <m:e>
                      <m:r>
                        <m:rPr>
                          <m:nor/>
                        </m:rPr>
                        <w:rPr>
                          <w:rFonts w:asciiTheme="majorBidi" w:hAnsiTheme="majorBidi" w:cstheme="majorBidi"/>
                          <w:lang w:val="en-US"/>
                        </w:rPr>
                        <m:t>M</m:t>
                      </m:r>
                    </m:e>
                    <m:sub>
                      <m:r>
                        <m:rPr>
                          <m:nor/>
                        </m:rPr>
                        <w:rPr>
                          <w:rFonts w:asciiTheme="majorBidi" w:hAnsiTheme="majorBidi" w:cstheme="majorBidi"/>
                          <w:lang w:val="en-US"/>
                        </w:rPr>
                        <m:t>gas</m:t>
                      </m:r>
                    </m:sub>
                  </m:sSub>
                  <m:r>
                    <m:rPr>
                      <m:nor/>
                    </m:rPr>
                    <w:rPr>
                      <w:rFonts w:asciiTheme="majorBidi" w:hAnsiTheme="majorBidi" w:cstheme="majorBidi"/>
                      <w:lang w:val="en-US"/>
                    </w:rPr>
                    <m:t xml:space="preserve"> × cf</m:t>
                  </m:r>
                  <m:r>
                    <m:rPr>
                      <m:nor/>
                    </m:rPr>
                    <w:rPr>
                      <w:rFonts w:ascii="Cambria Math" w:hAnsiTheme="majorBidi" w:cstheme="majorBidi"/>
                      <w:lang w:val="en-US"/>
                    </w:rPr>
                    <m:t xml:space="preserve"> </m:t>
                  </m:r>
                  <m:r>
                    <m:rPr>
                      <m:nor/>
                    </m:rPr>
                    <w:rPr>
                      <w:rFonts w:asciiTheme="majorBidi" w:hAnsiTheme="majorBidi" w:cstheme="majorBidi"/>
                      <w:lang w:val="en-US"/>
                    </w:rPr>
                    <m:t xml:space="preserve"> ×</m:t>
                  </m:r>
                  <m:sSup>
                    <m:sSupPr>
                      <m:ctrlPr>
                        <w:rPr>
                          <w:rFonts w:ascii="Cambria Math" w:hAnsi="Cambria Math" w:cstheme="majorBidi"/>
                        </w:rPr>
                      </m:ctrlPr>
                    </m:sSupPr>
                    <m:e>
                      <m:r>
                        <m:rPr>
                          <m:nor/>
                        </m:rPr>
                        <w:rPr>
                          <w:rFonts w:ascii="Cambria Math" w:hAnsiTheme="majorBidi" w:cstheme="majorBidi"/>
                          <w:lang w:val="en-US"/>
                        </w:rPr>
                        <m:t xml:space="preserve"> </m:t>
                      </m:r>
                      <m:r>
                        <m:rPr>
                          <m:nor/>
                        </m:rPr>
                        <w:rPr>
                          <w:rFonts w:asciiTheme="majorBidi" w:hAnsiTheme="majorBidi" w:cstheme="majorBidi"/>
                          <w:lang w:val="en-US"/>
                        </w:rPr>
                        <m:t>10</m:t>
                      </m:r>
                    </m:e>
                    <m:sup>
                      <m:r>
                        <m:rPr>
                          <m:nor/>
                        </m:rPr>
                        <w:rPr>
                          <w:rFonts w:asciiTheme="majorBidi" w:hAnsiTheme="majorBidi" w:cstheme="majorBidi"/>
                          <w:lang w:val="en-US"/>
                        </w:rPr>
                        <m:t>4</m:t>
                      </m:r>
                    </m:sup>
                  </m:sSup>
                </m:num>
                <m:den>
                  <m:sSub>
                    <m:sSubPr>
                      <m:ctrlPr>
                        <w:rPr>
                          <w:rFonts w:ascii="Cambria Math" w:hAnsi="Cambria Math" w:cstheme="majorBidi"/>
                        </w:rPr>
                      </m:ctrlPr>
                    </m:sSubPr>
                    <m:e>
                      <m:r>
                        <m:rPr>
                          <m:nor/>
                        </m:rPr>
                        <w:rPr>
                          <w:rFonts w:asciiTheme="majorBidi" w:hAnsiTheme="majorBidi" w:cstheme="majorBidi"/>
                          <w:lang w:val="en-US"/>
                        </w:rPr>
                        <m:t>FC</m:t>
                      </m:r>
                    </m:e>
                    <m:sub>
                      <m:r>
                        <m:rPr>
                          <m:nor/>
                        </m:rPr>
                        <w:rPr>
                          <w:rFonts w:asciiTheme="majorBidi" w:hAnsiTheme="majorBidi" w:cstheme="majorBidi"/>
                          <w:lang w:val="en-US"/>
                        </w:rPr>
                        <m:t>norm</m:t>
                      </m:r>
                    </m:sub>
                  </m:sSub>
                  <m:r>
                    <m:rPr>
                      <m:nor/>
                    </m:rPr>
                    <w:rPr>
                      <w:rFonts w:asciiTheme="majorBidi" w:hAnsiTheme="majorBidi" w:cstheme="majorBidi"/>
                      <w:lang w:val="en-US"/>
                    </w:rPr>
                    <m:t xml:space="preserve"> ×</m:t>
                  </m:r>
                  <m:r>
                    <m:rPr>
                      <m:nor/>
                    </m:rPr>
                    <w:rPr>
                      <w:rFonts w:ascii="Cambria Math" w:hAnsiTheme="majorBidi" w:cstheme="majorBidi"/>
                      <w:lang w:val="en-US"/>
                    </w:rPr>
                    <m:t xml:space="preserve"> </m:t>
                  </m:r>
                  <m:r>
                    <m:rPr>
                      <m:nor/>
                    </m:rPr>
                    <w:rPr>
                      <w:rFonts w:asciiTheme="majorBidi" w:hAnsiTheme="majorBidi" w:cstheme="majorBidi"/>
                      <w:lang w:val="en-US"/>
                    </w:rPr>
                    <m:t xml:space="preserve">dist × </m:t>
                  </m:r>
                  <m:r>
                    <m:rPr>
                      <m:nor/>
                    </m:rPr>
                    <w:rPr>
                      <w:rFonts w:asciiTheme="majorBidi" w:hAnsiTheme="majorBidi" w:cstheme="majorBidi"/>
                    </w:rPr>
                    <m:t>ρ</m:t>
                  </m:r>
                </m:den>
              </m:f>
            </m:e>
          </m:d>
        </m:oMath>
      </m:oMathPara>
    </w:p>
    <w:p w:rsidR="00E24DB7" w:rsidRPr="002C5876" w:rsidRDefault="00E24DB7" w:rsidP="00E24DB7">
      <w:pPr>
        <w:suppressAutoHyphens w:val="0"/>
        <w:spacing w:after="120" w:line="240" w:lineRule="auto"/>
        <w:ind w:left="2268" w:right="1134"/>
        <w:jc w:val="both"/>
      </w:pPr>
      <w:r w:rsidRPr="002C5876">
        <w:t>où:</w:t>
      </w:r>
    </w:p>
    <w:p w:rsidR="00E24DB7" w:rsidRPr="002C5876" w:rsidRDefault="00E24DB7" w:rsidP="00E24DB7">
      <w:pPr>
        <w:suppressAutoHyphens w:val="0"/>
        <w:spacing w:after="120" w:line="240" w:lineRule="auto"/>
        <w:ind w:left="2268" w:right="1134"/>
        <w:jc w:val="both"/>
      </w:pPr>
      <w:r w:rsidRPr="002C5876">
        <w:t>G</w:t>
      </w:r>
      <w:r w:rsidRPr="002C5876">
        <w:rPr>
          <w:vertAlign w:val="subscript"/>
        </w:rPr>
        <w:t>gas</w:t>
      </w:r>
      <w:r w:rsidRPr="002C5876">
        <w:rPr>
          <w:b/>
        </w:rPr>
        <w:tab/>
      </w:r>
      <w:r w:rsidRPr="002C5876">
        <w:t xml:space="preserve"> </w:t>
      </w:r>
      <w:r w:rsidRPr="002C5876">
        <w:tab/>
        <w:t>est la part de carburant gazeux dans l’énergie consommée, % ;</w:t>
      </w:r>
    </w:p>
    <w:p w:rsidR="00E24DB7" w:rsidRPr="002C5876" w:rsidRDefault="00E24DB7" w:rsidP="00E24DB7">
      <w:pPr>
        <w:suppressAutoHyphens w:val="0"/>
        <w:spacing w:after="120" w:line="240" w:lineRule="auto"/>
        <w:ind w:left="3402" w:right="1134" w:hanging="1134"/>
        <w:jc w:val="both"/>
      </w:pPr>
      <w:r w:rsidRPr="002C5876">
        <w:t>M</w:t>
      </w:r>
      <w:r w:rsidRPr="002C5876">
        <w:rPr>
          <w:vertAlign w:val="subscript"/>
        </w:rPr>
        <w:t>gas</w:t>
      </w:r>
      <w:r w:rsidRPr="002C5876">
        <w:rPr>
          <w:b/>
        </w:rPr>
        <w:tab/>
      </w:r>
      <w:r w:rsidRPr="002C5876">
        <w:t>est la masse de carburant gazeux consommée au cours du cycle d’essai, kg ;</w:t>
      </w:r>
    </w:p>
    <w:p w:rsidR="00E24DB7" w:rsidRPr="002C5876" w:rsidRDefault="00E24DB7" w:rsidP="00E24DB7">
      <w:pPr>
        <w:suppressAutoHyphens w:val="0"/>
        <w:spacing w:after="120" w:line="240" w:lineRule="auto"/>
        <w:ind w:left="3402" w:right="1134" w:hanging="1134"/>
        <w:jc w:val="both"/>
      </w:pPr>
      <w:r w:rsidRPr="002C5876">
        <w:t>FC</w:t>
      </w:r>
      <w:r w:rsidRPr="002C5876">
        <w:rPr>
          <w:vertAlign w:val="subscript"/>
        </w:rPr>
        <w:t>norm</w:t>
      </w:r>
      <w:r w:rsidRPr="002C5876">
        <w:t xml:space="preserve"> </w:t>
      </w:r>
      <w:r w:rsidRPr="002C5876">
        <w:tab/>
        <w:t>est la consommation de carburant</w:t>
      </w:r>
      <w:r w:rsidRPr="002C5876">
        <w:rPr>
          <w:rFonts w:ascii="Segoe UI" w:hAnsi="Segoe UI" w:cs="Segoe UI"/>
        </w:rPr>
        <w:t xml:space="preserve"> </w:t>
      </w:r>
      <w:r w:rsidRPr="002C5876">
        <w:t>(l/100km pour le GPL, m</w:t>
      </w:r>
      <w:r w:rsidRPr="002C5876">
        <w:rPr>
          <w:vertAlign w:val="superscript"/>
        </w:rPr>
        <w:t>3</w:t>
      </w:r>
      <w:r w:rsidRPr="002C5876">
        <w:t>/100 km pour le GN/biométhane) calculée conformément aux dispositions des paragraphes 6.6 et 6.7 de l’annexe 7 ;</w:t>
      </w:r>
    </w:p>
    <w:p w:rsidR="00E24DB7" w:rsidRPr="002C5876" w:rsidRDefault="00E24DB7" w:rsidP="00E24DB7">
      <w:pPr>
        <w:suppressAutoHyphens w:val="0"/>
        <w:spacing w:after="120" w:line="240" w:lineRule="auto"/>
        <w:ind w:left="3402" w:right="1134" w:hanging="1134"/>
        <w:jc w:val="both"/>
      </w:pPr>
      <w:r w:rsidRPr="002C5876">
        <w:t xml:space="preserve">dist </w:t>
      </w:r>
      <w:r w:rsidRPr="002C5876">
        <w:tab/>
        <w:t>est la distance parcourue durant le cycle d’essai, km ;</w:t>
      </w:r>
    </w:p>
    <w:p w:rsidR="00E24DB7" w:rsidRPr="002C5876" w:rsidRDefault="00E24DB7" w:rsidP="00E24DB7">
      <w:pPr>
        <w:suppressAutoHyphens w:val="0"/>
        <w:spacing w:after="120" w:line="240" w:lineRule="auto"/>
        <w:ind w:left="2268" w:right="1134"/>
        <w:jc w:val="both"/>
      </w:pPr>
      <w:r w:rsidRPr="002C5876">
        <w:t>ρ</w:t>
      </w:r>
      <w:r w:rsidRPr="002C5876">
        <w:tab/>
      </w:r>
      <w:r w:rsidRPr="002C5876">
        <w:tab/>
        <w:t>est la densité du gaz :</w:t>
      </w:r>
    </w:p>
    <w:p w:rsidR="00E24DB7" w:rsidRPr="002C5876" w:rsidRDefault="00E24DB7" w:rsidP="00E24DB7">
      <w:pPr>
        <w:suppressAutoHyphens w:val="0"/>
        <w:spacing w:after="120" w:line="240" w:lineRule="auto"/>
        <w:ind w:left="2268" w:right="1134" w:firstLine="1134"/>
        <w:jc w:val="both"/>
        <w:rPr>
          <w:b/>
        </w:rPr>
      </w:pPr>
      <w:r w:rsidRPr="002C5876">
        <w:tab/>
        <w:t>ρ = 0,654 kg/m</w:t>
      </w:r>
      <w:r w:rsidRPr="002C5876">
        <w:rPr>
          <w:vertAlign w:val="superscript"/>
        </w:rPr>
        <w:t>3</w:t>
      </w:r>
      <w:r w:rsidRPr="002C5876">
        <w:t xml:space="preserve"> pour le GN/biométhane ;</w:t>
      </w:r>
    </w:p>
    <w:p w:rsidR="00E24DB7" w:rsidRPr="002C5876" w:rsidRDefault="00E24DB7" w:rsidP="00E24DB7">
      <w:pPr>
        <w:pStyle w:val="HChG"/>
        <w:spacing w:before="0" w:after="120"/>
        <w:ind w:left="3402"/>
        <w:jc w:val="both"/>
        <w:rPr>
          <w:b w:val="0"/>
          <w:sz w:val="20"/>
        </w:rPr>
      </w:pPr>
      <w:r w:rsidRPr="002C5876">
        <w:rPr>
          <w:b w:val="0"/>
          <w:sz w:val="20"/>
        </w:rPr>
        <w:tab/>
        <w:t>ρ = 0,538 kg/litre pour le GPL ;</w:t>
      </w:r>
    </w:p>
    <w:p w:rsidR="00E24DB7" w:rsidRPr="002C5876" w:rsidRDefault="00E24DB7" w:rsidP="00E24DB7">
      <w:pPr>
        <w:pStyle w:val="HChG"/>
        <w:spacing w:before="0" w:after="120"/>
        <w:ind w:left="2268" w:firstLine="0"/>
        <w:jc w:val="both"/>
        <w:rPr>
          <w:b w:val="0"/>
          <w:sz w:val="20"/>
        </w:rPr>
      </w:pPr>
      <w:r w:rsidRPr="002C5876">
        <w:rPr>
          <w:b w:val="0"/>
          <w:sz w:val="20"/>
        </w:rPr>
        <w:tab/>
        <w:t>cf</w:t>
      </w:r>
      <w:r w:rsidRPr="002C5876">
        <w:rPr>
          <w:b w:val="0"/>
          <w:sz w:val="20"/>
        </w:rPr>
        <w:tab/>
        <w:t xml:space="preserve"> </w:t>
      </w:r>
      <w:r w:rsidRPr="002C5876">
        <w:rPr>
          <w:b w:val="0"/>
          <w:sz w:val="20"/>
        </w:rPr>
        <w:tab/>
        <w:t>est le facteur de correction, défini comme suit :</w:t>
      </w:r>
    </w:p>
    <w:p w:rsidR="00E24DB7" w:rsidRPr="002C5876" w:rsidRDefault="00E24DB7" w:rsidP="00E24DB7">
      <w:pPr>
        <w:pStyle w:val="HChG"/>
        <w:spacing w:before="0" w:after="120"/>
        <w:ind w:left="3402" w:firstLine="0"/>
        <w:jc w:val="both"/>
        <w:rPr>
          <w:b w:val="0"/>
          <w:sz w:val="20"/>
        </w:rPr>
      </w:pPr>
      <w:r w:rsidRPr="002C5876">
        <w:rPr>
          <w:b w:val="0"/>
          <w:sz w:val="20"/>
        </w:rPr>
        <w:t>cf = 1 dans le cas du GPL ou du carburant de référence G20 ;</w:t>
      </w:r>
    </w:p>
    <w:p w:rsidR="00E24DB7" w:rsidRPr="002C5876" w:rsidRDefault="00E24DB7" w:rsidP="00E24DB7">
      <w:pPr>
        <w:pStyle w:val="HChG"/>
        <w:spacing w:before="0" w:after="120"/>
        <w:ind w:left="3402" w:firstLine="0"/>
        <w:jc w:val="both"/>
        <w:rPr>
          <w:b w:val="0"/>
          <w:sz w:val="20"/>
        </w:rPr>
      </w:pPr>
      <w:r w:rsidRPr="002C5876">
        <w:rPr>
          <w:b w:val="0"/>
          <w:sz w:val="20"/>
        </w:rPr>
        <w:t>cf = 0,78 dans le cas du carburant de référence G25.</w:t>
      </w:r>
    </w:p>
    <w:p w:rsidR="0048069D" w:rsidRPr="002C5876" w:rsidRDefault="0048069D" w:rsidP="00E24DB7">
      <w:pPr>
        <w:pStyle w:val="HChG"/>
        <w:sectPr w:rsidR="0048069D" w:rsidRPr="002C5876" w:rsidSect="00CE537D">
          <w:headerReference w:type="even" r:id="rId132"/>
          <w:headerReference w:type="default" r:id="rId133"/>
          <w:endnotePr>
            <w:numFmt w:val="decimal"/>
          </w:endnotePr>
          <w:pgSz w:w="11907" w:h="16840" w:code="9"/>
          <w:pgMar w:top="1418" w:right="1134" w:bottom="1134" w:left="1134" w:header="680" w:footer="567" w:gutter="0"/>
          <w:cols w:space="720"/>
          <w:docGrid w:linePitch="272"/>
        </w:sectPr>
      </w:pPr>
    </w:p>
    <w:p w:rsidR="00E24DB7" w:rsidRPr="002C5876" w:rsidRDefault="00E24DB7" w:rsidP="00E24DB7">
      <w:pPr>
        <w:pStyle w:val="HChG"/>
      </w:pPr>
      <w:r w:rsidRPr="002C5876">
        <w:lastRenderedPageBreak/>
        <w:t>Annexe 7</w:t>
      </w:r>
    </w:p>
    <w:p w:rsidR="00E24DB7" w:rsidRPr="002C5876" w:rsidRDefault="00E24DB7" w:rsidP="00E24DB7">
      <w:pPr>
        <w:pStyle w:val="HChG"/>
      </w:pPr>
      <w:r w:rsidRPr="002C5876">
        <w:tab/>
      </w:r>
      <w:r w:rsidRPr="002C5876">
        <w:tab/>
        <w:t>Calculs</w:t>
      </w:r>
    </w:p>
    <w:p w:rsidR="00E24DB7" w:rsidRPr="002C5876" w:rsidRDefault="00E24DB7" w:rsidP="00E24DB7">
      <w:pPr>
        <w:pStyle w:val="SingleTxtG"/>
        <w:keepNext/>
        <w:ind w:left="2835" w:hanging="1701"/>
        <w:jc w:val="left"/>
      </w:pPr>
      <w:r w:rsidRPr="002C5876">
        <w:t>1.</w:t>
      </w:r>
      <w:r w:rsidRPr="002C5876">
        <w:tab/>
        <w:t>Prescriptions générales</w:t>
      </w:r>
    </w:p>
    <w:p w:rsidR="00E24DB7" w:rsidRPr="002C5876" w:rsidRDefault="00E24DB7" w:rsidP="00E24DB7">
      <w:pPr>
        <w:pStyle w:val="SingleTxtG"/>
        <w:ind w:left="2835" w:hanging="1701"/>
        <w:rPr>
          <w:szCs w:val="24"/>
        </w:rPr>
      </w:pPr>
      <w:r w:rsidRPr="002C5876">
        <w:rPr>
          <w:szCs w:val="24"/>
        </w:rPr>
        <w:t>1.1</w:t>
      </w:r>
      <w:r w:rsidRPr="002C5876">
        <w:rPr>
          <w:szCs w:val="24"/>
        </w:rPr>
        <w:tab/>
        <w:t>Les calculs s’appliquant spécifiquement aux véhicules hybrides, aux véhicules électriques purs et aux véhicules à pile à combustible à hydrogène comprimé sont présentés à l’annexe 8.</w:t>
      </w:r>
    </w:p>
    <w:p w:rsidR="00E24DB7" w:rsidRPr="002C5876" w:rsidRDefault="00E24DB7" w:rsidP="00E24DB7">
      <w:pPr>
        <w:pStyle w:val="SingleTxtG"/>
        <w:ind w:left="2835"/>
      </w:pPr>
      <w:r w:rsidRPr="002C5876">
        <w:t>On trouvera au paragraphe</w:t>
      </w:r>
      <w:r w:rsidR="00D12C67" w:rsidRPr="002C5876">
        <w:t> </w:t>
      </w:r>
      <w:r w:rsidRPr="002C5876">
        <w:t>4 de l’annexe 8 une procédure par étapes pour le calcul des résultats d’essai.</w:t>
      </w:r>
    </w:p>
    <w:p w:rsidR="00E24DB7" w:rsidRPr="002C5876" w:rsidRDefault="00E24DB7" w:rsidP="00E24DB7">
      <w:pPr>
        <w:pStyle w:val="SingleTxtG"/>
        <w:ind w:left="2835" w:hanging="1701"/>
        <w:rPr>
          <w:szCs w:val="24"/>
        </w:rPr>
      </w:pPr>
      <w:r w:rsidRPr="002C5876">
        <w:rPr>
          <w:szCs w:val="24"/>
        </w:rPr>
        <w:t>1.2</w:t>
      </w:r>
      <w:r w:rsidRPr="002C5876">
        <w:rPr>
          <w:szCs w:val="24"/>
        </w:rPr>
        <w:tab/>
        <w:t>Les calculs présentés ci-après s’appliquent aux véhicules dotés d’un moteur à combustion.</w:t>
      </w:r>
    </w:p>
    <w:p w:rsidR="00E24DB7" w:rsidRPr="002C5876" w:rsidRDefault="00E24DB7" w:rsidP="00E24DB7">
      <w:pPr>
        <w:pStyle w:val="SingleTxtG"/>
        <w:ind w:left="2835" w:hanging="1701"/>
        <w:rPr>
          <w:szCs w:val="24"/>
        </w:rPr>
      </w:pPr>
      <w:r w:rsidRPr="002C5876">
        <w:rPr>
          <w:szCs w:val="24"/>
        </w:rPr>
        <w:t>1.3</w:t>
      </w:r>
      <w:r w:rsidRPr="002C5876">
        <w:rPr>
          <w:szCs w:val="24"/>
        </w:rPr>
        <w:tab/>
        <w:t>Arrondi des résultats d’essai</w:t>
      </w:r>
    </w:p>
    <w:p w:rsidR="00E24DB7" w:rsidRPr="002C5876" w:rsidRDefault="00E24DB7" w:rsidP="00E24DB7">
      <w:pPr>
        <w:pStyle w:val="SingleTxtG"/>
        <w:ind w:left="2835" w:hanging="1701"/>
        <w:rPr>
          <w:szCs w:val="24"/>
        </w:rPr>
      </w:pPr>
      <w:r w:rsidRPr="002C5876">
        <w:rPr>
          <w:szCs w:val="24"/>
        </w:rPr>
        <w:t>1.3.1</w:t>
      </w:r>
      <w:r w:rsidRPr="002C5876">
        <w:rPr>
          <w:szCs w:val="24"/>
        </w:rPr>
        <w:tab/>
        <w:t>Les résultats des étapes intermédiaires de calcul ne doivent pas être arrondis.</w:t>
      </w:r>
    </w:p>
    <w:p w:rsidR="00E24DB7" w:rsidRPr="002C5876" w:rsidRDefault="00E24DB7" w:rsidP="00E24DB7">
      <w:pPr>
        <w:pStyle w:val="SingleTxtG"/>
        <w:ind w:left="2835" w:hanging="1701"/>
        <w:rPr>
          <w:szCs w:val="24"/>
        </w:rPr>
      </w:pPr>
      <w:r w:rsidRPr="002C5876">
        <w:rPr>
          <w:szCs w:val="24"/>
        </w:rPr>
        <w:t>1.3.2</w:t>
      </w:r>
      <w:r w:rsidRPr="002C5876">
        <w:rPr>
          <w:szCs w:val="24"/>
        </w:rPr>
        <w:tab/>
        <w:t xml:space="preserve">Les résultats finals des essais d’émissions critères doivent être arrondis en une seule fois au nombre de décimales indiqué par la norme d’émissions applicable, plus un chiffre significatif. </w:t>
      </w:r>
    </w:p>
    <w:p w:rsidR="00E24DB7" w:rsidRPr="002C5876" w:rsidRDefault="00E24DB7" w:rsidP="00E24DB7">
      <w:pPr>
        <w:pStyle w:val="SingleTxtG"/>
        <w:ind w:left="2835" w:hanging="1701"/>
        <w:rPr>
          <w:szCs w:val="24"/>
        </w:rPr>
      </w:pPr>
      <w:r w:rsidRPr="002C5876">
        <w:rPr>
          <w:szCs w:val="24"/>
        </w:rPr>
        <w:t>1.3.3</w:t>
      </w:r>
      <w:r w:rsidRPr="002C5876">
        <w:rPr>
          <w:szCs w:val="24"/>
        </w:rPr>
        <w:tab/>
        <w:t>Le facteur de correction des NO</w:t>
      </w:r>
      <w:r w:rsidRPr="002C5876">
        <w:rPr>
          <w:szCs w:val="24"/>
          <w:vertAlign w:val="subscript"/>
        </w:rPr>
        <w:t>x</w:t>
      </w:r>
      <w:r w:rsidRPr="002C5876">
        <w:rPr>
          <w:szCs w:val="24"/>
        </w:rPr>
        <w:t>, KH, doit être arrondi à deux décimales.</w:t>
      </w:r>
    </w:p>
    <w:p w:rsidR="00E24DB7" w:rsidRPr="002C5876" w:rsidRDefault="00E24DB7" w:rsidP="00E24DB7">
      <w:pPr>
        <w:pStyle w:val="SingleTxtG"/>
        <w:ind w:left="2835" w:hanging="1701"/>
        <w:rPr>
          <w:szCs w:val="24"/>
        </w:rPr>
      </w:pPr>
      <w:r w:rsidRPr="002C5876">
        <w:rPr>
          <w:szCs w:val="24"/>
        </w:rPr>
        <w:t>1.3.4</w:t>
      </w:r>
      <w:r w:rsidRPr="002C5876">
        <w:rPr>
          <w:szCs w:val="24"/>
        </w:rPr>
        <w:tab/>
        <w:t>Le facteur de dilution, DF, doit être arrondi à deux décimales.</w:t>
      </w:r>
    </w:p>
    <w:p w:rsidR="00E24DB7" w:rsidRPr="002C5876" w:rsidRDefault="00E24DB7" w:rsidP="00E24DB7">
      <w:pPr>
        <w:pStyle w:val="SingleTxtG"/>
        <w:ind w:left="2835" w:hanging="1701"/>
        <w:rPr>
          <w:szCs w:val="24"/>
        </w:rPr>
      </w:pPr>
      <w:r w:rsidRPr="002C5876">
        <w:rPr>
          <w:szCs w:val="24"/>
        </w:rPr>
        <w:t>1.3.5</w:t>
      </w:r>
      <w:r w:rsidRPr="002C5876">
        <w:rPr>
          <w:szCs w:val="24"/>
        </w:rPr>
        <w:tab/>
        <w:t>Pour tout ce qui ne dépend pas d’une norme, on se fondera sur les pratiques techniques reconnues.</w:t>
      </w:r>
    </w:p>
    <w:p w:rsidR="00E24DB7" w:rsidRPr="002C5876" w:rsidRDefault="00E24DB7" w:rsidP="00E24DB7">
      <w:pPr>
        <w:pStyle w:val="SingleTxtG"/>
        <w:ind w:left="2835" w:hanging="1701"/>
        <w:rPr>
          <w:szCs w:val="24"/>
        </w:rPr>
      </w:pPr>
      <w:r w:rsidRPr="002C5876">
        <w:rPr>
          <w:szCs w:val="24"/>
        </w:rPr>
        <w:t>1.3.6</w:t>
      </w:r>
      <w:r w:rsidRPr="002C5876">
        <w:rPr>
          <w:szCs w:val="24"/>
        </w:rPr>
        <w:tab/>
        <w:t>La procédure pour arrondir les résultats des émissions de CO</w:t>
      </w:r>
      <w:r w:rsidRPr="002C5876">
        <w:rPr>
          <w:szCs w:val="24"/>
          <w:vertAlign w:val="subscript"/>
        </w:rPr>
        <w:t>2</w:t>
      </w:r>
      <w:r w:rsidRPr="002C5876">
        <w:rPr>
          <w:szCs w:val="24"/>
        </w:rPr>
        <w:t xml:space="preserve"> et de la consommation de carburant est détaillée au paragraphe 1.4 de la présente annexe.</w:t>
      </w:r>
    </w:p>
    <w:p w:rsidR="00E24DB7" w:rsidRPr="002C5876" w:rsidRDefault="00E24DB7" w:rsidP="00E24DB7">
      <w:pPr>
        <w:pStyle w:val="SingleTxtG"/>
        <w:ind w:left="2835" w:hanging="1701"/>
        <w:rPr>
          <w:color w:val="000000"/>
          <w:szCs w:val="24"/>
        </w:rPr>
      </w:pPr>
      <w:r w:rsidRPr="002C5876">
        <w:rPr>
          <w:szCs w:val="24"/>
        </w:rPr>
        <w:t>1.4</w:t>
      </w:r>
      <w:r w:rsidRPr="002C5876">
        <w:rPr>
          <w:szCs w:val="24"/>
        </w:rPr>
        <w:tab/>
      </w:r>
      <w:r w:rsidRPr="002C5876">
        <w:rPr>
          <w:bCs/>
          <w:szCs w:val="24"/>
        </w:rPr>
        <w:t>Procédure par étapes pour le c</w:t>
      </w:r>
      <w:r w:rsidRPr="002C5876">
        <w:rPr>
          <w:color w:val="000000"/>
          <w:szCs w:val="24"/>
        </w:rPr>
        <w:t xml:space="preserve">alcul des résultats d’essai finals </w:t>
      </w:r>
      <w:r w:rsidRPr="002C5876">
        <w:rPr>
          <w:color w:val="000000"/>
          <w:szCs w:val="24"/>
        </w:rPr>
        <w:br/>
        <w:t>pour les véhicules dotés d’un moteur à combustion</w:t>
      </w:r>
    </w:p>
    <w:p w:rsidR="00E24DB7" w:rsidRPr="002C5876" w:rsidRDefault="00E24DB7" w:rsidP="00E24DB7">
      <w:pPr>
        <w:pStyle w:val="SingleTxtG"/>
        <w:ind w:left="2835" w:hanging="1701"/>
        <w:rPr>
          <w:color w:val="000000"/>
          <w:szCs w:val="24"/>
        </w:rPr>
      </w:pPr>
      <w:r w:rsidRPr="002C5876">
        <w:rPr>
          <w:color w:val="000000"/>
          <w:szCs w:val="24"/>
        </w:rPr>
        <w:tab/>
        <w:t xml:space="preserve">Les résultats </w:t>
      </w:r>
      <w:r w:rsidRPr="002C5876">
        <w:t xml:space="preserve">doivent être </w:t>
      </w:r>
      <w:r w:rsidRPr="002C5876">
        <w:rPr>
          <w:color w:val="000000"/>
          <w:szCs w:val="24"/>
        </w:rPr>
        <w:t xml:space="preserve">calculés dans l’ordre indiqué au tableau A7/1. Tous les résultats applicables dans la colonne « Données de sortie » </w:t>
      </w:r>
      <w:r w:rsidRPr="002C5876">
        <w:t>doivent être enregistrés</w:t>
      </w:r>
      <w:r w:rsidRPr="002C5876">
        <w:rPr>
          <w:color w:val="000000"/>
          <w:szCs w:val="24"/>
        </w:rPr>
        <w:t>. La colonne « Processus » indique les paragraphes à appliquer pour les calculs ou contient des calculs additionnels.</w:t>
      </w:r>
    </w:p>
    <w:p w:rsidR="00E24DB7" w:rsidRPr="002C5876" w:rsidRDefault="00E24DB7" w:rsidP="00E24DB7">
      <w:pPr>
        <w:pStyle w:val="SingleTxtG"/>
        <w:ind w:left="2835"/>
        <w:rPr>
          <w:color w:val="000000"/>
          <w:szCs w:val="24"/>
        </w:rPr>
      </w:pPr>
      <w:r w:rsidRPr="002C5876">
        <w:rPr>
          <w:color w:val="000000"/>
          <w:szCs w:val="24"/>
        </w:rPr>
        <w:t>Dans ce même tableau, la nomenclature suivante est utilisée dans les équations et les résultats :</w:t>
      </w:r>
    </w:p>
    <w:p w:rsidR="00E24DB7" w:rsidRPr="002C5876" w:rsidRDefault="00E24DB7" w:rsidP="00E24DB7">
      <w:pPr>
        <w:pStyle w:val="SingleTxtG"/>
        <w:ind w:left="3402" w:hanging="567"/>
        <w:rPr>
          <w:szCs w:val="24"/>
        </w:rPr>
      </w:pPr>
      <w:r w:rsidRPr="002C5876">
        <w:rPr>
          <w:szCs w:val="24"/>
        </w:rPr>
        <w:t>c</w:t>
      </w:r>
      <w:r w:rsidRPr="002C5876">
        <w:rPr>
          <w:szCs w:val="24"/>
        </w:rPr>
        <w:tab/>
      </w:r>
      <w:r w:rsidRPr="002C5876">
        <w:rPr>
          <w:color w:val="000000"/>
          <w:szCs w:val="24"/>
        </w:rPr>
        <w:t xml:space="preserve">cycle </w:t>
      </w:r>
      <w:r w:rsidRPr="002C5876">
        <w:t xml:space="preserve">d’essai </w:t>
      </w:r>
      <w:r w:rsidRPr="002C5876">
        <w:rPr>
          <w:color w:val="000000"/>
          <w:szCs w:val="24"/>
        </w:rPr>
        <w:t>applicable complet</w:t>
      </w:r>
      <w:r w:rsidRPr="002C5876">
        <w:rPr>
          <w:szCs w:val="24"/>
        </w:rPr>
        <w:t> ;</w:t>
      </w:r>
    </w:p>
    <w:p w:rsidR="00E24DB7" w:rsidRPr="002C5876" w:rsidRDefault="00E24DB7" w:rsidP="00E24DB7">
      <w:pPr>
        <w:pStyle w:val="SingleTxtG"/>
        <w:ind w:left="3402" w:hanging="567"/>
        <w:rPr>
          <w:szCs w:val="24"/>
        </w:rPr>
      </w:pPr>
      <w:r w:rsidRPr="002C5876">
        <w:rPr>
          <w:szCs w:val="24"/>
        </w:rPr>
        <w:t>p</w:t>
      </w:r>
      <w:r w:rsidRPr="002C5876">
        <w:rPr>
          <w:szCs w:val="24"/>
        </w:rPr>
        <w:tab/>
      </w:r>
      <w:r w:rsidRPr="002C5876">
        <w:rPr>
          <w:color w:val="000000"/>
          <w:szCs w:val="24"/>
        </w:rPr>
        <w:t>toute phase du cycle applicable</w:t>
      </w:r>
      <w:r w:rsidRPr="002C5876">
        <w:rPr>
          <w:szCs w:val="24"/>
        </w:rPr>
        <w:t> ;</w:t>
      </w:r>
    </w:p>
    <w:p w:rsidR="00E24DB7" w:rsidRPr="002C5876" w:rsidRDefault="00E24DB7" w:rsidP="00E24DB7">
      <w:pPr>
        <w:pStyle w:val="SingleTxtG"/>
        <w:ind w:left="3402" w:hanging="567"/>
        <w:rPr>
          <w:szCs w:val="24"/>
        </w:rPr>
      </w:pPr>
      <w:r w:rsidRPr="002C5876">
        <w:rPr>
          <w:szCs w:val="24"/>
        </w:rPr>
        <w:t>i</w:t>
      </w:r>
      <w:r w:rsidRPr="002C5876">
        <w:rPr>
          <w:szCs w:val="24"/>
        </w:rPr>
        <w:tab/>
      </w:r>
      <w:r w:rsidRPr="002C5876">
        <w:rPr>
          <w:color w:val="000000"/>
          <w:szCs w:val="24"/>
        </w:rPr>
        <w:t>constituants d’émissions critères applicables (sauf CO</w:t>
      </w:r>
      <w:r w:rsidRPr="002C5876">
        <w:rPr>
          <w:color w:val="000000"/>
          <w:szCs w:val="24"/>
          <w:vertAlign w:val="subscript"/>
        </w:rPr>
        <w:t>2</w:t>
      </w:r>
      <w:r w:rsidRPr="002C5876">
        <w:rPr>
          <w:color w:val="000000"/>
          <w:szCs w:val="24"/>
        </w:rPr>
        <w:t>)</w:t>
      </w:r>
      <w:r w:rsidRPr="002C5876">
        <w:rPr>
          <w:szCs w:val="24"/>
        </w:rPr>
        <w:t> ;</w:t>
      </w:r>
    </w:p>
    <w:p w:rsidR="00E24DB7" w:rsidRPr="002C5876" w:rsidRDefault="00E24DB7" w:rsidP="00E24DB7">
      <w:pPr>
        <w:pStyle w:val="SingleTxtG"/>
        <w:ind w:left="3402" w:hanging="567"/>
        <w:rPr>
          <w:szCs w:val="24"/>
        </w:rPr>
      </w:pPr>
      <w:r w:rsidRPr="002C5876">
        <w:rPr>
          <w:szCs w:val="24"/>
        </w:rPr>
        <w:t>CO</w:t>
      </w:r>
      <w:r w:rsidRPr="002C5876">
        <w:rPr>
          <w:szCs w:val="24"/>
          <w:vertAlign w:val="subscript"/>
        </w:rPr>
        <w:t>2</w:t>
      </w:r>
      <w:r w:rsidRPr="002C5876">
        <w:rPr>
          <w:szCs w:val="24"/>
        </w:rPr>
        <w:tab/>
        <w:t>émissions de CO</w:t>
      </w:r>
      <w:r w:rsidRPr="002C5876">
        <w:rPr>
          <w:szCs w:val="24"/>
          <w:vertAlign w:val="subscript"/>
        </w:rPr>
        <w:t>2</w:t>
      </w:r>
      <w:r w:rsidRPr="002C5876">
        <w:rPr>
          <w:szCs w:val="24"/>
        </w:rPr>
        <w:t>.</w:t>
      </w:r>
    </w:p>
    <w:p w:rsidR="00E24DB7" w:rsidRPr="002C5876" w:rsidRDefault="00E24DB7" w:rsidP="00E24DB7">
      <w:pPr>
        <w:pStyle w:val="H23G"/>
        <w:ind w:left="0" w:firstLine="0"/>
      </w:pPr>
      <w:r w:rsidRPr="002C5876">
        <w:rPr>
          <w:b w:val="0"/>
        </w:rPr>
        <w:lastRenderedPageBreak/>
        <w:t>Tableau A7/1</w:t>
      </w:r>
      <w:r w:rsidRPr="002C5876">
        <w:rPr>
          <w:b w:val="0"/>
        </w:rPr>
        <w:br/>
      </w:r>
      <w:r w:rsidRPr="002C5876">
        <w:t>Procédure de calcul des résultats d’essai finals</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29"/>
        <w:gridCol w:w="1498"/>
        <w:gridCol w:w="3519"/>
        <w:gridCol w:w="1498"/>
        <w:gridCol w:w="1495"/>
        <w:gridCol w:w="6"/>
      </w:tblGrid>
      <w:tr w:rsidR="00E24DB7" w:rsidRPr="002C5876" w:rsidTr="00E24DB7">
        <w:trPr>
          <w:gridAfter w:val="1"/>
          <w:wAfter w:w="6" w:type="dxa"/>
          <w:tblHeader/>
        </w:trPr>
        <w:tc>
          <w:tcPr>
            <w:tcW w:w="1629" w:type="dxa"/>
            <w:tcBorders>
              <w:bottom w:val="single" w:sz="12" w:space="0" w:color="auto"/>
            </w:tcBorders>
            <w:vAlign w:val="bottom"/>
          </w:tcPr>
          <w:p w:rsidR="00E24DB7" w:rsidRPr="002C5876" w:rsidRDefault="00E24DB7" w:rsidP="00E24DB7">
            <w:pPr>
              <w:keepNext/>
              <w:keepLines/>
              <w:spacing w:before="80" w:after="80" w:line="200" w:lineRule="exact"/>
              <w:ind w:left="57" w:right="57"/>
              <w:rPr>
                <w:i/>
                <w:sz w:val="16"/>
                <w:szCs w:val="16"/>
              </w:rPr>
            </w:pPr>
            <w:r w:rsidRPr="002C5876">
              <w:rPr>
                <w:i/>
                <w:sz w:val="16"/>
                <w:szCs w:val="16"/>
              </w:rPr>
              <w:t>Source</w:t>
            </w:r>
          </w:p>
        </w:tc>
        <w:tc>
          <w:tcPr>
            <w:tcW w:w="1498" w:type="dxa"/>
            <w:tcBorders>
              <w:bottom w:val="single" w:sz="12" w:space="0" w:color="auto"/>
            </w:tcBorders>
            <w:vAlign w:val="bottom"/>
          </w:tcPr>
          <w:p w:rsidR="00E24DB7" w:rsidRPr="002C5876" w:rsidRDefault="00E24DB7" w:rsidP="00E24DB7">
            <w:pPr>
              <w:keepNext/>
              <w:keepLines/>
              <w:spacing w:before="80" w:after="80" w:line="200" w:lineRule="exact"/>
              <w:ind w:left="57" w:right="57"/>
              <w:rPr>
                <w:i/>
                <w:sz w:val="16"/>
                <w:szCs w:val="16"/>
              </w:rPr>
            </w:pPr>
            <w:r w:rsidRPr="002C5876">
              <w:rPr>
                <w:i/>
                <w:sz w:val="16"/>
                <w:szCs w:val="16"/>
              </w:rPr>
              <w:t>Données d’entrée</w:t>
            </w:r>
          </w:p>
        </w:tc>
        <w:tc>
          <w:tcPr>
            <w:tcW w:w="3519" w:type="dxa"/>
            <w:tcBorders>
              <w:bottom w:val="single" w:sz="12" w:space="0" w:color="auto"/>
            </w:tcBorders>
            <w:vAlign w:val="bottom"/>
          </w:tcPr>
          <w:p w:rsidR="00E24DB7" w:rsidRPr="002C5876" w:rsidRDefault="00E24DB7" w:rsidP="00E24DB7">
            <w:pPr>
              <w:keepNext/>
              <w:keepLines/>
              <w:spacing w:before="80" w:after="80" w:line="200" w:lineRule="exact"/>
              <w:ind w:left="57" w:right="57"/>
              <w:rPr>
                <w:i/>
                <w:sz w:val="16"/>
                <w:szCs w:val="16"/>
              </w:rPr>
            </w:pPr>
            <w:r w:rsidRPr="002C5876">
              <w:rPr>
                <w:i/>
                <w:sz w:val="16"/>
                <w:szCs w:val="16"/>
              </w:rPr>
              <w:t>Processus</w:t>
            </w:r>
          </w:p>
        </w:tc>
        <w:tc>
          <w:tcPr>
            <w:tcW w:w="1498" w:type="dxa"/>
            <w:tcBorders>
              <w:bottom w:val="single" w:sz="12" w:space="0" w:color="auto"/>
            </w:tcBorders>
            <w:vAlign w:val="bottom"/>
          </w:tcPr>
          <w:p w:rsidR="00E24DB7" w:rsidRPr="002C5876" w:rsidRDefault="00E24DB7" w:rsidP="00E24DB7">
            <w:pPr>
              <w:keepNext/>
              <w:keepLines/>
              <w:spacing w:before="80" w:after="80" w:line="200" w:lineRule="exact"/>
              <w:ind w:left="57" w:right="57"/>
              <w:rPr>
                <w:i/>
                <w:sz w:val="16"/>
                <w:szCs w:val="16"/>
              </w:rPr>
            </w:pPr>
            <w:r w:rsidRPr="002C5876">
              <w:rPr>
                <w:i/>
                <w:sz w:val="16"/>
                <w:szCs w:val="16"/>
              </w:rPr>
              <w:t>Données de sortie</w:t>
            </w:r>
          </w:p>
        </w:tc>
        <w:tc>
          <w:tcPr>
            <w:tcW w:w="1495" w:type="dxa"/>
            <w:tcBorders>
              <w:bottom w:val="single" w:sz="12" w:space="0" w:color="auto"/>
            </w:tcBorders>
            <w:vAlign w:val="bottom"/>
          </w:tcPr>
          <w:p w:rsidR="00E24DB7" w:rsidRPr="002C5876" w:rsidRDefault="00E24DB7" w:rsidP="00E24DB7">
            <w:pPr>
              <w:keepNext/>
              <w:keepLines/>
              <w:spacing w:before="80" w:after="80" w:line="200" w:lineRule="exact"/>
              <w:ind w:left="57" w:right="57"/>
              <w:rPr>
                <w:i/>
                <w:sz w:val="16"/>
                <w:szCs w:val="16"/>
              </w:rPr>
            </w:pPr>
            <w:r w:rsidRPr="002C5876">
              <w:rPr>
                <w:i/>
                <w:sz w:val="16"/>
                <w:szCs w:val="16"/>
              </w:rPr>
              <w:t>Étape n</w:t>
            </w:r>
            <w:r w:rsidRPr="002C5876">
              <w:rPr>
                <w:i/>
                <w:sz w:val="16"/>
                <w:szCs w:val="16"/>
                <w:vertAlign w:val="superscript"/>
              </w:rPr>
              <w:t>o</w:t>
            </w:r>
          </w:p>
        </w:tc>
      </w:tr>
      <w:tr w:rsidR="00E24DB7" w:rsidRPr="002C5876" w:rsidTr="00E24DB7">
        <w:trPr>
          <w:gridAfter w:val="1"/>
          <w:wAfter w:w="6" w:type="dxa"/>
        </w:trPr>
        <w:tc>
          <w:tcPr>
            <w:tcW w:w="1629" w:type="dxa"/>
            <w:tcBorders>
              <w:top w:val="single" w:sz="12" w:space="0" w:color="auto"/>
            </w:tcBorders>
          </w:tcPr>
          <w:p w:rsidR="00E24DB7" w:rsidRPr="002C5876" w:rsidRDefault="00E24DB7" w:rsidP="00E24DB7">
            <w:pPr>
              <w:keepNext/>
              <w:keepLines/>
              <w:spacing w:before="60" w:after="60" w:line="220" w:lineRule="atLeast"/>
              <w:ind w:left="57" w:right="57"/>
              <w:rPr>
                <w:sz w:val="18"/>
                <w:szCs w:val="18"/>
              </w:rPr>
            </w:pPr>
            <w:r w:rsidRPr="002C5876">
              <w:rPr>
                <w:sz w:val="18"/>
                <w:szCs w:val="18"/>
              </w:rPr>
              <w:t>Annexe 6</w:t>
            </w:r>
          </w:p>
        </w:tc>
        <w:tc>
          <w:tcPr>
            <w:tcW w:w="1498" w:type="dxa"/>
            <w:tcBorders>
              <w:top w:val="single" w:sz="12" w:space="0" w:color="auto"/>
            </w:tcBorders>
          </w:tcPr>
          <w:p w:rsidR="00E24DB7" w:rsidRPr="002C5876" w:rsidRDefault="00E24DB7" w:rsidP="00E24DB7">
            <w:pPr>
              <w:keepNext/>
              <w:keepLines/>
              <w:spacing w:before="60" w:after="60" w:line="220" w:lineRule="atLeast"/>
              <w:ind w:left="57" w:right="57"/>
              <w:rPr>
                <w:sz w:val="18"/>
                <w:szCs w:val="18"/>
              </w:rPr>
            </w:pPr>
            <w:r w:rsidRPr="002C5876">
              <w:rPr>
                <w:sz w:val="18"/>
                <w:szCs w:val="18"/>
              </w:rPr>
              <w:t>Résultats d’essais bruts</w:t>
            </w:r>
          </w:p>
        </w:tc>
        <w:tc>
          <w:tcPr>
            <w:tcW w:w="3519" w:type="dxa"/>
            <w:tcBorders>
              <w:top w:val="single" w:sz="12" w:space="0" w:color="auto"/>
            </w:tcBorders>
          </w:tcPr>
          <w:p w:rsidR="00E24DB7" w:rsidRPr="002C5876" w:rsidRDefault="00E24DB7" w:rsidP="00E24DB7">
            <w:pPr>
              <w:keepNext/>
              <w:keepLines/>
              <w:spacing w:before="60" w:after="60" w:line="220" w:lineRule="atLeast"/>
              <w:ind w:left="57" w:right="57"/>
              <w:rPr>
                <w:sz w:val="18"/>
                <w:szCs w:val="18"/>
              </w:rPr>
            </w:pPr>
            <w:r w:rsidRPr="002C5876">
              <w:rPr>
                <w:sz w:val="18"/>
                <w:szCs w:val="18"/>
              </w:rPr>
              <w:t>Émissions</w:t>
            </w:r>
            <w:r w:rsidR="00D12C67" w:rsidRPr="002C5876">
              <w:rPr>
                <w:sz w:val="18"/>
                <w:szCs w:val="18"/>
              </w:rPr>
              <w:t> </w:t>
            </w:r>
            <w:r w:rsidRPr="002C5876">
              <w:rPr>
                <w:sz w:val="18"/>
                <w:szCs w:val="18"/>
              </w:rPr>
              <w:t>massiques</w:t>
            </w:r>
          </w:p>
          <w:p w:rsidR="00E24DB7" w:rsidRPr="002C5876" w:rsidRDefault="00E24DB7" w:rsidP="00E24DB7">
            <w:pPr>
              <w:keepNext/>
              <w:keepLines/>
              <w:spacing w:before="60" w:after="60" w:line="220" w:lineRule="atLeast"/>
              <w:ind w:left="57" w:right="57"/>
              <w:rPr>
                <w:sz w:val="18"/>
                <w:szCs w:val="18"/>
              </w:rPr>
            </w:pPr>
            <w:r w:rsidRPr="002C5876">
              <w:rPr>
                <w:sz w:val="18"/>
                <w:szCs w:val="18"/>
              </w:rPr>
              <w:t>Par. 3 à 3.2.2 de la présente annexe</w:t>
            </w:r>
          </w:p>
        </w:tc>
        <w:tc>
          <w:tcPr>
            <w:tcW w:w="1498" w:type="dxa"/>
            <w:tcBorders>
              <w:top w:val="single" w:sz="12" w:space="0" w:color="auto"/>
            </w:tcBorders>
          </w:tcPr>
          <w:p w:rsidR="00E24DB7" w:rsidRPr="00D53F39" w:rsidRDefault="00E24DB7" w:rsidP="00E24DB7">
            <w:pPr>
              <w:keepNext/>
              <w:keepLines/>
              <w:spacing w:before="60" w:after="60" w:line="220" w:lineRule="atLeast"/>
              <w:ind w:left="57" w:right="57"/>
              <w:rPr>
                <w:sz w:val="18"/>
                <w:szCs w:val="18"/>
                <w:lang w:val="es-ES"/>
              </w:rPr>
            </w:pPr>
            <w:r w:rsidRPr="00D53F39">
              <w:rPr>
                <w:sz w:val="18"/>
                <w:szCs w:val="18"/>
                <w:lang w:val="es-ES"/>
              </w:rPr>
              <w:t>M</w:t>
            </w:r>
            <w:r w:rsidRPr="00D53F39">
              <w:rPr>
                <w:sz w:val="18"/>
                <w:szCs w:val="18"/>
                <w:vertAlign w:val="subscript"/>
                <w:lang w:val="es-ES"/>
              </w:rPr>
              <w:t>i,p,1</w:t>
            </w:r>
            <w:r w:rsidRPr="00D53F39">
              <w:rPr>
                <w:sz w:val="18"/>
                <w:szCs w:val="18"/>
                <w:lang w:val="es-ES"/>
              </w:rPr>
              <w:t>, g/km</w:t>
            </w:r>
          </w:p>
          <w:p w:rsidR="00E24DB7" w:rsidRPr="00D53F39" w:rsidRDefault="00E24DB7" w:rsidP="00E24DB7">
            <w:pPr>
              <w:keepNext/>
              <w:keepLines/>
              <w:spacing w:before="60" w:after="60" w:line="220" w:lineRule="atLeast"/>
              <w:ind w:left="57" w:right="57"/>
              <w:rPr>
                <w:sz w:val="18"/>
                <w:szCs w:val="18"/>
                <w:lang w:val="es-ES"/>
              </w:rPr>
            </w:pPr>
            <w:r w:rsidRPr="00D53F39">
              <w:rPr>
                <w:sz w:val="18"/>
                <w:szCs w:val="18"/>
                <w:lang w:val="es-ES"/>
              </w:rPr>
              <w:t>M</w:t>
            </w:r>
            <w:r w:rsidRPr="00D53F39">
              <w:rPr>
                <w:sz w:val="18"/>
                <w:szCs w:val="18"/>
                <w:vertAlign w:val="subscript"/>
                <w:lang w:val="es-ES"/>
              </w:rPr>
              <w:t>CO2,p,1</w:t>
            </w:r>
            <w:r w:rsidRPr="00D53F39">
              <w:rPr>
                <w:sz w:val="18"/>
                <w:szCs w:val="18"/>
                <w:lang w:val="es-ES"/>
              </w:rPr>
              <w:t>, g/km</w:t>
            </w:r>
          </w:p>
        </w:tc>
        <w:tc>
          <w:tcPr>
            <w:tcW w:w="1495" w:type="dxa"/>
            <w:tcBorders>
              <w:top w:val="single" w:sz="12" w:space="0" w:color="auto"/>
            </w:tcBorders>
          </w:tcPr>
          <w:p w:rsidR="00E24DB7" w:rsidRPr="002C5876" w:rsidRDefault="00E24DB7" w:rsidP="00E24DB7">
            <w:pPr>
              <w:keepNext/>
              <w:keepLines/>
              <w:spacing w:before="60" w:after="60" w:line="220" w:lineRule="atLeast"/>
              <w:ind w:left="57" w:right="57"/>
              <w:rPr>
                <w:sz w:val="18"/>
                <w:szCs w:val="18"/>
              </w:rPr>
            </w:pPr>
            <w:r w:rsidRPr="002C5876">
              <w:rPr>
                <w:sz w:val="18"/>
                <w:szCs w:val="18"/>
              </w:rPr>
              <w:t>1</w:t>
            </w:r>
          </w:p>
        </w:tc>
      </w:tr>
      <w:tr w:rsidR="00E24DB7" w:rsidRPr="002C5876" w:rsidTr="00E24DB7">
        <w:trPr>
          <w:gridAfter w:val="1"/>
          <w:wAfter w:w="6" w:type="dxa"/>
        </w:trPr>
        <w:tc>
          <w:tcPr>
            <w:tcW w:w="1629" w:type="dxa"/>
          </w:tcPr>
          <w:p w:rsidR="00E24DB7" w:rsidRPr="002C5876" w:rsidRDefault="00E24DB7" w:rsidP="00E24DB7">
            <w:pPr>
              <w:keepNext/>
              <w:keepLines/>
              <w:spacing w:before="60" w:after="60" w:line="220" w:lineRule="atLeast"/>
              <w:ind w:left="57" w:right="57"/>
              <w:rPr>
                <w:sz w:val="18"/>
                <w:szCs w:val="18"/>
              </w:rPr>
            </w:pPr>
            <w:r w:rsidRPr="002C5876">
              <w:rPr>
                <w:sz w:val="18"/>
                <w:szCs w:val="18"/>
              </w:rPr>
              <w:t>Sortie de l’étape 1</w:t>
            </w:r>
          </w:p>
        </w:tc>
        <w:tc>
          <w:tcPr>
            <w:tcW w:w="1498" w:type="dxa"/>
          </w:tcPr>
          <w:p w:rsidR="00E24DB7" w:rsidRPr="00D53F39" w:rsidRDefault="00E24DB7" w:rsidP="00E24DB7">
            <w:pPr>
              <w:keepNext/>
              <w:keepLines/>
              <w:spacing w:before="60" w:after="60" w:line="220" w:lineRule="atLeast"/>
              <w:ind w:left="57" w:right="57"/>
              <w:rPr>
                <w:sz w:val="18"/>
                <w:szCs w:val="18"/>
                <w:lang w:val="es-ES"/>
              </w:rPr>
            </w:pPr>
            <w:r w:rsidRPr="00D53F39">
              <w:rPr>
                <w:sz w:val="18"/>
                <w:szCs w:val="18"/>
                <w:lang w:val="es-ES"/>
              </w:rPr>
              <w:t>M</w:t>
            </w:r>
            <w:r w:rsidRPr="00D53F39">
              <w:rPr>
                <w:sz w:val="18"/>
                <w:szCs w:val="18"/>
                <w:vertAlign w:val="subscript"/>
                <w:lang w:val="es-ES"/>
              </w:rPr>
              <w:t>i,p,1</w:t>
            </w:r>
            <w:r w:rsidRPr="00D53F39">
              <w:rPr>
                <w:sz w:val="18"/>
                <w:szCs w:val="18"/>
                <w:lang w:val="es-ES"/>
              </w:rPr>
              <w:t>, g/km</w:t>
            </w:r>
          </w:p>
          <w:p w:rsidR="00E24DB7" w:rsidRPr="00D53F39" w:rsidRDefault="00E24DB7" w:rsidP="00E24DB7">
            <w:pPr>
              <w:keepNext/>
              <w:keepLines/>
              <w:spacing w:before="60" w:after="60" w:line="220" w:lineRule="atLeast"/>
              <w:ind w:left="57" w:right="57"/>
              <w:rPr>
                <w:sz w:val="18"/>
                <w:szCs w:val="18"/>
                <w:lang w:val="es-ES"/>
              </w:rPr>
            </w:pPr>
            <w:r w:rsidRPr="00D53F39">
              <w:rPr>
                <w:sz w:val="18"/>
                <w:szCs w:val="18"/>
                <w:lang w:val="es-ES"/>
              </w:rPr>
              <w:t>M</w:t>
            </w:r>
            <w:r w:rsidRPr="00D53F39">
              <w:rPr>
                <w:sz w:val="18"/>
                <w:szCs w:val="18"/>
                <w:vertAlign w:val="subscript"/>
                <w:lang w:val="es-ES"/>
              </w:rPr>
              <w:t>CO2,p,1</w:t>
            </w:r>
            <w:r w:rsidRPr="00D53F39">
              <w:rPr>
                <w:sz w:val="18"/>
                <w:szCs w:val="18"/>
                <w:lang w:val="es-ES"/>
              </w:rPr>
              <w:t>, g/km</w:t>
            </w:r>
          </w:p>
        </w:tc>
        <w:tc>
          <w:tcPr>
            <w:tcW w:w="3519" w:type="dxa"/>
          </w:tcPr>
          <w:p w:rsidR="00E24DB7" w:rsidRPr="002C5876" w:rsidRDefault="00E24DB7" w:rsidP="00E24DB7">
            <w:pPr>
              <w:keepNext/>
              <w:keepLines/>
              <w:spacing w:before="60" w:after="60" w:line="220" w:lineRule="atLeast"/>
              <w:ind w:left="57" w:right="57"/>
              <w:rPr>
                <w:sz w:val="18"/>
                <w:szCs w:val="18"/>
              </w:rPr>
            </w:pPr>
            <w:r w:rsidRPr="002C5876">
              <w:rPr>
                <w:sz w:val="18"/>
                <w:szCs w:val="18"/>
              </w:rPr>
              <w:t>Calcul des valeurs combinées sur le cycle :</w:t>
            </w:r>
          </w:p>
          <w:p w:rsidR="00E24DB7" w:rsidRPr="002C5876" w:rsidRDefault="00E24DB7" w:rsidP="00E24DB7">
            <w:pPr>
              <w:keepNext/>
              <w:keepLines/>
              <w:spacing w:before="60" w:after="60" w:line="220" w:lineRule="atLeast"/>
              <w:ind w:left="57" w:right="57"/>
              <w:rPr>
                <w:sz w:val="18"/>
                <w:szCs w:val="18"/>
              </w:rPr>
            </w:pPr>
            <w:r w:rsidRPr="002C5876">
              <w:rPr>
                <w:noProof/>
                <w:position w:val="-38"/>
                <w:sz w:val="18"/>
                <w:szCs w:val="18"/>
                <w:lang w:val="en-GB" w:eastAsia="zh-CN"/>
              </w:rPr>
              <w:drawing>
                <wp:inline distT="0" distB="0" distL="0" distR="0" wp14:anchorId="78192A6C" wp14:editId="787D5E54">
                  <wp:extent cx="1343025" cy="552450"/>
                  <wp:effectExtent l="0" t="0" r="9525" b="0"/>
                  <wp:docPr id="802" name="Imag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43025" cy="552450"/>
                          </a:xfrm>
                          <a:prstGeom prst="rect">
                            <a:avLst/>
                          </a:prstGeom>
                          <a:noFill/>
                          <a:ln>
                            <a:noFill/>
                          </a:ln>
                        </pic:spPr>
                      </pic:pic>
                    </a:graphicData>
                  </a:graphic>
                </wp:inline>
              </w:drawing>
            </w:r>
          </w:p>
          <w:p w:rsidR="00E24DB7" w:rsidRPr="002C5876" w:rsidRDefault="00E24DB7" w:rsidP="00E24DB7">
            <w:pPr>
              <w:keepNext/>
              <w:keepLines/>
              <w:spacing w:before="60" w:after="60" w:line="220" w:lineRule="atLeast"/>
              <w:ind w:left="57" w:right="57"/>
              <w:rPr>
                <w:sz w:val="18"/>
                <w:szCs w:val="18"/>
              </w:rPr>
            </w:pPr>
            <w:r w:rsidRPr="002C5876">
              <w:rPr>
                <w:noProof/>
                <w:position w:val="-36"/>
                <w:sz w:val="18"/>
                <w:szCs w:val="18"/>
                <w:lang w:val="en-GB" w:eastAsia="zh-CN"/>
              </w:rPr>
              <w:drawing>
                <wp:inline distT="0" distB="0" distL="0" distR="0" wp14:anchorId="7C98A856" wp14:editId="077ED3C5">
                  <wp:extent cx="1657350" cy="533400"/>
                  <wp:effectExtent l="0" t="0" r="0" b="0"/>
                  <wp:docPr id="803" name="Imag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657350" cy="533400"/>
                          </a:xfrm>
                          <a:prstGeom prst="rect">
                            <a:avLst/>
                          </a:prstGeom>
                          <a:noFill/>
                          <a:ln>
                            <a:noFill/>
                          </a:ln>
                        </pic:spPr>
                      </pic:pic>
                    </a:graphicData>
                  </a:graphic>
                </wp:inline>
              </w:drawing>
            </w:r>
          </w:p>
          <w:p w:rsidR="00E24DB7" w:rsidRPr="002C5876" w:rsidRDefault="00E24DB7" w:rsidP="00E24DB7">
            <w:pPr>
              <w:keepNext/>
              <w:keepLines/>
              <w:spacing w:before="60" w:after="60" w:line="220" w:lineRule="atLeast"/>
              <w:ind w:left="57" w:right="57"/>
              <w:rPr>
                <w:sz w:val="18"/>
                <w:szCs w:val="18"/>
              </w:rPr>
            </w:pPr>
            <w:r w:rsidRPr="002C5876">
              <w:rPr>
                <w:sz w:val="18"/>
                <w:szCs w:val="18"/>
              </w:rPr>
              <w:t>où :</w:t>
            </w:r>
          </w:p>
          <w:p w:rsidR="00E24DB7" w:rsidRPr="002C5876" w:rsidRDefault="00E24DB7" w:rsidP="00E24DB7">
            <w:pPr>
              <w:keepNext/>
              <w:keepLines/>
              <w:spacing w:before="60" w:after="60" w:line="220" w:lineRule="atLeast"/>
              <w:ind w:left="57" w:right="57"/>
              <w:rPr>
                <w:sz w:val="18"/>
                <w:szCs w:val="18"/>
              </w:rPr>
            </w:pPr>
            <w:r w:rsidRPr="002C5876">
              <w:rPr>
                <w:sz w:val="18"/>
                <w:szCs w:val="18"/>
              </w:rPr>
              <w:t>M</w:t>
            </w:r>
            <w:r w:rsidRPr="002C5876">
              <w:rPr>
                <w:sz w:val="18"/>
                <w:szCs w:val="18"/>
                <w:vertAlign w:val="subscript"/>
              </w:rPr>
              <w:t xml:space="preserve">i/CO2,c,2 </w:t>
            </w:r>
            <w:r w:rsidRPr="002C5876">
              <w:rPr>
                <w:sz w:val="18"/>
                <w:szCs w:val="18"/>
              </w:rPr>
              <w:t>sont les résultats d’émissions sur le cycle total ;</w:t>
            </w:r>
          </w:p>
          <w:p w:rsidR="00E24DB7" w:rsidRPr="002C5876" w:rsidRDefault="00E24DB7" w:rsidP="00E24DB7">
            <w:pPr>
              <w:keepNext/>
              <w:keepLines/>
              <w:spacing w:before="60" w:after="60" w:line="220" w:lineRule="atLeast"/>
              <w:ind w:left="57" w:right="57"/>
              <w:rPr>
                <w:sz w:val="18"/>
                <w:szCs w:val="18"/>
              </w:rPr>
            </w:pPr>
            <w:r w:rsidRPr="002C5876">
              <w:rPr>
                <w:sz w:val="18"/>
                <w:szCs w:val="18"/>
              </w:rPr>
              <w:t>d</w:t>
            </w:r>
            <w:r w:rsidRPr="002C5876">
              <w:rPr>
                <w:sz w:val="18"/>
                <w:szCs w:val="18"/>
                <w:vertAlign w:val="subscript"/>
              </w:rPr>
              <w:t>p</w:t>
            </w:r>
            <w:r w:rsidRPr="002C5876">
              <w:rPr>
                <w:sz w:val="18"/>
                <w:szCs w:val="18"/>
              </w:rPr>
              <w:t xml:space="preserve"> représente les distances parcourues sur les phases du cycle p.</w:t>
            </w:r>
          </w:p>
        </w:tc>
        <w:tc>
          <w:tcPr>
            <w:tcW w:w="1498" w:type="dxa"/>
          </w:tcPr>
          <w:p w:rsidR="00E24DB7" w:rsidRPr="00D53F39" w:rsidRDefault="00E24DB7" w:rsidP="00E24DB7">
            <w:pPr>
              <w:keepNext/>
              <w:keepLines/>
              <w:spacing w:before="60" w:after="60" w:line="220" w:lineRule="atLeast"/>
              <w:ind w:left="57" w:right="57"/>
              <w:rPr>
                <w:sz w:val="18"/>
                <w:szCs w:val="18"/>
                <w:lang w:val="es-ES"/>
              </w:rPr>
            </w:pPr>
            <w:r w:rsidRPr="00D53F39">
              <w:rPr>
                <w:sz w:val="18"/>
                <w:szCs w:val="18"/>
                <w:lang w:val="es-ES"/>
              </w:rPr>
              <w:t>M</w:t>
            </w:r>
            <w:r w:rsidRPr="00D53F39">
              <w:rPr>
                <w:sz w:val="18"/>
                <w:szCs w:val="18"/>
                <w:vertAlign w:val="subscript"/>
                <w:lang w:val="es-ES"/>
              </w:rPr>
              <w:t>i,c,2</w:t>
            </w:r>
            <w:r w:rsidRPr="00D53F39">
              <w:rPr>
                <w:sz w:val="18"/>
                <w:szCs w:val="18"/>
                <w:lang w:val="es-ES"/>
              </w:rPr>
              <w:t>, g/km</w:t>
            </w:r>
          </w:p>
          <w:p w:rsidR="00E24DB7" w:rsidRPr="00D53F39" w:rsidRDefault="00E24DB7" w:rsidP="00E24DB7">
            <w:pPr>
              <w:keepNext/>
              <w:keepLines/>
              <w:spacing w:before="60" w:after="60" w:line="220" w:lineRule="atLeast"/>
              <w:ind w:left="57" w:right="57"/>
              <w:rPr>
                <w:sz w:val="18"/>
                <w:szCs w:val="18"/>
                <w:lang w:val="es-ES"/>
              </w:rPr>
            </w:pPr>
            <w:r w:rsidRPr="00D53F39">
              <w:rPr>
                <w:sz w:val="18"/>
                <w:szCs w:val="18"/>
                <w:lang w:val="es-ES"/>
              </w:rPr>
              <w:t>M</w:t>
            </w:r>
            <w:r w:rsidRPr="00D53F39">
              <w:rPr>
                <w:sz w:val="18"/>
                <w:szCs w:val="18"/>
                <w:vertAlign w:val="subscript"/>
                <w:lang w:val="es-ES"/>
              </w:rPr>
              <w:t>CO2,c,2</w:t>
            </w:r>
            <w:r w:rsidRPr="00D53F39">
              <w:rPr>
                <w:sz w:val="18"/>
                <w:szCs w:val="18"/>
                <w:lang w:val="es-ES"/>
              </w:rPr>
              <w:t>, g/km</w:t>
            </w:r>
          </w:p>
        </w:tc>
        <w:tc>
          <w:tcPr>
            <w:tcW w:w="1495" w:type="dxa"/>
          </w:tcPr>
          <w:p w:rsidR="00E24DB7" w:rsidRPr="002C5876" w:rsidRDefault="00E24DB7" w:rsidP="00E24DB7">
            <w:pPr>
              <w:keepNext/>
              <w:keepLines/>
              <w:spacing w:before="60" w:after="60" w:line="220" w:lineRule="atLeast"/>
              <w:ind w:left="57" w:right="57"/>
              <w:rPr>
                <w:sz w:val="18"/>
                <w:szCs w:val="18"/>
              </w:rPr>
            </w:pPr>
            <w:r w:rsidRPr="002C5876">
              <w:rPr>
                <w:sz w:val="18"/>
                <w:szCs w:val="18"/>
              </w:rPr>
              <w:t>2</w:t>
            </w:r>
          </w:p>
        </w:tc>
      </w:tr>
      <w:tr w:rsidR="00E24DB7" w:rsidRPr="002C5876" w:rsidTr="00E24DB7">
        <w:trPr>
          <w:gridAfter w:val="1"/>
          <w:wAfter w:w="6" w:type="dxa"/>
        </w:trPr>
        <w:tc>
          <w:tcPr>
            <w:tcW w:w="1629" w:type="dxa"/>
          </w:tcPr>
          <w:p w:rsidR="00E24DB7" w:rsidRPr="002C5876" w:rsidRDefault="00E24DB7" w:rsidP="00E24DB7">
            <w:pPr>
              <w:keepNext/>
              <w:keepLines/>
              <w:spacing w:before="60" w:after="60" w:line="220" w:lineRule="atLeast"/>
              <w:ind w:left="57" w:right="57"/>
              <w:rPr>
                <w:sz w:val="18"/>
                <w:szCs w:val="18"/>
              </w:rPr>
            </w:pPr>
            <w:r w:rsidRPr="002C5876">
              <w:rPr>
                <w:sz w:val="18"/>
                <w:szCs w:val="18"/>
              </w:rPr>
              <w:t>Sortie des étapes 1 et 2</w:t>
            </w:r>
          </w:p>
        </w:tc>
        <w:tc>
          <w:tcPr>
            <w:tcW w:w="1498" w:type="dxa"/>
          </w:tcPr>
          <w:p w:rsidR="00E24DB7" w:rsidRPr="002C5876" w:rsidRDefault="00E24DB7" w:rsidP="00E24DB7">
            <w:pPr>
              <w:keepNext/>
              <w:keepLines/>
              <w:spacing w:before="60" w:after="60" w:line="220" w:lineRule="atLeast"/>
              <w:ind w:left="57" w:right="57"/>
              <w:rPr>
                <w:sz w:val="18"/>
                <w:szCs w:val="18"/>
              </w:rPr>
            </w:pPr>
            <w:r w:rsidRPr="002C5876">
              <w:rPr>
                <w:sz w:val="18"/>
                <w:szCs w:val="18"/>
              </w:rPr>
              <w:t>M</w:t>
            </w:r>
            <w:r w:rsidRPr="002C5876">
              <w:rPr>
                <w:sz w:val="18"/>
                <w:szCs w:val="18"/>
                <w:vertAlign w:val="subscript"/>
              </w:rPr>
              <w:t>CO2,p,1</w:t>
            </w:r>
            <w:r w:rsidRPr="002C5876">
              <w:rPr>
                <w:sz w:val="18"/>
                <w:szCs w:val="18"/>
              </w:rPr>
              <w:t>, g/km</w:t>
            </w:r>
          </w:p>
          <w:p w:rsidR="00E24DB7" w:rsidRPr="002C5876" w:rsidRDefault="00E24DB7" w:rsidP="00E24DB7">
            <w:pPr>
              <w:keepNext/>
              <w:keepLines/>
              <w:spacing w:before="60" w:after="60" w:line="220" w:lineRule="atLeast"/>
              <w:ind w:left="57" w:right="57"/>
              <w:rPr>
                <w:sz w:val="18"/>
                <w:szCs w:val="18"/>
              </w:rPr>
            </w:pPr>
            <w:r w:rsidRPr="002C5876">
              <w:rPr>
                <w:sz w:val="18"/>
                <w:szCs w:val="18"/>
              </w:rPr>
              <w:t>M</w:t>
            </w:r>
            <w:r w:rsidRPr="002C5876">
              <w:rPr>
                <w:sz w:val="18"/>
                <w:szCs w:val="18"/>
                <w:vertAlign w:val="subscript"/>
              </w:rPr>
              <w:t>CO2,c,2</w:t>
            </w:r>
            <w:r w:rsidRPr="002C5876">
              <w:rPr>
                <w:sz w:val="18"/>
                <w:szCs w:val="18"/>
              </w:rPr>
              <w:t>, g/km</w:t>
            </w:r>
          </w:p>
        </w:tc>
        <w:tc>
          <w:tcPr>
            <w:tcW w:w="3519" w:type="dxa"/>
          </w:tcPr>
          <w:p w:rsidR="00E24DB7" w:rsidRPr="002C5876" w:rsidRDefault="00E24DB7" w:rsidP="00E24DB7">
            <w:pPr>
              <w:keepNext/>
              <w:keepLines/>
              <w:spacing w:before="60" w:after="60" w:line="220" w:lineRule="atLeast"/>
              <w:ind w:left="57" w:right="57"/>
              <w:rPr>
                <w:sz w:val="18"/>
                <w:szCs w:val="18"/>
              </w:rPr>
            </w:pPr>
            <w:r w:rsidRPr="002C5876">
              <w:rPr>
                <w:sz w:val="18"/>
                <w:szCs w:val="18"/>
              </w:rPr>
              <w:t>Correction du RCB</w:t>
            </w:r>
          </w:p>
          <w:p w:rsidR="00E24DB7" w:rsidRPr="002C5876" w:rsidRDefault="00E24DB7" w:rsidP="00E24DB7">
            <w:pPr>
              <w:keepNext/>
              <w:keepLines/>
              <w:spacing w:before="60" w:after="60" w:line="220" w:lineRule="atLeast"/>
              <w:ind w:left="57" w:right="57"/>
              <w:rPr>
                <w:sz w:val="18"/>
                <w:szCs w:val="18"/>
              </w:rPr>
            </w:pPr>
            <w:r w:rsidRPr="002C5876">
              <w:rPr>
                <w:sz w:val="18"/>
                <w:szCs w:val="18"/>
              </w:rPr>
              <w:t>Appendice 2 de l’annexe 6</w:t>
            </w:r>
          </w:p>
        </w:tc>
        <w:tc>
          <w:tcPr>
            <w:tcW w:w="1498" w:type="dxa"/>
          </w:tcPr>
          <w:p w:rsidR="00E24DB7" w:rsidRPr="002C5876" w:rsidRDefault="00E24DB7" w:rsidP="00E24DB7">
            <w:pPr>
              <w:keepNext/>
              <w:keepLines/>
              <w:spacing w:before="60" w:after="60" w:line="220" w:lineRule="atLeast"/>
              <w:ind w:left="57" w:right="57"/>
              <w:rPr>
                <w:sz w:val="18"/>
                <w:szCs w:val="18"/>
              </w:rPr>
            </w:pPr>
            <w:r w:rsidRPr="002C5876">
              <w:rPr>
                <w:sz w:val="18"/>
                <w:szCs w:val="18"/>
              </w:rPr>
              <w:t>M</w:t>
            </w:r>
            <w:r w:rsidRPr="002C5876">
              <w:rPr>
                <w:sz w:val="18"/>
                <w:szCs w:val="18"/>
                <w:vertAlign w:val="subscript"/>
              </w:rPr>
              <w:t>CO2,p,3</w:t>
            </w:r>
            <w:r w:rsidRPr="002C5876">
              <w:rPr>
                <w:sz w:val="18"/>
                <w:szCs w:val="18"/>
              </w:rPr>
              <w:t>, g/km</w:t>
            </w:r>
          </w:p>
          <w:p w:rsidR="00E24DB7" w:rsidRPr="002C5876" w:rsidRDefault="00E24DB7" w:rsidP="00E24DB7">
            <w:pPr>
              <w:keepNext/>
              <w:keepLines/>
              <w:spacing w:before="60" w:after="60" w:line="220" w:lineRule="atLeast"/>
              <w:ind w:left="57" w:right="57"/>
              <w:rPr>
                <w:sz w:val="18"/>
                <w:szCs w:val="18"/>
              </w:rPr>
            </w:pPr>
            <w:r w:rsidRPr="002C5876">
              <w:rPr>
                <w:sz w:val="18"/>
                <w:szCs w:val="18"/>
              </w:rPr>
              <w:t>M</w:t>
            </w:r>
            <w:r w:rsidRPr="002C5876">
              <w:rPr>
                <w:sz w:val="18"/>
                <w:szCs w:val="18"/>
                <w:vertAlign w:val="subscript"/>
              </w:rPr>
              <w:t>CO2,c,3</w:t>
            </w:r>
            <w:r w:rsidRPr="002C5876">
              <w:rPr>
                <w:sz w:val="18"/>
                <w:szCs w:val="18"/>
              </w:rPr>
              <w:t>, g/km</w:t>
            </w:r>
          </w:p>
        </w:tc>
        <w:tc>
          <w:tcPr>
            <w:tcW w:w="1495" w:type="dxa"/>
          </w:tcPr>
          <w:p w:rsidR="00E24DB7" w:rsidRPr="002C5876" w:rsidRDefault="00E24DB7" w:rsidP="00E24DB7">
            <w:pPr>
              <w:keepNext/>
              <w:keepLines/>
              <w:spacing w:before="60" w:after="60" w:line="220" w:lineRule="atLeast"/>
              <w:ind w:left="57" w:right="57"/>
              <w:rPr>
                <w:sz w:val="18"/>
                <w:szCs w:val="18"/>
              </w:rPr>
            </w:pPr>
            <w:r w:rsidRPr="002C5876">
              <w:rPr>
                <w:sz w:val="18"/>
                <w:szCs w:val="18"/>
              </w:rPr>
              <w:t>3</w:t>
            </w:r>
          </w:p>
        </w:tc>
      </w:tr>
      <w:tr w:rsidR="00E24DB7" w:rsidRPr="002C5876" w:rsidTr="00E24DB7">
        <w:trPr>
          <w:gridAfter w:val="1"/>
          <w:wAfter w:w="6" w:type="dxa"/>
        </w:trPr>
        <w:tc>
          <w:tcPr>
            <w:tcW w:w="1629" w:type="dxa"/>
            <w:tcBorders>
              <w:bottom w:val="single" w:sz="4" w:space="0" w:color="auto"/>
            </w:tcBorders>
          </w:tcPr>
          <w:p w:rsidR="00E24DB7" w:rsidRPr="002C5876" w:rsidRDefault="00E24DB7" w:rsidP="00E24DB7">
            <w:pPr>
              <w:keepNext/>
              <w:keepLines/>
              <w:spacing w:before="60" w:after="60" w:line="220" w:lineRule="atLeast"/>
              <w:ind w:left="57" w:right="57"/>
              <w:rPr>
                <w:sz w:val="18"/>
                <w:szCs w:val="18"/>
              </w:rPr>
            </w:pPr>
            <w:r w:rsidRPr="002C5876">
              <w:rPr>
                <w:sz w:val="18"/>
                <w:szCs w:val="18"/>
              </w:rPr>
              <w:t>Sortie des étapes 2 et 3</w:t>
            </w:r>
          </w:p>
        </w:tc>
        <w:tc>
          <w:tcPr>
            <w:tcW w:w="1498" w:type="dxa"/>
            <w:tcBorders>
              <w:bottom w:val="single" w:sz="4" w:space="0" w:color="auto"/>
            </w:tcBorders>
          </w:tcPr>
          <w:p w:rsidR="00E24DB7" w:rsidRPr="00D53F39" w:rsidRDefault="00E24DB7" w:rsidP="00E24DB7">
            <w:pPr>
              <w:keepNext/>
              <w:keepLines/>
              <w:spacing w:before="60" w:after="60" w:line="220" w:lineRule="atLeast"/>
              <w:ind w:left="57" w:right="57"/>
              <w:rPr>
                <w:sz w:val="18"/>
                <w:szCs w:val="18"/>
                <w:lang w:val="es-ES"/>
              </w:rPr>
            </w:pPr>
            <w:r w:rsidRPr="00D53F39">
              <w:rPr>
                <w:sz w:val="18"/>
                <w:szCs w:val="18"/>
                <w:lang w:val="es-ES"/>
              </w:rPr>
              <w:t>M</w:t>
            </w:r>
            <w:r w:rsidRPr="00D53F39">
              <w:rPr>
                <w:sz w:val="18"/>
                <w:szCs w:val="18"/>
                <w:vertAlign w:val="subscript"/>
                <w:lang w:val="es-ES"/>
              </w:rPr>
              <w:t>i,c,2</w:t>
            </w:r>
            <w:r w:rsidRPr="00D53F39">
              <w:rPr>
                <w:sz w:val="18"/>
                <w:szCs w:val="18"/>
                <w:lang w:val="es-ES"/>
              </w:rPr>
              <w:t>, g/km</w:t>
            </w:r>
          </w:p>
          <w:p w:rsidR="00E24DB7" w:rsidRPr="00D53F39" w:rsidRDefault="00E24DB7" w:rsidP="00E24DB7">
            <w:pPr>
              <w:keepNext/>
              <w:keepLines/>
              <w:spacing w:before="60" w:after="60" w:line="220" w:lineRule="atLeast"/>
              <w:ind w:left="57" w:right="57"/>
              <w:rPr>
                <w:sz w:val="18"/>
                <w:szCs w:val="18"/>
                <w:lang w:val="es-ES"/>
              </w:rPr>
            </w:pPr>
            <w:r w:rsidRPr="00D53F39">
              <w:rPr>
                <w:sz w:val="18"/>
                <w:szCs w:val="18"/>
                <w:lang w:val="es-ES"/>
              </w:rPr>
              <w:t>M</w:t>
            </w:r>
            <w:r w:rsidRPr="00D53F39">
              <w:rPr>
                <w:sz w:val="18"/>
                <w:szCs w:val="18"/>
                <w:vertAlign w:val="subscript"/>
                <w:lang w:val="es-ES"/>
              </w:rPr>
              <w:t>CO2,c,3</w:t>
            </w:r>
            <w:r w:rsidRPr="00D53F39">
              <w:rPr>
                <w:sz w:val="18"/>
                <w:szCs w:val="18"/>
                <w:lang w:val="es-ES"/>
              </w:rPr>
              <w:t>, g/km</w:t>
            </w:r>
          </w:p>
        </w:tc>
        <w:tc>
          <w:tcPr>
            <w:tcW w:w="3519" w:type="dxa"/>
            <w:tcBorders>
              <w:bottom w:val="single" w:sz="4" w:space="0" w:color="auto"/>
            </w:tcBorders>
          </w:tcPr>
          <w:p w:rsidR="00E24DB7" w:rsidRPr="002C5876" w:rsidRDefault="00E24DB7" w:rsidP="00E24DB7">
            <w:pPr>
              <w:keepNext/>
              <w:keepLines/>
              <w:spacing w:before="60" w:after="60" w:line="220" w:lineRule="atLeast"/>
              <w:ind w:left="57" w:right="57"/>
              <w:rPr>
                <w:sz w:val="18"/>
                <w:szCs w:val="18"/>
              </w:rPr>
            </w:pPr>
            <w:r w:rsidRPr="002C5876">
              <w:rPr>
                <w:sz w:val="18"/>
                <w:szCs w:val="18"/>
              </w:rPr>
              <w:t>Méthode d’essai pour le contrôle des émissions d’un véhicule équipé d’un système à régénération périodique, K</w:t>
            </w:r>
            <w:r w:rsidRPr="002C5876">
              <w:rPr>
                <w:sz w:val="18"/>
                <w:szCs w:val="18"/>
                <w:vertAlign w:val="subscript"/>
              </w:rPr>
              <w:t>i</w:t>
            </w:r>
          </w:p>
          <w:p w:rsidR="00E24DB7" w:rsidRPr="00D53F39" w:rsidRDefault="00E24DB7" w:rsidP="00E24DB7">
            <w:pPr>
              <w:keepNext/>
              <w:keepLines/>
              <w:spacing w:before="60" w:after="60" w:line="220" w:lineRule="atLeast"/>
              <w:ind w:left="57" w:right="57"/>
              <w:rPr>
                <w:sz w:val="18"/>
                <w:szCs w:val="18"/>
                <w:lang w:val="es-ES"/>
              </w:rPr>
            </w:pPr>
            <w:r w:rsidRPr="00D53F39">
              <w:rPr>
                <w:sz w:val="18"/>
                <w:szCs w:val="18"/>
                <w:lang w:val="es-ES"/>
              </w:rPr>
              <w:t>Annexe 6, appendice 1</w:t>
            </w:r>
          </w:p>
          <w:p w:rsidR="00E24DB7" w:rsidRPr="00D53F39" w:rsidRDefault="00E24DB7" w:rsidP="00E24DB7">
            <w:pPr>
              <w:keepNext/>
              <w:keepLines/>
              <w:spacing w:before="60" w:after="60" w:line="220" w:lineRule="atLeast"/>
              <w:ind w:left="57" w:right="57"/>
              <w:rPr>
                <w:sz w:val="18"/>
                <w:szCs w:val="18"/>
                <w:lang w:val="es-ES"/>
              </w:rPr>
            </w:pPr>
            <w:r w:rsidRPr="00D53F39">
              <w:rPr>
                <w:sz w:val="18"/>
                <w:szCs w:val="18"/>
                <w:lang w:val="es-ES"/>
              </w:rPr>
              <w:t>M</w:t>
            </w:r>
            <w:r w:rsidRPr="00D53F39">
              <w:rPr>
                <w:sz w:val="18"/>
                <w:szCs w:val="18"/>
                <w:vertAlign w:val="subscript"/>
                <w:lang w:val="es-ES"/>
              </w:rPr>
              <w:t>i,c,4</w:t>
            </w:r>
            <w:r w:rsidRPr="00D53F39">
              <w:rPr>
                <w:sz w:val="18"/>
                <w:szCs w:val="18"/>
                <w:lang w:val="es-ES"/>
              </w:rPr>
              <w:t xml:space="preserve"> = K</w:t>
            </w:r>
            <w:r w:rsidRPr="00D53F39">
              <w:rPr>
                <w:sz w:val="18"/>
                <w:szCs w:val="18"/>
                <w:vertAlign w:val="subscript"/>
                <w:lang w:val="es-ES"/>
              </w:rPr>
              <w:t>i</w:t>
            </w:r>
            <w:r w:rsidRPr="00D53F39">
              <w:rPr>
                <w:sz w:val="18"/>
                <w:szCs w:val="18"/>
                <w:lang w:val="es-ES"/>
              </w:rPr>
              <w:t xml:space="preserve"> x M</w:t>
            </w:r>
            <w:r w:rsidRPr="00D53F39">
              <w:rPr>
                <w:sz w:val="18"/>
                <w:szCs w:val="18"/>
                <w:vertAlign w:val="subscript"/>
                <w:lang w:val="es-ES"/>
              </w:rPr>
              <w:t>i,c,2</w:t>
            </w:r>
          </w:p>
          <w:p w:rsidR="00E24DB7" w:rsidRPr="00D53F39" w:rsidRDefault="00E24DB7" w:rsidP="00E24DB7">
            <w:pPr>
              <w:keepNext/>
              <w:keepLines/>
              <w:spacing w:before="60" w:after="60" w:line="220" w:lineRule="atLeast"/>
              <w:ind w:left="57" w:right="57"/>
              <w:rPr>
                <w:sz w:val="18"/>
                <w:szCs w:val="18"/>
                <w:vertAlign w:val="subscript"/>
                <w:lang w:val="es-ES"/>
              </w:rPr>
            </w:pPr>
            <w:r w:rsidRPr="00D53F39">
              <w:rPr>
                <w:sz w:val="18"/>
                <w:szCs w:val="18"/>
                <w:lang w:val="es-ES"/>
              </w:rPr>
              <w:t>ou</w:t>
            </w:r>
          </w:p>
          <w:p w:rsidR="00E24DB7" w:rsidRPr="00D53F39" w:rsidRDefault="00E24DB7" w:rsidP="00E24DB7">
            <w:pPr>
              <w:keepNext/>
              <w:keepLines/>
              <w:spacing w:before="60" w:after="60" w:line="220" w:lineRule="atLeast"/>
              <w:ind w:left="57" w:right="57"/>
              <w:rPr>
                <w:sz w:val="18"/>
                <w:szCs w:val="18"/>
                <w:vertAlign w:val="subscript"/>
                <w:lang w:val="es-ES"/>
              </w:rPr>
            </w:pPr>
            <w:r w:rsidRPr="00D53F39">
              <w:rPr>
                <w:sz w:val="18"/>
                <w:szCs w:val="18"/>
                <w:lang w:val="es-ES"/>
              </w:rPr>
              <w:t>M</w:t>
            </w:r>
            <w:r w:rsidRPr="00D53F39">
              <w:rPr>
                <w:sz w:val="18"/>
                <w:szCs w:val="18"/>
                <w:vertAlign w:val="subscript"/>
                <w:lang w:val="es-ES"/>
              </w:rPr>
              <w:t>i,c,4</w:t>
            </w:r>
            <w:r w:rsidRPr="00D53F39">
              <w:rPr>
                <w:sz w:val="18"/>
                <w:szCs w:val="18"/>
                <w:lang w:val="es-ES"/>
              </w:rPr>
              <w:t xml:space="preserve"> = K</w:t>
            </w:r>
            <w:r w:rsidRPr="00D53F39">
              <w:rPr>
                <w:sz w:val="18"/>
                <w:szCs w:val="18"/>
                <w:vertAlign w:val="subscript"/>
                <w:lang w:val="es-ES"/>
              </w:rPr>
              <w:t>i</w:t>
            </w:r>
            <w:r w:rsidRPr="00D53F39">
              <w:rPr>
                <w:sz w:val="18"/>
                <w:szCs w:val="18"/>
                <w:lang w:val="es-ES"/>
              </w:rPr>
              <w:t xml:space="preserve"> + M</w:t>
            </w:r>
            <w:r w:rsidRPr="00D53F39">
              <w:rPr>
                <w:sz w:val="18"/>
                <w:szCs w:val="18"/>
                <w:vertAlign w:val="subscript"/>
                <w:lang w:val="es-ES"/>
              </w:rPr>
              <w:t>i,c,2</w:t>
            </w:r>
          </w:p>
          <w:p w:rsidR="00E24DB7" w:rsidRPr="002C5876" w:rsidRDefault="00E24DB7" w:rsidP="00E24DB7">
            <w:pPr>
              <w:keepNext/>
              <w:keepLines/>
              <w:spacing w:before="60" w:after="60" w:line="220" w:lineRule="atLeast"/>
              <w:ind w:left="57" w:right="57"/>
              <w:rPr>
                <w:sz w:val="18"/>
                <w:szCs w:val="18"/>
              </w:rPr>
            </w:pPr>
            <w:r w:rsidRPr="002C5876">
              <w:rPr>
                <w:sz w:val="18"/>
                <w:szCs w:val="18"/>
              </w:rPr>
              <w:t>et</w:t>
            </w:r>
          </w:p>
          <w:p w:rsidR="00E24DB7" w:rsidRPr="002C5876" w:rsidRDefault="00E24DB7" w:rsidP="00E24DB7">
            <w:pPr>
              <w:keepNext/>
              <w:keepLines/>
              <w:spacing w:before="60" w:after="60" w:line="220" w:lineRule="atLeast"/>
              <w:ind w:left="57" w:right="57"/>
              <w:rPr>
                <w:sz w:val="18"/>
                <w:szCs w:val="18"/>
                <w:vertAlign w:val="subscript"/>
              </w:rPr>
            </w:pPr>
            <w:r w:rsidRPr="002C5876">
              <w:rPr>
                <w:sz w:val="18"/>
                <w:szCs w:val="18"/>
              </w:rPr>
              <w:t>M</w:t>
            </w:r>
            <w:r w:rsidRPr="002C5876">
              <w:rPr>
                <w:sz w:val="18"/>
                <w:szCs w:val="18"/>
                <w:vertAlign w:val="subscript"/>
              </w:rPr>
              <w:t>CO2,c,4</w:t>
            </w:r>
            <w:r w:rsidRPr="002C5876">
              <w:rPr>
                <w:sz w:val="18"/>
                <w:szCs w:val="18"/>
              </w:rPr>
              <w:t xml:space="preserve"> = K</w:t>
            </w:r>
            <w:r w:rsidRPr="002C5876">
              <w:rPr>
                <w:sz w:val="18"/>
                <w:szCs w:val="18"/>
                <w:vertAlign w:val="subscript"/>
              </w:rPr>
              <w:t>CO2</w:t>
            </w:r>
            <w:r w:rsidRPr="002C5876">
              <w:rPr>
                <w:sz w:val="18"/>
                <w:szCs w:val="18"/>
              </w:rPr>
              <w:t xml:space="preserve"> x M</w:t>
            </w:r>
            <w:r w:rsidRPr="002C5876">
              <w:rPr>
                <w:sz w:val="18"/>
                <w:szCs w:val="18"/>
                <w:vertAlign w:val="subscript"/>
              </w:rPr>
              <w:t>CO2,c,3</w:t>
            </w:r>
          </w:p>
          <w:p w:rsidR="00E24DB7" w:rsidRPr="002C5876" w:rsidRDefault="00E24DB7" w:rsidP="00E24DB7">
            <w:pPr>
              <w:keepNext/>
              <w:keepLines/>
              <w:spacing w:before="60" w:after="60" w:line="220" w:lineRule="atLeast"/>
              <w:ind w:left="57" w:right="57"/>
              <w:rPr>
                <w:sz w:val="18"/>
                <w:szCs w:val="18"/>
              </w:rPr>
            </w:pPr>
            <w:r w:rsidRPr="002C5876">
              <w:rPr>
                <w:sz w:val="18"/>
                <w:szCs w:val="18"/>
              </w:rPr>
              <w:t>ou</w:t>
            </w:r>
          </w:p>
          <w:p w:rsidR="00E24DB7" w:rsidRPr="002C5876" w:rsidRDefault="00E24DB7" w:rsidP="00E24DB7">
            <w:pPr>
              <w:keepNext/>
              <w:keepLines/>
              <w:spacing w:before="60" w:after="60" w:line="220" w:lineRule="atLeast"/>
              <w:ind w:left="57" w:right="57"/>
              <w:rPr>
                <w:sz w:val="18"/>
                <w:szCs w:val="18"/>
              </w:rPr>
            </w:pPr>
            <w:r w:rsidRPr="002C5876">
              <w:rPr>
                <w:sz w:val="18"/>
                <w:szCs w:val="18"/>
              </w:rPr>
              <w:t>M</w:t>
            </w:r>
            <w:r w:rsidRPr="002C5876">
              <w:rPr>
                <w:sz w:val="18"/>
                <w:szCs w:val="18"/>
                <w:vertAlign w:val="subscript"/>
              </w:rPr>
              <w:t>CO2,c,4</w:t>
            </w:r>
            <w:r w:rsidRPr="002C5876">
              <w:rPr>
                <w:sz w:val="18"/>
                <w:szCs w:val="18"/>
              </w:rPr>
              <w:t xml:space="preserve"> = K</w:t>
            </w:r>
            <w:r w:rsidRPr="002C5876">
              <w:rPr>
                <w:sz w:val="18"/>
                <w:szCs w:val="18"/>
                <w:vertAlign w:val="subscript"/>
              </w:rPr>
              <w:t>CO2</w:t>
            </w:r>
            <w:r w:rsidRPr="002C5876">
              <w:rPr>
                <w:sz w:val="18"/>
                <w:szCs w:val="18"/>
              </w:rPr>
              <w:t xml:space="preserve"> + M</w:t>
            </w:r>
            <w:r w:rsidRPr="002C5876">
              <w:rPr>
                <w:sz w:val="18"/>
                <w:szCs w:val="18"/>
                <w:vertAlign w:val="subscript"/>
              </w:rPr>
              <w:t>CO2,c,3</w:t>
            </w:r>
          </w:p>
          <w:p w:rsidR="00E24DB7" w:rsidRPr="002C5876" w:rsidRDefault="00E24DB7" w:rsidP="00E24DB7">
            <w:pPr>
              <w:keepNext/>
              <w:keepLines/>
              <w:spacing w:before="60" w:after="60" w:line="220" w:lineRule="atLeast"/>
              <w:ind w:left="57" w:right="57"/>
              <w:rPr>
                <w:sz w:val="18"/>
                <w:szCs w:val="18"/>
              </w:rPr>
            </w:pPr>
            <w:r w:rsidRPr="002C5876">
              <w:rPr>
                <w:sz w:val="18"/>
                <w:szCs w:val="18"/>
              </w:rPr>
              <w:t>Facteur additif de recalage ou multiplicatif à utiliser en fonction de la détermination de K</w:t>
            </w:r>
            <w:r w:rsidRPr="002C5876">
              <w:rPr>
                <w:sz w:val="18"/>
                <w:szCs w:val="18"/>
                <w:vertAlign w:val="subscript"/>
              </w:rPr>
              <w:t>i</w:t>
            </w:r>
          </w:p>
          <w:p w:rsidR="00E24DB7" w:rsidRPr="002C5876" w:rsidRDefault="00E24DB7" w:rsidP="00E24DB7">
            <w:pPr>
              <w:keepNext/>
              <w:keepLines/>
              <w:spacing w:before="60" w:after="60" w:line="220" w:lineRule="atLeast"/>
              <w:ind w:left="57" w:right="57"/>
              <w:rPr>
                <w:sz w:val="18"/>
                <w:szCs w:val="18"/>
              </w:rPr>
            </w:pPr>
            <w:r w:rsidRPr="002C5876">
              <w:rPr>
                <w:sz w:val="18"/>
                <w:szCs w:val="18"/>
              </w:rPr>
              <w:t>Si K</w:t>
            </w:r>
            <w:r w:rsidRPr="002C5876">
              <w:rPr>
                <w:sz w:val="18"/>
                <w:szCs w:val="18"/>
                <w:vertAlign w:val="subscript"/>
              </w:rPr>
              <w:t>i</w:t>
            </w:r>
            <w:r w:rsidRPr="002C5876">
              <w:rPr>
                <w:sz w:val="18"/>
                <w:szCs w:val="18"/>
              </w:rPr>
              <w:t xml:space="preserve"> n’est pas applicable :</w:t>
            </w:r>
          </w:p>
          <w:p w:rsidR="00E24DB7" w:rsidRPr="00D53F39" w:rsidRDefault="00E24DB7" w:rsidP="00E24DB7">
            <w:pPr>
              <w:keepNext/>
              <w:keepLines/>
              <w:spacing w:before="60" w:after="60" w:line="220" w:lineRule="atLeast"/>
              <w:ind w:left="57" w:right="57"/>
              <w:rPr>
                <w:sz w:val="18"/>
                <w:szCs w:val="18"/>
                <w:lang w:val="es-ES"/>
              </w:rPr>
            </w:pPr>
            <w:r w:rsidRPr="00D53F39">
              <w:rPr>
                <w:sz w:val="18"/>
                <w:szCs w:val="18"/>
                <w:lang w:val="es-ES"/>
              </w:rPr>
              <w:t>M</w:t>
            </w:r>
            <w:r w:rsidRPr="00D53F39">
              <w:rPr>
                <w:sz w:val="18"/>
                <w:szCs w:val="18"/>
                <w:vertAlign w:val="subscript"/>
                <w:lang w:val="es-ES"/>
              </w:rPr>
              <w:t>i,c,4</w:t>
            </w:r>
            <w:r w:rsidRPr="00D53F39">
              <w:rPr>
                <w:sz w:val="18"/>
                <w:szCs w:val="18"/>
                <w:lang w:val="es-ES"/>
              </w:rPr>
              <w:t xml:space="preserve"> = M</w:t>
            </w:r>
            <w:r w:rsidRPr="00D53F39">
              <w:rPr>
                <w:sz w:val="18"/>
                <w:szCs w:val="18"/>
                <w:vertAlign w:val="subscript"/>
                <w:lang w:val="es-ES"/>
              </w:rPr>
              <w:t>i,c,2</w:t>
            </w:r>
          </w:p>
          <w:p w:rsidR="00E24DB7" w:rsidRPr="00D53F39" w:rsidRDefault="00E24DB7" w:rsidP="00E24DB7">
            <w:pPr>
              <w:keepNext/>
              <w:keepLines/>
              <w:spacing w:before="60" w:after="60" w:line="220" w:lineRule="atLeast"/>
              <w:ind w:left="57" w:right="57"/>
              <w:rPr>
                <w:sz w:val="18"/>
                <w:szCs w:val="18"/>
                <w:lang w:val="es-ES"/>
              </w:rPr>
            </w:pPr>
            <w:r w:rsidRPr="00D53F39">
              <w:rPr>
                <w:sz w:val="18"/>
                <w:szCs w:val="18"/>
                <w:lang w:val="es-ES"/>
              </w:rPr>
              <w:t>M</w:t>
            </w:r>
            <w:r w:rsidRPr="00D53F39">
              <w:rPr>
                <w:sz w:val="18"/>
                <w:szCs w:val="18"/>
                <w:vertAlign w:val="subscript"/>
                <w:lang w:val="es-ES"/>
              </w:rPr>
              <w:t>CO2,c,4</w:t>
            </w:r>
            <w:r w:rsidRPr="00D53F39">
              <w:rPr>
                <w:sz w:val="18"/>
                <w:szCs w:val="18"/>
                <w:lang w:val="es-ES"/>
              </w:rPr>
              <w:t xml:space="preserve"> = M</w:t>
            </w:r>
            <w:r w:rsidRPr="00D53F39">
              <w:rPr>
                <w:sz w:val="18"/>
                <w:szCs w:val="18"/>
                <w:vertAlign w:val="subscript"/>
                <w:lang w:val="es-ES"/>
              </w:rPr>
              <w:t>CO2,c,3</w:t>
            </w:r>
          </w:p>
        </w:tc>
        <w:tc>
          <w:tcPr>
            <w:tcW w:w="1498" w:type="dxa"/>
            <w:tcBorders>
              <w:bottom w:val="single" w:sz="4" w:space="0" w:color="auto"/>
            </w:tcBorders>
          </w:tcPr>
          <w:p w:rsidR="00E24DB7" w:rsidRPr="00D53F39" w:rsidRDefault="00E24DB7" w:rsidP="00E24DB7">
            <w:pPr>
              <w:keepNext/>
              <w:keepLines/>
              <w:spacing w:before="60" w:after="60" w:line="220" w:lineRule="atLeast"/>
              <w:ind w:left="57" w:right="57"/>
              <w:rPr>
                <w:sz w:val="18"/>
                <w:szCs w:val="18"/>
                <w:lang w:val="es-ES"/>
              </w:rPr>
            </w:pPr>
            <w:r w:rsidRPr="00D53F39">
              <w:rPr>
                <w:sz w:val="18"/>
                <w:szCs w:val="18"/>
                <w:lang w:val="es-ES"/>
              </w:rPr>
              <w:t>M</w:t>
            </w:r>
            <w:r w:rsidRPr="00D53F39">
              <w:rPr>
                <w:sz w:val="18"/>
                <w:szCs w:val="18"/>
                <w:vertAlign w:val="subscript"/>
                <w:lang w:val="es-ES"/>
              </w:rPr>
              <w:t>i,c,4</w:t>
            </w:r>
            <w:r w:rsidRPr="00D53F39">
              <w:rPr>
                <w:sz w:val="18"/>
                <w:szCs w:val="18"/>
                <w:lang w:val="es-ES"/>
              </w:rPr>
              <w:t>, g/km</w:t>
            </w:r>
          </w:p>
          <w:p w:rsidR="00E24DB7" w:rsidRPr="00D53F39" w:rsidRDefault="00E24DB7" w:rsidP="00E24DB7">
            <w:pPr>
              <w:keepNext/>
              <w:keepLines/>
              <w:spacing w:before="60" w:after="60" w:line="220" w:lineRule="atLeast"/>
              <w:ind w:left="57" w:right="57"/>
              <w:rPr>
                <w:sz w:val="18"/>
                <w:szCs w:val="18"/>
                <w:lang w:val="es-ES"/>
              </w:rPr>
            </w:pPr>
            <w:r w:rsidRPr="00D53F39">
              <w:rPr>
                <w:sz w:val="18"/>
                <w:szCs w:val="18"/>
                <w:lang w:val="es-ES"/>
              </w:rPr>
              <w:t>M</w:t>
            </w:r>
            <w:r w:rsidRPr="00D53F39">
              <w:rPr>
                <w:sz w:val="18"/>
                <w:szCs w:val="18"/>
                <w:vertAlign w:val="subscript"/>
                <w:lang w:val="es-ES"/>
              </w:rPr>
              <w:t>CO2,c,4</w:t>
            </w:r>
            <w:r w:rsidRPr="00D53F39">
              <w:rPr>
                <w:sz w:val="18"/>
                <w:szCs w:val="18"/>
                <w:lang w:val="es-ES"/>
              </w:rPr>
              <w:t>, g/km</w:t>
            </w:r>
          </w:p>
        </w:tc>
        <w:tc>
          <w:tcPr>
            <w:tcW w:w="1495" w:type="dxa"/>
            <w:tcBorders>
              <w:bottom w:val="single" w:sz="4" w:space="0" w:color="auto"/>
            </w:tcBorders>
          </w:tcPr>
          <w:p w:rsidR="00E24DB7" w:rsidRPr="002C5876" w:rsidRDefault="00E24DB7" w:rsidP="00E24DB7">
            <w:pPr>
              <w:keepNext/>
              <w:keepLines/>
              <w:spacing w:before="60" w:after="60" w:line="220" w:lineRule="atLeast"/>
              <w:ind w:left="57" w:right="57"/>
              <w:rPr>
                <w:sz w:val="18"/>
                <w:szCs w:val="18"/>
              </w:rPr>
            </w:pPr>
            <w:r w:rsidRPr="002C5876">
              <w:rPr>
                <w:sz w:val="18"/>
                <w:szCs w:val="18"/>
              </w:rPr>
              <w:t>4a</w:t>
            </w:r>
          </w:p>
        </w:tc>
      </w:tr>
      <w:tr w:rsidR="00E24DB7" w:rsidRPr="002C5876" w:rsidTr="00E24DB7">
        <w:trPr>
          <w:gridAfter w:val="1"/>
          <w:wAfter w:w="6" w:type="dxa"/>
        </w:trPr>
        <w:tc>
          <w:tcPr>
            <w:tcW w:w="1629" w:type="dxa"/>
            <w:tcBorders>
              <w:bottom w:val="nil"/>
            </w:tcBorders>
          </w:tcPr>
          <w:p w:rsidR="00E24DB7" w:rsidRPr="002C5876" w:rsidRDefault="00E24DB7" w:rsidP="00E24DB7">
            <w:pPr>
              <w:keepNext/>
              <w:keepLines/>
              <w:spacing w:before="60" w:after="60" w:line="220" w:lineRule="atLeast"/>
              <w:ind w:left="57" w:right="57"/>
              <w:rPr>
                <w:sz w:val="18"/>
                <w:szCs w:val="18"/>
              </w:rPr>
            </w:pPr>
            <w:r w:rsidRPr="002C5876">
              <w:rPr>
                <w:sz w:val="18"/>
                <w:szCs w:val="18"/>
              </w:rPr>
              <w:t>Sortie des étapes 3 et 4a</w:t>
            </w:r>
          </w:p>
        </w:tc>
        <w:tc>
          <w:tcPr>
            <w:tcW w:w="1498" w:type="dxa"/>
            <w:tcBorders>
              <w:bottom w:val="nil"/>
            </w:tcBorders>
          </w:tcPr>
          <w:p w:rsidR="00E24DB7" w:rsidRPr="002C5876" w:rsidRDefault="00E24DB7" w:rsidP="00E24DB7">
            <w:pPr>
              <w:keepNext/>
              <w:keepLines/>
              <w:spacing w:before="60" w:after="60" w:line="220" w:lineRule="atLeast"/>
              <w:ind w:left="57" w:right="57"/>
              <w:rPr>
                <w:sz w:val="18"/>
                <w:szCs w:val="18"/>
              </w:rPr>
            </w:pPr>
            <w:r w:rsidRPr="002C5876">
              <w:rPr>
                <w:sz w:val="18"/>
                <w:szCs w:val="18"/>
              </w:rPr>
              <w:t>M</w:t>
            </w:r>
            <w:r w:rsidRPr="002C5876">
              <w:rPr>
                <w:sz w:val="18"/>
                <w:szCs w:val="18"/>
                <w:vertAlign w:val="subscript"/>
              </w:rPr>
              <w:t>CO2,p,3</w:t>
            </w:r>
            <w:r w:rsidRPr="002C5876">
              <w:rPr>
                <w:sz w:val="18"/>
                <w:szCs w:val="18"/>
              </w:rPr>
              <w:t>, g/km</w:t>
            </w:r>
          </w:p>
          <w:p w:rsidR="00E24DB7" w:rsidRPr="002C5876" w:rsidRDefault="00E24DB7" w:rsidP="00E24DB7">
            <w:pPr>
              <w:keepNext/>
              <w:keepLines/>
              <w:spacing w:before="60" w:after="60" w:line="220" w:lineRule="atLeast"/>
              <w:ind w:left="57" w:right="57"/>
              <w:rPr>
                <w:sz w:val="18"/>
                <w:szCs w:val="18"/>
              </w:rPr>
            </w:pPr>
            <w:r w:rsidRPr="002C5876">
              <w:rPr>
                <w:sz w:val="18"/>
                <w:szCs w:val="18"/>
              </w:rPr>
              <w:t>M</w:t>
            </w:r>
            <w:r w:rsidRPr="002C5876">
              <w:rPr>
                <w:sz w:val="18"/>
                <w:szCs w:val="18"/>
                <w:vertAlign w:val="subscript"/>
              </w:rPr>
              <w:t>CO2,c,3</w:t>
            </w:r>
            <w:r w:rsidRPr="002C5876">
              <w:rPr>
                <w:sz w:val="18"/>
                <w:szCs w:val="18"/>
              </w:rPr>
              <w:t>, g/km</w:t>
            </w:r>
          </w:p>
          <w:p w:rsidR="00E24DB7" w:rsidRPr="002C5876" w:rsidRDefault="00E24DB7" w:rsidP="00E24DB7">
            <w:pPr>
              <w:keepNext/>
              <w:keepLines/>
              <w:spacing w:before="60" w:after="60" w:line="220" w:lineRule="atLeast"/>
              <w:ind w:left="57" w:right="57"/>
              <w:rPr>
                <w:sz w:val="18"/>
                <w:szCs w:val="18"/>
              </w:rPr>
            </w:pPr>
            <w:r w:rsidRPr="002C5876">
              <w:rPr>
                <w:sz w:val="18"/>
                <w:szCs w:val="18"/>
              </w:rPr>
              <w:t>M</w:t>
            </w:r>
            <w:r w:rsidRPr="002C5876">
              <w:rPr>
                <w:sz w:val="18"/>
                <w:szCs w:val="18"/>
                <w:vertAlign w:val="subscript"/>
              </w:rPr>
              <w:t>CO2,c,4</w:t>
            </w:r>
            <w:r w:rsidRPr="002C5876">
              <w:rPr>
                <w:sz w:val="18"/>
                <w:szCs w:val="18"/>
              </w:rPr>
              <w:t>, g/km</w:t>
            </w:r>
          </w:p>
        </w:tc>
        <w:tc>
          <w:tcPr>
            <w:tcW w:w="3519" w:type="dxa"/>
            <w:tcBorders>
              <w:bottom w:val="nil"/>
            </w:tcBorders>
          </w:tcPr>
          <w:p w:rsidR="00E24DB7" w:rsidRPr="002C5876" w:rsidRDefault="00E24DB7" w:rsidP="00E24DB7">
            <w:pPr>
              <w:keepNext/>
              <w:keepLines/>
              <w:spacing w:before="60" w:after="60" w:line="220" w:lineRule="atLeast"/>
              <w:ind w:left="57" w:right="57"/>
              <w:rPr>
                <w:sz w:val="18"/>
                <w:szCs w:val="18"/>
              </w:rPr>
            </w:pPr>
            <w:r w:rsidRPr="002C5876">
              <w:rPr>
                <w:sz w:val="18"/>
                <w:szCs w:val="18"/>
              </w:rPr>
              <w:t>Si K</w:t>
            </w:r>
            <w:r w:rsidRPr="002C5876">
              <w:rPr>
                <w:sz w:val="18"/>
                <w:szCs w:val="18"/>
                <w:vertAlign w:val="subscript"/>
              </w:rPr>
              <w:t>i</w:t>
            </w:r>
            <w:r w:rsidRPr="002C5876">
              <w:rPr>
                <w:sz w:val="18"/>
                <w:szCs w:val="18"/>
              </w:rPr>
              <w:t xml:space="preserve"> est applicable, aligner les valeurs de la phase pour CO</w:t>
            </w:r>
            <w:r w:rsidRPr="002C5876">
              <w:rPr>
                <w:sz w:val="18"/>
                <w:szCs w:val="18"/>
                <w:vertAlign w:val="subscript"/>
              </w:rPr>
              <w:t>2</w:t>
            </w:r>
            <w:r w:rsidRPr="002C5876">
              <w:rPr>
                <w:sz w:val="18"/>
                <w:szCs w:val="18"/>
              </w:rPr>
              <w:t xml:space="preserve"> sur la valeur combinée sur le cycle :</w:t>
            </w:r>
          </w:p>
          <w:p w:rsidR="00E24DB7" w:rsidRPr="002C5876" w:rsidRDefault="00E24DB7" w:rsidP="00E24DB7">
            <w:pPr>
              <w:keepNext/>
              <w:keepLines/>
              <w:spacing w:before="60" w:after="60" w:line="220" w:lineRule="atLeast"/>
              <w:ind w:left="57" w:right="57"/>
              <w:rPr>
                <w:sz w:val="18"/>
                <w:szCs w:val="18"/>
              </w:rPr>
            </w:pPr>
            <w:r w:rsidRPr="002C5876">
              <w:rPr>
                <w:noProof/>
                <w:position w:val="-14"/>
                <w:sz w:val="18"/>
                <w:szCs w:val="18"/>
                <w:lang w:val="en-GB" w:eastAsia="zh-CN"/>
              </w:rPr>
              <w:drawing>
                <wp:inline distT="0" distB="0" distL="0" distR="0" wp14:anchorId="278EEF08" wp14:editId="3174BDCE">
                  <wp:extent cx="1590675" cy="247650"/>
                  <wp:effectExtent l="0" t="0" r="9525" b="0"/>
                  <wp:docPr id="804" name="Imag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590675" cy="247650"/>
                          </a:xfrm>
                          <a:prstGeom prst="rect">
                            <a:avLst/>
                          </a:prstGeom>
                          <a:noFill/>
                          <a:ln>
                            <a:noFill/>
                          </a:ln>
                        </pic:spPr>
                      </pic:pic>
                    </a:graphicData>
                  </a:graphic>
                </wp:inline>
              </w:drawing>
            </w:r>
          </w:p>
          <w:p w:rsidR="00E24DB7" w:rsidRPr="002C5876" w:rsidRDefault="00E24DB7" w:rsidP="00E24DB7">
            <w:pPr>
              <w:keepNext/>
              <w:keepLines/>
              <w:spacing w:before="60" w:after="60" w:line="220" w:lineRule="atLeast"/>
              <w:ind w:left="57" w:right="57"/>
              <w:rPr>
                <w:sz w:val="18"/>
                <w:szCs w:val="18"/>
              </w:rPr>
            </w:pPr>
            <w:r w:rsidRPr="002C5876">
              <w:rPr>
                <w:sz w:val="18"/>
                <w:szCs w:val="18"/>
              </w:rPr>
              <w:t>pour chaque phase du cycle p </w:t>
            </w:r>
          </w:p>
        </w:tc>
        <w:tc>
          <w:tcPr>
            <w:tcW w:w="1498" w:type="dxa"/>
            <w:tcBorders>
              <w:bottom w:val="nil"/>
            </w:tcBorders>
          </w:tcPr>
          <w:p w:rsidR="00E24DB7" w:rsidRPr="002C5876" w:rsidRDefault="00E24DB7" w:rsidP="00E24DB7">
            <w:pPr>
              <w:keepNext/>
              <w:keepLines/>
              <w:spacing w:before="60" w:after="60" w:line="220" w:lineRule="atLeast"/>
              <w:ind w:left="57" w:right="57"/>
              <w:rPr>
                <w:sz w:val="18"/>
                <w:szCs w:val="18"/>
              </w:rPr>
            </w:pPr>
            <w:r w:rsidRPr="002C5876">
              <w:rPr>
                <w:sz w:val="18"/>
                <w:szCs w:val="18"/>
              </w:rPr>
              <w:t>M</w:t>
            </w:r>
            <w:r w:rsidRPr="002C5876">
              <w:rPr>
                <w:sz w:val="18"/>
                <w:szCs w:val="18"/>
                <w:vertAlign w:val="subscript"/>
              </w:rPr>
              <w:t>CO2,p,4</w:t>
            </w:r>
            <w:r w:rsidRPr="002C5876">
              <w:rPr>
                <w:sz w:val="18"/>
                <w:szCs w:val="18"/>
              </w:rPr>
              <w:t>, g/km</w:t>
            </w:r>
          </w:p>
        </w:tc>
        <w:tc>
          <w:tcPr>
            <w:tcW w:w="1495" w:type="dxa"/>
            <w:tcBorders>
              <w:bottom w:val="nil"/>
            </w:tcBorders>
          </w:tcPr>
          <w:p w:rsidR="00E24DB7" w:rsidRPr="002C5876" w:rsidDel="000166EA" w:rsidRDefault="00E24DB7" w:rsidP="00E24DB7">
            <w:pPr>
              <w:keepNext/>
              <w:keepLines/>
              <w:spacing w:before="60" w:after="60" w:line="220" w:lineRule="atLeast"/>
              <w:ind w:left="57" w:right="57"/>
              <w:rPr>
                <w:sz w:val="18"/>
                <w:szCs w:val="18"/>
              </w:rPr>
            </w:pPr>
            <w:r w:rsidRPr="002C5876">
              <w:rPr>
                <w:sz w:val="18"/>
                <w:szCs w:val="18"/>
              </w:rPr>
              <w:t>4b</w:t>
            </w:r>
          </w:p>
        </w:tc>
      </w:tr>
      <w:tr w:rsidR="00E24DB7" w:rsidRPr="002C5876" w:rsidTr="00E24DB7">
        <w:trPr>
          <w:gridAfter w:val="1"/>
          <w:wAfter w:w="6" w:type="dxa"/>
        </w:trPr>
        <w:tc>
          <w:tcPr>
            <w:tcW w:w="1629" w:type="dxa"/>
            <w:tcBorders>
              <w:top w:val="nil"/>
            </w:tcBorders>
          </w:tcPr>
          <w:p w:rsidR="00E24DB7" w:rsidRPr="002C5876" w:rsidRDefault="00E24DB7" w:rsidP="00E24DB7">
            <w:pPr>
              <w:spacing w:before="60" w:after="60" w:line="220" w:lineRule="atLeast"/>
              <w:ind w:left="57" w:right="57"/>
              <w:rPr>
                <w:sz w:val="18"/>
                <w:szCs w:val="18"/>
              </w:rPr>
            </w:pPr>
          </w:p>
        </w:tc>
        <w:tc>
          <w:tcPr>
            <w:tcW w:w="1498" w:type="dxa"/>
            <w:tcBorders>
              <w:top w:val="nil"/>
            </w:tcBorders>
          </w:tcPr>
          <w:p w:rsidR="00E24DB7" w:rsidRPr="002C5876" w:rsidRDefault="00E24DB7" w:rsidP="00E24DB7">
            <w:pPr>
              <w:spacing w:before="60" w:after="60" w:line="220" w:lineRule="atLeast"/>
              <w:ind w:left="57" w:right="57"/>
              <w:rPr>
                <w:sz w:val="18"/>
                <w:szCs w:val="18"/>
              </w:rPr>
            </w:pPr>
          </w:p>
        </w:tc>
        <w:tc>
          <w:tcPr>
            <w:tcW w:w="3519" w:type="dxa"/>
            <w:tcBorders>
              <w:top w:val="nil"/>
            </w:tcBorders>
          </w:tcPr>
          <w:p w:rsidR="00E24DB7" w:rsidRPr="002C5876" w:rsidRDefault="00E24DB7" w:rsidP="00E24DB7">
            <w:pPr>
              <w:spacing w:before="60" w:after="60" w:line="220" w:lineRule="atLeast"/>
              <w:ind w:left="57" w:right="57"/>
              <w:rPr>
                <w:sz w:val="18"/>
                <w:szCs w:val="18"/>
              </w:rPr>
            </w:pPr>
            <w:r w:rsidRPr="002C5876">
              <w:rPr>
                <w:sz w:val="18"/>
                <w:szCs w:val="18"/>
              </w:rPr>
              <w:t>où :</w:t>
            </w:r>
          </w:p>
          <w:p w:rsidR="00E24DB7" w:rsidRPr="002C5876" w:rsidRDefault="00E24DB7" w:rsidP="00E24DB7">
            <w:pPr>
              <w:spacing w:before="60" w:after="60" w:line="220" w:lineRule="atLeast"/>
              <w:ind w:left="57" w:right="57"/>
              <w:rPr>
                <w:sz w:val="18"/>
                <w:szCs w:val="18"/>
              </w:rPr>
            </w:pPr>
            <w:r w:rsidRPr="002C5876">
              <w:rPr>
                <w:noProof/>
                <w:position w:val="-30"/>
                <w:sz w:val="18"/>
                <w:szCs w:val="18"/>
                <w:lang w:val="en-GB" w:eastAsia="zh-CN"/>
              </w:rPr>
              <w:drawing>
                <wp:inline distT="0" distB="0" distL="0" distR="0" wp14:anchorId="66A24EA4" wp14:editId="7BAFDC5D">
                  <wp:extent cx="981075" cy="438150"/>
                  <wp:effectExtent l="0" t="0" r="9525" b="0"/>
                  <wp:docPr id="805" name="Imag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981075" cy="438150"/>
                          </a:xfrm>
                          <a:prstGeom prst="rect">
                            <a:avLst/>
                          </a:prstGeom>
                          <a:noFill/>
                          <a:ln>
                            <a:noFill/>
                          </a:ln>
                        </pic:spPr>
                      </pic:pic>
                    </a:graphicData>
                  </a:graphic>
                </wp:inline>
              </w:drawing>
            </w:r>
          </w:p>
          <w:p w:rsidR="00E24DB7" w:rsidRPr="002C5876" w:rsidRDefault="00E24DB7" w:rsidP="00E24DB7">
            <w:pPr>
              <w:spacing w:before="60" w:after="60" w:line="220" w:lineRule="atLeast"/>
              <w:ind w:left="57" w:right="57"/>
              <w:rPr>
                <w:sz w:val="18"/>
                <w:szCs w:val="18"/>
              </w:rPr>
            </w:pPr>
            <w:r w:rsidRPr="002C5876">
              <w:rPr>
                <w:sz w:val="18"/>
                <w:szCs w:val="18"/>
              </w:rPr>
              <w:t>Si K</w:t>
            </w:r>
            <w:r w:rsidRPr="002C5876">
              <w:rPr>
                <w:sz w:val="18"/>
                <w:szCs w:val="18"/>
                <w:vertAlign w:val="subscript"/>
              </w:rPr>
              <w:t>i</w:t>
            </w:r>
            <w:r w:rsidRPr="002C5876">
              <w:rPr>
                <w:sz w:val="18"/>
                <w:szCs w:val="18"/>
              </w:rPr>
              <w:t xml:space="preserve"> n’est pas applicable :</w:t>
            </w:r>
          </w:p>
          <w:p w:rsidR="00E24DB7" w:rsidRPr="002C5876" w:rsidRDefault="00E24DB7" w:rsidP="00E24DB7">
            <w:pPr>
              <w:spacing w:before="60" w:after="60" w:line="220" w:lineRule="atLeast"/>
              <w:ind w:left="57" w:right="57"/>
              <w:rPr>
                <w:sz w:val="18"/>
                <w:szCs w:val="18"/>
              </w:rPr>
            </w:pPr>
            <w:r w:rsidRPr="002C5876">
              <w:rPr>
                <w:sz w:val="18"/>
                <w:szCs w:val="18"/>
              </w:rPr>
              <w:t>M</w:t>
            </w:r>
            <w:r w:rsidRPr="002C5876">
              <w:rPr>
                <w:sz w:val="18"/>
                <w:szCs w:val="18"/>
                <w:vertAlign w:val="subscript"/>
              </w:rPr>
              <w:t>CO2,p,4</w:t>
            </w:r>
            <w:r w:rsidRPr="002C5876">
              <w:rPr>
                <w:sz w:val="18"/>
                <w:szCs w:val="18"/>
              </w:rPr>
              <w:t xml:space="preserve"> = M</w:t>
            </w:r>
            <w:r w:rsidRPr="002C5876">
              <w:rPr>
                <w:sz w:val="18"/>
                <w:szCs w:val="18"/>
                <w:vertAlign w:val="subscript"/>
              </w:rPr>
              <w:t>CO2,p,3</w:t>
            </w:r>
          </w:p>
        </w:tc>
        <w:tc>
          <w:tcPr>
            <w:tcW w:w="1498" w:type="dxa"/>
            <w:tcBorders>
              <w:top w:val="nil"/>
            </w:tcBorders>
          </w:tcPr>
          <w:p w:rsidR="00E24DB7" w:rsidRPr="002C5876" w:rsidRDefault="00E24DB7" w:rsidP="00E24DB7">
            <w:pPr>
              <w:spacing w:before="60" w:after="60" w:line="220" w:lineRule="atLeast"/>
              <w:ind w:left="57" w:right="57"/>
              <w:rPr>
                <w:sz w:val="18"/>
                <w:szCs w:val="18"/>
              </w:rPr>
            </w:pPr>
          </w:p>
        </w:tc>
        <w:tc>
          <w:tcPr>
            <w:tcW w:w="1495" w:type="dxa"/>
            <w:tcBorders>
              <w:top w:val="nil"/>
            </w:tcBorders>
          </w:tcPr>
          <w:p w:rsidR="00E24DB7" w:rsidRPr="002C5876" w:rsidRDefault="00E24DB7" w:rsidP="00E24DB7">
            <w:pPr>
              <w:spacing w:before="60" w:after="60" w:line="220" w:lineRule="atLeast"/>
              <w:ind w:left="57" w:right="57"/>
              <w:rPr>
                <w:sz w:val="18"/>
                <w:szCs w:val="18"/>
              </w:rPr>
            </w:pPr>
          </w:p>
        </w:tc>
      </w:tr>
      <w:tr w:rsidR="00E24DB7" w:rsidRPr="002C5876" w:rsidTr="00E24DB7">
        <w:tc>
          <w:tcPr>
            <w:tcW w:w="1629" w:type="dxa"/>
          </w:tcPr>
          <w:p w:rsidR="00E24DB7" w:rsidRPr="002C5876" w:rsidRDefault="00E24DB7" w:rsidP="00E24DB7">
            <w:pPr>
              <w:keepNext/>
              <w:keepLines/>
              <w:spacing w:before="60" w:after="60" w:line="220" w:lineRule="atLeast"/>
              <w:ind w:left="57" w:right="57"/>
              <w:rPr>
                <w:sz w:val="18"/>
                <w:szCs w:val="18"/>
              </w:rPr>
            </w:pPr>
            <w:r w:rsidRPr="002C5876">
              <w:rPr>
                <w:sz w:val="18"/>
                <w:szCs w:val="18"/>
              </w:rPr>
              <w:lastRenderedPageBreak/>
              <w:t>Sortie de l’étape 4</w:t>
            </w:r>
          </w:p>
        </w:tc>
        <w:tc>
          <w:tcPr>
            <w:tcW w:w="1498" w:type="dxa"/>
          </w:tcPr>
          <w:p w:rsidR="00E24DB7" w:rsidRPr="00D53F39" w:rsidRDefault="00E24DB7" w:rsidP="00E24DB7">
            <w:pPr>
              <w:keepNext/>
              <w:keepLines/>
              <w:spacing w:before="60" w:after="60" w:line="220" w:lineRule="atLeast"/>
              <w:ind w:left="57" w:right="57"/>
              <w:rPr>
                <w:sz w:val="18"/>
                <w:szCs w:val="18"/>
                <w:lang w:val="es-ES"/>
              </w:rPr>
            </w:pPr>
            <w:r w:rsidRPr="00D53F39">
              <w:rPr>
                <w:sz w:val="18"/>
                <w:szCs w:val="18"/>
                <w:lang w:val="es-ES"/>
              </w:rPr>
              <w:t>M</w:t>
            </w:r>
            <w:r w:rsidRPr="00D53F39">
              <w:rPr>
                <w:sz w:val="18"/>
                <w:szCs w:val="18"/>
                <w:vertAlign w:val="subscript"/>
                <w:lang w:val="es-ES"/>
              </w:rPr>
              <w:t>i,c,4</w:t>
            </w:r>
            <w:r w:rsidRPr="00D53F39">
              <w:rPr>
                <w:sz w:val="18"/>
                <w:szCs w:val="18"/>
                <w:lang w:val="es-ES"/>
              </w:rPr>
              <w:t>, g/km</w:t>
            </w:r>
          </w:p>
          <w:p w:rsidR="00E24DB7" w:rsidRPr="00D53F39" w:rsidRDefault="00E24DB7" w:rsidP="00E24DB7">
            <w:pPr>
              <w:keepNext/>
              <w:keepLines/>
              <w:spacing w:before="60" w:after="60" w:line="220" w:lineRule="atLeast"/>
              <w:ind w:left="57" w:right="57"/>
              <w:rPr>
                <w:sz w:val="18"/>
                <w:szCs w:val="18"/>
                <w:lang w:val="es-ES"/>
              </w:rPr>
            </w:pPr>
            <w:r w:rsidRPr="00D53F39">
              <w:rPr>
                <w:sz w:val="18"/>
                <w:szCs w:val="18"/>
                <w:lang w:val="es-ES"/>
              </w:rPr>
              <w:t>M</w:t>
            </w:r>
            <w:r w:rsidRPr="00D53F39">
              <w:rPr>
                <w:sz w:val="18"/>
                <w:szCs w:val="18"/>
                <w:vertAlign w:val="subscript"/>
                <w:lang w:val="es-ES"/>
              </w:rPr>
              <w:t>CO2,c,4</w:t>
            </w:r>
            <w:r w:rsidRPr="00D53F39">
              <w:rPr>
                <w:sz w:val="18"/>
                <w:szCs w:val="18"/>
                <w:lang w:val="es-ES"/>
              </w:rPr>
              <w:t>, g/km</w:t>
            </w:r>
          </w:p>
          <w:p w:rsidR="00E24DB7" w:rsidRPr="002C5876" w:rsidRDefault="00E24DB7" w:rsidP="00E24DB7">
            <w:pPr>
              <w:keepNext/>
              <w:keepLines/>
              <w:spacing w:before="60" w:after="60" w:line="220" w:lineRule="atLeast"/>
              <w:ind w:left="57" w:right="57"/>
              <w:rPr>
                <w:sz w:val="18"/>
                <w:szCs w:val="18"/>
              </w:rPr>
            </w:pPr>
            <w:r w:rsidRPr="002C5876">
              <w:rPr>
                <w:sz w:val="18"/>
                <w:szCs w:val="18"/>
              </w:rPr>
              <w:t>M</w:t>
            </w:r>
            <w:r w:rsidRPr="002C5876">
              <w:rPr>
                <w:sz w:val="18"/>
                <w:szCs w:val="18"/>
                <w:vertAlign w:val="subscript"/>
              </w:rPr>
              <w:t>CO2,p,4</w:t>
            </w:r>
            <w:r w:rsidRPr="002C5876">
              <w:rPr>
                <w:sz w:val="18"/>
                <w:szCs w:val="18"/>
              </w:rPr>
              <w:t>, g/km</w:t>
            </w:r>
          </w:p>
        </w:tc>
        <w:tc>
          <w:tcPr>
            <w:tcW w:w="3519" w:type="dxa"/>
          </w:tcPr>
          <w:p w:rsidR="00E24DB7" w:rsidRPr="002C5876" w:rsidRDefault="00E24DB7" w:rsidP="00E24DB7">
            <w:pPr>
              <w:keepNext/>
              <w:keepLines/>
              <w:spacing w:before="60" w:after="60" w:line="220" w:lineRule="atLeast"/>
              <w:ind w:left="57" w:right="57"/>
              <w:rPr>
                <w:sz w:val="18"/>
                <w:szCs w:val="18"/>
              </w:rPr>
            </w:pPr>
            <w:r w:rsidRPr="002C5876">
              <w:rPr>
                <w:sz w:val="18"/>
                <w:szCs w:val="18"/>
              </w:rPr>
              <w:t>Place réservée pour corrections additionnelles, si nécessaires.</w:t>
            </w:r>
          </w:p>
          <w:p w:rsidR="00E24DB7" w:rsidRPr="002C5876" w:rsidRDefault="00E24DB7" w:rsidP="00E24DB7">
            <w:pPr>
              <w:keepNext/>
              <w:keepLines/>
              <w:spacing w:before="60" w:after="60" w:line="220" w:lineRule="atLeast"/>
              <w:ind w:left="57" w:right="57"/>
              <w:rPr>
                <w:sz w:val="18"/>
                <w:szCs w:val="18"/>
              </w:rPr>
            </w:pPr>
            <w:r w:rsidRPr="002C5876">
              <w:rPr>
                <w:sz w:val="18"/>
                <w:szCs w:val="18"/>
              </w:rPr>
              <w:t>À défaut :</w:t>
            </w:r>
          </w:p>
          <w:p w:rsidR="00E24DB7" w:rsidRPr="002C5876" w:rsidRDefault="00E24DB7" w:rsidP="00E24DB7">
            <w:pPr>
              <w:keepNext/>
              <w:keepLines/>
              <w:spacing w:before="60" w:after="60" w:line="220" w:lineRule="atLeast"/>
              <w:ind w:left="57" w:right="57"/>
              <w:rPr>
                <w:sz w:val="18"/>
                <w:szCs w:val="18"/>
              </w:rPr>
            </w:pPr>
            <w:r w:rsidRPr="002C5876">
              <w:rPr>
                <w:sz w:val="18"/>
                <w:szCs w:val="18"/>
              </w:rPr>
              <w:t>M</w:t>
            </w:r>
            <w:r w:rsidRPr="002C5876">
              <w:rPr>
                <w:sz w:val="18"/>
                <w:szCs w:val="18"/>
                <w:vertAlign w:val="subscript"/>
              </w:rPr>
              <w:t xml:space="preserve">i,c,5 = </w:t>
            </w:r>
            <w:r w:rsidRPr="002C5876">
              <w:rPr>
                <w:sz w:val="18"/>
                <w:szCs w:val="18"/>
              </w:rPr>
              <w:t>M</w:t>
            </w:r>
            <w:r w:rsidRPr="002C5876">
              <w:rPr>
                <w:sz w:val="18"/>
                <w:szCs w:val="18"/>
                <w:vertAlign w:val="subscript"/>
              </w:rPr>
              <w:t>i,c,4</w:t>
            </w:r>
          </w:p>
          <w:p w:rsidR="00E24DB7" w:rsidRPr="00D53F39" w:rsidRDefault="00E24DB7" w:rsidP="00E24DB7">
            <w:pPr>
              <w:keepNext/>
              <w:keepLines/>
              <w:spacing w:before="60" w:after="60" w:line="220" w:lineRule="atLeast"/>
              <w:ind w:left="57" w:right="57"/>
              <w:rPr>
                <w:sz w:val="18"/>
                <w:szCs w:val="18"/>
                <w:vertAlign w:val="subscript"/>
                <w:lang w:val="es-ES"/>
              </w:rPr>
            </w:pPr>
            <w:r w:rsidRPr="00D53F39">
              <w:rPr>
                <w:sz w:val="18"/>
                <w:szCs w:val="18"/>
                <w:lang w:val="es-ES"/>
              </w:rPr>
              <w:t>M</w:t>
            </w:r>
            <w:r w:rsidRPr="00D53F39">
              <w:rPr>
                <w:sz w:val="18"/>
                <w:szCs w:val="18"/>
                <w:vertAlign w:val="subscript"/>
                <w:lang w:val="es-ES"/>
              </w:rPr>
              <w:t xml:space="preserve">CO2,c,5 = </w:t>
            </w:r>
            <w:r w:rsidRPr="00D53F39">
              <w:rPr>
                <w:sz w:val="18"/>
                <w:szCs w:val="18"/>
                <w:lang w:val="es-ES"/>
              </w:rPr>
              <w:t>M</w:t>
            </w:r>
            <w:r w:rsidRPr="00D53F39">
              <w:rPr>
                <w:sz w:val="18"/>
                <w:szCs w:val="18"/>
                <w:vertAlign w:val="subscript"/>
                <w:lang w:val="es-ES"/>
              </w:rPr>
              <w:t>CO2,c,4</w:t>
            </w:r>
          </w:p>
          <w:p w:rsidR="00E24DB7" w:rsidRPr="00D53F39" w:rsidRDefault="00E24DB7" w:rsidP="00E24DB7">
            <w:pPr>
              <w:keepNext/>
              <w:keepLines/>
              <w:spacing w:before="60" w:after="60" w:line="220" w:lineRule="atLeast"/>
              <w:ind w:left="57" w:right="57"/>
              <w:rPr>
                <w:sz w:val="18"/>
                <w:szCs w:val="18"/>
                <w:lang w:val="es-ES"/>
              </w:rPr>
            </w:pPr>
            <w:r w:rsidRPr="00D53F39">
              <w:rPr>
                <w:sz w:val="18"/>
                <w:szCs w:val="18"/>
                <w:lang w:val="es-ES"/>
              </w:rPr>
              <w:t>M</w:t>
            </w:r>
            <w:r w:rsidRPr="00D53F39">
              <w:rPr>
                <w:sz w:val="18"/>
                <w:szCs w:val="18"/>
                <w:vertAlign w:val="subscript"/>
                <w:lang w:val="es-ES"/>
              </w:rPr>
              <w:t xml:space="preserve">CO2,p,5 = </w:t>
            </w:r>
            <w:r w:rsidRPr="00D53F39">
              <w:rPr>
                <w:sz w:val="18"/>
                <w:szCs w:val="18"/>
                <w:lang w:val="es-ES"/>
              </w:rPr>
              <w:t>M</w:t>
            </w:r>
            <w:r w:rsidRPr="00D53F39">
              <w:rPr>
                <w:sz w:val="18"/>
                <w:szCs w:val="18"/>
                <w:vertAlign w:val="subscript"/>
                <w:lang w:val="es-ES"/>
              </w:rPr>
              <w:t>CO2,p,4</w:t>
            </w:r>
          </w:p>
        </w:tc>
        <w:tc>
          <w:tcPr>
            <w:tcW w:w="1498" w:type="dxa"/>
          </w:tcPr>
          <w:p w:rsidR="00E24DB7" w:rsidRPr="00D53F39" w:rsidRDefault="00E24DB7" w:rsidP="00E24DB7">
            <w:pPr>
              <w:keepNext/>
              <w:keepLines/>
              <w:spacing w:before="60" w:after="60" w:line="220" w:lineRule="atLeast"/>
              <w:ind w:left="57" w:right="57"/>
              <w:rPr>
                <w:sz w:val="18"/>
                <w:szCs w:val="18"/>
                <w:lang w:val="es-ES"/>
              </w:rPr>
            </w:pPr>
            <w:r w:rsidRPr="00D53F39">
              <w:rPr>
                <w:sz w:val="18"/>
                <w:szCs w:val="18"/>
                <w:lang w:val="es-ES"/>
              </w:rPr>
              <w:t>M</w:t>
            </w:r>
            <w:r w:rsidRPr="00D53F39">
              <w:rPr>
                <w:sz w:val="18"/>
                <w:szCs w:val="18"/>
                <w:vertAlign w:val="subscript"/>
                <w:lang w:val="es-ES"/>
              </w:rPr>
              <w:t>i,c,5</w:t>
            </w:r>
            <w:r w:rsidRPr="00D53F39">
              <w:rPr>
                <w:sz w:val="18"/>
                <w:szCs w:val="18"/>
                <w:lang w:val="es-ES"/>
              </w:rPr>
              <w:t>, g/km</w:t>
            </w:r>
          </w:p>
          <w:p w:rsidR="00E24DB7" w:rsidRPr="00D53F39" w:rsidRDefault="00E24DB7" w:rsidP="00E24DB7">
            <w:pPr>
              <w:keepNext/>
              <w:keepLines/>
              <w:spacing w:before="60" w:after="60" w:line="220" w:lineRule="atLeast"/>
              <w:ind w:left="57" w:right="57"/>
              <w:rPr>
                <w:sz w:val="18"/>
                <w:szCs w:val="18"/>
                <w:lang w:val="es-ES"/>
              </w:rPr>
            </w:pPr>
            <w:r w:rsidRPr="00D53F39">
              <w:rPr>
                <w:sz w:val="18"/>
                <w:szCs w:val="18"/>
                <w:lang w:val="es-ES"/>
              </w:rPr>
              <w:t>M</w:t>
            </w:r>
            <w:r w:rsidRPr="00D53F39">
              <w:rPr>
                <w:sz w:val="18"/>
                <w:szCs w:val="18"/>
                <w:vertAlign w:val="subscript"/>
                <w:lang w:val="es-ES"/>
              </w:rPr>
              <w:t>CO2,c,5</w:t>
            </w:r>
            <w:r w:rsidRPr="00D53F39">
              <w:rPr>
                <w:sz w:val="18"/>
                <w:szCs w:val="18"/>
                <w:lang w:val="es-ES"/>
              </w:rPr>
              <w:t>, g/km</w:t>
            </w:r>
          </w:p>
          <w:p w:rsidR="00E24DB7" w:rsidRPr="002C5876" w:rsidRDefault="00E24DB7" w:rsidP="00E24DB7">
            <w:pPr>
              <w:keepNext/>
              <w:keepLines/>
              <w:spacing w:before="60" w:after="60" w:line="220" w:lineRule="atLeast"/>
              <w:ind w:left="57" w:right="57"/>
              <w:rPr>
                <w:sz w:val="18"/>
                <w:szCs w:val="18"/>
              </w:rPr>
            </w:pPr>
            <w:r w:rsidRPr="002C5876">
              <w:rPr>
                <w:sz w:val="18"/>
                <w:szCs w:val="18"/>
              </w:rPr>
              <w:t>M</w:t>
            </w:r>
            <w:r w:rsidRPr="002C5876">
              <w:rPr>
                <w:sz w:val="18"/>
                <w:szCs w:val="18"/>
                <w:vertAlign w:val="subscript"/>
              </w:rPr>
              <w:t>CO2,p,5</w:t>
            </w:r>
            <w:r w:rsidRPr="002C5876">
              <w:rPr>
                <w:sz w:val="18"/>
                <w:szCs w:val="18"/>
              </w:rPr>
              <w:t>, g/km.</w:t>
            </w:r>
          </w:p>
        </w:tc>
        <w:tc>
          <w:tcPr>
            <w:tcW w:w="1501" w:type="dxa"/>
            <w:gridSpan w:val="2"/>
          </w:tcPr>
          <w:p w:rsidR="00E24DB7" w:rsidRPr="002C5876" w:rsidRDefault="00E24DB7" w:rsidP="00E24DB7">
            <w:pPr>
              <w:keepNext/>
              <w:keepLines/>
              <w:spacing w:before="60" w:after="60" w:line="220" w:lineRule="atLeast"/>
              <w:ind w:left="57" w:right="57"/>
              <w:rPr>
                <w:sz w:val="18"/>
                <w:szCs w:val="18"/>
              </w:rPr>
            </w:pPr>
            <w:r w:rsidRPr="002C5876">
              <w:rPr>
                <w:sz w:val="18"/>
                <w:szCs w:val="18"/>
              </w:rPr>
              <w:t>5</w:t>
            </w:r>
          </w:p>
          <w:p w:rsidR="00E24DB7" w:rsidRPr="002C5876" w:rsidRDefault="00E24DB7" w:rsidP="00E24DB7">
            <w:pPr>
              <w:keepNext/>
              <w:keepLines/>
              <w:spacing w:before="60" w:after="60" w:line="220" w:lineRule="atLeast"/>
              <w:ind w:left="57" w:right="57"/>
              <w:rPr>
                <w:sz w:val="18"/>
                <w:szCs w:val="18"/>
              </w:rPr>
            </w:pPr>
            <w:r w:rsidRPr="002C5876">
              <w:rPr>
                <w:sz w:val="18"/>
                <w:szCs w:val="18"/>
              </w:rPr>
              <w:t>Résultat d’un essai unique.</w:t>
            </w:r>
          </w:p>
        </w:tc>
      </w:tr>
      <w:tr w:rsidR="00E24DB7" w:rsidRPr="002C5876" w:rsidTr="00E24DB7">
        <w:tc>
          <w:tcPr>
            <w:tcW w:w="1629" w:type="dxa"/>
          </w:tcPr>
          <w:p w:rsidR="00E24DB7" w:rsidRPr="002C5876" w:rsidRDefault="00E24DB7" w:rsidP="00E24DB7">
            <w:pPr>
              <w:keepNext/>
              <w:keepLines/>
              <w:spacing w:before="60" w:after="60" w:line="220" w:lineRule="atLeast"/>
              <w:ind w:left="57" w:right="57"/>
              <w:rPr>
                <w:sz w:val="18"/>
                <w:szCs w:val="18"/>
              </w:rPr>
            </w:pPr>
            <w:r w:rsidRPr="002C5876">
              <w:rPr>
                <w:sz w:val="18"/>
                <w:szCs w:val="18"/>
              </w:rPr>
              <w:t>Sortie de l’étape 5</w:t>
            </w:r>
          </w:p>
        </w:tc>
        <w:tc>
          <w:tcPr>
            <w:tcW w:w="1498" w:type="dxa"/>
          </w:tcPr>
          <w:p w:rsidR="00E24DB7" w:rsidRPr="002C5876" w:rsidRDefault="00E24DB7" w:rsidP="00E24DB7">
            <w:pPr>
              <w:keepNext/>
              <w:keepLines/>
              <w:spacing w:before="60" w:after="60" w:line="220" w:lineRule="atLeast"/>
              <w:ind w:left="57" w:right="57"/>
              <w:rPr>
                <w:sz w:val="18"/>
                <w:szCs w:val="18"/>
              </w:rPr>
            </w:pPr>
            <w:r w:rsidRPr="002C5876">
              <w:rPr>
                <w:sz w:val="18"/>
                <w:szCs w:val="18"/>
              </w:rPr>
              <w:t>Pour chaque essai :</w:t>
            </w:r>
          </w:p>
          <w:p w:rsidR="00E24DB7" w:rsidRPr="002C5876" w:rsidRDefault="00E24DB7" w:rsidP="00E24DB7">
            <w:pPr>
              <w:keepNext/>
              <w:keepLines/>
              <w:spacing w:before="60" w:after="60" w:line="220" w:lineRule="atLeast"/>
              <w:ind w:left="57" w:right="57"/>
              <w:rPr>
                <w:sz w:val="18"/>
                <w:szCs w:val="18"/>
              </w:rPr>
            </w:pPr>
            <w:r w:rsidRPr="002C5876">
              <w:rPr>
                <w:sz w:val="18"/>
                <w:szCs w:val="18"/>
              </w:rPr>
              <w:t>M</w:t>
            </w:r>
            <w:r w:rsidRPr="002C5876">
              <w:rPr>
                <w:sz w:val="18"/>
                <w:szCs w:val="18"/>
                <w:vertAlign w:val="subscript"/>
              </w:rPr>
              <w:t>i,c,5</w:t>
            </w:r>
            <w:r w:rsidRPr="002C5876">
              <w:rPr>
                <w:sz w:val="18"/>
                <w:szCs w:val="18"/>
              </w:rPr>
              <w:t>, g/km</w:t>
            </w:r>
          </w:p>
          <w:p w:rsidR="00E24DB7" w:rsidRPr="002C5876" w:rsidRDefault="00E24DB7" w:rsidP="00E24DB7">
            <w:pPr>
              <w:keepNext/>
              <w:keepLines/>
              <w:spacing w:before="60" w:after="60" w:line="220" w:lineRule="atLeast"/>
              <w:ind w:left="57" w:right="57"/>
              <w:rPr>
                <w:sz w:val="18"/>
                <w:szCs w:val="18"/>
              </w:rPr>
            </w:pPr>
            <w:r w:rsidRPr="002C5876">
              <w:rPr>
                <w:sz w:val="18"/>
                <w:szCs w:val="18"/>
              </w:rPr>
              <w:t>M</w:t>
            </w:r>
            <w:r w:rsidRPr="002C5876">
              <w:rPr>
                <w:sz w:val="18"/>
                <w:szCs w:val="18"/>
                <w:vertAlign w:val="subscript"/>
              </w:rPr>
              <w:t>CO2,c,5</w:t>
            </w:r>
            <w:r w:rsidRPr="002C5876">
              <w:rPr>
                <w:sz w:val="18"/>
                <w:szCs w:val="18"/>
              </w:rPr>
              <w:t>, g/km</w:t>
            </w:r>
          </w:p>
          <w:p w:rsidR="00E24DB7" w:rsidRPr="002C5876" w:rsidRDefault="00E24DB7" w:rsidP="00E24DB7">
            <w:pPr>
              <w:keepNext/>
              <w:keepLines/>
              <w:spacing w:before="60" w:after="60" w:line="220" w:lineRule="atLeast"/>
              <w:ind w:left="57" w:right="57"/>
              <w:rPr>
                <w:sz w:val="18"/>
                <w:szCs w:val="18"/>
              </w:rPr>
            </w:pPr>
            <w:r w:rsidRPr="002C5876">
              <w:rPr>
                <w:sz w:val="18"/>
                <w:szCs w:val="18"/>
              </w:rPr>
              <w:t>M</w:t>
            </w:r>
            <w:r w:rsidRPr="002C5876">
              <w:rPr>
                <w:sz w:val="18"/>
                <w:szCs w:val="18"/>
                <w:vertAlign w:val="subscript"/>
              </w:rPr>
              <w:t>CO2,p,5</w:t>
            </w:r>
            <w:r w:rsidRPr="002C5876">
              <w:rPr>
                <w:sz w:val="18"/>
                <w:szCs w:val="18"/>
              </w:rPr>
              <w:t>, g/km</w:t>
            </w:r>
          </w:p>
        </w:tc>
        <w:tc>
          <w:tcPr>
            <w:tcW w:w="3519" w:type="dxa"/>
          </w:tcPr>
          <w:p w:rsidR="00E24DB7" w:rsidRPr="002C5876" w:rsidRDefault="00E24DB7" w:rsidP="00E24DB7">
            <w:pPr>
              <w:keepNext/>
              <w:keepLines/>
              <w:spacing w:before="60" w:after="60" w:line="220" w:lineRule="atLeast"/>
              <w:ind w:left="57" w:right="57"/>
              <w:rPr>
                <w:sz w:val="18"/>
                <w:szCs w:val="18"/>
              </w:rPr>
            </w:pPr>
            <w:r w:rsidRPr="002C5876">
              <w:rPr>
                <w:sz w:val="18"/>
                <w:szCs w:val="18"/>
              </w:rPr>
              <w:t>Calcul de la valeur moyenne des essais et valeur déclarée</w:t>
            </w:r>
          </w:p>
          <w:p w:rsidR="00E24DB7" w:rsidRPr="002C5876" w:rsidRDefault="00E24DB7" w:rsidP="00E24DB7">
            <w:pPr>
              <w:keepNext/>
              <w:keepLines/>
              <w:spacing w:before="60" w:after="60" w:line="220" w:lineRule="atLeast"/>
              <w:ind w:left="57" w:right="57"/>
              <w:rPr>
                <w:sz w:val="18"/>
                <w:szCs w:val="18"/>
              </w:rPr>
            </w:pPr>
            <w:r w:rsidRPr="002C5876">
              <w:rPr>
                <w:sz w:val="18"/>
                <w:szCs w:val="18"/>
              </w:rPr>
              <w:t>Par. 1.2 à 1.2.3 de l’annexe 6</w:t>
            </w:r>
          </w:p>
        </w:tc>
        <w:tc>
          <w:tcPr>
            <w:tcW w:w="1498" w:type="dxa"/>
          </w:tcPr>
          <w:p w:rsidR="00E24DB7" w:rsidRPr="00D53F39" w:rsidRDefault="00E24DB7" w:rsidP="00E24DB7">
            <w:pPr>
              <w:keepNext/>
              <w:keepLines/>
              <w:spacing w:before="60" w:after="60" w:line="220" w:lineRule="atLeast"/>
              <w:ind w:left="57" w:right="57"/>
              <w:rPr>
                <w:sz w:val="18"/>
                <w:szCs w:val="18"/>
                <w:lang w:val="es-ES"/>
              </w:rPr>
            </w:pPr>
            <w:r w:rsidRPr="00D53F39">
              <w:rPr>
                <w:sz w:val="18"/>
                <w:szCs w:val="18"/>
                <w:lang w:val="es-ES"/>
              </w:rPr>
              <w:t>M</w:t>
            </w:r>
            <w:r w:rsidRPr="00D53F39">
              <w:rPr>
                <w:sz w:val="18"/>
                <w:szCs w:val="18"/>
                <w:vertAlign w:val="subscript"/>
                <w:lang w:val="es-ES"/>
              </w:rPr>
              <w:t>i,c,6</w:t>
            </w:r>
            <w:r w:rsidRPr="00D53F39">
              <w:rPr>
                <w:sz w:val="18"/>
                <w:szCs w:val="18"/>
                <w:lang w:val="es-ES"/>
              </w:rPr>
              <w:t>, g/km</w:t>
            </w:r>
          </w:p>
          <w:p w:rsidR="00E24DB7" w:rsidRPr="00D53F39" w:rsidRDefault="00E24DB7" w:rsidP="00E24DB7">
            <w:pPr>
              <w:keepNext/>
              <w:keepLines/>
              <w:spacing w:before="60" w:after="60" w:line="220" w:lineRule="atLeast"/>
              <w:ind w:left="57" w:right="57"/>
              <w:rPr>
                <w:sz w:val="18"/>
                <w:szCs w:val="18"/>
                <w:lang w:val="es-ES"/>
              </w:rPr>
            </w:pPr>
            <w:r w:rsidRPr="00D53F39">
              <w:rPr>
                <w:sz w:val="18"/>
                <w:szCs w:val="18"/>
                <w:lang w:val="es-ES"/>
              </w:rPr>
              <w:t>M</w:t>
            </w:r>
            <w:r w:rsidRPr="00D53F39">
              <w:rPr>
                <w:sz w:val="18"/>
                <w:szCs w:val="18"/>
                <w:vertAlign w:val="subscript"/>
                <w:lang w:val="es-ES"/>
              </w:rPr>
              <w:t>CO2,c,6</w:t>
            </w:r>
            <w:r w:rsidRPr="00D53F39">
              <w:rPr>
                <w:sz w:val="18"/>
                <w:szCs w:val="18"/>
                <w:lang w:val="es-ES"/>
              </w:rPr>
              <w:t>, g/km</w:t>
            </w:r>
          </w:p>
          <w:p w:rsidR="00E24DB7" w:rsidRPr="002C5876" w:rsidRDefault="00E24DB7" w:rsidP="00E24DB7">
            <w:pPr>
              <w:keepNext/>
              <w:keepLines/>
              <w:spacing w:before="60" w:after="60" w:line="220" w:lineRule="atLeast"/>
              <w:ind w:left="57" w:right="57"/>
              <w:rPr>
                <w:sz w:val="18"/>
                <w:szCs w:val="18"/>
              </w:rPr>
            </w:pPr>
            <w:r w:rsidRPr="002C5876">
              <w:rPr>
                <w:sz w:val="18"/>
                <w:szCs w:val="18"/>
              </w:rPr>
              <w:t>M</w:t>
            </w:r>
            <w:r w:rsidRPr="002C5876">
              <w:rPr>
                <w:sz w:val="18"/>
                <w:szCs w:val="18"/>
                <w:vertAlign w:val="subscript"/>
              </w:rPr>
              <w:t>CO2,p,6</w:t>
            </w:r>
            <w:r w:rsidRPr="002C5876">
              <w:rPr>
                <w:sz w:val="18"/>
                <w:szCs w:val="18"/>
              </w:rPr>
              <w:t>, g/km</w:t>
            </w:r>
          </w:p>
          <w:p w:rsidR="00E24DB7" w:rsidRPr="002C5876" w:rsidRDefault="00E24DB7" w:rsidP="00E24DB7">
            <w:pPr>
              <w:keepNext/>
              <w:keepLines/>
              <w:spacing w:before="60" w:after="60" w:line="220" w:lineRule="atLeast"/>
              <w:ind w:left="57" w:right="57"/>
              <w:rPr>
                <w:spacing w:val="-1"/>
                <w:sz w:val="18"/>
                <w:szCs w:val="18"/>
              </w:rPr>
            </w:pPr>
            <w:r w:rsidRPr="002C5876">
              <w:rPr>
                <w:spacing w:val="-1"/>
                <w:sz w:val="18"/>
                <w:szCs w:val="18"/>
              </w:rPr>
              <w:t>M</w:t>
            </w:r>
            <w:r w:rsidRPr="002C5876">
              <w:rPr>
                <w:spacing w:val="-1"/>
                <w:sz w:val="18"/>
                <w:szCs w:val="18"/>
                <w:vertAlign w:val="subscript"/>
              </w:rPr>
              <w:t>CO2,c,declared</w:t>
            </w:r>
            <w:r w:rsidRPr="002C5876">
              <w:rPr>
                <w:spacing w:val="-1"/>
                <w:sz w:val="18"/>
                <w:szCs w:val="18"/>
              </w:rPr>
              <w:t>, g/km</w:t>
            </w:r>
          </w:p>
        </w:tc>
        <w:tc>
          <w:tcPr>
            <w:tcW w:w="1501" w:type="dxa"/>
            <w:gridSpan w:val="2"/>
          </w:tcPr>
          <w:p w:rsidR="00E24DB7" w:rsidRPr="002C5876" w:rsidRDefault="00E24DB7" w:rsidP="00E24DB7">
            <w:pPr>
              <w:keepNext/>
              <w:keepLines/>
              <w:spacing w:before="60" w:after="60" w:line="220" w:lineRule="atLeast"/>
              <w:ind w:left="57" w:right="57"/>
              <w:rPr>
                <w:sz w:val="18"/>
                <w:szCs w:val="18"/>
              </w:rPr>
            </w:pPr>
            <w:r w:rsidRPr="002C5876">
              <w:rPr>
                <w:sz w:val="18"/>
                <w:szCs w:val="18"/>
              </w:rPr>
              <w:t>6</w:t>
            </w:r>
          </w:p>
        </w:tc>
      </w:tr>
      <w:tr w:rsidR="00E24DB7" w:rsidRPr="002C5876" w:rsidTr="00E24DB7">
        <w:tc>
          <w:tcPr>
            <w:tcW w:w="1629" w:type="dxa"/>
          </w:tcPr>
          <w:p w:rsidR="00E24DB7" w:rsidRPr="002C5876" w:rsidRDefault="00E24DB7" w:rsidP="00E24DB7">
            <w:pPr>
              <w:keepNext/>
              <w:keepLines/>
              <w:spacing w:before="60" w:after="60" w:line="220" w:lineRule="atLeast"/>
              <w:ind w:left="57" w:right="57"/>
              <w:rPr>
                <w:sz w:val="18"/>
                <w:szCs w:val="18"/>
              </w:rPr>
            </w:pPr>
            <w:r w:rsidRPr="002C5876">
              <w:rPr>
                <w:sz w:val="18"/>
                <w:szCs w:val="18"/>
              </w:rPr>
              <w:t>Sortie de l’étape 6</w:t>
            </w:r>
          </w:p>
        </w:tc>
        <w:tc>
          <w:tcPr>
            <w:tcW w:w="1498" w:type="dxa"/>
          </w:tcPr>
          <w:p w:rsidR="00E24DB7" w:rsidRPr="002C5876" w:rsidRDefault="00E24DB7" w:rsidP="00E24DB7">
            <w:pPr>
              <w:keepNext/>
              <w:keepLines/>
              <w:spacing w:before="60" w:after="60" w:line="220" w:lineRule="atLeast"/>
              <w:ind w:left="57" w:right="57"/>
              <w:rPr>
                <w:sz w:val="18"/>
                <w:szCs w:val="18"/>
              </w:rPr>
            </w:pPr>
            <w:r w:rsidRPr="002C5876">
              <w:rPr>
                <w:sz w:val="18"/>
                <w:szCs w:val="18"/>
              </w:rPr>
              <w:t>M</w:t>
            </w:r>
            <w:r w:rsidRPr="002C5876">
              <w:rPr>
                <w:sz w:val="18"/>
                <w:szCs w:val="18"/>
                <w:vertAlign w:val="subscript"/>
              </w:rPr>
              <w:t>CO2,c,6</w:t>
            </w:r>
            <w:r w:rsidRPr="002C5876">
              <w:rPr>
                <w:sz w:val="18"/>
                <w:szCs w:val="18"/>
              </w:rPr>
              <w:t>, g/km</w:t>
            </w:r>
          </w:p>
          <w:p w:rsidR="00E24DB7" w:rsidRPr="002C5876" w:rsidRDefault="00E24DB7" w:rsidP="00E24DB7">
            <w:pPr>
              <w:keepNext/>
              <w:keepLines/>
              <w:spacing w:before="60" w:after="60" w:line="220" w:lineRule="atLeast"/>
              <w:ind w:left="57" w:right="57"/>
              <w:rPr>
                <w:sz w:val="18"/>
                <w:szCs w:val="18"/>
              </w:rPr>
            </w:pPr>
            <w:r w:rsidRPr="002C5876">
              <w:rPr>
                <w:sz w:val="18"/>
                <w:szCs w:val="18"/>
              </w:rPr>
              <w:t>M</w:t>
            </w:r>
            <w:r w:rsidRPr="002C5876">
              <w:rPr>
                <w:sz w:val="18"/>
                <w:szCs w:val="18"/>
                <w:vertAlign w:val="subscript"/>
              </w:rPr>
              <w:t>CO2,p,6</w:t>
            </w:r>
            <w:r w:rsidRPr="002C5876">
              <w:rPr>
                <w:sz w:val="18"/>
                <w:szCs w:val="18"/>
              </w:rPr>
              <w:t>, g/km</w:t>
            </w:r>
          </w:p>
          <w:p w:rsidR="00E24DB7" w:rsidRPr="002C5876" w:rsidRDefault="00E24DB7" w:rsidP="00E24DB7">
            <w:pPr>
              <w:keepNext/>
              <w:keepLines/>
              <w:spacing w:before="60" w:after="60" w:line="220" w:lineRule="atLeast"/>
              <w:ind w:left="57" w:right="57"/>
              <w:rPr>
                <w:sz w:val="18"/>
                <w:szCs w:val="18"/>
              </w:rPr>
            </w:pPr>
            <w:r w:rsidRPr="002C5876">
              <w:rPr>
                <w:sz w:val="18"/>
                <w:szCs w:val="18"/>
              </w:rPr>
              <w:t>M</w:t>
            </w:r>
            <w:r w:rsidRPr="002C5876">
              <w:rPr>
                <w:sz w:val="18"/>
                <w:szCs w:val="18"/>
                <w:vertAlign w:val="subscript"/>
              </w:rPr>
              <w:t>CO2,c,declared</w:t>
            </w:r>
            <w:r w:rsidRPr="002C5876">
              <w:rPr>
                <w:sz w:val="18"/>
                <w:szCs w:val="18"/>
              </w:rPr>
              <w:t>, g/km</w:t>
            </w:r>
          </w:p>
        </w:tc>
        <w:tc>
          <w:tcPr>
            <w:tcW w:w="3519" w:type="dxa"/>
          </w:tcPr>
          <w:p w:rsidR="00E24DB7" w:rsidRPr="002C5876" w:rsidRDefault="00E24DB7" w:rsidP="00E24DB7">
            <w:pPr>
              <w:keepNext/>
              <w:keepLines/>
              <w:spacing w:before="60" w:after="60" w:line="220" w:lineRule="atLeast"/>
              <w:ind w:left="57" w:right="57"/>
              <w:rPr>
                <w:sz w:val="18"/>
                <w:szCs w:val="18"/>
              </w:rPr>
            </w:pPr>
            <w:r w:rsidRPr="002C5876">
              <w:rPr>
                <w:sz w:val="18"/>
                <w:szCs w:val="18"/>
              </w:rPr>
              <w:t>Alignement des valeurs de phase.</w:t>
            </w:r>
          </w:p>
          <w:p w:rsidR="00E24DB7" w:rsidRPr="002C5876" w:rsidRDefault="00E24DB7" w:rsidP="00E24DB7">
            <w:pPr>
              <w:keepNext/>
              <w:keepLines/>
              <w:spacing w:before="60" w:after="60" w:line="220" w:lineRule="atLeast"/>
              <w:ind w:left="57" w:right="57"/>
              <w:rPr>
                <w:sz w:val="18"/>
                <w:szCs w:val="18"/>
              </w:rPr>
            </w:pPr>
            <w:r w:rsidRPr="002C5876">
              <w:rPr>
                <w:sz w:val="18"/>
                <w:szCs w:val="18"/>
              </w:rPr>
              <w:t>Par. 1.2.4 de l’annexe 6</w:t>
            </w:r>
          </w:p>
          <w:p w:rsidR="00E24DB7" w:rsidRPr="002C5876" w:rsidRDefault="00E24DB7" w:rsidP="00E24DB7">
            <w:pPr>
              <w:keepNext/>
              <w:keepLines/>
              <w:spacing w:before="60" w:after="60" w:line="220" w:lineRule="atLeast"/>
              <w:ind w:left="57" w:right="57"/>
              <w:rPr>
                <w:sz w:val="18"/>
                <w:szCs w:val="18"/>
              </w:rPr>
            </w:pPr>
            <w:r w:rsidRPr="002C5876">
              <w:rPr>
                <w:sz w:val="18"/>
                <w:szCs w:val="18"/>
              </w:rPr>
              <w:t>et :</w:t>
            </w:r>
          </w:p>
          <w:p w:rsidR="00E24DB7" w:rsidRPr="002C5876" w:rsidRDefault="00E24DB7" w:rsidP="00E24DB7">
            <w:pPr>
              <w:keepNext/>
              <w:keepLines/>
              <w:spacing w:before="60" w:after="60" w:line="220" w:lineRule="atLeast"/>
              <w:ind w:left="57" w:right="57"/>
              <w:rPr>
                <w:sz w:val="18"/>
                <w:szCs w:val="18"/>
              </w:rPr>
            </w:pPr>
            <w:r w:rsidRPr="002C5876">
              <w:rPr>
                <w:sz w:val="18"/>
                <w:szCs w:val="18"/>
              </w:rPr>
              <w:t>M</w:t>
            </w:r>
            <w:r w:rsidRPr="002C5876">
              <w:rPr>
                <w:sz w:val="18"/>
                <w:szCs w:val="18"/>
                <w:vertAlign w:val="subscript"/>
              </w:rPr>
              <w:t>CO2,c,7</w:t>
            </w:r>
            <w:r w:rsidRPr="002C5876">
              <w:rPr>
                <w:sz w:val="18"/>
                <w:szCs w:val="18"/>
              </w:rPr>
              <w:t xml:space="preserve"> = M</w:t>
            </w:r>
            <w:r w:rsidRPr="002C5876">
              <w:rPr>
                <w:sz w:val="18"/>
                <w:szCs w:val="18"/>
                <w:vertAlign w:val="subscript"/>
              </w:rPr>
              <w:t>CO2,c,declared</w:t>
            </w:r>
          </w:p>
        </w:tc>
        <w:tc>
          <w:tcPr>
            <w:tcW w:w="1498" w:type="dxa"/>
          </w:tcPr>
          <w:p w:rsidR="00E24DB7" w:rsidRPr="002C5876" w:rsidRDefault="00E24DB7" w:rsidP="00E24DB7">
            <w:pPr>
              <w:keepNext/>
              <w:keepLines/>
              <w:spacing w:before="60" w:after="60" w:line="220" w:lineRule="atLeast"/>
              <w:ind w:left="57" w:right="57"/>
              <w:rPr>
                <w:sz w:val="18"/>
                <w:szCs w:val="18"/>
              </w:rPr>
            </w:pPr>
            <w:r w:rsidRPr="002C5876">
              <w:rPr>
                <w:sz w:val="18"/>
                <w:szCs w:val="18"/>
              </w:rPr>
              <w:t>M</w:t>
            </w:r>
            <w:r w:rsidRPr="002C5876">
              <w:rPr>
                <w:sz w:val="18"/>
                <w:szCs w:val="18"/>
                <w:vertAlign w:val="subscript"/>
              </w:rPr>
              <w:t>CO2,c,7</w:t>
            </w:r>
            <w:r w:rsidRPr="002C5876">
              <w:rPr>
                <w:sz w:val="18"/>
                <w:szCs w:val="18"/>
              </w:rPr>
              <w:t>, g/km</w:t>
            </w:r>
          </w:p>
          <w:p w:rsidR="00E24DB7" w:rsidRPr="002C5876" w:rsidRDefault="00E24DB7" w:rsidP="00E24DB7">
            <w:pPr>
              <w:keepNext/>
              <w:keepLines/>
              <w:spacing w:before="60" w:after="60" w:line="220" w:lineRule="atLeast"/>
              <w:ind w:left="57" w:right="57"/>
              <w:rPr>
                <w:sz w:val="18"/>
                <w:szCs w:val="18"/>
              </w:rPr>
            </w:pPr>
            <w:r w:rsidRPr="002C5876">
              <w:rPr>
                <w:sz w:val="18"/>
                <w:szCs w:val="18"/>
              </w:rPr>
              <w:t>M</w:t>
            </w:r>
            <w:r w:rsidRPr="002C5876">
              <w:rPr>
                <w:sz w:val="18"/>
                <w:szCs w:val="18"/>
                <w:vertAlign w:val="subscript"/>
              </w:rPr>
              <w:t>CO2,p,7</w:t>
            </w:r>
            <w:r w:rsidRPr="002C5876">
              <w:rPr>
                <w:sz w:val="18"/>
                <w:szCs w:val="18"/>
              </w:rPr>
              <w:t>, g/km</w:t>
            </w:r>
          </w:p>
        </w:tc>
        <w:tc>
          <w:tcPr>
            <w:tcW w:w="1501" w:type="dxa"/>
            <w:gridSpan w:val="2"/>
          </w:tcPr>
          <w:p w:rsidR="00E24DB7" w:rsidRPr="002C5876" w:rsidRDefault="00E24DB7" w:rsidP="00E24DB7">
            <w:pPr>
              <w:keepNext/>
              <w:keepLines/>
              <w:spacing w:before="60" w:after="60" w:line="220" w:lineRule="atLeast"/>
              <w:ind w:left="57" w:right="57"/>
              <w:rPr>
                <w:sz w:val="18"/>
                <w:szCs w:val="18"/>
              </w:rPr>
            </w:pPr>
            <w:r w:rsidRPr="002C5876">
              <w:rPr>
                <w:sz w:val="18"/>
                <w:szCs w:val="18"/>
              </w:rPr>
              <w:t>7</w:t>
            </w:r>
          </w:p>
        </w:tc>
      </w:tr>
      <w:tr w:rsidR="00E24DB7" w:rsidRPr="002C5876" w:rsidTr="00E24DB7">
        <w:tc>
          <w:tcPr>
            <w:tcW w:w="1629" w:type="dxa"/>
          </w:tcPr>
          <w:p w:rsidR="00E24DB7" w:rsidRPr="002C5876" w:rsidRDefault="00E24DB7" w:rsidP="00E24DB7">
            <w:pPr>
              <w:spacing w:before="60" w:after="60" w:line="220" w:lineRule="atLeast"/>
              <w:ind w:left="57" w:right="57"/>
              <w:rPr>
                <w:sz w:val="18"/>
                <w:szCs w:val="18"/>
              </w:rPr>
            </w:pPr>
            <w:r w:rsidRPr="002C5876">
              <w:rPr>
                <w:sz w:val="18"/>
                <w:szCs w:val="18"/>
              </w:rPr>
              <w:t>Sortie des étapes 6 et 7</w:t>
            </w:r>
          </w:p>
        </w:tc>
        <w:tc>
          <w:tcPr>
            <w:tcW w:w="1498" w:type="dxa"/>
          </w:tcPr>
          <w:p w:rsidR="00E24DB7" w:rsidRPr="00D53F39" w:rsidRDefault="00E24DB7" w:rsidP="00E24DB7">
            <w:pPr>
              <w:spacing w:before="60" w:after="60" w:line="220" w:lineRule="atLeast"/>
              <w:ind w:left="57" w:right="57"/>
              <w:rPr>
                <w:sz w:val="18"/>
                <w:szCs w:val="18"/>
                <w:lang w:val="es-ES"/>
              </w:rPr>
            </w:pPr>
            <w:r w:rsidRPr="00D53F39">
              <w:rPr>
                <w:sz w:val="18"/>
                <w:szCs w:val="18"/>
                <w:lang w:val="es-ES"/>
              </w:rPr>
              <w:t>M</w:t>
            </w:r>
            <w:r w:rsidRPr="00D53F39">
              <w:rPr>
                <w:sz w:val="18"/>
                <w:szCs w:val="18"/>
                <w:vertAlign w:val="subscript"/>
                <w:lang w:val="es-ES"/>
              </w:rPr>
              <w:t>i,c,6</w:t>
            </w:r>
            <w:r w:rsidRPr="00D53F39">
              <w:rPr>
                <w:sz w:val="18"/>
                <w:szCs w:val="18"/>
                <w:lang w:val="es-ES"/>
              </w:rPr>
              <w:t>, g/km</w:t>
            </w:r>
          </w:p>
          <w:p w:rsidR="00E24DB7" w:rsidRPr="00D53F39" w:rsidRDefault="00E24DB7" w:rsidP="00E24DB7">
            <w:pPr>
              <w:spacing w:before="60" w:after="60" w:line="220" w:lineRule="atLeast"/>
              <w:ind w:left="57" w:right="57"/>
              <w:rPr>
                <w:sz w:val="18"/>
                <w:szCs w:val="18"/>
                <w:lang w:val="es-ES"/>
              </w:rPr>
            </w:pPr>
            <w:r w:rsidRPr="00D53F39">
              <w:rPr>
                <w:sz w:val="18"/>
                <w:szCs w:val="18"/>
                <w:lang w:val="es-ES"/>
              </w:rPr>
              <w:t>M</w:t>
            </w:r>
            <w:r w:rsidRPr="00D53F39">
              <w:rPr>
                <w:sz w:val="18"/>
                <w:szCs w:val="18"/>
                <w:vertAlign w:val="subscript"/>
                <w:lang w:val="es-ES"/>
              </w:rPr>
              <w:t>CO2,c,7</w:t>
            </w:r>
            <w:r w:rsidRPr="00D53F39">
              <w:rPr>
                <w:sz w:val="18"/>
                <w:szCs w:val="18"/>
                <w:lang w:val="es-ES"/>
              </w:rPr>
              <w:t>, g/km</w:t>
            </w:r>
          </w:p>
          <w:p w:rsidR="00E24DB7" w:rsidRPr="002C5876" w:rsidRDefault="00E24DB7" w:rsidP="00E24DB7">
            <w:pPr>
              <w:spacing w:before="60" w:after="60" w:line="220" w:lineRule="atLeast"/>
              <w:ind w:left="57" w:right="57"/>
              <w:rPr>
                <w:sz w:val="18"/>
                <w:szCs w:val="18"/>
              </w:rPr>
            </w:pPr>
            <w:r w:rsidRPr="002C5876">
              <w:rPr>
                <w:sz w:val="18"/>
                <w:szCs w:val="18"/>
              </w:rPr>
              <w:t>M</w:t>
            </w:r>
            <w:r w:rsidRPr="002C5876">
              <w:rPr>
                <w:sz w:val="18"/>
                <w:szCs w:val="18"/>
                <w:vertAlign w:val="subscript"/>
              </w:rPr>
              <w:t>CO2,p,7</w:t>
            </w:r>
            <w:r w:rsidRPr="002C5876">
              <w:rPr>
                <w:sz w:val="18"/>
                <w:szCs w:val="18"/>
              </w:rPr>
              <w:t>, g/km</w:t>
            </w:r>
          </w:p>
        </w:tc>
        <w:tc>
          <w:tcPr>
            <w:tcW w:w="3519" w:type="dxa"/>
          </w:tcPr>
          <w:p w:rsidR="00E24DB7" w:rsidRPr="002C5876" w:rsidRDefault="00E24DB7" w:rsidP="00E24DB7">
            <w:pPr>
              <w:spacing w:before="60" w:after="60" w:line="220" w:lineRule="atLeast"/>
              <w:ind w:left="57" w:right="57"/>
              <w:rPr>
                <w:sz w:val="18"/>
                <w:szCs w:val="18"/>
              </w:rPr>
            </w:pPr>
            <w:r w:rsidRPr="002C5876">
              <w:rPr>
                <w:sz w:val="18"/>
                <w:szCs w:val="18"/>
              </w:rPr>
              <w:t>Calcul de la consommation de carburant</w:t>
            </w:r>
          </w:p>
          <w:p w:rsidR="00E24DB7" w:rsidRPr="002C5876" w:rsidRDefault="00E24DB7" w:rsidP="00E24DB7">
            <w:pPr>
              <w:spacing w:before="60" w:after="60" w:line="220" w:lineRule="atLeast"/>
              <w:ind w:left="57" w:right="57"/>
              <w:rPr>
                <w:sz w:val="18"/>
                <w:szCs w:val="18"/>
              </w:rPr>
            </w:pPr>
            <w:r w:rsidRPr="002C5876">
              <w:rPr>
                <w:sz w:val="18"/>
                <w:szCs w:val="18"/>
              </w:rPr>
              <w:t>Par. 6 de la présente annexe</w:t>
            </w:r>
          </w:p>
          <w:p w:rsidR="00E24DB7" w:rsidRPr="002C5876" w:rsidRDefault="00E24DB7" w:rsidP="00E24DB7">
            <w:pPr>
              <w:spacing w:before="60" w:after="60" w:line="220" w:lineRule="atLeast"/>
              <w:ind w:left="57" w:right="57"/>
              <w:rPr>
                <w:sz w:val="18"/>
                <w:szCs w:val="18"/>
              </w:rPr>
            </w:pPr>
            <w:r w:rsidRPr="002C5876">
              <w:rPr>
                <w:sz w:val="18"/>
                <w:szCs w:val="18"/>
              </w:rPr>
              <w:t>Le calcul de la consommation de carburant doit s’effectuer séparément pour le cycle applicable et les phases de ce dernier.</w:t>
            </w:r>
            <w:r w:rsidRPr="002C5876">
              <w:rPr>
                <w:sz w:val="18"/>
                <w:szCs w:val="18"/>
              </w:rPr>
              <w:br/>
              <w:t>À cette fin :</w:t>
            </w:r>
            <w:r w:rsidRPr="002C5876">
              <w:rPr>
                <w:sz w:val="18"/>
                <w:szCs w:val="18"/>
              </w:rPr>
              <w:br/>
              <w:t>a) Il faut utiliser les valeurs de CO</w:t>
            </w:r>
            <w:r w:rsidRPr="002C5876">
              <w:rPr>
                <w:sz w:val="18"/>
                <w:szCs w:val="18"/>
                <w:vertAlign w:val="subscript"/>
              </w:rPr>
              <w:t>2</w:t>
            </w:r>
            <w:r w:rsidRPr="002C5876">
              <w:rPr>
                <w:sz w:val="18"/>
                <w:szCs w:val="18"/>
              </w:rPr>
              <w:t xml:space="preserve"> de la phase ou du cycle applicable ;</w:t>
            </w:r>
          </w:p>
          <w:p w:rsidR="00E24DB7" w:rsidRPr="002C5876" w:rsidRDefault="00E24DB7" w:rsidP="00E24DB7">
            <w:pPr>
              <w:spacing w:before="60" w:after="60" w:line="220" w:lineRule="atLeast"/>
              <w:ind w:left="57" w:right="57"/>
              <w:rPr>
                <w:sz w:val="18"/>
                <w:szCs w:val="18"/>
              </w:rPr>
            </w:pPr>
            <w:r w:rsidRPr="002C5876">
              <w:rPr>
                <w:sz w:val="18"/>
                <w:szCs w:val="18"/>
              </w:rPr>
              <w:t>b) Il faut utiliser les émissions critères sur le cycle complet.</w:t>
            </w:r>
          </w:p>
          <w:p w:rsidR="00E24DB7" w:rsidRPr="00D53F39" w:rsidRDefault="00E24DB7" w:rsidP="00E24DB7">
            <w:pPr>
              <w:spacing w:before="60" w:after="60" w:line="220" w:lineRule="atLeast"/>
              <w:ind w:left="57" w:right="57"/>
              <w:rPr>
                <w:sz w:val="18"/>
                <w:szCs w:val="18"/>
                <w:lang w:val="es-ES"/>
              </w:rPr>
            </w:pPr>
            <w:r w:rsidRPr="00D53F39">
              <w:rPr>
                <w:sz w:val="18"/>
                <w:szCs w:val="18"/>
                <w:lang w:val="es-ES"/>
              </w:rPr>
              <w:t>et :</w:t>
            </w:r>
          </w:p>
          <w:p w:rsidR="00E24DB7" w:rsidRPr="00D53F39" w:rsidRDefault="00E24DB7" w:rsidP="00E24DB7">
            <w:pPr>
              <w:spacing w:before="60" w:after="60" w:line="220" w:lineRule="atLeast"/>
              <w:ind w:left="57" w:right="57"/>
              <w:rPr>
                <w:sz w:val="18"/>
                <w:szCs w:val="18"/>
                <w:vertAlign w:val="subscript"/>
                <w:lang w:val="es-ES"/>
              </w:rPr>
            </w:pPr>
            <w:r w:rsidRPr="00D53F39">
              <w:rPr>
                <w:sz w:val="18"/>
                <w:szCs w:val="18"/>
                <w:lang w:val="es-ES"/>
              </w:rPr>
              <w:t>M</w:t>
            </w:r>
            <w:r w:rsidRPr="00D53F39">
              <w:rPr>
                <w:sz w:val="18"/>
                <w:szCs w:val="18"/>
                <w:vertAlign w:val="subscript"/>
                <w:lang w:val="es-ES"/>
              </w:rPr>
              <w:t>i,c,8</w:t>
            </w:r>
            <w:r w:rsidRPr="00D53F39">
              <w:rPr>
                <w:sz w:val="18"/>
                <w:szCs w:val="18"/>
                <w:lang w:val="es-ES"/>
              </w:rPr>
              <w:t xml:space="preserve"> = M</w:t>
            </w:r>
            <w:r w:rsidRPr="00D53F39">
              <w:rPr>
                <w:sz w:val="18"/>
                <w:szCs w:val="18"/>
                <w:vertAlign w:val="subscript"/>
                <w:lang w:val="es-ES"/>
              </w:rPr>
              <w:t>i,c,6</w:t>
            </w:r>
          </w:p>
          <w:p w:rsidR="00E24DB7" w:rsidRPr="00D53F39" w:rsidRDefault="00E24DB7" w:rsidP="00E24DB7">
            <w:pPr>
              <w:spacing w:before="60" w:after="60" w:line="220" w:lineRule="atLeast"/>
              <w:ind w:left="57" w:right="57"/>
              <w:rPr>
                <w:sz w:val="18"/>
                <w:szCs w:val="18"/>
                <w:vertAlign w:val="subscript"/>
                <w:lang w:val="es-ES"/>
              </w:rPr>
            </w:pPr>
            <w:r w:rsidRPr="00D53F39">
              <w:rPr>
                <w:sz w:val="18"/>
                <w:szCs w:val="18"/>
                <w:lang w:val="es-ES"/>
              </w:rPr>
              <w:t>M</w:t>
            </w:r>
            <w:r w:rsidRPr="00D53F39">
              <w:rPr>
                <w:sz w:val="18"/>
                <w:szCs w:val="18"/>
                <w:vertAlign w:val="subscript"/>
                <w:lang w:val="es-ES"/>
              </w:rPr>
              <w:t>CO2,c,8</w:t>
            </w:r>
            <w:r w:rsidRPr="00D53F39">
              <w:rPr>
                <w:sz w:val="18"/>
                <w:szCs w:val="18"/>
                <w:lang w:val="es-ES"/>
              </w:rPr>
              <w:t xml:space="preserve"> = M</w:t>
            </w:r>
            <w:r w:rsidRPr="00D53F39">
              <w:rPr>
                <w:sz w:val="18"/>
                <w:szCs w:val="18"/>
                <w:vertAlign w:val="subscript"/>
                <w:lang w:val="es-ES"/>
              </w:rPr>
              <w:t>CO2,c,7</w:t>
            </w:r>
          </w:p>
          <w:p w:rsidR="00E24DB7" w:rsidRPr="002C5876" w:rsidRDefault="00E24DB7" w:rsidP="00E24DB7">
            <w:pPr>
              <w:spacing w:before="60" w:after="60" w:line="220" w:lineRule="atLeast"/>
              <w:ind w:left="57" w:right="57"/>
              <w:rPr>
                <w:sz w:val="18"/>
                <w:szCs w:val="18"/>
                <w:vertAlign w:val="subscript"/>
              </w:rPr>
            </w:pPr>
            <w:r w:rsidRPr="002C5876">
              <w:rPr>
                <w:sz w:val="18"/>
                <w:szCs w:val="18"/>
              </w:rPr>
              <w:t>M</w:t>
            </w:r>
            <w:r w:rsidRPr="002C5876">
              <w:rPr>
                <w:sz w:val="18"/>
                <w:szCs w:val="18"/>
                <w:vertAlign w:val="subscript"/>
              </w:rPr>
              <w:t>CO2,p,8</w:t>
            </w:r>
            <w:r w:rsidRPr="002C5876">
              <w:rPr>
                <w:sz w:val="18"/>
                <w:szCs w:val="18"/>
              </w:rPr>
              <w:t xml:space="preserve"> = M</w:t>
            </w:r>
            <w:r w:rsidRPr="002C5876">
              <w:rPr>
                <w:sz w:val="18"/>
                <w:szCs w:val="18"/>
                <w:vertAlign w:val="subscript"/>
              </w:rPr>
              <w:t>CO2,p,7</w:t>
            </w:r>
          </w:p>
        </w:tc>
        <w:tc>
          <w:tcPr>
            <w:tcW w:w="1498" w:type="dxa"/>
          </w:tcPr>
          <w:p w:rsidR="00E24DB7" w:rsidRPr="00D53F39" w:rsidRDefault="00E24DB7" w:rsidP="00E24DB7">
            <w:pPr>
              <w:spacing w:before="60" w:after="60" w:line="220" w:lineRule="atLeast"/>
              <w:ind w:left="57" w:right="57"/>
              <w:rPr>
                <w:sz w:val="18"/>
                <w:szCs w:val="18"/>
                <w:lang w:val="en-US"/>
              </w:rPr>
            </w:pPr>
            <w:r w:rsidRPr="00D53F39">
              <w:rPr>
                <w:sz w:val="18"/>
                <w:szCs w:val="18"/>
                <w:lang w:val="en-US"/>
              </w:rPr>
              <w:t>FC</w:t>
            </w:r>
            <w:r w:rsidRPr="00D53F39">
              <w:rPr>
                <w:sz w:val="18"/>
                <w:szCs w:val="18"/>
                <w:vertAlign w:val="subscript"/>
                <w:lang w:val="en-US"/>
              </w:rPr>
              <w:t>c,8</w:t>
            </w:r>
            <w:r w:rsidRPr="00D53F39">
              <w:rPr>
                <w:sz w:val="18"/>
                <w:szCs w:val="18"/>
                <w:lang w:val="en-US"/>
              </w:rPr>
              <w:t>, l/100 km</w:t>
            </w:r>
          </w:p>
          <w:p w:rsidR="00E24DB7" w:rsidRPr="00D53F39" w:rsidRDefault="00E24DB7" w:rsidP="00E24DB7">
            <w:pPr>
              <w:spacing w:before="60" w:after="60" w:line="220" w:lineRule="atLeast"/>
              <w:ind w:left="57" w:right="57"/>
              <w:rPr>
                <w:sz w:val="18"/>
                <w:szCs w:val="18"/>
                <w:lang w:val="en-US"/>
              </w:rPr>
            </w:pPr>
            <w:r w:rsidRPr="00D53F39">
              <w:rPr>
                <w:sz w:val="18"/>
                <w:szCs w:val="18"/>
                <w:lang w:val="en-US"/>
              </w:rPr>
              <w:t>FC</w:t>
            </w:r>
            <w:r w:rsidRPr="00D53F39">
              <w:rPr>
                <w:sz w:val="18"/>
                <w:szCs w:val="18"/>
                <w:vertAlign w:val="subscript"/>
                <w:lang w:val="en-US"/>
              </w:rPr>
              <w:t>p,8</w:t>
            </w:r>
            <w:r w:rsidRPr="00D53F39">
              <w:rPr>
                <w:sz w:val="18"/>
                <w:szCs w:val="18"/>
                <w:lang w:val="en-US"/>
              </w:rPr>
              <w:t>, l/100 km</w:t>
            </w:r>
          </w:p>
          <w:p w:rsidR="00E24DB7" w:rsidRPr="00D53F39" w:rsidRDefault="00E24DB7" w:rsidP="00E24DB7">
            <w:pPr>
              <w:spacing w:before="60" w:after="60" w:line="220" w:lineRule="atLeast"/>
              <w:ind w:left="57" w:right="57"/>
              <w:rPr>
                <w:sz w:val="18"/>
                <w:szCs w:val="18"/>
                <w:lang w:val="es-ES"/>
              </w:rPr>
            </w:pPr>
            <w:r w:rsidRPr="00D53F39">
              <w:rPr>
                <w:sz w:val="18"/>
                <w:szCs w:val="18"/>
                <w:lang w:val="es-ES"/>
              </w:rPr>
              <w:t>M</w:t>
            </w:r>
            <w:r w:rsidRPr="00D53F39">
              <w:rPr>
                <w:sz w:val="18"/>
                <w:szCs w:val="18"/>
                <w:vertAlign w:val="subscript"/>
                <w:lang w:val="es-ES"/>
              </w:rPr>
              <w:t>i,c,8</w:t>
            </w:r>
            <w:r w:rsidRPr="00D53F39">
              <w:rPr>
                <w:sz w:val="18"/>
                <w:szCs w:val="18"/>
                <w:lang w:val="es-ES"/>
              </w:rPr>
              <w:t>, g/km</w:t>
            </w:r>
          </w:p>
          <w:p w:rsidR="00E24DB7" w:rsidRPr="00D53F39" w:rsidRDefault="00E24DB7" w:rsidP="00E24DB7">
            <w:pPr>
              <w:spacing w:before="60" w:after="60" w:line="220" w:lineRule="atLeast"/>
              <w:ind w:left="57" w:right="57"/>
              <w:rPr>
                <w:sz w:val="18"/>
                <w:szCs w:val="18"/>
                <w:lang w:val="es-ES"/>
              </w:rPr>
            </w:pPr>
            <w:r w:rsidRPr="00D53F39">
              <w:rPr>
                <w:sz w:val="18"/>
                <w:szCs w:val="18"/>
                <w:lang w:val="es-ES"/>
              </w:rPr>
              <w:t>M</w:t>
            </w:r>
            <w:r w:rsidRPr="00D53F39">
              <w:rPr>
                <w:sz w:val="18"/>
                <w:szCs w:val="18"/>
                <w:vertAlign w:val="subscript"/>
                <w:lang w:val="es-ES"/>
              </w:rPr>
              <w:t>CO2,c,8</w:t>
            </w:r>
            <w:r w:rsidRPr="00D53F39">
              <w:rPr>
                <w:sz w:val="18"/>
                <w:szCs w:val="18"/>
                <w:lang w:val="es-ES"/>
              </w:rPr>
              <w:t>, g/km</w:t>
            </w:r>
          </w:p>
          <w:p w:rsidR="00E24DB7" w:rsidRPr="002C5876" w:rsidRDefault="00E24DB7" w:rsidP="00E24DB7">
            <w:pPr>
              <w:spacing w:before="60" w:after="60" w:line="220" w:lineRule="atLeast"/>
              <w:ind w:left="57" w:right="57"/>
              <w:rPr>
                <w:sz w:val="18"/>
                <w:szCs w:val="18"/>
              </w:rPr>
            </w:pPr>
            <w:r w:rsidRPr="002C5876">
              <w:rPr>
                <w:sz w:val="18"/>
                <w:szCs w:val="18"/>
              </w:rPr>
              <w:t>M</w:t>
            </w:r>
            <w:r w:rsidRPr="002C5876">
              <w:rPr>
                <w:sz w:val="18"/>
                <w:szCs w:val="18"/>
                <w:vertAlign w:val="subscript"/>
              </w:rPr>
              <w:t>CO2,p,8</w:t>
            </w:r>
            <w:r w:rsidRPr="002C5876">
              <w:rPr>
                <w:sz w:val="18"/>
                <w:szCs w:val="18"/>
              </w:rPr>
              <w:t>, g/km</w:t>
            </w:r>
          </w:p>
        </w:tc>
        <w:tc>
          <w:tcPr>
            <w:tcW w:w="1501" w:type="dxa"/>
            <w:gridSpan w:val="2"/>
          </w:tcPr>
          <w:p w:rsidR="00E24DB7" w:rsidRPr="002C5876" w:rsidRDefault="00E24DB7" w:rsidP="00E24DB7">
            <w:pPr>
              <w:spacing w:before="60" w:after="60" w:line="220" w:lineRule="atLeast"/>
              <w:ind w:left="57" w:right="57"/>
              <w:rPr>
                <w:sz w:val="18"/>
                <w:szCs w:val="18"/>
              </w:rPr>
            </w:pPr>
            <w:r w:rsidRPr="002C5876">
              <w:rPr>
                <w:sz w:val="18"/>
                <w:szCs w:val="18"/>
              </w:rPr>
              <w:t>8</w:t>
            </w:r>
          </w:p>
          <w:p w:rsidR="00E24DB7" w:rsidRPr="002C5876" w:rsidRDefault="00E24DB7" w:rsidP="00E24DB7">
            <w:pPr>
              <w:spacing w:before="60" w:after="60" w:line="220" w:lineRule="atLeast"/>
              <w:ind w:left="57" w:right="57"/>
              <w:rPr>
                <w:sz w:val="18"/>
                <w:szCs w:val="18"/>
              </w:rPr>
            </w:pPr>
            <w:r w:rsidRPr="002C5876">
              <w:rPr>
                <w:sz w:val="18"/>
                <w:szCs w:val="18"/>
              </w:rPr>
              <w:t>Résultat d’un essai du type 1 pour un véhicule d’essai</w:t>
            </w:r>
          </w:p>
        </w:tc>
      </w:tr>
      <w:tr w:rsidR="00E24DB7" w:rsidRPr="002C5876" w:rsidTr="00E24DB7">
        <w:tc>
          <w:tcPr>
            <w:tcW w:w="1629" w:type="dxa"/>
            <w:tcBorders>
              <w:bottom w:val="single" w:sz="4"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Étape 8</w:t>
            </w:r>
          </w:p>
        </w:tc>
        <w:tc>
          <w:tcPr>
            <w:tcW w:w="1498" w:type="dxa"/>
            <w:tcBorders>
              <w:bottom w:val="single" w:sz="4"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Pour chacun des véhicules d’essai H et L :</w:t>
            </w:r>
          </w:p>
          <w:p w:rsidR="00E24DB7" w:rsidRPr="00D53F39" w:rsidRDefault="00E24DB7" w:rsidP="00E24DB7">
            <w:pPr>
              <w:spacing w:before="60" w:after="60" w:line="220" w:lineRule="atLeast"/>
              <w:ind w:left="57" w:right="57"/>
              <w:rPr>
                <w:sz w:val="18"/>
                <w:szCs w:val="18"/>
                <w:lang w:val="es-ES"/>
              </w:rPr>
            </w:pPr>
            <w:r w:rsidRPr="00D53F39">
              <w:rPr>
                <w:sz w:val="18"/>
                <w:szCs w:val="18"/>
                <w:lang w:val="es-ES"/>
              </w:rPr>
              <w:t>M</w:t>
            </w:r>
            <w:r w:rsidRPr="00D53F39">
              <w:rPr>
                <w:sz w:val="18"/>
                <w:szCs w:val="18"/>
                <w:vertAlign w:val="subscript"/>
                <w:lang w:val="es-ES"/>
              </w:rPr>
              <w:t>i,c,8</w:t>
            </w:r>
            <w:r w:rsidRPr="00D53F39">
              <w:rPr>
                <w:sz w:val="18"/>
                <w:szCs w:val="18"/>
                <w:lang w:val="es-ES"/>
              </w:rPr>
              <w:t>, g/km </w:t>
            </w:r>
          </w:p>
          <w:p w:rsidR="00E24DB7" w:rsidRPr="00D53F39" w:rsidRDefault="00E24DB7" w:rsidP="00E24DB7">
            <w:pPr>
              <w:spacing w:before="60" w:after="60" w:line="220" w:lineRule="atLeast"/>
              <w:ind w:left="57" w:right="57"/>
              <w:rPr>
                <w:sz w:val="18"/>
                <w:szCs w:val="18"/>
                <w:lang w:val="es-ES"/>
              </w:rPr>
            </w:pPr>
            <w:r w:rsidRPr="00D53F39">
              <w:rPr>
                <w:sz w:val="18"/>
                <w:szCs w:val="18"/>
                <w:lang w:val="es-ES"/>
              </w:rPr>
              <w:t>M</w:t>
            </w:r>
            <w:r w:rsidRPr="00D53F39">
              <w:rPr>
                <w:sz w:val="18"/>
                <w:szCs w:val="18"/>
                <w:vertAlign w:val="subscript"/>
                <w:lang w:val="es-ES"/>
              </w:rPr>
              <w:t>CO2,c,8</w:t>
            </w:r>
            <w:r w:rsidRPr="00D53F39">
              <w:rPr>
                <w:sz w:val="18"/>
                <w:szCs w:val="18"/>
                <w:lang w:val="es-ES"/>
              </w:rPr>
              <w:t>, g/km </w:t>
            </w:r>
          </w:p>
          <w:p w:rsidR="00E24DB7" w:rsidRPr="00D53F39" w:rsidRDefault="00E24DB7" w:rsidP="00E24DB7">
            <w:pPr>
              <w:spacing w:before="60" w:after="60" w:line="220" w:lineRule="atLeast"/>
              <w:ind w:left="57" w:right="57"/>
              <w:rPr>
                <w:sz w:val="18"/>
                <w:szCs w:val="18"/>
                <w:lang w:val="en-US"/>
              </w:rPr>
            </w:pPr>
            <w:r w:rsidRPr="00D53F39">
              <w:rPr>
                <w:sz w:val="18"/>
                <w:szCs w:val="18"/>
                <w:lang w:val="en-US"/>
              </w:rPr>
              <w:t>M</w:t>
            </w:r>
            <w:r w:rsidRPr="00D53F39">
              <w:rPr>
                <w:sz w:val="18"/>
                <w:szCs w:val="18"/>
                <w:vertAlign w:val="subscript"/>
                <w:lang w:val="en-US"/>
              </w:rPr>
              <w:t>CO2,p,8</w:t>
            </w:r>
            <w:r w:rsidRPr="00D53F39">
              <w:rPr>
                <w:sz w:val="18"/>
                <w:szCs w:val="18"/>
                <w:lang w:val="en-US"/>
              </w:rPr>
              <w:t>, g/km </w:t>
            </w:r>
          </w:p>
          <w:p w:rsidR="00E24DB7" w:rsidRPr="00D53F39" w:rsidRDefault="00E24DB7" w:rsidP="00E24DB7">
            <w:pPr>
              <w:spacing w:before="60" w:after="60" w:line="220" w:lineRule="atLeast"/>
              <w:ind w:left="57" w:right="57"/>
              <w:rPr>
                <w:sz w:val="18"/>
                <w:szCs w:val="18"/>
                <w:lang w:val="en-US"/>
              </w:rPr>
            </w:pPr>
            <w:r w:rsidRPr="00D53F39">
              <w:rPr>
                <w:sz w:val="18"/>
                <w:szCs w:val="18"/>
                <w:lang w:val="en-US"/>
              </w:rPr>
              <w:t>FC</w:t>
            </w:r>
            <w:r w:rsidRPr="00D53F39">
              <w:rPr>
                <w:sz w:val="18"/>
                <w:szCs w:val="18"/>
                <w:vertAlign w:val="subscript"/>
                <w:lang w:val="en-US"/>
              </w:rPr>
              <w:t>c,8</w:t>
            </w:r>
            <w:r w:rsidRPr="00D53F39">
              <w:rPr>
                <w:sz w:val="18"/>
                <w:szCs w:val="18"/>
                <w:lang w:val="en-US"/>
              </w:rPr>
              <w:t>, l/100 km </w:t>
            </w:r>
          </w:p>
          <w:p w:rsidR="00E24DB7" w:rsidRPr="002C5876" w:rsidRDefault="00E24DB7" w:rsidP="00E24DB7">
            <w:pPr>
              <w:spacing w:before="60" w:after="60" w:line="220" w:lineRule="atLeast"/>
              <w:ind w:left="57" w:right="57"/>
              <w:rPr>
                <w:sz w:val="18"/>
                <w:szCs w:val="18"/>
              </w:rPr>
            </w:pPr>
            <w:r w:rsidRPr="002C5876">
              <w:rPr>
                <w:sz w:val="18"/>
                <w:szCs w:val="18"/>
              </w:rPr>
              <w:t>FC</w:t>
            </w:r>
            <w:r w:rsidRPr="002C5876">
              <w:rPr>
                <w:sz w:val="18"/>
                <w:szCs w:val="18"/>
                <w:vertAlign w:val="subscript"/>
              </w:rPr>
              <w:t>p,8</w:t>
            </w:r>
            <w:r w:rsidRPr="002C5876">
              <w:rPr>
                <w:sz w:val="18"/>
                <w:szCs w:val="18"/>
              </w:rPr>
              <w:t>, l/100 km</w:t>
            </w:r>
          </w:p>
        </w:tc>
        <w:tc>
          <w:tcPr>
            <w:tcW w:w="3519" w:type="dxa"/>
            <w:tcBorders>
              <w:bottom w:val="single" w:sz="4" w:space="0" w:color="auto"/>
            </w:tcBorders>
          </w:tcPr>
          <w:p w:rsidR="00E24DB7" w:rsidRPr="002C5876" w:rsidRDefault="00E24DB7" w:rsidP="00E24DB7">
            <w:pPr>
              <w:spacing w:before="60" w:after="60" w:line="220" w:lineRule="atLeast"/>
              <w:ind w:left="57" w:right="57"/>
            </w:pPr>
            <w:r w:rsidRPr="002C5876">
              <w:rPr>
                <w:sz w:val="18"/>
                <w:szCs w:val="18"/>
              </w:rPr>
              <w:t>Si outre un véhicule d’essai H un véhicule d’essai L a été essayé, les valeurs d’émissions critères résultantes pour L et H doivent être la valeur moyenne et sont désignées M</w:t>
            </w:r>
            <w:r w:rsidRPr="002C5876">
              <w:rPr>
                <w:sz w:val="18"/>
                <w:szCs w:val="18"/>
                <w:vertAlign w:val="subscript"/>
              </w:rPr>
              <w:t>i,c</w:t>
            </w:r>
            <w:r w:rsidRPr="002C5876">
              <w:t>.</w:t>
            </w:r>
          </w:p>
          <w:p w:rsidR="00E24DB7" w:rsidRPr="002C5876" w:rsidRDefault="00E24DB7" w:rsidP="00E24DB7">
            <w:pPr>
              <w:spacing w:before="60" w:after="60" w:line="220" w:lineRule="atLeast"/>
              <w:ind w:left="57" w:right="57"/>
              <w:rPr>
                <w:sz w:val="18"/>
                <w:szCs w:val="18"/>
              </w:rPr>
            </w:pPr>
            <w:r w:rsidRPr="002C5876">
              <w:rPr>
                <w:sz w:val="18"/>
                <w:szCs w:val="18"/>
              </w:rPr>
              <w:t>À la demande d’une Partie contractante, le calcul de la valeur moyenne des valeurs d’émissions critères peut être omis et les valeurs pour les véhicules H et L être enregistrées séparément.</w:t>
            </w:r>
          </w:p>
          <w:p w:rsidR="00E24DB7" w:rsidRPr="002C5876" w:rsidRDefault="00E24DB7" w:rsidP="00E24DB7">
            <w:pPr>
              <w:spacing w:before="60" w:after="60" w:line="220" w:lineRule="atLeast"/>
              <w:ind w:left="57" w:right="57"/>
              <w:rPr>
                <w:sz w:val="18"/>
                <w:szCs w:val="18"/>
                <w:vertAlign w:val="subscript"/>
              </w:rPr>
            </w:pPr>
            <w:r w:rsidRPr="002C5876">
              <w:rPr>
                <w:sz w:val="18"/>
                <w:szCs w:val="18"/>
              </w:rPr>
              <w:t xml:space="preserve">À défaut, si aucun véhicule L n’a été essayé, </w:t>
            </w:r>
            <w:r w:rsidRPr="002C5876">
              <w:rPr>
                <w:sz w:val="18"/>
                <w:szCs w:val="18"/>
              </w:rPr>
              <w:br/>
              <w:t>M</w:t>
            </w:r>
            <w:r w:rsidRPr="002C5876">
              <w:rPr>
                <w:sz w:val="18"/>
                <w:szCs w:val="18"/>
                <w:vertAlign w:val="subscript"/>
              </w:rPr>
              <w:t>i,c</w:t>
            </w:r>
            <w:r w:rsidRPr="002C5876">
              <w:rPr>
                <w:sz w:val="18"/>
                <w:szCs w:val="18"/>
              </w:rPr>
              <w:t xml:space="preserve"> = M</w:t>
            </w:r>
            <w:r w:rsidRPr="002C5876">
              <w:rPr>
                <w:sz w:val="18"/>
                <w:szCs w:val="18"/>
                <w:vertAlign w:val="subscript"/>
              </w:rPr>
              <w:t>i,c,8</w:t>
            </w:r>
          </w:p>
          <w:p w:rsidR="00E24DB7" w:rsidRPr="002C5876" w:rsidRDefault="00E24DB7" w:rsidP="00E24DB7">
            <w:pPr>
              <w:spacing w:before="60" w:after="60" w:line="220" w:lineRule="atLeast"/>
              <w:ind w:left="57" w:right="57"/>
              <w:rPr>
                <w:sz w:val="18"/>
                <w:szCs w:val="18"/>
              </w:rPr>
            </w:pPr>
            <w:r w:rsidRPr="002C5876">
              <w:rPr>
                <w:sz w:val="18"/>
                <w:szCs w:val="18"/>
              </w:rPr>
              <w:t>Pour le CO</w:t>
            </w:r>
            <w:r w:rsidRPr="002C5876">
              <w:rPr>
                <w:sz w:val="18"/>
                <w:szCs w:val="18"/>
                <w:vertAlign w:val="subscript"/>
              </w:rPr>
              <w:t>2</w:t>
            </w:r>
            <w:r w:rsidRPr="002C5876">
              <w:rPr>
                <w:sz w:val="18"/>
                <w:szCs w:val="18"/>
              </w:rPr>
              <w:t xml:space="preserve"> et la consommation de carburant, FC, on utilise les valeurs dérivées à l’étape 8. Les valeurs de CO</w:t>
            </w:r>
            <w:r w:rsidRPr="002C5876">
              <w:rPr>
                <w:sz w:val="18"/>
                <w:szCs w:val="18"/>
                <w:vertAlign w:val="subscript"/>
              </w:rPr>
              <w:t>2</w:t>
            </w:r>
            <w:r w:rsidRPr="002C5876">
              <w:rPr>
                <w:sz w:val="18"/>
                <w:szCs w:val="18"/>
              </w:rPr>
              <w:t xml:space="preserve"> doivent être arrondies à la deuxième décimale et les valeurs FC, à la troisième.</w:t>
            </w:r>
          </w:p>
        </w:tc>
        <w:tc>
          <w:tcPr>
            <w:tcW w:w="1498" w:type="dxa"/>
            <w:tcBorders>
              <w:bottom w:val="single" w:sz="4" w:space="0" w:color="auto"/>
            </w:tcBorders>
          </w:tcPr>
          <w:p w:rsidR="00E24DB7" w:rsidRPr="00D53F39" w:rsidRDefault="00E24DB7" w:rsidP="00E24DB7">
            <w:pPr>
              <w:spacing w:before="60" w:after="60" w:line="220" w:lineRule="atLeast"/>
              <w:ind w:left="57" w:right="57"/>
              <w:rPr>
                <w:sz w:val="18"/>
                <w:szCs w:val="18"/>
                <w:lang w:val="es-ES"/>
              </w:rPr>
            </w:pPr>
            <w:r w:rsidRPr="00D53F39">
              <w:rPr>
                <w:sz w:val="18"/>
                <w:szCs w:val="18"/>
                <w:lang w:val="es-ES"/>
              </w:rPr>
              <w:t>M</w:t>
            </w:r>
            <w:r w:rsidRPr="00D53F39">
              <w:rPr>
                <w:sz w:val="18"/>
                <w:szCs w:val="18"/>
                <w:vertAlign w:val="subscript"/>
                <w:lang w:val="es-ES"/>
              </w:rPr>
              <w:t>i,c</w:t>
            </w:r>
            <w:r w:rsidRPr="00D53F39">
              <w:rPr>
                <w:sz w:val="18"/>
                <w:szCs w:val="18"/>
                <w:lang w:val="es-ES"/>
              </w:rPr>
              <w:t>, g/km</w:t>
            </w:r>
          </w:p>
          <w:p w:rsidR="00E24DB7" w:rsidRPr="00D53F39" w:rsidRDefault="00E24DB7" w:rsidP="00E24DB7">
            <w:pPr>
              <w:spacing w:before="60" w:after="60" w:line="220" w:lineRule="atLeast"/>
              <w:ind w:left="57" w:right="57"/>
              <w:rPr>
                <w:sz w:val="18"/>
                <w:szCs w:val="18"/>
                <w:lang w:val="es-ES"/>
              </w:rPr>
            </w:pPr>
            <w:r w:rsidRPr="00D53F39">
              <w:rPr>
                <w:sz w:val="18"/>
                <w:szCs w:val="18"/>
                <w:lang w:val="es-ES"/>
              </w:rPr>
              <w:t>M</w:t>
            </w:r>
            <w:r w:rsidRPr="00D53F39">
              <w:rPr>
                <w:sz w:val="18"/>
                <w:szCs w:val="18"/>
                <w:vertAlign w:val="subscript"/>
                <w:lang w:val="es-ES"/>
              </w:rPr>
              <w:t>CO2,c,H</w:t>
            </w:r>
            <w:r w:rsidRPr="00D53F39">
              <w:rPr>
                <w:sz w:val="18"/>
                <w:szCs w:val="18"/>
                <w:lang w:val="es-ES"/>
              </w:rPr>
              <w:t>, g/km </w:t>
            </w:r>
          </w:p>
          <w:p w:rsidR="00E24DB7" w:rsidRPr="00D53F39" w:rsidRDefault="00E24DB7" w:rsidP="00E24DB7">
            <w:pPr>
              <w:spacing w:before="60" w:after="60" w:line="220" w:lineRule="atLeast"/>
              <w:ind w:left="57" w:right="57"/>
              <w:rPr>
                <w:sz w:val="18"/>
                <w:szCs w:val="18"/>
                <w:lang w:val="es-ES"/>
              </w:rPr>
            </w:pPr>
            <w:r w:rsidRPr="00D53F39">
              <w:rPr>
                <w:sz w:val="18"/>
                <w:szCs w:val="18"/>
                <w:lang w:val="es-ES"/>
              </w:rPr>
              <w:t>M</w:t>
            </w:r>
            <w:r w:rsidRPr="00D53F39">
              <w:rPr>
                <w:sz w:val="18"/>
                <w:szCs w:val="18"/>
                <w:vertAlign w:val="subscript"/>
                <w:lang w:val="es-ES"/>
              </w:rPr>
              <w:t>CO2,p,H</w:t>
            </w:r>
            <w:r w:rsidRPr="00D53F39">
              <w:rPr>
                <w:sz w:val="18"/>
                <w:szCs w:val="18"/>
                <w:lang w:val="es-ES"/>
              </w:rPr>
              <w:t>, g/km </w:t>
            </w:r>
          </w:p>
          <w:p w:rsidR="00E24DB7" w:rsidRPr="00D53F39" w:rsidRDefault="00E24DB7" w:rsidP="00E24DB7">
            <w:pPr>
              <w:spacing w:before="60" w:after="60" w:line="220" w:lineRule="atLeast"/>
              <w:ind w:left="57" w:right="57"/>
              <w:rPr>
                <w:sz w:val="18"/>
                <w:szCs w:val="18"/>
                <w:lang w:val="es-ES"/>
              </w:rPr>
            </w:pPr>
            <w:r w:rsidRPr="00D53F39">
              <w:rPr>
                <w:sz w:val="18"/>
                <w:szCs w:val="18"/>
                <w:lang w:val="es-ES"/>
              </w:rPr>
              <w:t>FC</w:t>
            </w:r>
            <w:r w:rsidRPr="00D53F39">
              <w:rPr>
                <w:sz w:val="18"/>
                <w:szCs w:val="18"/>
                <w:vertAlign w:val="subscript"/>
                <w:lang w:val="es-ES"/>
              </w:rPr>
              <w:t>c,H</w:t>
            </w:r>
            <w:r w:rsidRPr="00D53F39">
              <w:rPr>
                <w:sz w:val="18"/>
                <w:szCs w:val="18"/>
                <w:lang w:val="es-ES"/>
              </w:rPr>
              <w:t>, l/100km </w:t>
            </w:r>
          </w:p>
          <w:p w:rsidR="00E24DB7" w:rsidRPr="002C5876" w:rsidRDefault="00E24DB7" w:rsidP="00E24DB7">
            <w:pPr>
              <w:spacing w:before="60" w:after="60" w:line="220" w:lineRule="atLeast"/>
              <w:ind w:left="57" w:right="57"/>
              <w:rPr>
                <w:sz w:val="18"/>
                <w:szCs w:val="18"/>
              </w:rPr>
            </w:pPr>
            <w:r w:rsidRPr="002C5876">
              <w:rPr>
                <w:sz w:val="18"/>
                <w:szCs w:val="18"/>
              </w:rPr>
              <w:t>FC</w:t>
            </w:r>
            <w:r w:rsidRPr="002C5876">
              <w:rPr>
                <w:sz w:val="18"/>
                <w:szCs w:val="18"/>
                <w:vertAlign w:val="subscript"/>
              </w:rPr>
              <w:t>p,H</w:t>
            </w:r>
            <w:r w:rsidRPr="002C5876">
              <w:rPr>
                <w:sz w:val="18"/>
                <w:szCs w:val="18"/>
              </w:rPr>
              <w:t>, l/100km </w:t>
            </w:r>
          </w:p>
          <w:p w:rsidR="00E24DB7" w:rsidRPr="002C5876" w:rsidRDefault="00E24DB7" w:rsidP="00E24DB7">
            <w:pPr>
              <w:spacing w:before="60" w:after="60" w:line="220" w:lineRule="atLeast"/>
              <w:ind w:left="57" w:right="57"/>
              <w:rPr>
                <w:sz w:val="18"/>
                <w:szCs w:val="18"/>
              </w:rPr>
            </w:pPr>
            <w:r w:rsidRPr="002C5876">
              <w:rPr>
                <w:sz w:val="18"/>
                <w:szCs w:val="18"/>
              </w:rPr>
              <w:t>et si un véhicule L a été essayé :</w:t>
            </w:r>
          </w:p>
          <w:p w:rsidR="00E24DB7" w:rsidRPr="002C5876" w:rsidRDefault="00E24DB7" w:rsidP="00E24DB7">
            <w:pPr>
              <w:spacing w:before="60" w:after="60" w:line="220" w:lineRule="atLeast"/>
              <w:ind w:left="57" w:right="57"/>
              <w:rPr>
                <w:sz w:val="18"/>
                <w:szCs w:val="18"/>
              </w:rPr>
            </w:pPr>
            <w:r w:rsidRPr="002C5876">
              <w:rPr>
                <w:sz w:val="18"/>
                <w:szCs w:val="18"/>
              </w:rPr>
              <w:t>M</w:t>
            </w:r>
            <w:r w:rsidRPr="002C5876">
              <w:rPr>
                <w:sz w:val="18"/>
                <w:szCs w:val="18"/>
                <w:vertAlign w:val="subscript"/>
              </w:rPr>
              <w:t>CO2,c,L</w:t>
            </w:r>
            <w:r w:rsidRPr="002C5876">
              <w:rPr>
                <w:sz w:val="18"/>
                <w:szCs w:val="18"/>
              </w:rPr>
              <w:t>, g/km </w:t>
            </w:r>
          </w:p>
          <w:p w:rsidR="00E24DB7" w:rsidRPr="002C5876" w:rsidRDefault="00E24DB7" w:rsidP="00E24DB7">
            <w:pPr>
              <w:spacing w:before="60" w:after="60" w:line="220" w:lineRule="atLeast"/>
              <w:ind w:left="57" w:right="57"/>
              <w:rPr>
                <w:sz w:val="18"/>
                <w:szCs w:val="18"/>
              </w:rPr>
            </w:pPr>
            <w:r w:rsidRPr="002C5876">
              <w:rPr>
                <w:sz w:val="18"/>
                <w:szCs w:val="18"/>
              </w:rPr>
              <w:t>M</w:t>
            </w:r>
            <w:r w:rsidRPr="002C5876">
              <w:rPr>
                <w:sz w:val="18"/>
                <w:szCs w:val="18"/>
                <w:vertAlign w:val="subscript"/>
              </w:rPr>
              <w:t>CO2,p,L</w:t>
            </w:r>
            <w:r w:rsidRPr="002C5876">
              <w:rPr>
                <w:sz w:val="18"/>
                <w:szCs w:val="18"/>
              </w:rPr>
              <w:t>, g/km </w:t>
            </w:r>
          </w:p>
          <w:p w:rsidR="00E24DB7" w:rsidRPr="00D53F39" w:rsidRDefault="00E24DB7" w:rsidP="00E24DB7">
            <w:pPr>
              <w:spacing w:before="60" w:after="60" w:line="220" w:lineRule="atLeast"/>
              <w:ind w:left="57" w:right="57"/>
              <w:rPr>
                <w:sz w:val="18"/>
                <w:szCs w:val="18"/>
                <w:lang w:val="en-US"/>
              </w:rPr>
            </w:pPr>
            <w:r w:rsidRPr="00D53F39">
              <w:rPr>
                <w:sz w:val="18"/>
                <w:szCs w:val="18"/>
                <w:lang w:val="en-US"/>
              </w:rPr>
              <w:t>FC</w:t>
            </w:r>
            <w:r w:rsidRPr="00D53F39">
              <w:rPr>
                <w:sz w:val="18"/>
                <w:szCs w:val="18"/>
                <w:vertAlign w:val="subscript"/>
                <w:lang w:val="en-US"/>
              </w:rPr>
              <w:t>c,L</w:t>
            </w:r>
            <w:r w:rsidRPr="00D53F39">
              <w:rPr>
                <w:sz w:val="18"/>
                <w:szCs w:val="18"/>
                <w:lang w:val="en-US"/>
              </w:rPr>
              <w:t>, l/100km </w:t>
            </w:r>
          </w:p>
          <w:p w:rsidR="00E24DB7" w:rsidRPr="00D53F39" w:rsidRDefault="00E24DB7" w:rsidP="00E24DB7">
            <w:pPr>
              <w:spacing w:before="60" w:after="60" w:line="220" w:lineRule="atLeast"/>
              <w:ind w:left="57" w:right="57"/>
              <w:rPr>
                <w:sz w:val="18"/>
                <w:szCs w:val="18"/>
                <w:lang w:val="en-US"/>
              </w:rPr>
            </w:pPr>
            <w:r w:rsidRPr="00D53F39">
              <w:rPr>
                <w:sz w:val="18"/>
                <w:szCs w:val="18"/>
                <w:lang w:val="en-US"/>
              </w:rPr>
              <w:t>FC</w:t>
            </w:r>
            <w:r w:rsidRPr="00D53F39">
              <w:rPr>
                <w:sz w:val="18"/>
                <w:szCs w:val="18"/>
                <w:vertAlign w:val="subscript"/>
                <w:lang w:val="en-US"/>
              </w:rPr>
              <w:t>p,L</w:t>
            </w:r>
            <w:r w:rsidRPr="00D53F39">
              <w:rPr>
                <w:sz w:val="18"/>
                <w:szCs w:val="18"/>
                <w:lang w:val="en-US"/>
              </w:rPr>
              <w:t>, l/100km</w:t>
            </w:r>
          </w:p>
        </w:tc>
        <w:tc>
          <w:tcPr>
            <w:tcW w:w="1501" w:type="dxa"/>
            <w:gridSpan w:val="2"/>
            <w:tcBorders>
              <w:bottom w:val="single" w:sz="4"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9</w:t>
            </w:r>
          </w:p>
          <w:p w:rsidR="00E24DB7" w:rsidRPr="002C5876" w:rsidRDefault="00E24DB7" w:rsidP="00E24DB7">
            <w:pPr>
              <w:spacing w:before="60" w:after="60" w:line="220" w:lineRule="atLeast"/>
              <w:ind w:left="57" w:right="57"/>
              <w:rPr>
                <w:spacing w:val="-6"/>
                <w:sz w:val="18"/>
                <w:szCs w:val="18"/>
              </w:rPr>
            </w:pPr>
            <w:r w:rsidRPr="002C5876">
              <w:rPr>
                <w:spacing w:val="-6"/>
                <w:sz w:val="18"/>
                <w:szCs w:val="18"/>
              </w:rPr>
              <w:t>Résultat d’une famille d’interpolation</w:t>
            </w:r>
          </w:p>
          <w:p w:rsidR="00E24DB7" w:rsidRPr="002C5876" w:rsidRDefault="00E24DB7" w:rsidP="00E24DB7">
            <w:pPr>
              <w:spacing w:before="60" w:after="60" w:line="220" w:lineRule="atLeast"/>
              <w:ind w:left="57" w:right="57"/>
              <w:rPr>
                <w:sz w:val="18"/>
                <w:szCs w:val="18"/>
              </w:rPr>
            </w:pPr>
            <w:r w:rsidRPr="002C5876">
              <w:rPr>
                <w:sz w:val="18"/>
                <w:szCs w:val="18"/>
              </w:rPr>
              <w:t>Résultat final des émissions critères</w:t>
            </w:r>
          </w:p>
        </w:tc>
      </w:tr>
      <w:tr w:rsidR="00E24DB7" w:rsidRPr="002C5876" w:rsidTr="00E24DB7">
        <w:tc>
          <w:tcPr>
            <w:tcW w:w="1629" w:type="dxa"/>
            <w:tcBorders>
              <w:bottom w:val="single" w:sz="12" w:space="0" w:color="auto"/>
            </w:tcBorders>
          </w:tcPr>
          <w:p w:rsidR="00E24DB7" w:rsidRPr="002C5876" w:rsidRDefault="00E24DB7" w:rsidP="00E24DB7">
            <w:pPr>
              <w:keepNext/>
              <w:keepLines/>
              <w:spacing w:before="60" w:after="60" w:line="220" w:lineRule="atLeast"/>
              <w:ind w:left="57" w:right="57"/>
              <w:rPr>
                <w:sz w:val="18"/>
                <w:szCs w:val="18"/>
              </w:rPr>
            </w:pPr>
            <w:r w:rsidRPr="002C5876">
              <w:rPr>
                <w:sz w:val="18"/>
                <w:szCs w:val="18"/>
              </w:rPr>
              <w:lastRenderedPageBreak/>
              <w:t>Étape 9</w:t>
            </w:r>
          </w:p>
        </w:tc>
        <w:tc>
          <w:tcPr>
            <w:tcW w:w="1498" w:type="dxa"/>
            <w:tcBorders>
              <w:bottom w:val="single" w:sz="12" w:space="0" w:color="auto"/>
            </w:tcBorders>
          </w:tcPr>
          <w:p w:rsidR="00E24DB7" w:rsidRPr="002C5876" w:rsidRDefault="00E24DB7" w:rsidP="00E24DB7">
            <w:pPr>
              <w:keepNext/>
              <w:keepLines/>
              <w:spacing w:before="60" w:after="60" w:line="220" w:lineRule="atLeast"/>
              <w:ind w:left="57" w:right="57"/>
              <w:rPr>
                <w:sz w:val="18"/>
                <w:szCs w:val="18"/>
              </w:rPr>
            </w:pPr>
            <w:r w:rsidRPr="002C5876">
              <w:rPr>
                <w:sz w:val="18"/>
                <w:szCs w:val="18"/>
              </w:rPr>
              <w:t>M</w:t>
            </w:r>
            <w:r w:rsidRPr="002C5876">
              <w:rPr>
                <w:sz w:val="18"/>
                <w:szCs w:val="18"/>
                <w:vertAlign w:val="subscript"/>
              </w:rPr>
              <w:t>CO2,c,H</w:t>
            </w:r>
            <w:r w:rsidRPr="002C5876">
              <w:rPr>
                <w:sz w:val="18"/>
                <w:szCs w:val="18"/>
              </w:rPr>
              <w:t>, g/km </w:t>
            </w:r>
          </w:p>
          <w:p w:rsidR="00E24DB7" w:rsidRPr="002C5876" w:rsidRDefault="00E24DB7" w:rsidP="00E24DB7">
            <w:pPr>
              <w:keepNext/>
              <w:keepLines/>
              <w:spacing w:before="60" w:after="60" w:line="220" w:lineRule="atLeast"/>
              <w:ind w:left="57" w:right="57"/>
              <w:rPr>
                <w:sz w:val="18"/>
                <w:szCs w:val="18"/>
              </w:rPr>
            </w:pPr>
            <w:r w:rsidRPr="002C5876">
              <w:rPr>
                <w:sz w:val="18"/>
                <w:szCs w:val="18"/>
              </w:rPr>
              <w:t>M</w:t>
            </w:r>
            <w:r w:rsidRPr="002C5876">
              <w:rPr>
                <w:sz w:val="18"/>
                <w:szCs w:val="18"/>
                <w:vertAlign w:val="subscript"/>
              </w:rPr>
              <w:t>CO2,p,H</w:t>
            </w:r>
            <w:r w:rsidRPr="002C5876">
              <w:rPr>
                <w:sz w:val="18"/>
                <w:szCs w:val="18"/>
              </w:rPr>
              <w:t>, g/km </w:t>
            </w:r>
          </w:p>
          <w:p w:rsidR="00E24DB7" w:rsidRPr="00D53F39" w:rsidRDefault="00E24DB7" w:rsidP="00E24DB7">
            <w:pPr>
              <w:keepNext/>
              <w:keepLines/>
              <w:spacing w:before="60" w:after="60" w:line="220" w:lineRule="atLeast"/>
              <w:ind w:left="57" w:right="57"/>
              <w:rPr>
                <w:sz w:val="18"/>
                <w:szCs w:val="18"/>
                <w:lang w:val="en-US"/>
              </w:rPr>
            </w:pPr>
            <w:r w:rsidRPr="00D53F39">
              <w:rPr>
                <w:sz w:val="18"/>
                <w:szCs w:val="18"/>
                <w:lang w:val="en-US"/>
              </w:rPr>
              <w:t>FC</w:t>
            </w:r>
            <w:r w:rsidRPr="00D53F39">
              <w:rPr>
                <w:sz w:val="18"/>
                <w:szCs w:val="18"/>
                <w:vertAlign w:val="subscript"/>
                <w:lang w:val="en-US"/>
              </w:rPr>
              <w:t>c,H</w:t>
            </w:r>
            <w:r w:rsidRPr="00D53F39">
              <w:rPr>
                <w:sz w:val="18"/>
                <w:szCs w:val="18"/>
                <w:lang w:val="en-US"/>
              </w:rPr>
              <w:t>, l/100 km </w:t>
            </w:r>
          </w:p>
          <w:p w:rsidR="00E24DB7" w:rsidRPr="00D53F39" w:rsidRDefault="00E24DB7" w:rsidP="00E24DB7">
            <w:pPr>
              <w:keepNext/>
              <w:keepLines/>
              <w:spacing w:before="60" w:after="60" w:line="220" w:lineRule="atLeast"/>
              <w:ind w:left="57" w:right="57"/>
              <w:rPr>
                <w:sz w:val="18"/>
                <w:szCs w:val="18"/>
                <w:lang w:val="en-US"/>
              </w:rPr>
            </w:pPr>
            <w:r w:rsidRPr="00D53F39">
              <w:rPr>
                <w:sz w:val="18"/>
                <w:szCs w:val="18"/>
                <w:lang w:val="en-US"/>
              </w:rPr>
              <w:t>FC</w:t>
            </w:r>
            <w:r w:rsidRPr="00D53F39">
              <w:rPr>
                <w:sz w:val="18"/>
                <w:szCs w:val="18"/>
                <w:vertAlign w:val="subscript"/>
                <w:lang w:val="en-US"/>
              </w:rPr>
              <w:t>p,H</w:t>
            </w:r>
            <w:r w:rsidRPr="00D53F39">
              <w:rPr>
                <w:sz w:val="18"/>
                <w:szCs w:val="18"/>
                <w:lang w:val="en-US"/>
              </w:rPr>
              <w:t>, l/100 km </w:t>
            </w:r>
          </w:p>
          <w:p w:rsidR="00E24DB7" w:rsidRPr="002C5876" w:rsidRDefault="00E24DB7" w:rsidP="00E24DB7">
            <w:pPr>
              <w:keepNext/>
              <w:keepLines/>
              <w:spacing w:before="60" w:after="60" w:line="220" w:lineRule="atLeast"/>
              <w:ind w:left="57" w:right="57"/>
              <w:rPr>
                <w:sz w:val="18"/>
                <w:szCs w:val="18"/>
              </w:rPr>
            </w:pPr>
            <w:r w:rsidRPr="002C5876">
              <w:rPr>
                <w:sz w:val="18"/>
                <w:szCs w:val="18"/>
              </w:rPr>
              <w:t>et si un véhicule L a été essayé :</w:t>
            </w:r>
          </w:p>
          <w:p w:rsidR="00E24DB7" w:rsidRPr="002C5876" w:rsidRDefault="00E24DB7" w:rsidP="00E24DB7">
            <w:pPr>
              <w:keepNext/>
              <w:keepLines/>
              <w:spacing w:before="60" w:after="60" w:line="220" w:lineRule="atLeast"/>
              <w:ind w:left="57" w:right="57"/>
              <w:rPr>
                <w:sz w:val="18"/>
                <w:szCs w:val="18"/>
              </w:rPr>
            </w:pPr>
            <w:r w:rsidRPr="002C5876">
              <w:rPr>
                <w:sz w:val="18"/>
                <w:szCs w:val="18"/>
              </w:rPr>
              <w:t>M</w:t>
            </w:r>
            <w:r w:rsidRPr="002C5876">
              <w:rPr>
                <w:sz w:val="18"/>
                <w:szCs w:val="18"/>
                <w:vertAlign w:val="subscript"/>
              </w:rPr>
              <w:t>CO2,c,L</w:t>
            </w:r>
            <w:r w:rsidRPr="002C5876">
              <w:rPr>
                <w:sz w:val="18"/>
                <w:szCs w:val="18"/>
              </w:rPr>
              <w:t>, g/km </w:t>
            </w:r>
          </w:p>
          <w:p w:rsidR="00E24DB7" w:rsidRPr="002C5876" w:rsidRDefault="00E24DB7" w:rsidP="00E24DB7">
            <w:pPr>
              <w:keepNext/>
              <w:keepLines/>
              <w:spacing w:before="60" w:after="60" w:line="220" w:lineRule="atLeast"/>
              <w:ind w:left="57" w:right="57"/>
              <w:rPr>
                <w:sz w:val="18"/>
                <w:szCs w:val="18"/>
              </w:rPr>
            </w:pPr>
            <w:r w:rsidRPr="002C5876">
              <w:rPr>
                <w:sz w:val="18"/>
                <w:szCs w:val="18"/>
              </w:rPr>
              <w:t>M</w:t>
            </w:r>
            <w:r w:rsidRPr="002C5876">
              <w:rPr>
                <w:sz w:val="18"/>
                <w:szCs w:val="18"/>
                <w:vertAlign w:val="subscript"/>
              </w:rPr>
              <w:t>CO2,p,L</w:t>
            </w:r>
            <w:r w:rsidRPr="002C5876">
              <w:rPr>
                <w:sz w:val="18"/>
                <w:szCs w:val="18"/>
              </w:rPr>
              <w:t>, g/km </w:t>
            </w:r>
          </w:p>
          <w:p w:rsidR="00E24DB7" w:rsidRPr="00D53F39" w:rsidRDefault="00E24DB7" w:rsidP="00E24DB7">
            <w:pPr>
              <w:keepNext/>
              <w:keepLines/>
              <w:spacing w:before="60" w:after="60" w:line="220" w:lineRule="atLeast"/>
              <w:ind w:left="57" w:right="57"/>
              <w:rPr>
                <w:sz w:val="18"/>
                <w:szCs w:val="18"/>
                <w:lang w:val="en-US"/>
              </w:rPr>
            </w:pPr>
            <w:r w:rsidRPr="00D53F39">
              <w:rPr>
                <w:sz w:val="18"/>
                <w:szCs w:val="18"/>
                <w:lang w:val="en-US"/>
              </w:rPr>
              <w:t>FC</w:t>
            </w:r>
            <w:r w:rsidRPr="00D53F39">
              <w:rPr>
                <w:sz w:val="18"/>
                <w:szCs w:val="18"/>
                <w:vertAlign w:val="subscript"/>
                <w:lang w:val="en-US"/>
              </w:rPr>
              <w:t>c,L</w:t>
            </w:r>
            <w:r w:rsidRPr="00D53F39">
              <w:rPr>
                <w:sz w:val="18"/>
                <w:szCs w:val="18"/>
                <w:lang w:val="en-US"/>
              </w:rPr>
              <w:t>, l/100 km </w:t>
            </w:r>
          </w:p>
          <w:p w:rsidR="00E24DB7" w:rsidRPr="00D53F39" w:rsidRDefault="00E24DB7" w:rsidP="00E24DB7">
            <w:pPr>
              <w:keepNext/>
              <w:keepLines/>
              <w:spacing w:before="60" w:after="60" w:line="220" w:lineRule="atLeast"/>
              <w:ind w:left="57" w:right="57"/>
              <w:rPr>
                <w:sz w:val="18"/>
                <w:szCs w:val="18"/>
                <w:lang w:val="en-US"/>
              </w:rPr>
            </w:pPr>
            <w:r w:rsidRPr="00D53F39">
              <w:rPr>
                <w:sz w:val="18"/>
                <w:szCs w:val="18"/>
                <w:lang w:val="en-US"/>
              </w:rPr>
              <w:t>FC</w:t>
            </w:r>
            <w:r w:rsidRPr="00D53F39">
              <w:rPr>
                <w:sz w:val="18"/>
                <w:szCs w:val="18"/>
                <w:vertAlign w:val="subscript"/>
                <w:lang w:val="en-US"/>
              </w:rPr>
              <w:t>p,L</w:t>
            </w:r>
            <w:r w:rsidRPr="00D53F39">
              <w:rPr>
                <w:sz w:val="18"/>
                <w:szCs w:val="18"/>
                <w:lang w:val="en-US"/>
              </w:rPr>
              <w:t>, l/100 km</w:t>
            </w:r>
          </w:p>
        </w:tc>
        <w:tc>
          <w:tcPr>
            <w:tcW w:w="3519" w:type="dxa"/>
            <w:tcBorders>
              <w:bottom w:val="single" w:sz="12" w:space="0" w:color="auto"/>
            </w:tcBorders>
          </w:tcPr>
          <w:p w:rsidR="00E24DB7" w:rsidRPr="002C5876" w:rsidRDefault="00E24DB7" w:rsidP="00E24DB7">
            <w:pPr>
              <w:keepNext/>
              <w:keepLines/>
              <w:spacing w:before="60" w:after="60" w:line="220" w:lineRule="atLeast"/>
              <w:ind w:left="57" w:right="57"/>
              <w:rPr>
                <w:sz w:val="18"/>
                <w:szCs w:val="18"/>
              </w:rPr>
            </w:pPr>
            <w:r w:rsidRPr="002C5876">
              <w:rPr>
                <w:sz w:val="18"/>
                <w:szCs w:val="18"/>
              </w:rPr>
              <w:t>Calcul de la consommation de carburant et des émissions de CO</w:t>
            </w:r>
            <w:r w:rsidRPr="002C5876">
              <w:rPr>
                <w:sz w:val="18"/>
                <w:szCs w:val="18"/>
                <w:vertAlign w:val="subscript"/>
              </w:rPr>
              <w:t>2</w:t>
            </w:r>
            <w:r w:rsidRPr="002C5876">
              <w:rPr>
                <w:sz w:val="18"/>
                <w:szCs w:val="18"/>
              </w:rPr>
              <w:t xml:space="preserve"> pour les véhicules faisant partie d’une famille d’interpolation du point de vue du CO</w:t>
            </w:r>
            <w:r w:rsidRPr="002C5876">
              <w:rPr>
                <w:sz w:val="18"/>
                <w:szCs w:val="18"/>
                <w:vertAlign w:val="subscript"/>
              </w:rPr>
              <w:t>2</w:t>
            </w:r>
            <w:r w:rsidRPr="002C5876">
              <w:rPr>
                <w:sz w:val="18"/>
                <w:szCs w:val="18"/>
              </w:rPr>
              <w:t>.</w:t>
            </w:r>
          </w:p>
          <w:p w:rsidR="00E24DB7" w:rsidRPr="002C5876" w:rsidRDefault="00E24DB7" w:rsidP="00E24DB7">
            <w:pPr>
              <w:keepNext/>
              <w:keepLines/>
              <w:spacing w:before="60" w:after="60" w:line="220" w:lineRule="atLeast"/>
              <w:ind w:left="57" w:right="57"/>
              <w:rPr>
                <w:sz w:val="18"/>
                <w:szCs w:val="18"/>
              </w:rPr>
            </w:pPr>
            <w:r w:rsidRPr="002C5876">
              <w:rPr>
                <w:sz w:val="18"/>
                <w:szCs w:val="18"/>
              </w:rPr>
              <w:t>Par. 3.2.3 de la présente annexe</w:t>
            </w:r>
          </w:p>
          <w:p w:rsidR="00E24DB7" w:rsidRPr="002C5876" w:rsidRDefault="00E24DB7" w:rsidP="00E24DB7">
            <w:pPr>
              <w:keepNext/>
              <w:keepLines/>
              <w:spacing w:before="60" w:after="60" w:line="220" w:lineRule="atLeast"/>
              <w:ind w:left="57" w:right="57"/>
              <w:rPr>
                <w:sz w:val="18"/>
                <w:szCs w:val="18"/>
              </w:rPr>
            </w:pPr>
            <w:r w:rsidRPr="002C5876">
              <w:rPr>
                <w:sz w:val="18"/>
                <w:szCs w:val="18"/>
              </w:rPr>
              <w:t>Les émissions de CO</w:t>
            </w:r>
            <w:r w:rsidRPr="002C5876">
              <w:rPr>
                <w:sz w:val="18"/>
                <w:szCs w:val="18"/>
                <w:vertAlign w:val="subscript"/>
              </w:rPr>
              <w:t>2</w:t>
            </w:r>
            <w:r w:rsidRPr="002C5876">
              <w:rPr>
                <w:sz w:val="18"/>
                <w:szCs w:val="18"/>
              </w:rPr>
              <w:t xml:space="preserve"> doivent être exprimées en grammes par kilomètre (g/km) et arrondies au nombre entier le plus proche.</w:t>
            </w:r>
          </w:p>
          <w:p w:rsidR="00E24DB7" w:rsidRPr="002C5876" w:rsidRDefault="00E24DB7" w:rsidP="00E24DB7">
            <w:pPr>
              <w:keepNext/>
              <w:keepLines/>
              <w:spacing w:before="60" w:after="60" w:line="220" w:lineRule="atLeast"/>
              <w:ind w:left="57" w:right="57"/>
              <w:rPr>
                <w:sz w:val="18"/>
                <w:szCs w:val="18"/>
              </w:rPr>
            </w:pPr>
            <w:r w:rsidRPr="002C5876">
              <w:rPr>
                <w:sz w:val="18"/>
                <w:szCs w:val="18"/>
              </w:rPr>
              <w:t>Les valeurs FC doivent être arrondies à la première décimale et exprimées en (l/100 km).</w:t>
            </w:r>
          </w:p>
        </w:tc>
        <w:tc>
          <w:tcPr>
            <w:tcW w:w="1498" w:type="dxa"/>
            <w:tcBorders>
              <w:bottom w:val="single" w:sz="12" w:space="0" w:color="auto"/>
            </w:tcBorders>
          </w:tcPr>
          <w:p w:rsidR="00E24DB7" w:rsidRPr="00D53F39" w:rsidRDefault="00E24DB7" w:rsidP="00E24DB7">
            <w:pPr>
              <w:keepNext/>
              <w:keepLines/>
              <w:spacing w:before="60" w:after="60" w:line="220" w:lineRule="atLeast"/>
              <w:ind w:left="57" w:right="57"/>
              <w:rPr>
                <w:sz w:val="18"/>
                <w:szCs w:val="18"/>
                <w:lang w:val="en-US"/>
              </w:rPr>
            </w:pPr>
            <w:r w:rsidRPr="00D53F39">
              <w:rPr>
                <w:sz w:val="18"/>
                <w:szCs w:val="18"/>
                <w:lang w:val="en-US"/>
              </w:rPr>
              <w:t>M</w:t>
            </w:r>
            <w:r w:rsidRPr="00D53F39">
              <w:rPr>
                <w:sz w:val="18"/>
                <w:szCs w:val="18"/>
                <w:vertAlign w:val="subscript"/>
                <w:lang w:val="en-US"/>
              </w:rPr>
              <w:t>CO2,c,ind</w:t>
            </w:r>
            <w:r w:rsidRPr="00D53F39">
              <w:rPr>
                <w:sz w:val="18"/>
                <w:szCs w:val="18"/>
                <w:lang w:val="en-US"/>
              </w:rPr>
              <w:t xml:space="preserve"> g/km </w:t>
            </w:r>
          </w:p>
          <w:p w:rsidR="00E24DB7" w:rsidRPr="00D53F39" w:rsidRDefault="00E24DB7" w:rsidP="00E24DB7">
            <w:pPr>
              <w:keepNext/>
              <w:keepLines/>
              <w:spacing w:before="60" w:after="60" w:line="220" w:lineRule="atLeast"/>
              <w:ind w:left="57" w:right="57"/>
              <w:rPr>
                <w:sz w:val="18"/>
                <w:szCs w:val="18"/>
                <w:lang w:val="en-US"/>
              </w:rPr>
            </w:pPr>
            <w:r w:rsidRPr="00D53F39">
              <w:rPr>
                <w:sz w:val="18"/>
                <w:szCs w:val="18"/>
                <w:lang w:val="en-US"/>
              </w:rPr>
              <w:t>M</w:t>
            </w:r>
            <w:r w:rsidRPr="00D53F39">
              <w:rPr>
                <w:sz w:val="18"/>
                <w:szCs w:val="18"/>
                <w:vertAlign w:val="subscript"/>
                <w:lang w:val="en-US"/>
              </w:rPr>
              <w:t>CO2,p,ind</w:t>
            </w:r>
            <w:r w:rsidRPr="00D53F39">
              <w:rPr>
                <w:sz w:val="18"/>
                <w:szCs w:val="18"/>
                <w:lang w:val="en-US"/>
              </w:rPr>
              <w:t xml:space="preserve">, g/km  </w:t>
            </w:r>
          </w:p>
          <w:p w:rsidR="00E24DB7" w:rsidRPr="00D53F39" w:rsidRDefault="00E24DB7" w:rsidP="00E24DB7">
            <w:pPr>
              <w:keepNext/>
              <w:keepLines/>
              <w:spacing w:before="60" w:after="60" w:line="220" w:lineRule="atLeast"/>
              <w:ind w:left="57" w:right="57"/>
              <w:rPr>
                <w:sz w:val="18"/>
                <w:szCs w:val="18"/>
                <w:lang w:val="en-US"/>
              </w:rPr>
            </w:pPr>
            <w:r w:rsidRPr="00D53F39">
              <w:rPr>
                <w:sz w:val="18"/>
                <w:szCs w:val="18"/>
                <w:lang w:val="en-US"/>
              </w:rPr>
              <w:t>FC</w:t>
            </w:r>
            <w:r w:rsidRPr="00D53F39">
              <w:rPr>
                <w:sz w:val="18"/>
                <w:szCs w:val="18"/>
                <w:vertAlign w:val="subscript"/>
                <w:lang w:val="en-US"/>
              </w:rPr>
              <w:t>c,ind</w:t>
            </w:r>
            <w:r w:rsidRPr="00D53F39">
              <w:rPr>
                <w:sz w:val="18"/>
                <w:szCs w:val="18"/>
                <w:lang w:val="en-US"/>
              </w:rPr>
              <w:t xml:space="preserve"> l/100 km </w:t>
            </w:r>
          </w:p>
          <w:p w:rsidR="00E24DB7" w:rsidRPr="00D53F39" w:rsidRDefault="00E24DB7" w:rsidP="00E24DB7">
            <w:pPr>
              <w:keepNext/>
              <w:keepLines/>
              <w:spacing w:before="60" w:after="60" w:line="220" w:lineRule="atLeast"/>
              <w:ind w:left="57" w:right="57"/>
              <w:rPr>
                <w:sz w:val="18"/>
                <w:szCs w:val="18"/>
                <w:lang w:val="en-US"/>
              </w:rPr>
            </w:pPr>
            <w:r w:rsidRPr="00D53F39">
              <w:rPr>
                <w:sz w:val="18"/>
                <w:szCs w:val="18"/>
                <w:lang w:val="en-US"/>
              </w:rPr>
              <w:t>FC</w:t>
            </w:r>
            <w:r w:rsidRPr="00D53F39">
              <w:rPr>
                <w:sz w:val="18"/>
                <w:szCs w:val="18"/>
                <w:vertAlign w:val="subscript"/>
                <w:lang w:val="en-US"/>
              </w:rPr>
              <w:t>p,ind</w:t>
            </w:r>
            <w:r w:rsidRPr="00D53F39">
              <w:rPr>
                <w:sz w:val="18"/>
                <w:szCs w:val="18"/>
                <w:lang w:val="en-US"/>
              </w:rPr>
              <w:t>, l/100 km</w:t>
            </w:r>
          </w:p>
        </w:tc>
        <w:tc>
          <w:tcPr>
            <w:tcW w:w="1501" w:type="dxa"/>
            <w:gridSpan w:val="2"/>
            <w:tcBorders>
              <w:bottom w:val="single" w:sz="12" w:space="0" w:color="auto"/>
            </w:tcBorders>
          </w:tcPr>
          <w:p w:rsidR="00E24DB7" w:rsidRPr="002C5876" w:rsidRDefault="00E24DB7" w:rsidP="00E24DB7">
            <w:pPr>
              <w:keepNext/>
              <w:keepLines/>
              <w:spacing w:before="60" w:after="60" w:line="220" w:lineRule="atLeast"/>
              <w:ind w:left="57" w:right="57"/>
              <w:rPr>
                <w:sz w:val="18"/>
                <w:szCs w:val="18"/>
              </w:rPr>
            </w:pPr>
            <w:r w:rsidRPr="002C5876">
              <w:rPr>
                <w:sz w:val="18"/>
                <w:szCs w:val="18"/>
              </w:rPr>
              <w:t>10</w:t>
            </w:r>
          </w:p>
          <w:p w:rsidR="00E24DB7" w:rsidRPr="002C5876" w:rsidRDefault="00E24DB7" w:rsidP="00E24DB7">
            <w:pPr>
              <w:keepNext/>
              <w:keepLines/>
              <w:spacing w:before="60" w:after="60" w:line="220" w:lineRule="atLeast"/>
              <w:ind w:left="57" w:right="57"/>
              <w:rPr>
                <w:sz w:val="18"/>
                <w:szCs w:val="18"/>
              </w:rPr>
            </w:pPr>
            <w:r w:rsidRPr="002C5876">
              <w:rPr>
                <w:sz w:val="18"/>
                <w:szCs w:val="18"/>
              </w:rPr>
              <w:t>Résultat d’un véhicule donné</w:t>
            </w:r>
          </w:p>
          <w:p w:rsidR="00E24DB7" w:rsidRPr="002C5876" w:rsidRDefault="00E24DB7" w:rsidP="00E24DB7">
            <w:pPr>
              <w:keepNext/>
              <w:keepLines/>
              <w:spacing w:before="60" w:after="60" w:line="220" w:lineRule="atLeast"/>
              <w:ind w:left="57" w:right="57"/>
              <w:rPr>
                <w:sz w:val="18"/>
                <w:szCs w:val="18"/>
              </w:rPr>
            </w:pPr>
            <w:r w:rsidRPr="002C5876">
              <w:rPr>
                <w:sz w:val="18"/>
                <w:szCs w:val="18"/>
              </w:rPr>
              <w:t>Résultat final pour le CO</w:t>
            </w:r>
            <w:r w:rsidRPr="002C5876">
              <w:rPr>
                <w:sz w:val="18"/>
                <w:szCs w:val="18"/>
                <w:vertAlign w:val="subscript"/>
              </w:rPr>
              <w:t>2</w:t>
            </w:r>
            <w:r w:rsidRPr="002C5876">
              <w:rPr>
                <w:sz w:val="18"/>
                <w:szCs w:val="18"/>
              </w:rPr>
              <w:t xml:space="preserve"> et </w:t>
            </w:r>
            <w:r w:rsidRPr="002C5876">
              <w:rPr>
                <w:spacing w:val="-4"/>
                <w:sz w:val="18"/>
                <w:szCs w:val="18"/>
              </w:rPr>
              <w:t>la consommation</w:t>
            </w:r>
            <w:r w:rsidRPr="002C5876">
              <w:rPr>
                <w:sz w:val="18"/>
                <w:szCs w:val="18"/>
              </w:rPr>
              <w:t xml:space="preserve"> de carburant (FC)</w:t>
            </w:r>
          </w:p>
        </w:tc>
      </w:tr>
    </w:tbl>
    <w:p w:rsidR="00E24DB7" w:rsidRPr="002C5876" w:rsidRDefault="00E24DB7" w:rsidP="00E24DB7">
      <w:pPr>
        <w:pStyle w:val="SingleTxtG"/>
        <w:keepNext/>
        <w:spacing w:before="240"/>
        <w:ind w:left="2835" w:hanging="1701"/>
        <w:jc w:val="left"/>
      </w:pPr>
      <w:r w:rsidRPr="002C5876">
        <w:t>2.</w:t>
      </w:r>
      <w:r w:rsidRPr="002C5876">
        <w:tab/>
        <w:t>Détermination du volume des gaz d’échappement dilués</w:t>
      </w:r>
    </w:p>
    <w:p w:rsidR="00E24DB7" w:rsidRPr="002C5876" w:rsidRDefault="00E24DB7" w:rsidP="00E24DB7">
      <w:pPr>
        <w:pStyle w:val="SingleTxtG"/>
        <w:keepNext/>
        <w:ind w:left="2835" w:hanging="1701"/>
        <w:jc w:val="left"/>
      </w:pPr>
      <w:r w:rsidRPr="002C5876">
        <w:t>2.1</w:t>
      </w:r>
      <w:r w:rsidRPr="002C5876">
        <w:tab/>
        <w:t xml:space="preserve">Calcul du volume dans le cas d’un système à dilution variable </w:t>
      </w:r>
      <w:r w:rsidRPr="002C5876">
        <w:br/>
        <w:t>pouvant fonctionner à un débit constant ou variable</w:t>
      </w:r>
    </w:p>
    <w:p w:rsidR="00E24DB7" w:rsidRPr="002C5876" w:rsidRDefault="00E24DB7" w:rsidP="00E24DB7">
      <w:pPr>
        <w:pStyle w:val="SingleTxtG"/>
        <w:ind w:left="2835"/>
      </w:pPr>
      <w:r w:rsidRPr="002C5876">
        <w:t>Le débit volumique doit être mesuré en continu. Le volume total doit être mesuré sur toute la durée de l’essai.</w:t>
      </w:r>
    </w:p>
    <w:p w:rsidR="00E24DB7" w:rsidRPr="002C5876" w:rsidRDefault="00E24DB7" w:rsidP="00E24DB7">
      <w:pPr>
        <w:pStyle w:val="SingleTxtG"/>
        <w:keepNext/>
        <w:ind w:left="2835" w:hanging="1701"/>
        <w:jc w:val="left"/>
      </w:pPr>
      <w:r w:rsidRPr="002C5876">
        <w:t>2.2</w:t>
      </w:r>
      <w:r w:rsidRPr="002C5876">
        <w:tab/>
        <w:t xml:space="preserve">Calcul du volume dans le cas d’un système à dilution variable </w:t>
      </w:r>
      <w:r w:rsidRPr="002C5876">
        <w:br/>
        <w:t>à pompe volumétrique</w:t>
      </w:r>
    </w:p>
    <w:p w:rsidR="00E24DB7" w:rsidRPr="002C5876" w:rsidRDefault="00E24DB7" w:rsidP="00E24DB7">
      <w:pPr>
        <w:pStyle w:val="SingleTxtG"/>
        <w:keepNext/>
        <w:ind w:left="2835" w:hanging="1701"/>
      </w:pPr>
      <w:r w:rsidRPr="002C5876">
        <w:t>2.2.1</w:t>
      </w:r>
      <w:r w:rsidRPr="002C5876">
        <w:tab/>
        <w:t>Le volume doit être calculé comme suit :</w:t>
      </w:r>
    </w:p>
    <w:p w:rsidR="00E24DB7" w:rsidRPr="002C5876" w:rsidRDefault="00E24DB7" w:rsidP="00E24DB7">
      <w:pPr>
        <w:pStyle w:val="SingleTxtG"/>
        <w:keepNext/>
        <w:spacing w:after="240"/>
        <w:ind w:left="2268" w:hanging="1134"/>
        <w:jc w:val="center"/>
      </w:pPr>
      <m:oMathPara>
        <m:oMath>
          <m:r>
            <m:rPr>
              <m:sty m:val="p"/>
            </m:rPr>
            <w:rPr>
              <w:rFonts w:ascii="Cambria Math" w:hAnsi="Cambria Math" w:cstheme="majorBidi"/>
            </w:rPr>
            <m:t>V=</m:t>
          </m:r>
          <m:sSub>
            <m:sSubPr>
              <m:ctrlPr>
                <w:rPr>
                  <w:rFonts w:ascii="Cambria Math" w:hAnsi="Cambria Math" w:cstheme="majorBidi"/>
                </w:rPr>
              </m:ctrlPr>
            </m:sSubPr>
            <m:e>
              <m:r>
                <m:rPr>
                  <m:sty m:val="p"/>
                </m:rPr>
                <w:rPr>
                  <w:rFonts w:ascii="Cambria Math" w:hAnsi="Cambria Math" w:cstheme="majorBidi"/>
                </w:rPr>
                <m:t>V</m:t>
              </m:r>
            </m:e>
            <m:sub>
              <m:r>
                <m:rPr>
                  <m:sty m:val="p"/>
                </m:rPr>
                <w:rPr>
                  <w:rFonts w:ascii="Cambria Math" w:hAnsi="Cambria Math" w:cstheme="majorBidi"/>
                </w:rPr>
                <m:t>0</m:t>
              </m:r>
            </m:sub>
          </m:sSub>
          <m:r>
            <m:rPr>
              <m:sty m:val="p"/>
            </m:rPr>
            <w:rPr>
              <w:rFonts w:ascii="Cambria Math" w:hAnsi="Cambria Math" w:cstheme="majorBidi"/>
            </w:rPr>
            <m:t>×N</m:t>
          </m:r>
        </m:oMath>
      </m:oMathPara>
    </w:p>
    <w:p w:rsidR="00E24DB7" w:rsidRPr="002C5876" w:rsidRDefault="00E24DB7" w:rsidP="00E24DB7">
      <w:pPr>
        <w:pStyle w:val="SingleTxtG"/>
        <w:keepNext/>
        <w:ind w:left="2835"/>
      </w:pPr>
      <w:r w:rsidRPr="002C5876">
        <w:t>où :</w:t>
      </w:r>
    </w:p>
    <w:p w:rsidR="00E24DB7" w:rsidRPr="002C5876" w:rsidRDefault="00E24DB7" w:rsidP="00E24DB7">
      <w:pPr>
        <w:pStyle w:val="SingleTxtG"/>
        <w:ind w:left="2835"/>
      </w:pPr>
      <w:r w:rsidRPr="002C5876">
        <w:t>V</w:t>
      </w:r>
      <w:r w:rsidRPr="002C5876">
        <w:tab/>
        <w:t>est le volume de gaz dilués, en l par essai (avant correction) ;</w:t>
      </w:r>
    </w:p>
    <w:p w:rsidR="00E24DB7" w:rsidRPr="002C5876" w:rsidRDefault="00E24DB7" w:rsidP="00E24DB7">
      <w:pPr>
        <w:pStyle w:val="SingleTxtG"/>
        <w:ind w:left="2835"/>
      </w:pPr>
      <w:r w:rsidRPr="002C5876">
        <w:t>V</w:t>
      </w:r>
      <w:r w:rsidRPr="002C5876">
        <w:rPr>
          <w:vertAlign w:val="subscript"/>
        </w:rPr>
        <w:t>0</w:t>
      </w:r>
      <w:r w:rsidRPr="002C5876">
        <w:tab/>
        <w:t>est le volume de gaz déplacé par la pompe volumétrique dans les conditions de l’essai, en l par tour de la pompe ;</w:t>
      </w:r>
    </w:p>
    <w:p w:rsidR="00E24DB7" w:rsidRPr="002C5876" w:rsidRDefault="00E24DB7" w:rsidP="00E24DB7">
      <w:pPr>
        <w:pStyle w:val="SingleTxtG"/>
        <w:ind w:left="2835"/>
      </w:pPr>
      <w:r w:rsidRPr="002C5876">
        <w:t>N</w:t>
      </w:r>
      <w:r w:rsidRPr="002C5876">
        <w:tab/>
        <w:t>est le nombre de tours de la pompe au cours de l’essai.</w:t>
      </w:r>
    </w:p>
    <w:p w:rsidR="00E24DB7" w:rsidRPr="002C5876" w:rsidRDefault="00E24DB7" w:rsidP="00E24DB7">
      <w:pPr>
        <w:pStyle w:val="SingleTxtG"/>
        <w:ind w:left="2835" w:hanging="1701"/>
      </w:pPr>
      <w:r w:rsidRPr="002C5876">
        <w:t>2.2.1.1</w:t>
      </w:r>
      <w:r w:rsidRPr="002C5876">
        <w:tab/>
        <w:t>Calcul du volume ramené aux conditions normales</w:t>
      </w:r>
    </w:p>
    <w:p w:rsidR="00E24DB7" w:rsidRPr="002C5876" w:rsidRDefault="00E24DB7" w:rsidP="00E24DB7">
      <w:pPr>
        <w:pStyle w:val="SingleTxtG"/>
        <w:ind w:left="2835" w:hanging="1701"/>
      </w:pPr>
      <w:r w:rsidRPr="002C5876">
        <w:tab/>
        <w:t>Le volume des gaz d’échappement dilués, V, est ramené aux conditions normales par la formule suivante :</w:t>
      </w:r>
    </w:p>
    <w:p w:rsidR="00E24DB7" w:rsidRPr="002C5876" w:rsidRDefault="00731CA6" w:rsidP="00E24DB7">
      <w:pPr>
        <w:pStyle w:val="SingleTxtG"/>
        <w:ind w:left="2268"/>
        <w:jc w:val="center"/>
      </w:pPr>
      <m:oMathPara>
        <m:oMath>
          <m:sSub>
            <m:sSubPr>
              <m:ctrlPr>
                <w:rPr>
                  <w:rFonts w:ascii="Cambria Math" w:hAnsi="Cambria Math" w:cstheme="majorBidi"/>
                </w:rPr>
              </m:ctrlPr>
            </m:sSubPr>
            <m:e>
              <m:r>
                <m:rPr>
                  <m:sty m:val="p"/>
                </m:rPr>
                <w:rPr>
                  <w:rFonts w:ascii="Cambria Math" w:hAnsi="Cambria Math" w:cstheme="majorBidi"/>
                </w:rPr>
                <m:t>V</m:t>
              </m:r>
            </m:e>
            <m:sub>
              <m:r>
                <m:rPr>
                  <m:sty m:val="p"/>
                </m:rPr>
                <w:rPr>
                  <w:rFonts w:ascii="Cambria Math" w:hAnsi="Cambria Math" w:cstheme="majorBidi"/>
                </w:rPr>
                <m:t>mix</m:t>
              </m:r>
            </m:sub>
          </m:sSub>
          <m:r>
            <m:rPr>
              <m:sty m:val="p"/>
            </m:rPr>
            <w:rPr>
              <w:rFonts w:ascii="Cambria Math" w:hAnsi="Cambria Math" w:cstheme="majorBidi"/>
            </w:rPr>
            <m:t>=V×</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1</m:t>
              </m:r>
            </m:sub>
          </m:sSub>
          <m:r>
            <m:rPr>
              <m:sty m:val="p"/>
            </m:rPr>
            <w:rPr>
              <w:rFonts w:ascii="Cambria Math" w:hAnsi="Cambria Math" w:cstheme="majorBidi"/>
            </w:rPr>
            <m:t>×</m:t>
          </m:r>
          <m:d>
            <m:dPr>
              <m:ctrlPr>
                <w:rPr>
                  <w:rFonts w:ascii="Cambria Math" w:hAnsi="Cambria Math" w:cstheme="majorBidi"/>
                </w:rPr>
              </m:ctrlPr>
            </m:dPr>
            <m:e>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P</m:t>
                      </m:r>
                    </m:e>
                    <m:sub>
                      <m:r>
                        <m:rPr>
                          <m:sty m:val="p"/>
                        </m:rPr>
                        <w:rPr>
                          <w:rFonts w:ascii="Cambria Math" w:hAnsi="Cambria Math" w:cstheme="majorBidi"/>
                        </w:rPr>
                        <m:t>B</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P</m:t>
                      </m:r>
                    </m:e>
                    <m:sub>
                      <m:r>
                        <m:rPr>
                          <m:sty m:val="p"/>
                        </m:rPr>
                        <w:rPr>
                          <w:rFonts w:ascii="Cambria Math" w:hAnsi="Cambria Math" w:cstheme="majorBidi"/>
                        </w:rPr>
                        <m:t>1</m:t>
                      </m:r>
                    </m:sub>
                  </m:sSub>
                </m:num>
                <m:den>
                  <m:sSub>
                    <m:sSubPr>
                      <m:ctrlPr>
                        <w:rPr>
                          <w:rFonts w:ascii="Cambria Math" w:hAnsi="Cambria Math" w:cstheme="majorBidi"/>
                        </w:rPr>
                      </m:ctrlPr>
                    </m:sSubPr>
                    <m:e>
                      <m:r>
                        <m:rPr>
                          <m:sty m:val="p"/>
                        </m:rPr>
                        <w:rPr>
                          <w:rFonts w:ascii="Cambria Math" w:hAnsi="Cambria Math" w:cstheme="majorBidi"/>
                        </w:rPr>
                        <m:t>T</m:t>
                      </m:r>
                    </m:e>
                    <m:sub>
                      <m:r>
                        <m:rPr>
                          <m:sty m:val="p"/>
                        </m:rPr>
                        <w:rPr>
                          <w:rFonts w:ascii="Cambria Math" w:hAnsi="Cambria Math" w:cstheme="majorBidi"/>
                        </w:rPr>
                        <m:t>p</m:t>
                      </m:r>
                    </m:sub>
                  </m:sSub>
                </m:den>
              </m:f>
            </m:e>
          </m:d>
        </m:oMath>
      </m:oMathPara>
    </w:p>
    <w:p w:rsidR="00E24DB7" w:rsidRPr="002C5876" w:rsidRDefault="00E24DB7" w:rsidP="00E24DB7">
      <w:pPr>
        <w:pStyle w:val="SingleTxtG"/>
        <w:keepNext/>
        <w:ind w:left="2835"/>
      </w:pPr>
      <w:r w:rsidRPr="002C5876">
        <w:t>où :</w:t>
      </w:r>
    </w:p>
    <w:p w:rsidR="00D12C67" w:rsidRPr="002C5876" w:rsidRDefault="00731CA6" w:rsidP="00D12C67">
      <w:pPr>
        <w:pStyle w:val="SingleTxtG"/>
        <w:keepNext/>
        <w:ind w:left="2268"/>
      </w:pPr>
      <m:oMathPara>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1</m:t>
              </m:r>
            </m:sub>
          </m:sSub>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273,15 (K)</m:t>
              </m:r>
            </m:num>
            <m:den>
              <m:r>
                <m:rPr>
                  <m:sty m:val="p"/>
                </m:rPr>
                <w:rPr>
                  <w:rFonts w:ascii="Cambria Math" w:hAnsi="Cambria Math"/>
                  <w:szCs w:val="24"/>
                </w:rPr>
                <m:t>101,325 (kPa)</m:t>
              </m:r>
            </m:den>
          </m:f>
          <m:r>
            <m:rPr>
              <m:sty m:val="p"/>
            </m:rPr>
            <w:rPr>
              <w:rFonts w:ascii="Cambria Math" w:hAnsi="Cambria Math"/>
              <w:szCs w:val="24"/>
            </w:rPr>
            <m:t>=2,6961</m:t>
          </m:r>
        </m:oMath>
      </m:oMathPara>
    </w:p>
    <w:p w:rsidR="00E24DB7" w:rsidRPr="002C5876" w:rsidRDefault="00E24DB7" w:rsidP="00E24DB7">
      <w:pPr>
        <w:pStyle w:val="SingleTxtG"/>
        <w:ind w:left="3402" w:hanging="567"/>
      </w:pPr>
      <w:r w:rsidRPr="002C5876">
        <w:t>Р</w:t>
      </w:r>
      <w:r w:rsidRPr="002C5876">
        <w:rPr>
          <w:vertAlign w:val="subscript"/>
        </w:rPr>
        <w:t>B</w:t>
      </w:r>
      <w:r w:rsidRPr="002C5876">
        <w:tab/>
        <w:t>est la pression barométrique dans la chambre d’essai, en kPa ;</w:t>
      </w:r>
    </w:p>
    <w:p w:rsidR="00E24DB7" w:rsidRPr="002C5876" w:rsidRDefault="00E24DB7" w:rsidP="00E24DB7">
      <w:pPr>
        <w:pStyle w:val="SingleTxtG"/>
        <w:ind w:left="3402" w:hanging="567"/>
      </w:pPr>
      <w:r w:rsidRPr="002C5876">
        <w:t>Р</w:t>
      </w:r>
      <w:r w:rsidRPr="002C5876">
        <w:rPr>
          <w:vertAlign w:val="subscript"/>
        </w:rPr>
        <w:t>1</w:t>
      </w:r>
      <w:r w:rsidRPr="002C5876">
        <w:tab/>
        <w:t>est la dépression à l’entrée de la pompe volumétrique par rapport à la pression barométrique ambiante, en kPa ;</w:t>
      </w:r>
    </w:p>
    <w:p w:rsidR="00E24DB7" w:rsidRPr="002C5876" w:rsidRDefault="00E24DB7" w:rsidP="00E24DB7">
      <w:pPr>
        <w:pStyle w:val="SingleTxtG"/>
        <w:ind w:left="3402" w:hanging="567"/>
      </w:pPr>
      <w:r w:rsidRPr="002C5876">
        <w:t>T</w:t>
      </w:r>
      <w:r w:rsidRPr="002C5876">
        <w:rPr>
          <w:vertAlign w:val="subscript"/>
        </w:rPr>
        <w:t>Р</w:t>
      </w:r>
      <w:r w:rsidRPr="002C5876">
        <w:tab/>
        <w:t>est la température moyenne arithmétique des gaz d’échappement dilués entrant dans la pompe volumétrique au cours de l’essai, en K.</w:t>
      </w:r>
    </w:p>
    <w:p w:rsidR="00E24DB7" w:rsidRPr="002C5876" w:rsidRDefault="00E24DB7" w:rsidP="00E24DB7">
      <w:pPr>
        <w:pStyle w:val="SingleTxtG"/>
        <w:keepNext/>
        <w:ind w:left="2835" w:hanging="1701"/>
        <w:jc w:val="left"/>
      </w:pPr>
      <w:bookmarkStart w:id="207" w:name="_Toc284587186"/>
      <w:bookmarkStart w:id="208" w:name="_Toc284587437"/>
      <w:r w:rsidRPr="002C5876">
        <w:t>3.</w:t>
      </w:r>
      <w:r w:rsidRPr="002C5876">
        <w:tab/>
        <w:t>Émissions massiques</w:t>
      </w:r>
    </w:p>
    <w:p w:rsidR="00E24DB7" w:rsidRPr="002C5876" w:rsidRDefault="00E24DB7" w:rsidP="00E24DB7">
      <w:pPr>
        <w:pStyle w:val="SingleTxtG"/>
        <w:keepNext/>
        <w:ind w:left="2835" w:hanging="1701"/>
        <w:jc w:val="left"/>
      </w:pPr>
      <w:r w:rsidRPr="002C5876">
        <w:t>3.1</w:t>
      </w:r>
      <w:r w:rsidRPr="002C5876">
        <w:tab/>
        <w:t>Prescriptions générales</w:t>
      </w:r>
    </w:p>
    <w:p w:rsidR="00E24DB7" w:rsidRPr="002C5876" w:rsidRDefault="00E24DB7" w:rsidP="00E24DB7">
      <w:pPr>
        <w:pStyle w:val="SingleTxtG"/>
        <w:ind w:left="2835" w:hanging="1701"/>
      </w:pPr>
      <w:r w:rsidRPr="002C5876">
        <w:t>3.1.1</w:t>
      </w:r>
      <w:r w:rsidRPr="002C5876">
        <w:tab/>
        <w:t>Les effets de compressibilité étant exclus, tous les gaz à prendre en compte dans les processus d’admission, de combustion et d’échappement du moteur peuvent être considérés comme idéaux selon l’hypothèse d’Avogadro.</w:t>
      </w:r>
    </w:p>
    <w:p w:rsidR="00E24DB7" w:rsidRPr="002C5876" w:rsidRDefault="00E24DB7" w:rsidP="00E24DB7">
      <w:pPr>
        <w:pStyle w:val="SingleTxtG"/>
        <w:ind w:left="2835" w:hanging="1701"/>
      </w:pPr>
      <w:r w:rsidRPr="002C5876">
        <w:lastRenderedPageBreak/>
        <w:t>3.1.2</w:t>
      </w:r>
      <w:r w:rsidRPr="002C5876">
        <w:tab/>
        <w:t>La masse M des composés gazeux émis par le véhicule au cours de l’essai doit être déterminée en calculant le produit de la concentration volumique du gaz considéré et du volume des gaz d’échappement dilués, en tenant dûment compte des valeurs de masse volumique suivantes dans les conditions de référence de 273,15 K (0 °C) et 101,325 kPa :</w:t>
      </w:r>
    </w:p>
    <w:p w:rsidR="00E24DB7" w:rsidRPr="002C5876" w:rsidRDefault="00E24DB7" w:rsidP="00E24DB7">
      <w:pPr>
        <w:pStyle w:val="SingleTxtG"/>
        <w:ind w:left="2835"/>
      </w:pPr>
      <w:r w:rsidRPr="002C5876">
        <w:t>Monoxyde de carbone (CO)</w:t>
      </w:r>
      <w:r w:rsidRPr="002C5876">
        <w:tab/>
      </w:r>
      <w:r w:rsidRPr="002C5876">
        <w:tab/>
        <w:t>ρ = 1,25 g/l</w:t>
      </w:r>
    </w:p>
    <w:p w:rsidR="00E24DB7" w:rsidRPr="002C5876" w:rsidRDefault="00E24DB7" w:rsidP="00E24DB7">
      <w:pPr>
        <w:pStyle w:val="SingleTxtG"/>
        <w:ind w:left="2835"/>
      </w:pPr>
      <w:r w:rsidRPr="002C5876">
        <w:t>Dioxyde de carbone (CO</w:t>
      </w:r>
      <w:r w:rsidRPr="002C5876">
        <w:rPr>
          <w:vertAlign w:val="subscript"/>
        </w:rPr>
        <w:t>2</w:t>
      </w:r>
      <w:r w:rsidRPr="002C5876">
        <w:t>)</w:t>
      </w:r>
      <w:r w:rsidRPr="002C5876">
        <w:tab/>
      </w:r>
      <w:r w:rsidRPr="002C5876">
        <w:tab/>
        <w:t>ρ = 1,964 g/l</w:t>
      </w:r>
    </w:p>
    <w:p w:rsidR="00E24DB7" w:rsidRPr="002C5876" w:rsidRDefault="00E24DB7" w:rsidP="00E24DB7">
      <w:pPr>
        <w:pStyle w:val="SingleTxtG"/>
        <w:keepNext/>
        <w:ind w:left="2835"/>
      </w:pPr>
      <w:r w:rsidRPr="002C5876">
        <w:t>Hydrocarbures :</w:t>
      </w:r>
    </w:p>
    <w:p w:rsidR="00E24DB7" w:rsidRPr="002C5876" w:rsidRDefault="00E24DB7" w:rsidP="00E24DB7">
      <w:pPr>
        <w:pStyle w:val="SingleTxtG"/>
        <w:ind w:left="6237" w:hanging="2835"/>
      </w:pPr>
      <w:r w:rsidRPr="002C5876">
        <w:t>Pour l’essence (E0) (C</w:t>
      </w:r>
      <w:r w:rsidRPr="002C5876">
        <w:rPr>
          <w:vertAlign w:val="subscript"/>
        </w:rPr>
        <w:t>1</w:t>
      </w:r>
      <w:r w:rsidRPr="002C5876">
        <w:t>H</w:t>
      </w:r>
      <w:r w:rsidRPr="002C5876">
        <w:rPr>
          <w:vertAlign w:val="subscript"/>
        </w:rPr>
        <w:t>1,85</w:t>
      </w:r>
      <w:r w:rsidRPr="002C5876">
        <w:t>)</w:t>
      </w:r>
      <w:r w:rsidRPr="002C5876">
        <w:tab/>
      </w:r>
      <w:r w:rsidRPr="002C5876">
        <w:tab/>
      </w:r>
      <w:r w:rsidRPr="002C5876">
        <w:tab/>
        <w:t>ρ = 0,619 g/1</w:t>
      </w:r>
    </w:p>
    <w:p w:rsidR="00E24DB7" w:rsidRPr="002C5876" w:rsidRDefault="00E24DB7" w:rsidP="00E24DB7">
      <w:pPr>
        <w:pStyle w:val="SingleTxtG"/>
        <w:ind w:left="6237" w:hanging="2835"/>
      </w:pPr>
      <w:r w:rsidRPr="002C5876">
        <w:t>Pour l’essence (E5) (C</w:t>
      </w:r>
      <w:r w:rsidRPr="002C5876">
        <w:rPr>
          <w:vertAlign w:val="subscript"/>
        </w:rPr>
        <w:t>1</w:t>
      </w:r>
      <w:r w:rsidRPr="002C5876">
        <w:t>H</w:t>
      </w:r>
      <w:r w:rsidRPr="002C5876">
        <w:rPr>
          <w:vertAlign w:val="subscript"/>
        </w:rPr>
        <w:t>1,89</w:t>
      </w:r>
      <w:r w:rsidRPr="002C5876">
        <w:t>O</w:t>
      </w:r>
      <w:r w:rsidRPr="002C5876">
        <w:rPr>
          <w:vertAlign w:val="subscript"/>
        </w:rPr>
        <w:t>0,016</w:t>
      </w:r>
      <w:r w:rsidRPr="002C5876">
        <w:t>)</w:t>
      </w:r>
      <w:r w:rsidRPr="002C5876">
        <w:tab/>
      </w:r>
      <w:r w:rsidRPr="002C5876">
        <w:tab/>
      </w:r>
      <w:r w:rsidRPr="002C5876">
        <w:tab/>
        <w:t>ρ = 0,632 g/1</w:t>
      </w:r>
    </w:p>
    <w:p w:rsidR="00E24DB7" w:rsidRPr="002C5876" w:rsidRDefault="00E24DB7" w:rsidP="00E24DB7">
      <w:pPr>
        <w:pStyle w:val="SingleTxtG"/>
        <w:ind w:left="6237" w:hanging="2835"/>
      </w:pPr>
      <w:r w:rsidRPr="002C5876">
        <w:t>Pour l’essence (E10) (C</w:t>
      </w:r>
      <w:r w:rsidRPr="002C5876">
        <w:rPr>
          <w:vertAlign w:val="subscript"/>
        </w:rPr>
        <w:t>1</w:t>
      </w:r>
      <w:r w:rsidRPr="002C5876">
        <w:t>H</w:t>
      </w:r>
      <w:r w:rsidRPr="002C5876">
        <w:rPr>
          <w:vertAlign w:val="subscript"/>
        </w:rPr>
        <w:t>1,93</w:t>
      </w:r>
      <w:r w:rsidRPr="002C5876">
        <w:t>O</w:t>
      </w:r>
      <w:r w:rsidRPr="002C5876">
        <w:rPr>
          <w:vertAlign w:val="subscript"/>
        </w:rPr>
        <w:t>0,033</w:t>
      </w:r>
      <w:r w:rsidRPr="002C5876">
        <w:t>)</w:t>
      </w:r>
      <w:r w:rsidRPr="002C5876">
        <w:tab/>
        <w:t>ρ = 0,646 g/1</w:t>
      </w:r>
    </w:p>
    <w:p w:rsidR="00E24DB7" w:rsidRPr="002C5876" w:rsidRDefault="00E24DB7" w:rsidP="00E24DB7">
      <w:pPr>
        <w:pStyle w:val="SingleTxtG"/>
        <w:ind w:left="6237" w:hanging="2835"/>
      </w:pPr>
      <w:r w:rsidRPr="002C5876">
        <w:t>Pour le gazole (B0) (C</w:t>
      </w:r>
      <w:r w:rsidRPr="002C5876">
        <w:rPr>
          <w:vertAlign w:val="subscript"/>
        </w:rPr>
        <w:t>1</w:t>
      </w:r>
      <w:r w:rsidRPr="002C5876">
        <w:t>H</w:t>
      </w:r>
      <w:r w:rsidRPr="002C5876">
        <w:rPr>
          <w:vertAlign w:val="subscript"/>
        </w:rPr>
        <w:t>l,86</w:t>
      </w:r>
      <w:r w:rsidRPr="002C5876">
        <w:t>)</w:t>
      </w:r>
      <w:r w:rsidRPr="002C5876">
        <w:tab/>
      </w:r>
      <w:r w:rsidRPr="002C5876">
        <w:tab/>
      </w:r>
      <w:r w:rsidRPr="002C5876">
        <w:tab/>
        <w:t>ρ = 0,620 g/1</w:t>
      </w:r>
    </w:p>
    <w:p w:rsidR="00E24DB7" w:rsidRPr="002C5876" w:rsidRDefault="00E24DB7" w:rsidP="00E24DB7">
      <w:pPr>
        <w:pStyle w:val="SingleTxtG"/>
        <w:ind w:left="6237" w:hanging="2835"/>
      </w:pPr>
      <w:r w:rsidRPr="002C5876">
        <w:t>Pour le gazole (B5) (C</w:t>
      </w:r>
      <w:r w:rsidRPr="002C5876">
        <w:rPr>
          <w:vertAlign w:val="subscript"/>
        </w:rPr>
        <w:t>1</w:t>
      </w:r>
      <w:r w:rsidRPr="002C5876">
        <w:t>H</w:t>
      </w:r>
      <w:r w:rsidRPr="002C5876">
        <w:rPr>
          <w:vertAlign w:val="subscript"/>
        </w:rPr>
        <w:t>l,86</w:t>
      </w:r>
      <w:r w:rsidRPr="002C5876">
        <w:t>O</w:t>
      </w:r>
      <w:r w:rsidRPr="002C5876">
        <w:rPr>
          <w:vertAlign w:val="subscript"/>
        </w:rPr>
        <w:t>0,005</w:t>
      </w:r>
      <w:r w:rsidRPr="002C5876">
        <w:t>)</w:t>
      </w:r>
      <w:r w:rsidRPr="002C5876">
        <w:tab/>
      </w:r>
      <w:r w:rsidRPr="002C5876">
        <w:tab/>
      </w:r>
      <w:r w:rsidRPr="002C5876">
        <w:tab/>
        <w:t>ρ = 0,623 g/1</w:t>
      </w:r>
    </w:p>
    <w:p w:rsidR="00E24DB7" w:rsidRPr="002C5876" w:rsidRDefault="00E24DB7" w:rsidP="00E24DB7">
      <w:pPr>
        <w:pStyle w:val="SingleTxtG"/>
        <w:ind w:left="6237" w:hanging="2835"/>
      </w:pPr>
      <w:r w:rsidRPr="002C5876">
        <w:t>Pour le gazole (B7) (C</w:t>
      </w:r>
      <w:r w:rsidRPr="002C5876">
        <w:rPr>
          <w:vertAlign w:val="subscript"/>
        </w:rPr>
        <w:t>1</w:t>
      </w:r>
      <w:r w:rsidRPr="002C5876">
        <w:t>H</w:t>
      </w:r>
      <w:r w:rsidRPr="002C5876">
        <w:rPr>
          <w:vertAlign w:val="subscript"/>
        </w:rPr>
        <w:t>l,86</w:t>
      </w:r>
      <w:r w:rsidRPr="002C5876">
        <w:t>O</w:t>
      </w:r>
      <w:r w:rsidRPr="002C5876">
        <w:rPr>
          <w:vertAlign w:val="subscript"/>
        </w:rPr>
        <w:t>0,007</w:t>
      </w:r>
      <w:r w:rsidRPr="002C5876">
        <w:t>)</w:t>
      </w:r>
      <w:r w:rsidRPr="002C5876">
        <w:tab/>
      </w:r>
      <w:r w:rsidRPr="002C5876">
        <w:tab/>
      </w:r>
      <w:r w:rsidRPr="002C5876">
        <w:tab/>
        <w:t>ρ = 0,625 g/l</w:t>
      </w:r>
    </w:p>
    <w:p w:rsidR="00E24DB7" w:rsidRPr="002C5876" w:rsidRDefault="00E24DB7" w:rsidP="00E24DB7">
      <w:pPr>
        <w:pStyle w:val="SingleTxtG"/>
        <w:ind w:left="6237" w:hanging="2835"/>
      </w:pPr>
      <w:r w:rsidRPr="002C5876">
        <w:t>Pour le GPL (C</w:t>
      </w:r>
      <w:r w:rsidRPr="002C5876">
        <w:rPr>
          <w:vertAlign w:val="subscript"/>
        </w:rPr>
        <w:t>1</w:t>
      </w:r>
      <w:r w:rsidRPr="002C5876">
        <w:t>H</w:t>
      </w:r>
      <w:r w:rsidRPr="002C5876">
        <w:rPr>
          <w:vertAlign w:val="subscript"/>
        </w:rPr>
        <w:t>2,525</w:t>
      </w:r>
      <w:r w:rsidRPr="002C5876">
        <w:t>)</w:t>
      </w:r>
      <w:r w:rsidRPr="002C5876">
        <w:tab/>
      </w:r>
      <w:r w:rsidRPr="002C5876">
        <w:tab/>
      </w:r>
      <w:r w:rsidRPr="002C5876">
        <w:tab/>
        <w:t>ρ = 0,649 g/l</w:t>
      </w:r>
    </w:p>
    <w:p w:rsidR="00E24DB7" w:rsidRPr="002C5876" w:rsidRDefault="00E24DB7" w:rsidP="00E24DB7">
      <w:pPr>
        <w:pStyle w:val="SingleTxtG"/>
        <w:ind w:left="6237" w:hanging="2835"/>
      </w:pPr>
      <w:r w:rsidRPr="002C5876">
        <w:t>Pour le gaz naturel/biométhane (CH</w:t>
      </w:r>
      <w:r w:rsidRPr="002C5876">
        <w:rPr>
          <w:vertAlign w:val="subscript"/>
        </w:rPr>
        <w:t>4</w:t>
      </w:r>
      <w:r w:rsidRPr="002C5876">
        <w:t>)</w:t>
      </w:r>
      <w:r w:rsidRPr="002C5876">
        <w:tab/>
        <w:t>ρ = 0,716 g/l</w:t>
      </w:r>
    </w:p>
    <w:p w:rsidR="00E24DB7" w:rsidRPr="00D53F39" w:rsidRDefault="00E24DB7" w:rsidP="00E24DB7">
      <w:pPr>
        <w:pStyle w:val="SingleTxtG"/>
        <w:ind w:left="6237" w:hanging="2835"/>
        <w:rPr>
          <w:lang w:val="es-ES"/>
        </w:rPr>
      </w:pPr>
      <w:r w:rsidRPr="00D53F39">
        <w:rPr>
          <w:lang w:val="es-ES"/>
        </w:rPr>
        <w:t>Pour l’éthanol (E85) (C</w:t>
      </w:r>
      <w:r w:rsidRPr="00D53F39">
        <w:rPr>
          <w:vertAlign w:val="subscript"/>
          <w:lang w:val="es-ES"/>
        </w:rPr>
        <w:t>1</w:t>
      </w:r>
      <w:r w:rsidRPr="00D53F39">
        <w:rPr>
          <w:lang w:val="es-ES"/>
        </w:rPr>
        <w:t>H</w:t>
      </w:r>
      <w:r w:rsidRPr="00D53F39">
        <w:rPr>
          <w:vertAlign w:val="subscript"/>
          <w:lang w:val="es-ES"/>
        </w:rPr>
        <w:t>2,74</w:t>
      </w:r>
      <w:r w:rsidRPr="00D53F39">
        <w:rPr>
          <w:lang w:val="es-ES"/>
        </w:rPr>
        <w:t>O</w:t>
      </w:r>
      <w:r w:rsidRPr="00D53F39">
        <w:rPr>
          <w:vertAlign w:val="subscript"/>
          <w:lang w:val="es-ES"/>
        </w:rPr>
        <w:t>0,385</w:t>
      </w:r>
      <w:r w:rsidRPr="00D53F39">
        <w:rPr>
          <w:lang w:val="es-ES"/>
        </w:rPr>
        <w:t>)</w:t>
      </w:r>
      <w:r w:rsidRPr="00D53F39">
        <w:rPr>
          <w:lang w:val="es-ES"/>
        </w:rPr>
        <w:tab/>
      </w:r>
      <w:r w:rsidRPr="00D53F39">
        <w:rPr>
          <w:lang w:val="es-ES"/>
        </w:rPr>
        <w:tab/>
      </w:r>
      <w:r w:rsidRPr="00D53F39">
        <w:rPr>
          <w:lang w:val="es-ES"/>
        </w:rPr>
        <w:tab/>
      </w:r>
      <w:r w:rsidRPr="002C5876">
        <w:t>ρ</w:t>
      </w:r>
      <w:r w:rsidRPr="00D53F39">
        <w:rPr>
          <w:lang w:val="es-ES"/>
        </w:rPr>
        <w:t xml:space="preserve"> = 0,934 g/l</w:t>
      </w:r>
    </w:p>
    <w:p w:rsidR="00E24DB7" w:rsidRPr="002C5876" w:rsidRDefault="00E24DB7" w:rsidP="00E24DB7">
      <w:pPr>
        <w:pStyle w:val="SingleTxtG"/>
        <w:ind w:left="6237" w:hanging="3402"/>
      </w:pPr>
      <w:r w:rsidRPr="002C5876">
        <w:t>Formaldéhyde (éventuellement)</w:t>
      </w:r>
      <w:r w:rsidRPr="002C5876">
        <w:tab/>
      </w:r>
      <w:r w:rsidRPr="002C5876">
        <w:tab/>
      </w:r>
      <w:r w:rsidRPr="002C5876">
        <w:tab/>
        <w:t>ρ = 1,34</w:t>
      </w:r>
    </w:p>
    <w:p w:rsidR="00E24DB7" w:rsidRPr="002C5876" w:rsidRDefault="00E24DB7" w:rsidP="00E24DB7">
      <w:pPr>
        <w:pStyle w:val="SingleTxtG"/>
        <w:ind w:left="6237" w:hanging="3402"/>
      </w:pPr>
      <w:r w:rsidRPr="002C5876">
        <w:t>Acétaldéhyde (éventuellement)</w:t>
      </w:r>
      <w:r w:rsidRPr="002C5876">
        <w:tab/>
      </w:r>
      <w:r w:rsidRPr="002C5876">
        <w:tab/>
      </w:r>
      <w:r w:rsidRPr="002C5876">
        <w:tab/>
        <w:t>ρ = 1,96</w:t>
      </w:r>
    </w:p>
    <w:p w:rsidR="00E24DB7" w:rsidRPr="002C5876" w:rsidRDefault="00E24DB7" w:rsidP="00E24DB7">
      <w:pPr>
        <w:pStyle w:val="SingleTxtG"/>
        <w:ind w:left="6237" w:hanging="3402"/>
      </w:pPr>
      <w:r w:rsidRPr="002C5876">
        <w:t>Éthanol (éventuellement)</w:t>
      </w:r>
      <w:r w:rsidRPr="002C5876">
        <w:tab/>
      </w:r>
      <w:r w:rsidRPr="002C5876">
        <w:tab/>
      </w:r>
      <w:r w:rsidRPr="002C5876">
        <w:tab/>
        <w:t>ρ = 2,05</w:t>
      </w:r>
    </w:p>
    <w:p w:rsidR="00E24DB7" w:rsidRPr="002C5876" w:rsidRDefault="00E24DB7" w:rsidP="00E24DB7">
      <w:pPr>
        <w:pStyle w:val="SingleTxtG"/>
        <w:ind w:left="6237" w:hanging="3402"/>
      </w:pPr>
      <w:r w:rsidRPr="002C5876">
        <w:t>Oxydes d’azote (NO</w:t>
      </w:r>
      <w:r w:rsidRPr="002C5876">
        <w:rPr>
          <w:vertAlign w:val="subscript"/>
        </w:rPr>
        <w:t>x</w:t>
      </w:r>
      <w:r w:rsidRPr="002C5876">
        <w:t>)</w:t>
      </w:r>
      <w:r w:rsidRPr="002C5876">
        <w:tab/>
      </w:r>
      <w:r w:rsidRPr="002C5876">
        <w:tab/>
      </w:r>
      <w:r w:rsidRPr="002C5876">
        <w:tab/>
        <w:t>ρ = 2,05 g/1</w:t>
      </w:r>
    </w:p>
    <w:p w:rsidR="00E24DB7" w:rsidRPr="002C5876" w:rsidRDefault="00E24DB7" w:rsidP="00E24DB7">
      <w:pPr>
        <w:pStyle w:val="SingleTxtG"/>
        <w:ind w:left="6237" w:hanging="3402"/>
      </w:pPr>
      <w:r w:rsidRPr="002C5876">
        <w:t>Dioxyde d’azote (NO</w:t>
      </w:r>
      <w:r w:rsidRPr="002C5876">
        <w:rPr>
          <w:vertAlign w:val="subscript"/>
        </w:rPr>
        <w:t>2</w:t>
      </w:r>
      <w:r w:rsidRPr="002C5876">
        <w:t>) (éventuellement)</w:t>
      </w:r>
      <w:r w:rsidRPr="002C5876">
        <w:tab/>
      </w:r>
      <w:r w:rsidRPr="002C5876">
        <w:tab/>
      </w:r>
      <w:r w:rsidRPr="002C5876">
        <w:tab/>
        <w:t>ρ = 2,05 g/1</w:t>
      </w:r>
    </w:p>
    <w:p w:rsidR="00E24DB7" w:rsidRPr="002C5876" w:rsidRDefault="00E24DB7" w:rsidP="00E24DB7">
      <w:pPr>
        <w:pStyle w:val="SingleTxtG"/>
        <w:ind w:left="6237" w:hanging="3402"/>
      </w:pPr>
      <w:r w:rsidRPr="002C5876">
        <w:t>Protoxyde d’azote (N</w:t>
      </w:r>
      <w:r w:rsidRPr="002C5876">
        <w:rPr>
          <w:vertAlign w:val="subscript"/>
        </w:rPr>
        <w:t>2</w:t>
      </w:r>
      <w:r w:rsidRPr="002C5876">
        <w:t>O) (éventuellement)</w:t>
      </w:r>
      <w:r w:rsidRPr="002C5876">
        <w:tab/>
        <w:t>ρ = 1,964 g/1</w:t>
      </w:r>
    </w:p>
    <w:p w:rsidR="00E24DB7" w:rsidRPr="002C5876" w:rsidRDefault="00E24DB7" w:rsidP="00E24DB7">
      <w:pPr>
        <w:pStyle w:val="SingleTxtG"/>
        <w:ind w:left="2835"/>
      </w:pPr>
      <w:r w:rsidRPr="002C5876">
        <w:t>La masse volumique pour le calcul de la masse des HCNM doit être égale à celle des hydrocarbures totaux à 273,15 K (0 °C) et 101,325 kPa et dépend du carburant. La masse volumique pour le calcul de la masse de propane (voir le paragraphe 3.5 de l’annexe 5) est de 1,967 g/l en conditions normales.</w:t>
      </w:r>
    </w:p>
    <w:p w:rsidR="00E24DB7" w:rsidRPr="002C5876" w:rsidRDefault="00E24DB7" w:rsidP="00E24DB7">
      <w:pPr>
        <w:pStyle w:val="SingleTxtG"/>
        <w:ind w:left="2835"/>
      </w:pPr>
      <w:r w:rsidRPr="002C5876">
        <w:t>Pour tout type de carburant qui n’est pas mentionné ci-dessus, la masse volumique doit être calculée au moyen de l’équation présentée au paragraphe 3.1.3 de la présente annexe.</w:t>
      </w:r>
    </w:p>
    <w:p w:rsidR="00E24DB7" w:rsidRPr="002C5876" w:rsidRDefault="00E24DB7" w:rsidP="00E24DB7">
      <w:pPr>
        <w:pStyle w:val="SingleTxtG"/>
        <w:ind w:left="2835" w:hanging="1701"/>
      </w:pPr>
      <w:r w:rsidRPr="002C5876">
        <w:t>3.1.3</w:t>
      </w:r>
      <w:r w:rsidRPr="002C5876">
        <w:tab/>
        <w:t>L’équation de base à utiliser pour le calcul de la masse volumique des hydrocarbures totaux pour chaque carburant de référence dont la composition moyenne est C</w:t>
      </w:r>
      <w:r w:rsidRPr="002C5876">
        <w:rPr>
          <w:vertAlign w:val="subscript"/>
        </w:rPr>
        <w:t>X</w:t>
      </w:r>
      <w:r w:rsidRPr="002C5876">
        <w:t>H</w:t>
      </w:r>
      <w:r w:rsidRPr="002C5876">
        <w:rPr>
          <w:vertAlign w:val="subscript"/>
        </w:rPr>
        <w:t>Y</w:t>
      </w:r>
      <w:r w:rsidRPr="002C5876">
        <w:t>O</w:t>
      </w:r>
      <w:r w:rsidRPr="002C5876">
        <w:rPr>
          <w:vertAlign w:val="subscript"/>
        </w:rPr>
        <w:t>Z</w:t>
      </w:r>
      <w:r w:rsidRPr="002C5876">
        <w:t xml:space="preserve"> est la suivante :</w:t>
      </w:r>
    </w:p>
    <w:p w:rsidR="00E24DB7" w:rsidRPr="002C5876" w:rsidRDefault="00731CA6" w:rsidP="00E24DB7">
      <w:pPr>
        <w:pStyle w:val="SingleTxtG"/>
        <w:ind w:left="2268" w:hanging="1134"/>
        <w:jc w:val="center"/>
      </w:pPr>
      <m:oMathPara>
        <m:oMath>
          <m:sSub>
            <m:sSubPr>
              <m:ctrlPr>
                <w:rPr>
                  <w:rFonts w:ascii="Cambria Math" w:eastAsia="Times New Roman" w:hAnsi="Cambria Math" w:cstheme="majorBidi"/>
                </w:rPr>
              </m:ctrlPr>
            </m:sSubPr>
            <m:e>
              <m:r>
                <m:rPr>
                  <m:sty m:val="p"/>
                </m:rPr>
                <w:rPr>
                  <w:rFonts w:ascii="Cambria Math" w:eastAsia="Times New Roman" w:hAnsi="Cambria Math" w:cstheme="majorBidi"/>
                </w:rPr>
                <m:t>ρ</m:t>
              </m:r>
            </m:e>
            <m:sub>
              <m:r>
                <m:rPr>
                  <m:sty m:val="p"/>
                </m:rPr>
                <w:rPr>
                  <w:rFonts w:ascii="Cambria Math" w:eastAsia="Times New Roman" w:hAnsi="Cambria Math" w:cstheme="majorBidi"/>
                </w:rPr>
                <m:t>THC</m:t>
              </m:r>
            </m:sub>
          </m:sSub>
          <m:r>
            <m:rPr>
              <m:sty m:val="p"/>
            </m:rPr>
            <w:rPr>
              <w:rFonts w:ascii="Cambria Math" w:eastAsia="Times New Roman" w:hAnsi="Cambria Math" w:cstheme="majorBidi"/>
            </w:rPr>
            <m:t>=</m:t>
          </m:r>
          <m:f>
            <m:fPr>
              <m:ctrlPr>
                <w:rPr>
                  <w:rFonts w:ascii="Cambria Math" w:eastAsia="Times New Roman" w:hAnsi="Cambria Math" w:cstheme="majorBidi"/>
                </w:rPr>
              </m:ctrlPr>
            </m:fPr>
            <m:num>
              <m:sSub>
                <m:sSubPr>
                  <m:ctrlPr>
                    <w:rPr>
                      <w:rFonts w:ascii="Cambria Math" w:eastAsia="Times New Roman" w:hAnsi="Cambria Math" w:cstheme="majorBidi"/>
                    </w:rPr>
                  </m:ctrlPr>
                </m:sSubPr>
                <m:e>
                  <m:r>
                    <m:rPr>
                      <m:sty m:val="p"/>
                    </m:rPr>
                    <w:rPr>
                      <w:rFonts w:ascii="Cambria Math" w:eastAsia="Times New Roman" w:hAnsi="Cambria Math" w:cstheme="majorBidi"/>
                    </w:rPr>
                    <m:t>MW</m:t>
                  </m:r>
                </m:e>
                <m:sub>
                  <m:r>
                    <m:rPr>
                      <m:sty m:val="p"/>
                    </m:rPr>
                    <w:rPr>
                      <w:rFonts w:ascii="Cambria Math" w:eastAsia="Times New Roman" w:hAnsi="Cambria Math" w:cstheme="majorBidi"/>
                    </w:rPr>
                    <m:t>c</m:t>
                  </m:r>
                </m:sub>
              </m:sSub>
              <m:r>
                <m:rPr>
                  <m:sty m:val="p"/>
                </m:rPr>
                <w:rPr>
                  <w:rFonts w:ascii="Cambria Math" w:eastAsia="Times New Roman" w:hAnsi="Cambria Math" w:cstheme="majorBidi"/>
                </w:rPr>
                <m:t xml:space="preserve"> + </m:t>
              </m:r>
              <m:f>
                <m:fPr>
                  <m:ctrlPr>
                    <w:rPr>
                      <w:rFonts w:ascii="Cambria Math" w:eastAsia="Times New Roman" w:hAnsi="Cambria Math" w:cstheme="majorBidi"/>
                    </w:rPr>
                  </m:ctrlPr>
                </m:fPr>
                <m:num>
                  <m:r>
                    <m:rPr>
                      <m:sty m:val="p"/>
                    </m:rPr>
                    <w:rPr>
                      <w:rFonts w:ascii="Cambria Math" w:eastAsia="Times New Roman" w:hAnsi="Cambria Math" w:cstheme="majorBidi"/>
                    </w:rPr>
                    <m:t>H</m:t>
                  </m:r>
                </m:num>
                <m:den>
                  <m:r>
                    <m:rPr>
                      <m:sty m:val="p"/>
                    </m:rPr>
                    <w:rPr>
                      <w:rFonts w:ascii="Cambria Math" w:eastAsia="Times New Roman" w:hAnsi="Cambria Math" w:cstheme="majorBidi"/>
                    </w:rPr>
                    <m:t>C</m:t>
                  </m:r>
                </m:den>
              </m:f>
              <m:r>
                <m:rPr>
                  <m:sty m:val="p"/>
                </m:rPr>
                <w:rPr>
                  <w:rFonts w:ascii="Cambria Math" w:eastAsia="Times New Roman" w:hAnsi="Cambria Math" w:cstheme="majorBidi"/>
                </w:rPr>
                <m:t>×</m:t>
              </m:r>
              <m:sSub>
                <m:sSubPr>
                  <m:ctrlPr>
                    <w:rPr>
                      <w:rFonts w:ascii="Cambria Math" w:eastAsia="Times New Roman" w:hAnsi="Cambria Math" w:cstheme="majorBidi"/>
                    </w:rPr>
                  </m:ctrlPr>
                </m:sSubPr>
                <m:e>
                  <m:r>
                    <m:rPr>
                      <m:sty m:val="p"/>
                    </m:rPr>
                    <w:rPr>
                      <w:rFonts w:ascii="Cambria Math" w:eastAsia="Times New Roman" w:hAnsi="Cambria Math" w:cstheme="majorBidi"/>
                    </w:rPr>
                    <m:t>MW</m:t>
                  </m:r>
                </m:e>
                <m:sub>
                  <m:r>
                    <m:rPr>
                      <m:sty m:val="p"/>
                    </m:rPr>
                    <w:rPr>
                      <w:rFonts w:ascii="Cambria Math" w:eastAsia="Times New Roman" w:hAnsi="Cambria Math" w:cstheme="majorBidi"/>
                    </w:rPr>
                    <m:t>H</m:t>
                  </m:r>
                </m:sub>
              </m:sSub>
              <m:r>
                <m:rPr>
                  <m:sty m:val="p"/>
                </m:rPr>
                <w:rPr>
                  <w:rFonts w:ascii="Cambria Math" w:eastAsia="Times New Roman" w:hAnsi="Cambria Math" w:cstheme="majorBidi"/>
                </w:rPr>
                <m:t xml:space="preserve"> + </m:t>
              </m:r>
              <m:f>
                <m:fPr>
                  <m:ctrlPr>
                    <w:rPr>
                      <w:rFonts w:ascii="Cambria Math" w:eastAsia="Times New Roman" w:hAnsi="Cambria Math" w:cstheme="majorBidi"/>
                    </w:rPr>
                  </m:ctrlPr>
                </m:fPr>
                <m:num>
                  <m:r>
                    <m:rPr>
                      <m:sty m:val="p"/>
                    </m:rPr>
                    <w:rPr>
                      <w:rFonts w:ascii="Cambria Math" w:eastAsia="Times New Roman" w:hAnsi="Cambria Math" w:cstheme="majorBidi"/>
                    </w:rPr>
                    <m:t>O</m:t>
                  </m:r>
                </m:num>
                <m:den>
                  <m:r>
                    <m:rPr>
                      <m:sty m:val="p"/>
                    </m:rPr>
                    <w:rPr>
                      <w:rFonts w:ascii="Cambria Math" w:eastAsia="Times New Roman" w:hAnsi="Cambria Math" w:cstheme="majorBidi"/>
                    </w:rPr>
                    <m:t>C</m:t>
                  </m:r>
                </m:den>
              </m:f>
              <m:r>
                <m:rPr>
                  <m:sty m:val="p"/>
                </m:rPr>
                <w:rPr>
                  <w:rFonts w:ascii="Cambria Math" w:eastAsia="Times New Roman" w:hAnsi="Cambria Math" w:cstheme="majorBidi"/>
                </w:rPr>
                <m:t>×</m:t>
              </m:r>
              <m:sSub>
                <m:sSubPr>
                  <m:ctrlPr>
                    <w:rPr>
                      <w:rFonts w:ascii="Cambria Math" w:eastAsia="Times New Roman" w:hAnsi="Cambria Math" w:cstheme="majorBidi"/>
                    </w:rPr>
                  </m:ctrlPr>
                </m:sSubPr>
                <m:e>
                  <m:r>
                    <m:rPr>
                      <m:sty m:val="p"/>
                    </m:rPr>
                    <w:rPr>
                      <w:rFonts w:ascii="Cambria Math" w:eastAsia="Times New Roman" w:hAnsi="Cambria Math" w:cstheme="majorBidi"/>
                    </w:rPr>
                    <m:t>MW</m:t>
                  </m:r>
                </m:e>
                <m:sub>
                  <m:r>
                    <m:rPr>
                      <m:sty m:val="p"/>
                    </m:rPr>
                    <w:rPr>
                      <w:rFonts w:ascii="Cambria Math" w:eastAsia="Times New Roman" w:hAnsi="Cambria Math" w:cstheme="majorBidi"/>
                    </w:rPr>
                    <m:t>O</m:t>
                  </m:r>
                </m:sub>
              </m:sSub>
            </m:num>
            <m:den>
              <m:sSub>
                <m:sSubPr>
                  <m:ctrlPr>
                    <w:rPr>
                      <w:rFonts w:ascii="Cambria Math" w:eastAsia="Times New Roman" w:hAnsi="Cambria Math" w:cstheme="majorBidi"/>
                    </w:rPr>
                  </m:ctrlPr>
                </m:sSubPr>
                <m:e>
                  <m:r>
                    <m:rPr>
                      <m:sty m:val="p"/>
                    </m:rPr>
                    <w:rPr>
                      <w:rFonts w:ascii="Cambria Math" w:eastAsia="Times New Roman" w:hAnsi="Cambria Math" w:cstheme="majorBidi"/>
                    </w:rPr>
                    <m:t>V</m:t>
                  </m:r>
                </m:e>
                <m:sub>
                  <m:r>
                    <m:rPr>
                      <m:sty m:val="p"/>
                    </m:rPr>
                    <w:rPr>
                      <w:rFonts w:ascii="Cambria Math" w:eastAsia="Times New Roman" w:hAnsi="Cambria Math" w:cstheme="majorBidi"/>
                    </w:rPr>
                    <m:t>M</m:t>
                  </m:r>
                </m:sub>
              </m:sSub>
            </m:den>
          </m:f>
        </m:oMath>
      </m:oMathPara>
    </w:p>
    <w:p w:rsidR="00E24DB7" w:rsidRPr="002C5876" w:rsidRDefault="00E24DB7" w:rsidP="00E24DB7">
      <w:pPr>
        <w:pStyle w:val="SingleTxtG"/>
        <w:keepNext/>
        <w:ind w:left="3402" w:hanging="567"/>
      </w:pPr>
      <w:r w:rsidRPr="002C5876">
        <w:t>où :</w:t>
      </w:r>
    </w:p>
    <w:p w:rsidR="00E24DB7" w:rsidRPr="002C5876" w:rsidRDefault="00E24DB7" w:rsidP="00E24DB7">
      <w:pPr>
        <w:pStyle w:val="SingleTxtG"/>
        <w:ind w:left="3402" w:hanging="567"/>
      </w:pPr>
      <w:r w:rsidRPr="002C5876">
        <w:t>ρ</w:t>
      </w:r>
      <w:r w:rsidRPr="002C5876">
        <w:rPr>
          <w:vertAlign w:val="subscript"/>
        </w:rPr>
        <w:t>THC</w:t>
      </w:r>
      <w:r w:rsidRPr="002C5876">
        <w:tab/>
        <w:t>est la masse volumique des hydrocarbures totaux et des hydrocarbures non méthaniques, en g/l ;</w:t>
      </w:r>
    </w:p>
    <w:p w:rsidR="00E24DB7" w:rsidRPr="002C5876" w:rsidRDefault="00E24DB7" w:rsidP="00E24DB7">
      <w:pPr>
        <w:pStyle w:val="SingleTxtG"/>
        <w:ind w:left="3402" w:hanging="567"/>
      </w:pPr>
      <w:r w:rsidRPr="002C5876">
        <w:t>MW</w:t>
      </w:r>
      <w:r w:rsidRPr="002C5876">
        <w:rPr>
          <w:vertAlign w:val="subscript"/>
        </w:rPr>
        <w:t>C</w:t>
      </w:r>
      <w:r w:rsidRPr="002C5876">
        <w:tab/>
        <w:t>est la masse molaire du carbone (12,011 g/mol) ;</w:t>
      </w:r>
    </w:p>
    <w:p w:rsidR="00E24DB7" w:rsidRPr="002C5876" w:rsidRDefault="00E24DB7" w:rsidP="00E24DB7">
      <w:pPr>
        <w:pStyle w:val="SingleTxtG"/>
        <w:ind w:left="3402" w:hanging="567"/>
      </w:pPr>
      <w:r w:rsidRPr="002C5876">
        <w:t>MW</w:t>
      </w:r>
      <w:r w:rsidRPr="002C5876">
        <w:rPr>
          <w:vertAlign w:val="subscript"/>
        </w:rPr>
        <w:t>H</w:t>
      </w:r>
      <w:r w:rsidRPr="002C5876">
        <w:tab/>
        <w:t>est la masse molaire de l’hydrogène (1,008 g/mol) ;</w:t>
      </w:r>
    </w:p>
    <w:p w:rsidR="00E24DB7" w:rsidRPr="002C5876" w:rsidRDefault="00E24DB7" w:rsidP="00E24DB7">
      <w:pPr>
        <w:pStyle w:val="SingleTxtG"/>
        <w:ind w:left="3402" w:hanging="567"/>
      </w:pPr>
      <w:r w:rsidRPr="002C5876">
        <w:t>MW</w:t>
      </w:r>
      <w:r w:rsidRPr="002C5876">
        <w:rPr>
          <w:vertAlign w:val="subscript"/>
        </w:rPr>
        <w:t>O</w:t>
      </w:r>
      <w:r w:rsidRPr="002C5876">
        <w:tab/>
        <w:t>est la masse molaire de l’oxygène (15,999 g/mol) ;</w:t>
      </w:r>
    </w:p>
    <w:p w:rsidR="00E24DB7" w:rsidRPr="002C5876" w:rsidRDefault="00E24DB7" w:rsidP="00E24DB7">
      <w:pPr>
        <w:pStyle w:val="SingleTxtG"/>
        <w:ind w:left="3402" w:hanging="567"/>
      </w:pPr>
      <w:r w:rsidRPr="002C5876">
        <w:lastRenderedPageBreak/>
        <w:t>V</w:t>
      </w:r>
      <w:r w:rsidRPr="002C5876">
        <w:rPr>
          <w:vertAlign w:val="subscript"/>
        </w:rPr>
        <w:t>M</w:t>
      </w:r>
      <w:r w:rsidRPr="002C5876">
        <w:tab/>
        <w:t>est le volume molaire d’un gaz parfait à 273,15 K (0° C) et à 101,325 kPa (22,413 l/mol) ;</w:t>
      </w:r>
    </w:p>
    <w:p w:rsidR="00E24DB7" w:rsidRPr="002C5876" w:rsidRDefault="00E24DB7" w:rsidP="00E24DB7">
      <w:pPr>
        <w:pStyle w:val="SingleTxtG"/>
        <w:ind w:left="3402" w:hanging="567"/>
      </w:pPr>
      <w:r w:rsidRPr="002C5876">
        <w:t>H/C</w:t>
      </w:r>
      <w:r w:rsidRPr="002C5876">
        <w:tab/>
        <w:t>est le rapport hydrogène/carbone pour un carburant spécifique de composition C</w:t>
      </w:r>
      <w:r w:rsidRPr="002C5876">
        <w:rPr>
          <w:vertAlign w:val="subscript"/>
        </w:rPr>
        <w:t>X</w:t>
      </w:r>
      <w:r w:rsidRPr="002C5876">
        <w:t>H</w:t>
      </w:r>
      <w:r w:rsidRPr="002C5876">
        <w:rPr>
          <w:vertAlign w:val="subscript"/>
        </w:rPr>
        <w:t>Y</w:t>
      </w:r>
      <w:r w:rsidRPr="002C5876">
        <w:t>O</w:t>
      </w:r>
      <w:r w:rsidRPr="002C5876">
        <w:rPr>
          <w:vertAlign w:val="subscript"/>
        </w:rPr>
        <w:t>Z</w:t>
      </w:r>
      <w:r w:rsidRPr="002C5876">
        <w:t> ;</w:t>
      </w:r>
    </w:p>
    <w:p w:rsidR="00E24DB7" w:rsidRPr="002C5876" w:rsidRDefault="00E24DB7" w:rsidP="00E24DB7">
      <w:pPr>
        <w:pStyle w:val="SingleTxtG"/>
        <w:ind w:left="3402" w:hanging="567"/>
      </w:pPr>
      <w:r w:rsidRPr="002C5876">
        <w:t>O/C</w:t>
      </w:r>
      <w:r w:rsidRPr="002C5876">
        <w:tab/>
        <w:t>est le rapport oxygène/carbone pour un carburant spécifique de composition C</w:t>
      </w:r>
      <w:r w:rsidRPr="002C5876">
        <w:rPr>
          <w:vertAlign w:val="subscript"/>
        </w:rPr>
        <w:t>X</w:t>
      </w:r>
      <w:r w:rsidRPr="002C5876">
        <w:t>H</w:t>
      </w:r>
      <w:r w:rsidRPr="002C5876">
        <w:rPr>
          <w:vertAlign w:val="subscript"/>
        </w:rPr>
        <w:t>Y</w:t>
      </w:r>
      <w:r w:rsidRPr="002C5876">
        <w:t>O</w:t>
      </w:r>
      <w:r w:rsidRPr="002C5876">
        <w:rPr>
          <w:vertAlign w:val="subscript"/>
        </w:rPr>
        <w:t>Z</w:t>
      </w:r>
      <w:r w:rsidRPr="002C5876">
        <w:t>.</w:t>
      </w:r>
    </w:p>
    <w:p w:rsidR="00E24DB7" w:rsidRPr="002C5876" w:rsidRDefault="00E24DB7" w:rsidP="00E24DB7">
      <w:pPr>
        <w:pStyle w:val="SingleTxtG"/>
        <w:keepNext/>
        <w:ind w:left="2835" w:hanging="1701"/>
        <w:jc w:val="left"/>
      </w:pPr>
      <w:r w:rsidRPr="002C5876">
        <w:t>3.2</w:t>
      </w:r>
      <w:r w:rsidRPr="002C5876">
        <w:tab/>
        <w:t>Calcul des émissions massiques</w:t>
      </w:r>
    </w:p>
    <w:p w:rsidR="00E24DB7" w:rsidRPr="002C5876" w:rsidRDefault="00E24DB7" w:rsidP="00E24DB7">
      <w:pPr>
        <w:pStyle w:val="SingleTxtG"/>
        <w:ind w:left="2835" w:hanging="1701"/>
      </w:pPr>
      <w:r w:rsidRPr="002C5876">
        <w:t>3.2.1</w:t>
      </w:r>
      <w:r w:rsidRPr="002C5876">
        <w:tab/>
        <w:t>Les émissions massiques de composés gazeux par phase du cycle doivent être calculées au moyen de l’équation suivante :</w:t>
      </w:r>
      <w:bookmarkEnd w:id="207"/>
      <w:bookmarkEnd w:id="208"/>
    </w:p>
    <w:p w:rsidR="00E24DB7" w:rsidRPr="002C5876" w:rsidRDefault="00731CA6" w:rsidP="00E24DB7">
      <w:pPr>
        <w:pStyle w:val="SingleTxtG"/>
        <w:spacing w:after="240"/>
        <w:ind w:left="2268"/>
      </w:pPr>
      <m:oMathPara>
        <m:oMath>
          <m:sSub>
            <m:sSubPr>
              <m:ctrlPr>
                <w:rPr>
                  <w:rFonts w:ascii="Cambria Math" w:eastAsia="Times New Roman" w:hAnsi="Cambria Math" w:cstheme="majorBidi"/>
                </w:rPr>
              </m:ctrlPr>
            </m:sSubPr>
            <m:e>
              <m:r>
                <m:rPr>
                  <m:sty m:val="p"/>
                </m:rPr>
                <w:rPr>
                  <w:rFonts w:ascii="Cambria Math" w:eastAsia="Times New Roman" w:hAnsi="Cambria Math" w:cstheme="majorBidi"/>
                </w:rPr>
                <m:t>M</m:t>
              </m:r>
            </m:e>
            <m:sub>
              <m:r>
                <m:rPr>
                  <m:sty m:val="p"/>
                </m:rPr>
                <w:rPr>
                  <w:rFonts w:ascii="Cambria Math" w:eastAsia="Times New Roman" w:hAnsi="Cambria Math" w:cstheme="majorBidi"/>
                </w:rPr>
                <m:t>i,phase</m:t>
              </m:r>
            </m:sub>
          </m:sSub>
          <m:r>
            <m:rPr>
              <m:sty m:val="p"/>
            </m:rPr>
            <w:rPr>
              <w:rFonts w:ascii="Cambria Math" w:eastAsia="Times New Roman" w:hAnsi="Cambria Math" w:cstheme="majorBidi"/>
            </w:rPr>
            <m:t xml:space="preserve">= </m:t>
          </m:r>
          <m:f>
            <m:fPr>
              <m:ctrlPr>
                <w:rPr>
                  <w:rFonts w:ascii="Cambria Math" w:eastAsia="Times New Roman" w:hAnsi="Cambria Math" w:cstheme="majorBidi"/>
                </w:rPr>
              </m:ctrlPr>
            </m:fPr>
            <m:num>
              <m:sSub>
                <m:sSubPr>
                  <m:ctrlPr>
                    <w:rPr>
                      <w:rFonts w:ascii="Cambria Math" w:eastAsia="Times New Roman" w:hAnsi="Cambria Math" w:cstheme="majorBidi"/>
                    </w:rPr>
                  </m:ctrlPr>
                </m:sSubPr>
                <m:e>
                  <m:r>
                    <m:rPr>
                      <m:sty m:val="p"/>
                    </m:rPr>
                    <w:rPr>
                      <w:rFonts w:ascii="Cambria Math" w:eastAsia="Times New Roman" w:hAnsi="Cambria Math" w:cstheme="majorBidi"/>
                    </w:rPr>
                    <m:t>V</m:t>
                  </m:r>
                </m:e>
                <m:sub>
                  <m:r>
                    <m:rPr>
                      <m:sty m:val="p"/>
                    </m:rPr>
                    <w:rPr>
                      <w:rFonts w:ascii="Cambria Math" w:eastAsia="Times New Roman" w:hAnsi="Cambria Math" w:cstheme="majorBidi"/>
                    </w:rPr>
                    <m:t>mix,phase</m:t>
                  </m:r>
                </m:sub>
              </m:sSub>
              <m:r>
                <m:rPr>
                  <m:sty m:val="p"/>
                </m:rPr>
                <w:rPr>
                  <w:rFonts w:ascii="Cambria Math" w:eastAsia="Times New Roman" w:hAnsi="Cambria Math" w:cstheme="majorBidi"/>
                </w:rPr>
                <m:t>×</m:t>
              </m:r>
              <m:sSub>
                <m:sSubPr>
                  <m:ctrlPr>
                    <w:rPr>
                      <w:rFonts w:ascii="Cambria Math" w:eastAsia="Times New Roman" w:hAnsi="Cambria Math" w:cstheme="majorBidi"/>
                    </w:rPr>
                  </m:ctrlPr>
                </m:sSubPr>
                <m:e>
                  <m:r>
                    <m:rPr>
                      <m:sty m:val="p"/>
                    </m:rPr>
                    <w:rPr>
                      <w:rFonts w:ascii="Cambria Math" w:eastAsia="Times New Roman" w:hAnsi="Cambria Math" w:cstheme="majorBidi"/>
                    </w:rPr>
                    <m:t>ρ</m:t>
                  </m:r>
                </m:e>
                <m:sub>
                  <m:r>
                    <m:rPr>
                      <m:sty m:val="p"/>
                    </m:rPr>
                    <w:rPr>
                      <w:rFonts w:ascii="Cambria Math" w:eastAsia="Times New Roman" w:hAnsi="Cambria Math" w:cstheme="majorBidi"/>
                    </w:rPr>
                    <m:t>i</m:t>
                  </m:r>
                </m:sub>
              </m:sSub>
              <m:r>
                <m:rPr>
                  <m:sty m:val="p"/>
                </m:rPr>
                <w:rPr>
                  <w:rFonts w:ascii="Cambria Math" w:eastAsia="Times New Roman" w:hAnsi="Cambria Math" w:cstheme="majorBidi"/>
                </w:rPr>
                <m:t>×</m:t>
              </m:r>
              <m:sSub>
                <m:sSubPr>
                  <m:ctrlPr>
                    <w:rPr>
                      <w:rFonts w:ascii="Cambria Math" w:eastAsia="Times New Roman" w:hAnsi="Cambria Math" w:cstheme="majorBidi"/>
                    </w:rPr>
                  </m:ctrlPr>
                </m:sSubPr>
                <m:e>
                  <m:r>
                    <m:rPr>
                      <m:sty m:val="p"/>
                    </m:rPr>
                    <w:rPr>
                      <w:rFonts w:ascii="Cambria Math" w:eastAsia="Times New Roman" w:hAnsi="Cambria Math" w:cstheme="majorBidi"/>
                    </w:rPr>
                    <m:t>KH</m:t>
                  </m:r>
                </m:e>
                <m:sub>
                  <m:r>
                    <m:rPr>
                      <m:sty m:val="p"/>
                    </m:rPr>
                    <w:rPr>
                      <w:rFonts w:ascii="Cambria Math" w:eastAsia="Times New Roman" w:hAnsi="Cambria Math" w:cstheme="majorBidi"/>
                    </w:rPr>
                    <m:t>phase</m:t>
                  </m:r>
                </m:sub>
              </m:sSub>
              <m:r>
                <m:rPr>
                  <m:sty m:val="p"/>
                </m:rPr>
                <w:rPr>
                  <w:rFonts w:ascii="Cambria Math" w:eastAsia="Times New Roman" w:hAnsi="Cambria Math" w:cstheme="majorBidi"/>
                </w:rPr>
                <m:t>×</m:t>
              </m:r>
              <m:sSup>
                <m:sSupPr>
                  <m:ctrlPr>
                    <w:rPr>
                      <w:rFonts w:ascii="Cambria Math" w:eastAsia="Times New Roman" w:hAnsi="Cambria Math" w:cstheme="majorBidi"/>
                    </w:rPr>
                  </m:ctrlPr>
                </m:sSupPr>
                <m:e>
                  <m:sSub>
                    <m:sSubPr>
                      <m:ctrlPr>
                        <w:rPr>
                          <w:rFonts w:ascii="Cambria Math" w:eastAsia="Times New Roman" w:hAnsi="Cambria Math" w:cstheme="majorBidi"/>
                        </w:rPr>
                      </m:ctrlPr>
                    </m:sSubPr>
                    <m:e>
                      <m:r>
                        <m:rPr>
                          <m:sty m:val="p"/>
                        </m:rPr>
                        <w:rPr>
                          <w:rFonts w:ascii="Cambria Math" w:eastAsia="Times New Roman" w:hAnsi="Cambria Math" w:cstheme="majorBidi"/>
                        </w:rPr>
                        <m:t>C</m:t>
                      </m:r>
                    </m:e>
                    <m:sub>
                      <m:r>
                        <m:rPr>
                          <m:sty m:val="p"/>
                        </m:rPr>
                        <w:rPr>
                          <w:rFonts w:ascii="Cambria Math" w:eastAsia="Times New Roman" w:hAnsi="Cambria Math" w:cstheme="majorBidi"/>
                        </w:rPr>
                        <m:t>i,phase</m:t>
                      </m:r>
                    </m:sub>
                  </m:sSub>
                  <m:r>
                    <m:rPr>
                      <m:sty m:val="p"/>
                    </m:rPr>
                    <w:rPr>
                      <w:rFonts w:ascii="Cambria Math" w:eastAsia="Times New Roman" w:hAnsi="Cambria Math" w:cstheme="majorBidi"/>
                    </w:rPr>
                    <m:t>×10</m:t>
                  </m:r>
                </m:e>
                <m:sup>
                  <m:r>
                    <m:rPr>
                      <m:sty m:val="p"/>
                    </m:rPr>
                    <w:rPr>
                      <w:rFonts w:ascii="Cambria Math" w:eastAsia="Times New Roman" w:hAnsi="Cambria Math" w:cstheme="majorBidi"/>
                    </w:rPr>
                    <m:t>-6</m:t>
                  </m:r>
                </m:sup>
              </m:sSup>
            </m:num>
            <m:den>
              <m:sSub>
                <m:sSubPr>
                  <m:ctrlPr>
                    <w:rPr>
                      <w:rFonts w:ascii="Cambria Math" w:eastAsia="Times New Roman" w:hAnsi="Cambria Math" w:cstheme="majorBidi"/>
                    </w:rPr>
                  </m:ctrlPr>
                </m:sSubPr>
                <m:e>
                  <m:r>
                    <m:rPr>
                      <m:sty m:val="p"/>
                    </m:rPr>
                    <w:rPr>
                      <w:rFonts w:ascii="Cambria Math" w:eastAsia="Times New Roman" w:hAnsi="Cambria Math" w:cstheme="majorBidi"/>
                    </w:rPr>
                    <m:t>d</m:t>
                  </m:r>
                </m:e>
                <m:sub>
                  <m:r>
                    <m:rPr>
                      <m:sty m:val="p"/>
                    </m:rPr>
                    <w:rPr>
                      <w:rFonts w:ascii="Cambria Math" w:eastAsia="Times New Roman" w:hAnsi="Cambria Math" w:cstheme="majorBidi"/>
                    </w:rPr>
                    <m:t>phase</m:t>
                  </m:r>
                </m:sub>
              </m:sSub>
            </m:den>
          </m:f>
        </m:oMath>
      </m:oMathPara>
    </w:p>
    <w:p w:rsidR="00E24DB7" w:rsidRPr="002C5876" w:rsidRDefault="00E24DB7" w:rsidP="00E24DB7">
      <w:pPr>
        <w:pStyle w:val="SingleTxtG"/>
        <w:keepNext/>
        <w:ind w:left="3402" w:hanging="567"/>
      </w:pPr>
      <w:r w:rsidRPr="002C5876">
        <w:t>où :</w:t>
      </w:r>
    </w:p>
    <w:p w:rsidR="00E24DB7" w:rsidRPr="002C5876" w:rsidRDefault="00E24DB7" w:rsidP="00E24DB7">
      <w:pPr>
        <w:pStyle w:val="SingleTxtG"/>
        <w:ind w:left="3402" w:hanging="567"/>
      </w:pPr>
      <w:r w:rsidRPr="002C5876">
        <w:t>M</w:t>
      </w:r>
      <w:r w:rsidRPr="002C5876">
        <w:rPr>
          <w:vertAlign w:val="subscript"/>
        </w:rPr>
        <w:t>i</w:t>
      </w:r>
      <w:r w:rsidRPr="002C5876">
        <w:tab/>
        <w:t>représente l’émission massique du composé i par essai ou par phase, en g/km ;</w:t>
      </w:r>
    </w:p>
    <w:p w:rsidR="00E24DB7" w:rsidRPr="002C5876" w:rsidRDefault="00E24DB7" w:rsidP="00E24DB7">
      <w:pPr>
        <w:pStyle w:val="SingleTxtG"/>
        <w:ind w:left="3402" w:hanging="567"/>
      </w:pPr>
      <w:r w:rsidRPr="002C5876">
        <w:t>V</w:t>
      </w:r>
      <w:r w:rsidRPr="002C5876">
        <w:rPr>
          <w:vertAlign w:val="subscript"/>
        </w:rPr>
        <w:t>mix</w:t>
      </w:r>
      <w:r w:rsidRPr="002C5876">
        <w:rPr>
          <w:vertAlign w:val="subscript"/>
        </w:rPr>
        <w:tab/>
      </w:r>
      <w:r w:rsidRPr="002C5876">
        <w:tab/>
        <w:t>est le volume des gaz d’échappement dilués par essai ou par phase, exprimé en l par essai/phase et ramené aux conditions normales (273,15 K (0 °C) et 101,325 kPa) ;</w:t>
      </w:r>
    </w:p>
    <w:p w:rsidR="00E24DB7" w:rsidRPr="002C5876" w:rsidRDefault="00E24DB7" w:rsidP="00E24DB7">
      <w:pPr>
        <w:pStyle w:val="SingleTxtG"/>
        <w:ind w:left="3402" w:hanging="567"/>
      </w:pPr>
      <w:r w:rsidRPr="002C5876">
        <w:t>ρ</w:t>
      </w:r>
      <w:r w:rsidRPr="002C5876">
        <w:rPr>
          <w:vertAlign w:val="subscript"/>
        </w:rPr>
        <w:t>i</w:t>
      </w:r>
      <w:r w:rsidRPr="002C5876">
        <w:tab/>
        <w:t>est la masse volumique du composé i en g par l à température et pression standard (273,15 K et 101,325 kPa) ;</w:t>
      </w:r>
    </w:p>
    <w:p w:rsidR="00E24DB7" w:rsidRPr="002C5876" w:rsidRDefault="00E24DB7" w:rsidP="00E24DB7">
      <w:pPr>
        <w:pStyle w:val="SingleTxtG"/>
        <w:ind w:left="3402" w:hanging="567"/>
      </w:pPr>
      <w:r w:rsidRPr="002C5876">
        <w:t>KH</w:t>
      </w:r>
      <w:r w:rsidRPr="002C5876">
        <w:tab/>
        <w:t>est un facteur de correction d’humidité applicable uniquement pour le calcul des émissions massiques d’oxydes d’azote, NO</w:t>
      </w:r>
      <w:r w:rsidRPr="002C5876">
        <w:rPr>
          <w:vertAlign w:val="subscript"/>
        </w:rPr>
        <w:t>2</w:t>
      </w:r>
      <w:r w:rsidRPr="002C5876">
        <w:t xml:space="preserve"> et NO</w:t>
      </w:r>
      <w:r w:rsidRPr="002C5876">
        <w:rPr>
          <w:vertAlign w:val="subscript"/>
        </w:rPr>
        <w:t>x</w:t>
      </w:r>
      <w:r w:rsidRPr="002C5876">
        <w:t>, par essai ou par phase ;</w:t>
      </w:r>
    </w:p>
    <w:p w:rsidR="00E24DB7" w:rsidRPr="002C5876" w:rsidRDefault="00E24DB7" w:rsidP="00E24DB7">
      <w:pPr>
        <w:pStyle w:val="SingleTxtG"/>
        <w:ind w:left="3402" w:hanging="567"/>
      </w:pPr>
      <w:r w:rsidRPr="002C5876">
        <w:t>C</w:t>
      </w:r>
      <w:r w:rsidRPr="002C5876">
        <w:rPr>
          <w:vertAlign w:val="subscript"/>
        </w:rPr>
        <w:t>i</w:t>
      </w:r>
      <w:r w:rsidRPr="002C5876">
        <w:tab/>
        <w:t>est la concentration du composé i par essai ou par phase dans les gaz d’échappement dilués, exprimée en ppm et corrigée de la concentration de polluant i présente dans l’air de dilution ;</w:t>
      </w:r>
    </w:p>
    <w:p w:rsidR="00E24DB7" w:rsidRPr="002C5876" w:rsidRDefault="00E24DB7" w:rsidP="00E24DB7">
      <w:pPr>
        <w:pStyle w:val="SingleTxtG"/>
        <w:ind w:left="3402" w:hanging="567"/>
      </w:pPr>
      <w:r w:rsidRPr="002C5876">
        <w:t>d</w:t>
      </w:r>
      <w:r w:rsidRPr="002C5876">
        <w:tab/>
        <w:t>est la distance parcourue pendant le cycle WLTC applicable, en km ;</w:t>
      </w:r>
    </w:p>
    <w:p w:rsidR="00E24DB7" w:rsidRPr="002C5876" w:rsidRDefault="00E24DB7" w:rsidP="00E24DB7">
      <w:pPr>
        <w:pStyle w:val="SingleTxtG"/>
        <w:ind w:left="3402" w:hanging="567"/>
      </w:pPr>
      <w:r w:rsidRPr="002C5876">
        <w:t>n</w:t>
      </w:r>
      <w:r w:rsidRPr="002C5876">
        <w:tab/>
        <w:t>est le nombre de phases du cycle WLTC applicable.</w:t>
      </w:r>
    </w:p>
    <w:p w:rsidR="00E24DB7" w:rsidRPr="002C5876" w:rsidRDefault="00E24DB7" w:rsidP="00E24DB7">
      <w:pPr>
        <w:pStyle w:val="SingleTxtG"/>
        <w:keepNext/>
        <w:ind w:left="2835" w:hanging="1701"/>
      </w:pPr>
      <w:bookmarkStart w:id="209" w:name="_Toc284587187"/>
      <w:bookmarkStart w:id="210" w:name="_Toc284587438"/>
      <w:r w:rsidRPr="002C5876">
        <w:t>3.2.1.1</w:t>
      </w:r>
      <w:bookmarkEnd w:id="209"/>
      <w:bookmarkEnd w:id="210"/>
      <w:r w:rsidRPr="002C5876">
        <w:tab/>
        <w:t>La concentration d’un composé gazeux dans les gaz d’échappement dilués doit être corrigée de la quantité du composé gazeux dans l’air de dilution au moyen de l’équation suivante :</w:t>
      </w:r>
    </w:p>
    <w:p w:rsidR="00E24DB7" w:rsidRPr="002C5876" w:rsidRDefault="00731CA6" w:rsidP="00E24DB7">
      <w:pPr>
        <w:pStyle w:val="SingleTxtG"/>
        <w:keepNext/>
        <w:spacing w:after="240"/>
        <w:ind w:left="2268"/>
        <w:jc w:val="center"/>
      </w:pPr>
      <m:oMathPara>
        <m:oMath>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i</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e</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d</m:t>
              </m:r>
            </m:sub>
          </m:sSub>
          <m:r>
            <m:rPr>
              <m:sty m:val="p"/>
            </m:rPr>
            <w:rPr>
              <w:rFonts w:ascii="Cambria Math" w:hAnsi="Cambria Math" w:cstheme="majorBidi"/>
            </w:rPr>
            <m:t>×</m:t>
          </m:r>
          <m:d>
            <m:dPr>
              <m:ctrlPr>
                <w:rPr>
                  <w:rFonts w:ascii="Cambria Math" w:hAnsi="Cambria Math" w:cstheme="majorBidi"/>
                </w:rPr>
              </m:ctrlPr>
            </m:dPr>
            <m:e>
              <m:r>
                <m:rPr>
                  <m:sty m:val="p"/>
                </m:rPr>
                <w:rPr>
                  <w:rFonts w:ascii="Cambria Math" w:hAnsi="Cambria Math" w:cstheme="majorBidi"/>
                </w:rPr>
                <m:t>1-</m:t>
              </m:r>
              <m:f>
                <m:fPr>
                  <m:ctrlPr>
                    <w:rPr>
                      <w:rFonts w:ascii="Cambria Math" w:hAnsi="Cambria Math" w:cstheme="majorBidi"/>
                    </w:rPr>
                  </m:ctrlPr>
                </m:fPr>
                <m:num>
                  <m:r>
                    <m:rPr>
                      <m:sty m:val="p"/>
                    </m:rPr>
                    <w:rPr>
                      <w:rFonts w:ascii="Cambria Math" w:hAnsi="Cambria Math" w:cstheme="majorBidi"/>
                    </w:rPr>
                    <m:t>1</m:t>
                  </m:r>
                </m:num>
                <m:den>
                  <m:r>
                    <m:rPr>
                      <m:sty m:val="p"/>
                    </m:rPr>
                    <w:rPr>
                      <w:rFonts w:ascii="Cambria Math" w:hAnsi="Cambria Math" w:cstheme="majorBidi"/>
                    </w:rPr>
                    <m:t>DF</m:t>
                  </m:r>
                </m:den>
              </m:f>
            </m:e>
          </m:d>
        </m:oMath>
      </m:oMathPara>
    </w:p>
    <w:p w:rsidR="00E24DB7" w:rsidRPr="002C5876" w:rsidRDefault="00E24DB7" w:rsidP="00E24DB7">
      <w:pPr>
        <w:pStyle w:val="SingleTxtG"/>
        <w:keepNext/>
        <w:ind w:left="3402" w:hanging="567"/>
      </w:pPr>
      <w:r w:rsidRPr="002C5876">
        <w:t>où :</w:t>
      </w:r>
    </w:p>
    <w:p w:rsidR="00E24DB7" w:rsidRPr="002C5876" w:rsidRDefault="00E24DB7" w:rsidP="00E24DB7">
      <w:pPr>
        <w:pStyle w:val="SingleTxtG"/>
        <w:ind w:left="3402" w:hanging="567"/>
      </w:pPr>
      <w:r w:rsidRPr="002C5876">
        <w:t>C</w:t>
      </w:r>
      <w:r w:rsidRPr="002C5876">
        <w:rPr>
          <w:vertAlign w:val="subscript"/>
        </w:rPr>
        <w:t>i</w:t>
      </w:r>
      <w:r w:rsidRPr="002C5876">
        <w:tab/>
        <w:t>est la concentration du composé gazeux i dans les gaz d’échappement dilués, exprimée en ppm et corrigée de la concentration de composé gazeux i présente dans l’air de dilution ;</w:t>
      </w:r>
    </w:p>
    <w:p w:rsidR="00E24DB7" w:rsidRPr="002C5876" w:rsidRDefault="00E24DB7" w:rsidP="00E24DB7">
      <w:pPr>
        <w:pStyle w:val="SingleTxtG"/>
        <w:ind w:left="3402" w:hanging="567"/>
      </w:pPr>
      <w:r w:rsidRPr="002C5876">
        <w:t>C</w:t>
      </w:r>
      <w:r w:rsidRPr="002C5876">
        <w:rPr>
          <w:vertAlign w:val="subscript"/>
        </w:rPr>
        <w:t>e</w:t>
      </w:r>
      <w:r w:rsidRPr="002C5876">
        <w:tab/>
        <w:t>est la concentration mesurée du composé gazeux i dans les gaz d’échappement dilués, en ppm ;</w:t>
      </w:r>
    </w:p>
    <w:p w:rsidR="00E24DB7" w:rsidRPr="002C5876" w:rsidRDefault="00E24DB7" w:rsidP="00E24DB7">
      <w:pPr>
        <w:pStyle w:val="SingleTxtG"/>
        <w:ind w:left="3402" w:hanging="567"/>
      </w:pPr>
      <w:r w:rsidRPr="002C5876">
        <w:t>C</w:t>
      </w:r>
      <w:r w:rsidRPr="002C5876">
        <w:rPr>
          <w:vertAlign w:val="subscript"/>
        </w:rPr>
        <w:t>d</w:t>
      </w:r>
      <w:r w:rsidRPr="002C5876">
        <w:tab/>
        <w:t>est la concentration du composé gazeux i dans l’air de dilution, en ppm ;</w:t>
      </w:r>
    </w:p>
    <w:p w:rsidR="00E24DB7" w:rsidRPr="002C5876" w:rsidRDefault="00E24DB7" w:rsidP="00E24DB7">
      <w:pPr>
        <w:pStyle w:val="SingleTxtG"/>
        <w:ind w:left="3402" w:hanging="567"/>
      </w:pPr>
      <w:r w:rsidRPr="002C5876">
        <w:t>DF</w:t>
      </w:r>
      <w:r w:rsidRPr="002C5876">
        <w:tab/>
        <w:t>est le facteur de dilution.</w:t>
      </w:r>
    </w:p>
    <w:p w:rsidR="00E24DB7" w:rsidRPr="002C5876" w:rsidRDefault="00E24DB7" w:rsidP="00E24DB7">
      <w:pPr>
        <w:pStyle w:val="SingleTxtG"/>
        <w:keepNext/>
        <w:ind w:left="2835" w:hanging="1701"/>
      </w:pPr>
      <w:r w:rsidRPr="002C5876">
        <w:t>3.2.1.1.1</w:t>
      </w:r>
      <w:r w:rsidRPr="002C5876">
        <w:tab/>
        <w:t>Le facteur de dilution, DF, doit être calculé en appliquant l’équation correspondant au carburant visé :</w:t>
      </w:r>
    </w:p>
    <w:p w:rsidR="00E24DB7" w:rsidRPr="002C5876" w:rsidRDefault="00CA2D62" w:rsidP="00E24DB7">
      <w:pPr>
        <w:pStyle w:val="SingleTxtG"/>
        <w:tabs>
          <w:tab w:val="left" w:pos="5390"/>
          <w:tab w:val="left" w:pos="7938"/>
        </w:tabs>
        <w:ind w:left="2835"/>
        <w:rPr>
          <w:spacing w:val="-10"/>
        </w:rPr>
      </w:pPr>
      <m:oMath>
        <m:r>
          <m:rPr>
            <m:sty m:val="p"/>
          </m:rPr>
          <w:rPr>
            <w:rFonts w:ascii="Cambria Math" w:hAnsi="Cambria Math"/>
            <w:szCs w:val="24"/>
          </w:rPr>
          <m:t xml:space="preserve">DF= </m:t>
        </m:r>
        <m:f>
          <m:fPr>
            <m:ctrlPr>
              <w:rPr>
                <w:rFonts w:ascii="Cambria Math" w:hAnsi="Cambria Math"/>
                <w:szCs w:val="24"/>
              </w:rPr>
            </m:ctrlPr>
          </m:fPr>
          <m:num>
            <m:r>
              <m:rPr>
                <m:sty m:val="p"/>
              </m:rPr>
              <w:rPr>
                <w:rFonts w:ascii="Cambria Math" w:hAnsi="Cambria Math"/>
                <w:szCs w:val="24"/>
              </w:rPr>
              <m:t>13.4</m:t>
            </m:r>
          </m:num>
          <m:den>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CO2</m:t>
                </m:r>
              </m:sub>
            </m:sSub>
            <m:r>
              <m:rPr>
                <m:sty m:val="p"/>
              </m:rPr>
              <w:rPr>
                <w:rFonts w:ascii="Cambria Math" w:hAnsi="Cambria Math"/>
                <w:szCs w:val="24"/>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HC</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m:t>
                    </m:r>
                  </m:sub>
                </m:sSub>
              </m:e>
            </m:d>
            <m:r>
              <m:rPr>
                <m:sty m:val="p"/>
              </m:rPr>
              <w:rPr>
                <w:rFonts w:ascii="Cambria Math" w:hAnsi="Cambria Math"/>
                <w:szCs w:val="24"/>
              </w:rPr>
              <m:t>×</m:t>
            </m:r>
            <m:sSup>
              <m:sSupPr>
                <m:ctrlPr>
                  <w:rPr>
                    <w:rFonts w:ascii="Cambria Math" w:hAnsi="Cambria Math"/>
                    <w:szCs w:val="24"/>
                  </w:rPr>
                </m:ctrlPr>
              </m:sSupPr>
              <m:e>
                <m:r>
                  <m:rPr>
                    <m:sty m:val="p"/>
                  </m:rPr>
                  <w:rPr>
                    <w:rFonts w:ascii="Cambria Math" w:hAnsi="Cambria Math"/>
                    <w:szCs w:val="24"/>
                  </w:rPr>
                  <m:t>10</m:t>
                </m:r>
              </m:e>
              <m:sup>
                <m:r>
                  <m:rPr>
                    <m:sty m:val="p"/>
                  </m:rPr>
                  <w:rPr>
                    <w:rFonts w:ascii="Cambria Math" w:hAnsi="Cambria Math"/>
                    <w:szCs w:val="24"/>
                  </w:rPr>
                  <m:t>-4</m:t>
                </m:r>
              </m:sup>
            </m:sSup>
          </m:den>
        </m:f>
        <m:r>
          <w:rPr>
            <w:rFonts w:ascii="Cambria Math" w:hAnsi="Cambria Math"/>
            <w:szCs w:val="24"/>
          </w:rPr>
          <m:t xml:space="preserve">   </m:t>
        </m:r>
      </m:oMath>
      <w:r w:rsidR="00E24DB7" w:rsidRPr="002C5876">
        <w:rPr>
          <w:spacing w:val="-9"/>
        </w:rPr>
        <w:t>pour l’essence (E5 et E10) et le gazole (B0)</w:t>
      </w:r>
    </w:p>
    <w:p w:rsidR="00E24DB7" w:rsidRPr="002C5876" w:rsidRDefault="00CA2D62" w:rsidP="00E24DB7">
      <w:pPr>
        <w:pStyle w:val="SingleTxtG"/>
        <w:tabs>
          <w:tab w:val="left" w:pos="5390"/>
          <w:tab w:val="left" w:pos="8136"/>
        </w:tabs>
        <w:ind w:left="2835"/>
      </w:pPr>
      <m:oMath>
        <m:r>
          <m:rPr>
            <m:sty m:val="p"/>
          </m:rPr>
          <w:rPr>
            <w:rFonts w:ascii="Cambria Math" w:hAnsi="Cambria Math"/>
            <w:szCs w:val="24"/>
          </w:rPr>
          <w:lastRenderedPageBreak/>
          <m:t xml:space="preserve"> DF= </m:t>
        </m:r>
        <m:f>
          <m:fPr>
            <m:ctrlPr>
              <w:rPr>
                <w:rFonts w:ascii="Cambria Math" w:hAnsi="Cambria Math"/>
                <w:szCs w:val="24"/>
              </w:rPr>
            </m:ctrlPr>
          </m:fPr>
          <m:num>
            <m:r>
              <m:rPr>
                <m:sty m:val="p"/>
              </m:rPr>
              <w:rPr>
                <w:rFonts w:ascii="Cambria Math" w:hAnsi="Cambria Math"/>
                <w:szCs w:val="24"/>
              </w:rPr>
              <m:t>13,5</m:t>
            </m:r>
          </m:num>
          <m:den>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CO2</m:t>
                </m:r>
              </m:sub>
            </m:sSub>
            <m:r>
              <m:rPr>
                <m:sty m:val="p"/>
              </m:rPr>
              <w:rPr>
                <w:rFonts w:ascii="Cambria Math" w:hAnsi="Cambria Math"/>
                <w:szCs w:val="24"/>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HC</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m:t>
                    </m:r>
                  </m:sub>
                </m:sSub>
              </m:e>
            </m:d>
            <m:r>
              <m:rPr>
                <m:sty m:val="p"/>
              </m:rPr>
              <w:rPr>
                <w:rFonts w:ascii="Cambria Math" w:hAnsi="Cambria Math"/>
                <w:szCs w:val="24"/>
              </w:rPr>
              <m:t>×</m:t>
            </m:r>
            <m:sSup>
              <m:sSupPr>
                <m:ctrlPr>
                  <w:rPr>
                    <w:rFonts w:ascii="Cambria Math" w:hAnsi="Cambria Math"/>
                    <w:szCs w:val="24"/>
                  </w:rPr>
                </m:ctrlPr>
              </m:sSupPr>
              <m:e>
                <m:r>
                  <m:rPr>
                    <m:sty m:val="p"/>
                  </m:rPr>
                  <w:rPr>
                    <w:rFonts w:ascii="Cambria Math" w:hAnsi="Cambria Math"/>
                    <w:szCs w:val="24"/>
                  </w:rPr>
                  <m:t>10</m:t>
                </m:r>
              </m:e>
              <m:sup>
                <m:r>
                  <m:rPr>
                    <m:sty m:val="p"/>
                  </m:rPr>
                  <w:rPr>
                    <w:rFonts w:ascii="Cambria Math" w:hAnsi="Cambria Math"/>
                    <w:szCs w:val="24"/>
                  </w:rPr>
                  <m:t>-4</m:t>
                </m:r>
              </m:sup>
            </m:sSup>
          </m:den>
        </m:f>
      </m:oMath>
      <w:r w:rsidR="00E24DB7" w:rsidRPr="002C5876">
        <w:t xml:space="preserve"> pour l’essence (E0)</w:t>
      </w:r>
    </w:p>
    <w:p w:rsidR="00E24DB7" w:rsidRPr="002C5876" w:rsidRDefault="00CA2D62" w:rsidP="00E24DB7">
      <w:pPr>
        <w:pStyle w:val="SingleTxtG"/>
        <w:tabs>
          <w:tab w:val="left" w:pos="5390"/>
          <w:tab w:val="left" w:pos="8136"/>
        </w:tabs>
        <w:ind w:left="2835"/>
      </w:pPr>
      <m:oMath>
        <m:r>
          <m:rPr>
            <m:sty m:val="p"/>
          </m:rPr>
          <w:rPr>
            <w:rFonts w:ascii="Cambria Math" w:hAnsi="Cambria Math"/>
            <w:szCs w:val="24"/>
          </w:rPr>
          <m:t xml:space="preserve">DF= </m:t>
        </m:r>
        <m:f>
          <m:fPr>
            <m:ctrlPr>
              <w:rPr>
                <w:rFonts w:ascii="Cambria Math" w:hAnsi="Cambria Math"/>
                <w:szCs w:val="24"/>
              </w:rPr>
            </m:ctrlPr>
          </m:fPr>
          <m:num>
            <m:r>
              <m:rPr>
                <m:sty m:val="p"/>
              </m:rPr>
              <w:rPr>
                <w:rFonts w:ascii="Cambria Math" w:hAnsi="Cambria Math"/>
                <w:szCs w:val="24"/>
              </w:rPr>
              <m:t>13,5</m:t>
            </m:r>
          </m:num>
          <m:den>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CO2</m:t>
                </m:r>
              </m:sub>
            </m:sSub>
            <m:r>
              <m:rPr>
                <m:sty m:val="p"/>
              </m:rPr>
              <w:rPr>
                <w:rFonts w:ascii="Cambria Math" w:hAnsi="Cambria Math"/>
                <w:szCs w:val="24"/>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HC</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m:t>
                    </m:r>
                  </m:sub>
                </m:sSub>
              </m:e>
            </m:d>
            <m:r>
              <m:rPr>
                <m:sty m:val="p"/>
              </m:rPr>
              <w:rPr>
                <w:rFonts w:ascii="Cambria Math" w:hAnsi="Cambria Math"/>
                <w:szCs w:val="24"/>
              </w:rPr>
              <m:t>×</m:t>
            </m:r>
            <m:sSup>
              <m:sSupPr>
                <m:ctrlPr>
                  <w:rPr>
                    <w:rFonts w:ascii="Cambria Math" w:hAnsi="Cambria Math"/>
                    <w:szCs w:val="24"/>
                  </w:rPr>
                </m:ctrlPr>
              </m:sSupPr>
              <m:e>
                <m:r>
                  <m:rPr>
                    <m:sty m:val="p"/>
                  </m:rPr>
                  <w:rPr>
                    <w:rFonts w:ascii="Cambria Math" w:hAnsi="Cambria Math"/>
                    <w:szCs w:val="24"/>
                  </w:rPr>
                  <m:t>10</m:t>
                </m:r>
              </m:e>
              <m:sup>
                <m:r>
                  <m:rPr>
                    <m:sty m:val="p"/>
                  </m:rPr>
                  <w:rPr>
                    <w:rFonts w:ascii="Cambria Math" w:hAnsi="Cambria Math"/>
                    <w:szCs w:val="24"/>
                  </w:rPr>
                  <m:t>-4</m:t>
                </m:r>
              </m:sup>
            </m:sSup>
          </m:den>
        </m:f>
        <m:r>
          <w:rPr>
            <w:rFonts w:ascii="Cambria Math" w:hAnsi="Cambria Math"/>
            <w:szCs w:val="24"/>
          </w:rPr>
          <m:t xml:space="preserve"> </m:t>
        </m:r>
      </m:oMath>
      <w:r w:rsidR="00E24DB7" w:rsidRPr="002C5876">
        <w:t>pour le gazole (B5 et B7)</w:t>
      </w:r>
    </w:p>
    <w:p w:rsidR="00E24DB7" w:rsidRPr="002C5876" w:rsidRDefault="00CA2D62" w:rsidP="00E24DB7">
      <w:pPr>
        <w:pStyle w:val="SingleTxtG"/>
        <w:tabs>
          <w:tab w:val="left" w:pos="5390"/>
          <w:tab w:val="left" w:pos="8136"/>
        </w:tabs>
        <w:ind w:left="2835"/>
      </w:pPr>
      <m:oMath>
        <m:r>
          <m:rPr>
            <m:sty m:val="p"/>
          </m:rPr>
          <w:rPr>
            <w:rFonts w:ascii="Cambria Math" w:hAnsi="Cambria Math"/>
            <w:szCs w:val="24"/>
          </w:rPr>
          <m:t xml:space="preserve">DF= </m:t>
        </m:r>
        <m:f>
          <m:fPr>
            <m:ctrlPr>
              <w:rPr>
                <w:rFonts w:ascii="Cambria Math" w:hAnsi="Cambria Math"/>
                <w:szCs w:val="24"/>
              </w:rPr>
            </m:ctrlPr>
          </m:fPr>
          <m:num>
            <m:r>
              <m:rPr>
                <m:sty m:val="p"/>
              </m:rPr>
              <w:rPr>
                <w:rFonts w:ascii="Cambria Math" w:hAnsi="Cambria Math"/>
                <w:szCs w:val="24"/>
              </w:rPr>
              <m:t>11,9</m:t>
            </m:r>
          </m:num>
          <m:den>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CO2</m:t>
                </m:r>
              </m:sub>
            </m:sSub>
            <m:r>
              <m:rPr>
                <m:sty m:val="p"/>
              </m:rPr>
              <w:rPr>
                <w:rFonts w:ascii="Cambria Math" w:hAnsi="Cambria Math"/>
                <w:szCs w:val="24"/>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HC</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m:t>
                    </m:r>
                  </m:sub>
                </m:sSub>
              </m:e>
            </m:d>
            <m:r>
              <m:rPr>
                <m:sty m:val="p"/>
              </m:rPr>
              <w:rPr>
                <w:rFonts w:ascii="Cambria Math" w:hAnsi="Cambria Math"/>
                <w:szCs w:val="24"/>
              </w:rPr>
              <m:t>×</m:t>
            </m:r>
            <m:sSup>
              <m:sSupPr>
                <m:ctrlPr>
                  <w:rPr>
                    <w:rFonts w:ascii="Cambria Math" w:hAnsi="Cambria Math"/>
                    <w:szCs w:val="24"/>
                  </w:rPr>
                </m:ctrlPr>
              </m:sSupPr>
              <m:e>
                <m:r>
                  <m:rPr>
                    <m:sty m:val="p"/>
                  </m:rPr>
                  <w:rPr>
                    <w:rFonts w:ascii="Cambria Math" w:hAnsi="Cambria Math"/>
                    <w:szCs w:val="24"/>
                  </w:rPr>
                  <m:t>10</m:t>
                </m:r>
              </m:e>
              <m:sup>
                <m:r>
                  <m:rPr>
                    <m:sty m:val="p"/>
                  </m:rPr>
                  <w:rPr>
                    <w:rFonts w:ascii="Cambria Math" w:hAnsi="Cambria Math"/>
                    <w:szCs w:val="24"/>
                  </w:rPr>
                  <m:t>-4</m:t>
                </m:r>
              </m:sup>
            </m:sSup>
          </m:den>
        </m:f>
      </m:oMath>
      <w:r w:rsidRPr="002C5876">
        <w:t xml:space="preserve"> </w:t>
      </w:r>
      <w:r w:rsidR="00E24DB7" w:rsidRPr="002C5876">
        <w:t>pour le GPL</w:t>
      </w:r>
    </w:p>
    <w:p w:rsidR="00E24DB7" w:rsidRPr="002C5876" w:rsidRDefault="00CA2D62" w:rsidP="00E24DB7">
      <w:pPr>
        <w:pStyle w:val="SingleTxtG"/>
        <w:tabs>
          <w:tab w:val="left" w:pos="5390"/>
          <w:tab w:val="left" w:pos="8136"/>
        </w:tabs>
        <w:ind w:left="2835"/>
      </w:pPr>
      <m:oMath>
        <m:r>
          <m:rPr>
            <m:sty m:val="p"/>
          </m:rPr>
          <w:rPr>
            <w:rFonts w:ascii="Cambria Math" w:hAnsi="Cambria Math"/>
            <w:szCs w:val="24"/>
          </w:rPr>
          <m:t xml:space="preserve">DF= </m:t>
        </m:r>
        <m:f>
          <m:fPr>
            <m:ctrlPr>
              <w:rPr>
                <w:rFonts w:ascii="Cambria Math" w:hAnsi="Cambria Math"/>
                <w:szCs w:val="24"/>
              </w:rPr>
            </m:ctrlPr>
          </m:fPr>
          <m:num>
            <m:r>
              <m:rPr>
                <m:sty m:val="p"/>
              </m:rPr>
              <w:rPr>
                <w:rFonts w:ascii="Cambria Math" w:hAnsi="Cambria Math"/>
                <w:szCs w:val="24"/>
              </w:rPr>
              <m:t>9,5</m:t>
            </m:r>
          </m:num>
          <m:den>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CO2</m:t>
                </m:r>
              </m:sub>
            </m:sSub>
            <m:r>
              <m:rPr>
                <m:sty m:val="p"/>
              </m:rPr>
              <w:rPr>
                <w:rFonts w:ascii="Cambria Math" w:hAnsi="Cambria Math"/>
                <w:szCs w:val="24"/>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HC</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m:t>
                    </m:r>
                  </m:sub>
                </m:sSub>
              </m:e>
            </m:d>
            <m:r>
              <m:rPr>
                <m:sty m:val="p"/>
              </m:rPr>
              <w:rPr>
                <w:rFonts w:ascii="Cambria Math" w:hAnsi="Cambria Math"/>
                <w:szCs w:val="24"/>
              </w:rPr>
              <m:t>×</m:t>
            </m:r>
            <m:sSup>
              <m:sSupPr>
                <m:ctrlPr>
                  <w:rPr>
                    <w:rFonts w:ascii="Cambria Math" w:hAnsi="Cambria Math"/>
                    <w:szCs w:val="24"/>
                  </w:rPr>
                </m:ctrlPr>
              </m:sSupPr>
              <m:e>
                <m:r>
                  <m:rPr>
                    <m:sty m:val="p"/>
                  </m:rPr>
                  <w:rPr>
                    <w:rFonts w:ascii="Cambria Math" w:hAnsi="Cambria Math"/>
                    <w:szCs w:val="24"/>
                  </w:rPr>
                  <m:t>10</m:t>
                </m:r>
              </m:e>
              <m:sup>
                <m:r>
                  <m:rPr>
                    <m:sty m:val="p"/>
                  </m:rPr>
                  <w:rPr>
                    <w:rFonts w:ascii="Cambria Math" w:hAnsi="Cambria Math"/>
                    <w:szCs w:val="24"/>
                  </w:rPr>
                  <m:t>-4</m:t>
                </m:r>
              </m:sup>
            </m:sSup>
          </m:den>
        </m:f>
        <m:r>
          <w:rPr>
            <w:rFonts w:ascii="Cambria Math" w:hAnsi="Cambria Math"/>
            <w:szCs w:val="24"/>
          </w:rPr>
          <m:t xml:space="preserve">  </m:t>
        </m:r>
      </m:oMath>
      <w:r w:rsidR="00E24DB7" w:rsidRPr="002C5876">
        <w:t>pour le GN/biométhane</w:t>
      </w:r>
    </w:p>
    <w:p w:rsidR="00E24DB7" w:rsidRPr="002C5876" w:rsidRDefault="00CA2D62" w:rsidP="00E24DB7">
      <w:pPr>
        <w:pStyle w:val="SingleTxtG"/>
        <w:tabs>
          <w:tab w:val="left" w:pos="5390"/>
          <w:tab w:val="left" w:pos="8136"/>
        </w:tabs>
        <w:ind w:left="2835"/>
      </w:pPr>
      <m:oMath>
        <m:r>
          <m:rPr>
            <m:sty m:val="p"/>
          </m:rPr>
          <w:rPr>
            <w:rFonts w:ascii="Cambria Math" w:hAnsi="Cambria Math"/>
            <w:szCs w:val="24"/>
          </w:rPr>
          <m:t xml:space="preserve">DF= </m:t>
        </m:r>
        <m:f>
          <m:fPr>
            <m:ctrlPr>
              <w:rPr>
                <w:rFonts w:ascii="Cambria Math" w:hAnsi="Cambria Math"/>
                <w:szCs w:val="24"/>
              </w:rPr>
            </m:ctrlPr>
          </m:fPr>
          <m:num>
            <m:r>
              <m:rPr>
                <m:sty m:val="p"/>
              </m:rPr>
              <w:rPr>
                <w:rFonts w:ascii="Cambria Math" w:hAnsi="Cambria Math"/>
                <w:szCs w:val="24"/>
              </w:rPr>
              <m:t>12,5</m:t>
            </m:r>
          </m:num>
          <m:den>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CO2</m:t>
                </m:r>
              </m:sub>
            </m:sSub>
            <m:r>
              <m:rPr>
                <m:sty m:val="p"/>
              </m:rPr>
              <w:rPr>
                <w:rFonts w:ascii="Cambria Math" w:hAnsi="Cambria Math"/>
                <w:szCs w:val="24"/>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HC</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m:t>
                    </m:r>
                  </m:sub>
                </m:sSub>
              </m:e>
            </m:d>
            <m:r>
              <m:rPr>
                <m:sty m:val="p"/>
              </m:rPr>
              <w:rPr>
                <w:rFonts w:ascii="Cambria Math" w:hAnsi="Cambria Math"/>
                <w:szCs w:val="24"/>
              </w:rPr>
              <m:t>×</m:t>
            </m:r>
            <m:sSup>
              <m:sSupPr>
                <m:ctrlPr>
                  <w:rPr>
                    <w:rFonts w:ascii="Cambria Math" w:hAnsi="Cambria Math"/>
                    <w:szCs w:val="24"/>
                  </w:rPr>
                </m:ctrlPr>
              </m:sSupPr>
              <m:e>
                <m:r>
                  <m:rPr>
                    <m:sty m:val="p"/>
                  </m:rPr>
                  <w:rPr>
                    <w:rFonts w:ascii="Cambria Math" w:hAnsi="Cambria Math"/>
                    <w:szCs w:val="24"/>
                  </w:rPr>
                  <m:t>10</m:t>
                </m:r>
              </m:e>
              <m:sup>
                <m:r>
                  <m:rPr>
                    <m:sty m:val="p"/>
                  </m:rPr>
                  <w:rPr>
                    <w:rFonts w:ascii="Cambria Math" w:hAnsi="Cambria Math"/>
                    <w:szCs w:val="24"/>
                  </w:rPr>
                  <m:t>-4</m:t>
                </m:r>
              </m:sup>
            </m:sSup>
          </m:den>
        </m:f>
        <m:r>
          <w:rPr>
            <w:rFonts w:ascii="Cambria Math" w:hAnsi="Cambria Math"/>
            <w:szCs w:val="24"/>
          </w:rPr>
          <m:t xml:space="preserve"> </m:t>
        </m:r>
      </m:oMath>
      <w:r w:rsidR="00E24DB7" w:rsidRPr="002C5876">
        <w:t>pour l’éthanol (E85)</w:t>
      </w:r>
    </w:p>
    <w:p w:rsidR="00E24DB7" w:rsidRPr="002C5876" w:rsidRDefault="00CA2D62" w:rsidP="00E24DB7">
      <w:pPr>
        <w:pStyle w:val="SingleTxtG"/>
        <w:tabs>
          <w:tab w:val="left" w:pos="5390"/>
          <w:tab w:val="left" w:pos="8136"/>
        </w:tabs>
        <w:ind w:left="2835"/>
      </w:pPr>
      <m:oMath>
        <m:r>
          <m:rPr>
            <m:sty m:val="p"/>
          </m:rPr>
          <w:rPr>
            <w:rFonts w:ascii="Cambria Math" w:hAnsi="Cambria Math"/>
            <w:szCs w:val="24"/>
          </w:rPr>
          <m:t xml:space="preserve">DF= </m:t>
        </m:r>
        <m:f>
          <m:fPr>
            <m:ctrlPr>
              <w:rPr>
                <w:rFonts w:ascii="Cambria Math" w:hAnsi="Cambria Math"/>
                <w:szCs w:val="24"/>
              </w:rPr>
            </m:ctrlPr>
          </m:fPr>
          <m:num>
            <m:r>
              <m:rPr>
                <m:sty m:val="p"/>
              </m:rPr>
              <w:rPr>
                <w:rFonts w:ascii="Cambria Math" w:hAnsi="Cambria Math"/>
                <w:szCs w:val="24"/>
              </w:rPr>
              <m:t>35,03</m:t>
            </m:r>
          </m:num>
          <m:den>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H2O</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H2O-DA</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H2</m:t>
                </m:r>
              </m:sub>
            </m:sSub>
            <m:r>
              <m:rPr>
                <m:sty m:val="p"/>
              </m:rPr>
              <w:rPr>
                <w:rFonts w:ascii="Cambria Math" w:hAnsi="Cambria Math"/>
                <w:szCs w:val="24"/>
              </w:rPr>
              <m:t>×</m:t>
            </m:r>
            <m:sSup>
              <m:sSupPr>
                <m:ctrlPr>
                  <w:rPr>
                    <w:rFonts w:ascii="Cambria Math" w:hAnsi="Cambria Math"/>
                    <w:szCs w:val="24"/>
                  </w:rPr>
                </m:ctrlPr>
              </m:sSupPr>
              <m:e>
                <m:r>
                  <m:rPr>
                    <m:sty m:val="p"/>
                  </m:rPr>
                  <w:rPr>
                    <w:rFonts w:ascii="Cambria Math" w:hAnsi="Cambria Math"/>
                    <w:szCs w:val="24"/>
                  </w:rPr>
                  <m:t>10</m:t>
                </m:r>
              </m:e>
              <m:sup>
                <m:r>
                  <m:rPr>
                    <m:sty m:val="p"/>
                  </m:rPr>
                  <w:rPr>
                    <w:rFonts w:ascii="Cambria Math" w:hAnsi="Cambria Math"/>
                    <w:szCs w:val="24"/>
                  </w:rPr>
                  <m:t>-4</m:t>
                </m:r>
              </m:sup>
            </m:sSup>
          </m:den>
        </m:f>
        <m:r>
          <w:rPr>
            <w:rFonts w:ascii="Cambria Math" w:hAnsi="Cambria Math"/>
            <w:szCs w:val="24"/>
          </w:rPr>
          <m:t xml:space="preserve"> </m:t>
        </m:r>
      </m:oMath>
      <w:r w:rsidR="00E24DB7" w:rsidRPr="002C5876">
        <w:t>pour l’hydrogène.</w:t>
      </w:r>
    </w:p>
    <w:p w:rsidR="00E24DB7" w:rsidRPr="002C5876" w:rsidRDefault="00E24DB7" w:rsidP="00E24DB7">
      <w:pPr>
        <w:pStyle w:val="SingleTxtG"/>
        <w:keepNext/>
        <w:ind w:left="2835"/>
      </w:pPr>
      <w:r w:rsidRPr="002C5876">
        <w:t>S’agissant de l’équation pour l’hydrogène :</w:t>
      </w:r>
    </w:p>
    <w:p w:rsidR="00E24DB7" w:rsidRPr="002C5876" w:rsidRDefault="00E24DB7" w:rsidP="00E24DB7">
      <w:pPr>
        <w:pStyle w:val="SingleTxtG"/>
        <w:ind w:left="3686" w:hanging="851"/>
      </w:pPr>
      <w:r w:rsidRPr="002C5876">
        <w:t>C</w:t>
      </w:r>
      <w:r w:rsidRPr="002C5876">
        <w:rPr>
          <w:vertAlign w:val="subscript"/>
        </w:rPr>
        <w:t>H2O</w:t>
      </w:r>
      <w:r w:rsidRPr="002C5876">
        <w:tab/>
        <w:t>est la concentration de H</w:t>
      </w:r>
      <w:r w:rsidRPr="002C5876">
        <w:rPr>
          <w:vertAlign w:val="subscript"/>
        </w:rPr>
        <w:t>2</w:t>
      </w:r>
      <w:r w:rsidRPr="002C5876">
        <w:t>O dans les gaz d’échappement dilués se trouvant à l’intérieur du sac de prélèvement, en pourcentage de volume ;</w:t>
      </w:r>
    </w:p>
    <w:p w:rsidR="00E24DB7" w:rsidRPr="002C5876" w:rsidRDefault="00E24DB7" w:rsidP="00E24DB7">
      <w:pPr>
        <w:pStyle w:val="SingleTxtG"/>
        <w:ind w:left="3686" w:hanging="851"/>
      </w:pPr>
      <w:r w:rsidRPr="002C5876">
        <w:t>C</w:t>
      </w:r>
      <w:r w:rsidRPr="002C5876">
        <w:rPr>
          <w:vertAlign w:val="subscript"/>
        </w:rPr>
        <w:t>H2O-DA</w:t>
      </w:r>
      <w:r w:rsidRPr="002C5876">
        <w:tab/>
        <w:t>est la concentration de H</w:t>
      </w:r>
      <w:r w:rsidRPr="002C5876">
        <w:rPr>
          <w:vertAlign w:val="subscript"/>
        </w:rPr>
        <w:t>2</w:t>
      </w:r>
      <w:r w:rsidRPr="002C5876">
        <w:t>O dans l’air de dilution, en pourcentage de volume ;</w:t>
      </w:r>
    </w:p>
    <w:p w:rsidR="00E24DB7" w:rsidRPr="002C5876" w:rsidRDefault="00E24DB7" w:rsidP="00E24DB7">
      <w:pPr>
        <w:pStyle w:val="SingleTxtG"/>
        <w:ind w:left="3686" w:hanging="851"/>
      </w:pPr>
      <w:r w:rsidRPr="002C5876">
        <w:t>C</w:t>
      </w:r>
      <w:r w:rsidRPr="002C5876">
        <w:rPr>
          <w:vertAlign w:val="subscript"/>
        </w:rPr>
        <w:t>H2</w:t>
      </w:r>
      <w:r w:rsidRPr="002C5876">
        <w:tab/>
        <w:t>est la concentration de H</w:t>
      </w:r>
      <w:r w:rsidRPr="002C5876">
        <w:rPr>
          <w:vertAlign w:val="subscript"/>
        </w:rPr>
        <w:t>2</w:t>
      </w:r>
      <w:r w:rsidRPr="002C5876">
        <w:t xml:space="preserve"> dans les gaz d’échappement dilués se trouvant à l’intérieur du sac de prélèvement, en ppm.</w:t>
      </w:r>
    </w:p>
    <w:p w:rsidR="00E24DB7" w:rsidRPr="002C5876" w:rsidRDefault="00E24DB7" w:rsidP="00E24DB7">
      <w:pPr>
        <w:pStyle w:val="SingleTxtG"/>
        <w:ind w:left="2835"/>
      </w:pPr>
      <w:r w:rsidRPr="002C5876">
        <w:t>Pour tout type de carburant non mentionné ici, le facteur de dilution (DF) doit être calculé en appliquant l’équation présentée au paragraphe 3.2.1.1.2 de la présente annexe.</w:t>
      </w:r>
    </w:p>
    <w:p w:rsidR="00E24DB7" w:rsidRPr="002C5876" w:rsidRDefault="00E24DB7" w:rsidP="00E24DB7">
      <w:pPr>
        <w:pStyle w:val="SingleTxtG"/>
        <w:ind w:left="2835"/>
      </w:pPr>
      <w:r w:rsidRPr="002C5876">
        <w:tab/>
        <w:t>Si le constructeur utilise un facteur de dilution valable pour plusieurs phases, il doit calculer ledit facteur en tenant compte de la concentration moyenne des composés gazeux pour les phases visées.</w:t>
      </w:r>
    </w:p>
    <w:p w:rsidR="00E24DB7" w:rsidRPr="002C5876" w:rsidRDefault="00E24DB7" w:rsidP="00E24DB7">
      <w:pPr>
        <w:pStyle w:val="SingleTxtG"/>
        <w:keepNext/>
        <w:ind w:left="2835"/>
      </w:pPr>
      <w:r w:rsidRPr="002C5876">
        <w:tab/>
        <w:t>La concentration moyenne d’un composé gazeux doit être calculée au moyen de l’équation suivante :</w:t>
      </w:r>
    </w:p>
    <w:p w:rsidR="00E24DB7" w:rsidRPr="002C5876" w:rsidRDefault="00731CA6" w:rsidP="00E24DB7">
      <w:pPr>
        <w:pStyle w:val="SingleTxtG"/>
        <w:keepNext/>
        <w:spacing w:after="240"/>
        <w:ind w:left="2268"/>
        <w:jc w:val="center"/>
      </w:pPr>
      <m:oMathPara>
        <m:oMath>
          <m:acc>
            <m:accPr>
              <m:chr m:val="̅"/>
              <m:ctrlPr>
                <w:rPr>
                  <w:rFonts w:ascii="Cambria Math" w:hAnsi="Cambria Math" w:cstheme="majorBidi"/>
                </w:rPr>
              </m:ctrlPr>
            </m:accPr>
            <m:e>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i</m:t>
                  </m:r>
                </m:sub>
              </m:sSub>
            </m:e>
          </m:acc>
          <m:r>
            <m:rPr>
              <m:sty m:val="p"/>
            </m:rPr>
            <w:rPr>
              <w:rFonts w:ascii="Cambria Math" w:hAnsi="Cambria Math" w:cstheme="majorBidi"/>
            </w:rPr>
            <m:t>=</m:t>
          </m:r>
          <m:f>
            <m:fPr>
              <m:ctrlPr>
                <w:rPr>
                  <w:rFonts w:ascii="Cambria Math" w:hAnsi="Cambria Math" w:cstheme="majorBidi"/>
                </w:rPr>
              </m:ctrlPr>
            </m:fPr>
            <m:num>
              <m:nary>
                <m:naryPr>
                  <m:chr m:val="∑"/>
                  <m:limLoc m:val="undOvr"/>
                  <m:ctrlPr>
                    <w:rPr>
                      <w:rFonts w:ascii="Cambria Math" w:hAnsi="Cambria Math" w:cstheme="majorBidi"/>
                    </w:rPr>
                  </m:ctrlPr>
                </m:naryPr>
                <m:sub>
                  <m:r>
                    <m:rPr>
                      <m:sty m:val="p"/>
                    </m:rPr>
                    <w:rPr>
                      <w:rFonts w:ascii="Cambria Math" w:hAnsi="Cambria Math" w:cstheme="majorBidi"/>
                    </w:rPr>
                    <m:t>phase=1</m:t>
                  </m:r>
                </m:sub>
                <m:sup>
                  <m:r>
                    <m:rPr>
                      <m:sty m:val="p"/>
                    </m:rPr>
                    <w:rPr>
                      <w:rFonts w:ascii="Cambria Math" w:hAnsi="Cambria Math" w:cstheme="majorBidi"/>
                    </w:rPr>
                    <m:t>n</m:t>
                  </m:r>
                </m:sup>
                <m:e>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i,phase</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V</m:t>
                          </m:r>
                        </m:e>
                        <m:sub>
                          <m:r>
                            <m:rPr>
                              <m:sty m:val="p"/>
                            </m:rPr>
                            <w:rPr>
                              <w:rFonts w:ascii="Cambria Math" w:hAnsi="Cambria Math" w:cstheme="majorBidi"/>
                            </w:rPr>
                            <m:t>mix,phase</m:t>
                          </m:r>
                        </m:sub>
                      </m:sSub>
                    </m:e>
                  </m:d>
                </m:e>
              </m:nary>
            </m:num>
            <m:den>
              <m:nary>
                <m:naryPr>
                  <m:chr m:val="∑"/>
                  <m:limLoc m:val="undOvr"/>
                  <m:ctrlPr>
                    <w:rPr>
                      <w:rFonts w:ascii="Cambria Math" w:hAnsi="Cambria Math" w:cstheme="majorBidi"/>
                    </w:rPr>
                  </m:ctrlPr>
                </m:naryPr>
                <m:sub>
                  <m:r>
                    <m:rPr>
                      <m:sty m:val="p"/>
                    </m:rPr>
                    <w:rPr>
                      <w:rFonts w:ascii="Cambria Math" w:hAnsi="Cambria Math" w:cstheme="majorBidi"/>
                    </w:rPr>
                    <m:t>phase=1</m:t>
                  </m:r>
                </m:sub>
                <m:sup>
                  <m:r>
                    <m:rPr>
                      <m:sty m:val="p"/>
                    </m:rPr>
                    <w:rPr>
                      <w:rFonts w:ascii="Cambria Math" w:hAnsi="Cambria Math" w:cstheme="majorBidi"/>
                    </w:rPr>
                    <m:t>n</m:t>
                  </m:r>
                </m:sup>
                <m:e>
                  <m:sSub>
                    <m:sSubPr>
                      <m:ctrlPr>
                        <w:rPr>
                          <w:rFonts w:ascii="Cambria Math" w:hAnsi="Cambria Math" w:cstheme="majorBidi"/>
                        </w:rPr>
                      </m:ctrlPr>
                    </m:sSubPr>
                    <m:e>
                      <m:r>
                        <m:rPr>
                          <m:sty m:val="p"/>
                        </m:rPr>
                        <w:rPr>
                          <w:rFonts w:ascii="Cambria Math" w:hAnsi="Cambria Math" w:cstheme="majorBidi"/>
                        </w:rPr>
                        <m:t>V</m:t>
                      </m:r>
                    </m:e>
                    <m:sub>
                      <m:r>
                        <m:rPr>
                          <m:sty m:val="p"/>
                        </m:rPr>
                        <w:rPr>
                          <w:rFonts w:ascii="Cambria Math" w:hAnsi="Cambria Math" w:cstheme="majorBidi"/>
                        </w:rPr>
                        <m:t>mix,phase</m:t>
                      </m:r>
                    </m:sub>
                  </m:sSub>
                </m:e>
              </m:nary>
            </m:den>
          </m:f>
        </m:oMath>
      </m:oMathPara>
    </w:p>
    <w:p w:rsidR="00E24DB7" w:rsidRPr="002C5876" w:rsidRDefault="00E24DB7" w:rsidP="00E24DB7">
      <w:pPr>
        <w:pStyle w:val="SingleTxtG"/>
        <w:keepNext/>
        <w:ind w:left="2268"/>
      </w:pPr>
      <w:r w:rsidRPr="002C5876">
        <w:t>où :</w:t>
      </w:r>
    </w:p>
    <w:p w:rsidR="00E24DB7" w:rsidRPr="002C5876" w:rsidRDefault="00731CA6" w:rsidP="00E24DB7">
      <w:pPr>
        <w:pStyle w:val="SingleTxtG"/>
        <w:ind w:left="3402" w:hanging="1134"/>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1</m:t>
            </m:r>
          </m:sub>
        </m:sSub>
      </m:oMath>
      <w:r w:rsidR="00E24DB7" w:rsidRPr="002C5876">
        <w:tab/>
      </w:r>
      <w:r w:rsidR="00E24DB7" w:rsidRPr="002C5876">
        <w:tab/>
        <w:t>est la concentration moyenne d’un composé gazeux ;</w:t>
      </w:r>
    </w:p>
    <w:p w:rsidR="00E24DB7" w:rsidRPr="002C5876" w:rsidRDefault="00E24DB7" w:rsidP="00E24DB7">
      <w:pPr>
        <w:pStyle w:val="SingleTxtG"/>
        <w:ind w:left="3402" w:hanging="1134"/>
      </w:pPr>
      <w:r w:rsidRPr="002C5876">
        <w:t>Ci,</w:t>
      </w:r>
      <w:r w:rsidRPr="002C5876">
        <w:rPr>
          <w:vertAlign w:val="subscript"/>
        </w:rPr>
        <w:t>phase</w:t>
      </w:r>
      <w:r w:rsidRPr="002C5876">
        <w:tab/>
        <w:t>est la concentration pour chaque phase ;</w:t>
      </w:r>
    </w:p>
    <w:p w:rsidR="00E24DB7" w:rsidRPr="002C5876" w:rsidRDefault="00E24DB7" w:rsidP="00E24DB7">
      <w:pPr>
        <w:pStyle w:val="SingleTxtG"/>
        <w:ind w:left="3402" w:hanging="1134"/>
      </w:pPr>
      <w:r w:rsidRPr="002C5876">
        <w:rPr>
          <w:noProof/>
          <w:position w:val="-12"/>
          <w:lang w:val="en-GB" w:eastAsia="zh-CN"/>
        </w:rPr>
        <w:drawing>
          <wp:inline distT="0" distB="0" distL="0" distR="0" wp14:anchorId="101EEC10" wp14:editId="0D52D464">
            <wp:extent cx="504825" cy="209550"/>
            <wp:effectExtent l="0" t="0" r="9525" b="0"/>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04825" cy="209550"/>
                    </a:xfrm>
                    <a:prstGeom prst="rect">
                      <a:avLst/>
                    </a:prstGeom>
                    <a:noFill/>
                    <a:ln>
                      <a:noFill/>
                    </a:ln>
                  </pic:spPr>
                </pic:pic>
              </a:graphicData>
            </a:graphic>
          </wp:inline>
        </w:drawing>
      </w:r>
      <w:r w:rsidRPr="002C5876">
        <w:tab/>
        <w:t>est le V</w:t>
      </w:r>
      <w:r w:rsidRPr="002C5876">
        <w:rPr>
          <w:vertAlign w:val="subscript"/>
        </w:rPr>
        <w:t>mix</w:t>
      </w:r>
      <w:r w:rsidRPr="002C5876">
        <w:t xml:space="preserve"> de la phase correspondante.</w:t>
      </w:r>
    </w:p>
    <w:p w:rsidR="00E24DB7" w:rsidRPr="002C5876" w:rsidRDefault="00E24DB7" w:rsidP="00E24DB7">
      <w:pPr>
        <w:pStyle w:val="SingleTxtG"/>
        <w:keepNext/>
        <w:ind w:left="2268" w:hanging="1134"/>
      </w:pPr>
      <w:r w:rsidRPr="002C5876">
        <w:t>3.2.1.1.2</w:t>
      </w:r>
      <w:r w:rsidRPr="002C5876">
        <w:tab/>
        <w:t>L’équation de base à appliquer afin de déterminer le facteur de dilution DF pour chaque carburant de référence ayant une composition moyenne arithmétique de C</w:t>
      </w:r>
      <w:r w:rsidRPr="002C5876">
        <w:rPr>
          <w:vertAlign w:val="subscript"/>
        </w:rPr>
        <w:t>x</w:t>
      </w:r>
      <w:r w:rsidRPr="002C5876">
        <w:t>H</w:t>
      </w:r>
      <w:r w:rsidRPr="002C5876">
        <w:rPr>
          <w:vertAlign w:val="subscript"/>
        </w:rPr>
        <w:t>y</w:t>
      </w:r>
      <w:r w:rsidRPr="002C5876">
        <w:t>O</w:t>
      </w:r>
      <w:r w:rsidRPr="002C5876">
        <w:rPr>
          <w:vertAlign w:val="subscript"/>
        </w:rPr>
        <w:t>z</w:t>
      </w:r>
      <w:r w:rsidRPr="002C5876">
        <w:t xml:space="preserve"> est la suivante :</w:t>
      </w:r>
    </w:p>
    <w:p w:rsidR="003609C5" w:rsidRPr="002C5876" w:rsidRDefault="003609C5" w:rsidP="00E24DB7">
      <w:pPr>
        <w:pStyle w:val="SingleTxtG"/>
        <w:keepNext/>
        <w:ind w:left="2268" w:hanging="1134"/>
      </w:pPr>
      <m:oMathPara>
        <m:oMath>
          <m:r>
            <m:rPr>
              <m:sty m:val="p"/>
            </m:rPr>
            <w:rPr>
              <w:rFonts w:ascii="Cambria Math" w:hAnsi="Cambria Math"/>
              <w:szCs w:val="24"/>
            </w:rPr>
            <m:t xml:space="preserve">DF= </m:t>
          </m:r>
          <m:f>
            <m:fPr>
              <m:ctrlPr>
                <w:rPr>
                  <w:rFonts w:ascii="Cambria Math" w:hAnsi="Cambria Math"/>
                  <w:szCs w:val="24"/>
                </w:rPr>
              </m:ctrlPr>
            </m:fPr>
            <m:num>
              <m:r>
                <m:rPr>
                  <m:sty m:val="p"/>
                </m:rPr>
                <w:rPr>
                  <w:rFonts w:ascii="Cambria Math" w:hAnsi="Cambria Math"/>
                  <w:szCs w:val="24"/>
                </w:rPr>
                <m:t>X</m:t>
              </m:r>
            </m:num>
            <m:den>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CO2</m:t>
                  </m:r>
                </m:sub>
              </m:sSub>
              <m:r>
                <m:rPr>
                  <m:sty m:val="p"/>
                </m:rPr>
                <w:rPr>
                  <w:rFonts w:ascii="Cambria Math" w:hAnsi="Cambria Math"/>
                  <w:szCs w:val="24"/>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HC</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m:t>
                      </m:r>
                    </m:sub>
                  </m:sSub>
                </m:e>
              </m:d>
              <m:r>
                <m:rPr>
                  <m:sty m:val="p"/>
                </m:rPr>
                <w:rPr>
                  <w:rFonts w:ascii="Cambria Math" w:hAnsi="Cambria Math"/>
                  <w:szCs w:val="24"/>
                </w:rPr>
                <m:t>×</m:t>
              </m:r>
              <m:sSup>
                <m:sSupPr>
                  <m:ctrlPr>
                    <w:rPr>
                      <w:rFonts w:ascii="Cambria Math" w:hAnsi="Cambria Math"/>
                      <w:szCs w:val="24"/>
                    </w:rPr>
                  </m:ctrlPr>
                </m:sSupPr>
                <m:e>
                  <m:r>
                    <m:rPr>
                      <m:sty m:val="p"/>
                    </m:rPr>
                    <w:rPr>
                      <w:rFonts w:ascii="Cambria Math" w:hAnsi="Cambria Math"/>
                      <w:szCs w:val="24"/>
                    </w:rPr>
                    <m:t>10</m:t>
                  </m:r>
                </m:e>
                <m:sup>
                  <m:r>
                    <m:rPr>
                      <m:sty m:val="p"/>
                    </m:rPr>
                    <w:rPr>
                      <w:rFonts w:ascii="Cambria Math" w:hAnsi="Cambria Math"/>
                      <w:szCs w:val="24"/>
                    </w:rPr>
                    <m:t>-4</m:t>
                  </m:r>
                </m:sup>
              </m:sSup>
            </m:den>
          </m:f>
        </m:oMath>
      </m:oMathPara>
    </w:p>
    <w:p w:rsidR="00E24DB7" w:rsidRPr="002C5876" w:rsidRDefault="00E24DB7" w:rsidP="00E24DB7">
      <w:pPr>
        <w:pStyle w:val="SingleTxtG"/>
        <w:keepNext/>
        <w:ind w:left="3402" w:hanging="1134"/>
      </w:pPr>
      <w:r w:rsidRPr="002C5876">
        <w:t>où :</w:t>
      </w:r>
    </w:p>
    <w:p w:rsidR="003609C5" w:rsidRPr="002C5876" w:rsidRDefault="003609C5" w:rsidP="003609C5">
      <w:pPr>
        <w:pStyle w:val="SingleTxtG"/>
        <w:keepNext/>
        <w:ind w:left="2268"/>
      </w:pPr>
      <m:oMathPara>
        <m:oMath>
          <m:r>
            <m:rPr>
              <m:sty m:val="p"/>
            </m:rPr>
            <w:rPr>
              <w:rFonts w:ascii="Cambria Math" w:hAnsi="Cambria Math"/>
              <w:szCs w:val="24"/>
            </w:rPr>
            <m:t>X=100×</m:t>
          </m:r>
          <m:f>
            <m:fPr>
              <m:ctrlPr>
                <w:rPr>
                  <w:rFonts w:ascii="Cambria Math" w:hAnsi="Cambria Math"/>
                  <w:szCs w:val="24"/>
                </w:rPr>
              </m:ctrlPr>
            </m:fPr>
            <m:num>
              <m:r>
                <m:rPr>
                  <m:sty m:val="p"/>
                </m:rPr>
                <w:rPr>
                  <w:rFonts w:ascii="Cambria Math" w:hAnsi="Cambria Math"/>
                  <w:szCs w:val="24"/>
                </w:rPr>
                <m:t>x</m:t>
              </m:r>
            </m:num>
            <m:den>
              <m:r>
                <m:rPr>
                  <m:sty m:val="p"/>
                </m:rPr>
                <w:rPr>
                  <w:rFonts w:ascii="Cambria Math" w:hAnsi="Cambria Math"/>
                  <w:szCs w:val="24"/>
                </w:rPr>
                <m:t>x+</m:t>
              </m:r>
              <m:f>
                <m:fPr>
                  <m:ctrlPr>
                    <w:rPr>
                      <w:rFonts w:ascii="Cambria Math" w:hAnsi="Cambria Math"/>
                      <w:szCs w:val="24"/>
                    </w:rPr>
                  </m:ctrlPr>
                </m:fPr>
                <m:num>
                  <m:r>
                    <m:rPr>
                      <m:sty m:val="p"/>
                    </m:rPr>
                    <w:rPr>
                      <w:rFonts w:ascii="Cambria Math" w:hAnsi="Cambria Math"/>
                      <w:szCs w:val="24"/>
                    </w:rPr>
                    <m:t>y</m:t>
                  </m:r>
                </m:num>
                <m:den>
                  <m:r>
                    <m:rPr>
                      <m:sty m:val="p"/>
                    </m:rPr>
                    <w:rPr>
                      <w:rFonts w:ascii="Cambria Math" w:hAnsi="Cambria Math"/>
                      <w:szCs w:val="24"/>
                    </w:rPr>
                    <m:t>2</m:t>
                  </m:r>
                </m:den>
              </m:f>
              <m:r>
                <m:rPr>
                  <m:sty m:val="p"/>
                </m:rPr>
                <w:rPr>
                  <w:rFonts w:ascii="Cambria Math" w:hAnsi="Cambria Math"/>
                  <w:szCs w:val="24"/>
                </w:rPr>
                <m:t>+3,76</m:t>
              </m:r>
              <m:d>
                <m:dPr>
                  <m:ctrlPr>
                    <w:rPr>
                      <w:rFonts w:ascii="Cambria Math" w:hAnsi="Cambria Math"/>
                      <w:szCs w:val="24"/>
                    </w:rPr>
                  </m:ctrlPr>
                </m:dPr>
                <m:e>
                  <m:r>
                    <m:rPr>
                      <m:sty m:val="p"/>
                    </m:rPr>
                    <w:rPr>
                      <w:rFonts w:ascii="Cambria Math" w:hAnsi="Cambria Math"/>
                      <w:szCs w:val="24"/>
                    </w:rPr>
                    <m:t>x+</m:t>
                  </m:r>
                  <m:f>
                    <m:fPr>
                      <m:ctrlPr>
                        <w:rPr>
                          <w:rFonts w:ascii="Cambria Math" w:hAnsi="Cambria Math"/>
                          <w:szCs w:val="24"/>
                        </w:rPr>
                      </m:ctrlPr>
                    </m:fPr>
                    <m:num>
                      <m:r>
                        <m:rPr>
                          <m:sty m:val="p"/>
                        </m:rPr>
                        <w:rPr>
                          <w:rFonts w:ascii="Cambria Math" w:hAnsi="Cambria Math"/>
                          <w:szCs w:val="24"/>
                        </w:rPr>
                        <m:t>y</m:t>
                      </m:r>
                    </m:num>
                    <m:den>
                      <m:r>
                        <m:rPr>
                          <m:sty m:val="p"/>
                        </m:rPr>
                        <w:rPr>
                          <w:rFonts w:ascii="Cambria Math" w:hAnsi="Cambria Math"/>
                          <w:szCs w:val="24"/>
                        </w:rPr>
                        <m:t>4</m:t>
                      </m:r>
                    </m:den>
                  </m:f>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z</m:t>
                      </m:r>
                    </m:num>
                    <m:den>
                      <m:r>
                        <m:rPr>
                          <m:sty m:val="p"/>
                        </m:rPr>
                        <w:rPr>
                          <w:rFonts w:ascii="Cambria Math" w:hAnsi="Cambria Math"/>
                          <w:szCs w:val="24"/>
                        </w:rPr>
                        <m:t>2</m:t>
                      </m:r>
                    </m:den>
                  </m:f>
                </m:e>
              </m:d>
            </m:den>
          </m:f>
        </m:oMath>
      </m:oMathPara>
    </w:p>
    <w:p w:rsidR="00E24DB7" w:rsidRPr="002C5876" w:rsidRDefault="00E24DB7" w:rsidP="00E24DB7">
      <w:pPr>
        <w:pStyle w:val="SingleTxtG"/>
        <w:ind w:left="3402" w:hanging="1134"/>
      </w:pPr>
      <w:r w:rsidRPr="002C5876">
        <w:t>C</w:t>
      </w:r>
      <w:r w:rsidRPr="002C5876">
        <w:rPr>
          <w:vertAlign w:val="subscript"/>
        </w:rPr>
        <w:t>CO2</w:t>
      </w:r>
      <w:r w:rsidRPr="002C5876">
        <w:tab/>
        <w:t>est la concentration de CO</w:t>
      </w:r>
      <w:r w:rsidRPr="002C5876">
        <w:rPr>
          <w:vertAlign w:val="subscript"/>
        </w:rPr>
        <w:t>2</w:t>
      </w:r>
      <w:r w:rsidRPr="002C5876">
        <w:t xml:space="preserve"> dans les gaz d’échappement dilués présents dans le sac de prélèvement, exprimée en pourcentage de volume ;</w:t>
      </w:r>
    </w:p>
    <w:p w:rsidR="00E24DB7" w:rsidRPr="002C5876" w:rsidRDefault="00E24DB7" w:rsidP="00E24DB7">
      <w:pPr>
        <w:pStyle w:val="SingleTxtG"/>
        <w:ind w:left="3402" w:hanging="1134"/>
      </w:pPr>
      <w:r w:rsidRPr="002C5876">
        <w:t>C</w:t>
      </w:r>
      <w:r w:rsidRPr="002C5876">
        <w:rPr>
          <w:vertAlign w:val="subscript"/>
        </w:rPr>
        <w:t>HC</w:t>
      </w:r>
      <w:r w:rsidRPr="002C5876">
        <w:tab/>
        <w:t>est la concentration d’hydrocarbures (HC) dans les gaz d’échappement dilués présents dans le sac de prélèvement, exprimée en ppm d’équivalents carbone ;</w:t>
      </w:r>
    </w:p>
    <w:p w:rsidR="00E24DB7" w:rsidRPr="002C5876" w:rsidRDefault="00E24DB7" w:rsidP="00E24DB7">
      <w:pPr>
        <w:pStyle w:val="SingleTxtG"/>
        <w:ind w:left="3402" w:hanging="1134"/>
      </w:pPr>
      <w:r w:rsidRPr="002C5876">
        <w:lastRenderedPageBreak/>
        <w:t>C</w:t>
      </w:r>
      <w:r w:rsidRPr="002C5876">
        <w:rPr>
          <w:vertAlign w:val="subscript"/>
        </w:rPr>
        <w:t>CO</w:t>
      </w:r>
      <w:r w:rsidRPr="002C5876">
        <w:tab/>
        <w:t>est la concentration de CO dans les gaz d’échappement dilués présents dans le sac de prélèvement, exprimée en ppm.</w:t>
      </w:r>
    </w:p>
    <w:p w:rsidR="00E24DB7" w:rsidRPr="002C5876" w:rsidRDefault="00E24DB7" w:rsidP="00E24DB7">
      <w:pPr>
        <w:pStyle w:val="SingleTxtG"/>
        <w:keepNext/>
        <w:ind w:left="2268" w:hanging="1134"/>
        <w:jc w:val="left"/>
      </w:pPr>
      <w:r w:rsidRPr="002C5876">
        <w:t>3.2.1.1.3</w:t>
      </w:r>
      <w:r w:rsidRPr="002C5876">
        <w:tab/>
        <w:t>Mesure du méthane</w:t>
      </w:r>
    </w:p>
    <w:p w:rsidR="00E24DB7" w:rsidRPr="002C5876" w:rsidRDefault="00E24DB7" w:rsidP="00E24DB7">
      <w:pPr>
        <w:pStyle w:val="SingleTxtG"/>
        <w:keepNext/>
        <w:ind w:left="2268" w:hanging="1134"/>
      </w:pPr>
      <w:r w:rsidRPr="002C5876">
        <w:t>3.2.1.1.3.1</w:t>
      </w:r>
      <w:r w:rsidRPr="002C5876">
        <w:tab/>
        <w:t>Lorsque la mesure du méthane s’effectue au moyen d’un détecteur à ionisation de flamme GC-FID, les hydrocarbures non méthaniques (HCNM) doivent être calculés en appliquant l’équation suivante :</w:t>
      </w:r>
    </w:p>
    <w:p w:rsidR="00E24DB7" w:rsidRPr="002C5876" w:rsidRDefault="00731CA6" w:rsidP="00E24DB7">
      <w:pPr>
        <w:pStyle w:val="SingleTxtG"/>
        <w:keepNext/>
        <w:spacing w:after="240"/>
        <w:ind w:left="2268" w:hanging="1134"/>
        <w:jc w:val="center"/>
      </w:pPr>
      <m:oMathPara>
        <m:oMath>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NMHC</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THC</m:t>
              </m:r>
            </m:sub>
          </m:sSub>
          <m:r>
            <m:rPr>
              <m:sty m:val="p"/>
            </m:rPr>
            <w:rPr>
              <w:rFonts w:ascii="Cambria Math" w:hAnsi="Cambria Math" w:cstheme="majorBidi"/>
            </w:rPr>
            <m:t>-</m:t>
          </m:r>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Rf</m:t>
                  </m:r>
                </m:e>
                <m:sub>
                  <m:r>
                    <m:rPr>
                      <m:sty m:val="p"/>
                    </m:rPr>
                    <w:rPr>
                      <w:rFonts w:ascii="Cambria Math" w:hAnsi="Cambria Math" w:cstheme="majorBidi"/>
                    </w:rPr>
                    <m:t>CH4</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CH4</m:t>
                  </m:r>
                </m:sub>
              </m:sSub>
            </m:e>
          </m:d>
        </m:oMath>
      </m:oMathPara>
    </w:p>
    <w:p w:rsidR="00E24DB7" w:rsidRPr="002C5876" w:rsidRDefault="00E24DB7" w:rsidP="00E24DB7">
      <w:pPr>
        <w:pStyle w:val="SingleTxtG"/>
        <w:keepNext/>
        <w:ind w:left="3402" w:hanging="1134"/>
      </w:pPr>
      <w:r w:rsidRPr="002C5876">
        <w:t>où :</w:t>
      </w:r>
    </w:p>
    <w:p w:rsidR="00E24DB7" w:rsidRPr="002C5876" w:rsidRDefault="00E24DB7" w:rsidP="00E24DB7">
      <w:pPr>
        <w:pStyle w:val="SingleTxtG"/>
        <w:ind w:left="3402" w:hanging="1134"/>
      </w:pPr>
      <w:r w:rsidRPr="002C5876">
        <w:t>C</w:t>
      </w:r>
      <w:r w:rsidRPr="002C5876">
        <w:rPr>
          <w:vertAlign w:val="subscript"/>
        </w:rPr>
        <w:t>NMHC</w:t>
      </w:r>
      <w:r w:rsidRPr="002C5876">
        <w:tab/>
        <w:t>est la concentration corrigée de HCNM dans les gaz d’échappement dilués, exprimée en ppm d’équivalents carbone ;</w:t>
      </w:r>
    </w:p>
    <w:p w:rsidR="00E24DB7" w:rsidRPr="002C5876" w:rsidRDefault="00E24DB7" w:rsidP="00E24DB7">
      <w:pPr>
        <w:pStyle w:val="SingleTxtG"/>
        <w:ind w:left="3402" w:hanging="1134"/>
      </w:pPr>
      <w:r w:rsidRPr="002C5876">
        <w:t>C</w:t>
      </w:r>
      <w:r w:rsidRPr="002C5876">
        <w:rPr>
          <w:vertAlign w:val="subscript"/>
        </w:rPr>
        <w:t>THC</w:t>
      </w:r>
      <w:r w:rsidRPr="002C5876">
        <w:tab/>
        <w:t>est la concentration de HCT dans les gaz d’échappement dilués, exprimée en ppm d’équivalents carbone et corrigée de la quantité de HCT présente dans l’air de dilution ;</w:t>
      </w:r>
    </w:p>
    <w:p w:rsidR="00E24DB7" w:rsidRPr="002C5876" w:rsidRDefault="00E24DB7" w:rsidP="00E24DB7">
      <w:pPr>
        <w:pStyle w:val="SingleTxtG"/>
        <w:ind w:left="3402" w:hanging="1134"/>
      </w:pPr>
      <w:r w:rsidRPr="002C5876">
        <w:t>C</w:t>
      </w:r>
      <w:r w:rsidRPr="002C5876">
        <w:rPr>
          <w:vertAlign w:val="subscript"/>
        </w:rPr>
        <w:t>CH4</w:t>
      </w:r>
      <w:r w:rsidRPr="002C5876">
        <w:tab/>
        <w:t>est la concentration de CH</w:t>
      </w:r>
      <w:r w:rsidRPr="002C5876">
        <w:rPr>
          <w:vertAlign w:val="subscript"/>
        </w:rPr>
        <w:t>4</w:t>
      </w:r>
      <w:r w:rsidRPr="002C5876">
        <w:t xml:space="preserve"> dans les gaz d’échappement dilués, exprimée en ppm d’équivalents carbone et corrigée de la quantité de CH</w:t>
      </w:r>
      <w:r w:rsidRPr="002C5876">
        <w:rPr>
          <w:vertAlign w:val="subscript"/>
        </w:rPr>
        <w:t>4</w:t>
      </w:r>
      <w:r w:rsidRPr="002C5876">
        <w:t xml:space="preserve"> présente dans l’air de dilution ;</w:t>
      </w:r>
    </w:p>
    <w:p w:rsidR="00E24DB7" w:rsidRPr="002C5876" w:rsidRDefault="00E24DB7" w:rsidP="00E24DB7">
      <w:pPr>
        <w:pStyle w:val="SingleTxtG"/>
        <w:ind w:left="3402" w:hanging="1134"/>
      </w:pPr>
      <w:r w:rsidRPr="002C5876">
        <w:t>Rf</w:t>
      </w:r>
      <w:r w:rsidRPr="002C5876">
        <w:rPr>
          <w:vertAlign w:val="subscript"/>
        </w:rPr>
        <w:t>CH4</w:t>
      </w:r>
      <w:r w:rsidRPr="002C5876">
        <w:tab/>
        <w:t>est le facteur de réponse du FID au méthane déterminé et précisé au paragraphe 5.4.3.2 de l’annexe 5.</w:t>
      </w:r>
    </w:p>
    <w:p w:rsidR="00E24DB7" w:rsidRPr="002C5876" w:rsidRDefault="00E24DB7" w:rsidP="00E24DB7">
      <w:pPr>
        <w:pStyle w:val="SingleTxtG"/>
        <w:ind w:left="2268" w:hanging="1134"/>
      </w:pPr>
      <w:r w:rsidRPr="002C5876">
        <w:t>3.2.1.1.3.2</w:t>
      </w:r>
      <w:r w:rsidRPr="002C5876">
        <w:tab/>
        <w:t>Lorsque la mesure du méthane s’effectue au moyen d’un FID et d’un convertisseur de HCNM (NMC-FID), le calcul des HCNM dépend du gaz/de la méthode d’étalonnage employés pour le réglage du zéro et l’étalonnage.</w:t>
      </w:r>
    </w:p>
    <w:p w:rsidR="00E24DB7" w:rsidRPr="002C5876" w:rsidRDefault="00E24DB7" w:rsidP="00E24DB7">
      <w:pPr>
        <w:pStyle w:val="SingleTxtG"/>
        <w:ind w:left="2268"/>
      </w:pPr>
      <w:r w:rsidRPr="002C5876">
        <w:t xml:space="preserve">Le FID utilisé pour la mesure des HCT (sans NMC) doit être étalonné avec un mélange propane/air de la façon normale. </w:t>
      </w:r>
    </w:p>
    <w:p w:rsidR="00E24DB7" w:rsidRPr="002C5876" w:rsidRDefault="00E24DB7" w:rsidP="00E24DB7">
      <w:pPr>
        <w:pStyle w:val="SingleTxtG"/>
        <w:keepNext/>
        <w:ind w:left="2268"/>
      </w:pPr>
      <w:r w:rsidRPr="002C5876">
        <w:t>Pour l’étalonnage d’un FID utilisé en série avec un NMC, les méthodes suivantes sont autorisées :</w:t>
      </w:r>
    </w:p>
    <w:p w:rsidR="00E24DB7" w:rsidRPr="002C5876" w:rsidRDefault="00E24DB7" w:rsidP="00E24DB7">
      <w:pPr>
        <w:pStyle w:val="SingleTxtG"/>
        <w:ind w:left="2835" w:hanging="567"/>
      </w:pPr>
      <w:r w:rsidRPr="002C5876">
        <w:t>a)</w:t>
      </w:r>
      <w:r w:rsidRPr="002C5876">
        <w:tab/>
        <w:t>Le gaz d’étalonnage propane/air contourne le NMC ;</w:t>
      </w:r>
    </w:p>
    <w:p w:rsidR="00E24DB7" w:rsidRPr="002C5876" w:rsidRDefault="00E24DB7" w:rsidP="00E24DB7">
      <w:pPr>
        <w:pStyle w:val="SingleTxtG"/>
        <w:ind w:left="2835" w:hanging="567"/>
      </w:pPr>
      <w:r w:rsidRPr="002C5876">
        <w:t>b)</w:t>
      </w:r>
      <w:r w:rsidRPr="002C5876">
        <w:tab/>
        <w:t>Le gaz d’étalonnage méthane/air traverse le NMC.</w:t>
      </w:r>
    </w:p>
    <w:p w:rsidR="00E24DB7" w:rsidRPr="002C5876" w:rsidRDefault="00E24DB7" w:rsidP="00E24DB7">
      <w:pPr>
        <w:pStyle w:val="SingleTxtG"/>
        <w:ind w:left="2268"/>
      </w:pPr>
      <w:r w:rsidRPr="002C5876">
        <w:t xml:space="preserve">Il est vivement recommandé d’étalonner le FID pour le méthane avec un mélange méthane/air traversant le NMC. </w:t>
      </w:r>
    </w:p>
    <w:p w:rsidR="00E24DB7" w:rsidRPr="002C5876" w:rsidRDefault="00E24DB7" w:rsidP="00E24DB7">
      <w:pPr>
        <w:pStyle w:val="SingleTxtG"/>
        <w:keepNext/>
        <w:ind w:left="2268"/>
      </w:pPr>
      <w:r w:rsidRPr="002C5876">
        <w:t>Avec la méthode a), la concentration de CH</w:t>
      </w:r>
      <w:r w:rsidRPr="002C5876">
        <w:rPr>
          <w:vertAlign w:val="subscript"/>
        </w:rPr>
        <w:t>4</w:t>
      </w:r>
      <w:r w:rsidRPr="002C5876">
        <w:t xml:space="preserve"> et de HCNM doit être calculée en appliquant les équations suivantes :</w:t>
      </w:r>
    </w:p>
    <w:p w:rsidR="00E24DB7" w:rsidRPr="002C5876" w:rsidRDefault="00731CA6" w:rsidP="00E24DB7">
      <w:pPr>
        <w:pStyle w:val="SingleTxtG"/>
        <w:tabs>
          <w:tab w:val="left" w:pos="8136"/>
        </w:tabs>
        <w:spacing w:after="240"/>
        <w:ind w:left="2268"/>
        <w:rPr>
          <w:rFonts w:eastAsiaTheme="minorEastAsia"/>
          <w:szCs w:val="24"/>
        </w:rPr>
      </w:pPr>
      <m:oMathPara>
        <m:oMathParaPr>
          <m:jc m:val="center"/>
        </m:oMathParaPr>
        <m:oMath>
          <m:sSub>
            <m:sSubPr>
              <m:ctrlPr>
                <w:rPr>
                  <w:rFonts w:ascii="Cambria Math" w:hAnsi="Cambria Math"/>
                  <w:szCs w:val="24"/>
                </w:rPr>
              </m:ctrlPr>
            </m:sSubPr>
            <m:e>
              <m:r>
                <m:rPr>
                  <m:sty m:val="p"/>
                </m:rPr>
                <w:rPr>
                  <w:rFonts w:ascii="Cambria Math" w:hAnsi="Cambria Math"/>
                  <w:szCs w:val="24"/>
                </w:rPr>
                <m:t xml:space="preserve"> C</m:t>
              </m:r>
            </m:e>
            <m:sub>
              <m:r>
                <m:rPr>
                  <m:sty m:val="p"/>
                </m:rPr>
                <w:rPr>
                  <w:rFonts w:ascii="Cambria Math" w:hAnsi="Cambria Math"/>
                  <w:szCs w:val="24"/>
                </w:rPr>
                <m:t>CH4</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HC</m:t>
                  </m:r>
                  <m:d>
                    <m:dPr>
                      <m:ctrlPr>
                        <w:rPr>
                          <w:rFonts w:ascii="Cambria Math" w:hAnsi="Cambria Math"/>
                          <w:szCs w:val="24"/>
                        </w:rPr>
                      </m:ctrlPr>
                    </m:dPr>
                    <m:e>
                      <m:r>
                        <m:rPr>
                          <m:sty m:val="p"/>
                        </m:rPr>
                        <w:rPr>
                          <w:rFonts w:ascii="Cambria Math" w:hAnsi="Cambria Math"/>
                          <w:szCs w:val="24"/>
                        </w:rPr>
                        <m:t>w/NMC</m:t>
                      </m:r>
                    </m:e>
                  </m:d>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HC</m:t>
                  </m:r>
                  <m:d>
                    <m:dPr>
                      <m:ctrlPr>
                        <w:rPr>
                          <w:rFonts w:ascii="Cambria Math" w:hAnsi="Cambria Math"/>
                          <w:szCs w:val="24"/>
                        </w:rPr>
                      </m:ctrlPr>
                    </m:dPr>
                    <m:e>
                      <m:r>
                        <m:rPr>
                          <m:sty m:val="p"/>
                        </m:rPr>
                        <w:rPr>
                          <w:rFonts w:ascii="Cambria Math" w:hAnsi="Cambria Math"/>
                          <w:szCs w:val="24"/>
                        </w:rPr>
                        <m:t>w/oNMC</m:t>
                      </m:r>
                    </m:e>
                  </m:d>
                </m:sub>
              </m:sSub>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1-</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E</m:t>
                      </m:r>
                    </m:sub>
                  </m:sSub>
                </m:e>
              </m:d>
            </m:num>
            <m:den>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f</m:t>
                  </m:r>
                </m:sub>
              </m:sSub>
              <m:r>
                <m:rPr>
                  <m:sty m:val="p"/>
                </m:rPr>
                <w:rPr>
                  <w:rFonts w:ascii="Cambria Math" w:hAnsi="Cambria Math"/>
                  <w:szCs w:val="24"/>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E</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M</m:t>
                      </m:r>
                    </m:sub>
                  </m:sSub>
                </m:e>
              </m:d>
            </m:den>
          </m:f>
        </m:oMath>
      </m:oMathPara>
    </w:p>
    <w:p w:rsidR="00E24DB7" w:rsidRPr="002C5876" w:rsidRDefault="00731CA6" w:rsidP="00E24DB7">
      <w:pPr>
        <w:pStyle w:val="SingleTxtG"/>
        <w:tabs>
          <w:tab w:val="left" w:pos="8136"/>
        </w:tabs>
        <w:ind w:left="2268"/>
        <w:jc w:val="center"/>
      </w:pPr>
      <m:oMathPara>
        <m:oMathParaPr>
          <m:jc m:val="center"/>
        </m:oMathParaPr>
        <m:oMath>
          <m:sSub>
            <m:sSubPr>
              <m:ctrlPr>
                <w:rPr>
                  <w:rFonts w:ascii="Cambria Math" w:eastAsia="Times New Roman" w:hAnsi="Cambria Math" w:cstheme="majorBidi"/>
                  <w:lang w:eastAsia="en-GB"/>
                </w:rPr>
              </m:ctrlPr>
            </m:sSubPr>
            <m:e>
              <m:r>
                <m:rPr>
                  <m:sty m:val="p"/>
                </m:rPr>
                <w:rPr>
                  <w:rFonts w:ascii="Cambria Math" w:eastAsia="Times New Roman" w:hAnsi="Cambria Math" w:cstheme="majorBidi"/>
                  <w:lang w:eastAsia="en-GB"/>
                </w:rPr>
                <m:t>C</m:t>
              </m:r>
            </m:e>
            <m:sub>
              <m:r>
                <m:rPr>
                  <m:sty m:val="p"/>
                </m:rPr>
                <w:rPr>
                  <w:rFonts w:ascii="Cambria Math" w:eastAsia="Times New Roman" w:hAnsi="Cambria Math" w:cstheme="majorBidi"/>
                  <w:lang w:eastAsia="en-GB"/>
                </w:rPr>
                <m:t>NMHC</m:t>
              </m:r>
            </m:sub>
          </m:sSub>
          <m:r>
            <m:rPr>
              <m:sty m:val="p"/>
            </m:rPr>
            <w:rPr>
              <w:rFonts w:ascii="Cambria Math" w:eastAsia="Times New Roman" w:hAnsi="Cambria Math" w:cstheme="majorBidi"/>
              <w:lang w:eastAsia="en-GB"/>
            </w:rPr>
            <m:t>=</m:t>
          </m:r>
          <m:f>
            <m:fPr>
              <m:ctrlPr>
                <w:rPr>
                  <w:rFonts w:ascii="Cambria Math" w:eastAsia="Times New Roman" w:hAnsi="Cambria Math" w:cstheme="majorBidi"/>
                  <w:lang w:eastAsia="en-GB"/>
                </w:rPr>
              </m:ctrlPr>
            </m:fPr>
            <m:num>
              <m:sSub>
                <m:sSubPr>
                  <m:ctrlPr>
                    <w:rPr>
                      <w:rFonts w:ascii="Cambria Math" w:eastAsia="Times New Roman" w:hAnsi="Cambria Math" w:cstheme="majorBidi"/>
                      <w:lang w:eastAsia="en-GB"/>
                    </w:rPr>
                  </m:ctrlPr>
                </m:sSubPr>
                <m:e>
                  <m:r>
                    <m:rPr>
                      <m:sty m:val="p"/>
                    </m:rPr>
                    <w:rPr>
                      <w:rFonts w:ascii="Cambria Math" w:eastAsia="Times New Roman" w:hAnsi="Cambria Math" w:cstheme="majorBidi"/>
                      <w:lang w:eastAsia="en-GB"/>
                    </w:rPr>
                    <m:t>C</m:t>
                  </m:r>
                </m:e>
                <m:sub>
                  <m:r>
                    <m:rPr>
                      <m:sty m:val="p"/>
                    </m:rPr>
                    <w:rPr>
                      <w:rFonts w:ascii="Cambria Math" w:eastAsia="Times New Roman" w:hAnsi="Cambria Math" w:cstheme="majorBidi"/>
                      <w:lang w:eastAsia="en-GB"/>
                    </w:rPr>
                    <m:t>HC</m:t>
                  </m:r>
                  <m:d>
                    <m:dPr>
                      <m:ctrlPr>
                        <w:rPr>
                          <w:rFonts w:ascii="Cambria Math" w:eastAsia="Times New Roman" w:hAnsi="Cambria Math" w:cstheme="majorBidi"/>
                          <w:lang w:eastAsia="en-GB"/>
                        </w:rPr>
                      </m:ctrlPr>
                    </m:dPr>
                    <m:e>
                      <m:r>
                        <m:rPr>
                          <m:sty m:val="p"/>
                        </m:rPr>
                        <w:rPr>
                          <w:rFonts w:ascii="Cambria Math" w:eastAsia="Times New Roman" w:hAnsi="Cambria Math" w:cstheme="majorBidi"/>
                          <w:lang w:eastAsia="en-GB"/>
                        </w:rPr>
                        <m:t>w/oNMC</m:t>
                      </m:r>
                    </m:e>
                  </m:d>
                </m:sub>
              </m:sSub>
              <m:r>
                <m:rPr>
                  <m:sty m:val="p"/>
                </m:rPr>
                <w:rPr>
                  <w:rFonts w:ascii="Cambria Math" w:eastAsia="Times New Roman" w:hAnsi="Cambria Math" w:cstheme="majorBidi"/>
                  <w:lang w:eastAsia="en-GB"/>
                </w:rPr>
                <m:t>×</m:t>
              </m:r>
              <m:d>
                <m:dPr>
                  <m:ctrlPr>
                    <w:rPr>
                      <w:rFonts w:ascii="Cambria Math" w:eastAsia="Times New Roman" w:hAnsi="Cambria Math" w:cstheme="majorBidi"/>
                      <w:lang w:eastAsia="en-GB"/>
                    </w:rPr>
                  </m:ctrlPr>
                </m:dPr>
                <m:e>
                  <m:r>
                    <m:rPr>
                      <m:sty m:val="p"/>
                    </m:rPr>
                    <w:rPr>
                      <w:rFonts w:ascii="Cambria Math" w:eastAsia="Times New Roman" w:hAnsi="Cambria Math" w:cstheme="majorBidi"/>
                      <w:lang w:eastAsia="en-GB"/>
                    </w:rPr>
                    <m:t>1-</m:t>
                  </m:r>
                  <m:sSub>
                    <m:sSubPr>
                      <m:ctrlPr>
                        <w:rPr>
                          <w:rFonts w:ascii="Cambria Math" w:eastAsia="Times New Roman" w:hAnsi="Cambria Math" w:cstheme="majorBidi"/>
                          <w:lang w:eastAsia="en-GB"/>
                        </w:rPr>
                      </m:ctrlPr>
                    </m:sSubPr>
                    <m:e>
                      <m:r>
                        <m:rPr>
                          <m:sty m:val="p"/>
                        </m:rPr>
                        <w:rPr>
                          <w:rFonts w:ascii="Cambria Math" w:eastAsia="Times New Roman" w:hAnsi="Cambria Math" w:cstheme="majorBidi"/>
                          <w:lang w:eastAsia="en-GB"/>
                        </w:rPr>
                        <m:t>E</m:t>
                      </m:r>
                    </m:e>
                    <m:sub>
                      <m:r>
                        <m:rPr>
                          <m:sty m:val="p"/>
                        </m:rPr>
                        <w:rPr>
                          <w:rFonts w:ascii="Cambria Math" w:eastAsia="Times New Roman" w:hAnsi="Cambria Math" w:cstheme="majorBidi"/>
                          <w:lang w:eastAsia="en-GB"/>
                        </w:rPr>
                        <m:t>M</m:t>
                      </m:r>
                    </m:sub>
                  </m:sSub>
                </m:e>
              </m:d>
              <m:r>
                <m:rPr>
                  <m:sty m:val="p"/>
                </m:rPr>
                <w:rPr>
                  <w:rFonts w:ascii="Cambria Math" w:eastAsia="Times New Roman" w:hAnsi="Cambria Math" w:cstheme="majorBidi"/>
                  <w:lang w:eastAsia="en-GB"/>
                </w:rPr>
                <m:t>-</m:t>
              </m:r>
              <m:sSub>
                <m:sSubPr>
                  <m:ctrlPr>
                    <w:rPr>
                      <w:rFonts w:ascii="Cambria Math" w:eastAsia="Times New Roman" w:hAnsi="Cambria Math" w:cstheme="majorBidi"/>
                      <w:lang w:eastAsia="en-GB"/>
                    </w:rPr>
                  </m:ctrlPr>
                </m:sSubPr>
                <m:e>
                  <m:r>
                    <m:rPr>
                      <m:sty m:val="p"/>
                    </m:rPr>
                    <w:rPr>
                      <w:rFonts w:ascii="Cambria Math" w:eastAsia="Times New Roman" w:hAnsi="Cambria Math" w:cstheme="majorBidi"/>
                      <w:lang w:eastAsia="en-GB"/>
                    </w:rPr>
                    <m:t>C</m:t>
                  </m:r>
                </m:e>
                <m:sub>
                  <m:r>
                    <m:rPr>
                      <m:sty m:val="p"/>
                    </m:rPr>
                    <w:rPr>
                      <w:rFonts w:ascii="Cambria Math" w:eastAsia="Times New Roman" w:hAnsi="Cambria Math" w:cstheme="majorBidi"/>
                      <w:lang w:eastAsia="en-GB"/>
                    </w:rPr>
                    <m:t>HC</m:t>
                  </m:r>
                  <m:d>
                    <m:dPr>
                      <m:ctrlPr>
                        <w:rPr>
                          <w:rFonts w:ascii="Cambria Math" w:eastAsia="Times New Roman" w:hAnsi="Cambria Math" w:cstheme="majorBidi"/>
                          <w:lang w:eastAsia="en-GB"/>
                        </w:rPr>
                      </m:ctrlPr>
                    </m:dPr>
                    <m:e>
                      <m:r>
                        <m:rPr>
                          <m:sty m:val="p"/>
                        </m:rPr>
                        <w:rPr>
                          <w:rFonts w:ascii="Cambria Math" w:eastAsia="Times New Roman" w:hAnsi="Cambria Math" w:cstheme="majorBidi"/>
                          <w:lang w:eastAsia="en-GB"/>
                        </w:rPr>
                        <m:t>w/NMC</m:t>
                      </m:r>
                    </m:e>
                  </m:d>
                </m:sub>
              </m:sSub>
            </m:num>
            <m:den>
              <m:sSub>
                <m:sSubPr>
                  <m:ctrlPr>
                    <w:rPr>
                      <w:rFonts w:ascii="Cambria Math" w:eastAsia="Times New Roman" w:hAnsi="Cambria Math" w:cstheme="majorBidi"/>
                      <w:lang w:eastAsia="en-GB"/>
                    </w:rPr>
                  </m:ctrlPr>
                </m:sSubPr>
                <m:e>
                  <m:r>
                    <m:rPr>
                      <m:sty m:val="p"/>
                    </m:rPr>
                    <w:rPr>
                      <w:rFonts w:ascii="Cambria Math" w:eastAsia="Times New Roman" w:hAnsi="Cambria Math" w:cstheme="majorBidi"/>
                      <w:lang w:eastAsia="en-GB"/>
                    </w:rPr>
                    <m:t>E</m:t>
                  </m:r>
                </m:e>
                <m:sub>
                  <m:r>
                    <m:rPr>
                      <m:sty m:val="p"/>
                    </m:rPr>
                    <w:rPr>
                      <w:rFonts w:ascii="Cambria Math" w:eastAsia="Times New Roman" w:hAnsi="Cambria Math" w:cstheme="majorBidi"/>
                      <w:lang w:eastAsia="en-GB"/>
                    </w:rPr>
                    <m:t>E</m:t>
                  </m:r>
                </m:sub>
              </m:sSub>
              <m:r>
                <m:rPr>
                  <m:sty m:val="p"/>
                </m:rPr>
                <w:rPr>
                  <w:rFonts w:ascii="Cambria Math" w:eastAsia="Times New Roman" w:hAnsi="Cambria Math" w:cstheme="majorBidi"/>
                  <w:lang w:eastAsia="en-GB"/>
                </w:rPr>
                <m:t>-</m:t>
              </m:r>
              <m:sSub>
                <m:sSubPr>
                  <m:ctrlPr>
                    <w:rPr>
                      <w:rFonts w:ascii="Cambria Math" w:eastAsia="Times New Roman" w:hAnsi="Cambria Math" w:cstheme="majorBidi"/>
                      <w:lang w:eastAsia="en-GB"/>
                    </w:rPr>
                  </m:ctrlPr>
                </m:sSubPr>
                <m:e>
                  <m:r>
                    <m:rPr>
                      <m:sty m:val="p"/>
                    </m:rPr>
                    <w:rPr>
                      <w:rFonts w:ascii="Cambria Math" w:eastAsia="Times New Roman" w:hAnsi="Cambria Math" w:cstheme="majorBidi"/>
                      <w:lang w:eastAsia="en-GB"/>
                    </w:rPr>
                    <m:t>E</m:t>
                  </m:r>
                </m:e>
                <m:sub>
                  <m:r>
                    <m:rPr>
                      <m:sty m:val="p"/>
                    </m:rPr>
                    <w:rPr>
                      <w:rFonts w:ascii="Cambria Math" w:eastAsia="Times New Roman" w:hAnsi="Cambria Math" w:cstheme="majorBidi"/>
                      <w:lang w:eastAsia="en-GB"/>
                    </w:rPr>
                    <m:t>M</m:t>
                  </m:r>
                </m:sub>
              </m:sSub>
            </m:den>
          </m:f>
        </m:oMath>
      </m:oMathPara>
    </w:p>
    <w:p w:rsidR="00E24DB7" w:rsidRPr="002C5876" w:rsidRDefault="00E24DB7" w:rsidP="00E24DB7">
      <w:pPr>
        <w:pStyle w:val="SingleTxtG"/>
        <w:ind w:left="2268"/>
        <w:rPr>
          <w:lang w:eastAsia="en-GB"/>
        </w:rPr>
      </w:pPr>
      <w:r w:rsidRPr="002C5876">
        <w:rPr>
          <w:lang w:eastAsia="en-GB"/>
        </w:rPr>
        <w:t>Si R</w:t>
      </w:r>
      <w:r w:rsidRPr="002C5876">
        <w:rPr>
          <w:vertAlign w:val="subscript"/>
          <w:lang w:eastAsia="en-GB"/>
        </w:rPr>
        <w:t>f</w:t>
      </w:r>
      <w:r w:rsidRPr="002C5876">
        <w:rPr>
          <w:lang w:eastAsia="en-GB"/>
        </w:rPr>
        <w:t xml:space="preserve"> &lt; 1,05, il est permis de l’omettre dans l’équation présentée ci-dessus pour C</w:t>
      </w:r>
      <w:r w:rsidRPr="002C5876">
        <w:rPr>
          <w:vertAlign w:val="subscript"/>
          <w:lang w:eastAsia="en-GB"/>
        </w:rPr>
        <w:t>CH4</w:t>
      </w:r>
      <w:r w:rsidRPr="002C5876">
        <w:rPr>
          <w:lang w:eastAsia="en-GB"/>
        </w:rPr>
        <w:t>.</w:t>
      </w:r>
    </w:p>
    <w:p w:rsidR="00E24DB7" w:rsidRPr="002C5876" w:rsidRDefault="00E24DB7" w:rsidP="00E24DB7">
      <w:pPr>
        <w:pStyle w:val="SingleTxtG"/>
        <w:ind w:left="2268"/>
      </w:pPr>
      <w:r w:rsidRPr="002C5876">
        <w:t>Avec la méthode b), la concentration de CH</w:t>
      </w:r>
      <w:r w:rsidRPr="002C5876">
        <w:rPr>
          <w:vertAlign w:val="subscript"/>
        </w:rPr>
        <w:t>4</w:t>
      </w:r>
      <w:r w:rsidRPr="002C5876">
        <w:t xml:space="preserve"> et de HCNM doit être calculée à l’aide des équations suivantes :</w:t>
      </w:r>
    </w:p>
    <w:p w:rsidR="00E24DB7" w:rsidRPr="002C5876" w:rsidRDefault="00731CA6" w:rsidP="00E24DB7">
      <w:pPr>
        <w:pStyle w:val="SingleTxtG"/>
        <w:ind w:left="2268"/>
      </w:pPr>
      <m:oMathPara>
        <m:oMathParaPr>
          <m:jc m:val="center"/>
        </m:oMathParaPr>
        <m:oMath>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CH4</m:t>
              </m:r>
            </m:sub>
          </m:sSub>
          <m:r>
            <m:rPr>
              <m:sty m:val="p"/>
            </m:rPr>
            <w:rPr>
              <w:rFonts w:ascii="Cambria Math" w:hAnsi="Cambria Math"/>
              <w:szCs w:val="24"/>
              <w:lang w:eastAsia="en-GB"/>
            </w:rPr>
            <m:t xml:space="preserve">= </m:t>
          </m:r>
          <m:f>
            <m:fPr>
              <m:ctrlPr>
                <w:rPr>
                  <w:rFonts w:ascii="Cambria Math" w:hAnsi="Cambria Math"/>
                  <w:szCs w:val="24"/>
                  <w:lang w:eastAsia="en-GB"/>
                </w:rPr>
              </m:ctrlPr>
            </m:fPr>
            <m:num>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HC</m:t>
                  </m:r>
                  <m:d>
                    <m:dPr>
                      <m:ctrlPr>
                        <w:rPr>
                          <w:rFonts w:ascii="Cambria Math" w:hAnsi="Cambria Math"/>
                          <w:szCs w:val="24"/>
                          <w:lang w:eastAsia="en-GB"/>
                        </w:rPr>
                      </m:ctrlPr>
                    </m:dPr>
                    <m:e>
                      <m:r>
                        <m:rPr>
                          <m:sty m:val="p"/>
                        </m:rPr>
                        <w:rPr>
                          <w:rFonts w:ascii="Cambria Math" w:hAnsi="Cambria Math"/>
                          <w:szCs w:val="24"/>
                          <w:lang w:eastAsia="en-GB"/>
                        </w:rPr>
                        <m:t>w/NMC</m:t>
                      </m:r>
                    </m:e>
                  </m:d>
                </m:sub>
              </m:sSub>
              <m:r>
                <m:rPr>
                  <m:sty m:val="p"/>
                </m:rPr>
                <w:rPr>
                  <w:rFonts w:ascii="Cambria Math" w:hAnsi="Cambria Math"/>
                  <w:szCs w:val="24"/>
                  <w:lang w:eastAsia="en-GB"/>
                </w:rPr>
                <m:t>×</m:t>
              </m:r>
              <m:sSub>
                <m:sSubPr>
                  <m:ctrlPr>
                    <w:rPr>
                      <w:rFonts w:ascii="Cambria Math" w:hAnsi="Cambria Math"/>
                      <w:szCs w:val="24"/>
                      <w:lang w:eastAsia="en-GB"/>
                    </w:rPr>
                  </m:ctrlPr>
                </m:sSubPr>
                <m:e>
                  <m:r>
                    <m:rPr>
                      <m:sty m:val="p"/>
                    </m:rPr>
                    <w:rPr>
                      <w:rFonts w:ascii="Cambria Math" w:hAnsi="Cambria Math"/>
                      <w:szCs w:val="24"/>
                      <w:lang w:eastAsia="en-GB"/>
                    </w:rPr>
                    <m:t>r</m:t>
                  </m:r>
                </m:e>
                <m:sub>
                  <m:r>
                    <m:rPr>
                      <m:sty m:val="p"/>
                    </m:rPr>
                    <w:rPr>
                      <w:rFonts w:ascii="Cambria Math" w:hAnsi="Cambria Math"/>
                      <w:szCs w:val="24"/>
                      <w:lang w:eastAsia="en-GB"/>
                    </w:rPr>
                    <m:t>h</m:t>
                  </m:r>
                </m:sub>
              </m:sSub>
              <m:r>
                <m:rPr>
                  <m:sty m:val="p"/>
                </m:rPr>
                <w:rPr>
                  <w:rFonts w:ascii="Cambria Math" w:hAnsi="Cambria Math"/>
                  <w:szCs w:val="24"/>
                  <w:lang w:eastAsia="en-GB"/>
                </w:rPr>
                <m:t>×</m:t>
              </m:r>
              <m:d>
                <m:dPr>
                  <m:ctrlPr>
                    <w:rPr>
                      <w:rFonts w:ascii="Cambria Math" w:hAnsi="Cambria Math"/>
                      <w:szCs w:val="24"/>
                      <w:lang w:eastAsia="en-GB"/>
                    </w:rPr>
                  </m:ctrlPr>
                </m:dPr>
                <m:e>
                  <m:r>
                    <m:rPr>
                      <m:sty m:val="p"/>
                    </m:rPr>
                    <w:rPr>
                      <w:rFonts w:ascii="Cambria Math" w:hAnsi="Cambria Math"/>
                      <w:szCs w:val="24"/>
                      <w:lang w:eastAsia="en-GB"/>
                    </w:rPr>
                    <m:t>1-</m:t>
                  </m:r>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M</m:t>
                      </m:r>
                    </m:sub>
                  </m:sSub>
                </m:e>
              </m:d>
              <m:r>
                <m:rPr>
                  <m:sty m:val="p"/>
                </m:rPr>
                <w:rPr>
                  <w:rFonts w:ascii="Cambria Math" w:hAnsi="Cambria Math"/>
                  <w:szCs w:val="24"/>
                  <w:lang w:eastAsia="en-GB"/>
                </w:rPr>
                <m:t>-</m:t>
              </m:r>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HC</m:t>
                  </m:r>
                  <m:d>
                    <m:dPr>
                      <m:ctrlPr>
                        <w:rPr>
                          <w:rFonts w:ascii="Cambria Math" w:hAnsi="Cambria Math"/>
                          <w:szCs w:val="24"/>
                          <w:lang w:eastAsia="en-GB"/>
                        </w:rPr>
                      </m:ctrlPr>
                    </m:dPr>
                    <m:e>
                      <m:r>
                        <m:rPr>
                          <m:sty m:val="p"/>
                        </m:rPr>
                        <w:rPr>
                          <w:rFonts w:ascii="Cambria Math" w:hAnsi="Cambria Math"/>
                          <w:szCs w:val="24"/>
                          <w:lang w:eastAsia="en-GB"/>
                        </w:rPr>
                        <m:t>w/oNMC</m:t>
                      </m:r>
                    </m:e>
                  </m:d>
                </m:sub>
              </m:sSub>
              <m:r>
                <m:rPr>
                  <m:sty m:val="p"/>
                </m:rPr>
                <w:rPr>
                  <w:rFonts w:ascii="Cambria Math" w:hAnsi="Cambria Math"/>
                  <w:szCs w:val="24"/>
                  <w:lang w:eastAsia="en-GB"/>
                </w:rPr>
                <m:t>×</m:t>
              </m:r>
              <m:d>
                <m:dPr>
                  <m:ctrlPr>
                    <w:rPr>
                      <w:rFonts w:ascii="Cambria Math" w:hAnsi="Cambria Math"/>
                      <w:szCs w:val="24"/>
                      <w:lang w:eastAsia="en-GB"/>
                    </w:rPr>
                  </m:ctrlPr>
                </m:dPr>
                <m:e>
                  <m:r>
                    <m:rPr>
                      <m:sty m:val="p"/>
                    </m:rPr>
                    <w:rPr>
                      <w:rFonts w:ascii="Cambria Math" w:hAnsi="Cambria Math"/>
                      <w:szCs w:val="24"/>
                      <w:lang w:eastAsia="en-GB"/>
                    </w:rPr>
                    <m:t>1-</m:t>
                  </m:r>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E</m:t>
                      </m:r>
                    </m:sub>
                  </m:sSub>
                </m:e>
              </m:d>
            </m:num>
            <m:den>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f</m:t>
                  </m:r>
                </m:sub>
              </m:sSub>
              <m:r>
                <m:rPr>
                  <m:sty m:val="p"/>
                </m:rPr>
                <w:rPr>
                  <w:rFonts w:ascii="Cambria Math" w:hAnsi="Cambria Math"/>
                  <w:szCs w:val="24"/>
                  <w:lang w:eastAsia="en-GB"/>
                </w:rPr>
                <m:t>×</m:t>
              </m:r>
              <m:d>
                <m:dPr>
                  <m:ctrlPr>
                    <w:rPr>
                      <w:rFonts w:ascii="Cambria Math" w:hAnsi="Cambria Math"/>
                      <w:szCs w:val="24"/>
                      <w:lang w:eastAsia="en-GB"/>
                    </w:rPr>
                  </m:ctrlPr>
                </m:dPr>
                <m:e>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E</m:t>
                      </m:r>
                    </m:sub>
                  </m:sSub>
                  <m:r>
                    <m:rPr>
                      <m:sty m:val="p"/>
                    </m:rPr>
                    <w:rPr>
                      <w:rFonts w:ascii="Cambria Math" w:hAnsi="Cambria Math"/>
                      <w:szCs w:val="24"/>
                      <w:lang w:eastAsia="en-GB"/>
                    </w:rPr>
                    <m:t>-</m:t>
                  </m:r>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M</m:t>
                      </m:r>
                    </m:sub>
                  </m:sSub>
                </m:e>
              </m:d>
            </m:den>
          </m:f>
        </m:oMath>
      </m:oMathPara>
    </w:p>
    <w:p w:rsidR="00E24DB7" w:rsidRPr="00D53F39" w:rsidRDefault="00731CA6" w:rsidP="00E24DB7">
      <w:pPr>
        <w:pStyle w:val="SingleTxtG"/>
        <w:tabs>
          <w:tab w:val="left" w:pos="8136"/>
        </w:tabs>
        <w:spacing w:after="240"/>
        <w:ind w:left="2268"/>
        <w:jc w:val="center"/>
        <w:rPr>
          <w:lang w:val="es-ES"/>
        </w:rPr>
      </w:pPr>
      <m:oMathPara>
        <m:oMath>
          <m:sSub>
            <m:sSubPr>
              <m:ctrlPr>
                <w:rPr>
                  <w:rFonts w:ascii="Cambria Math" w:eastAsia="Times New Roman" w:hAnsi="Cambria Math" w:cstheme="majorBidi"/>
                  <w:lang w:eastAsia="en-GB"/>
                </w:rPr>
              </m:ctrlPr>
            </m:sSubPr>
            <m:e>
              <m:r>
                <m:rPr>
                  <m:nor/>
                </m:rPr>
                <w:rPr>
                  <w:rFonts w:asciiTheme="majorBidi" w:eastAsia="Times New Roman" w:hAnsiTheme="majorBidi" w:cstheme="majorBidi"/>
                  <w:lang w:val="es-ES" w:eastAsia="en-GB"/>
                </w:rPr>
                <m:t>C</m:t>
              </m:r>
            </m:e>
            <m:sub>
              <m:r>
                <m:rPr>
                  <m:nor/>
                </m:rPr>
                <w:rPr>
                  <w:rFonts w:asciiTheme="majorBidi" w:eastAsia="Times New Roman" w:hAnsiTheme="majorBidi" w:cstheme="majorBidi"/>
                  <w:lang w:val="es-ES" w:eastAsia="en-GB"/>
                </w:rPr>
                <m:t>NMHC</m:t>
              </m:r>
            </m:sub>
          </m:sSub>
          <m:r>
            <m:rPr>
              <m:nor/>
            </m:rPr>
            <w:rPr>
              <w:rFonts w:asciiTheme="majorBidi" w:eastAsia="Times New Roman" w:hAnsiTheme="majorBidi" w:cstheme="majorBidi"/>
              <w:lang w:val="es-ES" w:eastAsia="en-GB"/>
            </w:rPr>
            <m:t>=</m:t>
          </m:r>
          <m:f>
            <m:fPr>
              <m:ctrlPr>
                <w:rPr>
                  <w:rFonts w:ascii="Cambria Math" w:eastAsia="Times New Roman" w:hAnsi="Cambria Math" w:cstheme="majorBidi"/>
                  <w:lang w:eastAsia="en-GB"/>
                </w:rPr>
              </m:ctrlPr>
            </m:fPr>
            <m:num>
              <m:sSub>
                <m:sSubPr>
                  <m:ctrlPr>
                    <w:rPr>
                      <w:rFonts w:ascii="Cambria Math" w:eastAsia="Times New Roman" w:hAnsi="Cambria Math" w:cstheme="majorBidi"/>
                      <w:lang w:eastAsia="en-GB"/>
                    </w:rPr>
                  </m:ctrlPr>
                </m:sSubPr>
                <m:e>
                  <m:r>
                    <m:rPr>
                      <m:nor/>
                    </m:rPr>
                    <w:rPr>
                      <w:rFonts w:asciiTheme="majorBidi" w:eastAsia="Times New Roman" w:hAnsiTheme="majorBidi" w:cstheme="majorBidi"/>
                      <w:lang w:val="es-ES" w:eastAsia="en-GB"/>
                    </w:rPr>
                    <m:t>C</m:t>
                  </m:r>
                </m:e>
                <m:sub>
                  <m:r>
                    <m:rPr>
                      <m:nor/>
                    </m:rPr>
                    <w:rPr>
                      <w:rFonts w:asciiTheme="majorBidi" w:eastAsia="Times New Roman" w:hAnsiTheme="majorBidi" w:cstheme="majorBidi"/>
                      <w:lang w:val="es-ES" w:eastAsia="en-GB"/>
                    </w:rPr>
                    <m:t>HC</m:t>
                  </m:r>
                  <m:d>
                    <m:dPr>
                      <m:ctrlPr>
                        <w:rPr>
                          <w:rFonts w:ascii="Cambria Math" w:eastAsia="Times New Roman" w:hAnsi="Cambria Math" w:cstheme="majorBidi"/>
                          <w:lang w:eastAsia="en-GB"/>
                        </w:rPr>
                      </m:ctrlPr>
                    </m:dPr>
                    <m:e>
                      <m:r>
                        <m:rPr>
                          <m:nor/>
                        </m:rPr>
                        <w:rPr>
                          <w:rFonts w:asciiTheme="majorBidi" w:eastAsia="Times New Roman" w:hAnsiTheme="majorBidi" w:cstheme="majorBidi"/>
                          <w:lang w:val="es-ES" w:eastAsia="en-GB"/>
                        </w:rPr>
                        <m:t>w/oNMC</m:t>
                      </m:r>
                    </m:e>
                  </m:d>
                </m:sub>
              </m:sSub>
              <m:r>
                <m:rPr>
                  <m:nor/>
                </m:rPr>
                <w:rPr>
                  <w:rFonts w:ascii="Cambria Math" w:eastAsia="Times New Roman" w:hAnsiTheme="majorBidi" w:cstheme="majorBidi"/>
                  <w:lang w:val="es-ES" w:eastAsia="en-GB"/>
                </w:rPr>
                <m:t xml:space="preserve"> </m:t>
              </m:r>
              <m:r>
                <m:rPr>
                  <m:nor/>
                </m:rPr>
                <w:rPr>
                  <w:rFonts w:asciiTheme="majorBidi" w:eastAsia="Times New Roman" w:hAnsiTheme="majorBidi" w:cstheme="majorBidi"/>
                  <w:lang w:val="es-ES" w:eastAsia="en-GB"/>
                </w:rPr>
                <m:t>×</m:t>
              </m:r>
              <m:r>
                <m:rPr>
                  <m:nor/>
                </m:rPr>
                <w:rPr>
                  <w:rFonts w:ascii="Cambria Math" w:eastAsia="Times New Roman" w:hAnsiTheme="majorBidi" w:cstheme="majorBidi"/>
                  <w:lang w:val="es-ES" w:eastAsia="en-GB"/>
                </w:rPr>
                <m:t xml:space="preserve"> </m:t>
              </m:r>
              <m:d>
                <m:dPr>
                  <m:ctrlPr>
                    <w:rPr>
                      <w:rFonts w:ascii="Cambria Math" w:eastAsia="Times New Roman" w:hAnsi="Cambria Math" w:cstheme="majorBidi"/>
                      <w:lang w:eastAsia="en-GB"/>
                    </w:rPr>
                  </m:ctrlPr>
                </m:dPr>
                <m:e>
                  <m:r>
                    <m:rPr>
                      <m:nor/>
                    </m:rPr>
                    <w:rPr>
                      <w:rFonts w:asciiTheme="majorBidi" w:eastAsia="Times New Roman" w:hAnsiTheme="majorBidi" w:cstheme="majorBidi"/>
                      <w:lang w:val="es-ES" w:eastAsia="en-GB"/>
                    </w:rPr>
                    <m:t>1</m:t>
                  </m:r>
                  <m:r>
                    <m:rPr>
                      <m:nor/>
                    </m:rPr>
                    <w:rPr>
                      <w:rFonts w:ascii="Cambria Math" w:eastAsia="Times New Roman" w:hAnsiTheme="majorBidi" w:cstheme="majorBidi"/>
                      <w:lang w:val="es-ES" w:eastAsia="en-GB"/>
                    </w:rPr>
                    <m:t xml:space="preserve"> </m:t>
                  </m:r>
                  <m:r>
                    <m:rPr>
                      <m:nor/>
                    </m:rPr>
                    <w:rPr>
                      <w:rFonts w:asciiTheme="majorBidi" w:eastAsia="Times New Roman" w:hAnsiTheme="majorBidi" w:cstheme="majorBidi"/>
                      <w:lang w:val="es-ES" w:eastAsia="en-GB"/>
                    </w:rPr>
                    <m:t xml:space="preserve">– </m:t>
                  </m:r>
                  <m:sSub>
                    <m:sSubPr>
                      <m:ctrlPr>
                        <w:rPr>
                          <w:rFonts w:ascii="Cambria Math" w:eastAsia="Times New Roman" w:hAnsi="Cambria Math" w:cstheme="majorBidi"/>
                          <w:lang w:eastAsia="en-GB"/>
                        </w:rPr>
                      </m:ctrlPr>
                    </m:sSubPr>
                    <m:e>
                      <m:r>
                        <m:rPr>
                          <m:nor/>
                        </m:rPr>
                        <w:rPr>
                          <w:rFonts w:asciiTheme="majorBidi" w:eastAsia="Times New Roman" w:hAnsiTheme="majorBidi" w:cstheme="majorBidi"/>
                          <w:lang w:val="es-ES" w:eastAsia="en-GB"/>
                        </w:rPr>
                        <m:t>E</m:t>
                      </m:r>
                    </m:e>
                    <m:sub>
                      <m:r>
                        <m:rPr>
                          <m:nor/>
                        </m:rPr>
                        <w:rPr>
                          <w:rFonts w:asciiTheme="majorBidi" w:eastAsia="Times New Roman" w:hAnsiTheme="majorBidi" w:cstheme="majorBidi"/>
                          <w:lang w:val="es-ES" w:eastAsia="en-GB"/>
                        </w:rPr>
                        <m:t>M</m:t>
                      </m:r>
                    </m:sub>
                  </m:sSub>
                </m:e>
              </m:d>
              <m:r>
                <m:rPr>
                  <m:nor/>
                </m:rPr>
                <w:rPr>
                  <w:rFonts w:ascii="Cambria Math" w:eastAsia="Times New Roman" w:hAnsiTheme="majorBidi" w:cstheme="majorBidi"/>
                  <w:lang w:val="es-ES" w:eastAsia="en-GB"/>
                </w:rPr>
                <m:t xml:space="preserve"> </m:t>
              </m:r>
              <m:r>
                <m:rPr>
                  <m:nor/>
                </m:rPr>
                <w:rPr>
                  <w:rFonts w:asciiTheme="majorBidi" w:eastAsia="Times New Roman" w:hAnsiTheme="majorBidi" w:cstheme="majorBidi"/>
                  <w:lang w:val="es-ES" w:eastAsia="en-GB"/>
                </w:rPr>
                <m:t xml:space="preserve">– </m:t>
              </m:r>
              <m:sSub>
                <m:sSubPr>
                  <m:ctrlPr>
                    <w:rPr>
                      <w:rFonts w:ascii="Cambria Math" w:eastAsia="Times New Roman" w:hAnsi="Cambria Math" w:cstheme="majorBidi"/>
                      <w:lang w:eastAsia="en-GB"/>
                    </w:rPr>
                  </m:ctrlPr>
                </m:sSubPr>
                <m:e>
                  <m:r>
                    <m:rPr>
                      <m:nor/>
                    </m:rPr>
                    <w:rPr>
                      <w:rFonts w:asciiTheme="majorBidi" w:eastAsia="Times New Roman" w:hAnsiTheme="majorBidi" w:cstheme="majorBidi"/>
                      <w:lang w:val="es-ES" w:eastAsia="en-GB"/>
                    </w:rPr>
                    <m:t>C</m:t>
                  </m:r>
                </m:e>
                <m:sub>
                  <m:r>
                    <m:rPr>
                      <m:nor/>
                    </m:rPr>
                    <w:rPr>
                      <w:rFonts w:asciiTheme="majorBidi" w:eastAsia="Times New Roman" w:hAnsiTheme="majorBidi" w:cstheme="majorBidi"/>
                      <w:lang w:val="es-ES" w:eastAsia="en-GB"/>
                    </w:rPr>
                    <m:t>HC</m:t>
                  </m:r>
                  <m:d>
                    <m:dPr>
                      <m:ctrlPr>
                        <w:rPr>
                          <w:rFonts w:ascii="Cambria Math" w:eastAsia="Times New Roman" w:hAnsi="Cambria Math" w:cstheme="majorBidi"/>
                          <w:lang w:eastAsia="en-GB"/>
                        </w:rPr>
                      </m:ctrlPr>
                    </m:dPr>
                    <m:e>
                      <m:r>
                        <m:rPr>
                          <m:nor/>
                        </m:rPr>
                        <w:rPr>
                          <w:rFonts w:asciiTheme="majorBidi" w:eastAsia="Times New Roman" w:hAnsiTheme="majorBidi" w:cstheme="majorBidi"/>
                          <w:lang w:val="es-ES" w:eastAsia="en-GB"/>
                        </w:rPr>
                        <m:t>w/NMC</m:t>
                      </m:r>
                    </m:e>
                  </m:d>
                  <m:r>
                    <w:rPr>
                      <w:rFonts w:ascii="Cambria Math" w:eastAsia="Times New Roman" w:hAnsi="Cambria Math" w:cstheme="majorBidi"/>
                      <w:lang w:val="es-ES" w:eastAsia="en-GB"/>
                    </w:rPr>
                    <m:t xml:space="preserve"> </m:t>
                  </m:r>
                </m:sub>
              </m:sSub>
              <m:r>
                <m:rPr>
                  <m:nor/>
                </m:rPr>
                <w:rPr>
                  <w:rFonts w:asciiTheme="majorBidi" w:eastAsia="Times New Roman" w:hAnsiTheme="majorBidi" w:cstheme="majorBidi"/>
                  <w:lang w:val="es-ES" w:eastAsia="en-GB"/>
                </w:rPr>
                <m:t>×</m:t>
              </m:r>
              <m:r>
                <m:rPr>
                  <m:nor/>
                </m:rPr>
                <w:rPr>
                  <w:rFonts w:ascii="Cambria Math" w:eastAsia="Times New Roman" w:hAnsiTheme="majorBidi" w:cstheme="majorBidi"/>
                  <w:lang w:val="es-ES" w:eastAsia="en-GB"/>
                </w:rPr>
                <m:t xml:space="preserve"> </m:t>
              </m:r>
              <m:sSub>
                <m:sSubPr>
                  <m:ctrlPr>
                    <w:rPr>
                      <w:rFonts w:ascii="Cambria Math" w:eastAsia="Times New Roman" w:hAnsi="Cambria Math" w:cstheme="majorBidi"/>
                      <w:lang w:eastAsia="en-GB"/>
                    </w:rPr>
                  </m:ctrlPr>
                </m:sSubPr>
                <m:e>
                  <m:r>
                    <m:rPr>
                      <m:nor/>
                    </m:rPr>
                    <w:rPr>
                      <w:rFonts w:asciiTheme="majorBidi" w:eastAsia="Times New Roman" w:hAnsiTheme="majorBidi" w:cstheme="majorBidi"/>
                      <w:lang w:val="es-ES" w:eastAsia="en-GB"/>
                    </w:rPr>
                    <m:t>r</m:t>
                  </m:r>
                </m:e>
                <m:sub>
                  <m:r>
                    <m:rPr>
                      <m:nor/>
                    </m:rPr>
                    <w:rPr>
                      <w:rFonts w:asciiTheme="majorBidi" w:eastAsia="Times New Roman" w:hAnsiTheme="majorBidi" w:cstheme="majorBidi"/>
                      <w:lang w:val="es-ES" w:eastAsia="en-GB"/>
                    </w:rPr>
                    <m:t>h</m:t>
                  </m:r>
                  <m:r>
                    <m:rPr>
                      <m:nor/>
                    </m:rPr>
                    <w:rPr>
                      <w:rFonts w:ascii="Cambria Math" w:eastAsia="Times New Roman" w:hAnsiTheme="majorBidi" w:cstheme="majorBidi"/>
                      <w:lang w:val="es-ES" w:eastAsia="en-GB"/>
                    </w:rPr>
                    <m:t xml:space="preserve"> </m:t>
                  </m:r>
                </m:sub>
              </m:sSub>
              <m:r>
                <m:rPr>
                  <m:nor/>
                </m:rPr>
                <w:rPr>
                  <w:rFonts w:asciiTheme="majorBidi" w:eastAsia="Times New Roman" w:hAnsiTheme="majorBidi" w:cstheme="majorBidi"/>
                  <w:lang w:val="es-ES" w:eastAsia="en-GB"/>
                </w:rPr>
                <m:t>×</m:t>
              </m:r>
              <m:r>
                <m:rPr>
                  <m:nor/>
                </m:rPr>
                <w:rPr>
                  <w:rFonts w:ascii="Cambria Math" w:eastAsia="Times New Roman" w:hAnsiTheme="majorBidi" w:cstheme="majorBidi"/>
                  <w:lang w:val="es-ES" w:eastAsia="en-GB"/>
                </w:rPr>
                <m:t xml:space="preserve"> </m:t>
              </m:r>
              <m:d>
                <m:dPr>
                  <m:ctrlPr>
                    <w:rPr>
                      <w:rFonts w:ascii="Cambria Math" w:eastAsia="Times New Roman" w:hAnsi="Cambria Math" w:cstheme="majorBidi"/>
                      <w:lang w:eastAsia="en-GB"/>
                    </w:rPr>
                  </m:ctrlPr>
                </m:dPr>
                <m:e>
                  <m:r>
                    <m:rPr>
                      <m:nor/>
                    </m:rPr>
                    <w:rPr>
                      <w:rFonts w:asciiTheme="majorBidi" w:eastAsia="Times New Roman" w:hAnsiTheme="majorBidi" w:cstheme="majorBidi"/>
                      <w:lang w:val="es-ES" w:eastAsia="en-GB"/>
                    </w:rPr>
                    <m:t>1</m:t>
                  </m:r>
                  <m:r>
                    <m:rPr>
                      <m:nor/>
                    </m:rPr>
                    <w:rPr>
                      <w:rFonts w:ascii="Cambria Math" w:eastAsia="Times New Roman" w:hAnsiTheme="majorBidi" w:cstheme="majorBidi"/>
                      <w:lang w:val="es-ES" w:eastAsia="en-GB"/>
                    </w:rPr>
                    <m:t xml:space="preserve"> </m:t>
                  </m:r>
                  <m:r>
                    <m:rPr>
                      <m:nor/>
                    </m:rPr>
                    <w:rPr>
                      <w:rFonts w:ascii="Cambria Math" w:eastAsia="Times New Roman" w:hAnsiTheme="majorBidi" w:cstheme="majorBidi"/>
                      <w:lang w:val="es-ES" w:eastAsia="en-GB"/>
                    </w:rPr>
                    <m:t>–</m:t>
                  </m:r>
                  <m:r>
                    <m:rPr>
                      <m:nor/>
                    </m:rPr>
                    <w:rPr>
                      <w:rFonts w:ascii="Cambria Math" w:eastAsia="Times New Roman" w:hAnsiTheme="majorBidi" w:cstheme="majorBidi"/>
                      <w:lang w:val="es-ES" w:eastAsia="en-GB"/>
                    </w:rPr>
                    <m:t xml:space="preserve"> </m:t>
                  </m:r>
                  <m:sSub>
                    <m:sSubPr>
                      <m:ctrlPr>
                        <w:rPr>
                          <w:rFonts w:ascii="Cambria Math" w:eastAsia="Times New Roman" w:hAnsi="Cambria Math" w:cstheme="majorBidi"/>
                          <w:lang w:eastAsia="en-GB"/>
                        </w:rPr>
                      </m:ctrlPr>
                    </m:sSubPr>
                    <m:e>
                      <m:r>
                        <m:rPr>
                          <m:nor/>
                        </m:rPr>
                        <w:rPr>
                          <w:rFonts w:asciiTheme="majorBidi" w:eastAsia="Times New Roman" w:hAnsiTheme="majorBidi" w:cstheme="majorBidi"/>
                          <w:lang w:val="es-ES" w:eastAsia="en-GB"/>
                        </w:rPr>
                        <m:t>E</m:t>
                      </m:r>
                    </m:e>
                    <m:sub>
                      <m:r>
                        <m:rPr>
                          <m:nor/>
                        </m:rPr>
                        <w:rPr>
                          <w:rFonts w:asciiTheme="majorBidi" w:eastAsia="Times New Roman" w:hAnsiTheme="majorBidi" w:cstheme="majorBidi"/>
                          <w:lang w:val="es-ES" w:eastAsia="en-GB"/>
                        </w:rPr>
                        <m:t>M</m:t>
                      </m:r>
                    </m:sub>
                  </m:sSub>
                </m:e>
              </m:d>
            </m:num>
            <m:den>
              <m:sSub>
                <m:sSubPr>
                  <m:ctrlPr>
                    <w:rPr>
                      <w:rFonts w:ascii="Cambria Math" w:eastAsia="Times New Roman" w:hAnsi="Cambria Math" w:cstheme="majorBidi"/>
                      <w:lang w:eastAsia="en-GB"/>
                    </w:rPr>
                  </m:ctrlPr>
                </m:sSubPr>
                <m:e>
                  <m:r>
                    <m:rPr>
                      <m:nor/>
                    </m:rPr>
                    <w:rPr>
                      <w:rFonts w:asciiTheme="majorBidi" w:eastAsia="Times New Roman" w:hAnsiTheme="majorBidi" w:cstheme="majorBidi"/>
                      <w:lang w:val="es-ES" w:eastAsia="en-GB"/>
                    </w:rPr>
                    <m:t>E</m:t>
                  </m:r>
                </m:e>
                <m:sub>
                  <m:r>
                    <m:rPr>
                      <m:nor/>
                    </m:rPr>
                    <w:rPr>
                      <w:rFonts w:asciiTheme="majorBidi" w:eastAsia="Times New Roman" w:hAnsiTheme="majorBidi" w:cstheme="majorBidi"/>
                      <w:lang w:val="es-ES" w:eastAsia="en-GB"/>
                    </w:rPr>
                    <m:t>E</m:t>
                  </m:r>
                </m:sub>
              </m:sSub>
              <m:r>
                <m:rPr>
                  <m:nor/>
                </m:rPr>
                <w:rPr>
                  <w:rFonts w:ascii="Cambria Math" w:eastAsia="Times New Roman" w:hAnsiTheme="majorBidi" w:cstheme="majorBidi"/>
                  <w:lang w:val="es-ES" w:eastAsia="en-GB"/>
                </w:rPr>
                <m:t xml:space="preserve"> </m:t>
              </m:r>
              <m:r>
                <m:rPr>
                  <m:nor/>
                </m:rPr>
                <w:rPr>
                  <w:rFonts w:ascii="Cambria Math" w:eastAsia="Times New Roman" w:hAnsiTheme="majorBidi" w:cstheme="majorBidi"/>
                  <w:lang w:val="es-ES" w:eastAsia="en-GB"/>
                </w:rPr>
                <m:t>–</m:t>
              </m:r>
              <m:r>
                <m:rPr>
                  <m:nor/>
                </m:rPr>
                <w:rPr>
                  <w:rFonts w:ascii="Cambria Math" w:eastAsia="Times New Roman" w:hAnsiTheme="majorBidi" w:cstheme="majorBidi"/>
                  <w:lang w:val="es-ES" w:eastAsia="en-GB"/>
                </w:rPr>
                <m:t xml:space="preserve"> </m:t>
              </m:r>
              <m:sSub>
                <m:sSubPr>
                  <m:ctrlPr>
                    <w:rPr>
                      <w:rFonts w:ascii="Cambria Math" w:eastAsia="Times New Roman" w:hAnsi="Cambria Math" w:cstheme="majorBidi"/>
                      <w:lang w:eastAsia="en-GB"/>
                    </w:rPr>
                  </m:ctrlPr>
                </m:sSubPr>
                <m:e>
                  <m:r>
                    <m:rPr>
                      <m:nor/>
                    </m:rPr>
                    <w:rPr>
                      <w:rFonts w:asciiTheme="majorBidi" w:eastAsia="Times New Roman" w:hAnsiTheme="majorBidi" w:cstheme="majorBidi"/>
                      <w:lang w:val="es-ES" w:eastAsia="en-GB"/>
                    </w:rPr>
                    <m:t>E</m:t>
                  </m:r>
                </m:e>
                <m:sub>
                  <m:r>
                    <m:rPr>
                      <m:nor/>
                    </m:rPr>
                    <w:rPr>
                      <w:rFonts w:asciiTheme="majorBidi" w:eastAsia="Times New Roman" w:hAnsiTheme="majorBidi" w:cstheme="majorBidi"/>
                      <w:lang w:val="es-ES" w:eastAsia="en-GB"/>
                    </w:rPr>
                    <m:t>M</m:t>
                  </m:r>
                </m:sub>
              </m:sSub>
            </m:den>
          </m:f>
        </m:oMath>
      </m:oMathPara>
    </w:p>
    <w:p w:rsidR="00E24DB7" w:rsidRPr="002C5876" w:rsidRDefault="00E24DB7" w:rsidP="00E64102">
      <w:pPr>
        <w:pStyle w:val="SingleTxtG"/>
        <w:keepNext/>
        <w:keepLines/>
        <w:ind w:left="2268"/>
      </w:pPr>
      <w:r w:rsidRPr="002C5876">
        <w:t>où :</w:t>
      </w:r>
    </w:p>
    <w:p w:rsidR="00E24DB7" w:rsidRPr="002C5876" w:rsidRDefault="00E24DB7" w:rsidP="00E24DB7">
      <w:pPr>
        <w:pStyle w:val="SingleTxtG"/>
        <w:ind w:left="3402" w:hanging="1134"/>
      </w:pPr>
      <w:r w:rsidRPr="002C5876">
        <w:t>C</w:t>
      </w:r>
      <w:r w:rsidRPr="002C5876">
        <w:rPr>
          <w:vertAlign w:val="subscript"/>
        </w:rPr>
        <w:t>HC(w/NMC)</w:t>
      </w:r>
      <w:r w:rsidRPr="002C5876">
        <w:rPr>
          <w:vertAlign w:val="subscript"/>
        </w:rPr>
        <w:tab/>
      </w:r>
      <w:r w:rsidRPr="002C5876">
        <w:t>est la concentration de HC, en ppm</w:t>
      </w:r>
      <w:r w:rsidR="00EA0F43" w:rsidRPr="002C5876">
        <w:t> </w:t>
      </w:r>
      <w:r w:rsidRPr="002C5876">
        <w:t>C, dans le cas où l’échantillon de gaz traverse le NMC ;</w:t>
      </w:r>
    </w:p>
    <w:p w:rsidR="00E24DB7" w:rsidRPr="002C5876" w:rsidRDefault="00E24DB7" w:rsidP="00E24DB7">
      <w:pPr>
        <w:pStyle w:val="SingleTxtG"/>
        <w:ind w:left="3402" w:hanging="1134"/>
      </w:pPr>
      <w:r w:rsidRPr="002C5876">
        <w:lastRenderedPageBreak/>
        <w:t>C</w:t>
      </w:r>
      <w:r w:rsidRPr="002C5876">
        <w:rPr>
          <w:vertAlign w:val="subscript"/>
        </w:rPr>
        <w:t>HC(w/oNMC)</w:t>
      </w:r>
      <w:r w:rsidRPr="002C5876">
        <w:rPr>
          <w:vertAlign w:val="subscript"/>
        </w:rPr>
        <w:tab/>
      </w:r>
      <w:r w:rsidRPr="002C5876">
        <w:t>est la concentration de HC, en ppm</w:t>
      </w:r>
      <w:r w:rsidR="00EA0F43" w:rsidRPr="002C5876">
        <w:t> </w:t>
      </w:r>
      <w:r w:rsidRPr="002C5876">
        <w:t>C, dans le cas où l’échantillon de gaz contourne le NMC ;</w:t>
      </w:r>
    </w:p>
    <w:p w:rsidR="00E24DB7" w:rsidRPr="002C5876" w:rsidRDefault="00E24DB7" w:rsidP="00E24DB7">
      <w:pPr>
        <w:pStyle w:val="SingleTxtG"/>
        <w:ind w:left="3402" w:hanging="1134"/>
      </w:pPr>
      <w:r w:rsidRPr="002C5876">
        <w:t>R</w:t>
      </w:r>
      <w:r w:rsidRPr="002C5876">
        <w:rPr>
          <w:vertAlign w:val="subscript"/>
        </w:rPr>
        <w:t>f</w:t>
      </w:r>
      <w:r w:rsidRPr="002C5876">
        <w:tab/>
      </w:r>
      <w:r w:rsidRPr="002C5876">
        <w:tab/>
        <w:t xml:space="preserve">est le facteur de réponse au méthane, tel que déterminé au paragraphe 5.4.3.2 de l’annexe 5 ; </w:t>
      </w:r>
    </w:p>
    <w:p w:rsidR="00E24DB7" w:rsidRPr="002C5876" w:rsidRDefault="00E24DB7" w:rsidP="00E24DB7">
      <w:pPr>
        <w:pStyle w:val="SingleTxtG"/>
        <w:ind w:left="3402" w:hanging="1134"/>
        <w:rPr>
          <w:u w:val="single"/>
        </w:rPr>
      </w:pPr>
      <w:r w:rsidRPr="002C5876">
        <w:t>E</w:t>
      </w:r>
      <w:r w:rsidRPr="002C5876">
        <w:rPr>
          <w:vertAlign w:val="subscript"/>
        </w:rPr>
        <w:t>M</w:t>
      </w:r>
      <w:r w:rsidRPr="002C5876">
        <w:tab/>
      </w:r>
      <w:r w:rsidRPr="002C5876">
        <w:tab/>
        <w:t>est l’efficacité à l’égard du méthane, telle que déterminée au paragraphe 3.2.1.1.3.3.1 de la présente annexe ;</w:t>
      </w:r>
    </w:p>
    <w:p w:rsidR="00E24DB7" w:rsidRPr="002C5876" w:rsidRDefault="00E24DB7" w:rsidP="00E24DB7">
      <w:pPr>
        <w:pStyle w:val="SingleTxtG"/>
        <w:ind w:left="3402" w:hanging="1134"/>
      </w:pPr>
      <w:r w:rsidRPr="002C5876">
        <w:t>E</w:t>
      </w:r>
      <w:r w:rsidRPr="002C5876">
        <w:rPr>
          <w:vertAlign w:val="subscript"/>
        </w:rPr>
        <w:t>E</w:t>
      </w:r>
      <w:r w:rsidRPr="002C5876">
        <w:tab/>
      </w:r>
      <w:r w:rsidRPr="002C5876">
        <w:tab/>
        <w:t>est l’efficacité à l’égard de l’éthane, telle que déterminée au paragraphe 3.2.1.1.3.3.2 de la présente annexe.</w:t>
      </w:r>
    </w:p>
    <w:p w:rsidR="00E24DB7" w:rsidRPr="002C5876" w:rsidRDefault="00E24DB7" w:rsidP="00E24DB7">
      <w:pPr>
        <w:pStyle w:val="SingleTxtG"/>
        <w:ind w:left="2268"/>
      </w:pPr>
      <w:r w:rsidRPr="002C5876">
        <w:t>Si R</w:t>
      </w:r>
      <w:r w:rsidRPr="002C5876">
        <w:rPr>
          <w:vertAlign w:val="subscript"/>
        </w:rPr>
        <w:t>f</w:t>
      </w:r>
      <w:r w:rsidRPr="002C5876">
        <w:t xml:space="preserve"> &lt; 1,05, il est permis de l’omettre dans les équations présentées ci-dessus pour </w:t>
      </w:r>
      <w:r w:rsidRPr="002C5876">
        <w:rPr>
          <w:lang w:eastAsia="en-GB"/>
        </w:rPr>
        <w:t>C</w:t>
      </w:r>
      <w:r w:rsidRPr="002C5876">
        <w:rPr>
          <w:vertAlign w:val="subscript"/>
          <w:lang w:eastAsia="en-GB"/>
        </w:rPr>
        <w:t>CH4</w:t>
      </w:r>
      <w:r w:rsidRPr="002C5876">
        <w:rPr>
          <w:lang w:eastAsia="en-GB"/>
        </w:rPr>
        <w:t xml:space="preserve"> et C</w:t>
      </w:r>
      <w:r w:rsidRPr="002C5876">
        <w:rPr>
          <w:vertAlign w:val="subscript"/>
          <w:lang w:eastAsia="en-GB"/>
        </w:rPr>
        <w:t xml:space="preserve">NMHC, </w:t>
      </w:r>
      <w:r w:rsidRPr="002C5876">
        <w:rPr>
          <w:lang w:eastAsia="en-GB"/>
        </w:rPr>
        <w:t>méthode b)</w:t>
      </w:r>
      <w:r w:rsidRPr="002C5876">
        <w:t xml:space="preserve">. </w:t>
      </w:r>
    </w:p>
    <w:p w:rsidR="00E24DB7" w:rsidRPr="002C5876" w:rsidRDefault="00E24DB7" w:rsidP="00E24DB7">
      <w:pPr>
        <w:pStyle w:val="SingleTxtG"/>
        <w:keepNext/>
        <w:ind w:left="2268" w:hanging="1134"/>
        <w:jc w:val="left"/>
      </w:pPr>
      <w:r w:rsidRPr="002C5876">
        <w:t>3.2.1.1.3.3</w:t>
      </w:r>
      <w:r w:rsidRPr="002C5876">
        <w:tab/>
        <w:t xml:space="preserve">Efficacité du convertisseur d’hydrocarbures non méthaniques (NMC) </w:t>
      </w:r>
    </w:p>
    <w:p w:rsidR="00E24DB7" w:rsidRPr="002C5876" w:rsidRDefault="00E24DB7" w:rsidP="00E24DB7">
      <w:pPr>
        <w:pStyle w:val="SingleTxtG"/>
        <w:ind w:left="2268"/>
      </w:pPr>
      <w:r w:rsidRPr="002C5876">
        <w:t>Le convertisseur est utilisé pour éliminer les hydrocarbures non méthaniques de l’échantillon de gaz en oxydant tous les hydrocarbures à l’exception du méthane. Dans l’idéal, l’efficacité de la conversion est de 0 % pour le méthane et de 100 % pour les autres hydrocarbures, représentés par l’éthane. Pour une mesure précise des HCNM, il convient de déterminer l’efficacité dans les deux cas et d’utiliser la valeur obtenue comme base de calcul des émissions de HCNM.</w:t>
      </w:r>
    </w:p>
    <w:p w:rsidR="00E24DB7" w:rsidRPr="002C5876" w:rsidRDefault="00E24DB7" w:rsidP="00E24DB7">
      <w:pPr>
        <w:pStyle w:val="SingleTxtG"/>
        <w:keepNext/>
        <w:ind w:left="2268" w:hanging="1134"/>
        <w:jc w:val="left"/>
      </w:pPr>
      <w:r w:rsidRPr="002C5876">
        <w:t>3.2.1.1.3.3.1</w:t>
      </w:r>
      <w:r w:rsidRPr="002C5876">
        <w:tab/>
        <w:t>Efficacité pour le méthane, E</w:t>
      </w:r>
      <w:r w:rsidRPr="002C5876">
        <w:rPr>
          <w:vertAlign w:val="subscript"/>
        </w:rPr>
        <w:t>M</w:t>
      </w:r>
    </w:p>
    <w:p w:rsidR="00E24DB7" w:rsidRPr="002C5876" w:rsidRDefault="00E24DB7" w:rsidP="00E24DB7">
      <w:pPr>
        <w:pStyle w:val="SingleTxtG"/>
        <w:keepNext/>
        <w:ind w:left="2268"/>
      </w:pPr>
      <w:r w:rsidRPr="002C5876">
        <w:t xml:space="preserve">On amène le gaz d’étalonnage méthane/air dans le FID, en le faisant successivement traverser et contourner le NMC, et on enregistre les deux concentrations. L’efficacité se calcule en appliquant l’équation suivante : </w:t>
      </w:r>
    </w:p>
    <w:p w:rsidR="00E24DB7" w:rsidRPr="002C5876" w:rsidRDefault="00731CA6" w:rsidP="00E24DB7">
      <w:pPr>
        <w:pStyle w:val="SingleTxtG"/>
        <w:keepNext/>
        <w:spacing w:after="240"/>
        <w:ind w:left="2268"/>
        <w:jc w:val="center"/>
      </w:pPr>
      <m:oMathPara>
        <m:oMath>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M</m:t>
              </m:r>
            </m:sub>
          </m:sSub>
          <m:r>
            <m:rPr>
              <m:sty m:val="p"/>
            </m:rPr>
            <w:rPr>
              <w:rFonts w:ascii="Cambria Math" w:hAnsi="Cambria Math" w:cstheme="majorBidi"/>
            </w:rPr>
            <m:t>=1-</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HC</m:t>
                  </m:r>
                  <m:d>
                    <m:dPr>
                      <m:ctrlPr>
                        <w:rPr>
                          <w:rFonts w:ascii="Cambria Math" w:hAnsi="Cambria Math" w:cstheme="majorBidi"/>
                        </w:rPr>
                      </m:ctrlPr>
                    </m:dPr>
                    <m:e>
                      <m:r>
                        <m:rPr>
                          <m:sty m:val="p"/>
                        </m:rPr>
                        <w:rPr>
                          <w:rFonts w:ascii="Cambria Math" w:hAnsi="Cambria Math" w:cstheme="majorBidi"/>
                        </w:rPr>
                        <m:t>w/NMC</m:t>
                      </m:r>
                    </m:e>
                  </m:d>
                </m:sub>
              </m:sSub>
            </m:num>
            <m:den>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HC</m:t>
                  </m:r>
                  <m:d>
                    <m:dPr>
                      <m:ctrlPr>
                        <w:rPr>
                          <w:rFonts w:ascii="Cambria Math" w:hAnsi="Cambria Math" w:cstheme="majorBidi"/>
                        </w:rPr>
                      </m:ctrlPr>
                    </m:dPr>
                    <m:e>
                      <m:r>
                        <m:rPr>
                          <m:sty m:val="p"/>
                        </m:rPr>
                        <w:rPr>
                          <w:rFonts w:ascii="Cambria Math" w:hAnsi="Cambria Math" w:cstheme="majorBidi"/>
                        </w:rPr>
                        <m:t>w/oNMC</m:t>
                      </m:r>
                    </m:e>
                  </m:d>
                </m:sub>
              </m:sSub>
            </m:den>
          </m:f>
        </m:oMath>
      </m:oMathPara>
    </w:p>
    <w:p w:rsidR="00E24DB7" w:rsidRPr="002C5876" w:rsidRDefault="00E24DB7" w:rsidP="00E24DB7">
      <w:pPr>
        <w:pStyle w:val="SingleTxtG"/>
        <w:keepNext/>
        <w:ind w:left="2268"/>
      </w:pPr>
      <w:r w:rsidRPr="002C5876">
        <w:t>où :</w:t>
      </w:r>
    </w:p>
    <w:p w:rsidR="00E24DB7" w:rsidRPr="002C5876" w:rsidRDefault="00E24DB7" w:rsidP="00E24DB7">
      <w:pPr>
        <w:pStyle w:val="SingleTxtG"/>
        <w:ind w:left="3402" w:hanging="1134"/>
      </w:pPr>
      <w:r w:rsidRPr="002C5876">
        <w:t>C</w:t>
      </w:r>
      <w:r w:rsidRPr="002C5876">
        <w:rPr>
          <w:vertAlign w:val="subscript"/>
        </w:rPr>
        <w:t>HC(w/NMC)</w:t>
      </w:r>
      <w:r w:rsidRPr="002C5876">
        <w:tab/>
        <w:t>est la concentration de HC, en ppm C, lorsque le CH</w:t>
      </w:r>
      <w:r w:rsidRPr="002C5876">
        <w:rPr>
          <w:vertAlign w:val="subscript"/>
        </w:rPr>
        <w:t>4</w:t>
      </w:r>
      <w:r w:rsidRPr="002C5876">
        <w:t xml:space="preserve"> passe par le NMC ;</w:t>
      </w:r>
    </w:p>
    <w:p w:rsidR="00E24DB7" w:rsidRPr="002C5876" w:rsidRDefault="00E24DB7" w:rsidP="00E24DB7">
      <w:pPr>
        <w:pStyle w:val="SingleTxtG"/>
        <w:ind w:left="3402" w:hanging="1134"/>
      </w:pPr>
      <w:r w:rsidRPr="002C5876">
        <w:t>C</w:t>
      </w:r>
      <w:r w:rsidRPr="002C5876">
        <w:rPr>
          <w:vertAlign w:val="subscript"/>
        </w:rPr>
        <w:t>HC(w/oNMC)</w:t>
      </w:r>
      <w:r w:rsidRPr="002C5876">
        <w:tab/>
        <w:t>est la concentration de HC, en ppm C, lorsque le CH</w:t>
      </w:r>
      <w:r w:rsidRPr="002C5876">
        <w:rPr>
          <w:vertAlign w:val="subscript"/>
        </w:rPr>
        <w:t>4</w:t>
      </w:r>
      <w:r w:rsidRPr="002C5876">
        <w:t xml:space="preserve"> contourne le NMC.</w:t>
      </w:r>
    </w:p>
    <w:p w:rsidR="00E24DB7" w:rsidRPr="002C5876" w:rsidRDefault="00E24DB7" w:rsidP="00E24DB7">
      <w:pPr>
        <w:pStyle w:val="SingleTxtG"/>
        <w:keepNext/>
        <w:ind w:left="2268" w:hanging="1134"/>
        <w:jc w:val="left"/>
      </w:pPr>
      <w:r w:rsidRPr="002C5876">
        <w:t>3.2.1.1.3.3.2</w:t>
      </w:r>
      <w:r w:rsidRPr="002C5876">
        <w:tab/>
        <w:t>Efficacité pour l’éthane, E</w:t>
      </w:r>
      <w:r w:rsidRPr="002C5876">
        <w:rPr>
          <w:vertAlign w:val="subscript"/>
        </w:rPr>
        <w:t>E</w:t>
      </w:r>
    </w:p>
    <w:p w:rsidR="00E24DB7" w:rsidRPr="002C5876" w:rsidRDefault="00E24DB7" w:rsidP="00E24DB7">
      <w:pPr>
        <w:pStyle w:val="SingleTxtG"/>
        <w:ind w:left="2268"/>
      </w:pPr>
      <w:r w:rsidRPr="002C5876">
        <w:t xml:space="preserve">On amène le gaz d’étalonnage éthane/air dans le FID, en le faisant successivement traverser et contourner le NMC, et on enregistre les deux concentrations. L’efficacité se calcule en appliquant l’équation suivante : </w:t>
      </w:r>
    </w:p>
    <w:p w:rsidR="00E24DB7" w:rsidRPr="002C5876" w:rsidRDefault="00731CA6" w:rsidP="00E24DB7">
      <w:pPr>
        <w:pStyle w:val="SingleTxtG"/>
        <w:spacing w:after="240"/>
        <w:ind w:left="2268"/>
        <w:jc w:val="center"/>
      </w:pPr>
      <m:oMathPara>
        <m:oMath>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E</m:t>
              </m:r>
            </m:sub>
          </m:sSub>
          <m:r>
            <m:rPr>
              <m:sty m:val="p"/>
            </m:rPr>
            <w:rPr>
              <w:rFonts w:ascii="Cambria Math" w:hAnsi="Cambria Math" w:cstheme="majorBidi"/>
            </w:rPr>
            <m:t>=1-</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HC</m:t>
                  </m:r>
                  <m:d>
                    <m:dPr>
                      <m:ctrlPr>
                        <w:rPr>
                          <w:rFonts w:ascii="Cambria Math" w:hAnsi="Cambria Math" w:cstheme="majorBidi"/>
                        </w:rPr>
                      </m:ctrlPr>
                    </m:dPr>
                    <m:e>
                      <m:r>
                        <m:rPr>
                          <m:sty m:val="p"/>
                        </m:rPr>
                        <w:rPr>
                          <w:rFonts w:ascii="Cambria Math" w:hAnsi="Cambria Math" w:cstheme="majorBidi"/>
                        </w:rPr>
                        <m:t>w/NMC</m:t>
                      </m:r>
                    </m:e>
                  </m:d>
                </m:sub>
              </m:sSub>
            </m:num>
            <m:den>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HC</m:t>
                  </m:r>
                  <m:d>
                    <m:dPr>
                      <m:ctrlPr>
                        <w:rPr>
                          <w:rFonts w:ascii="Cambria Math" w:hAnsi="Cambria Math" w:cstheme="majorBidi"/>
                        </w:rPr>
                      </m:ctrlPr>
                    </m:dPr>
                    <m:e>
                      <m:r>
                        <m:rPr>
                          <m:sty m:val="p"/>
                        </m:rPr>
                        <w:rPr>
                          <w:rFonts w:ascii="Cambria Math" w:hAnsi="Cambria Math" w:cstheme="majorBidi"/>
                        </w:rPr>
                        <m:t>w/oNMC</m:t>
                      </m:r>
                    </m:e>
                  </m:d>
                </m:sub>
              </m:sSub>
            </m:den>
          </m:f>
        </m:oMath>
      </m:oMathPara>
    </w:p>
    <w:p w:rsidR="00E24DB7" w:rsidRPr="002C5876" w:rsidRDefault="00E24DB7" w:rsidP="00E24DB7">
      <w:pPr>
        <w:pStyle w:val="SingleTxtG"/>
        <w:keepNext/>
        <w:ind w:left="2268"/>
      </w:pPr>
      <w:r w:rsidRPr="002C5876">
        <w:t>où :</w:t>
      </w:r>
    </w:p>
    <w:p w:rsidR="00E24DB7" w:rsidRPr="002C5876" w:rsidRDefault="00E24DB7" w:rsidP="00E24DB7">
      <w:pPr>
        <w:pStyle w:val="SingleTxtG"/>
        <w:ind w:left="3402" w:hanging="1134"/>
      </w:pPr>
      <w:r w:rsidRPr="002C5876">
        <w:t>C</w:t>
      </w:r>
      <w:r w:rsidRPr="002C5876">
        <w:rPr>
          <w:vertAlign w:val="subscript"/>
        </w:rPr>
        <w:t>HC(w/NMC)</w:t>
      </w:r>
      <w:r w:rsidRPr="002C5876">
        <w:tab/>
        <w:t>est la concentration de HC, en ppm C, lorsque le C</w:t>
      </w:r>
      <w:r w:rsidRPr="002C5876">
        <w:rPr>
          <w:vertAlign w:val="subscript"/>
        </w:rPr>
        <w:t>2</w:t>
      </w:r>
      <w:r w:rsidRPr="002C5876">
        <w:t>H</w:t>
      </w:r>
      <w:r w:rsidRPr="002C5876">
        <w:rPr>
          <w:vertAlign w:val="subscript"/>
        </w:rPr>
        <w:t>6</w:t>
      </w:r>
      <w:r w:rsidRPr="002C5876">
        <w:t xml:space="preserve"> passe par le NMC ;</w:t>
      </w:r>
    </w:p>
    <w:p w:rsidR="00E24DB7" w:rsidRPr="002C5876" w:rsidRDefault="00E24DB7" w:rsidP="00E24DB7">
      <w:pPr>
        <w:pStyle w:val="SingleTxtG"/>
        <w:ind w:left="3402" w:hanging="1134"/>
      </w:pPr>
      <w:r w:rsidRPr="002C5876">
        <w:t>C</w:t>
      </w:r>
      <w:r w:rsidRPr="002C5876">
        <w:rPr>
          <w:vertAlign w:val="subscript"/>
        </w:rPr>
        <w:t>HC(w/oNMC)</w:t>
      </w:r>
      <w:r w:rsidRPr="002C5876">
        <w:tab/>
        <w:t>est la concentration de HC, en ppm C, lorsque le C</w:t>
      </w:r>
      <w:r w:rsidRPr="002C5876">
        <w:rPr>
          <w:vertAlign w:val="subscript"/>
        </w:rPr>
        <w:t>2</w:t>
      </w:r>
      <w:r w:rsidRPr="002C5876">
        <w:t>H</w:t>
      </w:r>
      <w:r w:rsidRPr="002C5876">
        <w:rPr>
          <w:vertAlign w:val="subscript"/>
        </w:rPr>
        <w:t>6</w:t>
      </w:r>
      <w:r w:rsidRPr="002C5876">
        <w:t xml:space="preserve"> contourne le NMC.</w:t>
      </w:r>
    </w:p>
    <w:p w:rsidR="00E24DB7" w:rsidRPr="002C5876" w:rsidRDefault="00E24DB7" w:rsidP="00E24DB7">
      <w:pPr>
        <w:pStyle w:val="SingleTxtG"/>
        <w:ind w:left="2268"/>
      </w:pPr>
      <w:r w:rsidRPr="002C5876">
        <w:t>Si l’efficacité de la conversion pour l’éthane est égale ou supérieure à 0,98, on attribue à E</w:t>
      </w:r>
      <w:r w:rsidRPr="002C5876">
        <w:rPr>
          <w:vertAlign w:val="subscript"/>
        </w:rPr>
        <w:t>E</w:t>
      </w:r>
      <w:r w:rsidRPr="002C5876">
        <w:t xml:space="preserve"> la valeur 1 pour les calculs ultérieurs.</w:t>
      </w:r>
    </w:p>
    <w:p w:rsidR="00E24DB7" w:rsidRPr="002C5876" w:rsidRDefault="00E24DB7" w:rsidP="00E24DB7">
      <w:pPr>
        <w:pStyle w:val="SingleTxtG"/>
        <w:ind w:left="2268" w:hanging="1134"/>
      </w:pPr>
      <w:r w:rsidRPr="002C5876">
        <w:t>3.2.1.1.3.4</w:t>
      </w:r>
      <w:r w:rsidRPr="002C5876">
        <w:tab/>
        <w:t>Si l’étalonnage du FID pour le méthane s’effectue en passant par le convertisseur, E</w:t>
      </w:r>
      <w:r w:rsidRPr="002C5876">
        <w:rPr>
          <w:vertAlign w:val="subscript"/>
        </w:rPr>
        <w:t>M</w:t>
      </w:r>
      <w:r w:rsidRPr="002C5876">
        <w:t xml:space="preserve"> doit être égale à zéro. </w:t>
      </w:r>
    </w:p>
    <w:p w:rsidR="00E24DB7" w:rsidRPr="002C5876" w:rsidRDefault="00E24DB7" w:rsidP="00E24DB7">
      <w:pPr>
        <w:pStyle w:val="SingleTxtG"/>
        <w:keepNext/>
        <w:ind w:left="2268"/>
      </w:pPr>
      <w:r w:rsidRPr="002C5876">
        <w:lastRenderedPageBreak/>
        <w:t>L’équation utilisée pour calculer C</w:t>
      </w:r>
      <w:r w:rsidRPr="002C5876">
        <w:rPr>
          <w:vertAlign w:val="subscript"/>
        </w:rPr>
        <w:t>CH4</w:t>
      </w:r>
      <w:r w:rsidRPr="002C5876">
        <w:t xml:space="preserve"> au paragraphe 3.2.1.1.3.2 (méthode b)) de la présente annexe devient alors :</w:t>
      </w:r>
    </w:p>
    <w:p w:rsidR="00E24DB7" w:rsidRPr="00D53F39" w:rsidRDefault="00731CA6" w:rsidP="00E24DB7">
      <w:pPr>
        <w:pStyle w:val="SingleTxtG"/>
        <w:keepNext/>
        <w:ind w:left="2268"/>
        <w:jc w:val="center"/>
        <w:rPr>
          <w:lang w:val="en-US"/>
        </w:rPr>
      </w:pPr>
      <m:oMathPara>
        <m:oMath>
          <m:sSub>
            <m:sSubPr>
              <m:ctrlPr>
                <w:rPr>
                  <w:rFonts w:ascii="Cambria Math" w:hAnsi="Cambria Math" w:cstheme="majorBidi"/>
                </w:rPr>
              </m:ctrlPr>
            </m:sSubPr>
            <m:e>
              <m:r>
                <m:rPr>
                  <m:nor/>
                </m:rPr>
                <w:rPr>
                  <w:rFonts w:asciiTheme="majorBidi" w:hAnsiTheme="majorBidi" w:cstheme="majorBidi"/>
                  <w:lang w:val="en-US"/>
                </w:rPr>
                <m:t>C</m:t>
              </m:r>
            </m:e>
            <m:sub>
              <m:r>
                <m:rPr>
                  <m:nor/>
                </m:rPr>
                <w:rPr>
                  <w:rFonts w:asciiTheme="majorBidi" w:hAnsiTheme="majorBidi" w:cstheme="majorBidi"/>
                  <w:lang w:val="en-US"/>
                </w:rPr>
                <m:t>CH4</m:t>
              </m:r>
              <m:r>
                <m:rPr>
                  <m:nor/>
                </m:rPr>
                <w:rPr>
                  <w:rFonts w:ascii="Cambria Math" w:hAnsiTheme="majorBidi" w:cstheme="majorBidi"/>
                  <w:lang w:val="en-US"/>
                </w:rPr>
                <m:t xml:space="preserve"> </m:t>
              </m:r>
            </m:sub>
          </m:sSub>
          <m:r>
            <m:rPr>
              <m:nor/>
            </m:rPr>
            <w:rPr>
              <w:rFonts w:asciiTheme="majorBidi" w:hAnsiTheme="majorBidi" w:cstheme="majorBidi"/>
              <w:lang w:val="en-US"/>
            </w:rPr>
            <m:t>=</m:t>
          </m:r>
          <m:sSub>
            <m:sSubPr>
              <m:ctrlPr>
                <w:rPr>
                  <w:rFonts w:ascii="Cambria Math" w:hAnsi="Cambria Math" w:cstheme="majorBidi"/>
                </w:rPr>
              </m:ctrlPr>
            </m:sSubPr>
            <m:e>
              <m:r>
                <m:rPr>
                  <m:nor/>
                </m:rPr>
                <w:rPr>
                  <w:rFonts w:ascii="Cambria Math" w:hAnsiTheme="majorBidi" w:cstheme="majorBidi"/>
                  <w:lang w:val="en-US"/>
                </w:rPr>
                <m:t xml:space="preserve"> </m:t>
              </m:r>
              <m:r>
                <m:rPr>
                  <m:nor/>
                </m:rPr>
                <w:rPr>
                  <w:rFonts w:asciiTheme="majorBidi" w:hAnsiTheme="majorBidi" w:cstheme="majorBidi"/>
                  <w:lang w:val="en-US"/>
                </w:rPr>
                <m:t>C</m:t>
              </m:r>
            </m:e>
            <m:sub>
              <m:r>
                <m:rPr>
                  <m:nor/>
                </m:rPr>
                <w:rPr>
                  <w:rFonts w:asciiTheme="majorBidi" w:hAnsiTheme="majorBidi" w:cstheme="majorBidi"/>
                  <w:lang w:val="en-US"/>
                </w:rPr>
                <m:t>HC</m:t>
              </m:r>
              <m:d>
                <m:dPr>
                  <m:ctrlPr>
                    <w:rPr>
                      <w:rFonts w:ascii="Cambria Math" w:hAnsi="Cambria Math" w:cstheme="majorBidi"/>
                    </w:rPr>
                  </m:ctrlPr>
                </m:dPr>
                <m:e>
                  <m:r>
                    <m:rPr>
                      <m:nor/>
                    </m:rPr>
                    <w:rPr>
                      <w:rFonts w:asciiTheme="majorBidi" w:hAnsiTheme="majorBidi" w:cstheme="majorBidi"/>
                      <w:lang w:val="en-US"/>
                    </w:rPr>
                    <m:t>w/NMC</m:t>
                  </m:r>
                </m:e>
              </m:d>
            </m:sub>
          </m:sSub>
        </m:oMath>
      </m:oMathPara>
    </w:p>
    <w:p w:rsidR="00E24DB7" w:rsidRPr="002C5876" w:rsidRDefault="00E24DB7" w:rsidP="00E24DB7">
      <w:pPr>
        <w:pStyle w:val="SingleTxtG"/>
        <w:ind w:left="2268"/>
      </w:pPr>
      <w:r w:rsidRPr="002C5876">
        <w:t>L’équation utilisée pour calculer C</w:t>
      </w:r>
      <w:r w:rsidRPr="002C5876">
        <w:rPr>
          <w:vertAlign w:val="subscript"/>
        </w:rPr>
        <w:t>NMHC</w:t>
      </w:r>
      <w:r w:rsidRPr="002C5876">
        <w:t xml:space="preserve"> au paragraphe 3.2.1.1.3.2 (méthode b)) de la présente annexe devient alors :</w:t>
      </w:r>
    </w:p>
    <w:p w:rsidR="00E24DB7" w:rsidRPr="002C5876" w:rsidRDefault="00731CA6" w:rsidP="00E24DB7">
      <w:pPr>
        <w:pStyle w:val="SingleTxtG"/>
        <w:ind w:left="2268"/>
        <w:jc w:val="center"/>
      </w:pPr>
      <m:oMathPara>
        <m:oMath>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NMHC</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HC</m:t>
              </m:r>
              <m:d>
                <m:dPr>
                  <m:ctrlPr>
                    <w:rPr>
                      <w:rFonts w:ascii="Cambria Math" w:hAnsi="Cambria Math" w:cstheme="majorBidi"/>
                    </w:rPr>
                  </m:ctrlPr>
                </m:dPr>
                <m:e>
                  <m:r>
                    <m:rPr>
                      <m:sty m:val="p"/>
                    </m:rPr>
                    <w:rPr>
                      <w:rFonts w:ascii="Cambria Math" w:hAnsi="Cambria Math" w:cstheme="majorBidi"/>
                    </w:rPr>
                    <m:t>w/oNMC</m:t>
                  </m:r>
                </m:e>
              </m:d>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HC</m:t>
              </m:r>
              <m:d>
                <m:dPr>
                  <m:ctrlPr>
                    <w:rPr>
                      <w:rFonts w:ascii="Cambria Math" w:hAnsi="Cambria Math" w:cstheme="majorBidi"/>
                    </w:rPr>
                  </m:ctrlPr>
                </m:dPr>
                <m:e>
                  <m:r>
                    <m:rPr>
                      <m:sty m:val="p"/>
                    </m:rPr>
                    <w:rPr>
                      <w:rFonts w:ascii="Cambria Math" w:hAnsi="Cambria Math" w:cstheme="majorBidi"/>
                    </w:rPr>
                    <m:t>w/NMC</m:t>
                  </m:r>
                </m:e>
              </m:d>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r</m:t>
              </m:r>
            </m:e>
            <m:sub>
              <m:r>
                <m:rPr>
                  <m:sty m:val="p"/>
                </m:rPr>
                <w:rPr>
                  <w:rFonts w:ascii="Cambria Math" w:hAnsi="Cambria Math" w:cstheme="majorBidi"/>
                </w:rPr>
                <m:t>h</m:t>
              </m:r>
            </m:sub>
          </m:sSub>
        </m:oMath>
      </m:oMathPara>
    </w:p>
    <w:p w:rsidR="00E24DB7" w:rsidRPr="002C5876" w:rsidRDefault="00E24DB7" w:rsidP="00E24DB7">
      <w:pPr>
        <w:pStyle w:val="SingleTxtG"/>
        <w:ind w:left="2268"/>
      </w:pPr>
      <w:r w:rsidRPr="002C5876">
        <w:t xml:space="preserve">La masse volumique utilisée pour le calcul de la masse des HCNM doit être égale à celle des hydrocarbures totaux à 273,15 K (0 °C) et 101,325 kPa et dépend du carburant. </w:t>
      </w:r>
    </w:p>
    <w:p w:rsidR="00E24DB7" w:rsidRPr="002C5876" w:rsidRDefault="00E24DB7" w:rsidP="00E24DB7">
      <w:pPr>
        <w:pStyle w:val="SingleTxtG"/>
        <w:keepNext/>
        <w:ind w:left="2268" w:hanging="1134"/>
        <w:jc w:val="left"/>
      </w:pPr>
      <w:r w:rsidRPr="002C5876">
        <w:t>3.2.1.1.4</w:t>
      </w:r>
      <w:r w:rsidRPr="002C5876">
        <w:tab/>
        <w:t>Calcul de la concentration moyenne arithmétique pondérée par le débit</w:t>
      </w:r>
    </w:p>
    <w:p w:rsidR="00E24DB7" w:rsidRPr="002C5876" w:rsidRDefault="00E24DB7" w:rsidP="00E24DB7">
      <w:pPr>
        <w:pStyle w:val="SingleTxtG"/>
        <w:ind w:left="2268"/>
      </w:pPr>
      <w:r w:rsidRPr="002C5876">
        <w:t>La méthode de calcul suivante n’est utilisée que pour les systèmes CVS qui ne sont pas équipés d’un échangeur de chaleur ou pour les systèmes CVS qui sont équipés d’un échangeur de chaleur qui n’est pas conforme au paragraphe 3.3.5.1 de l’annexe 5.</w:t>
      </w:r>
    </w:p>
    <w:p w:rsidR="00E24DB7" w:rsidRPr="002C5876" w:rsidRDefault="00E24DB7" w:rsidP="00E24DB7">
      <w:pPr>
        <w:pStyle w:val="SingleTxtG"/>
        <w:ind w:left="2268"/>
        <w:rPr>
          <w:spacing w:val="-4"/>
        </w:rPr>
      </w:pPr>
      <w:r w:rsidRPr="002C5876">
        <w:rPr>
          <w:spacing w:val="-4"/>
        </w:rPr>
        <w:t>Lorsqu’au cours de l’essai, le débit CVS, q</w:t>
      </w:r>
      <w:r w:rsidRPr="002C5876">
        <w:rPr>
          <w:spacing w:val="-4"/>
          <w:vertAlign w:val="subscript"/>
        </w:rPr>
        <w:t>VCVS,</w:t>
      </w:r>
      <w:r w:rsidRPr="002C5876">
        <w:rPr>
          <w:spacing w:val="-4"/>
        </w:rPr>
        <w:t xml:space="preserve"> varie au-delà de </w:t>
      </w:r>
      <w:r w:rsidRPr="002C5876">
        <w:rPr>
          <w:spacing w:val="-4"/>
        </w:rPr>
        <w:sym w:font="Symbol" w:char="F0B1"/>
      </w:r>
      <w:r w:rsidRPr="002C5876">
        <w:rPr>
          <w:spacing w:val="-4"/>
        </w:rPr>
        <w:t>3 % du débit moyen arithmétique, une moyenne arithmétique pondérée par le débit doit être appliquée pour toutes les mesures en continu avec dilution, y compris les mesures du nombre de particules :</w:t>
      </w:r>
    </w:p>
    <w:p w:rsidR="00E24DB7" w:rsidRPr="002C5876" w:rsidRDefault="00731CA6" w:rsidP="00E24DB7">
      <w:pPr>
        <w:ind w:left="2268" w:right="1134"/>
        <w:jc w:val="center"/>
        <w:rPr>
          <w:b/>
        </w:rPr>
      </w:pPr>
      <m:oMathPara>
        <m:oMath>
          <m:sSub>
            <m:sSubPr>
              <m:ctrlPr>
                <w:rPr>
                  <w:rFonts w:ascii="Cambria Math" w:hAnsi="Cambria Math" w:cstheme="majorBidi"/>
                  <w:b/>
                </w:rPr>
              </m:ctrlPr>
            </m:sSubPr>
            <m:e>
              <m:r>
                <m:rPr>
                  <m:sty m:val="p"/>
                </m:rPr>
                <w:rPr>
                  <w:rFonts w:ascii="Cambria Math" w:hAnsi="Cambria Math" w:cstheme="majorBidi"/>
                </w:rPr>
                <m:t>C</m:t>
              </m:r>
            </m:e>
            <m:sub>
              <m:r>
                <m:rPr>
                  <m:sty m:val="p"/>
                </m:rPr>
                <w:rPr>
                  <w:rFonts w:ascii="Cambria Math" w:hAnsi="Cambria Math" w:cstheme="majorBidi"/>
                </w:rPr>
                <m:t>e</m:t>
              </m:r>
            </m:sub>
          </m:sSub>
          <m:r>
            <m:rPr>
              <m:sty m:val="p"/>
            </m:rPr>
            <w:rPr>
              <w:rFonts w:ascii="Cambria Math" w:hAnsi="Cambria Math" w:cstheme="majorBidi"/>
            </w:rPr>
            <m:t>=</m:t>
          </m:r>
          <m:f>
            <m:fPr>
              <m:ctrlPr>
                <w:rPr>
                  <w:rFonts w:ascii="Cambria Math" w:hAnsi="Cambria Math" w:cstheme="majorBidi"/>
                  <w:b/>
                </w:rPr>
              </m:ctrlPr>
            </m:fPr>
            <m:num>
              <m:nary>
                <m:naryPr>
                  <m:chr m:val="∑"/>
                  <m:limLoc m:val="undOvr"/>
                  <m:ctrlPr>
                    <w:rPr>
                      <w:rFonts w:ascii="Cambria Math" w:hAnsi="Cambria Math" w:cstheme="majorBidi"/>
                      <w:b/>
                    </w:rPr>
                  </m:ctrlPr>
                </m:naryPr>
                <m:sub>
                  <m:r>
                    <m:rPr>
                      <m:sty m:val="p"/>
                    </m:rPr>
                    <w:rPr>
                      <w:rFonts w:ascii="Cambria Math" w:hAnsi="Cambria Math" w:cstheme="majorBidi"/>
                    </w:rPr>
                    <m:t>i=1</m:t>
                  </m:r>
                </m:sub>
                <m:sup>
                  <m:r>
                    <m:rPr>
                      <m:sty m:val="p"/>
                    </m:rPr>
                    <w:rPr>
                      <w:rFonts w:ascii="Cambria Math" w:hAnsi="Cambria Math" w:cstheme="majorBidi"/>
                    </w:rPr>
                    <m:t>n</m:t>
                  </m:r>
                </m:sup>
                <m:e>
                  <m:sSub>
                    <m:sSubPr>
                      <m:ctrlPr>
                        <w:rPr>
                          <w:rFonts w:ascii="Cambria Math" w:hAnsi="Cambria Math" w:cstheme="majorBidi"/>
                          <w:b/>
                        </w:rPr>
                      </m:ctrlPr>
                    </m:sSubPr>
                    <m:e>
                      <m:r>
                        <m:rPr>
                          <m:sty m:val="p"/>
                        </m:rPr>
                        <w:rPr>
                          <w:rFonts w:ascii="Cambria Math" w:hAnsi="Cambria Math" w:cstheme="majorBidi"/>
                        </w:rPr>
                        <m:t>q</m:t>
                      </m:r>
                    </m:e>
                    <m:sub>
                      <m:r>
                        <m:rPr>
                          <m:sty m:val="p"/>
                        </m:rPr>
                        <w:rPr>
                          <w:rFonts w:ascii="Cambria Math" w:hAnsi="Cambria Math" w:cstheme="majorBidi"/>
                        </w:rPr>
                        <m:t>VCVS</m:t>
                      </m:r>
                    </m:sub>
                  </m:sSub>
                  <m:r>
                    <m:rPr>
                      <m:sty m:val="p"/>
                    </m:rPr>
                    <w:rPr>
                      <w:rFonts w:ascii="Cambria Math" w:hAnsi="Cambria Math" w:cstheme="majorBidi"/>
                    </w:rPr>
                    <m:t>(i)</m:t>
                  </m:r>
                </m:e>
              </m:nary>
              <m:r>
                <m:rPr>
                  <m:sty m:val="p"/>
                </m:rPr>
                <w:rPr>
                  <w:rFonts w:ascii="Cambria Math" w:hAnsiTheme="majorBidi" w:cstheme="majorBidi"/>
                </w:rPr>
                <m:t xml:space="preserve"> </m:t>
              </m:r>
              <m:r>
                <m:rPr>
                  <m:sty m:val="p"/>
                </m:rPr>
                <w:rPr>
                  <w:rFonts w:ascii="Cambria Math" w:hAnsi="Cambria Math" w:cstheme="majorBidi"/>
                </w:rPr>
                <m:t>×</m:t>
              </m:r>
              <m:r>
                <m:rPr>
                  <m:sty m:val="p"/>
                </m:rPr>
                <w:rPr>
                  <w:rFonts w:ascii="Cambria Math" w:hAnsiTheme="majorBidi" w:cstheme="majorBidi"/>
                </w:rPr>
                <m:t xml:space="preserve"> </m:t>
              </m:r>
              <m:r>
                <m:rPr>
                  <m:sty m:val="p"/>
                </m:rPr>
                <w:rPr>
                  <w:rFonts w:ascii="Cambria Math" w:hAnsi="Cambria Math" w:cstheme="majorBidi"/>
                </w:rPr>
                <m:t>∆t</m:t>
              </m:r>
              <m:r>
                <m:rPr>
                  <m:sty m:val="p"/>
                </m:rPr>
                <w:rPr>
                  <w:rFonts w:ascii="Cambria Math" w:hAnsiTheme="majorBidi" w:cstheme="majorBidi"/>
                </w:rPr>
                <m:t xml:space="preserve"> </m:t>
              </m:r>
              <m:r>
                <m:rPr>
                  <m:sty m:val="p"/>
                </m:rPr>
                <w:rPr>
                  <w:rFonts w:ascii="Cambria Math" w:hAnsi="Cambria Math" w:cstheme="majorBidi"/>
                </w:rPr>
                <m:t>×</m:t>
              </m:r>
              <m:r>
                <m:rPr>
                  <m:sty m:val="p"/>
                </m:rPr>
                <w:rPr>
                  <w:rFonts w:ascii="Cambria Math" w:hAnsiTheme="majorBidi" w:cstheme="majorBidi"/>
                </w:rPr>
                <m:t xml:space="preserve"> </m:t>
              </m:r>
              <m:r>
                <m:rPr>
                  <m:sty m:val="p"/>
                </m:rPr>
                <w:rPr>
                  <w:rFonts w:ascii="Cambria Math" w:hAnsi="Cambria Math" w:cstheme="majorBidi"/>
                </w:rPr>
                <m:t>C(i)</m:t>
              </m:r>
            </m:num>
            <m:den>
              <m:r>
                <m:rPr>
                  <m:sty m:val="p"/>
                </m:rPr>
                <w:rPr>
                  <w:rFonts w:ascii="Cambria Math" w:hAnsi="Cambria Math" w:cstheme="majorBidi"/>
                </w:rPr>
                <m:t>V</m:t>
              </m:r>
            </m:den>
          </m:f>
        </m:oMath>
      </m:oMathPara>
    </w:p>
    <w:p w:rsidR="00E24DB7" w:rsidRPr="002C5876" w:rsidRDefault="00E24DB7" w:rsidP="00E24DB7">
      <w:pPr>
        <w:pStyle w:val="SingleTxtG"/>
        <w:keepNext/>
        <w:ind w:left="2268"/>
      </w:pPr>
      <w:r w:rsidRPr="002C5876">
        <w:t>où :</w:t>
      </w:r>
    </w:p>
    <w:p w:rsidR="00E24DB7" w:rsidRPr="002C5876" w:rsidRDefault="00E24DB7" w:rsidP="00E24DB7">
      <w:pPr>
        <w:pStyle w:val="SingleTxtG"/>
        <w:ind w:left="3402" w:hanging="1134"/>
      </w:pPr>
      <w:r w:rsidRPr="002C5876">
        <w:t>C</w:t>
      </w:r>
      <w:r w:rsidRPr="002C5876">
        <w:rPr>
          <w:vertAlign w:val="subscript"/>
        </w:rPr>
        <w:t>e</w:t>
      </w:r>
      <w:r w:rsidRPr="002C5876">
        <w:tab/>
        <w:t>est la concentration moyenne arithmétique pondérée par le débit ;</w:t>
      </w:r>
    </w:p>
    <w:p w:rsidR="00E24DB7" w:rsidRPr="002C5876" w:rsidRDefault="00E24DB7" w:rsidP="00E24DB7">
      <w:pPr>
        <w:pStyle w:val="SingleTxtG"/>
        <w:ind w:left="3402" w:hanging="1134"/>
      </w:pPr>
      <w:r w:rsidRPr="002C5876">
        <w:t>q</w:t>
      </w:r>
      <w:r w:rsidRPr="002C5876">
        <w:rPr>
          <w:vertAlign w:val="subscript"/>
        </w:rPr>
        <w:t>VCVS</w:t>
      </w:r>
      <w:r w:rsidRPr="002C5876">
        <w:t>(i)</w:t>
      </w:r>
      <w:r w:rsidRPr="002C5876">
        <w:tab/>
        <w:t xml:space="preserve">est le débit CVS à l’instant t = i </w:t>
      </w:r>
      <w:r w:rsidRPr="002C5876">
        <w:sym w:font="Symbol" w:char="F0B4"/>
      </w:r>
      <w:r w:rsidRPr="002C5876">
        <w:t xml:space="preserve"> ∆t, en m</w:t>
      </w:r>
      <w:r w:rsidRPr="002C5876">
        <w:rPr>
          <w:vertAlign w:val="superscript"/>
        </w:rPr>
        <w:t>3</w:t>
      </w:r>
      <w:r w:rsidRPr="002C5876">
        <w:t>/min ;</w:t>
      </w:r>
    </w:p>
    <w:p w:rsidR="00E24DB7" w:rsidRPr="002C5876" w:rsidRDefault="00E24DB7" w:rsidP="00E24DB7">
      <w:pPr>
        <w:pStyle w:val="SingleTxtG"/>
        <w:ind w:left="3402" w:hanging="1134"/>
      </w:pPr>
      <w:r w:rsidRPr="002C5876">
        <w:t>C(i)</w:t>
      </w:r>
      <w:r w:rsidRPr="002C5876">
        <w:tab/>
        <w:t xml:space="preserve">est la concentration à l’instant t = i </w:t>
      </w:r>
      <w:r w:rsidRPr="002C5876">
        <w:sym w:font="Symbol" w:char="F0B4"/>
      </w:r>
      <w:r w:rsidRPr="002C5876">
        <w:t xml:space="preserve"> ∆t, en ppm ;</w:t>
      </w:r>
    </w:p>
    <w:p w:rsidR="00E24DB7" w:rsidRPr="002C5876" w:rsidRDefault="00E24DB7" w:rsidP="00E24DB7">
      <w:pPr>
        <w:pStyle w:val="SingleTxtG"/>
        <w:ind w:left="3402" w:hanging="1134"/>
      </w:pPr>
      <w:r w:rsidRPr="002C5876">
        <w:t>∆t</w:t>
      </w:r>
      <w:r w:rsidRPr="002C5876">
        <w:tab/>
        <w:t>est l’intervalle de prélèvement, en s ;</w:t>
      </w:r>
    </w:p>
    <w:p w:rsidR="00E24DB7" w:rsidRPr="002C5876" w:rsidRDefault="00E24DB7" w:rsidP="00E24DB7">
      <w:pPr>
        <w:pStyle w:val="SingleTxtG"/>
        <w:ind w:left="3402" w:hanging="1134"/>
      </w:pPr>
      <w:r w:rsidRPr="002C5876">
        <w:t>V</w:t>
      </w:r>
      <w:r w:rsidRPr="002C5876">
        <w:tab/>
        <w:t>est le volume CVS total, en m</w:t>
      </w:r>
      <w:r w:rsidRPr="002C5876">
        <w:rPr>
          <w:vertAlign w:val="superscript"/>
        </w:rPr>
        <w:t>3</w:t>
      </w:r>
      <w:r w:rsidRPr="002C5876">
        <w:t>.</w:t>
      </w:r>
    </w:p>
    <w:p w:rsidR="00E24DB7" w:rsidRPr="002C5876" w:rsidRDefault="00E24DB7" w:rsidP="00E24DB7">
      <w:pPr>
        <w:pStyle w:val="SingleTxtG"/>
        <w:keepNext/>
        <w:ind w:left="2268" w:hanging="1134"/>
        <w:jc w:val="left"/>
      </w:pPr>
      <w:r w:rsidRPr="002C5876">
        <w:t>3.2.1.2</w:t>
      </w:r>
      <w:r w:rsidRPr="002C5876">
        <w:tab/>
        <w:t>Calcul du facteur de correction d’humidité pour les NO</w:t>
      </w:r>
      <w:r w:rsidRPr="002C5876">
        <w:rPr>
          <w:vertAlign w:val="subscript"/>
        </w:rPr>
        <w:t>x</w:t>
      </w:r>
    </w:p>
    <w:p w:rsidR="00E24DB7" w:rsidRPr="002C5876" w:rsidRDefault="00E24DB7" w:rsidP="00E24DB7">
      <w:pPr>
        <w:pStyle w:val="SingleTxtG"/>
        <w:keepNext/>
        <w:ind w:left="2268"/>
      </w:pPr>
      <w:r w:rsidRPr="002C5876">
        <w:t>Afin de corriger les effets de l’humidité sur les résultats obtenus en ce qui concerne les oxydes d’azote, il convient de faire le calcul suivant :</w:t>
      </w:r>
    </w:p>
    <w:p w:rsidR="00E24DB7" w:rsidRPr="002C5876" w:rsidRDefault="00E24DB7" w:rsidP="00E24DB7">
      <w:pPr>
        <w:ind w:left="2268" w:right="1134"/>
        <w:jc w:val="center"/>
        <w:rPr>
          <w:b/>
        </w:rPr>
      </w:pPr>
      <m:oMathPara>
        <m:oMath>
          <m:r>
            <m:rPr>
              <m:sty m:val="p"/>
            </m:rPr>
            <w:rPr>
              <w:rFonts w:ascii="Cambria Math" w:hAnsi="Cambria Math" w:cstheme="majorBidi"/>
            </w:rPr>
            <m:t>KH=</m:t>
          </m:r>
          <m:f>
            <m:fPr>
              <m:ctrlPr>
                <w:rPr>
                  <w:rFonts w:ascii="Cambria Math" w:hAnsi="Cambria Math" w:cstheme="majorBidi"/>
                  <w:b/>
                </w:rPr>
              </m:ctrlPr>
            </m:fPr>
            <m:num>
              <m:r>
                <m:rPr>
                  <m:sty m:val="p"/>
                </m:rPr>
                <w:rPr>
                  <w:rFonts w:ascii="Cambria Math" w:hAnsi="Cambria Math" w:cstheme="majorBidi"/>
                </w:rPr>
                <m:t>1</m:t>
              </m:r>
            </m:num>
            <m:den>
              <m:r>
                <m:rPr>
                  <m:sty m:val="p"/>
                </m:rPr>
                <w:rPr>
                  <w:rFonts w:ascii="Cambria Math" w:hAnsi="Cambria Math" w:cstheme="majorBidi"/>
                </w:rPr>
                <m:t>1</m:t>
              </m:r>
              <m:r>
                <m:rPr>
                  <m:sty m:val="p"/>
                </m:rPr>
                <w:rPr>
                  <w:rFonts w:ascii="Cambria Math" w:hAnsiTheme="majorBidi" w:cstheme="majorBidi"/>
                </w:rPr>
                <m:t xml:space="preserve"> </m:t>
              </m:r>
              <m:r>
                <m:rPr>
                  <m:sty m:val="p"/>
                </m:rPr>
                <w:rPr>
                  <w:rFonts w:ascii="Cambria Math" w:hAnsi="Cambria Math" w:cstheme="majorBidi"/>
                </w:rPr>
                <m:t>-</m:t>
              </m:r>
              <m:r>
                <m:rPr>
                  <m:sty m:val="p"/>
                </m:rPr>
                <w:rPr>
                  <w:rFonts w:ascii="Cambria Math" w:hAnsiTheme="majorBidi" w:cstheme="majorBidi"/>
                </w:rPr>
                <m:t xml:space="preserve"> </m:t>
              </m:r>
              <m:r>
                <m:rPr>
                  <m:sty m:val="p"/>
                </m:rPr>
                <w:rPr>
                  <w:rFonts w:ascii="Cambria Math" w:hAnsi="Cambria Math" w:cstheme="majorBidi"/>
                </w:rPr>
                <m:t>0,0329</m:t>
              </m:r>
              <m:r>
                <m:rPr>
                  <m:sty m:val="p"/>
                </m:rPr>
                <w:rPr>
                  <w:rFonts w:ascii="Cambria Math" w:hAnsiTheme="majorBidi" w:cstheme="majorBidi"/>
                </w:rPr>
                <m:t xml:space="preserve"> </m:t>
              </m:r>
              <m:r>
                <m:rPr>
                  <m:sty m:val="p"/>
                </m:rPr>
                <w:rPr>
                  <w:rFonts w:ascii="Cambria Math" w:hAnsi="Cambria Math" w:cstheme="majorBidi"/>
                </w:rPr>
                <m:t>×</m:t>
              </m:r>
              <m:r>
                <m:rPr>
                  <m:sty m:val="p"/>
                </m:rPr>
                <w:rPr>
                  <w:rFonts w:ascii="Cambria Math" w:hAnsiTheme="majorBidi" w:cstheme="majorBidi"/>
                </w:rPr>
                <m:t xml:space="preserve"> </m:t>
              </m:r>
              <m:d>
                <m:dPr>
                  <m:ctrlPr>
                    <w:rPr>
                      <w:rFonts w:ascii="Cambria Math" w:hAnsi="Cambria Math" w:cstheme="majorBidi"/>
                      <w:b/>
                    </w:rPr>
                  </m:ctrlPr>
                </m:dPr>
                <m:e>
                  <m:r>
                    <m:rPr>
                      <m:sty m:val="p"/>
                    </m:rPr>
                    <w:rPr>
                      <w:rFonts w:ascii="Cambria Math" w:hAnsi="Cambria Math" w:cstheme="majorBidi"/>
                    </w:rPr>
                    <m:t>H</m:t>
                  </m:r>
                  <m:r>
                    <m:rPr>
                      <m:sty m:val="p"/>
                    </m:rPr>
                    <w:rPr>
                      <w:rFonts w:ascii="Cambria Math" w:hAnsiTheme="majorBidi" w:cstheme="majorBidi"/>
                    </w:rPr>
                    <m:t xml:space="preserve"> </m:t>
                  </m:r>
                  <m:r>
                    <m:rPr>
                      <m:sty m:val="p"/>
                    </m:rPr>
                    <w:rPr>
                      <w:rFonts w:ascii="Cambria Math" w:hAnsi="Cambria Math" w:cstheme="majorBidi"/>
                    </w:rPr>
                    <m:t>-</m:t>
                  </m:r>
                  <m:r>
                    <m:rPr>
                      <m:sty m:val="p"/>
                    </m:rPr>
                    <w:rPr>
                      <w:rFonts w:ascii="Cambria Math" w:hAnsiTheme="majorBidi" w:cstheme="majorBidi"/>
                    </w:rPr>
                    <m:t xml:space="preserve"> </m:t>
                  </m:r>
                  <m:r>
                    <m:rPr>
                      <m:sty m:val="p"/>
                    </m:rPr>
                    <w:rPr>
                      <w:rFonts w:ascii="Cambria Math" w:hAnsi="Cambria Math" w:cstheme="majorBidi"/>
                    </w:rPr>
                    <m:t>10,71</m:t>
                  </m:r>
                </m:e>
              </m:d>
            </m:den>
          </m:f>
        </m:oMath>
      </m:oMathPara>
    </w:p>
    <w:p w:rsidR="00E24DB7" w:rsidRPr="002C5876" w:rsidRDefault="00E24DB7" w:rsidP="00E24DB7">
      <w:pPr>
        <w:pStyle w:val="SingleTxtG"/>
        <w:keepNext/>
        <w:ind w:left="2268"/>
      </w:pPr>
      <w:r w:rsidRPr="002C5876">
        <w:t>où :</w:t>
      </w:r>
    </w:p>
    <w:p w:rsidR="00E24DB7" w:rsidRPr="002C5876" w:rsidRDefault="00E24DB7" w:rsidP="00E24DB7">
      <w:pPr>
        <w:pStyle w:val="SingleTxtG"/>
        <w:keepNext/>
        <w:ind w:left="2268"/>
        <w:jc w:val="center"/>
      </w:pPr>
      <m:oMathPara>
        <m:oMath>
          <m:r>
            <m:rPr>
              <m:sty m:val="p"/>
            </m:rPr>
            <w:rPr>
              <w:rFonts w:ascii="Cambria Math" w:hAnsi="Cambria Math" w:cstheme="majorBidi"/>
            </w:rPr>
            <m:t>H=</m:t>
          </m:r>
          <m:f>
            <m:fPr>
              <m:ctrlPr>
                <w:rPr>
                  <w:rFonts w:ascii="Cambria Math" w:hAnsi="Cambria Math" w:cstheme="majorBidi"/>
                </w:rPr>
              </m:ctrlPr>
            </m:fPr>
            <m:num>
              <m:r>
                <m:rPr>
                  <m:sty m:val="p"/>
                </m:rPr>
                <w:rPr>
                  <w:rFonts w:ascii="Cambria Math" w:hAnsi="Cambria Math" w:cstheme="majorBidi"/>
                </w:rPr>
                <m:t>6,211</m:t>
              </m:r>
              <m:r>
                <m:rPr>
                  <m:sty m:val="p"/>
                </m:rPr>
                <w:rPr>
                  <w:rFonts w:ascii="Cambria Math" w:hAnsiTheme="majorBidi" w:cstheme="majorBidi"/>
                </w:rPr>
                <m:t xml:space="preserve"> </m:t>
              </m:r>
              <m:r>
                <m:rPr>
                  <m:sty m:val="p"/>
                </m:rPr>
                <w:rPr>
                  <w:rFonts w:ascii="Cambria Math" w:hAnsi="Cambria Math" w:cstheme="majorBidi"/>
                </w:rPr>
                <m:t>×</m:t>
              </m:r>
              <m:r>
                <m:rPr>
                  <m:sty m:val="p"/>
                </m:rPr>
                <w:rPr>
                  <w:rFonts w:ascii="Cambria Math" w:hAnsiTheme="majorBidi" w:cstheme="majorBidi"/>
                </w:rPr>
                <m:t xml:space="preserve"> </m:t>
              </m:r>
              <m:sSub>
                <m:sSubPr>
                  <m:ctrlPr>
                    <w:rPr>
                      <w:rFonts w:ascii="Cambria Math" w:hAnsi="Cambria Math" w:cstheme="majorBidi"/>
                    </w:rPr>
                  </m:ctrlPr>
                </m:sSubPr>
                <m:e>
                  <m:r>
                    <m:rPr>
                      <m:sty m:val="p"/>
                    </m:rPr>
                    <w:rPr>
                      <w:rFonts w:ascii="Cambria Math" w:hAnsi="Cambria Math" w:cstheme="majorBidi"/>
                    </w:rPr>
                    <m:t>R</m:t>
                  </m:r>
                </m:e>
                <m:sub>
                  <m:r>
                    <m:rPr>
                      <m:sty m:val="p"/>
                    </m:rPr>
                    <w:rPr>
                      <w:rFonts w:ascii="Cambria Math" w:hAnsi="Cambria Math" w:cstheme="majorBidi"/>
                    </w:rPr>
                    <m:t>a</m:t>
                  </m:r>
                </m:sub>
              </m:sSub>
              <m:r>
                <m:rPr>
                  <m:sty m:val="p"/>
                </m:rPr>
                <w:rPr>
                  <w:rFonts w:ascii="Cambria Math" w:hAnsiTheme="majorBidi" w:cstheme="majorBidi"/>
                </w:rPr>
                <m:t xml:space="preserve"> </m:t>
              </m:r>
              <m:r>
                <m:rPr>
                  <m:sty m:val="p"/>
                </m:rPr>
                <w:rPr>
                  <w:rFonts w:ascii="Cambria Math" w:hAnsi="Cambria Math" w:cstheme="majorBidi"/>
                </w:rPr>
                <m:t>×</m:t>
              </m:r>
              <m:r>
                <m:rPr>
                  <m:sty m:val="p"/>
                </m:rPr>
                <w:rPr>
                  <w:rFonts w:ascii="Cambria Math" w:hAnsiTheme="majorBidi" w:cstheme="majorBidi"/>
                </w:rPr>
                <m:t xml:space="preserve"> </m:t>
              </m:r>
              <m:sSub>
                <m:sSubPr>
                  <m:ctrlPr>
                    <w:rPr>
                      <w:rFonts w:ascii="Cambria Math" w:hAnsi="Cambria Math" w:cstheme="majorBidi"/>
                    </w:rPr>
                  </m:ctrlPr>
                </m:sSubPr>
                <m:e>
                  <m:r>
                    <m:rPr>
                      <m:sty m:val="p"/>
                    </m:rPr>
                    <w:rPr>
                      <w:rFonts w:ascii="Cambria Math" w:hAnsi="Cambria Math" w:cstheme="majorBidi"/>
                    </w:rPr>
                    <m:t>P</m:t>
                  </m:r>
                </m:e>
                <m:sub>
                  <m:r>
                    <m:rPr>
                      <m:sty m:val="p"/>
                    </m:rPr>
                    <w:rPr>
                      <w:rFonts w:ascii="Cambria Math" w:hAnsi="Cambria Math" w:cstheme="majorBidi"/>
                    </w:rPr>
                    <m:t>d</m:t>
                  </m:r>
                </m:sub>
              </m:sSub>
            </m:num>
            <m:den>
              <m:sSub>
                <m:sSubPr>
                  <m:ctrlPr>
                    <w:rPr>
                      <w:rFonts w:ascii="Cambria Math" w:hAnsi="Cambria Math" w:cstheme="majorBidi"/>
                    </w:rPr>
                  </m:ctrlPr>
                </m:sSubPr>
                <m:e>
                  <m:r>
                    <m:rPr>
                      <m:sty m:val="p"/>
                    </m:rPr>
                    <w:rPr>
                      <w:rFonts w:ascii="Cambria Math" w:hAnsi="Cambria Math" w:cstheme="majorBidi"/>
                    </w:rPr>
                    <m:t>P</m:t>
                  </m:r>
                </m:e>
                <m:sub>
                  <m:r>
                    <m:rPr>
                      <m:sty m:val="p"/>
                    </m:rPr>
                    <w:rPr>
                      <w:rFonts w:ascii="Cambria Math" w:hAnsi="Cambria Math" w:cstheme="majorBidi"/>
                    </w:rPr>
                    <m:t>B</m:t>
                  </m:r>
                  <m:r>
                    <m:rPr>
                      <m:sty m:val="p"/>
                    </m:rPr>
                    <w:rPr>
                      <w:rFonts w:ascii="Cambria Math" w:hAnsiTheme="majorBidi" w:cstheme="majorBidi"/>
                    </w:rPr>
                    <m:t xml:space="preserve"> </m:t>
                  </m:r>
                </m:sub>
              </m:sSub>
              <m:r>
                <m:rPr>
                  <m:sty m:val="p"/>
                </m:rPr>
                <w:rPr>
                  <w:rFonts w:ascii="Cambria Math" w:hAnsi="Cambria Math" w:cstheme="majorBidi"/>
                </w:rPr>
                <m:t>-</m:t>
              </m:r>
              <m:r>
                <m:rPr>
                  <m:sty m:val="p"/>
                </m:rPr>
                <w:rPr>
                  <w:rFonts w:ascii="Cambria Math" w:hAnsiTheme="majorBidi" w:cstheme="majorBidi"/>
                </w:rPr>
                <m:t xml:space="preserve"> </m:t>
              </m:r>
              <m:sSub>
                <m:sSubPr>
                  <m:ctrlPr>
                    <w:rPr>
                      <w:rFonts w:ascii="Cambria Math" w:hAnsi="Cambria Math" w:cstheme="majorBidi"/>
                    </w:rPr>
                  </m:ctrlPr>
                </m:sSubPr>
                <m:e>
                  <m:r>
                    <m:rPr>
                      <m:sty m:val="p"/>
                    </m:rPr>
                    <w:rPr>
                      <w:rFonts w:ascii="Cambria Math" w:hAnsi="Cambria Math" w:cstheme="majorBidi"/>
                    </w:rPr>
                    <m:t>P</m:t>
                  </m:r>
                </m:e>
                <m:sub>
                  <m:r>
                    <m:rPr>
                      <m:sty m:val="p"/>
                    </m:rPr>
                    <w:rPr>
                      <w:rFonts w:ascii="Cambria Math" w:hAnsi="Cambria Math" w:cstheme="majorBidi"/>
                    </w:rPr>
                    <m:t>d</m:t>
                  </m:r>
                </m:sub>
              </m:sSub>
              <m:r>
                <m:rPr>
                  <m:sty m:val="p"/>
                </m:rPr>
                <w:rPr>
                  <w:rFonts w:ascii="Cambria Math" w:hAnsiTheme="majorBidi" w:cstheme="majorBidi"/>
                </w:rPr>
                <m:t xml:space="preserve"> </m:t>
              </m:r>
              <m:r>
                <m:rPr>
                  <m:sty m:val="p"/>
                </m:rPr>
                <w:rPr>
                  <w:rFonts w:ascii="Cambria Math" w:hAnsi="Cambria Math" w:cstheme="majorBidi"/>
                </w:rPr>
                <m:t>×</m:t>
              </m:r>
              <m:r>
                <m:rPr>
                  <m:sty m:val="p"/>
                </m:rPr>
                <w:rPr>
                  <w:rFonts w:ascii="Cambria Math" w:hAnsiTheme="majorBidi" w:cstheme="majorBidi"/>
                </w:rPr>
                <m:t xml:space="preserve"> </m:t>
              </m:r>
              <m:sSub>
                <m:sSubPr>
                  <m:ctrlPr>
                    <w:rPr>
                      <w:rFonts w:ascii="Cambria Math" w:hAnsi="Cambria Math" w:cstheme="majorBidi"/>
                    </w:rPr>
                  </m:ctrlPr>
                </m:sSubPr>
                <m:e>
                  <m:r>
                    <m:rPr>
                      <m:sty m:val="p"/>
                    </m:rPr>
                    <w:rPr>
                      <w:rFonts w:ascii="Cambria Math" w:hAnsi="Cambria Math" w:cstheme="majorBidi"/>
                    </w:rPr>
                    <m:t>R</m:t>
                  </m:r>
                </m:e>
                <m:sub>
                  <m:r>
                    <m:rPr>
                      <m:sty m:val="p"/>
                    </m:rPr>
                    <w:rPr>
                      <w:rFonts w:ascii="Cambria Math" w:hAnsi="Cambria Math" w:cstheme="majorBidi"/>
                    </w:rPr>
                    <m:t>a</m:t>
                  </m:r>
                </m:sub>
              </m:sSub>
              <m:r>
                <m:rPr>
                  <m:sty m:val="p"/>
                </m:rPr>
                <w:rPr>
                  <w:rFonts w:ascii="Cambria Math" w:hAnsiTheme="majorBidi" w:cstheme="majorBidi"/>
                </w:rPr>
                <m:t xml:space="preserve"> </m:t>
              </m:r>
              <m:r>
                <m:rPr>
                  <m:sty m:val="p"/>
                </m:rPr>
                <w:rPr>
                  <w:rFonts w:ascii="Cambria Math" w:hAnsi="Cambria Math" w:cstheme="majorBidi"/>
                </w:rPr>
                <m:t>×</m:t>
              </m:r>
              <m:sSup>
                <m:sSupPr>
                  <m:ctrlPr>
                    <w:rPr>
                      <w:rFonts w:ascii="Cambria Math" w:hAnsi="Cambria Math" w:cstheme="majorBidi"/>
                    </w:rPr>
                  </m:ctrlPr>
                </m:sSupPr>
                <m:e>
                  <m:r>
                    <m:rPr>
                      <m:sty m:val="p"/>
                    </m:rPr>
                    <w:rPr>
                      <w:rFonts w:ascii="Cambria Math" w:hAnsiTheme="majorBidi" w:cstheme="majorBidi"/>
                    </w:rPr>
                    <m:t xml:space="preserve"> </m:t>
                  </m:r>
                  <m:r>
                    <m:rPr>
                      <m:sty m:val="p"/>
                    </m:rPr>
                    <w:rPr>
                      <w:rFonts w:ascii="Cambria Math" w:hAnsi="Cambria Math" w:cstheme="majorBidi"/>
                    </w:rPr>
                    <m:t>10</m:t>
                  </m:r>
                </m:e>
                <m:sup>
                  <m:r>
                    <m:rPr>
                      <m:sty m:val="p"/>
                    </m:rPr>
                    <w:rPr>
                      <w:rFonts w:ascii="Cambria Math" w:hAnsi="Cambria Math" w:cstheme="majorBidi"/>
                    </w:rPr>
                    <m:t>-2</m:t>
                  </m:r>
                </m:sup>
              </m:sSup>
            </m:den>
          </m:f>
        </m:oMath>
      </m:oMathPara>
    </w:p>
    <w:p w:rsidR="00E24DB7" w:rsidRPr="002C5876" w:rsidRDefault="00E24DB7" w:rsidP="00E24DB7">
      <w:pPr>
        <w:pStyle w:val="SingleTxtG"/>
        <w:ind w:left="2268"/>
      </w:pPr>
      <w:r w:rsidRPr="002C5876">
        <w:t>Et :</w:t>
      </w:r>
    </w:p>
    <w:p w:rsidR="00E24DB7" w:rsidRPr="002C5876" w:rsidRDefault="00E24DB7" w:rsidP="00E24DB7">
      <w:pPr>
        <w:pStyle w:val="SingleTxtG"/>
        <w:ind w:left="3402" w:hanging="1134"/>
      </w:pPr>
      <w:r w:rsidRPr="002C5876">
        <w:t>H</w:t>
      </w:r>
      <w:r w:rsidRPr="002C5876">
        <w:tab/>
        <w:t>est l’humidité spécifique, exprimée en g de vapeur d’eau par kg d’air sec ;</w:t>
      </w:r>
    </w:p>
    <w:p w:rsidR="00E24DB7" w:rsidRPr="002C5876" w:rsidRDefault="00E24DB7" w:rsidP="00E24DB7">
      <w:pPr>
        <w:pStyle w:val="SingleTxtG"/>
        <w:ind w:left="3402" w:hanging="1134"/>
      </w:pPr>
      <w:r w:rsidRPr="002C5876">
        <w:t>R</w:t>
      </w:r>
      <w:r w:rsidRPr="002C5876">
        <w:rPr>
          <w:vertAlign w:val="subscript"/>
        </w:rPr>
        <w:t>a</w:t>
      </w:r>
      <w:r w:rsidRPr="002C5876">
        <w:tab/>
        <w:t>est l’humidité relative de l’air ambiant, en pourcentage ;</w:t>
      </w:r>
    </w:p>
    <w:p w:rsidR="00E24DB7" w:rsidRPr="002C5876" w:rsidRDefault="00E24DB7" w:rsidP="00E24DB7">
      <w:pPr>
        <w:pStyle w:val="SingleTxtG"/>
        <w:ind w:left="3402" w:hanging="1134"/>
      </w:pPr>
      <w:r w:rsidRPr="002C5876">
        <w:t>Р</w:t>
      </w:r>
      <w:r w:rsidRPr="002C5876">
        <w:rPr>
          <w:vertAlign w:val="subscript"/>
        </w:rPr>
        <w:t>d</w:t>
      </w:r>
      <w:r w:rsidRPr="002C5876">
        <w:tab/>
        <w:t>est la pression de vapeur saturante à la température ambiante, en kPa ;</w:t>
      </w:r>
    </w:p>
    <w:p w:rsidR="00E24DB7" w:rsidRPr="002C5876" w:rsidRDefault="00E24DB7" w:rsidP="00E24DB7">
      <w:pPr>
        <w:pStyle w:val="SingleTxtG"/>
        <w:ind w:left="3402" w:hanging="1134"/>
      </w:pPr>
      <w:r w:rsidRPr="002C5876">
        <w:t>Р</w:t>
      </w:r>
      <w:r w:rsidRPr="002C5876">
        <w:rPr>
          <w:vertAlign w:val="subscript"/>
        </w:rPr>
        <w:t>B</w:t>
      </w:r>
      <w:r w:rsidRPr="002C5876">
        <w:tab/>
        <w:t>est la pression atmosphérique dans la pièce, en kPa.</w:t>
      </w:r>
    </w:p>
    <w:p w:rsidR="00E24DB7" w:rsidRPr="002C5876" w:rsidRDefault="00E24DB7" w:rsidP="00E24DB7">
      <w:pPr>
        <w:pStyle w:val="SingleTxtG"/>
        <w:ind w:left="2268"/>
      </w:pPr>
      <w:r w:rsidRPr="002C5876">
        <w:t>Le facteur KH doit être calculé pour chaque phase du cycle d’essai.</w:t>
      </w:r>
    </w:p>
    <w:p w:rsidR="00E24DB7" w:rsidRPr="002C5876" w:rsidRDefault="00E24DB7" w:rsidP="00E24DB7">
      <w:pPr>
        <w:pStyle w:val="SingleTxtG"/>
        <w:ind w:left="2268"/>
      </w:pPr>
      <w:r w:rsidRPr="002C5876">
        <w:t xml:space="preserve">La température ambiante et l’humidité relative doivent correspondre à la moyenne arithmétique des valeurs mesurées en continu au cours de chaque phase. </w:t>
      </w:r>
    </w:p>
    <w:p w:rsidR="00E24DB7" w:rsidRPr="002C5876" w:rsidRDefault="00E24DB7" w:rsidP="00E24DB7">
      <w:pPr>
        <w:pStyle w:val="SingleTxtG"/>
        <w:keepNext/>
        <w:ind w:left="2268" w:hanging="1134"/>
        <w:jc w:val="left"/>
      </w:pPr>
      <w:r w:rsidRPr="002C5876">
        <w:lastRenderedPageBreak/>
        <w:t>3.2.1.3</w:t>
      </w:r>
      <w:r w:rsidRPr="002C5876">
        <w:tab/>
        <w:t>Détermination de la concentration de NO</w:t>
      </w:r>
      <w:r w:rsidRPr="002C5876">
        <w:rPr>
          <w:vertAlign w:val="subscript"/>
        </w:rPr>
        <w:t>2</w:t>
      </w:r>
      <w:r w:rsidRPr="002C5876">
        <w:t xml:space="preserve"> à partir du NO et des NO</w:t>
      </w:r>
      <w:r w:rsidRPr="002C5876">
        <w:rPr>
          <w:vertAlign w:val="subscript"/>
        </w:rPr>
        <w:t xml:space="preserve">x </w:t>
      </w:r>
      <w:r w:rsidRPr="002C5876">
        <w:rPr>
          <w:vertAlign w:val="subscript"/>
        </w:rPr>
        <w:br/>
      </w:r>
      <w:r w:rsidRPr="002C5876">
        <w:t>(le cas échéant)</w:t>
      </w:r>
    </w:p>
    <w:p w:rsidR="00E24DB7" w:rsidRPr="002C5876" w:rsidRDefault="00E24DB7" w:rsidP="00E24DB7">
      <w:pPr>
        <w:pStyle w:val="SingleTxtG"/>
        <w:ind w:left="2268"/>
      </w:pPr>
      <w:r w:rsidRPr="002C5876">
        <w:t>On détermine la concentration de NO</w:t>
      </w:r>
      <w:r w:rsidRPr="002C5876">
        <w:rPr>
          <w:vertAlign w:val="subscript"/>
        </w:rPr>
        <w:t>2</w:t>
      </w:r>
      <w:r w:rsidRPr="002C5876">
        <w:t xml:space="preserve"> en fonction de la différence entre la concentration de NO</w:t>
      </w:r>
      <w:r w:rsidRPr="002C5876">
        <w:rPr>
          <w:vertAlign w:val="subscript"/>
        </w:rPr>
        <w:t>x</w:t>
      </w:r>
      <w:r w:rsidRPr="002C5876">
        <w:t xml:space="preserve"> dans le sac corrigée de la concentration présente dans l’air de dilution et la concentration de NO obtenue par mesure en continu corrigée de la concentration présente dans l’air de dilution. </w:t>
      </w:r>
    </w:p>
    <w:p w:rsidR="00E24DB7" w:rsidRPr="002C5876" w:rsidRDefault="00E24DB7" w:rsidP="00E24DB7">
      <w:pPr>
        <w:pStyle w:val="SingleTxtG"/>
        <w:keepNext/>
        <w:ind w:left="2268" w:hanging="1134"/>
        <w:jc w:val="left"/>
      </w:pPr>
      <w:r w:rsidRPr="002C5876">
        <w:t>3.2.1.3.1</w:t>
      </w:r>
      <w:r w:rsidRPr="002C5876">
        <w:tab/>
        <w:t>Concentrations de NO</w:t>
      </w:r>
    </w:p>
    <w:p w:rsidR="00E24DB7" w:rsidRPr="002C5876" w:rsidRDefault="00E24DB7" w:rsidP="00E24DB7">
      <w:pPr>
        <w:pStyle w:val="SingleTxtG"/>
        <w:ind w:left="2268" w:hanging="1134"/>
      </w:pPr>
      <w:r w:rsidRPr="002C5876">
        <w:t>3.2.1.3.1.1</w:t>
      </w:r>
      <w:r w:rsidRPr="002C5876">
        <w:tab/>
        <w:t>Les concentrations de NO doivent être calculées à partir des valeurs de l’analyseur de NO intégrées et éventuellement corrigées de la fluctuation du débit.</w:t>
      </w:r>
    </w:p>
    <w:p w:rsidR="00E24DB7" w:rsidRPr="002C5876" w:rsidRDefault="00E24DB7" w:rsidP="00E24DB7">
      <w:pPr>
        <w:pStyle w:val="SingleTxtG"/>
        <w:keepNext/>
        <w:ind w:left="2268" w:hanging="1134"/>
      </w:pPr>
      <w:r w:rsidRPr="002C5876">
        <w:t>3.2.1.3.1.2</w:t>
      </w:r>
      <w:r w:rsidRPr="002C5876">
        <w:tab/>
        <w:t>La concentration moyenne arithmétique de NO doit être calculée au moyen de l’équation suivante :</w:t>
      </w:r>
    </w:p>
    <w:p w:rsidR="00E24DB7" w:rsidRPr="002C5876" w:rsidRDefault="00731CA6" w:rsidP="00E24DB7">
      <w:pPr>
        <w:ind w:left="2268" w:right="1134"/>
        <w:jc w:val="center"/>
        <w:rPr>
          <w:b/>
        </w:rPr>
      </w:pPr>
      <m:oMathPara>
        <m:oMathParaPr>
          <m:jc m:val="center"/>
        </m:oMathParaPr>
        <m:oMath>
          <m:sSub>
            <m:sSubPr>
              <m:ctrlPr>
                <w:rPr>
                  <w:rFonts w:ascii="Cambria Math" w:hAnsi="Cambria Math" w:cstheme="majorBidi"/>
                  <w:b/>
                </w:rPr>
              </m:ctrlPr>
            </m:sSubPr>
            <m:e>
              <m:r>
                <m:rPr>
                  <m:sty m:val="p"/>
                </m:rPr>
                <w:rPr>
                  <w:rFonts w:ascii="Cambria Math" w:hAnsi="Cambria Math" w:cstheme="majorBidi"/>
                </w:rPr>
                <m:t>C</m:t>
              </m:r>
            </m:e>
            <m:sub>
              <m:r>
                <m:rPr>
                  <m:sty m:val="p"/>
                </m:rPr>
                <w:rPr>
                  <w:rFonts w:ascii="Cambria Math" w:hAnsi="Cambria Math" w:cstheme="majorBidi"/>
                </w:rPr>
                <m:t>e</m:t>
              </m:r>
            </m:sub>
          </m:sSub>
          <m:r>
            <m:rPr>
              <m:sty m:val="p"/>
            </m:rPr>
            <w:rPr>
              <w:rFonts w:ascii="Cambria Math" w:hAnsi="Cambria Math" w:cstheme="majorBidi"/>
            </w:rPr>
            <m:t>=</m:t>
          </m:r>
          <m:f>
            <m:fPr>
              <m:ctrlPr>
                <w:rPr>
                  <w:rFonts w:ascii="Cambria Math" w:hAnsi="Cambria Math" w:cstheme="majorBidi"/>
                  <w:b/>
                </w:rPr>
              </m:ctrlPr>
            </m:fPr>
            <m:num>
              <m:nary>
                <m:naryPr>
                  <m:limLoc m:val="subSup"/>
                  <m:ctrlPr>
                    <w:rPr>
                      <w:rFonts w:ascii="Cambria Math" w:hAnsi="Cambria Math" w:cstheme="majorBidi"/>
                      <w:b/>
                    </w:rPr>
                  </m:ctrlPr>
                </m:naryPr>
                <m:sub>
                  <m:sSub>
                    <m:sSubPr>
                      <m:ctrlPr>
                        <w:rPr>
                          <w:rFonts w:ascii="Cambria Math" w:hAnsi="Cambria Math" w:cstheme="majorBidi"/>
                          <w:b/>
                        </w:rPr>
                      </m:ctrlPr>
                    </m:sSubPr>
                    <m:e>
                      <m:r>
                        <m:rPr>
                          <m:sty m:val="p"/>
                        </m:rPr>
                        <w:rPr>
                          <w:rFonts w:ascii="Cambria Math" w:hAnsi="Cambria Math" w:cstheme="majorBidi"/>
                        </w:rPr>
                        <m:t>t</m:t>
                      </m:r>
                    </m:e>
                    <m:sub>
                      <m:r>
                        <m:rPr>
                          <m:sty m:val="p"/>
                        </m:rPr>
                        <w:rPr>
                          <w:rFonts w:ascii="Cambria Math" w:hAnsi="Cambria Math" w:cstheme="majorBidi"/>
                        </w:rPr>
                        <m:t>1</m:t>
                      </m:r>
                    </m:sub>
                  </m:sSub>
                </m:sub>
                <m:sup>
                  <m:sSub>
                    <m:sSubPr>
                      <m:ctrlPr>
                        <w:rPr>
                          <w:rFonts w:ascii="Cambria Math" w:hAnsi="Cambria Math" w:cstheme="majorBidi"/>
                          <w:b/>
                        </w:rPr>
                      </m:ctrlPr>
                    </m:sSubPr>
                    <m:e>
                      <m:r>
                        <m:rPr>
                          <m:sty m:val="p"/>
                        </m:rPr>
                        <w:rPr>
                          <w:rFonts w:ascii="Cambria Math" w:hAnsi="Cambria Math" w:cstheme="majorBidi"/>
                        </w:rPr>
                        <m:t>t</m:t>
                      </m:r>
                    </m:e>
                    <m:sub>
                      <m:r>
                        <m:rPr>
                          <m:sty m:val="p"/>
                        </m:rPr>
                        <w:rPr>
                          <w:rFonts w:ascii="Cambria Math" w:hAnsi="Cambria Math" w:cstheme="majorBidi"/>
                        </w:rPr>
                        <m:t>2</m:t>
                      </m:r>
                    </m:sub>
                  </m:sSub>
                </m:sup>
                <m:e>
                  <m:sSub>
                    <m:sSubPr>
                      <m:ctrlPr>
                        <w:rPr>
                          <w:rFonts w:ascii="Cambria Math" w:hAnsi="Cambria Math" w:cstheme="majorBidi"/>
                          <w:b/>
                        </w:rPr>
                      </m:ctrlPr>
                    </m:sSubPr>
                    <m:e>
                      <m:r>
                        <m:rPr>
                          <m:sty m:val="p"/>
                        </m:rPr>
                        <w:rPr>
                          <w:rFonts w:ascii="Cambria Math" w:hAnsi="Cambria Math" w:cstheme="majorBidi"/>
                        </w:rPr>
                        <m:t>C</m:t>
                      </m:r>
                    </m:e>
                    <m:sub>
                      <m:r>
                        <m:rPr>
                          <m:sty m:val="p"/>
                        </m:rPr>
                        <w:rPr>
                          <w:rFonts w:ascii="Cambria Math" w:hAnsi="Cambria Math" w:cstheme="majorBidi"/>
                        </w:rPr>
                        <m:t>NO</m:t>
                      </m:r>
                    </m:sub>
                  </m:sSub>
                </m:e>
              </m:nary>
              <m:r>
                <m:rPr>
                  <m:sty m:val="p"/>
                </m:rPr>
                <w:rPr>
                  <w:rFonts w:ascii="Cambria Math" w:hAnsi="Cambria Math" w:cstheme="majorBidi"/>
                </w:rPr>
                <m:t>dt</m:t>
              </m:r>
            </m:num>
            <m:den>
              <m:sSub>
                <m:sSubPr>
                  <m:ctrlPr>
                    <w:rPr>
                      <w:rFonts w:ascii="Cambria Math" w:hAnsi="Cambria Math" w:cstheme="majorBidi"/>
                      <w:b/>
                    </w:rPr>
                  </m:ctrlPr>
                </m:sSubPr>
                <m:e>
                  <m:r>
                    <m:rPr>
                      <m:sty m:val="p"/>
                    </m:rPr>
                    <w:rPr>
                      <w:rFonts w:ascii="Cambria Math" w:hAnsi="Cambria Math" w:cstheme="majorBidi"/>
                    </w:rPr>
                    <m:t>t</m:t>
                  </m:r>
                </m:e>
                <m:sub>
                  <m:r>
                    <m:rPr>
                      <m:sty m:val="p"/>
                    </m:rPr>
                    <w:rPr>
                      <w:rFonts w:ascii="Cambria Math" w:hAnsi="Cambria Math" w:cstheme="majorBidi"/>
                    </w:rPr>
                    <m:t>2</m:t>
                  </m:r>
                </m:sub>
              </m:sSub>
              <m:r>
                <m:rPr>
                  <m:sty m:val="p"/>
                </m:rPr>
                <w:rPr>
                  <w:rFonts w:ascii="Cambria Math" w:hAnsi="Cambria Math" w:cstheme="majorBidi"/>
                </w:rPr>
                <m:t>-</m:t>
              </m:r>
              <m:sSub>
                <m:sSubPr>
                  <m:ctrlPr>
                    <w:rPr>
                      <w:rFonts w:ascii="Cambria Math" w:hAnsi="Cambria Math" w:cstheme="majorBidi"/>
                      <w:b/>
                    </w:rPr>
                  </m:ctrlPr>
                </m:sSubPr>
                <m:e>
                  <m:r>
                    <m:rPr>
                      <m:sty m:val="p"/>
                    </m:rPr>
                    <w:rPr>
                      <w:rFonts w:ascii="Cambria Math" w:hAnsi="Cambria Math" w:cstheme="majorBidi"/>
                    </w:rPr>
                    <m:t>t</m:t>
                  </m:r>
                </m:e>
                <m:sub>
                  <m:r>
                    <m:rPr>
                      <m:sty m:val="p"/>
                    </m:rPr>
                    <w:rPr>
                      <w:rFonts w:ascii="Cambria Math" w:hAnsi="Cambria Math" w:cstheme="majorBidi"/>
                    </w:rPr>
                    <m:t>1</m:t>
                  </m:r>
                </m:sub>
              </m:sSub>
            </m:den>
          </m:f>
        </m:oMath>
      </m:oMathPara>
    </w:p>
    <w:p w:rsidR="00E24DB7" w:rsidRPr="002C5876" w:rsidRDefault="00E24DB7" w:rsidP="00E24DB7">
      <w:pPr>
        <w:pStyle w:val="SingleTxtG"/>
        <w:ind w:left="2268"/>
      </w:pPr>
      <w:r w:rsidRPr="002C5876">
        <w:t>où :</w:t>
      </w:r>
    </w:p>
    <w:p w:rsidR="00E24DB7" w:rsidRPr="002C5876" w:rsidRDefault="00E24DB7" w:rsidP="00E24DB7">
      <w:pPr>
        <w:pStyle w:val="SingleTxtG"/>
        <w:ind w:left="3402" w:hanging="1134"/>
      </w:pPr>
      <w:r w:rsidRPr="002C5876">
        <w:rPr>
          <w:noProof/>
          <w:position w:val="-18"/>
          <w:lang w:val="en-GB" w:eastAsia="zh-CN"/>
        </w:rPr>
        <w:drawing>
          <wp:inline distT="0" distB="0" distL="0" distR="0" wp14:anchorId="652E9FB5" wp14:editId="48B1DA7D">
            <wp:extent cx="495300" cy="266700"/>
            <wp:effectExtent l="0" t="0" r="0" b="0"/>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r w:rsidRPr="002C5876">
        <w:tab/>
        <w:t>est calculé par intégration de la valeur relevée par l’analyseur de NO en mode dilution continue au cours de l’essai (t</w:t>
      </w:r>
      <w:r w:rsidRPr="002C5876">
        <w:rPr>
          <w:vertAlign w:val="subscript"/>
        </w:rPr>
        <w:t>1</w:t>
      </w:r>
      <w:r w:rsidRPr="002C5876">
        <w:t xml:space="preserve"> à t</w:t>
      </w:r>
      <w:r w:rsidRPr="002C5876">
        <w:rPr>
          <w:vertAlign w:val="subscript"/>
        </w:rPr>
        <w:t>2</w:t>
      </w:r>
      <w:r w:rsidRPr="002C5876">
        <w:t>) ;</w:t>
      </w:r>
    </w:p>
    <w:p w:rsidR="00E24DB7" w:rsidRPr="002C5876" w:rsidRDefault="00E24DB7" w:rsidP="00E24DB7">
      <w:pPr>
        <w:pStyle w:val="SingleTxtG"/>
        <w:ind w:left="3402" w:hanging="1134"/>
      </w:pPr>
      <w:r w:rsidRPr="002C5876">
        <w:t>C</w:t>
      </w:r>
      <w:r w:rsidRPr="002C5876">
        <w:rPr>
          <w:vertAlign w:val="subscript"/>
        </w:rPr>
        <w:t>e</w:t>
      </w:r>
      <w:r w:rsidRPr="002C5876">
        <w:tab/>
        <w:t>est la concentration de NO mesurée dans les gaz d’échappement dilués, en ppm.</w:t>
      </w:r>
    </w:p>
    <w:p w:rsidR="00E24DB7" w:rsidRPr="002C5876" w:rsidRDefault="00E24DB7" w:rsidP="00E24DB7">
      <w:pPr>
        <w:pStyle w:val="SingleTxtG"/>
        <w:ind w:left="2268" w:hanging="1134"/>
        <w:rPr>
          <w:b/>
          <w:i/>
        </w:rPr>
      </w:pPr>
      <w:r w:rsidRPr="002C5876">
        <w:t>3.2.1.3.1.3</w:t>
      </w:r>
      <w:r w:rsidRPr="002C5876">
        <w:tab/>
        <w:t>La concentration de NO dans l’air de dilution doit être déterminée à partir du sac qui contient ce dernier. Une correction doit être apportée conformément aux dispositions du paragraphe 3.2.1.1 ci-dessus.</w:t>
      </w:r>
    </w:p>
    <w:p w:rsidR="00E24DB7" w:rsidRPr="002C5876" w:rsidRDefault="00E24DB7" w:rsidP="00E24DB7">
      <w:pPr>
        <w:pStyle w:val="SingleTxtG"/>
        <w:keepNext/>
        <w:ind w:left="2268" w:hanging="1134"/>
        <w:jc w:val="left"/>
      </w:pPr>
      <w:r w:rsidRPr="002C5876">
        <w:t>3.2.1.3.2</w:t>
      </w:r>
      <w:r w:rsidRPr="002C5876">
        <w:tab/>
        <w:t>Concentrations de NO</w:t>
      </w:r>
      <w:r w:rsidRPr="002C5876">
        <w:rPr>
          <w:vertAlign w:val="subscript"/>
        </w:rPr>
        <w:t>2</w:t>
      </w:r>
      <w:r w:rsidRPr="002C5876">
        <w:t xml:space="preserve"> (le cas échéant)</w:t>
      </w:r>
    </w:p>
    <w:p w:rsidR="00E24DB7" w:rsidRPr="002C5876" w:rsidRDefault="00E24DB7" w:rsidP="00E24DB7">
      <w:pPr>
        <w:pStyle w:val="SingleTxtG"/>
        <w:ind w:left="2268" w:hanging="1134"/>
        <w:jc w:val="left"/>
        <w:rPr>
          <w:i/>
        </w:rPr>
      </w:pPr>
      <w:r w:rsidRPr="002C5876">
        <w:t>3.2.1.3.2.1</w:t>
      </w:r>
      <w:r w:rsidRPr="002C5876">
        <w:tab/>
        <w:t>Détermination de la concentration de NO</w:t>
      </w:r>
      <w:r w:rsidRPr="002C5876">
        <w:rPr>
          <w:vertAlign w:val="subscript"/>
        </w:rPr>
        <w:t>2</w:t>
      </w:r>
      <w:r w:rsidRPr="002C5876">
        <w:t xml:space="preserve"> par mesure directe </w:t>
      </w:r>
      <w:r w:rsidRPr="002C5876">
        <w:br/>
        <w:t>dans les gaz d’échappement dilués</w:t>
      </w:r>
    </w:p>
    <w:p w:rsidR="00E24DB7" w:rsidRPr="002C5876" w:rsidRDefault="00E24DB7" w:rsidP="00E24DB7">
      <w:pPr>
        <w:pStyle w:val="SingleTxtG"/>
        <w:ind w:left="2268" w:hanging="1134"/>
      </w:pPr>
      <w:r w:rsidRPr="002C5876">
        <w:t>3.2.1.3.2.2</w:t>
      </w:r>
      <w:r w:rsidRPr="002C5876">
        <w:tab/>
        <w:t>Les concentrations de NO</w:t>
      </w:r>
      <w:r w:rsidRPr="002C5876">
        <w:rPr>
          <w:vertAlign w:val="subscript"/>
        </w:rPr>
        <w:t>2</w:t>
      </w:r>
      <w:r w:rsidRPr="002C5876">
        <w:t xml:space="preserve"> doivent être calculées à partir des valeurs de l’analyseur de NO</w:t>
      </w:r>
      <w:r w:rsidRPr="002C5876">
        <w:rPr>
          <w:vertAlign w:val="subscript"/>
        </w:rPr>
        <w:t>2</w:t>
      </w:r>
      <w:r w:rsidRPr="002C5876">
        <w:t xml:space="preserve"> intégrées et éventuellement corrigées de la fluctuation du débit.</w:t>
      </w:r>
    </w:p>
    <w:p w:rsidR="00E24DB7" w:rsidRPr="002C5876" w:rsidRDefault="00E24DB7" w:rsidP="00E24DB7">
      <w:pPr>
        <w:pStyle w:val="SingleTxtG"/>
        <w:ind w:left="2268" w:hanging="1134"/>
      </w:pPr>
      <w:r w:rsidRPr="002C5876">
        <w:t>3.2.1.3.2.3</w:t>
      </w:r>
      <w:r w:rsidRPr="002C5876">
        <w:tab/>
        <w:t>La concentration moyenne arithmétique de NO</w:t>
      </w:r>
      <w:r w:rsidRPr="002C5876">
        <w:rPr>
          <w:vertAlign w:val="subscript"/>
        </w:rPr>
        <w:t>2</w:t>
      </w:r>
      <w:r w:rsidRPr="002C5876">
        <w:t xml:space="preserve"> doit être calculée en appliquant l’équation suivante :</w:t>
      </w:r>
    </w:p>
    <w:p w:rsidR="00E24DB7" w:rsidRPr="002C5876" w:rsidRDefault="00731CA6" w:rsidP="00E24DB7">
      <w:pPr>
        <w:pStyle w:val="SingleTxtG"/>
        <w:ind w:left="2268"/>
        <w:jc w:val="center"/>
      </w:pPr>
      <m:oMathPara>
        <m:oMath>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e</m:t>
              </m:r>
            </m:sub>
          </m:sSub>
          <m:r>
            <m:rPr>
              <m:sty m:val="p"/>
            </m:rPr>
            <w:rPr>
              <w:rFonts w:ascii="Cambria Math" w:hAnsi="Cambria Math" w:cstheme="majorBidi"/>
            </w:rPr>
            <m:t>=</m:t>
          </m:r>
          <m:f>
            <m:fPr>
              <m:ctrlPr>
                <w:rPr>
                  <w:rFonts w:ascii="Cambria Math" w:hAnsi="Cambria Math" w:cstheme="majorBidi"/>
                </w:rPr>
              </m:ctrlPr>
            </m:fPr>
            <m:num>
              <m:nary>
                <m:naryPr>
                  <m:limLoc m:val="subSup"/>
                  <m:ctrlPr>
                    <w:rPr>
                      <w:rFonts w:ascii="Cambria Math" w:hAnsi="Cambria Math" w:cstheme="majorBidi"/>
                    </w:rPr>
                  </m:ctrlPr>
                </m:naryPr>
                <m:sub>
                  <m:sSub>
                    <m:sSubPr>
                      <m:ctrlPr>
                        <w:rPr>
                          <w:rFonts w:ascii="Cambria Math" w:hAnsi="Cambria Math" w:cstheme="majorBidi"/>
                        </w:rPr>
                      </m:ctrlPr>
                    </m:sSubPr>
                    <m:e>
                      <m:r>
                        <m:rPr>
                          <m:sty m:val="p"/>
                        </m:rPr>
                        <w:rPr>
                          <w:rFonts w:ascii="Cambria Math" w:hAnsi="Cambria Math" w:cstheme="majorBidi"/>
                        </w:rPr>
                        <m:t>t</m:t>
                      </m:r>
                    </m:e>
                    <m:sub>
                      <m:r>
                        <m:rPr>
                          <m:sty m:val="p"/>
                        </m:rPr>
                        <w:rPr>
                          <w:rFonts w:ascii="Cambria Math" w:hAnsi="Cambria Math" w:cstheme="majorBidi"/>
                        </w:rPr>
                        <m:t>1</m:t>
                      </m:r>
                    </m:sub>
                  </m:sSub>
                </m:sub>
                <m:sup>
                  <m:sSub>
                    <m:sSubPr>
                      <m:ctrlPr>
                        <w:rPr>
                          <w:rFonts w:ascii="Cambria Math" w:hAnsi="Cambria Math" w:cstheme="majorBidi"/>
                        </w:rPr>
                      </m:ctrlPr>
                    </m:sSubPr>
                    <m:e>
                      <m:r>
                        <m:rPr>
                          <m:sty m:val="p"/>
                        </m:rPr>
                        <w:rPr>
                          <w:rFonts w:ascii="Cambria Math" w:hAnsi="Cambria Math" w:cstheme="majorBidi"/>
                        </w:rPr>
                        <m:t>t</m:t>
                      </m:r>
                    </m:e>
                    <m:sub>
                      <m:r>
                        <m:rPr>
                          <m:sty m:val="p"/>
                        </m:rPr>
                        <w:rPr>
                          <w:rFonts w:ascii="Cambria Math" w:hAnsi="Cambria Math" w:cstheme="majorBidi"/>
                        </w:rPr>
                        <m:t>2</m:t>
                      </m:r>
                    </m:sub>
                  </m:sSub>
                </m:sup>
                <m:e>
                  <m:sSub>
                    <m:sSubPr>
                      <m:ctrlPr>
                        <w:rPr>
                          <w:rFonts w:ascii="Cambria Math" w:hAnsi="Cambria Math" w:cstheme="majorBidi"/>
                        </w:rPr>
                      </m:ctrlPr>
                    </m:sSubPr>
                    <m:e>
                      <m:r>
                        <m:rPr>
                          <m:sty m:val="p"/>
                        </m:rPr>
                        <w:rPr>
                          <w:rFonts w:ascii="Cambria Math" w:hAnsi="Cambria Math" w:cstheme="majorBidi"/>
                        </w:rPr>
                        <m:t>C</m:t>
                      </m:r>
                    </m:e>
                    <m:sub>
                      <m:sSub>
                        <m:sSubPr>
                          <m:ctrlPr>
                            <w:rPr>
                              <w:rFonts w:ascii="Cambria Math" w:hAnsi="Cambria Math" w:cstheme="majorBidi"/>
                            </w:rPr>
                          </m:ctrlPr>
                        </m:sSubPr>
                        <m:e>
                          <m:r>
                            <m:rPr>
                              <m:sty m:val="p"/>
                            </m:rPr>
                            <w:rPr>
                              <w:rFonts w:ascii="Cambria Math" w:hAnsi="Cambria Math" w:cstheme="majorBidi"/>
                            </w:rPr>
                            <m:t>NO</m:t>
                          </m:r>
                        </m:e>
                        <m:sub>
                          <m:r>
                            <m:rPr>
                              <m:sty m:val="p"/>
                            </m:rPr>
                            <w:rPr>
                              <w:rFonts w:ascii="Cambria Math" w:hAnsi="Cambria Math" w:cstheme="majorBidi"/>
                            </w:rPr>
                            <m:t>2</m:t>
                          </m:r>
                        </m:sub>
                      </m:sSub>
                    </m:sub>
                  </m:sSub>
                </m:e>
              </m:nary>
              <m:r>
                <m:rPr>
                  <m:sty m:val="p"/>
                </m:rPr>
                <w:rPr>
                  <w:rFonts w:ascii="Cambria Math" w:hAnsi="Cambria Math" w:cstheme="majorBidi"/>
                </w:rPr>
                <m:t>dt</m:t>
              </m:r>
            </m:num>
            <m:den>
              <m:sSub>
                <m:sSubPr>
                  <m:ctrlPr>
                    <w:rPr>
                      <w:rFonts w:ascii="Cambria Math" w:hAnsi="Cambria Math" w:cstheme="majorBidi"/>
                    </w:rPr>
                  </m:ctrlPr>
                </m:sSubPr>
                <m:e>
                  <m:r>
                    <m:rPr>
                      <m:sty m:val="p"/>
                    </m:rPr>
                    <w:rPr>
                      <w:rFonts w:ascii="Cambria Math" w:hAnsi="Cambria Math" w:cstheme="majorBidi"/>
                    </w:rPr>
                    <m:t>t</m:t>
                  </m:r>
                </m:e>
                <m:sub>
                  <m:r>
                    <m:rPr>
                      <m:sty m:val="p"/>
                    </m:rPr>
                    <w:rPr>
                      <w:rFonts w:ascii="Cambria Math" w:hAnsi="Cambria Math" w:cstheme="majorBidi"/>
                    </w:rPr>
                    <m:t>2</m:t>
                  </m:r>
                </m:sub>
              </m:sSub>
              <m:r>
                <m:rPr>
                  <m:sty m:val="p"/>
                </m:rPr>
                <w:rPr>
                  <w:rFonts w:ascii="Cambria Math" w:hAnsiTheme="majorBidi" w:cstheme="majorBidi"/>
                </w:rPr>
                <m:t xml:space="preserve">  </m:t>
              </m:r>
              <m:r>
                <m:rPr>
                  <m:sty m:val="p"/>
                </m:rPr>
                <w:rPr>
                  <w:rFonts w:ascii="Cambria Math" w:hAnsi="Cambria Math" w:cstheme="majorBidi"/>
                </w:rPr>
                <m:t>-</m:t>
              </m:r>
              <m:r>
                <m:rPr>
                  <m:sty m:val="p"/>
                </m:rPr>
                <w:rPr>
                  <w:rFonts w:ascii="Cambria Math" w:hAnsiTheme="majorBidi" w:cstheme="majorBidi"/>
                </w:rPr>
                <m:t xml:space="preserve">  </m:t>
              </m:r>
              <m:sSub>
                <m:sSubPr>
                  <m:ctrlPr>
                    <w:rPr>
                      <w:rFonts w:ascii="Cambria Math" w:hAnsi="Cambria Math" w:cstheme="majorBidi"/>
                    </w:rPr>
                  </m:ctrlPr>
                </m:sSubPr>
                <m:e>
                  <m:r>
                    <m:rPr>
                      <m:sty m:val="p"/>
                    </m:rPr>
                    <w:rPr>
                      <w:rFonts w:ascii="Cambria Math" w:hAnsi="Cambria Math" w:cstheme="majorBidi"/>
                    </w:rPr>
                    <m:t>t</m:t>
                  </m:r>
                </m:e>
                <m:sub>
                  <m:r>
                    <m:rPr>
                      <m:sty m:val="p"/>
                    </m:rPr>
                    <w:rPr>
                      <w:rFonts w:ascii="Cambria Math" w:hAnsi="Cambria Math" w:cstheme="majorBidi"/>
                    </w:rPr>
                    <m:t>1</m:t>
                  </m:r>
                </m:sub>
              </m:sSub>
            </m:den>
          </m:f>
        </m:oMath>
      </m:oMathPara>
    </w:p>
    <w:p w:rsidR="00E24DB7" w:rsidRPr="002C5876" w:rsidRDefault="00E24DB7" w:rsidP="00E24DB7">
      <w:pPr>
        <w:pStyle w:val="SingleTxtG"/>
        <w:keepNext/>
        <w:ind w:left="2268"/>
      </w:pPr>
      <w:r w:rsidRPr="002C5876">
        <w:t>où :</w:t>
      </w:r>
    </w:p>
    <w:p w:rsidR="00E24DB7" w:rsidRPr="002C5876" w:rsidRDefault="00E24DB7" w:rsidP="00E24DB7">
      <w:pPr>
        <w:pStyle w:val="SingleTxtG"/>
        <w:ind w:left="3402" w:hanging="1134"/>
      </w:pPr>
      <w:r w:rsidRPr="002C5876">
        <w:rPr>
          <w:noProof/>
          <w:position w:val="-18"/>
          <w:lang w:val="en-GB" w:eastAsia="zh-CN"/>
        </w:rPr>
        <w:drawing>
          <wp:inline distT="0" distB="0" distL="0" distR="0" wp14:anchorId="6A17D14A" wp14:editId="2EC4E298">
            <wp:extent cx="552450" cy="266700"/>
            <wp:effectExtent l="0" t="0" r="0" b="0"/>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52450" cy="266700"/>
                    </a:xfrm>
                    <a:prstGeom prst="rect">
                      <a:avLst/>
                    </a:prstGeom>
                    <a:noFill/>
                    <a:ln>
                      <a:noFill/>
                    </a:ln>
                  </pic:spPr>
                </pic:pic>
              </a:graphicData>
            </a:graphic>
          </wp:inline>
        </w:drawing>
      </w:r>
      <w:r w:rsidRPr="002C5876">
        <w:tab/>
        <w:t>est calculé par intégration de la valeur relevée par l’analyseur de NO</w:t>
      </w:r>
      <w:r w:rsidRPr="002C5876">
        <w:rPr>
          <w:vertAlign w:val="subscript"/>
        </w:rPr>
        <w:t>2</w:t>
      </w:r>
      <w:r w:rsidRPr="002C5876">
        <w:t xml:space="preserve"> en mode dilution continue au cours de l’essai (t</w:t>
      </w:r>
      <w:r w:rsidRPr="002C5876">
        <w:rPr>
          <w:vertAlign w:val="subscript"/>
        </w:rPr>
        <w:t>1</w:t>
      </w:r>
      <w:r w:rsidRPr="002C5876">
        <w:t xml:space="preserve"> à t</w:t>
      </w:r>
      <w:r w:rsidRPr="002C5876">
        <w:rPr>
          <w:vertAlign w:val="subscript"/>
        </w:rPr>
        <w:t>2</w:t>
      </w:r>
      <w:r w:rsidRPr="002C5876">
        <w:t>) ;</w:t>
      </w:r>
    </w:p>
    <w:p w:rsidR="00E24DB7" w:rsidRPr="002C5876" w:rsidRDefault="00E24DB7" w:rsidP="00E24DB7">
      <w:pPr>
        <w:pStyle w:val="SingleTxtG"/>
        <w:ind w:left="3402" w:hanging="1134"/>
      </w:pPr>
      <w:r w:rsidRPr="002C5876">
        <w:t>C</w:t>
      </w:r>
      <w:r w:rsidRPr="002C5876">
        <w:rPr>
          <w:vertAlign w:val="subscript"/>
        </w:rPr>
        <w:t>e</w:t>
      </w:r>
      <w:r w:rsidRPr="002C5876">
        <w:tab/>
        <w:t>est la concentration de NO</w:t>
      </w:r>
      <w:r w:rsidRPr="002C5876">
        <w:rPr>
          <w:vertAlign w:val="subscript"/>
        </w:rPr>
        <w:t>2</w:t>
      </w:r>
      <w:r w:rsidRPr="002C5876">
        <w:t xml:space="preserve"> mesurée dans les gaz d’échappement dilués, en ppm.</w:t>
      </w:r>
    </w:p>
    <w:p w:rsidR="00E24DB7" w:rsidRPr="002C5876" w:rsidRDefault="00E24DB7" w:rsidP="00E24DB7">
      <w:pPr>
        <w:pStyle w:val="SingleTxtG"/>
        <w:ind w:left="2268" w:hanging="1134"/>
      </w:pPr>
      <w:r w:rsidRPr="002C5876">
        <w:t>3.2.1.3.2.4</w:t>
      </w:r>
      <w:r w:rsidRPr="002C5876">
        <w:tab/>
        <w:t>La concentration de NO</w:t>
      </w:r>
      <w:r w:rsidRPr="002C5876">
        <w:rPr>
          <w:vertAlign w:val="subscript"/>
        </w:rPr>
        <w:t>2</w:t>
      </w:r>
      <w:r w:rsidRPr="002C5876">
        <w:t xml:space="preserve"> dans l’air de dilution doit être déterminée à partir des sacs qui contiennent ce dernier. Une correction est apportée conformément aux dispositions du paragraphe 3.2.1.1 de la présente annexe.</w:t>
      </w:r>
    </w:p>
    <w:p w:rsidR="00E24DB7" w:rsidRPr="002C5876" w:rsidRDefault="00E24DB7" w:rsidP="00E24DB7">
      <w:pPr>
        <w:pStyle w:val="SingleTxtG"/>
        <w:keepNext/>
        <w:ind w:left="2268" w:hanging="1134"/>
        <w:jc w:val="left"/>
      </w:pPr>
      <w:r w:rsidRPr="002C5876">
        <w:t>3.2.1.4</w:t>
      </w:r>
      <w:r w:rsidRPr="002C5876">
        <w:tab/>
        <w:t>Concentration de N</w:t>
      </w:r>
      <w:r w:rsidRPr="002C5876">
        <w:rPr>
          <w:vertAlign w:val="subscript"/>
        </w:rPr>
        <w:t>2</w:t>
      </w:r>
      <w:r w:rsidRPr="002C5876">
        <w:t>O (le cas échéant)</w:t>
      </w:r>
    </w:p>
    <w:p w:rsidR="00E24DB7" w:rsidRPr="002C5876" w:rsidRDefault="00E24DB7" w:rsidP="00E24DB7">
      <w:pPr>
        <w:pStyle w:val="SingleTxtG"/>
        <w:ind w:left="2268"/>
        <w:rPr>
          <w:bCs/>
        </w:rPr>
      </w:pPr>
      <w:r w:rsidRPr="002C5876">
        <w:rPr>
          <w:rFonts w:ascii="TimesNewRoman" w:hAnsi="TimesNewRoman" w:cs="TimesNewRoman"/>
        </w:rPr>
        <w:t>Pour toute mesure prise au moyen d’un</w:t>
      </w:r>
      <w:r w:rsidRPr="002C5876">
        <w:t xml:space="preserve"> chromatographe en phase gazeuse couplé à un détecteur à capture d’électrons (GC-ECD), la concentration de N</w:t>
      </w:r>
      <w:r w:rsidRPr="002C5876">
        <w:rPr>
          <w:vertAlign w:val="subscript"/>
        </w:rPr>
        <w:t>2</w:t>
      </w:r>
      <w:r w:rsidRPr="002C5876">
        <w:t>O doit être calculée à l’aide des é</w:t>
      </w:r>
      <w:r w:rsidRPr="002C5876">
        <w:rPr>
          <w:bCs/>
        </w:rPr>
        <w:t>quations suivantes :</w:t>
      </w:r>
    </w:p>
    <w:p w:rsidR="00E24DB7" w:rsidRPr="002C5876" w:rsidRDefault="00731CA6" w:rsidP="00E24DB7">
      <w:pPr>
        <w:pStyle w:val="SingleTxtG"/>
        <w:ind w:left="2268"/>
        <w:jc w:val="center"/>
        <w:rPr>
          <w:bCs/>
        </w:rPr>
      </w:pPr>
      <m:oMathPara>
        <m:oMath>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N2O</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PeakArea</m:t>
              </m:r>
            </m:e>
            <m:sub>
              <m:r>
                <m:rPr>
                  <m:sty m:val="p"/>
                </m:rPr>
                <w:rPr>
                  <w:rFonts w:ascii="Cambria Math" w:hAnsi="Cambria Math" w:cstheme="majorBidi"/>
                </w:rPr>
                <m:t>sample</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Rf</m:t>
              </m:r>
            </m:e>
            <m:sub>
              <m:r>
                <m:rPr>
                  <m:sty m:val="p"/>
                </m:rPr>
                <w:rPr>
                  <w:rFonts w:ascii="Cambria Math" w:hAnsi="Cambria Math" w:cstheme="majorBidi"/>
                </w:rPr>
                <m:t>N20</m:t>
              </m:r>
            </m:sub>
          </m:sSub>
        </m:oMath>
      </m:oMathPara>
    </w:p>
    <w:p w:rsidR="00E24DB7" w:rsidRPr="002C5876" w:rsidRDefault="00E24DB7" w:rsidP="00E24DB7">
      <w:pPr>
        <w:pStyle w:val="SingleTxtG"/>
        <w:keepNext/>
        <w:ind w:left="2268"/>
      </w:pPr>
      <w:r w:rsidRPr="002C5876">
        <w:lastRenderedPageBreak/>
        <w:t>où :</w:t>
      </w:r>
    </w:p>
    <w:p w:rsidR="00E24DB7" w:rsidRPr="002C5876" w:rsidRDefault="00E24DB7" w:rsidP="00E24DB7">
      <w:pPr>
        <w:pStyle w:val="SingleTxtG"/>
        <w:ind w:left="3062" w:hanging="794"/>
      </w:pPr>
      <w:r w:rsidRPr="002C5876">
        <w:t>C</w:t>
      </w:r>
      <w:r w:rsidRPr="002C5876">
        <w:rPr>
          <w:vertAlign w:val="subscript"/>
        </w:rPr>
        <w:t>N2O</w:t>
      </w:r>
      <w:r w:rsidRPr="002C5876">
        <w:tab/>
        <w:t>est la concentration de N</w:t>
      </w:r>
      <w:r w:rsidRPr="002C5876">
        <w:rPr>
          <w:vertAlign w:val="subscript"/>
        </w:rPr>
        <w:t>2</w:t>
      </w:r>
      <w:r w:rsidRPr="002C5876">
        <w:t>O, en ppm ;</w:t>
      </w:r>
    </w:p>
    <w:p w:rsidR="00E24DB7" w:rsidRPr="002C5876" w:rsidRDefault="00E24DB7" w:rsidP="00E24DB7">
      <w:pPr>
        <w:pStyle w:val="SingleTxtG"/>
        <w:keepNext/>
        <w:ind w:left="2268"/>
      </w:pPr>
      <w:r w:rsidRPr="002C5876">
        <w:t>Et :</w:t>
      </w:r>
    </w:p>
    <w:p w:rsidR="00EA0F43" w:rsidRPr="002C5876" w:rsidRDefault="00731CA6" w:rsidP="00E24DB7">
      <w:pPr>
        <w:pStyle w:val="SingleTxtG"/>
        <w:keepNext/>
        <w:ind w:left="2268"/>
      </w:pPr>
      <m:oMathPara>
        <m:oMath>
          <m:sSub>
            <m:sSubPr>
              <m:ctrlPr>
                <w:rPr>
                  <w:rFonts w:ascii="Cambria Math" w:hAnsi="Cambria Math"/>
                  <w:szCs w:val="24"/>
                </w:rPr>
              </m:ctrlPr>
            </m:sSubPr>
            <m:e>
              <m:r>
                <m:rPr>
                  <m:sty m:val="p"/>
                </m:rPr>
                <w:rPr>
                  <w:rFonts w:ascii="Cambria Math" w:hAnsi="Cambria Math"/>
                  <w:szCs w:val="24"/>
                </w:rPr>
                <m:t>Rf</m:t>
              </m:r>
            </m:e>
            <m:sub>
              <m:r>
                <m:rPr>
                  <m:sty m:val="p"/>
                </m:rPr>
                <w:rPr>
                  <w:rFonts w:ascii="Cambria Math" w:hAnsi="Cambria Math"/>
                  <w:szCs w:val="24"/>
                </w:rPr>
                <m:t>N2O</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c</m:t>
                  </m:r>
                </m:e>
                <m:sub>
                  <m:sSub>
                    <m:sSubPr>
                      <m:ctrlPr>
                        <w:rPr>
                          <w:rFonts w:ascii="Cambria Math" w:hAnsi="Cambria Math"/>
                          <w:szCs w:val="24"/>
                        </w:rPr>
                      </m:ctrlPr>
                    </m:sSubPr>
                    <m:e>
                      <m:r>
                        <m:rPr>
                          <m:sty m:val="p"/>
                        </m:rPr>
                        <w:rPr>
                          <w:rFonts w:ascii="Cambria Math" w:hAnsi="Cambria Math"/>
                          <w:szCs w:val="24"/>
                        </w:rPr>
                        <m:t>N2O</m:t>
                      </m:r>
                    </m:e>
                    <m:sub>
                      <m:r>
                        <m:rPr>
                          <m:sty m:val="p"/>
                        </m:rPr>
                        <w:rPr>
                          <w:rFonts w:ascii="Cambria Math" w:hAnsi="Cambria Math"/>
                          <w:szCs w:val="24"/>
                        </w:rPr>
                        <m:t>standard (ppm)</m:t>
                      </m:r>
                    </m:sub>
                  </m:sSub>
                </m:sub>
              </m:sSub>
            </m:num>
            <m:den>
              <m:sSub>
                <m:sSubPr>
                  <m:ctrlPr>
                    <w:rPr>
                      <w:rFonts w:ascii="Cambria Math" w:hAnsi="Cambria Math"/>
                      <w:szCs w:val="24"/>
                    </w:rPr>
                  </m:ctrlPr>
                </m:sSubPr>
                <m:e>
                  <m:r>
                    <m:rPr>
                      <m:sty m:val="p"/>
                    </m:rPr>
                    <w:rPr>
                      <w:rFonts w:ascii="Cambria Math" w:hAnsi="Cambria Math"/>
                      <w:szCs w:val="24"/>
                    </w:rPr>
                    <m:t>PeakArea</m:t>
                  </m:r>
                </m:e>
                <m:sub>
                  <m:r>
                    <m:rPr>
                      <m:sty m:val="p"/>
                    </m:rPr>
                    <w:rPr>
                      <w:rFonts w:ascii="Cambria Math" w:hAnsi="Cambria Math"/>
                      <w:szCs w:val="24"/>
                    </w:rPr>
                    <m:t>standard</m:t>
                  </m:r>
                </m:sub>
              </m:sSub>
            </m:den>
          </m:f>
        </m:oMath>
      </m:oMathPara>
    </w:p>
    <w:p w:rsidR="00E24DB7" w:rsidRPr="002C5876" w:rsidRDefault="00E24DB7" w:rsidP="00E24DB7">
      <w:pPr>
        <w:pStyle w:val="SingleTxtG"/>
        <w:keepNext/>
        <w:ind w:left="2268" w:hanging="1134"/>
        <w:jc w:val="left"/>
      </w:pPr>
      <w:r w:rsidRPr="002C5876">
        <w:t>3.2.1.5</w:t>
      </w:r>
      <w:r w:rsidRPr="002C5876">
        <w:tab/>
        <w:t>Concentration de NH</w:t>
      </w:r>
      <w:r w:rsidRPr="002C5876">
        <w:rPr>
          <w:vertAlign w:val="subscript"/>
        </w:rPr>
        <w:t xml:space="preserve">3 </w:t>
      </w:r>
      <w:r w:rsidRPr="002C5876">
        <w:t>(le cas échéant)</w:t>
      </w:r>
    </w:p>
    <w:p w:rsidR="00E24DB7" w:rsidRPr="002C5876" w:rsidRDefault="00E24DB7" w:rsidP="00E24DB7">
      <w:pPr>
        <w:pStyle w:val="SingleTxtG"/>
        <w:ind w:left="2268"/>
        <w:rPr>
          <w:bCs/>
        </w:rPr>
      </w:pPr>
      <w:r w:rsidRPr="002C5876">
        <w:tab/>
        <w:t>La concentration moyenne de NH</w:t>
      </w:r>
      <w:r w:rsidRPr="002C5876">
        <w:rPr>
          <w:vertAlign w:val="subscript"/>
        </w:rPr>
        <w:t>3</w:t>
      </w:r>
      <w:r w:rsidRPr="002C5876">
        <w:t xml:space="preserve"> doit être calculée au moyen de l’équation suivante </w:t>
      </w:r>
      <w:r w:rsidRPr="002C5876">
        <w:rPr>
          <w:bCs/>
        </w:rPr>
        <w:t>:</w:t>
      </w:r>
    </w:p>
    <w:p w:rsidR="00E24DB7" w:rsidRPr="00D53F39" w:rsidRDefault="00731CA6" w:rsidP="00E24DB7">
      <w:pPr>
        <w:pStyle w:val="SingleTxtG"/>
        <w:spacing w:after="240"/>
        <w:ind w:left="2268"/>
        <w:jc w:val="center"/>
        <w:rPr>
          <w:bCs/>
          <w:lang w:val="en-US"/>
        </w:rPr>
      </w:pPr>
      <m:oMathPara>
        <m:oMath>
          <m:sSub>
            <m:sSubPr>
              <m:ctrlPr>
                <w:rPr>
                  <w:rFonts w:ascii="Cambria Math" w:eastAsia="Times New Roman" w:hAnsi="Cambria Math" w:cstheme="majorBidi"/>
                </w:rPr>
              </m:ctrlPr>
            </m:sSubPr>
            <m:e>
              <m:r>
                <m:rPr>
                  <m:nor/>
                </m:rPr>
                <w:rPr>
                  <w:rFonts w:asciiTheme="majorBidi" w:eastAsia="Times New Roman" w:hAnsiTheme="majorBidi" w:cstheme="majorBidi"/>
                  <w:lang w:val="en-US"/>
                </w:rPr>
                <m:t>C</m:t>
              </m:r>
            </m:e>
            <m:sub>
              <m:sSub>
                <m:sSubPr>
                  <m:ctrlPr>
                    <w:rPr>
                      <w:rFonts w:ascii="Cambria Math" w:eastAsia="Times New Roman" w:hAnsi="Cambria Math" w:cstheme="majorBidi"/>
                    </w:rPr>
                  </m:ctrlPr>
                </m:sSubPr>
                <m:e>
                  <m:r>
                    <m:rPr>
                      <m:nor/>
                    </m:rPr>
                    <w:rPr>
                      <w:rFonts w:asciiTheme="majorBidi" w:eastAsia="Times New Roman" w:hAnsiTheme="majorBidi" w:cstheme="majorBidi"/>
                      <w:lang w:val="en-US"/>
                    </w:rPr>
                    <m:t>NH</m:t>
                  </m:r>
                </m:e>
                <m:sub>
                  <m:r>
                    <m:rPr>
                      <m:nor/>
                    </m:rPr>
                    <w:rPr>
                      <w:rFonts w:asciiTheme="majorBidi" w:eastAsia="Times New Roman" w:hAnsiTheme="majorBidi" w:cstheme="majorBidi"/>
                      <w:lang w:val="en-US"/>
                    </w:rPr>
                    <m:t>3</m:t>
                  </m:r>
                </m:sub>
              </m:sSub>
            </m:sub>
          </m:sSub>
          <m:r>
            <m:rPr>
              <m:nor/>
            </m:rPr>
            <w:rPr>
              <w:rFonts w:ascii="Cambria Math" w:eastAsia="Times New Roman" w:hAnsiTheme="majorBidi" w:cstheme="majorBidi"/>
              <w:lang w:val="en-US"/>
            </w:rPr>
            <m:t xml:space="preserve"> </m:t>
          </m:r>
          <m:r>
            <m:rPr>
              <m:nor/>
            </m:rPr>
            <w:rPr>
              <w:rFonts w:asciiTheme="majorBidi" w:eastAsia="Times New Roman" w:hAnsiTheme="majorBidi" w:cstheme="majorBidi"/>
              <w:lang w:val="en-US"/>
            </w:rPr>
            <m:t>=</m:t>
          </m:r>
          <m:r>
            <m:rPr>
              <m:nor/>
            </m:rPr>
            <w:rPr>
              <w:rFonts w:ascii="Cambria Math" w:eastAsia="Times New Roman" w:hAnsiTheme="majorBidi" w:cstheme="majorBidi"/>
              <w:lang w:val="en-US"/>
            </w:rPr>
            <m:t xml:space="preserve"> </m:t>
          </m:r>
          <m:f>
            <m:fPr>
              <m:ctrlPr>
                <w:rPr>
                  <w:rFonts w:ascii="Cambria Math" w:eastAsia="Times New Roman" w:hAnsi="Cambria Math" w:cstheme="majorBidi"/>
                </w:rPr>
              </m:ctrlPr>
            </m:fPr>
            <m:num>
              <m:r>
                <m:rPr>
                  <m:nor/>
                </m:rPr>
                <w:rPr>
                  <w:rFonts w:asciiTheme="majorBidi" w:eastAsia="Times New Roman" w:hAnsiTheme="majorBidi" w:cstheme="majorBidi"/>
                  <w:lang w:val="en-US"/>
                </w:rPr>
                <m:t>1</m:t>
              </m:r>
            </m:num>
            <m:den>
              <m:r>
                <m:rPr>
                  <m:nor/>
                </m:rPr>
                <w:rPr>
                  <w:rFonts w:asciiTheme="majorBidi" w:eastAsia="Times New Roman" w:hAnsiTheme="majorBidi" w:cstheme="majorBidi"/>
                  <w:lang w:val="en-US"/>
                </w:rPr>
                <m:t>n</m:t>
              </m:r>
            </m:den>
          </m:f>
          <m:nary>
            <m:naryPr>
              <m:chr m:val="∑"/>
              <m:limLoc m:val="undOvr"/>
              <m:ctrlPr>
                <w:rPr>
                  <w:rFonts w:ascii="Cambria Math" w:eastAsia="Times New Roman" w:hAnsi="Cambria Math" w:cstheme="majorBidi"/>
                </w:rPr>
              </m:ctrlPr>
            </m:naryPr>
            <m:sub>
              <m:r>
                <m:rPr>
                  <m:nor/>
                </m:rPr>
                <w:rPr>
                  <w:rFonts w:asciiTheme="majorBidi" w:eastAsia="Times New Roman" w:hAnsiTheme="majorBidi" w:cstheme="majorBidi"/>
                  <w:lang w:val="en-US"/>
                </w:rPr>
                <m:t>i=1</m:t>
              </m:r>
            </m:sub>
            <m:sup>
              <m:r>
                <m:rPr>
                  <m:nor/>
                </m:rPr>
                <w:rPr>
                  <w:rFonts w:asciiTheme="majorBidi" w:eastAsia="Times New Roman" w:hAnsiTheme="majorBidi" w:cstheme="majorBidi"/>
                  <w:lang w:val="en-US"/>
                </w:rPr>
                <m:t>i=n</m:t>
              </m:r>
            </m:sup>
            <m:e>
              <m:sSub>
                <m:sSubPr>
                  <m:ctrlPr>
                    <w:rPr>
                      <w:rFonts w:ascii="Cambria Math" w:eastAsia="Times New Roman" w:hAnsi="Cambria Math" w:cstheme="majorBidi"/>
                    </w:rPr>
                  </m:ctrlPr>
                </m:sSubPr>
                <m:e>
                  <m:r>
                    <m:rPr>
                      <m:nor/>
                    </m:rPr>
                    <w:rPr>
                      <w:rFonts w:asciiTheme="majorBidi" w:eastAsia="Times New Roman" w:hAnsiTheme="majorBidi" w:cstheme="majorBidi"/>
                      <w:lang w:val="en-US"/>
                    </w:rPr>
                    <m:t>C</m:t>
                  </m:r>
                </m:e>
                <m:sub>
                  <m:sSub>
                    <m:sSubPr>
                      <m:ctrlPr>
                        <w:rPr>
                          <w:rFonts w:ascii="Cambria Math" w:eastAsia="Times New Roman" w:hAnsi="Cambria Math" w:cstheme="majorBidi"/>
                        </w:rPr>
                      </m:ctrlPr>
                    </m:sSubPr>
                    <m:e>
                      <m:r>
                        <m:rPr>
                          <m:nor/>
                        </m:rPr>
                        <w:rPr>
                          <w:rFonts w:asciiTheme="majorBidi" w:eastAsia="Times New Roman" w:hAnsiTheme="majorBidi" w:cstheme="majorBidi"/>
                          <w:lang w:val="en-US"/>
                        </w:rPr>
                        <m:t>NH</m:t>
                      </m:r>
                    </m:e>
                    <m:sub>
                      <m:r>
                        <m:rPr>
                          <m:nor/>
                        </m:rPr>
                        <w:rPr>
                          <w:rFonts w:asciiTheme="majorBidi" w:eastAsia="Times New Roman" w:hAnsiTheme="majorBidi" w:cstheme="majorBidi"/>
                          <w:lang w:val="en-US"/>
                        </w:rPr>
                        <m:t>3</m:t>
                      </m:r>
                    </m:sub>
                  </m:sSub>
                  <m:r>
                    <w:rPr>
                      <w:rFonts w:ascii="Cambria Math" w:eastAsia="Times New Roman" w:hAnsi="Cambria Math" w:cstheme="majorBidi"/>
                    </w:rPr>
                    <m:t>i</m:t>
                  </m:r>
                </m:sub>
              </m:sSub>
            </m:e>
          </m:nary>
        </m:oMath>
      </m:oMathPara>
    </w:p>
    <w:p w:rsidR="00E24DB7" w:rsidRPr="002C5876" w:rsidRDefault="00E24DB7" w:rsidP="00E24DB7">
      <w:pPr>
        <w:pStyle w:val="SingleTxtG"/>
        <w:keepNext/>
        <w:ind w:left="2268"/>
      </w:pPr>
      <w:r w:rsidRPr="00D53F39">
        <w:rPr>
          <w:lang w:val="en-US"/>
        </w:rPr>
        <w:tab/>
      </w:r>
      <w:r w:rsidRPr="002C5876">
        <w:t>où :</w:t>
      </w:r>
    </w:p>
    <w:p w:rsidR="00E24DB7" w:rsidRPr="002C5876" w:rsidRDefault="00E24DB7" w:rsidP="00E24DB7">
      <w:pPr>
        <w:pStyle w:val="SingleTxtG"/>
        <w:ind w:left="3402" w:hanging="1134"/>
      </w:pPr>
      <w:r w:rsidRPr="002C5876">
        <w:rPr>
          <w:noProof/>
          <w:position w:val="-14"/>
          <w:lang w:val="en-GB" w:eastAsia="zh-CN"/>
        </w:rPr>
        <w:drawing>
          <wp:inline distT="0" distB="0" distL="0" distR="0" wp14:anchorId="4F197565" wp14:editId="1EB970CC">
            <wp:extent cx="314325" cy="219075"/>
            <wp:effectExtent l="0" t="0" r="9525" b="9525"/>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2C5876">
        <w:tab/>
        <w:t>est la concentration instantanée de NH</w:t>
      </w:r>
      <w:r w:rsidRPr="002C5876">
        <w:rPr>
          <w:vertAlign w:val="subscript"/>
        </w:rPr>
        <w:t>3</w:t>
      </w:r>
      <w:r w:rsidRPr="002C5876">
        <w:t>, en ppm ;</w:t>
      </w:r>
    </w:p>
    <w:p w:rsidR="00E24DB7" w:rsidRPr="002C5876" w:rsidRDefault="00E24DB7" w:rsidP="00E24DB7">
      <w:pPr>
        <w:pStyle w:val="SingleTxtG"/>
        <w:ind w:left="3402" w:hanging="1134"/>
      </w:pPr>
      <w:r w:rsidRPr="002C5876">
        <w:t>n</w:t>
      </w:r>
      <w:r w:rsidRPr="002C5876">
        <w:tab/>
        <w:t>est le nombre de mesures.</w:t>
      </w:r>
    </w:p>
    <w:p w:rsidR="00E24DB7" w:rsidRPr="002C5876" w:rsidRDefault="00E24DB7" w:rsidP="00E24DB7">
      <w:pPr>
        <w:pStyle w:val="SingleTxtG"/>
        <w:keepNext/>
        <w:jc w:val="left"/>
      </w:pPr>
      <w:r w:rsidRPr="002C5876">
        <w:t>3.2.1.6</w:t>
      </w:r>
      <w:r w:rsidRPr="002C5876">
        <w:tab/>
      </w:r>
      <w:r w:rsidRPr="002C5876">
        <w:tab/>
        <w:t>Concentration d’éthanol (le cas échéant)</w:t>
      </w:r>
    </w:p>
    <w:p w:rsidR="00E24DB7" w:rsidRPr="002C5876" w:rsidRDefault="00E24DB7" w:rsidP="00E24DB7">
      <w:pPr>
        <w:pStyle w:val="SingleTxtG"/>
        <w:ind w:left="2268"/>
        <w:rPr>
          <w:rFonts w:ascii="TimesNewRoman" w:hAnsi="TimesNewRoman" w:cs="TimesNewRoman"/>
        </w:rPr>
      </w:pPr>
      <w:r w:rsidRPr="002C5876">
        <w:t xml:space="preserve">Pour toute mesure de l’éthanol prise au moyen </w:t>
      </w:r>
      <w:r w:rsidRPr="002C5876">
        <w:rPr>
          <w:rFonts w:ascii="TimesNewRoman" w:hAnsi="TimesNewRoman" w:cs="TimesNewRoman"/>
        </w:rPr>
        <w:t>d’un</w:t>
      </w:r>
      <w:r w:rsidRPr="002C5876">
        <w:t xml:space="preserve"> chromatographe en phase gazeuse dans des séparateurs à impact et de gaz dilué dans un système de prélèvement à volume constant, la concentration d’éthanol doit être calculée au moyen de l’équation suivante </w:t>
      </w:r>
      <w:r w:rsidRPr="002C5876">
        <w:rPr>
          <w:bCs/>
        </w:rPr>
        <w:t>:</w:t>
      </w:r>
    </w:p>
    <w:p w:rsidR="00E24DB7" w:rsidRPr="00D53F39" w:rsidRDefault="00E24DB7" w:rsidP="00E24DB7">
      <w:pPr>
        <w:pStyle w:val="SingleTxtG"/>
        <w:ind w:left="2268"/>
        <w:jc w:val="center"/>
        <w:rPr>
          <w:rFonts w:ascii="TimesNewRoman" w:hAnsi="TimesNewRoman" w:cs="TimesNewRoman"/>
          <w:lang w:val="en-US"/>
        </w:rPr>
      </w:pPr>
      <w:r w:rsidRPr="00D53F39">
        <w:rPr>
          <w:rFonts w:ascii="TimesNewRoman" w:hAnsi="TimesNewRoman" w:cs="TimesNewRoman"/>
          <w:lang w:val="en-US"/>
        </w:rPr>
        <w:t>C</w:t>
      </w:r>
      <w:r w:rsidRPr="00D53F39">
        <w:rPr>
          <w:rFonts w:ascii="TimesNewRoman" w:hAnsi="TimesNewRoman" w:cs="TimesNewRoman"/>
          <w:vertAlign w:val="subscript"/>
          <w:lang w:val="en-US"/>
        </w:rPr>
        <w:t xml:space="preserve">C2H5OH </w:t>
      </w:r>
      <w:r w:rsidRPr="00D53F39">
        <w:rPr>
          <w:rFonts w:ascii="TimesNewRoman" w:hAnsi="TimesNewRoman" w:cs="TimesNewRoman"/>
          <w:lang w:val="en-US"/>
        </w:rPr>
        <w:t>= PeakArea</w:t>
      </w:r>
      <w:r w:rsidRPr="00D53F39">
        <w:rPr>
          <w:rFonts w:ascii="TimesNewRoman" w:hAnsi="TimesNewRoman" w:cs="TimesNewRoman"/>
          <w:vertAlign w:val="subscript"/>
          <w:lang w:val="en-US"/>
        </w:rPr>
        <w:t>sample</w:t>
      </w:r>
      <w:r w:rsidRPr="00D53F39">
        <w:rPr>
          <w:rFonts w:ascii="TimesNewRoman" w:hAnsi="TimesNewRoman" w:cs="TimesNewRoman"/>
          <w:lang w:val="en-US"/>
        </w:rPr>
        <w:t xml:space="preserve"> × Rf </w:t>
      </w:r>
      <w:r w:rsidRPr="00D53F39">
        <w:rPr>
          <w:rFonts w:ascii="TimesNewRoman" w:hAnsi="TimesNewRoman" w:cs="TimesNewRoman"/>
          <w:vertAlign w:val="subscript"/>
          <w:lang w:val="en-US"/>
        </w:rPr>
        <w:t>C2H5OH</w:t>
      </w:r>
    </w:p>
    <w:p w:rsidR="00E24DB7" w:rsidRPr="00D53F39" w:rsidRDefault="00E24DB7" w:rsidP="00E24DB7">
      <w:pPr>
        <w:pStyle w:val="SingleTxtG"/>
        <w:keepNext/>
        <w:ind w:left="2268"/>
        <w:rPr>
          <w:rFonts w:ascii="TimesNewRoman" w:hAnsi="TimesNewRoman" w:cs="TimesNewRoman"/>
          <w:lang w:val="en-US"/>
        </w:rPr>
      </w:pPr>
      <w:r w:rsidRPr="00D53F39">
        <w:rPr>
          <w:rFonts w:ascii="TimesNewRoman" w:hAnsi="TimesNewRoman" w:cs="TimesNewRoman"/>
          <w:lang w:val="en-US"/>
        </w:rPr>
        <w:t>où :</w:t>
      </w:r>
    </w:p>
    <w:p w:rsidR="00E24DB7" w:rsidRPr="00D53F39" w:rsidRDefault="00E24DB7" w:rsidP="00E24DB7">
      <w:pPr>
        <w:pStyle w:val="SingleTxtG"/>
        <w:ind w:left="2268"/>
        <w:jc w:val="center"/>
        <w:rPr>
          <w:rFonts w:ascii="TimesNewRoman" w:hAnsi="TimesNewRoman" w:cs="TimesNewRoman"/>
          <w:lang w:val="en-US"/>
        </w:rPr>
      </w:pPr>
      <w:r w:rsidRPr="00D53F39">
        <w:rPr>
          <w:rFonts w:ascii="TimesNewRoman" w:hAnsi="TimesNewRoman" w:cs="TimesNewRoman"/>
          <w:lang w:val="en-US"/>
        </w:rPr>
        <w:t xml:space="preserve">Rf </w:t>
      </w:r>
      <w:r w:rsidRPr="00D53F39">
        <w:rPr>
          <w:rFonts w:ascii="TimesNewRoman" w:hAnsi="TimesNewRoman" w:cs="TimesNewRoman"/>
          <w:vertAlign w:val="subscript"/>
          <w:lang w:val="en-US"/>
        </w:rPr>
        <w:t>C2H5OH</w:t>
      </w:r>
      <w:r w:rsidRPr="00D53F39">
        <w:rPr>
          <w:rFonts w:ascii="TimesNewRoman" w:hAnsi="TimesNewRoman" w:cs="TimesNewRoman"/>
          <w:lang w:val="en-US"/>
        </w:rPr>
        <w:t xml:space="preserve"> = Rf </w:t>
      </w:r>
      <w:r w:rsidRPr="00D53F39">
        <w:rPr>
          <w:rFonts w:ascii="TimesNewRoman" w:hAnsi="TimesNewRoman" w:cs="TimesNewRoman"/>
          <w:vertAlign w:val="subscript"/>
          <w:lang w:val="en-US"/>
        </w:rPr>
        <w:t>C2H5OH</w:t>
      </w:r>
      <w:r w:rsidRPr="00D53F39">
        <w:rPr>
          <w:rFonts w:ascii="TimesNewRoman" w:hAnsi="TimesNewRoman" w:cs="TimesNewRoman"/>
          <w:lang w:val="en-US"/>
        </w:rPr>
        <w:t xml:space="preserve"> (ppm) / PeakArea</w:t>
      </w:r>
      <w:r w:rsidRPr="00D53F39">
        <w:rPr>
          <w:rFonts w:ascii="TimesNewRoman" w:hAnsi="TimesNewRoman" w:cs="TimesNewRoman"/>
          <w:vertAlign w:val="subscript"/>
          <w:lang w:val="en-US"/>
        </w:rPr>
        <w:t>standard</w:t>
      </w:r>
    </w:p>
    <w:p w:rsidR="00E24DB7" w:rsidRPr="002C5876" w:rsidRDefault="00E24DB7" w:rsidP="00E24DB7">
      <w:pPr>
        <w:pStyle w:val="SingleTxtG"/>
        <w:keepNext/>
        <w:ind w:left="2268" w:hanging="1134"/>
        <w:jc w:val="left"/>
      </w:pPr>
      <w:r w:rsidRPr="002C5876">
        <w:t>3.2.1.7</w:t>
      </w:r>
      <w:r w:rsidRPr="002C5876">
        <w:tab/>
        <w:t>Masse de carbonyle (le cas échéant)</w:t>
      </w:r>
    </w:p>
    <w:p w:rsidR="00E24DB7" w:rsidRPr="002C5876" w:rsidRDefault="00E24DB7" w:rsidP="00E24DB7">
      <w:pPr>
        <w:pStyle w:val="SingleTxtG"/>
        <w:ind w:left="2268"/>
      </w:pPr>
      <w:r w:rsidRPr="002C5876">
        <w:rPr>
          <w:rFonts w:ascii="TimesNewRoman" w:hAnsi="TimesNewRoman" w:cs="TimesNewRoman"/>
        </w:rPr>
        <w:t xml:space="preserve">Pour toute mesure du carbonyle </w:t>
      </w:r>
      <w:r w:rsidRPr="002C5876">
        <w:t xml:space="preserve">prise au moyen </w:t>
      </w:r>
      <w:r w:rsidRPr="002C5876">
        <w:rPr>
          <w:rFonts w:ascii="TimesNewRoman" w:hAnsi="TimesNewRoman" w:cs="TimesNewRoman"/>
        </w:rPr>
        <w:t>d’un</w:t>
      </w:r>
      <w:r w:rsidRPr="002C5876">
        <w:t xml:space="preserve"> chromatographe en phase liquide, le </w:t>
      </w:r>
      <w:r w:rsidRPr="002C5876">
        <w:rPr>
          <w:rFonts w:ascii="TimesNewRoman" w:hAnsi="TimesNewRoman" w:cs="TimesNewRoman"/>
        </w:rPr>
        <w:t>formaldéhyde et l’acétaldéhyde doivent être calculés comme suit.</w:t>
      </w:r>
    </w:p>
    <w:p w:rsidR="00E24DB7" w:rsidRPr="002C5876" w:rsidRDefault="00E24DB7" w:rsidP="00E24DB7">
      <w:pPr>
        <w:pStyle w:val="SingleTxtG"/>
        <w:ind w:left="2268"/>
        <w:rPr>
          <w:rFonts w:ascii="TimesNewRoman" w:hAnsi="TimesNewRoman" w:cs="TimesNewRoman"/>
        </w:rPr>
      </w:pPr>
      <w:r w:rsidRPr="002C5876">
        <w:rPr>
          <w:rFonts w:ascii="TimesNewRoman" w:hAnsi="TimesNewRoman" w:cs="TimesNewRoman"/>
        </w:rPr>
        <w:t>Pour chaque carbonyle visé, la masse de carbonyle doit être calculée à partir de la masse du 2,4-dinitrophénylhydrazone dérivé. La masse de chaque composé carbonylé est déterminée à l’aide de l’équation suivante :</w:t>
      </w:r>
    </w:p>
    <w:p w:rsidR="00EA0F43" w:rsidRPr="002C5876" w:rsidRDefault="00731CA6" w:rsidP="00E24DB7">
      <w:pPr>
        <w:pStyle w:val="SingleTxtG"/>
        <w:ind w:left="2268"/>
        <w:rPr>
          <w:rFonts w:ascii="TimesNewRoman" w:hAnsi="TimesNewRoman" w:cs="TimesNewRoman"/>
        </w:rPr>
      </w:pPr>
      <m:oMathPara>
        <m:oMath>
          <m:sSub>
            <m:sSubPr>
              <m:ctrlPr>
                <w:rPr>
                  <w:rFonts w:ascii="Cambria Math" w:hAnsi="Cambria Math" w:cs="TimesNewRoman"/>
                  <w:szCs w:val="24"/>
                </w:rPr>
              </m:ctrlPr>
            </m:sSubPr>
            <m:e>
              <m:r>
                <m:rPr>
                  <m:sty m:val="p"/>
                </m:rPr>
                <w:rPr>
                  <w:rFonts w:ascii="Cambria Math" w:hAnsi="Cambria Math" w:cs="TimesNewRoman"/>
                  <w:szCs w:val="24"/>
                </w:rPr>
                <m:t>Mass</m:t>
              </m:r>
            </m:e>
            <m:sub>
              <m:r>
                <m:rPr>
                  <m:sty m:val="p"/>
                </m:rPr>
                <w:rPr>
                  <w:rFonts w:ascii="Cambria Math" w:hAnsi="Cambria Math" w:cs="TimesNewRoman"/>
                  <w:szCs w:val="24"/>
                </w:rPr>
                <m:t>sample</m:t>
              </m:r>
            </m:sub>
          </m:sSub>
          <m:r>
            <m:rPr>
              <m:sty m:val="p"/>
            </m:rPr>
            <w:rPr>
              <w:rFonts w:ascii="Cambria Math" w:hAnsi="Cambria Math" w:cs="TimesNewRoman"/>
              <w:szCs w:val="24"/>
            </w:rPr>
            <m:t>=</m:t>
          </m:r>
          <m:sSub>
            <m:sSubPr>
              <m:ctrlPr>
                <w:rPr>
                  <w:rFonts w:ascii="Cambria Math" w:hAnsi="Cambria Math" w:cs="TimesNewRoman"/>
                  <w:szCs w:val="24"/>
                </w:rPr>
              </m:ctrlPr>
            </m:sSubPr>
            <m:e>
              <m:r>
                <m:rPr>
                  <m:sty m:val="p"/>
                </m:rPr>
                <w:rPr>
                  <w:rFonts w:ascii="Cambria Math" w:hAnsi="Cambria Math" w:cs="TimesNewRoman"/>
                  <w:szCs w:val="24"/>
                </w:rPr>
                <m:t>PeakArea</m:t>
              </m:r>
            </m:e>
            <m:sub>
              <m:r>
                <m:rPr>
                  <m:sty m:val="p"/>
                </m:rPr>
                <w:rPr>
                  <w:rFonts w:ascii="Cambria Math" w:hAnsi="Cambria Math" w:cs="TimesNewRoman"/>
                  <w:szCs w:val="24"/>
                </w:rPr>
                <m:t>sample</m:t>
              </m:r>
            </m:sub>
          </m:sSub>
          <m:r>
            <m:rPr>
              <m:sty m:val="p"/>
            </m:rPr>
            <w:rPr>
              <w:rFonts w:ascii="Cambria Math" w:hAnsi="Cambria Math" w:cs="TimesNewRoman"/>
              <w:szCs w:val="24"/>
            </w:rPr>
            <m:t>×</m:t>
          </m:r>
          <m:sSub>
            <m:sSubPr>
              <m:ctrlPr>
                <w:rPr>
                  <w:rFonts w:ascii="Cambria Math" w:hAnsi="Cambria Math" w:cs="TimesNewRoman"/>
                  <w:szCs w:val="24"/>
                </w:rPr>
              </m:ctrlPr>
            </m:sSubPr>
            <m:e>
              <m:r>
                <m:rPr>
                  <m:sty m:val="p"/>
                </m:rPr>
                <w:rPr>
                  <w:rFonts w:ascii="Cambria Math" w:hAnsi="Cambria Math" w:cs="TimesNewRoman"/>
                  <w:szCs w:val="24"/>
                </w:rPr>
                <m:t>R</m:t>
              </m:r>
            </m:e>
            <m:sub>
              <m:r>
                <m:rPr>
                  <m:sty m:val="p"/>
                </m:rPr>
                <w:rPr>
                  <w:rFonts w:ascii="Cambria Math" w:hAnsi="Cambria Math" w:cs="TimesNewRoman"/>
                  <w:szCs w:val="24"/>
                </w:rPr>
                <m:t>f</m:t>
              </m:r>
            </m:sub>
          </m:sSub>
          <m:r>
            <m:rPr>
              <m:sty m:val="p"/>
            </m:rPr>
            <w:rPr>
              <w:rFonts w:ascii="Cambria Math" w:hAnsi="Cambria Math" w:cs="TimesNewRoman"/>
              <w:szCs w:val="24"/>
            </w:rPr>
            <m:t>×</m:t>
          </m:r>
          <m:sSub>
            <m:sSubPr>
              <m:ctrlPr>
                <w:rPr>
                  <w:rFonts w:ascii="Cambria Math" w:hAnsi="Cambria Math" w:cs="TimesNewRoman"/>
                  <w:szCs w:val="24"/>
                </w:rPr>
              </m:ctrlPr>
            </m:sSubPr>
            <m:e>
              <m:r>
                <m:rPr>
                  <m:sty m:val="p"/>
                </m:rPr>
                <w:rPr>
                  <w:rFonts w:ascii="Cambria Math" w:hAnsi="Cambria Math" w:cs="TimesNewRoman"/>
                  <w:szCs w:val="24"/>
                </w:rPr>
                <m:t>V</m:t>
              </m:r>
            </m:e>
            <m:sub>
              <m:r>
                <m:rPr>
                  <m:sty m:val="p"/>
                </m:rPr>
                <w:rPr>
                  <w:rFonts w:ascii="Cambria Math" w:hAnsi="Cambria Math" w:cs="TimesNewRoman"/>
                  <w:szCs w:val="24"/>
                </w:rPr>
                <m:t>sample</m:t>
              </m:r>
            </m:sub>
          </m:sSub>
          <m:r>
            <m:rPr>
              <m:sty m:val="p"/>
            </m:rPr>
            <w:rPr>
              <w:rFonts w:ascii="Cambria Math" w:hAnsi="Cambria Math" w:cs="TimesNewRoman"/>
              <w:szCs w:val="24"/>
            </w:rPr>
            <m:t>×B</m:t>
          </m:r>
        </m:oMath>
      </m:oMathPara>
    </w:p>
    <w:p w:rsidR="00E24DB7" w:rsidRPr="002C5876" w:rsidRDefault="00E24DB7" w:rsidP="00E24DB7">
      <w:pPr>
        <w:pStyle w:val="SingleTxtG"/>
        <w:keepNext/>
        <w:ind w:left="2268"/>
        <w:rPr>
          <w:rFonts w:ascii="TimesNewRoman" w:hAnsi="TimesNewRoman" w:cs="TimesNewRoman"/>
        </w:rPr>
      </w:pPr>
      <w:r w:rsidRPr="002C5876">
        <w:rPr>
          <w:rFonts w:ascii="TimesNewRoman" w:hAnsi="TimesNewRoman" w:cs="TimesNewRoman"/>
        </w:rPr>
        <w:t xml:space="preserve">où : </w:t>
      </w:r>
    </w:p>
    <w:p w:rsidR="00E24DB7" w:rsidRPr="002C5876" w:rsidRDefault="00E24DB7" w:rsidP="00E24DB7">
      <w:pPr>
        <w:pStyle w:val="SingleTxtG"/>
        <w:ind w:left="3402" w:hanging="1134"/>
        <w:rPr>
          <w:rFonts w:ascii="TimesNewRoman" w:hAnsi="TimesNewRoman" w:cs="TimesNewRoman"/>
        </w:rPr>
      </w:pPr>
      <w:r w:rsidRPr="002C5876">
        <w:rPr>
          <w:rFonts w:ascii="TimesNewRoman" w:hAnsi="TimesNewRoman" w:cs="TimesNewRoman"/>
        </w:rPr>
        <w:t>B</w:t>
      </w:r>
      <w:r w:rsidRPr="002C5876">
        <w:rPr>
          <w:rFonts w:ascii="TimesNewRoman" w:hAnsi="TimesNewRoman" w:cs="TimesNewRoman"/>
        </w:rPr>
        <w:tab/>
        <w:t>est le rapport entre le poids moléculaire du composé carbonylé et le 2,4-dinitrophénylhydrazone dérivé ;</w:t>
      </w:r>
    </w:p>
    <w:p w:rsidR="00E24DB7" w:rsidRPr="002C5876" w:rsidRDefault="00E24DB7" w:rsidP="00E24DB7">
      <w:pPr>
        <w:pStyle w:val="SingleTxtG"/>
        <w:ind w:left="3402" w:hanging="1134"/>
        <w:rPr>
          <w:rFonts w:ascii="TimesNewRoman" w:hAnsi="TimesNewRoman" w:cs="TimesNewRoman"/>
        </w:rPr>
      </w:pPr>
      <w:r w:rsidRPr="002C5876">
        <w:rPr>
          <w:rFonts w:ascii="TimesNewRoman" w:hAnsi="TimesNewRoman" w:cs="TimesNewRoman"/>
        </w:rPr>
        <w:t>V</w:t>
      </w:r>
      <w:r w:rsidRPr="002C5876">
        <w:rPr>
          <w:rFonts w:ascii="TimesNewRoman" w:hAnsi="TimesNewRoman" w:cs="TimesNewRoman"/>
          <w:vertAlign w:val="subscript"/>
        </w:rPr>
        <w:t>sample</w:t>
      </w:r>
      <w:r w:rsidRPr="002C5876">
        <w:rPr>
          <w:rFonts w:ascii="TimesNewRoman" w:hAnsi="TimesNewRoman" w:cs="TimesNewRoman"/>
        </w:rPr>
        <w:tab/>
        <w:t>est le volume de l’échantillon, en ml ;</w:t>
      </w:r>
    </w:p>
    <w:p w:rsidR="00A144A9" w:rsidRDefault="00E24DB7" w:rsidP="00A144A9">
      <w:pPr>
        <w:pStyle w:val="SingleTxtG"/>
        <w:keepNext/>
        <w:keepLines/>
        <w:ind w:left="3402" w:hanging="1134"/>
        <w:rPr>
          <w:rFonts w:ascii="TimesNewRoman" w:hAnsi="TimesNewRoman" w:cs="TimesNewRoman"/>
        </w:rPr>
      </w:pPr>
      <w:r w:rsidRPr="002C5876">
        <w:rPr>
          <w:rFonts w:ascii="TimesNewRoman" w:hAnsi="TimesNewRoman" w:cs="TimesNewRoman"/>
        </w:rPr>
        <w:t>R</w:t>
      </w:r>
      <w:r w:rsidRPr="002C5876">
        <w:rPr>
          <w:rFonts w:ascii="TimesNewRoman" w:hAnsi="TimesNewRoman" w:cs="TimesNewRoman"/>
          <w:vertAlign w:val="subscript"/>
        </w:rPr>
        <w:t>f</w:t>
      </w:r>
      <w:r w:rsidRPr="002C5876">
        <w:rPr>
          <w:rFonts w:ascii="TimesNewRoman" w:hAnsi="TimesNewRoman" w:cs="TimesNewRoman"/>
        </w:rPr>
        <w:tab/>
        <w:t>est le facteur de réponse pour chaque carbonyle, calculé durant l’étalonnage en appliquant l’équation suivante :</w:t>
      </w:r>
    </w:p>
    <w:p w:rsidR="00E24DB7" w:rsidRPr="00A144A9" w:rsidRDefault="00E24DB7" w:rsidP="00A144A9">
      <w:pPr>
        <w:pStyle w:val="SingleTxtG"/>
        <w:keepNext/>
        <w:keepLines/>
        <w:ind w:left="3402" w:hanging="1134"/>
        <w:rPr>
          <w:rFonts w:ascii="TimesNewRoman" w:hAnsi="TimesNewRoman" w:cs="TimesNewRoman"/>
          <w:lang w:val="en-US"/>
        </w:rPr>
      </w:pPr>
      <w:r w:rsidRPr="00D53F39">
        <w:rPr>
          <w:rFonts w:ascii="TimesNewRoman" w:hAnsi="TimesNewRoman" w:cs="TimesNewRoman"/>
          <w:lang w:val="en-US"/>
        </w:rPr>
        <w:t>R</w:t>
      </w:r>
      <w:r w:rsidRPr="00D53F39">
        <w:rPr>
          <w:rFonts w:ascii="TimesNewRoman" w:hAnsi="TimesNewRoman" w:cs="TimesNewRoman"/>
          <w:vertAlign w:val="subscript"/>
          <w:lang w:val="en-US"/>
        </w:rPr>
        <w:t>f</w:t>
      </w:r>
      <w:r w:rsidRPr="00D53F39">
        <w:rPr>
          <w:rFonts w:ascii="TimesNewRoman" w:hAnsi="TimesNewRoman" w:cs="TimesNewRoman"/>
          <w:lang w:val="en-US"/>
        </w:rPr>
        <w:t xml:space="preserve"> = C</w:t>
      </w:r>
      <w:r w:rsidRPr="00D53F39">
        <w:rPr>
          <w:rFonts w:ascii="TimesNewRoman" w:hAnsi="TimesNewRoman" w:cs="TimesNewRoman"/>
          <w:vertAlign w:val="subscript"/>
          <w:lang w:val="en-US"/>
        </w:rPr>
        <w:t>standard</w:t>
      </w:r>
      <w:r w:rsidRPr="00D53F39">
        <w:rPr>
          <w:rFonts w:ascii="TimesNewRoman" w:hAnsi="TimesNewRoman" w:cs="TimesNewRoman"/>
          <w:lang w:val="en-US"/>
        </w:rPr>
        <w:t xml:space="preserve"> (µg 2,4-DNPH species/ml) / PeakArea</w:t>
      </w:r>
      <w:r w:rsidRPr="00D53F39">
        <w:rPr>
          <w:rFonts w:ascii="TimesNewRoman" w:hAnsi="TimesNewRoman" w:cs="TimesNewRoman"/>
          <w:vertAlign w:val="subscript"/>
          <w:lang w:val="en-US"/>
        </w:rPr>
        <w:t>standard</w:t>
      </w:r>
    </w:p>
    <w:p w:rsidR="00E24DB7" w:rsidRPr="002C5876" w:rsidRDefault="00E24DB7" w:rsidP="00E24DB7">
      <w:pPr>
        <w:pStyle w:val="SingleTxtG"/>
        <w:keepNext/>
        <w:ind w:left="2268" w:hanging="1134"/>
        <w:jc w:val="left"/>
      </w:pPr>
      <w:r w:rsidRPr="002C5876">
        <w:t>3.2.1.8</w:t>
      </w:r>
      <w:r w:rsidRPr="002C5876">
        <w:tab/>
        <w:t xml:space="preserve">Détermination de la masse d’éthanol, d’acétaldéhyde et de formaldéhyde </w:t>
      </w:r>
      <w:r w:rsidRPr="002C5876">
        <w:br/>
        <w:t>(le cas échéant)</w:t>
      </w:r>
    </w:p>
    <w:p w:rsidR="00E24DB7" w:rsidRPr="002C5876" w:rsidRDefault="00E24DB7" w:rsidP="00E24DB7">
      <w:pPr>
        <w:pStyle w:val="SingleTxtG"/>
        <w:keepNext/>
        <w:ind w:left="2268"/>
      </w:pPr>
      <w:r w:rsidRPr="002C5876">
        <w:t>Plutôt que de mesurer les concentrations d’éthanol, d’acétaldéhyde et de formaldéhyde, on peut calculer les émissions massiques d’EAF, M</w:t>
      </w:r>
      <w:r w:rsidRPr="002C5876">
        <w:rPr>
          <w:vertAlign w:val="subscript"/>
        </w:rPr>
        <w:t>EAF</w:t>
      </w:r>
      <w:r w:rsidRPr="002C5876">
        <w:t>, pour les mélanges éthanol/pétrole contenant moins de 25 % d’éthanol en volume en appliquant l’équation suivante :</w:t>
      </w:r>
    </w:p>
    <w:p w:rsidR="00E24DB7" w:rsidRPr="002C5876" w:rsidRDefault="00E24DB7" w:rsidP="00E24DB7">
      <w:pPr>
        <w:pStyle w:val="SingleTxtG"/>
        <w:ind w:left="2268"/>
        <w:jc w:val="center"/>
        <w:rPr>
          <w:vertAlign w:val="subscript"/>
        </w:rPr>
      </w:pPr>
      <w:r w:rsidRPr="002C5876">
        <w:t>M</w:t>
      </w:r>
      <w:r w:rsidRPr="002C5876">
        <w:rPr>
          <w:vertAlign w:val="subscript"/>
        </w:rPr>
        <w:t>EAF</w:t>
      </w:r>
      <w:r w:rsidRPr="002C5876">
        <w:t xml:space="preserve"> = (0,0302 + 0,0071 × (pourcentage d’éthanol)) × M</w:t>
      </w:r>
      <w:r w:rsidRPr="002C5876">
        <w:rPr>
          <w:vertAlign w:val="subscript"/>
        </w:rPr>
        <w:t>NMHC</w:t>
      </w:r>
    </w:p>
    <w:p w:rsidR="00E24DB7" w:rsidRPr="002C5876" w:rsidRDefault="00E24DB7" w:rsidP="00E24DB7">
      <w:pPr>
        <w:pStyle w:val="SingleTxtG"/>
        <w:keepNext/>
        <w:ind w:left="2268"/>
      </w:pPr>
      <w:r w:rsidRPr="002C5876">
        <w:lastRenderedPageBreak/>
        <w:t>où :</w:t>
      </w:r>
    </w:p>
    <w:p w:rsidR="00E24DB7" w:rsidRPr="002C5876" w:rsidRDefault="00E24DB7" w:rsidP="00E24DB7">
      <w:pPr>
        <w:pStyle w:val="SingleTxtG"/>
        <w:ind w:left="4536" w:hanging="2268"/>
      </w:pPr>
      <w:r w:rsidRPr="002C5876">
        <w:t>M</w:t>
      </w:r>
      <w:r w:rsidRPr="002C5876">
        <w:rPr>
          <w:vertAlign w:val="subscript"/>
        </w:rPr>
        <w:t>EAF</w:t>
      </w:r>
      <w:r w:rsidRPr="002C5876">
        <w:tab/>
        <w:t>représente les émissions massiques d’EAF par essai, en g/km ;</w:t>
      </w:r>
    </w:p>
    <w:p w:rsidR="00E24DB7" w:rsidRPr="002C5876" w:rsidRDefault="00E24DB7" w:rsidP="00E24DB7">
      <w:pPr>
        <w:pStyle w:val="SingleTxtG"/>
        <w:ind w:left="4536" w:hanging="2268"/>
      </w:pPr>
      <w:r w:rsidRPr="002C5876">
        <w:t>M</w:t>
      </w:r>
      <w:r w:rsidRPr="002C5876">
        <w:rPr>
          <w:vertAlign w:val="subscript"/>
        </w:rPr>
        <w:t>NMHC</w:t>
      </w:r>
      <w:r w:rsidRPr="002C5876">
        <w:tab/>
        <w:t>représente les émissions massiques de HCNM par essai, en g/km ;</w:t>
      </w:r>
    </w:p>
    <w:p w:rsidR="00E24DB7" w:rsidRPr="002C5876" w:rsidRDefault="00E24DB7" w:rsidP="00E24DB7">
      <w:pPr>
        <w:pStyle w:val="SingleTxtG"/>
        <w:ind w:left="4536" w:hanging="2268"/>
      </w:pPr>
      <w:r w:rsidRPr="002C5876">
        <w:t>pourcentage d’éthanol</w:t>
      </w:r>
      <w:r w:rsidRPr="002C5876">
        <w:tab/>
        <w:t>est le pourcentage d’éthanol en volume dans le carburant utilisé pour l’essai.</w:t>
      </w:r>
    </w:p>
    <w:p w:rsidR="00E24DB7" w:rsidRPr="002C5876" w:rsidRDefault="00E24DB7" w:rsidP="00E24DB7">
      <w:pPr>
        <w:pStyle w:val="SingleTxtG"/>
        <w:ind w:left="2268" w:hanging="1134"/>
        <w:jc w:val="left"/>
      </w:pPr>
      <w:r w:rsidRPr="002C5876">
        <w:t>3.2.2</w:t>
      </w:r>
      <w:r w:rsidRPr="002C5876">
        <w:tab/>
        <w:t xml:space="preserve">Détermination des émissions massiques de HC des moteurs à allumage </w:t>
      </w:r>
      <w:r w:rsidRPr="002C5876">
        <w:br/>
        <w:t>par compression</w:t>
      </w:r>
    </w:p>
    <w:p w:rsidR="00E24DB7" w:rsidRPr="002C5876" w:rsidRDefault="00E24DB7" w:rsidP="00E24DB7">
      <w:pPr>
        <w:pStyle w:val="SingleTxtG"/>
        <w:keepNext/>
        <w:ind w:left="2268" w:hanging="1134"/>
      </w:pPr>
      <w:r w:rsidRPr="002C5876">
        <w:t>3.2.2.1</w:t>
      </w:r>
      <w:r w:rsidRPr="002C5876">
        <w:tab/>
        <w:t>Pour déterminer les émissions massiques de HC des moteurs à allumage par compression, on doit calculer la concentration moyenne arithmétique de HC en appliquant l’équation suivante :</w:t>
      </w:r>
    </w:p>
    <w:p w:rsidR="00E24DB7" w:rsidRPr="002C5876" w:rsidRDefault="00731CA6" w:rsidP="00E24DB7">
      <w:pPr>
        <w:pStyle w:val="SingleTxtG"/>
        <w:keepNext/>
        <w:ind w:left="2268"/>
        <w:jc w:val="center"/>
      </w:pPr>
      <m:oMathPara>
        <m:oMathParaPr>
          <m:jc m:val="center"/>
        </m:oMathParaPr>
        <m:oMath>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e</m:t>
              </m:r>
            </m:sub>
          </m:sSub>
          <m:r>
            <m:rPr>
              <m:sty m:val="p"/>
            </m:rPr>
            <w:rPr>
              <w:rFonts w:ascii="Cambria Math" w:hAnsi="Cambria Math" w:cstheme="majorBidi"/>
            </w:rPr>
            <m:t>=</m:t>
          </m:r>
          <m:f>
            <m:fPr>
              <m:ctrlPr>
                <w:rPr>
                  <w:rFonts w:ascii="Cambria Math" w:hAnsi="Cambria Math" w:cstheme="majorBidi"/>
                </w:rPr>
              </m:ctrlPr>
            </m:fPr>
            <m:num>
              <m:nary>
                <m:naryPr>
                  <m:limLoc m:val="subSup"/>
                  <m:ctrlPr>
                    <w:rPr>
                      <w:rFonts w:ascii="Cambria Math" w:hAnsi="Cambria Math" w:cstheme="majorBidi"/>
                    </w:rPr>
                  </m:ctrlPr>
                </m:naryPr>
                <m:sub>
                  <m:sSub>
                    <m:sSubPr>
                      <m:ctrlPr>
                        <w:rPr>
                          <w:rFonts w:ascii="Cambria Math" w:hAnsi="Cambria Math" w:cstheme="majorBidi"/>
                        </w:rPr>
                      </m:ctrlPr>
                    </m:sSubPr>
                    <m:e>
                      <m:r>
                        <m:rPr>
                          <m:sty m:val="p"/>
                        </m:rPr>
                        <w:rPr>
                          <w:rFonts w:ascii="Cambria Math" w:hAnsi="Cambria Math" w:cstheme="majorBidi"/>
                        </w:rPr>
                        <m:t>t</m:t>
                      </m:r>
                    </m:e>
                    <m:sub>
                      <m:r>
                        <m:rPr>
                          <m:sty m:val="p"/>
                        </m:rPr>
                        <w:rPr>
                          <w:rFonts w:ascii="Cambria Math" w:hAnsi="Cambria Math" w:cstheme="majorBidi"/>
                        </w:rPr>
                        <m:t>1</m:t>
                      </m:r>
                    </m:sub>
                  </m:sSub>
                </m:sub>
                <m:sup>
                  <m:sSub>
                    <m:sSubPr>
                      <m:ctrlPr>
                        <w:rPr>
                          <w:rFonts w:ascii="Cambria Math" w:hAnsi="Cambria Math" w:cstheme="majorBidi"/>
                        </w:rPr>
                      </m:ctrlPr>
                    </m:sSubPr>
                    <m:e>
                      <m:r>
                        <m:rPr>
                          <m:sty m:val="p"/>
                        </m:rPr>
                        <w:rPr>
                          <w:rFonts w:ascii="Cambria Math" w:hAnsi="Cambria Math" w:cstheme="majorBidi"/>
                        </w:rPr>
                        <m:t>t</m:t>
                      </m:r>
                    </m:e>
                    <m:sub>
                      <m:r>
                        <m:rPr>
                          <m:sty m:val="p"/>
                        </m:rPr>
                        <w:rPr>
                          <w:rFonts w:ascii="Cambria Math" w:hAnsi="Cambria Math" w:cstheme="majorBidi"/>
                        </w:rPr>
                        <m:t>2</m:t>
                      </m:r>
                    </m:sub>
                  </m:sSub>
                </m:sup>
                <m:e>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HC</m:t>
                      </m:r>
                    </m:sub>
                  </m:sSub>
                </m:e>
              </m:nary>
              <m:r>
                <m:rPr>
                  <m:sty m:val="p"/>
                </m:rPr>
                <w:rPr>
                  <w:rFonts w:ascii="Cambria Math" w:hAnsi="Cambria Math" w:cstheme="majorBidi"/>
                </w:rPr>
                <m:t>dt</m:t>
              </m:r>
            </m:num>
            <m:den>
              <m:sSub>
                <m:sSubPr>
                  <m:ctrlPr>
                    <w:rPr>
                      <w:rFonts w:ascii="Cambria Math" w:hAnsi="Cambria Math" w:cstheme="majorBidi"/>
                    </w:rPr>
                  </m:ctrlPr>
                </m:sSubPr>
                <m:e>
                  <m:r>
                    <m:rPr>
                      <m:sty m:val="p"/>
                    </m:rPr>
                    <w:rPr>
                      <w:rFonts w:ascii="Cambria Math" w:hAnsi="Cambria Math" w:cstheme="majorBidi"/>
                    </w:rPr>
                    <m:t>t</m:t>
                  </m:r>
                </m:e>
                <m:sub>
                  <m:r>
                    <m:rPr>
                      <m:sty m:val="p"/>
                    </m:rPr>
                    <w:rPr>
                      <w:rFonts w:ascii="Cambria Math" w:hAnsi="Cambria Math" w:cstheme="majorBidi"/>
                    </w:rPr>
                    <m:t>2</m:t>
                  </m:r>
                </m:sub>
              </m:sSub>
              <m:r>
                <m:rPr>
                  <m:sty m:val="p"/>
                </m:rPr>
                <w:rPr>
                  <w:rFonts w:ascii="Cambria Math" w:hAnsiTheme="majorBidi" w:cstheme="majorBidi"/>
                </w:rPr>
                <m:t xml:space="preserve"> </m:t>
              </m:r>
              <m:r>
                <m:rPr>
                  <m:sty m:val="p"/>
                </m:rPr>
                <w:rPr>
                  <w:rFonts w:ascii="Cambria Math" w:hAnsi="Cambria Math" w:cstheme="majorBidi"/>
                </w:rPr>
                <m:t>-</m:t>
              </m:r>
              <m:r>
                <m:rPr>
                  <m:sty m:val="p"/>
                </m:rPr>
                <w:rPr>
                  <w:rFonts w:ascii="Cambria Math" w:hAnsiTheme="majorBidi" w:cstheme="majorBidi"/>
                </w:rPr>
                <m:t xml:space="preserve"> </m:t>
              </m:r>
              <m:sSub>
                <m:sSubPr>
                  <m:ctrlPr>
                    <w:rPr>
                      <w:rFonts w:ascii="Cambria Math" w:hAnsi="Cambria Math" w:cstheme="majorBidi"/>
                    </w:rPr>
                  </m:ctrlPr>
                </m:sSubPr>
                <m:e>
                  <m:r>
                    <m:rPr>
                      <m:sty m:val="p"/>
                    </m:rPr>
                    <w:rPr>
                      <w:rFonts w:ascii="Cambria Math" w:hAnsi="Cambria Math" w:cstheme="majorBidi"/>
                    </w:rPr>
                    <m:t>t</m:t>
                  </m:r>
                </m:e>
                <m:sub>
                  <m:r>
                    <m:rPr>
                      <m:sty m:val="p"/>
                    </m:rPr>
                    <w:rPr>
                      <w:rFonts w:ascii="Cambria Math" w:hAnsi="Cambria Math" w:cstheme="majorBidi"/>
                    </w:rPr>
                    <m:t>1</m:t>
                  </m:r>
                </m:sub>
              </m:sSub>
            </m:den>
          </m:f>
        </m:oMath>
      </m:oMathPara>
    </w:p>
    <w:p w:rsidR="00E24DB7" w:rsidRPr="002C5876" w:rsidRDefault="00E24DB7" w:rsidP="00E24DB7">
      <w:pPr>
        <w:pStyle w:val="SingleTxtG"/>
        <w:keepNext/>
        <w:ind w:left="2268"/>
      </w:pPr>
      <w:r w:rsidRPr="002C5876">
        <w:t>où :</w:t>
      </w:r>
    </w:p>
    <w:p w:rsidR="00E24DB7" w:rsidRPr="002C5876" w:rsidRDefault="00E24DB7" w:rsidP="00E24DB7">
      <w:pPr>
        <w:pStyle w:val="SingleTxtG"/>
        <w:ind w:left="3402" w:hanging="1134"/>
      </w:pPr>
      <w:r w:rsidRPr="002C5876">
        <w:rPr>
          <w:noProof/>
          <w:position w:val="-22"/>
          <w:lang w:val="en-GB" w:eastAsia="zh-CN"/>
        </w:rPr>
        <w:drawing>
          <wp:inline distT="0" distB="0" distL="0" distR="0" wp14:anchorId="0049ACCA" wp14:editId="25767E27">
            <wp:extent cx="552450" cy="361950"/>
            <wp:effectExtent l="0" t="0" r="0" b="0"/>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52450" cy="361950"/>
                    </a:xfrm>
                    <a:prstGeom prst="rect">
                      <a:avLst/>
                    </a:prstGeom>
                    <a:noFill/>
                    <a:ln>
                      <a:noFill/>
                    </a:ln>
                  </pic:spPr>
                </pic:pic>
              </a:graphicData>
            </a:graphic>
          </wp:inline>
        </w:drawing>
      </w:r>
      <w:r w:rsidRPr="002C5876">
        <w:tab/>
        <w:t>est calculé par intégration de la valeur relevée par le FID chauffé au cours de l’essai (t</w:t>
      </w:r>
      <w:r w:rsidRPr="002C5876">
        <w:rPr>
          <w:vertAlign w:val="subscript"/>
        </w:rPr>
        <w:t>1</w:t>
      </w:r>
      <w:r w:rsidRPr="002C5876">
        <w:t xml:space="preserve"> à t</w:t>
      </w:r>
      <w:r w:rsidRPr="002C5876">
        <w:rPr>
          <w:vertAlign w:val="subscript"/>
        </w:rPr>
        <w:t>2</w:t>
      </w:r>
      <w:r w:rsidRPr="002C5876">
        <w:t>) ;</w:t>
      </w:r>
    </w:p>
    <w:p w:rsidR="00E24DB7" w:rsidRPr="002C5876" w:rsidRDefault="00E24DB7" w:rsidP="00E24DB7">
      <w:pPr>
        <w:pStyle w:val="SingleTxtG"/>
        <w:ind w:left="3402" w:hanging="1134"/>
      </w:pPr>
      <w:r w:rsidRPr="002C5876">
        <w:t>C</w:t>
      </w:r>
      <w:r w:rsidRPr="002C5876">
        <w:rPr>
          <w:vertAlign w:val="subscript"/>
        </w:rPr>
        <w:t>e</w:t>
      </w:r>
      <w:r w:rsidRPr="002C5876">
        <w:tab/>
        <w:t>est la concentration de HC mesurée dans les gaz d’échappement dilués, exprimée en ppm de C</w:t>
      </w:r>
      <w:r w:rsidRPr="002C5876">
        <w:rPr>
          <w:vertAlign w:val="subscript"/>
        </w:rPr>
        <w:t>i</w:t>
      </w:r>
      <w:r w:rsidRPr="002C5876">
        <w:t xml:space="preserve"> et substituée à C</w:t>
      </w:r>
      <w:r w:rsidRPr="002C5876">
        <w:rPr>
          <w:vertAlign w:val="subscript"/>
        </w:rPr>
        <w:t>HC</w:t>
      </w:r>
      <w:r w:rsidRPr="002C5876">
        <w:t xml:space="preserve"> dans toutes les équations pertinentes. </w:t>
      </w:r>
    </w:p>
    <w:p w:rsidR="00E24DB7" w:rsidRPr="002C5876" w:rsidRDefault="00E24DB7" w:rsidP="00E24DB7">
      <w:pPr>
        <w:pStyle w:val="SingleTxtG"/>
        <w:ind w:left="2268" w:hanging="1134"/>
      </w:pPr>
      <w:r w:rsidRPr="002C5876">
        <w:t>3.2.2.1.1</w:t>
      </w:r>
      <w:r w:rsidRPr="002C5876">
        <w:tab/>
        <w:t>La concentration de HC dans l’air de dilution est déterminée à partir des sacs qui contiennent ce dernier. La correction s’effectue conformément aux dispositions du paragraphe 3.2.1.1 ci-dessus.</w:t>
      </w:r>
    </w:p>
    <w:p w:rsidR="00E24DB7" w:rsidRPr="002C5876" w:rsidRDefault="00E24DB7" w:rsidP="00E24DB7">
      <w:pPr>
        <w:pStyle w:val="SingleTxtG"/>
        <w:keepNext/>
        <w:ind w:left="2268" w:hanging="1134"/>
        <w:jc w:val="left"/>
      </w:pPr>
      <w:r w:rsidRPr="002C5876">
        <w:t>3.2.3</w:t>
      </w:r>
      <w:r w:rsidRPr="002C5876">
        <w:tab/>
        <w:t>Calcul de la consommation de carburant et des émissions de CO</w:t>
      </w:r>
      <w:r w:rsidRPr="002C5876">
        <w:rPr>
          <w:vertAlign w:val="subscript"/>
        </w:rPr>
        <w:t>2</w:t>
      </w:r>
      <w:r w:rsidRPr="002C5876">
        <w:t xml:space="preserve"> </w:t>
      </w:r>
      <w:r w:rsidRPr="002C5876">
        <w:br/>
        <w:t>pour les véhicules faisant partie d’une famille d’interpolation</w:t>
      </w:r>
    </w:p>
    <w:p w:rsidR="00E24DB7" w:rsidRPr="002C5876" w:rsidRDefault="00E24DB7" w:rsidP="00E24DB7">
      <w:pPr>
        <w:pStyle w:val="SingleTxtG"/>
        <w:keepNext/>
        <w:ind w:left="2268" w:hanging="1134"/>
        <w:jc w:val="left"/>
      </w:pPr>
      <w:r w:rsidRPr="002C5876">
        <w:t>3.2.3.1</w:t>
      </w:r>
      <w:r w:rsidRPr="002C5876">
        <w:tab/>
        <w:t>Calcul de la consommation de carburant et des émissions de CO</w:t>
      </w:r>
      <w:r w:rsidRPr="002C5876">
        <w:rPr>
          <w:vertAlign w:val="subscript"/>
        </w:rPr>
        <w:t>2</w:t>
      </w:r>
      <w:r w:rsidRPr="002C5876">
        <w:t xml:space="preserve"> </w:t>
      </w:r>
      <w:r w:rsidRPr="002C5876">
        <w:br/>
        <w:t>sans la méthode d’interpolation (c’est-à-dire avec uniquement le véhicule H)</w:t>
      </w:r>
    </w:p>
    <w:p w:rsidR="00E24DB7" w:rsidRPr="002C5876" w:rsidRDefault="00E24DB7" w:rsidP="00E24DB7">
      <w:pPr>
        <w:pStyle w:val="SingleTxtG"/>
        <w:ind w:left="2268"/>
      </w:pPr>
      <w:r w:rsidRPr="002C5876">
        <w:t>Les émissions de CO</w:t>
      </w:r>
      <w:r w:rsidRPr="002C5876">
        <w:rPr>
          <w:vertAlign w:val="subscript"/>
        </w:rPr>
        <w:t>2</w:t>
      </w:r>
      <w:r w:rsidRPr="002C5876">
        <w:t>, telles que calculées conformément aux dispositions des paragraphes 3.2.1 à 3.2.1.1.2 de la présente annexe, et la consommation de carburant, telle que calculée conformément aux dispositions du paragraphe 6 de la même annexe, doivent être attribuées à tous les véhicules faisant partie de la famille d’interpolation, et la méthode d’interpolation n’est pas applicable.</w:t>
      </w:r>
    </w:p>
    <w:p w:rsidR="00E24DB7" w:rsidRPr="002C5876" w:rsidRDefault="00E24DB7" w:rsidP="00E24DB7">
      <w:pPr>
        <w:pStyle w:val="SingleTxtG"/>
        <w:keepNext/>
        <w:ind w:left="2268" w:hanging="1134"/>
        <w:jc w:val="left"/>
      </w:pPr>
      <w:r w:rsidRPr="002C5876">
        <w:t>3.2.3.2</w:t>
      </w:r>
      <w:r w:rsidRPr="002C5876">
        <w:tab/>
        <w:t>Calcul de la consommation de carburant et des émissions de CO</w:t>
      </w:r>
      <w:r w:rsidRPr="002C5876">
        <w:rPr>
          <w:vertAlign w:val="subscript"/>
        </w:rPr>
        <w:t>2</w:t>
      </w:r>
      <w:r w:rsidRPr="002C5876">
        <w:t xml:space="preserve"> </w:t>
      </w:r>
      <w:r w:rsidRPr="002C5876">
        <w:br/>
        <w:t>avec la méthode d’interpolation</w:t>
      </w:r>
    </w:p>
    <w:p w:rsidR="00E24DB7" w:rsidRPr="002C5876" w:rsidRDefault="00E24DB7" w:rsidP="00E24DB7">
      <w:pPr>
        <w:pStyle w:val="SingleTxtG"/>
        <w:ind w:left="2268"/>
      </w:pPr>
      <w:r w:rsidRPr="002C5876">
        <w:t>Il est possible de calculer la consommation de carburant et les émissions de CO</w:t>
      </w:r>
      <w:r w:rsidRPr="002C5876">
        <w:rPr>
          <w:vertAlign w:val="subscript"/>
        </w:rPr>
        <w:t>2</w:t>
      </w:r>
      <w:r w:rsidRPr="002C5876">
        <w:t xml:space="preserve"> pour chaque véhicule faisant partie d’une famille d’interpolation conformément aux dispositions des paragraphes 3.2.3.2.1 à 3.2.3.2.5 de la présente annexe.</w:t>
      </w:r>
    </w:p>
    <w:p w:rsidR="00E24DB7" w:rsidRPr="002C5876" w:rsidRDefault="00E24DB7" w:rsidP="00E24DB7">
      <w:pPr>
        <w:pStyle w:val="SingleTxtG"/>
        <w:keepNext/>
        <w:ind w:left="2268" w:hanging="1134"/>
        <w:jc w:val="left"/>
      </w:pPr>
      <w:r w:rsidRPr="002C5876">
        <w:t>3.2.3.2.1</w:t>
      </w:r>
      <w:r w:rsidRPr="002C5876">
        <w:tab/>
        <w:t>Consommation de carburant et émissions de CO</w:t>
      </w:r>
      <w:r w:rsidRPr="002C5876">
        <w:rPr>
          <w:vertAlign w:val="subscript"/>
        </w:rPr>
        <w:t>2</w:t>
      </w:r>
      <w:r w:rsidRPr="002C5876">
        <w:t xml:space="preserve"> des véhicules d’essai L et H</w:t>
      </w:r>
    </w:p>
    <w:p w:rsidR="00E24DB7" w:rsidRPr="002C5876" w:rsidRDefault="00E24DB7" w:rsidP="00E24DB7">
      <w:pPr>
        <w:pStyle w:val="SingleTxtG"/>
        <w:ind w:left="2268"/>
      </w:pPr>
      <w:r w:rsidRPr="002C5876">
        <w:t>La masse des émissions de CO</w:t>
      </w:r>
      <w:r w:rsidRPr="002C5876">
        <w:rPr>
          <w:vertAlign w:val="subscript"/>
        </w:rPr>
        <w:t>2</w:t>
      </w:r>
      <w:r w:rsidRPr="002C5876">
        <w:t xml:space="preserve">,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r>
              <m:rPr>
                <m:sty m:val="p"/>
              </m:rPr>
              <w:rPr>
                <w:rFonts w:ascii="Cambria Math" w:hAnsi="Cambria Math"/>
                <w:vertAlign w:val="subscript"/>
              </w:rPr>
              <m:t>-L</m:t>
            </m:r>
          </m:sub>
        </m:sSub>
      </m:oMath>
      <w:r w:rsidRPr="002C5876">
        <w:t xml:space="preserve"> et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r>
              <m:rPr>
                <m:sty m:val="p"/>
              </m:rPr>
              <w:rPr>
                <w:rFonts w:ascii="Cambria Math" w:hAnsi="Cambria Math"/>
                <w:vertAlign w:val="subscript"/>
              </w:rPr>
              <m:t>-H</m:t>
            </m:r>
          </m:sub>
        </m:sSub>
      </m:oMath>
      <w:r w:rsidRPr="002C5876">
        <w:t xml:space="preserve">, et les phases p,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r>
              <m:rPr>
                <m:sty m:val="p"/>
              </m:rPr>
              <w:rPr>
                <w:rFonts w:ascii="Cambria Math" w:hAnsi="Cambria Math"/>
                <w:vertAlign w:val="subscript"/>
              </w:rPr>
              <m:t>-L,p</m:t>
            </m:r>
          </m:sub>
        </m:sSub>
      </m:oMath>
      <w:r w:rsidRPr="002C5876">
        <w:t xml:space="preserve"> et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r>
              <m:rPr>
                <m:sty m:val="p"/>
              </m:rPr>
              <w:rPr>
                <w:rFonts w:ascii="Cambria Math" w:hAnsi="Cambria Math"/>
                <w:vertAlign w:val="subscript"/>
              </w:rPr>
              <m:t>-H,p</m:t>
            </m:r>
          </m:sub>
        </m:sSub>
      </m:oMath>
      <w:r w:rsidRPr="002C5876">
        <w:t>, prises en compte pour les véhicules d’essai L et H, utilisées dans les calculs qui suivent, doivent être recueillies à l’étape 9 du tableau A7/1.</w:t>
      </w:r>
    </w:p>
    <w:p w:rsidR="00E24DB7" w:rsidRPr="002C5876" w:rsidRDefault="00E24DB7" w:rsidP="00E24DB7">
      <w:pPr>
        <w:pStyle w:val="SingleTxtG"/>
        <w:ind w:left="2268"/>
      </w:pPr>
      <w:r w:rsidRPr="002C5876">
        <w:t>Les valeurs relatives à la consommation de carburant proviennent également de l’étape 9 du tableau A7/1 et sont représentées par FC</w:t>
      </w:r>
      <w:r w:rsidRPr="002C5876">
        <w:rPr>
          <w:vertAlign w:val="subscript"/>
        </w:rPr>
        <w:t>L,p</w:t>
      </w:r>
      <w:r w:rsidRPr="002C5876">
        <w:t xml:space="preserve"> et FC</w:t>
      </w:r>
      <w:r w:rsidRPr="002C5876">
        <w:rPr>
          <w:vertAlign w:val="subscript"/>
        </w:rPr>
        <w:t>H,p</w:t>
      </w:r>
      <w:r w:rsidRPr="002C5876">
        <w:t>.</w:t>
      </w:r>
    </w:p>
    <w:p w:rsidR="00E24DB7" w:rsidRPr="002C5876" w:rsidRDefault="00E24DB7" w:rsidP="00E24DB7">
      <w:pPr>
        <w:pStyle w:val="SingleTxtG"/>
        <w:keepNext/>
        <w:ind w:left="2268" w:hanging="1134"/>
      </w:pPr>
      <w:r w:rsidRPr="002C5876">
        <w:t>3.2.3.2.2</w:t>
      </w:r>
      <w:r w:rsidRPr="002C5876">
        <w:tab/>
        <w:t>Calcul de la résistance à l’avancement sur route pour un véhicule donné</w:t>
      </w:r>
    </w:p>
    <w:p w:rsidR="00E24DB7" w:rsidRPr="002C5876" w:rsidRDefault="00E24DB7" w:rsidP="00E24DB7">
      <w:pPr>
        <w:pStyle w:val="SingleTxtG"/>
        <w:ind w:left="2268"/>
      </w:pPr>
      <w:r w:rsidRPr="002C5876">
        <w:tab/>
        <w:t xml:space="preserve">Dans le cas où la famille d’interpolation est dérivée d’une ou plusieurs familles de résistance à l’avancement sur route, le calcul de la résistance à l’avancement </w:t>
      </w:r>
      <w:r w:rsidRPr="002C5876">
        <w:lastRenderedPageBreak/>
        <w:t>sur route pour un véhicule donné doit être effectué uniquement au sein de la famille de résistance à l’avancement sur route applicable au véhicule concerné.</w:t>
      </w:r>
    </w:p>
    <w:p w:rsidR="00E24DB7" w:rsidRPr="002C5876" w:rsidRDefault="00E24DB7" w:rsidP="00E24DB7">
      <w:pPr>
        <w:pStyle w:val="SingleTxtG"/>
        <w:keepNext/>
        <w:ind w:left="2268" w:hanging="1134"/>
        <w:jc w:val="left"/>
      </w:pPr>
      <w:r w:rsidRPr="002C5876">
        <w:t>3.2.3.2.2.1</w:t>
      </w:r>
      <w:r w:rsidRPr="002C5876">
        <w:tab/>
        <w:t>Masse d’un véhicule donné</w:t>
      </w:r>
    </w:p>
    <w:p w:rsidR="00E24DB7" w:rsidRPr="002C5876" w:rsidRDefault="00E24DB7" w:rsidP="00E24DB7">
      <w:pPr>
        <w:pStyle w:val="SingleTxtG"/>
        <w:ind w:left="2268"/>
      </w:pPr>
      <w:r w:rsidRPr="002C5876">
        <w:t>Les masses d’essai des véhicules H et L doivent être utilisées comme paramètres d’entrée pour la méthode d’interpolation.</w:t>
      </w:r>
    </w:p>
    <w:p w:rsidR="00E24DB7" w:rsidRPr="002C5876" w:rsidRDefault="00E24DB7" w:rsidP="00E24DB7">
      <w:pPr>
        <w:pStyle w:val="SingleTxtG"/>
        <w:ind w:left="2268"/>
      </w:pPr>
      <w:r w:rsidRPr="002C5876">
        <w:t>TM</w:t>
      </w:r>
      <w:r w:rsidRPr="002C5876">
        <w:rPr>
          <w:vertAlign w:val="subscript"/>
        </w:rPr>
        <w:t>ind</w:t>
      </w:r>
      <w:r w:rsidRPr="002C5876">
        <w:t>, en kg, est la masse d’essai d’un véhicule donné conformément au paragraphe 3.2.25 du présent RTM</w:t>
      </w:r>
      <w:r w:rsidR="00BD3650">
        <w:t xml:space="preserve"> </w:t>
      </w:r>
      <w:r w:rsidR="00225E18">
        <w:t>ONU</w:t>
      </w:r>
      <w:r w:rsidRPr="002C5876">
        <w:t>.</w:t>
      </w:r>
    </w:p>
    <w:p w:rsidR="00E24DB7" w:rsidRPr="002C5876" w:rsidRDefault="00E24DB7" w:rsidP="00E24DB7">
      <w:pPr>
        <w:pStyle w:val="SingleTxtG"/>
        <w:ind w:left="2268"/>
      </w:pPr>
      <w:r w:rsidRPr="002C5876">
        <w:t>Si l’on utilise la même masse d’essai pour les véhicules d’essai L et H, la valeur de TM</w:t>
      </w:r>
      <w:r w:rsidRPr="002C5876">
        <w:rPr>
          <w:vertAlign w:val="subscript"/>
        </w:rPr>
        <w:t>ind</w:t>
      </w:r>
      <w:r w:rsidRPr="002C5876">
        <w:t xml:space="preserve"> doit être réglée sur la masse du véhicule d’essai H pour la méthode d’interpolation.</w:t>
      </w:r>
    </w:p>
    <w:p w:rsidR="00E24DB7" w:rsidRPr="002C5876" w:rsidRDefault="00E24DB7" w:rsidP="00E24DB7">
      <w:pPr>
        <w:pStyle w:val="SingleTxtG"/>
      </w:pPr>
      <w:r w:rsidRPr="002C5876">
        <w:t>3.2.3.2.2.2</w:t>
      </w:r>
      <w:r w:rsidRPr="002C5876">
        <w:tab/>
        <w:t>Résistance au roulement d’un véhicule donné</w:t>
      </w:r>
    </w:p>
    <w:p w:rsidR="00E24DB7" w:rsidRPr="002C5876" w:rsidRDefault="00E24DB7" w:rsidP="00E24DB7">
      <w:pPr>
        <w:pStyle w:val="SingleTxtG"/>
        <w:keepNext/>
        <w:ind w:left="2268" w:hanging="1134"/>
      </w:pPr>
      <w:r w:rsidRPr="002C5876">
        <w:t>3.2.3.2.2.2.1</w:t>
      </w:r>
      <w:r w:rsidRPr="002C5876">
        <w:tab/>
        <w:t>Les valeurs effectives de CRR des pneumatiques sélectionnés pour le véhicule d’essai L, RR</w:t>
      </w:r>
      <w:r w:rsidRPr="002C5876">
        <w:rPr>
          <w:vertAlign w:val="subscript"/>
        </w:rPr>
        <w:t>L</w:t>
      </w:r>
      <w:r w:rsidRPr="002C5876">
        <w:t>, et pour le véhicule d’essai H, RR</w:t>
      </w:r>
      <w:r w:rsidRPr="002C5876">
        <w:rPr>
          <w:vertAlign w:val="subscript"/>
        </w:rPr>
        <w:t>H</w:t>
      </w:r>
      <w:r w:rsidRPr="002C5876">
        <w:t>, doivent être utilisées comme paramètres d’entrée pour la méthode d’interpolation. Voir le paragraphe 4.2.2.1 de l’annexe 4.</w:t>
      </w:r>
    </w:p>
    <w:p w:rsidR="00E24DB7" w:rsidRPr="002C5876" w:rsidRDefault="00E24DB7" w:rsidP="00E24DB7">
      <w:pPr>
        <w:pStyle w:val="SingleTxtG"/>
        <w:ind w:left="2268"/>
      </w:pPr>
      <w:r w:rsidRPr="002C5876">
        <w:t>Si les pneumatiques montés sur les essieux avant et arrière du véhicule</w:t>
      </w:r>
      <w:r w:rsidR="00DC547C">
        <w:t> </w:t>
      </w:r>
      <w:r w:rsidRPr="002C5876">
        <w:t>L ou</w:t>
      </w:r>
      <w:r w:rsidR="00DC547C">
        <w:t> </w:t>
      </w:r>
      <w:r w:rsidRPr="002C5876">
        <w:t>H présentent des valeurs de CRR différentes, on doit calculer la moyenne pondérée des résistances au roulement au moyen de l’équation reproduite au paragraphe 3.2.3.2.2.2.3 de la présente annexe.</w:t>
      </w:r>
    </w:p>
    <w:p w:rsidR="00E24DB7" w:rsidRPr="002C5876" w:rsidRDefault="00E24DB7" w:rsidP="00E24DB7">
      <w:pPr>
        <w:pStyle w:val="SingleTxtG"/>
        <w:keepNext/>
        <w:ind w:left="2268" w:hanging="1134"/>
      </w:pPr>
      <w:r w:rsidRPr="002C5876">
        <w:t>3.2.3.2.2.2.2</w:t>
      </w:r>
      <w:r w:rsidRPr="002C5876">
        <w:tab/>
        <w:t>Pour les pneumatiques montés sur un véhicule donné, la valeur du coefficient de résistance au roulement RR</w:t>
      </w:r>
      <w:r w:rsidRPr="002C5876">
        <w:rPr>
          <w:vertAlign w:val="subscript"/>
        </w:rPr>
        <w:t xml:space="preserve">ind </w:t>
      </w:r>
      <w:r w:rsidRPr="002C5876">
        <w:t>doit être réglée sur la valeur du CRR de la classe d’efficacité énergétique correspondante selon le tableau A4/2 de l’annexe</w:t>
      </w:r>
      <w:r w:rsidR="00DC547C">
        <w:t> </w:t>
      </w:r>
      <w:r w:rsidRPr="002C5876">
        <w:t>4.</w:t>
      </w:r>
    </w:p>
    <w:p w:rsidR="00E24DB7" w:rsidRPr="002C5876" w:rsidRDefault="00E24DB7" w:rsidP="00E24DB7">
      <w:pPr>
        <w:pStyle w:val="SingleTxtG"/>
        <w:ind w:left="2268"/>
      </w:pPr>
      <w:r w:rsidRPr="002C5876">
        <w:tab/>
        <w:t>Si les pneumatiques montés sur les essieux avant et arrière relèvent de différentes classes d’efficacité énergétique, on doit utiliser la moyenne pondérée, calculée à l’aide de l’équation qui figure au paragraphe 3.2.3.2.2.2.3 de la présente annexe.</w:t>
      </w:r>
    </w:p>
    <w:p w:rsidR="00E24DB7" w:rsidRPr="002C5876" w:rsidRDefault="00E24DB7" w:rsidP="00E24DB7">
      <w:pPr>
        <w:pStyle w:val="SingleTxtG"/>
        <w:ind w:left="2268"/>
        <w:rPr>
          <w:vertAlign w:val="subscript"/>
        </w:rPr>
      </w:pPr>
      <w:r w:rsidRPr="002C5876">
        <w:tab/>
        <w:t>Si les pneumatiques montés sur les véhicules d’essai L et H sont les mêmes, ou s’il s’agit de pneumatiques présentant le même coefficient de résistance au roulement, la valeur de RR</w:t>
      </w:r>
      <w:r w:rsidRPr="002C5876">
        <w:rPr>
          <w:vertAlign w:val="subscript"/>
        </w:rPr>
        <w:t xml:space="preserve">ind </w:t>
      </w:r>
      <w:r w:rsidRPr="002C5876">
        <w:t>pour la méthode d’interpolation doit être réglée sur RR</w:t>
      </w:r>
      <w:r w:rsidRPr="002C5876">
        <w:rPr>
          <w:vertAlign w:val="subscript"/>
        </w:rPr>
        <w:t>H..</w:t>
      </w:r>
    </w:p>
    <w:p w:rsidR="00E24DB7" w:rsidRPr="002C5876" w:rsidRDefault="00E24DB7" w:rsidP="00E24DB7">
      <w:pPr>
        <w:pStyle w:val="SingleTxtG"/>
        <w:keepNext/>
        <w:ind w:left="2268" w:hanging="1134"/>
      </w:pPr>
      <w:r w:rsidRPr="002C5876">
        <w:t>3.2.3.2.2.2.3</w:t>
      </w:r>
      <w:r w:rsidRPr="002C5876">
        <w:tab/>
        <w:t>Calcul de la moyenne pondérée des résistances au roulement</w:t>
      </w:r>
    </w:p>
    <w:p w:rsidR="00E24DB7" w:rsidRPr="002C5876" w:rsidRDefault="00731CA6" w:rsidP="00E24DB7">
      <w:pPr>
        <w:pStyle w:val="SingleTxtG"/>
        <w:ind w:left="2268" w:hanging="1134"/>
      </w:pPr>
      <m:oMathPara>
        <m:oMathParaPr>
          <m:jc m:val="center"/>
        </m:oMathParaPr>
        <m:oMath>
          <m:sSub>
            <m:sSubPr>
              <m:ctrlPr>
                <w:rPr>
                  <w:rFonts w:ascii="Cambria Math" w:hAnsi="Cambria Math"/>
                </w:rPr>
              </m:ctrlPr>
            </m:sSubPr>
            <m:e>
              <m:r>
                <m:rPr>
                  <m:sty m:val="p"/>
                </m:rPr>
                <w:rPr>
                  <w:rFonts w:ascii="Cambria Math" w:hAnsi="Cambria Math"/>
                </w:rPr>
                <m:t>RR</m:t>
              </m:r>
            </m:e>
            <m:sub>
              <m:r>
                <m:rPr>
                  <m:sty m:val="p"/>
                </m:rPr>
                <w:rPr>
                  <w:rFonts w:ascii="Cambria Math" w:hAnsi="Cambria Math"/>
                </w:rPr>
                <m:t>x</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(RR</m:t>
              </m:r>
            </m:e>
            <m:sub>
              <m:r>
                <m:rPr>
                  <m:sty m:val="p"/>
                </m:rPr>
                <w:rPr>
                  <w:rFonts w:ascii="Cambria Math" w:hAnsi="Cambria Math"/>
                </w:rPr>
                <m:t>x, FA</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mp</m:t>
              </m:r>
            </m:e>
            <m:sub>
              <m:r>
                <m:rPr>
                  <m:sty m:val="p"/>
                </m:rPr>
                <w:rPr>
                  <w:rFonts w:ascii="Cambria Math" w:hAnsi="Cambria Math"/>
                </w:rPr>
                <m:t>x, FA</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(RR</m:t>
              </m:r>
            </m:e>
            <m:sub>
              <m:r>
                <m:rPr>
                  <m:sty m:val="p"/>
                </m:rPr>
                <w:rPr>
                  <w:rFonts w:ascii="Cambria Math" w:hAnsi="Cambria Math"/>
                </w:rPr>
                <m:t>x, RA</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m:rPr>
                      <m:sty m:val="p"/>
                    </m:rPr>
                    <w:rPr>
                      <w:rFonts w:ascii="Cambria Math" w:hAnsi="Cambria Math"/>
                    </w:rPr>
                    <m:t>mp</m:t>
                  </m:r>
                </m:e>
                <m:sub>
                  <m:r>
                    <m:rPr>
                      <m:sty m:val="p"/>
                    </m:rPr>
                    <w:rPr>
                      <w:rFonts w:ascii="Cambria Math" w:hAnsi="Cambria Math"/>
                    </w:rPr>
                    <m:t>x,FA</m:t>
                  </m:r>
                </m:sub>
              </m:sSub>
            </m:e>
          </m:d>
          <m:r>
            <w:rPr>
              <w:rFonts w:ascii="Cambria Math" w:hAnsi="Cambria Math"/>
            </w:rPr>
            <m:t>)</m:t>
          </m:r>
        </m:oMath>
      </m:oMathPara>
    </w:p>
    <w:p w:rsidR="00E24DB7" w:rsidRPr="002C5876" w:rsidRDefault="00E24DB7" w:rsidP="00E24DB7">
      <w:pPr>
        <w:pStyle w:val="SingleTxtG"/>
        <w:keepNext/>
        <w:ind w:left="2268"/>
      </w:pPr>
      <w:r w:rsidRPr="002C5876">
        <w:t>où :</w:t>
      </w:r>
    </w:p>
    <w:p w:rsidR="00E24DB7" w:rsidRPr="002C5876" w:rsidRDefault="00E24DB7" w:rsidP="00EA0F43">
      <w:pPr>
        <w:pStyle w:val="SingleTxtG"/>
        <w:kinsoku/>
        <w:overflowPunct/>
        <w:autoSpaceDE/>
        <w:autoSpaceDN/>
        <w:adjustRightInd/>
        <w:snapToGrid/>
        <w:ind w:left="3969" w:hanging="1701"/>
      </w:pPr>
      <w:r w:rsidRPr="002C5876">
        <w:t>x</w:t>
      </w:r>
      <w:r w:rsidRPr="002C5876">
        <w:tab/>
      </w:r>
      <w:r w:rsidRPr="002C5876">
        <w:tab/>
        <w:t>représente le véhicule L, le véhicule H ou un véhicule donné.</w:t>
      </w:r>
    </w:p>
    <w:p w:rsidR="00E24DB7" w:rsidRPr="002C5876" w:rsidRDefault="00E24DB7" w:rsidP="00EA0F43">
      <w:pPr>
        <w:pStyle w:val="SingleTxtG"/>
        <w:kinsoku/>
        <w:overflowPunct/>
        <w:autoSpaceDE/>
        <w:autoSpaceDN/>
        <w:adjustRightInd/>
        <w:snapToGrid/>
        <w:ind w:left="3969" w:hanging="1701"/>
      </w:pPr>
      <w:r w:rsidRPr="002C5876">
        <w:t xml:space="preserve"> </w:t>
      </w:r>
      <m:oMath>
        <m:sSub>
          <m:sSubPr>
            <m:ctrlPr>
              <w:rPr>
                <w:rFonts w:ascii="Cambria Math" w:hAnsi="Cambria Math"/>
              </w:rPr>
            </m:ctrlPr>
          </m:sSubPr>
          <m:e>
            <m:r>
              <m:rPr>
                <m:sty m:val="p"/>
              </m:rPr>
              <w:rPr>
                <w:rFonts w:ascii="Cambria Math" w:hAnsi="Cambria Math"/>
              </w:rPr>
              <m:t>RR</m:t>
            </m:r>
          </m:e>
          <m:sub>
            <m:r>
              <m:rPr>
                <m:sty m:val="p"/>
              </m:rPr>
              <w:rPr>
                <w:rFonts w:ascii="Cambria Math" w:hAnsi="Cambria Math"/>
              </w:rPr>
              <m:t>L, FA</m:t>
            </m:r>
          </m:sub>
        </m:sSub>
      </m:oMath>
      <w:r w:rsidRPr="002C5876">
        <w:t xml:space="preserve"> et RRH,FA</w:t>
      </w:r>
      <w:r w:rsidRPr="002C5876">
        <w:tab/>
        <w:t>sont les CRR effectifs des pneumatiques de l’essieu avantsur les véhicules L et H respectivement, en kg/tonne ;</w:t>
      </w:r>
    </w:p>
    <w:p w:rsidR="00E24DB7" w:rsidRPr="002C5876" w:rsidRDefault="00731CA6" w:rsidP="00EA0F43">
      <w:pPr>
        <w:pStyle w:val="SingleTxtG"/>
        <w:kinsoku/>
        <w:overflowPunct/>
        <w:autoSpaceDE/>
        <w:autoSpaceDN/>
        <w:adjustRightInd/>
        <w:snapToGrid/>
        <w:ind w:left="3969" w:hanging="1701"/>
      </w:pPr>
      <m:oMath>
        <m:sSub>
          <m:sSubPr>
            <m:ctrlPr>
              <w:rPr>
                <w:rFonts w:ascii="Cambria Math" w:hAnsi="Cambria Math"/>
              </w:rPr>
            </m:ctrlPr>
          </m:sSubPr>
          <m:e>
            <m:r>
              <m:rPr>
                <m:sty m:val="p"/>
              </m:rPr>
              <w:rPr>
                <w:rFonts w:ascii="Cambria Math" w:hAnsi="Cambria Math"/>
              </w:rPr>
              <m:t>RR</m:t>
            </m:r>
          </m:e>
          <m:sub>
            <m:r>
              <m:rPr>
                <m:sty m:val="p"/>
              </m:rPr>
              <w:rPr>
                <w:rFonts w:ascii="Cambria Math" w:hAnsi="Cambria Math"/>
              </w:rPr>
              <m:t>ind, FA</m:t>
            </m:r>
          </m:sub>
        </m:sSub>
        <m:r>
          <m:rPr>
            <m:sty m:val="p"/>
          </m:rPr>
          <w:rPr>
            <w:rFonts w:ascii="Cambria Math" w:hAnsi="Cambria Math"/>
          </w:rPr>
          <m:t xml:space="preserve"> </m:t>
        </m:r>
      </m:oMath>
      <w:r w:rsidR="00E24DB7" w:rsidRPr="002C5876">
        <w:tab/>
        <w:t>est la valeur du CRR de la classe d’efficacité énergétique correspondante selon le tableau A4/2 de l’annexe 4 des pneumatiques de l’essieu avant sur un véhicule donné, en kg/tonne ;</w:t>
      </w:r>
    </w:p>
    <w:p w:rsidR="00E24DB7" w:rsidRPr="002C5876" w:rsidRDefault="00E24DB7" w:rsidP="00EA0F43">
      <w:pPr>
        <w:pStyle w:val="SingleTxtG"/>
        <w:kinsoku/>
        <w:overflowPunct/>
        <w:autoSpaceDE/>
        <w:autoSpaceDN/>
        <w:adjustRightInd/>
        <w:snapToGrid/>
        <w:ind w:left="3969" w:hanging="1701"/>
      </w:pPr>
      <w:r w:rsidRPr="002C5876">
        <w:t>RR</w:t>
      </w:r>
      <w:r w:rsidRPr="002C5876">
        <w:rPr>
          <w:vertAlign w:val="subscript"/>
        </w:rPr>
        <w:t>L,RA</w:t>
      </w:r>
      <w:r w:rsidRPr="002C5876">
        <w:t>, et RR</w:t>
      </w:r>
      <w:r w:rsidRPr="002C5876">
        <w:rPr>
          <w:vertAlign w:val="subscript"/>
        </w:rPr>
        <w:t>H,RA</w:t>
      </w:r>
      <w:r w:rsidRPr="002C5876">
        <w:rPr>
          <w:vertAlign w:val="subscript"/>
        </w:rPr>
        <w:tab/>
      </w:r>
      <w:r w:rsidRPr="002C5876">
        <w:t>sont les CRR effectifs des pneumatiques de l’essieu arrière sur les véhicules L et H respectivement, en kg/tonne ;</w:t>
      </w:r>
    </w:p>
    <w:p w:rsidR="00E24DB7" w:rsidRPr="002C5876" w:rsidRDefault="00E24DB7" w:rsidP="00EA0F43">
      <w:pPr>
        <w:pStyle w:val="SingleTxtG"/>
        <w:kinsoku/>
        <w:overflowPunct/>
        <w:autoSpaceDE/>
        <w:autoSpaceDN/>
        <w:adjustRightInd/>
        <w:snapToGrid/>
        <w:ind w:left="3969" w:hanging="1701"/>
      </w:pPr>
      <w:r w:rsidRPr="002C5876">
        <w:t>RRind,</w:t>
      </w:r>
      <w:r w:rsidRPr="002C5876">
        <w:rPr>
          <w:vertAlign w:val="subscript"/>
        </w:rPr>
        <w:t>RA</w:t>
      </w:r>
      <w:r w:rsidRPr="002C5876">
        <w:tab/>
        <w:t xml:space="preserve">est la valeur du CRR de la classe d’efficacité énergétique correspondante selon le tableau A4/2 de l’annexe 4 des pneumatiques de l’essieu arrière sur un véhicule donné, en kg/tonne.  </w:t>
      </w:r>
    </w:p>
    <w:p w:rsidR="00E24DB7" w:rsidRPr="002C5876" w:rsidRDefault="00E24DB7" w:rsidP="00EA0F43">
      <w:pPr>
        <w:pStyle w:val="SingleTxtG"/>
        <w:kinsoku/>
        <w:overflowPunct/>
        <w:autoSpaceDE/>
        <w:autoSpaceDN/>
        <w:adjustRightInd/>
        <w:snapToGrid/>
        <w:ind w:left="3969" w:hanging="1701"/>
      </w:pPr>
      <w:r w:rsidRPr="002C5876">
        <w:rPr>
          <w:noProof/>
          <w:position w:val="-12"/>
          <w:lang w:val="en-GB" w:eastAsia="zh-CN"/>
        </w:rPr>
        <w:lastRenderedPageBreak/>
        <w:drawing>
          <wp:inline distT="0" distB="0" distL="0" distR="0" wp14:anchorId="4DD25D8F" wp14:editId="1A5C1270">
            <wp:extent cx="409575" cy="209550"/>
            <wp:effectExtent l="0" t="0" r="9525" b="0"/>
            <wp:docPr id="277"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09575" cy="209550"/>
                    </a:xfrm>
                    <a:prstGeom prst="rect">
                      <a:avLst/>
                    </a:prstGeom>
                    <a:noFill/>
                    <a:ln>
                      <a:noFill/>
                    </a:ln>
                  </pic:spPr>
                </pic:pic>
              </a:graphicData>
            </a:graphic>
          </wp:inline>
        </w:drawing>
      </w:r>
      <w:r w:rsidRPr="002C5876">
        <w:tab/>
        <w:t>est la proportion de la masse du véhicule en ordre de marche sur l’essieu avant ;</w:t>
      </w:r>
    </w:p>
    <w:p w:rsidR="00E24DB7" w:rsidRPr="002C5876" w:rsidRDefault="00E24DB7" w:rsidP="00EA0F43">
      <w:pPr>
        <w:pStyle w:val="SingleTxtG"/>
        <w:kinsoku/>
        <w:overflowPunct/>
        <w:autoSpaceDE/>
        <w:autoSpaceDN/>
        <w:adjustRightInd/>
        <w:snapToGrid/>
        <w:ind w:left="3969" w:hanging="1701"/>
      </w:pPr>
      <w:r w:rsidRPr="002C5876">
        <w:t xml:space="preserve">RRx </w:t>
      </w:r>
      <w:r w:rsidR="00EA0F43" w:rsidRPr="002C5876">
        <w:tab/>
      </w:r>
      <w:r w:rsidR="00EA0F43" w:rsidRPr="002C5876">
        <w:tab/>
      </w:r>
      <w:r w:rsidRPr="002C5876">
        <w:t>ne doit pas être pas arrondi ou inscrit dans une classe d’efficacité énergétique des pneumatiques.</w:t>
      </w:r>
    </w:p>
    <w:p w:rsidR="00E24DB7" w:rsidRPr="002C5876" w:rsidRDefault="00E24DB7" w:rsidP="00E24DB7">
      <w:pPr>
        <w:pStyle w:val="SingleTxtG"/>
        <w:keepNext/>
        <w:ind w:left="2268" w:hanging="1134"/>
      </w:pPr>
      <w:r w:rsidRPr="002C5876">
        <w:t>3.2.3.2.2.3</w:t>
      </w:r>
      <w:r w:rsidRPr="002C5876">
        <w:tab/>
        <w:t>Traînée aérodynamique d’un véhicule donné</w:t>
      </w:r>
    </w:p>
    <w:p w:rsidR="00E24DB7" w:rsidRPr="002C5876" w:rsidRDefault="00E24DB7" w:rsidP="00E24DB7">
      <w:pPr>
        <w:pStyle w:val="SingleTxtG"/>
        <w:keepNext/>
        <w:ind w:left="2268" w:hanging="1134"/>
      </w:pPr>
      <w:r w:rsidRPr="002C5876">
        <w:t>3.2.3.2.2.3.1</w:t>
      </w:r>
      <w:r w:rsidRPr="002C5876">
        <w:tab/>
        <w:t>Détermination de l’incidence aérodynamique de l’équipement optionnel</w:t>
      </w:r>
    </w:p>
    <w:p w:rsidR="00E24DB7" w:rsidRPr="002C5876" w:rsidRDefault="00E24DB7" w:rsidP="00E24DB7">
      <w:pPr>
        <w:pStyle w:val="SingleTxtG"/>
        <w:ind w:left="2268"/>
      </w:pPr>
      <w:r w:rsidRPr="002C5876">
        <w:t>La traînée aérodynamique doit être mesurée pour chacun des éléments de l’équipement optionnel et chacune des formes de carrosserie ayant une incidence sur celle-ci dans une soufflerie répondant aux prescriptions du paragraphe 3.2 de l’annexe 4, après vérification par l’autorité compétente.</w:t>
      </w:r>
    </w:p>
    <w:p w:rsidR="00E24DB7" w:rsidRPr="002C5876" w:rsidRDefault="00E24DB7" w:rsidP="00E24DB7">
      <w:pPr>
        <w:pStyle w:val="SingleTxtG"/>
        <w:keepNext/>
        <w:ind w:left="2268" w:hanging="1134"/>
      </w:pPr>
      <w:r w:rsidRPr="002C5876">
        <w:t>3.2.3.2.2.3.2</w:t>
      </w:r>
      <w:r w:rsidRPr="002C5876">
        <w:tab/>
        <w:t>Autre méthode permettant de déterminer l’incidence aérodynamique de l’équipement optionnel</w:t>
      </w:r>
    </w:p>
    <w:p w:rsidR="00E24DB7" w:rsidRPr="002C5876" w:rsidRDefault="00E24DB7" w:rsidP="00E24DB7">
      <w:pPr>
        <w:pStyle w:val="SingleTxtG"/>
        <w:ind w:left="2268"/>
      </w:pPr>
      <w:r w:rsidRPr="002C5876">
        <w:tab/>
        <w:t>À la demande du constructeur et avec l’accord de l’autorité compétente, une autre méthode (simulation ou utilisation d’une soufflerie non conforme aux prescriptions de l’annexe</w:t>
      </w:r>
      <w:r w:rsidR="00103FDF">
        <w:t> </w:t>
      </w:r>
      <w:r w:rsidRPr="002C5876">
        <w:t>4, par exemple) peut être appliquée pour déterminer Δ(C</w:t>
      </w:r>
      <w:r w:rsidRPr="002C5876">
        <w:rPr>
          <w:vertAlign w:val="subscript"/>
        </w:rPr>
        <w:t>D</w:t>
      </w:r>
      <w:r w:rsidRPr="002C5876">
        <w:t>×A</w:t>
      </w:r>
      <w:r w:rsidRPr="002C5876">
        <w:rPr>
          <w:vertAlign w:val="subscript"/>
        </w:rPr>
        <w:t>f</w:t>
      </w:r>
      <w:r w:rsidRPr="002C5876">
        <w:t xml:space="preserve">) si les critères ci-après sont remplis : </w:t>
      </w:r>
    </w:p>
    <w:p w:rsidR="00E24DB7" w:rsidRPr="002C5876" w:rsidRDefault="00E24DB7" w:rsidP="00E24DB7">
      <w:pPr>
        <w:pStyle w:val="SingleTxtG"/>
        <w:ind w:left="2835" w:hanging="567"/>
      </w:pPr>
      <w:r w:rsidRPr="002C5876">
        <w:t>a)</w:t>
      </w:r>
      <w:r w:rsidRPr="002C5876">
        <w:tab/>
        <w:t xml:space="preserve">L’autre méthode produit une exactitude de </w:t>
      </w:r>
      <w:r w:rsidRPr="002C5876">
        <w:sym w:font="Symbol" w:char="F0B1"/>
      </w:r>
      <w:r w:rsidRPr="002C5876">
        <w:t>0,015 m</w:t>
      </w:r>
      <w:r w:rsidRPr="002C5876">
        <w:rPr>
          <w:vertAlign w:val="superscript"/>
        </w:rPr>
        <w:t>2</w:t>
      </w:r>
      <w:r w:rsidRPr="002C5876">
        <w:t xml:space="preserve"> pour Δ(C</w:t>
      </w:r>
      <w:r w:rsidRPr="002C5876">
        <w:rPr>
          <w:vertAlign w:val="subscript"/>
        </w:rPr>
        <w:t>D</w:t>
      </w:r>
      <w:r w:rsidRPr="002C5876">
        <w:t>×A</w:t>
      </w:r>
      <w:r w:rsidRPr="002C5876">
        <w:rPr>
          <w:vertAlign w:val="subscript"/>
        </w:rPr>
        <w:t>f</w:t>
      </w:r>
      <w:r w:rsidRPr="002C5876">
        <w:t>) et, dans le cas d’une simulation, la méthode de la dynamique numérique des fluides est validée dans le détail, de sorte que les flux d’air effectifs autour de la carrosserie, et notamment leur vitesse, leur force et la pression exercée, correspondent aux résultats de l’essai de validation ;</w:t>
      </w:r>
    </w:p>
    <w:p w:rsidR="00E24DB7" w:rsidRPr="002C5876" w:rsidRDefault="00E24DB7" w:rsidP="00E24DB7">
      <w:pPr>
        <w:pStyle w:val="SingleTxtG"/>
        <w:ind w:left="2835" w:hanging="567"/>
      </w:pPr>
      <w:r w:rsidRPr="002C5876">
        <w:t>b)</w:t>
      </w:r>
      <w:r w:rsidRPr="002C5876">
        <w:tab/>
        <w:t xml:space="preserve">L’autre méthode est employée uniquement pour ceux des éléments ayant une incidence sur l’aérodynamisme (roues, formes de la carrosserie et système de refroidissement, par exemple) pour lesquels l’équivalence a été démontrée ; </w:t>
      </w:r>
    </w:p>
    <w:p w:rsidR="00E24DB7" w:rsidRPr="002C5876" w:rsidRDefault="00E24DB7" w:rsidP="00E24DB7">
      <w:pPr>
        <w:pStyle w:val="SingleTxtG"/>
        <w:ind w:left="2835" w:hanging="567"/>
      </w:pPr>
      <w:r w:rsidRPr="002C5876">
        <w:t>c)</w:t>
      </w:r>
      <w:r w:rsidRPr="002C5876">
        <w:tab/>
        <w:t>La preuve de l’équivalence doit être apportée par avance à l’autorité compétente pour chaque famille de véhicules du point de vue de la résistance à l’avancement dans le cas où une méthode mathématique est appliquée, ou tous les quatre ans dans le cas où l’on utilise une méthode de mesure, et doit dans tous les cas être fondée sur des mesures en soufflerie répondant aux critères du présent RTM ONU ;</w:t>
      </w:r>
    </w:p>
    <w:p w:rsidR="00E24DB7" w:rsidRPr="002C5876" w:rsidRDefault="00E24DB7" w:rsidP="00E24DB7">
      <w:pPr>
        <w:pStyle w:val="SingleTxtG"/>
        <w:ind w:left="2835" w:hanging="567"/>
      </w:pPr>
      <w:r w:rsidRPr="002C5876">
        <w:t>d)</w:t>
      </w:r>
      <w:r w:rsidRPr="002C5876">
        <w:tab/>
        <w:t>Si la valeur Δ(C</w:t>
      </w:r>
      <w:r w:rsidRPr="002C5876">
        <w:rPr>
          <w:vertAlign w:val="subscript"/>
        </w:rPr>
        <w:t xml:space="preserve">D </w:t>
      </w:r>
      <w:r w:rsidRPr="002C5876">
        <w:t>× A</w:t>
      </w:r>
      <w:r w:rsidRPr="002C5876">
        <w:rPr>
          <w:vertAlign w:val="subscript"/>
        </w:rPr>
        <w:t>f</w:t>
      </w:r>
      <w:r w:rsidRPr="002C5876">
        <w:t>) d’un élément particulier de l’équipement optionnel est plus de deux fois supérieur à la valeur de l’équipement optionnel pour lequel une preuve a été apportée, la traînée aérodynamique ne doit pas être déterminée au moyen de l’autre méthode ;</w:t>
      </w:r>
    </w:p>
    <w:p w:rsidR="00E24DB7" w:rsidRPr="002C5876" w:rsidRDefault="00E24DB7" w:rsidP="00E24DB7">
      <w:pPr>
        <w:pStyle w:val="SingleTxtG"/>
        <w:ind w:left="2835" w:hanging="567"/>
      </w:pPr>
      <w:r w:rsidRPr="002C5876">
        <w:t>e)</w:t>
      </w:r>
      <w:r w:rsidRPr="002C5876">
        <w:tab/>
        <w:t>Toute modification apportée à un modèle de simulation doit donner lieu à une nouvelle validation.</w:t>
      </w:r>
    </w:p>
    <w:p w:rsidR="00E24DB7" w:rsidRPr="002C5876" w:rsidRDefault="00E24DB7" w:rsidP="00F83D7E">
      <w:pPr>
        <w:pStyle w:val="SingleTxtG"/>
        <w:keepNext/>
        <w:ind w:left="2268" w:hanging="1701"/>
      </w:pPr>
      <w:r w:rsidRPr="002C5876">
        <w:rPr>
          <w:spacing w:val="-4"/>
        </w:rPr>
        <w:t>3.2.3.2.2.3.3</w:t>
      </w:r>
      <w:r w:rsidRPr="002C5876">
        <w:tab/>
        <w:t>Application de l’incidence aérodynamique au véhicule donné</w:t>
      </w:r>
    </w:p>
    <w:p w:rsidR="00E24DB7" w:rsidRPr="002C5876" w:rsidRDefault="00E24DB7" w:rsidP="00F83D7E">
      <w:pPr>
        <w:pStyle w:val="SingleTxtG"/>
        <w:ind w:left="2268"/>
      </w:pPr>
      <m:oMath>
        <m:r>
          <m:rPr>
            <m:sty m:val="p"/>
          </m:rPr>
          <w:rPr>
            <w:rFonts w:ascii="Cambria Math" w:hAnsi="Cambria Math"/>
          </w:rPr>
          <m:t>∆</m:t>
        </m:r>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e>
            </m:d>
          </m:e>
          <m:sub>
            <m:r>
              <m:rPr>
                <m:sty m:val="p"/>
              </m:rPr>
              <w:rPr>
                <w:rFonts w:ascii="Cambria Math" w:hAnsi="Cambria Math"/>
              </w:rPr>
              <m:t>ind</m:t>
            </m:r>
          </m:sub>
        </m:sSub>
        <m:r>
          <w:rPr>
            <w:rFonts w:ascii="Cambria Math" w:hAnsi="Cambria Math"/>
          </w:rPr>
          <m:t xml:space="preserve"> </m:t>
        </m:r>
      </m:oMath>
      <w:r w:rsidRPr="002C5876">
        <w:rPr>
          <w:rFonts w:eastAsiaTheme="minorEastAsia"/>
        </w:rPr>
        <w:t xml:space="preserve"> </w:t>
      </w:r>
      <w:r w:rsidRPr="002C5876">
        <w:t>est la différence de produit du coefficient de traînée aérodynamique multiplié par le maître</w:t>
      </w:r>
      <w:r w:rsidRPr="002C5876">
        <w:noBreakHyphen/>
        <w:t>couple entre un véhicule donné et le véhicule d’essai L compte tenu des éléments optionnels et des formes de carrosserie du véhicule donné qui diffèrent par rapport au véhicule d’essai</w:t>
      </w:r>
      <w:r w:rsidR="00926D40">
        <w:t> </w:t>
      </w:r>
      <w:r w:rsidRPr="002C5876">
        <w:t>L, en m</w:t>
      </w:r>
      <w:r w:rsidRPr="002C5876">
        <w:rPr>
          <w:vertAlign w:val="superscript"/>
        </w:rPr>
        <w:t>2</w:t>
      </w:r>
      <w:r w:rsidRPr="002C5876">
        <w:t>.</w:t>
      </w:r>
    </w:p>
    <w:p w:rsidR="00E24DB7" w:rsidRPr="002C5876" w:rsidRDefault="00E24DB7" w:rsidP="00F83D7E">
      <w:pPr>
        <w:pStyle w:val="SingleTxtG"/>
        <w:ind w:left="2268"/>
      </w:pPr>
      <w:r w:rsidRPr="002C5876">
        <w:t>Les différences relatives à la traînée aérodynamique, Δ(C</w:t>
      </w:r>
      <w:r w:rsidRPr="002C5876">
        <w:rPr>
          <w:vertAlign w:val="subscript"/>
        </w:rPr>
        <w:t>D</w:t>
      </w:r>
      <w:r w:rsidRPr="002C5876">
        <w:t>×A</w:t>
      </w:r>
      <w:r w:rsidRPr="002C5876">
        <w:rPr>
          <w:vertAlign w:val="subscript"/>
        </w:rPr>
        <w:t>f</w:t>
      </w:r>
      <w:r w:rsidRPr="002C5876">
        <w:t>), doivent être déterminées avec une exactitude de ±0,015 m</w:t>
      </w:r>
      <w:r w:rsidRPr="002C5876">
        <w:rPr>
          <w:vertAlign w:val="superscript"/>
        </w:rPr>
        <w:t>2</w:t>
      </w:r>
      <w:r w:rsidRPr="002C5876">
        <w:t>.</w:t>
      </w:r>
    </w:p>
    <w:p w:rsidR="00E24DB7" w:rsidRPr="002C5876" w:rsidRDefault="00E24DB7" w:rsidP="00F83D7E">
      <w:pPr>
        <w:pStyle w:val="SingleTxtG"/>
        <w:ind w:left="2268"/>
      </w:pPr>
      <w:r w:rsidRPr="002C5876">
        <w:t>Δ(C</w:t>
      </w:r>
      <w:r w:rsidRPr="002C5876">
        <w:rPr>
          <w:vertAlign w:val="subscript"/>
        </w:rPr>
        <w:t>D</w:t>
      </w:r>
      <w:r w:rsidRPr="002C5876">
        <w:t>×A</w:t>
      </w:r>
      <w:r w:rsidRPr="002C5876">
        <w:rPr>
          <w:vertAlign w:val="subscript"/>
        </w:rPr>
        <w:t>f</w:t>
      </w:r>
      <w:r w:rsidRPr="002C5876">
        <w:t>)</w:t>
      </w:r>
      <w:r w:rsidRPr="002C5876">
        <w:rPr>
          <w:vertAlign w:val="subscript"/>
        </w:rPr>
        <w:t>ind</w:t>
      </w:r>
      <w:r w:rsidRPr="002C5876">
        <w:t xml:space="preserve"> peut être calculée au moyen de l’équation suivante, ce qui permet de conserver l’exactitude de ±0,015 m</w:t>
      </w:r>
      <w:r w:rsidRPr="002C5876">
        <w:rPr>
          <w:vertAlign w:val="superscript"/>
        </w:rPr>
        <w:t>2</w:t>
      </w:r>
      <w:r w:rsidRPr="002C5876">
        <w:t xml:space="preserve"> également pour la somme des éléments d’équipement optionnel et des formes de carrosserie :</w:t>
      </w:r>
    </w:p>
    <w:p w:rsidR="00E24DB7" w:rsidRPr="00D53F39" w:rsidRDefault="00E24DB7" w:rsidP="00F83D7E">
      <w:pPr>
        <w:pStyle w:val="SingleTxtG"/>
        <w:ind w:left="2268"/>
        <w:jc w:val="center"/>
        <w:rPr>
          <w:lang w:val="en-US"/>
        </w:rPr>
      </w:pPr>
      <m:oMathPara>
        <m:oMath>
          <m:r>
            <m:rPr>
              <m:nor/>
            </m:rPr>
            <w:rPr>
              <w:rFonts w:asciiTheme="majorBidi" w:eastAsia="Times New Roman" w:hAnsiTheme="majorBidi" w:cstheme="majorBidi"/>
              <w:lang w:val="en-US"/>
            </w:rPr>
            <w:lastRenderedPageBreak/>
            <m:t>∆</m:t>
          </m:r>
          <m:sSub>
            <m:sSubPr>
              <m:ctrlPr>
                <w:rPr>
                  <w:rFonts w:ascii="Cambria Math" w:eastAsia="Times New Roman" w:hAnsi="Cambria Math" w:cstheme="majorBidi"/>
                </w:rPr>
              </m:ctrlPr>
            </m:sSubPr>
            <m:e>
              <m:d>
                <m:dPr>
                  <m:ctrlPr>
                    <w:rPr>
                      <w:rFonts w:ascii="Cambria Math" w:eastAsia="Times New Roman" w:hAnsi="Cambria Math" w:cstheme="majorBidi"/>
                    </w:rPr>
                  </m:ctrlPr>
                </m:dPr>
                <m:e>
                  <m:sSub>
                    <m:sSubPr>
                      <m:ctrlPr>
                        <w:rPr>
                          <w:rFonts w:ascii="Cambria Math" w:eastAsia="Times New Roman" w:hAnsi="Cambria Math" w:cstheme="majorBidi"/>
                        </w:rPr>
                      </m:ctrlPr>
                    </m:sSubPr>
                    <m:e>
                      <m:r>
                        <m:rPr>
                          <m:nor/>
                        </m:rPr>
                        <w:rPr>
                          <w:rFonts w:asciiTheme="majorBidi" w:eastAsia="Times New Roman" w:hAnsiTheme="majorBidi" w:cstheme="majorBidi"/>
                          <w:lang w:val="en-US"/>
                        </w:rPr>
                        <m:t>C</m:t>
                      </m:r>
                    </m:e>
                    <m:sub>
                      <m:r>
                        <m:rPr>
                          <m:nor/>
                        </m:rPr>
                        <w:rPr>
                          <w:rFonts w:asciiTheme="majorBidi" w:eastAsia="Times New Roman" w:hAnsiTheme="majorBidi" w:cstheme="majorBidi"/>
                          <w:lang w:val="en-US"/>
                        </w:rPr>
                        <m:t>D</m:t>
                      </m:r>
                    </m:sub>
                  </m:sSub>
                  <m:r>
                    <m:rPr>
                      <m:nor/>
                    </m:rPr>
                    <w:rPr>
                      <w:rFonts w:ascii="Cambria Math" w:eastAsia="Times New Roman" w:hAnsiTheme="majorBidi" w:cstheme="majorBidi"/>
                      <w:lang w:val="en-US"/>
                    </w:rPr>
                    <m:t xml:space="preserve"> </m:t>
                  </m:r>
                  <m:r>
                    <m:rPr>
                      <m:nor/>
                    </m:rPr>
                    <w:rPr>
                      <w:rFonts w:asciiTheme="majorBidi" w:eastAsia="Times New Roman" w:hAnsiTheme="majorBidi" w:cstheme="majorBidi"/>
                      <w:lang w:val="en-US"/>
                    </w:rPr>
                    <m:t>×</m:t>
                  </m:r>
                  <m:r>
                    <m:rPr>
                      <m:nor/>
                    </m:rPr>
                    <w:rPr>
                      <w:rFonts w:ascii="Cambria Math" w:eastAsia="Times New Roman" w:hAnsiTheme="majorBidi" w:cstheme="majorBidi"/>
                      <w:lang w:val="en-US"/>
                    </w:rPr>
                    <m:t xml:space="preserve"> </m:t>
                  </m:r>
                  <m:sSub>
                    <m:sSubPr>
                      <m:ctrlPr>
                        <w:rPr>
                          <w:rFonts w:ascii="Cambria Math" w:eastAsia="Times New Roman" w:hAnsi="Cambria Math" w:cstheme="majorBidi"/>
                        </w:rPr>
                      </m:ctrlPr>
                    </m:sSubPr>
                    <m:e>
                      <m:r>
                        <m:rPr>
                          <m:nor/>
                        </m:rPr>
                        <w:rPr>
                          <w:rFonts w:asciiTheme="majorBidi" w:eastAsia="Times New Roman" w:hAnsiTheme="majorBidi" w:cstheme="majorBidi"/>
                          <w:lang w:val="en-US"/>
                        </w:rPr>
                        <m:t>A</m:t>
                      </m:r>
                    </m:e>
                    <m:sub>
                      <m:r>
                        <m:rPr>
                          <m:nor/>
                        </m:rPr>
                        <w:rPr>
                          <w:rFonts w:asciiTheme="majorBidi" w:eastAsia="Times New Roman" w:hAnsiTheme="majorBidi" w:cstheme="majorBidi"/>
                          <w:lang w:val="en-US"/>
                        </w:rPr>
                        <m:t>f</m:t>
                      </m:r>
                    </m:sub>
                  </m:sSub>
                </m:e>
              </m:d>
            </m:e>
            <m:sub>
              <m:r>
                <m:rPr>
                  <m:nor/>
                </m:rPr>
                <w:rPr>
                  <w:rFonts w:asciiTheme="majorBidi" w:eastAsia="Times New Roman" w:hAnsiTheme="majorBidi" w:cstheme="majorBidi"/>
                  <w:lang w:val="en-US"/>
                </w:rPr>
                <m:t>ind</m:t>
              </m:r>
            </m:sub>
          </m:sSub>
          <m:r>
            <m:rPr>
              <m:nor/>
            </m:rPr>
            <w:rPr>
              <w:rFonts w:ascii="Cambria Math" w:eastAsia="Times New Roman" w:hAnsiTheme="majorBidi" w:cstheme="majorBidi"/>
              <w:lang w:val="en-US"/>
            </w:rPr>
            <m:t xml:space="preserve"> </m:t>
          </m:r>
          <m:r>
            <m:rPr>
              <m:nor/>
            </m:rPr>
            <w:rPr>
              <w:rFonts w:asciiTheme="majorBidi" w:eastAsia="Times New Roman" w:hAnsiTheme="majorBidi" w:cstheme="majorBidi"/>
              <w:lang w:val="en-US"/>
            </w:rPr>
            <m:t xml:space="preserve">= </m:t>
          </m:r>
          <m:nary>
            <m:naryPr>
              <m:chr m:val="∑"/>
              <m:limLoc m:val="undOvr"/>
              <m:ctrlPr>
                <w:rPr>
                  <w:rFonts w:ascii="Cambria Math" w:eastAsia="Times New Roman" w:hAnsi="Cambria Math" w:cstheme="majorBidi"/>
                </w:rPr>
              </m:ctrlPr>
            </m:naryPr>
            <m:sub>
              <m:r>
                <m:rPr>
                  <m:nor/>
                </m:rPr>
                <w:rPr>
                  <w:rFonts w:asciiTheme="majorBidi" w:eastAsia="Times New Roman" w:hAnsiTheme="majorBidi" w:cstheme="majorBidi"/>
                  <w:lang w:val="en-US"/>
                </w:rPr>
                <m:t>i=1</m:t>
              </m:r>
            </m:sub>
            <m:sup>
              <m:r>
                <m:rPr>
                  <m:nor/>
                </m:rPr>
                <w:rPr>
                  <w:rFonts w:asciiTheme="majorBidi" w:eastAsia="Times New Roman" w:hAnsiTheme="majorBidi" w:cstheme="majorBidi"/>
                  <w:lang w:val="en-US"/>
                </w:rPr>
                <m:t>n</m:t>
              </m:r>
            </m:sup>
            <m:e>
              <m:r>
                <m:rPr>
                  <m:nor/>
                </m:rPr>
                <w:rPr>
                  <w:rFonts w:asciiTheme="majorBidi" w:eastAsia="Times New Roman" w:hAnsiTheme="majorBidi" w:cstheme="majorBidi"/>
                  <w:lang w:val="en-US"/>
                </w:rPr>
                <m:t>∆</m:t>
              </m:r>
              <m:sSub>
                <m:sSubPr>
                  <m:ctrlPr>
                    <w:rPr>
                      <w:rFonts w:ascii="Cambria Math" w:eastAsia="Times New Roman" w:hAnsi="Cambria Math" w:cstheme="majorBidi"/>
                    </w:rPr>
                  </m:ctrlPr>
                </m:sSubPr>
                <m:e>
                  <m:d>
                    <m:dPr>
                      <m:ctrlPr>
                        <w:rPr>
                          <w:rFonts w:ascii="Cambria Math" w:eastAsia="Times New Roman" w:hAnsi="Cambria Math" w:cstheme="majorBidi"/>
                        </w:rPr>
                      </m:ctrlPr>
                    </m:dPr>
                    <m:e>
                      <m:sSub>
                        <m:sSubPr>
                          <m:ctrlPr>
                            <w:rPr>
                              <w:rFonts w:ascii="Cambria Math" w:eastAsia="Times New Roman" w:hAnsi="Cambria Math" w:cstheme="majorBidi"/>
                            </w:rPr>
                          </m:ctrlPr>
                        </m:sSubPr>
                        <m:e>
                          <m:r>
                            <m:rPr>
                              <m:nor/>
                            </m:rPr>
                            <w:rPr>
                              <w:rFonts w:asciiTheme="majorBidi" w:eastAsia="Times New Roman" w:hAnsiTheme="majorBidi" w:cstheme="majorBidi"/>
                              <w:lang w:val="en-US"/>
                            </w:rPr>
                            <m:t>C</m:t>
                          </m:r>
                        </m:e>
                        <m:sub>
                          <m:r>
                            <m:rPr>
                              <m:nor/>
                            </m:rPr>
                            <w:rPr>
                              <w:rFonts w:asciiTheme="majorBidi" w:eastAsia="Times New Roman" w:hAnsiTheme="majorBidi" w:cstheme="majorBidi"/>
                              <w:lang w:val="en-US"/>
                            </w:rPr>
                            <m:t>D</m:t>
                          </m:r>
                        </m:sub>
                      </m:sSub>
                      <m:r>
                        <m:rPr>
                          <m:nor/>
                        </m:rPr>
                        <w:rPr>
                          <w:rFonts w:ascii="Cambria Math" w:eastAsia="Times New Roman" w:hAnsiTheme="majorBidi" w:cstheme="majorBidi"/>
                          <w:lang w:val="en-US"/>
                        </w:rPr>
                        <m:t xml:space="preserve"> </m:t>
                      </m:r>
                      <m:r>
                        <m:rPr>
                          <m:nor/>
                        </m:rPr>
                        <w:rPr>
                          <w:rFonts w:asciiTheme="majorBidi" w:eastAsia="Times New Roman" w:hAnsiTheme="majorBidi" w:cstheme="majorBidi"/>
                          <w:lang w:val="en-US"/>
                        </w:rPr>
                        <m:t>×</m:t>
                      </m:r>
                      <m:r>
                        <m:rPr>
                          <m:nor/>
                        </m:rPr>
                        <w:rPr>
                          <w:rFonts w:ascii="Cambria Math" w:eastAsia="Times New Roman" w:hAnsiTheme="majorBidi" w:cstheme="majorBidi"/>
                          <w:lang w:val="en-US"/>
                        </w:rPr>
                        <m:t xml:space="preserve"> </m:t>
                      </m:r>
                      <m:sSub>
                        <m:sSubPr>
                          <m:ctrlPr>
                            <w:rPr>
                              <w:rFonts w:ascii="Cambria Math" w:eastAsia="Times New Roman" w:hAnsi="Cambria Math" w:cstheme="majorBidi"/>
                            </w:rPr>
                          </m:ctrlPr>
                        </m:sSubPr>
                        <m:e>
                          <m:r>
                            <m:rPr>
                              <m:nor/>
                            </m:rPr>
                            <w:rPr>
                              <w:rFonts w:asciiTheme="majorBidi" w:eastAsia="Times New Roman" w:hAnsiTheme="majorBidi" w:cstheme="majorBidi"/>
                              <w:lang w:val="en-US"/>
                            </w:rPr>
                            <m:t>A</m:t>
                          </m:r>
                        </m:e>
                        <m:sub>
                          <m:r>
                            <m:rPr>
                              <m:nor/>
                            </m:rPr>
                            <w:rPr>
                              <w:rFonts w:asciiTheme="majorBidi" w:eastAsia="Times New Roman" w:hAnsiTheme="majorBidi" w:cstheme="majorBidi"/>
                              <w:lang w:val="en-US"/>
                            </w:rPr>
                            <m:t>f</m:t>
                          </m:r>
                        </m:sub>
                      </m:sSub>
                    </m:e>
                  </m:d>
                </m:e>
                <m:sub>
                  <m:r>
                    <m:rPr>
                      <m:nor/>
                    </m:rPr>
                    <w:rPr>
                      <w:rFonts w:asciiTheme="majorBidi" w:eastAsia="Times New Roman" w:hAnsiTheme="majorBidi" w:cstheme="majorBidi"/>
                      <w:lang w:val="en-US"/>
                    </w:rPr>
                    <m:t>i</m:t>
                  </m:r>
                </m:sub>
              </m:sSub>
            </m:e>
          </m:nary>
        </m:oMath>
      </m:oMathPara>
    </w:p>
    <w:p w:rsidR="00E24DB7" w:rsidRPr="002C5876" w:rsidRDefault="00E24DB7" w:rsidP="00F83D7E">
      <w:pPr>
        <w:pStyle w:val="SingleTxtG"/>
        <w:keepNext/>
        <w:ind w:left="2268"/>
      </w:pPr>
      <w:r w:rsidRPr="002C5876">
        <w:t>où :</w:t>
      </w:r>
    </w:p>
    <w:p w:rsidR="00E24DB7" w:rsidRPr="002C5876" w:rsidRDefault="00E24DB7" w:rsidP="00F83D7E">
      <w:pPr>
        <w:pStyle w:val="SingleTxtG"/>
        <w:tabs>
          <w:tab w:val="left" w:pos="4253"/>
        </w:tabs>
        <w:ind w:left="3402" w:hanging="1134"/>
      </w:pPr>
      <w:r w:rsidRPr="002C5876">
        <w:t>C</w:t>
      </w:r>
      <w:r w:rsidRPr="002C5876">
        <w:rPr>
          <w:vertAlign w:val="subscript"/>
        </w:rPr>
        <w:t>D</w:t>
      </w:r>
      <w:r w:rsidRPr="002C5876">
        <w:tab/>
        <w:t>est le coefficient de traînée aérodynamique ;</w:t>
      </w:r>
    </w:p>
    <w:p w:rsidR="00E24DB7" w:rsidRPr="002C5876" w:rsidRDefault="00E24DB7" w:rsidP="00F83D7E">
      <w:pPr>
        <w:pStyle w:val="SingleTxtG"/>
        <w:tabs>
          <w:tab w:val="left" w:pos="4253"/>
        </w:tabs>
        <w:ind w:left="3402" w:hanging="1134"/>
      </w:pPr>
      <w:r w:rsidRPr="002C5876">
        <w:t>A</w:t>
      </w:r>
      <w:r w:rsidRPr="002C5876">
        <w:rPr>
          <w:vertAlign w:val="subscript"/>
        </w:rPr>
        <w:t>f</w:t>
      </w:r>
      <w:r w:rsidRPr="002C5876">
        <w:tab/>
        <w:t>est le maître-couple du véhicule, en m</w:t>
      </w:r>
      <w:r w:rsidRPr="002C5876">
        <w:rPr>
          <w:vertAlign w:val="superscript"/>
        </w:rPr>
        <w:t>2</w:t>
      </w:r>
      <w:r w:rsidRPr="002C5876">
        <w:t> ;</w:t>
      </w:r>
    </w:p>
    <w:p w:rsidR="00E24DB7" w:rsidRPr="002C5876" w:rsidRDefault="00E24DB7" w:rsidP="00F83D7E">
      <w:pPr>
        <w:pStyle w:val="SingleTxtG"/>
        <w:tabs>
          <w:tab w:val="left" w:pos="4253"/>
        </w:tabs>
        <w:ind w:left="3402" w:hanging="1134"/>
      </w:pPr>
      <w:r w:rsidRPr="002C5876">
        <w:t>n</w:t>
      </w:r>
      <w:r w:rsidRPr="002C5876">
        <w:tab/>
        <w:t>est le nombre d’éléments d’équipement optionnel du véhicule qui diffèrent entre un véhicule donné et le véhicule d’essai L ;</w:t>
      </w:r>
    </w:p>
    <w:p w:rsidR="00E24DB7" w:rsidRPr="002C5876" w:rsidRDefault="00E24DB7" w:rsidP="00F83D7E">
      <w:pPr>
        <w:pStyle w:val="SingleTxtG"/>
        <w:tabs>
          <w:tab w:val="left" w:pos="4253"/>
        </w:tabs>
        <w:ind w:left="3402" w:hanging="1134"/>
      </w:pPr>
      <w:r w:rsidRPr="002C5876">
        <w:rPr>
          <w:noProof/>
          <w:position w:val="-10"/>
          <w:lang w:val="en-GB" w:eastAsia="zh-CN"/>
        </w:rPr>
        <w:drawing>
          <wp:inline distT="0" distB="0" distL="0" distR="0" wp14:anchorId="593C2435" wp14:editId="7345F711">
            <wp:extent cx="704850" cy="200025"/>
            <wp:effectExtent l="0" t="0" r="0" b="9525"/>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704850" cy="200025"/>
                    </a:xfrm>
                    <a:prstGeom prst="rect">
                      <a:avLst/>
                    </a:prstGeom>
                    <a:noFill/>
                    <a:ln>
                      <a:noFill/>
                    </a:ln>
                  </pic:spPr>
                </pic:pic>
              </a:graphicData>
            </a:graphic>
          </wp:inline>
        </w:drawing>
      </w:r>
      <w:r w:rsidRPr="002C5876">
        <w:tab/>
        <w:t>est la différence de produit du coefficient de traînée aérodynamique multiplié par le maître-couple imputable à un élément i sur le véhicule et est positive dans le cas d’un élément d’équipement optionnel qui accroît la traînée aérodynamique par rapport au véhicule d’essai L et vice</w:t>
      </w:r>
      <w:r w:rsidRPr="002C5876">
        <w:noBreakHyphen/>
        <w:t>versa, en m</w:t>
      </w:r>
      <w:r w:rsidRPr="002C5876">
        <w:rPr>
          <w:vertAlign w:val="superscript"/>
        </w:rPr>
        <w:t>2</w:t>
      </w:r>
      <w:r w:rsidRPr="002C5876">
        <w:t>.</w:t>
      </w:r>
    </w:p>
    <w:p w:rsidR="00E24DB7" w:rsidRPr="002C5876" w:rsidRDefault="00F83D7E" w:rsidP="00F83D7E">
      <w:pPr>
        <w:pStyle w:val="SingleTxtG"/>
        <w:ind w:left="3402" w:hanging="1134"/>
      </w:pPr>
      <w:r w:rsidRPr="002C5876">
        <w:tab/>
      </w:r>
      <w:r w:rsidR="00E24DB7" w:rsidRPr="002C5876">
        <w:t>La somme de toutes les différences Δ(C</w:t>
      </w:r>
      <w:r w:rsidR="00E24DB7" w:rsidRPr="002C5876">
        <w:rPr>
          <w:vertAlign w:val="subscript"/>
        </w:rPr>
        <w:t>D</w:t>
      </w:r>
      <w:r w:rsidR="00E24DB7" w:rsidRPr="002C5876">
        <w:t>×A</w:t>
      </w:r>
      <w:r w:rsidR="00E24DB7" w:rsidRPr="002C5876">
        <w:rPr>
          <w:vertAlign w:val="subscript"/>
        </w:rPr>
        <w:t>f</w:t>
      </w:r>
      <w:r w:rsidR="00E24DB7" w:rsidRPr="002C5876">
        <w:t>)</w:t>
      </w:r>
      <w:r w:rsidR="00E24DB7" w:rsidRPr="002C5876">
        <w:rPr>
          <w:vertAlign w:val="subscript"/>
        </w:rPr>
        <w:t>i</w:t>
      </w:r>
      <w:r w:rsidR="00E24DB7" w:rsidRPr="002C5876">
        <w:t xml:space="preserve"> entre les véhicules d’essai L et H doit correspondre à Δ(C</w:t>
      </w:r>
      <w:r w:rsidR="00E24DB7" w:rsidRPr="002C5876">
        <w:rPr>
          <w:vertAlign w:val="subscript"/>
        </w:rPr>
        <w:t>D</w:t>
      </w:r>
      <w:r w:rsidR="00E24DB7" w:rsidRPr="002C5876">
        <w:t>×A</w:t>
      </w:r>
      <w:r w:rsidR="00E24DB7" w:rsidRPr="002C5876">
        <w:rPr>
          <w:vertAlign w:val="subscript"/>
        </w:rPr>
        <w:t>f</w:t>
      </w:r>
      <w:r w:rsidR="00E24DB7" w:rsidRPr="002C5876">
        <w:t>)</w:t>
      </w:r>
      <w:r w:rsidR="00E24DB7" w:rsidRPr="002C5876">
        <w:rPr>
          <w:vertAlign w:val="subscript"/>
        </w:rPr>
        <w:t>LH</w:t>
      </w:r>
      <w:r w:rsidR="00E24DB7" w:rsidRPr="002C5876">
        <w:t>.</w:t>
      </w:r>
    </w:p>
    <w:p w:rsidR="00E24DB7" w:rsidRPr="002C5876" w:rsidRDefault="00E24DB7" w:rsidP="00F83D7E">
      <w:pPr>
        <w:pStyle w:val="SingleTxtG"/>
        <w:keepNext/>
        <w:ind w:left="2268" w:hanging="1134"/>
      </w:pPr>
      <w:r w:rsidRPr="002C5876">
        <w:t>3.2.3.2.2.3.4</w:t>
      </w:r>
      <w:r w:rsidRPr="002C5876">
        <w:tab/>
        <w:t xml:space="preserve">Définition de l’écart aérodynamique complet entre les véhicules </w:t>
      </w:r>
      <w:r w:rsidR="00F83D7E" w:rsidRPr="002C5876">
        <w:br/>
      </w:r>
      <w:r w:rsidRPr="002C5876">
        <w:t>d’essai</w:t>
      </w:r>
      <w:r w:rsidR="00F83D7E" w:rsidRPr="002C5876">
        <w:t> </w:t>
      </w:r>
      <w:r w:rsidRPr="002C5876">
        <w:t>H et</w:t>
      </w:r>
      <w:r w:rsidR="00F83D7E" w:rsidRPr="002C5876">
        <w:t> </w:t>
      </w:r>
      <w:r w:rsidRPr="002C5876">
        <w:t>L</w:t>
      </w:r>
    </w:p>
    <w:p w:rsidR="00E24DB7" w:rsidRPr="002C5876" w:rsidRDefault="00E24DB7" w:rsidP="00F83D7E">
      <w:pPr>
        <w:pStyle w:val="SingleTxtG"/>
        <w:ind w:left="2268"/>
      </w:pPr>
      <w:r w:rsidRPr="002C5876">
        <w:tab/>
        <w:t>La différence totale du coefficient de traînée aérodynamique multiplié par le maître-couple entre les véhicules d’essai L et H est exprimée par Δ(C</w:t>
      </w:r>
      <w:r w:rsidRPr="002C5876">
        <w:rPr>
          <w:vertAlign w:val="subscript"/>
        </w:rPr>
        <w:t>D</w:t>
      </w:r>
      <w:r w:rsidRPr="002C5876">
        <w:t>×A</w:t>
      </w:r>
      <w:r w:rsidRPr="002C5876">
        <w:rPr>
          <w:vertAlign w:val="subscript"/>
        </w:rPr>
        <w:t>f</w:t>
      </w:r>
      <w:r w:rsidRPr="002C5876">
        <w:t>)</w:t>
      </w:r>
      <w:r w:rsidRPr="002C5876">
        <w:rPr>
          <w:vertAlign w:val="subscript"/>
        </w:rPr>
        <w:t>LH</w:t>
      </w:r>
      <w:r w:rsidRPr="002C5876">
        <w:t xml:space="preserve"> et doit être enregistrée, en m</w:t>
      </w:r>
      <w:r w:rsidRPr="002C5876">
        <w:rPr>
          <w:vertAlign w:val="superscript"/>
        </w:rPr>
        <w:t>2</w:t>
      </w:r>
      <w:r w:rsidRPr="002C5876">
        <w:t>.</w:t>
      </w:r>
    </w:p>
    <w:p w:rsidR="00E24DB7" w:rsidRPr="002C5876" w:rsidRDefault="00E24DB7" w:rsidP="00E24DB7">
      <w:pPr>
        <w:pStyle w:val="SingleTxtG"/>
        <w:ind w:left="2268" w:hanging="1134"/>
      </w:pPr>
      <w:r w:rsidRPr="002C5876">
        <w:t>3.2.3.2.2.3.5</w:t>
      </w:r>
      <w:r w:rsidRPr="002C5876">
        <w:tab/>
        <w:t>Renseignements sur les incidences aérodynamiques</w:t>
      </w:r>
    </w:p>
    <w:p w:rsidR="00E24DB7" w:rsidRPr="002C5876" w:rsidRDefault="00E24DB7" w:rsidP="00F83D7E">
      <w:pPr>
        <w:pStyle w:val="SingleTxtG"/>
        <w:ind w:left="2268"/>
      </w:pPr>
      <w:r w:rsidRPr="002C5876">
        <w:tab/>
        <w:t xml:space="preserve">L’augmentation ou la diminution du produit du coefficient de traînée aérodynamique multiplié par le maître couple exprimé par Δ(CD×Af) pour tous les éléments d’équipement optionnel et toutes les formes de carrosserie dans la famille d’interpolation qui : </w:t>
      </w:r>
    </w:p>
    <w:p w:rsidR="00E24DB7" w:rsidRPr="002C5876" w:rsidRDefault="00E24DB7" w:rsidP="00F83D7E">
      <w:pPr>
        <w:pStyle w:val="SingleTxtG"/>
        <w:ind w:left="2268"/>
      </w:pPr>
      <w:r w:rsidRPr="002C5876">
        <w:t>a)</w:t>
      </w:r>
      <w:r w:rsidRPr="002C5876">
        <w:tab/>
        <w:t xml:space="preserve">Ont une incidence sur la traînée aérodynamique du véhicule ; et </w:t>
      </w:r>
    </w:p>
    <w:p w:rsidR="00E24DB7" w:rsidRPr="002C5876" w:rsidRDefault="00E24DB7" w:rsidP="00F83D7E">
      <w:pPr>
        <w:pStyle w:val="SingleTxtG"/>
        <w:ind w:left="2268"/>
      </w:pPr>
      <w:r w:rsidRPr="002C5876">
        <w:t>b)</w:t>
      </w:r>
      <w:r w:rsidRPr="002C5876">
        <w:tab/>
        <w:t>Doivent être inclus dans l’interpolation ;</w:t>
      </w:r>
    </w:p>
    <w:p w:rsidR="00E24DB7" w:rsidRPr="002C5876" w:rsidRDefault="00E24DB7" w:rsidP="00F83D7E">
      <w:pPr>
        <w:pStyle w:val="SingleTxtG"/>
        <w:ind w:left="2268"/>
      </w:pPr>
      <w:r w:rsidRPr="002C5876">
        <w:t>doivent être enregistrés, en m</w:t>
      </w:r>
      <w:r w:rsidRPr="002C5876">
        <w:rPr>
          <w:vertAlign w:val="superscript"/>
        </w:rPr>
        <w:t>2</w:t>
      </w:r>
      <w:r w:rsidRPr="002C5876">
        <w:t>.</w:t>
      </w:r>
    </w:p>
    <w:p w:rsidR="00E24DB7" w:rsidRPr="002C5876" w:rsidRDefault="00E24DB7" w:rsidP="00F83D7E">
      <w:pPr>
        <w:pStyle w:val="SingleTxtG"/>
        <w:keepNext/>
        <w:ind w:left="2268" w:hanging="1134"/>
      </w:pPr>
      <w:r w:rsidRPr="002C5876">
        <w:t>3.2.3.2.2.3.6</w:t>
      </w:r>
      <w:r w:rsidRPr="002C5876">
        <w:tab/>
        <w:t>Dispositions supplémentaires relatives aux incidences aérodynamiques</w:t>
      </w:r>
    </w:p>
    <w:p w:rsidR="00E24DB7" w:rsidRPr="002C5876" w:rsidRDefault="00E24DB7" w:rsidP="00F83D7E">
      <w:pPr>
        <w:pStyle w:val="SingleTxtG"/>
        <w:ind w:left="2268"/>
      </w:pPr>
      <w:r w:rsidRPr="002C5876">
        <w:t>La traînée aérodynamique du véhicule H doit être appliquée à toute la famille d’interpolation et Δ(C</w:t>
      </w:r>
      <w:r w:rsidRPr="002C5876">
        <w:rPr>
          <w:vertAlign w:val="subscript"/>
        </w:rPr>
        <w:t>D</w:t>
      </w:r>
      <w:r w:rsidRPr="002C5876">
        <w:t>×A</w:t>
      </w:r>
      <w:r w:rsidRPr="002C5876">
        <w:rPr>
          <w:vertAlign w:val="subscript"/>
        </w:rPr>
        <w:t>f</w:t>
      </w:r>
      <w:r w:rsidRPr="002C5876">
        <w:t>)</w:t>
      </w:r>
      <w:r w:rsidRPr="002C5876">
        <w:rPr>
          <w:vertAlign w:val="subscript"/>
        </w:rPr>
        <w:t xml:space="preserve">LH </w:t>
      </w:r>
      <w:r w:rsidRPr="002C5876">
        <w:t>doit être réglé sur zéro si :</w:t>
      </w:r>
    </w:p>
    <w:p w:rsidR="00E24DB7" w:rsidRPr="002C5876" w:rsidRDefault="00E24DB7" w:rsidP="00D655C0">
      <w:pPr>
        <w:pStyle w:val="SingleTxtG"/>
        <w:ind w:left="2268"/>
      </w:pPr>
      <w:r w:rsidRPr="002C5876">
        <w:t>a)</w:t>
      </w:r>
      <w:r w:rsidRPr="002C5876">
        <w:tab/>
      </w:r>
      <w:r w:rsidRPr="002C5876">
        <w:rPr>
          <w:spacing w:val="-1"/>
        </w:rPr>
        <w:t>La soufflerie ne permet pas de déterminer avec précision Δ(C</w:t>
      </w:r>
      <w:r w:rsidRPr="002C5876">
        <w:rPr>
          <w:spacing w:val="-1"/>
          <w:vertAlign w:val="subscript"/>
        </w:rPr>
        <w:t>D</w:t>
      </w:r>
      <w:r w:rsidRPr="002C5876">
        <w:rPr>
          <w:spacing w:val="-1"/>
        </w:rPr>
        <w:t>×A</w:t>
      </w:r>
      <w:r w:rsidRPr="002C5876">
        <w:rPr>
          <w:spacing w:val="-1"/>
          <w:vertAlign w:val="subscript"/>
        </w:rPr>
        <w:t>f</w:t>
      </w:r>
      <w:r w:rsidRPr="002C5876">
        <w:rPr>
          <w:spacing w:val="-1"/>
        </w:rPr>
        <w:t>) ; ou</w:t>
      </w:r>
    </w:p>
    <w:p w:rsidR="00E24DB7" w:rsidRPr="002C5876" w:rsidRDefault="00E24DB7" w:rsidP="00D655C0">
      <w:pPr>
        <w:pStyle w:val="SingleTxtG"/>
        <w:ind w:left="2835" w:hanging="567"/>
      </w:pPr>
      <w:r w:rsidRPr="002C5876">
        <w:t>b)</w:t>
      </w:r>
      <w:r w:rsidRPr="002C5876">
        <w:tab/>
        <w:t>Il n’existe pas entre les véhicules H et L d’éléments d’équipement optionnels à prendre en compte dans la méthode d’interpolation.</w:t>
      </w:r>
    </w:p>
    <w:p w:rsidR="00E24DB7" w:rsidRPr="002C5876" w:rsidRDefault="00E24DB7" w:rsidP="00F83D7E">
      <w:pPr>
        <w:pStyle w:val="SingleTxtG"/>
        <w:keepNext/>
        <w:ind w:left="2268" w:hanging="1134"/>
      </w:pPr>
      <w:r w:rsidRPr="002C5876">
        <w:t>3.2.3.2.2.4</w:t>
      </w:r>
      <w:r w:rsidRPr="002C5876">
        <w:tab/>
        <w:t>Calcul du coefficient de résistance à l’avancement sur route pour des véhicules donnés</w:t>
      </w:r>
    </w:p>
    <w:p w:rsidR="00E24DB7" w:rsidRPr="002C5876" w:rsidRDefault="00E24DB7" w:rsidP="004D6FBD">
      <w:pPr>
        <w:pStyle w:val="SingleTxtG"/>
        <w:ind w:left="2268"/>
        <w:rPr>
          <w:spacing w:val="-2"/>
        </w:rPr>
      </w:pPr>
      <w:r w:rsidRPr="002C5876">
        <w:rPr>
          <w:spacing w:val="-2"/>
        </w:rPr>
        <w:t>Les coefficients de résistance à l’avancement sur route f</w:t>
      </w:r>
      <w:r w:rsidRPr="002C5876">
        <w:rPr>
          <w:spacing w:val="-2"/>
          <w:vertAlign w:val="subscript"/>
        </w:rPr>
        <w:t>0</w:t>
      </w:r>
      <w:r w:rsidRPr="002C5876">
        <w:rPr>
          <w:spacing w:val="-2"/>
        </w:rPr>
        <w:t>, f</w:t>
      </w:r>
      <w:r w:rsidRPr="002C5876">
        <w:rPr>
          <w:spacing w:val="-2"/>
          <w:vertAlign w:val="subscript"/>
        </w:rPr>
        <w:t>1</w:t>
      </w:r>
      <w:r w:rsidRPr="002C5876">
        <w:rPr>
          <w:spacing w:val="-2"/>
        </w:rPr>
        <w:t xml:space="preserve"> et f</w:t>
      </w:r>
      <w:r w:rsidRPr="002C5876">
        <w:rPr>
          <w:spacing w:val="-2"/>
          <w:vertAlign w:val="subscript"/>
        </w:rPr>
        <w:t>2</w:t>
      </w:r>
      <w:r w:rsidRPr="002C5876">
        <w:rPr>
          <w:spacing w:val="-2"/>
        </w:rPr>
        <w:t xml:space="preserve"> (tels que définis à l’annexe 4) pour les véhicules d’essai H et L correspondent à f</w:t>
      </w:r>
      <w:r w:rsidRPr="002C5876">
        <w:rPr>
          <w:spacing w:val="-2"/>
          <w:vertAlign w:val="subscript"/>
        </w:rPr>
        <w:t>0,H</w:t>
      </w:r>
      <w:r w:rsidRPr="002C5876">
        <w:rPr>
          <w:spacing w:val="-2"/>
        </w:rPr>
        <w:t>, f</w:t>
      </w:r>
      <w:r w:rsidRPr="002C5876">
        <w:rPr>
          <w:spacing w:val="-2"/>
          <w:vertAlign w:val="subscript"/>
        </w:rPr>
        <w:t>1,H</w:t>
      </w:r>
      <w:r w:rsidRPr="002C5876">
        <w:rPr>
          <w:spacing w:val="-2"/>
        </w:rPr>
        <w:t xml:space="preserve"> et f</w:t>
      </w:r>
      <w:r w:rsidRPr="002C5876">
        <w:rPr>
          <w:spacing w:val="-2"/>
          <w:vertAlign w:val="subscript"/>
        </w:rPr>
        <w:t>2,H</w:t>
      </w:r>
      <w:r w:rsidRPr="002C5876">
        <w:rPr>
          <w:spacing w:val="-2"/>
        </w:rPr>
        <w:t xml:space="preserve"> et f</w:t>
      </w:r>
      <w:r w:rsidRPr="002C5876">
        <w:rPr>
          <w:spacing w:val="-2"/>
          <w:vertAlign w:val="subscript"/>
        </w:rPr>
        <w:t>0,L</w:t>
      </w:r>
      <w:r w:rsidRPr="002C5876">
        <w:rPr>
          <w:spacing w:val="-2"/>
        </w:rPr>
        <w:t>, f</w:t>
      </w:r>
      <w:r w:rsidRPr="002C5876">
        <w:rPr>
          <w:spacing w:val="-2"/>
          <w:vertAlign w:val="subscript"/>
        </w:rPr>
        <w:t>1,L</w:t>
      </w:r>
      <w:r w:rsidRPr="002C5876">
        <w:rPr>
          <w:spacing w:val="-2"/>
        </w:rPr>
        <w:t xml:space="preserve"> et f</w:t>
      </w:r>
      <w:r w:rsidRPr="002C5876">
        <w:rPr>
          <w:spacing w:val="-2"/>
          <w:vertAlign w:val="subscript"/>
        </w:rPr>
        <w:t>2,L</w:t>
      </w:r>
      <w:r w:rsidRPr="002C5876">
        <w:rPr>
          <w:spacing w:val="-2"/>
        </w:rPr>
        <w:t xml:space="preserve"> respectivement. Une courbe de résistance à l’avancement sur route ajustée pour le véhicule d’essai L est définie comme suit :</w:t>
      </w:r>
    </w:p>
    <w:p w:rsidR="00E24DB7" w:rsidRPr="002C5876" w:rsidRDefault="00731CA6" w:rsidP="00D655C0">
      <w:pPr>
        <w:pStyle w:val="SingleTxtG"/>
        <w:ind w:left="2268"/>
        <w:jc w:val="center"/>
        <w:rPr>
          <w:spacing w:val="-2"/>
        </w:rPr>
      </w:pPr>
      <m:oMathPara>
        <m:oMath>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L</m:t>
              </m:r>
            </m:sub>
          </m:sSub>
          <m:r>
            <m:rPr>
              <m:sty m:val="p"/>
            </m:rPr>
            <w:rPr>
              <w:rFonts w:ascii="Cambria Math" w:hAnsi="Cambria Math" w:cstheme="majorBidi"/>
            </w:rPr>
            <m:t>(v)=</m:t>
          </m:r>
          <m:sSubSup>
            <m:sSubSupPr>
              <m:ctrlPr>
                <w:rPr>
                  <w:rFonts w:ascii="Cambria Math" w:hAnsi="Cambria Math" w:cstheme="majorBidi"/>
                </w:rPr>
              </m:ctrlPr>
            </m:sSubSupPr>
            <m:e>
              <m:r>
                <m:rPr>
                  <m:sty m:val="p"/>
                </m:rPr>
                <w:rPr>
                  <w:rFonts w:ascii="Cambria Math" w:hAnsi="Cambria Math" w:cstheme="majorBidi"/>
                </w:rPr>
                <m:t>f</m:t>
              </m:r>
            </m:e>
            <m:sub>
              <m:r>
                <m:rPr>
                  <m:sty m:val="p"/>
                </m:rPr>
                <w:rPr>
                  <w:rFonts w:ascii="Cambria Math" w:hAnsi="Cambria Math" w:cstheme="majorBidi"/>
                </w:rPr>
                <m:t>0,L</m:t>
              </m:r>
            </m:sub>
            <m:sup>
              <m:r>
                <m:rPr>
                  <m:sty m:val="p"/>
                </m:rPr>
                <w:rPr>
                  <w:rFonts w:ascii="Cambria Math" w:hAnsi="Cambria Math" w:cstheme="majorBidi"/>
                </w:rPr>
                <m:t>*</m:t>
              </m:r>
            </m:sup>
          </m:sSubSup>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1,H</m:t>
              </m:r>
            </m:sub>
          </m:sSub>
          <m:r>
            <m:rPr>
              <m:sty m:val="p"/>
            </m:rPr>
            <w:rPr>
              <w:rFonts w:ascii="Cambria Math" w:hAnsi="Cambria Math" w:cstheme="majorBidi"/>
            </w:rPr>
            <m:t>×v+</m:t>
          </m:r>
          <m:sSubSup>
            <m:sSubSupPr>
              <m:ctrlPr>
                <w:rPr>
                  <w:rFonts w:ascii="Cambria Math" w:hAnsi="Cambria Math" w:cstheme="majorBidi"/>
                </w:rPr>
              </m:ctrlPr>
            </m:sSubSupPr>
            <m:e>
              <m:r>
                <m:rPr>
                  <m:sty m:val="p"/>
                </m:rPr>
                <w:rPr>
                  <w:rFonts w:ascii="Cambria Math" w:hAnsi="Cambria Math" w:cstheme="majorBidi"/>
                </w:rPr>
                <m:t>f</m:t>
              </m:r>
            </m:e>
            <m:sub>
              <m:r>
                <m:rPr>
                  <m:sty m:val="p"/>
                </m:rPr>
                <w:rPr>
                  <w:rFonts w:ascii="Cambria Math" w:hAnsi="Cambria Math" w:cstheme="majorBidi"/>
                </w:rPr>
                <m:t>2,L</m:t>
              </m:r>
            </m:sub>
            <m:sup>
              <m:r>
                <m:rPr>
                  <m:sty m:val="p"/>
                </m:rPr>
                <w:rPr>
                  <w:rFonts w:ascii="Cambria Math" w:hAnsi="Cambria Math" w:cstheme="majorBidi"/>
                </w:rPr>
                <m:t>*</m:t>
              </m:r>
            </m:sup>
          </m:sSubSup>
          <m:r>
            <m:rPr>
              <m:sty m:val="p"/>
            </m:rPr>
            <w:rPr>
              <w:rFonts w:ascii="Cambria Math" w:hAnsi="Cambria Math" w:cstheme="majorBidi"/>
            </w:rPr>
            <m:t>×</m:t>
          </m:r>
          <m:sSup>
            <m:sSupPr>
              <m:ctrlPr>
                <w:rPr>
                  <w:rFonts w:ascii="Cambria Math" w:hAnsi="Cambria Math" w:cstheme="majorBidi"/>
                </w:rPr>
              </m:ctrlPr>
            </m:sSupPr>
            <m:e>
              <m:r>
                <m:rPr>
                  <m:sty m:val="p"/>
                </m:rPr>
                <w:rPr>
                  <w:rFonts w:ascii="Cambria Math" w:hAnsi="Cambria Math" w:cstheme="majorBidi"/>
                </w:rPr>
                <m:t>v</m:t>
              </m:r>
            </m:e>
            <m:sup>
              <m:r>
                <m:rPr>
                  <m:sty m:val="p"/>
                </m:rPr>
                <w:rPr>
                  <w:rFonts w:ascii="Cambria Math" w:hAnsi="Cambria Math" w:cstheme="majorBidi"/>
                </w:rPr>
                <m:t>2</m:t>
              </m:r>
            </m:sup>
          </m:sSup>
        </m:oMath>
      </m:oMathPara>
    </w:p>
    <w:p w:rsidR="00E24DB7" w:rsidRPr="002C5876" w:rsidRDefault="00E24DB7" w:rsidP="004D6FBD">
      <w:pPr>
        <w:pStyle w:val="SingleTxtG"/>
        <w:ind w:left="2268"/>
      </w:pPr>
      <w:r w:rsidRPr="002C5876">
        <w:t xml:space="preserve">En appliquant une régression par la méthode des moindres carrés sur la plage des points de vitesse de référence, on détermine les coefficients de résistance à l’avancement sur route ajustés </w:t>
      </w:r>
      <w:r w:rsidRPr="002C5876">
        <w:rPr>
          <w:noProof/>
          <w:position w:val="-12"/>
          <w:lang w:val="en-GB" w:eastAsia="zh-CN"/>
        </w:rPr>
        <w:drawing>
          <wp:inline distT="0" distB="0" distL="0" distR="0" wp14:anchorId="5E244401" wp14:editId="3051CBE2">
            <wp:extent cx="180975" cy="180975"/>
            <wp:effectExtent l="0" t="0" r="9525" b="9525"/>
            <wp:docPr id="281"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2C5876">
        <w:t xml:space="preserve"> et</w:t>
      </w:r>
      <w:r w:rsidR="006B70B2" w:rsidRPr="002C5876">
        <w:t> </w:t>
      </w:r>
      <w:r w:rsidRPr="002C5876">
        <w:rPr>
          <w:noProof/>
          <w:position w:val="-12"/>
          <w:lang w:val="en-GB" w:eastAsia="zh-CN"/>
        </w:rPr>
        <w:drawing>
          <wp:inline distT="0" distB="0" distL="0" distR="0" wp14:anchorId="4D0757B2" wp14:editId="2DBC2327">
            <wp:extent cx="180975" cy="180975"/>
            <wp:effectExtent l="0" t="0" r="9525" b="9525"/>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2C5876">
        <w:t xml:space="preserve"> pour F</w:t>
      </w:r>
      <w:r w:rsidRPr="002C5876">
        <w:rPr>
          <w:vertAlign w:val="subscript"/>
        </w:rPr>
        <w:t>L</w:t>
      </w:r>
      <w:r w:rsidRPr="002C5876">
        <w:t xml:space="preserve">(v) en attribuant au coefficient linéaire </w:t>
      </w:r>
      <w:r w:rsidRPr="002C5876">
        <w:rPr>
          <w:noProof/>
          <w:position w:val="-12"/>
          <w:lang w:val="en-GB" w:eastAsia="zh-CN"/>
        </w:rPr>
        <w:drawing>
          <wp:inline distT="0" distB="0" distL="0" distR="0" wp14:anchorId="259D60B1" wp14:editId="219331C1">
            <wp:extent cx="171450" cy="180975"/>
            <wp:effectExtent l="0" t="0" r="0" b="9525"/>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2C5876">
        <w:t xml:space="preserve"> la valeur de f</w:t>
      </w:r>
      <w:r w:rsidRPr="002C5876">
        <w:rPr>
          <w:vertAlign w:val="subscript"/>
        </w:rPr>
        <w:t>1,H</w:t>
      </w:r>
      <w:r w:rsidRPr="002C5876">
        <w:t>. Les coefficients de résistance à l’avancement sur route f</w:t>
      </w:r>
      <w:r w:rsidRPr="002C5876">
        <w:rPr>
          <w:vertAlign w:val="subscript"/>
        </w:rPr>
        <w:t>0,ind</w:t>
      </w:r>
      <w:r w:rsidRPr="002C5876">
        <w:t>, f</w:t>
      </w:r>
      <w:r w:rsidRPr="002C5876">
        <w:rPr>
          <w:vertAlign w:val="subscript"/>
        </w:rPr>
        <w:t>1,ind</w:t>
      </w:r>
      <w:r w:rsidRPr="002C5876">
        <w:t xml:space="preserve"> et f</w:t>
      </w:r>
      <w:r w:rsidRPr="002C5876">
        <w:rPr>
          <w:vertAlign w:val="subscript"/>
        </w:rPr>
        <w:t>2,ind</w:t>
      </w:r>
      <w:r w:rsidRPr="002C5876">
        <w:t xml:space="preserve"> pour un véhicule visé dans la famille d’interpolation doivent être calculés au moyen de l’équation suivante :</w:t>
      </w:r>
    </w:p>
    <w:p w:rsidR="00E24DB7" w:rsidRPr="002C5876" w:rsidRDefault="00731CA6" w:rsidP="004D6FBD">
      <w:pPr>
        <w:pStyle w:val="SingleTxtG"/>
        <w:ind w:left="2268"/>
        <w:jc w:val="center"/>
      </w:pPr>
      <m:oMathPara>
        <m:oMath>
          <m:sSub>
            <m:sSubPr>
              <m:ctrlPr>
                <w:rPr>
                  <w:rFonts w:ascii="Cambria Math" w:hAnsi="Cambria Math" w:cstheme="majorBidi"/>
                  <w:iCs/>
                </w:rPr>
              </m:ctrlPr>
            </m:sSubPr>
            <m:e>
              <m:r>
                <m:rPr>
                  <m:sty m:val="p"/>
                </m:rPr>
                <w:rPr>
                  <w:rFonts w:ascii="Cambria Math" w:hAnsi="Cambria Math" w:cstheme="majorBidi"/>
                </w:rPr>
                <m:t>f</m:t>
              </m:r>
            </m:e>
            <m:sub>
              <m:r>
                <m:rPr>
                  <m:sty m:val="p"/>
                </m:rPr>
                <w:rPr>
                  <w:rFonts w:ascii="Cambria Math" w:hAnsi="Cambria Math" w:cstheme="majorBidi"/>
                </w:rPr>
                <m:t>0,ind</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f</m:t>
              </m:r>
            </m:e>
            <m:sub>
              <m:r>
                <m:rPr>
                  <m:sty m:val="p"/>
                </m:rPr>
                <w:rPr>
                  <w:rFonts w:ascii="Cambria Math" w:hAnsi="Cambria Math" w:cstheme="majorBidi"/>
                </w:rPr>
                <m:t>0,H</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f</m:t>
              </m:r>
            </m:e>
            <m:sub>
              <m:r>
                <m:rPr>
                  <m:sty m:val="p"/>
                </m:rPr>
                <w:rPr>
                  <w:rFonts w:ascii="Cambria Math" w:hAnsi="Cambria Math" w:cstheme="majorBidi"/>
                </w:rPr>
                <m:t>0</m:t>
              </m:r>
            </m:sub>
          </m:sSub>
          <m:r>
            <m:rPr>
              <m:sty m:val="p"/>
            </m:rPr>
            <w:rPr>
              <w:rFonts w:ascii="Cambria Math" w:hAnsi="Cambria Math" w:cstheme="majorBidi"/>
            </w:rPr>
            <m:t>×</m:t>
          </m:r>
          <m:f>
            <m:fPr>
              <m:ctrlPr>
                <w:rPr>
                  <w:rFonts w:ascii="Cambria Math" w:hAnsi="Cambria Math" w:cstheme="majorBidi"/>
                  <w:iCs/>
                </w:rPr>
              </m:ctrlPr>
            </m:fPr>
            <m:num>
              <m:d>
                <m:dPr>
                  <m:ctrlPr>
                    <w:rPr>
                      <w:rFonts w:ascii="Cambria Math" w:hAnsi="Cambria Math" w:cstheme="majorBidi"/>
                      <w:iCs/>
                    </w:rPr>
                  </m:ctrlPr>
                </m:dPr>
                <m:e>
                  <m:sSub>
                    <m:sSubPr>
                      <m:ctrlPr>
                        <w:rPr>
                          <w:rFonts w:ascii="Cambria Math" w:hAnsi="Cambria Math" w:cstheme="majorBidi"/>
                          <w:iCs/>
                        </w:rPr>
                      </m:ctrlPr>
                    </m:sSubPr>
                    <m:e>
                      <m:r>
                        <m:rPr>
                          <m:sty m:val="p"/>
                        </m:rPr>
                        <w:rPr>
                          <w:rFonts w:ascii="Cambria Math" w:hAnsi="Cambria Math" w:cstheme="majorBidi"/>
                        </w:rPr>
                        <m:t>TM</m:t>
                      </m:r>
                    </m:e>
                    <m:sub>
                      <m:r>
                        <m:rPr>
                          <m:sty m:val="p"/>
                        </m:rPr>
                        <w:rPr>
                          <w:rFonts w:ascii="Cambria Math" w:hAnsi="Cambria Math" w:cstheme="majorBidi"/>
                        </w:rPr>
                        <m:t>H</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RR</m:t>
                      </m:r>
                    </m:e>
                    <m:sub>
                      <m:r>
                        <m:rPr>
                          <m:sty m:val="p"/>
                        </m:rPr>
                        <w:rPr>
                          <w:rFonts w:ascii="Cambria Math" w:hAnsi="Cambria Math" w:cstheme="majorBidi"/>
                        </w:rPr>
                        <m:t>H</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TM</m:t>
                      </m:r>
                    </m:e>
                    <m:sub>
                      <m:r>
                        <m:rPr>
                          <m:sty m:val="p"/>
                        </m:rPr>
                        <w:rPr>
                          <w:rFonts w:ascii="Cambria Math" w:hAnsi="Cambria Math" w:cstheme="majorBidi"/>
                        </w:rPr>
                        <m:t>ind</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RR</m:t>
                      </m:r>
                    </m:e>
                    <m:sub>
                      <m:r>
                        <m:rPr>
                          <m:sty m:val="p"/>
                        </m:rPr>
                        <w:rPr>
                          <w:rFonts w:ascii="Cambria Math" w:hAnsi="Cambria Math" w:cstheme="majorBidi"/>
                        </w:rPr>
                        <m:t>ind</m:t>
                      </m:r>
                    </m:sub>
                  </m:sSub>
                </m:e>
              </m:d>
            </m:num>
            <m:den>
              <m:d>
                <m:dPr>
                  <m:ctrlPr>
                    <w:rPr>
                      <w:rFonts w:ascii="Cambria Math" w:hAnsi="Cambria Math" w:cstheme="majorBidi"/>
                      <w:iCs/>
                    </w:rPr>
                  </m:ctrlPr>
                </m:dPr>
                <m:e>
                  <m:sSub>
                    <m:sSubPr>
                      <m:ctrlPr>
                        <w:rPr>
                          <w:rFonts w:ascii="Cambria Math" w:hAnsi="Cambria Math" w:cstheme="majorBidi"/>
                          <w:iCs/>
                        </w:rPr>
                      </m:ctrlPr>
                    </m:sSubPr>
                    <m:e>
                      <m:r>
                        <m:rPr>
                          <m:sty m:val="p"/>
                        </m:rPr>
                        <w:rPr>
                          <w:rFonts w:ascii="Cambria Math" w:hAnsi="Cambria Math" w:cstheme="majorBidi"/>
                        </w:rPr>
                        <m:t>TM</m:t>
                      </m:r>
                    </m:e>
                    <m:sub>
                      <m:r>
                        <m:rPr>
                          <m:sty m:val="p"/>
                        </m:rPr>
                        <w:rPr>
                          <w:rFonts w:ascii="Cambria Math" w:hAnsi="Cambria Math" w:cstheme="majorBidi"/>
                        </w:rPr>
                        <m:t>H</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RR</m:t>
                      </m:r>
                    </m:e>
                    <m:sub>
                      <m:r>
                        <m:rPr>
                          <m:sty m:val="p"/>
                        </m:rPr>
                        <w:rPr>
                          <w:rFonts w:ascii="Cambria Math" w:hAnsi="Cambria Math" w:cstheme="majorBidi"/>
                        </w:rPr>
                        <m:t>H</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TM</m:t>
                      </m:r>
                    </m:e>
                    <m:sub>
                      <m:r>
                        <m:rPr>
                          <m:sty m:val="p"/>
                        </m:rPr>
                        <w:rPr>
                          <w:rFonts w:ascii="Cambria Math" w:hAnsi="Cambria Math" w:cstheme="majorBidi"/>
                        </w:rPr>
                        <m:t>L</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RR</m:t>
                      </m:r>
                    </m:e>
                    <m:sub>
                      <m:r>
                        <m:rPr>
                          <m:sty m:val="p"/>
                        </m:rPr>
                        <w:rPr>
                          <w:rFonts w:ascii="Cambria Math" w:hAnsi="Cambria Math" w:cstheme="majorBidi"/>
                        </w:rPr>
                        <m:t>L</m:t>
                      </m:r>
                    </m:sub>
                  </m:sSub>
                </m:e>
              </m:d>
            </m:den>
          </m:f>
        </m:oMath>
      </m:oMathPara>
    </w:p>
    <w:p w:rsidR="00E24DB7" w:rsidRPr="002C5876" w:rsidRDefault="00E24DB7" w:rsidP="004D6FBD">
      <w:pPr>
        <w:pStyle w:val="SingleTxtG"/>
        <w:ind w:left="2268"/>
      </w:pPr>
      <w:r w:rsidRPr="002C5876">
        <w:t xml:space="preserve">Ou, si </w:t>
      </w:r>
      <m:oMath>
        <m:d>
          <m:dPr>
            <m:ctrlPr>
              <w:rPr>
                <w:rFonts w:ascii="Cambria Math" w:hAnsi="Cambria Math" w:cstheme="majorBidi"/>
                <w:i/>
                <w:iCs/>
              </w:rPr>
            </m:ctrlPr>
          </m:dPr>
          <m:e>
            <m:sSub>
              <m:sSubPr>
                <m:ctrlPr>
                  <w:rPr>
                    <w:rFonts w:ascii="Cambria Math" w:hAnsi="Cambria Math" w:cstheme="majorBidi"/>
                    <w:i/>
                    <w:iCs/>
                  </w:rPr>
                </m:ctrlPr>
              </m:sSubPr>
              <m:e>
                <m:r>
                  <m:rPr>
                    <m:nor/>
                  </m:rPr>
                  <w:rPr>
                    <w:rFonts w:asciiTheme="majorBidi" w:hAnsiTheme="majorBidi" w:cstheme="majorBidi"/>
                  </w:rPr>
                  <m:t>TM</m:t>
                </m:r>
              </m:e>
              <m:sub>
                <m:r>
                  <m:rPr>
                    <m:nor/>
                  </m:rPr>
                  <w:rPr>
                    <w:rFonts w:asciiTheme="majorBidi" w:hAnsiTheme="majorBidi" w:cstheme="majorBidi"/>
                  </w:rPr>
                  <m:t>H</m:t>
                </m:r>
              </m:sub>
            </m:sSub>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sSub>
              <m:sSubPr>
                <m:ctrlPr>
                  <w:rPr>
                    <w:rFonts w:ascii="Cambria Math" w:hAnsi="Cambria Math" w:cstheme="majorBidi"/>
                    <w:i/>
                    <w:iCs/>
                  </w:rPr>
                </m:ctrlPr>
              </m:sSubPr>
              <m:e>
                <m:r>
                  <m:rPr>
                    <m:nor/>
                  </m:rPr>
                  <w:rPr>
                    <w:rFonts w:asciiTheme="majorBidi" w:hAnsiTheme="majorBidi" w:cstheme="majorBidi"/>
                  </w:rPr>
                  <m:t>RR</m:t>
                </m:r>
              </m:e>
              <m:sub>
                <m:r>
                  <m:rPr>
                    <m:nor/>
                  </m:rPr>
                  <w:rPr>
                    <w:rFonts w:asciiTheme="majorBidi" w:hAnsiTheme="majorBidi" w:cstheme="majorBidi"/>
                  </w:rPr>
                  <m:t>H</m:t>
                </m:r>
              </m:sub>
            </m:sSub>
            <m:r>
              <m:rPr>
                <m:nor/>
              </m:rPr>
              <w:rPr>
                <w:rFonts w:ascii="Cambria Math" w:hAnsiTheme="majorBidi" w:cstheme="majorBidi"/>
              </w:rPr>
              <m:t xml:space="preserve"> </m:t>
            </m:r>
            <m:r>
              <m:rPr>
                <m:nor/>
              </m:rPr>
              <w:rPr>
                <w:rFonts w:asciiTheme="majorBidi" w:hAnsiTheme="majorBidi" w:cstheme="majorBidi"/>
              </w:rPr>
              <m:t xml:space="preserve">– </m:t>
            </m:r>
            <m:sSub>
              <m:sSubPr>
                <m:ctrlPr>
                  <w:rPr>
                    <w:rFonts w:ascii="Cambria Math" w:hAnsi="Cambria Math" w:cstheme="majorBidi"/>
                    <w:i/>
                    <w:iCs/>
                  </w:rPr>
                </m:ctrlPr>
              </m:sSubPr>
              <m:e>
                <m:r>
                  <m:rPr>
                    <m:nor/>
                  </m:rPr>
                  <w:rPr>
                    <w:rFonts w:asciiTheme="majorBidi" w:hAnsiTheme="majorBidi" w:cstheme="majorBidi"/>
                  </w:rPr>
                  <m:t>TM</m:t>
                </m:r>
              </m:e>
              <m:sub>
                <m:r>
                  <m:rPr>
                    <m:nor/>
                  </m:rPr>
                  <w:rPr>
                    <w:rFonts w:asciiTheme="majorBidi" w:hAnsiTheme="majorBidi" w:cstheme="majorBidi"/>
                  </w:rPr>
                  <m:t>L</m:t>
                </m:r>
                <m:r>
                  <m:rPr>
                    <m:nor/>
                  </m:rPr>
                  <w:rPr>
                    <w:rFonts w:ascii="Cambria Math" w:hAnsiTheme="majorBidi" w:cstheme="majorBidi"/>
                  </w:rPr>
                  <m:t xml:space="preserve"> </m:t>
                </m:r>
              </m:sub>
            </m:sSub>
            <m:r>
              <m:rPr>
                <m:nor/>
              </m:rPr>
              <w:rPr>
                <w:rFonts w:asciiTheme="majorBidi" w:hAnsiTheme="majorBidi" w:cstheme="majorBidi"/>
              </w:rPr>
              <m:t>×</m:t>
            </m:r>
            <m:r>
              <m:rPr>
                <m:nor/>
              </m:rPr>
              <w:rPr>
                <w:rFonts w:ascii="Cambria Math" w:hAnsiTheme="majorBidi" w:cstheme="majorBidi"/>
              </w:rPr>
              <m:t xml:space="preserve"> </m:t>
            </m:r>
            <m:sSub>
              <m:sSubPr>
                <m:ctrlPr>
                  <w:rPr>
                    <w:rFonts w:ascii="Cambria Math" w:hAnsi="Cambria Math" w:cstheme="majorBidi"/>
                    <w:i/>
                    <w:iCs/>
                  </w:rPr>
                </m:ctrlPr>
              </m:sSubPr>
              <m:e>
                <m:r>
                  <m:rPr>
                    <m:nor/>
                  </m:rPr>
                  <w:rPr>
                    <w:rFonts w:asciiTheme="majorBidi" w:hAnsiTheme="majorBidi" w:cstheme="majorBidi"/>
                  </w:rPr>
                  <m:t>RR</m:t>
                </m:r>
              </m:e>
              <m:sub>
                <m:r>
                  <m:rPr>
                    <m:nor/>
                  </m:rPr>
                  <w:rPr>
                    <w:rFonts w:asciiTheme="majorBidi" w:hAnsiTheme="majorBidi" w:cstheme="majorBidi"/>
                  </w:rPr>
                  <m:t>L</m:t>
                </m:r>
              </m:sub>
            </m:sSub>
          </m:e>
        </m:d>
      </m:oMath>
      <w:r w:rsidRPr="002C5876">
        <w:t xml:space="preserve"> = 0, au moyen de l’équation suivante :</w:t>
      </w:r>
    </w:p>
    <w:p w:rsidR="00E24DB7" w:rsidRPr="00D53F39" w:rsidRDefault="00E24DB7" w:rsidP="004D6FBD">
      <w:pPr>
        <w:pStyle w:val="SingleTxtG"/>
        <w:tabs>
          <w:tab w:val="left" w:pos="8136"/>
        </w:tabs>
        <w:ind w:left="2268"/>
        <w:jc w:val="center"/>
        <w:rPr>
          <w:iCs/>
          <w:lang w:val="en-US"/>
        </w:rPr>
      </w:pPr>
      <w:r w:rsidRPr="00D53F39">
        <w:rPr>
          <w:lang w:val="en-US"/>
        </w:rPr>
        <w:t>f</w:t>
      </w:r>
      <w:r w:rsidRPr="00D53F39">
        <w:rPr>
          <w:vertAlign w:val="subscript"/>
          <w:lang w:val="en-US"/>
        </w:rPr>
        <w:t>0,ind</w:t>
      </w:r>
      <w:r w:rsidRPr="00D53F39">
        <w:rPr>
          <w:lang w:val="en-US"/>
        </w:rPr>
        <w:t xml:space="preserve"> = f</w:t>
      </w:r>
      <w:r w:rsidRPr="00D53F39">
        <w:rPr>
          <w:vertAlign w:val="subscript"/>
          <w:lang w:val="en-US"/>
        </w:rPr>
        <w:t>0,H</w:t>
      </w:r>
      <w:r w:rsidRPr="00D53F39">
        <w:rPr>
          <w:lang w:val="en-US"/>
        </w:rPr>
        <w:t xml:space="preserve"> - ∆f</w:t>
      </w:r>
      <w:r w:rsidRPr="00D53F39">
        <w:rPr>
          <w:vertAlign w:val="subscript"/>
          <w:lang w:val="en-US"/>
        </w:rPr>
        <w:t>0</w:t>
      </w:r>
    </w:p>
    <w:p w:rsidR="00E24DB7" w:rsidRPr="00D53F39" w:rsidRDefault="00E24DB7" w:rsidP="004D6FBD">
      <w:pPr>
        <w:pStyle w:val="SingleTxtG"/>
        <w:tabs>
          <w:tab w:val="left" w:pos="8136"/>
        </w:tabs>
        <w:ind w:left="2268"/>
        <w:jc w:val="center"/>
        <w:rPr>
          <w:vertAlign w:val="subscript"/>
          <w:lang w:val="en-US"/>
        </w:rPr>
      </w:pPr>
      <w:r w:rsidRPr="00D53F39">
        <w:rPr>
          <w:lang w:val="en-US"/>
        </w:rPr>
        <w:t>f</w:t>
      </w:r>
      <w:r w:rsidRPr="00D53F39">
        <w:rPr>
          <w:vertAlign w:val="subscript"/>
          <w:lang w:val="en-US"/>
        </w:rPr>
        <w:t>1,ind</w:t>
      </w:r>
      <w:r w:rsidRPr="00D53F39">
        <w:rPr>
          <w:lang w:val="en-US"/>
        </w:rPr>
        <w:t xml:space="preserve"> = f</w:t>
      </w:r>
      <w:r w:rsidRPr="00D53F39">
        <w:rPr>
          <w:vertAlign w:val="subscript"/>
          <w:lang w:val="en-US"/>
        </w:rPr>
        <w:t>1,H</w:t>
      </w:r>
    </w:p>
    <w:p w:rsidR="00E24DB7" w:rsidRPr="002C5876" w:rsidRDefault="00731CA6" w:rsidP="004D6FBD">
      <w:pPr>
        <w:pStyle w:val="SingleTxtG"/>
        <w:tabs>
          <w:tab w:val="left" w:pos="8136"/>
        </w:tabs>
        <w:ind w:left="2268"/>
        <w:jc w:val="center"/>
        <w:rPr>
          <w:iCs/>
        </w:rPr>
      </w:pPr>
      <m:oMathPara>
        <m:oMath>
          <m:sSub>
            <m:sSubPr>
              <m:ctrlPr>
                <w:rPr>
                  <w:rFonts w:ascii="Cambria Math" w:hAnsi="Cambria Math" w:cstheme="majorBidi"/>
                  <w:iCs/>
                </w:rPr>
              </m:ctrlPr>
            </m:sSubPr>
            <m:e>
              <m:r>
                <m:rPr>
                  <m:sty m:val="p"/>
                </m:rPr>
                <w:rPr>
                  <w:rFonts w:ascii="Cambria Math" w:hAnsi="Cambria Math" w:cstheme="majorBidi"/>
                </w:rPr>
                <m:t>f</m:t>
              </m:r>
            </m:e>
            <m:sub>
              <m:r>
                <m:rPr>
                  <m:sty m:val="p"/>
                </m:rPr>
                <w:rPr>
                  <w:rFonts w:ascii="Cambria Math" w:hAnsi="Cambria Math" w:cstheme="majorBidi"/>
                </w:rPr>
                <m:t>2,ind</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f</m:t>
              </m:r>
            </m:e>
            <m:sub>
              <m:r>
                <m:rPr>
                  <m:sty m:val="p"/>
                </m:rPr>
                <w:rPr>
                  <w:rFonts w:ascii="Cambria Math" w:hAnsi="Cambria Math" w:cstheme="majorBidi"/>
                </w:rPr>
                <m:t>2,H</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f</m:t>
              </m:r>
            </m:e>
            <m:sub>
              <m:r>
                <m:rPr>
                  <m:sty m:val="p"/>
                </m:rPr>
                <w:rPr>
                  <w:rFonts w:ascii="Cambria Math" w:hAnsi="Cambria Math" w:cstheme="majorBidi"/>
                </w:rPr>
                <m:t>2</m:t>
              </m:r>
            </m:sub>
          </m:sSub>
          <m:f>
            <m:fPr>
              <m:ctrlPr>
                <w:rPr>
                  <w:rFonts w:ascii="Cambria Math" w:hAnsi="Cambria Math" w:cstheme="majorBidi"/>
                  <w:iCs/>
                </w:rPr>
              </m:ctrlPr>
            </m:fPr>
            <m:num>
              <m:d>
                <m:dPr>
                  <m:ctrlPr>
                    <w:rPr>
                      <w:rFonts w:ascii="Cambria Math" w:hAnsi="Cambria Math" w:cstheme="majorBidi"/>
                      <w:iCs/>
                    </w:rPr>
                  </m:ctrlPr>
                </m:dPr>
                <m:e>
                  <m:sSub>
                    <m:sSubPr>
                      <m:ctrlPr>
                        <w:rPr>
                          <w:rFonts w:ascii="Cambria Math" w:hAnsi="Cambria Math" w:cstheme="majorBidi"/>
                          <w:iCs/>
                        </w:rPr>
                      </m:ctrlPr>
                    </m:sSubPr>
                    <m:e>
                      <m:r>
                        <m:rPr>
                          <m:sty m:val="p"/>
                        </m:rPr>
                        <w:rPr>
                          <w:rFonts w:ascii="Cambria Math" w:hAnsi="Cambria Math" w:cstheme="majorBidi"/>
                        </w:rPr>
                        <m:t>∆</m:t>
                      </m:r>
                      <m:d>
                        <m:dPr>
                          <m:begChr m:val="["/>
                          <m:endChr m:val="]"/>
                          <m:ctrlPr>
                            <w:rPr>
                              <w:rFonts w:ascii="Cambria Math" w:hAnsi="Cambria Math" w:cstheme="majorBidi"/>
                              <w:iCs/>
                            </w:rPr>
                          </m:ctrlPr>
                        </m:dPr>
                        <m:e>
                          <m:sSub>
                            <m:sSubPr>
                              <m:ctrlPr>
                                <w:rPr>
                                  <w:rFonts w:ascii="Cambria Math" w:hAnsi="Cambria Math" w:cstheme="majorBidi"/>
                                  <w:iCs/>
                                </w:rPr>
                              </m:ctrlPr>
                            </m:sSubPr>
                            <m:e>
                              <m:r>
                                <m:rPr>
                                  <m:sty m:val="p"/>
                                </m:rPr>
                                <w:rPr>
                                  <w:rFonts w:ascii="Cambria Math" w:hAnsi="Cambria Math" w:cstheme="majorBidi"/>
                                </w:rPr>
                                <m:t>C</m:t>
                              </m:r>
                            </m:e>
                            <m:sub>
                              <m:r>
                                <m:rPr>
                                  <m:sty m:val="p"/>
                                </m:rPr>
                                <w:rPr>
                                  <w:rFonts w:ascii="Cambria Math" w:hAnsi="Cambria Math" w:cstheme="majorBidi"/>
                                </w:rPr>
                                <m:t>D</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A</m:t>
                              </m:r>
                            </m:e>
                            <m:sub>
                              <m:r>
                                <m:rPr>
                                  <m:sty m:val="p"/>
                                </m:rPr>
                                <w:rPr>
                                  <w:rFonts w:ascii="Cambria Math" w:hAnsi="Cambria Math" w:cstheme="majorBidi"/>
                                </w:rPr>
                                <m:t>f</m:t>
                              </m:r>
                            </m:sub>
                          </m:sSub>
                        </m:e>
                      </m:d>
                    </m:e>
                    <m:sub>
                      <m:r>
                        <m:rPr>
                          <m:sty m:val="p"/>
                        </m:rPr>
                        <w:rPr>
                          <w:rFonts w:ascii="Cambria Math" w:hAnsi="Cambria Math" w:cstheme="majorBidi"/>
                        </w:rPr>
                        <m:t>LH</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m:t>
                      </m:r>
                      <m:d>
                        <m:dPr>
                          <m:begChr m:val="["/>
                          <m:endChr m:val="]"/>
                          <m:ctrlPr>
                            <w:rPr>
                              <w:rFonts w:ascii="Cambria Math" w:hAnsi="Cambria Math" w:cstheme="majorBidi"/>
                              <w:iCs/>
                            </w:rPr>
                          </m:ctrlPr>
                        </m:dPr>
                        <m:e>
                          <m:sSub>
                            <m:sSubPr>
                              <m:ctrlPr>
                                <w:rPr>
                                  <w:rFonts w:ascii="Cambria Math" w:hAnsi="Cambria Math" w:cstheme="majorBidi"/>
                                  <w:iCs/>
                                </w:rPr>
                              </m:ctrlPr>
                            </m:sSubPr>
                            <m:e>
                              <m:r>
                                <m:rPr>
                                  <m:sty m:val="p"/>
                                </m:rPr>
                                <w:rPr>
                                  <w:rFonts w:ascii="Cambria Math" w:hAnsi="Cambria Math" w:cstheme="majorBidi"/>
                                </w:rPr>
                                <m:t>C</m:t>
                              </m:r>
                            </m:e>
                            <m:sub>
                              <m:r>
                                <m:rPr>
                                  <m:sty m:val="p"/>
                                </m:rPr>
                                <w:rPr>
                                  <w:rFonts w:ascii="Cambria Math" w:hAnsi="Cambria Math" w:cstheme="majorBidi"/>
                                </w:rPr>
                                <m:t>d</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A</m:t>
                              </m:r>
                            </m:e>
                            <m:sub>
                              <m:r>
                                <m:rPr>
                                  <m:sty m:val="p"/>
                                </m:rPr>
                                <w:rPr>
                                  <w:rFonts w:ascii="Cambria Math" w:hAnsi="Cambria Math" w:cstheme="majorBidi"/>
                                </w:rPr>
                                <m:t>f</m:t>
                              </m:r>
                            </m:sub>
                          </m:sSub>
                        </m:e>
                      </m:d>
                    </m:e>
                    <m:sub>
                      <m:r>
                        <m:rPr>
                          <m:sty m:val="p"/>
                        </m:rPr>
                        <w:rPr>
                          <w:rFonts w:ascii="Cambria Math" w:hAnsi="Cambria Math" w:cstheme="majorBidi"/>
                        </w:rPr>
                        <m:t>ind</m:t>
                      </m:r>
                    </m:sub>
                  </m:sSub>
                </m:e>
              </m:d>
            </m:num>
            <m:den>
              <m:d>
                <m:dPr>
                  <m:ctrlPr>
                    <w:rPr>
                      <w:rFonts w:ascii="Cambria Math" w:hAnsi="Cambria Math" w:cstheme="majorBidi"/>
                      <w:iCs/>
                    </w:rPr>
                  </m:ctrlPr>
                </m:dPr>
                <m:e>
                  <m:sSub>
                    <m:sSubPr>
                      <m:ctrlPr>
                        <w:rPr>
                          <w:rFonts w:ascii="Cambria Math" w:hAnsi="Cambria Math" w:cstheme="majorBidi"/>
                          <w:iCs/>
                        </w:rPr>
                      </m:ctrlPr>
                    </m:sSubPr>
                    <m:e>
                      <m:r>
                        <m:rPr>
                          <m:sty m:val="p"/>
                        </m:rPr>
                        <w:rPr>
                          <w:rFonts w:ascii="Cambria Math" w:hAnsi="Cambria Math" w:cstheme="majorBidi"/>
                        </w:rPr>
                        <m:t>∆</m:t>
                      </m:r>
                      <m:d>
                        <m:dPr>
                          <m:begChr m:val="["/>
                          <m:endChr m:val="]"/>
                          <m:ctrlPr>
                            <w:rPr>
                              <w:rFonts w:ascii="Cambria Math" w:hAnsi="Cambria Math" w:cstheme="majorBidi"/>
                              <w:iCs/>
                            </w:rPr>
                          </m:ctrlPr>
                        </m:dPr>
                        <m:e>
                          <m:sSub>
                            <m:sSubPr>
                              <m:ctrlPr>
                                <w:rPr>
                                  <w:rFonts w:ascii="Cambria Math" w:hAnsi="Cambria Math" w:cstheme="majorBidi"/>
                                  <w:iCs/>
                                </w:rPr>
                              </m:ctrlPr>
                            </m:sSubPr>
                            <m:e>
                              <m:r>
                                <m:rPr>
                                  <m:sty m:val="p"/>
                                </m:rPr>
                                <w:rPr>
                                  <w:rFonts w:ascii="Cambria Math" w:hAnsi="Cambria Math" w:cstheme="majorBidi"/>
                                </w:rPr>
                                <m:t>C</m:t>
                              </m:r>
                            </m:e>
                            <m:sub>
                              <m:r>
                                <m:rPr>
                                  <m:sty m:val="p"/>
                                </m:rPr>
                                <w:rPr>
                                  <w:rFonts w:ascii="Cambria Math" w:hAnsi="Cambria Math" w:cstheme="majorBidi"/>
                                </w:rPr>
                                <m:t>D</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A</m:t>
                              </m:r>
                            </m:e>
                            <m:sub>
                              <m:r>
                                <m:rPr>
                                  <m:sty m:val="p"/>
                                </m:rPr>
                                <w:rPr>
                                  <w:rFonts w:ascii="Cambria Math" w:hAnsi="Cambria Math" w:cstheme="majorBidi"/>
                                </w:rPr>
                                <m:t>f</m:t>
                              </m:r>
                            </m:sub>
                          </m:sSub>
                        </m:e>
                      </m:d>
                    </m:e>
                    <m:sub>
                      <m:r>
                        <m:rPr>
                          <m:sty m:val="p"/>
                        </m:rPr>
                        <w:rPr>
                          <w:rFonts w:ascii="Cambria Math" w:hAnsi="Cambria Math" w:cstheme="majorBidi"/>
                        </w:rPr>
                        <m:t>LH</m:t>
                      </m:r>
                    </m:sub>
                  </m:sSub>
                </m:e>
              </m:d>
            </m:den>
          </m:f>
        </m:oMath>
      </m:oMathPara>
    </w:p>
    <w:p w:rsidR="00E24DB7" w:rsidRPr="002C5876" w:rsidRDefault="00E24DB7" w:rsidP="004D6FBD">
      <w:pPr>
        <w:pStyle w:val="SingleTxtG"/>
        <w:ind w:left="2268"/>
      </w:pPr>
      <w:r w:rsidRPr="002C5876">
        <w:t xml:space="preserve">Ou, si </w:t>
      </w:r>
      <m:oMath>
        <m:sSub>
          <m:sSubPr>
            <m:ctrlPr>
              <w:rPr>
                <w:rFonts w:ascii="Cambria Math" w:hAnsi="Cambria Math" w:cstheme="majorBidi"/>
                <w:iCs/>
              </w:rPr>
            </m:ctrlPr>
          </m:sSubPr>
          <m:e>
            <m:r>
              <m:rPr>
                <m:sty m:val="p"/>
              </m:rPr>
              <w:rPr>
                <w:rFonts w:ascii="Cambria Math" w:hAnsi="Cambria Math" w:cstheme="majorBidi"/>
              </w:rPr>
              <m:t>∆</m:t>
            </m:r>
            <m:d>
              <m:dPr>
                <m:begChr m:val="["/>
                <m:endChr m:val="]"/>
                <m:ctrlPr>
                  <w:rPr>
                    <w:rFonts w:ascii="Cambria Math" w:hAnsi="Cambria Math" w:cstheme="majorBidi"/>
                    <w:iCs/>
                  </w:rPr>
                </m:ctrlPr>
              </m:dPr>
              <m:e>
                <m:sSub>
                  <m:sSubPr>
                    <m:ctrlPr>
                      <w:rPr>
                        <w:rFonts w:ascii="Cambria Math" w:hAnsi="Cambria Math" w:cstheme="majorBidi"/>
                        <w:iCs/>
                      </w:rPr>
                    </m:ctrlPr>
                  </m:sSubPr>
                  <m:e>
                    <m:r>
                      <m:rPr>
                        <m:sty m:val="p"/>
                      </m:rPr>
                      <w:rPr>
                        <w:rFonts w:ascii="Cambria Math" w:hAnsi="Cambria Math" w:cstheme="majorBidi"/>
                      </w:rPr>
                      <m:t>C</m:t>
                    </m:r>
                  </m:e>
                  <m:sub>
                    <m:r>
                      <m:rPr>
                        <m:sty m:val="p"/>
                      </m:rPr>
                      <w:rPr>
                        <w:rFonts w:ascii="Cambria Math" w:hAnsi="Cambria Math" w:cstheme="majorBidi"/>
                      </w:rPr>
                      <m:t>D</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A</m:t>
                    </m:r>
                  </m:e>
                  <m:sub>
                    <m:r>
                      <m:rPr>
                        <m:sty m:val="p"/>
                      </m:rPr>
                      <w:rPr>
                        <w:rFonts w:ascii="Cambria Math" w:hAnsi="Cambria Math" w:cstheme="majorBidi"/>
                      </w:rPr>
                      <m:t>f</m:t>
                    </m:r>
                  </m:sub>
                </m:sSub>
              </m:e>
            </m:d>
          </m:e>
          <m:sub>
            <m:r>
              <m:rPr>
                <m:sty m:val="p"/>
              </m:rPr>
              <w:rPr>
                <w:rFonts w:ascii="Cambria Math" w:hAnsi="Cambria Math" w:cstheme="majorBidi"/>
              </w:rPr>
              <m:t>LH</m:t>
            </m:r>
          </m:sub>
        </m:sSub>
        <m:r>
          <w:rPr>
            <w:rFonts w:ascii="Cambria Math" w:hAnsiTheme="majorBidi" w:cstheme="majorBidi"/>
          </w:rPr>
          <m:t xml:space="preserve"> </m:t>
        </m:r>
      </m:oMath>
      <w:r w:rsidRPr="002C5876">
        <w:t>= 0, au moyen de l’équation suivante :</w:t>
      </w:r>
    </w:p>
    <w:p w:rsidR="00E24DB7" w:rsidRPr="002C5876" w:rsidRDefault="00E24DB7" w:rsidP="004D6FBD">
      <w:pPr>
        <w:pStyle w:val="SingleTxtG"/>
        <w:tabs>
          <w:tab w:val="left" w:pos="8136"/>
        </w:tabs>
        <w:ind w:left="2268"/>
        <w:jc w:val="center"/>
        <w:rPr>
          <w:iCs/>
        </w:rPr>
      </w:pPr>
      <w:r w:rsidRPr="002C5876">
        <w:t>f</w:t>
      </w:r>
      <w:r w:rsidRPr="002C5876">
        <w:rPr>
          <w:vertAlign w:val="subscript"/>
        </w:rPr>
        <w:t>2,ind</w:t>
      </w:r>
      <w:r w:rsidRPr="002C5876">
        <w:t xml:space="preserve"> = f</w:t>
      </w:r>
      <w:r w:rsidRPr="002C5876">
        <w:rPr>
          <w:vertAlign w:val="subscript"/>
        </w:rPr>
        <w:t>2,H</w:t>
      </w:r>
      <w:r w:rsidRPr="002C5876">
        <w:t xml:space="preserve"> - ∆f</w:t>
      </w:r>
      <w:r w:rsidRPr="002C5876">
        <w:rPr>
          <w:vertAlign w:val="subscript"/>
        </w:rPr>
        <w:t>2</w:t>
      </w:r>
    </w:p>
    <w:p w:rsidR="00E24DB7" w:rsidRPr="002C5876" w:rsidRDefault="00E24DB7" w:rsidP="004D6FBD">
      <w:pPr>
        <w:pStyle w:val="SingleTxtG"/>
        <w:keepNext/>
        <w:ind w:left="2268"/>
      </w:pPr>
      <w:r w:rsidRPr="002C5876">
        <w:t>où :</w:t>
      </w:r>
    </w:p>
    <w:p w:rsidR="00E24DB7" w:rsidRPr="002C5876" w:rsidRDefault="00E24DB7" w:rsidP="004D6FBD">
      <w:pPr>
        <w:pStyle w:val="SingleTxtG"/>
        <w:ind w:left="2268"/>
      </w:pPr>
      <m:oMathPara>
        <m:oMathParaPr>
          <m:jc m:val="left"/>
        </m:oMathParaPr>
        <m:oMath>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0</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0,H</m:t>
              </m:r>
            </m:sub>
          </m:sSub>
          <m:r>
            <m:rPr>
              <m:sty m:val="p"/>
            </m:rPr>
            <w:rPr>
              <w:rFonts w:ascii="Cambria Math" w:hAnsi="Cambria Math" w:cstheme="majorBidi"/>
            </w:rPr>
            <m:t xml:space="preserve">- </m:t>
          </m:r>
          <m:sSubSup>
            <m:sSubSupPr>
              <m:ctrlPr>
                <w:rPr>
                  <w:rFonts w:ascii="Cambria Math" w:hAnsi="Cambria Math" w:cstheme="majorBidi"/>
                </w:rPr>
              </m:ctrlPr>
            </m:sSubSupPr>
            <m:e>
              <m:r>
                <m:rPr>
                  <m:sty m:val="p"/>
                </m:rPr>
                <w:rPr>
                  <w:rFonts w:ascii="Cambria Math" w:hAnsi="Cambria Math" w:cstheme="majorBidi"/>
                </w:rPr>
                <m:t>f</m:t>
              </m:r>
            </m:e>
            <m:sub>
              <m:r>
                <m:rPr>
                  <m:sty m:val="p"/>
                </m:rPr>
                <w:rPr>
                  <w:rFonts w:ascii="Cambria Math" w:hAnsi="Cambria Math" w:cstheme="majorBidi"/>
                </w:rPr>
                <m:t>0,L</m:t>
              </m:r>
            </m:sub>
            <m:sup>
              <m:r>
                <m:rPr>
                  <m:sty m:val="p"/>
                </m:rPr>
                <w:rPr>
                  <w:rFonts w:ascii="Cambria Math" w:hAnsi="Cambria Math" w:cstheme="majorBidi"/>
                </w:rPr>
                <m:t>*</m:t>
              </m:r>
            </m:sup>
          </m:sSubSup>
        </m:oMath>
      </m:oMathPara>
    </w:p>
    <w:p w:rsidR="00E24DB7" w:rsidRPr="002C5876" w:rsidRDefault="00E24DB7" w:rsidP="004D6FBD">
      <w:pPr>
        <w:pStyle w:val="SingleTxtG"/>
        <w:tabs>
          <w:tab w:val="left" w:pos="8136"/>
        </w:tabs>
        <w:ind w:left="2268"/>
      </w:pPr>
      <m:oMathPara>
        <m:oMathParaPr>
          <m:jc m:val="left"/>
        </m:oMathParaPr>
        <m:oMath>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2</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2,H</m:t>
              </m:r>
            </m:sub>
          </m:sSub>
          <m:r>
            <m:rPr>
              <m:sty m:val="p"/>
            </m:rPr>
            <w:rPr>
              <w:rFonts w:ascii="Cambria Math" w:hAnsi="Cambria Math" w:cstheme="majorBidi"/>
            </w:rPr>
            <m:t xml:space="preserve">- </m:t>
          </m:r>
          <m:sSubSup>
            <m:sSubSupPr>
              <m:ctrlPr>
                <w:rPr>
                  <w:rFonts w:ascii="Cambria Math" w:hAnsi="Cambria Math" w:cstheme="majorBidi"/>
                </w:rPr>
              </m:ctrlPr>
            </m:sSubSupPr>
            <m:e>
              <m:r>
                <m:rPr>
                  <m:sty m:val="p"/>
                </m:rPr>
                <w:rPr>
                  <w:rFonts w:ascii="Cambria Math" w:hAnsi="Cambria Math" w:cstheme="majorBidi"/>
                </w:rPr>
                <m:t>f</m:t>
              </m:r>
            </m:e>
            <m:sub>
              <m:r>
                <m:rPr>
                  <m:sty m:val="p"/>
                </m:rPr>
                <w:rPr>
                  <w:rFonts w:ascii="Cambria Math" w:hAnsi="Cambria Math" w:cstheme="majorBidi"/>
                </w:rPr>
                <m:t>2,L</m:t>
              </m:r>
            </m:sub>
            <m:sup>
              <m:r>
                <m:rPr>
                  <m:sty m:val="p"/>
                </m:rPr>
                <w:rPr>
                  <w:rFonts w:ascii="Cambria Math" w:hAnsi="Cambria Math" w:cstheme="majorBidi"/>
                </w:rPr>
                <m:t>*</m:t>
              </m:r>
            </m:sup>
          </m:sSubSup>
        </m:oMath>
      </m:oMathPara>
    </w:p>
    <w:p w:rsidR="00E24DB7" w:rsidRPr="002C5876" w:rsidRDefault="00E24DB7" w:rsidP="004D6FBD">
      <w:pPr>
        <w:pStyle w:val="SingleTxtG"/>
        <w:ind w:left="2268"/>
      </w:pPr>
      <w:r w:rsidRPr="002C5876">
        <w:t>Dans le cas d’une famille de matrices de résistance à l’avancement, les coefficients de résistance f</w:t>
      </w:r>
      <w:r w:rsidRPr="002C5876">
        <w:rPr>
          <w:vertAlign w:val="subscript"/>
        </w:rPr>
        <w:t>0</w:t>
      </w:r>
      <w:r w:rsidRPr="002C5876">
        <w:t>, f</w:t>
      </w:r>
      <w:r w:rsidRPr="002C5876">
        <w:rPr>
          <w:vertAlign w:val="subscript"/>
        </w:rPr>
        <w:t>1</w:t>
      </w:r>
      <w:r w:rsidRPr="002C5876">
        <w:t xml:space="preserve"> et f</w:t>
      </w:r>
      <w:r w:rsidRPr="002C5876">
        <w:rPr>
          <w:vertAlign w:val="subscript"/>
        </w:rPr>
        <w:t>2</w:t>
      </w:r>
      <w:r w:rsidRPr="002C5876">
        <w:t xml:space="preserve"> pour un véhicule donné doivent être calculés en appliquant les équations présentées au paragraphe 5.1.1 de l’annexe 4.</w:t>
      </w:r>
    </w:p>
    <w:p w:rsidR="00E24DB7" w:rsidRPr="002C5876" w:rsidRDefault="00E24DB7" w:rsidP="00F83D7E">
      <w:pPr>
        <w:pStyle w:val="SingleTxtG"/>
        <w:keepNext/>
        <w:ind w:left="2268" w:hanging="1134"/>
      </w:pPr>
      <w:r w:rsidRPr="002C5876">
        <w:t>3.2.3.2.3</w:t>
      </w:r>
      <w:r w:rsidRPr="002C5876">
        <w:tab/>
        <w:t>Calcul de la demande d’énergie sur le cycle</w:t>
      </w:r>
    </w:p>
    <w:p w:rsidR="00E24DB7" w:rsidRPr="002C5876" w:rsidRDefault="00E24DB7" w:rsidP="004D6FBD">
      <w:pPr>
        <w:pStyle w:val="SingleTxtG"/>
        <w:ind w:left="2268"/>
      </w:pPr>
      <w:r w:rsidRPr="002C5876">
        <w:t>La demande d’énergie sur le cycle pour le cycle WLTC applicable, E</w:t>
      </w:r>
      <w:r w:rsidRPr="002C5876">
        <w:rPr>
          <w:vertAlign w:val="subscript"/>
        </w:rPr>
        <w:t>k</w:t>
      </w:r>
      <w:r w:rsidRPr="002C5876">
        <w:t>, et la demande d’énergie pour toutes les phases du cycle applicable, E</w:t>
      </w:r>
      <w:r w:rsidRPr="002C5876">
        <w:rPr>
          <w:vertAlign w:val="subscript"/>
        </w:rPr>
        <w:t>kр</w:t>
      </w:r>
      <w:r w:rsidRPr="002C5876">
        <w:t>, doivent être calculées conformément à la procédure exposée au paragraphe 5 de la présente annexe pour les ensembles k suivants, comprenant des coefficients de résistance à l’avancement sur route et des masses :</w:t>
      </w:r>
    </w:p>
    <w:p w:rsidR="00E24DB7" w:rsidRPr="00D53F39" w:rsidRDefault="00E24DB7" w:rsidP="004D6FBD">
      <w:pPr>
        <w:pStyle w:val="SingleTxtG"/>
        <w:tabs>
          <w:tab w:val="left" w:pos="3119"/>
          <w:tab w:val="left" w:pos="8136"/>
        </w:tabs>
        <w:ind w:left="2268"/>
        <w:rPr>
          <w:rFonts w:eastAsiaTheme="minorEastAsia"/>
          <w:lang w:val="en-US"/>
        </w:rPr>
      </w:pPr>
      <w:r w:rsidRPr="00D53F39">
        <w:rPr>
          <w:lang w:val="en-US"/>
        </w:rPr>
        <w:t xml:space="preserve">k=1  </w:t>
      </w:r>
      <m:oMath>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0</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Sup>
          <m:sSubSupPr>
            <m:ctrlPr>
              <w:rPr>
                <w:rFonts w:ascii="Cambria Math" w:hAnsi="Cambria Math" w:cstheme="majorBidi"/>
              </w:rPr>
            </m:ctrlPr>
          </m:sSubSupPr>
          <m:e>
            <m:r>
              <m:rPr>
                <m:nor/>
              </m:rPr>
              <w:rPr>
                <w:rFonts w:asciiTheme="majorBidi" w:hAnsiTheme="majorBidi" w:cstheme="majorBidi"/>
                <w:lang w:val="en-US"/>
              </w:rPr>
              <m:t>f</m:t>
            </m:r>
          </m:e>
          <m:sub>
            <m:r>
              <m:rPr>
                <m:nor/>
              </m:rPr>
              <w:rPr>
                <w:rFonts w:asciiTheme="majorBidi" w:hAnsiTheme="majorBidi" w:cstheme="majorBidi"/>
                <w:lang w:val="en-US"/>
              </w:rPr>
              <m:t>0,L</m:t>
            </m:r>
          </m:sub>
          <m:sup>
            <m:r>
              <m:rPr>
                <m:nor/>
              </m:rPr>
              <w:rPr>
                <w:rFonts w:asciiTheme="majorBidi" w:hAnsiTheme="majorBidi" w:cstheme="majorBidi"/>
                <w:lang w:val="en-US"/>
              </w:rPr>
              <m:t>*</m:t>
            </m:r>
          </m:sup>
        </m:sSubSup>
        <m:r>
          <m:rPr>
            <m:nor/>
          </m:rPr>
          <w:rPr>
            <w:rFonts w:asciiTheme="majorBidi"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1</m:t>
            </m:r>
            <m:r>
              <m:rPr>
                <m:nor/>
              </m:rPr>
              <w:rPr>
                <w:rFonts w:ascii="Cambria Math" w:hAnsiTheme="majorBidi" w:cstheme="majorBidi"/>
                <w:lang w:val="en-US"/>
              </w:rPr>
              <m:t xml:space="preserve"> </m:t>
            </m:r>
          </m:sub>
        </m:sSub>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1,H</m:t>
            </m:r>
          </m:sub>
        </m:sSub>
        <m:r>
          <m:rPr>
            <m:nor/>
          </m:rPr>
          <w:rPr>
            <w:rFonts w:asciiTheme="majorBidi"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2</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Sup>
          <m:sSubSupPr>
            <m:ctrlPr>
              <w:rPr>
                <w:rFonts w:ascii="Cambria Math" w:hAnsi="Cambria Math" w:cstheme="majorBidi"/>
              </w:rPr>
            </m:ctrlPr>
          </m:sSubSupPr>
          <m:e>
            <m:r>
              <m:rPr>
                <m:nor/>
              </m:rPr>
              <w:rPr>
                <w:rFonts w:asciiTheme="majorBidi" w:hAnsiTheme="majorBidi" w:cstheme="majorBidi"/>
                <w:lang w:val="en-US"/>
              </w:rPr>
              <m:t>f</m:t>
            </m:r>
          </m:e>
          <m:sub>
            <m:r>
              <m:rPr>
                <m:nor/>
              </m:rPr>
              <w:rPr>
                <w:rFonts w:asciiTheme="majorBidi" w:hAnsiTheme="majorBidi" w:cstheme="majorBidi"/>
                <w:lang w:val="en-US"/>
              </w:rPr>
              <m:t>2,L</m:t>
            </m:r>
          </m:sub>
          <m:sup>
            <m:r>
              <m:rPr>
                <m:nor/>
              </m:rPr>
              <w:rPr>
                <w:rFonts w:asciiTheme="majorBidi" w:hAnsiTheme="majorBidi" w:cstheme="majorBidi"/>
                <w:lang w:val="en-US"/>
              </w:rPr>
              <m:t>*</m:t>
            </m:r>
          </m:sup>
        </m:sSubSup>
        <m:r>
          <m:rPr>
            <m:nor/>
          </m:rPr>
          <w:rPr>
            <w:rFonts w:asciiTheme="majorBidi" w:hAnsiTheme="majorBidi" w:cstheme="majorBidi"/>
            <w:lang w:val="en-US"/>
          </w:rPr>
          <m:t>,  m</m:t>
        </m:r>
        <m:r>
          <m:rPr>
            <m:nor/>
          </m:rPr>
          <w:rPr>
            <w:rFonts w:ascii="Cambria Math" w:hAnsiTheme="majorBidi" w:cstheme="majorBidi"/>
            <w:lang w:val="en-US"/>
          </w:rPr>
          <m:t xml:space="preserve"> </m:t>
        </m:r>
        <m:r>
          <m:rPr>
            <m:nor/>
          </m:rPr>
          <w:rPr>
            <w:rFonts w:asciiTheme="majorBidi" w:hAnsiTheme="majorBidi" w:cstheme="majorBidi"/>
            <w:lang w:val="en-US"/>
          </w:rPr>
          <m:t>=</m:t>
        </m:r>
        <m:sSub>
          <m:sSubPr>
            <m:ctrlPr>
              <w:rPr>
                <w:rFonts w:ascii="Cambria Math" w:hAnsi="Cambria Math" w:cstheme="majorBidi"/>
              </w:rPr>
            </m:ctrlPr>
          </m:sSubPr>
          <m:e>
            <m:r>
              <m:rPr>
                <m:nor/>
              </m:rPr>
              <w:rPr>
                <w:rFonts w:ascii="Cambria Math" w:hAnsiTheme="majorBidi" w:cstheme="majorBidi"/>
                <w:lang w:val="en-US"/>
              </w:rPr>
              <m:t xml:space="preserve"> </m:t>
            </m:r>
            <m:r>
              <m:rPr>
                <m:nor/>
              </m:rPr>
              <w:rPr>
                <w:rFonts w:asciiTheme="majorBidi" w:hAnsiTheme="majorBidi" w:cstheme="majorBidi"/>
                <w:lang w:val="en-US"/>
              </w:rPr>
              <m:t>TM</m:t>
            </m:r>
          </m:e>
          <m:sub>
            <m:r>
              <m:rPr>
                <m:nor/>
              </m:rPr>
              <w:rPr>
                <w:rFonts w:asciiTheme="majorBidi" w:hAnsiTheme="majorBidi" w:cstheme="majorBidi"/>
                <w:lang w:val="en-US"/>
              </w:rPr>
              <m:t xml:space="preserve">L </m:t>
            </m:r>
          </m:sub>
        </m:sSub>
      </m:oMath>
    </w:p>
    <w:p w:rsidR="00E24DB7" w:rsidRPr="00D53F39" w:rsidRDefault="00E24DB7" w:rsidP="004D6FBD">
      <w:pPr>
        <w:pStyle w:val="SingleTxtG"/>
        <w:tabs>
          <w:tab w:val="left" w:pos="3119"/>
          <w:tab w:val="left" w:pos="8136"/>
        </w:tabs>
        <w:ind w:left="2268"/>
        <w:rPr>
          <w:rFonts w:eastAsiaTheme="minorEastAsia"/>
          <w:lang w:val="en-US"/>
        </w:rPr>
      </w:pPr>
      <w:r w:rsidRPr="00D53F39">
        <w:rPr>
          <w:lang w:val="en-US"/>
        </w:rPr>
        <w:tab/>
        <w:t>(véhicule d’essai L)</w:t>
      </w:r>
    </w:p>
    <w:p w:rsidR="00E24DB7" w:rsidRPr="00D53F39" w:rsidRDefault="00E24DB7" w:rsidP="004D6FBD">
      <w:pPr>
        <w:pStyle w:val="SingleTxtG"/>
        <w:tabs>
          <w:tab w:val="left" w:pos="3119"/>
          <w:tab w:val="left" w:pos="8136"/>
        </w:tabs>
        <w:ind w:left="2268"/>
        <w:rPr>
          <w:rFonts w:eastAsiaTheme="minorEastAsia"/>
          <w:lang w:val="en-US"/>
        </w:rPr>
      </w:pPr>
      <w:r w:rsidRPr="00D53F39">
        <w:rPr>
          <w:lang w:val="en-US"/>
        </w:rPr>
        <w:t>k=2 :</w:t>
      </w:r>
      <m:oMath>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0</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0,H</m:t>
            </m:r>
          </m:sub>
        </m:sSub>
        <m:r>
          <m:rPr>
            <m:nor/>
          </m:rPr>
          <w:rPr>
            <w:rFonts w:asciiTheme="majorBidi"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1</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1,H</m:t>
            </m:r>
          </m:sub>
        </m:sSub>
        <m:r>
          <m:rPr>
            <m:nor/>
          </m:rPr>
          <w:rPr>
            <w:rFonts w:asciiTheme="majorBidi"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2</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2,H</m:t>
            </m:r>
          </m:sub>
        </m:sSub>
        <m:r>
          <m:rPr>
            <m:nor/>
          </m:rPr>
          <w:rPr>
            <w:rFonts w:asciiTheme="majorBidi" w:hAnsiTheme="majorBidi" w:cstheme="majorBidi"/>
            <w:lang w:val="en-US"/>
          </w:rPr>
          <m:t>,  m</m:t>
        </m:r>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TM</m:t>
            </m:r>
          </m:e>
          <m:sub>
            <m:r>
              <m:rPr>
                <m:nor/>
              </m:rPr>
              <w:rPr>
                <w:rFonts w:asciiTheme="majorBidi" w:hAnsiTheme="majorBidi" w:cstheme="majorBidi"/>
                <w:lang w:val="en-US"/>
              </w:rPr>
              <m:t>H</m:t>
            </m:r>
          </m:sub>
        </m:sSub>
        <m:r>
          <w:rPr>
            <w:rFonts w:ascii="Cambria Math" w:hAnsi="Cambria Math" w:cstheme="majorBidi"/>
            <w:lang w:val="en-US"/>
          </w:rPr>
          <m:t xml:space="preserve"> </m:t>
        </m:r>
      </m:oMath>
    </w:p>
    <w:p w:rsidR="00E24DB7" w:rsidRPr="00D53F39" w:rsidRDefault="00E24DB7" w:rsidP="004D6FBD">
      <w:pPr>
        <w:pStyle w:val="SingleTxtG"/>
        <w:tabs>
          <w:tab w:val="left" w:pos="3119"/>
          <w:tab w:val="left" w:pos="8136"/>
        </w:tabs>
        <w:ind w:left="2268"/>
        <w:rPr>
          <w:rFonts w:eastAsiaTheme="minorEastAsia"/>
          <w:lang w:val="en-US"/>
        </w:rPr>
      </w:pPr>
      <w:r w:rsidRPr="00D53F39">
        <w:rPr>
          <w:lang w:val="en-US"/>
        </w:rPr>
        <w:tab/>
        <w:t>(véhicule d’essai H)</w:t>
      </w:r>
    </w:p>
    <w:p w:rsidR="00E24DB7" w:rsidRPr="00D53F39" w:rsidRDefault="00E24DB7" w:rsidP="004D6FBD">
      <w:pPr>
        <w:pStyle w:val="SingleTxtG"/>
        <w:tabs>
          <w:tab w:val="left" w:pos="3119"/>
          <w:tab w:val="left" w:pos="8136"/>
        </w:tabs>
        <w:ind w:left="2268"/>
        <w:rPr>
          <w:spacing w:val="-4"/>
          <w:lang w:val="en-US"/>
        </w:rPr>
      </w:pPr>
      <w:r w:rsidRPr="00D53F39">
        <w:rPr>
          <w:lang w:val="en-US"/>
        </w:rPr>
        <w:t>k=3 :</w:t>
      </w:r>
      <w:r w:rsidR="00103FDF" w:rsidRPr="00D53F39">
        <w:rPr>
          <w:lang w:val="en-US"/>
        </w:rPr>
        <w:br/>
      </w:r>
      <m:oMathPara>
        <m:oMath>
          <m:sSub>
            <m:sSubPr>
              <m:ctrlPr>
                <w:rPr>
                  <w:rFonts w:ascii="Cambria Math" w:hAnsi="Cambria Math"/>
                </w:rPr>
              </m:ctrlPr>
            </m:sSubPr>
            <m:e>
              <m:r>
                <m:rPr>
                  <m:nor/>
                </m:rPr>
                <w:rPr>
                  <w:lang w:val="en-US"/>
                </w:rPr>
                <m:t>f</m:t>
              </m:r>
            </m:e>
            <m:sub>
              <m:r>
                <m:rPr>
                  <m:nor/>
                </m:rPr>
                <w:rPr>
                  <w:lang w:val="en-US"/>
                </w:rPr>
                <m:t xml:space="preserve">0 </m:t>
              </m:r>
            </m:sub>
          </m:sSub>
          <m:r>
            <m:rPr>
              <m:nor/>
            </m:rPr>
            <w:rPr>
              <w:lang w:val="en-US"/>
            </w:rPr>
            <m:t xml:space="preserve">= </m:t>
          </m:r>
          <m:sSub>
            <m:sSubPr>
              <m:ctrlPr>
                <w:rPr>
                  <w:rFonts w:ascii="Cambria Math" w:hAnsi="Cambria Math"/>
                </w:rPr>
              </m:ctrlPr>
            </m:sSubPr>
            <m:e>
              <m:r>
                <m:rPr>
                  <m:nor/>
                </m:rPr>
                <w:rPr>
                  <w:lang w:val="en-US"/>
                </w:rPr>
                <m:t>f</m:t>
              </m:r>
            </m:e>
            <m:sub>
              <m:r>
                <m:rPr>
                  <m:nor/>
                </m:rPr>
                <w:rPr>
                  <w:lang w:val="en-US"/>
                </w:rPr>
                <m:t>0,ind</m:t>
              </m:r>
            </m:sub>
          </m:sSub>
          <m:r>
            <m:rPr>
              <m:nor/>
            </m:rPr>
            <w:rPr>
              <w:lang w:val="en-US"/>
            </w:rPr>
            <m:t xml:space="preserve">,  </m:t>
          </m:r>
          <m:sSub>
            <m:sSubPr>
              <m:ctrlPr>
                <w:rPr>
                  <w:rFonts w:ascii="Cambria Math" w:hAnsi="Cambria Math"/>
                </w:rPr>
              </m:ctrlPr>
            </m:sSubPr>
            <m:e>
              <m:r>
                <m:rPr>
                  <m:nor/>
                </m:rPr>
                <w:rPr>
                  <w:lang w:val="en-US"/>
                </w:rPr>
                <m:t>f</m:t>
              </m:r>
            </m:e>
            <m:sub>
              <m:r>
                <m:rPr>
                  <m:nor/>
                </m:rPr>
                <w:rPr>
                  <w:lang w:val="en-US"/>
                </w:rPr>
                <m:t>1</m:t>
              </m:r>
            </m:sub>
          </m:sSub>
          <m:r>
            <m:rPr>
              <m:nor/>
            </m:rPr>
            <w:rPr>
              <w:lang w:val="en-US"/>
            </w:rPr>
            <m:t xml:space="preserve"> =</m:t>
          </m:r>
          <m:sSub>
            <m:sSubPr>
              <m:ctrlPr>
                <w:rPr>
                  <w:rFonts w:ascii="Cambria Math" w:hAnsi="Cambria Math"/>
                </w:rPr>
              </m:ctrlPr>
            </m:sSubPr>
            <m:e>
              <m:r>
                <m:rPr>
                  <m:nor/>
                </m:rPr>
                <w:rPr>
                  <w:lang w:val="en-US"/>
                </w:rPr>
                <m:t xml:space="preserve"> f</m:t>
              </m:r>
            </m:e>
            <m:sub>
              <m:r>
                <m:rPr>
                  <m:nor/>
                </m:rPr>
                <w:rPr>
                  <w:lang w:val="en-US"/>
                </w:rPr>
                <m:t>1,H</m:t>
              </m:r>
            </m:sub>
          </m:sSub>
          <m:r>
            <m:rPr>
              <m:nor/>
            </m:rPr>
            <w:rPr>
              <w:lang w:val="en-US"/>
            </w:rPr>
            <m:t xml:space="preserve">,  </m:t>
          </m:r>
          <m:sSub>
            <m:sSubPr>
              <m:ctrlPr>
                <w:rPr>
                  <w:rFonts w:ascii="Cambria Math" w:hAnsi="Cambria Math"/>
                </w:rPr>
              </m:ctrlPr>
            </m:sSubPr>
            <m:e>
              <m:r>
                <m:rPr>
                  <m:nor/>
                </m:rPr>
                <w:rPr>
                  <w:lang w:val="en-US"/>
                </w:rPr>
                <m:t>f</m:t>
              </m:r>
            </m:e>
            <m:sub>
              <m:r>
                <m:rPr>
                  <m:nor/>
                </m:rPr>
                <w:rPr>
                  <w:lang w:val="en-US"/>
                </w:rPr>
                <m:t>2</m:t>
              </m:r>
            </m:sub>
          </m:sSub>
          <m:r>
            <m:rPr>
              <m:nor/>
            </m:rPr>
            <w:rPr>
              <w:lang w:val="en-US"/>
            </w:rPr>
            <m:t xml:space="preserve"> =</m:t>
          </m:r>
          <m:sSub>
            <m:sSubPr>
              <m:ctrlPr>
                <w:rPr>
                  <w:rFonts w:ascii="Cambria Math" w:hAnsi="Cambria Math"/>
                </w:rPr>
              </m:ctrlPr>
            </m:sSubPr>
            <m:e>
              <m:r>
                <m:rPr>
                  <m:nor/>
                </m:rPr>
                <w:rPr>
                  <w:lang w:val="en-US"/>
                </w:rPr>
                <m:t xml:space="preserve"> f</m:t>
              </m:r>
            </m:e>
            <m:sub>
              <m:r>
                <m:rPr>
                  <m:nor/>
                </m:rPr>
                <w:rPr>
                  <w:lang w:val="en-US"/>
                </w:rPr>
                <m:t>2,ind</m:t>
              </m:r>
            </m:sub>
          </m:sSub>
          <m:r>
            <m:rPr>
              <m:nor/>
            </m:rPr>
            <w:rPr>
              <w:lang w:val="en-US"/>
            </w:rPr>
            <m:t>,  m =</m:t>
          </m:r>
          <m:sSub>
            <m:sSubPr>
              <m:ctrlPr>
                <w:rPr>
                  <w:rFonts w:ascii="Cambria Math" w:hAnsi="Cambria Math"/>
                </w:rPr>
              </m:ctrlPr>
            </m:sSubPr>
            <m:e>
              <m:r>
                <m:rPr>
                  <m:nor/>
                </m:rPr>
                <w:rPr>
                  <w:lang w:val="en-US"/>
                </w:rPr>
                <m:t xml:space="preserve"> TM</m:t>
              </m:r>
            </m:e>
            <m:sub>
              <m:r>
                <m:rPr>
                  <m:nor/>
                </m:rPr>
                <w:rPr>
                  <w:lang w:val="en-US"/>
                </w:rPr>
                <m:t>ind</m:t>
              </m:r>
            </m:sub>
          </m:sSub>
        </m:oMath>
      </m:oMathPara>
    </w:p>
    <w:p w:rsidR="00E24DB7" w:rsidRPr="002C5876" w:rsidRDefault="00E24DB7" w:rsidP="004D6FBD">
      <w:pPr>
        <w:pStyle w:val="SingleTxtG"/>
        <w:tabs>
          <w:tab w:val="left" w:pos="3119"/>
          <w:tab w:val="left" w:pos="8136"/>
        </w:tabs>
        <w:ind w:left="2268"/>
        <w:rPr>
          <w:spacing w:val="-4"/>
        </w:rPr>
      </w:pPr>
      <w:r w:rsidRPr="002C5876">
        <w:rPr>
          <w:spacing w:val="-4"/>
        </w:rPr>
        <w:t>(un véhicule donné dans la famille d’interpolation)</w:t>
      </w:r>
    </w:p>
    <w:p w:rsidR="00E24DB7" w:rsidRPr="002C5876" w:rsidRDefault="00E24DB7" w:rsidP="004D6FBD">
      <w:pPr>
        <w:pStyle w:val="SingleTxtG"/>
        <w:ind w:left="2268"/>
        <w:rPr>
          <w:spacing w:val="-4"/>
        </w:rPr>
      </w:pPr>
      <w:r w:rsidRPr="002C5876">
        <w:rPr>
          <w:spacing w:val="-4"/>
        </w:rPr>
        <w:t>Ces trois séries de coefficients de résistance à l’avancement sur route peuvent être dérivées de familles de résistance à l’avancement sur route différentes.</w:t>
      </w:r>
    </w:p>
    <w:p w:rsidR="00E24DB7" w:rsidRPr="002C5876" w:rsidRDefault="00E24DB7" w:rsidP="004D6FBD">
      <w:pPr>
        <w:pStyle w:val="SingleTxtG"/>
        <w:keepNext/>
        <w:ind w:left="2268" w:hanging="1134"/>
      </w:pPr>
      <w:r w:rsidRPr="002C5876">
        <w:t>3.2.3.2.4</w:t>
      </w:r>
      <w:r w:rsidRPr="002C5876">
        <w:tab/>
        <w:t>Calcul de la valeur de CO</w:t>
      </w:r>
      <w:r w:rsidRPr="002C5876">
        <w:rPr>
          <w:vertAlign w:val="subscript"/>
        </w:rPr>
        <w:t>2</w:t>
      </w:r>
      <w:r w:rsidRPr="002C5876">
        <w:t xml:space="preserve"> pour un véhicule faisant partie d’une famille d’interpolation, par la méthode d’interpolation</w:t>
      </w:r>
    </w:p>
    <w:p w:rsidR="00E24DB7" w:rsidRPr="002C5876" w:rsidRDefault="00E24DB7" w:rsidP="004D6FBD">
      <w:pPr>
        <w:pStyle w:val="SingleTxtG"/>
        <w:ind w:left="2268"/>
      </w:pPr>
      <w:r w:rsidRPr="002C5876">
        <w:t>Pour chaque phase p du cycle, la masse des émissions de CO</w:t>
      </w:r>
      <w:r w:rsidRPr="002C5876">
        <w:rPr>
          <w:vertAlign w:val="subscript"/>
        </w:rPr>
        <w:t>2</w:t>
      </w:r>
      <w:r w:rsidRPr="002C5876">
        <w:t xml:space="preserve"> en g/km pour un véhicule donné doit être calculée au moyen de l’équation suivante :</w:t>
      </w:r>
    </w:p>
    <w:p w:rsidR="00E24DB7" w:rsidRPr="002C5876" w:rsidRDefault="00731CA6" w:rsidP="004D6FBD">
      <w:pPr>
        <w:pStyle w:val="SingleTxtG"/>
        <w:tabs>
          <w:tab w:val="left" w:pos="8136"/>
        </w:tabs>
        <w:ind w:left="2268"/>
        <w:jc w:val="center"/>
      </w:pPr>
      <m:oMathPara>
        <m:oMath>
          <m:sSub>
            <m:sSubPr>
              <m:ctrlPr>
                <w:rPr>
                  <w:rFonts w:ascii="Cambria Math" w:hAnsi="Cambria Math" w:cstheme="majorBidi"/>
                </w:rPr>
              </m:ctrlPr>
            </m:sSubPr>
            <m:e>
              <m:r>
                <m:rPr>
                  <m:sty m:val="p"/>
                </m:rPr>
                <w:rPr>
                  <w:rFonts w:ascii="Cambria Math" w:hAnsi="Cambria Math" w:cstheme="majorBidi"/>
                </w:rPr>
                <m:t>M</m:t>
              </m:r>
            </m:e>
            <m:sub>
              <m:sSub>
                <m:sSubPr>
                  <m:ctrlPr>
                    <w:rPr>
                      <w:rFonts w:ascii="Cambria Math" w:hAnsi="Cambria Math" w:cstheme="majorBidi"/>
                    </w:rPr>
                  </m:ctrlPr>
                </m:sSubPr>
                <m:e>
                  <m:r>
                    <m:rPr>
                      <m:sty m:val="p"/>
                    </m:rPr>
                    <w:rPr>
                      <w:rFonts w:ascii="Cambria Math" w:hAnsi="Cambria Math" w:cstheme="majorBidi"/>
                    </w:rPr>
                    <m:t>CO</m:t>
                  </m:r>
                </m:e>
                <m:sub>
                  <m:r>
                    <m:rPr>
                      <m:nor/>
                    </m:rPr>
                    <m:t>2</m:t>
                  </m:r>
                </m:sub>
              </m:sSub>
              <m:r>
                <m:rPr>
                  <m:sty m:val="p"/>
                </m:rPr>
                <w:rPr>
                  <w:rFonts w:ascii="Cambria Math" w:hAnsi="Cambria Math" w:cstheme="majorBidi"/>
                </w:rPr>
                <m:t>-ind, 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M</m:t>
              </m:r>
            </m:e>
            <m:sub>
              <m:sSub>
                <m:sSubPr>
                  <m:ctrlPr>
                    <w:rPr>
                      <w:rFonts w:ascii="Cambria Math" w:hAnsi="Cambria Math" w:cstheme="majorBidi"/>
                    </w:rPr>
                  </m:ctrlPr>
                </m:sSubPr>
                <m:e>
                  <m:r>
                    <m:rPr>
                      <m:sty m:val="p"/>
                    </m:rPr>
                    <w:rPr>
                      <w:rFonts w:ascii="Cambria Math" w:hAnsi="Cambria Math" w:cstheme="majorBidi"/>
                    </w:rPr>
                    <m:t>CO</m:t>
                  </m:r>
                </m:e>
                <m:sub>
                  <m:r>
                    <m:rPr>
                      <m:nor/>
                    </m:rPr>
                    <m:t>2</m:t>
                  </m:r>
                </m:sub>
              </m:sSub>
              <m:r>
                <m:rPr>
                  <m:sty m:val="p"/>
                </m:rPr>
                <w:rPr>
                  <w:rFonts w:ascii="Cambria Math" w:hAnsi="Cambria Math" w:cstheme="majorBidi"/>
                </w:rPr>
                <m:t>-L,p</m:t>
              </m:r>
            </m:sub>
          </m:sSub>
          <m:r>
            <m:rPr>
              <m:sty m:val="p"/>
            </m:rPr>
            <w:rPr>
              <w:rFonts w:ascii="Cambria Math" w:hAnsi="Cambria Math" w:cstheme="majorBidi"/>
            </w:rPr>
            <m:t>+</m:t>
          </m:r>
          <m:d>
            <m:dPr>
              <m:ctrlPr>
                <w:rPr>
                  <w:rFonts w:ascii="Cambria Math" w:hAnsi="Cambria Math" w:cstheme="majorBidi"/>
                </w:rPr>
              </m:ctrlPr>
            </m:dPr>
            <m:e>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3,p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1, p</m:t>
                      </m:r>
                    </m:sub>
                  </m:sSub>
                </m:num>
                <m:den>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2,p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1,p</m:t>
                      </m:r>
                    </m:sub>
                  </m:sSub>
                </m:den>
              </m:f>
            </m:e>
          </m:d>
          <m:r>
            <m:rPr>
              <m:sty m:val="p"/>
            </m:rPr>
            <w:rPr>
              <w:rFonts w:ascii="Cambria Math" w:hAnsi="Cambria Math" w:cstheme="majorBidi"/>
            </w:rPr>
            <m:t>×</m:t>
          </m:r>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M</m:t>
                  </m:r>
                </m:e>
                <m:sub>
                  <m:sSub>
                    <m:sSubPr>
                      <m:ctrlPr>
                        <w:rPr>
                          <w:rFonts w:ascii="Cambria Math" w:hAnsi="Cambria Math" w:cstheme="majorBidi"/>
                        </w:rPr>
                      </m:ctrlPr>
                    </m:sSubPr>
                    <m:e>
                      <m:r>
                        <m:rPr>
                          <m:sty m:val="p"/>
                        </m:rPr>
                        <w:rPr>
                          <w:rFonts w:ascii="Cambria Math" w:hAnsi="Cambria Math" w:cstheme="majorBidi"/>
                        </w:rPr>
                        <m:t>CO</m:t>
                      </m:r>
                    </m:e>
                    <m:sub>
                      <m:r>
                        <m:rPr>
                          <m:nor/>
                        </m:rPr>
                        <m:t>2</m:t>
                      </m:r>
                    </m:sub>
                  </m:sSub>
                  <m:r>
                    <m:rPr>
                      <m:sty m:val="p"/>
                    </m:rPr>
                    <w:rPr>
                      <w:rFonts w:ascii="Cambria Math" w:hAnsi="Cambria Math" w:cstheme="majorBidi"/>
                    </w:rPr>
                    <m:t>-H,p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M</m:t>
                  </m:r>
                </m:e>
                <m:sub>
                  <m:sSub>
                    <m:sSubPr>
                      <m:ctrlPr>
                        <w:rPr>
                          <w:rFonts w:ascii="Cambria Math" w:hAnsi="Cambria Math" w:cstheme="majorBidi"/>
                        </w:rPr>
                      </m:ctrlPr>
                    </m:sSubPr>
                    <m:e>
                      <m:r>
                        <m:rPr>
                          <m:sty m:val="p"/>
                        </m:rPr>
                        <w:rPr>
                          <w:rFonts w:ascii="Cambria Math" w:hAnsi="Cambria Math" w:cstheme="majorBidi"/>
                        </w:rPr>
                        <m:t>CO</m:t>
                      </m:r>
                    </m:e>
                    <m:sub>
                      <m:r>
                        <m:rPr>
                          <m:nor/>
                        </m:rPr>
                        <m:t>2</m:t>
                      </m:r>
                    </m:sub>
                  </m:sSub>
                  <m:r>
                    <m:rPr>
                      <m:sty m:val="p"/>
                    </m:rPr>
                    <w:rPr>
                      <w:rFonts w:ascii="Cambria Math" w:hAnsi="Cambria Math" w:cstheme="majorBidi"/>
                    </w:rPr>
                    <m:t>-L,p</m:t>
                  </m:r>
                </m:sub>
              </m:sSub>
            </m:e>
          </m:d>
        </m:oMath>
      </m:oMathPara>
    </w:p>
    <w:p w:rsidR="00E24DB7" w:rsidRPr="002C5876" w:rsidRDefault="00E24DB7" w:rsidP="004D6FBD">
      <w:pPr>
        <w:pStyle w:val="SingleTxtG"/>
        <w:ind w:left="2268"/>
      </w:pPr>
      <w:r w:rsidRPr="002C5876">
        <w:t>La masse des émissions de CO</w:t>
      </w:r>
      <w:r w:rsidRPr="002C5876">
        <w:rPr>
          <w:vertAlign w:val="subscript"/>
        </w:rPr>
        <w:t>2</w:t>
      </w:r>
      <w:r w:rsidRPr="002C5876">
        <w:t xml:space="preserve"> en g/km sur le cycle complet pour un véhicule donné doit être calculée à l’aide de l’équation suivante :</w:t>
      </w:r>
    </w:p>
    <w:p w:rsidR="00E24DB7" w:rsidRPr="002C5876" w:rsidRDefault="00731CA6" w:rsidP="004D6FBD">
      <w:pPr>
        <w:pStyle w:val="SingleTxtG"/>
        <w:ind w:left="2268"/>
        <w:jc w:val="center"/>
      </w:pPr>
      <m:oMathPara>
        <m:oMath>
          <m:sSub>
            <m:sSubPr>
              <m:ctrlPr>
                <w:rPr>
                  <w:rFonts w:ascii="Cambria Math" w:eastAsia="Times New Roman" w:hAnsi="Cambria Math" w:cstheme="majorBidi"/>
                  <w:lang w:eastAsia="es-ES"/>
                </w:rPr>
              </m:ctrlPr>
            </m:sSubPr>
            <m:e>
              <m:r>
                <m:rPr>
                  <m:sty m:val="p"/>
                </m:rPr>
                <w:rPr>
                  <w:rFonts w:ascii="Cambria Math" w:eastAsia="Times New Roman" w:hAnsi="Cambria Math" w:cstheme="majorBidi"/>
                  <w:lang w:eastAsia="es-ES"/>
                </w:rPr>
                <m:t>M</m:t>
              </m:r>
            </m:e>
            <m:sub>
              <m:sSub>
                <m:sSubPr>
                  <m:ctrlPr>
                    <w:rPr>
                      <w:rFonts w:ascii="Cambria Math" w:eastAsia="Times New Roman" w:hAnsi="Cambria Math" w:cstheme="majorBidi"/>
                      <w:lang w:eastAsia="es-ES"/>
                    </w:rPr>
                  </m:ctrlPr>
                </m:sSubPr>
                <m:e>
                  <m:r>
                    <m:rPr>
                      <m:sty m:val="p"/>
                    </m:rPr>
                    <w:rPr>
                      <w:rFonts w:ascii="Cambria Math" w:eastAsia="Times New Roman" w:hAnsi="Cambria Math" w:cstheme="majorBidi"/>
                      <w:lang w:eastAsia="es-ES"/>
                    </w:rPr>
                    <m:t>CO</m:t>
                  </m:r>
                </m:e>
                <m:sub>
                  <m:r>
                    <m:rPr>
                      <m:nor/>
                    </m:rPr>
                    <w:rPr>
                      <w:rFonts w:eastAsia="Times New Roman"/>
                      <w:lang w:eastAsia="es-ES"/>
                    </w:rPr>
                    <m:t>2</m:t>
                  </m:r>
                </m:sub>
              </m:sSub>
              <m:r>
                <m:rPr>
                  <m:sty m:val="p"/>
                </m:rPr>
                <w:rPr>
                  <w:rFonts w:ascii="Cambria Math" w:eastAsia="Times New Roman" w:hAnsi="Cambria Math" w:cstheme="majorBidi"/>
                  <w:lang w:eastAsia="es-ES"/>
                </w:rPr>
                <m:t>-ind</m:t>
              </m:r>
            </m:sub>
          </m:sSub>
          <m:r>
            <m:rPr>
              <m:sty m:val="p"/>
            </m:rPr>
            <w:rPr>
              <w:rFonts w:ascii="Cambria Math" w:eastAsia="Times New Roman" w:hAnsi="Cambria Math" w:cstheme="majorBidi"/>
              <w:lang w:eastAsia="es-ES"/>
            </w:rPr>
            <m:t>=</m:t>
          </m:r>
          <m:sSub>
            <m:sSubPr>
              <m:ctrlPr>
                <w:rPr>
                  <w:rFonts w:ascii="Cambria Math" w:eastAsia="Times New Roman" w:hAnsi="Cambria Math" w:cstheme="majorBidi"/>
                  <w:lang w:eastAsia="es-ES"/>
                </w:rPr>
              </m:ctrlPr>
            </m:sSubPr>
            <m:e>
              <m:r>
                <m:rPr>
                  <m:sty m:val="p"/>
                </m:rPr>
                <w:rPr>
                  <w:rFonts w:ascii="Cambria Math" w:eastAsia="Times New Roman" w:hAnsi="Cambria Math" w:cstheme="majorBidi"/>
                  <w:lang w:eastAsia="es-ES"/>
                </w:rPr>
                <m:t>M</m:t>
              </m:r>
            </m:e>
            <m:sub>
              <m:sSub>
                <m:sSubPr>
                  <m:ctrlPr>
                    <w:rPr>
                      <w:rFonts w:ascii="Cambria Math" w:eastAsia="Times New Roman" w:hAnsi="Cambria Math" w:cstheme="majorBidi"/>
                      <w:lang w:eastAsia="es-ES"/>
                    </w:rPr>
                  </m:ctrlPr>
                </m:sSubPr>
                <m:e>
                  <m:r>
                    <m:rPr>
                      <m:sty m:val="p"/>
                    </m:rPr>
                    <w:rPr>
                      <w:rFonts w:ascii="Cambria Math" w:eastAsia="Times New Roman" w:hAnsi="Cambria Math" w:cstheme="majorBidi"/>
                      <w:lang w:eastAsia="es-ES"/>
                    </w:rPr>
                    <m:t>CO</m:t>
                  </m:r>
                </m:e>
                <m:sub>
                  <m:r>
                    <m:rPr>
                      <m:nor/>
                    </m:rPr>
                    <w:rPr>
                      <w:rFonts w:eastAsia="Times New Roman"/>
                      <w:lang w:eastAsia="es-ES"/>
                    </w:rPr>
                    <m:t>2</m:t>
                  </m:r>
                </m:sub>
              </m:sSub>
              <m:r>
                <m:rPr>
                  <m:sty m:val="p"/>
                </m:rPr>
                <w:rPr>
                  <w:rFonts w:ascii="Cambria Math" w:eastAsia="Times New Roman" w:hAnsi="Cambria Math" w:cstheme="majorBidi"/>
                  <w:lang w:eastAsia="es-ES"/>
                </w:rPr>
                <m:t>-L</m:t>
              </m:r>
            </m:sub>
          </m:sSub>
          <m:r>
            <m:rPr>
              <m:sty m:val="p"/>
            </m:rPr>
            <w:rPr>
              <w:rFonts w:ascii="Cambria Math" w:eastAsia="Times New Roman" w:hAnsi="Cambria Math" w:cstheme="majorBidi"/>
              <w:lang w:eastAsia="es-ES"/>
            </w:rPr>
            <m:t>+</m:t>
          </m:r>
          <m:d>
            <m:dPr>
              <m:ctrlPr>
                <w:rPr>
                  <w:rFonts w:ascii="Cambria Math" w:eastAsia="Times New Roman" w:hAnsi="Cambria Math" w:cstheme="majorBidi"/>
                  <w:lang w:eastAsia="es-ES"/>
                </w:rPr>
              </m:ctrlPr>
            </m:dPr>
            <m:e>
              <m:f>
                <m:fPr>
                  <m:ctrlPr>
                    <w:rPr>
                      <w:rFonts w:ascii="Cambria Math" w:eastAsia="Times New Roman" w:hAnsi="Cambria Math" w:cstheme="majorBidi"/>
                      <w:lang w:eastAsia="es-ES"/>
                    </w:rPr>
                  </m:ctrlPr>
                </m:fPr>
                <m:num>
                  <m:sSub>
                    <m:sSubPr>
                      <m:ctrlPr>
                        <w:rPr>
                          <w:rFonts w:ascii="Cambria Math" w:eastAsia="Times New Roman" w:hAnsi="Cambria Math" w:cstheme="majorBidi"/>
                          <w:lang w:eastAsia="es-ES"/>
                        </w:rPr>
                      </m:ctrlPr>
                    </m:sSubPr>
                    <m:e>
                      <m:r>
                        <m:rPr>
                          <m:sty m:val="p"/>
                        </m:rPr>
                        <w:rPr>
                          <w:rFonts w:ascii="Cambria Math" w:eastAsia="Times New Roman" w:hAnsi="Cambria Math" w:cstheme="majorBidi"/>
                          <w:lang w:eastAsia="es-ES"/>
                        </w:rPr>
                        <m:t>E</m:t>
                      </m:r>
                    </m:e>
                    <m:sub>
                      <m:r>
                        <m:rPr>
                          <m:sty m:val="p"/>
                        </m:rPr>
                        <w:rPr>
                          <w:rFonts w:ascii="Cambria Math" w:eastAsia="Times New Roman" w:hAnsi="Cambria Math" w:cstheme="majorBidi"/>
                          <w:lang w:eastAsia="es-ES"/>
                        </w:rPr>
                        <m:t>3</m:t>
                      </m:r>
                    </m:sub>
                  </m:sSub>
                  <m:r>
                    <m:rPr>
                      <m:sty m:val="p"/>
                    </m:rPr>
                    <w:rPr>
                      <w:rFonts w:ascii="Cambria Math" w:eastAsia="Times New Roman" w:hAnsi="Cambria Math" w:cstheme="majorBidi"/>
                      <w:lang w:eastAsia="es-ES"/>
                    </w:rPr>
                    <m:t>-</m:t>
                  </m:r>
                  <m:sSub>
                    <m:sSubPr>
                      <m:ctrlPr>
                        <w:rPr>
                          <w:rFonts w:ascii="Cambria Math" w:eastAsia="Times New Roman" w:hAnsi="Cambria Math" w:cstheme="majorBidi"/>
                          <w:lang w:eastAsia="es-ES"/>
                        </w:rPr>
                      </m:ctrlPr>
                    </m:sSubPr>
                    <m:e>
                      <m:r>
                        <m:rPr>
                          <m:sty m:val="p"/>
                        </m:rPr>
                        <w:rPr>
                          <w:rFonts w:ascii="Cambria Math" w:eastAsia="Times New Roman" w:hAnsi="Cambria Math" w:cstheme="majorBidi"/>
                          <w:lang w:eastAsia="es-ES"/>
                        </w:rPr>
                        <m:t>E</m:t>
                      </m:r>
                    </m:e>
                    <m:sub>
                      <m:r>
                        <m:rPr>
                          <m:sty m:val="p"/>
                        </m:rPr>
                        <w:rPr>
                          <w:rFonts w:ascii="Cambria Math" w:eastAsia="Times New Roman" w:hAnsi="Cambria Math" w:cstheme="majorBidi"/>
                          <w:lang w:eastAsia="es-ES"/>
                        </w:rPr>
                        <m:t>1</m:t>
                      </m:r>
                    </m:sub>
                  </m:sSub>
                </m:num>
                <m:den>
                  <m:sSub>
                    <m:sSubPr>
                      <m:ctrlPr>
                        <w:rPr>
                          <w:rFonts w:ascii="Cambria Math" w:eastAsia="Times New Roman" w:hAnsi="Cambria Math" w:cstheme="majorBidi"/>
                          <w:lang w:eastAsia="es-ES"/>
                        </w:rPr>
                      </m:ctrlPr>
                    </m:sSubPr>
                    <m:e>
                      <m:r>
                        <m:rPr>
                          <m:sty m:val="p"/>
                        </m:rPr>
                        <w:rPr>
                          <w:rFonts w:ascii="Cambria Math" w:eastAsia="Times New Roman" w:hAnsi="Cambria Math" w:cstheme="majorBidi"/>
                          <w:lang w:eastAsia="es-ES"/>
                        </w:rPr>
                        <m:t>E</m:t>
                      </m:r>
                    </m:e>
                    <m:sub>
                      <m:r>
                        <m:rPr>
                          <m:sty m:val="p"/>
                        </m:rPr>
                        <w:rPr>
                          <w:rFonts w:ascii="Cambria Math" w:eastAsia="Times New Roman" w:hAnsi="Cambria Math" w:cstheme="majorBidi"/>
                          <w:lang w:eastAsia="es-ES"/>
                        </w:rPr>
                        <m:t>2</m:t>
                      </m:r>
                    </m:sub>
                  </m:sSub>
                  <m:r>
                    <m:rPr>
                      <m:sty m:val="p"/>
                    </m:rPr>
                    <w:rPr>
                      <w:rFonts w:ascii="Cambria Math" w:eastAsia="Times New Roman" w:hAnsi="Cambria Math" w:cstheme="majorBidi"/>
                      <w:lang w:eastAsia="es-ES"/>
                    </w:rPr>
                    <m:t>-</m:t>
                  </m:r>
                  <m:sSub>
                    <m:sSubPr>
                      <m:ctrlPr>
                        <w:rPr>
                          <w:rFonts w:ascii="Cambria Math" w:eastAsia="Times New Roman" w:hAnsi="Cambria Math" w:cstheme="majorBidi"/>
                          <w:lang w:eastAsia="es-ES"/>
                        </w:rPr>
                      </m:ctrlPr>
                    </m:sSubPr>
                    <m:e>
                      <m:r>
                        <m:rPr>
                          <m:sty m:val="p"/>
                        </m:rPr>
                        <w:rPr>
                          <w:rFonts w:ascii="Cambria Math" w:eastAsia="Times New Roman" w:hAnsi="Cambria Math" w:cstheme="majorBidi"/>
                          <w:lang w:eastAsia="es-ES"/>
                        </w:rPr>
                        <m:t>E</m:t>
                      </m:r>
                    </m:e>
                    <m:sub>
                      <m:r>
                        <m:rPr>
                          <m:sty m:val="p"/>
                        </m:rPr>
                        <w:rPr>
                          <w:rFonts w:ascii="Cambria Math" w:eastAsia="Times New Roman" w:hAnsi="Cambria Math" w:cstheme="majorBidi"/>
                          <w:lang w:eastAsia="es-ES"/>
                        </w:rPr>
                        <m:t>1</m:t>
                      </m:r>
                    </m:sub>
                  </m:sSub>
                </m:den>
              </m:f>
            </m:e>
          </m:d>
          <m:r>
            <m:rPr>
              <m:sty m:val="p"/>
            </m:rPr>
            <w:rPr>
              <w:rFonts w:ascii="Cambria Math" w:eastAsia="Times New Roman" w:hAnsi="Cambria Math" w:cstheme="majorBidi"/>
              <w:lang w:eastAsia="es-ES"/>
            </w:rPr>
            <m:t>×</m:t>
          </m:r>
          <m:d>
            <m:dPr>
              <m:ctrlPr>
                <w:rPr>
                  <w:rFonts w:ascii="Cambria Math" w:eastAsia="Times New Roman" w:hAnsi="Cambria Math" w:cstheme="majorBidi"/>
                  <w:lang w:eastAsia="es-ES"/>
                </w:rPr>
              </m:ctrlPr>
            </m:dPr>
            <m:e>
              <m:sSub>
                <m:sSubPr>
                  <m:ctrlPr>
                    <w:rPr>
                      <w:rFonts w:ascii="Cambria Math" w:eastAsia="Times New Roman" w:hAnsi="Cambria Math" w:cstheme="majorBidi"/>
                      <w:lang w:eastAsia="es-ES"/>
                    </w:rPr>
                  </m:ctrlPr>
                </m:sSubPr>
                <m:e>
                  <m:r>
                    <m:rPr>
                      <m:sty m:val="p"/>
                    </m:rPr>
                    <w:rPr>
                      <w:rFonts w:ascii="Cambria Math" w:eastAsia="Times New Roman" w:hAnsi="Cambria Math" w:cstheme="majorBidi"/>
                      <w:lang w:eastAsia="es-ES"/>
                    </w:rPr>
                    <m:t>M</m:t>
                  </m:r>
                </m:e>
                <m:sub>
                  <m:sSub>
                    <m:sSubPr>
                      <m:ctrlPr>
                        <w:rPr>
                          <w:rFonts w:ascii="Cambria Math" w:eastAsia="Times New Roman" w:hAnsi="Cambria Math" w:cstheme="majorBidi"/>
                          <w:lang w:eastAsia="es-ES"/>
                        </w:rPr>
                      </m:ctrlPr>
                    </m:sSubPr>
                    <m:e>
                      <m:r>
                        <m:rPr>
                          <m:sty m:val="p"/>
                        </m:rPr>
                        <w:rPr>
                          <w:rFonts w:ascii="Cambria Math" w:eastAsia="Times New Roman" w:hAnsi="Cambria Math" w:cstheme="majorBidi"/>
                          <w:lang w:eastAsia="es-ES"/>
                        </w:rPr>
                        <m:t>CO</m:t>
                      </m:r>
                    </m:e>
                    <m:sub>
                      <m:r>
                        <m:rPr>
                          <m:nor/>
                        </m:rPr>
                        <w:rPr>
                          <w:rFonts w:eastAsia="Times New Roman"/>
                          <w:lang w:eastAsia="es-ES"/>
                        </w:rPr>
                        <m:t>2</m:t>
                      </m:r>
                    </m:sub>
                  </m:sSub>
                  <m:r>
                    <m:rPr>
                      <m:sty m:val="p"/>
                    </m:rPr>
                    <w:rPr>
                      <w:rFonts w:ascii="Cambria Math" w:eastAsia="Times New Roman" w:hAnsi="Cambria Math" w:cstheme="majorBidi"/>
                      <w:lang w:eastAsia="es-ES"/>
                    </w:rPr>
                    <m:t>-H</m:t>
                  </m:r>
                </m:sub>
              </m:sSub>
              <m:r>
                <m:rPr>
                  <m:sty m:val="p"/>
                </m:rPr>
                <w:rPr>
                  <w:rFonts w:ascii="Cambria Math" w:eastAsia="Times New Roman" w:hAnsi="Cambria Math" w:cstheme="majorBidi"/>
                  <w:lang w:eastAsia="es-ES"/>
                </w:rPr>
                <m:t>-</m:t>
              </m:r>
              <m:sSub>
                <m:sSubPr>
                  <m:ctrlPr>
                    <w:rPr>
                      <w:rFonts w:ascii="Cambria Math" w:eastAsia="Times New Roman" w:hAnsi="Cambria Math" w:cstheme="majorBidi"/>
                      <w:lang w:eastAsia="es-ES"/>
                    </w:rPr>
                  </m:ctrlPr>
                </m:sSubPr>
                <m:e>
                  <m:r>
                    <m:rPr>
                      <m:sty m:val="p"/>
                    </m:rPr>
                    <w:rPr>
                      <w:rFonts w:ascii="Cambria Math" w:eastAsia="Times New Roman" w:hAnsi="Cambria Math" w:cstheme="majorBidi"/>
                      <w:lang w:eastAsia="es-ES"/>
                    </w:rPr>
                    <m:t>M</m:t>
                  </m:r>
                </m:e>
                <m:sub>
                  <m:sSub>
                    <m:sSubPr>
                      <m:ctrlPr>
                        <w:rPr>
                          <w:rFonts w:ascii="Cambria Math" w:eastAsia="Times New Roman" w:hAnsi="Cambria Math" w:cstheme="majorBidi"/>
                          <w:lang w:eastAsia="es-ES"/>
                        </w:rPr>
                      </m:ctrlPr>
                    </m:sSubPr>
                    <m:e>
                      <m:r>
                        <m:rPr>
                          <m:sty m:val="p"/>
                        </m:rPr>
                        <w:rPr>
                          <w:rFonts w:ascii="Cambria Math" w:eastAsia="Times New Roman" w:hAnsi="Cambria Math" w:cstheme="majorBidi"/>
                          <w:lang w:eastAsia="es-ES"/>
                        </w:rPr>
                        <m:t>CO</m:t>
                      </m:r>
                    </m:e>
                    <m:sub>
                      <m:r>
                        <m:rPr>
                          <m:nor/>
                        </m:rPr>
                        <w:rPr>
                          <w:rFonts w:eastAsia="Times New Roman"/>
                          <w:lang w:eastAsia="es-ES"/>
                        </w:rPr>
                        <m:t>2</m:t>
                      </m:r>
                    </m:sub>
                  </m:sSub>
                  <m:r>
                    <m:rPr>
                      <m:sty m:val="p"/>
                    </m:rPr>
                    <w:rPr>
                      <w:rFonts w:ascii="Cambria Math" w:eastAsia="Times New Roman" w:hAnsi="Cambria Math" w:cstheme="majorBidi"/>
                      <w:lang w:eastAsia="es-ES"/>
                    </w:rPr>
                    <m:t>-L</m:t>
                  </m:r>
                </m:sub>
              </m:sSub>
            </m:e>
          </m:d>
        </m:oMath>
      </m:oMathPara>
    </w:p>
    <w:p w:rsidR="00E24DB7" w:rsidRPr="002C5876" w:rsidRDefault="00E24DB7" w:rsidP="004D6FBD">
      <w:pPr>
        <w:pStyle w:val="SingleTxtG"/>
        <w:ind w:left="2268"/>
      </w:pPr>
      <w:r w:rsidRPr="002C5876">
        <w:t>Les termes E</w:t>
      </w:r>
      <w:r w:rsidRPr="002C5876">
        <w:rPr>
          <w:vertAlign w:val="subscript"/>
        </w:rPr>
        <w:t>1,p</w:t>
      </w:r>
      <w:r w:rsidRPr="002C5876">
        <w:t>, E</w:t>
      </w:r>
      <w:r w:rsidRPr="002C5876">
        <w:rPr>
          <w:vertAlign w:val="subscript"/>
        </w:rPr>
        <w:t>2,p</w:t>
      </w:r>
      <w:r w:rsidRPr="002C5876">
        <w:t xml:space="preserve"> et E</w:t>
      </w:r>
      <w:r w:rsidRPr="002C5876">
        <w:rPr>
          <w:vertAlign w:val="subscript"/>
        </w:rPr>
        <w:t>3,p</w:t>
      </w:r>
      <w:r w:rsidRPr="002C5876">
        <w:t xml:space="preserve"> et E</w:t>
      </w:r>
      <w:r w:rsidRPr="002C5876">
        <w:rPr>
          <w:vertAlign w:val="subscript"/>
        </w:rPr>
        <w:t>1</w:t>
      </w:r>
      <w:r w:rsidRPr="002C5876">
        <w:t>, E</w:t>
      </w:r>
      <w:r w:rsidRPr="002C5876">
        <w:rPr>
          <w:vertAlign w:val="subscript"/>
        </w:rPr>
        <w:t>2</w:t>
      </w:r>
      <w:r w:rsidRPr="002C5876">
        <w:t xml:space="preserve"> et E</w:t>
      </w:r>
      <w:r w:rsidRPr="002C5876">
        <w:rPr>
          <w:vertAlign w:val="subscript"/>
        </w:rPr>
        <w:t>3</w:t>
      </w:r>
      <w:r w:rsidRPr="002C5876">
        <w:t xml:space="preserve"> doivent être respectivement calculés comme spécifié au paragraphe 3.2.3.2.3 de la présente annexe.</w:t>
      </w:r>
    </w:p>
    <w:p w:rsidR="00E24DB7" w:rsidRPr="002C5876" w:rsidRDefault="00E24DB7" w:rsidP="004D6FBD">
      <w:pPr>
        <w:pStyle w:val="SingleTxtG"/>
        <w:keepNext/>
        <w:ind w:left="2268" w:hanging="1134"/>
      </w:pPr>
      <w:r w:rsidRPr="002C5876">
        <w:lastRenderedPageBreak/>
        <w:t>3.2.3.2.5</w:t>
      </w:r>
      <w:r w:rsidRPr="002C5876">
        <w:tab/>
        <w:t>Calcul de la valeur de consommation de carburant, FC, pour un véhicule faisant partie d’une famille d’interpolation, à l’aide de la méthode d’interpolation</w:t>
      </w:r>
    </w:p>
    <w:p w:rsidR="00E24DB7" w:rsidRPr="002C5876" w:rsidRDefault="00E24DB7" w:rsidP="006B70B2">
      <w:pPr>
        <w:pStyle w:val="SingleTxtG"/>
        <w:ind w:left="2268"/>
        <w:rPr>
          <w:bCs/>
        </w:rPr>
      </w:pPr>
      <w:r w:rsidRPr="002C5876">
        <w:t>Pour chaque phase p du cycle applicable, la consommation de carburant en l/100 km pour un véhicule donné doit être calculée au moyen de l’équation suivante </w:t>
      </w:r>
      <w:r w:rsidRPr="002C5876">
        <w:rPr>
          <w:bCs/>
        </w:rPr>
        <w:t>:</w:t>
      </w:r>
    </w:p>
    <w:p w:rsidR="00E24DB7" w:rsidRPr="002C5876" w:rsidRDefault="00731CA6" w:rsidP="006B70B2">
      <w:pPr>
        <w:pStyle w:val="SingleTxtG"/>
        <w:ind w:left="2268"/>
        <w:jc w:val="center"/>
        <w:rPr>
          <w:bCs/>
        </w:rPr>
      </w:pPr>
      <m:oMathPara>
        <m:oMath>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ind,p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L,p</m:t>
              </m:r>
            </m:sub>
          </m:sSub>
          <m:r>
            <m:rPr>
              <m:sty m:val="p"/>
            </m:rPr>
            <w:rPr>
              <w:rFonts w:ascii="Cambria Math" w:hAnsi="Cambria Math" w:cstheme="majorBidi"/>
            </w:rPr>
            <m:t>+</m:t>
          </m:r>
          <m:d>
            <m:dPr>
              <m:ctrlPr>
                <w:rPr>
                  <w:rFonts w:ascii="Cambria Math" w:hAnsi="Cambria Math" w:cstheme="majorBidi"/>
                </w:rPr>
              </m:ctrlPr>
            </m:dPr>
            <m:e>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3,p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1,p</m:t>
                      </m:r>
                    </m:sub>
                  </m:sSub>
                </m:num>
                <m:den>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2,p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1,p</m:t>
                      </m:r>
                    </m:sub>
                  </m:sSub>
                </m:den>
              </m:f>
            </m:e>
          </m:d>
          <m:r>
            <m:rPr>
              <m:sty m:val="p"/>
            </m:rPr>
            <w:rPr>
              <w:rFonts w:ascii="Cambria Math" w:hAnsi="Cambria Math" w:cstheme="majorBidi"/>
            </w:rPr>
            <m:t>×</m:t>
          </m:r>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H,p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L,p</m:t>
                  </m:r>
                </m:sub>
              </m:sSub>
            </m:e>
          </m:d>
        </m:oMath>
      </m:oMathPara>
    </w:p>
    <w:p w:rsidR="00E24DB7" w:rsidRPr="002C5876" w:rsidRDefault="00E24DB7" w:rsidP="006B70B2">
      <w:pPr>
        <w:pStyle w:val="SingleTxtG"/>
        <w:ind w:left="2268"/>
      </w:pPr>
      <w:r w:rsidRPr="002C5876">
        <w:t>La consommation de carburant en l/100km sur le cycle complet pour un véhicule donné doit être calculée au moyen de l’équation suivante :</w:t>
      </w:r>
    </w:p>
    <w:p w:rsidR="00E24DB7" w:rsidRPr="002C5876" w:rsidRDefault="00731CA6" w:rsidP="006B70B2">
      <w:pPr>
        <w:pStyle w:val="SingleTxtG"/>
        <w:ind w:left="2268"/>
        <w:jc w:val="center"/>
      </w:pPr>
      <m:oMathPara>
        <m:oMath>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ind</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L</m:t>
              </m:r>
            </m:sub>
          </m:sSub>
          <m:r>
            <m:rPr>
              <m:sty m:val="p"/>
            </m:rPr>
            <w:rPr>
              <w:rFonts w:ascii="Cambria Math" w:hAnsi="Cambria Math" w:cstheme="majorBidi"/>
            </w:rPr>
            <m:t>+</m:t>
          </m:r>
          <m:d>
            <m:dPr>
              <m:ctrlPr>
                <w:rPr>
                  <w:rFonts w:ascii="Cambria Math" w:hAnsi="Cambria Math" w:cstheme="majorBidi"/>
                </w:rPr>
              </m:ctrlPr>
            </m:dPr>
            <m:e>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3</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1</m:t>
                      </m:r>
                    </m:sub>
                  </m:sSub>
                </m:num>
                <m:den>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2</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1</m:t>
                      </m:r>
                    </m:sub>
                  </m:sSub>
                </m:den>
              </m:f>
            </m:e>
          </m:d>
          <m:r>
            <m:rPr>
              <m:sty m:val="p"/>
            </m:rPr>
            <w:rPr>
              <w:rFonts w:ascii="Cambria Math" w:hAnsi="Cambria Math" w:cstheme="majorBidi"/>
            </w:rPr>
            <m:t>×</m:t>
          </m:r>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H</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L</m:t>
                  </m:r>
                </m:sub>
              </m:sSub>
            </m:e>
          </m:d>
        </m:oMath>
      </m:oMathPara>
    </w:p>
    <w:p w:rsidR="00E24DB7" w:rsidRPr="002C5876" w:rsidRDefault="00E24DB7" w:rsidP="006B70B2">
      <w:pPr>
        <w:pStyle w:val="SingleTxtG"/>
        <w:ind w:left="2268"/>
      </w:pPr>
      <w:r w:rsidRPr="002C5876">
        <w:t>Les termes E</w:t>
      </w:r>
      <w:r w:rsidRPr="002C5876">
        <w:rPr>
          <w:vertAlign w:val="subscript"/>
        </w:rPr>
        <w:t>1,p</w:t>
      </w:r>
      <w:r w:rsidRPr="002C5876">
        <w:t>, E</w:t>
      </w:r>
      <w:r w:rsidRPr="002C5876">
        <w:rPr>
          <w:vertAlign w:val="subscript"/>
        </w:rPr>
        <w:t>2,p</w:t>
      </w:r>
      <w:r w:rsidRPr="002C5876">
        <w:t xml:space="preserve"> et E</w:t>
      </w:r>
      <w:r w:rsidRPr="002C5876">
        <w:rPr>
          <w:vertAlign w:val="subscript"/>
        </w:rPr>
        <w:t>3,p</w:t>
      </w:r>
      <w:r w:rsidRPr="002C5876">
        <w:t xml:space="preserve"> et E</w:t>
      </w:r>
      <w:r w:rsidRPr="002C5876">
        <w:rPr>
          <w:vertAlign w:val="subscript"/>
        </w:rPr>
        <w:t>1</w:t>
      </w:r>
      <w:r w:rsidRPr="002C5876">
        <w:t>, E</w:t>
      </w:r>
      <w:r w:rsidRPr="002C5876">
        <w:rPr>
          <w:vertAlign w:val="subscript"/>
        </w:rPr>
        <w:t>2</w:t>
      </w:r>
      <w:r w:rsidRPr="002C5876">
        <w:t xml:space="preserve"> et E</w:t>
      </w:r>
      <w:r w:rsidRPr="002C5876">
        <w:rPr>
          <w:vertAlign w:val="subscript"/>
        </w:rPr>
        <w:t>3</w:t>
      </w:r>
      <w:r w:rsidRPr="002C5876">
        <w:t xml:space="preserve"> doivent être respectivement calculés comme spécifié au paragraphe 3.2.3.2.3 de la présente annexe.</w:t>
      </w:r>
    </w:p>
    <w:p w:rsidR="00E24DB7" w:rsidRPr="002C5876" w:rsidRDefault="00E24DB7" w:rsidP="006B70B2">
      <w:pPr>
        <w:pStyle w:val="SingleTxtG"/>
        <w:keepNext/>
        <w:ind w:left="2268" w:hanging="1134"/>
      </w:pPr>
      <w:r w:rsidRPr="002C5876">
        <w:t>3.2.3.2.6</w:t>
      </w:r>
      <w:r w:rsidRPr="002C5876">
        <w:tab/>
        <w:t>Chaque valeur de CO</w:t>
      </w:r>
      <w:r w:rsidRPr="002C5876">
        <w:rPr>
          <w:vertAlign w:val="subscript"/>
        </w:rPr>
        <w:t>2</w:t>
      </w:r>
      <w:r w:rsidRPr="002C5876">
        <w:rPr>
          <w:vertAlign w:val="superscript"/>
        </w:rPr>
        <w:t xml:space="preserve"> </w:t>
      </w:r>
      <w:r w:rsidRPr="002C5876">
        <w:t>déterminée dans le paragraphe 3.2.3.2.4. de la présente annexe peut être augmentée par l’équipementier (OEM). Dans ce cas :</w:t>
      </w:r>
    </w:p>
    <w:p w:rsidR="00E24DB7" w:rsidRPr="002C5876" w:rsidRDefault="00E24DB7" w:rsidP="006B70B2">
      <w:pPr>
        <w:pStyle w:val="SingleTxtG"/>
        <w:keepNext/>
        <w:ind w:left="2835" w:hanging="567"/>
      </w:pPr>
      <w:r w:rsidRPr="002C5876">
        <w:t>a)</w:t>
      </w:r>
      <w:r w:rsidRPr="002C5876">
        <w:tab/>
        <w:t>Les valeurs de phase de CO</w:t>
      </w:r>
      <w:r w:rsidRPr="002C5876">
        <w:rPr>
          <w:vertAlign w:val="subscript"/>
        </w:rPr>
        <w:t>2</w:t>
      </w:r>
      <w:r w:rsidRPr="002C5876">
        <w:t xml:space="preserve"> sont augmentées du ratio de la valeur accrue de CO</w:t>
      </w:r>
      <w:r w:rsidRPr="002C5876">
        <w:rPr>
          <w:vertAlign w:val="subscript"/>
        </w:rPr>
        <w:t>2</w:t>
      </w:r>
      <w:r w:rsidRPr="002C5876">
        <w:rPr>
          <w:vertAlign w:val="superscript"/>
        </w:rPr>
        <w:t xml:space="preserve"> </w:t>
      </w:r>
      <w:r w:rsidRPr="002C5876">
        <w:t>divisé par la valeur de CO</w:t>
      </w:r>
      <w:r w:rsidRPr="002C5876">
        <w:rPr>
          <w:vertAlign w:val="subscript"/>
        </w:rPr>
        <w:t>2</w:t>
      </w:r>
      <w:r w:rsidRPr="002C5876">
        <w:t xml:space="preserve"> calculée ;</w:t>
      </w:r>
    </w:p>
    <w:p w:rsidR="00E24DB7" w:rsidRPr="002C5876" w:rsidRDefault="00E24DB7" w:rsidP="006B70B2">
      <w:pPr>
        <w:pStyle w:val="SingleTxtG"/>
        <w:keepNext/>
        <w:ind w:left="2835" w:hanging="567"/>
      </w:pPr>
      <w:r w:rsidRPr="002C5876">
        <w:t>b)</w:t>
      </w:r>
      <w:r w:rsidRPr="002C5876">
        <w:tab/>
        <w:t>Les valeurs de la consommation de carburant sont augmentées du ratio de la valeur accrue de CO2 divisé par la valeur de CO2 calculée.</w:t>
      </w:r>
    </w:p>
    <w:p w:rsidR="00E24DB7" w:rsidRPr="002C5876" w:rsidRDefault="00E24DB7" w:rsidP="006B70B2">
      <w:pPr>
        <w:pStyle w:val="SingleTxtG"/>
        <w:keepNext/>
        <w:ind w:left="2268" w:hanging="1134"/>
      </w:pPr>
      <w:r w:rsidRPr="002C5876">
        <w:tab/>
        <w:t>Cela ne compense pas les éléments techniques d’après lesquels un véhicule devrait être exclu de la famille d’interpolation.</w:t>
      </w:r>
    </w:p>
    <w:p w:rsidR="00E24DB7" w:rsidRPr="002C5876" w:rsidRDefault="00E24DB7" w:rsidP="006B70B2">
      <w:pPr>
        <w:pStyle w:val="SingleTxtG"/>
        <w:keepNext/>
        <w:ind w:left="2268" w:hanging="1134"/>
      </w:pPr>
      <w:r w:rsidRPr="002C5876">
        <w:t>3.2.4</w:t>
      </w:r>
      <w:r w:rsidRPr="002C5876">
        <w:tab/>
        <w:t>Calcul de la consommation de carburant et des émissions de CO</w:t>
      </w:r>
      <w:r w:rsidRPr="002C5876">
        <w:rPr>
          <w:vertAlign w:val="subscript"/>
        </w:rPr>
        <w:t>2</w:t>
      </w:r>
      <w:r w:rsidRPr="002C5876">
        <w:t xml:space="preserve"> </w:t>
      </w:r>
      <w:r w:rsidRPr="002C5876">
        <w:br/>
        <w:t xml:space="preserve">des véhicules faisant partie d’une famille de matrices de résistance </w:t>
      </w:r>
      <w:r w:rsidRPr="002C5876">
        <w:br/>
        <w:t>à l’avancement</w:t>
      </w:r>
    </w:p>
    <w:p w:rsidR="00E24DB7" w:rsidRPr="002C5876" w:rsidRDefault="00E24DB7" w:rsidP="006B70B2">
      <w:pPr>
        <w:pStyle w:val="SingleTxtG"/>
        <w:ind w:left="2268"/>
      </w:pPr>
      <w:r w:rsidRPr="002C5876">
        <w:t>Les émissions de CO</w:t>
      </w:r>
      <w:r w:rsidRPr="002C5876">
        <w:rPr>
          <w:vertAlign w:val="subscript"/>
        </w:rPr>
        <w:t>2</w:t>
      </w:r>
      <w:r w:rsidRPr="002C5876">
        <w:t xml:space="preserve"> et la consommation de carburant de chacun des véhicules faisant partie d’une famille de matrices de résistance à l’avancement doivent être calculées selon la méthode d’interpolation décrite aux paragraphes 3.2.3.2.3 à 3.2.3.2.5 de la présente annexe. S’il y a lieu, les références au véhicule L et/ou au véhicule H doivent être remplacées par des références au véhicule L</w:t>
      </w:r>
      <w:r w:rsidRPr="002C5876">
        <w:rPr>
          <w:vertAlign w:val="subscript"/>
        </w:rPr>
        <w:t>M</w:t>
      </w:r>
      <w:r w:rsidRPr="002C5876">
        <w:t xml:space="preserve"> et/ou au véhicule H</w:t>
      </w:r>
      <w:r w:rsidRPr="002C5876">
        <w:rPr>
          <w:vertAlign w:val="subscript"/>
        </w:rPr>
        <w:t>M</w:t>
      </w:r>
      <w:r w:rsidRPr="002C5876">
        <w:t xml:space="preserve"> respectivement.</w:t>
      </w:r>
    </w:p>
    <w:p w:rsidR="00E24DB7" w:rsidRPr="002C5876" w:rsidRDefault="00E24DB7" w:rsidP="006B70B2">
      <w:pPr>
        <w:pStyle w:val="SingleTxtG"/>
        <w:keepNext/>
        <w:ind w:left="2268" w:hanging="1134"/>
      </w:pPr>
      <w:r w:rsidRPr="002C5876">
        <w:t>3.2.4.1</w:t>
      </w:r>
      <w:r w:rsidRPr="002C5876">
        <w:tab/>
      </w:r>
      <w:r w:rsidRPr="002C5876">
        <w:tab/>
        <w:t>Détermination de la consommation de carburant et des émissions de CO</w:t>
      </w:r>
      <w:r w:rsidRPr="002C5876">
        <w:rPr>
          <w:vertAlign w:val="subscript"/>
        </w:rPr>
        <w:t>2</w:t>
      </w:r>
      <w:r w:rsidRPr="002C5876">
        <w:t xml:space="preserve"> des véhicules L</w:t>
      </w:r>
      <w:r w:rsidRPr="002C5876">
        <w:rPr>
          <w:vertAlign w:val="subscript"/>
        </w:rPr>
        <w:t>M</w:t>
      </w:r>
      <w:r w:rsidRPr="002C5876">
        <w:t xml:space="preserve"> et H</w:t>
      </w:r>
      <w:r w:rsidRPr="002C5876">
        <w:rPr>
          <w:vertAlign w:val="subscript"/>
        </w:rPr>
        <w:t>M</w:t>
      </w:r>
      <w:r w:rsidRPr="002C5876">
        <w:t xml:space="preserve"> </w:t>
      </w:r>
    </w:p>
    <w:p w:rsidR="00E24DB7" w:rsidRPr="002C5876" w:rsidRDefault="00E24DB7" w:rsidP="006B70B2">
      <w:pPr>
        <w:pStyle w:val="SingleTxtG"/>
        <w:ind w:left="2268"/>
      </w:pPr>
      <w:r w:rsidRPr="002C5876">
        <w:t>La masse des émissions de CO</w:t>
      </w:r>
      <w:r w:rsidRPr="002C5876">
        <w:rPr>
          <w:vertAlign w:val="subscript"/>
        </w:rPr>
        <w:t>2</w:t>
      </w:r>
      <w:r w:rsidRPr="002C5876">
        <w:t xml:space="preserve">,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sub>
        </m:sSub>
      </m:oMath>
      <w:r w:rsidRPr="002C5876">
        <w:t>, pour les véhicules L</w:t>
      </w:r>
      <w:r w:rsidRPr="002C5876">
        <w:rPr>
          <w:vertAlign w:val="subscript"/>
        </w:rPr>
        <w:t>M</w:t>
      </w:r>
      <w:r w:rsidRPr="002C5876">
        <w:t xml:space="preserve"> et H</w:t>
      </w:r>
      <w:r w:rsidRPr="002C5876">
        <w:rPr>
          <w:vertAlign w:val="subscript"/>
        </w:rPr>
        <w:t>M</w:t>
      </w:r>
      <w:r w:rsidRPr="002C5876">
        <w:t xml:space="preserve"> doit être déterminée en appliquant les calculs indiqués au  .2.1 de la présente annexe</w:t>
      </w:r>
      <w:r w:rsidRPr="002C5876" w:rsidDel="00A5601C">
        <w:t xml:space="preserve"> </w:t>
      </w:r>
      <w:r w:rsidRPr="002C5876">
        <w:t xml:space="preserve">pour les phases p du cycle WLTC applicable. Elle est désignée respectivement par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r>
              <m:rPr>
                <m:sty m:val="p"/>
              </m:rPr>
              <w:rPr>
                <w:rFonts w:ascii="Cambria Math" w:hAnsi="Cambria Math"/>
                <w:vertAlign w:val="subscript"/>
              </w:rPr>
              <m:t>-LM,p</m:t>
            </m:r>
          </m:sub>
        </m:sSub>
      </m:oMath>
      <w:r w:rsidRPr="002C5876">
        <w:t xml:space="preserve"> et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r>
              <m:rPr>
                <m:sty m:val="p"/>
              </m:rPr>
              <w:rPr>
                <w:rFonts w:ascii="Cambria Math" w:hAnsi="Cambria Math"/>
                <w:vertAlign w:val="subscript"/>
              </w:rPr>
              <m:t>-HM,p</m:t>
            </m:r>
          </m:sub>
        </m:sSub>
      </m:oMath>
      <w:r w:rsidRPr="002C5876">
        <w:t>. La consommation de carburant pour chaque phase du cycle WLTC applicable doit être déterminée conformément aux dispositions du paragraphe 6 de la présente annexe</w:t>
      </w:r>
      <w:r w:rsidRPr="002C5876" w:rsidDel="00A5601C">
        <w:t xml:space="preserve"> </w:t>
      </w:r>
      <w:r w:rsidRPr="002C5876">
        <w:t>et est désignée par FC</w:t>
      </w:r>
      <w:r w:rsidRPr="002C5876">
        <w:rPr>
          <w:vertAlign w:val="subscript"/>
        </w:rPr>
        <w:t>LM,p</w:t>
      </w:r>
      <w:r w:rsidRPr="002C5876">
        <w:t xml:space="preserve"> et FC</w:t>
      </w:r>
      <w:r w:rsidRPr="002C5876">
        <w:rPr>
          <w:vertAlign w:val="subscript"/>
        </w:rPr>
        <w:t>HM,p</w:t>
      </w:r>
      <w:r w:rsidRPr="002C5876">
        <w:t xml:space="preserve"> respectivement.</w:t>
      </w:r>
    </w:p>
    <w:p w:rsidR="00E24DB7" w:rsidRPr="002C5876" w:rsidRDefault="00E24DB7" w:rsidP="006B70B2">
      <w:pPr>
        <w:pStyle w:val="SingleTxtG"/>
        <w:keepNext/>
        <w:ind w:left="2268" w:hanging="1134"/>
      </w:pPr>
      <w:r w:rsidRPr="002C5876">
        <w:t>3.2.4.1.1</w:t>
      </w:r>
      <w:r w:rsidRPr="002C5876">
        <w:tab/>
        <w:t>Calcul de la résistance à l’avancement pour un véhicule donné</w:t>
      </w:r>
    </w:p>
    <w:p w:rsidR="00E24DB7" w:rsidRPr="002C5876" w:rsidRDefault="00E24DB7" w:rsidP="006B70B2">
      <w:pPr>
        <w:pStyle w:val="SingleTxtG"/>
        <w:ind w:left="2268"/>
      </w:pPr>
      <w:r w:rsidRPr="002C5876">
        <w:tab/>
        <w:t>La force de résistance à l’avancement doit être calculée conformément à la procédure décrite au paragraphe 5.1 de l’annexe</w:t>
      </w:r>
      <w:r w:rsidR="00103FDF">
        <w:t> </w:t>
      </w:r>
      <w:r w:rsidRPr="002C5876">
        <w:t>4.</w:t>
      </w:r>
    </w:p>
    <w:p w:rsidR="00E24DB7" w:rsidRPr="002C5876" w:rsidRDefault="00E24DB7" w:rsidP="006B70B2">
      <w:pPr>
        <w:pStyle w:val="SingleTxtG"/>
        <w:keepNext/>
        <w:ind w:left="2268" w:hanging="1134"/>
      </w:pPr>
      <w:r w:rsidRPr="002C5876">
        <w:t>3.2.4.1.1.1</w:t>
      </w:r>
      <w:r w:rsidRPr="002C5876">
        <w:tab/>
        <w:t>Masse d’un véhicule donné</w:t>
      </w:r>
    </w:p>
    <w:p w:rsidR="00E24DB7" w:rsidRPr="002C5876" w:rsidRDefault="00E24DB7" w:rsidP="006B70B2">
      <w:pPr>
        <w:pStyle w:val="SingleTxtG"/>
        <w:ind w:left="2268"/>
      </w:pPr>
      <w:r w:rsidRPr="002C5876">
        <w:t>Les</w:t>
      </w:r>
      <w:r w:rsidR="00103FDF">
        <w:t xml:space="preserve"> </w:t>
      </w:r>
      <w:r w:rsidRPr="002C5876">
        <w:t>masses d’essai des véhicules H</w:t>
      </w:r>
      <w:r w:rsidRPr="002C5876">
        <w:rPr>
          <w:vertAlign w:val="subscript"/>
        </w:rPr>
        <w:t>M</w:t>
      </w:r>
      <w:r w:rsidRPr="002C5876">
        <w:t xml:space="preserve"> et L</w:t>
      </w:r>
      <w:r w:rsidRPr="002C5876">
        <w:rPr>
          <w:vertAlign w:val="subscript"/>
        </w:rPr>
        <w:t>M</w:t>
      </w:r>
      <w:r w:rsidRPr="002C5876">
        <w:t xml:space="preserve"> sélectionnés conformément aux dispositions du paragraphe 4.2.1.4 de l’annexe 4 doivent être utilisées comme paramètres d’entrée.</w:t>
      </w:r>
    </w:p>
    <w:p w:rsidR="00E24DB7" w:rsidRPr="002C5876" w:rsidRDefault="00E24DB7" w:rsidP="006B70B2">
      <w:pPr>
        <w:pStyle w:val="SingleTxtG"/>
        <w:ind w:left="2268"/>
      </w:pPr>
      <w:r w:rsidRPr="002C5876">
        <w:t>TM</w:t>
      </w:r>
      <w:r w:rsidRPr="002C5876">
        <w:rPr>
          <w:vertAlign w:val="subscript"/>
        </w:rPr>
        <w:t>ind</w:t>
      </w:r>
      <w:r w:rsidRPr="002C5876">
        <w:t>, exprimé en kg, est la masse d’essai d’un véhicule donné, selon la définition de la masse d’essai donnée au paragraphe 3.2.25 du présent RTM</w:t>
      </w:r>
      <w:r w:rsidR="00123066">
        <w:t> ONU</w:t>
      </w:r>
      <w:r w:rsidRPr="002C5876">
        <w:t>.</w:t>
      </w:r>
    </w:p>
    <w:p w:rsidR="00E24DB7" w:rsidRPr="002C5876" w:rsidRDefault="00E24DB7" w:rsidP="006B70B2">
      <w:pPr>
        <w:pStyle w:val="SingleTxtG"/>
        <w:ind w:left="2268"/>
      </w:pPr>
      <w:r w:rsidRPr="002C5876">
        <w:lastRenderedPageBreak/>
        <w:t>Si la même masse d’essai est utilisée pour les véhicules L</w:t>
      </w:r>
      <w:r w:rsidRPr="002C5876">
        <w:rPr>
          <w:vertAlign w:val="subscript"/>
        </w:rPr>
        <w:t>M</w:t>
      </w:r>
      <w:r w:rsidRPr="002C5876">
        <w:t xml:space="preserve"> et H</w:t>
      </w:r>
      <w:r w:rsidRPr="002C5876">
        <w:rPr>
          <w:vertAlign w:val="subscript"/>
        </w:rPr>
        <w:t>M</w:t>
      </w:r>
      <w:r w:rsidRPr="002C5876">
        <w:t>, la valeur de TM</w:t>
      </w:r>
      <w:r w:rsidRPr="002C5876">
        <w:rPr>
          <w:vertAlign w:val="subscript"/>
        </w:rPr>
        <w:t>ind</w:t>
      </w:r>
      <w:r w:rsidRPr="002C5876">
        <w:t xml:space="preserve"> doit être réglée sur la masse du véhicule H</w:t>
      </w:r>
      <w:r w:rsidRPr="002C5876">
        <w:rPr>
          <w:vertAlign w:val="subscript"/>
        </w:rPr>
        <w:t>M</w:t>
      </w:r>
      <w:r w:rsidRPr="002C5876">
        <w:t xml:space="preserve"> pour la méthode de la famille de matrices de résistance à l’avancement.</w:t>
      </w:r>
    </w:p>
    <w:p w:rsidR="00E24DB7" w:rsidRPr="002C5876" w:rsidRDefault="00E24DB7" w:rsidP="006B70B2">
      <w:pPr>
        <w:pStyle w:val="SingleTxtG"/>
        <w:keepNext/>
        <w:ind w:left="2268" w:hanging="1134"/>
      </w:pPr>
      <w:r w:rsidRPr="002C5876">
        <w:t>3.2.4.1.1.2</w:t>
      </w:r>
      <w:r w:rsidRPr="002C5876">
        <w:tab/>
        <w:t>Résistance au roulement d’un véhicule donné</w:t>
      </w:r>
    </w:p>
    <w:p w:rsidR="00E24DB7" w:rsidRPr="002C5876" w:rsidRDefault="00E24DB7" w:rsidP="006B70B2">
      <w:pPr>
        <w:pStyle w:val="SingleTxtG"/>
        <w:keepNext/>
        <w:ind w:left="2268" w:hanging="1134"/>
      </w:pPr>
      <w:r w:rsidRPr="002C5876">
        <w:t>3.2.4.1.1.2.1</w:t>
      </w:r>
      <w:r w:rsidRPr="002C5876">
        <w:tab/>
        <w:t>Les valeurs du CRR pour les véhicules L</w:t>
      </w:r>
      <w:r w:rsidRPr="002C5876">
        <w:rPr>
          <w:vertAlign w:val="subscript"/>
        </w:rPr>
        <w:t>M</w:t>
      </w:r>
      <w:r w:rsidRPr="002C5876">
        <w:t>, RR</w:t>
      </w:r>
      <w:r w:rsidRPr="002C5876">
        <w:rPr>
          <w:vertAlign w:val="subscript"/>
        </w:rPr>
        <w:t>LM</w:t>
      </w:r>
      <w:r w:rsidRPr="002C5876">
        <w:t>, et H</w:t>
      </w:r>
      <w:r w:rsidRPr="002C5876">
        <w:rPr>
          <w:vertAlign w:val="subscript"/>
        </w:rPr>
        <w:t>M</w:t>
      </w:r>
      <w:r w:rsidRPr="002C5876">
        <w:t>, RR</w:t>
      </w:r>
      <w:r w:rsidRPr="002C5876">
        <w:rPr>
          <w:vertAlign w:val="subscript"/>
        </w:rPr>
        <w:t>HM</w:t>
      </w:r>
      <w:r w:rsidRPr="002C5876">
        <w:t>, sélectionnés conformément aux dispositions du paragraphe 4.2.1.4 de l’annexe 4, doivent être utilisées comme paramètres d’entrée.</w:t>
      </w:r>
    </w:p>
    <w:p w:rsidR="00E24DB7" w:rsidRPr="002C5876" w:rsidRDefault="00E24DB7" w:rsidP="006B70B2">
      <w:pPr>
        <w:pStyle w:val="SingleTxtG"/>
        <w:ind w:left="2268"/>
      </w:pPr>
      <w:r w:rsidRPr="002C5876">
        <w:t>Si les pneumatiques montés sur les essieux avant et arrière du véhicule L</w:t>
      </w:r>
      <w:r w:rsidRPr="002C5876">
        <w:rPr>
          <w:vertAlign w:val="subscript"/>
        </w:rPr>
        <w:t>M</w:t>
      </w:r>
      <w:r w:rsidRPr="002C5876">
        <w:t xml:space="preserve"> ou H</w:t>
      </w:r>
      <w:r w:rsidRPr="002C5876">
        <w:rPr>
          <w:vertAlign w:val="subscript"/>
        </w:rPr>
        <w:t>M</w:t>
      </w:r>
      <w:r w:rsidRPr="002C5876">
        <w:t xml:space="preserve"> n’ont pas la même valeur de résistance au roulement, la moyenne pondérée des résistances doit être calculée à l’aide de l’équation qui figure au paragraphe 3.2.4.1.1.2.3 de la présente annexe.</w:t>
      </w:r>
    </w:p>
    <w:p w:rsidR="00E24DB7" w:rsidRPr="002C5876" w:rsidRDefault="00E24DB7" w:rsidP="006B70B2">
      <w:pPr>
        <w:pStyle w:val="SingleTxtG"/>
        <w:keepNext/>
        <w:ind w:left="2268" w:hanging="1134"/>
      </w:pPr>
      <w:r w:rsidRPr="002C5876">
        <w:t>3.2.4.1.1.2.2</w:t>
      </w:r>
      <w:r w:rsidRPr="002C5876">
        <w:tab/>
        <w:t>Pour les pneumatiques montés sur un véhicule donné, la valeur du coefficient de résistance au roulement RR</w:t>
      </w:r>
      <w:r w:rsidRPr="002C5876">
        <w:rPr>
          <w:vertAlign w:val="subscript"/>
        </w:rPr>
        <w:t>ind</w:t>
      </w:r>
      <w:r w:rsidRPr="002C5876">
        <w:t xml:space="preserve"> doit être réglée sur la valeur du CRR de la classe d’efficacité énergétique correspondante selon le tableau A4/2 de l’annexe 4.</w:t>
      </w:r>
    </w:p>
    <w:p w:rsidR="00E24DB7" w:rsidRPr="002C5876" w:rsidRDefault="00103FDF" w:rsidP="006B70B2">
      <w:pPr>
        <w:pStyle w:val="SingleTxtG"/>
        <w:keepNext/>
        <w:ind w:left="2268" w:hanging="1134"/>
      </w:pPr>
      <w:r>
        <w:tab/>
      </w:r>
      <w:r w:rsidR="00E24DB7" w:rsidRPr="002C5876">
        <w:t>Si les pneumatiques montés sur les essieux avant et arrière appartiennent à des classes d’efficacité énergétique différentes, on doit utiliser la moyenne pondérée, calculée à l’aide de l’équation qui figure au paragraphe 3.2.4.1.1.2.3 de la présente annexe.</w:t>
      </w:r>
    </w:p>
    <w:p w:rsidR="00E24DB7" w:rsidRPr="002C5876" w:rsidRDefault="00103FDF" w:rsidP="006B70B2">
      <w:pPr>
        <w:pStyle w:val="SingleTxtG"/>
        <w:keepNext/>
        <w:ind w:left="2268" w:hanging="1134"/>
      </w:pPr>
      <w:r>
        <w:tab/>
      </w:r>
      <w:r w:rsidR="00E24DB7" w:rsidRPr="002C5876">
        <w:t>Si l’on utilise la même valeur de résistance au roulement pour les véhicules LM et HM, RRind doit être réglé sur RRHM pour la méthode de la famille de matrices de résistance à l’avancement.</w:t>
      </w:r>
    </w:p>
    <w:p w:rsidR="00E24DB7" w:rsidRPr="002C5876" w:rsidRDefault="00E24DB7" w:rsidP="006B70B2">
      <w:pPr>
        <w:pStyle w:val="SingleTxtG"/>
        <w:keepNext/>
        <w:ind w:left="2268" w:hanging="1134"/>
      </w:pPr>
      <w:r w:rsidRPr="002C5876">
        <w:t>3.2.4.1.1.2.3</w:t>
      </w:r>
      <w:r w:rsidRPr="002C5876">
        <w:tab/>
        <w:t>Calcul de la moyenne pondérée des résistances au roulement</w:t>
      </w:r>
    </w:p>
    <w:p w:rsidR="00E24DB7" w:rsidRPr="002C5876" w:rsidRDefault="00731CA6" w:rsidP="00E24DB7">
      <w:pPr>
        <w:spacing w:after="120"/>
        <w:ind w:left="2268" w:right="1134"/>
        <w:jc w:val="both"/>
      </w:pPr>
      <m:oMathPara>
        <m:oMath>
          <m:sSub>
            <m:sSubPr>
              <m:ctrlPr>
                <w:rPr>
                  <w:rFonts w:ascii="Cambria Math" w:hAnsi="Cambria Math"/>
                </w:rPr>
              </m:ctrlPr>
            </m:sSubPr>
            <m:e>
              <m:r>
                <m:rPr>
                  <m:sty m:val="p"/>
                </m:rPr>
                <w:rPr>
                  <w:rFonts w:ascii="Cambria Math" w:hAnsi="Cambria Math"/>
                </w:rPr>
                <m:t>RR</m:t>
              </m:r>
            </m:e>
            <m:sub>
              <m:r>
                <m:rPr>
                  <m:sty m:val="p"/>
                </m:rPr>
                <w:rPr>
                  <w:rFonts w:ascii="Cambria Math" w:hAnsi="Cambria Math"/>
                </w:rPr>
                <m:t>x</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(RR</m:t>
              </m:r>
            </m:e>
            <m:sub>
              <m:r>
                <m:rPr>
                  <m:sty m:val="p"/>
                </m:rPr>
                <w:rPr>
                  <w:rFonts w:ascii="Cambria Math" w:hAnsi="Cambria Math"/>
                </w:rPr>
                <m:t>x, FA</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mp</m:t>
              </m:r>
            </m:e>
            <m:sub>
              <m:r>
                <m:rPr>
                  <m:sty m:val="p"/>
                </m:rPr>
                <w:rPr>
                  <w:rFonts w:ascii="Cambria Math" w:hAnsi="Cambria Math"/>
                </w:rPr>
                <m:t>x, FA</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(RR</m:t>
              </m:r>
            </m:e>
            <m:sub>
              <m:r>
                <m:rPr>
                  <m:sty m:val="p"/>
                </m:rPr>
                <w:rPr>
                  <w:rFonts w:ascii="Cambria Math" w:hAnsi="Cambria Math"/>
                </w:rPr>
                <m:t>x, RA</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m:rPr>
                      <m:sty m:val="p"/>
                    </m:rPr>
                    <w:rPr>
                      <w:rFonts w:ascii="Cambria Math" w:hAnsi="Cambria Math"/>
                    </w:rPr>
                    <m:t>mp</m:t>
                  </m:r>
                </m:e>
                <m:sub>
                  <m:r>
                    <m:rPr>
                      <m:sty m:val="p"/>
                    </m:rPr>
                    <w:rPr>
                      <w:rFonts w:ascii="Cambria Math" w:hAnsi="Cambria Math"/>
                    </w:rPr>
                    <m:t>x,FA</m:t>
                  </m:r>
                </m:sub>
              </m:sSub>
            </m:e>
          </m:d>
          <m:r>
            <w:rPr>
              <w:rFonts w:ascii="Cambria Math" w:hAnsi="Cambria Math"/>
            </w:rPr>
            <m:t>)</m:t>
          </m:r>
        </m:oMath>
      </m:oMathPara>
    </w:p>
    <w:p w:rsidR="00E24DB7" w:rsidRPr="002C5876" w:rsidRDefault="00E24DB7" w:rsidP="006B70B2">
      <w:pPr>
        <w:pStyle w:val="SingleTxtG"/>
        <w:ind w:left="2268"/>
      </w:pPr>
      <w:r w:rsidRPr="002C5876">
        <w:t>où</w:t>
      </w:r>
      <w:r w:rsidR="00103FDF">
        <w:t> :</w:t>
      </w:r>
    </w:p>
    <w:p w:rsidR="00E24DB7" w:rsidRPr="002C5876" w:rsidRDefault="00E24DB7" w:rsidP="006B70B2">
      <w:pPr>
        <w:pStyle w:val="SingleTxtG"/>
        <w:ind w:left="2268"/>
      </w:pPr>
      <w:r w:rsidRPr="002C5876">
        <w:t>x</w:t>
      </w:r>
      <w:r w:rsidRPr="002C5876">
        <w:tab/>
      </w:r>
      <w:r w:rsidR="009D1E6A" w:rsidRPr="002C5876">
        <w:tab/>
      </w:r>
      <w:r w:rsidRPr="002C5876">
        <w:t>représente le véhicule L, le véhicule H ou un véhicule donné.</w:t>
      </w:r>
    </w:p>
    <w:p w:rsidR="00E24DB7" w:rsidRPr="002C5876" w:rsidRDefault="00731CA6" w:rsidP="006B70B2">
      <w:pPr>
        <w:pStyle w:val="SingleTxtG"/>
        <w:ind w:left="2268"/>
      </w:pPr>
      <m:oMath>
        <m:sSub>
          <m:sSubPr>
            <m:ctrlPr>
              <w:rPr>
                <w:rFonts w:ascii="Cambria Math" w:hAnsi="Cambria Math"/>
              </w:rPr>
            </m:ctrlPr>
          </m:sSubPr>
          <m:e>
            <m:r>
              <m:rPr>
                <m:sty m:val="p"/>
              </m:rPr>
              <w:rPr>
                <w:rFonts w:ascii="Cambria Math" w:hAnsi="Cambria Math"/>
              </w:rPr>
              <m:t>RR</m:t>
            </m:r>
          </m:e>
          <m:sub>
            <m:r>
              <m:rPr>
                <m:sty m:val="p"/>
              </m:rPr>
              <w:rPr>
                <w:rFonts w:ascii="Cambria Math" w:hAnsi="Cambria Math"/>
              </w:rPr>
              <m:t>LM, FA</m:t>
            </m:r>
          </m:sub>
        </m:sSub>
      </m:oMath>
      <w:r w:rsidR="00E24DB7" w:rsidRPr="002C5876">
        <w:t xml:space="preserve"> et RR</w:t>
      </w:r>
      <w:r w:rsidR="00E24DB7" w:rsidRPr="002C5876">
        <w:rPr>
          <w:vertAlign w:val="subscript"/>
        </w:rPr>
        <w:t>HM,FA</w:t>
      </w:r>
      <w:r w:rsidR="00E24DB7" w:rsidRPr="002C5876">
        <w:t xml:space="preserve"> sont les CRR effectifs des pneumatiques de l’essieu avant, sur les véhicules L et H respectivement, en kg/tonne</w:t>
      </w:r>
      <w:r w:rsidR="006B70B2" w:rsidRPr="002C5876">
        <w:t> ;</w:t>
      </w:r>
    </w:p>
    <w:p w:rsidR="00E24DB7" w:rsidRPr="002C5876" w:rsidRDefault="00E24DB7" w:rsidP="009D1E6A">
      <w:pPr>
        <w:pStyle w:val="SingleTxtG"/>
        <w:ind w:left="3402" w:hanging="1134"/>
      </w:pPr>
      <w:r w:rsidRPr="002C5876">
        <w:t>RR_(ind,FA)</w:t>
      </w:r>
      <w:r w:rsidRPr="002C5876">
        <w:tab/>
        <w:t>est la valeur du CRR de la classe d’efficacité énergétique correspondante selon le tableau A4/2 de l’annexe 4 des pneumatiques de l’essieu avant sur un véhicule donné, en kg/tonne</w:t>
      </w:r>
      <w:r w:rsidR="006B70B2" w:rsidRPr="002C5876">
        <w:t> ;</w:t>
      </w:r>
    </w:p>
    <w:p w:rsidR="00E24DB7" w:rsidRPr="002C5876" w:rsidRDefault="00E24DB7" w:rsidP="009D1E6A">
      <w:pPr>
        <w:pStyle w:val="SingleTxtG"/>
        <w:ind w:left="3402" w:hanging="1134"/>
      </w:pPr>
      <w:r w:rsidRPr="002C5876">
        <w:t>RR</w:t>
      </w:r>
      <w:r w:rsidRPr="002C5876">
        <w:rPr>
          <w:vertAlign w:val="subscript"/>
        </w:rPr>
        <w:t>LM,RA</w:t>
      </w:r>
      <w:r w:rsidRPr="002C5876">
        <w:t>, et RR</w:t>
      </w:r>
      <w:r w:rsidRPr="002C5876">
        <w:rPr>
          <w:vertAlign w:val="subscript"/>
        </w:rPr>
        <w:t>HM,RA</w:t>
      </w:r>
      <w:r w:rsidRPr="002C5876">
        <w:t xml:space="preserve"> sont les coefficients de résistance au roulement effectifs des pneumatiques de l’essieu arrière sur les véhicules L et H respectivement, en kg/tonne ;</w:t>
      </w:r>
    </w:p>
    <w:p w:rsidR="00E24DB7" w:rsidRPr="002C5876" w:rsidRDefault="00E24DB7" w:rsidP="009D1E6A">
      <w:pPr>
        <w:pStyle w:val="SingleTxtG"/>
        <w:ind w:left="3402" w:hanging="1134"/>
      </w:pPr>
      <w:r w:rsidRPr="002C5876">
        <w:t>RR</w:t>
      </w:r>
      <w:r w:rsidRPr="002C5876">
        <w:rPr>
          <w:vertAlign w:val="subscript"/>
        </w:rPr>
        <w:t>ind</w:t>
      </w:r>
      <w:r w:rsidRPr="002C5876">
        <w:t>,</w:t>
      </w:r>
      <w:r w:rsidRPr="002C5876">
        <w:rPr>
          <w:vertAlign w:val="subscript"/>
        </w:rPr>
        <w:t>RA</w:t>
      </w:r>
      <w:r w:rsidRPr="002C5876">
        <w:tab/>
        <w:t xml:space="preserve">est la valeur de CRR de la classe d’efficacité énergétique correspondante selon le tableau A4/2 de l’annexe 4 des pneumatiques de l’essieu arrière sur un véhicule donné, en kg/tonne.  </w:t>
      </w:r>
    </w:p>
    <w:p w:rsidR="00E24DB7" w:rsidRPr="002C5876" w:rsidRDefault="00731CA6" w:rsidP="009D1E6A">
      <w:pPr>
        <w:pStyle w:val="SingleTxtG"/>
        <w:ind w:left="3402" w:hanging="1134"/>
      </w:pPr>
      <m:oMath>
        <m:sSub>
          <m:sSubPr>
            <m:ctrlPr>
              <w:rPr>
                <w:rFonts w:ascii="Cambria Math" w:hAnsi="Cambria Math"/>
              </w:rPr>
            </m:ctrlPr>
          </m:sSubPr>
          <m:e>
            <m:r>
              <m:rPr>
                <m:sty m:val="p"/>
              </m:rPr>
              <w:rPr>
                <w:rFonts w:ascii="Cambria Math" w:hAnsi="Cambria Math"/>
              </w:rPr>
              <m:t>mp</m:t>
            </m:r>
          </m:e>
          <m:sub>
            <m:r>
              <m:rPr>
                <m:sty m:val="p"/>
              </m:rPr>
              <w:rPr>
                <w:rFonts w:ascii="Cambria Math" w:hAnsi="Cambria Math"/>
              </w:rPr>
              <m:t>x,FA</m:t>
            </m:r>
          </m:sub>
        </m:sSub>
      </m:oMath>
      <w:r w:rsidR="00E24DB7" w:rsidRPr="002C5876">
        <w:tab/>
        <w:t>est la proportion de la masse du véhicule en ordre de marche sur l’essieu avant ;</w:t>
      </w:r>
    </w:p>
    <w:p w:rsidR="00E24DB7" w:rsidRPr="002C5876" w:rsidRDefault="00E24DB7" w:rsidP="009D1E6A">
      <w:pPr>
        <w:pStyle w:val="SingleTxtG"/>
        <w:ind w:left="3402" w:hanging="1134"/>
      </w:pPr>
      <w:r w:rsidRPr="002C5876">
        <w:t>RR</w:t>
      </w:r>
      <w:r w:rsidRPr="00C7415A">
        <w:rPr>
          <w:vertAlign w:val="subscript"/>
        </w:rPr>
        <w:t xml:space="preserve">x </w:t>
      </w:r>
      <w:r w:rsidR="009D1E6A" w:rsidRPr="002C5876">
        <w:tab/>
      </w:r>
      <w:r w:rsidR="009D1E6A" w:rsidRPr="002C5876">
        <w:tab/>
      </w:r>
      <w:r w:rsidRPr="002C5876">
        <w:t>ne doit pas être pas arrondi ou inscrit dans une classe d’efficacité énergétique des pneumatiques</w:t>
      </w:r>
    </w:p>
    <w:p w:rsidR="00E24DB7" w:rsidRPr="002C5876" w:rsidRDefault="00E24DB7" w:rsidP="009D1E6A">
      <w:pPr>
        <w:pStyle w:val="SingleTxtG"/>
        <w:keepNext/>
        <w:ind w:left="2268" w:hanging="1134"/>
      </w:pPr>
      <w:r w:rsidRPr="002C5876">
        <w:t>3.2.4.1.1.3</w:t>
      </w:r>
      <w:r w:rsidRPr="002C5876">
        <w:tab/>
        <w:t>Maître-couple d’un véhicule donné</w:t>
      </w:r>
    </w:p>
    <w:p w:rsidR="00E24DB7" w:rsidRPr="002C5876" w:rsidRDefault="009D1E6A" w:rsidP="009D1E6A">
      <w:pPr>
        <w:pStyle w:val="SingleTxtG"/>
        <w:ind w:left="2268" w:hanging="1134"/>
      </w:pPr>
      <w:r w:rsidRPr="002C5876">
        <w:tab/>
      </w:r>
      <w:r w:rsidR="00E24DB7" w:rsidRPr="002C5876">
        <w:t>Les maîtres-couples pour les véhicules L</w:t>
      </w:r>
      <w:r w:rsidR="00E24DB7" w:rsidRPr="002C5876">
        <w:rPr>
          <w:vertAlign w:val="subscript"/>
        </w:rPr>
        <w:t>M</w:t>
      </w:r>
      <w:r w:rsidR="00E24DB7" w:rsidRPr="002C5876">
        <w:t>, A</w:t>
      </w:r>
      <w:r w:rsidR="00E24DB7" w:rsidRPr="002C5876">
        <w:rPr>
          <w:vertAlign w:val="subscript"/>
        </w:rPr>
        <w:t>fLM</w:t>
      </w:r>
      <w:r w:rsidR="00E24DB7" w:rsidRPr="002C5876">
        <w:t>, et H</w:t>
      </w:r>
      <w:r w:rsidR="00E24DB7" w:rsidRPr="002C5876">
        <w:rPr>
          <w:vertAlign w:val="subscript"/>
        </w:rPr>
        <w:t>M</w:t>
      </w:r>
      <w:r w:rsidR="00E24DB7" w:rsidRPr="002C5876">
        <w:t>, A</w:t>
      </w:r>
      <w:r w:rsidR="00E24DB7" w:rsidRPr="002C5876">
        <w:rPr>
          <w:vertAlign w:val="subscript"/>
        </w:rPr>
        <w:t>fHM</w:t>
      </w:r>
      <w:r w:rsidR="00E24DB7" w:rsidRPr="002C5876">
        <w:t>, sélectionnés conformément aux dispositions du paragraphe 4.2.1.4 de l’annexe 4, doivent être utilisés comme paramètres d’entrée.</w:t>
      </w:r>
    </w:p>
    <w:p w:rsidR="00E24DB7" w:rsidRPr="002C5876" w:rsidRDefault="009D1E6A" w:rsidP="009D1E6A">
      <w:pPr>
        <w:pStyle w:val="SingleTxtG"/>
        <w:ind w:left="2268" w:hanging="1134"/>
      </w:pPr>
      <w:r w:rsidRPr="002C5876">
        <w:tab/>
      </w:r>
      <w:r w:rsidR="00E24DB7" w:rsidRPr="002C5876">
        <w:t xml:space="preserve">Af,ind, en m2, est le maître-couple du véhicule donné. </w:t>
      </w:r>
    </w:p>
    <w:p w:rsidR="00E24DB7" w:rsidRPr="002C5876" w:rsidRDefault="009D1E6A" w:rsidP="009D1E6A">
      <w:pPr>
        <w:pStyle w:val="SingleTxtG"/>
        <w:ind w:left="2268" w:hanging="1134"/>
      </w:pPr>
      <w:r w:rsidRPr="002C5876">
        <w:lastRenderedPageBreak/>
        <w:tab/>
      </w:r>
      <w:r w:rsidR="00E24DB7" w:rsidRPr="002C5876">
        <w:t>Si le même maître-couple est utilisé pour les véhicules LM et HM, la valeur de Af,ind doit être réglée sur le maître-couple du véhicule HM pour la méthode de la famille de matrices de résistance à l’avancement.</w:t>
      </w:r>
    </w:p>
    <w:p w:rsidR="00E24DB7" w:rsidRPr="002C5876" w:rsidRDefault="00E24DB7" w:rsidP="009D1E6A">
      <w:pPr>
        <w:pStyle w:val="SingleTxtG"/>
        <w:keepNext/>
        <w:ind w:left="2268" w:hanging="1134"/>
      </w:pPr>
      <w:r w:rsidRPr="002C5876">
        <w:t>3.3</w:t>
      </w:r>
      <w:r w:rsidRPr="002C5876">
        <w:tab/>
        <w:t xml:space="preserve">Émissions de matières particulaires (PM) </w:t>
      </w:r>
    </w:p>
    <w:p w:rsidR="00E24DB7" w:rsidRPr="002C5876" w:rsidRDefault="00E24DB7" w:rsidP="009D1E6A">
      <w:pPr>
        <w:pStyle w:val="SingleTxtG"/>
        <w:keepNext/>
        <w:ind w:left="2268" w:hanging="1134"/>
      </w:pPr>
      <w:r w:rsidRPr="002C5876">
        <w:t>3.3.1</w:t>
      </w:r>
      <w:r w:rsidRPr="002C5876">
        <w:tab/>
        <w:t>Calcul</w:t>
      </w:r>
    </w:p>
    <w:p w:rsidR="00E24DB7" w:rsidRPr="002C5876" w:rsidRDefault="00E24DB7" w:rsidP="009D1E6A">
      <w:pPr>
        <w:pStyle w:val="SingleTxtG"/>
        <w:ind w:left="2268" w:hanging="1134"/>
      </w:pPr>
      <w:r w:rsidRPr="002C5876">
        <w:tab/>
        <w:t>Les émissions de matières particulaires (PM) doivent être calculées au moyen des deux équations suivantes :</w:t>
      </w:r>
    </w:p>
    <w:p w:rsidR="00E24DB7" w:rsidRPr="002C5876" w:rsidRDefault="009D1E6A" w:rsidP="009D1E6A">
      <w:pPr>
        <w:pStyle w:val="SingleTxtG"/>
        <w:ind w:left="2268" w:hanging="1134"/>
      </w:pPr>
      <m:oMathPara>
        <m:oMath>
          <m:r>
            <m:rPr>
              <m:sty m:val="p"/>
            </m:rPr>
            <w:rPr>
              <w:rFonts w:ascii="Cambria Math" w:hAnsi="Cambria Math"/>
              <w:szCs w:val="24"/>
            </w:rPr>
            <m:t>PM=</m:t>
          </m:r>
          <m:f>
            <m:fPr>
              <m:ctrlPr>
                <w:rPr>
                  <w:rFonts w:ascii="Cambria Math" w:hAnsi="Cambria Math"/>
                  <w:szCs w:val="24"/>
                </w:rPr>
              </m:ctrlPr>
            </m:fPr>
            <m:num>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mix</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e>
              </m:d>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e</m:t>
                  </m:r>
                </m:sub>
              </m:sSub>
            </m:num>
            <m:den>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r>
                <m:rPr>
                  <m:sty m:val="p"/>
                </m:rPr>
                <w:rPr>
                  <w:rFonts w:ascii="Cambria Math" w:hAnsi="Cambria Math"/>
                  <w:szCs w:val="24"/>
                </w:rPr>
                <m:t>×d</m:t>
              </m:r>
            </m:den>
          </m:f>
        </m:oMath>
      </m:oMathPara>
    </w:p>
    <w:p w:rsidR="00E24DB7" w:rsidRPr="002C5876" w:rsidRDefault="009D1E6A" w:rsidP="009D1E6A">
      <w:pPr>
        <w:pStyle w:val="SingleTxtG"/>
        <w:ind w:left="2268" w:hanging="1134"/>
      </w:pPr>
      <w:r w:rsidRPr="002C5876">
        <w:tab/>
      </w:r>
      <w:r w:rsidR="00E24DB7" w:rsidRPr="002C5876">
        <w:t>dans le cas où les gaz d’échappement sont évacués à l’extérieur du tunnel ;</w:t>
      </w:r>
    </w:p>
    <w:p w:rsidR="00E24DB7" w:rsidRPr="002C5876" w:rsidRDefault="00E24DB7" w:rsidP="009D1E6A">
      <w:pPr>
        <w:pStyle w:val="SingleTxtG"/>
        <w:keepNext/>
        <w:ind w:left="2268" w:hanging="1134"/>
      </w:pPr>
      <w:r w:rsidRPr="002C5876">
        <w:tab/>
        <w:t>et :</w:t>
      </w:r>
    </w:p>
    <w:p w:rsidR="00E24DB7" w:rsidRPr="002C5876" w:rsidRDefault="009D1E6A" w:rsidP="009D1E6A">
      <w:pPr>
        <w:pStyle w:val="SingleTxtG"/>
        <w:keepNext/>
        <w:ind w:left="2268" w:hanging="1134"/>
      </w:pPr>
      <m:oMathPara>
        <m:oMath>
          <m:r>
            <m:rPr>
              <m:sty m:val="p"/>
            </m:rPr>
            <w:rPr>
              <w:rFonts w:ascii="Cambria Math" w:hAnsi="Cambria Math"/>
              <w:szCs w:val="24"/>
            </w:rPr>
            <m:t>PM=</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mix</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e</m:t>
                  </m:r>
                </m:sub>
              </m:sSub>
            </m:num>
            <m:den>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r>
                <m:rPr>
                  <m:sty m:val="p"/>
                </m:rPr>
                <w:rPr>
                  <w:rFonts w:ascii="Cambria Math" w:hAnsi="Cambria Math"/>
                  <w:szCs w:val="24"/>
                </w:rPr>
                <m:t>×d</m:t>
              </m:r>
            </m:den>
          </m:f>
        </m:oMath>
      </m:oMathPara>
    </w:p>
    <w:p w:rsidR="00E24DB7" w:rsidRPr="002C5876" w:rsidRDefault="009D1E6A" w:rsidP="009D1E6A">
      <w:pPr>
        <w:pStyle w:val="SingleTxtG"/>
        <w:ind w:left="2268" w:hanging="1134"/>
      </w:pPr>
      <w:r w:rsidRPr="002C5876">
        <w:tab/>
      </w:r>
      <w:r w:rsidR="00E24DB7" w:rsidRPr="002C5876">
        <w:t>dans le cas où les gaz d’échappement sont renvoyés dans le tunnel ;</w:t>
      </w:r>
    </w:p>
    <w:p w:rsidR="00E24DB7" w:rsidRPr="002C5876" w:rsidRDefault="009D1E6A" w:rsidP="009D1E6A">
      <w:pPr>
        <w:pStyle w:val="SingleTxtG"/>
        <w:ind w:left="2268" w:hanging="1134"/>
      </w:pPr>
      <w:r w:rsidRPr="002C5876">
        <w:tab/>
      </w:r>
      <w:r w:rsidR="00E24DB7" w:rsidRPr="002C5876">
        <w:t>où :</w:t>
      </w:r>
    </w:p>
    <w:p w:rsidR="00E24DB7" w:rsidRPr="002C5876" w:rsidRDefault="00E24DB7" w:rsidP="009D1E6A">
      <w:pPr>
        <w:pStyle w:val="SingleTxtG"/>
        <w:ind w:left="3402" w:hanging="1134"/>
      </w:pPr>
      <w:r w:rsidRPr="002C5876">
        <w:t>V</w:t>
      </w:r>
      <w:r w:rsidRPr="00C7415A">
        <w:rPr>
          <w:vertAlign w:val="subscript"/>
        </w:rPr>
        <w:t>mix</w:t>
      </w:r>
      <w:r w:rsidRPr="002C5876">
        <w:tab/>
        <w:t>est le volume de gaz d’échappement dilués (voir le paragraphe 2 de la présente annexe), dans les conditions normales ;</w:t>
      </w:r>
    </w:p>
    <w:p w:rsidR="00E24DB7" w:rsidRPr="002C5876" w:rsidRDefault="00E24DB7" w:rsidP="009D1E6A">
      <w:pPr>
        <w:pStyle w:val="SingleTxtG"/>
        <w:ind w:left="3402" w:hanging="1134"/>
      </w:pPr>
      <w:r w:rsidRPr="002C5876">
        <w:t>V</w:t>
      </w:r>
      <w:r w:rsidRPr="00C7415A">
        <w:rPr>
          <w:vertAlign w:val="subscript"/>
        </w:rPr>
        <w:t>ep</w:t>
      </w:r>
      <w:r w:rsidRPr="002C5876">
        <w:tab/>
        <w:t>est le volume de gaz d’échappement dilués passant par le filtre de collecte des particules, dans les conditions normales ;</w:t>
      </w:r>
    </w:p>
    <w:p w:rsidR="00E24DB7" w:rsidRPr="002C5876" w:rsidRDefault="00E24DB7" w:rsidP="009D1E6A">
      <w:pPr>
        <w:pStyle w:val="SingleTxtG"/>
        <w:ind w:left="3402" w:hanging="1134"/>
      </w:pPr>
      <w:r w:rsidRPr="002C5876">
        <w:t>Р</w:t>
      </w:r>
      <w:r w:rsidRPr="00C7415A">
        <w:rPr>
          <w:vertAlign w:val="subscript"/>
        </w:rPr>
        <w:t>e</w:t>
      </w:r>
      <w:r w:rsidRPr="002C5876">
        <w:tab/>
        <w:t>est la masse de matières particulaires, en mg, collectée dans un ou plusieurs filtres ;</w:t>
      </w:r>
    </w:p>
    <w:p w:rsidR="00E24DB7" w:rsidRPr="002C5876" w:rsidRDefault="00E24DB7" w:rsidP="009D1E6A">
      <w:pPr>
        <w:pStyle w:val="SingleTxtG"/>
        <w:ind w:left="3402" w:hanging="1134"/>
      </w:pPr>
      <w:r w:rsidRPr="002C5876">
        <w:t>d</w:t>
      </w:r>
      <w:r w:rsidRPr="002C5876">
        <w:tab/>
        <w:t>est la distance parcourue au cours du cycle d’essai, en km.</w:t>
      </w:r>
    </w:p>
    <w:p w:rsidR="00E24DB7" w:rsidRPr="002C5876" w:rsidRDefault="00E24DB7" w:rsidP="009D1E6A">
      <w:pPr>
        <w:pStyle w:val="SingleTxtG"/>
        <w:keepNext/>
        <w:ind w:left="2268" w:hanging="1134"/>
      </w:pPr>
      <w:r w:rsidRPr="002C5876">
        <w:t>3.3.1.1</w:t>
      </w:r>
      <w:r w:rsidRPr="002C5876">
        <w:tab/>
        <w:t>Lorsqu’on effectue une correction pour tenir compte de la concentration ambiante de matières particulaires dans le système de dilution, on doit procéder comme indiqué au paragraphe 2.1.3.1 de l’annexe 6. Dans ce cas, la masse de matières particulaires (mg/km) doit être calculée à l’aide des équations suivantes :</w:t>
      </w:r>
    </w:p>
    <w:p w:rsidR="00E24DB7" w:rsidRPr="002C5876" w:rsidRDefault="009D1E6A" w:rsidP="009D1E6A">
      <w:pPr>
        <w:pStyle w:val="SingleTxtG"/>
        <w:keepNext/>
        <w:ind w:left="2268" w:hanging="1134"/>
      </w:pPr>
      <m:oMathPara>
        <m:oMath>
          <m:r>
            <m:rPr>
              <m:sty m:val="p"/>
            </m:rPr>
            <w:rPr>
              <w:rFonts w:ascii="Cambria Math" w:hAnsi="Cambria Math"/>
              <w:szCs w:val="24"/>
            </w:rPr>
            <m:t>PM=</m:t>
          </m:r>
          <m:d>
            <m:dPr>
              <m:begChr m:val="{"/>
              <m:endChr m:val="}"/>
              <m:ctrlPr>
                <w:rPr>
                  <w:rFonts w:ascii="Cambria Math" w:hAnsi="Cambria Math"/>
                  <w:szCs w:val="24"/>
                </w:rPr>
              </m:ctrlPr>
            </m:dPr>
            <m:e>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e</m:t>
                      </m:r>
                    </m:sub>
                  </m:sSub>
                </m:num>
                <m:den>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den>
              </m:f>
              <m:r>
                <m:rPr>
                  <m:sty m:val="p"/>
                </m:rPr>
                <w:rPr>
                  <w:rFonts w:ascii="Cambria Math" w:hAnsi="Cambria Math"/>
                  <w:szCs w:val="24"/>
                </w:rPr>
                <m:t>-</m:t>
              </m:r>
              <m:d>
                <m:dPr>
                  <m:begChr m:val="["/>
                  <m:endChr m:val="]"/>
                  <m:ctrlPr>
                    <w:rPr>
                      <w:rFonts w:ascii="Cambria Math" w:hAnsi="Cambria Math"/>
                      <w:szCs w:val="24"/>
                    </w:rPr>
                  </m:ctrlPr>
                </m:dPr>
                <m:e>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a</m:t>
                          </m:r>
                        </m:sub>
                      </m:sSub>
                    </m:num>
                    <m:den>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ap</m:t>
                          </m:r>
                        </m:sub>
                      </m:sSub>
                    </m:den>
                  </m:f>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1-</m:t>
                      </m:r>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DF</m:t>
                          </m:r>
                        </m:den>
                      </m:f>
                    </m:e>
                  </m:d>
                </m:e>
              </m:d>
            </m:e>
          </m:d>
          <m:r>
            <m:rPr>
              <m:sty m:val="p"/>
            </m:rPr>
            <w:rPr>
              <w:rFonts w:ascii="Cambria Math" w:hAnsi="Cambria Math"/>
              <w:szCs w:val="24"/>
            </w:rPr>
            <m:t>×</m:t>
          </m:r>
          <m:f>
            <m:fPr>
              <m:ctrlPr>
                <w:rPr>
                  <w:rFonts w:ascii="Cambria Math" w:hAnsi="Cambria Math"/>
                  <w:szCs w:val="24"/>
                </w:rPr>
              </m:ctrlPr>
            </m:fPr>
            <m:num>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mix</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e>
              </m:d>
            </m:num>
            <m:den>
              <m:r>
                <m:rPr>
                  <m:sty m:val="p"/>
                </m:rPr>
                <w:rPr>
                  <w:rFonts w:ascii="Cambria Math" w:hAnsi="Cambria Math"/>
                  <w:szCs w:val="24"/>
                </w:rPr>
                <m:t>d</m:t>
              </m:r>
            </m:den>
          </m:f>
        </m:oMath>
      </m:oMathPara>
    </w:p>
    <w:p w:rsidR="00E24DB7" w:rsidRPr="002C5876" w:rsidRDefault="00E24DB7" w:rsidP="009D1E6A">
      <w:pPr>
        <w:pStyle w:val="SingleTxtG"/>
        <w:ind w:left="2268"/>
      </w:pPr>
      <w:r w:rsidRPr="002C5876">
        <w:t>dans le cas où les gaz d’échappement sont évacués à l’extérieur du tunnel ;</w:t>
      </w:r>
    </w:p>
    <w:p w:rsidR="00E24DB7" w:rsidRPr="002C5876" w:rsidRDefault="00E24DB7" w:rsidP="009D1E6A">
      <w:pPr>
        <w:pStyle w:val="SingleTxtG"/>
        <w:keepNext/>
        <w:ind w:left="2268"/>
      </w:pPr>
      <w:r w:rsidRPr="002C5876">
        <w:t>et :</w:t>
      </w:r>
    </w:p>
    <w:p w:rsidR="00E24DB7" w:rsidRPr="002C5876" w:rsidRDefault="009D1E6A" w:rsidP="009D1E6A">
      <w:pPr>
        <w:pStyle w:val="SingleTxtG"/>
        <w:keepNext/>
        <w:ind w:left="2268"/>
      </w:pPr>
      <m:oMathPara>
        <m:oMath>
          <m:r>
            <m:rPr>
              <m:sty m:val="p"/>
            </m:rPr>
            <w:rPr>
              <w:rFonts w:ascii="Cambria Math" w:hAnsi="Cambria Math"/>
              <w:szCs w:val="24"/>
            </w:rPr>
            <m:t>PM=</m:t>
          </m:r>
          <m:d>
            <m:dPr>
              <m:begChr m:val="{"/>
              <m:endChr m:val="}"/>
              <m:ctrlPr>
                <w:rPr>
                  <w:rFonts w:ascii="Cambria Math" w:hAnsi="Cambria Math"/>
                  <w:szCs w:val="24"/>
                </w:rPr>
              </m:ctrlPr>
            </m:dPr>
            <m:e>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e</m:t>
                      </m:r>
                    </m:sub>
                  </m:sSub>
                </m:num>
                <m:den>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den>
              </m:f>
              <m:r>
                <m:rPr>
                  <m:sty m:val="p"/>
                </m:rPr>
                <w:rPr>
                  <w:rFonts w:ascii="Cambria Math" w:hAnsi="Cambria Math"/>
                  <w:szCs w:val="24"/>
                </w:rPr>
                <m:t>-</m:t>
              </m:r>
              <m:d>
                <m:dPr>
                  <m:begChr m:val="["/>
                  <m:endChr m:val="]"/>
                  <m:ctrlPr>
                    <w:rPr>
                      <w:rFonts w:ascii="Cambria Math" w:hAnsi="Cambria Math"/>
                      <w:szCs w:val="24"/>
                    </w:rPr>
                  </m:ctrlPr>
                </m:dPr>
                <m:e>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a</m:t>
                          </m:r>
                        </m:sub>
                      </m:sSub>
                    </m:num>
                    <m:den>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ap</m:t>
                          </m:r>
                        </m:sub>
                      </m:sSub>
                    </m:den>
                  </m:f>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1-</m:t>
                      </m:r>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DF</m:t>
                          </m:r>
                        </m:den>
                      </m:f>
                    </m:e>
                  </m:d>
                </m:e>
              </m:d>
            </m:e>
          </m:d>
          <m:r>
            <m:rPr>
              <m:sty m:val="p"/>
            </m:rPr>
            <w:rPr>
              <w:rFonts w:ascii="Cambria Math" w:hAnsi="Cambria Math"/>
              <w:szCs w:val="24"/>
            </w:rPr>
            <m:t>×</m:t>
          </m:r>
          <m:f>
            <m:fPr>
              <m:ctrlPr>
                <w:rPr>
                  <w:rFonts w:ascii="Cambria Math" w:hAnsi="Cambria Math"/>
                  <w:szCs w:val="24"/>
                </w:rPr>
              </m:ctrlPr>
            </m:fPr>
            <m:num>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mix</m:t>
                      </m:r>
                    </m:sub>
                  </m:sSub>
                </m:e>
              </m:d>
            </m:num>
            <m:den>
              <m:r>
                <m:rPr>
                  <m:sty m:val="p"/>
                </m:rPr>
                <w:rPr>
                  <w:rFonts w:ascii="Cambria Math" w:hAnsi="Cambria Math"/>
                  <w:szCs w:val="24"/>
                </w:rPr>
                <m:t>d</m:t>
              </m:r>
            </m:den>
          </m:f>
        </m:oMath>
      </m:oMathPara>
    </w:p>
    <w:p w:rsidR="00E24DB7" w:rsidRPr="002C5876" w:rsidRDefault="00E24DB7" w:rsidP="009D1E6A">
      <w:pPr>
        <w:pStyle w:val="SingleTxtG"/>
        <w:ind w:left="2835" w:hanging="567"/>
      </w:pPr>
      <w:r w:rsidRPr="002C5876">
        <w:t>dans le cas où les gaz d’échappement sont renvoyés dans le tunnel ;</w:t>
      </w:r>
    </w:p>
    <w:p w:rsidR="00E24DB7" w:rsidRPr="002C5876" w:rsidRDefault="00E24DB7" w:rsidP="009D1E6A">
      <w:pPr>
        <w:pStyle w:val="SingleTxtG"/>
        <w:keepNext/>
        <w:ind w:left="2835" w:hanging="567"/>
      </w:pPr>
      <w:r w:rsidRPr="002C5876">
        <w:t>où :</w:t>
      </w:r>
    </w:p>
    <w:p w:rsidR="00E24DB7" w:rsidRPr="002C5876" w:rsidRDefault="00E24DB7" w:rsidP="009D1E6A">
      <w:pPr>
        <w:pStyle w:val="SingleTxtG"/>
        <w:ind w:left="2835" w:hanging="567"/>
      </w:pPr>
      <w:r w:rsidRPr="002C5876">
        <w:t>V</w:t>
      </w:r>
      <w:r w:rsidRPr="002C5876">
        <w:rPr>
          <w:vertAlign w:val="subscript"/>
        </w:rPr>
        <w:t>ap</w:t>
      </w:r>
      <w:r w:rsidRPr="002C5876">
        <w:tab/>
        <w:t>est le volume d’air du tunnel passant par le filtre à particules ambiantes dans les conditions normales ;</w:t>
      </w:r>
    </w:p>
    <w:p w:rsidR="00E24DB7" w:rsidRPr="002C5876" w:rsidRDefault="00E24DB7" w:rsidP="009D1E6A">
      <w:pPr>
        <w:pStyle w:val="SingleTxtG"/>
        <w:ind w:left="2835" w:hanging="567"/>
      </w:pPr>
      <w:r w:rsidRPr="002C5876">
        <w:t>Р</w:t>
      </w:r>
      <w:r w:rsidRPr="002C5876">
        <w:rPr>
          <w:vertAlign w:val="subscript"/>
        </w:rPr>
        <w:t>a</w:t>
      </w:r>
      <w:r w:rsidRPr="002C5876">
        <w:tab/>
        <w:t>est la masse de matières particulaires dans l’air de dilution, ou dans l’air ambiant du tunnel de dilution, selon les méthodes décrites au paragraphe 2.1.3.1 de l’annexe 6 ;</w:t>
      </w:r>
    </w:p>
    <w:p w:rsidR="00E24DB7" w:rsidRPr="002C5876" w:rsidRDefault="00E24DB7" w:rsidP="009D1E6A">
      <w:pPr>
        <w:pStyle w:val="SingleTxtG"/>
        <w:ind w:left="2835" w:hanging="567"/>
      </w:pPr>
      <w:r w:rsidRPr="002C5876">
        <w:t>DF</w:t>
      </w:r>
      <w:r w:rsidRPr="002C5876">
        <w:tab/>
        <w:t>est le facteur de dilution déterminé au paragraphe 3.2.1.1.1 de la présente annexe.</w:t>
      </w:r>
    </w:p>
    <w:p w:rsidR="00E24DB7" w:rsidRPr="002C5876" w:rsidRDefault="00C7415A" w:rsidP="009D1E6A">
      <w:pPr>
        <w:pStyle w:val="SingleTxtG"/>
        <w:ind w:left="2835" w:hanging="567"/>
      </w:pPr>
      <w:r>
        <w:tab/>
      </w:r>
      <w:r w:rsidR="00E24DB7" w:rsidRPr="002C5876">
        <w:t>Si le résultat de la correction pour tenir compte de la concentration ambiante est une masse de matières particulaires négative, on considère que cette masse est égale à 0 mg/km.</w:t>
      </w:r>
    </w:p>
    <w:p w:rsidR="00E24DB7" w:rsidRPr="002C5876" w:rsidRDefault="00E24DB7" w:rsidP="009D1E6A">
      <w:pPr>
        <w:pStyle w:val="SingleTxtG"/>
        <w:ind w:left="2268" w:hanging="1134"/>
        <w:jc w:val="left"/>
      </w:pPr>
      <w:r w:rsidRPr="002C5876">
        <w:lastRenderedPageBreak/>
        <w:t>3.3.2</w:t>
      </w:r>
      <w:r w:rsidRPr="002C5876">
        <w:tab/>
        <w:t xml:space="preserve">Calcul des émissions de matières particulaires par la méthode </w:t>
      </w:r>
      <w:r w:rsidRPr="002C5876">
        <w:br/>
        <w:t xml:space="preserve">de double dilution </w:t>
      </w:r>
    </w:p>
    <w:p w:rsidR="009D1E6A" w:rsidRPr="002C5876" w:rsidRDefault="00731CA6" w:rsidP="009D1E6A">
      <w:pPr>
        <w:pStyle w:val="SingleTxtG"/>
        <w:ind w:left="2268" w:hanging="1134"/>
        <w:jc w:val="left"/>
      </w:pPr>
      <m:oMathPara>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set</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ssd</m:t>
              </m:r>
            </m:sub>
          </m:sSub>
        </m:oMath>
      </m:oMathPara>
    </w:p>
    <w:p w:rsidR="00E24DB7" w:rsidRPr="002C5876" w:rsidRDefault="00E24DB7" w:rsidP="009D1E6A">
      <w:pPr>
        <w:pStyle w:val="SingleTxtG"/>
        <w:keepNext/>
        <w:ind w:left="2835" w:hanging="567"/>
      </w:pPr>
      <w:r w:rsidRPr="002C5876">
        <w:t>où :</w:t>
      </w:r>
    </w:p>
    <w:p w:rsidR="00E24DB7" w:rsidRPr="002C5876" w:rsidRDefault="00E24DB7" w:rsidP="009D1E6A">
      <w:pPr>
        <w:pStyle w:val="SingleTxtG"/>
        <w:ind w:left="2835" w:hanging="567"/>
      </w:pPr>
      <w:r w:rsidRPr="002C5876">
        <w:t>V</w:t>
      </w:r>
      <w:r w:rsidRPr="002C5876">
        <w:rPr>
          <w:vertAlign w:val="subscript"/>
        </w:rPr>
        <w:t>ep</w:t>
      </w:r>
      <w:r w:rsidRPr="002C5876">
        <w:tab/>
        <w:t>est le volume de gaz d’échappement dilués passant par le filtre de collecte des particules, dans les conditions normales ;</w:t>
      </w:r>
    </w:p>
    <w:p w:rsidR="00E24DB7" w:rsidRPr="002C5876" w:rsidRDefault="00E24DB7" w:rsidP="009D1E6A">
      <w:pPr>
        <w:pStyle w:val="SingleTxtG"/>
        <w:ind w:left="2835" w:hanging="567"/>
      </w:pPr>
      <w:r w:rsidRPr="002C5876">
        <w:t>V</w:t>
      </w:r>
      <w:r w:rsidRPr="002C5876">
        <w:rPr>
          <w:vertAlign w:val="subscript"/>
        </w:rPr>
        <w:t>set</w:t>
      </w:r>
      <w:r w:rsidRPr="002C5876">
        <w:tab/>
        <w:t>est le volume de gaz d’échappement dilués deux fois passant par les filtres de collecte de particules, dans les conditions normales ;</w:t>
      </w:r>
    </w:p>
    <w:p w:rsidR="00E24DB7" w:rsidRPr="002C5876" w:rsidRDefault="00E24DB7" w:rsidP="009D1E6A">
      <w:pPr>
        <w:pStyle w:val="SingleTxtG"/>
        <w:ind w:left="2835" w:hanging="567"/>
      </w:pPr>
      <w:r w:rsidRPr="002C5876">
        <w:t>V</w:t>
      </w:r>
      <w:r w:rsidRPr="002C5876">
        <w:rPr>
          <w:vertAlign w:val="subscript"/>
        </w:rPr>
        <w:t>ssd</w:t>
      </w:r>
      <w:r w:rsidRPr="002C5876">
        <w:tab/>
        <w:t>est le volume d’air de dilution secondaire dans les conditions normales.</w:t>
      </w:r>
    </w:p>
    <w:p w:rsidR="00E24DB7" w:rsidRPr="002C5876" w:rsidRDefault="00E24DB7" w:rsidP="009D1E6A">
      <w:pPr>
        <w:pStyle w:val="SingleTxtG"/>
        <w:keepNext/>
        <w:ind w:left="2268"/>
      </w:pPr>
      <w:r w:rsidRPr="002C5876">
        <w:t>Lorsque les gaz dilués deux fois pour la mesure des émissions de matières particulaires ne sont pas renvoyés dans le tunnel, le volume CVS doit être calculé comme dans le cas d’une dilution simple, à savoir :</w:t>
      </w:r>
    </w:p>
    <w:p w:rsidR="009D1E6A" w:rsidRPr="002C5876" w:rsidRDefault="00731CA6" w:rsidP="009D1E6A">
      <w:pPr>
        <w:pStyle w:val="SingleTxtG"/>
        <w:keepNext/>
        <w:ind w:left="2268"/>
      </w:pPr>
      <m:oMathPara>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mix</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mix indicated</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oMath>
      </m:oMathPara>
    </w:p>
    <w:p w:rsidR="00E24DB7" w:rsidRPr="002C5876" w:rsidRDefault="00E24DB7" w:rsidP="009D1E6A">
      <w:pPr>
        <w:pStyle w:val="SingleTxtG"/>
        <w:keepNext/>
        <w:ind w:left="3402" w:hanging="1134"/>
      </w:pPr>
      <w:r w:rsidRPr="002C5876">
        <w:t>où :</w:t>
      </w:r>
    </w:p>
    <w:p w:rsidR="00E24DB7" w:rsidRPr="002C5876" w:rsidRDefault="00E24DB7" w:rsidP="009D1E6A">
      <w:pPr>
        <w:pStyle w:val="SingleTxtG"/>
        <w:ind w:left="3402" w:hanging="1134"/>
      </w:pPr>
      <w:r w:rsidRPr="002C5876">
        <w:t>V</w:t>
      </w:r>
      <w:r w:rsidRPr="002C5876">
        <w:rPr>
          <w:vertAlign w:val="subscript"/>
        </w:rPr>
        <w:t>mix indicated</w:t>
      </w:r>
      <w:r w:rsidRPr="002C5876">
        <w:tab/>
        <w:t>est le volume mesuré de gaz d’échappement dilués dans le système de dilution à la suite du prélèvement de l’échantillon de particules dans les conditions normales.</w:t>
      </w:r>
    </w:p>
    <w:p w:rsidR="00E24DB7" w:rsidRPr="002C5876" w:rsidRDefault="00E24DB7" w:rsidP="009D1E6A">
      <w:pPr>
        <w:pStyle w:val="SingleTxtG"/>
        <w:keepNext/>
        <w:keepLines/>
        <w:ind w:left="2268" w:hanging="1134"/>
        <w:jc w:val="left"/>
      </w:pPr>
      <w:r w:rsidRPr="002C5876">
        <w:t>4.</w:t>
      </w:r>
      <w:r w:rsidRPr="002C5876">
        <w:tab/>
        <w:t>Détermination des émissions en nombre de particules (PN) (le cas échéant)</w:t>
      </w:r>
    </w:p>
    <w:p w:rsidR="00E24DB7" w:rsidRPr="002C5876" w:rsidRDefault="00E24DB7" w:rsidP="009D1E6A">
      <w:pPr>
        <w:pStyle w:val="SingleTxtG"/>
        <w:keepNext/>
        <w:ind w:left="2268"/>
      </w:pPr>
      <w:r w:rsidRPr="002C5876">
        <w:tab/>
        <w:t>Les émissions en nombre de particules doivent être calculées au moyen de l’équation suivante :</w:t>
      </w:r>
    </w:p>
    <w:p w:rsidR="009D1E6A" w:rsidRPr="002C5876" w:rsidRDefault="009D1E6A" w:rsidP="009D1E6A">
      <w:pPr>
        <w:pStyle w:val="SingleTxtG"/>
        <w:keepNext/>
        <w:keepLines/>
        <w:ind w:left="2268"/>
      </w:pPr>
      <m:oMathPara>
        <m:oMath>
          <m:r>
            <m:rPr>
              <m:sty m:val="p"/>
            </m:rPr>
            <w:rPr>
              <w:rFonts w:ascii="Cambria Math" w:hAnsi="Cambria Math"/>
            </w:rPr>
            <m:t>PN=</m:t>
          </m:r>
          <m:f>
            <m:fPr>
              <m:ctrlPr>
                <w:rPr>
                  <w:rFonts w:ascii="Cambria Math" w:hAnsi="Cambria Math"/>
                </w:rPr>
              </m:ctrlPr>
            </m:fPr>
            <m:num>
              <m:r>
                <m:rPr>
                  <m:sty m:val="p"/>
                </m:rPr>
                <w:rPr>
                  <w:rFonts w:ascii="Cambria Math" w:hAnsi="Cambria Math"/>
                </w:rPr>
                <m:t>V×k×</m:t>
              </m:r>
              <m:d>
                <m:dPr>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s</m:t>
                          </m:r>
                        </m:sub>
                      </m:sSub>
                    </m:e>
                  </m:acc>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r</m:t>
                          </m:r>
                        </m:sub>
                      </m:sSub>
                    </m:e>
                  </m:acc>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b</m:t>
                      </m:r>
                    </m:sub>
                  </m:sSub>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rb</m:t>
                          </m:r>
                        </m:sub>
                      </m:sSub>
                    </m:e>
                  </m:acc>
                </m:e>
              </m:d>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num>
            <m:den>
              <m:r>
                <m:rPr>
                  <m:sty m:val="p"/>
                </m:rPr>
                <w:rPr>
                  <w:rFonts w:ascii="Cambria Math" w:hAnsi="Cambria Math"/>
                </w:rPr>
                <m:t>d</m:t>
              </m:r>
            </m:den>
          </m:f>
        </m:oMath>
      </m:oMathPara>
    </w:p>
    <w:p w:rsidR="00E24DB7" w:rsidRPr="002C5876" w:rsidRDefault="00E24DB7" w:rsidP="009D1E6A">
      <w:pPr>
        <w:pStyle w:val="SingleTxtG"/>
        <w:keepNext/>
        <w:ind w:left="2835" w:hanging="567"/>
      </w:pPr>
      <w:r w:rsidRPr="002C5876">
        <w:t>où :</w:t>
      </w:r>
    </w:p>
    <w:p w:rsidR="00E24DB7" w:rsidRPr="002C5876" w:rsidRDefault="00E24DB7" w:rsidP="009D1E6A">
      <w:pPr>
        <w:pStyle w:val="SingleTxtG"/>
        <w:ind w:left="2835" w:hanging="567"/>
      </w:pPr>
      <w:r w:rsidRPr="002C5876">
        <w:t>PN</w:t>
      </w:r>
      <w:r w:rsidRPr="002C5876">
        <w:tab/>
        <w:t>est le nombre de particules émises par km ;</w:t>
      </w:r>
    </w:p>
    <w:p w:rsidR="00E24DB7" w:rsidRPr="002C5876" w:rsidRDefault="00E24DB7" w:rsidP="009D1E6A">
      <w:pPr>
        <w:pStyle w:val="SingleTxtG"/>
        <w:ind w:left="2835" w:hanging="567"/>
      </w:pPr>
      <w:r w:rsidRPr="002C5876">
        <w:t>V</w:t>
      </w:r>
      <w:r w:rsidRPr="002C5876">
        <w:tab/>
        <w:t>est le volume de gaz d’échappement dilués, exprimé en l par essai (après la première dilution seulement dans le cas d’une double dilution) et ramené aux conditions normales (273,15 K (0 °C) et 101,325 kPa) ;</w:t>
      </w:r>
    </w:p>
    <w:p w:rsidR="00E24DB7" w:rsidRPr="002C5876" w:rsidRDefault="00E24DB7" w:rsidP="009D1E6A">
      <w:pPr>
        <w:pStyle w:val="SingleTxtG"/>
        <w:ind w:left="2835" w:hanging="567"/>
      </w:pPr>
      <w:r w:rsidRPr="002C5876">
        <w:t>k</w:t>
      </w:r>
      <w:r w:rsidRPr="002C5876">
        <w:tab/>
        <w:t>est un facteur d’étalonnage permettant de corriger les valeurs de mesure du compteur du nombre de particules (PNC) et de les aligner sur celles de l’instrument de référence dans le cas où ce facteur n’est pas pris en compte par le PNC. Dans le cas contraire, le facteur d’étalonnage doit être égal à 1 ;</w:t>
      </w:r>
    </w:p>
    <w:p w:rsidR="00E24DB7" w:rsidRPr="002C5876" w:rsidRDefault="00E24DB7" w:rsidP="009D1E6A">
      <w:pPr>
        <w:pStyle w:val="SingleTxtG"/>
        <w:ind w:left="2835" w:hanging="567"/>
      </w:pPr>
      <w:r w:rsidRPr="002C5876">
        <w:rPr>
          <w:noProof/>
          <w:position w:val="-10"/>
          <w:lang w:val="en-GB" w:eastAsia="zh-CN"/>
        </w:rPr>
        <w:drawing>
          <wp:inline distT="0" distB="0" distL="0" distR="0" wp14:anchorId="50E5667A" wp14:editId="0B993A34">
            <wp:extent cx="200025" cy="219075"/>
            <wp:effectExtent l="0" t="0" r="9525" b="9525"/>
            <wp:docPr id="1524"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2C5876">
        <w:tab/>
        <w:t>est la concentration corrigée de particules relevées dans les gaz d’échappement dilués exprimée par le nombre moyen arithmétique de particules par cm³ obtenu lors de l’essai d’émissions comprenant la durée complète du cycle d’essai. Si les résultats concernant la concentration volumétrique moyenne (</w:t>
      </w:r>
      <w:r w:rsidRPr="002C5876">
        <w:rPr>
          <w:noProof/>
          <w:position w:val="-6"/>
          <w:lang w:val="en-GB" w:eastAsia="zh-CN"/>
        </w:rPr>
        <w:drawing>
          <wp:inline distT="0" distB="0" distL="0" distR="0" wp14:anchorId="105A953D" wp14:editId="7E1C0F69">
            <wp:extent cx="114300" cy="152400"/>
            <wp:effectExtent l="0" t="0" r="0" b="0"/>
            <wp:docPr id="1523"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2C5876">
        <w:t>) donnés par le PNC ne sont pas obtenus dans les conditions normales (273,15 K (0</w:t>
      </w:r>
      <w:r w:rsidR="00926D40">
        <w:t> </w:t>
      </w:r>
      <w:r w:rsidRPr="002C5876">
        <w:t>°C) et 101,325 kPa), les concentrations doivent alors être ramenées à ces conditions (</w:t>
      </w:r>
      <w:r w:rsidRPr="002C5876">
        <w:rPr>
          <w:noProof/>
          <w:position w:val="-10"/>
          <w:lang w:val="en-GB" w:eastAsia="zh-CN"/>
        </w:rPr>
        <w:drawing>
          <wp:inline distT="0" distB="0" distL="0" distR="0" wp14:anchorId="15882F93" wp14:editId="2495DAC5">
            <wp:extent cx="171450" cy="171450"/>
            <wp:effectExtent l="0" t="0" r="0" b="0"/>
            <wp:docPr id="1522"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2C5876">
        <w:t>) ;</w:t>
      </w:r>
    </w:p>
    <w:p w:rsidR="00E24DB7" w:rsidRPr="002C5876" w:rsidRDefault="00E24DB7" w:rsidP="009D1E6A">
      <w:pPr>
        <w:pStyle w:val="SingleTxtG"/>
        <w:ind w:left="2835" w:hanging="567"/>
        <w:rPr>
          <w:bCs/>
          <w:iCs/>
        </w:rPr>
      </w:pPr>
      <w:r w:rsidRPr="002C5876">
        <w:t>C</w:t>
      </w:r>
      <w:r w:rsidRPr="002C5876">
        <w:rPr>
          <w:vertAlign w:val="subscript"/>
        </w:rPr>
        <w:t>b</w:t>
      </w:r>
      <w:r w:rsidRPr="002C5876">
        <w:tab/>
        <w:t>est la concentration de particules dans l’air de dilution ou dans le tunnel de dilution, selon ce qui est permis par l’autorité compétente, exprimée en nombre de particules par cm</w:t>
      </w:r>
      <w:r w:rsidRPr="002C5876">
        <w:rPr>
          <w:vertAlign w:val="superscript"/>
        </w:rPr>
        <w:t>3</w:t>
      </w:r>
      <w:r w:rsidRPr="002C5876">
        <w:t>, corrigée de la coïncidence et ramenée aux conditions normales (273,15 K (0</w:t>
      </w:r>
      <w:r w:rsidR="00AF0E3C" w:rsidRPr="002C5876">
        <w:t> </w:t>
      </w:r>
      <w:r w:rsidRPr="002C5876">
        <w:t>°C) et 101,325 kPa) ;</w:t>
      </w:r>
    </w:p>
    <w:p w:rsidR="00E24DB7" w:rsidRPr="002C5876" w:rsidRDefault="00E24DB7" w:rsidP="009D1E6A">
      <w:pPr>
        <w:pStyle w:val="SingleTxtG"/>
        <w:ind w:left="2835" w:hanging="567"/>
      </w:pPr>
      <w:r w:rsidRPr="002C5876">
        <w:rPr>
          <w:noProof/>
          <w:position w:val="-10"/>
          <w:lang w:val="en-GB" w:eastAsia="zh-CN"/>
        </w:rPr>
        <w:drawing>
          <wp:inline distT="0" distB="0" distL="0" distR="0" wp14:anchorId="23F66C2B" wp14:editId="3FA074BA">
            <wp:extent cx="152400" cy="219075"/>
            <wp:effectExtent l="0" t="0" r="0" b="9525"/>
            <wp:docPr id="1521"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2C5876">
        <w:tab/>
        <w:t>est le facteur de réduction de la concentration moyenne de particules du séparateur de particules volatiles (VPR) au taux de dilution utilisé pour l’essai ;</w:t>
      </w:r>
    </w:p>
    <w:p w:rsidR="00E24DB7" w:rsidRPr="002C5876" w:rsidRDefault="00E24DB7" w:rsidP="009D1E6A">
      <w:pPr>
        <w:pStyle w:val="SingleTxtG"/>
        <w:ind w:left="2835" w:hanging="567"/>
      </w:pPr>
      <w:r w:rsidRPr="002C5876">
        <w:rPr>
          <w:noProof/>
          <w:position w:val="-10"/>
          <w:lang w:val="en-GB" w:eastAsia="zh-CN"/>
        </w:rPr>
        <w:lastRenderedPageBreak/>
        <w:drawing>
          <wp:inline distT="0" distB="0" distL="0" distR="0" wp14:anchorId="09AAEBE0" wp14:editId="7D279DDA">
            <wp:extent cx="200025" cy="219075"/>
            <wp:effectExtent l="0" t="0" r="9525" b="9525"/>
            <wp:docPr id="1520"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2C5876">
        <w:tab/>
        <w:t>est le facteur de réduction de la concentration moyenne de particules du VPR au taux de dilution utilisé pour la mesure de la concentration ambiante ;</w:t>
      </w:r>
    </w:p>
    <w:p w:rsidR="00E24DB7" w:rsidRPr="002C5876" w:rsidRDefault="00E24DB7" w:rsidP="009D1E6A">
      <w:pPr>
        <w:pStyle w:val="SingleTxtG"/>
        <w:ind w:left="2835" w:hanging="567"/>
      </w:pPr>
      <w:r w:rsidRPr="002C5876">
        <w:t>d</w:t>
      </w:r>
      <w:r w:rsidRPr="002C5876">
        <w:tab/>
        <w:t>est la distance parcourue au cours du cycle d’essai applicable, en km.</w:t>
      </w:r>
    </w:p>
    <w:p w:rsidR="00E24DB7" w:rsidRPr="002C5876" w:rsidRDefault="00E24DB7" w:rsidP="009D1E6A">
      <w:pPr>
        <w:pStyle w:val="SingleTxtG"/>
        <w:keepNext/>
        <w:ind w:left="2835" w:hanging="567"/>
      </w:pPr>
      <w:r w:rsidRPr="002C5876">
        <w:rPr>
          <w:noProof/>
          <w:position w:val="-6"/>
          <w:lang w:val="en-GB" w:eastAsia="zh-CN"/>
        </w:rPr>
        <w:drawing>
          <wp:inline distT="0" distB="0" distL="0" distR="0" wp14:anchorId="73DFBE36" wp14:editId="69910DEF">
            <wp:extent cx="114300" cy="200025"/>
            <wp:effectExtent l="0" t="0" r="0" b="9525"/>
            <wp:docPr id="1519"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14300" cy="200025"/>
                    </a:xfrm>
                    <a:prstGeom prst="rect">
                      <a:avLst/>
                    </a:prstGeom>
                    <a:noFill/>
                    <a:ln>
                      <a:noFill/>
                    </a:ln>
                  </pic:spPr>
                </pic:pic>
              </a:graphicData>
            </a:graphic>
          </wp:inline>
        </w:drawing>
      </w:r>
      <w:r w:rsidRPr="002C5876">
        <w:tab/>
        <w:t>doit être calculé au moyen de l’équation suivante :</w:t>
      </w:r>
    </w:p>
    <w:p w:rsidR="00AF0E3C" w:rsidRPr="002C5876" w:rsidRDefault="00731CA6" w:rsidP="00AF0E3C">
      <w:pPr>
        <w:pStyle w:val="SingleTxtG"/>
        <w:keepNext/>
        <w:ind w:left="2268"/>
      </w:pPr>
      <m:oMathPara>
        <m:oMath>
          <m:acc>
            <m:accPr>
              <m:chr m:val="̅"/>
              <m:ctrlPr>
                <w:rPr>
                  <w:rFonts w:ascii="Cambria Math" w:hAnsi="Cambria Math"/>
                </w:rPr>
              </m:ctrlPr>
            </m:accPr>
            <m:e>
              <m:r>
                <m:rPr>
                  <m:sty m:val="p"/>
                </m:rPr>
                <w:rPr>
                  <w:rFonts w:ascii="Cambria Math" w:hAnsi="Cambria Math"/>
                </w:rPr>
                <m:t>C</m:t>
              </m:r>
            </m:e>
          </m:acc>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i</m:t>
                      </m:r>
                    </m:sub>
                  </m:sSub>
                </m:e>
              </m:nary>
            </m:num>
            <m:den>
              <m:r>
                <m:rPr>
                  <m:sty m:val="p"/>
                </m:rPr>
                <w:rPr>
                  <w:rFonts w:ascii="Cambria Math" w:hAnsi="Cambria Math"/>
                </w:rPr>
                <m:t>n</m:t>
              </m:r>
            </m:den>
          </m:f>
        </m:oMath>
      </m:oMathPara>
    </w:p>
    <w:p w:rsidR="00E24DB7" w:rsidRPr="002C5876" w:rsidRDefault="00E24DB7" w:rsidP="009D1E6A">
      <w:pPr>
        <w:pStyle w:val="SingleTxtG"/>
        <w:keepNext/>
        <w:ind w:left="2835" w:hanging="567"/>
        <w:rPr>
          <w:iCs/>
        </w:rPr>
      </w:pPr>
      <w:r w:rsidRPr="002C5876">
        <w:t>où :</w:t>
      </w:r>
    </w:p>
    <w:p w:rsidR="00E24DB7" w:rsidRPr="002C5876" w:rsidRDefault="00E24DB7" w:rsidP="009D1E6A">
      <w:pPr>
        <w:pStyle w:val="SingleTxtG"/>
        <w:ind w:left="2835" w:hanging="567"/>
      </w:pPr>
      <w:r w:rsidRPr="002C5876">
        <w:t>C</w:t>
      </w:r>
      <w:r w:rsidRPr="002C5876">
        <w:rPr>
          <w:vertAlign w:val="subscript"/>
        </w:rPr>
        <w:t>i</w:t>
      </w:r>
      <w:r w:rsidRPr="002C5876">
        <w:tab/>
        <w:t>est une mesure discrète de la concentration de particules dans les gaz d’échappement dilués, effectuée par le PNC et exprimée en particules par cm</w:t>
      </w:r>
      <w:r w:rsidRPr="002C5876">
        <w:rPr>
          <w:vertAlign w:val="superscript"/>
        </w:rPr>
        <w:t>3</w:t>
      </w:r>
      <w:r w:rsidRPr="002C5876">
        <w:t xml:space="preserve"> après correction de la coïncidence ;</w:t>
      </w:r>
    </w:p>
    <w:p w:rsidR="00E24DB7" w:rsidRPr="002C5876" w:rsidRDefault="00E24DB7" w:rsidP="009D1E6A">
      <w:pPr>
        <w:pStyle w:val="SingleTxtG"/>
        <w:keepNext/>
        <w:ind w:left="2835" w:hanging="567"/>
      </w:pPr>
      <w:r w:rsidRPr="002C5876">
        <w:t>n</w:t>
      </w:r>
      <w:r w:rsidRPr="002C5876">
        <w:tab/>
        <w:t>est le nombre total de mesures discrètes de la concentration de particules faites pendant le cycle d’essai applicable. Ce nombre doit être calculé au moyen de l’équation suivante :</w:t>
      </w:r>
    </w:p>
    <w:p w:rsidR="00E24DB7" w:rsidRPr="002C5876" w:rsidRDefault="00E24DB7" w:rsidP="009D1E6A">
      <w:pPr>
        <w:pStyle w:val="SingleTxtG"/>
        <w:tabs>
          <w:tab w:val="left" w:pos="8136"/>
        </w:tabs>
        <w:ind w:left="2835" w:hanging="567"/>
        <w:jc w:val="center"/>
      </w:pPr>
      <w:r w:rsidRPr="002C5876">
        <w:t xml:space="preserve">n = t </w:t>
      </w:r>
      <w:r w:rsidRPr="002C5876">
        <w:sym w:font="Symbol" w:char="F0B4"/>
      </w:r>
      <w:r w:rsidRPr="002C5876">
        <w:t xml:space="preserve"> f</w:t>
      </w:r>
    </w:p>
    <w:p w:rsidR="00E24DB7" w:rsidRPr="002C5876" w:rsidRDefault="00E24DB7" w:rsidP="009D1E6A">
      <w:pPr>
        <w:pStyle w:val="SingleTxtG"/>
        <w:ind w:left="2835" w:hanging="567"/>
      </w:pPr>
      <w:r w:rsidRPr="002C5876">
        <w:t>où :</w:t>
      </w:r>
    </w:p>
    <w:p w:rsidR="00E24DB7" w:rsidRPr="002C5876" w:rsidRDefault="00E24DB7" w:rsidP="009D1E6A">
      <w:pPr>
        <w:pStyle w:val="SingleTxtG"/>
        <w:ind w:left="2835" w:hanging="567"/>
      </w:pPr>
      <w:r w:rsidRPr="002C5876">
        <w:t>t</w:t>
      </w:r>
      <w:r w:rsidRPr="002C5876">
        <w:tab/>
        <w:t>est la durée du cycle d’essai applicable, en s ;</w:t>
      </w:r>
    </w:p>
    <w:p w:rsidR="00E24DB7" w:rsidRPr="002C5876" w:rsidRDefault="00E24DB7" w:rsidP="009D1E6A">
      <w:pPr>
        <w:pStyle w:val="SingleTxtG"/>
        <w:ind w:left="2835" w:hanging="567"/>
      </w:pPr>
      <w:r w:rsidRPr="002C5876">
        <w:t>f</w:t>
      </w:r>
      <w:r w:rsidRPr="002C5876">
        <w:tab/>
        <w:t>est la fréquence d’enregistrement des données par le compteur de particules, en Hz.</w:t>
      </w:r>
    </w:p>
    <w:p w:rsidR="00E24DB7" w:rsidRPr="002C5876" w:rsidRDefault="00E24DB7" w:rsidP="00356443">
      <w:pPr>
        <w:pStyle w:val="SingleTxtG"/>
        <w:keepNext/>
        <w:ind w:left="2268" w:hanging="1134"/>
        <w:jc w:val="left"/>
      </w:pPr>
      <w:r w:rsidRPr="002C5876">
        <w:t>5.</w:t>
      </w:r>
      <w:r w:rsidRPr="002C5876">
        <w:tab/>
        <w:t>Calcul de la demande d’énergie sur le cycle</w:t>
      </w:r>
    </w:p>
    <w:p w:rsidR="00E24DB7" w:rsidRPr="002C5876" w:rsidRDefault="00E24DB7" w:rsidP="00356443">
      <w:pPr>
        <w:pStyle w:val="SingleTxtG"/>
        <w:ind w:left="2268"/>
      </w:pPr>
      <w:r w:rsidRPr="002C5876">
        <w:t>Sauf indication contraire, le calcul s’effectue sur la base de la courbe de vitesse visée du véhicule, obtenue avec une série discrète d’instants.</w:t>
      </w:r>
    </w:p>
    <w:p w:rsidR="00E24DB7" w:rsidRPr="002C5876" w:rsidRDefault="00E24DB7" w:rsidP="00356443">
      <w:pPr>
        <w:pStyle w:val="SingleTxtG"/>
        <w:ind w:left="2268"/>
      </w:pPr>
      <w:r w:rsidRPr="002C5876">
        <w:t>Aux fins du calcul, chaque instant doit être interprété comme une période. Sauf indication contraire, la durée ∆t des périodes doit être de 1 s.</w:t>
      </w:r>
    </w:p>
    <w:p w:rsidR="00E24DB7" w:rsidRPr="002C5876" w:rsidRDefault="00E24DB7" w:rsidP="00356443">
      <w:pPr>
        <w:pStyle w:val="SingleTxtG"/>
        <w:ind w:left="2268"/>
      </w:pPr>
      <w:r w:rsidRPr="002C5876">
        <w:t>La demande d’énergie totale E pour le cycle complet ou une phase donnée du cycle doit être calculée en faisant la somme des E</w:t>
      </w:r>
      <w:r w:rsidRPr="002C5876">
        <w:rPr>
          <w:vertAlign w:val="subscript"/>
        </w:rPr>
        <w:t>i</w:t>
      </w:r>
      <w:r w:rsidRPr="002C5876">
        <w:t xml:space="preserve"> sur la période comprise entre t</w:t>
      </w:r>
      <w:r w:rsidRPr="002C5876">
        <w:rPr>
          <w:vertAlign w:val="subscript"/>
        </w:rPr>
        <w:t>start</w:t>
      </w:r>
      <w:r w:rsidRPr="002C5876">
        <w:t xml:space="preserve"> et t</w:t>
      </w:r>
      <w:r w:rsidRPr="002C5876">
        <w:rPr>
          <w:vertAlign w:val="subscript"/>
        </w:rPr>
        <w:t>end</w:t>
      </w:r>
      <w:r w:rsidRPr="002C5876">
        <w:t xml:space="preserve"> selon l’équation suivante :</w:t>
      </w:r>
    </w:p>
    <w:p w:rsidR="00356443" w:rsidRPr="002C5876" w:rsidRDefault="00356443" w:rsidP="00356443">
      <w:pPr>
        <w:pStyle w:val="SingleTxtG"/>
        <w:ind w:left="2268"/>
      </w:pPr>
      <m:oMathPara>
        <m:oMath>
          <m:r>
            <m:rPr>
              <m:sty m:val="p"/>
            </m:rPr>
            <w:rPr>
              <w:rFonts w:ascii="Cambria Math" w:hAnsi="Cambria Math"/>
              <w:sz w:val="19"/>
              <w:szCs w:val="19"/>
              <w:lang w:eastAsia="nl-NL"/>
            </w:rPr>
            <m:t xml:space="preserve">E= </m:t>
          </m:r>
          <m:nary>
            <m:naryPr>
              <m:chr m:val="∑"/>
              <m:limLoc m:val="subSup"/>
              <m:ctrlPr>
                <w:rPr>
                  <w:rFonts w:ascii="Cambria Math" w:hAnsi="Cambria Math"/>
                  <w:iCs/>
                  <w:sz w:val="19"/>
                  <w:szCs w:val="19"/>
                  <w:lang w:eastAsia="nl-NL"/>
                </w:rPr>
              </m:ctrlPr>
            </m:naryPr>
            <m:sub>
              <m:sSub>
                <m:sSubPr>
                  <m:ctrlPr>
                    <w:rPr>
                      <w:rFonts w:ascii="Cambria Math" w:hAnsi="Cambria Math"/>
                      <w:iCs/>
                      <w:sz w:val="19"/>
                      <w:szCs w:val="19"/>
                      <w:lang w:eastAsia="nl-NL"/>
                    </w:rPr>
                  </m:ctrlPr>
                </m:sSubPr>
                <m:e>
                  <m:r>
                    <m:rPr>
                      <m:sty m:val="p"/>
                    </m:rPr>
                    <w:rPr>
                      <w:rFonts w:ascii="Cambria Math" w:hAnsi="Cambria Math"/>
                      <w:sz w:val="19"/>
                      <w:szCs w:val="19"/>
                      <w:lang w:eastAsia="nl-NL"/>
                    </w:rPr>
                    <m:t>t</m:t>
                  </m:r>
                </m:e>
                <m:sub>
                  <m:r>
                    <m:rPr>
                      <m:sty m:val="p"/>
                    </m:rPr>
                    <w:rPr>
                      <w:rFonts w:ascii="Cambria Math" w:hAnsi="Cambria Math"/>
                      <w:sz w:val="19"/>
                      <w:szCs w:val="19"/>
                      <w:lang w:eastAsia="nl-NL"/>
                    </w:rPr>
                    <m:t>start</m:t>
                  </m:r>
                </m:sub>
              </m:sSub>
            </m:sub>
            <m:sup>
              <m:sSub>
                <m:sSubPr>
                  <m:ctrlPr>
                    <w:rPr>
                      <w:rFonts w:ascii="Cambria Math" w:hAnsi="Cambria Math"/>
                      <w:iCs/>
                      <w:sz w:val="19"/>
                      <w:szCs w:val="19"/>
                      <w:lang w:eastAsia="nl-NL"/>
                    </w:rPr>
                  </m:ctrlPr>
                </m:sSubPr>
                <m:e>
                  <m:r>
                    <m:rPr>
                      <m:sty m:val="p"/>
                    </m:rPr>
                    <w:rPr>
                      <w:rFonts w:ascii="Cambria Math" w:hAnsi="Cambria Math"/>
                      <w:sz w:val="19"/>
                      <w:szCs w:val="19"/>
                      <w:lang w:eastAsia="nl-NL"/>
                    </w:rPr>
                    <m:t>t</m:t>
                  </m:r>
                </m:e>
                <m:sub>
                  <m:r>
                    <m:rPr>
                      <m:sty m:val="p"/>
                    </m:rPr>
                    <w:rPr>
                      <w:rFonts w:ascii="Cambria Math" w:hAnsi="Cambria Math"/>
                      <w:sz w:val="19"/>
                      <w:szCs w:val="19"/>
                      <w:lang w:eastAsia="nl-NL"/>
                    </w:rPr>
                    <m:t>end</m:t>
                  </m:r>
                </m:sub>
              </m:sSub>
            </m:sup>
            <m:e>
              <m:sSub>
                <m:sSubPr>
                  <m:ctrlPr>
                    <w:rPr>
                      <w:rFonts w:ascii="Cambria Math" w:hAnsi="Cambria Math"/>
                      <w:i/>
                      <w:iCs/>
                      <w:sz w:val="19"/>
                      <w:szCs w:val="19"/>
                      <w:lang w:eastAsia="nl-NL"/>
                    </w:rPr>
                  </m:ctrlPr>
                </m:sSubPr>
                <m:e>
                  <m:r>
                    <m:rPr>
                      <m:sty m:val="p"/>
                    </m:rPr>
                    <w:rPr>
                      <w:rFonts w:ascii="Cambria Math" w:hAnsi="Cambria Math"/>
                      <w:sz w:val="19"/>
                      <w:szCs w:val="19"/>
                      <w:lang w:eastAsia="nl-NL"/>
                    </w:rPr>
                    <m:t>E</m:t>
                  </m:r>
                </m:e>
                <m:sub>
                  <m:r>
                    <m:rPr>
                      <m:sty m:val="p"/>
                    </m:rPr>
                    <w:rPr>
                      <w:rFonts w:ascii="Cambria Math" w:hAnsi="Cambria Math"/>
                      <w:sz w:val="19"/>
                      <w:szCs w:val="19"/>
                      <w:lang w:eastAsia="nl-NL"/>
                    </w:rPr>
                    <m:t>i</m:t>
                  </m:r>
                </m:sub>
              </m:sSub>
            </m:e>
          </m:nary>
        </m:oMath>
      </m:oMathPara>
    </w:p>
    <w:p w:rsidR="00E24DB7" w:rsidRPr="002C5876" w:rsidRDefault="00E24DB7" w:rsidP="00356443">
      <w:pPr>
        <w:pStyle w:val="SingleTxtG"/>
        <w:keepNext/>
        <w:ind w:left="2835" w:hanging="567"/>
      </w:pPr>
      <w:r w:rsidRPr="002C5876">
        <w:t>où :</w:t>
      </w:r>
    </w:p>
    <w:p w:rsidR="00E24DB7" w:rsidRPr="002C5876" w:rsidRDefault="00E24DB7" w:rsidP="00356443">
      <w:pPr>
        <w:pStyle w:val="SingleTxtG"/>
        <w:tabs>
          <w:tab w:val="left" w:pos="3686"/>
          <w:tab w:val="left" w:pos="4111"/>
          <w:tab w:val="left" w:pos="8049"/>
        </w:tabs>
        <w:ind w:left="2835" w:hanging="567"/>
      </w:pPr>
      <w:r w:rsidRPr="002C5876">
        <w:t>E</w:t>
      </w:r>
      <w:r w:rsidRPr="002C5876">
        <w:rPr>
          <w:vertAlign w:val="subscript"/>
        </w:rPr>
        <w:t>i</w:t>
      </w:r>
      <w:r w:rsidRPr="002C5876">
        <w:t xml:space="preserve"> = F</w:t>
      </w:r>
      <w:r w:rsidRPr="002C5876">
        <w:rPr>
          <w:vertAlign w:val="subscript"/>
        </w:rPr>
        <w:t>i</w:t>
      </w:r>
      <w:r w:rsidRPr="002C5876">
        <w:t xml:space="preserve"> </w:t>
      </w:r>
      <w:r w:rsidRPr="002C5876">
        <w:sym w:font="Symbol" w:char="F0B4"/>
      </w:r>
      <w:r w:rsidRPr="002C5876">
        <w:t xml:space="preserve"> d</w:t>
      </w:r>
      <w:r w:rsidRPr="002C5876">
        <w:rPr>
          <w:vertAlign w:val="subscript"/>
        </w:rPr>
        <w:t>i</w:t>
      </w:r>
      <w:r w:rsidRPr="002C5876">
        <w:tab/>
        <w:t>si F</w:t>
      </w:r>
      <w:r w:rsidRPr="002C5876">
        <w:rPr>
          <w:vertAlign w:val="subscript"/>
        </w:rPr>
        <w:t>i</w:t>
      </w:r>
      <w:r w:rsidRPr="002C5876">
        <w:t xml:space="preserve"> &gt; 0</w:t>
      </w:r>
    </w:p>
    <w:p w:rsidR="00E24DB7" w:rsidRPr="002C5876" w:rsidRDefault="00E24DB7" w:rsidP="00356443">
      <w:pPr>
        <w:pStyle w:val="SingleTxtG"/>
        <w:tabs>
          <w:tab w:val="left" w:pos="3686"/>
          <w:tab w:val="left" w:pos="4111"/>
          <w:tab w:val="left" w:pos="8049"/>
        </w:tabs>
        <w:ind w:left="2835" w:hanging="567"/>
      </w:pPr>
      <w:r w:rsidRPr="002C5876">
        <w:t>E</w:t>
      </w:r>
      <w:r w:rsidRPr="002C5876">
        <w:rPr>
          <w:vertAlign w:val="subscript"/>
        </w:rPr>
        <w:t>i</w:t>
      </w:r>
      <w:r w:rsidRPr="002C5876">
        <w:t>= 0</w:t>
      </w:r>
      <w:r w:rsidRPr="002C5876">
        <w:tab/>
        <w:t>si</w:t>
      </w:r>
      <w:r w:rsidRPr="002C5876">
        <w:tab/>
        <w:t>F</w:t>
      </w:r>
      <w:r w:rsidRPr="002C5876">
        <w:rPr>
          <w:vertAlign w:val="subscript"/>
        </w:rPr>
        <w:t>i</w:t>
      </w:r>
      <w:r w:rsidRPr="002C5876">
        <w:t xml:space="preserve"> ≤ 0</w:t>
      </w:r>
    </w:p>
    <w:p w:rsidR="00E24DB7" w:rsidRPr="002C5876" w:rsidRDefault="00E24DB7" w:rsidP="00356443">
      <w:pPr>
        <w:pStyle w:val="SingleTxtG"/>
        <w:keepNext/>
        <w:ind w:left="2835" w:hanging="567"/>
      </w:pPr>
      <w:r w:rsidRPr="002C5876">
        <w:t>et :</w:t>
      </w:r>
    </w:p>
    <w:p w:rsidR="00E24DB7" w:rsidRPr="002C5876" w:rsidRDefault="00E24DB7" w:rsidP="00356443">
      <w:pPr>
        <w:pStyle w:val="SingleTxtG"/>
        <w:ind w:left="2835" w:hanging="567"/>
      </w:pPr>
      <w:r w:rsidRPr="002C5876">
        <w:t>t</w:t>
      </w:r>
      <w:r w:rsidRPr="002C5876">
        <w:rPr>
          <w:vertAlign w:val="subscript"/>
        </w:rPr>
        <w:t>start</w:t>
      </w:r>
      <w:r w:rsidRPr="002C5876">
        <w:tab/>
        <w:t>est l’instant auquel le cycle ou la phase d’essai applicable débute, en</w:t>
      </w:r>
      <w:r w:rsidR="00C7415A">
        <w:t> </w:t>
      </w:r>
      <w:r w:rsidRPr="002C5876">
        <w:t>s ;</w:t>
      </w:r>
    </w:p>
    <w:p w:rsidR="00E24DB7" w:rsidRPr="002C5876" w:rsidRDefault="00E24DB7" w:rsidP="00356443">
      <w:pPr>
        <w:pStyle w:val="SingleTxtG"/>
        <w:ind w:left="2835" w:hanging="567"/>
      </w:pPr>
      <w:r w:rsidRPr="002C5876">
        <w:t>t</w:t>
      </w:r>
      <w:r w:rsidRPr="002C5876">
        <w:rPr>
          <w:vertAlign w:val="subscript"/>
        </w:rPr>
        <w:t>end</w:t>
      </w:r>
      <w:r w:rsidRPr="002C5876">
        <w:tab/>
        <w:t>est l’instant auquel le cycle ou la phase d’essai applicable prend fin, en s ;</w:t>
      </w:r>
    </w:p>
    <w:p w:rsidR="00E24DB7" w:rsidRPr="002C5876" w:rsidRDefault="00E24DB7" w:rsidP="00356443">
      <w:pPr>
        <w:pStyle w:val="SingleTxtG"/>
        <w:ind w:left="2835" w:hanging="567"/>
      </w:pPr>
      <w:r w:rsidRPr="002C5876">
        <w:t>E</w:t>
      </w:r>
      <w:r w:rsidRPr="002C5876">
        <w:rPr>
          <w:vertAlign w:val="subscript"/>
        </w:rPr>
        <w:t>i</w:t>
      </w:r>
      <w:r w:rsidRPr="002C5876">
        <w:tab/>
        <w:t>est la demande d’énergie sur la période (i-1) à (i), en Ws ;</w:t>
      </w:r>
    </w:p>
    <w:p w:rsidR="00E24DB7" w:rsidRPr="002C5876" w:rsidRDefault="00E24DB7" w:rsidP="00356443">
      <w:pPr>
        <w:pStyle w:val="SingleTxtG"/>
        <w:ind w:left="2835" w:hanging="567"/>
      </w:pPr>
      <w:r w:rsidRPr="002C5876">
        <w:t>F</w:t>
      </w:r>
      <w:r w:rsidRPr="002C5876">
        <w:rPr>
          <w:vertAlign w:val="subscript"/>
        </w:rPr>
        <w:t>i</w:t>
      </w:r>
      <w:r w:rsidRPr="002C5876">
        <w:tab/>
        <w:t>est la force motrice sur la période (i-1) à (i), en N ;</w:t>
      </w:r>
    </w:p>
    <w:p w:rsidR="00E24DB7" w:rsidRPr="002C5876" w:rsidRDefault="00E24DB7" w:rsidP="00356443">
      <w:pPr>
        <w:pStyle w:val="SingleTxtG"/>
        <w:ind w:left="2835" w:hanging="567"/>
      </w:pPr>
      <w:r w:rsidRPr="002C5876">
        <w:t>d</w:t>
      </w:r>
      <w:r w:rsidRPr="002C5876">
        <w:rPr>
          <w:vertAlign w:val="subscript"/>
        </w:rPr>
        <w:t>i</w:t>
      </w:r>
      <w:r w:rsidRPr="002C5876">
        <w:tab/>
        <w:t>est la distance parcourue sur la période (i-1) à (i), en m.</w:t>
      </w:r>
    </w:p>
    <w:p w:rsidR="00356443" w:rsidRPr="002C5876" w:rsidRDefault="00731CA6" w:rsidP="00356443">
      <w:pPr>
        <w:pStyle w:val="SingleTxtG"/>
        <w:ind w:left="2268"/>
      </w:pPr>
      <m:oMathPara>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0</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1</m:t>
              </m:r>
            </m:sub>
          </m:sSub>
          <m:r>
            <m:rPr>
              <m:sty m:val="p"/>
            </m:rPr>
            <w:rPr>
              <w:rFonts w:ascii="Cambria Math" w:hAnsi="Cambria Math"/>
              <w:szCs w:val="24"/>
            </w:rPr>
            <m:t>×</m:t>
          </m:r>
          <m:d>
            <m:dPr>
              <m:ctrlPr>
                <w:rPr>
                  <w:rFonts w:ascii="Cambria Math" w:hAnsi="Cambria Math"/>
                  <w:szCs w:val="24"/>
                </w:rPr>
              </m:ctrlPr>
            </m:dPr>
            <m:e>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i-1</m:t>
                      </m:r>
                    </m:sub>
                  </m:sSub>
                </m:num>
                <m:den>
                  <m:r>
                    <m:rPr>
                      <m:sty m:val="p"/>
                    </m:rPr>
                    <w:rPr>
                      <w:rFonts w:ascii="Cambria Math" w:hAnsi="Cambria Math"/>
                      <w:szCs w:val="24"/>
                    </w:rPr>
                    <m:t>2</m:t>
                  </m:r>
                </m:den>
              </m:f>
            </m:e>
          </m:d>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2</m:t>
              </m:r>
            </m:sub>
          </m:sSub>
          <m:r>
            <m:rPr>
              <m:sty m:val="p"/>
            </m:rPr>
            <w:rPr>
              <w:rFonts w:ascii="Cambria Math" w:hAnsi="Cambria Math"/>
              <w:szCs w:val="24"/>
            </w:rPr>
            <m:t>×</m:t>
          </m:r>
          <m:f>
            <m:fPr>
              <m:ctrlPr>
                <w:rPr>
                  <w:rFonts w:ascii="Cambria Math" w:hAnsi="Cambria Math"/>
                  <w:szCs w:val="24"/>
                </w:rPr>
              </m:ctrlPr>
            </m:fPr>
            <m:num>
              <m:sSup>
                <m:sSupPr>
                  <m:ctrlPr>
                    <w:rPr>
                      <w:rFonts w:ascii="Cambria Math" w:hAnsi="Cambria Math"/>
                      <w:szCs w:val="24"/>
                    </w:rPr>
                  </m:ctrlPr>
                </m:sSupPr>
                <m:e>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i-1</m:t>
                          </m:r>
                        </m:sub>
                      </m:sSub>
                    </m:e>
                  </m:d>
                </m:e>
                <m:sup>
                  <m:r>
                    <m:rPr>
                      <m:sty m:val="p"/>
                    </m:rPr>
                    <w:rPr>
                      <w:rFonts w:ascii="Cambria Math" w:hAnsi="Cambria Math"/>
                      <w:szCs w:val="24"/>
                    </w:rPr>
                    <m:t>2</m:t>
                  </m:r>
                </m:sup>
              </m:sSup>
            </m:num>
            <m:den>
              <m:r>
                <m:rPr>
                  <m:sty m:val="p"/>
                </m:rPr>
                <w:rPr>
                  <w:rFonts w:ascii="Cambria Math" w:hAnsi="Cambria Math"/>
                  <w:szCs w:val="24"/>
                </w:rPr>
                <m:t>4</m:t>
              </m:r>
            </m:den>
          </m:f>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1.03×TM</m:t>
              </m:r>
            </m:e>
          </m:d>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i</m:t>
              </m:r>
            </m:sub>
          </m:sSub>
        </m:oMath>
      </m:oMathPara>
    </w:p>
    <w:p w:rsidR="00E24DB7" w:rsidRPr="002C5876" w:rsidRDefault="00E24DB7" w:rsidP="00356443">
      <w:pPr>
        <w:pStyle w:val="SingleTxtG"/>
        <w:keepNext/>
        <w:ind w:left="2835" w:hanging="567"/>
      </w:pPr>
      <w:r w:rsidRPr="002C5876">
        <w:t>où :</w:t>
      </w:r>
    </w:p>
    <w:p w:rsidR="00E24DB7" w:rsidRPr="002C5876" w:rsidRDefault="00E24DB7" w:rsidP="00356443">
      <w:pPr>
        <w:pStyle w:val="SingleTxtG"/>
        <w:ind w:left="2835" w:hanging="567"/>
      </w:pPr>
      <w:r w:rsidRPr="002C5876">
        <w:t>F</w:t>
      </w:r>
      <w:r w:rsidRPr="002C5876">
        <w:rPr>
          <w:vertAlign w:val="subscript"/>
        </w:rPr>
        <w:t>i</w:t>
      </w:r>
      <w:r w:rsidRPr="002C5876">
        <w:tab/>
        <w:t>est la force motrice sur la période (i-1) à (i), en N ;</w:t>
      </w:r>
    </w:p>
    <w:p w:rsidR="00E24DB7" w:rsidRPr="002C5876" w:rsidRDefault="00E24DB7" w:rsidP="00356443">
      <w:pPr>
        <w:pStyle w:val="SingleTxtG"/>
        <w:ind w:left="2835" w:hanging="567"/>
      </w:pPr>
      <w:r w:rsidRPr="002C5876">
        <w:t>v</w:t>
      </w:r>
      <w:r w:rsidRPr="002C5876">
        <w:rPr>
          <w:vertAlign w:val="subscript"/>
        </w:rPr>
        <w:t>i</w:t>
      </w:r>
      <w:r w:rsidRPr="002C5876">
        <w:tab/>
        <w:t>est la vitesse visée à l’instant t</w:t>
      </w:r>
      <w:r w:rsidRPr="002C5876">
        <w:rPr>
          <w:vertAlign w:val="subscript"/>
        </w:rPr>
        <w:t>i</w:t>
      </w:r>
      <w:r w:rsidRPr="002C5876">
        <w:t>, en km/h ;</w:t>
      </w:r>
    </w:p>
    <w:p w:rsidR="00E24DB7" w:rsidRPr="002C5876" w:rsidRDefault="00E24DB7" w:rsidP="00356443">
      <w:pPr>
        <w:pStyle w:val="SingleTxtG"/>
        <w:ind w:left="2835" w:hanging="567"/>
      </w:pPr>
      <w:r w:rsidRPr="002C5876">
        <w:lastRenderedPageBreak/>
        <w:t>TM</w:t>
      </w:r>
      <w:r w:rsidRPr="002C5876">
        <w:tab/>
        <w:t>est la masse d’essai, en kg ;</w:t>
      </w:r>
    </w:p>
    <w:p w:rsidR="00E24DB7" w:rsidRPr="002C5876" w:rsidRDefault="00E24DB7" w:rsidP="00356443">
      <w:pPr>
        <w:pStyle w:val="SingleTxtG"/>
        <w:ind w:left="2835" w:hanging="567"/>
      </w:pPr>
      <w:r w:rsidRPr="002C5876">
        <w:t>a</w:t>
      </w:r>
      <w:r w:rsidRPr="002C5876">
        <w:rPr>
          <w:vertAlign w:val="subscript"/>
        </w:rPr>
        <w:t>i</w:t>
      </w:r>
      <w:r w:rsidRPr="002C5876">
        <w:tab/>
        <w:t>est l’accélération sur la période (i-1) à (i), en m/s</w:t>
      </w:r>
      <w:r w:rsidRPr="002C5876">
        <w:rPr>
          <w:vertAlign w:val="superscript"/>
        </w:rPr>
        <w:t>2</w:t>
      </w:r>
      <w:r w:rsidRPr="002C5876">
        <w:t> ;</w:t>
      </w:r>
    </w:p>
    <w:p w:rsidR="00E24DB7" w:rsidRPr="002C5876" w:rsidRDefault="00E24DB7" w:rsidP="00356443">
      <w:pPr>
        <w:pStyle w:val="SingleTxtG"/>
        <w:ind w:left="2835" w:hanging="567"/>
      </w:pPr>
      <w:r w:rsidRPr="002C5876">
        <w:t>f</w:t>
      </w:r>
      <w:r w:rsidRPr="002C5876">
        <w:rPr>
          <w:vertAlign w:val="subscript"/>
        </w:rPr>
        <w:t>0</w:t>
      </w:r>
      <w:r w:rsidRPr="002C5876">
        <w:t>, f</w:t>
      </w:r>
      <w:r w:rsidRPr="002C5876">
        <w:rPr>
          <w:vertAlign w:val="subscript"/>
        </w:rPr>
        <w:t>1</w:t>
      </w:r>
      <w:r w:rsidRPr="002C5876">
        <w:t xml:space="preserve"> et f</w:t>
      </w:r>
      <w:r w:rsidRPr="002C5876">
        <w:rPr>
          <w:vertAlign w:val="subscript"/>
        </w:rPr>
        <w:t>2</w:t>
      </w:r>
      <w:r w:rsidRPr="002C5876">
        <w:tab/>
        <w:t>sont les coefficients de résistance à l’avancement sur route pour le véhicule considéré (TM</w:t>
      </w:r>
      <w:r w:rsidRPr="002C5876">
        <w:rPr>
          <w:vertAlign w:val="subscript"/>
        </w:rPr>
        <w:t>L</w:t>
      </w:r>
      <w:r w:rsidRPr="002C5876">
        <w:t>, TM</w:t>
      </w:r>
      <w:r w:rsidRPr="002C5876">
        <w:rPr>
          <w:vertAlign w:val="subscript"/>
        </w:rPr>
        <w:t>H</w:t>
      </w:r>
      <w:r w:rsidRPr="002C5876">
        <w:t xml:space="preserve"> ou TM</w:t>
      </w:r>
      <w:r w:rsidRPr="002C5876">
        <w:rPr>
          <w:vertAlign w:val="subscript"/>
        </w:rPr>
        <w:t>ind</w:t>
      </w:r>
      <w:r w:rsidRPr="002C5876">
        <w:t>), en N, N/km/h et N/(km/h)</w:t>
      </w:r>
      <w:r w:rsidRPr="002C5876">
        <w:rPr>
          <w:vertAlign w:val="superscript"/>
        </w:rPr>
        <w:t>2</w:t>
      </w:r>
      <w:r w:rsidRPr="002C5876">
        <w:t xml:space="preserve"> respectivement.</w:t>
      </w:r>
    </w:p>
    <w:p w:rsidR="00356443" w:rsidRPr="002C5876" w:rsidRDefault="00731CA6" w:rsidP="00356443">
      <w:pPr>
        <w:pStyle w:val="SingleTxtG"/>
        <w:ind w:left="2268"/>
      </w:pPr>
      <m:oMathPara>
        <m:oMath>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i</m:t>
              </m:r>
            </m:sub>
          </m:sSub>
          <m:r>
            <m:rPr>
              <m:sty m:val="p"/>
            </m:rPr>
            <w:rPr>
              <w:rFonts w:ascii="Cambria Math" w:hAnsi="Cambria Math"/>
              <w:szCs w:val="24"/>
            </w:rPr>
            <m:t>=</m:t>
          </m:r>
          <m:f>
            <m:fPr>
              <m:ctrlPr>
                <w:rPr>
                  <w:rFonts w:ascii="Cambria Math" w:hAnsi="Cambria Math"/>
                  <w:szCs w:val="24"/>
                </w:rPr>
              </m:ctrlPr>
            </m:fPr>
            <m:num>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i-1</m:t>
                      </m:r>
                    </m:sub>
                  </m:sSub>
                </m:e>
              </m:d>
            </m:num>
            <m:den>
              <m:r>
                <m:rPr>
                  <m:sty m:val="p"/>
                </m:rPr>
                <w:rPr>
                  <w:rFonts w:ascii="Cambria Math" w:hAnsi="Cambria Math"/>
                  <w:szCs w:val="24"/>
                </w:rPr>
                <m:t>2×3,6</m:t>
              </m:r>
            </m:den>
          </m:f>
          <m:r>
            <m:rPr>
              <m:sty m:val="p"/>
            </m:rPr>
            <w:rPr>
              <w:rFonts w:ascii="Cambria Math" w:hAnsi="Cambria Math"/>
              <w:szCs w:val="24"/>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i-1</m:t>
                  </m:r>
                </m:sub>
              </m:sSub>
            </m:e>
          </m:d>
        </m:oMath>
      </m:oMathPara>
    </w:p>
    <w:p w:rsidR="00E24DB7" w:rsidRPr="002C5876" w:rsidRDefault="00E24DB7" w:rsidP="00356443">
      <w:pPr>
        <w:pStyle w:val="SingleTxtG"/>
        <w:keepNext/>
        <w:ind w:left="2835" w:hanging="567"/>
      </w:pPr>
      <w:r w:rsidRPr="002C5876">
        <w:t>où :</w:t>
      </w:r>
    </w:p>
    <w:p w:rsidR="00E24DB7" w:rsidRPr="002C5876" w:rsidRDefault="00E24DB7" w:rsidP="00356443">
      <w:pPr>
        <w:pStyle w:val="SingleTxtG"/>
        <w:spacing w:line="220" w:lineRule="atLeast"/>
        <w:ind w:left="2835" w:hanging="567"/>
      </w:pPr>
      <w:r w:rsidRPr="002C5876">
        <w:t>d</w:t>
      </w:r>
      <w:r w:rsidRPr="002C5876">
        <w:rPr>
          <w:vertAlign w:val="subscript"/>
        </w:rPr>
        <w:t>i</w:t>
      </w:r>
      <w:r w:rsidRPr="002C5876">
        <w:tab/>
        <w:t>est la distance parcourue sur la période (i-1) à (i), en m ;</w:t>
      </w:r>
    </w:p>
    <w:p w:rsidR="00E24DB7" w:rsidRPr="002C5876" w:rsidRDefault="00E24DB7" w:rsidP="00356443">
      <w:pPr>
        <w:pStyle w:val="SingleTxtG"/>
        <w:spacing w:line="220" w:lineRule="atLeast"/>
        <w:ind w:left="2835" w:hanging="567"/>
      </w:pPr>
      <w:r w:rsidRPr="002C5876">
        <w:t>v</w:t>
      </w:r>
      <w:r w:rsidRPr="002C5876">
        <w:rPr>
          <w:vertAlign w:val="subscript"/>
        </w:rPr>
        <w:t>i</w:t>
      </w:r>
      <w:r w:rsidRPr="002C5876">
        <w:tab/>
        <w:t>est la vitesse visée à l’instant t</w:t>
      </w:r>
      <w:r w:rsidRPr="002C5876">
        <w:rPr>
          <w:vertAlign w:val="subscript"/>
        </w:rPr>
        <w:t>i</w:t>
      </w:r>
      <w:r w:rsidRPr="002C5876">
        <w:t>, en km/h ;</w:t>
      </w:r>
    </w:p>
    <w:p w:rsidR="00E24DB7" w:rsidRPr="002C5876" w:rsidRDefault="00E24DB7" w:rsidP="00356443">
      <w:pPr>
        <w:pStyle w:val="SingleTxtG"/>
        <w:spacing w:line="220" w:lineRule="atLeast"/>
        <w:ind w:left="2835" w:hanging="567"/>
      </w:pPr>
      <w:r w:rsidRPr="002C5876">
        <w:t>t</w:t>
      </w:r>
      <w:r w:rsidRPr="002C5876">
        <w:rPr>
          <w:vertAlign w:val="subscript"/>
        </w:rPr>
        <w:t>i</w:t>
      </w:r>
      <w:r w:rsidRPr="002C5876">
        <w:tab/>
        <w:t>est le temps, en s.</w:t>
      </w:r>
    </w:p>
    <w:p w:rsidR="00356443" w:rsidRPr="002C5876" w:rsidRDefault="00731CA6" w:rsidP="00356443">
      <w:pPr>
        <w:pStyle w:val="SingleTxtG"/>
        <w:spacing w:line="220" w:lineRule="atLeast"/>
        <w:ind w:left="2268"/>
      </w:pPr>
      <m:oMathPara>
        <m:oMath>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i</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i-1</m:t>
                  </m:r>
                </m:sub>
              </m:sSub>
            </m:num>
            <m:den>
              <m:r>
                <m:rPr>
                  <m:sty m:val="p"/>
                </m:rPr>
                <w:rPr>
                  <w:rFonts w:ascii="Cambria Math" w:hAnsi="Cambria Math"/>
                  <w:szCs w:val="24"/>
                </w:rPr>
                <m:t>3,6×</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i-1</m:t>
                      </m:r>
                    </m:sub>
                  </m:sSub>
                </m:e>
              </m:d>
            </m:den>
          </m:f>
        </m:oMath>
      </m:oMathPara>
    </w:p>
    <w:p w:rsidR="00E24DB7" w:rsidRPr="002C5876" w:rsidRDefault="00E24DB7" w:rsidP="00356443">
      <w:pPr>
        <w:pStyle w:val="SingleTxtG"/>
        <w:keepNext/>
        <w:ind w:left="2835" w:hanging="567"/>
      </w:pPr>
      <w:r w:rsidRPr="002C5876">
        <w:t>où :</w:t>
      </w:r>
    </w:p>
    <w:p w:rsidR="00E24DB7" w:rsidRPr="002C5876" w:rsidRDefault="00E24DB7" w:rsidP="00356443">
      <w:pPr>
        <w:pStyle w:val="SingleTxtG"/>
        <w:spacing w:line="220" w:lineRule="atLeast"/>
        <w:ind w:left="2835" w:hanging="567"/>
      </w:pPr>
      <w:r w:rsidRPr="002C5876">
        <w:t>a</w:t>
      </w:r>
      <w:r w:rsidRPr="002C5876">
        <w:rPr>
          <w:vertAlign w:val="subscript"/>
        </w:rPr>
        <w:t>i</w:t>
      </w:r>
      <w:r w:rsidRPr="002C5876">
        <w:tab/>
        <w:t>est l’accélération sur la période (i-1) à (i), en m/s</w:t>
      </w:r>
      <w:r w:rsidRPr="002C5876">
        <w:rPr>
          <w:vertAlign w:val="superscript"/>
        </w:rPr>
        <w:t>2</w:t>
      </w:r>
      <w:r w:rsidRPr="002C5876">
        <w:t> ;</w:t>
      </w:r>
    </w:p>
    <w:p w:rsidR="00E24DB7" w:rsidRPr="002C5876" w:rsidRDefault="00E24DB7" w:rsidP="00356443">
      <w:pPr>
        <w:pStyle w:val="SingleTxtG"/>
        <w:spacing w:line="220" w:lineRule="atLeast"/>
        <w:ind w:left="2835" w:hanging="567"/>
      </w:pPr>
      <w:r w:rsidRPr="002C5876">
        <w:t>v</w:t>
      </w:r>
      <w:r w:rsidRPr="002C5876">
        <w:rPr>
          <w:vertAlign w:val="subscript"/>
        </w:rPr>
        <w:t>i</w:t>
      </w:r>
      <w:r w:rsidRPr="002C5876">
        <w:tab/>
        <w:t>est la vitesse visée à l’instant t</w:t>
      </w:r>
      <w:r w:rsidRPr="002C5876">
        <w:rPr>
          <w:vertAlign w:val="subscript"/>
        </w:rPr>
        <w:t>i</w:t>
      </w:r>
      <w:r w:rsidRPr="002C5876">
        <w:t>, en km/h ;</w:t>
      </w:r>
    </w:p>
    <w:p w:rsidR="00E24DB7" w:rsidRPr="002C5876" w:rsidRDefault="00E24DB7" w:rsidP="00356443">
      <w:pPr>
        <w:pStyle w:val="SingleTxtG"/>
        <w:spacing w:line="220" w:lineRule="atLeast"/>
        <w:ind w:left="2835" w:hanging="567"/>
      </w:pPr>
      <w:r w:rsidRPr="002C5876">
        <w:t>t</w:t>
      </w:r>
      <w:r w:rsidRPr="002C5876">
        <w:rPr>
          <w:vertAlign w:val="subscript"/>
        </w:rPr>
        <w:t>i</w:t>
      </w:r>
      <w:r w:rsidRPr="002C5876">
        <w:tab/>
        <w:t>est le temps, en s.</w:t>
      </w:r>
    </w:p>
    <w:p w:rsidR="00E24DB7" w:rsidRPr="002C5876" w:rsidRDefault="00E24DB7" w:rsidP="00356443">
      <w:pPr>
        <w:pStyle w:val="SingleTxtG"/>
        <w:keepNext/>
        <w:ind w:left="2268" w:hanging="1134"/>
        <w:jc w:val="left"/>
      </w:pPr>
      <w:r w:rsidRPr="002C5876">
        <w:t>6.</w:t>
      </w:r>
      <w:r w:rsidRPr="002C5876">
        <w:tab/>
        <w:t>Calcul de la consommation de carburant</w:t>
      </w:r>
    </w:p>
    <w:p w:rsidR="00E24DB7" w:rsidRPr="002C5876" w:rsidRDefault="00E24DB7" w:rsidP="00356443">
      <w:pPr>
        <w:pStyle w:val="SingleTxtG"/>
        <w:ind w:left="2268" w:hanging="1134"/>
        <w:rPr>
          <w:lang w:eastAsia="en-GB"/>
        </w:rPr>
      </w:pPr>
      <w:r w:rsidRPr="002C5876">
        <w:rPr>
          <w:lang w:eastAsia="en-GB"/>
        </w:rPr>
        <w:t>6.1</w:t>
      </w:r>
      <w:r w:rsidRPr="002C5876">
        <w:rPr>
          <w:lang w:eastAsia="en-GB"/>
        </w:rPr>
        <w:tab/>
        <w:t>Les caractéristiques imposées pour le calcul des valeurs de la consommation de carburant sont indiquées dans l’annexe 3 du présent RTM</w:t>
      </w:r>
      <w:r w:rsidR="00123066">
        <w:rPr>
          <w:lang w:eastAsia="en-GB"/>
        </w:rPr>
        <w:t xml:space="preserve"> </w:t>
      </w:r>
      <w:r w:rsidR="00123066">
        <w:t>ONU</w:t>
      </w:r>
      <w:r w:rsidRPr="002C5876">
        <w:rPr>
          <w:lang w:eastAsia="en-GB"/>
        </w:rPr>
        <w:t>.</w:t>
      </w:r>
    </w:p>
    <w:p w:rsidR="00E24DB7" w:rsidRPr="002C5876" w:rsidRDefault="00E24DB7" w:rsidP="00356443">
      <w:pPr>
        <w:pStyle w:val="SingleTxtG"/>
        <w:ind w:left="2268" w:hanging="1134"/>
        <w:rPr>
          <w:lang w:eastAsia="en-GB"/>
        </w:rPr>
      </w:pPr>
      <w:r w:rsidRPr="002C5876">
        <w:rPr>
          <w:lang w:eastAsia="en-GB"/>
        </w:rPr>
        <w:t>6.2</w:t>
      </w:r>
      <w:r w:rsidRPr="002C5876">
        <w:rPr>
          <w:lang w:eastAsia="en-GB"/>
        </w:rPr>
        <w:tab/>
      </w:r>
      <w:r w:rsidRPr="002C5876">
        <w:rPr>
          <w:lang w:eastAsia="en-GB"/>
        </w:rPr>
        <w:tab/>
        <w:t>Les valeurs de la consommation de carburant sont calculées à partir des émissions d’hydrocarbures, de monoxyde de carbone et de dioxyde de carbone, en utilisant les résultats de l’étape 6 pour les émissions de référence et ceux de l’étape 7 pour le CO</w:t>
      </w:r>
      <w:r w:rsidRPr="002C5876">
        <w:rPr>
          <w:vertAlign w:val="subscript"/>
          <w:lang w:eastAsia="en-GB"/>
        </w:rPr>
        <w:t>2</w:t>
      </w:r>
      <w:r w:rsidRPr="002C5876">
        <w:rPr>
          <w:lang w:eastAsia="en-GB"/>
        </w:rPr>
        <w:t xml:space="preserve"> (voir le tableau A7/1).</w:t>
      </w:r>
    </w:p>
    <w:p w:rsidR="00E24DB7" w:rsidRPr="002C5876" w:rsidRDefault="00E24DB7" w:rsidP="00356443">
      <w:pPr>
        <w:pStyle w:val="SingleTxtG"/>
        <w:ind w:left="2268" w:hanging="1134"/>
        <w:rPr>
          <w:lang w:eastAsia="en-GB"/>
        </w:rPr>
      </w:pPr>
      <w:r w:rsidRPr="002C5876">
        <w:rPr>
          <w:lang w:eastAsia="en-GB"/>
        </w:rPr>
        <w:t>6.2.1</w:t>
      </w:r>
      <w:r w:rsidRPr="002C5876">
        <w:rPr>
          <w:lang w:eastAsia="en-GB"/>
        </w:rPr>
        <w:tab/>
        <w:t>L’équation de base présentée au paragraphe 6.12 de la présente annexe, dans laquelle sont utilisés les rapports H/C et O/C, doit être appliquée pour le calcul de la consommation de carburant.</w:t>
      </w:r>
    </w:p>
    <w:p w:rsidR="00E24DB7" w:rsidRPr="002C5876" w:rsidRDefault="00E24DB7" w:rsidP="00356443">
      <w:pPr>
        <w:pStyle w:val="SingleTxtG"/>
        <w:ind w:left="2268" w:hanging="1134"/>
      </w:pPr>
      <w:r w:rsidRPr="002C5876">
        <w:rPr>
          <w:lang w:eastAsia="en-GB"/>
        </w:rPr>
        <w:t>6.2.2</w:t>
      </w:r>
      <w:r w:rsidRPr="002C5876">
        <w:rPr>
          <w:lang w:eastAsia="en-GB"/>
        </w:rPr>
        <w:tab/>
      </w:r>
      <w:r w:rsidRPr="002C5876">
        <w:rPr>
          <w:lang w:eastAsia="en-GB"/>
        </w:rPr>
        <w:tab/>
        <w:t>Pour toutes les é</w:t>
      </w:r>
      <w:r w:rsidRPr="002C5876">
        <w:t>quations présentées au paragraphe 6 de la présente annexe :</w:t>
      </w:r>
    </w:p>
    <w:p w:rsidR="00E24DB7" w:rsidRPr="002C5876" w:rsidRDefault="00E24DB7" w:rsidP="00356443">
      <w:pPr>
        <w:pStyle w:val="SingleTxtG"/>
        <w:ind w:left="3402" w:hanging="1134"/>
      </w:pPr>
      <w:r w:rsidRPr="002C5876">
        <w:t>FC</w:t>
      </w:r>
      <w:r w:rsidRPr="002C5876">
        <w:tab/>
        <w:t>est la consommation de carburant pour un carburant donné, en l/100 km (ou en m</w:t>
      </w:r>
      <w:r w:rsidRPr="002C5876">
        <w:rPr>
          <w:vertAlign w:val="superscript"/>
        </w:rPr>
        <w:t>3</w:t>
      </w:r>
      <w:r w:rsidRPr="002C5876">
        <w:t>/100 km dans le cas du gaz naturel ou en kg/100 km dans le cas de l’hydrogène) ;</w:t>
      </w:r>
    </w:p>
    <w:p w:rsidR="00E24DB7" w:rsidRPr="002C5876" w:rsidRDefault="00E24DB7" w:rsidP="00356443">
      <w:pPr>
        <w:pStyle w:val="SingleTxtG"/>
        <w:ind w:left="3402" w:hanging="1134"/>
      </w:pPr>
      <w:r w:rsidRPr="002C5876">
        <w:t>H/C</w:t>
      </w:r>
      <w:r w:rsidRPr="002C5876">
        <w:tab/>
        <w:t>est le rapport hydrogène/carbone d’un carburant donné C</w:t>
      </w:r>
      <w:r w:rsidRPr="002C5876">
        <w:rPr>
          <w:vertAlign w:val="subscript"/>
        </w:rPr>
        <w:t>X</w:t>
      </w:r>
      <w:r w:rsidRPr="002C5876">
        <w:t>H</w:t>
      </w:r>
      <w:r w:rsidRPr="002C5876">
        <w:rPr>
          <w:vertAlign w:val="subscript"/>
        </w:rPr>
        <w:t>Y</w:t>
      </w:r>
      <w:r w:rsidRPr="002C5876">
        <w:t>O</w:t>
      </w:r>
      <w:r w:rsidRPr="002C5876">
        <w:rPr>
          <w:vertAlign w:val="subscript"/>
        </w:rPr>
        <w:t>Z</w:t>
      </w:r>
      <w:r w:rsidRPr="002C5876">
        <w:t> ;</w:t>
      </w:r>
    </w:p>
    <w:p w:rsidR="00E24DB7" w:rsidRPr="002C5876" w:rsidRDefault="00E24DB7" w:rsidP="00356443">
      <w:pPr>
        <w:pStyle w:val="SingleTxtG"/>
        <w:ind w:left="3402" w:hanging="1134"/>
      </w:pPr>
      <w:r w:rsidRPr="002C5876">
        <w:t>O/C</w:t>
      </w:r>
      <w:r w:rsidRPr="002C5876">
        <w:tab/>
        <w:t>est le rapport oxygène/carbone d’un carburant donné C</w:t>
      </w:r>
      <w:r w:rsidRPr="002C5876">
        <w:rPr>
          <w:vertAlign w:val="subscript"/>
        </w:rPr>
        <w:t>X</w:t>
      </w:r>
      <w:r w:rsidRPr="002C5876">
        <w:t>H</w:t>
      </w:r>
      <w:r w:rsidRPr="002C5876">
        <w:rPr>
          <w:vertAlign w:val="subscript"/>
        </w:rPr>
        <w:t>Y</w:t>
      </w:r>
      <w:r w:rsidRPr="002C5876">
        <w:t>O</w:t>
      </w:r>
      <w:r w:rsidRPr="002C5876">
        <w:rPr>
          <w:vertAlign w:val="subscript"/>
        </w:rPr>
        <w:t>Z</w:t>
      </w:r>
      <w:r w:rsidRPr="002C5876">
        <w:t> ;</w:t>
      </w:r>
    </w:p>
    <w:p w:rsidR="00E24DB7" w:rsidRPr="002C5876" w:rsidRDefault="00E24DB7" w:rsidP="00356443">
      <w:pPr>
        <w:pStyle w:val="SingleTxtG"/>
        <w:ind w:left="3402" w:hanging="1134"/>
      </w:pPr>
      <w:r w:rsidRPr="002C5876">
        <w:t>MW</w:t>
      </w:r>
      <w:r w:rsidRPr="002C5876">
        <w:rPr>
          <w:vertAlign w:val="subscript"/>
        </w:rPr>
        <w:t>C</w:t>
      </w:r>
      <w:r w:rsidRPr="002C5876">
        <w:tab/>
        <w:t>est la masse molaire du carbone (12,011 g/mol) ;</w:t>
      </w:r>
    </w:p>
    <w:p w:rsidR="00E24DB7" w:rsidRPr="002C5876" w:rsidRDefault="00E24DB7" w:rsidP="00356443">
      <w:pPr>
        <w:pStyle w:val="SingleTxtG"/>
        <w:ind w:left="3402" w:hanging="1134"/>
      </w:pPr>
      <w:r w:rsidRPr="002C5876">
        <w:t>MW</w:t>
      </w:r>
      <w:r w:rsidRPr="002C5876">
        <w:rPr>
          <w:vertAlign w:val="subscript"/>
        </w:rPr>
        <w:t>H</w:t>
      </w:r>
      <w:r w:rsidRPr="002C5876">
        <w:tab/>
        <w:t>est la masse molaire de l’hydrogène (1,008 g/mol) ;</w:t>
      </w:r>
    </w:p>
    <w:p w:rsidR="00E24DB7" w:rsidRPr="002C5876" w:rsidRDefault="00E24DB7" w:rsidP="00356443">
      <w:pPr>
        <w:pStyle w:val="SingleTxtG"/>
        <w:ind w:left="3402" w:hanging="1134"/>
      </w:pPr>
      <w:r w:rsidRPr="002C5876">
        <w:t>MW</w:t>
      </w:r>
      <w:r w:rsidRPr="002C5876">
        <w:rPr>
          <w:vertAlign w:val="subscript"/>
        </w:rPr>
        <w:t>O</w:t>
      </w:r>
      <w:r w:rsidRPr="002C5876">
        <w:tab/>
        <w:t>est la masse molaire de l’oxygène (15,999 g/mol) ;</w:t>
      </w:r>
    </w:p>
    <w:p w:rsidR="00E24DB7" w:rsidRPr="002C5876" w:rsidRDefault="00E24DB7" w:rsidP="00356443">
      <w:pPr>
        <w:pStyle w:val="SingleTxtG"/>
        <w:ind w:left="3402" w:hanging="1134"/>
      </w:pPr>
      <w:r w:rsidRPr="002C5876">
        <w:t>ρ</w:t>
      </w:r>
      <w:r w:rsidRPr="002C5876">
        <w:rPr>
          <w:vertAlign w:val="subscript"/>
        </w:rPr>
        <w:t>fuel</w:t>
      </w:r>
      <w:r w:rsidRPr="002C5876">
        <w:tab/>
        <w:t>est la densité du carburant d’essai, en kg/l. Pour les carburants gazeux, il s’agit de la densité du carburant à 15 °C ;</w:t>
      </w:r>
    </w:p>
    <w:p w:rsidR="00E24DB7" w:rsidRPr="002C5876" w:rsidRDefault="00E24DB7" w:rsidP="00356443">
      <w:pPr>
        <w:pStyle w:val="SingleTxtG"/>
        <w:ind w:left="3402" w:hanging="1134"/>
      </w:pPr>
      <w:r w:rsidRPr="002C5876">
        <w:t>HC</w:t>
      </w:r>
      <w:r w:rsidRPr="002C5876">
        <w:tab/>
        <w:t>représente les émissions d’hydrocarbures, en g/km ;</w:t>
      </w:r>
    </w:p>
    <w:p w:rsidR="00E24DB7" w:rsidRPr="002C5876" w:rsidRDefault="00E24DB7" w:rsidP="00356443">
      <w:pPr>
        <w:pStyle w:val="SingleTxtG"/>
        <w:ind w:left="3402" w:hanging="1134"/>
      </w:pPr>
      <w:r w:rsidRPr="002C5876">
        <w:t>CO</w:t>
      </w:r>
      <w:r w:rsidRPr="002C5876">
        <w:tab/>
        <w:t>représente les émissions de monoxyde de carbone, en g/km ;</w:t>
      </w:r>
    </w:p>
    <w:p w:rsidR="00E24DB7" w:rsidRPr="002C5876" w:rsidRDefault="00E24DB7" w:rsidP="00356443">
      <w:pPr>
        <w:pStyle w:val="SingleTxtG"/>
        <w:ind w:left="3402" w:hanging="1134"/>
      </w:pPr>
      <w:r w:rsidRPr="002C5876">
        <w:t>CO</w:t>
      </w:r>
      <w:r w:rsidRPr="002C5876">
        <w:rPr>
          <w:vertAlign w:val="subscript"/>
        </w:rPr>
        <w:t>2</w:t>
      </w:r>
      <w:r w:rsidRPr="002C5876">
        <w:tab/>
        <w:t>représente les émissions de dioxyde de carbone, en g/km ;</w:t>
      </w:r>
    </w:p>
    <w:p w:rsidR="00E24DB7" w:rsidRPr="002C5876" w:rsidRDefault="00E24DB7" w:rsidP="00356443">
      <w:pPr>
        <w:pStyle w:val="SingleTxtG"/>
        <w:ind w:left="3402" w:hanging="1134"/>
      </w:pPr>
      <w:r w:rsidRPr="002C5876">
        <w:t>H</w:t>
      </w:r>
      <w:r w:rsidRPr="002C5876">
        <w:rPr>
          <w:vertAlign w:val="subscript"/>
        </w:rPr>
        <w:t>2</w:t>
      </w:r>
      <w:r w:rsidRPr="002C5876">
        <w:t>O</w:t>
      </w:r>
      <w:r w:rsidRPr="002C5876">
        <w:tab/>
        <w:t>représente les émissions d’eau, en g/km ;</w:t>
      </w:r>
    </w:p>
    <w:p w:rsidR="00E24DB7" w:rsidRPr="002C5876" w:rsidRDefault="00E24DB7" w:rsidP="00356443">
      <w:pPr>
        <w:pStyle w:val="SingleTxtG"/>
        <w:ind w:left="3402" w:hanging="1134"/>
      </w:pPr>
      <w:r w:rsidRPr="002C5876">
        <w:t>H</w:t>
      </w:r>
      <w:r w:rsidRPr="002C5876">
        <w:rPr>
          <w:vertAlign w:val="subscript"/>
        </w:rPr>
        <w:t>2</w:t>
      </w:r>
      <w:r w:rsidRPr="002C5876">
        <w:tab/>
        <w:t>représente les émissions d’hydrogène, en g/km ;</w:t>
      </w:r>
    </w:p>
    <w:p w:rsidR="00E24DB7" w:rsidRPr="002C5876" w:rsidRDefault="00E24DB7" w:rsidP="00356443">
      <w:pPr>
        <w:pStyle w:val="SingleTxtG"/>
        <w:ind w:left="3402" w:hanging="1134"/>
      </w:pPr>
      <w:r w:rsidRPr="002C5876">
        <w:lastRenderedPageBreak/>
        <w:t>p</w:t>
      </w:r>
      <w:r w:rsidRPr="002C5876">
        <w:rPr>
          <w:vertAlign w:val="subscript"/>
        </w:rPr>
        <w:t>1</w:t>
      </w:r>
      <w:r w:rsidRPr="002C5876">
        <w:tab/>
        <w:t>est la pression de gaz dans le réservoir à carburant avant le cycle d’essai applicable, en Pa ;</w:t>
      </w:r>
    </w:p>
    <w:p w:rsidR="00E24DB7" w:rsidRPr="002C5876" w:rsidRDefault="00E24DB7" w:rsidP="00356443">
      <w:pPr>
        <w:pStyle w:val="SingleTxtG"/>
        <w:ind w:left="3402" w:hanging="1134"/>
      </w:pPr>
      <w:r w:rsidRPr="002C5876">
        <w:t>p</w:t>
      </w:r>
      <w:r w:rsidRPr="002C5876">
        <w:rPr>
          <w:vertAlign w:val="subscript"/>
        </w:rPr>
        <w:t>2</w:t>
      </w:r>
      <w:r w:rsidRPr="002C5876">
        <w:tab/>
        <w:t>est la pression de gaz dans le réservoir à carburant après le cycle d’essai applicable, en Pa ;</w:t>
      </w:r>
    </w:p>
    <w:p w:rsidR="00E24DB7" w:rsidRPr="002C5876" w:rsidRDefault="00E24DB7" w:rsidP="00356443">
      <w:pPr>
        <w:pStyle w:val="SingleTxtG"/>
        <w:ind w:left="3402" w:hanging="1134"/>
      </w:pPr>
      <w:r w:rsidRPr="002C5876">
        <w:t>T</w:t>
      </w:r>
      <w:r w:rsidRPr="002C5876">
        <w:rPr>
          <w:vertAlign w:val="subscript"/>
        </w:rPr>
        <w:t>1</w:t>
      </w:r>
      <w:r w:rsidRPr="002C5876">
        <w:tab/>
        <w:t>est la température des gaz dans le réservoir à carburant avant le cycle d’essai applicable, en K ;</w:t>
      </w:r>
    </w:p>
    <w:p w:rsidR="00E24DB7" w:rsidRPr="002C5876" w:rsidRDefault="00E24DB7" w:rsidP="00356443">
      <w:pPr>
        <w:pStyle w:val="SingleTxtG"/>
        <w:ind w:left="3402" w:hanging="1134"/>
      </w:pPr>
      <w:r w:rsidRPr="002C5876">
        <w:t>T</w:t>
      </w:r>
      <w:r w:rsidRPr="002C5876">
        <w:rPr>
          <w:vertAlign w:val="subscript"/>
        </w:rPr>
        <w:t>2</w:t>
      </w:r>
      <w:r w:rsidRPr="002C5876">
        <w:tab/>
        <w:t>est la température des gaz dans le réservoir à carburant après le cycle d’essai applicable, en K ;</w:t>
      </w:r>
    </w:p>
    <w:p w:rsidR="00E24DB7" w:rsidRPr="002C5876" w:rsidRDefault="00E24DB7" w:rsidP="00356443">
      <w:pPr>
        <w:pStyle w:val="SingleTxtG"/>
        <w:ind w:left="3402" w:hanging="1134"/>
      </w:pPr>
      <w:r w:rsidRPr="002C5876">
        <w:t>Z</w:t>
      </w:r>
      <w:r w:rsidRPr="002C5876">
        <w:rPr>
          <w:vertAlign w:val="subscript"/>
        </w:rPr>
        <w:t>1</w:t>
      </w:r>
      <w:r w:rsidRPr="002C5876">
        <w:tab/>
        <w:t>est le facteur de compressibilité du carburant gazeux à p</w:t>
      </w:r>
      <w:r w:rsidRPr="002C5876">
        <w:rPr>
          <w:vertAlign w:val="subscript"/>
        </w:rPr>
        <w:t>1</w:t>
      </w:r>
      <w:r w:rsidRPr="002C5876">
        <w:t xml:space="preserve"> et T</w:t>
      </w:r>
      <w:r w:rsidRPr="002C5876">
        <w:rPr>
          <w:vertAlign w:val="subscript"/>
        </w:rPr>
        <w:t>1</w:t>
      </w:r>
      <w:r w:rsidRPr="002C5876">
        <w:t> ;</w:t>
      </w:r>
    </w:p>
    <w:p w:rsidR="00E24DB7" w:rsidRPr="002C5876" w:rsidRDefault="00E24DB7" w:rsidP="00356443">
      <w:pPr>
        <w:pStyle w:val="SingleTxtG"/>
        <w:ind w:left="3402" w:hanging="1134"/>
      </w:pPr>
      <w:r w:rsidRPr="002C5876">
        <w:t>Z</w:t>
      </w:r>
      <w:r w:rsidRPr="002C5876">
        <w:rPr>
          <w:vertAlign w:val="subscript"/>
        </w:rPr>
        <w:t>2</w:t>
      </w:r>
      <w:r w:rsidRPr="002C5876">
        <w:tab/>
        <w:t>est le facteur de compressibilité du carburant gazeux à p</w:t>
      </w:r>
      <w:r w:rsidRPr="002C5876">
        <w:rPr>
          <w:vertAlign w:val="subscript"/>
        </w:rPr>
        <w:t>2</w:t>
      </w:r>
      <w:r w:rsidRPr="002C5876">
        <w:t xml:space="preserve"> et T</w:t>
      </w:r>
      <w:r w:rsidRPr="002C5876">
        <w:rPr>
          <w:vertAlign w:val="subscript"/>
        </w:rPr>
        <w:t>2</w:t>
      </w:r>
      <w:r w:rsidRPr="002C5876">
        <w:t> ;</w:t>
      </w:r>
    </w:p>
    <w:p w:rsidR="00E24DB7" w:rsidRPr="002C5876" w:rsidRDefault="00E24DB7" w:rsidP="00356443">
      <w:pPr>
        <w:pStyle w:val="SingleTxtG"/>
        <w:ind w:left="3402" w:hanging="1134"/>
      </w:pPr>
      <w:r w:rsidRPr="002C5876">
        <w:t>V</w:t>
      </w:r>
      <w:r w:rsidRPr="002C5876">
        <w:tab/>
        <w:t>est le volume intérieur du réservoir à carburant gazeux, en m</w:t>
      </w:r>
      <w:r w:rsidRPr="002C5876">
        <w:rPr>
          <w:vertAlign w:val="superscript"/>
        </w:rPr>
        <w:t>3</w:t>
      </w:r>
      <w:r w:rsidRPr="002C5876">
        <w:t> ;</w:t>
      </w:r>
    </w:p>
    <w:p w:rsidR="00E24DB7" w:rsidRPr="002C5876" w:rsidRDefault="00E24DB7" w:rsidP="00356443">
      <w:pPr>
        <w:pStyle w:val="SingleTxtG"/>
        <w:ind w:left="3402" w:hanging="1134"/>
      </w:pPr>
      <w:r w:rsidRPr="002C5876">
        <w:t>d</w:t>
      </w:r>
      <w:r w:rsidRPr="002C5876">
        <w:tab/>
        <w:t>est la longueur théorique de la phase ou du cycle applicable, en km.</w:t>
      </w:r>
    </w:p>
    <w:p w:rsidR="00E24DB7" w:rsidRPr="002C5876" w:rsidRDefault="00E24DB7" w:rsidP="00356443">
      <w:pPr>
        <w:pStyle w:val="SingleTxtG"/>
        <w:keepNext/>
        <w:ind w:left="2268" w:hanging="1134"/>
        <w:rPr>
          <w:lang w:eastAsia="en-GB"/>
        </w:rPr>
      </w:pPr>
      <w:r w:rsidRPr="002C5876">
        <w:rPr>
          <w:lang w:eastAsia="en-GB"/>
        </w:rPr>
        <w:t>6.3</w:t>
      </w:r>
      <w:r w:rsidRPr="002C5876">
        <w:rPr>
          <w:lang w:eastAsia="en-GB"/>
        </w:rPr>
        <w:tab/>
      </w:r>
      <w:r w:rsidRPr="002C5876">
        <w:rPr>
          <w:lang w:eastAsia="en-GB"/>
        </w:rPr>
        <w:tab/>
        <w:t xml:space="preserve">Dans le cas d’un véhicule équipé d’un </w:t>
      </w:r>
      <w:r w:rsidRPr="002C5876">
        <w:t>moteur à allumage commandé alimenté</w:t>
      </w:r>
      <w:r w:rsidRPr="002C5876">
        <w:rPr>
          <w:lang w:eastAsia="en-GB"/>
        </w:rPr>
        <w:t xml:space="preserve"> à l’essence (E0) :</w:t>
      </w:r>
    </w:p>
    <w:p w:rsidR="00356443" w:rsidRPr="002C5876" w:rsidRDefault="00356443" w:rsidP="00356443">
      <w:pPr>
        <w:pStyle w:val="SingleTxtG"/>
        <w:keepNext/>
        <w:ind w:left="2268" w:hanging="1134"/>
        <w:rPr>
          <w:lang w:eastAsia="en-GB"/>
        </w:rPr>
      </w:pPr>
      <m:oMathPara>
        <m:oMath>
          <m:r>
            <m:rPr>
              <m:sty m:val="p"/>
            </m:rPr>
            <w:rPr>
              <w:rFonts w:ascii="Cambria Math" w:hAnsi="Cambria Math" w:cs="TimesNewRomanPSMT"/>
              <w:lang w:eastAsia="en-GB"/>
            </w:rPr>
            <m:t>FC=</m:t>
          </m:r>
          <m:r>
            <w:rPr>
              <w:rFonts w:ascii="Cambria Math" w:hAnsi="Cambria Math"/>
              <w:lang w:eastAsia="en-GB"/>
            </w:rPr>
            <m:t>(</m:t>
          </m:r>
          <m:f>
            <m:fPr>
              <m:ctrlPr>
                <w:rPr>
                  <w:rFonts w:ascii="Cambria Math" w:hAnsi="Cambria Math" w:cs="TimesNewRomanPSMT"/>
                  <w:lang w:eastAsia="en-GB"/>
                </w:rPr>
              </m:ctrlPr>
            </m:fPr>
            <m:num>
              <m:r>
                <m:rPr>
                  <m:sty m:val="p"/>
                </m:rPr>
                <w:rPr>
                  <w:rFonts w:ascii="Cambria Math" w:hAnsi="Cambria Math" w:cs="TimesNewRomanPSMT"/>
                  <w:lang w:eastAsia="en-GB"/>
                </w:rPr>
                <m:t>0,1155</m:t>
              </m:r>
            </m:num>
            <m:den>
              <m:sSub>
                <m:sSubPr>
                  <m:ctrlPr>
                    <w:rPr>
                      <w:rFonts w:ascii="Cambria Math" w:hAnsi="Cambria Math"/>
                      <w:lang w:eastAsia="en-GB"/>
                    </w:rPr>
                  </m:ctrlPr>
                </m:sSubPr>
                <m:e>
                  <m:r>
                    <m:rPr>
                      <m:sty m:val="p"/>
                    </m:rPr>
                    <w:rPr>
                      <w:rFonts w:ascii="Cambria Math" w:hAnsi="Cambria Math"/>
                      <w:lang w:eastAsia="en-GB"/>
                    </w:rPr>
                    <m:t>ρ</m:t>
                  </m:r>
                </m:e>
                <m:sub>
                  <m:r>
                    <m:rPr>
                      <m:sty m:val="p"/>
                    </m:rPr>
                    <w:rPr>
                      <w:rFonts w:ascii="Cambria Math" w:hAnsi="Cambria Math"/>
                      <w:lang w:eastAsia="en-GB"/>
                    </w:rPr>
                    <m:t>fuel</m:t>
                  </m:r>
                </m:sub>
              </m:sSub>
            </m:den>
          </m:f>
          <m:r>
            <m:rPr>
              <m:sty m:val="p"/>
            </m:rPr>
            <w:rPr>
              <w:rFonts w:ascii="Cambria Math" w:hAnsi="Cambria Math"/>
              <w:lang w:eastAsia="en-GB"/>
            </w:rPr>
            <m:t>)</m:t>
          </m:r>
          <m:r>
            <m:rPr>
              <m:sty m:val="p"/>
            </m:rPr>
            <w:rPr>
              <w:rFonts w:ascii="Cambria Math" w:hAnsi="Cambria Math" w:cs="TimesNewRomanPSMT"/>
              <w:lang w:eastAsia="en-GB"/>
            </w:rPr>
            <m:t>×</m:t>
          </m:r>
          <m:d>
            <m:dPr>
              <m:begChr m:val="["/>
              <m:endChr m:val="]"/>
              <m:ctrlPr>
                <w:rPr>
                  <w:rFonts w:ascii="Cambria Math" w:hAnsi="Cambria Math" w:cs="TimesNewRomanPSMT"/>
                  <w:lang w:eastAsia="en-GB"/>
                </w:rPr>
              </m:ctrlPr>
            </m:dPr>
            <m:e>
              <m:d>
                <m:dPr>
                  <m:ctrlPr>
                    <w:rPr>
                      <w:rFonts w:ascii="Cambria Math" w:hAnsi="Cambria Math" w:cs="TimesNewRomanPSMT"/>
                      <w:lang w:eastAsia="en-GB"/>
                    </w:rPr>
                  </m:ctrlPr>
                </m:dPr>
                <m:e>
                  <m:r>
                    <m:rPr>
                      <m:sty m:val="p"/>
                    </m:rPr>
                    <w:rPr>
                      <w:rFonts w:ascii="Cambria Math" w:hAnsi="Cambria Math" w:cs="TimesNewRomanPSMT"/>
                      <w:lang w:eastAsia="en-GB"/>
                    </w:rPr>
                    <m:t>0,866×HC</m:t>
                  </m:r>
                </m:e>
              </m:d>
              <m:r>
                <m:rPr>
                  <m:sty m:val="p"/>
                </m:rPr>
                <w:rPr>
                  <w:rFonts w:ascii="Cambria Math" w:hAnsi="Cambria Math" w:cs="TimesNewRomanPSMT"/>
                  <w:lang w:eastAsia="en-GB"/>
                </w:rPr>
                <m:t>+</m:t>
              </m:r>
              <m:d>
                <m:dPr>
                  <m:ctrlPr>
                    <w:rPr>
                      <w:rFonts w:ascii="Cambria Math" w:hAnsi="Cambria Math" w:cs="TimesNewRomanPSMT"/>
                      <w:lang w:eastAsia="en-GB"/>
                    </w:rPr>
                  </m:ctrlPr>
                </m:dPr>
                <m:e>
                  <m:r>
                    <m:rPr>
                      <m:sty m:val="p"/>
                    </m:rPr>
                    <w:rPr>
                      <w:rFonts w:ascii="Cambria Math" w:hAnsi="Cambria Math" w:cs="TimesNewRomanPSMT"/>
                      <w:lang w:eastAsia="en-GB"/>
                    </w:rPr>
                    <m:t>0,429×CO</m:t>
                  </m:r>
                </m:e>
              </m:d>
              <m:r>
                <m:rPr>
                  <m:sty m:val="p"/>
                </m:rPr>
                <w:rPr>
                  <w:rFonts w:ascii="Cambria Math" w:hAnsi="Cambria Math" w:cs="TimesNewRomanPSMT"/>
                  <w:lang w:eastAsia="en-GB"/>
                </w:rPr>
                <m:t>+</m:t>
              </m:r>
              <m:d>
                <m:dPr>
                  <m:ctrlPr>
                    <w:rPr>
                      <w:rFonts w:ascii="Cambria Math" w:hAnsi="Cambria Math" w:cs="TimesNewRomanPSMT"/>
                      <w:lang w:eastAsia="en-GB"/>
                    </w:rPr>
                  </m:ctrlPr>
                </m:dPr>
                <m:e>
                  <m:r>
                    <m:rPr>
                      <m:sty m:val="p"/>
                    </m:rPr>
                    <w:rPr>
                      <w:rFonts w:ascii="Cambria Math" w:hAnsi="Cambria Math" w:cs="TimesNewRomanPSMT"/>
                      <w:lang w:eastAsia="en-GB"/>
                    </w:rPr>
                    <m:t>0,273×</m:t>
                  </m:r>
                  <m:sSub>
                    <m:sSubPr>
                      <m:ctrlPr>
                        <w:rPr>
                          <w:rFonts w:ascii="Cambria Math" w:hAnsi="Cambria Math" w:cs="TimesNewRomanPSMT"/>
                          <w:lang w:eastAsia="en-GB"/>
                        </w:rPr>
                      </m:ctrlPr>
                    </m:sSubPr>
                    <m:e>
                      <m:r>
                        <m:rPr>
                          <m:sty m:val="p"/>
                        </m:rPr>
                        <w:rPr>
                          <w:rFonts w:ascii="Cambria Math" w:hAnsi="Cambria Math" w:cs="TimesNewRomanPSMT"/>
                          <w:lang w:eastAsia="en-GB"/>
                        </w:rPr>
                        <m:t>CO</m:t>
                      </m:r>
                    </m:e>
                    <m:sub>
                      <m:r>
                        <m:rPr>
                          <m:sty m:val="p"/>
                        </m:rPr>
                        <w:rPr>
                          <w:rFonts w:ascii="Cambria Math" w:hAnsi="Cambria Math" w:cs="TimesNewRomanPSMT"/>
                          <w:lang w:eastAsia="en-GB"/>
                        </w:rPr>
                        <m:t>2</m:t>
                      </m:r>
                    </m:sub>
                  </m:sSub>
                </m:e>
              </m:d>
            </m:e>
          </m:d>
        </m:oMath>
      </m:oMathPara>
    </w:p>
    <w:p w:rsidR="00E24DB7" w:rsidRPr="002C5876" w:rsidRDefault="00E24DB7" w:rsidP="00356443">
      <w:pPr>
        <w:pStyle w:val="SingleTxtG"/>
        <w:keepNext/>
        <w:ind w:left="2268" w:hanging="1134"/>
        <w:rPr>
          <w:lang w:eastAsia="en-GB"/>
        </w:rPr>
      </w:pPr>
      <w:r w:rsidRPr="002C5876">
        <w:rPr>
          <w:lang w:eastAsia="en-GB"/>
        </w:rPr>
        <w:t>6.4</w:t>
      </w:r>
      <w:r w:rsidRPr="002C5876">
        <w:rPr>
          <w:lang w:eastAsia="en-GB"/>
        </w:rPr>
        <w:tab/>
      </w:r>
      <w:r w:rsidRPr="002C5876">
        <w:rPr>
          <w:lang w:eastAsia="en-GB"/>
        </w:rPr>
        <w:tab/>
        <w:t xml:space="preserve">Dans le cas d’un véhicule équipé d’un </w:t>
      </w:r>
      <w:r w:rsidRPr="002C5876">
        <w:t>moteur à allumage commandé alimenté</w:t>
      </w:r>
      <w:r w:rsidRPr="002C5876">
        <w:rPr>
          <w:lang w:eastAsia="en-GB"/>
        </w:rPr>
        <w:t xml:space="preserve"> à l’essence (E5) :</w:t>
      </w:r>
    </w:p>
    <w:p w:rsidR="00356443" w:rsidRPr="002C5876" w:rsidRDefault="00356443" w:rsidP="00356443">
      <w:pPr>
        <w:pStyle w:val="SingleTxtG"/>
        <w:keepNext/>
        <w:ind w:left="2268" w:hanging="1134"/>
        <w:rPr>
          <w:lang w:eastAsia="en-GB"/>
        </w:rPr>
      </w:pPr>
      <m:oMathPara>
        <m:oMath>
          <m:r>
            <m:rPr>
              <m:sty m:val="p"/>
            </m:rPr>
            <w:rPr>
              <w:rFonts w:ascii="Cambria Math" w:hAnsi="Cambria Math" w:cs="TimesNewRomanPSMT"/>
              <w:lang w:eastAsia="en-GB"/>
            </w:rPr>
            <m:t>FC=</m:t>
          </m:r>
          <m:d>
            <m:dPr>
              <m:ctrlPr>
                <w:rPr>
                  <w:rFonts w:ascii="Cambria Math" w:hAnsi="Cambria Math" w:cs="TimesNewRomanPSMT"/>
                  <w:lang w:eastAsia="en-GB"/>
                </w:rPr>
              </m:ctrlPr>
            </m:dPr>
            <m:e>
              <m:f>
                <m:fPr>
                  <m:ctrlPr>
                    <w:rPr>
                      <w:rFonts w:ascii="Cambria Math" w:hAnsi="Cambria Math" w:cs="TimesNewRomanPSMT"/>
                      <w:lang w:eastAsia="en-GB"/>
                    </w:rPr>
                  </m:ctrlPr>
                </m:fPr>
                <m:num>
                  <m:r>
                    <m:rPr>
                      <m:sty m:val="p"/>
                    </m:rPr>
                    <w:rPr>
                      <w:rFonts w:ascii="Cambria Math" w:hAnsi="Cambria Math" w:cs="TimesNewRomanPSMT"/>
                      <w:lang w:eastAsia="en-GB"/>
                    </w:rPr>
                    <m:t>0,118</m:t>
                  </m:r>
                </m:num>
                <m:den>
                  <m:sSub>
                    <m:sSubPr>
                      <m:ctrlPr>
                        <w:rPr>
                          <w:rFonts w:ascii="Cambria Math" w:hAnsi="Cambria Math"/>
                          <w:lang w:eastAsia="en-GB"/>
                        </w:rPr>
                      </m:ctrlPr>
                    </m:sSubPr>
                    <m:e>
                      <m:r>
                        <m:rPr>
                          <m:sty m:val="p"/>
                        </m:rPr>
                        <w:rPr>
                          <w:rFonts w:ascii="Cambria Math" w:hAnsi="Cambria Math"/>
                          <w:lang w:eastAsia="en-GB"/>
                        </w:rPr>
                        <m:t>ρ</m:t>
                      </m:r>
                    </m:e>
                    <m:sub>
                      <m:r>
                        <m:rPr>
                          <m:sty m:val="p"/>
                        </m:rPr>
                        <w:rPr>
                          <w:rFonts w:ascii="Cambria Math" w:hAnsi="Cambria Math"/>
                          <w:lang w:eastAsia="en-GB"/>
                        </w:rPr>
                        <m:t>fuel</m:t>
                      </m:r>
                    </m:sub>
                  </m:sSub>
                </m:den>
              </m:f>
            </m:e>
          </m:d>
          <m:r>
            <m:rPr>
              <m:sty m:val="p"/>
            </m:rPr>
            <w:rPr>
              <w:rFonts w:ascii="Cambria Math" w:hAnsi="Cambria Math" w:cs="TimesNewRomanPSMT"/>
              <w:lang w:eastAsia="en-GB"/>
            </w:rPr>
            <m:t>×</m:t>
          </m:r>
          <m:d>
            <m:dPr>
              <m:begChr m:val="["/>
              <m:endChr m:val="]"/>
              <m:ctrlPr>
                <w:rPr>
                  <w:rFonts w:ascii="Cambria Math" w:hAnsi="Cambria Math" w:cs="TimesNewRomanPSMT"/>
                  <w:lang w:eastAsia="en-GB"/>
                </w:rPr>
              </m:ctrlPr>
            </m:dPr>
            <m:e>
              <m:d>
                <m:dPr>
                  <m:ctrlPr>
                    <w:rPr>
                      <w:rFonts w:ascii="Cambria Math" w:hAnsi="Cambria Math" w:cs="TimesNewRomanPSMT"/>
                      <w:lang w:eastAsia="en-GB"/>
                    </w:rPr>
                  </m:ctrlPr>
                </m:dPr>
                <m:e>
                  <m:r>
                    <m:rPr>
                      <m:sty m:val="p"/>
                    </m:rPr>
                    <w:rPr>
                      <w:rFonts w:ascii="Cambria Math" w:hAnsi="Cambria Math" w:cs="TimesNewRomanPSMT"/>
                      <w:lang w:eastAsia="en-GB"/>
                    </w:rPr>
                    <m:t>0,848×HC</m:t>
                  </m:r>
                </m:e>
              </m:d>
              <m:r>
                <m:rPr>
                  <m:sty m:val="p"/>
                </m:rPr>
                <w:rPr>
                  <w:rFonts w:ascii="Cambria Math" w:hAnsi="Cambria Math" w:cs="TimesNewRomanPSMT"/>
                  <w:lang w:eastAsia="en-GB"/>
                </w:rPr>
                <m:t>+</m:t>
              </m:r>
              <m:d>
                <m:dPr>
                  <m:ctrlPr>
                    <w:rPr>
                      <w:rFonts w:ascii="Cambria Math" w:hAnsi="Cambria Math" w:cs="TimesNewRomanPSMT"/>
                      <w:lang w:eastAsia="en-GB"/>
                    </w:rPr>
                  </m:ctrlPr>
                </m:dPr>
                <m:e>
                  <m:r>
                    <m:rPr>
                      <m:sty m:val="p"/>
                    </m:rPr>
                    <w:rPr>
                      <w:rFonts w:ascii="Cambria Math" w:hAnsi="Cambria Math" w:cs="TimesNewRomanPSMT"/>
                      <w:lang w:eastAsia="en-GB"/>
                    </w:rPr>
                    <m:t>0,429×CO</m:t>
                  </m:r>
                </m:e>
              </m:d>
              <m:r>
                <m:rPr>
                  <m:sty m:val="p"/>
                </m:rPr>
                <w:rPr>
                  <w:rFonts w:ascii="Cambria Math" w:hAnsi="Cambria Math" w:cs="TimesNewRomanPSMT"/>
                  <w:lang w:eastAsia="en-GB"/>
                </w:rPr>
                <m:t>+</m:t>
              </m:r>
              <m:d>
                <m:dPr>
                  <m:ctrlPr>
                    <w:rPr>
                      <w:rFonts w:ascii="Cambria Math" w:hAnsi="Cambria Math" w:cs="TimesNewRomanPSMT"/>
                      <w:lang w:eastAsia="en-GB"/>
                    </w:rPr>
                  </m:ctrlPr>
                </m:dPr>
                <m:e>
                  <m:r>
                    <m:rPr>
                      <m:sty m:val="p"/>
                    </m:rPr>
                    <w:rPr>
                      <w:rFonts w:ascii="Cambria Math" w:hAnsi="Cambria Math" w:cs="TimesNewRomanPSMT"/>
                      <w:lang w:eastAsia="en-GB"/>
                    </w:rPr>
                    <m:t>0,273×</m:t>
                  </m:r>
                  <m:sSub>
                    <m:sSubPr>
                      <m:ctrlPr>
                        <w:rPr>
                          <w:rFonts w:ascii="Cambria Math" w:hAnsi="Cambria Math" w:cs="TimesNewRomanPSMT"/>
                          <w:lang w:eastAsia="en-GB"/>
                        </w:rPr>
                      </m:ctrlPr>
                    </m:sSubPr>
                    <m:e>
                      <m:r>
                        <m:rPr>
                          <m:sty m:val="p"/>
                        </m:rPr>
                        <w:rPr>
                          <w:rFonts w:ascii="Cambria Math" w:hAnsi="Cambria Math" w:cs="TimesNewRomanPSMT"/>
                          <w:lang w:eastAsia="en-GB"/>
                        </w:rPr>
                        <m:t>CO</m:t>
                      </m:r>
                    </m:e>
                    <m:sub>
                      <m:r>
                        <m:rPr>
                          <m:sty m:val="p"/>
                        </m:rPr>
                        <w:rPr>
                          <w:rFonts w:ascii="Cambria Math" w:hAnsi="Cambria Math" w:cs="TimesNewRomanPSMT"/>
                          <w:lang w:eastAsia="en-GB"/>
                        </w:rPr>
                        <m:t>2</m:t>
                      </m:r>
                    </m:sub>
                  </m:sSub>
                </m:e>
              </m:d>
            </m:e>
          </m:d>
        </m:oMath>
      </m:oMathPara>
    </w:p>
    <w:p w:rsidR="00E24DB7" w:rsidRPr="002C5876" w:rsidRDefault="00E24DB7" w:rsidP="00356443">
      <w:pPr>
        <w:pStyle w:val="SingleTxtG"/>
        <w:keepNext/>
        <w:ind w:left="2268" w:hanging="1134"/>
        <w:rPr>
          <w:lang w:eastAsia="en-GB"/>
        </w:rPr>
      </w:pPr>
      <w:r w:rsidRPr="002C5876">
        <w:rPr>
          <w:lang w:eastAsia="en-GB"/>
        </w:rPr>
        <w:t>6.5</w:t>
      </w:r>
      <w:r w:rsidRPr="002C5876">
        <w:rPr>
          <w:lang w:eastAsia="en-GB"/>
        </w:rPr>
        <w:tab/>
      </w:r>
      <w:r w:rsidRPr="002C5876">
        <w:rPr>
          <w:lang w:eastAsia="en-GB"/>
        </w:rPr>
        <w:tab/>
        <w:t xml:space="preserve">Dans le cas d’un véhicule équipé d’un </w:t>
      </w:r>
      <w:r w:rsidRPr="002C5876">
        <w:t>moteur à allumage commandé alimenté</w:t>
      </w:r>
      <w:r w:rsidRPr="002C5876">
        <w:rPr>
          <w:lang w:eastAsia="en-GB"/>
        </w:rPr>
        <w:t xml:space="preserve"> à l’essence (E10) :</w:t>
      </w:r>
    </w:p>
    <w:p w:rsidR="00356443" w:rsidRPr="002C5876" w:rsidRDefault="00356443" w:rsidP="00356443">
      <w:pPr>
        <w:pStyle w:val="SingleTxtG"/>
        <w:keepNext/>
        <w:ind w:left="2268"/>
        <w:rPr>
          <w:lang w:eastAsia="en-GB"/>
        </w:rPr>
      </w:pPr>
      <m:oMathPara>
        <m:oMath>
          <m:r>
            <m:rPr>
              <m:sty m:val="p"/>
            </m:rPr>
            <w:rPr>
              <w:rFonts w:ascii="Cambria Math" w:hAnsi="Cambria Math"/>
              <w:lang w:eastAsia="en-GB"/>
            </w:rPr>
            <m:t>FC=</m:t>
          </m:r>
          <m:d>
            <m:dPr>
              <m:ctrlPr>
                <w:rPr>
                  <w:rFonts w:ascii="Cambria Math" w:hAnsi="Cambria Math"/>
                  <w:lang w:eastAsia="en-GB"/>
                </w:rPr>
              </m:ctrlPr>
            </m:dPr>
            <m:e>
              <m:f>
                <m:fPr>
                  <m:ctrlPr>
                    <w:rPr>
                      <w:rFonts w:ascii="Cambria Math" w:hAnsi="Cambria Math"/>
                      <w:lang w:eastAsia="en-GB"/>
                    </w:rPr>
                  </m:ctrlPr>
                </m:fPr>
                <m:num>
                  <m:r>
                    <m:rPr>
                      <m:sty m:val="p"/>
                    </m:rPr>
                    <w:rPr>
                      <w:rFonts w:ascii="Cambria Math" w:hAnsi="Cambria Math"/>
                      <w:lang w:eastAsia="en-GB"/>
                    </w:rPr>
                    <m:t>0,1206</m:t>
                  </m:r>
                </m:num>
                <m:den>
                  <m:sSub>
                    <m:sSubPr>
                      <m:ctrlPr>
                        <w:rPr>
                          <w:rFonts w:ascii="Cambria Math" w:hAnsi="Cambria Math"/>
                          <w:lang w:eastAsia="en-GB"/>
                        </w:rPr>
                      </m:ctrlPr>
                    </m:sSubPr>
                    <m:e>
                      <m:r>
                        <m:rPr>
                          <m:sty m:val="p"/>
                        </m:rPr>
                        <w:rPr>
                          <w:rFonts w:ascii="Cambria Math" w:hAnsi="Cambria Math"/>
                          <w:lang w:eastAsia="en-GB"/>
                        </w:rPr>
                        <m:t>ρ</m:t>
                      </m:r>
                    </m:e>
                    <m:sub>
                      <m:r>
                        <m:rPr>
                          <m:sty m:val="p"/>
                        </m:rPr>
                        <w:rPr>
                          <w:rFonts w:ascii="Cambria Math" w:hAnsi="Cambria Math"/>
                          <w:lang w:eastAsia="en-GB"/>
                        </w:rPr>
                        <m:t>fuel</m:t>
                      </m:r>
                    </m:sub>
                  </m:sSub>
                </m:den>
              </m:f>
            </m:e>
          </m:d>
          <m:r>
            <m:rPr>
              <m:sty m:val="p"/>
            </m:rPr>
            <w:rPr>
              <w:rFonts w:ascii="Cambria Math" w:hAnsi="Cambria Math"/>
              <w:lang w:eastAsia="en-GB"/>
            </w:rPr>
            <m:t>×</m:t>
          </m:r>
          <m:d>
            <m:dPr>
              <m:begChr m:val="["/>
              <m:endChr m:val="]"/>
              <m:ctrlPr>
                <w:rPr>
                  <w:rFonts w:ascii="Cambria Math" w:hAnsi="Cambria Math"/>
                  <w:lang w:eastAsia="en-GB"/>
                </w:rPr>
              </m:ctrlPr>
            </m:dPr>
            <m:e>
              <m:d>
                <m:dPr>
                  <m:ctrlPr>
                    <w:rPr>
                      <w:rFonts w:ascii="Cambria Math" w:hAnsi="Cambria Math"/>
                      <w:lang w:eastAsia="en-GB"/>
                    </w:rPr>
                  </m:ctrlPr>
                </m:dPr>
                <m:e>
                  <m:r>
                    <m:rPr>
                      <m:sty m:val="p"/>
                    </m:rPr>
                    <w:rPr>
                      <w:rFonts w:ascii="Cambria Math" w:hAnsi="Cambria Math"/>
                      <w:lang w:eastAsia="en-GB"/>
                    </w:rPr>
                    <m:t>0,829×HC</m:t>
                  </m:r>
                </m:e>
              </m:d>
              <m:r>
                <m:rPr>
                  <m:sty m:val="p"/>
                </m:rPr>
                <w:rPr>
                  <w:rFonts w:ascii="Cambria Math" w:hAnsi="Cambria Math"/>
                  <w:lang w:eastAsia="en-GB"/>
                </w:rPr>
                <m:t>+</m:t>
              </m:r>
              <m:d>
                <m:dPr>
                  <m:ctrlPr>
                    <w:rPr>
                      <w:rFonts w:ascii="Cambria Math" w:hAnsi="Cambria Math"/>
                      <w:lang w:eastAsia="en-GB"/>
                    </w:rPr>
                  </m:ctrlPr>
                </m:dPr>
                <m:e>
                  <m:r>
                    <m:rPr>
                      <m:sty m:val="p"/>
                    </m:rPr>
                    <w:rPr>
                      <w:rFonts w:ascii="Cambria Math" w:hAnsi="Cambria Math"/>
                      <w:lang w:eastAsia="en-GB"/>
                    </w:rPr>
                    <m:t>0,429×CO</m:t>
                  </m:r>
                </m:e>
              </m:d>
              <m:r>
                <m:rPr>
                  <m:sty m:val="p"/>
                </m:rPr>
                <w:rPr>
                  <w:rFonts w:ascii="Cambria Math" w:hAnsi="Cambria Math"/>
                  <w:lang w:eastAsia="en-GB"/>
                </w:rPr>
                <m:t>+</m:t>
              </m:r>
              <m:d>
                <m:dPr>
                  <m:ctrlPr>
                    <w:rPr>
                      <w:rFonts w:ascii="Cambria Math" w:hAnsi="Cambria Math"/>
                      <w:lang w:eastAsia="en-GB"/>
                    </w:rPr>
                  </m:ctrlPr>
                </m:dPr>
                <m:e>
                  <m:r>
                    <m:rPr>
                      <m:sty m:val="p"/>
                    </m:rPr>
                    <w:rPr>
                      <w:rFonts w:ascii="Cambria Math" w:hAnsi="Cambria Math"/>
                      <w:lang w:eastAsia="en-GB"/>
                    </w:rPr>
                    <m:t>0,273×</m:t>
                  </m:r>
                  <m:sSub>
                    <m:sSubPr>
                      <m:ctrlPr>
                        <w:rPr>
                          <w:rFonts w:ascii="Cambria Math" w:hAnsi="Cambria Math"/>
                          <w:lang w:eastAsia="en-GB"/>
                        </w:rPr>
                      </m:ctrlPr>
                    </m:sSubPr>
                    <m:e>
                      <m:r>
                        <m:rPr>
                          <m:sty m:val="p"/>
                        </m:rPr>
                        <w:rPr>
                          <w:rFonts w:ascii="Cambria Math" w:hAnsi="Cambria Math"/>
                          <w:lang w:eastAsia="en-GB"/>
                        </w:rPr>
                        <m:t>CO</m:t>
                      </m:r>
                    </m:e>
                    <m:sub>
                      <m:r>
                        <m:rPr>
                          <m:sty m:val="p"/>
                        </m:rPr>
                        <w:rPr>
                          <w:rFonts w:ascii="Cambria Math" w:hAnsi="Cambria Math"/>
                          <w:lang w:eastAsia="en-GB"/>
                        </w:rPr>
                        <m:t>2</m:t>
                      </m:r>
                    </m:sub>
                  </m:sSub>
                </m:e>
              </m:d>
            </m:e>
          </m:d>
        </m:oMath>
      </m:oMathPara>
    </w:p>
    <w:p w:rsidR="00E24DB7" w:rsidRPr="002C5876" w:rsidRDefault="00E24DB7" w:rsidP="00356443">
      <w:pPr>
        <w:pStyle w:val="SingleTxtG"/>
        <w:keepNext/>
        <w:ind w:left="2268" w:hanging="1134"/>
        <w:rPr>
          <w:rFonts w:ascii="TimesNewRomanPSMT" w:hAnsi="TimesNewRomanPSMT" w:cs="TimesNewRomanPSMT"/>
          <w:lang w:eastAsia="en-GB"/>
        </w:rPr>
      </w:pPr>
      <w:r w:rsidRPr="002C5876">
        <w:rPr>
          <w:lang w:eastAsia="en-GB"/>
        </w:rPr>
        <w:t>6.6</w:t>
      </w:r>
      <w:r w:rsidRPr="002C5876">
        <w:rPr>
          <w:rFonts w:ascii="TimesNewRomanPSMT" w:hAnsi="TimesNewRomanPSMT" w:cs="TimesNewRomanPSMT"/>
          <w:lang w:eastAsia="en-GB"/>
        </w:rPr>
        <w:tab/>
      </w:r>
      <w:r w:rsidRPr="002C5876">
        <w:rPr>
          <w:lang w:eastAsia="en-GB"/>
        </w:rPr>
        <w:t xml:space="preserve">Dans le cas d’un véhicule équipé d’un </w:t>
      </w:r>
      <w:r w:rsidRPr="002C5876">
        <w:t>moteur à allumage commandé alimenté</w:t>
      </w:r>
      <w:r w:rsidRPr="002C5876">
        <w:rPr>
          <w:lang w:eastAsia="en-GB"/>
        </w:rPr>
        <w:t xml:space="preserve"> au </w:t>
      </w:r>
      <w:r w:rsidRPr="002C5876">
        <w:t>GPL </w:t>
      </w:r>
      <w:r w:rsidRPr="002C5876">
        <w:rPr>
          <w:rFonts w:ascii="TimesNewRomanPSMT" w:hAnsi="TimesNewRomanPSMT" w:cs="TimesNewRomanPSMT"/>
          <w:lang w:eastAsia="en-GB"/>
        </w:rPr>
        <w:t>:</w:t>
      </w:r>
    </w:p>
    <w:p w:rsidR="00356443" w:rsidRPr="002C5876" w:rsidRDefault="00731CA6" w:rsidP="00356443">
      <w:pPr>
        <w:pStyle w:val="SingleTxtG"/>
        <w:keepNext/>
        <w:ind w:left="2268" w:hanging="1134"/>
        <w:rPr>
          <w:rFonts w:ascii="TimesNewRomanPSMT" w:hAnsi="TimesNewRomanPSMT" w:cs="TimesNewRomanPSMT"/>
          <w:lang w:eastAsia="en-GB"/>
        </w:rPr>
      </w:pPr>
      <m:oMathPara>
        <m:oMath>
          <m:sSub>
            <m:sSubPr>
              <m:ctrlPr>
                <w:rPr>
                  <w:rFonts w:ascii="Cambria Math" w:hAnsi="Cambria Math"/>
                  <w:lang w:eastAsia="en-GB"/>
                </w:rPr>
              </m:ctrlPr>
            </m:sSubPr>
            <m:e>
              <m:r>
                <m:rPr>
                  <m:sty m:val="p"/>
                </m:rPr>
                <w:rPr>
                  <w:rFonts w:ascii="Cambria Math" w:hAnsi="Cambria Math"/>
                  <w:lang w:eastAsia="en-GB"/>
                </w:rPr>
                <m:t>FC</m:t>
              </m:r>
            </m:e>
            <m:sub>
              <m:r>
                <m:rPr>
                  <m:sty m:val="p"/>
                </m:rPr>
                <w:rPr>
                  <w:rFonts w:ascii="Cambria Math" w:hAnsi="Cambria Math"/>
                  <w:lang w:eastAsia="en-GB"/>
                </w:rPr>
                <m:t>norm</m:t>
              </m:r>
            </m:sub>
          </m:sSub>
          <m:r>
            <m:rPr>
              <m:sty m:val="p"/>
            </m:rPr>
            <w:rPr>
              <w:rFonts w:ascii="Cambria Math" w:hAnsi="Cambria Math"/>
              <w:lang w:eastAsia="en-GB"/>
            </w:rPr>
            <m:t>=</m:t>
          </m:r>
          <m:d>
            <m:dPr>
              <m:ctrlPr>
                <w:rPr>
                  <w:rFonts w:ascii="Cambria Math" w:hAnsi="Cambria Math"/>
                  <w:lang w:eastAsia="en-GB"/>
                </w:rPr>
              </m:ctrlPr>
            </m:dPr>
            <m:e>
              <m:f>
                <m:fPr>
                  <m:ctrlPr>
                    <w:rPr>
                      <w:rFonts w:ascii="Cambria Math" w:hAnsi="Cambria Math"/>
                      <w:lang w:eastAsia="en-GB"/>
                    </w:rPr>
                  </m:ctrlPr>
                </m:fPr>
                <m:num>
                  <m:r>
                    <w:rPr>
                      <w:rFonts w:ascii="Cambria Math" w:hAnsi="Cambria Math"/>
                      <w:lang w:eastAsia="en-GB"/>
                    </w:rPr>
                    <m:t>0,1212</m:t>
                  </m:r>
                </m:num>
                <m:den>
                  <m:r>
                    <m:rPr>
                      <m:sty m:val="p"/>
                    </m:rPr>
                    <w:rPr>
                      <w:rFonts w:ascii="Cambria Math" w:hAnsi="Cambria Math"/>
                      <w:lang w:eastAsia="en-GB"/>
                    </w:rPr>
                    <m:t>0,538</m:t>
                  </m:r>
                </m:den>
              </m:f>
            </m:e>
          </m:d>
          <m:r>
            <m:rPr>
              <m:sty m:val="p"/>
            </m:rPr>
            <w:rPr>
              <w:rFonts w:ascii="Cambria Math" w:hAnsi="Cambria Math"/>
              <w:lang w:eastAsia="en-GB"/>
            </w:rPr>
            <m:t>×</m:t>
          </m:r>
          <m:d>
            <m:dPr>
              <m:begChr m:val="["/>
              <m:endChr m:val="]"/>
              <m:ctrlPr>
                <w:rPr>
                  <w:rFonts w:ascii="Cambria Math" w:hAnsi="Cambria Math"/>
                  <w:lang w:eastAsia="en-GB"/>
                </w:rPr>
              </m:ctrlPr>
            </m:dPr>
            <m:e>
              <m:d>
                <m:dPr>
                  <m:ctrlPr>
                    <w:rPr>
                      <w:rFonts w:ascii="Cambria Math" w:hAnsi="Cambria Math"/>
                      <w:lang w:eastAsia="en-GB"/>
                    </w:rPr>
                  </m:ctrlPr>
                </m:dPr>
                <m:e>
                  <m:r>
                    <m:rPr>
                      <m:sty m:val="p"/>
                    </m:rPr>
                    <w:rPr>
                      <w:rFonts w:ascii="Cambria Math" w:hAnsi="Cambria Math"/>
                      <w:lang w:eastAsia="en-GB"/>
                    </w:rPr>
                    <m:t>0,825×HC</m:t>
                  </m:r>
                </m:e>
              </m:d>
              <m:r>
                <m:rPr>
                  <m:sty m:val="p"/>
                </m:rPr>
                <w:rPr>
                  <w:rFonts w:ascii="Cambria Math" w:hAnsi="Cambria Math"/>
                  <w:lang w:eastAsia="en-GB"/>
                </w:rPr>
                <m:t>+</m:t>
              </m:r>
              <m:d>
                <m:dPr>
                  <m:ctrlPr>
                    <w:rPr>
                      <w:rFonts w:ascii="Cambria Math" w:hAnsi="Cambria Math"/>
                      <w:lang w:eastAsia="en-GB"/>
                    </w:rPr>
                  </m:ctrlPr>
                </m:dPr>
                <m:e>
                  <m:r>
                    <m:rPr>
                      <m:sty m:val="p"/>
                    </m:rPr>
                    <w:rPr>
                      <w:rFonts w:ascii="Cambria Math" w:hAnsi="Cambria Math"/>
                      <w:lang w:eastAsia="en-GB"/>
                    </w:rPr>
                    <m:t>0,429×CO</m:t>
                  </m:r>
                </m:e>
              </m:d>
              <m:r>
                <m:rPr>
                  <m:sty m:val="p"/>
                </m:rPr>
                <w:rPr>
                  <w:rFonts w:ascii="Cambria Math" w:hAnsi="Cambria Math"/>
                  <w:lang w:eastAsia="en-GB"/>
                </w:rPr>
                <m:t>+</m:t>
              </m:r>
              <m:d>
                <m:dPr>
                  <m:ctrlPr>
                    <w:rPr>
                      <w:rFonts w:ascii="Cambria Math" w:hAnsi="Cambria Math"/>
                      <w:lang w:eastAsia="en-GB"/>
                    </w:rPr>
                  </m:ctrlPr>
                </m:dPr>
                <m:e>
                  <m:r>
                    <m:rPr>
                      <m:sty m:val="p"/>
                    </m:rPr>
                    <w:rPr>
                      <w:rFonts w:ascii="Cambria Math" w:hAnsi="Cambria Math"/>
                      <w:lang w:eastAsia="en-GB"/>
                    </w:rPr>
                    <m:t>0,273×</m:t>
                  </m:r>
                  <m:sSub>
                    <m:sSubPr>
                      <m:ctrlPr>
                        <w:rPr>
                          <w:rFonts w:ascii="Cambria Math" w:hAnsi="Cambria Math"/>
                          <w:lang w:eastAsia="en-GB"/>
                        </w:rPr>
                      </m:ctrlPr>
                    </m:sSubPr>
                    <m:e>
                      <m:r>
                        <m:rPr>
                          <m:sty m:val="p"/>
                        </m:rPr>
                        <w:rPr>
                          <w:rFonts w:ascii="Cambria Math" w:hAnsi="Cambria Math"/>
                          <w:lang w:eastAsia="en-GB"/>
                        </w:rPr>
                        <m:t>CO</m:t>
                      </m:r>
                    </m:e>
                    <m:sub>
                      <m:r>
                        <m:rPr>
                          <m:sty m:val="p"/>
                        </m:rPr>
                        <w:rPr>
                          <w:rFonts w:ascii="Cambria Math" w:hAnsi="Cambria Math"/>
                          <w:lang w:eastAsia="en-GB"/>
                        </w:rPr>
                        <m:t>2</m:t>
                      </m:r>
                    </m:sub>
                  </m:sSub>
                </m:e>
              </m:d>
            </m:e>
          </m:d>
        </m:oMath>
      </m:oMathPara>
    </w:p>
    <w:p w:rsidR="00E24DB7" w:rsidRPr="002C5876" w:rsidRDefault="00E24DB7" w:rsidP="00356443">
      <w:pPr>
        <w:pStyle w:val="SingleTxtG"/>
        <w:keepNext/>
        <w:ind w:left="2268" w:hanging="1134"/>
        <w:rPr>
          <w:rFonts w:ascii="TimesNewRomanPSMT" w:hAnsi="TimesNewRomanPSMT" w:cs="TimesNewRomanPSMT"/>
          <w:lang w:eastAsia="en-GB"/>
        </w:rPr>
      </w:pPr>
      <w:r w:rsidRPr="002C5876">
        <w:rPr>
          <w:lang w:eastAsia="en-GB"/>
        </w:rPr>
        <w:t>6.6.1</w:t>
      </w:r>
      <w:r w:rsidRPr="002C5876">
        <w:rPr>
          <w:rFonts w:ascii="TimesNewRomanPSMT" w:hAnsi="TimesNewRomanPSMT" w:cs="TimesNewRomanPSMT"/>
          <w:lang w:eastAsia="en-GB"/>
        </w:rPr>
        <w:tab/>
      </w:r>
      <w:r w:rsidRPr="002C5876">
        <w:t>Si la composition du carburant utilisé pour l’essai diffère de celle qui est prise en compte pour le calcul de la consommation normalisée, il est possible, à la demande du constructeur, d’appliquer un facteur de correction, cf, au moyen de l’équation suivante </w:t>
      </w:r>
      <w:r w:rsidRPr="002C5876">
        <w:rPr>
          <w:rFonts w:ascii="TimesNewRomanPSMT" w:hAnsi="TimesNewRomanPSMT" w:cs="TimesNewRomanPSMT"/>
          <w:lang w:eastAsia="en-GB"/>
        </w:rPr>
        <w:t>:</w:t>
      </w:r>
    </w:p>
    <w:p w:rsidR="000F50B5" w:rsidRPr="002C5876" w:rsidRDefault="00731CA6" w:rsidP="000F50B5">
      <w:pPr>
        <w:pStyle w:val="SingleTxtG"/>
        <w:keepNext/>
        <w:rPr>
          <w:rFonts w:ascii="TimesNewRomanPSMT" w:hAnsi="TimesNewRomanPSMT" w:cs="TimesNewRomanPSMT"/>
          <w:lang w:eastAsia="en-GB"/>
        </w:rPr>
      </w:pPr>
      <m:oMathPara>
        <m:oMath>
          <m:sSub>
            <m:sSubPr>
              <m:ctrlPr>
                <w:rPr>
                  <w:rFonts w:ascii="Cambria Math" w:hAnsi="Cambria Math" w:cs="TimesNewRomanPSMT"/>
                  <w:lang w:eastAsia="en-GB"/>
                </w:rPr>
              </m:ctrlPr>
            </m:sSubPr>
            <m:e>
              <m:r>
                <m:rPr>
                  <m:sty m:val="p"/>
                </m:rPr>
                <w:rPr>
                  <w:rFonts w:ascii="Cambria Math" w:hAnsi="Cambria Math" w:cs="TimesNewRomanPSMT"/>
                  <w:lang w:eastAsia="en-GB"/>
                </w:rPr>
                <m:t>FC</m:t>
              </m:r>
            </m:e>
            <m:sub>
              <m:r>
                <m:rPr>
                  <m:sty m:val="p"/>
                </m:rPr>
                <w:rPr>
                  <w:rFonts w:ascii="Cambria Math" w:hAnsi="Cambria Math" w:cs="TimesNewRomanPSMT"/>
                  <w:lang w:eastAsia="en-GB"/>
                </w:rPr>
                <m:t>norm</m:t>
              </m:r>
            </m:sub>
          </m:sSub>
          <m:r>
            <m:rPr>
              <m:sty m:val="p"/>
            </m:rPr>
            <w:rPr>
              <w:rFonts w:ascii="Cambria Math" w:hAnsi="Cambria Math" w:cs="TimesNewRomanPSMT"/>
              <w:lang w:eastAsia="en-GB"/>
            </w:rPr>
            <m:t>=</m:t>
          </m:r>
          <m:d>
            <m:dPr>
              <m:ctrlPr>
                <w:rPr>
                  <w:rFonts w:ascii="Cambria Math" w:hAnsi="Cambria Math" w:cs="TimesNewRomanPSMT"/>
                  <w:lang w:eastAsia="en-GB"/>
                </w:rPr>
              </m:ctrlPr>
            </m:dPr>
            <m:e>
              <m:f>
                <m:fPr>
                  <m:ctrlPr>
                    <w:rPr>
                      <w:rFonts w:ascii="Cambria Math" w:hAnsi="Cambria Math" w:cs="TimesNewRomanPSMT"/>
                      <w:lang w:eastAsia="en-GB"/>
                    </w:rPr>
                  </m:ctrlPr>
                </m:fPr>
                <m:num>
                  <m:r>
                    <m:rPr>
                      <m:sty m:val="p"/>
                    </m:rPr>
                    <w:rPr>
                      <w:rFonts w:ascii="Cambria Math" w:hAnsi="Cambria Math" w:cs="TimesNewRomanPSMT"/>
                      <w:lang w:eastAsia="en-GB"/>
                    </w:rPr>
                    <m:t>0,1212</m:t>
                  </m:r>
                </m:num>
                <m:den>
                  <m:r>
                    <m:rPr>
                      <m:sty m:val="p"/>
                    </m:rPr>
                    <w:rPr>
                      <w:rFonts w:ascii="Cambria Math" w:hAnsi="Cambria Math" w:cs="TimesNewRomanPSMT"/>
                      <w:lang w:eastAsia="en-GB"/>
                    </w:rPr>
                    <m:t>0,538</m:t>
                  </m:r>
                </m:den>
              </m:f>
            </m:e>
          </m:d>
          <m:r>
            <m:rPr>
              <m:sty m:val="p"/>
            </m:rPr>
            <w:rPr>
              <w:rFonts w:ascii="Cambria Math" w:hAnsi="Cambria Math" w:cs="TimesNewRomanPSMT"/>
              <w:lang w:eastAsia="en-GB"/>
            </w:rPr>
            <m:t>×cf×</m:t>
          </m:r>
          <m:d>
            <m:dPr>
              <m:begChr m:val="["/>
              <m:endChr m:val="]"/>
              <m:ctrlPr>
                <w:rPr>
                  <w:rFonts w:ascii="Cambria Math" w:hAnsi="Cambria Math" w:cs="TimesNewRomanPSMT"/>
                  <w:lang w:eastAsia="en-GB"/>
                </w:rPr>
              </m:ctrlPr>
            </m:dPr>
            <m:e>
              <m:d>
                <m:dPr>
                  <m:ctrlPr>
                    <w:rPr>
                      <w:rFonts w:ascii="Cambria Math" w:hAnsi="Cambria Math" w:cs="TimesNewRomanPSMT"/>
                      <w:lang w:eastAsia="en-GB"/>
                    </w:rPr>
                  </m:ctrlPr>
                </m:dPr>
                <m:e>
                  <m:r>
                    <m:rPr>
                      <m:sty m:val="p"/>
                    </m:rPr>
                    <w:rPr>
                      <w:rFonts w:ascii="Cambria Math" w:hAnsi="Cambria Math" w:cs="TimesNewRomanPSMT"/>
                      <w:lang w:eastAsia="en-GB"/>
                    </w:rPr>
                    <m:t>0,825×HC</m:t>
                  </m:r>
                </m:e>
              </m:d>
              <m:r>
                <m:rPr>
                  <m:sty m:val="p"/>
                </m:rPr>
                <w:rPr>
                  <w:rFonts w:ascii="Cambria Math" w:hAnsi="Cambria Math" w:cs="TimesNewRomanPSMT"/>
                  <w:lang w:eastAsia="en-GB"/>
                </w:rPr>
                <m:t>+</m:t>
              </m:r>
              <m:d>
                <m:dPr>
                  <m:ctrlPr>
                    <w:rPr>
                      <w:rFonts w:ascii="Cambria Math" w:hAnsi="Cambria Math" w:cs="TimesNewRomanPSMT"/>
                      <w:lang w:eastAsia="en-GB"/>
                    </w:rPr>
                  </m:ctrlPr>
                </m:dPr>
                <m:e>
                  <m:r>
                    <m:rPr>
                      <m:sty m:val="p"/>
                    </m:rPr>
                    <w:rPr>
                      <w:rFonts w:ascii="Cambria Math" w:hAnsi="Cambria Math" w:cs="TimesNewRomanPSMT"/>
                      <w:lang w:eastAsia="en-GB"/>
                    </w:rPr>
                    <m:t>0,429×CO</m:t>
                  </m:r>
                </m:e>
              </m:d>
              <m:r>
                <m:rPr>
                  <m:sty m:val="p"/>
                </m:rPr>
                <w:rPr>
                  <w:rFonts w:ascii="Cambria Math" w:hAnsi="Cambria Math" w:cs="TimesNewRomanPSMT"/>
                  <w:lang w:eastAsia="en-GB"/>
                </w:rPr>
                <m:t>+</m:t>
              </m:r>
              <m:d>
                <m:dPr>
                  <m:ctrlPr>
                    <w:rPr>
                      <w:rFonts w:ascii="Cambria Math" w:hAnsi="Cambria Math" w:cs="TimesNewRomanPSMT"/>
                      <w:lang w:eastAsia="en-GB"/>
                    </w:rPr>
                  </m:ctrlPr>
                </m:dPr>
                <m:e>
                  <m:r>
                    <m:rPr>
                      <m:sty m:val="p"/>
                    </m:rPr>
                    <w:rPr>
                      <w:rFonts w:ascii="Cambria Math" w:hAnsi="Cambria Math" w:cs="TimesNewRomanPSMT"/>
                      <w:lang w:eastAsia="en-GB"/>
                    </w:rPr>
                    <m:t>0,273×</m:t>
                  </m:r>
                  <m:sSub>
                    <m:sSubPr>
                      <m:ctrlPr>
                        <w:rPr>
                          <w:rFonts w:ascii="Cambria Math" w:hAnsi="Cambria Math" w:cs="TimesNewRomanPSMT"/>
                          <w:lang w:eastAsia="en-GB"/>
                        </w:rPr>
                      </m:ctrlPr>
                    </m:sSubPr>
                    <m:e>
                      <m:r>
                        <m:rPr>
                          <m:sty m:val="p"/>
                        </m:rPr>
                        <w:rPr>
                          <w:rFonts w:ascii="Cambria Math" w:hAnsi="Cambria Math" w:cs="TimesNewRomanPSMT"/>
                          <w:lang w:eastAsia="en-GB"/>
                        </w:rPr>
                        <m:t>CO</m:t>
                      </m:r>
                    </m:e>
                    <m:sub>
                      <m:r>
                        <m:rPr>
                          <m:sty m:val="p"/>
                        </m:rPr>
                        <w:rPr>
                          <w:rFonts w:ascii="Cambria Math" w:hAnsi="Cambria Math" w:cs="TimesNewRomanPSMT"/>
                          <w:lang w:eastAsia="en-GB"/>
                        </w:rPr>
                        <m:t>2</m:t>
                      </m:r>
                    </m:sub>
                  </m:sSub>
                </m:e>
              </m:d>
            </m:e>
          </m:d>
        </m:oMath>
      </m:oMathPara>
    </w:p>
    <w:p w:rsidR="00E24DB7" w:rsidRPr="002C5876" w:rsidRDefault="00E24DB7" w:rsidP="000F50B5">
      <w:pPr>
        <w:pStyle w:val="SingleTxtG"/>
        <w:keepNext/>
        <w:ind w:left="2268"/>
      </w:pPr>
      <w:r w:rsidRPr="002C5876">
        <w:t>Le facteur de correction cf qui peut être employé est déterminé à l’aide de l’équation suivante :</w:t>
      </w:r>
    </w:p>
    <w:p w:rsidR="000F50B5" w:rsidRPr="002C5876" w:rsidRDefault="000F50B5" w:rsidP="000F50B5">
      <w:pPr>
        <w:pStyle w:val="SingleTxtG"/>
        <w:keepNext/>
        <w:ind w:left="2268"/>
        <w:rPr>
          <w:rFonts w:ascii="TimesNewRomanPSMT" w:hAnsi="TimesNewRomanPSMT" w:cs="TimesNewRomanPSMT"/>
          <w:lang w:eastAsia="en-GB"/>
        </w:rPr>
      </w:pPr>
      <m:oMathPara>
        <m:oMath>
          <m:r>
            <m:rPr>
              <m:sty m:val="p"/>
            </m:rPr>
            <w:rPr>
              <w:rFonts w:ascii="Cambria Math" w:hAnsi="Cambria Math" w:cs="TimesNewRomanPSMT"/>
              <w:lang w:eastAsia="en-GB"/>
            </w:rPr>
            <m:t>cf=0,825+0,0693×</m:t>
          </m:r>
          <m:sSub>
            <m:sSubPr>
              <m:ctrlPr>
                <w:rPr>
                  <w:rFonts w:ascii="Cambria Math" w:hAnsi="Cambria Math" w:cs="TimesNewRomanPSMT"/>
                  <w:lang w:eastAsia="en-GB"/>
                </w:rPr>
              </m:ctrlPr>
            </m:sSubPr>
            <m:e>
              <m:r>
                <m:rPr>
                  <m:sty m:val="p"/>
                </m:rPr>
                <w:rPr>
                  <w:rFonts w:ascii="Cambria Math" w:hAnsi="Cambria Math" w:cs="TimesNewRomanPSMT"/>
                  <w:lang w:eastAsia="en-GB"/>
                </w:rPr>
                <m:t>n</m:t>
              </m:r>
            </m:e>
            <m:sub>
              <m:r>
                <m:rPr>
                  <m:sty m:val="p"/>
                </m:rPr>
                <w:rPr>
                  <w:rFonts w:ascii="Cambria Math" w:hAnsi="Cambria Math" w:cs="TimesNewRomanPSMT"/>
                  <w:lang w:eastAsia="en-GB"/>
                </w:rPr>
                <m:t>actual</m:t>
              </m:r>
            </m:sub>
          </m:sSub>
        </m:oMath>
      </m:oMathPara>
    </w:p>
    <w:p w:rsidR="00E24DB7" w:rsidRPr="002C5876" w:rsidRDefault="00E24DB7" w:rsidP="000F50B5">
      <w:pPr>
        <w:pStyle w:val="SingleTxtG"/>
        <w:keepNext/>
        <w:ind w:left="2835" w:hanging="567"/>
      </w:pPr>
      <w:r w:rsidRPr="002C5876">
        <w:t>où :</w:t>
      </w:r>
    </w:p>
    <w:p w:rsidR="00E24DB7" w:rsidRPr="002C5876" w:rsidRDefault="00E24DB7" w:rsidP="000F50B5">
      <w:pPr>
        <w:pStyle w:val="SingleTxtG"/>
        <w:ind w:left="2835" w:hanging="567"/>
        <w:rPr>
          <w:rFonts w:ascii="TimesNewRomanPSMT" w:hAnsi="TimesNewRomanPSMT" w:cs="TimesNewRomanPSMT"/>
          <w:lang w:eastAsia="en-GB"/>
        </w:rPr>
      </w:pPr>
      <w:r w:rsidRPr="002C5876">
        <w:t>n</w:t>
      </w:r>
      <w:r w:rsidRPr="002C5876">
        <w:rPr>
          <w:vertAlign w:val="subscript"/>
        </w:rPr>
        <w:t>actual</w:t>
      </w:r>
      <w:r w:rsidRPr="002C5876">
        <w:t xml:space="preserve"> </w:t>
      </w:r>
      <w:r w:rsidR="000F50B5" w:rsidRPr="002C5876">
        <w:tab/>
      </w:r>
      <w:r w:rsidRPr="002C5876">
        <w:t>est le rapport réel H/C du carburant utilisé</w:t>
      </w:r>
      <w:r w:rsidRPr="002C5876">
        <w:rPr>
          <w:rFonts w:ascii="TimesNewRomanPSMT" w:hAnsi="TimesNewRomanPSMT" w:cs="TimesNewRomanPSMT"/>
          <w:lang w:eastAsia="en-GB"/>
        </w:rPr>
        <w:t>.</w:t>
      </w:r>
    </w:p>
    <w:p w:rsidR="00E24DB7" w:rsidRPr="002C5876" w:rsidRDefault="00E24DB7" w:rsidP="00356443">
      <w:pPr>
        <w:pStyle w:val="SingleTxtG"/>
        <w:keepNext/>
        <w:ind w:left="2268" w:hanging="1134"/>
      </w:pPr>
      <w:r w:rsidRPr="002C5876">
        <w:lastRenderedPageBreak/>
        <w:t>6.7</w:t>
      </w:r>
      <w:r w:rsidRPr="002C5876">
        <w:rPr>
          <w:rFonts w:ascii="TimesNewRomanPSMT" w:hAnsi="TimesNewRomanPSMT" w:cs="TimesNewRomanPSMT"/>
          <w:lang w:eastAsia="en-GB"/>
        </w:rPr>
        <w:tab/>
      </w:r>
      <w:r w:rsidRPr="002C5876">
        <w:t>Pour les véhicules à allumage commandé alimentés au GN/biométhane :</w:t>
      </w:r>
    </w:p>
    <w:p w:rsidR="000F50B5" w:rsidRPr="002C5876" w:rsidRDefault="00731CA6" w:rsidP="000F50B5">
      <w:pPr>
        <w:pStyle w:val="SingleTxtG"/>
        <w:keepNext/>
        <w:ind w:left="2268"/>
        <w:rPr>
          <w:rFonts w:ascii="TimesNewRomanPSMT" w:hAnsi="TimesNewRomanPSMT" w:cs="TimesNewRomanPSMT"/>
          <w:lang w:eastAsia="en-GB"/>
        </w:rPr>
      </w:pPr>
      <m:oMathPara>
        <m:oMath>
          <m:sSub>
            <m:sSubPr>
              <m:ctrlPr>
                <w:rPr>
                  <w:rFonts w:ascii="Cambria Math" w:hAnsi="Cambria Math" w:cs="TimesNewRomanPSMT"/>
                  <w:lang w:eastAsia="en-GB"/>
                </w:rPr>
              </m:ctrlPr>
            </m:sSubPr>
            <m:e>
              <m:r>
                <m:rPr>
                  <m:sty m:val="p"/>
                </m:rPr>
                <w:rPr>
                  <w:rFonts w:ascii="Cambria Math" w:hAnsi="Cambria Math" w:cs="TimesNewRomanPSMT"/>
                  <w:lang w:eastAsia="en-GB"/>
                </w:rPr>
                <m:t>FC</m:t>
              </m:r>
            </m:e>
            <m:sub>
              <m:r>
                <m:rPr>
                  <m:sty m:val="p"/>
                </m:rPr>
                <w:rPr>
                  <w:rFonts w:ascii="Cambria Math" w:hAnsi="Cambria Math" w:cs="TimesNewRomanPSMT"/>
                  <w:lang w:eastAsia="en-GB"/>
                </w:rPr>
                <m:t>norm</m:t>
              </m:r>
            </m:sub>
          </m:sSub>
          <m:r>
            <m:rPr>
              <m:sty m:val="p"/>
            </m:rPr>
            <w:rPr>
              <w:rFonts w:ascii="Cambria Math" w:hAnsi="Cambria Math" w:cs="TimesNewRomanPSMT"/>
              <w:lang w:eastAsia="en-GB"/>
            </w:rPr>
            <m:t>=</m:t>
          </m:r>
          <m:d>
            <m:dPr>
              <m:ctrlPr>
                <w:rPr>
                  <w:rFonts w:ascii="Cambria Math" w:hAnsi="Cambria Math" w:cs="TimesNewRomanPSMT"/>
                  <w:lang w:eastAsia="en-GB"/>
                </w:rPr>
              </m:ctrlPr>
            </m:dPr>
            <m:e>
              <m:f>
                <m:fPr>
                  <m:ctrlPr>
                    <w:rPr>
                      <w:rFonts w:ascii="Cambria Math" w:hAnsi="Cambria Math" w:cs="TimesNewRomanPSMT"/>
                      <w:lang w:eastAsia="en-GB"/>
                    </w:rPr>
                  </m:ctrlPr>
                </m:fPr>
                <m:num>
                  <m:r>
                    <m:rPr>
                      <m:sty m:val="p"/>
                    </m:rPr>
                    <w:rPr>
                      <w:rFonts w:ascii="Cambria Math" w:hAnsi="Cambria Math" w:cs="TimesNewRomanPSMT"/>
                      <w:lang w:eastAsia="en-GB"/>
                    </w:rPr>
                    <m:t>0,1336</m:t>
                  </m:r>
                </m:num>
                <m:den>
                  <m:r>
                    <w:rPr>
                      <w:rFonts w:ascii="Cambria Math" w:hAnsi="Cambria Math" w:cs="TimesNewRomanPSMT"/>
                      <w:lang w:eastAsia="en-GB"/>
                    </w:rPr>
                    <m:t>0,654</m:t>
                  </m:r>
                </m:den>
              </m:f>
            </m:e>
          </m:d>
          <m:r>
            <m:rPr>
              <m:sty m:val="p"/>
            </m:rPr>
            <w:rPr>
              <w:rFonts w:ascii="Cambria Math" w:hAnsi="Cambria Math" w:cs="TimesNewRomanPSMT"/>
              <w:lang w:eastAsia="en-GB"/>
            </w:rPr>
            <m:t>×</m:t>
          </m:r>
          <m:d>
            <m:dPr>
              <m:begChr m:val="["/>
              <m:endChr m:val="]"/>
              <m:ctrlPr>
                <w:rPr>
                  <w:rFonts w:ascii="Cambria Math" w:hAnsi="Cambria Math" w:cs="TimesNewRomanPSMT"/>
                  <w:lang w:eastAsia="en-GB"/>
                </w:rPr>
              </m:ctrlPr>
            </m:dPr>
            <m:e>
              <m:d>
                <m:dPr>
                  <m:ctrlPr>
                    <w:rPr>
                      <w:rFonts w:ascii="Cambria Math" w:hAnsi="Cambria Math" w:cs="TimesNewRomanPSMT"/>
                      <w:lang w:eastAsia="en-GB"/>
                    </w:rPr>
                  </m:ctrlPr>
                </m:dPr>
                <m:e>
                  <m:r>
                    <m:rPr>
                      <m:sty m:val="p"/>
                    </m:rPr>
                    <w:rPr>
                      <w:rFonts w:ascii="Cambria Math" w:hAnsi="Cambria Math" w:cs="TimesNewRomanPSMT"/>
                      <w:lang w:eastAsia="en-GB"/>
                    </w:rPr>
                    <m:t>0,749×HC</m:t>
                  </m:r>
                </m:e>
              </m:d>
              <m:r>
                <m:rPr>
                  <m:sty m:val="p"/>
                </m:rPr>
                <w:rPr>
                  <w:rFonts w:ascii="Cambria Math" w:hAnsi="Cambria Math" w:cs="TimesNewRomanPSMT"/>
                  <w:lang w:eastAsia="en-GB"/>
                </w:rPr>
                <m:t>+</m:t>
              </m:r>
              <m:d>
                <m:dPr>
                  <m:ctrlPr>
                    <w:rPr>
                      <w:rFonts w:ascii="Cambria Math" w:hAnsi="Cambria Math" w:cs="TimesNewRomanPSMT"/>
                      <w:lang w:eastAsia="en-GB"/>
                    </w:rPr>
                  </m:ctrlPr>
                </m:dPr>
                <m:e>
                  <m:r>
                    <m:rPr>
                      <m:sty m:val="p"/>
                    </m:rPr>
                    <w:rPr>
                      <w:rFonts w:ascii="Cambria Math" w:hAnsi="Cambria Math" w:cs="TimesNewRomanPSMT"/>
                      <w:lang w:eastAsia="en-GB"/>
                    </w:rPr>
                    <m:t>0,429×CO</m:t>
                  </m:r>
                </m:e>
              </m:d>
              <m:r>
                <m:rPr>
                  <m:sty m:val="p"/>
                </m:rPr>
                <w:rPr>
                  <w:rFonts w:ascii="Cambria Math" w:hAnsi="Cambria Math" w:cs="TimesNewRomanPSMT"/>
                  <w:lang w:eastAsia="en-GB"/>
                </w:rPr>
                <m:t>+</m:t>
              </m:r>
              <m:d>
                <m:dPr>
                  <m:ctrlPr>
                    <w:rPr>
                      <w:rFonts w:ascii="Cambria Math" w:hAnsi="Cambria Math" w:cs="TimesNewRomanPSMT"/>
                      <w:lang w:eastAsia="en-GB"/>
                    </w:rPr>
                  </m:ctrlPr>
                </m:dPr>
                <m:e>
                  <m:r>
                    <m:rPr>
                      <m:sty m:val="p"/>
                    </m:rPr>
                    <w:rPr>
                      <w:rFonts w:ascii="Cambria Math" w:hAnsi="Cambria Math" w:cs="TimesNewRomanPSMT"/>
                      <w:lang w:eastAsia="en-GB"/>
                    </w:rPr>
                    <m:t>0,273×</m:t>
                  </m:r>
                  <m:sSub>
                    <m:sSubPr>
                      <m:ctrlPr>
                        <w:rPr>
                          <w:rFonts w:ascii="Cambria Math" w:hAnsi="Cambria Math" w:cs="TimesNewRomanPSMT"/>
                          <w:lang w:eastAsia="en-GB"/>
                        </w:rPr>
                      </m:ctrlPr>
                    </m:sSubPr>
                    <m:e>
                      <m:r>
                        <m:rPr>
                          <m:sty m:val="p"/>
                        </m:rPr>
                        <w:rPr>
                          <w:rFonts w:ascii="Cambria Math" w:hAnsi="Cambria Math" w:cs="TimesNewRomanPSMT"/>
                          <w:lang w:eastAsia="en-GB"/>
                        </w:rPr>
                        <m:t>CO</m:t>
                      </m:r>
                    </m:e>
                    <m:sub>
                      <m:r>
                        <m:rPr>
                          <m:sty m:val="p"/>
                        </m:rPr>
                        <w:rPr>
                          <w:rFonts w:ascii="Cambria Math" w:hAnsi="Cambria Math" w:cs="TimesNewRomanPSMT"/>
                          <w:lang w:eastAsia="en-GB"/>
                        </w:rPr>
                        <m:t>2</m:t>
                      </m:r>
                    </m:sub>
                  </m:sSub>
                </m:e>
              </m:d>
            </m:e>
          </m:d>
        </m:oMath>
      </m:oMathPara>
    </w:p>
    <w:p w:rsidR="00E24DB7" w:rsidRPr="002C5876" w:rsidRDefault="00E24DB7" w:rsidP="00356443">
      <w:pPr>
        <w:pStyle w:val="SingleTxtG"/>
        <w:keepNext/>
        <w:ind w:left="2268" w:hanging="1134"/>
      </w:pPr>
      <w:r w:rsidRPr="002C5876">
        <w:t>6.8</w:t>
      </w:r>
      <w:r w:rsidRPr="002C5876">
        <w:tab/>
        <w:t>Pour les véhicules à allumage par compression alimentés au gazole (B0) :</w:t>
      </w:r>
    </w:p>
    <w:p w:rsidR="000F50B5" w:rsidRPr="002C5876" w:rsidRDefault="000F50B5" w:rsidP="00356443">
      <w:pPr>
        <w:pStyle w:val="SingleTxtG"/>
        <w:keepNext/>
        <w:ind w:left="2268" w:hanging="1134"/>
      </w:pPr>
      <m:oMathPara>
        <m:oMath>
          <m:r>
            <m:rPr>
              <m:sty m:val="p"/>
            </m:rPr>
            <w:rPr>
              <w:rFonts w:ascii="Cambria Math" w:hAnsi="Cambria Math"/>
            </w:rPr>
            <m:t>FC=</m:t>
          </m:r>
          <m:d>
            <m:dPr>
              <m:ctrlPr>
                <w:rPr>
                  <w:rFonts w:ascii="Cambria Math" w:hAnsi="Cambria Math"/>
                </w:rPr>
              </m:ctrlPr>
            </m:dPr>
            <m:e>
              <m:f>
                <m:fPr>
                  <m:ctrlPr>
                    <w:rPr>
                      <w:rFonts w:ascii="Cambria Math" w:hAnsi="Cambria Math"/>
                    </w:rPr>
                  </m:ctrlPr>
                </m:fPr>
                <m:num>
                  <m:r>
                    <m:rPr>
                      <m:sty m:val="p"/>
                    </m:rPr>
                    <w:rPr>
                      <w:rFonts w:ascii="Cambria Math" w:hAnsi="Cambria Math"/>
                    </w:rPr>
                    <m:t>0,1156</m:t>
                  </m:r>
                </m:num>
                <m:den>
                  <m:sSub>
                    <m:sSubPr>
                      <m:ctrlPr>
                        <w:rPr>
                          <w:rFonts w:ascii="Cambria Math" w:hAnsi="Cambria Math"/>
                          <w:lang w:eastAsia="en-GB"/>
                        </w:rPr>
                      </m:ctrlPr>
                    </m:sSubPr>
                    <m:e>
                      <m:r>
                        <m:rPr>
                          <m:sty m:val="p"/>
                        </m:rPr>
                        <w:rPr>
                          <w:rFonts w:ascii="Cambria Math" w:hAnsi="Cambria Math"/>
                          <w:lang w:eastAsia="en-GB"/>
                        </w:rPr>
                        <m:t>ρ</m:t>
                      </m:r>
                    </m:e>
                    <m:sub>
                      <m:r>
                        <m:rPr>
                          <m:sty m:val="p"/>
                        </m:rPr>
                        <w:rPr>
                          <w:rFonts w:ascii="Cambria Math" w:hAnsi="Cambria Math"/>
                          <w:lang w:eastAsia="en-GB"/>
                        </w:rPr>
                        <m:t>fuel</m:t>
                      </m:r>
                    </m:sub>
                  </m:sSub>
                </m:den>
              </m:f>
            </m:e>
          </m:d>
          <m:r>
            <m:rPr>
              <m:sty m:val="p"/>
            </m:rPr>
            <w:rPr>
              <w:rFonts w:ascii="Cambria Math" w:hAnsi="Cambria Math"/>
            </w:rPr>
            <m:t>×</m:t>
          </m:r>
          <m:d>
            <m:dPr>
              <m:begChr m:val="["/>
              <m:endChr m:val="]"/>
              <m:ctrlPr>
                <w:rPr>
                  <w:rFonts w:ascii="Cambria Math" w:hAnsi="Cambria Math"/>
                </w:rPr>
              </m:ctrlPr>
            </m:dPr>
            <m:e>
              <m:d>
                <m:dPr>
                  <m:ctrlPr>
                    <w:rPr>
                      <w:rFonts w:ascii="Cambria Math" w:hAnsi="Cambria Math"/>
                    </w:rPr>
                  </m:ctrlPr>
                </m:dPr>
                <m:e>
                  <m:r>
                    <m:rPr>
                      <m:sty m:val="p"/>
                    </m:rPr>
                    <w:rPr>
                      <w:rFonts w:ascii="Cambria Math" w:hAnsi="Cambria Math"/>
                    </w:rPr>
                    <m:t>0,865×HC</m:t>
                  </m:r>
                </m:e>
              </m:d>
              <m:r>
                <m:rPr>
                  <m:sty m:val="p"/>
                </m:rPr>
                <w:rPr>
                  <w:rFonts w:ascii="Cambria Math" w:hAnsi="Cambria Math"/>
                </w:rPr>
                <m:t>+</m:t>
              </m:r>
              <m:d>
                <m:dPr>
                  <m:ctrlPr>
                    <w:rPr>
                      <w:rFonts w:ascii="Cambria Math" w:hAnsi="Cambria Math"/>
                    </w:rPr>
                  </m:ctrlPr>
                </m:dPr>
                <m:e>
                  <m:r>
                    <m:rPr>
                      <m:sty m:val="p"/>
                    </m:rPr>
                    <w:rPr>
                      <w:rFonts w:ascii="Cambria Math" w:hAnsi="Cambria Math"/>
                    </w:rPr>
                    <m:t>0,429×CO</m:t>
                  </m:r>
                </m:e>
              </m:d>
              <m:r>
                <m:rPr>
                  <m:sty m:val="p"/>
                </m:rPr>
                <w:rPr>
                  <w:rFonts w:ascii="Cambria Math" w:hAnsi="Cambria Math"/>
                </w:rPr>
                <m:t>+</m:t>
              </m:r>
              <m:d>
                <m:dPr>
                  <m:ctrlPr>
                    <w:rPr>
                      <w:rFonts w:ascii="Cambria Math" w:hAnsi="Cambria Math"/>
                    </w:rPr>
                  </m:ctrlPr>
                </m:dPr>
                <m:e>
                  <m:r>
                    <m:rPr>
                      <m:sty m:val="p"/>
                    </m:rPr>
                    <w:rPr>
                      <w:rFonts w:ascii="Cambria Math" w:hAnsi="Cambria Math"/>
                    </w:rPr>
                    <m:t>0,273×</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e>
              </m:d>
            </m:e>
          </m:d>
        </m:oMath>
      </m:oMathPara>
    </w:p>
    <w:p w:rsidR="00E24DB7" w:rsidRPr="002C5876" w:rsidRDefault="00E24DB7" w:rsidP="00356443">
      <w:pPr>
        <w:pStyle w:val="SingleTxtG"/>
        <w:keepNext/>
        <w:ind w:left="2268" w:hanging="1134"/>
      </w:pPr>
      <w:r w:rsidRPr="002C5876">
        <w:t>6.9</w:t>
      </w:r>
      <w:r w:rsidRPr="002C5876">
        <w:tab/>
      </w:r>
      <w:r w:rsidRPr="002C5876">
        <w:tab/>
        <w:t>Pour les véhicules à allumage par compression alimentés au gazole (B5) :</w:t>
      </w:r>
    </w:p>
    <w:p w:rsidR="000F50B5" w:rsidRPr="002C5876" w:rsidRDefault="000F50B5" w:rsidP="000F50B5">
      <w:pPr>
        <w:pStyle w:val="SingleTxtG"/>
        <w:keepNext/>
        <w:ind w:left="2268"/>
      </w:pPr>
      <m:oMathPara>
        <m:oMath>
          <m:r>
            <m:rPr>
              <m:sty m:val="p"/>
            </m:rPr>
            <w:rPr>
              <w:rFonts w:ascii="Cambria Math" w:hAnsi="Cambria Math"/>
            </w:rPr>
            <m:t>FC=</m:t>
          </m:r>
          <m:d>
            <m:dPr>
              <m:ctrlPr>
                <w:rPr>
                  <w:rFonts w:ascii="Cambria Math" w:hAnsi="Cambria Math"/>
                </w:rPr>
              </m:ctrlPr>
            </m:dPr>
            <m:e>
              <m:f>
                <m:fPr>
                  <m:ctrlPr>
                    <w:rPr>
                      <w:rFonts w:ascii="Cambria Math" w:hAnsi="Cambria Math"/>
                    </w:rPr>
                  </m:ctrlPr>
                </m:fPr>
                <m:num>
                  <m:r>
                    <m:rPr>
                      <m:sty m:val="p"/>
                    </m:rPr>
                    <w:rPr>
                      <w:rFonts w:ascii="Cambria Math" w:hAnsi="Cambria Math"/>
                    </w:rPr>
                    <m:t>0,1163</m:t>
                  </m:r>
                </m:num>
                <m:den>
                  <m:sSub>
                    <m:sSubPr>
                      <m:ctrlPr>
                        <w:rPr>
                          <w:rFonts w:ascii="Cambria Math" w:hAnsi="Cambria Math"/>
                          <w:lang w:eastAsia="en-GB"/>
                        </w:rPr>
                      </m:ctrlPr>
                    </m:sSubPr>
                    <m:e>
                      <m:r>
                        <m:rPr>
                          <m:sty m:val="p"/>
                        </m:rPr>
                        <w:rPr>
                          <w:rFonts w:ascii="Cambria Math" w:hAnsi="Cambria Math"/>
                          <w:lang w:eastAsia="en-GB"/>
                        </w:rPr>
                        <m:t>ρ</m:t>
                      </m:r>
                    </m:e>
                    <m:sub>
                      <m:r>
                        <m:rPr>
                          <m:sty m:val="p"/>
                        </m:rPr>
                        <w:rPr>
                          <w:rFonts w:ascii="Cambria Math" w:hAnsi="Cambria Math"/>
                          <w:lang w:eastAsia="en-GB"/>
                        </w:rPr>
                        <m:t>fuel</m:t>
                      </m:r>
                    </m:sub>
                  </m:sSub>
                </m:den>
              </m:f>
            </m:e>
          </m:d>
          <m:r>
            <m:rPr>
              <m:sty m:val="p"/>
            </m:rPr>
            <w:rPr>
              <w:rFonts w:ascii="Cambria Math" w:hAnsi="Cambria Math"/>
            </w:rPr>
            <m:t>×</m:t>
          </m:r>
          <m:d>
            <m:dPr>
              <m:begChr m:val="["/>
              <m:endChr m:val="]"/>
              <m:ctrlPr>
                <w:rPr>
                  <w:rFonts w:ascii="Cambria Math" w:hAnsi="Cambria Math"/>
                </w:rPr>
              </m:ctrlPr>
            </m:dPr>
            <m:e>
              <m:d>
                <m:dPr>
                  <m:ctrlPr>
                    <w:rPr>
                      <w:rFonts w:ascii="Cambria Math" w:hAnsi="Cambria Math"/>
                    </w:rPr>
                  </m:ctrlPr>
                </m:dPr>
                <m:e>
                  <m:r>
                    <m:rPr>
                      <m:sty m:val="p"/>
                    </m:rPr>
                    <w:rPr>
                      <w:rFonts w:ascii="Cambria Math" w:hAnsi="Cambria Math"/>
                    </w:rPr>
                    <m:t>0,860×HC</m:t>
                  </m:r>
                </m:e>
              </m:d>
              <m:r>
                <m:rPr>
                  <m:sty m:val="p"/>
                </m:rPr>
                <w:rPr>
                  <w:rFonts w:ascii="Cambria Math" w:hAnsi="Cambria Math"/>
                </w:rPr>
                <m:t>+</m:t>
              </m:r>
              <m:d>
                <m:dPr>
                  <m:ctrlPr>
                    <w:rPr>
                      <w:rFonts w:ascii="Cambria Math" w:hAnsi="Cambria Math"/>
                    </w:rPr>
                  </m:ctrlPr>
                </m:dPr>
                <m:e>
                  <m:r>
                    <m:rPr>
                      <m:sty m:val="p"/>
                    </m:rPr>
                    <w:rPr>
                      <w:rFonts w:ascii="Cambria Math" w:hAnsi="Cambria Math"/>
                    </w:rPr>
                    <m:t>0,429×CO</m:t>
                  </m:r>
                </m:e>
              </m:d>
              <m:r>
                <m:rPr>
                  <m:sty m:val="p"/>
                </m:rPr>
                <w:rPr>
                  <w:rFonts w:ascii="Cambria Math" w:hAnsi="Cambria Math"/>
                </w:rPr>
                <m:t>+</m:t>
              </m:r>
              <m:d>
                <m:dPr>
                  <m:ctrlPr>
                    <w:rPr>
                      <w:rFonts w:ascii="Cambria Math" w:hAnsi="Cambria Math"/>
                    </w:rPr>
                  </m:ctrlPr>
                </m:dPr>
                <m:e>
                  <m:r>
                    <m:rPr>
                      <m:sty m:val="p"/>
                    </m:rPr>
                    <w:rPr>
                      <w:rFonts w:ascii="Cambria Math" w:hAnsi="Cambria Math"/>
                    </w:rPr>
                    <m:t>0,273×</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e>
              </m:d>
            </m:e>
          </m:d>
        </m:oMath>
      </m:oMathPara>
    </w:p>
    <w:p w:rsidR="00E24DB7" w:rsidRPr="002C5876" w:rsidRDefault="00E24DB7" w:rsidP="00356443">
      <w:pPr>
        <w:pStyle w:val="SingleTxtG"/>
        <w:keepNext/>
        <w:ind w:left="2268" w:hanging="1134"/>
      </w:pPr>
      <w:r w:rsidRPr="002C5876">
        <w:t>6.10</w:t>
      </w:r>
      <w:r w:rsidRPr="002C5876">
        <w:tab/>
        <w:t>Pour les véhicules à allumage par compression alimentés au gazole (B7) :</w:t>
      </w:r>
    </w:p>
    <w:p w:rsidR="000F50B5" w:rsidRPr="002C5876" w:rsidRDefault="000F50B5" w:rsidP="000F50B5">
      <w:pPr>
        <w:pStyle w:val="SingleTxtG"/>
        <w:keepNext/>
        <w:ind w:left="2268"/>
      </w:pPr>
      <m:oMathPara>
        <m:oMath>
          <m:r>
            <m:rPr>
              <m:sty m:val="p"/>
            </m:rPr>
            <w:rPr>
              <w:rFonts w:ascii="Cambria Math" w:hAnsi="Cambria Math"/>
            </w:rPr>
            <m:t>FC=</m:t>
          </m:r>
          <m:d>
            <m:dPr>
              <m:ctrlPr>
                <w:rPr>
                  <w:rFonts w:ascii="Cambria Math" w:hAnsi="Cambria Math"/>
                </w:rPr>
              </m:ctrlPr>
            </m:dPr>
            <m:e>
              <m:f>
                <m:fPr>
                  <m:ctrlPr>
                    <w:rPr>
                      <w:rFonts w:ascii="Cambria Math" w:hAnsi="Cambria Math"/>
                    </w:rPr>
                  </m:ctrlPr>
                </m:fPr>
                <m:num>
                  <m:r>
                    <m:rPr>
                      <m:sty m:val="p"/>
                    </m:rPr>
                    <w:rPr>
                      <w:rFonts w:ascii="Cambria Math" w:hAnsi="Cambria Math"/>
                    </w:rPr>
                    <m:t>0,1165</m:t>
                  </m:r>
                </m:num>
                <m:den>
                  <m:sSub>
                    <m:sSubPr>
                      <m:ctrlPr>
                        <w:rPr>
                          <w:rFonts w:ascii="Cambria Math" w:hAnsi="Cambria Math"/>
                          <w:lang w:eastAsia="en-GB"/>
                        </w:rPr>
                      </m:ctrlPr>
                    </m:sSubPr>
                    <m:e>
                      <m:r>
                        <m:rPr>
                          <m:sty m:val="p"/>
                        </m:rPr>
                        <w:rPr>
                          <w:rFonts w:ascii="Cambria Math" w:hAnsi="Cambria Math"/>
                          <w:lang w:eastAsia="en-GB"/>
                        </w:rPr>
                        <m:t>ρ</m:t>
                      </m:r>
                    </m:e>
                    <m:sub>
                      <m:r>
                        <m:rPr>
                          <m:sty m:val="p"/>
                        </m:rPr>
                        <w:rPr>
                          <w:rFonts w:ascii="Cambria Math" w:hAnsi="Cambria Math"/>
                          <w:lang w:eastAsia="en-GB"/>
                        </w:rPr>
                        <m:t>fuel</m:t>
                      </m:r>
                    </m:sub>
                  </m:sSub>
                </m:den>
              </m:f>
            </m:e>
          </m:d>
          <m:r>
            <m:rPr>
              <m:sty m:val="p"/>
            </m:rPr>
            <w:rPr>
              <w:rFonts w:ascii="Cambria Math" w:hAnsi="Cambria Math"/>
            </w:rPr>
            <m:t>×</m:t>
          </m:r>
          <m:d>
            <m:dPr>
              <m:begChr m:val="["/>
              <m:endChr m:val="]"/>
              <m:ctrlPr>
                <w:rPr>
                  <w:rFonts w:ascii="Cambria Math" w:hAnsi="Cambria Math"/>
                </w:rPr>
              </m:ctrlPr>
            </m:dPr>
            <m:e>
              <m:d>
                <m:dPr>
                  <m:ctrlPr>
                    <w:rPr>
                      <w:rFonts w:ascii="Cambria Math" w:hAnsi="Cambria Math"/>
                    </w:rPr>
                  </m:ctrlPr>
                </m:dPr>
                <m:e>
                  <m:r>
                    <m:rPr>
                      <m:sty m:val="p"/>
                    </m:rPr>
                    <w:rPr>
                      <w:rFonts w:ascii="Cambria Math" w:hAnsi="Cambria Math"/>
                    </w:rPr>
                    <m:t>0,858×HC</m:t>
                  </m:r>
                </m:e>
              </m:d>
              <m:r>
                <m:rPr>
                  <m:sty m:val="p"/>
                </m:rPr>
                <w:rPr>
                  <w:rFonts w:ascii="Cambria Math" w:hAnsi="Cambria Math"/>
                </w:rPr>
                <m:t>+</m:t>
              </m:r>
              <m:d>
                <m:dPr>
                  <m:ctrlPr>
                    <w:rPr>
                      <w:rFonts w:ascii="Cambria Math" w:hAnsi="Cambria Math"/>
                    </w:rPr>
                  </m:ctrlPr>
                </m:dPr>
                <m:e>
                  <m:r>
                    <m:rPr>
                      <m:sty m:val="p"/>
                    </m:rPr>
                    <w:rPr>
                      <w:rFonts w:ascii="Cambria Math" w:hAnsi="Cambria Math"/>
                    </w:rPr>
                    <m:t>0,429×CO</m:t>
                  </m:r>
                </m:e>
              </m:d>
              <m:r>
                <m:rPr>
                  <m:sty m:val="p"/>
                </m:rPr>
                <w:rPr>
                  <w:rFonts w:ascii="Cambria Math" w:hAnsi="Cambria Math"/>
                </w:rPr>
                <m:t>+</m:t>
              </m:r>
              <m:d>
                <m:dPr>
                  <m:ctrlPr>
                    <w:rPr>
                      <w:rFonts w:ascii="Cambria Math" w:hAnsi="Cambria Math"/>
                    </w:rPr>
                  </m:ctrlPr>
                </m:dPr>
                <m:e>
                  <m:r>
                    <m:rPr>
                      <m:sty m:val="p"/>
                    </m:rPr>
                    <w:rPr>
                      <w:rFonts w:ascii="Cambria Math" w:hAnsi="Cambria Math"/>
                    </w:rPr>
                    <m:t>0,273×</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e>
              </m:d>
            </m:e>
          </m:d>
        </m:oMath>
      </m:oMathPara>
    </w:p>
    <w:p w:rsidR="00E24DB7" w:rsidRPr="002C5876" w:rsidRDefault="00E24DB7" w:rsidP="00356443">
      <w:pPr>
        <w:pStyle w:val="SingleTxtG"/>
        <w:keepNext/>
        <w:ind w:left="2268" w:hanging="1134"/>
      </w:pPr>
      <w:r w:rsidRPr="002C5876">
        <w:t>6.11</w:t>
      </w:r>
      <w:r w:rsidRPr="002C5876">
        <w:tab/>
      </w:r>
      <w:r w:rsidRPr="002C5876">
        <w:tab/>
        <w:t>Pour les véhicules à allumage commandé alimentés à l’éthanol (E85) :</w:t>
      </w:r>
    </w:p>
    <w:p w:rsidR="000F50B5" w:rsidRPr="002C5876" w:rsidRDefault="000F50B5" w:rsidP="000F50B5">
      <w:pPr>
        <w:pStyle w:val="SingleTxtG"/>
        <w:keepNext/>
        <w:ind w:left="2268"/>
      </w:pPr>
      <m:oMathPara>
        <m:oMath>
          <m:r>
            <m:rPr>
              <m:sty m:val="p"/>
            </m:rPr>
            <w:rPr>
              <w:rFonts w:ascii="Cambria Math" w:hAnsi="Cambria Math"/>
            </w:rPr>
            <m:t>FC=</m:t>
          </m:r>
          <m:d>
            <m:dPr>
              <m:ctrlPr>
                <w:rPr>
                  <w:rFonts w:ascii="Cambria Math" w:hAnsi="Cambria Math"/>
                </w:rPr>
              </m:ctrlPr>
            </m:dPr>
            <m:e>
              <m:f>
                <m:fPr>
                  <m:ctrlPr>
                    <w:rPr>
                      <w:rFonts w:ascii="Cambria Math" w:hAnsi="Cambria Math"/>
                    </w:rPr>
                  </m:ctrlPr>
                </m:fPr>
                <m:num>
                  <m:r>
                    <m:rPr>
                      <m:sty m:val="p"/>
                    </m:rPr>
                    <w:rPr>
                      <w:rFonts w:ascii="Cambria Math" w:hAnsi="Cambria Math"/>
                    </w:rPr>
                    <m:t>0,1743</m:t>
                  </m:r>
                </m:num>
                <m:den>
                  <m:sSub>
                    <m:sSubPr>
                      <m:ctrlPr>
                        <w:rPr>
                          <w:rFonts w:ascii="Cambria Math" w:hAnsi="Cambria Math"/>
                          <w:lang w:eastAsia="en-GB"/>
                        </w:rPr>
                      </m:ctrlPr>
                    </m:sSubPr>
                    <m:e>
                      <m:r>
                        <m:rPr>
                          <m:sty m:val="p"/>
                        </m:rPr>
                        <w:rPr>
                          <w:rFonts w:ascii="Cambria Math" w:hAnsi="Cambria Math"/>
                          <w:lang w:eastAsia="en-GB"/>
                        </w:rPr>
                        <m:t>ρ</m:t>
                      </m:r>
                    </m:e>
                    <m:sub>
                      <m:r>
                        <m:rPr>
                          <m:sty m:val="p"/>
                        </m:rPr>
                        <w:rPr>
                          <w:rFonts w:ascii="Cambria Math" w:hAnsi="Cambria Math"/>
                          <w:lang w:eastAsia="en-GB"/>
                        </w:rPr>
                        <m:t>fuel</m:t>
                      </m:r>
                    </m:sub>
                  </m:sSub>
                </m:den>
              </m:f>
            </m:e>
          </m:d>
          <m:r>
            <m:rPr>
              <m:sty m:val="p"/>
            </m:rPr>
            <w:rPr>
              <w:rFonts w:ascii="Cambria Math" w:hAnsi="Cambria Math"/>
            </w:rPr>
            <m:t>×</m:t>
          </m:r>
          <m:d>
            <m:dPr>
              <m:begChr m:val="["/>
              <m:endChr m:val="]"/>
              <m:ctrlPr>
                <w:rPr>
                  <w:rFonts w:ascii="Cambria Math" w:hAnsi="Cambria Math"/>
                </w:rPr>
              </m:ctrlPr>
            </m:dPr>
            <m:e>
              <m:d>
                <m:dPr>
                  <m:ctrlPr>
                    <w:rPr>
                      <w:rFonts w:ascii="Cambria Math" w:hAnsi="Cambria Math"/>
                    </w:rPr>
                  </m:ctrlPr>
                </m:dPr>
                <m:e>
                  <m:r>
                    <m:rPr>
                      <m:sty m:val="p"/>
                    </m:rPr>
                    <w:rPr>
                      <w:rFonts w:ascii="Cambria Math" w:hAnsi="Cambria Math"/>
                    </w:rPr>
                    <m:t>0,574×HC</m:t>
                  </m:r>
                </m:e>
              </m:d>
              <m:r>
                <m:rPr>
                  <m:sty m:val="p"/>
                </m:rPr>
                <w:rPr>
                  <w:rFonts w:ascii="Cambria Math" w:hAnsi="Cambria Math"/>
                </w:rPr>
                <m:t>+</m:t>
              </m:r>
              <m:d>
                <m:dPr>
                  <m:ctrlPr>
                    <w:rPr>
                      <w:rFonts w:ascii="Cambria Math" w:hAnsi="Cambria Math"/>
                    </w:rPr>
                  </m:ctrlPr>
                </m:dPr>
                <m:e>
                  <m:r>
                    <m:rPr>
                      <m:sty m:val="p"/>
                    </m:rPr>
                    <w:rPr>
                      <w:rFonts w:ascii="Cambria Math" w:hAnsi="Cambria Math"/>
                    </w:rPr>
                    <m:t>0,429×CO</m:t>
                  </m:r>
                </m:e>
              </m:d>
              <m:r>
                <m:rPr>
                  <m:sty m:val="p"/>
                </m:rPr>
                <w:rPr>
                  <w:rFonts w:ascii="Cambria Math" w:hAnsi="Cambria Math"/>
                </w:rPr>
                <m:t>+</m:t>
              </m:r>
              <m:d>
                <m:dPr>
                  <m:ctrlPr>
                    <w:rPr>
                      <w:rFonts w:ascii="Cambria Math" w:hAnsi="Cambria Math"/>
                    </w:rPr>
                  </m:ctrlPr>
                </m:dPr>
                <m:e>
                  <m:r>
                    <m:rPr>
                      <m:sty m:val="p"/>
                    </m:rPr>
                    <w:rPr>
                      <w:rFonts w:ascii="Cambria Math" w:hAnsi="Cambria Math"/>
                    </w:rPr>
                    <m:t>0,273×</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e>
              </m:d>
            </m:e>
          </m:d>
        </m:oMath>
      </m:oMathPara>
    </w:p>
    <w:p w:rsidR="00E24DB7" w:rsidRPr="002C5876" w:rsidRDefault="00E24DB7" w:rsidP="00356443">
      <w:pPr>
        <w:pStyle w:val="SingleTxtG"/>
        <w:keepNext/>
        <w:ind w:left="2268" w:hanging="1134"/>
      </w:pPr>
      <w:r w:rsidRPr="002C5876">
        <w:t>6.12</w:t>
      </w:r>
      <w:r w:rsidRPr="002C5876">
        <w:tab/>
        <w:t>Pour tout carburant d’essai, la consommation de carburant peut être calculée à l’aide de l’équation suivante :</w:t>
      </w:r>
    </w:p>
    <w:p w:rsidR="000F50B5" w:rsidRPr="002C5876" w:rsidRDefault="000F50B5" w:rsidP="000F50B5">
      <w:pPr>
        <w:pStyle w:val="SingleTxtG"/>
        <w:keepNext/>
        <w:ind w:left="0" w:right="0"/>
      </w:pPr>
      <m:oMathPara>
        <m:oMath>
          <m:r>
            <m:rPr>
              <m:sty m:val="p"/>
            </m:rPr>
            <w:rPr>
              <w:rFonts w:ascii="Cambria Math" w:hAnsi="Cambria Math"/>
              <w:sz w:val="18"/>
              <w:szCs w:val="18"/>
            </w:rPr>
            <m:t>FC=</m:t>
          </m:r>
          <m:f>
            <m:fPr>
              <m:ctrlPr>
                <w:rPr>
                  <w:rFonts w:ascii="Cambria Math" w:hAnsi="Cambria Math"/>
                  <w:sz w:val="18"/>
                  <w:szCs w:val="18"/>
                </w:rPr>
              </m:ctrlPr>
            </m:fPr>
            <m:num>
              <m:sSub>
                <m:sSubPr>
                  <m:ctrlPr>
                    <w:rPr>
                      <w:rFonts w:ascii="Cambria Math" w:hAnsi="Cambria Math"/>
                      <w:sz w:val="18"/>
                      <w:szCs w:val="18"/>
                    </w:rPr>
                  </m:ctrlPr>
                </m:sSubPr>
                <m:e>
                  <m:r>
                    <m:rPr>
                      <m:sty m:val="p"/>
                    </m:rPr>
                    <w:rPr>
                      <w:rFonts w:ascii="Cambria Math" w:hAnsi="Cambria Math"/>
                      <w:sz w:val="18"/>
                      <w:szCs w:val="18"/>
                    </w:rPr>
                    <m:t>MW</m:t>
                  </m:r>
                </m:e>
                <m:sub>
                  <m:r>
                    <m:rPr>
                      <m:sty m:val="p"/>
                    </m:rPr>
                    <w:rPr>
                      <w:rFonts w:ascii="Cambria Math" w:hAnsi="Cambria Math"/>
                      <w:sz w:val="18"/>
                      <w:szCs w:val="18"/>
                    </w:rPr>
                    <m:t>C</m:t>
                  </m:r>
                </m:sub>
              </m:sSub>
              <m:r>
                <m:rPr>
                  <m:sty m:val="p"/>
                </m:rPr>
                <w:rPr>
                  <w:rFonts w:ascii="Cambria Math" w:hAnsi="Cambria Math"/>
                  <w:sz w:val="18"/>
                  <w:szCs w:val="18"/>
                </w:rPr>
                <m:t>+</m:t>
              </m:r>
              <m:f>
                <m:fPr>
                  <m:ctrlPr>
                    <w:rPr>
                      <w:rFonts w:ascii="Cambria Math" w:hAnsi="Cambria Math"/>
                      <w:sz w:val="18"/>
                      <w:szCs w:val="18"/>
                    </w:rPr>
                  </m:ctrlPr>
                </m:fPr>
                <m:num>
                  <m:r>
                    <m:rPr>
                      <m:sty m:val="p"/>
                    </m:rPr>
                    <w:rPr>
                      <w:rFonts w:ascii="Cambria Math" w:hAnsi="Cambria Math"/>
                      <w:sz w:val="18"/>
                      <w:szCs w:val="18"/>
                    </w:rPr>
                    <m:t>H</m:t>
                  </m:r>
                </m:num>
                <m:den>
                  <m:r>
                    <m:rPr>
                      <m:sty m:val="p"/>
                    </m:rPr>
                    <w:rPr>
                      <w:rFonts w:ascii="Cambria Math" w:hAnsi="Cambria Math"/>
                      <w:sz w:val="18"/>
                      <w:szCs w:val="18"/>
                    </w:rPr>
                    <m:t>C</m:t>
                  </m:r>
                </m:den>
              </m:f>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MW</m:t>
                  </m:r>
                </m:e>
                <m:sub>
                  <m:r>
                    <m:rPr>
                      <m:sty m:val="p"/>
                    </m:rPr>
                    <w:rPr>
                      <w:rFonts w:ascii="Cambria Math" w:hAnsi="Cambria Math"/>
                      <w:sz w:val="18"/>
                      <w:szCs w:val="18"/>
                    </w:rPr>
                    <m:t>H</m:t>
                  </m:r>
                </m:sub>
              </m:sSub>
              <m:r>
                <m:rPr>
                  <m:sty m:val="p"/>
                </m:rPr>
                <w:rPr>
                  <w:rFonts w:ascii="Cambria Math" w:hAnsi="Cambria Math"/>
                  <w:sz w:val="18"/>
                  <w:szCs w:val="18"/>
                </w:rPr>
                <m:t>+</m:t>
              </m:r>
              <m:f>
                <m:fPr>
                  <m:ctrlPr>
                    <w:rPr>
                      <w:rFonts w:ascii="Cambria Math" w:hAnsi="Cambria Math"/>
                      <w:sz w:val="18"/>
                      <w:szCs w:val="18"/>
                    </w:rPr>
                  </m:ctrlPr>
                </m:fPr>
                <m:num>
                  <m:r>
                    <m:rPr>
                      <m:sty m:val="p"/>
                    </m:rPr>
                    <w:rPr>
                      <w:rFonts w:ascii="Cambria Math" w:hAnsi="Cambria Math"/>
                      <w:sz w:val="18"/>
                      <w:szCs w:val="18"/>
                    </w:rPr>
                    <m:t>O</m:t>
                  </m:r>
                </m:num>
                <m:den>
                  <m:r>
                    <m:rPr>
                      <m:sty m:val="p"/>
                    </m:rPr>
                    <w:rPr>
                      <w:rFonts w:ascii="Cambria Math" w:hAnsi="Cambria Math"/>
                      <w:sz w:val="18"/>
                      <w:szCs w:val="18"/>
                    </w:rPr>
                    <m:t>C</m:t>
                  </m:r>
                </m:den>
              </m:f>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MW</m:t>
                  </m:r>
                </m:e>
                <m:sub>
                  <m:r>
                    <m:rPr>
                      <m:sty m:val="p"/>
                    </m:rPr>
                    <w:rPr>
                      <w:rFonts w:ascii="Cambria Math" w:hAnsi="Cambria Math"/>
                      <w:sz w:val="18"/>
                      <w:szCs w:val="18"/>
                    </w:rPr>
                    <m:t>O</m:t>
                  </m:r>
                </m:sub>
              </m:sSub>
            </m:num>
            <m:den>
              <m:sSub>
                <m:sSubPr>
                  <m:ctrlPr>
                    <w:rPr>
                      <w:rFonts w:ascii="Cambria Math" w:hAnsi="Cambria Math"/>
                      <w:sz w:val="18"/>
                      <w:szCs w:val="18"/>
                    </w:rPr>
                  </m:ctrlPr>
                </m:sSubPr>
                <m:e>
                  <m:r>
                    <m:rPr>
                      <m:sty m:val="p"/>
                    </m:rPr>
                    <w:rPr>
                      <w:rFonts w:ascii="Cambria Math" w:hAnsi="Cambria Math"/>
                      <w:sz w:val="18"/>
                      <w:szCs w:val="18"/>
                    </w:rPr>
                    <m:t>MW</m:t>
                  </m:r>
                </m:e>
                <m:sub>
                  <m:r>
                    <m:rPr>
                      <m:sty m:val="p"/>
                    </m:rPr>
                    <w:rPr>
                      <w:rFonts w:ascii="Cambria Math" w:hAnsi="Cambria Math"/>
                      <w:sz w:val="18"/>
                      <w:szCs w:val="18"/>
                    </w:rPr>
                    <m:t>C</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ρ</m:t>
                  </m:r>
                </m:e>
                <m:sub>
                  <m:r>
                    <m:rPr>
                      <m:sty m:val="p"/>
                    </m:rPr>
                    <w:rPr>
                      <w:rFonts w:ascii="Cambria Math" w:hAnsi="Cambria Math"/>
                      <w:sz w:val="18"/>
                      <w:szCs w:val="18"/>
                    </w:rPr>
                    <m:t>fuel</m:t>
                  </m:r>
                </m:sub>
              </m:sSub>
              <m:r>
                <w:rPr>
                  <w:rFonts w:ascii="Cambria Math" w:hAnsi="Cambria Math"/>
                  <w:sz w:val="18"/>
                  <w:szCs w:val="18"/>
                </w:rPr>
                <m:t>×10</m:t>
              </m:r>
            </m:den>
          </m:f>
          <m:r>
            <m:rPr>
              <m:sty m:val="p"/>
            </m:rPr>
            <w:rPr>
              <w:rFonts w:ascii="Cambria Math" w:hAnsi="Cambria Math"/>
              <w:sz w:val="18"/>
              <w:szCs w:val="18"/>
            </w:rPr>
            <m:t>×</m:t>
          </m:r>
          <m:d>
            <m:dPr>
              <m:ctrlPr>
                <w:rPr>
                  <w:rFonts w:ascii="Cambria Math" w:hAnsi="Cambria Math"/>
                  <w:sz w:val="18"/>
                  <w:szCs w:val="18"/>
                </w:rPr>
              </m:ctrlPr>
            </m:dPr>
            <m:e>
              <m:f>
                <m:fPr>
                  <m:ctrlPr>
                    <w:rPr>
                      <w:rFonts w:ascii="Cambria Math" w:hAnsi="Cambria Math"/>
                      <w:sz w:val="18"/>
                      <w:szCs w:val="18"/>
                    </w:rPr>
                  </m:ctrlPr>
                </m:fPr>
                <m:num>
                  <m:sSub>
                    <m:sSubPr>
                      <m:ctrlPr>
                        <w:rPr>
                          <w:rFonts w:ascii="Cambria Math" w:hAnsi="Cambria Math"/>
                          <w:sz w:val="18"/>
                          <w:szCs w:val="18"/>
                        </w:rPr>
                      </m:ctrlPr>
                    </m:sSubPr>
                    <m:e>
                      <m:r>
                        <m:rPr>
                          <m:sty m:val="p"/>
                        </m:rPr>
                        <w:rPr>
                          <w:rFonts w:ascii="Cambria Math" w:hAnsi="Cambria Math"/>
                          <w:sz w:val="18"/>
                          <w:szCs w:val="18"/>
                        </w:rPr>
                        <m:t>MW</m:t>
                      </m:r>
                    </m:e>
                    <m:sub>
                      <m:r>
                        <m:rPr>
                          <m:sty m:val="p"/>
                        </m:rPr>
                        <w:rPr>
                          <w:rFonts w:ascii="Cambria Math" w:hAnsi="Cambria Math"/>
                          <w:sz w:val="18"/>
                          <w:szCs w:val="18"/>
                        </w:rPr>
                        <m:t>C</m:t>
                      </m:r>
                    </m:sub>
                  </m:sSub>
                </m:num>
                <m:den>
                  <m:sSub>
                    <m:sSubPr>
                      <m:ctrlPr>
                        <w:rPr>
                          <w:rFonts w:ascii="Cambria Math" w:hAnsi="Cambria Math"/>
                          <w:sz w:val="18"/>
                          <w:szCs w:val="18"/>
                        </w:rPr>
                      </m:ctrlPr>
                    </m:sSubPr>
                    <m:e>
                      <m:r>
                        <m:rPr>
                          <m:sty m:val="p"/>
                        </m:rPr>
                        <w:rPr>
                          <w:rFonts w:ascii="Cambria Math" w:hAnsi="Cambria Math"/>
                          <w:sz w:val="18"/>
                          <w:szCs w:val="18"/>
                        </w:rPr>
                        <m:t>MW</m:t>
                      </m:r>
                    </m:e>
                    <m:sub>
                      <m:r>
                        <m:rPr>
                          <m:sty m:val="p"/>
                        </m:rPr>
                        <w:rPr>
                          <w:rFonts w:ascii="Cambria Math" w:hAnsi="Cambria Math"/>
                          <w:sz w:val="18"/>
                          <w:szCs w:val="18"/>
                        </w:rPr>
                        <m:t>C</m:t>
                      </m:r>
                    </m:sub>
                  </m:sSub>
                  <m:r>
                    <m:rPr>
                      <m:sty m:val="p"/>
                    </m:rPr>
                    <w:rPr>
                      <w:rFonts w:ascii="Cambria Math" w:hAnsi="Cambria Math"/>
                      <w:sz w:val="18"/>
                      <w:szCs w:val="18"/>
                    </w:rPr>
                    <m:t>+</m:t>
                  </m:r>
                  <m:f>
                    <m:fPr>
                      <m:ctrlPr>
                        <w:rPr>
                          <w:rFonts w:ascii="Cambria Math" w:hAnsi="Cambria Math"/>
                          <w:sz w:val="18"/>
                          <w:szCs w:val="18"/>
                        </w:rPr>
                      </m:ctrlPr>
                    </m:fPr>
                    <m:num>
                      <m:r>
                        <m:rPr>
                          <m:sty m:val="p"/>
                        </m:rPr>
                        <w:rPr>
                          <w:rFonts w:ascii="Cambria Math" w:hAnsi="Cambria Math"/>
                          <w:sz w:val="18"/>
                          <w:szCs w:val="18"/>
                        </w:rPr>
                        <m:t>H</m:t>
                      </m:r>
                    </m:num>
                    <m:den>
                      <m:r>
                        <m:rPr>
                          <m:sty m:val="p"/>
                        </m:rPr>
                        <w:rPr>
                          <w:rFonts w:ascii="Cambria Math" w:hAnsi="Cambria Math"/>
                          <w:sz w:val="18"/>
                          <w:szCs w:val="18"/>
                        </w:rPr>
                        <m:t>C</m:t>
                      </m:r>
                    </m:den>
                  </m:f>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MW</m:t>
                      </m:r>
                    </m:e>
                    <m:sub>
                      <m:r>
                        <m:rPr>
                          <m:sty m:val="p"/>
                        </m:rPr>
                        <w:rPr>
                          <w:rFonts w:ascii="Cambria Math" w:hAnsi="Cambria Math"/>
                          <w:sz w:val="18"/>
                          <w:szCs w:val="18"/>
                        </w:rPr>
                        <m:t>H</m:t>
                      </m:r>
                    </m:sub>
                  </m:sSub>
                  <m:r>
                    <m:rPr>
                      <m:sty m:val="p"/>
                    </m:rPr>
                    <w:rPr>
                      <w:rFonts w:ascii="Cambria Math" w:hAnsi="Cambria Math"/>
                      <w:sz w:val="18"/>
                      <w:szCs w:val="18"/>
                    </w:rPr>
                    <m:t>+</m:t>
                  </m:r>
                  <m:f>
                    <m:fPr>
                      <m:ctrlPr>
                        <w:rPr>
                          <w:rFonts w:ascii="Cambria Math" w:hAnsi="Cambria Math"/>
                          <w:sz w:val="18"/>
                          <w:szCs w:val="18"/>
                        </w:rPr>
                      </m:ctrlPr>
                    </m:fPr>
                    <m:num>
                      <m:r>
                        <m:rPr>
                          <m:sty m:val="p"/>
                        </m:rPr>
                        <w:rPr>
                          <w:rFonts w:ascii="Cambria Math" w:hAnsi="Cambria Math"/>
                          <w:sz w:val="18"/>
                          <w:szCs w:val="18"/>
                        </w:rPr>
                        <m:t>O</m:t>
                      </m:r>
                    </m:num>
                    <m:den>
                      <m:r>
                        <m:rPr>
                          <m:sty m:val="p"/>
                        </m:rPr>
                        <w:rPr>
                          <w:rFonts w:ascii="Cambria Math" w:hAnsi="Cambria Math"/>
                          <w:sz w:val="18"/>
                          <w:szCs w:val="18"/>
                        </w:rPr>
                        <m:t>C</m:t>
                      </m:r>
                    </m:den>
                  </m:f>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MW</m:t>
                      </m:r>
                    </m:e>
                    <m:sub>
                      <m:r>
                        <m:rPr>
                          <m:sty m:val="p"/>
                        </m:rPr>
                        <w:rPr>
                          <w:rFonts w:ascii="Cambria Math" w:hAnsi="Cambria Math"/>
                          <w:sz w:val="18"/>
                          <w:szCs w:val="18"/>
                        </w:rPr>
                        <m:t>O</m:t>
                      </m:r>
                    </m:sub>
                  </m:sSub>
                </m:den>
              </m:f>
              <m:r>
                <m:rPr>
                  <m:sty m:val="p"/>
                </m:rPr>
                <w:rPr>
                  <w:rFonts w:ascii="Cambria Math" w:hAnsi="Cambria Math"/>
                  <w:sz w:val="18"/>
                  <w:szCs w:val="18"/>
                </w:rPr>
                <m:t>×HC+</m:t>
              </m:r>
              <m:f>
                <m:fPr>
                  <m:ctrlPr>
                    <w:rPr>
                      <w:rFonts w:ascii="Cambria Math" w:hAnsi="Cambria Math"/>
                      <w:sz w:val="18"/>
                      <w:szCs w:val="18"/>
                    </w:rPr>
                  </m:ctrlPr>
                </m:fPr>
                <m:num>
                  <m:sSub>
                    <m:sSubPr>
                      <m:ctrlPr>
                        <w:rPr>
                          <w:rFonts w:ascii="Cambria Math" w:hAnsi="Cambria Math"/>
                          <w:sz w:val="18"/>
                          <w:szCs w:val="18"/>
                        </w:rPr>
                      </m:ctrlPr>
                    </m:sSubPr>
                    <m:e>
                      <m:r>
                        <m:rPr>
                          <m:sty m:val="p"/>
                        </m:rPr>
                        <w:rPr>
                          <w:rFonts w:ascii="Cambria Math" w:hAnsi="Cambria Math"/>
                          <w:sz w:val="18"/>
                          <w:szCs w:val="18"/>
                        </w:rPr>
                        <m:t>MW</m:t>
                      </m:r>
                    </m:e>
                    <m:sub>
                      <m:r>
                        <m:rPr>
                          <m:sty m:val="p"/>
                        </m:rPr>
                        <w:rPr>
                          <w:rFonts w:ascii="Cambria Math" w:hAnsi="Cambria Math"/>
                          <w:sz w:val="18"/>
                          <w:szCs w:val="18"/>
                        </w:rPr>
                        <m:t>C</m:t>
                      </m:r>
                    </m:sub>
                  </m:sSub>
                </m:num>
                <m:den>
                  <m:sSub>
                    <m:sSubPr>
                      <m:ctrlPr>
                        <w:rPr>
                          <w:rFonts w:ascii="Cambria Math" w:hAnsi="Cambria Math"/>
                          <w:sz w:val="18"/>
                          <w:szCs w:val="18"/>
                        </w:rPr>
                      </m:ctrlPr>
                    </m:sSubPr>
                    <m:e>
                      <m:r>
                        <m:rPr>
                          <m:sty m:val="p"/>
                        </m:rPr>
                        <w:rPr>
                          <w:rFonts w:ascii="Cambria Math" w:hAnsi="Cambria Math"/>
                          <w:sz w:val="18"/>
                          <w:szCs w:val="18"/>
                        </w:rPr>
                        <m:t>MW</m:t>
                      </m:r>
                    </m:e>
                    <m:sub>
                      <m:r>
                        <m:rPr>
                          <m:sty m:val="p"/>
                        </m:rPr>
                        <w:rPr>
                          <w:rFonts w:ascii="Cambria Math" w:hAnsi="Cambria Math"/>
                          <w:sz w:val="18"/>
                          <w:szCs w:val="18"/>
                        </w:rPr>
                        <m:t>CO</m:t>
                      </m:r>
                    </m:sub>
                  </m:sSub>
                </m:den>
              </m:f>
              <m:r>
                <m:rPr>
                  <m:sty m:val="p"/>
                </m:rPr>
                <w:rPr>
                  <w:rFonts w:ascii="Cambria Math" w:hAnsi="Cambria Math"/>
                  <w:sz w:val="18"/>
                  <w:szCs w:val="18"/>
                </w:rPr>
                <m:t>×CO+</m:t>
              </m:r>
              <m:f>
                <m:fPr>
                  <m:ctrlPr>
                    <w:rPr>
                      <w:rFonts w:ascii="Cambria Math" w:hAnsi="Cambria Math"/>
                      <w:sz w:val="18"/>
                      <w:szCs w:val="18"/>
                    </w:rPr>
                  </m:ctrlPr>
                </m:fPr>
                <m:num>
                  <m:sSub>
                    <m:sSubPr>
                      <m:ctrlPr>
                        <w:rPr>
                          <w:rFonts w:ascii="Cambria Math" w:hAnsi="Cambria Math"/>
                          <w:sz w:val="18"/>
                          <w:szCs w:val="18"/>
                        </w:rPr>
                      </m:ctrlPr>
                    </m:sSubPr>
                    <m:e>
                      <m:r>
                        <m:rPr>
                          <m:sty m:val="p"/>
                        </m:rPr>
                        <w:rPr>
                          <w:rFonts w:ascii="Cambria Math" w:hAnsi="Cambria Math"/>
                          <w:sz w:val="18"/>
                          <w:szCs w:val="18"/>
                        </w:rPr>
                        <m:t>MW</m:t>
                      </m:r>
                    </m:e>
                    <m:sub>
                      <m:r>
                        <m:rPr>
                          <m:sty m:val="p"/>
                        </m:rPr>
                        <w:rPr>
                          <w:rFonts w:ascii="Cambria Math" w:hAnsi="Cambria Math"/>
                          <w:sz w:val="18"/>
                          <w:szCs w:val="18"/>
                        </w:rPr>
                        <m:t>C</m:t>
                      </m:r>
                    </m:sub>
                  </m:sSub>
                </m:num>
                <m:den>
                  <m:sSub>
                    <m:sSubPr>
                      <m:ctrlPr>
                        <w:rPr>
                          <w:rFonts w:ascii="Cambria Math" w:hAnsi="Cambria Math"/>
                          <w:sz w:val="18"/>
                          <w:szCs w:val="18"/>
                        </w:rPr>
                      </m:ctrlPr>
                    </m:sSubPr>
                    <m:e>
                      <m:r>
                        <m:rPr>
                          <m:sty m:val="p"/>
                        </m:rPr>
                        <w:rPr>
                          <w:rFonts w:ascii="Cambria Math" w:hAnsi="Cambria Math"/>
                          <w:sz w:val="18"/>
                          <w:szCs w:val="18"/>
                        </w:rPr>
                        <m:t>MW</m:t>
                      </m:r>
                    </m:e>
                    <m:sub>
                      <m:sSub>
                        <m:sSubPr>
                          <m:ctrlPr>
                            <w:rPr>
                              <w:rFonts w:ascii="Cambria Math" w:hAnsi="Cambria Math"/>
                              <w:sz w:val="18"/>
                              <w:szCs w:val="18"/>
                            </w:rPr>
                          </m:ctrlPr>
                        </m:sSubPr>
                        <m:e>
                          <m:r>
                            <m:rPr>
                              <m:sty m:val="p"/>
                            </m:rPr>
                            <w:rPr>
                              <w:rFonts w:ascii="Cambria Math" w:hAnsi="Cambria Math"/>
                              <w:sz w:val="18"/>
                              <w:szCs w:val="18"/>
                            </w:rPr>
                            <m:t>CO</m:t>
                          </m:r>
                        </m:e>
                        <m:sub>
                          <m:r>
                            <m:rPr>
                              <m:sty m:val="p"/>
                            </m:rPr>
                            <w:rPr>
                              <w:rFonts w:ascii="Cambria Math" w:hAnsi="Cambria Math"/>
                              <w:sz w:val="18"/>
                              <w:szCs w:val="18"/>
                            </w:rPr>
                            <m:t>2</m:t>
                          </m:r>
                        </m:sub>
                      </m:sSub>
                    </m:sub>
                  </m:sSub>
                </m:den>
              </m:f>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CO</m:t>
                  </m:r>
                </m:e>
                <m:sub>
                  <m:r>
                    <m:rPr>
                      <m:sty m:val="p"/>
                    </m:rPr>
                    <w:rPr>
                      <w:rFonts w:ascii="Cambria Math" w:hAnsi="Cambria Math"/>
                      <w:sz w:val="18"/>
                      <w:szCs w:val="18"/>
                    </w:rPr>
                    <m:t>2</m:t>
                  </m:r>
                </m:sub>
              </m:sSub>
            </m:e>
          </m:d>
        </m:oMath>
      </m:oMathPara>
    </w:p>
    <w:p w:rsidR="00E24DB7" w:rsidRPr="002C5876" w:rsidRDefault="00E24DB7" w:rsidP="00E24DB7">
      <w:pPr>
        <w:pStyle w:val="SingleTxtG"/>
        <w:ind w:left="2835"/>
        <w:jc w:val="center"/>
        <w:rPr>
          <w:sz w:val="4"/>
          <w:szCs w:val="4"/>
        </w:rPr>
      </w:pPr>
    </w:p>
    <w:p w:rsidR="00E24DB7" w:rsidRPr="002C5876" w:rsidRDefault="00E24DB7" w:rsidP="00356443">
      <w:pPr>
        <w:pStyle w:val="SingleTxtG"/>
        <w:keepNext/>
        <w:ind w:left="2268" w:hanging="1134"/>
      </w:pPr>
      <w:r w:rsidRPr="002C5876">
        <w:t>6.13</w:t>
      </w:r>
      <w:r w:rsidRPr="002C5876">
        <w:tab/>
        <w:t>Consommation de carburant pour un véhicule à allumage commandé alimenté à l’hydrogène :</w:t>
      </w:r>
    </w:p>
    <w:p w:rsidR="000F50B5" w:rsidRPr="002C5876" w:rsidRDefault="000F50B5" w:rsidP="000F50B5">
      <w:pPr>
        <w:pStyle w:val="SingleTxtG"/>
        <w:keepNext/>
        <w:ind w:left="2268"/>
      </w:pPr>
      <m:oMathPara>
        <m:oMath>
          <m:r>
            <m:rPr>
              <m:sty m:val="p"/>
            </m:rPr>
            <w:rPr>
              <w:rFonts w:ascii="Cambria Math" w:hAnsi="Cambria Math"/>
            </w:rPr>
            <m:t>FC=0,024×</m:t>
          </m:r>
          <m:f>
            <m:fPr>
              <m:ctrlPr>
                <w:rPr>
                  <w:rFonts w:ascii="Cambria Math" w:hAnsi="Cambria Math"/>
                </w:rPr>
              </m:ctrlPr>
            </m:fPr>
            <m:num>
              <m:r>
                <m:rPr>
                  <m:sty m:val="p"/>
                </m:rPr>
                <w:rPr>
                  <w:rFonts w:ascii="Cambria Math" w:hAnsi="Cambria Math"/>
                </w:rPr>
                <m:t>V</m:t>
              </m:r>
            </m:num>
            <m:den>
              <m:r>
                <m:rPr>
                  <m:sty m:val="p"/>
                </m:rPr>
                <w:rPr>
                  <w:rFonts w:ascii="Cambria Math" w:hAnsi="Cambria Math"/>
                </w:rPr>
                <m:t>d</m:t>
              </m:r>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m:rPr>
                          <m:sty m:val="p"/>
                        </m:rPr>
                        <w:rPr>
                          <w:rFonts w:ascii="Cambria Math" w:hAnsi="Cambria Math"/>
                        </w:rPr>
                        <m:t>Z</m:t>
                      </m:r>
                    </m:e>
                    <m:sub>
                      <m:r>
                        <m:rPr>
                          <m:sty m:val="p"/>
                        </m:rPr>
                        <w:rPr>
                          <w:rFonts w:ascii="Cambria Math" w:hAnsi="Cambria Math"/>
                        </w:rPr>
                        <m:t>1</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1</m:t>
                      </m:r>
                    </m:sub>
                  </m:sSub>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m:rPr>
                          <m:sty m:val="p"/>
                        </m:rPr>
                        <w:rPr>
                          <w:rFonts w:ascii="Cambria Math" w:hAnsi="Cambria Math"/>
                        </w:rPr>
                        <m:t>Z</m:t>
                      </m:r>
                    </m:e>
                    <m:sub>
                      <m:r>
                        <m:rPr>
                          <m:sty m:val="p"/>
                        </m:rPr>
                        <w:rPr>
                          <w:rFonts w:ascii="Cambria Math" w:hAnsi="Cambria Math"/>
                        </w:rPr>
                        <m:t>2</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den>
              </m:f>
            </m:e>
          </m:d>
        </m:oMath>
      </m:oMathPara>
    </w:p>
    <w:p w:rsidR="00E24DB7" w:rsidRPr="002C5876" w:rsidRDefault="00E24DB7" w:rsidP="000F50B5">
      <w:pPr>
        <w:pStyle w:val="SingleTxtG"/>
        <w:keepLines/>
        <w:ind w:left="2268"/>
      </w:pPr>
      <w:r w:rsidRPr="002C5876">
        <w:t>Pour les véhicules alimentés en hydrogène gazeux ou liquide, et avec l’accord de l’autorité compétente, le constructeur peut calculer la consommation de carburant au moyen de l’équation ci-dessous (FC) ou d’une méthode fondée sur un protocole standard tel que le protocole SAE J2572.</w:t>
      </w:r>
    </w:p>
    <w:p w:rsidR="000F50B5" w:rsidRPr="002C5876" w:rsidRDefault="000F50B5" w:rsidP="000F50B5">
      <w:pPr>
        <w:pStyle w:val="SingleTxtG"/>
        <w:keepLines/>
        <w:ind w:left="2268"/>
      </w:pPr>
      <m:oMathPara>
        <m:oMath>
          <m:r>
            <m:rPr>
              <m:sty m:val="p"/>
            </m:rPr>
            <w:rPr>
              <w:rFonts w:ascii="Cambria Math" w:hAnsi="Cambria Math"/>
            </w:rPr>
            <m:t>FC=0,1×(0,1119×</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w:rPr>
              <w:rFonts w:ascii="Cambria Math" w:hAnsi="Cambria Math"/>
            </w:rPr>
            <m:t>)</m:t>
          </m:r>
        </m:oMath>
      </m:oMathPara>
    </w:p>
    <w:p w:rsidR="00E24DB7" w:rsidRPr="002C5876" w:rsidRDefault="00E24DB7" w:rsidP="000F50B5">
      <w:pPr>
        <w:pStyle w:val="SingleTxtG"/>
        <w:ind w:left="2268"/>
        <w:rPr>
          <w:lang w:eastAsia="en-GB"/>
        </w:rPr>
      </w:pPr>
      <w:r w:rsidRPr="002C5876">
        <w:rPr>
          <w:lang w:eastAsia="en-GB"/>
        </w:rPr>
        <w:t>Le facteur de compressibilité, Z, s’obtient à l’aide du tableau ci-après.</w:t>
      </w:r>
    </w:p>
    <w:p w:rsidR="00E24DB7" w:rsidRPr="002C5876" w:rsidRDefault="00E24DB7" w:rsidP="00E24DB7">
      <w:pPr>
        <w:pStyle w:val="H23G"/>
        <w:keepNext w:val="0"/>
        <w:keepLines w:val="0"/>
        <w:ind w:left="0" w:firstLine="0"/>
      </w:pPr>
      <w:r w:rsidRPr="002C5876">
        <w:rPr>
          <w:b w:val="0"/>
        </w:rPr>
        <w:t>Tableau A7/2</w:t>
      </w:r>
      <w:r w:rsidRPr="002C5876">
        <w:br/>
        <w:t>Facteur de compressibilité Z</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648"/>
        <w:gridCol w:w="631"/>
        <w:gridCol w:w="823"/>
        <w:gridCol w:w="823"/>
        <w:gridCol w:w="823"/>
        <w:gridCol w:w="823"/>
        <w:gridCol w:w="823"/>
        <w:gridCol w:w="823"/>
        <w:gridCol w:w="823"/>
        <w:gridCol w:w="823"/>
        <w:gridCol w:w="823"/>
      </w:tblGrid>
      <w:tr w:rsidR="00E24DB7" w:rsidRPr="002C5876" w:rsidTr="00E24DB7">
        <w:trPr>
          <w:trHeight w:val="300"/>
        </w:trPr>
        <w:tc>
          <w:tcPr>
            <w:tcW w:w="953" w:type="dxa"/>
            <w:tcBorders>
              <w:top w:val="nil"/>
              <w:left w:val="nil"/>
              <w:bottom w:val="nil"/>
              <w:right w:val="nil"/>
            </w:tcBorders>
            <w:shd w:val="clear" w:color="auto" w:fill="auto"/>
            <w:noWrap/>
            <w:tcMar>
              <w:left w:w="0" w:type="dxa"/>
              <w:right w:w="0" w:type="dxa"/>
            </w:tcMar>
            <w:vAlign w:val="bottom"/>
          </w:tcPr>
          <w:p w:rsidR="00E24DB7" w:rsidRPr="002C5876" w:rsidRDefault="00E24DB7" w:rsidP="00E24DB7">
            <w:pPr>
              <w:suppressAutoHyphens w:val="0"/>
              <w:spacing w:before="80" w:after="80" w:line="200" w:lineRule="exact"/>
              <w:ind w:left="57" w:right="57"/>
              <w:rPr>
                <w:rFonts w:ascii="Calibri" w:hAnsi="Calibri"/>
                <w:i/>
                <w:sz w:val="16"/>
                <w:szCs w:val="16"/>
                <w:lang w:eastAsia="en-GB"/>
              </w:rPr>
            </w:pPr>
          </w:p>
        </w:tc>
        <w:tc>
          <w:tcPr>
            <w:tcW w:w="648" w:type="dxa"/>
            <w:tcBorders>
              <w:top w:val="nil"/>
              <w:left w:val="nil"/>
              <w:bottom w:val="nil"/>
            </w:tcBorders>
            <w:shd w:val="clear" w:color="auto" w:fill="auto"/>
            <w:noWrap/>
            <w:tcMar>
              <w:left w:w="0" w:type="dxa"/>
              <w:right w:w="0" w:type="dxa"/>
            </w:tcMar>
            <w:vAlign w:val="bottom"/>
          </w:tcPr>
          <w:p w:rsidR="00E24DB7" w:rsidRPr="002C5876" w:rsidRDefault="00E24DB7" w:rsidP="00E24DB7">
            <w:pPr>
              <w:suppressAutoHyphens w:val="0"/>
              <w:spacing w:before="80" w:after="80" w:line="200" w:lineRule="exact"/>
              <w:ind w:left="57" w:right="57"/>
              <w:rPr>
                <w:rFonts w:ascii="Calibri" w:hAnsi="Calibri"/>
                <w:i/>
                <w:sz w:val="16"/>
                <w:szCs w:val="16"/>
                <w:lang w:eastAsia="en-GB"/>
              </w:rPr>
            </w:pPr>
          </w:p>
        </w:tc>
        <w:tc>
          <w:tcPr>
            <w:tcW w:w="631" w:type="dxa"/>
            <w:tcBorders>
              <w:bottom w:val="single" w:sz="4" w:space="0" w:color="auto"/>
              <w:right w:val="nil"/>
            </w:tcBorders>
            <w:shd w:val="clear" w:color="auto" w:fill="auto"/>
            <w:tcMar>
              <w:left w:w="0" w:type="dxa"/>
              <w:right w:w="0" w:type="dxa"/>
            </w:tcMar>
            <w:vAlign w:val="bottom"/>
          </w:tcPr>
          <w:p w:rsidR="00E24DB7" w:rsidRPr="002C5876" w:rsidRDefault="00E24DB7" w:rsidP="00E24DB7">
            <w:pPr>
              <w:suppressAutoHyphens w:val="0"/>
              <w:spacing w:before="80" w:after="80" w:line="200" w:lineRule="exact"/>
              <w:ind w:left="57" w:right="57"/>
              <w:jc w:val="right"/>
              <w:rPr>
                <w:i/>
                <w:sz w:val="16"/>
                <w:szCs w:val="16"/>
                <w:lang w:eastAsia="en-GB"/>
              </w:rPr>
            </w:pPr>
            <w:r w:rsidRPr="002C5876">
              <w:rPr>
                <w:i/>
                <w:sz w:val="16"/>
                <w:szCs w:val="16"/>
                <w:lang w:eastAsia="en-GB"/>
              </w:rPr>
              <w:t>T (K)</w:t>
            </w:r>
          </w:p>
        </w:tc>
        <w:tc>
          <w:tcPr>
            <w:tcW w:w="823" w:type="dxa"/>
            <w:tcBorders>
              <w:left w:val="nil"/>
              <w:bottom w:val="single" w:sz="4" w:space="0" w:color="auto"/>
              <w:right w:val="nil"/>
            </w:tcBorders>
            <w:shd w:val="clear" w:color="auto" w:fill="auto"/>
            <w:noWrap/>
            <w:tcMar>
              <w:left w:w="0" w:type="dxa"/>
              <w:right w:w="0" w:type="dxa"/>
            </w:tcMar>
            <w:vAlign w:val="bottom"/>
          </w:tcPr>
          <w:p w:rsidR="00E24DB7" w:rsidRPr="002C5876" w:rsidRDefault="00E24DB7" w:rsidP="00E24DB7">
            <w:pPr>
              <w:suppressAutoHyphens w:val="0"/>
              <w:spacing w:before="80" w:after="80" w:line="200" w:lineRule="exact"/>
              <w:ind w:left="57" w:right="57"/>
              <w:jc w:val="right"/>
              <w:rPr>
                <w:rFonts w:ascii="Calibri" w:hAnsi="Calibri"/>
                <w:i/>
                <w:sz w:val="16"/>
                <w:szCs w:val="16"/>
                <w:lang w:eastAsia="en-GB"/>
              </w:rPr>
            </w:pPr>
            <w:r w:rsidRPr="002C5876">
              <w:rPr>
                <w:rFonts w:ascii="Calibri" w:hAnsi="Calibri"/>
                <w:i/>
                <w:sz w:val="16"/>
                <w:szCs w:val="16"/>
                <w:lang w:eastAsia="en-GB"/>
              </w:rPr>
              <w:t> </w:t>
            </w:r>
          </w:p>
        </w:tc>
        <w:tc>
          <w:tcPr>
            <w:tcW w:w="823" w:type="dxa"/>
            <w:tcBorders>
              <w:left w:val="nil"/>
              <w:bottom w:val="single" w:sz="4" w:space="0" w:color="auto"/>
              <w:right w:val="nil"/>
            </w:tcBorders>
            <w:shd w:val="clear" w:color="auto" w:fill="auto"/>
            <w:noWrap/>
            <w:tcMar>
              <w:left w:w="0" w:type="dxa"/>
              <w:right w:w="0" w:type="dxa"/>
            </w:tcMar>
            <w:vAlign w:val="bottom"/>
          </w:tcPr>
          <w:p w:rsidR="00E24DB7" w:rsidRPr="002C5876" w:rsidRDefault="00E24DB7" w:rsidP="00E24DB7">
            <w:pPr>
              <w:suppressAutoHyphens w:val="0"/>
              <w:spacing w:before="80" w:after="80" w:line="200" w:lineRule="exact"/>
              <w:ind w:left="57" w:right="57"/>
              <w:jc w:val="right"/>
              <w:rPr>
                <w:rFonts w:ascii="Calibri" w:hAnsi="Calibri"/>
                <w:i/>
                <w:sz w:val="16"/>
                <w:szCs w:val="16"/>
                <w:lang w:eastAsia="en-GB"/>
              </w:rPr>
            </w:pPr>
            <w:r w:rsidRPr="002C5876">
              <w:rPr>
                <w:rFonts w:ascii="Calibri" w:hAnsi="Calibri"/>
                <w:i/>
                <w:sz w:val="16"/>
                <w:szCs w:val="16"/>
                <w:lang w:eastAsia="en-GB"/>
              </w:rPr>
              <w:t> </w:t>
            </w:r>
          </w:p>
        </w:tc>
        <w:tc>
          <w:tcPr>
            <w:tcW w:w="823" w:type="dxa"/>
            <w:tcBorders>
              <w:left w:val="nil"/>
              <w:bottom w:val="single" w:sz="4" w:space="0" w:color="auto"/>
              <w:right w:val="nil"/>
            </w:tcBorders>
            <w:shd w:val="clear" w:color="auto" w:fill="auto"/>
            <w:noWrap/>
            <w:tcMar>
              <w:left w:w="0" w:type="dxa"/>
              <w:right w:w="0" w:type="dxa"/>
            </w:tcMar>
            <w:vAlign w:val="bottom"/>
          </w:tcPr>
          <w:p w:rsidR="00E24DB7" w:rsidRPr="002C5876" w:rsidRDefault="00E24DB7" w:rsidP="00E24DB7">
            <w:pPr>
              <w:suppressAutoHyphens w:val="0"/>
              <w:spacing w:before="80" w:after="80" w:line="200" w:lineRule="exact"/>
              <w:ind w:left="57" w:right="57"/>
              <w:jc w:val="right"/>
              <w:rPr>
                <w:rFonts w:ascii="Calibri" w:hAnsi="Calibri"/>
                <w:i/>
                <w:sz w:val="16"/>
                <w:szCs w:val="16"/>
                <w:lang w:eastAsia="en-GB"/>
              </w:rPr>
            </w:pPr>
            <w:r w:rsidRPr="002C5876">
              <w:rPr>
                <w:rFonts w:ascii="Calibri" w:hAnsi="Calibri"/>
                <w:i/>
                <w:sz w:val="16"/>
                <w:szCs w:val="16"/>
                <w:lang w:eastAsia="en-GB"/>
              </w:rPr>
              <w:t> </w:t>
            </w:r>
          </w:p>
        </w:tc>
        <w:tc>
          <w:tcPr>
            <w:tcW w:w="823" w:type="dxa"/>
            <w:tcBorders>
              <w:left w:val="nil"/>
              <w:bottom w:val="single" w:sz="4" w:space="0" w:color="auto"/>
              <w:right w:val="nil"/>
            </w:tcBorders>
            <w:shd w:val="clear" w:color="auto" w:fill="auto"/>
            <w:noWrap/>
            <w:tcMar>
              <w:left w:w="0" w:type="dxa"/>
              <w:right w:w="0" w:type="dxa"/>
            </w:tcMar>
            <w:vAlign w:val="bottom"/>
          </w:tcPr>
          <w:p w:rsidR="00E24DB7" w:rsidRPr="002C5876" w:rsidRDefault="00E24DB7" w:rsidP="00E24DB7">
            <w:pPr>
              <w:suppressAutoHyphens w:val="0"/>
              <w:spacing w:before="80" w:after="80" w:line="200" w:lineRule="exact"/>
              <w:ind w:left="57" w:right="57"/>
              <w:jc w:val="right"/>
              <w:rPr>
                <w:rFonts w:ascii="Calibri" w:hAnsi="Calibri"/>
                <w:i/>
                <w:sz w:val="16"/>
                <w:szCs w:val="16"/>
                <w:lang w:eastAsia="en-GB"/>
              </w:rPr>
            </w:pPr>
            <w:r w:rsidRPr="002C5876">
              <w:rPr>
                <w:rFonts w:ascii="Calibri" w:hAnsi="Calibri"/>
                <w:i/>
                <w:sz w:val="16"/>
                <w:szCs w:val="16"/>
                <w:lang w:eastAsia="en-GB"/>
              </w:rPr>
              <w:t> </w:t>
            </w:r>
          </w:p>
        </w:tc>
        <w:tc>
          <w:tcPr>
            <w:tcW w:w="823" w:type="dxa"/>
            <w:tcBorders>
              <w:left w:val="nil"/>
              <w:bottom w:val="single" w:sz="4" w:space="0" w:color="auto"/>
              <w:right w:val="nil"/>
            </w:tcBorders>
            <w:shd w:val="clear" w:color="auto" w:fill="auto"/>
            <w:noWrap/>
            <w:tcMar>
              <w:left w:w="0" w:type="dxa"/>
              <w:right w:w="0" w:type="dxa"/>
            </w:tcMar>
            <w:vAlign w:val="bottom"/>
          </w:tcPr>
          <w:p w:rsidR="00E24DB7" w:rsidRPr="002C5876" w:rsidRDefault="00E24DB7" w:rsidP="00E24DB7">
            <w:pPr>
              <w:suppressAutoHyphens w:val="0"/>
              <w:spacing w:before="80" w:after="80" w:line="200" w:lineRule="exact"/>
              <w:ind w:left="57" w:right="57"/>
              <w:jc w:val="right"/>
              <w:rPr>
                <w:rFonts w:ascii="Calibri" w:hAnsi="Calibri"/>
                <w:i/>
                <w:sz w:val="16"/>
                <w:szCs w:val="16"/>
                <w:lang w:eastAsia="en-GB"/>
              </w:rPr>
            </w:pPr>
            <w:r w:rsidRPr="002C5876">
              <w:rPr>
                <w:rFonts w:ascii="Calibri" w:hAnsi="Calibri"/>
                <w:i/>
                <w:sz w:val="16"/>
                <w:szCs w:val="16"/>
                <w:lang w:eastAsia="en-GB"/>
              </w:rPr>
              <w:t> </w:t>
            </w:r>
          </w:p>
        </w:tc>
        <w:tc>
          <w:tcPr>
            <w:tcW w:w="823" w:type="dxa"/>
            <w:tcBorders>
              <w:left w:val="nil"/>
              <w:bottom w:val="single" w:sz="4" w:space="0" w:color="auto"/>
              <w:right w:val="nil"/>
            </w:tcBorders>
            <w:shd w:val="clear" w:color="auto" w:fill="auto"/>
            <w:noWrap/>
            <w:tcMar>
              <w:left w:w="0" w:type="dxa"/>
              <w:right w:w="0" w:type="dxa"/>
            </w:tcMar>
            <w:vAlign w:val="bottom"/>
          </w:tcPr>
          <w:p w:rsidR="00E24DB7" w:rsidRPr="002C5876" w:rsidRDefault="00E24DB7" w:rsidP="00E24DB7">
            <w:pPr>
              <w:suppressAutoHyphens w:val="0"/>
              <w:spacing w:before="80" w:after="80" w:line="200" w:lineRule="exact"/>
              <w:ind w:left="57" w:right="57"/>
              <w:jc w:val="right"/>
              <w:rPr>
                <w:rFonts w:ascii="Calibri" w:hAnsi="Calibri"/>
                <w:i/>
                <w:sz w:val="16"/>
                <w:szCs w:val="16"/>
                <w:lang w:eastAsia="en-GB"/>
              </w:rPr>
            </w:pPr>
            <w:r w:rsidRPr="002C5876">
              <w:rPr>
                <w:rFonts w:ascii="Calibri" w:hAnsi="Calibri"/>
                <w:i/>
                <w:sz w:val="16"/>
                <w:szCs w:val="16"/>
                <w:lang w:eastAsia="en-GB"/>
              </w:rPr>
              <w:t> </w:t>
            </w:r>
          </w:p>
        </w:tc>
        <w:tc>
          <w:tcPr>
            <w:tcW w:w="823" w:type="dxa"/>
            <w:tcBorders>
              <w:left w:val="nil"/>
              <w:bottom w:val="single" w:sz="4" w:space="0" w:color="auto"/>
              <w:right w:val="nil"/>
            </w:tcBorders>
            <w:shd w:val="clear" w:color="auto" w:fill="auto"/>
            <w:noWrap/>
            <w:tcMar>
              <w:left w:w="0" w:type="dxa"/>
              <w:right w:w="0" w:type="dxa"/>
            </w:tcMar>
            <w:vAlign w:val="bottom"/>
          </w:tcPr>
          <w:p w:rsidR="00E24DB7" w:rsidRPr="002C5876" w:rsidRDefault="00E24DB7" w:rsidP="00E24DB7">
            <w:pPr>
              <w:suppressAutoHyphens w:val="0"/>
              <w:spacing w:before="80" w:after="80" w:line="200" w:lineRule="exact"/>
              <w:ind w:left="57" w:right="57"/>
              <w:jc w:val="right"/>
              <w:rPr>
                <w:rFonts w:ascii="Calibri" w:hAnsi="Calibri"/>
                <w:i/>
                <w:sz w:val="16"/>
                <w:szCs w:val="16"/>
                <w:lang w:eastAsia="en-GB"/>
              </w:rPr>
            </w:pPr>
            <w:r w:rsidRPr="002C5876">
              <w:rPr>
                <w:rFonts w:ascii="Calibri" w:hAnsi="Calibri"/>
                <w:i/>
                <w:sz w:val="16"/>
                <w:szCs w:val="16"/>
                <w:lang w:eastAsia="en-GB"/>
              </w:rPr>
              <w:t> </w:t>
            </w:r>
          </w:p>
        </w:tc>
        <w:tc>
          <w:tcPr>
            <w:tcW w:w="823" w:type="dxa"/>
            <w:tcBorders>
              <w:left w:val="nil"/>
              <w:bottom w:val="single" w:sz="4" w:space="0" w:color="auto"/>
              <w:right w:val="nil"/>
            </w:tcBorders>
            <w:shd w:val="clear" w:color="auto" w:fill="auto"/>
            <w:noWrap/>
            <w:tcMar>
              <w:left w:w="0" w:type="dxa"/>
              <w:right w:w="0" w:type="dxa"/>
            </w:tcMar>
            <w:vAlign w:val="bottom"/>
          </w:tcPr>
          <w:p w:rsidR="00E24DB7" w:rsidRPr="002C5876" w:rsidRDefault="00E24DB7" w:rsidP="00E24DB7">
            <w:pPr>
              <w:suppressAutoHyphens w:val="0"/>
              <w:spacing w:before="80" w:after="80" w:line="200" w:lineRule="exact"/>
              <w:ind w:left="57" w:right="57"/>
              <w:jc w:val="right"/>
              <w:rPr>
                <w:rFonts w:ascii="Calibri" w:hAnsi="Calibri"/>
                <w:i/>
                <w:sz w:val="16"/>
                <w:szCs w:val="16"/>
                <w:lang w:eastAsia="en-GB"/>
              </w:rPr>
            </w:pPr>
            <w:r w:rsidRPr="002C5876">
              <w:rPr>
                <w:rFonts w:ascii="Calibri" w:hAnsi="Calibri"/>
                <w:i/>
                <w:sz w:val="16"/>
                <w:szCs w:val="16"/>
                <w:lang w:eastAsia="en-GB"/>
              </w:rPr>
              <w:t> </w:t>
            </w:r>
          </w:p>
        </w:tc>
        <w:tc>
          <w:tcPr>
            <w:tcW w:w="823" w:type="dxa"/>
            <w:tcBorders>
              <w:left w:val="nil"/>
              <w:bottom w:val="single" w:sz="4" w:space="0" w:color="auto"/>
              <w:right w:val="single" w:sz="4" w:space="0" w:color="auto"/>
            </w:tcBorders>
            <w:shd w:val="clear" w:color="auto" w:fill="auto"/>
            <w:noWrap/>
            <w:tcMar>
              <w:left w:w="0" w:type="dxa"/>
              <w:right w:w="0" w:type="dxa"/>
            </w:tcMar>
            <w:vAlign w:val="bottom"/>
          </w:tcPr>
          <w:p w:rsidR="00E24DB7" w:rsidRPr="002C5876" w:rsidRDefault="00E24DB7" w:rsidP="00E24DB7">
            <w:pPr>
              <w:suppressAutoHyphens w:val="0"/>
              <w:spacing w:before="80" w:after="80" w:line="200" w:lineRule="exact"/>
              <w:ind w:left="57" w:right="57"/>
              <w:jc w:val="right"/>
              <w:rPr>
                <w:rFonts w:ascii="Calibri" w:hAnsi="Calibri"/>
                <w:i/>
                <w:sz w:val="16"/>
                <w:szCs w:val="16"/>
                <w:lang w:eastAsia="en-GB"/>
              </w:rPr>
            </w:pPr>
            <w:r w:rsidRPr="002C5876">
              <w:rPr>
                <w:rFonts w:ascii="Calibri" w:hAnsi="Calibri"/>
                <w:i/>
                <w:sz w:val="16"/>
                <w:szCs w:val="16"/>
                <w:lang w:eastAsia="en-GB"/>
              </w:rPr>
              <w:t> </w:t>
            </w:r>
          </w:p>
        </w:tc>
      </w:tr>
      <w:tr w:rsidR="00E24DB7" w:rsidRPr="002C5876" w:rsidTr="00E24DB7">
        <w:trPr>
          <w:trHeight w:val="300"/>
        </w:trPr>
        <w:tc>
          <w:tcPr>
            <w:tcW w:w="953" w:type="dxa"/>
            <w:tcBorders>
              <w:top w:val="nil"/>
              <w:left w:val="nil"/>
              <w:right w:val="nil"/>
            </w:tcBorders>
            <w:shd w:val="clear" w:color="auto" w:fill="auto"/>
            <w:noWrap/>
            <w:tcMar>
              <w:left w:w="0" w:type="dxa"/>
              <w:right w:w="0" w:type="dxa"/>
            </w:tcMar>
            <w:vAlign w:val="bottom"/>
          </w:tcPr>
          <w:p w:rsidR="00E24DB7" w:rsidRPr="002C5876" w:rsidRDefault="00E24DB7" w:rsidP="00E24DB7">
            <w:pPr>
              <w:suppressAutoHyphens w:val="0"/>
              <w:spacing w:before="80" w:after="80" w:line="200" w:lineRule="exact"/>
              <w:ind w:left="57" w:right="57"/>
              <w:rPr>
                <w:rFonts w:ascii="Calibri" w:hAnsi="Calibri"/>
                <w:i/>
                <w:sz w:val="16"/>
                <w:szCs w:val="16"/>
                <w:lang w:eastAsia="en-GB"/>
              </w:rPr>
            </w:pPr>
          </w:p>
        </w:tc>
        <w:tc>
          <w:tcPr>
            <w:tcW w:w="648" w:type="dxa"/>
            <w:tcBorders>
              <w:top w:val="nil"/>
              <w:left w:val="nil"/>
            </w:tcBorders>
            <w:shd w:val="clear" w:color="auto" w:fill="auto"/>
            <w:noWrap/>
            <w:tcMar>
              <w:left w:w="0" w:type="dxa"/>
              <w:right w:w="0" w:type="dxa"/>
            </w:tcMar>
            <w:vAlign w:val="center"/>
          </w:tcPr>
          <w:p w:rsidR="00E24DB7" w:rsidRPr="002C5876" w:rsidRDefault="00E24DB7" w:rsidP="00E24DB7">
            <w:pPr>
              <w:suppressAutoHyphens w:val="0"/>
              <w:spacing w:before="80" w:after="80" w:line="200" w:lineRule="exact"/>
              <w:ind w:left="57" w:right="57"/>
              <w:jc w:val="both"/>
              <w:rPr>
                <w:i/>
                <w:sz w:val="16"/>
                <w:szCs w:val="16"/>
                <w:lang w:eastAsia="en-GB"/>
              </w:rPr>
            </w:pPr>
          </w:p>
        </w:tc>
        <w:tc>
          <w:tcPr>
            <w:tcW w:w="631" w:type="dxa"/>
            <w:tcBorders>
              <w:top w:val="single" w:sz="4" w:space="0" w:color="auto"/>
              <w:bottom w:val="single" w:sz="12" w:space="0" w:color="auto"/>
              <w:right w:val="nil"/>
            </w:tcBorders>
            <w:shd w:val="clear" w:color="auto" w:fill="auto"/>
            <w:tcMar>
              <w:left w:w="0" w:type="dxa"/>
              <w:right w:w="0" w:type="dxa"/>
            </w:tcMar>
            <w:vAlign w:val="bottom"/>
          </w:tcPr>
          <w:p w:rsidR="00E24DB7" w:rsidRPr="002C5876" w:rsidRDefault="00E24DB7" w:rsidP="00E24DB7">
            <w:pPr>
              <w:suppressAutoHyphens w:val="0"/>
              <w:spacing w:before="80" w:after="80" w:line="200" w:lineRule="exact"/>
              <w:ind w:left="57" w:right="57"/>
              <w:jc w:val="right"/>
              <w:rPr>
                <w:i/>
                <w:sz w:val="16"/>
                <w:szCs w:val="16"/>
                <w:lang w:eastAsia="en-GB"/>
              </w:rPr>
            </w:pPr>
            <w:r w:rsidRPr="002C5876">
              <w:rPr>
                <w:i/>
                <w:sz w:val="16"/>
                <w:szCs w:val="16"/>
                <w:lang w:eastAsia="en-GB"/>
              </w:rPr>
              <w:t>5</w:t>
            </w:r>
          </w:p>
        </w:tc>
        <w:tc>
          <w:tcPr>
            <w:tcW w:w="823" w:type="dxa"/>
            <w:tcBorders>
              <w:top w:val="single" w:sz="4" w:space="0" w:color="auto"/>
              <w:left w:val="nil"/>
              <w:bottom w:val="single" w:sz="12" w:space="0" w:color="auto"/>
              <w:right w:val="nil"/>
            </w:tcBorders>
            <w:shd w:val="clear" w:color="auto" w:fill="auto"/>
            <w:tcMar>
              <w:left w:w="0" w:type="dxa"/>
              <w:right w:w="0" w:type="dxa"/>
            </w:tcMar>
            <w:vAlign w:val="bottom"/>
          </w:tcPr>
          <w:p w:rsidR="00E24DB7" w:rsidRPr="002C5876" w:rsidRDefault="00E24DB7" w:rsidP="00E24DB7">
            <w:pPr>
              <w:suppressAutoHyphens w:val="0"/>
              <w:spacing w:before="80" w:after="80" w:line="200" w:lineRule="exact"/>
              <w:ind w:left="57" w:right="57"/>
              <w:jc w:val="right"/>
              <w:rPr>
                <w:i/>
                <w:sz w:val="16"/>
                <w:szCs w:val="16"/>
                <w:lang w:eastAsia="en-GB"/>
              </w:rPr>
            </w:pPr>
            <w:r w:rsidRPr="002C5876">
              <w:rPr>
                <w:i/>
                <w:sz w:val="16"/>
                <w:szCs w:val="16"/>
                <w:lang w:eastAsia="en-GB"/>
              </w:rPr>
              <w:t>100</w:t>
            </w:r>
          </w:p>
        </w:tc>
        <w:tc>
          <w:tcPr>
            <w:tcW w:w="823" w:type="dxa"/>
            <w:tcBorders>
              <w:top w:val="single" w:sz="4" w:space="0" w:color="auto"/>
              <w:left w:val="nil"/>
              <w:bottom w:val="single" w:sz="12" w:space="0" w:color="auto"/>
              <w:right w:val="nil"/>
            </w:tcBorders>
            <w:shd w:val="clear" w:color="auto" w:fill="auto"/>
            <w:tcMar>
              <w:left w:w="0" w:type="dxa"/>
              <w:right w:w="0" w:type="dxa"/>
            </w:tcMar>
            <w:vAlign w:val="bottom"/>
          </w:tcPr>
          <w:p w:rsidR="00E24DB7" w:rsidRPr="002C5876" w:rsidRDefault="00E24DB7" w:rsidP="00E24DB7">
            <w:pPr>
              <w:suppressAutoHyphens w:val="0"/>
              <w:spacing w:before="80" w:after="80" w:line="200" w:lineRule="exact"/>
              <w:ind w:left="57" w:right="57"/>
              <w:jc w:val="right"/>
              <w:rPr>
                <w:i/>
                <w:sz w:val="16"/>
                <w:szCs w:val="16"/>
                <w:lang w:eastAsia="en-GB"/>
              </w:rPr>
            </w:pPr>
            <w:r w:rsidRPr="002C5876">
              <w:rPr>
                <w:i/>
                <w:sz w:val="16"/>
                <w:szCs w:val="16"/>
                <w:lang w:eastAsia="en-GB"/>
              </w:rPr>
              <w:t>200</w:t>
            </w:r>
          </w:p>
        </w:tc>
        <w:tc>
          <w:tcPr>
            <w:tcW w:w="823" w:type="dxa"/>
            <w:tcBorders>
              <w:top w:val="single" w:sz="4" w:space="0" w:color="auto"/>
              <w:left w:val="nil"/>
              <w:bottom w:val="single" w:sz="12" w:space="0" w:color="auto"/>
              <w:right w:val="nil"/>
            </w:tcBorders>
            <w:shd w:val="clear" w:color="auto" w:fill="auto"/>
            <w:tcMar>
              <w:left w:w="0" w:type="dxa"/>
              <w:right w:w="0" w:type="dxa"/>
            </w:tcMar>
            <w:vAlign w:val="bottom"/>
          </w:tcPr>
          <w:p w:rsidR="00E24DB7" w:rsidRPr="002C5876" w:rsidRDefault="00E24DB7" w:rsidP="00E24DB7">
            <w:pPr>
              <w:suppressAutoHyphens w:val="0"/>
              <w:spacing w:before="80" w:after="80" w:line="200" w:lineRule="exact"/>
              <w:ind w:left="57" w:right="57"/>
              <w:jc w:val="right"/>
              <w:rPr>
                <w:i/>
                <w:sz w:val="16"/>
                <w:szCs w:val="16"/>
                <w:lang w:eastAsia="en-GB"/>
              </w:rPr>
            </w:pPr>
            <w:r w:rsidRPr="002C5876">
              <w:rPr>
                <w:i/>
                <w:sz w:val="16"/>
                <w:szCs w:val="16"/>
                <w:lang w:eastAsia="en-GB"/>
              </w:rPr>
              <w:t>300</w:t>
            </w:r>
          </w:p>
        </w:tc>
        <w:tc>
          <w:tcPr>
            <w:tcW w:w="823" w:type="dxa"/>
            <w:tcBorders>
              <w:top w:val="single" w:sz="4" w:space="0" w:color="auto"/>
              <w:left w:val="nil"/>
              <w:bottom w:val="single" w:sz="12" w:space="0" w:color="auto"/>
              <w:right w:val="nil"/>
            </w:tcBorders>
            <w:shd w:val="clear" w:color="auto" w:fill="auto"/>
            <w:tcMar>
              <w:left w:w="0" w:type="dxa"/>
              <w:right w:w="0" w:type="dxa"/>
            </w:tcMar>
            <w:vAlign w:val="bottom"/>
          </w:tcPr>
          <w:p w:rsidR="00E24DB7" w:rsidRPr="002C5876" w:rsidRDefault="00E24DB7" w:rsidP="00E24DB7">
            <w:pPr>
              <w:suppressAutoHyphens w:val="0"/>
              <w:spacing w:before="80" w:after="80" w:line="200" w:lineRule="exact"/>
              <w:ind w:left="57" w:right="57"/>
              <w:jc w:val="right"/>
              <w:rPr>
                <w:i/>
                <w:sz w:val="16"/>
                <w:szCs w:val="16"/>
                <w:lang w:eastAsia="en-GB"/>
              </w:rPr>
            </w:pPr>
            <w:r w:rsidRPr="002C5876">
              <w:rPr>
                <w:i/>
                <w:sz w:val="16"/>
                <w:szCs w:val="16"/>
                <w:lang w:eastAsia="en-GB"/>
              </w:rPr>
              <w:t>400</w:t>
            </w:r>
          </w:p>
        </w:tc>
        <w:tc>
          <w:tcPr>
            <w:tcW w:w="823" w:type="dxa"/>
            <w:tcBorders>
              <w:top w:val="single" w:sz="4" w:space="0" w:color="auto"/>
              <w:left w:val="nil"/>
              <w:bottom w:val="single" w:sz="12" w:space="0" w:color="auto"/>
              <w:right w:val="nil"/>
            </w:tcBorders>
            <w:shd w:val="clear" w:color="auto" w:fill="auto"/>
            <w:tcMar>
              <w:left w:w="0" w:type="dxa"/>
              <w:right w:w="0" w:type="dxa"/>
            </w:tcMar>
            <w:vAlign w:val="bottom"/>
          </w:tcPr>
          <w:p w:rsidR="00E24DB7" w:rsidRPr="002C5876" w:rsidRDefault="00E24DB7" w:rsidP="00E24DB7">
            <w:pPr>
              <w:suppressAutoHyphens w:val="0"/>
              <w:spacing w:before="80" w:after="80" w:line="200" w:lineRule="exact"/>
              <w:ind w:left="57" w:right="57"/>
              <w:jc w:val="right"/>
              <w:rPr>
                <w:i/>
                <w:sz w:val="16"/>
                <w:szCs w:val="16"/>
                <w:lang w:eastAsia="en-GB"/>
              </w:rPr>
            </w:pPr>
            <w:r w:rsidRPr="002C5876">
              <w:rPr>
                <w:i/>
                <w:sz w:val="16"/>
                <w:szCs w:val="16"/>
                <w:lang w:eastAsia="en-GB"/>
              </w:rPr>
              <w:t>500</w:t>
            </w:r>
          </w:p>
        </w:tc>
        <w:tc>
          <w:tcPr>
            <w:tcW w:w="823" w:type="dxa"/>
            <w:tcBorders>
              <w:top w:val="single" w:sz="4" w:space="0" w:color="auto"/>
              <w:left w:val="nil"/>
              <w:bottom w:val="single" w:sz="12" w:space="0" w:color="auto"/>
              <w:right w:val="nil"/>
            </w:tcBorders>
            <w:shd w:val="clear" w:color="auto" w:fill="auto"/>
            <w:tcMar>
              <w:left w:w="0" w:type="dxa"/>
              <w:right w:w="0" w:type="dxa"/>
            </w:tcMar>
            <w:vAlign w:val="bottom"/>
          </w:tcPr>
          <w:p w:rsidR="00E24DB7" w:rsidRPr="002C5876" w:rsidRDefault="00E24DB7" w:rsidP="00E24DB7">
            <w:pPr>
              <w:suppressAutoHyphens w:val="0"/>
              <w:spacing w:before="80" w:after="80" w:line="200" w:lineRule="exact"/>
              <w:ind w:left="57" w:right="57"/>
              <w:jc w:val="right"/>
              <w:rPr>
                <w:i/>
                <w:sz w:val="16"/>
                <w:szCs w:val="16"/>
                <w:lang w:eastAsia="en-GB"/>
              </w:rPr>
            </w:pPr>
            <w:r w:rsidRPr="002C5876">
              <w:rPr>
                <w:i/>
                <w:sz w:val="16"/>
                <w:szCs w:val="16"/>
                <w:lang w:eastAsia="en-GB"/>
              </w:rPr>
              <w:t>600</w:t>
            </w:r>
          </w:p>
        </w:tc>
        <w:tc>
          <w:tcPr>
            <w:tcW w:w="823" w:type="dxa"/>
            <w:tcBorders>
              <w:top w:val="single" w:sz="4" w:space="0" w:color="auto"/>
              <w:left w:val="nil"/>
              <w:bottom w:val="single" w:sz="12" w:space="0" w:color="auto"/>
              <w:right w:val="nil"/>
            </w:tcBorders>
            <w:shd w:val="clear" w:color="auto" w:fill="auto"/>
            <w:tcMar>
              <w:left w:w="0" w:type="dxa"/>
              <w:right w:w="0" w:type="dxa"/>
            </w:tcMar>
            <w:vAlign w:val="bottom"/>
          </w:tcPr>
          <w:p w:rsidR="00E24DB7" w:rsidRPr="002C5876" w:rsidRDefault="00E24DB7" w:rsidP="00E24DB7">
            <w:pPr>
              <w:suppressAutoHyphens w:val="0"/>
              <w:spacing w:before="80" w:after="80" w:line="200" w:lineRule="exact"/>
              <w:ind w:left="57" w:right="57"/>
              <w:jc w:val="right"/>
              <w:rPr>
                <w:i/>
                <w:sz w:val="16"/>
                <w:szCs w:val="16"/>
                <w:lang w:eastAsia="en-GB"/>
              </w:rPr>
            </w:pPr>
            <w:r w:rsidRPr="002C5876">
              <w:rPr>
                <w:i/>
                <w:sz w:val="16"/>
                <w:szCs w:val="16"/>
                <w:lang w:eastAsia="en-GB"/>
              </w:rPr>
              <w:t>700</w:t>
            </w:r>
          </w:p>
        </w:tc>
        <w:tc>
          <w:tcPr>
            <w:tcW w:w="823" w:type="dxa"/>
            <w:tcBorders>
              <w:top w:val="single" w:sz="4" w:space="0" w:color="auto"/>
              <w:left w:val="nil"/>
              <w:bottom w:val="single" w:sz="12" w:space="0" w:color="auto"/>
              <w:right w:val="nil"/>
            </w:tcBorders>
            <w:shd w:val="clear" w:color="auto" w:fill="auto"/>
            <w:tcMar>
              <w:left w:w="0" w:type="dxa"/>
              <w:right w:w="0" w:type="dxa"/>
            </w:tcMar>
            <w:vAlign w:val="bottom"/>
          </w:tcPr>
          <w:p w:rsidR="00E24DB7" w:rsidRPr="002C5876" w:rsidRDefault="00E24DB7" w:rsidP="00E24DB7">
            <w:pPr>
              <w:suppressAutoHyphens w:val="0"/>
              <w:spacing w:before="80" w:after="80" w:line="200" w:lineRule="exact"/>
              <w:ind w:left="57" w:right="57"/>
              <w:jc w:val="right"/>
              <w:rPr>
                <w:i/>
                <w:sz w:val="16"/>
                <w:szCs w:val="16"/>
                <w:lang w:eastAsia="en-GB"/>
              </w:rPr>
            </w:pPr>
            <w:r w:rsidRPr="002C5876">
              <w:rPr>
                <w:i/>
                <w:sz w:val="16"/>
                <w:szCs w:val="16"/>
                <w:lang w:eastAsia="en-GB"/>
              </w:rPr>
              <w:t>800</w:t>
            </w:r>
          </w:p>
        </w:tc>
        <w:tc>
          <w:tcPr>
            <w:tcW w:w="823" w:type="dxa"/>
            <w:tcBorders>
              <w:top w:val="single" w:sz="4" w:space="0" w:color="auto"/>
              <w:left w:val="nil"/>
              <w:bottom w:val="single" w:sz="12" w:space="0" w:color="auto"/>
            </w:tcBorders>
            <w:shd w:val="clear" w:color="auto" w:fill="auto"/>
            <w:tcMar>
              <w:left w:w="0" w:type="dxa"/>
              <w:right w:w="0" w:type="dxa"/>
            </w:tcMar>
            <w:vAlign w:val="bottom"/>
          </w:tcPr>
          <w:p w:rsidR="00E24DB7" w:rsidRPr="002C5876" w:rsidRDefault="00E24DB7" w:rsidP="00E24DB7">
            <w:pPr>
              <w:suppressAutoHyphens w:val="0"/>
              <w:spacing w:before="80" w:after="80" w:line="200" w:lineRule="exact"/>
              <w:ind w:left="57" w:right="57"/>
              <w:jc w:val="right"/>
              <w:rPr>
                <w:i/>
                <w:sz w:val="16"/>
                <w:szCs w:val="16"/>
                <w:lang w:eastAsia="en-GB"/>
              </w:rPr>
            </w:pPr>
            <w:r w:rsidRPr="002C5876">
              <w:rPr>
                <w:i/>
                <w:sz w:val="16"/>
                <w:szCs w:val="16"/>
                <w:lang w:eastAsia="en-GB"/>
              </w:rPr>
              <w:t>900</w:t>
            </w:r>
          </w:p>
        </w:tc>
      </w:tr>
      <w:tr w:rsidR="00E24DB7" w:rsidRPr="002C5876" w:rsidTr="00E24DB7">
        <w:trPr>
          <w:trHeight w:val="300"/>
        </w:trPr>
        <w:tc>
          <w:tcPr>
            <w:tcW w:w="953" w:type="dxa"/>
            <w:tcBorders>
              <w:bottom w:val="nil"/>
            </w:tcBorders>
            <w:shd w:val="clear" w:color="auto" w:fill="auto"/>
            <w:noWrap/>
            <w:tcMar>
              <w:left w:w="0" w:type="dxa"/>
              <w:right w:w="0" w:type="dxa"/>
            </w:tcMar>
            <w:vAlign w:val="bottom"/>
          </w:tcPr>
          <w:p w:rsidR="00E24DB7" w:rsidRPr="002C5876" w:rsidRDefault="00E24DB7" w:rsidP="00E24DB7">
            <w:pPr>
              <w:suppressAutoHyphens w:val="0"/>
              <w:spacing w:before="40" w:after="40" w:line="220" w:lineRule="atLeast"/>
              <w:ind w:left="57" w:right="57"/>
              <w:rPr>
                <w:sz w:val="18"/>
                <w:szCs w:val="18"/>
                <w:lang w:eastAsia="en-GB"/>
              </w:rPr>
            </w:pPr>
            <w:r w:rsidRPr="002C5876">
              <w:rPr>
                <w:sz w:val="18"/>
                <w:szCs w:val="18"/>
                <w:lang w:eastAsia="en-GB"/>
              </w:rPr>
              <w:t>p (bars)</w:t>
            </w:r>
          </w:p>
        </w:tc>
        <w:tc>
          <w:tcPr>
            <w:tcW w:w="648" w:type="dxa"/>
            <w:tcBorders>
              <w:bottom w:val="nil"/>
              <w:right w:val="single" w:sz="12" w:space="0" w:color="auto"/>
            </w:tcBorders>
            <w:shd w:val="clear" w:color="auto" w:fill="auto"/>
            <w:noWrap/>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33</w:t>
            </w:r>
          </w:p>
        </w:tc>
        <w:tc>
          <w:tcPr>
            <w:tcW w:w="631" w:type="dxa"/>
            <w:tcBorders>
              <w:top w:val="single" w:sz="12" w:space="0" w:color="auto"/>
              <w:left w:val="single" w:sz="12"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0,859</w:t>
            </w:r>
          </w:p>
        </w:tc>
        <w:tc>
          <w:tcPr>
            <w:tcW w:w="823" w:type="dxa"/>
            <w:tcBorders>
              <w:top w:val="single" w:sz="12"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1,051</w:t>
            </w:r>
          </w:p>
        </w:tc>
        <w:tc>
          <w:tcPr>
            <w:tcW w:w="823" w:type="dxa"/>
            <w:tcBorders>
              <w:top w:val="single" w:sz="12"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1,885</w:t>
            </w:r>
          </w:p>
        </w:tc>
        <w:tc>
          <w:tcPr>
            <w:tcW w:w="823" w:type="dxa"/>
            <w:tcBorders>
              <w:top w:val="single" w:sz="12"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2,648</w:t>
            </w:r>
          </w:p>
        </w:tc>
        <w:tc>
          <w:tcPr>
            <w:tcW w:w="823" w:type="dxa"/>
            <w:tcBorders>
              <w:top w:val="single" w:sz="12"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3,365</w:t>
            </w:r>
          </w:p>
        </w:tc>
        <w:tc>
          <w:tcPr>
            <w:tcW w:w="823" w:type="dxa"/>
            <w:tcBorders>
              <w:top w:val="single" w:sz="12"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4,051</w:t>
            </w:r>
          </w:p>
        </w:tc>
        <w:tc>
          <w:tcPr>
            <w:tcW w:w="823" w:type="dxa"/>
            <w:tcBorders>
              <w:top w:val="single" w:sz="12"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4,712</w:t>
            </w:r>
          </w:p>
        </w:tc>
        <w:tc>
          <w:tcPr>
            <w:tcW w:w="823" w:type="dxa"/>
            <w:tcBorders>
              <w:top w:val="single" w:sz="12"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5,352</w:t>
            </w:r>
          </w:p>
        </w:tc>
        <w:tc>
          <w:tcPr>
            <w:tcW w:w="823" w:type="dxa"/>
            <w:tcBorders>
              <w:top w:val="single" w:sz="12" w:space="0" w:color="auto"/>
              <w:right w:val="single" w:sz="4"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5,973</w:t>
            </w:r>
          </w:p>
        </w:tc>
        <w:tc>
          <w:tcPr>
            <w:tcW w:w="823" w:type="dxa"/>
            <w:tcBorders>
              <w:top w:val="single" w:sz="12" w:space="0" w:color="auto"/>
              <w:left w:val="single" w:sz="4"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6,576</w:t>
            </w:r>
          </w:p>
        </w:tc>
      </w:tr>
      <w:tr w:rsidR="00E24DB7" w:rsidRPr="002C5876" w:rsidTr="00E24DB7">
        <w:trPr>
          <w:trHeight w:val="300"/>
        </w:trPr>
        <w:tc>
          <w:tcPr>
            <w:tcW w:w="953" w:type="dxa"/>
            <w:tcBorders>
              <w:top w:val="nil"/>
              <w:bottom w:val="nil"/>
            </w:tcBorders>
            <w:shd w:val="clear" w:color="auto" w:fill="auto"/>
            <w:noWrap/>
            <w:tcMar>
              <w:left w:w="0" w:type="dxa"/>
              <w:right w:w="0" w:type="dxa"/>
            </w:tcMar>
            <w:vAlign w:val="bottom"/>
          </w:tcPr>
          <w:p w:rsidR="00E24DB7" w:rsidRPr="002C5876" w:rsidRDefault="00E24DB7" w:rsidP="00E24DB7">
            <w:pPr>
              <w:suppressAutoHyphens w:val="0"/>
              <w:spacing w:before="40" w:after="40" w:line="220" w:lineRule="atLeast"/>
              <w:ind w:left="57" w:right="57"/>
              <w:rPr>
                <w:i/>
                <w:sz w:val="18"/>
                <w:szCs w:val="18"/>
                <w:lang w:eastAsia="en-GB"/>
              </w:rPr>
            </w:pPr>
            <w:r w:rsidRPr="002C5876">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53</w:t>
            </w:r>
          </w:p>
        </w:tc>
        <w:tc>
          <w:tcPr>
            <w:tcW w:w="631" w:type="dxa"/>
            <w:tcBorders>
              <w:left w:val="single" w:sz="12"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0,965</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0,922</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1,416</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1,891</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2,338</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2,765</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3,174</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3,57</w:t>
            </w:r>
          </w:p>
        </w:tc>
        <w:tc>
          <w:tcPr>
            <w:tcW w:w="823" w:type="dxa"/>
            <w:tcBorders>
              <w:right w:val="single" w:sz="4"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3,954</w:t>
            </w:r>
          </w:p>
        </w:tc>
        <w:tc>
          <w:tcPr>
            <w:tcW w:w="823" w:type="dxa"/>
            <w:tcBorders>
              <w:left w:val="single" w:sz="4"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4,329</w:t>
            </w:r>
          </w:p>
        </w:tc>
      </w:tr>
      <w:tr w:rsidR="00E24DB7" w:rsidRPr="002C5876" w:rsidTr="00E24DB7">
        <w:trPr>
          <w:trHeight w:val="300"/>
        </w:trPr>
        <w:tc>
          <w:tcPr>
            <w:tcW w:w="953" w:type="dxa"/>
            <w:tcBorders>
              <w:top w:val="nil"/>
              <w:bottom w:val="nil"/>
            </w:tcBorders>
            <w:shd w:val="clear" w:color="auto" w:fill="auto"/>
            <w:noWrap/>
            <w:tcMar>
              <w:left w:w="0" w:type="dxa"/>
              <w:right w:w="0" w:type="dxa"/>
            </w:tcMar>
            <w:vAlign w:val="bottom"/>
          </w:tcPr>
          <w:p w:rsidR="00E24DB7" w:rsidRPr="002C5876" w:rsidRDefault="00E24DB7" w:rsidP="00E24DB7">
            <w:pPr>
              <w:suppressAutoHyphens w:val="0"/>
              <w:spacing w:before="40" w:after="40" w:line="220" w:lineRule="atLeast"/>
              <w:ind w:left="57" w:right="57"/>
              <w:rPr>
                <w:i/>
                <w:sz w:val="18"/>
                <w:szCs w:val="18"/>
                <w:lang w:eastAsia="en-GB"/>
              </w:rPr>
            </w:pPr>
            <w:r w:rsidRPr="002C5876">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73</w:t>
            </w:r>
          </w:p>
        </w:tc>
        <w:tc>
          <w:tcPr>
            <w:tcW w:w="631" w:type="dxa"/>
            <w:tcBorders>
              <w:left w:val="single" w:sz="12"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0,989</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0,991</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1,278</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1,604</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1,923</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2,229</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2,525</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2,810</w:t>
            </w:r>
          </w:p>
        </w:tc>
        <w:tc>
          <w:tcPr>
            <w:tcW w:w="823" w:type="dxa"/>
            <w:tcBorders>
              <w:right w:val="single" w:sz="4"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3,088</w:t>
            </w:r>
          </w:p>
        </w:tc>
        <w:tc>
          <w:tcPr>
            <w:tcW w:w="823" w:type="dxa"/>
            <w:tcBorders>
              <w:left w:val="single" w:sz="4"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3,358</w:t>
            </w:r>
          </w:p>
        </w:tc>
      </w:tr>
      <w:tr w:rsidR="00E24DB7" w:rsidRPr="002C5876" w:rsidTr="00E24DB7">
        <w:trPr>
          <w:trHeight w:val="300"/>
        </w:trPr>
        <w:tc>
          <w:tcPr>
            <w:tcW w:w="953" w:type="dxa"/>
            <w:tcBorders>
              <w:top w:val="nil"/>
              <w:bottom w:val="nil"/>
            </w:tcBorders>
            <w:shd w:val="clear" w:color="auto" w:fill="auto"/>
            <w:noWrap/>
            <w:tcMar>
              <w:left w:w="0" w:type="dxa"/>
              <w:right w:w="0" w:type="dxa"/>
            </w:tcMar>
            <w:vAlign w:val="bottom"/>
          </w:tcPr>
          <w:p w:rsidR="00E24DB7" w:rsidRPr="002C5876" w:rsidRDefault="00E24DB7" w:rsidP="00E24DB7">
            <w:pPr>
              <w:suppressAutoHyphens w:val="0"/>
              <w:spacing w:before="40" w:after="40" w:line="220" w:lineRule="atLeast"/>
              <w:ind w:left="57" w:right="57"/>
              <w:rPr>
                <w:i/>
                <w:sz w:val="18"/>
                <w:szCs w:val="18"/>
                <w:lang w:eastAsia="en-GB"/>
              </w:rPr>
            </w:pPr>
            <w:r w:rsidRPr="002C5876">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93</w:t>
            </w:r>
          </w:p>
        </w:tc>
        <w:tc>
          <w:tcPr>
            <w:tcW w:w="631" w:type="dxa"/>
            <w:tcBorders>
              <w:left w:val="single" w:sz="12"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0,997</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1,042</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1,233</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1,470</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1,711</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1,947</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2,177</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2,400</w:t>
            </w:r>
          </w:p>
        </w:tc>
        <w:tc>
          <w:tcPr>
            <w:tcW w:w="823" w:type="dxa"/>
            <w:tcBorders>
              <w:right w:val="single" w:sz="4"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2,617</w:t>
            </w:r>
          </w:p>
        </w:tc>
        <w:tc>
          <w:tcPr>
            <w:tcW w:w="823" w:type="dxa"/>
            <w:tcBorders>
              <w:left w:val="single" w:sz="4"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2,829</w:t>
            </w:r>
          </w:p>
        </w:tc>
      </w:tr>
      <w:tr w:rsidR="00E24DB7" w:rsidRPr="002C5876" w:rsidTr="00E24DB7">
        <w:trPr>
          <w:trHeight w:val="300"/>
        </w:trPr>
        <w:tc>
          <w:tcPr>
            <w:tcW w:w="953" w:type="dxa"/>
            <w:tcBorders>
              <w:top w:val="nil"/>
              <w:bottom w:val="nil"/>
            </w:tcBorders>
            <w:shd w:val="clear" w:color="auto" w:fill="auto"/>
            <w:noWrap/>
            <w:tcMar>
              <w:left w:w="0" w:type="dxa"/>
              <w:right w:w="0" w:type="dxa"/>
            </w:tcMar>
            <w:vAlign w:val="bottom"/>
          </w:tcPr>
          <w:p w:rsidR="00E24DB7" w:rsidRPr="002C5876" w:rsidRDefault="00E24DB7" w:rsidP="00E24DB7">
            <w:pPr>
              <w:suppressAutoHyphens w:val="0"/>
              <w:spacing w:before="40" w:after="40" w:line="220" w:lineRule="atLeast"/>
              <w:ind w:left="57" w:right="57"/>
              <w:rPr>
                <w:i/>
                <w:sz w:val="18"/>
                <w:szCs w:val="18"/>
                <w:lang w:eastAsia="en-GB"/>
              </w:rPr>
            </w:pPr>
            <w:r w:rsidRPr="002C5876">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113</w:t>
            </w:r>
          </w:p>
        </w:tc>
        <w:tc>
          <w:tcPr>
            <w:tcW w:w="631" w:type="dxa"/>
            <w:tcBorders>
              <w:left w:val="single" w:sz="12"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1,000</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1,066</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1,213</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1,395</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1,586</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1,776</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1,963</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2,146</w:t>
            </w:r>
          </w:p>
        </w:tc>
        <w:tc>
          <w:tcPr>
            <w:tcW w:w="823" w:type="dxa"/>
            <w:tcBorders>
              <w:right w:val="single" w:sz="4"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2,324</w:t>
            </w:r>
          </w:p>
        </w:tc>
        <w:tc>
          <w:tcPr>
            <w:tcW w:w="823" w:type="dxa"/>
            <w:tcBorders>
              <w:left w:val="single" w:sz="4"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2,498</w:t>
            </w:r>
          </w:p>
        </w:tc>
      </w:tr>
      <w:tr w:rsidR="00E24DB7" w:rsidRPr="002C5876" w:rsidTr="00E24DB7">
        <w:trPr>
          <w:trHeight w:val="300"/>
        </w:trPr>
        <w:tc>
          <w:tcPr>
            <w:tcW w:w="953" w:type="dxa"/>
            <w:tcBorders>
              <w:top w:val="nil"/>
              <w:bottom w:val="nil"/>
            </w:tcBorders>
            <w:shd w:val="clear" w:color="auto" w:fill="auto"/>
            <w:noWrap/>
            <w:tcMar>
              <w:left w:w="0" w:type="dxa"/>
              <w:right w:w="0" w:type="dxa"/>
            </w:tcMar>
            <w:vAlign w:val="bottom"/>
          </w:tcPr>
          <w:p w:rsidR="00E24DB7" w:rsidRPr="002C5876" w:rsidRDefault="00E24DB7" w:rsidP="00E24DB7">
            <w:pPr>
              <w:suppressAutoHyphens w:val="0"/>
              <w:spacing w:before="40" w:after="40" w:line="220" w:lineRule="atLeast"/>
              <w:ind w:left="57" w:right="57"/>
              <w:rPr>
                <w:i/>
                <w:sz w:val="18"/>
                <w:szCs w:val="18"/>
                <w:lang w:eastAsia="en-GB"/>
              </w:rPr>
            </w:pPr>
            <w:r w:rsidRPr="002C5876">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133</w:t>
            </w:r>
          </w:p>
        </w:tc>
        <w:tc>
          <w:tcPr>
            <w:tcW w:w="631" w:type="dxa"/>
            <w:tcBorders>
              <w:left w:val="single" w:sz="12"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1,002</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1,076</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1,199</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1,347</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1,504</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1,662</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1,819</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1,973</w:t>
            </w:r>
          </w:p>
        </w:tc>
        <w:tc>
          <w:tcPr>
            <w:tcW w:w="823" w:type="dxa"/>
            <w:tcBorders>
              <w:right w:val="single" w:sz="4"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2,124</w:t>
            </w:r>
          </w:p>
        </w:tc>
        <w:tc>
          <w:tcPr>
            <w:tcW w:w="823" w:type="dxa"/>
            <w:tcBorders>
              <w:left w:val="single" w:sz="4"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2,271</w:t>
            </w:r>
          </w:p>
        </w:tc>
      </w:tr>
      <w:tr w:rsidR="00E24DB7" w:rsidRPr="002C5876" w:rsidTr="00E24DB7">
        <w:trPr>
          <w:trHeight w:val="300"/>
        </w:trPr>
        <w:tc>
          <w:tcPr>
            <w:tcW w:w="953" w:type="dxa"/>
            <w:tcBorders>
              <w:top w:val="nil"/>
              <w:bottom w:val="nil"/>
            </w:tcBorders>
            <w:shd w:val="clear" w:color="auto" w:fill="auto"/>
            <w:noWrap/>
            <w:tcMar>
              <w:left w:w="0" w:type="dxa"/>
              <w:right w:w="0" w:type="dxa"/>
            </w:tcMar>
            <w:vAlign w:val="bottom"/>
          </w:tcPr>
          <w:p w:rsidR="00E24DB7" w:rsidRPr="002C5876" w:rsidRDefault="00E24DB7" w:rsidP="00E24DB7">
            <w:pPr>
              <w:suppressAutoHyphens w:val="0"/>
              <w:spacing w:before="40" w:after="40" w:line="220" w:lineRule="atLeast"/>
              <w:ind w:left="57" w:right="57"/>
              <w:rPr>
                <w:i/>
                <w:sz w:val="18"/>
                <w:szCs w:val="18"/>
                <w:lang w:eastAsia="en-GB"/>
              </w:rPr>
            </w:pPr>
            <w:r w:rsidRPr="002C5876">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153</w:t>
            </w:r>
          </w:p>
        </w:tc>
        <w:tc>
          <w:tcPr>
            <w:tcW w:w="631" w:type="dxa"/>
            <w:tcBorders>
              <w:left w:val="single" w:sz="12"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1,003</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1,079</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1,187</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1,312</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1,445</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1,580</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1,715</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1,848</w:t>
            </w:r>
          </w:p>
        </w:tc>
        <w:tc>
          <w:tcPr>
            <w:tcW w:w="823" w:type="dxa"/>
            <w:tcBorders>
              <w:right w:val="single" w:sz="4"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1,979</w:t>
            </w:r>
          </w:p>
        </w:tc>
        <w:tc>
          <w:tcPr>
            <w:tcW w:w="823" w:type="dxa"/>
            <w:tcBorders>
              <w:left w:val="single" w:sz="4"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2,107</w:t>
            </w:r>
          </w:p>
        </w:tc>
      </w:tr>
      <w:tr w:rsidR="00E24DB7" w:rsidRPr="002C5876" w:rsidTr="00E24DB7">
        <w:trPr>
          <w:trHeight w:val="300"/>
        </w:trPr>
        <w:tc>
          <w:tcPr>
            <w:tcW w:w="953" w:type="dxa"/>
            <w:tcBorders>
              <w:top w:val="nil"/>
              <w:bottom w:val="nil"/>
            </w:tcBorders>
            <w:shd w:val="clear" w:color="auto" w:fill="auto"/>
            <w:noWrap/>
            <w:tcMar>
              <w:left w:w="0" w:type="dxa"/>
              <w:right w:w="0" w:type="dxa"/>
            </w:tcMar>
            <w:vAlign w:val="bottom"/>
          </w:tcPr>
          <w:p w:rsidR="00E24DB7" w:rsidRPr="002C5876" w:rsidRDefault="00E24DB7" w:rsidP="00E24DB7">
            <w:pPr>
              <w:suppressAutoHyphens w:val="0"/>
              <w:spacing w:before="40" w:after="40" w:line="220" w:lineRule="atLeast"/>
              <w:ind w:left="57" w:right="57"/>
              <w:rPr>
                <w:i/>
                <w:sz w:val="18"/>
                <w:szCs w:val="18"/>
                <w:lang w:eastAsia="en-GB"/>
              </w:rPr>
            </w:pPr>
            <w:r w:rsidRPr="002C5876">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173</w:t>
            </w:r>
          </w:p>
        </w:tc>
        <w:tc>
          <w:tcPr>
            <w:tcW w:w="631" w:type="dxa"/>
            <w:tcBorders>
              <w:left w:val="single" w:sz="12"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1,003</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1,079</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1,176</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1,285</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1,401</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1,518</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1,636</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1,753</w:t>
            </w:r>
          </w:p>
        </w:tc>
        <w:tc>
          <w:tcPr>
            <w:tcW w:w="823" w:type="dxa"/>
            <w:tcBorders>
              <w:right w:val="single" w:sz="4"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1,868</w:t>
            </w:r>
          </w:p>
        </w:tc>
        <w:tc>
          <w:tcPr>
            <w:tcW w:w="823" w:type="dxa"/>
            <w:tcBorders>
              <w:left w:val="single" w:sz="4"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1,981</w:t>
            </w:r>
          </w:p>
        </w:tc>
      </w:tr>
      <w:tr w:rsidR="00E24DB7" w:rsidRPr="002C5876" w:rsidTr="00E24DB7">
        <w:trPr>
          <w:trHeight w:val="300"/>
        </w:trPr>
        <w:tc>
          <w:tcPr>
            <w:tcW w:w="953" w:type="dxa"/>
            <w:tcBorders>
              <w:top w:val="nil"/>
              <w:bottom w:val="nil"/>
            </w:tcBorders>
            <w:shd w:val="clear" w:color="auto" w:fill="auto"/>
            <w:noWrap/>
            <w:tcMar>
              <w:left w:w="0" w:type="dxa"/>
              <w:right w:w="0" w:type="dxa"/>
            </w:tcMar>
            <w:vAlign w:val="bottom"/>
          </w:tcPr>
          <w:p w:rsidR="00E24DB7" w:rsidRPr="002C5876" w:rsidRDefault="00E24DB7" w:rsidP="00E24DB7">
            <w:pPr>
              <w:suppressAutoHyphens w:val="0"/>
              <w:spacing w:before="40" w:after="40" w:line="220" w:lineRule="atLeast"/>
              <w:ind w:left="57" w:right="57"/>
              <w:rPr>
                <w:i/>
                <w:sz w:val="18"/>
                <w:szCs w:val="18"/>
                <w:lang w:eastAsia="en-GB"/>
              </w:rPr>
            </w:pPr>
            <w:r w:rsidRPr="002C5876">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193</w:t>
            </w:r>
          </w:p>
        </w:tc>
        <w:tc>
          <w:tcPr>
            <w:tcW w:w="631" w:type="dxa"/>
            <w:tcBorders>
              <w:left w:val="single" w:sz="12"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1,003</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1,077</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1,165</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1,263</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1,365</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1,469</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1,574</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1,678</w:t>
            </w:r>
          </w:p>
        </w:tc>
        <w:tc>
          <w:tcPr>
            <w:tcW w:w="823" w:type="dxa"/>
            <w:tcBorders>
              <w:right w:val="single" w:sz="4"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1,781</w:t>
            </w:r>
          </w:p>
        </w:tc>
        <w:tc>
          <w:tcPr>
            <w:tcW w:w="823" w:type="dxa"/>
            <w:tcBorders>
              <w:left w:val="single" w:sz="4"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1,882</w:t>
            </w:r>
          </w:p>
        </w:tc>
      </w:tr>
      <w:tr w:rsidR="00E24DB7" w:rsidRPr="002C5876" w:rsidTr="00E24DB7">
        <w:trPr>
          <w:trHeight w:val="300"/>
        </w:trPr>
        <w:tc>
          <w:tcPr>
            <w:tcW w:w="953" w:type="dxa"/>
            <w:tcBorders>
              <w:top w:val="nil"/>
              <w:bottom w:val="nil"/>
            </w:tcBorders>
            <w:shd w:val="clear" w:color="auto" w:fill="auto"/>
            <w:noWrap/>
            <w:tcMar>
              <w:left w:w="0" w:type="dxa"/>
              <w:right w:w="0" w:type="dxa"/>
            </w:tcMar>
            <w:vAlign w:val="bottom"/>
          </w:tcPr>
          <w:p w:rsidR="00E24DB7" w:rsidRPr="002C5876" w:rsidRDefault="00E24DB7" w:rsidP="00E24DB7">
            <w:pPr>
              <w:suppressAutoHyphens w:val="0"/>
              <w:spacing w:before="40" w:after="40" w:line="220" w:lineRule="atLeast"/>
              <w:ind w:left="57" w:right="57"/>
              <w:rPr>
                <w:i/>
                <w:sz w:val="18"/>
                <w:szCs w:val="18"/>
                <w:lang w:eastAsia="en-GB"/>
              </w:rPr>
            </w:pPr>
            <w:r w:rsidRPr="002C5876">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213</w:t>
            </w:r>
          </w:p>
        </w:tc>
        <w:tc>
          <w:tcPr>
            <w:tcW w:w="631" w:type="dxa"/>
            <w:tcBorders>
              <w:left w:val="single" w:sz="12"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1,003</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1,071</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1,147</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1,228</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1,311</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1,396</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1,482</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1,567</w:t>
            </w:r>
          </w:p>
        </w:tc>
        <w:tc>
          <w:tcPr>
            <w:tcW w:w="823" w:type="dxa"/>
            <w:tcBorders>
              <w:right w:val="single" w:sz="4"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1,652</w:t>
            </w:r>
          </w:p>
        </w:tc>
        <w:tc>
          <w:tcPr>
            <w:tcW w:w="823" w:type="dxa"/>
            <w:tcBorders>
              <w:left w:val="single" w:sz="4"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1,735</w:t>
            </w:r>
          </w:p>
        </w:tc>
      </w:tr>
      <w:tr w:rsidR="00E24DB7" w:rsidRPr="002C5876" w:rsidTr="00E24DB7">
        <w:trPr>
          <w:trHeight w:val="300"/>
        </w:trPr>
        <w:tc>
          <w:tcPr>
            <w:tcW w:w="953" w:type="dxa"/>
            <w:tcBorders>
              <w:top w:val="nil"/>
              <w:bottom w:val="nil"/>
            </w:tcBorders>
            <w:shd w:val="clear" w:color="auto" w:fill="auto"/>
            <w:noWrap/>
            <w:tcMar>
              <w:left w:w="0" w:type="dxa"/>
              <w:right w:w="0" w:type="dxa"/>
            </w:tcMar>
            <w:vAlign w:val="bottom"/>
          </w:tcPr>
          <w:p w:rsidR="00E24DB7" w:rsidRPr="002C5876" w:rsidRDefault="00E24DB7" w:rsidP="00E24DB7">
            <w:pPr>
              <w:suppressAutoHyphens w:val="0"/>
              <w:spacing w:before="40" w:after="40" w:line="220" w:lineRule="atLeast"/>
              <w:ind w:left="57" w:right="57"/>
              <w:rPr>
                <w:i/>
                <w:sz w:val="18"/>
                <w:szCs w:val="18"/>
                <w:lang w:eastAsia="en-GB"/>
              </w:rPr>
            </w:pPr>
            <w:r w:rsidRPr="002C5876">
              <w:rPr>
                <w:i/>
                <w:sz w:val="18"/>
                <w:szCs w:val="18"/>
                <w:lang w:eastAsia="en-GB"/>
              </w:rPr>
              <w:lastRenderedPageBreak/>
              <w:t> </w:t>
            </w:r>
          </w:p>
        </w:tc>
        <w:tc>
          <w:tcPr>
            <w:tcW w:w="648" w:type="dxa"/>
            <w:tcBorders>
              <w:top w:val="nil"/>
              <w:bottom w:val="nil"/>
              <w:right w:val="single" w:sz="12" w:space="0" w:color="auto"/>
            </w:tcBorders>
            <w:shd w:val="clear" w:color="auto" w:fill="auto"/>
            <w:noWrap/>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233</w:t>
            </w:r>
          </w:p>
        </w:tc>
        <w:tc>
          <w:tcPr>
            <w:tcW w:w="631" w:type="dxa"/>
            <w:tcBorders>
              <w:left w:val="single" w:sz="12"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1,004</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1,071</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1,148</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1,228</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1,312</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1,397</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1,482</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1,568</w:t>
            </w:r>
          </w:p>
        </w:tc>
        <w:tc>
          <w:tcPr>
            <w:tcW w:w="823" w:type="dxa"/>
            <w:tcBorders>
              <w:right w:val="single" w:sz="4"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1,652</w:t>
            </w:r>
          </w:p>
        </w:tc>
        <w:tc>
          <w:tcPr>
            <w:tcW w:w="823" w:type="dxa"/>
            <w:tcBorders>
              <w:left w:val="single" w:sz="4"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1,736</w:t>
            </w:r>
          </w:p>
        </w:tc>
      </w:tr>
      <w:tr w:rsidR="00E24DB7" w:rsidRPr="002C5876" w:rsidTr="00E24DB7">
        <w:trPr>
          <w:trHeight w:val="300"/>
        </w:trPr>
        <w:tc>
          <w:tcPr>
            <w:tcW w:w="953" w:type="dxa"/>
            <w:tcBorders>
              <w:top w:val="nil"/>
              <w:bottom w:val="nil"/>
            </w:tcBorders>
            <w:shd w:val="clear" w:color="auto" w:fill="auto"/>
            <w:noWrap/>
            <w:tcMar>
              <w:left w:w="0" w:type="dxa"/>
              <w:right w:w="0" w:type="dxa"/>
            </w:tcMar>
            <w:vAlign w:val="bottom"/>
          </w:tcPr>
          <w:p w:rsidR="00E24DB7" w:rsidRPr="002C5876" w:rsidRDefault="00E24DB7" w:rsidP="00E24DB7">
            <w:pPr>
              <w:suppressAutoHyphens w:val="0"/>
              <w:spacing w:before="40" w:after="40" w:line="220" w:lineRule="atLeast"/>
              <w:ind w:left="57" w:right="57"/>
              <w:rPr>
                <w:i/>
                <w:sz w:val="18"/>
                <w:szCs w:val="18"/>
                <w:lang w:eastAsia="en-GB"/>
              </w:rPr>
            </w:pPr>
            <w:r w:rsidRPr="002C5876">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248</w:t>
            </w:r>
          </w:p>
        </w:tc>
        <w:tc>
          <w:tcPr>
            <w:tcW w:w="631" w:type="dxa"/>
            <w:tcBorders>
              <w:left w:val="single" w:sz="12"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1,003</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1,069</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1,141</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1,217</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1,296</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1,375</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1,455</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1,535</w:t>
            </w:r>
          </w:p>
        </w:tc>
        <w:tc>
          <w:tcPr>
            <w:tcW w:w="823" w:type="dxa"/>
            <w:tcBorders>
              <w:right w:val="single" w:sz="4"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1,614</w:t>
            </w:r>
          </w:p>
        </w:tc>
        <w:tc>
          <w:tcPr>
            <w:tcW w:w="823" w:type="dxa"/>
            <w:tcBorders>
              <w:left w:val="single" w:sz="4"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1,693</w:t>
            </w:r>
          </w:p>
        </w:tc>
      </w:tr>
      <w:tr w:rsidR="00E24DB7" w:rsidRPr="002C5876" w:rsidTr="00E24DB7">
        <w:trPr>
          <w:trHeight w:val="300"/>
        </w:trPr>
        <w:tc>
          <w:tcPr>
            <w:tcW w:w="953" w:type="dxa"/>
            <w:tcBorders>
              <w:top w:val="nil"/>
              <w:bottom w:val="nil"/>
            </w:tcBorders>
            <w:shd w:val="clear" w:color="auto" w:fill="auto"/>
            <w:noWrap/>
            <w:tcMar>
              <w:left w:w="0" w:type="dxa"/>
              <w:right w:w="0" w:type="dxa"/>
            </w:tcMar>
            <w:vAlign w:val="bottom"/>
          </w:tcPr>
          <w:p w:rsidR="00E24DB7" w:rsidRPr="002C5876" w:rsidRDefault="00E24DB7" w:rsidP="00E24DB7">
            <w:pPr>
              <w:suppressAutoHyphens w:val="0"/>
              <w:spacing w:before="40" w:after="40" w:line="220" w:lineRule="atLeast"/>
              <w:ind w:left="57" w:right="57"/>
              <w:rPr>
                <w:i/>
                <w:sz w:val="18"/>
                <w:szCs w:val="18"/>
                <w:lang w:eastAsia="en-GB"/>
              </w:rPr>
            </w:pPr>
            <w:r w:rsidRPr="002C5876">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263</w:t>
            </w:r>
          </w:p>
        </w:tc>
        <w:tc>
          <w:tcPr>
            <w:tcW w:w="631" w:type="dxa"/>
            <w:tcBorders>
              <w:left w:val="single" w:sz="12"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1,003</w:t>
            </w:r>
          </w:p>
        </w:tc>
        <w:tc>
          <w:tcPr>
            <w:tcW w:w="823" w:type="dxa"/>
            <w:tcBorders>
              <w:bottom w:val="single" w:sz="4"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1,066</w:t>
            </w:r>
          </w:p>
        </w:tc>
        <w:tc>
          <w:tcPr>
            <w:tcW w:w="823" w:type="dxa"/>
            <w:tcBorders>
              <w:bottom w:val="single" w:sz="4"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1,136</w:t>
            </w:r>
          </w:p>
        </w:tc>
        <w:tc>
          <w:tcPr>
            <w:tcW w:w="823" w:type="dxa"/>
            <w:tcBorders>
              <w:bottom w:val="single" w:sz="4"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1,207</w:t>
            </w:r>
          </w:p>
        </w:tc>
        <w:tc>
          <w:tcPr>
            <w:tcW w:w="823" w:type="dxa"/>
            <w:tcBorders>
              <w:bottom w:val="single" w:sz="4"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1,281</w:t>
            </w:r>
          </w:p>
        </w:tc>
        <w:tc>
          <w:tcPr>
            <w:tcW w:w="823" w:type="dxa"/>
            <w:tcBorders>
              <w:bottom w:val="single" w:sz="4"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1,356</w:t>
            </w:r>
          </w:p>
        </w:tc>
        <w:tc>
          <w:tcPr>
            <w:tcW w:w="823" w:type="dxa"/>
            <w:tcBorders>
              <w:bottom w:val="single" w:sz="4"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1,431</w:t>
            </w:r>
          </w:p>
        </w:tc>
        <w:tc>
          <w:tcPr>
            <w:tcW w:w="823" w:type="dxa"/>
            <w:tcBorders>
              <w:bottom w:val="single" w:sz="4"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1,506</w:t>
            </w:r>
          </w:p>
        </w:tc>
        <w:tc>
          <w:tcPr>
            <w:tcW w:w="823" w:type="dxa"/>
            <w:tcBorders>
              <w:bottom w:val="single" w:sz="4" w:space="0" w:color="auto"/>
              <w:right w:val="single" w:sz="4"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1,581</w:t>
            </w:r>
          </w:p>
        </w:tc>
        <w:tc>
          <w:tcPr>
            <w:tcW w:w="823" w:type="dxa"/>
            <w:tcBorders>
              <w:left w:val="single" w:sz="4" w:space="0" w:color="auto"/>
              <w:bottom w:val="single" w:sz="4"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1,655</w:t>
            </w:r>
          </w:p>
        </w:tc>
      </w:tr>
      <w:tr w:rsidR="00E24DB7" w:rsidRPr="002C5876" w:rsidTr="00E24DB7">
        <w:trPr>
          <w:trHeight w:val="300"/>
        </w:trPr>
        <w:tc>
          <w:tcPr>
            <w:tcW w:w="953" w:type="dxa"/>
            <w:tcBorders>
              <w:top w:val="nil"/>
              <w:bottom w:val="nil"/>
            </w:tcBorders>
            <w:shd w:val="clear" w:color="auto" w:fill="auto"/>
            <w:noWrap/>
            <w:tcMar>
              <w:left w:w="0" w:type="dxa"/>
              <w:right w:w="0" w:type="dxa"/>
            </w:tcMar>
            <w:vAlign w:val="bottom"/>
          </w:tcPr>
          <w:p w:rsidR="00E24DB7" w:rsidRPr="002C5876" w:rsidRDefault="00E24DB7" w:rsidP="00E24DB7">
            <w:pPr>
              <w:suppressAutoHyphens w:val="0"/>
              <w:spacing w:before="40" w:after="40" w:line="220" w:lineRule="atLeast"/>
              <w:ind w:left="57" w:right="57"/>
              <w:rPr>
                <w:i/>
                <w:sz w:val="18"/>
                <w:szCs w:val="18"/>
                <w:lang w:eastAsia="en-GB"/>
              </w:rPr>
            </w:pPr>
            <w:r w:rsidRPr="002C5876">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278</w:t>
            </w:r>
          </w:p>
        </w:tc>
        <w:tc>
          <w:tcPr>
            <w:tcW w:w="631" w:type="dxa"/>
            <w:tcBorders>
              <w:top w:val="single" w:sz="4" w:space="0" w:color="auto"/>
              <w:left w:val="single" w:sz="12"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1,003</w:t>
            </w:r>
          </w:p>
        </w:tc>
        <w:tc>
          <w:tcPr>
            <w:tcW w:w="823" w:type="dxa"/>
            <w:tcBorders>
              <w:top w:val="single" w:sz="4"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1,064</w:t>
            </w:r>
          </w:p>
        </w:tc>
        <w:tc>
          <w:tcPr>
            <w:tcW w:w="823" w:type="dxa"/>
            <w:tcBorders>
              <w:top w:val="single" w:sz="4"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1,130</w:t>
            </w:r>
          </w:p>
        </w:tc>
        <w:tc>
          <w:tcPr>
            <w:tcW w:w="823" w:type="dxa"/>
            <w:tcBorders>
              <w:top w:val="single" w:sz="4"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1,198</w:t>
            </w:r>
          </w:p>
        </w:tc>
        <w:tc>
          <w:tcPr>
            <w:tcW w:w="823" w:type="dxa"/>
            <w:tcBorders>
              <w:top w:val="single" w:sz="4"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1,268</w:t>
            </w:r>
          </w:p>
        </w:tc>
        <w:tc>
          <w:tcPr>
            <w:tcW w:w="823" w:type="dxa"/>
            <w:tcBorders>
              <w:top w:val="single" w:sz="4"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1,339</w:t>
            </w:r>
          </w:p>
        </w:tc>
        <w:tc>
          <w:tcPr>
            <w:tcW w:w="823" w:type="dxa"/>
            <w:tcBorders>
              <w:top w:val="single" w:sz="4"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1,409</w:t>
            </w:r>
          </w:p>
        </w:tc>
        <w:tc>
          <w:tcPr>
            <w:tcW w:w="823" w:type="dxa"/>
            <w:tcBorders>
              <w:top w:val="single" w:sz="4"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1,480</w:t>
            </w:r>
          </w:p>
        </w:tc>
        <w:tc>
          <w:tcPr>
            <w:tcW w:w="823" w:type="dxa"/>
            <w:tcBorders>
              <w:top w:val="single" w:sz="4" w:space="0" w:color="auto"/>
              <w:right w:val="single" w:sz="4"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1,551</w:t>
            </w:r>
          </w:p>
        </w:tc>
        <w:tc>
          <w:tcPr>
            <w:tcW w:w="823" w:type="dxa"/>
            <w:tcBorders>
              <w:top w:val="single" w:sz="4" w:space="0" w:color="auto"/>
              <w:left w:val="single" w:sz="4"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1,621</w:t>
            </w:r>
          </w:p>
        </w:tc>
      </w:tr>
      <w:tr w:rsidR="00E24DB7" w:rsidRPr="002C5876" w:rsidTr="00E24DB7">
        <w:trPr>
          <w:trHeight w:val="300"/>
        </w:trPr>
        <w:tc>
          <w:tcPr>
            <w:tcW w:w="953" w:type="dxa"/>
            <w:tcBorders>
              <w:top w:val="nil"/>
              <w:bottom w:val="nil"/>
            </w:tcBorders>
            <w:shd w:val="clear" w:color="auto" w:fill="auto"/>
            <w:noWrap/>
            <w:tcMar>
              <w:left w:w="0" w:type="dxa"/>
              <w:right w:w="0" w:type="dxa"/>
            </w:tcMar>
            <w:vAlign w:val="bottom"/>
          </w:tcPr>
          <w:p w:rsidR="00E24DB7" w:rsidRPr="002C5876" w:rsidRDefault="00E24DB7" w:rsidP="00E24DB7">
            <w:pPr>
              <w:suppressAutoHyphens w:val="0"/>
              <w:spacing w:before="40" w:after="40" w:line="220" w:lineRule="atLeast"/>
              <w:ind w:left="57" w:right="57"/>
              <w:rPr>
                <w:i/>
                <w:sz w:val="18"/>
                <w:szCs w:val="18"/>
                <w:lang w:eastAsia="en-GB"/>
              </w:rPr>
            </w:pPr>
            <w:r w:rsidRPr="002C5876">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293</w:t>
            </w:r>
          </w:p>
        </w:tc>
        <w:tc>
          <w:tcPr>
            <w:tcW w:w="631" w:type="dxa"/>
            <w:tcBorders>
              <w:left w:val="single" w:sz="12"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1,003</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1,062</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1,125</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1,190</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1,256</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1,323</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1,390</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1,457</w:t>
            </w:r>
          </w:p>
        </w:tc>
        <w:tc>
          <w:tcPr>
            <w:tcW w:w="823" w:type="dxa"/>
            <w:tcBorders>
              <w:right w:val="single" w:sz="4"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1,524</w:t>
            </w:r>
          </w:p>
        </w:tc>
        <w:tc>
          <w:tcPr>
            <w:tcW w:w="823" w:type="dxa"/>
            <w:tcBorders>
              <w:left w:val="single" w:sz="4"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1,590</w:t>
            </w:r>
          </w:p>
        </w:tc>
      </w:tr>
      <w:tr w:rsidR="00E24DB7" w:rsidRPr="002C5876" w:rsidTr="00E24DB7">
        <w:trPr>
          <w:trHeight w:val="300"/>
        </w:trPr>
        <w:tc>
          <w:tcPr>
            <w:tcW w:w="953" w:type="dxa"/>
            <w:tcBorders>
              <w:top w:val="nil"/>
              <w:bottom w:val="nil"/>
            </w:tcBorders>
            <w:shd w:val="clear" w:color="auto" w:fill="auto"/>
            <w:noWrap/>
            <w:tcMar>
              <w:left w:w="0" w:type="dxa"/>
              <w:right w:w="0" w:type="dxa"/>
            </w:tcMar>
            <w:vAlign w:val="bottom"/>
          </w:tcPr>
          <w:p w:rsidR="00E24DB7" w:rsidRPr="002C5876" w:rsidRDefault="00E24DB7" w:rsidP="00E24DB7">
            <w:pPr>
              <w:suppressAutoHyphens w:val="0"/>
              <w:spacing w:before="40" w:after="40" w:line="220" w:lineRule="atLeast"/>
              <w:ind w:left="57" w:right="57"/>
              <w:rPr>
                <w:i/>
                <w:sz w:val="18"/>
                <w:szCs w:val="18"/>
                <w:lang w:eastAsia="en-GB"/>
              </w:rPr>
            </w:pPr>
            <w:r w:rsidRPr="002C5876">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308</w:t>
            </w:r>
          </w:p>
        </w:tc>
        <w:tc>
          <w:tcPr>
            <w:tcW w:w="631" w:type="dxa"/>
            <w:tcBorders>
              <w:left w:val="single" w:sz="12"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1,003</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1,060</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1,120</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1,182</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1,245</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1,308</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1,372</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1,436</w:t>
            </w:r>
          </w:p>
        </w:tc>
        <w:tc>
          <w:tcPr>
            <w:tcW w:w="823" w:type="dxa"/>
            <w:tcBorders>
              <w:right w:val="single" w:sz="4"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1,499</w:t>
            </w:r>
          </w:p>
        </w:tc>
        <w:tc>
          <w:tcPr>
            <w:tcW w:w="823" w:type="dxa"/>
            <w:tcBorders>
              <w:left w:val="single" w:sz="4"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1,562</w:t>
            </w:r>
          </w:p>
        </w:tc>
      </w:tr>
      <w:tr w:rsidR="00E24DB7" w:rsidRPr="002C5876" w:rsidTr="00E24DB7">
        <w:trPr>
          <w:trHeight w:val="300"/>
        </w:trPr>
        <w:tc>
          <w:tcPr>
            <w:tcW w:w="953" w:type="dxa"/>
            <w:tcBorders>
              <w:top w:val="nil"/>
              <w:bottom w:val="nil"/>
            </w:tcBorders>
            <w:shd w:val="clear" w:color="auto" w:fill="auto"/>
            <w:noWrap/>
            <w:tcMar>
              <w:left w:w="0" w:type="dxa"/>
              <w:right w:w="0" w:type="dxa"/>
            </w:tcMar>
            <w:vAlign w:val="bottom"/>
          </w:tcPr>
          <w:p w:rsidR="00E24DB7" w:rsidRPr="002C5876" w:rsidRDefault="00E24DB7" w:rsidP="00E24DB7">
            <w:pPr>
              <w:suppressAutoHyphens w:val="0"/>
              <w:spacing w:before="40" w:after="40" w:line="220" w:lineRule="atLeast"/>
              <w:ind w:left="57" w:right="57"/>
              <w:rPr>
                <w:i/>
                <w:sz w:val="18"/>
                <w:szCs w:val="18"/>
                <w:lang w:eastAsia="en-GB"/>
              </w:rPr>
            </w:pPr>
            <w:r w:rsidRPr="002C5876">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323</w:t>
            </w:r>
          </w:p>
        </w:tc>
        <w:tc>
          <w:tcPr>
            <w:tcW w:w="631" w:type="dxa"/>
            <w:tcBorders>
              <w:left w:val="single" w:sz="12"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1,003</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1,057</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1,116</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1,175</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1,235</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1,295</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1,356</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1,417</w:t>
            </w:r>
          </w:p>
        </w:tc>
        <w:tc>
          <w:tcPr>
            <w:tcW w:w="823" w:type="dxa"/>
            <w:tcBorders>
              <w:right w:val="single" w:sz="4"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1,477</w:t>
            </w:r>
          </w:p>
        </w:tc>
        <w:tc>
          <w:tcPr>
            <w:tcW w:w="823" w:type="dxa"/>
            <w:tcBorders>
              <w:left w:val="single" w:sz="4"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1,537</w:t>
            </w:r>
          </w:p>
        </w:tc>
      </w:tr>
      <w:tr w:rsidR="00E24DB7" w:rsidRPr="002C5876" w:rsidTr="00E24DB7">
        <w:trPr>
          <w:trHeight w:val="300"/>
        </w:trPr>
        <w:tc>
          <w:tcPr>
            <w:tcW w:w="953" w:type="dxa"/>
            <w:tcBorders>
              <w:top w:val="nil"/>
              <w:bottom w:val="nil"/>
            </w:tcBorders>
            <w:shd w:val="clear" w:color="auto" w:fill="auto"/>
            <w:noWrap/>
            <w:tcMar>
              <w:left w:w="0" w:type="dxa"/>
              <w:right w:w="0" w:type="dxa"/>
            </w:tcMar>
            <w:vAlign w:val="bottom"/>
          </w:tcPr>
          <w:p w:rsidR="00E24DB7" w:rsidRPr="002C5876" w:rsidRDefault="00E24DB7" w:rsidP="00E24DB7">
            <w:pPr>
              <w:suppressAutoHyphens w:val="0"/>
              <w:spacing w:before="40" w:after="40" w:line="220" w:lineRule="atLeast"/>
              <w:ind w:left="57" w:right="57"/>
              <w:rPr>
                <w:i/>
                <w:sz w:val="18"/>
                <w:szCs w:val="18"/>
                <w:lang w:eastAsia="en-GB"/>
              </w:rPr>
            </w:pPr>
            <w:r w:rsidRPr="002C5876">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338</w:t>
            </w:r>
          </w:p>
        </w:tc>
        <w:tc>
          <w:tcPr>
            <w:tcW w:w="631" w:type="dxa"/>
            <w:tcBorders>
              <w:left w:val="single" w:sz="12"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1,003</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1,055</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1,111</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1,168</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1,225</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1,283</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1,341</w:t>
            </w:r>
          </w:p>
        </w:tc>
        <w:tc>
          <w:tcPr>
            <w:tcW w:w="823" w:type="dxa"/>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1,399</w:t>
            </w:r>
          </w:p>
        </w:tc>
        <w:tc>
          <w:tcPr>
            <w:tcW w:w="823" w:type="dxa"/>
            <w:tcBorders>
              <w:right w:val="single" w:sz="4"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1,457</w:t>
            </w:r>
          </w:p>
        </w:tc>
        <w:tc>
          <w:tcPr>
            <w:tcW w:w="823" w:type="dxa"/>
            <w:tcBorders>
              <w:left w:val="single" w:sz="4"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1,514</w:t>
            </w:r>
          </w:p>
        </w:tc>
      </w:tr>
      <w:tr w:rsidR="00E24DB7" w:rsidRPr="002C5876" w:rsidTr="00E24DB7">
        <w:trPr>
          <w:trHeight w:val="300"/>
        </w:trPr>
        <w:tc>
          <w:tcPr>
            <w:tcW w:w="953" w:type="dxa"/>
            <w:tcBorders>
              <w:top w:val="nil"/>
              <w:bottom w:val="single" w:sz="12" w:space="0" w:color="auto"/>
            </w:tcBorders>
            <w:shd w:val="clear" w:color="auto" w:fill="auto"/>
            <w:noWrap/>
            <w:tcMar>
              <w:left w:w="0" w:type="dxa"/>
              <w:right w:w="0" w:type="dxa"/>
            </w:tcMar>
            <w:vAlign w:val="bottom"/>
          </w:tcPr>
          <w:p w:rsidR="00E24DB7" w:rsidRPr="002C5876" w:rsidRDefault="00E24DB7" w:rsidP="00E24DB7">
            <w:pPr>
              <w:suppressAutoHyphens w:val="0"/>
              <w:spacing w:before="40" w:after="40" w:line="220" w:lineRule="atLeast"/>
              <w:ind w:left="57" w:right="57"/>
              <w:rPr>
                <w:i/>
                <w:sz w:val="18"/>
                <w:szCs w:val="18"/>
                <w:lang w:eastAsia="en-GB"/>
              </w:rPr>
            </w:pPr>
            <w:r w:rsidRPr="002C5876">
              <w:rPr>
                <w:i/>
                <w:sz w:val="18"/>
                <w:szCs w:val="18"/>
                <w:lang w:eastAsia="en-GB"/>
              </w:rPr>
              <w:t> </w:t>
            </w:r>
          </w:p>
        </w:tc>
        <w:tc>
          <w:tcPr>
            <w:tcW w:w="648" w:type="dxa"/>
            <w:tcBorders>
              <w:top w:val="nil"/>
              <w:bottom w:val="single" w:sz="12" w:space="0" w:color="auto"/>
              <w:right w:val="single" w:sz="12" w:space="0" w:color="auto"/>
            </w:tcBorders>
            <w:shd w:val="clear" w:color="auto" w:fill="auto"/>
            <w:noWrap/>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353</w:t>
            </w:r>
          </w:p>
        </w:tc>
        <w:tc>
          <w:tcPr>
            <w:tcW w:w="631" w:type="dxa"/>
            <w:tcBorders>
              <w:left w:val="single" w:sz="12" w:space="0" w:color="auto"/>
              <w:bottom w:val="single" w:sz="12"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1,003</w:t>
            </w:r>
          </w:p>
        </w:tc>
        <w:tc>
          <w:tcPr>
            <w:tcW w:w="823" w:type="dxa"/>
            <w:tcBorders>
              <w:bottom w:val="single" w:sz="12"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1,054</w:t>
            </w:r>
          </w:p>
        </w:tc>
        <w:tc>
          <w:tcPr>
            <w:tcW w:w="823" w:type="dxa"/>
            <w:tcBorders>
              <w:bottom w:val="single" w:sz="12"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1,107</w:t>
            </w:r>
          </w:p>
        </w:tc>
        <w:tc>
          <w:tcPr>
            <w:tcW w:w="823" w:type="dxa"/>
            <w:tcBorders>
              <w:bottom w:val="single" w:sz="12"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1,162</w:t>
            </w:r>
          </w:p>
        </w:tc>
        <w:tc>
          <w:tcPr>
            <w:tcW w:w="823" w:type="dxa"/>
            <w:tcBorders>
              <w:bottom w:val="single" w:sz="12"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1,217</w:t>
            </w:r>
          </w:p>
        </w:tc>
        <w:tc>
          <w:tcPr>
            <w:tcW w:w="823" w:type="dxa"/>
            <w:tcBorders>
              <w:bottom w:val="single" w:sz="12"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1,272</w:t>
            </w:r>
          </w:p>
        </w:tc>
        <w:tc>
          <w:tcPr>
            <w:tcW w:w="823" w:type="dxa"/>
            <w:tcBorders>
              <w:bottom w:val="single" w:sz="12"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1,327</w:t>
            </w:r>
          </w:p>
        </w:tc>
        <w:tc>
          <w:tcPr>
            <w:tcW w:w="823" w:type="dxa"/>
            <w:tcBorders>
              <w:bottom w:val="single" w:sz="12"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1,383</w:t>
            </w:r>
          </w:p>
        </w:tc>
        <w:tc>
          <w:tcPr>
            <w:tcW w:w="823" w:type="dxa"/>
            <w:tcBorders>
              <w:bottom w:val="single" w:sz="12" w:space="0" w:color="auto"/>
              <w:right w:val="single" w:sz="4"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1,438</w:t>
            </w:r>
          </w:p>
        </w:tc>
        <w:tc>
          <w:tcPr>
            <w:tcW w:w="823" w:type="dxa"/>
            <w:tcBorders>
              <w:left w:val="single" w:sz="4" w:space="0" w:color="auto"/>
              <w:bottom w:val="single" w:sz="12" w:space="0" w:color="auto"/>
            </w:tcBorders>
            <w:shd w:val="clear" w:color="auto" w:fill="auto"/>
            <w:tcMar>
              <w:left w:w="0" w:type="dxa"/>
              <w:right w:w="0" w:type="dxa"/>
            </w:tcMar>
            <w:vAlign w:val="bottom"/>
          </w:tcPr>
          <w:p w:rsidR="00E24DB7" w:rsidRPr="002C5876" w:rsidRDefault="00E24DB7" w:rsidP="00E24DB7">
            <w:pPr>
              <w:suppressAutoHyphens w:val="0"/>
              <w:spacing w:before="40" w:after="40" w:line="220" w:lineRule="atLeast"/>
              <w:ind w:left="57" w:right="57"/>
              <w:jc w:val="right"/>
              <w:rPr>
                <w:sz w:val="18"/>
                <w:szCs w:val="18"/>
                <w:lang w:eastAsia="en-GB"/>
              </w:rPr>
            </w:pPr>
            <w:r w:rsidRPr="002C5876">
              <w:rPr>
                <w:sz w:val="18"/>
                <w:szCs w:val="18"/>
                <w:lang w:eastAsia="en-GB"/>
              </w:rPr>
              <w:t>1,493</w:t>
            </w:r>
          </w:p>
        </w:tc>
      </w:tr>
    </w:tbl>
    <w:p w:rsidR="00E24DB7" w:rsidRPr="002C5876" w:rsidRDefault="00E24DB7" w:rsidP="00FB3E50">
      <w:pPr>
        <w:pStyle w:val="SingleTxtG"/>
        <w:keepNext/>
        <w:keepLines/>
        <w:spacing w:before="240" w:line="220" w:lineRule="atLeast"/>
        <w:ind w:left="2268"/>
      </w:pPr>
      <w:r w:rsidRPr="002C5876">
        <w:t>Si les valeurs requises en entrée pour p et T ne figurent pas dans le tableau, on peut obtenir le facteur de compressibilité par interpolation linéaire entre les facteurs indiqués dans ce même tableau, en choisissant ceux qui sont les plus proches de la valeur recherchée.</w:t>
      </w:r>
    </w:p>
    <w:p w:rsidR="00E24DB7" w:rsidRPr="002C5876" w:rsidRDefault="00E24DB7" w:rsidP="00FB3E50">
      <w:pPr>
        <w:pStyle w:val="SingleTxtG"/>
        <w:keepNext/>
        <w:keepLines/>
        <w:spacing w:line="220" w:lineRule="atLeast"/>
        <w:ind w:left="2268" w:hanging="1134"/>
        <w:jc w:val="left"/>
      </w:pPr>
      <w:r w:rsidRPr="002C5876">
        <w:t>7.</w:t>
      </w:r>
      <w:r w:rsidRPr="002C5876">
        <w:tab/>
        <w:t>Index de la courbe d’essai</w:t>
      </w:r>
    </w:p>
    <w:p w:rsidR="00E24DB7" w:rsidRPr="002C5876" w:rsidRDefault="00E24DB7" w:rsidP="00FB3E50">
      <w:pPr>
        <w:pStyle w:val="SingleTxtG"/>
        <w:spacing w:line="220" w:lineRule="atLeast"/>
        <w:ind w:left="2268" w:hanging="1134"/>
        <w:jc w:val="left"/>
      </w:pPr>
      <w:r w:rsidRPr="002C5876">
        <w:t>7.1</w:t>
      </w:r>
      <w:r w:rsidRPr="002C5876">
        <w:tab/>
        <w:t>Prescription générale</w:t>
      </w:r>
    </w:p>
    <w:p w:rsidR="00E24DB7" w:rsidRPr="002C5876" w:rsidRDefault="00E24DB7" w:rsidP="00933777">
      <w:pPr>
        <w:pStyle w:val="SingleTxtG"/>
        <w:spacing w:line="220" w:lineRule="atLeast"/>
        <w:ind w:left="2268"/>
      </w:pPr>
      <w:r w:rsidRPr="002C5876">
        <w:t xml:space="preserve">La vitesse prescrite entre les instants dans les tableaux A1/1 à A1/12 doit être déterminée par interpolation linéaire à une fréquence de 10 Hz. </w:t>
      </w:r>
    </w:p>
    <w:p w:rsidR="00E24DB7" w:rsidRPr="002C5876" w:rsidRDefault="00E24DB7" w:rsidP="00933777">
      <w:pPr>
        <w:pStyle w:val="SingleTxtG"/>
        <w:spacing w:line="220" w:lineRule="atLeast"/>
        <w:ind w:left="2268"/>
      </w:pPr>
      <w:r w:rsidRPr="002C5876">
        <w:t xml:space="preserve">Dans le cas où l’on appuie à fond sur l’accélérateur, il convient d’utiliser la vitesse prescrite plutôt que la vitesse réelle du véhicule pour le calcul des index de la courbe d’essai au cours des périodes de fonctionnement. </w:t>
      </w:r>
    </w:p>
    <w:p w:rsidR="00E24DB7" w:rsidRPr="002C5876" w:rsidRDefault="00E24DB7" w:rsidP="00933777">
      <w:pPr>
        <w:pStyle w:val="SingleTxtG"/>
        <w:spacing w:line="220" w:lineRule="atLeast"/>
        <w:ind w:left="2268" w:hanging="1134"/>
        <w:jc w:val="left"/>
      </w:pPr>
      <w:r w:rsidRPr="002C5876">
        <w:t>7.2</w:t>
      </w:r>
      <w:r w:rsidRPr="002C5876">
        <w:tab/>
        <w:t>Calcul des index de la courbe d’essai</w:t>
      </w:r>
    </w:p>
    <w:p w:rsidR="00E24DB7" w:rsidRPr="002C5876" w:rsidRDefault="00E24DB7" w:rsidP="00933777">
      <w:pPr>
        <w:pStyle w:val="SingleTxtG"/>
        <w:spacing w:line="220" w:lineRule="atLeast"/>
        <w:ind w:left="2268"/>
      </w:pPr>
      <w:r w:rsidRPr="002C5876">
        <w:tab/>
        <w:t>Les index ci-après doivent être calculés conformément à la norme SAE J2951 (révisée en janvier 2014) :</w:t>
      </w:r>
    </w:p>
    <w:p w:rsidR="00E24DB7" w:rsidRPr="002C5876" w:rsidRDefault="00E24DB7" w:rsidP="00ED0DF7">
      <w:pPr>
        <w:pStyle w:val="SingleTxtG"/>
        <w:spacing w:line="220" w:lineRule="atLeast"/>
        <w:ind w:left="2835" w:hanging="567"/>
      </w:pPr>
      <w:r w:rsidRPr="002C5876">
        <w:t>a)</w:t>
      </w:r>
      <w:r w:rsidRPr="002C5876">
        <w:tab/>
        <w:t>IWR :</w:t>
      </w:r>
      <w:r w:rsidRPr="002C5876">
        <w:tab/>
        <w:t>Inertial Work Rating (évaluation du point de vue de l’inertie) en pourcentage ;</w:t>
      </w:r>
    </w:p>
    <w:p w:rsidR="00E24DB7" w:rsidRPr="002C5876" w:rsidRDefault="00E24DB7" w:rsidP="00ED0DF7">
      <w:pPr>
        <w:pStyle w:val="SingleTxtG"/>
        <w:spacing w:line="220" w:lineRule="atLeast"/>
        <w:ind w:left="2835" w:hanging="567"/>
      </w:pPr>
      <w:r w:rsidRPr="002C5876">
        <w:t>b)</w:t>
      </w:r>
      <w:r w:rsidRPr="002C5876">
        <w:tab/>
        <w:t>RMSSE :</w:t>
      </w:r>
      <w:r w:rsidRPr="002C5876">
        <w:tab/>
        <w:t>Root Mean Squared Speed Error (erreur quadratique moyenne) en km/h.</w:t>
      </w:r>
    </w:p>
    <w:p w:rsidR="00E24DB7" w:rsidRPr="002C5876" w:rsidRDefault="00E24DB7" w:rsidP="00ED0DF7">
      <w:pPr>
        <w:pStyle w:val="SingleTxtG"/>
        <w:spacing w:line="220" w:lineRule="atLeast"/>
        <w:ind w:left="2268" w:hanging="1134"/>
        <w:jc w:val="left"/>
      </w:pPr>
      <w:r w:rsidRPr="002C5876">
        <w:t>7.3</w:t>
      </w:r>
      <w:r w:rsidRPr="002C5876">
        <w:tab/>
        <w:t>Critères des index de la courbe d’essai</w:t>
      </w:r>
    </w:p>
    <w:p w:rsidR="00E24DB7" w:rsidRPr="002C5876" w:rsidRDefault="00E24DB7" w:rsidP="00ED0DF7">
      <w:pPr>
        <w:pStyle w:val="SingleTxtG"/>
        <w:tabs>
          <w:tab w:val="left" w:pos="2835"/>
        </w:tabs>
        <w:spacing w:line="220" w:lineRule="atLeast"/>
        <w:ind w:left="2835" w:hanging="567"/>
      </w:pPr>
      <w:r w:rsidRPr="002C5876">
        <w:t>Dans le cas d’un essai d’homologation, les index suivants devraient se conformer aux critères exposés ci-après :</w:t>
      </w:r>
    </w:p>
    <w:p w:rsidR="00E24DB7" w:rsidRPr="002C5876" w:rsidRDefault="00E24DB7" w:rsidP="00ED0DF7">
      <w:pPr>
        <w:pStyle w:val="SingleTxtG"/>
        <w:tabs>
          <w:tab w:val="left" w:pos="2835"/>
        </w:tabs>
        <w:spacing w:line="220" w:lineRule="atLeast"/>
        <w:ind w:left="2835" w:hanging="567"/>
      </w:pPr>
      <w:r w:rsidRPr="002C5876">
        <w:t>a)</w:t>
      </w:r>
      <w:r w:rsidRPr="002C5876">
        <w:tab/>
        <w:t>L’IWR devrait se situer dans une fourchette de -2,0 à +4,0 %  :</w:t>
      </w:r>
    </w:p>
    <w:p w:rsidR="00E24DB7" w:rsidRPr="002C5876" w:rsidRDefault="00E24DB7" w:rsidP="00ED0DF7">
      <w:pPr>
        <w:pStyle w:val="SingleTxtG"/>
        <w:spacing w:line="220" w:lineRule="atLeast"/>
        <w:ind w:left="2835" w:hanging="567"/>
      </w:pPr>
      <w:r w:rsidRPr="002C5876">
        <w:t>b)</w:t>
      </w:r>
      <w:r w:rsidRPr="002C5876">
        <w:tab/>
        <w:t>La RMSEE, au choix de la partie contractante, doit être inférieure à 0,8 km/h ou inférieure à 1,3 km/h.</w:t>
      </w:r>
    </w:p>
    <w:p w:rsidR="00ED0DF7" w:rsidRPr="002C5876" w:rsidRDefault="00E24DB7" w:rsidP="00ED0DF7">
      <w:pPr>
        <w:pStyle w:val="SingleTxtG"/>
        <w:spacing w:line="220" w:lineRule="atLeast"/>
        <w:ind w:left="2268" w:hanging="1134"/>
        <w:jc w:val="left"/>
      </w:pPr>
      <w:r w:rsidRPr="002C5876">
        <w:t>8.</w:t>
      </w:r>
      <w:r w:rsidRPr="002C5876">
        <w:tab/>
        <w:t>Calcul des rapports n/v</w:t>
      </w:r>
    </w:p>
    <w:p w:rsidR="00E24DB7" w:rsidRPr="002C5876" w:rsidRDefault="00E24DB7" w:rsidP="00ED0DF7">
      <w:pPr>
        <w:pStyle w:val="SingleTxtG"/>
        <w:spacing w:line="220" w:lineRule="atLeast"/>
        <w:ind w:left="2268" w:hanging="1134"/>
        <w:jc w:val="left"/>
      </w:pPr>
      <w:r w:rsidRPr="002C5876">
        <w:tab/>
        <w:t>Les rapports n/v sont calculés au moyen des équations suivantes :</w:t>
      </w:r>
    </w:p>
    <w:p w:rsidR="00E24DB7" w:rsidRPr="00D53F39" w:rsidRDefault="00731CA6" w:rsidP="00E24DB7">
      <w:pPr>
        <w:pStyle w:val="SingleTxtG"/>
        <w:spacing w:line="220" w:lineRule="atLeast"/>
        <w:ind w:left="2268"/>
        <w:jc w:val="center"/>
        <w:rPr>
          <w:lang w:val="en-US"/>
        </w:rPr>
      </w:pPr>
      <m:oMathPara>
        <m:oMath>
          <m:sSub>
            <m:sSubPr>
              <m:ctrlPr>
                <w:rPr>
                  <w:rFonts w:ascii="Cambria Math" w:hAnsi="Cambria Math" w:cstheme="majorBidi"/>
                </w:rPr>
              </m:ctrlPr>
            </m:sSubPr>
            <m:e>
              <m:d>
                <m:dPr>
                  <m:ctrlPr>
                    <w:rPr>
                      <w:rFonts w:ascii="Cambria Math" w:hAnsi="Cambria Math" w:cstheme="majorBidi"/>
                    </w:rPr>
                  </m:ctrlPr>
                </m:dPr>
                <m:e>
                  <m:f>
                    <m:fPr>
                      <m:ctrlPr>
                        <w:rPr>
                          <w:rFonts w:ascii="Cambria Math" w:hAnsi="Cambria Math" w:cstheme="majorBidi"/>
                        </w:rPr>
                      </m:ctrlPr>
                    </m:fPr>
                    <m:num>
                      <m:r>
                        <m:rPr>
                          <m:nor/>
                        </m:rPr>
                        <w:rPr>
                          <w:rFonts w:asciiTheme="majorBidi" w:hAnsiTheme="majorBidi" w:cstheme="majorBidi"/>
                          <w:lang w:val="en-US"/>
                        </w:rPr>
                        <m:t>n</m:t>
                      </m:r>
                    </m:num>
                    <m:den>
                      <m:r>
                        <m:rPr>
                          <m:nor/>
                        </m:rPr>
                        <w:rPr>
                          <w:rFonts w:asciiTheme="majorBidi" w:hAnsiTheme="majorBidi" w:cstheme="majorBidi"/>
                          <w:lang w:val="en-US"/>
                        </w:rPr>
                        <m:t>v</m:t>
                      </m:r>
                    </m:den>
                  </m:f>
                </m:e>
              </m:d>
            </m:e>
            <m:sub>
              <m:r>
                <m:rPr>
                  <m:nor/>
                </m:rPr>
                <w:rPr>
                  <w:rFonts w:asciiTheme="majorBidi" w:hAnsiTheme="majorBidi" w:cstheme="majorBidi"/>
                  <w:lang w:val="en-US"/>
                </w:rPr>
                <m:t>i</m:t>
              </m:r>
            </m:sub>
          </m:sSub>
          <m:r>
            <m:rPr>
              <m:nor/>
            </m:rPr>
            <w:rPr>
              <w:rFonts w:asciiTheme="majorBidi" w:hAnsiTheme="majorBidi" w:cstheme="majorBidi"/>
              <w:lang w:val="en-US"/>
            </w:rPr>
            <m:t>= (</m:t>
          </m:r>
          <m:sSub>
            <m:sSubPr>
              <m:ctrlPr>
                <w:rPr>
                  <w:rFonts w:ascii="Cambria Math" w:hAnsi="Cambria Math" w:cstheme="majorBidi"/>
                </w:rPr>
              </m:ctrlPr>
            </m:sSubPr>
            <m:e>
              <m:r>
                <m:rPr>
                  <m:nor/>
                </m:rPr>
                <w:rPr>
                  <w:rFonts w:asciiTheme="majorBidi" w:hAnsiTheme="majorBidi" w:cstheme="majorBidi"/>
                  <w:lang w:val="en-US"/>
                </w:rPr>
                <m:t>r</m:t>
              </m:r>
            </m:e>
            <m:sub>
              <m:r>
                <m:rPr>
                  <m:nor/>
                </m:rPr>
                <w:rPr>
                  <w:rFonts w:asciiTheme="majorBidi" w:hAnsiTheme="majorBidi" w:cstheme="majorBidi"/>
                  <w:lang w:val="en-US"/>
                </w:rPr>
                <m:t>i</m:t>
              </m:r>
            </m:sub>
          </m:sSub>
          <m:r>
            <m:rPr>
              <m:nor/>
            </m:rPr>
            <w:rPr>
              <w:rFonts w:asciiTheme="majorBidi" w:hAnsiTheme="majorBidi" w:cstheme="majorBidi"/>
              <w:lang w:val="en-US"/>
            </w:rPr>
            <m:t xml:space="preserve"> × </m:t>
          </m:r>
          <m:sSub>
            <m:sSubPr>
              <m:ctrlPr>
                <w:rPr>
                  <w:rFonts w:ascii="Cambria Math" w:hAnsi="Cambria Math" w:cstheme="majorBidi"/>
                </w:rPr>
              </m:ctrlPr>
            </m:sSubPr>
            <m:e>
              <m:r>
                <m:rPr>
                  <m:nor/>
                </m:rPr>
                <w:rPr>
                  <w:rFonts w:asciiTheme="majorBidi" w:hAnsiTheme="majorBidi" w:cstheme="majorBidi"/>
                  <w:lang w:val="en-US"/>
                </w:rPr>
                <m:t>r</m:t>
              </m:r>
            </m:e>
            <m:sub>
              <m:r>
                <m:rPr>
                  <m:nor/>
                </m:rPr>
                <w:rPr>
                  <w:rFonts w:asciiTheme="majorBidi" w:hAnsiTheme="majorBidi" w:cstheme="majorBidi"/>
                  <w:lang w:val="en-US"/>
                </w:rPr>
                <m:t>axle</m:t>
              </m:r>
            </m:sub>
          </m:sSub>
          <m:r>
            <m:rPr>
              <m:nor/>
            </m:rPr>
            <w:rPr>
              <w:rFonts w:asciiTheme="majorBidi" w:hAnsiTheme="majorBidi" w:cstheme="majorBidi"/>
              <w:lang w:val="en-US"/>
            </w:rPr>
            <m:t xml:space="preserve"> × 60 000)/(</m:t>
          </m:r>
          <m:sSub>
            <m:sSubPr>
              <m:ctrlPr>
                <w:rPr>
                  <w:rFonts w:ascii="Cambria Math" w:hAnsi="Cambria Math" w:cstheme="majorBidi"/>
                </w:rPr>
              </m:ctrlPr>
            </m:sSubPr>
            <m:e>
              <m:r>
                <m:rPr>
                  <m:nor/>
                </m:rPr>
                <w:rPr>
                  <w:rFonts w:asciiTheme="majorBidi" w:hAnsiTheme="majorBidi" w:cstheme="majorBidi"/>
                  <w:lang w:val="en-US"/>
                </w:rPr>
                <m:t>U</m:t>
              </m:r>
            </m:e>
            <m:sub>
              <m:r>
                <m:rPr>
                  <m:nor/>
                </m:rPr>
                <w:rPr>
                  <w:rFonts w:asciiTheme="majorBidi" w:hAnsiTheme="majorBidi" w:cstheme="majorBidi"/>
                  <w:lang w:val="en-US"/>
                </w:rPr>
                <m:t>dyn</m:t>
              </m:r>
            </m:sub>
          </m:sSub>
          <m:r>
            <m:rPr>
              <m:nor/>
            </m:rPr>
            <w:rPr>
              <w:rFonts w:asciiTheme="majorBidi" w:hAnsiTheme="majorBidi" w:cstheme="majorBidi"/>
              <w:lang w:val="en-US"/>
            </w:rPr>
            <m:t xml:space="preserve"> × 3,6)</m:t>
          </m:r>
        </m:oMath>
      </m:oMathPara>
    </w:p>
    <w:p w:rsidR="00E24DB7" w:rsidRPr="002C5876" w:rsidRDefault="00E24DB7" w:rsidP="00ED0DF7">
      <w:pPr>
        <w:pStyle w:val="SingleTxtG"/>
        <w:keepNext/>
        <w:spacing w:line="220" w:lineRule="atLeast"/>
        <w:ind w:left="2835" w:hanging="567"/>
        <w:jc w:val="left"/>
      </w:pPr>
      <w:r w:rsidRPr="002C5876">
        <w:t>où :</w:t>
      </w:r>
    </w:p>
    <w:p w:rsidR="00E24DB7" w:rsidRPr="002C5876" w:rsidRDefault="00E24DB7" w:rsidP="00ED0DF7">
      <w:pPr>
        <w:pStyle w:val="SingleTxtG"/>
        <w:spacing w:line="220" w:lineRule="atLeast"/>
        <w:ind w:left="2835" w:hanging="567"/>
        <w:jc w:val="left"/>
      </w:pPr>
      <w:r w:rsidRPr="002C5876">
        <w:t xml:space="preserve">n </w:t>
      </w:r>
      <w:r w:rsidRPr="002C5876">
        <w:tab/>
        <w:t>est le régime moteur, en min</w:t>
      </w:r>
      <w:r w:rsidRPr="002C5876">
        <w:rPr>
          <w:vertAlign w:val="superscript"/>
        </w:rPr>
        <w:t>-1 </w:t>
      </w:r>
      <w:r w:rsidRPr="002C5876">
        <w:t>;</w:t>
      </w:r>
    </w:p>
    <w:p w:rsidR="00E24DB7" w:rsidRPr="002C5876" w:rsidRDefault="00E24DB7" w:rsidP="00ED0DF7">
      <w:pPr>
        <w:pStyle w:val="SingleTxtG"/>
        <w:spacing w:line="220" w:lineRule="atLeast"/>
        <w:ind w:left="2835" w:hanging="567"/>
        <w:jc w:val="left"/>
      </w:pPr>
      <w:r w:rsidRPr="002C5876">
        <w:t xml:space="preserve">v </w:t>
      </w:r>
      <w:r w:rsidRPr="002C5876">
        <w:tab/>
        <w:t>est la vitesse du véhicule, en km/h ;</w:t>
      </w:r>
    </w:p>
    <w:p w:rsidR="00E24DB7" w:rsidRPr="002C5876" w:rsidRDefault="00E24DB7" w:rsidP="00ED0DF7">
      <w:pPr>
        <w:pStyle w:val="SingleTxtG"/>
        <w:spacing w:line="220" w:lineRule="atLeast"/>
        <w:ind w:left="2835" w:hanging="567"/>
        <w:jc w:val="left"/>
      </w:pPr>
      <w:r w:rsidRPr="002C5876">
        <w:t>r</w:t>
      </w:r>
      <w:r w:rsidRPr="002C5876">
        <w:rPr>
          <w:vertAlign w:val="subscript"/>
        </w:rPr>
        <w:t>i</w:t>
      </w:r>
      <w:r w:rsidRPr="002C5876">
        <w:t xml:space="preserve"> </w:t>
      </w:r>
      <w:r w:rsidRPr="002C5876">
        <w:tab/>
        <w:t>est le rapport de démultiplication sur le rapport i ;</w:t>
      </w:r>
    </w:p>
    <w:p w:rsidR="00E24DB7" w:rsidRPr="002C5876" w:rsidRDefault="00E24DB7" w:rsidP="00ED0DF7">
      <w:pPr>
        <w:pStyle w:val="SingleTxtG"/>
        <w:spacing w:line="220" w:lineRule="atLeast"/>
        <w:ind w:left="2835" w:hanging="567"/>
        <w:jc w:val="left"/>
      </w:pPr>
      <w:r w:rsidRPr="002C5876">
        <w:t>r</w:t>
      </w:r>
      <w:r w:rsidRPr="002C5876">
        <w:rPr>
          <w:vertAlign w:val="subscript"/>
        </w:rPr>
        <w:t>axle</w:t>
      </w:r>
      <w:r w:rsidRPr="002C5876">
        <w:tab/>
        <w:t>est le rapport de démultiplication de l’essieu.</w:t>
      </w:r>
    </w:p>
    <w:p w:rsidR="00E24DB7" w:rsidRPr="002C5876" w:rsidRDefault="00E24DB7" w:rsidP="00ED0DF7">
      <w:pPr>
        <w:pStyle w:val="SingleTxtG"/>
        <w:spacing w:line="220" w:lineRule="atLeast"/>
        <w:ind w:left="2835" w:hanging="567"/>
        <w:jc w:val="left"/>
      </w:pPr>
      <w:r w:rsidRPr="002C5876">
        <w:t>U</w:t>
      </w:r>
      <w:r w:rsidRPr="002C5876">
        <w:rPr>
          <w:vertAlign w:val="subscript"/>
        </w:rPr>
        <w:t>dyn</w:t>
      </w:r>
      <w:r w:rsidRPr="002C5876">
        <w:t xml:space="preserve"> </w:t>
      </w:r>
      <w:r w:rsidRPr="002C5876">
        <w:tab/>
        <w:t>est la circonférence de roulement dynamique des pneumatiques de l’essieu moteur et est calculée au moyen de l’équation suivante :</w:t>
      </w:r>
    </w:p>
    <w:p w:rsidR="00E24DB7" w:rsidRPr="002C5876" w:rsidRDefault="00731CA6" w:rsidP="00B83E83">
      <w:pPr>
        <w:pStyle w:val="SingleTxtG"/>
        <w:ind w:left="2268"/>
        <w:jc w:val="left"/>
      </w:pPr>
      <m:oMathPara>
        <m:oMathParaPr>
          <m:jc m:val="center"/>
        </m:oMathParaP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dyn</m:t>
              </m:r>
            </m:sub>
          </m:sSub>
          <m:r>
            <m:rPr>
              <m:sty m:val="p"/>
            </m:rPr>
            <w:rPr>
              <w:rFonts w:ascii="Cambria Math" w:hAnsi="Cambria Math"/>
            </w:rPr>
            <m:t>=3,05×</m:t>
          </m:r>
          <m:d>
            <m:dPr>
              <m:ctrlPr>
                <w:rPr>
                  <w:rFonts w:ascii="Cambria Math" w:hAnsi="Cambria Math"/>
                </w:rPr>
              </m:ctrlPr>
            </m:dPr>
            <m:e>
              <m:r>
                <m:rPr>
                  <m:sty m:val="p"/>
                </m:rPr>
                <w:rPr>
                  <w:rFonts w:ascii="Cambria Math" w:hAnsi="Cambria Math"/>
                </w:rPr>
                <m:t>2</m:t>
              </m:r>
              <m:d>
                <m:dPr>
                  <m:ctrlPr>
                    <w:rPr>
                      <w:rFonts w:ascii="Cambria Math" w:hAnsi="Cambria Math"/>
                    </w:rPr>
                  </m:ctrlPr>
                </m:dPr>
                <m:e>
                  <m:f>
                    <m:fPr>
                      <m:ctrlPr>
                        <w:rPr>
                          <w:rFonts w:ascii="Cambria Math" w:hAnsi="Cambria Math"/>
                        </w:rPr>
                      </m:ctrlPr>
                    </m:fPr>
                    <m:num>
                      <m:r>
                        <m:rPr>
                          <m:sty m:val="p"/>
                        </m:rPr>
                        <w:rPr>
                          <w:rFonts w:ascii="Cambria Math" w:hAnsi="Cambria Math"/>
                        </w:rPr>
                        <m:t>H/W</m:t>
                      </m:r>
                    </m:num>
                    <m:den>
                      <m:r>
                        <m:rPr>
                          <m:sty m:val="p"/>
                        </m:rPr>
                        <w:rPr>
                          <w:rFonts w:ascii="Cambria Math" w:hAnsi="Cambria Math"/>
                        </w:rPr>
                        <m:t>100</m:t>
                      </m:r>
                    </m:den>
                  </m:f>
                </m:e>
              </m:d>
              <m:r>
                <m:rPr>
                  <m:sty m:val="p"/>
                </m:rPr>
                <w:rPr>
                  <w:rFonts w:ascii="Cambria Math" w:hAnsi="Cambria Math"/>
                </w:rPr>
                <m:t>×W+</m:t>
              </m:r>
              <m:d>
                <m:dPr>
                  <m:ctrlPr>
                    <w:rPr>
                      <w:rFonts w:ascii="Cambria Math" w:hAnsi="Cambria Math"/>
                    </w:rPr>
                  </m:ctrlPr>
                </m:dPr>
                <m:e>
                  <m:r>
                    <m:rPr>
                      <m:sty m:val="p"/>
                    </m:rPr>
                    <w:rPr>
                      <w:rFonts w:ascii="Cambria Math" w:hAnsi="Cambria Math"/>
                    </w:rPr>
                    <m:t>R×25,4</m:t>
                  </m:r>
                </m:e>
              </m:d>
            </m:e>
          </m:d>
        </m:oMath>
      </m:oMathPara>
    </w:p>
    <w:p w:rsidR="00E24DB7" w:rsidRPr="002C5876" w:rsidRDefault="00E24DB7" w:rsidP="00ED0DF7">
      <w:pPr>
        <w:pStyle w:val="SingleTxtG"/>
        <w:keepNext/>
        <w:ind w:left="2835" w:hanging="567"/>
        <w:jc w:val="left"/>
      </w:pPr>
      <w:r w:rsidRPr="002C5876">
        <w:t>où :</w:t>
      </w:r>
    </w:p>
    <w:p w:rsidR="00E24DB7" w:rsidRPr="002C5876" w:rsidRDefault="00E24DB7" w:rsidP="00ED0DF7">
      <w:pPr>
        <w:pStyle w:val="SingleTxtG"/>
        <w:keepNext/>
        <w:ind w:left="2835" w:hanging="567"/>
      </w:pPr>
      <w:r w:rsidRPr="002C5876">
        <w:t>H/W</w:t>
      </w:r>
      <w:r w:rsidRPr="002C5876">
        <w:tab/>
        <w:t>est le rapport d’aspect du pneumatique, par exemple « 45 » pour un pneumatique de type 225/45 R17 ;</w:t>
      </w:r>
    </w:p>
    <w:p w:rsidR="00E24DB7" w:rsidRPr="002C5876" w:rsidRDefault="00E24DB7" w:rsidP="00ED0DF7">
      <w:pPr>
        <w:pStyle w:val="SingleTxtG"/>
        <w:ind w:left="2835" w:hanging="567"/>
      </w:pPr>
      <w:r w:rsidRPr="002C5876">
        <w:t>W</w:t>
      </w:r>
      <w:r w:rsidRPr="002C5876">
        <w:tab/>
        <w:t>est la largeur du pneumatique, en mm, par exemple « 225 » pour un pneumatique de type 225/45 R17 ;</w:t>
      </w:r>
    </w:p>
    <w:p w:rsidR="00E24DB7" w:rsidRPr="002C5876" w:rsidRDefault="00E24DB7" w:rsidP="00ED0DF7">
      <w:pPr>
        <w:pStyle w:val="SingleTxtG"/>
        <w:ind w:left="2835" w:hanging="567"/>
      </w:pPr>
      <w:r w:rsidRPr="002C5876">
        <w:t>R</w:t>
      </w:r>
      <w:r w:rsidRPr="002C5876">
        <w:tab/>
        <w:t>est le diamètre de la roue, en pouces, par exemple « 17 » pour un pneumatique de type 225/45 R17.</w:t>
      </w:r>
    </w:p>
    <w:p w:rsidR="00E24DB7" w:rsidRPr="002C5876" w:rsidRDefault="00E24DB7" w:rsidP="00ED0DF7">
      <w:pPr>
        <w:pStyle w:val="SingleTxtG"/>
        <w:ind w:left="2835" w:hanging="567"/>
      </w:pPr>
      <w:r w:rsidRPr="002C5876">
        <w:t>U</w:t>
      </w:r>
      <w:r w:rsidRPr="002C5876">
        <w:rPr>
          <w:vertAlign w:val="subscript"/>
        </w:rPr>
        <w:t>dyn</w:t>
      </w:r>
      <w:r w:rsidRPr="002C5876">
        <w:tab/>
        <w:t>doit être arrondie au millimètre le plus proche.</w:t>
      </w:r>
    </w:p>
    <w:p w:rsidR="00E24DB7" w:rsidRPr="002C5876" w:rsidRDefault="00E24DB7" w:rsidP="00E24DB7">
      <w:pPr>
        <w:pStyle w:val="SingleTxtG"/>
        <w:ind w:left="2268"/>
      </w:pPr>
      <w:r w:rsidRPr="002C5876">
        <w:t>Si U</w:t>
      </w:r>
      <w:r w:rsidRPr="002C5876">
        <w:rPr>
          <w:vertAlign w:val="subscript"/>
        </w:rPr>
        <w:t>dyn</w:t>
      </w:r>
      <w:r w:rsidRPr="002C5876">
        <w:t xml:space="preserve"> est différente pour les essieux avant et arrière, on applique la valeur de n/v pour l’essieu moteur principal. À sa demande, l’autorité compétente se voit fournir les informations nécessaires à ce choix.</w:t>
      </w:r>
    </w:p>
    <w:p w:rsidR="00B83E83" w:rsidRPr="002C5876" w:rsidRDefault="00B83E83" w:rsidP="00E24DB7">
      <w:pPr>
        <w:pStyle w:val="HChG"/>
        <w:keepNext w:val="0"/>
        <w:keepLines w:val="0"/>
        <w:sectPr w:rsidR="00B83E83" w:rsidRPr="002C5876" w:rsidSect="00CE537D">
          <w:headerReference w:type="even" r:id="rId154"/>
          <w:headerReference w:type="default" r:id="rId155"/>
          <w:endnotePr>
            <w:numFmt w:val="decimal"/>
          </w:endnotePr>
          <w:pgSz w:w="11907" w:h="16840" w:code="9"/>
          <w:pgMar w:top="1418" w:right="1134" w:bottom="1134" w:left="1134" w:header="680" w:footer="567" w:gutter="0"/>
          <w:cols w:space="720"/>
          <w:docGrid w:linePitch="272"/>
        </w:sectPr>
      </w:pPr>
    </w:p>
    <w:p w:rsidR="00E24DB7" w:rsidRPr="002C5876" w:rsidRDefault="00E24DB7" w:rsidP="00E24DB7">
      <w:pPr>
        <w:pStyle w:val="HChG"/>
        <w:keepNext w:val="0"/>
        <w:keepLines w:val="0"/>
      </w:pPr>
      <w:r w:rsidRPr="002C5876">
        <w:lastRenderedPageBreak/>
        <w:t>Annexe 8</w:t>
      </w:r>
    </w:p>
    <w:p w:rsidR="00E24DB7" w:rsidRPr="002C5876" w:rsidRDefault="00E24DB7" w:rsidP="00E24DB7">
      <w:pPr>
        <w:pStyle w:val="HChG"/>
      </w:pPr>
      <w:r w:rsidRPr="002C5876">
        <w:tab/>
      </w:r>
      <w:r w:rsidRPr="002C5876">
        <w:tab/>
        <w:t xml:space="preserve">Véhicules électriques purs, véhicules hybrides </w:t>
      </w:r>
      <w:r w:rsidRPr="002C5876">
        <w:br/>
        <w:t xml:space="preserve">et véhicules hybrides à pile à combustible </w:t>
      </w:r>
      <w:r w:rsidRPr="002C5876">
        <w:br/>
        <w:t>à hydrogène comprimé</w:t>
      </w:r>
    </w:p>
    <w:p w:rsidR="00E24DB7" w:rsidRPr="002C5876" w:rsidRDefault="00E24DB7" w:rsidP="00E24DB7">
      <w:pPr>
        <w:pStyle w:val="SingleTxtG"/>
        <w:keepNext/>
        <w:ind w:left="2268" w:hanging="1134"/>
        <w:jc w:val="left"/>
      </w:pPr>
      <w:r w:rsidRPr="002C5876">
        <w:t>1.</w:t>
      </w:r>
      <w:r w:rsidRPr="002C5876">
        <w:tab/>
        <w:t>Prescriptions générales</w:t>
      </w:r>
    </w:p>
    <w:p w:rsidR="00E24DB7" w:rsidRPr="002C5876" w:rsidRDefault="00E24DB7" w:rsidP="00E24DB7">
      <w:pPr>
        <w:pStyle w:val="SingleTxtG"/>
        <w:ind w:left="2268"/>
        <w:rPr>
          <w:bCs/>
        </w:rPr>
      </w:pPr>
      <w:r w:rsidRPr="002C5876">
        <w:rPr>
          <w:bCs/>
        </w:rPr>
        <w:t>Dans le cas d’essais sur des véhicules VHE-NRE, VHE-RE et VHPC-NRE, l’appendice 2 et l’appendice 3 de la présente annexe remplacent l’appendice 2 de l’annexe 6.</w:t>
      </w:r>
    </w:p>
    <w:p w:rsidR="00E24DB7" w:rsidRPr="002C5876" w:rsidRDefault="00E24DB7" w:rsidP="00E24DB7">
      <w:pPr>
        <w:pStyle w:val="SingleTxtG"/>
        <w:ind w:left="2268"/>
        <w:rPr>
          <w:bCs/>
        </w:rPr>
      </w:pPr>
      <w:r w:rsidRPr="002C5876">
        <w:t xml:space="preserve">Sauf autre mention, toutes les dispositions de la présente annexe s’appliquent aux véhicules avec et sans mode sélectionnable par le conducteur. Sauf autre disposition explicite figurant dans la présente annexe, toutes les dispositions et procédures spécifiées dans </w:t>
      </w:r>
      <w:r w:rsidRPr="002C5876">
        <w:rPr>
          <w:bCs/>
        </w:rPr>
        <w:t xml:space="preserve">l’annexe 6 restent </w:t>
      </w:r>
      <w:r w:rsidRPr="002C5876">
        <w:t xml:space="preserve">applicables aux </w:t>
      </w:r>
      <w:r w:rsidRPr="002C5876">
        <w:rPr>
          <w:bCs/>
        </w:rPr>
        <w:t>VHE-NRE, VHE-RE, VHPC-NRE</w:t>
      </w:r>
      <w:r w:rsidRPr="002C5876">
        <w:t xml:space="preserve"> et VEP.</w:t>
      </w:r>
    </w:p>
    <w:p w:rsidR="00E24DB7" w:rsidRPr="002C5876" w:rsidRDefault="00E24DB7" w:rsidP="00E24DB7">
      <w:pPr>
        <w:pStyle w:val="SingleTxtG"/>
        <w:keepNext/>
        <w:ind w:left="2268" w:hanging="1134"/>
        <w:jc w:val="left"/>
      </w:pPr>
      <w:r w:rsidRPr="002C5876">
        <w:t>1.1</w:t>
      </w:r>
      <w:r w:rsidRPr="002C5876">
        <w:tab/>
        <w:t>Unités, exactitude et résolution des mesures des paramètres électriques</w:t>
      </w:r>
    </w:p>
    <w:p w:rsidR="00E24DB7" w:rsidRPr="002C5876" w:rsidRDefault="00E24DB7" w:rsidP="00E24DB7">
      <w:pPr>
        <w:pStyle w:val="SingleTxtG"/>
        <w:ind w:left="2268"/>
      </w:pPr>
      <w:r w:rsidRPr="002C5876">
        <w:t>Les unités, les limites d’exactitude et la résolution des mesures sont celles définies dans le tableau A8/1.</w:t>
      </w:r>
    </w:p>
    <w:p w:rsidR="00E24DB7" w:rsidRPr="002C5876" w:rsidRDefault="00E24DB7" w:rsidP="00E24DB7">
      <w:pPr>
        <w:pStyle w:val="H23G"/>
      </w:pPr>
      <w:r w:rsidRPr="002C5876">
        <w:rPr>
          <w:b w:val="0"/>
        </w:rPr>
        <w:tab/>
      </w:r>
      <w:r w:rsidRPr="002C5876">
        <w:rPr>
          <w:b w:val="0"/>
        </w:rPr>
        <w:tab/>
        <w:t>Tableau A8/1</w:t>
      </w:r>
      <w:r w:rsidRPr="002C5876">
        <w:br/>
        <w:t>Unités, exactitude et résolution des mesures des paramètres électriques</w:t>
      </w:r>
    </w:p>
    <w:tbl>
      <w:tblPr>
        <w:tblW w:w="851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64"/>
        <w:gridCol w:w="612"/>
        <w:gridCol w:w="4836"/>
        <w:gridCol w:w="1198"/>
      </w:tblGrid>
      <w:tr w:rsidR="00E24DB7" w:rsidRPr="002C5876" w:rsidTr="00E24DB7">
        <w:trPr>
          <w:tblHeader/>
        </w:trPr>
        <w:tc>
          <w:tcPr>
            <w:tcW w:w="1864" w:type="dxa"/>
            <w:tcBorders>
              <w:bottom w:val="single" w:sz="12" w:space="0" w:color="auto"/>
            </w:tcBorders>
            <w:shd w:val="clear" w:color="auto" w:fill="auto"/>
            <w:vAlign w:val="bottom"/>
          </w:tcPr>
          <w:p w:rsidR="00E24DB7" w:rsidRPr="002C5876" w:rsidRDefault="00E24DB7" w:rsidP="00E24DB7">
            <w:pPr>
              <w:spacing w:before="80" w:after="80" w:line="200" w:lineRule="exact"/>
              <w:ind w:left="57" w:right="57"/>
              <w:rPr>
                <w:i/>
                <w:sz w:val="16"/>
                <w:szCs w:val="16"/>
              </w:rPr>
            </w:pPr>
            <w:r w:rsidRPr="002C5876">
              <w:rPr>
                <w:i/>
                <w:sz w:val="16"/>
                <w:szCs w:val="16"/>
              </w:rPr>
              <w:t>Paramètre</w:t>
            </w:r>
          </w:p>
        </w:tc>
        <w:tc>
          <w:tcPr>
            <w:tcW w:w="612" w:type="dxa"/>
            <w:tcBorders>
              <w:bottom w:val="single" w:sz="12" w:space="0" w:color="auto"/>
            </w:tcBorders>
            <w:shd w:val="clear" w:color="auto" w:fill="auto"/>
            <w:vAlign w:val="bottom"/>
          </w:tcPr>
          <w:p w:rsidR="00E24DB7" w:rsidRPr="002C5876" w:rsidRDefault="00E24DB7" w:rsidP="00E24DB7">
            <w:pPr>
              <w:spacing w:before="80" w:after="80" w:line="200" w:lineRule="exact"/>
              <w:ind w:left="57" w:right="57"/>
              <w:rPr>
                <w:i/>
                <w:sz w:val="16"/>
                <w:szCs w:val="16"/>
              </w:rPr>
            </w:pPr>
            <w:r w:rsidRPr="002C5876">
              <w:rPr>
                <w:i/>
                <w:sz w:val="16"/>
                <w:szCs w:val="16"/>
              </w:rPr>
              <w:t>Unités</w:t>
            </w:r>
          </w:p>
        </w:tc>
        <w:tc>
          <w:tcPr>
            <w:tcW w:w="4836" w:type="dxa"/>
            <w:tcBorders>
              <w:bottom w:val="single" w:sz="12" w:space="0" w:color="auto"/>
            </w:tcBorders>
            <w:shd w:val="clear" w:color="auto" w:fill="auto"/>
            <w:vAlign w:val="bottom"/>
          </w:tcPr>
          <w:p w:rsidR="00E24DB7" w:rsidRPr="002C5876" w:rsidRDefault="00E24DB7" w:rsidP="00E24DB7">
            <w:pPr>
              <w:spacing w:before="80" w:after="80" w:line="200" w:lineRule="exact"/>
              <w:ind w:left="57" w:right="57"/>
              <w:rPr>
                <w:i/>
                <w:sz w:val="16"/>
                <w:szCs w:val="16"/>
              </w:rPr>
            </w:pPr>
            <w:r w:rsidRPr="002C5876">
              <w:rPr>
                <w:i/>
                <w:sz w:val="16"/>
                <w:szCs w:val="16"/>
              </w:rPr>
              <w:t>Exactitude</w:t>
            </w:r>
          </w:p>
        </w:tc>
        <w:tc>
          <w:tcPr>
            <w:tcW w:w="1198" w:type="dxa"/>
            <w:tcBorders>
              <w:bottom w:val="single" w:sz="12" w:space="0" w:color="auto"/>
            </w:tcBorders>
            <w:shd w:val="clear" w:color="auto" w:fill="auto"/>
            <w:vAlign w:val="bottom"/>
          </w:tcPr>
          <w:p w:rsidR="00E24DB7" w:rsidRPr="002C5876" w:rsidRDefault="00E24DB7" w:rsidP="00E24DB7">
            <w:pPr>
              <w:spacing w:before="80" w:after="80" w:line="200" w:lineRule="exact"/>
              <w:ind w:left="57" w:right="57"/>
              <w:rPr>
                <w:i/>
                <w:sz w:val="16"/>
                <w:szCs w:val="16"/>
              </w:rPr>
            </w:pPr>
            <w:r w:rsidRPr="002C5876">
              <w:rPr>
                <w:i/>
                <w:sz w:val="16"/>
                <w:szCs w:val="16"/>
              </w:rPr>
              <w:t>Résolution</w:t>
            </w:r>
          </w:p>
        </w:tc>
      </w:tr>
      <w:tr w:rsidR="00E24DB7" w:rsidRPr="002C5876" w:rsidTr="00E24DB7">
        <w:tc>
          <w:tcPr>
            <w:tcW w:w="1864" w:type="dxa"/>
            <w:tcBorders>
              <w:top w:val="single" w:sz="12" w:space="0" w:color="auto"/>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Énergie électrique</w:t>
            </w:r>
            <w:r w:rsidRPr="002C5876">
              <w:rPr>
                <w:i/>
                <w:sz w:val="18"/>
                <w:szCs w:val="18"/>
                <w:vertAlign w:val="superscript"/>
              </w:rPr>
              <w:t>1</w:t>
            </w:r>
            <w:r w:rsidRPr="002C5876">
              <w:rPr>
                <w:i/>
                <w:sz w:val="18"/>
                <w:szCs w:val="18"/>
              </w:rPr>
              <w:t xml:space="preserve"> </w:t>
            </w:r>
          </w:p>
        </w:tc>
        <w:tc>
          <w:tcPr>
            <w:tcW w:w="612" w:type="dxa"/>
            <w:tcBorders>
              <w:top w:val="single" w:sz="12" w:space="0" w:color="auto"/>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Wh</w:t>
            </w:r>
          </w:p>
        </w:tc>
        <w:tc>
          <w:tcPr>
            <w:tcW w:w="4836" w:type="dxa"/>
            <w:tcBorders>
              <w:top w:val="single" w:sz="12" w:space="0" w:color="auto"/>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sym w:font="Symbol" w:char="F0B1"/>
            </w:r>
            <w:r w:rsidRPr="002C5876">
              <w:rPr>
                <w:sz w:val="18"/>
                <w:szCs w:val="18"/>
              </w:rPr>
              <w:t>1 %</w:t>
            </w:r>
          </w:p>
        </w:tc>
        <w:tc>
          <w:tcPr>
            <w:tcW w:w="1198" w:type="dxa"/>
            <w:tcBorders>
              <w:top w:val="single" w:sz="12" w:space="0" w:color="auto"/>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0,001 kWh</w:t>
            </w:r>
            <w:r w:rsidRPr="002C5876">
              <w:rPr>
                <w:i/>
                <w:sz w:val="18"/>
                <w:szCs w:val="18"/>
                <w:vertAlign w:val="superscript"/>
              </w:rPr>
              <w:t>2</w:t>
            </w:r>
            <w:r w:rsidRPr="002C5876">
              <w:rPr>
                <w:i/>
                <w:sz w:val="18"/>
                <w:szCs w:val="18"/>
              </w:rPr>
              <w:t xml:space="preserve"> </w:t>
            </w:r>
          </w:p>
        </w:tc>
      </w:tr>
      <w:tr w:rsidR="00E24DB7" w:rsidRPr="002C5876" w:rsidTr="00E24DB7">
        <w:tc>
          <w:tcPr>
            <w:tcW w:w="1864" w:type="dxa"/>
            <w:tcBorders>
              <w:bottom w:val="single" w:sz="4" w:space="0" w:color="auto"/>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Intensité</w:t>
            </w:r>
          </w:p>
        </w:tc>
        <w:tc>
          <w:tcPr>
            <w:tcW w:w="612" w:type="dxa"/>
            <w:tcBorders>
              <w:bottom w:val="single" w:sz="4" w:space="0" w:color="auto"/>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A</w:t>
            </w:r>
          </w:p>
        </w:tc>
        <w:tc>
          <w:tcPr>
            <w:tcW w:w="4836" w:type="dxa"/>
            <w:tcBorders>
              <w:bottom w:val="single" w:sz="4" w:space="0" w:color="auto"/>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sym w:font="Symbol" w:char="F0B1"/>
            </w:r>
            <w:r w:rsidRPr="002C5876">
              <w:rPr>
                <w:sz w:val="18"/>
                <w:szCs w:val="18"/>
              </w:rPr>
              <w:t xml:space="preserve">0,3 % de la pleine échelle ou </w:t>
            </w:r>
            <w:r w:rsidRPr="002C5876">
              <w:rPr>
                <w:sz w:val="18"/>
                <w:szCs w:val="18"/>
              </w:rPr>
              <w:sym w:font="Symbol" w:char="F0B1"/>
            </w:r>
            <w:r w:rsidRPr="002C5876">
              <w:rPr>
                <w:sz w:val="18"/>
                <w:szCs w:val="18"/>
              </w:rPr>
              <w:t>1 % de la valeur indiquée</w:t>
            </w:r>
            <w:r w:rsidRPr="002C5876">
              <w:rPr>
                <w:i/>
                <w:sz w:val="18"/>
                <w:szCs w:val="18"/>
                <w:vertAlign w:val="superscript"/>
              </w:rPr>
              <w:t>3,4</w:t>
            </w:r>
            <w:r w:rsidRPr="002C5876">
              <w:rPr>
                <w:i/>
                <w:sz w:val="18"/>
                <w:szCs w:val="18"/>
              </w:rPr>
              <w:t xml:space="preserve"> </w:t>
            </w:r>
          </w:p>
        </w:tc>
        <w:tc>
          <w:tcPr>
            <w:tcW w:w="1198" w:type="dxa"/>
            <w:tcBorders>
              <w:bottom w:val="single" w:sz="4" w:space="0" w:color="auto"/>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0,1 A</w:t>
            </w:r>
          </w:p>
        </w:tc>
      </w:tr>
      <w:tr w:rsidR="00E24DB7" w:rsidRPr="002C5876" w:rsidTr="00E24DB7">
        <w:tc>
          <w:tcPr>
            <w:tcW w:w="1864" w:type="dxa"/>
            <w:tcBorders>
              <w:bottom w:val="single" w:sz="12" w:space="0" w:color="auto"/>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Tension électrique</w:t>
            </w:r>
          </w:p>
        </w:tc>
        <w:tc>
          <w:tcPr>
            <w:tcW w:w="612" w:type="dxa"/>
            <w:tcBorders>
              <w:bottom w:val="single" w:sz="12" w:space="0" w:color="auto"/>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V</w:t>
            </w:r>
          </w:p>
        </w:tc>
        <w:tc>
          <w:tcPr>
            <w:tcW w:w="4836" w:type="dxa"/>
            <w:tcBorders>
              <w:bottom w:val="single" w:sz="12" w:space="0" w:color="auto"/>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sym w:font="Symbol" w:char="F0B1"/>
            </w:r>
            <w:r w:rsidRPr="002C5876">
              <w:rPr>
                <w:sz w:val="18"/>
                <w:szCs w:val="18"/>
              </w:rPr>
              <w:t xml:space="preserve">0,3 % de la pleine échelle ou </w:t>
            </w:r>
            <w:r w:rsidRPr="002C5876">
              <w:rPr>
                <w:sz w:val="18"/>
                <w:szCs w:val="18"/>
              </w:rPr>
              <w:sym w:font="Symbol" w:char="F0B1"/>
            </w:r>
            <w:r w:rsidRPr="002C5876">
              <w:rPr>
                <w:sz w:val="18"/>
                <w:szCs w:val="18"/>
              </w:rPr>
              <w:t>1 % de la valeur indiquée</w:t>
            </w:r>
            <w:r w:rsidRPr="002C5876">
              <w:rPr>
                <w:i/>
                <w:sz w:val="18"/>
                <w:szCs w:val="18"/>
                <w:vertAlign w:val="superscript"/>
              </w:rPr>
              <w:t>3</w:t>
            </w:r>
          </w:p>
        </w:tc>
        <w:tc>
          <w:tcPr>
            <w:tcW w:w="1198" w:type="dxa"/>
            <w:tcBorders>
              <w:bottom w:val="single" w:sz="12" w:space="0" w:color="auto"/>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0,1 V</w:t>
            </w:r>
          </w:p>
        </w:tc>
      </w:tr>
    </w:tbl>
    <w:p w:rsidR="00E24DB7" w:rsidRPr="002C5876" w:rsidRDefault="00E24DB7" w:rsidP="00E24DB7">
      <w:pPr>
        <w:spacing w:before="120"/>
        <w:ind w:left="1134" w:firstLine="170"/>
        <w:rPr>
          <w:sz w:val="18"/>
          <w:szCs w:val="18"/>
        </w:rPr>
      </w:pPr>
      <w:r w:rsidRPr="002C5876">
        <w:rPr>
          <w:i/>
          <w:sz w:val="18"/>
          <w:szCs w:val="18"/>
          <w:vertAlign w:val="superscript"/>
        </w:rPr>
        <w:t>1</w:t>
      </w:r>
      <w:r w:rsidRPr="002C5876">
        <w:rPr>
          <w:i/>
          <w:sz w:val="18"/>
          <w:szCs w:val="18"/>
        </w:rPr>
        <w:t xml:space="preserve">  </w:t>
      </w:r>
      <w:r w:rsidRPr="002C5876">
        <w:rPr>
          <w:sz w:val="18"/>
          <w:szCs w:val="18"/>
        </w:rPr>
        <w:t>Matériel : compteur statique pour l’énergie active.</w:t>
      </w:r>
    </w:p>
    <w:p w:rsidR="00E24DB7" w:rsidRPr="002C5876" w:rsidRDefault="00E24DB7" w:rsidP="00E24DB7">
      <w:pPr>
        <w:ind w:left="1134" w:firstLine="170"/>
        <w:rPr>
          <w:sz w:val="18"/>
          <w:szCs w:val="18"/>
        </w:rPr>
      </w:pPr>
      <w:r w:rsidRPr="002C5876">
        <w:rPr>
          <w:i/>
          <w:sz w:val="18"/>
          <w:szCs w:val="18"/>
          <w:vertAlign w:val="superscript"/>
        </w:rPr>
        <w:t>2</w:t>
      </w:r>
      <w:r w:rsidRPr="002C5876">
        <w:rPr>
          <w:i/>
          <w:sz w:val="18"/>
          <w:szCs w:val="18"/>
        </w:rPr>
        <w:t xml:space="preserve">  </w:t>
      </w:r>
      <w:r w:rsidRPr="002C5876">
        <w:rPr>
          <w:sz w:val="18"/>
          <w:szCs w:val="18"/>
        </w:rPr>
        <w:t>Watt-heure mètre CA, classe 1 selon la CEI 62053-21 ou équivalent.</w:t>
      </w:r>
    </w:p>
    <w:p w:rsidR="00E24DB7" w:rsidRPr="002C5876" w:rsidRDefault="00E24DB7" w:rsidP="00E24DB7">
      <w:pPr>
        <w:ind w:left="1134" w:firstLine="170"/>
        <w:rPr>
          <w:sz w:val="18"/>
          <w:szCs w:val="18"/>
        </w:rPr>
      </w:pPr>
      <w:r w:rsidRPr="002C5876">
        <w:rPr>
          <w:i/>
          <w:sz w:val="18"/>
          <w:szCs w:val="18"/>
          <w:vertAlign w:val="superscript"/>
        </w:rPr>
        <w:t>3</w:t>
      </w:r>
      <w:r w:rsidRPr="002C5876">
        <w:rPr>
          <w:i/>
          <w:sz w:val="18"/>
          <w:szCs w:val="18"/>
        </w:rPr>
        <w:t xml:space="preserve">  </w:t>
      </w:r>
      <w:r w:rsidRPr="002C5876">
        <w:rPr>
          <w:sz w:val="18"/>
          <w:szCs w:val="18"/>
        </w:rPr>
        <w:t>La plus grande des deux valeurs est retenue.</w:t>
      </w:r>
    </w:p>
    <w:p w:rsidR="00E24DB7" w:rsidRPr="002C5876" w:rsidRDefault="00E24DB7" w:rsidP="00E24DB7">
      <w:pPr>
        <w:spacing w:after="240"/>
        <w:ind w:left="1134" w:firstLine="170"/>
        <w:rPr>
          <w:sz w:val="18"/>
          <w:szCs w:val="18"/>
        </w:rPr>
      </w:pPr>
      <w:r w:rsidRPr="002C5876">
        <w:rPr>
          <w:i/>
          <w:sz w:val="18"/>
          <w:szCs w:val="18"/>
          <w:vertAlign w:val="superscript"/>
        </w:rPr>
        <w:t>4</w:t>
      </w:r>
      <w:r w:rsidRPr="002C5876">
        <w:rPr>
          <w:sz w:val="18"/>
          <w:szCs w:val="18"/>
        </w:rPr>
        <w:t xml:space="preserve">  Intégration de l’intensité à une fréquence de 20 Hz ou plus.</w:t>
      </w:r>
    </w:p>
    <w:p w:rsidR="00E24DB7" w:rsidRPr="002C5876" w:rsidRDefault="00E24DB7" w:rsidP="00E24DB7">
      <w:pPr>
        <w:pStyle w:val="SingleTxtG"/>
        <w:keepNext/>
        <w:spacing w:before="240"/>
        <w:ind w:left="2268" w:hanging="1134"/>
        <w:jc w:val="left"/>
      </w:pPr>
      <w:r w:rsidRPr="002C5876">
        <w:t>1.2</w:t>
      </w:r>
      <w:r w:rsidRPr="002C5876">
        <w:tab/>
        <w:t>Essai de mesure des émissions et de la consommation de carburant</w:t>
      </w:r>
    </w:p>
    <w:p w:rsidR="00E24DB7" w:rsidRPr="002C5876" w:rsidRDefault="00E24DB7" w:rsidP="00E24DB7">
      <w:pPr>
        <w:pStyle w:val="SingleTxtG"/>
        <w:ind w:left="2268"/>
      </w:pPr>
      <w:r w:rsidRPr="002C5876">
        <w:t>Les paramètres, unités et limites d’exactitude des mesures sont les mêmes que ceux requis pour les véhicules non hybrides équipés uniquement d’un moteur à combustion interne.</w:t>
      </w:r>
    </w:p>
    <w:p w:rsidR="00E24DB7" w:rsidRPr="002C5876" w:rsidRDefault="00E24DB7" w:rsidP="00E24DB7">
      <w:pPr>
        <w:pStyle w:val="SingleTxtG"/>
        <w:keepNext/>
        <w:ind w:left="2268" w:hanging="1134"/>
        <w:jc w:val="left"/>
      </w:pPr>
      <w:r w:rsidRPr="002C5876">
        <w:t>1.3</w:t>
      </w:r>
      <w:r w:rsidRPr="002C5876">
        <w:tab/>
        <w:t xml:space="preserve">Unités de mesure et précision des résultats finals de l’essai </w:t>
      </w:r>
    </w:p>
    <w:p w:rsidR="00E24DB7" w:rsidRPr="002C5876" w:rsidRDefault="00E24DB7" w:rsidP="00E24DB7">
      <w:pPr>
        <w:pStyle w:val="SingleTxtG"/>
        <w:ind w:left="2268"/>
      </w:pPr>
      <w:r w:rsidRPr="002C5876">
        <w:t xml:space="preserve">Les unités et leurs valeurs de précision pour la </w:t>
      </w:r>
      <w:r w:rsidRPr="002C5876">
        <w:rPr>
          <w:szCs w:val="24"/>
        </w:rPr>
        <w:t xml:space="preserve">communication </w:t>
      </w:r>
      <w:r w:rsidRPr="002C5876">
        <w:t xml:space="preserve">des résultats doivent être conformes aux indications figurant dans le tableau A8/2. </w:t>
      </w:r>
      <w:r w:rsidRPr="002C5876">
        <w:rPr>
          <w:szCs w:val="24"/>
        </w:rPr>
        <w:t xml:space="preserve">Aux fins des calculs du paragraphe 4 de </w:t>
      </w:r>
      <w:r w:rsidRPr="002C5876">
        <w:rPr>
          <w:bCs/>
        </w:rPr>
        <w:t>la présente annexe</w:t>
      </w:r>
      <w:r w:rsidRPr="002C5876">
        <w:rPr>
          <w:szCs w:val="24"/>
        </w:rPr>
        <w:t>, leurs valeurs non arrondies doivent être utilisées.</w:t>
      </w:r>
    </w:p>
    <w:p w:rsidR="00E24DB7" w:rsidRPr="002C5876" w:rsidRDefault="00E24DB7" w:rsidP="00E24DB7">
      <w:pPr>
        <w:pStyle w:val="H23G"/>
        <w:ind w:left="0" w:firstLine="0"/>
      </w:pPr>
      <w:r w:rsidRPr="002C5876">
        <w:rPr>
          <w:b w:val="0"/>
        </w:rPr>
        <w:br w:type="page"/>
      </w:r>
      <w:r w:rsidRPr="002C5876">
        <w:rPr>
          <w:b w:val="0"/>
        </w:rPr>
        <w:lastRenderedPageBreak/>
        <w:t>Tableau A8/2</w:t>
      </w:r>
      <w:r w:rsidRPr="002C5876">
        <w:br/>
        <w:t>Unités de mesure et précision des résultats finals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8"/>
        <w:gridCol w:w="1139"/>
        <w:gridCol w:w="3822"/>
      </w:tblGrid>
      <w:tr w:rsidR="00E24DB7" w:rsidRPr="002C5876" w:rsidTr="00E24DB7">
        <w:trPr>
          <w:tblHeader/>
        </w:trPr>
        <w:tc>
          <w:tcPr>
            <w:tcW w:w="4678" w:type="dxa"/>
            <w:tcBorders>
              <w:bottom w:val="single" w:sz="12" w:space="0" w:color="auto"/>
            </w:tcBorders>
            <w:shd w:val="clear" w:color="auto" w:fill="auto"/>
            <w:vAlign w:val="bottom"/>
          </w:tcPr>
          <w:p w:rsidR="00E24DB7" w:rsidRPr="002C5876" w:rsidRDefault="00E24DB7" w:rsidP="00E24DB7">
            <w:pPr>
              <w:pStyle w:val="SingleTxtG"/>
              <w:keepNext/>
              <w:suppressAutoHyphens w:val="0"/>
              <w:spacing w:before="80" w:after="80" w:line="200" w:lineRule="exact"/>
              <w:ind w:left="57" w:right="57"/>
              <w:jc w:val="left"/>
              <w:rPr>
                <w:i/>
                <w:sz w:val="16"/>
                <w:szCs w:val="16"/>
              </w:rPr>
            </w:pPr>
            <w:r w:rsidRPr="002C5876">
              <w:rPr>
                <w:i/>
                <w:sz w:val="16"/>
              </w:rPr>
              <w:t>Paramètre</w:t>
            </w:r>
          </w:p>
        </w:tc>
        <w:tc>
          <w:tcPr>
            <w:tcW w:w="1139" w:type="dxa"/>
            <w:tcBorders>
              <w:bottom w:val="single" w:sz="12" w:space="0" w:color="auto"/>
            </w:tcBorders>
            <w:shd w:val="clear" w:color="auto" w:fill="auto"/>
            <w:vAlign w:val="bottom"/>
          </w:tcPr>
          <w:p w:rsidR="00E24DB7" w:rsidRPr="002C5876" w:rsidRDefault="00E24DB7" w:rsidP="00E24DB7">
            <w:pPr>
              <w:pStyle w:val="SingleTxtG"/>
              <w:keepNext/>
              <w:suppressAutoHyphens w:val="0"/>
              <w:spacing w:before="80" w:after="80" w:line="200" w:lineRule="exact"/>
              <w:ind w:left="57" w:right="57"/>
              <w:jc w:val="left"/>
              <w:rPr>
                <w:i/>
                <w:sz w:val="16"/>
                <w:szCs w:val="16"/>
              </w:rPr>
            </w:pPr>
            <w:r w:rsidRPr="002C5876">
              <w:rPr>
                <w:i/>
                <w:sz w:val="16"/>
              </w:rPr>
              <w:t>Unités</w:t>
            </w:r>
          </w:p>
        </w:tc>
        <w:tc>
          <w:tcPr>
            <w:tcW w:w="3822" w:type="dxa"/>
            <w:tcBorders>
              <w:bottom w:val="single" w:sz="12" w:space="0" w:color="auto"/>
            </w:tcBorders>
            <w:shd w:val="clear" w:color="auto" w:fill="auto"/>
            <w:vAlign w:val="bottom"/>
          </w:tcPr>
          <w:p w:rsidR="00E24DB7" w:rsidRPr="002C5876" w:rsidRDefault="00E24DB7" w:rsidP="00E24DB7">
            <w:pPr>
              <w:pStyle w:val="SingleTxtG"/>
              <w:keepNext/>
              <w:suppressAutoHyphens w:val="0"/>
              <w:spacing w:before="80" w:after="80" w:line="200" w:lineRule="exact"/>
              <w:ind w:left="57" w:right="57"/>
              <w:jc w:val="left"/>
              <w:rPr>
                <w:i/>
                <w:sz w:val="16"/>
                <w:szCs w:val="16"/>
              </w:rPr>
            </w:pPr>
            <w:r w:rsidRPr="002C5876">
              <w:rPr>
                <w:i/>
                <w:sz w:val="16"/>
              </w:rPr>
              <w:t>Précision des résultats de l’essai</w:t>
            </w:r>
          </w:p>
        </w:tc>
      </w:tr>
      <w:tr w:rsidR="00E24DB7" w:rsidRPr="002C5876" w:rsidTr="00E24DB7">
        <w:tc>
          <w:tcPr>
            <w:tcW w:w="4678" w:type="dxa"/>
            <w:tcBorders>
              <w:top w:val="single" w:sz="12" w:space="0" w:color="auto"/>
            </w:tcBorders>
            <w:shd w:val="clear" w:color="auto" w:fill="auto"/>
          </w:tcPr>
          <w:p w:rsidR="00E24DB7" w:rsidRPr="00D53F39" w:rsidRDefault="00E24DB7" w:rsidP="00E24DB7">
            <w:pPr>
              <w:pStyle w:val="SingleTxtG"/>
              <w:keepNext/>
              <w:suppressAutoHyphens w:val="0"/>
              <w:spacing w:before="60" w:after="60" w:line="220" w:lineRule="atLeast"/>
              <w:ind w:left="57" w:right="57"/>
              <w:jc w:val="left"/>
              <w:rPr>
                <w:sz w:val="18"/>
                <w:szCs w:val="18"/>
                <w:lang w:val="en-US"/>
              </w:rPr>
            </w:pPr>
            <w:r w:rsidRPr="00D53F39">
              <w:rPr>
                <w:sz w:val="18"/>
                <w:szCs w:val="18"/>
                <w:lang w:val="en-US"/>
              </w:rPr>
              <w:t>PER</w:t>
            </w:r>
            <w:r w:rsidRPr="00D53F39">
              <w:rPr>
                <w:sz w:val="18"/>
                <w:szCs w:val="18"/>
                <w:vertAlign w:val="subscript"/>
                <w:lang w:val="en-US"/>
              </w:rPr>
              <w:t>(p)</w:t>
            </w:r>
            <w:r w:rsidRPr="00D53F39">
              <w:rPr>
                <w:i/>
                <w:sz w:val="18"/>
                <w:szCs w:val="18"/>
                <w:vertAlign w:val="superscript"/>
                <w:lang w:val="en-US"/>
              </w:rPr>
              <w:t>2</w:t>
            </w:r>
            <w:r w:rsidRPr="00D53F39">
              <w:rPr>
                <w:sz w:val="18"/>
                <w:szCs w:val="18"/>
                <w:lang w:val="en-US"/>
              </w:rPr>
              <w:t>, PER</w:t>
            </w:r>
            <w:r w:rsidRPr="00D53F39">
              <w:rPr>
                <w:sz w:val="18"/>
                <w:szCs w:val="18"/>
                <w:vertAlign w:val="subscript"/>
                <w:lang w:val="en-US"/>
              </w:rPr>
              <w:t>city</w:t>
            </w:r>
            <w:r w:rsidRPr="00D53F39">
              <w:rPr>
                <w:sz w:val="18"/>
                <w:szCs w:val="18"/>
                <w:lang w:val="en-US"/>
              </w:rPr>
              <w:t>, AER</w:t>
            </w:r>
            <w:r w:rsidRPr="00D53F39">
              <w:rPr>
                <w:sz w:val="18"/>
                <w:szCs w:val="18"/>
                <w:vertAlign w:val="subscript"/>
                <w:lang w:val="en-US"/>
              </w:rPr>
              <w:t>(p)</w:t>
            </w:r>
            <w:r w:rsidRPr="00D53F39">
              <w:rPr>
                <w:i/>
                <w:sz w:val="18"/>
                <w:szCs w:val="18"/>
                <w:vertAlign w:val="superscript"/>
                <w:lang w:val="en-US"/>
              </w:rPr>
              <w:t>2</w:t>
            </w:r>
            <w:r w:rsidRPr="00D53F39">
              <w:rPr>
                <w:sz w:val="18"/>
                <w:szCs w:val="18"/>
                <w:lang w:val="en-US"/>
              </w:rPr>
              <w:t>, AER</w:t>
            </w:r>
            <w:r w:rsidRPr="00D53F39">
              <w:rPr>
                <w:sz w:val="18"/>
                <w:szCs w:val="18"/>
                <w:vertAlign w:val="subscript"/>
                <w:lang w:val="en-US"/>
              </w:rPr>
              <w:t>city</w:t>
            </w:r>
            <w:r w:rsidRPr="00D53F39">
              <w:rPr>
                <w:sz w:val="18"/>
                <w:szCs w:val="18"/>
                <w:lang w:val="en-US"/>
              </w:rPr>
              <w:t>, EAER</w:t>
            </w:r>
            <w:r w:rsidRPr="00D53F39">
              <w:rPr>
                <w:sz w:val="18"/>
                <w:szCs w:val="18"/>
                <w:vertAlign w:val="subscript"/>
                <w:lang w:val="en-US"/>
              </w:rPr>
              <w:t>(p)</w:t>
            </w:r>
            <w:r w:rsidRPr="00D53F39">
              <w:rPr>
                <w:i/>
                <w:sz w:val="18"/>
                <w:szCs w:val="18"/>
                <w:vertAlign w:val="superscript"/>
                <w:lang w:val="en-US"/>
              </w:rPr>
              <w:t>2</w:t>
            </w:r>
            <w:r w:rsidRPr="00D53F39">
              <w:rPr>
                <w:sz w:val="18"/>
                <w:szCs w:val="18"/>
                <w:lang w:val="en-US"/>
              </w:rPr>
              <w:t>, EAER</w:t>
            </w:r>
            <w:r w:rsidRPr="00D53F39">
              <w:rPr>
                <w:sz w:val="18"/>
                <w:szCs w:val="18"/>
                <w:vertAlign w:val="subscript"/>
                <w:lang w:val="en-US"/>
              </w:rPr>
              <w:t>city</w:t>
            </w:r>
            <w:r w:rsidRPr="00D53F39">
              <w:rPr>
                <w:sz w:val="18"/>
                <w:szCs w:val="18"/>
                <w:lang w:val="en-US"/>
              </w:rPr>
              <w:t>, R</w:t>
            </w:r>
            <w:r w:rsidRPr="00D53F39">
              <w:rPr>
                <w:sz w:val="18"/>
                <w:szCs w:val="18"/>
                <w:vertAlign w:val="subscript"/>
                <w:lang w:val="en-US"/>
              </w:rPr>
              <w:t>CDA</w:t>
            </w:r>
            <w:r w:rsidRPr="00D53F39">
              <w:rPr>
                <w:i/>
                <w:sz w:val="18"/>
                <w:szCs w:val="18"/>
                <w:vertAlign w:val="superscript"/>
                <w:lang w:val="en-US"/>
              </w:rPr>
              <w:t>1</w:t>
            </w:r>
            <w:r w:rsidRPr="00D53F39">
              <w:rPr>
                <w:sz w:val="18"/>
                <w:szCs w:val="18"/>
                <w:lang w:val="en-US"/>
              </w:rPr>
              <w:t>, R</w:t>
            </w:r>
            <w:r w:rsidRPr="00D53F39">
              <w:rPr>
                <w:sz w:val="18"/>
                <w:szCs w:val="18"/>
                <w:vertAlign w:val="subscript"/>
                <w:lang w:val="en-US"/>
              </w:rPr>
              <w:t>CDC</w:t>
            </w:r>
          </w:p>
        </w:tc>
        <w:tc>
          <w:tcPr>
            <w:tcW w:w="1139" w:type="dxa"/>
            <w:tcBorders>
              <w:top w:val="single" w:sz="12" w:space="0" w:color="auto"/>
            </w:tcBorders>
            <w:shd w:val="clear" w:color="auto" w:fill="auto"/>
          </w:tcPr>
          <w:p w:rsidR="00E24DB7" w:rsidRPr="002C5876" w:rsidRDefault="00E24DB7" w:rsidP="00E24DB7">
            <w:pPr>
              <w:pStyle w:val="SingleTxtG"/>
              <w:keepNext/>
              <w:suppressAutoHyphens w:val="0"/>
              <w:spacing w:before="60" w:after="60" w:line="220" w:lineRule="atLeast"/>
              <w:ind w:left="57" w:right="57"/>
              <w:jc w:val="left"/>
              <w:rPr>
                <w:sz w:val="18"/>
                <w:szCs w:val="18"/>
              </w:rPr>
            </w:pPr>
            <w:r w:rsidRPr="002C5876">
              <w:rPr>
                <w:sz w:val="18"/>
                <w:szCs w:val="18"/>
              </w:rPr>
              <w:t>km</w:t>
            </w:r>
          </w:p>
        </w:tc>
        <w:tc>
          <w:tcPr>
            <w:tcW w:w="3822" w:type="dxa"/>
            <w:tcBorders>
              <w:top w:val="single" w:sz="12" w:space="0" w:color="auto"/>
            </w:tcBorders>
            <w:shd w:val="clear" w:color="auto" w:fill="auto"/>
          </w:tcPr>
          <w:p w:rsidR="00E24DB7" w:rsidRPr="002C5876" w:rsidRDefault="00E24DB7" w:rsidP="00E24DB7">
            <w:pPr>
              <w:pStyle w:val="SingleTxtG"/>
              <w:keepNext/>
              <w:suppressAutoHyphens w:val="0"/>
              <w:spacing w:before="60" w:after="60" w:line="220" w:lineRule="atLeast"/>
              <w:ind w:left="57" w:right="57"/>
              <w:jc w:val="left"/>
              <w:rPr>
                <w:sz w:val="18"/>
                <w:szCs w:val="18"/>
              </w:rPr>
            </w:pPr>
            <w:r w:rsidRPr="002C5876">
              <w:rPr>
                <w:sz w:val="18"/>
                <w:szCs w:val="18"/>
              </w:rPr>
              <w:t>Arrondis au nombre entier le plus proche</w:t>
            </w:r>
          </w:p>
        </w:tc>
      </w:tr>
      <w:tr w:rsidR="00E24DB7" w:rsidRPr="002C5876" w:rsidTr="00E24DB7">
        <w:tc>
          <w:tcPr>
            <w:tcW w:w="4678" w:type="dxa"/>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FC</w:t>
            </w:r>
            <w:r w:rsidRPr="002C5876">
              <w:rPr>
                <w:sz w:val="18"/>
                <w:szCs w:val="18"/>
                <w:vertAlign w:val="subscript"/>
              </w:rPr>
              <w:t>CS(,p)</w:t>
            </w:r>
            <w:r w:rsidRPr="002C5876">
              <w:rPr>
                <w:i/>
                <w:sz w:val="18"/>
                <w:szCs w:val="18"/>
                <w:vertAlign w:val="superscript"/>
              </w:rPr>
              <w:t>2</w:t>
            </w:r>
            <w:r w:rsidRPr="002C5876">
              <w:rPr>
                <w:sz w:val="18"/>
                <w:szCs w:val="18"/>
              </w:rPr>
              <w:t>, FC</w:t>
            </w:r>
            <w:r w:rsidRPr="002C5876">
              <w:rPr>
                <w:sz w:val="18"/>
                <w:szCs w:val="18"/>
                <w:vertAlign w:val="subscript"/>
              </w:rPr>
              <w:t>CD</w:t>
            </w:r>
            <w:r w:rsidRPr="002C5876">
              <w:rPr>
                <w:sz w:val="18"/>
                <w:szCs w:val="18"/>
              </w:rPr>
              <w:t>, FC</w:t>
            </w:r>
            <w:r w:rsidRPr="002C5876">
              <w:rPr>
                <w:sz w:val="18"/>
                <w:szCs w:val="18"/>
                <w:vertAlign w:val="subscript"/>
              </w:rPr>
              <w:t xml:space="preserve">weighted </w:t>
            </w:r>
            <w:r w:rsidRPr="002C5876">
              <w:rPr>
                <w:sz w:val="18"/>
                <w:szCs w:val="18"/>
              </w:rPr>
              <w:t>pour les VHE</w:t>
            </w:r>
          </w:p>
        </w:tc>
        <w:tc>
          <w:tcPr>
            <w:tcW w:w="1139" w:type="dxa"/>
            <w:shd w:val="clear" w:color="auto" w:fill="auto"/>
          </w:tcPr>
          <w:p w:rsidR="00E24DB7" w:rsidRPr="002C5876" w:rsidRDefault="00E24DB7" w:rsidP="00E24DB7">
            <w:pPr>
              <w:pStyle w:val="SingleTxtG"/>
              <w:keepNext/>
              <w:suppressAutoHyphens w:val="0"/>
              <w:spacing w:before="60" w:after="60" w:line="220" w:lineRule="atLeast"/>
              <w:ind w:left="57" w:right="57"/>
              <w:jc w:val="left"/>
              <w:rPr>
                <w:sz w:val="18"/>
                <w:szCs w:val="18"/>
              </w:rPr>
            </w:pPr>
            <w:r w:rsidRPr="002C5876">
              <w:rPr>
                <w:sz w:val="18"/>
                <w:szCs w:val="18"/>
              </w:rPr>
              <w:t>l/100 km</w:t>
            </w:r>
          </w:p>
        </w:tc>
        <w:tc>
          <w:tcPr>
            <w:tcW w:w="3822" w:type="dxa"/>
            <w:shd w:val="clear" w:color="auto" w:fill="auto"/>
          </w:tcPr>
          <w:p w:rsidR="00E24DB7" w:rsidRPr="002C5876" w:rsidRDefault="00E24DB7" w:rsidP="00E24DB7">
            <w:pPr>
              <w:pStyle w:val="SingleTxtG"/>
              <w:keepNext/>
              <w:suppressAutoHyphens w:val="0"/>
              <w:spacing w:before="60" w:after="60" w:line="220" w:lineRule="atLeast"/>
              <w:ind w:left="57" w:right="57"/>
              <w:jc w:val="left"/>
              <w:rPr>
                <w:sz w:val="18"/>
                <w:szCs w:val="18"/>
              </w:rPr>
            </w:pPr>
            <w:r w:rsidRPr="002C5876">
              <w:rPr>
                <w:sz w:val="18"/>
                <w:szCs w:val="18"/>
              </w:rPr>
              <w:t>Arrondis à la première décimale</w:t>
            </w:r>
          </w:p>
        </w:tc>
      </w:tr>
      <w:tr w:rsidR="00E24DB7" w:rsidRPr="002C5876" w:rsidTr="00E24DB7">
        <w:tc>
          <w:tcPr>
            <w:tcW w:w="4678" w:type="dxa"/>
            <w:shd w:val="clear" w:color="auto" w:fill="auto"/>
          </w:tcPr>
          <w:p w:rsidR="00E24DB7" w:rsidRPr="002C5876" w:rsidRDefault="00E24DB7" w:rsidP="00E24DB7">
            <w:pPr>
              <w:pStyle w:val="SingleTxtG"/>
              <w:keepNext/>
              <w:suppressAutoHyphens w:val="0"/>
              <w:spacing w:before="60" w:after="60" w:line="220" w:lineRule="atLeast"/>
              <w:ind w:left="57" w:right="57"/>
              <w:jc w:val="left"/>
              <w:rPr>
                <w:sz w:val="18"/>
                <w:szCs w:val="18"/>
              </w:rPr>
            </w:pPr>
            <w:r w:rsidRPr="002C5876">
              <w:rPr>
                <w:sz w:val="18"/>
                <w:szCs w:val="18"/>
              </w:rPr>
              <w:t>FC</w:t>
            </w:r>
            <w:r w:rsidRPr="002C5876">
              <w:rPr>
                <w:sz w:val="18"/>
                <w:szCs w:val="18"/>
                <w:vertAlign w:val="subscript"/>
              </w:rPr>
              <w:t>CS(,p)</w:t>
            </w:r>
            <w:r w:rsidRPr="002C5876">
              <w:rPr>
                <w:i/>
                <w:sz w:val="18"/>
                <w:szCs w:val="18"/>
                <w:vertAlign w:val="superscript"/>
              </w:rPr>
              <w:t>2</w:t>
            </w:r>
            <w:r w:rsidRPr="002C5876">
              <w:rPr>
                <w:sz w:val="18"/>
                <w:szCs w:val="18"/>
              </w:rPr>
              <w:t xml:space="preserve"> pour les FCHVs</w:t>
            </w:r>
          </w:p>
        </w:tc>
        <w:tc>
          <w:tcPr>
            <w:tcW w:w="1139" w:type="dxa"/>
            <w:shd w:val="clear" w:color="auto" w:fill="auto"/>
          </w:tcPr>
          <w:p w:rsidR="00E24DB7" w:rsidRPr="002C5876" w:rsidRDefault="00E24DB7" w:rsidP="00E24DB7">
            <w:pPr>
              <w:pStyle w:val="SingleTxtG"/>
              <w:keepNext/>
              <w:suppressAutoHyphens w:val="0"/>
              <w:spacing w:before="60" w:after="60" w:line="220" w:lineRule="atLeast"/>
              <w:ind w:left="57" w:right="57"/>
              <w:jc w:val="left"/>
              <w:rPr>
                <w:sz w:val="18"/>
                <w:szCs w:val="18"/>
              </w:rPr>
            </w:pPr>
            <w:r w:rsidRPr="002C5876">
              <w:rPr>
                <w:sz w:val="18"/>
                <w:szCs w:val="18"/>
              </w:rPr>
              <w:t>kg/100 km</w:t>
            </w:r>
          </w:p>
        </w:tc>
        <w:tc>
          <w:tcPr>
            <w:tcW w:w="3822" w:type="dxa"/>
            <w:shd w:val="clear" w:color="auto" w:fill="auto"/>
          </w:tcPr>
          <w:p w:rsidR="00E24DB7" w:rsidRPr="002C5876" w:rsidRDefault="00E24DB7" w:rsidP="00E24DB7">
            <w:pPr>
              <w:pStyle w:val="SingleTxtG"/>
              <w:keepNext/>
              <w:suppressAutoHyphens w:val="0"/>
              <w:spacing w:before="60" w:after="60" w:line="220" w:lineRule="atLeast"/>
              <w:ind w:left="57" w:right="57"/>
              <w:jc w:val="left"/>
              <w:rPr>
                <w:sz w:val="18"/>
                <w:szCs w:val="18"/>
              </w:rPr>
            </w:pPr>
            <w:r w:rsidRPr="002C5876">
              <w:rPr>
                <w:sz w:val="18"/>
                <w:szCs w:val="18"/>
              </w:rPr>
              <w:t>Arrondis à la deuxième décimale</w:t>
            </w:r>
          </w:p>
        </w:tc>
      </w:tr>
      <w:tr w:rsidR="00E24DB7" w:rsidRPr="002C5876" w:rsidTr="00E24DB7">
        <w:tc>
          <w:tcPr>
            <w:tcW w:w="4678" w:type="dxa"/>
            <w:shd w:val="clear" w:color="auto" w:fill="auto"/>
          </w:tcPr>
          <w:p w:rsidR="00E24DB7" w:rsidRPr="00D53F39" w:rsidRDefault="00E24DB7" w:rsidP="00E24DB7">
            <w:pPr>
              <w:pStyle w:val="SingleTxtG"/>
              <w:keepNext/>
              <w:suppressAutoHyphens w:val="0"/>
              <w:spacing w:before="60" w:after="60" w:line="220" w:lineRule="atLeast"/>
              <w:ind w:left="57" w:right="57"/>
              <w:jc w:val="left"/>
              <w:rPr>
                <w:sz w:val="18"/>
                <w:szCs w:val="18"/>
                <w:lang w:val="en-US"/>
              </w:rPr>
            </w:pPr>
            <w:r w:rsidRPr="00D53F39">
              <w:rPr>
                <w:sz w:val="18"/>
                <w:szCs w:val="18"/>
                <w:lang w:val="en-US"/>
              </w:rPr>
              <w:t>M</w:t>
            </w:r>
            <w:r w:rsidRPr="00D53F39">
              <w:rPr>
                <w:sz w:val="18"/>
                <w:szCs w:val="18"/>
                <w:vertAlign w:val="subscript"/>
                <w:lang w:val="en-US"/>
              </w:rPr>
              <w:t>CO2,CS(,p)</w:t>
            </w:r>
            <w:r w:rsidRPr="00D53F39">
              <w:rPr>
                <w:i/>
                <w:sz w:val="18"/>
                <w:szCs w:val="18"/>
                <w:vertAlign w:val="superscript"/>
                <w:lang w:val="en-US"/>
              </w:rPr>
              <w:t>2</w:t>
            </w:r>
            <w:r w:rsidRPr="00D53F39">
              <w:rPr>
                <w:sz w:val="18"/>
                <w:szCs w:val="18"/>
                <w:lang w:val="en-US"/>
              </w:rPr>
              <w:t>, M</w:t>
            </w:r>
            <w:r w:rsidRPr="00D53F39">
              <w:rPr>
                <w:sz w:val="18"/>
                <w:szCs w:val="18"/>
                <w:vertAlign w:val="subscript"/>
                <w:lang w:val="en-US"/>
              </w:rPr>
              <w:t>CO2,CD</w:t>
            </w:r>
            <w:r w:rsidRPr="00D53F39">
              <w:rPr>
                <w:sz w:val="18"/>
                <w:szCs w:val="18"/>
                <w:lang w:val="en-US"/>
              </w:rPr>
              <w:t>, M</w:t>
            </w:r>
            <w:r w:rsidRPr="00D53F39">
              <w:rPr>
                <w:sz w:val="18"/>
                <w:szCs w:val="18"/>
                <w:vertAlign w:val="subscript"/>
                <w:lang w:val="en-US"/>
              </w:rPr>
              <w:t>CO2,weighted</w:t>
            </w:r>
          </w:p>
        </w:tc>
        <w:tc>
          <w:tcPr>
            <w:tcW w:w="1139" w:type="dxa"/>
            <w:shd w:val="clear" w:color="auto" w:fill="auto"/>
          </w:tcPr>
          <w:p w:rsidR="00E24DB7" w:rsidRPr="002C5876" w:rsidRDefault="00E24DB7" w:rsidP="00E24DB7">
            <w:pPr>
              <w:pStyle w:val="SingleTxtG"/>
              <w:keepNext/>
              <w:suppressAutoHyphens w:val="0"/>
              <w:spacing w:before="60" w:after="60" w:line="220" w:lineRule="atLeast"/>
              <w:ind w:left="57" w:right="57"/>
              <w:jc w:val="left"/>
              <w:rPr>
                <w:sz w:val="18"/>
                <w:szCs w:val="18"/>
              </w:rPr>
            </w:pPr>
            <w:r w:rsidRPr="002C5876">
              <w:rPr>
                <w:sz w:val="18"/>
                <w:szCs w:val="18"/>
              </w:rPr>
              <w:t>g/km</w:t>
            </w:r>
          </w:p>
        </w:tc>
        <w:tc>
          <w:tcPr>
            <w:tcW w:w="3822" w:type="dxa"/>
            <w:shd w:val="clear" w:color="auto" w:fill="auto"/>
          </w:tcPr>
          <w:p w:rsidR="00E24DB7" w:rsidRPr="002C5876" w:rsidRDefault="00E24DB7" w:rsidP="00E24DB7">
            <w:pPr>
              <w:pStyle w:val="SingleTxtG"/>
              <w:keepNext/>
              <w:suppressAutoHyphens w:val="0"/>
              <w:spacing w:before="60" w:after="60" w:line="220" w:lineRule="atLeast"/>
              <w:ind w:left="57" w:right="57"/>
              <w:jc w:val="left"/>
              <w:rPr>
                <w:sz w:val="18"/>
                <w:szCs w:val="18"/>
              </w:rPr>
            </w:pPr>
            <w:r w:rsidRPr="002C5876">
              <w:rPr>
                <w:sz w:val="18"/>
                <w:szCs w:val="18"/>
              </w:rPr>
              <w:t>Arrondis au nombre entier le plus proche</w:t>
            </w:r>
          </w:p>
        </w:tc>
      </w:tr>
      <w:tr w:rsidR="00E24DB7" w:rsidRPr="002C5876" w:rsidTr="00E24DB7">
        <w:tc>
          <w:tcPr>
            <w:tcW w:w="4678" w:type="dxa"/>
            <w:tcBorders>
              <w:bottom w:val="single" w:sz="4" w:space="0" w:color="auto"/>
            </w:tcBorders>
            <w:shd w:val="clear" w:color="auto" w:fill="auto"/>
          </w:tcPr>
          <w:p w:rsidR="00E24DB7" w:rsidRPr="00D53F39" w:rsidRDefault="00E24DB7" w:rsidP="00E24DB7">
            <w:pPr>
              <w:pStyle w:val="SingleTxtG"/>
              <w:keepNext/>
              <w:suppressAutoHyphens w:val="0"/>
              <w:spacing w:before="60" w:after="60" w:line="220" w:lineRule="atLeast"/>
              <w:ind w:left="57" w:right="57"/>
              <w:jc w:val="left"/>
              <w:rPr>
                <w:sz w:val="18"/>
                <w:szCs w:val="18"/>
                <w:lang w:val="en-US"/>
              </w:rPr>
            </w:pPr>
            <w:r w:rsidRPr="00D53F39">
              <w:rPr>
                <w:sz w:val="18"/>
                <w:szCs w:val="18"/>
                <w:lang w:val="en-US"/>
              </w:rPr>
              <w:t>EC</w:t>
            </w:r>
            <w:r w:rsidRPr="00D53F39">
              <w:rPr>
                <w:sz w:val="18"/>
                <w:szCs w:val="18"/>
                <w:vertAlign w:val="subscript"/>
                <w:lang w:val="en-US"/>
              </w:rPr>
              <w:t>(p)</w:t>
            </w:r>
            <w:r w:rsidRPr="00D53F39">
              <w:rPr>
                <w:i/>
                <w:sz w:val="18"/>
                <w:szCs w:val="18"/>
                <w:vertAlign w:val="superscript"/>
                <w:lang w:val="en-US"/>
              </w:rPr>
              <w:t>2</w:t>
            </w:r>
            <w:r w:rsidRPr="00D53F39">
              <w:rPr>
                <w:sz w:val="18"/>
                <w:szCs w:val="18"/>
                <w:lang w:val="en-US"/>
              </w:rPr>
              <w:t>, EC</w:t>
            </w:r>
            <w:r w:rsidRPr="00D53F39">
              <w:rPr>
                <w:sz w:val="18"/>
                <w:szCs w:val="18"/>
                <w:vertAlign w:val="subscript"/>
                <w:lang w:val="en-US"/>
              </w:rPr>
              <w:t>city</w:t>
            </w:r>
            <w:r w:rsidRPr="00D53F39">
              <w:rPr>
                <w:sz w:val="18"/>
                <w:szCs w:val="18"/>
                <w:lang w:val="en-US"/>
              </w:rPr>
              <w:t>, EC</w:t>
            </w:r>
            <w:r w:rsidRPr="00D53F39">
              <w:rPr>
                <w:sz w:val="18"/>
                <w:szCs w:val="18"/>
                <w:vertAlign w:val="subscript"/>
                <w:lang w:val="en-US"/>
              </w:rPr>
              <w:t>AC,CD</w:t>
            </w:r>
            <w:r w:rsidRPr="00D53F39">
              <w:rPr>
                <w:sz w:val="18"/>
                <w:szCs w:val="18"/>
                <w:lang w:val="en-US"/>
              </w:rPr>
              <w:t>, EC</w:t>
            </w:r>
            <w:r w:rsidRPr="00D53F39">
              <w:rPr>
                <w:sz w:val="18"/>
                <w:szCs w:val="18"/>
                <w:vertAlign w:val="subscript"/>
                <w:lang w:val="en-US"/>
              </w:rPr>
              <w:t>AC,weighted</w:t>
            </w:r>
          </w:p>
        </w:tc>
        <w:tc>
          <w:tcPr>
            <w:tcW w:w="1139" w:type="dxa"/>
            <w:tcBorders>
              <w:bottom w:val="single" w:sz="4" w:space="0" w:color="auto"/>
            </w:tcBorders>
            <w:shd w:val="clear" w:color="auto" w:fill="auto"/>
          </w:tcPr>
          <w:p w:rsidR="00E24DB7" w:rsidRPr="002C5876" w:rsidRDefault="00E24DB7" w:rsidP="00E24DB7">
            <w:pPr>
              <w:pStyle w:val="SingleTxtG"/>
              <w:keepNext/>
              <w:suppressAutoHyphens w:val="0"/>
              <w:spacing w:before="60" w:after="60" w:line="220" w:lineRule="atLeast"/>
              <w:ind w:left="57" w:right="57"/>
              <w:jc w:val="left"/>
              <w:rPr>
                <w:sz w:val="18"/>
                <w:szCs w:val="18"/>
              </w:rPr>
            </w:pPr>
            <w:r w:rsidRPr="002C5876">
              <w:rPr>
                <w:sz w:val="18"/>
                <w:szCs w:val="18"/>
              </w:rPr>
              <w:t>Wh/km</w:t>
            </w:r>
          </w:p>
        </w:tc>
        <w:tc>
          <w:tcPr>
            <w:tcW w:w="3822" w:type="dxa"/>
            <w:tcBorders>
              <w:bottom w:val="single" w:sz="4" w:space="0" w:color="auto"/>
            </w:tcBorders>
            <w:shd w:val="clear" w:color="auto" w:fill="auto"/>
          </w:tcPr>
          <w:p w:rsidR="00E24DB7" w:rsidRPr="002C5876" w:rsidRDefault="00E24DB7" w:rsidP="00E24DB7">
            <w:pPr>
              <w:pStyle w:val="SingleTxtG"/>
              <w:keepNext/>
              <w:suppressAutoHyphens w:val="0"/>
              <w:spacing w:before="60" w:after="60" w:line="220" w:lineRule="atLeast"/>
              <w:ind w:left="57" w:right="57"/>
              <w:jc w:val="left"/>
              <w:rPr>
                <w:sz w:val="18"/>
                <w:szCs w:val="18"/>
              </w:rPr>
            </w:pPr>
            <w:r w:rsidRPr="002C5876">
              <w:rPr>
                <w:sz w:val="18"/>
                <w:szCs w:val="18"/>
              </w:rPr>
              <w:t>Arrondis au nombre entier le plus proche</w:t>
            </w:r>
          </w:p>
        </w:tc>
      </w:tr>
      <w:tr w:rsidR="00E24DB7" w:rsidRPr="002C5876" w:rsidTr="00E24DB7">
        <w:tc>
          <w:tcPr>
            <w:tcW w:w="4678" w:type="dxa"/>
            <w:tcBorders>
              <w:bottom w:val="single" w:sz="12" w:space="0" w:color="auto"/>
            </w:tcBorders>
            <w:shd w:val="clear" w:color="auto" w:fill="auto"/>
          </w:tcPr>
          <w:p w:rsidR="00E24DB7" w:rsidRPr="002C5876" w:rsidRDefault="00E24DB7" w:rsidP="00E24DB7">
            <w:pPr>
              <w:pStyle w:val="SingleTxtG"/>
              <w:keepNext/>
              <w:suppressAutoHyphens w:val="0"/>
              <w:spacing w:before="60" w:after="60" w:line="220" w:lineRule="atLeast"/>
              <w:ind w:left="57" w:right="57"/>
              <w:jc w:val="left"/>
              <w:rPr>
                <w:sz w:val="18"/>
                <w:szCs w:val="18"/>
              </w:rPr>
            </w:pPr>
            <w:r w:rsidRPr="002C5876">
              <w:rPr>
                <w:sz w:val="18"/>
                <w:szCs w:val="18"/>
              </w:rPr>
              <w:t>E</w:t>
            </w:r>
            <w:r w:rsidRPr="002C5876">
              <w:rPr>
                <w:sz w:val="18"/>
                <w:szCs w:val="18"/>
                <w:vertAlign w:val="subscript"/>
              </w:rPr>
              <w:t>AC</w:t>
            </w:r>
          </w:p>
        </w:tc>
        <w:tc>
          <w:tcPr>
            <w:tcW w:w="1139" w:type="dxa"/>
            <w:tcBorders>
              <w:bottom w:val="single" w:sz="12" w:space="0" w:color="auto"/>
            </w:tcBorders>
            <w:shd w:val="clear" w:color="auto" w:fill="auto"/>
          </w:tcPr>
          <w:p w:rsidR="00E24DB7" w:rsidRPr="002C5876" w:rsidRDefault="00E24DB7" w:rsidP="00E24DB7">
            <w:pPr>
              <w:pStyle w:val="SingleTxtG"/>
              <w:keepNext/>
              <w:suppressAutoHyphens w:val="0"/>
              <w:spacing w:before="60" w:after="60" w:line="220" w:lineRule="atLeast"/>
              <w:ind w:left="57" w:right="57"/>
              <w:jc w:val="left"/>
              <w:rPr>
                <w:sz w:val="18"/>
                <w:szCs w:val="18"/>
              </w:rPr>
            </w:pPr>
            <w:r w:rsidRPr="002C5876">
              <w:rPr>
                <w:sz w:val="18"/>
                <w:szCs w:val="18"/>
              </w:rPr>
              <w:t>kWh</w:t>
            </w:r>
          </w:p>
        </w:tc>
        <w:tc>
          <w:tcPr>
            <w:tcW w:w="3822" w:type="dxa"/>
            <w:tcBorders>
              <w:bottom w:val="single" w:sz="12" w:space="0" w:color="auto"/>
            </w:tcBorders>
            <w:shd w:val="clear" w:color="auto" w:fill="auto"/>
          </w:tcPr>
          <w:p w:rsidR="00E24DB7" w:rsidRPr="002C5876" w:rsidRDefault="00E24DB7" w:rsidP="00E24DB7">
            <w:pPr>
              <w:pStyle w:val="SingleTxtG"/>
              <w:keepNext/>
              <w:suppressAutoHyphens w:val="0"/>
              <w:spacing w:before="60" w:after="60" w:line="220" w:lineRule="atLeast"/>
              <w:ind w:left="57" w:right="57"/>
              <w:jc w:val="left"/>
              <w:rPr>
                <w:sz w:val="18"/>
                <w:szCs w:val="18"/>
              </w:rPr>
            </w:pPr>
            <w:r w:rsidRPr="002C5876">
              <w:rPr>
                <w:sz w:val="18"/>
                <w:szCs w:val="18"/>
              </w:rPr>
              <w:t>Arrondis à la première décimale</w:t>
            </w:r>
          </w:p>
        </w:tc>
      </w:tr>
    </w:tbl>
    <w:p w:rsidR="00E24DB7" w:rsidRPr="002C5876" w:rsidRDefault="00E24DB7" w:rsidP="00E24DB7">
      <w:pPr>
        <w:spacing w:before="120"/>
        <w:ind w:firstLine="170"/>
        <w:rPr>
          <w:sz w:val="18"/>
          <w:szCs w:val="18"/>
        </w:rPr>
      </w:pPr>
      <w:r w:rsidRPr="002C5876">
        <w:rPr>
          <w:i/>
          <w:sz w:val="18"/>
          <w:szCs w:val="18"/>
          <w:vertAlign w:val="superscript"/>
        </w:rPr>
        <w:t>1</w:t>
      </w:r>
      <w:r w:rsidRPr="002C5876">
        <w:rPr>
          <w:sz w:val="18"/>
          <w:szCs w:val="18"/>
        </w:rPr>
        <w:t xml:space="preserve">  Aucun paramètre de véhicule donné.</w:t>
      </w:r>
    </w:p>
    <w:p w:rsidR="00E24DB7" w:rsidRPr="002C5876" w:rsidRDefault="00E24DB7" w:rsidP="00E24DB7">
      <w:pPr>
        <w:spacing w:after="240"/>
        <w:ind w:firstLine="170"/>
        <w:rPr>
          <w:sz w:val="18"/>
          <w:szCs w:val="18"/>
        </w:rPr>
      </w:pPr>
      <w:r w:rsidRPr="002C5876">
        <w:rPr>
          <w:i/>
          <w:sz w:val="18"/>
          <w:szCs w:val="18"/>
          <w:vertAlign w:val="superscript"/>
        </w:rPr>
        <w:t>2</w:t>
      </w:r>
      <w:r w:rsidRPr="002C5876">
        <w:rPr>
          <w:sz w:val="18"/>
          <w:szCs w:val="18"/>
        </w:rPr>
        <w:t xml:space="preserve">  (p) désigne la période considérée qui peut être une phase, une combinaison de phases ou l’ensemble du cycle.</w:t>
      </w:r>
    </w:p>
    <w:p w:rsidR="00E24DB7" w:rsidRPr="002C5876" w:rsidRDefault="00E24DB7" w:rsidP="00E24DB7">
      <w:pPr>
        <w:pStyle w:val="SingleTxtG"/>
        <w:keepNext/>
        <w:spacing w:before="240"/>
        <w:ind w:left="2268" w:hanging="1134"/>
        <w:jc w:val="left"/>
        <w:rPr>
          <w:szCs w:val="24"/>
        </w:rPr>
      </w:pPr>
      <w:r w:rsidRPr="002C5876">
        <w:rPr>
          <w:szCs w:val="24"/>
        </w:rPr>
        <w:t>1.4</w:t>
      </w:r>
      <w:r w:rsidRPr="002C5876">
        <w:rPr>
          <w:szCs w:val="24"/>
        </w:rPr>
        <w:tab/>
        <w:t>Classement des véhicules</w:t>
      </w:r>
    </w:p>
    <w:p w:rsidR="00E24DB7" w:rsidRPr="002C5876" w:rsidRDefault="00E24DB7" w:rsidP="00E24DB7">
      <w:pPr>
        <w:pStyle w:val="SingleTxtG"/>
        <w:ind w:left="2268"/>
        <w:rPr>
          <w:szCs w:val="24"/>
        </w:rPr>
      </w:pPr>
      <w:r w:rsidRPr="002C5876">
        <w:rPr>
          <w:szCs w:val="24"/>
        </w:rPr>
        <w:t xml:space="preserve">Tous les </w:t>
      </w:r>
      <w:r w:rsidRPr="002C5876">
        <w:rPr>
          <w:bCs/>
        </w:rPr>
        <w:t xml:space="preserve">VHE-RE, VHE-NRE, </w:t>
      </w:r>
      <w:r w:rsidRPr="002C5876">
        <w:t xml:space="preserve">VEP et </w:t>
      </w:r>
      <w:r w:rsidRPr="002C5876">
        <w:rPr>
          <w:bCs/>
        </w:rPr>
        <w:t>VHPC-NRE</w:t>
      </w:r>
      <w:r w:rsidRPr="002C5876">
        <w:t xml:space="preserve"> doivent être classés comme véhicules de la classe 3</w:t>
      </w:r>
      <w:r w:rsidRPr="002C5876">
        <w:rPr>
          <w:szCs w:val="24"/>
        </w:rPr>
        <w:t xml:space="preserve">. Le </w:t>
      </w:r>
      <w:r w:rsidRPr="002C5876">
        <w:t xml:space="preserve">cycle d’essai applicable </w:t>
      </w:r>
      <w:r w:rsidRPr="002C5876">
        <w:rPr>
          <w:szCs w:val="24"/>
        </w:rPr>
        <w:t xml:space="preserve">pour la procédure </w:t>
      </w:r>
      <w:r w:rsidRPr="002C5876">
        <w:t>d’essai du</w:t>
      </w:r>
      <w:r w:rsidRPr="002C5876">
        <w:rPr>
          <w:szCs w:val="24"/>
        </w:rPr>
        <w:t xml:space="preserve"> type 1 doit </w:t>
      </w:r>
      <w:r w:rsidRPr="002C5876">
        <w:t xml:space="preserve">être </w:t>
      </w:r>
      <w:r w:rsidRPr="002C5876">
        <w:rPr>
          <w:szCs w:val="24"/>
        </w:rPr>
        <w:t xml:space="preserve">déterminé </w:t>
      </w:r>
      <w:r w:rsidRPr="002C5876">
        <w:t>conformément au paragraphe </w:t>
      </w:r>
      <w:r w:rsidRPr="002C5876">
        <w:rPr>
          <w:szCs w:val="24"/>
        </w:rPr>
        <w:t xml:space="preserve">1.4.2 </w:t>
      </w:r>
      <w:r w:rsidRPr="002C5876">
        <w:rPr>
          <w:bCs/>
        </w:rPr>
        <w:t xml:space="preserve">de la présente annexe sur la base </w:t>
      </w:r>
      <w:r w:rsidRPr="002C5876">
        <w:rPr>
          <w:szCs w:val="24"/>
        </w:rPr>
        <w:t xml:space="preserve">du </w:t>
      </w:r>
      <w:r w:rsidRPr="002C5876">
        <w:t xml:space="preserve">cycle d’essai de </w:t>
      </w:r>
      <w:r w:rsidRPr="002C5876">
        <w:rPr>
          <w:szCs w:val="24"/>
        </w:rPr>
        <w:t xml:space="preserve">référence correspondant comme prescrit </w:t>
      </w:r>
      <w:r w:rsidRPr="002C5876">
        <w:t xml:space="preserve">au paragraphe </w:t>
      </w:r>
      <w:r w:rsidRPr="002C5876">
        <w:rPr>
          <w:szCs w:val="24"/>
        </w:rPr>
        <w:t xml:space="preserve">1.4.1 </w:t>
      </w:r>
      <w:r w:rsidRPr="002C5876">
        <w:rPr>
          <w:bCs/>
        </w:rPr>
        <w:t>de la présente annexe</w:t>
      </w:r>
      <w:r w:rsidRPr="002C5876">
        <w:rPr>
          <w:szCs w:val="24"/>
        </w:rPr>
        <w:t>.</w:t>
      </w:r>
    </w:p>
    <w:p w:rsidR="00E24DB7" w:rsidRPr="002C5876" w:rsidRDefault="00E24DB7" w:rsidP="00E24DB7">
      <w:pPr>
        <w:pStyle w:val="SingleTxtG"/>
        <w:keepNext/>
        <w:ind w:left="2268" w:hanging="1134"/>
        <w:jc w:val="left"/>
        <w:rPr>
          <w:szCs w:val="24"/>
        </w:rPr>
      </w:pPr>
      <w:r w:rsidRPr="002C5876">
        <w:rPr>
          <w:szCs w:val="24"/>
        </w:rPr>
        <w:t>1.4.1</w:t>
      </w:r>
      <w:r w:rsidRPr="002C5876">
        <w:rPr>
          <w:szCs w:val="24"/>
        </w:rPr>
        <w:tab/>
      </w:r>
      <w:r w:rsidRPr="002C5876">
        <w:t xml:space="preserve">Cycle d’essai de </w:t>
      </w:r>
      <w:r w:rsidRPr="002C5876">
        <w:rPr>
          <w:szCs w:val="24"/>
        </w:rPr>
        <w:t>référence</w:t>
      </w:r>
    </w:p>
    <w:p w:rsidR="00E24DB7" w:rsidRPr="002C5876" w:rsidRDefault="00E24DB7" w:rsidP="00E24DB7">
      <w:pPr>
        <w:pStyle w:val="SingleTxtG"/>
        <w:ind w:left="2268" w:hanging="1134"/>
        <w:rPr>
          <w:szCs w:val="24"/>
        </w:rPr>
      </w:pPr>
      <w:r w:rsidRPr="002C5876">
        <w:rPr>
          <w:szCs w:val="24"/>
        </w:rPr>
        <w:t>1.4.1.1</w:t>
      </w:r>
      <w:r w:rsidRPr="002C5876">
        <w:rPr>
          <w:szCs w:val="24"/>
        </w:rPr>
        <w:tab/>
        <w:t xml:space="preserve">Le </w:t>
      </w:r>
      <w:r w:rsidRPr="002C5876">
        <w:t xml:space="preserve">cycle d’essai de </w:t>
      </w:r>
      <w:r w:rsidRPr="002C5876">
        <w:rPr>
          <w:szCs w:val="24"/>
        </w:rPr>
        <w:t xml:space="preserve">référence pour </w:t>
      </w:r>
      <w:r w:rsidRPr="002C5876">
        <w:t xml:space="preserve">véhicules de la classe </w:t>
      </w:r>
      <w:r w:rsidRPr="002C5876">
        <w:rPr>
          <w:szCs w:val="24"/>
        </w:rPr>
        <w:t>3 est celui spécifié au paragraphe 3.3 de l’annexe 1.</w:t>
      </w:r>
    </w:p>
    <w:p w:rsidR="00E24DB7" w:rsidRPr="002C5876" w:rsidRDefault="00E24DB7" w:rsidP="00E24DB7">
      <w:pPr>
        <w:pStyle w:val="SingleTxtG"/>
        <w:ind w:left="2268" w:hanging="1134"/>
        <w:rPr>
          <w:szCs w:val="24"/>
        </w:rPr>
      </w:pPr>
      <w:r w:rsidRPr="002C5876">
        <w:rPr>
          <w:szCs w:val="24"/>
        </w:rPr>
        <w:t>1.4.1.2</w:t>
      </w:r>
      <w:r w:rsidRPr="002C5876">
        <w:rPr>
          <w:szCs w:val="24"/>
        </w:rPr>
        <w:tab/>
        <w:t xml:space="preserve">Pour les </w:t>
      </w:r>
      <w:r w:rsidRPr="002C5876">
        <w:t>VEP</w:t>
      </w:r>
      <w:r w:rsidRPr="002C5876">
        <w:rPr>
          <w:szCs w:val="24"/>
        </w:rPr>
        <w:t>, la procédure de r</w:t>
      </w:r>
      <w:r w:rsidRPr="002C5876">
        <w:t>éajustement de la vitesse</w:t>
      </w:r>
      <w:r w:rsidRPr="002C5876">
        <w:rPr>
          <w:szCs w:val="24"/>
        </w:rPr>
        <w:t xml:space="preserve">, </w:t>
      </w:r>
      <w:r w:rsidRPr="002C5876">
        <w:t xml:space="preserve">conformément aux </w:t>
      </w:r>
      <w:r w:rsidRPr="002C5876">
        <w:rPr>
          <w:szCs w:val="24"/>
        </w:rPr>
        <w:t>paragraphes 8.2.3</w:t>
      </w:r>
      <w:r w:rsidRPr="002C5876">
        <w:rPr>
          <w:szCs w:val="24"/>
          <w:lang w:eastAsia="ja-JP"/>
        </w:rPr>
        <w:t xml:space="preserve"> et 8.3</w:t>
      </w:r>
      <w:r w:rsidRPr="002C5876">
        <w:rPr>
          <w:szCs w:val="24"/>
        </w:rPr>
        <w:t xml:space="preserve"> de l’annexe 1</w:t>
      </w:r>
      <w:r w:rsidRPr="002C5876">
        <w:rPr>
          <w:szCs w:val="24"/>
          <w:lang w:eastAsia="ja-JP"/>
        </w:rPr>
        <w:t xml:space="preserve"> </w:t>
      </w:r>
      <w:r w:rsidRPr="002C5876">
        <w:rPr>
          <w:szCs w:val="24"/>
        </w:rPr>
        <w:t xml:space="preserve">peut être appliquée aux </w:t>
      </w:r>
      <w:r w:rsidRPr="002C5876">
        <w:t xml:space="preserve">cycles d’essai conformément au </w:t>
      </w:r>
      <w:r w:rsidRPr="002C5876">
        <w:rPr>
          <w:szCs w:val="24"/>
        </w:rPr>
        <w:t>paragraphe 3.3 de l’annexe 1</w:t>
      </w:r>
      <w:r w:rsidRPr="002C5876">
        <w:rPr>
          <w:szCs w:val="24"/>
          <w:lang w:eastAsia="ja-JP"/>
        </w:rPr>
        <w:t xml:space="preserve"> par remplacement de la puissance nominale par la puissance nette maximale telle que définie dans le Règlement ONU n</w:t>
      </w:r>
      <w:r w:rsidRPr="002C5876">
        <w:rPr>
          <w:szCs w:val="24"/>
          <w:vertAlign w:val="superscript"/>
          <w:lang w:eastAsia="ja-JP"/>
        </w:rPr>
        <w:t>o</w:t>
      </w:r>
      <w:r w:rsidRPr="002C5876">
        <w:rPr>
          <w:szCs w:val="24"/>
          <w:lang w:eastAsia="ja-JP"/>
        </w:rPr>
        <w:t> 85</w:t>
      </w:r>
      <w:r w:rsidRPr="002C5876">
        <w:rPr>
          <w:szCs w:val="24"/>
        </w:rPr>
        <w:t xml:space="preserve">. Dans un tel cas, </w:t>
      </w:r>
      <w:r w:rsidRPr="002C5876">
        <w:rPr>
          <w:szCs w:val="24"/>
          <w:lang w:eastAsia="ja-JP"/>
        </w:rPr>
        <w:t xml:space="preserve">le cycle </w:t>
      </w:r>
      <w:r w:rsidRPr="002C5876">
        <w:t xml:space="preserve">réajusté est le cycle d’essai de </w:t>
      </w:r>
      <w:r w:rsidRPr="002C5876">
        <w:rPr>
          <w:szCs w:val="24"/>
        </w:rPr>
        <w:t>référence</w:t>
      </w:r>
      <w:r w:rsidRPr="002C5876">
        <w:rPr>
          <w:lang w:eastAsia="de-DE"/>
        </w:rPr>
        <w:t>.</w:t>
      </w:r>
    </w:p>
    <w:p w:rsidR="00E24DB7" w:rsidRPr="002C5876" w:rsidRDefault="00E24DB7" w:rsidP="00E24DB7">
      <w:pPr>
        <w:pStyle w:val="SingleTxtG"/>
        <w:keepNext/>
        <w:ind w:left="2268" w:hanging="1134"/>
        <w:jc w:val="left"/>
        <w:rPr>
          <w:szCs w:val="24"/>
        </w:rPr>
      </w:pPr>
      <w:r w:rsidRPr="002C5876">
        <w:rPr>
          <w:szCs w:val="24"/>
        </w:rPr>
        <w:t>1.4.2</w:t>
      </w:r>
      <w:r w:rsidRPr="002C5876">
        <w:rPr>
          <w:szCs w:val="24"/>
        </w:rPr>
        <w:tab/>
        <w:t>C</w:t>
      </w:r>
      <w:r w:rsidRPr="002C5876">
        <w:t>ycle d’essai applicable</w:t>
      </w:r>
    </w:p>
    <w:p w:rsidR="00E24DB7" w:rsidRPr="002C5876" w:rsidRDefault="00E24DB7" w:rsidP="00E24DB7">
      <w:pPr>
        <w:pStyle w:val="SingleTxtG"/>
        <w:keepNext/>
        <w:ind w:left="2268" w:hanging="1134"/>
        <w:jc w:val="left"/>
        <w:rPr>
          <w:szCs w:val="24"/>
        </w:rPr>
      </w:pPr>
      <w:r w:rsidRPr="002C5876">
        <w:rPr>
          <w:szCs w:val="24"/>
        </w:rPr>
        <w:t>1.4.2.1</w:t>
      </w:r>
      <w:r w:rsidRPr="002C5876">
        <w:rPr>
          <w:szCs w:val="24"/>
        </w:rPr>
        <w:tab/>
        <w:t>C</w:t>
      </w:r>
      <w:r w:rsidRPr="002C5876">
        <w:t xml:space="preserve">ycle d’essai </w:t>
      </w:r>
      <w:r w:rsidRPr="002C5876">
        <w:rPr>
          <w:szCs w:val="24"/>
        </w:rPr>
        <w:t>WLTP</w:t>
      </w:r>
      <w:r w:rsidRPr="002C5876">
        <w:t xml:space="preserve"> applicable</w:t>
      </w:r>
    </w:p>
    <w:p w:rsidR="00E24DB7" w:rsidRPr="002C5876" w:rsidRDefault="00E24DB7" w:rsidP="00E24DB7">
      <w:pPr>
        <w:pStyle w:val="SingleTxtG"/>
        <w:ind w:left="2268"/>
        <w:rPr>
          <w:szCs w:val="24"/>
        </w:rPr>
      </w:pPr>
      <w:r w:rsidRPr="002C5876">
        <w:rPr>
          <w:szCs w:val="24"/>
        </w:rPr>
        <w:t xml:space="preserve">Le </w:t>
      </w:r>
      <w:r w:rsidRPr="002C5876">
        <w:t xml:space="preserve">cycle d’essai de </w:t>
      </w:r>
      <w:r w:rsidRPr="002C5876">
        <w:rPr>
          <w:szCs w:val="24"/>
        </w:rPr>
        <w:t xml:space="preserve">référence </w:t>
      </w:r>
      <w:r w:rsidRPr="002C5876">
        <w:t xml:space="preserve">conformément au </w:t>
      </w:r>
      <w:r w:rsidRPr="002C5876">
        <w:rPr>
          <w:szCs w:val="24"/>
        </w:rPr>
        <w:t xml:space="preserve">paragraphe 1.4.1 </w:t>
      </w:r>
      <w:r w:rsidRPr="002C5876">
        <w:rPr>
          <w:bCs/>
        </w:rPr>
        <w:t xml:space="preserve">de la présente annexe </w:t>
      </w:r>
      <w:r w:rsidRPr="002C5876">
        <w:rPr>
          <w:szCs w:val="24"/>
        </w:rPr>
        <w:t xml:space="preserve">doit </w:t>
      </w:r>
      <w:r w:rsidRPr="002C5876">
        <w:t xml:space="preserve">être le cycle d’essai </w:t>
      </w:r>
      <w:r w:rsidRPr="002C5876">
        <w:rPr>
          <w:szCs w:val="24"/>
        </w:rPr>
        <w:t xml:space="preserve">WLTP </w:t>
      </w:r>
      <w:r w:rsidRPr="002C5876">
        <w:t xml:space="preserve">applicable </w:t>
      </w:r>
      <w:r w:rsidRPr="002C5876">
        <w:rPr>
          <w:szCs w:val="24"/>
        </w:rPr>
        <w:t xml:space="preserve">(WLTC) pour la procédure </w:t>
      </w:r>
      <w:r w:rsidRPr="002C5876">
        <w:t>d’essai du</w:t>
      </w:r>
      <w:r w:rsidRPr="002C5876">
        <w:rPr>
          <w:szCs w:val="24"/>
        </w:rPr>
        <w:t xml:space="preserve"> type 1.</w:t>
      </w:r>
    </w:p>
    <w:p w:rsidR="00E24DB7" w:rsidRPr="002C5876" w:rsidRDefault="00E24DB7" w:rsidP="00E24DB7">
      <w:pPr>
        <w:pStyle w:val="SingleTxtG"/>
        <w:ind w:left="2259" w:firstLine="9"/>
        <w:rPr>
          <w:szCs w:val="24"/>
        </w:rPr>
      </w:pPr>
      <w:r w:rsidRPr="002C5876">
        <w:rPr>
          <w:szCs w:val="24"/>
        </w:rPr>
        <w:tab/>
        <w:t xml:space="preserve">Si le paragraphe 9 de l’annexe 1 est appliqué sur la base du </w:t>
      </w:r>
      <w:r w:rsidRPr="002C5876">
        <w:t xml:space="preserve">cycle d’essai de </w:t>
      </w:r>
      <w:r w:rsidRPr="002C5876">
        <w:rPr>
          <w:szCs w:val="24"/>
        </w:rPr>
        <w:t xml:space="preserve">référence comme décrit au paragraphe 1.4.1 </w:t>
      </w:r>
      <w:r w:rsidRPr="002C5876">
        <w:rPr>
          <w:bCs/>
        </w:rPr>
        <w:t>de la présente annexe</w:t>
      </w:r>
      <w:r w:rsidRPr="002C5876">
        <w:rPr>
          <w:szCs w:val="24"/>
        </w:rPr>
        <w:t xml:space="preserve">, ce </w:t>
      </w:r>
      <w:r w:rsidRPr="002C5876">
        <w:t xml:space="preserve">cycle d’essai </w:t>
      </w:r>
      <w:r w:rsidRPr="002C5876">
        <w:rPr>
          <w:szCs w:val="24"/>
        </w:rPr>
        <w:t xml:space="preserve">modifié doit </w:t>
      </w:r>
      <w:r w:rsidRPr="002C5876">
        <w:t xml:space="preserve">être le cycle d’essai </w:t>
      </w:r>
      <w:r w:rsidRPr="002C5876">
        <w:rPr>
          <w:szCs w:val="24"/>
        </w:rPr>
        <w:t xml:space="preserve">WLTP </w:t>
      </w:r>
      <w:r w:rsidRPr="002C5876">
        <w:t xml:space="preserve">applicable </w:t>
      </w:r>
      <w:r w:rsidRPr="002C5876">
        <w:rPr>
          <w:szCs w:val="24"/>
        </w:rPr>
        <w:t xml:space="preserve">(WLTC) pour la procédure </w:t>
      </w:r>
      <w:r w:rsidRPr="002C5876">
        <w:t>d’essai du</w:t>
      </w:r>
      <w:r w:rsidRPr="002C5876">
        <w:rPr>
          <w:szCs w:val="24"/>
        </w:rPr>
        <w:t xml:space="preserve"> type 1.</w:t>
      </w:r>
    </w:p>
    <w:p w:rsidR="00E24DB7" w:rsidRPr="002C5876" w:rsidRDefault="00E24DB7" w:rsidP="00E24DB7">
      <w:pPr>
        <w:pStyle w:val="SingleTxtG"/>
        <w:keepNext/>
        <w:ind w:left="2268" w:hanging="1134"/>
        <w:jc w:val="left"/>
        <w:rPr>
          <w:szCs w:val="24"/>
        </w:rPr>
      </w:pPr>
      <w:r w:rsidRPr="002C5876">
        <w:rPr>
          <w:szCs w:val="24"/>
        </w:rPr>
        <w:t>1.4.2.2</w:t>
      </w:r>
      <w:r w:rsidRPr="002C5876">
        <w:rPr>
          <w:szCs w:val="24"/>
        </w:rPr>
        <w:tab/>
        <w:t>Cycle d’e</w:t>
      </w:r>
      <w:r w:rsidRPr="002C5876">
        <w:t>ssai WLTP urbain a</w:t>
      </w:r>
      <w:r w:rsidRPr="002C5876">
        <w:rPr>
          <w:szCs w:val="24"/>
        </w:rPr>
        <w:t>pplicable</w:t>
      </w:r>
    </w:p>
    <w:p w:rsidR="00E24DB7" w:rsidRPr="002C5876" w:rsidRDefault="00E24DB7" w:rsidP="00E24DB7">
      <w:pPr>
        <w:pStyle w:val="SingleTxtG"/>
        <w:ind w:left="2268"/>
      </w:pPr>
      <w:r w:rsidRPr="002C5876">
        <w:rPr>
          <w:szCs w:val="24"/>
        </w:rPr>
        <w:tab/>
        <w:t>Le cycle d’e</w:t>
      </w:r>
      <w:r w:rsidRPr="002C5876">
        <w:t xml:space="preserve">ssai WLTP urbain </w:t>
      </w:r>
      <w:r w:rsidRPr="002C5876">
        <w:rPr>
          <w:szCs w:val="24"/>
        </w:rPr>
        <w:t>(WLTC</w:t>
      </w:r>
      <w:r w:rsidRPr="002C5876">
        <w:rPr>
          <w:szCs w:val="24"/>
          <w:vertAlign w:val="subscript"/>
        </w:rPr>
        <w:t>city</w:t>
      </w:r>
      <w:r w:rsidRPr="002C5876">
        <w:rPr>
          <w:szCs w:val="24"/>
        </w:rPr>
        <w:t xml:space="preserve">) pour les </w:t>
      </w:r>
      <w:r w:rsidRPr="002C5876">
        <w:t xml:space="preserve">véhicules de la classe 3 </w:t>
      </w:r>
      <w:r w:rsidRPr="002C5876">
        <w:rPr>
          <w:szCs w:val="24"/>
        </w:rPr>
        <w:t>est celui décrit au paragraphe 3.5 de l’annexe 1.</w:t>
      </w:r>
    </w:p>
    <w:p w:rsidR="00E24DB7" w:rsidRPr="002C5876" w:rsidRDefault="00E24DB7" w:rsidP="00E24DB7">
      <w:pPr>
        <w:pStyle w:val="SingleTxtG"/>
        <w:keepNext/>
        <w:ind w:left="2268" w:hanging="1134"/>
        <w:jc w:val="left"/>
      </w:pPr>
      <w:r w:rsidRPr="002C5876">
        <w:t>1.5</w:t>
      </w:r>
      <w:r w:rsidRPr="002C5876">
        <w:tab/>
        <w:t xml:space="preserve">VHE-RE, VHE-NRE et VEP avec transmission manuelle </w:t>
      </w:r>
    </w:p>
    <w:p w:rsidR="00E24DB7" w:rsidRPr="002C5876" w:rsidRDefault="00E24DB7" w:rsidP="00E24DB7">
      <w:pPr>
        <w:pStyle w:val="SingleTxtG"/>
        <w:ind w:left="2268"/>
      </w:pPr>
      <w:r w:rsidRPr="002C5876">
        <w:t>Les véhicules doivent être conduits en se conformant à l’indicateur de changement de rapport, s’il y en a un, ou selon les instructions qui figurent dans le manuel d’utilisation du véhicule.</w:t>
      </w:r>
    </w:p>
    <w:p w:rsidR="00E24DB7" w:rsidRPr="002C5876" w:rsidRDefault="00E24DB7" w:rsidP="00E24DB7">
      <w:pPr>
        <w:pStyle w:val="SingleTxtG"/>
        <w:keepNext/>
        <w:ind w:left="2268" w:hanging="1134"/>
        <w:jc w:val="left"/>
      </w:pPr>
      <w:r w:rsidRPr="002C5876">
        <w:t>2.</w:t>
      </w:r>
      <w:r w:rsidRPr="002C5876">
        <w:tab/>
        <w:t>Rodage du véhicule d’essai</w:t>
      </w:r>
    </w:p>
    <w:p w:rsidR="00E24DB7" w:rsidRPr="002C5876" w:rsidRDefault="00E24DB7" w:rsidP="00E24DB7">
      <w:pPr>
        <w:pStyle w:val="SingleTxtG"/>
        <w:ind w:left="2268"/>
      </w:pPr>
      <w:r w:rsidRPr="002C5876">
        <w:tab/>
        <w:t xml:space="preserve">Le véhicule soumis à l’essai conformément à la présente annexe doit être présenté en bon état sur le plan technique et doit être rodé conformément aux prescriptions du constructeur. Dans l’hypothèse où les SRSEE sont utilisés à </w:t>
      </w:r>
      <w:r w:rsidRPr="002C5876">
        <w:lastRenderedPageBreak/>
        <w:t xml:space="preserve">une température supérieure à la température normale de fonctionnement, l’opérateur doit suivre la procédure recommandée par le constructeur du véhicule afin de maintenir la température du SRSEE dans la plage normale de fonctionnement. Le constructeur doit donner des preuves que le système de régulation thermique du SRSEE n’est ni hors fonction ni réduit dans son efficacité. </w:t>
      </w:r>
    </w:p>
    <w:p w:rsidR="00E24DB7" w:rsidRPr="002C5876" w:rsidRDefault="00E24DB7" w:rsidP="00E24DB7">
      <w:pPr>
        <w:pStyle w:val="SingleTxtG"/>
        <w:ind w:left="2268" w:hanging="1134"/>
        <w:rPr>
          <w:bCs/>
        </w:rPr>
      </w:pPr>
      <w:r w:rsidRPr="002C5876">
        <w:t>2.1</w:t>
      </w:r>
      <w:r w:rsidRPr="002C5876">
        <w:tab/>
      </w:r>
      <w:r w:rsidRPr="002C5876">
        <w:rPr>
          <w:bCs/>
        </w:rPr>
        <w:t xml:space="preserve">Les VHE-RE et les VHE-NRE doivent avoir été rodé conformément aux </w:t>
      </w:r>
      <w:r w:rsidRPr="002C5876">
        <w:t>prescriptions du paragraphe 2.3.3 de l’annexe 6.</w:t>
      </w:r>
    </w:p>
    <w:p w:rsidR="00E24DB7" w:rsidRPr="002C5876" w:rsidRDefault="00E24DB7" w:rsidP="00E24DB7">
      <w:pPr>
        <w:pStyle w:val="SingleTxtG"/>
        <w:ind w:left="2268" w:hanging="1134"/>
      </w:pPr>
      <w:r w:rsidRPr="002C5876">
        <w:t>2.2</w:t>
      </w:r>
      <w:r w:rsidRPr="002C5876">
        <w:tab/>
        <w:t>Les VHPC-NRE doivent avoir effectué un parcours de rodage d’au moins 300</w:t>
      </w:r>
      <w:r w:rsidR="00704CBC" w:rsidRPr="002C5876">
        <w:t> </w:t>
      </w:r>
      <w:r w:rsidRPr="002C5876">
        <w:t xml:space="preserve">km avec le système de pile à combustible et le REESS qui sont installés pendant l’essai. </w:t>
      </w:r>
    </w:p>
    <w:p w:rsidR="00E24DB7" w:rsidRPr="002C5876" w:rsidRDefault="00E24DB7" w:rsidP="00E24DB7">
      <w:pPr>
        <w:pStyle w:val="SingleTxtG"/>
        <w:ind w:left="2268" w:hanging="1134"/>
      </w:pPr>
      <w:r w:rsidRPr="002C5876">
        <w:t>2.3</w:t>
      </w:r>
      <w:r w:rsidRPr="002C5876">
        <w:tab/>
        <w:t xml:space="preserve">Les VEP doivent avoir effectué un parcours de rodage d’au moins 300 km ou à un parcours correspondant à une charge complète, la distance la plus longue étant retenue. </w:t>
      </w:r>
    </w:p>
    <w:p w:rsidR="00E24DB7" w:rsidRPr="002C5876" w:rsidRDefault="00E24DB7" w:rsidP="00E24DB7">
      <w:pPr>
        <w:pStyle w:val="SingleTxtG"/>
        <w:ind w:left="2268" w:hanging="1134"/>
        <w:rPr>
          <w:bCs/>
        </w:rPr>
      </w:pPr>
      <w:r w:rsidRPr="002C5876">
        <w:t>2.4</w:t>
      </w:r>
      <w:r w:rsidRPr="002C5876">
        <w:tab/>
        <w:t xml:space="preserve">Tous les SRSEE qui n’ont pas d’incidence sur les émissions massiques de </w:t>
      </w:r>
      <w:r w:rsidRPr="002C5876">
        <w:rPr>
          <w:szCs w:val="24"/>
        </w:rPr>
        <w:t>CO</w:t>
      </w:r>
      <w:r w:rsidRPr="002C5876">
        <w:rPr>
          <w:szCs w:val="24"/>
          <w:vertAlign w:val="subscript"/>
        </w:rPr>
        <w:t>2</w:t>
      </w:r>
      <w:r w:rsidRPr="002C5876">
        <w:t xml:space="preserve"> ou la consommation de H</w:t>
      </w:r>
      <w:r w:rsidRPr="002C5876">
        <w:rPr>
          <w:vertAlign w:val="subscript"/>
        </w:rPr>
        <w:t>2</w:t>
      </w:r>
      <w:r w:rsidRPr="002C5876">
        <w:t xml:space="preserve"> doivent être exclus de la procédure de surveillance.</w:t>
      </w:r>
    </w:p>
    <w:p w:rsidR="00E24DB7" w:rsidRPr="002C5876" w:rsidRDefault="00E24DB7" w:rsidP="00E24DB7">
      <w:pPr>
        <w:pStyle w:val="SingleTxtG"/>
        <w:keepNext/>
        <w:ind w:left="2268" w:hanging="1134"/>
        <w:jc w:val="left"/>
      </w:pPr>
      <w:r w:rsidRPr="002C5876">
        <w:t>3.</w:t>
      </w:r>
      <w:r w:rsidRPr="002C5876">
        <w:tab/>
        <w:t>Procédure d’essai</w:t>
      </w:r>
    </w:p>
    <w:p w:rsidR="00E24DB7" w:rsidRPr="002C5876" w:rsidRDefault="00E24DB7" w:rsidP="00E24DB7">
      <w:pPr>
        <w:pStyle w:val="SingleTxtG"/>
        <w:keepNext/>
        <w:ind w:left="2268" w:hanging="1134"/>
        <w:jc w:val="left"/>
      </w:pPr>
      <w:r w:rsidRPr="002C5876">
        <w:t>3.1</w:t>
      </w:r>
      <w:r w:rsidRPr="002C5876">
        <w:tab/>
        <w:t>Prescriptions générales</w:t>
      </w:r>
    </w:p>
    <w:p w:rsidR="00E24DB7" w:rsidRPr="002C5876" w:rsidRDefault="00E24DB7" w:rsidP="00E24DB7">
      <w:pPr>
        <w:pStyle w:val="SingleTxtG"/>
        <w:keepNext/>
        <w:ind w:left="2268" w:hanging="1134"/>
      </w:pPr>
      <w:r w:rsidRPr="002C5876">
        <w:t>3.1.1</w:t>
      </w:r>
      <w:r w:rsidRPr="002C5876">
        <w:tab/>
      </w:r>
      <w:r w:rsidRPr="002C5876">
        <w:rPr>
          <w:spacing w:val="-2"/>
        </w:rPr>
        <w:t xml:space="preserve">Les dispositions suivantes s’appliquent à tous les VHE-RE, VHE-NRE, VEP et </w:t>
      </w:r>
      <w:r w:rsidRPr="002C5876">
        <w:rPr>
          <w:szCs w:val="24"/>
        </w:rPr>
        <w:t>VHPC-NRE</w:t>
      </w:r>
      <w:r w:rsidRPr="002C5876">
        <w:rPr>
          <w:spacing w:val="-2"/>
        </w:rPr>
        <w:t> :</w:t>
      </w:r>
    </w:p>
    <w:p w:rsidR="00E24DB7" w:rsidRPr="002C5876" w:rsidRDefault="00E24DB7" w:rsidP="00E24DB7">
      <w:pPr>
        <w:pStyle w:val="SingleTxtG"/>
        <w:ind w:left="2268" w:hanging="1134"/>
      </w:pPr>
      <w:r w:rsidRPr="002C5876">
        <w:t>3.1.1.1</w:t>
      </w:r>
      <w:r w:rsidRPr="002C5876">
        <w:tab/>
        <w:t xml:space="preserve">Les véhicules doivent subir les essais conformément aux cycles d’essai applicables prescrits au </w:t>
      </w:r>
      <w:r w:rsidRPr="002C5876">
        <w:rPr>
          <w:szCs w:val="24"/>
        </w:rPr>
        <w:t xml:space="preserve">paragraphe 1.4.2 </w:t>
      </w:r>
      <w:r w:rsidRPr="002C5876">
        <w:rPr>
          <w:bCs/>
        </w:rPr>
        <w:t>de la présente annexe </w:t>
      </w:r>
      <w:r w:rsidRPr="002C5876">
        <w:t>;</w:t>
      </w:r>
    </w:p>
    <w:p w:rsidR="00E24DB7" w:rsidRPr="002C5876" w:rsidRDefault="00E24DB7" w:rsidP="00E24DB7">
      <w:pPr>
        <w:pStyle w:val="SingleTxtG"/>
        <w:ind w:left="2268" w:hanging="1134"/>
      </w:pPr>
      <w:r w:rsidRPr="002C5876">
        <w:t>3.1.1.2</w:t>
      </w:r>
      <w:r w:rsidRPr="002C5876">
        <w:tab/>
        <w:t xml:space="preserve">Lorsque le véhicule ne peut pas suivre la courbe de vitesse du cycle d’essai applicable </w:t>
      </w:r>
      <w:r w:rsidRPr="002C5876">
        <w:rPr>
          <w:bCs/>
        </w:rPr>
        <w:t>de la présente annexe dans les limites de tolérance</w:t>
      </w:r>
      <w:r w:rsidRPr="002C5876">
        <w:t xml:space="preserve"> spécifiées au </w:t>
      </w:r>
      <w:r w:rsidRPr="002C5876">
        <w:rPr>
          <w:szCs w:val="24"/>
        </w:rPr>
        <w:t xml:space="preserve">paragraphe 2.6.8.3 </w:t>
      </w:r>
      <w:r w:rsidRPr="002C5876">
        <w:t>de l’annexe 6,</w:t>
      </w:r>
      <w:r w:rsidRPr="002C5876">
        <w:rPr>
          <w:szCs w:val="24"/>
        </w:rPr>
        <w:t xml:space="preserve"> </w:t>
      </w:r>
      <w:r w:rsidRPr="002C5876">
        <w:t>la commande d’accélérateur doit, sauf autre disposition formulée, être actionnée à fond jusqu’à ce que la courbe de vitesse requise soit rattrapée</w:t>
      </w:r>
      <w:r w:rsidRPr="002C5876">
        <w:rPr>
          <w:bCs/>
        </w:rPr>
        <w:t> </w:t>
      </w:r>
      <w:r w:rsidRPr="002C5876">
        <w:t>;</w:t>
      </w:r>
    </w:p>
    <w:p w:rsidR="00E24DB7" w:rsidRPr="002C5876" w:rsidRDefault="00E24DB7" w:rsidP="00E24DB7">
      <w:pPr>
        <w:pStyle w:val="SingleTxtG"/>
        <w:ind w:left="2268" w:hanging="1134"/>
      </w:pPr>
      <w:r w:rsidRPr="002C5876">
        <w:t>3.1.1.3</w:t>
      </w:r>
      <w:r w:rsidRPr="002C5876">
        <w:tab/>
        <w:t xml:space="preserve">La </w:t>
      </w:r>
      <w:r w:rsidRPr="002C5876">
        <w:rPr>
          <w:szCs w:val="24"/>
        </w:rPr>
        <w:t xml:space="preserve">procédure de </w:t>
      </w:r>
      <w:r w:rsidRPr="002C5876">
        <w:t>démarrage de la chaîne de traction doit être activée au moyen des dispositifs prévus à cette fin selon les instructions du constructeur</w:t>
      </w:r>
      <w:r w:rsidRPr="002C5876">
        <w:rPr>
          <w:bCs/>
        </w:rPr>
        <w:t> </w:t>
      </w:r>
      <w:r w:rsidRPr="002C5876">
        <w:t>;</w:t>
      </w:r>
    </w:p>
    <w:p w:rsidR="00E24DB7" w:rsidRPr="002C5876" w:rsidRDefault="00E24DB7" w:rsidP="00E24DB7">
      <w:pPr>
        <w:pStyle w:val="SingleTxtG"/>
        <w:ind w:left="2268" w:hanging="1134"/>
      </w:pPr>
      <w:r w:rsidRPr="002C5876">
        <w:t>3.1.1.4</w:t>
      </w:r>
      <w:r w:rsidRPr="002C5876">
        <w:tab/>
        <w:t xml:space="preserve">Pour les </w:t>
      </w:r>
      <w:r w:rsidRPr="002C5876">
        <w:rPr>
          <w:spacing w:val="-2"/>
        </w:rPr>
        <w:t xml:space="preserve">VHE-RE, VHE-NRE et VEP, </w:t>
      </w:r>
      <w:r w:rsidRPr="002C5876">
        <w:t>les opérations de prélèvement des émissions d’échappement et de mesure de la consommation d’énergie électrique doivent commencer pour chaque cycle d’essai applicable avant ou juste au début de l’opération de démarrage du véhicule et s’achever à la fin de chaque cycle d’essai applicable</w:t>
      </w:r>
      <w:r w:rsidRPr="002C5876">
        <w:rPr>
          <w:bCs/>
        </w:rPr>
        <w:t> </w:t>
      </w:r>
      <w:r w:rsidRPr="002C5876">
        <w:t>;</w:t>
      </w:r>
    </w:p>
    <w:p w:rsidR="00E24DB7" w:rsidRPr="002C5876" w:rsidRDefault="00E24DB7" w:rsidP="00E24DB7">
      <w:pPr>
        <w:pStyle w:val="SingleTxtG"/>
        <w:ind w:left="2268" w:hanging="1134"/>
      </w:pPr>
      <w:r w:rsidRPr="002C5876">
        <w:t>3.1.1.5</w:t>
      </w:r>
      <w:r w:rsidRPr="002C5876">
        <w:tab/>
        <w:t xml:space="preserve">Pour les </w:t>
      </w:r>
      <w:r w:rsidRPr="002C5876">
        <w:rPr>
          <w:spacing w:val="-2"/>
        </w:rPr>
        <w:t>VHE-RE et VHE-NRE, l</w:t>
      </w:r>
      <w:r w:rsidRPr="002C5876">
        <w:t xml:space="preserve">es émissions de composés gazeux doivent être collectées et analysées pendant chacune des phases </w:t>
      </w:r>
      <w:r w:rsidRPr="002C5876">
        <w:rPr>
          <w:szCs w:val="24"/>
        </w:rPr>
        <w:t xml:space="preserve">individuelles </w:t>
      </w:r>
      <w:r w:rsidRPr="002C5876">
        <w:t>de l’essai. Il est permis d’omettre cette opération pendant les phases où le moteur à combustion ne fonctionne pas</w:t>
      </w:r>
      <w:r w:rsidRPr="002C5876">
        <w:rPr>
          <w:bCs/>
        </w:rPr>
        <w:t> </w:t>
      </w:r>
      <w:r w:rsidRPr="002C5876">
        <w:t>;</w:t>
      </w:r>
    </w:p>
    <w:p w:rsidR="00E24DB7" w:rsidRPr="002C5876" w:rsidRDefault="00E24DB7" w:rsidP="00E24DB7">
      <w:pPr>
        <w:pStyle w:val="SingleTxtG"/>
        <w:ind w:left="2268" w:hanging="1134"/>
        <w:rPr>
          <w:szCs w:val="24"/>
        </w:rPr>
      </w:pPr>
      <w:r w:rsidRPr="002C5876">
        <w:rPr>
          <w:szCs w:val="24"/>
          <w:lang w:eastAsia="ja-JP"/>
        </w:rPr>
        <w:t>3.1.1.6</w:t>
      </w:r>
      <w:r w:rsidRPr="002C5876">
        <w:rPr>
          <w:szCs w:val="24"/>
          <w:lang w:eastAsia="ja-JP"/>
        </w:rPr>
        <w:tab/>
        <w:t xml:space="preserve">Lorsqu’il y a lieu, le nombre de particule </w:t>
      </w:r>
      <w:r w:rsidRPr="002C5876">
        <w:t xml:space="preserve">doit être déterminé pendant chaque phase </w:t>
      </w:r>
      <w:r w:rsidRPr="002C5876">
        <w:rPr>
          <w:szCs w:val="24"/>
        </w:rPr>
        <w:t>individuelle</w:t>
      </w:r>
      <w:r w:rsidRPr="002C5876">
        <w:rPr>
          <w:szCs w:val="24"/>
          <w:lang w:eastAsia="ja-JP"/>
        </w:rPr>
        <w:t xml:space="preserve"> et </w:t>
      </w:r>
      <w:r w:rsidRPr="002C5876">
        <w:rPr>
          <w:spacing w:val="-2"/>
        </w:rPr>
        <w:t>l</w:t>
      </w:r>
      <w:r w:rsidRPr="002C5876">
        <w:t xml:space="preserve">es émissions de </w:t>
      </w:r>
      <w:r w:rsidRPr="002C5876">
        <w:rPr>
          <w:szCs w:val="24"/>
          <w:lang w:eastAsia="ja-JP"/>
        </w:rPr>
        <w:t xml:space="preserve">matières particulaires </w:t>
      </w:r>
      <w:r w:rsidRPr="002C5876">
        <w:t xml:space="preserve">déterminées pendant chaque cycle d’essai </w:t>
      </w:r>
      <w:r w:rsidRPr="002C5876">
        <w:rPr>
          <w:szCs w:val="24"/>
          <w:lang w:eastAsia="ja-JP"/>
        </w:rPr>
        <w:t>applicable.</w:t>
      </w:r>
    </w:p>
    <w:p w:rsidR="00E24DB7" w:rsidRPr="002C5876" w:rsidRDefault="00E24DB7" w:rsidP="00E24DB7">
      <w:pPr>
        <w:pStyle w:val="SingleTxtG"/>
        <w:keepLines/>
        <w:ind w:left="2268" w:hanging="1134"/>
      </w:pPr>
      <w:r w:rsidRPr="002C5876">
        <w:t>3.1.2</w:t>
      </w:r>
      <w:r w:rsidRPr="002C5876">
        <w:tab/>
        <w:t xml:space="preserve">Le refroidissement forcé comme décrit au paragraphe 2.7.2 de l’annexe 6 n’est applicable qu’à l’essai du type 1 de maintien de la charge pour les </w:t>
      </w:r>
      <w:r w:rsidRPr="002C5876">
        <w:rPr>
          <w:spacing w:val="-3"/>
        </w:rPr>
        <w:t>VHE</w:t>
      </w:r>
      <w:r w:rsidRPr="002C5876">
        <w:rPr>
          <w:spacing w:val="-3"/>
        </w:rPr>
        <w:noBreakHyphen/>
        <w:t xml:space="preserve">RE </w:t>
      </w:r>
      <w:r w:rsidRPr="002C5876">
        <w:t>conformément au paragraphe </w:t>
      </w:r>
      <w:r w:rsidRPr="002C5876">
        <w:rPr>
          <w:szCs w:val="24"/>
        </w:rPr>
        <w:t xml:space="preserve">3.2 </w:t>
      </w:r>
      <w:r w:rsidRPr="002C5876">
        <w:t>de la présente annexe et aux essais des VHE-NRE conformément au paragraphe </w:t>
      </w:r>
      <w:r w:rsidRPr="002C5876">
        <w:rPr>
          <w:szCs w:val="24"/>
        </w:rPr>
        <w:t xml:space="preserve">3.3 </w:t>
      </w:r>
      <w:r w:rsidRPr="002C5876">
        <w:t>de la présente annexe.</w:t>
      </w:r>
    </w:p>
    <w:p w:rsidR="00E24DB7" w:rsidRPr="002C5876" w:rsidRDefault="00E24DB7" w:rsidP="00E24DB7">
      <w:pPr>
        <w:pStyle w:val="SingleTxtG"/>
        <w:keepNext/>
        <w:ind w:left="2268" w:hanging="1134"/>
        <w:jc w:val="left"/>
        <w:rPr>
          <w:spacing w:val="-3"/>
        </w:rPr>
      </w:pPr>
      <w:r w:rsidRPr="002C5876">
        <w:rPr>
          <w:spacing w:val="-3"/>
        </w:rPr>
        <w:lastRenderedPageBreak/>
        <w:t>3.2</w:t>
      </w:r>
      <w:r w:rsidRPr="002C5876">
        <w:rPr>
          <w:spacing w:val="-3"/>
        </w:rPr>
        <w:tab/>
        <w:t>VHE-RE</w:t>
      </w:r>
    </w:p>
    <w:p w:rsidR="00E24DB7" w:rsidRPr="002C5876" w:rsidRDefault="00E24DB7" w:rsidP="00E24DB7">
      <w:pPr>
        <w:pStyle w:val="SingleTxtG"/>
        <w:keepNext/>
        <w:ind w:left="2268" w:hanging="1134"/>
      </w:pPr>
      <w:r w:rsidRPr="002C5876">
        <w:t>3.2.1</w:t>
      </w:r>
      <w:r w:rsidRPr="002C5876">
        <w:tab/>
        <w:t>Les véhicules doivent être essayés en mode épuisement de la charge (mode EC) et en mode maintien de la charge (mode MC)</w:t>
      </w:r>
    </w:p>
    <w:p w:rsidR="00E24DB7" w:rsidRPr="002C5876" w:rsidRDefault="00E24DB7" w:rsidP="00E24DB7">
      <w:pPr>
        <w:pStyle w:val="SingleTxtG"/>
        <w:keepNext/>
        <w:ind w:left="2268" w:hanging="1134"/>
      </w:pPr>
      <w:r w:rsidRPr="002C5876">
        <w:t>3.2.2</w:t>
      </w:r>
      <w:r w:rsidRPr="002C5876">
        <w:tab/>
        <w:t>Les véhicules peuvent être soumis aux essais dans le cadre de quatre types de séquences :</w:t>
      </w:r>
    </w:p>
    <w:p w:rsidR="00E24DB7" w:rsidRPr="002C5876" w:rsidRDefault="00E24DB7" w:rsidP="00E24DB7">
      <w:pPr>
        <w:pStyle w:val="SingleTxtG"/>
        <w:ind w:left="2268" w:hanging="1134"/>
      </w:pPr>
      <w:r w:rsidRPr="002C5876">
        <w:t>3.2.2.1</w:t>
      </w:r>
      <w:r w:rsidRPr="002C5876">
        <w:tab/>
        <w:t>Option 1 : essai d’épuisement de la charge du type 1, non suivi d’un essai de maintien de la charge du type 1 ;</w:t>
      </w:r>
    </w:p>
    <w:p w:rsidR="00E24DB7" w:rsidRPr="002C5876" w:rsidRDefault="00E24DB7" w:rsidP="00E24DB7">
      <w:pPr>
        <w:pStyle w:val="SingleTxtG"/>
        <w:ind w:left="2268" w:hanging="1134"/>
      </w:pPr>
      <w:r w:rsidRPr="002C5876">
        <w:t>3.2.2.2</w:t>
      </w:r>
      <w:r w:rsidRPr="002C5876">
        <w:tab/>
        <w:t xml:space="preserve">Option 2 : essai de maintien de la charge du type 1, non suivi d’un essai d’épuisement de la charge du type 1 ; </w:t>
      </w:r>
    </w:p>
    <w:p w:rsidR="00E24DB7" w:rsidRPr="002C5876" w:rsidRDefault="00E24DB7" w:rsidP="00E24DB7">
      <w:pPr>
        <w:pStyle w:val="SingleTxtG"/>
        <w:ind w:left="2268" w:hanging="1134"/>
      </w:pPr>
      <w:r w:rsidRPr="002C5876">
        <w:t>3.2.2.3</w:t>
      </w:r>
      <w:r w:rsidRPr="002C5876">
        <w:tab/>
        <w:t>Option 3 : essai d’épuisement de la charge du type 1 suivi d’un essai de maintien de la charge du type 1 ;</w:t>
      </w:r>
    </w:p>
    <w:p w:rsidR="00E24DB7" w:rsidRPr="002C5876" w:rsidRDefault="00E24DB7" w:rsidP="00E24DB7">
      <w:pPr>
        <w:pStyle w:val="SingleTxtG"/>
        <w:ind w:left="2268" w:hanging="1134"/>
      </w:pPr>
      <w:r w:rsidRPr="002C5876">
        <w:t>3.2.2.4</w:t>
      </w:r>
      <w:r w:rsidRPr="002C5876">
        <w:tab/>
        <w:t>Option 4 : essai de maintien de la charge du type 1 suivi d’un essai d’épuisement de la charge du type 1.</w:t>
      </w:r>
    </w:p>
    <w:p w:rsidR="00E24DB7" w:rsidRPr="002C5876" w:rsidRDefault="00E24DB7" w:rsidP="00E24DB7">
      <w:pPr>
        <w:pStyle w:val="H23G"/>
      </w:pPr>
      <w:r w:rsidRPr="002C5876">
        <w:rPr>
          <w:b w:val="0"/>
        </w:rPr>
        <w:tab/>
      </w:r>
      <w:r w:rsidRPr="002C5876">
        <w:rPr>
          <w:b w:val="0"/>
        </w:rPr>
        <w:tab/>
        <w:t>Schéma A8/1</w:t>
      </w:r>
      <w:r w:rsidRPr="002C5876">
        <w:br/>
        <w:t>Séquences possibles pour les essais des VHE-RE</w:t>
      </w:r>
    </w:p>
    <w:p w:rsidR="00E24DB7" w:rsidRPr="002C5876" w:rsidRDefault="00E24DB7" w:rsidP="00E24DB7">
      <w:pPr>
        <w:spacing w:line="240" w:lineRule="auto"/>
        <w:ind w:left="1134"/>
      </w:pPr>
      <w:bookmarkStart w:id="211" w:name="_MON_1458566560"/>
      <w:bookmarkStart w:id="212" w:name="_MON_1455947598"/>
      <w:bookmarkStart w:id="213" w:name="_MON_1456040471"/>
      <w:bookmarkStart w:id="214" w:name="_MON_1456040713"/>
      <w:bookmarkStart w:id="215" w:name="_MON_1456040717"/>
      <w:bookmarkStart w:id="216" w:name="_MON_1456040848"/>
      <w:bookmarkStart w:id="217" w:name="_MON_1456040852"/>
      <w:bookmarkStart w:id="218" w:name="_MON_1456041112"/>
      <w:bookmarkEnd w:id="211"/>
      <w:bookmarkEnd w:id="212"/>
      <w:bookmarkEnd w:id="213"/>
      <w:bookmarkEnd w:id="214"/>
      <w:bookmarkEnd w:id="215"/>
      <w:bookmarkEnd w:id="216"/>
      <w:bookmarkEnd w:id="217"/>
      <w:bookmarkEnd w:id="218"/>
      <w:r w:rsidRPr="002C5876">
        <w:rPr>
          <w:noProof/>
          <w:lang w:val="en-GB" w:eastAsia="zh-CN"/>
        </w:rPr>
        <mc:AlternateContent>
          <mc:Choice Requires="wps">
            <w:drawing>
              <wp:anchor distT="0" distB="0" distL="114300" distR="114300" simplePos="0" relativeHeight="251134976" behindDoc="0" locked="0" layoutInCell="1" allowOverlap="1" wp14:anchorId="4F9AA653" wp14:editId="7AEBA5ED">
                <wp:simplePos x="0" y="0"/>
                <wp:positionH relativeFrom="column">
                  <wp:posOffset>4963160</wp:posOffset>
                </wp:positionH>
                <wp:positionV relativeFrom="paragraph">
                  <wp:posOffset>4209415</wp:posOffset>
                </wp:positionV>
                <wp:extent cx="730250" cy="361950"/>
                <wp:effectExtent l="0" t="0" r="0" b="0"/>
                <wp:wrapNone/>
                <wp:docPr id="14229" name="Zone de texte 14229"/>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6F4A7A" w:rsidRDefault="00D53F39" w:rsidP="00E24DB7">
                            <w:pPr>
                              <w:spacing w:before="180" w:line="240" w:lineRule="auto"/>
                              <w:jc w:val="center"/>
                              <w:rPr>
                                <w:sz w:val="14"/>
                                <w:szCs w:val="14"/>
                              </w:rPr>
                            </w:pPr>
                            <w:r>
                              <w:rPr>
                                <w:sz w:val="14"/>
                                <w:szCs w:val="14"/>
                              </w:rPr>
                              <w:t>Recharge E</w:t>
                            </w:r>
                            <w:r w:rsidRPr="007E74C8">
                              <w:rPr>
                                <w:sz w:val="14"/>
                                <w:szCs w:val="14"/>
                                <w:vertAlign w:val="subscript"/>
                              </w:rPr>
                              <w:t>AC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AA653" id="Zone de texte 14229" o:spid="_x0000_s1486" type="#_x0000_t202" style="position:absolute;left:0;text-align:left;margin-left:390.8pt;margin-top:331.45pt;width:57.5pt;height:28.5pt;z-index:2511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" fillcolor="white [3201]" stroked="f" strokeweight=".5pt">
                <v:textbox inset="0,0,0,0">
                  <w:txbxContent>
                    <w:p w:rsidR="00D53F39" w:rsidRPr="006F4A7A" w:rsidRDefault="00D53F39" w:rsidP="00E24DB7">
                      <w:pPr>
                        <w:spacing w:before="180" w:line="240" w:lineRule="auto"/>
                        <w:jc w:val="center"/>
                        <w:rPr>
                          <w:sz w:val="14"/>
                          <w:szCs w:val="14"/>
                        </w:rPr>
                      </w:pPr>
                      <w:r>
                        <w:rPr>
                          <w:sz w:val="14"/>
                          <w:szCs w:val="14"/>
                        </w:rPr>
                        <w:t>Recharge E</w:t>
                      </w:r>
                      <w:r w:rsidRPr="007E74C8">
                        <w:rPr>
                          <w:sz w:val="14"/>
                          <w:szCs w:val="14"/>
                          <w:vertAlign w:val="subscript"/>
                        </w:rPr>
                        <w:t>AC</w:t>
                      </w:r>
                    </w:p>
                  </w:txbxContent>
                </v:textbox>
              </v:shape>
            </w:pict>
          </mc:Fallback>
        </mc:AlternateContent>
      </w:r>
      <w:r w:rsidRPr="002C5876">
        <w:rPr>
          <w:noProof/>
          <w:lang w:val="en-GB" w:eastAsia="zh-CN"/>
        </w:rPr>
        <mc:AlternateContent>
          <mc:Choice Requires="wps">
            <w:drawing>
              <wp:anchor distT="0" distB="0" distL="114300" distR="114300" simplePos="0" relativeHeight="251184128" behindDoc="0" locked="0" layoutInCell="1" allowOverlap="1" wp14:anchorId="3D4964E4" wp14:editId="43B058F8">
                <wp:simplePos x="0" y="0"/>
                <wp:positionH relativeFrom="column">
                  <wp:posOffset>4963160</wp:posOffset>
                </wp:positionH>
                <wp:positionV relativeFrom="paragraph">
                  <wp:posOffset>3041015</wp:posOffset>
                </wp:positionV>
                <wp:extent cx="730250" cy="361950"/>
                <wp:effectExtent l="0" t="0" r="0" b="0"/>
                <wp:wrapNone/>
                <wp:docPr id="14228" name="Zone de texte 14228"/>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6F4A7A" w:rsidRDefault="00D53F39" w:rsidP="00E24DB7">
                            <w:pPr>
                              <w:spacing w:before="180" w:line="240" w:lineRule="auto"/>
                              <w:jc w:val="center"/>
                              <w:rPr>
                                <w:sz w:val="14"/>
                                <w:szCs w:val="14"/>
                              </w:rPr>
                            </w:pPr>
                            <w:r>
                              <w:rPr>
                                <w:sz w:val="14"/>
                                <w:szCs w:val="14"/>
                              </w:rPr>
                              <w:t>Recharge E</w:t>
                            </w:r>
                            <w:r w:rsidRPr="007E74C8">
                              <w:rPr>
                                <w:sz w:val="14"/>
                                <w:szCs w:val="14"/>
                                <w:vertAlign w:val="subscript"/>
                              </w:rPr>
                              <w:t>AC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964E4" id="Zone de texte 14228" o:spid="_x0000_s1487" type="#_x0000_t202" style="position:absolute;left:0;text-align:left;margin-left:390.8pt;margin-top:239.45pt;width:57.5pt;height:28.5pt;z-index:2511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" fillcolor="white [3201]" stroked="f" strokeweight=".5pt">
                <v:textbox inset="0,0,0,0">
                  <w:txbxContent>
                    <w:p w:rsidR="00D53F39" w:rsidRPr="006F4A7A" w:rsidRDefault="00D53F39" w:rsidP="00E24DB7">
                      <w:pPr>
                        <w:spacing w:before="180" w:line="240" w:lineRule="auto"/>
                        <w:jc w:val="center"/>
                        <w:rPr>
                          <w:sz w:val="14"/>
                          <w:szCs w:val="14"/>
                        </w:rPr>
                      </w:pPr>
                      <w:r>
                        <w:rPr>
                          <w:sz w:val="14"/>
                          <w:szCs w:val="14"/>
                        </w:rPr>
                        <w:t>Recharge E</w:t>
                      </w:r>
                      <w:r w:rsidRPr="007E74C8">
                        <w:rPr>
                          <w:sz w:val="14"/>
                          <w:szCs w:val="14"/>
                          <w:vertAlign w:val="subscript"/>
                        </w:rPr>
                        <w:t>AC</w:t>
                      </w:r>
                    </w:p>
                  </w:txbxContent>
                </v:textbox>
              </v:shape>
            </w:pict>
          </mc:Fallback>
        </mc:AlternateContent>
      </w:r>
      <w:r w:rsidRPr="002C5876">
        <w:rPr>
          <w:noProof/>
          <w:lang w:val="en-GB" w:eastAsia="zh-CN"/>
        </w:rPr>
        <mc:AlternateContent>
          <mc:Choice Requires="wps">
            <w:drawing>
              <wp:anchor distT="0" distB="0" distL="114300" distR="114300" simplePos="0" relativeHeight="251182080" behindDoc="0" locked="0" layoutInCell="1" allowOverlap="1" wp14:anchorId="5F51E946" wp14:editId="646F11B2">
                <wp:simplePos x="0" y="0"/>
                <wp:positionH relativeFrom="column">
                  <wp:posOffset>3661410</wp:posOffset>
                </wp:positionH>
                <wp:positionV relativeFrom="paragraph">
                  <wp:posOffset>3650615</wp:posOffset>
                </wp:positionV>
                <wp:extent cx="730250" cy="361950"/>
                <wp:effectExtent l="0" t="0" r="0" b="0"/>
                <wp:wrapNone/>
                <wp:docPr id="128" name="Zone de texte 128"/>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6F4A7A" w:rsidRDefault="00D53F39" w:rsidP="00E24DB7">
                            <w:pPr>
                              <w:spacing w:before="180" w:line="240" w:lineRule="auto"/>
                              <w:jc w:val="center"/>
                              <w:rPr>
                                <w:sz w:val="14"/>
                                <w:szCs w:val="14"/>
                              </w:rPr>
                            </w:pPr>
                            <w:r>
                              <w:rPr>
                                <w:sz w:val="14"/>
                                <w:szCs w:val="14"/>
                              </w:rPr>
                              <w:t>Recharge E</w:t>
                            </w:r>
                            <w:r w:rsidRPr="007E74C8">
                              <w:rPr>
                                <w:sz w:val="14"/>
                                <w:szCs w:val="14"/>
                                <w:vertAlign w:val="subscript"/>
                              </w:rPr>
                              <w:t>AC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1E946" id="Zone de texte 128" o:spid="_x0000_s1488" type="#_x0000_t202" style="position:absolute;left:0;text-align:left;margin-left:288.3pt;margin-top:287.45pt;width:57.5pt;height:28.5pt;z-index:2511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" fillcolor="white [3201]" stroked="f" strokeweight=".5pt">
                <v:textbox inset="0,0,0,0">
                  <w:txbxContent>
                    <w:p w:rsidR="00D53F39" w:rsidRPr="006F4A7A" w:rsidRDefault="00D53F39" w:rsidP="00E24DB7">
                      <w:pPr>
                        <w:spacing w:before="180" w:line="240" w:lineRule="auto"/>
                        <w:jc w:val="center"/>
                        <w:rPr>
                          <w:sz w:val="14"/>
                          <w:szCs w:val="14"/>
                        </w:rPr>
                      </w:pPr>
                      <w:r>
                        <w:rPr>
                          <w:sz w:val="14"/>
                          <w:szCs w:val="14"/>
                        </w:rPr>
                        <w:t>Recharge E</w:t>
                      </w:r>
                      <w:r w:rsidRPr="007E74C8">
                        <w:rPr>
                          <w:sz w:val="14"/>
                          <w:szCs w:val="14"/>
                          <w:vertAlign w:val="subscript"/>
                        </w:rPr>
                        <w:t>AC</w:t>
                      </w:r>
                    </w:p>
                  </w:txbxContent>
                </v:textbox>
              </v:shape>
            </w:pict>
          </mc:Fallback>
        </mc:AlternateContent>
      </w:r>
      <w:r w:rsidRPr="002C5876">
        <w:rPr>
          <w:noProof/>
          <w:lang w:val="en-GB" w:eastAsia="zh-CN"/>
        </w:rPr>
        <mc:AlternateContent>
          <mc:Choice Requires="wps">
            <w:drawing>
              <wp:anchor distT="0" distB="0" distL="114300" distR="114300" simplePos="0" relativeHeight="251180032" behindDoc="0" locked="0" layoutInCell="1" allowOverlap="1" wp14:anchorId="1406CFC1" wp14:editId="645CDCC7">
                <wp:simplePos x="0" y="0"/>
                <wp:positionH relativeFrom="column">
                  <wp:posOffset>1026160</wp:posOffset>
                </wp:positionH>
                <wp:positionV relativeFrom="paragraph">
                  <wp:posOffset>2507615</wp:posOffset>
                </wp:positionV>
                <wp:extent cx="730250" cy="361950"/>
                <wp:effectExtent l="0" t="0" r="0" b="0"/>
                <wp:wrapNone/>
                <wp:docPr id="75" name="Zone de texte 75"/>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6F4A7A" w:rsidRDefault="00D53F39" w:rsidP="00E24DB7">
                            <w:pPr>
                              <w:spacing w:before="180" w:line="240" w:lineRule="auto"/>
                              <w:jc w:val="center"/>
                              <w:rPr>
                                <w:sz w:val="14"/>
                                <w:szCs w:val="14"/>
                              </w:rPr>
                            </w:pPr>
                            <w:r>
                              <w:rPr>
                                <w:sz w:val="14"/>
                                <w:szCs w:val="14"/>
                              </w:rPr>
                              <w:t>Recharge E</w:t>
                            </w:r>
                            <w:r w:rsidRPr="007E74C8">
                              <w:rPr>
                                <w:sz w:val="14"/>
                                <w:szCs w:val="14"/>
                                <w:vertAlign w:val="subscript"/>
                              </w:rPr>
                              <w:t>AC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6CFC1" id="Zone de texte 75" o:spid="_x0000_s1489" type="#_x0000_t202" style="position:absolute;left:0;text-align:left;margin-left:80.8pt;margin-top:197.45pt;width:57.5pt;height:28.5pt;z-index:2511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" fillcolor="white [3201]" stroked="f" strokeweight=".5pt">
                <v:textbox inset="0,0,0,0">
                  <w:txbxContent>
                    <w:p w:rsidR="00D53F39" w:rsidRPr="006F4A7A" w:rsidRDefault="00D53F39" w:rsidP="00E24DB7">
                      <w:pPr>
                        <w:spacing w:before="180" w:line="240" w:lineRule="auto"/>
                        <w:jc w:val="center"/>
                        <w:rPr>
                          <w:sz w:val="14"/>
                          <w:szCs w:val="14"/>
                        </w:rPr>
                      </w:pPr>
                      <w:r>
                        <w:rPr>
                          <w:sz w:val="14"/>
                          <w:szCs w:val="14"/>
                        </w:rPr>
                        <w:t>Recharge E</w:t>
                      </w:r>
                      <w:r w:rsidRPr="007E74C8">
                        <w:rPr>
                          <w:sz w:val="14"/>
                          <w:szCs w:val="14"/>
                          <w:vertAlign w:val="subscript"/>
                        </w:rPr>
                        <w:t>AC</w:t>
                      </w:r>
                    </w:p>
                  </w:txbxContent>
                </v:textbox>
              </v:shape>
            </w:pict>
          </mc:Fallback>
        </mc:AlternateContent>
      </w:r>
      <w:r w:rsidRPr="002C5876">
        <w:rPr>
          <w:noProof/>
          <w:lang w:val="en-GB" w:eastAsia="zh-CN"/>
        </w:rPr>
        <mc:AlternateContent>
          <mc:Choice Requires="wps">
            <w:drawing>
              <wp:anchor distT="0" distB="0" distL="114300" distR="114300" simplePos="0" relativeHeight="251177984" behindDoc="0" locked="0" layoutInCell="1" allowOverlap="1" wp14:anchorId="598EAAF0" wp14:editId="5140A190">
                <wp:simplePos x="0" y="0"/>
                <wp:positionH relativeFrom="column">
                  <wp:posOffset>4956810</wp:posOffset>
                </wp:positionH>
                <wp:positionV relativeFrom="paragraph">
                  <wp:posOffset>2469515</wp:posOffset>
                </wp:positionV>
                <wp:extent cx="730250" cy="361950"/>
                <wp:effectExtent l="0" t="0" r="0" b="0"/>
                <wp:wrapNone/>
                <wp:docPr id="74" name="Zone de texte 74"/>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6F4A7A" w:rsidRDefault="00D53F39" w:rsidP="00E24DB7">
                            <w:pPr>
                              <w:spacing w:before="180" w:line="240" w:lineRule="auto"/>
                              <w:jc w:val="center"/>
                              <w:rPr>
                                <w:sz w:val="14"/>
                                <w:szCs w:val="14"/>
                              </w:rPr>
                            </w:pPr>
                            <w:r>
                              <w:rPr>
                                <w:sz w:val="14"/>
                                <w:szCs w:val="14"/>
                              </w:rPr>
                              <w:t>Essai MC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EAAF0" id="Zone de texte 74" o:spid="_x0000_s1490" type="#_x0000_t202" style="position:absolute;left:0;text-align:left;margin-left:390.3pt;margin-top:194.45pt;width:57.5pt;height:28.5pt;z-index:2511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" fillcolor="white [3201]" stroked="f" strokeweight=".5pt">
                <v:textbox inset="0,0,0,0">
                  <w:txbxContent>
                    <w:p w:rsidR="00D53F39" w:rsidRPr="006F4A7A" w:rsidRDefault="00D53F39" w:rsidP="00E24DB7">
                      <w:pPr>
                        <w:spacing w:before="180" w:line="240" w:lineRule="auto"/>
                        <w:jc w:val="center"/>
                        <w:rPr>
                          <w:sz w:val="14"/>
                          <w:szCs w:val="14"/>
                        </w:rPr>
                      </w:pPr>
                      <w:r>
                        <w:rPr>
                          <w:sz w:val="14"/>
                          <w:szCs w:val="14"/>
                        </w:rPr>
                        <w:t>Essai MC</w:t>
                      </w:r>
                    </w:p>
                  </w:txbxContent>
                </v:textbox>
              </v:shape>
            </w:pict>
          </mc:Fallback>
        </mc:AlternateContent>
      </w:r>
      <w:r w:rsidRPr="002C5876">
        <w:rPr>
          <w:noProof/>
          <w:lang w:val="en-GB" w:eastAsia="zh-CN"/>
        </w:rPr>
        <mc:AlternateContent>
          <mc:Choice Requires="wps">
            <w:drawing>
              <wp:anchor distT="0" distB="0" distL="114300" distR="114300" simplePos="0" relativeHeight="251175936" behindDoc="0" locked="0" layoutInCell="1" allowOverlap="1" wp14:anchorId="3782EC20" wp14:editId="34A96729">
                <wp:simplePos x="0" y="0"/>
                <wp:positionH relativeFrom="column">
                  <wp:posOffset>3661410</wp:posOffset>
                </wp:positionH>
                <wp:positionV relativeFrom="paragraph">
                  <wp:posOffset>3066415</wp:posOffset>
                </wp:positionV>
                <wp:extent cx="730250" cy="361950"/>
                <wp:effectExtent l="0" t="0" r="0" b="0"/>
                <wp:wrapNone/>
                <wp:docPr id="72" name="Zone de texte 72"/>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6F4A7A" w:rsidRDefault="00D53F39" w:rsidP="00E24DB7">
                            <w:pPr>
                              <w:spacing w:before="180" w:line="240" w:lineRule="auto"/>
                              <w:jc w:val="center"/>
                              <w:rPr>
                                <w:sz w:val="14"/>
                                <w:szCs w:val="14"/>
                              </w:rPr>
                            </w:pPr>
                            <w:r>
                              <w:rPr>
                                <w:sz w:val="14"/>
                                <w:szCs w:val="14"/>
                              </w:rPr>
                              <w:t>Essai MC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2EC20" id="Zone de texte 72" o:spid="_x0000_s1491" type="#_x0000_t202" style="position:absolute;left:0;text-align:left;margin-left:288.3pt;margin-top:241.45pt;width:57.5pt;height:28.5pt;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" fillcolor="white [3201]" stroked="f" strokeweight=".5pt">
                <v:textbox inset="0,0,0,0">
                  <w:txbxContent>
                    <w:p w:rsidR="00D53F39" w:rsidRPr="006F4A7A" w:rsidRDefault="00D53F39" w:rsidP="00E24DB7">
                      <w:pPr>
                        <w:spacing w:before="180" w:line="240" w:lineRule="auto"/>
                        <w:jc w:val="center"/>
                        <w:rPr>
                          <w:sz w:val="14"/>
                          <w:szCs w:val="14"/>
                        </w:rPr>
                      </w:pPr>
                      <w:r>
                        <w:rPr>
                          <w:sz w:val="14"/>
                          <w:szCs w:val="14"/>
                        </w:rPr>
                        <w:t>Essai MC</w:t>
                      </w:r>
                    </w:p>
                  </w:txbxContent>
                </v:textbox>
              </v:shape>
            </w:pict>
          </mc:Fallback>
        </mc:AlternateContent>
      </w:r>
      <w:r w:rsidRPr="002C5876">
        <w:rPr>
          <w:noProof/>
          <w:lang w:val="en-GB" w:eastAsia="zh-CN"/>
        </w:rPr>
        <mc:AlternateContent>
          <mc:Choice Requires="wps">
            <w:drawing>
              <wp:anchor distT="0" distB="0" distL="114300" distR="114300" simplePos="0" relativeHeight="251173888" behindDoc="0" locked="0" layoutInCell="1" allowOverlap="1" wp14:anchorId="61E75A12" wp14:editId="03775E00">
                <wp:simplePos x="0" y="0"/>
                <wp:positionH relativeFrom="column">
                  <wp:posOffset>2372360</wp:posOffset>
                </wp:positionH>
                <wp:positionV relativeFrom="paragraph">
                  <wp:posOffset>2507615</wp:posOffset>
                </wp:positionV>
                <wp:extent cx="730250" cy="361950"/>
                <wp:effectExtent l="0" t="0" r="0" b="0"/>
                <wp:wrapNone/>
                <wp:docPr id="71" name="Zone de texte 71"/>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6F4A7A" w:rsidRDefault="00D53F39" w:rsidP="00E24DB7">
                            <w:pPr>
                              <w:spacing w:before="180" w:line="240" w:lineRule="auto"/>
                              <w:jc w:val="center"/>
                              <w:rPr>
                                <w:sz w:val="14"/>
                                <w:szCs w:val="14"/>
                              </w:rPr>
                            </w:pPr>
                            <w:r>
                              <w:rPr>
                                <w:sz w:val="14"/>
                                <w:szCs w:val="14"/>
                              </w:rPr>
                              <w:t>Essai MC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75A12" id="Zone de texte 71" o:spid="_x0000_s1492" type="#_x0000_t202" style="position:absolute;left:0;text-align:left;margin-left:186.8pt;margin-top:197.45pt;width:57.5pt;height:28.5pt;z-index:2511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" fillcolor="white [3201]" stroked="f" strokeweight=".5pt">
                <v:textbox inset="0,0,0,0">
                  <w:txbxContent>
                    <w:p w:rsidR="00D53F39" w:rsidRPr="006F4A7A" w:rsidRDefault="00D53F39" w:rsidP="00E24DB7">
                      <w:pPr>
                        <w:spacing w:before="180" w:line="240" w:lineRule="auto"/>
                        <w:jc w:val="center"/>
                        <w:rPr>
                          <w:sz w:val="14"/>
                          <w:szCs w:val="14"/>
                        </w:rPr>
                      </w:pPr>
                      <w:r>
                        <w:rPr>
                          <w:sz w:val="14"/>
                          <w:szCs w:val="14"/>
                        </w:rPr>
                        <w:t>Essai MC</w:t>
                      </w:r>
                    </w:p>
                  </w:txbxContent>
                </v:textbox>
              </v:shape>
            </w:pict>
          </mc:Fallback>
        </mc:AlternateContent>
      </w:r>
      <w:r w:rsidRPr="002C5876">
        <w:rPr>
          <w:noProof/>
          <w:lang w:val="en-GB" w:eastAsia="zh-CN"/>
        </w:rPr>
        <mc:AlternateContent>
          <mc:Choice Requires="wps">
            <w:drawing>
              <wp:anchor distT="0" distB="0" distL="114300" distR="114300" simplePos="0" relativeHeight="251171840" behindDoc="0" locked="0" layoutInCell="1" allowOverlap="1" wp14:anchorId="155DEA56" wp14:editId="4EF3B1E5">
                <wp:simplePos x="0" y="0"/>
                <wp:positionH relativeFrom="column">
                  <wp:posOffset>4963160</wp:posOffset>
                </wp:positionH>
                <wp:positionV relativeFrom="paragraph">
                  <wp:posOffset>3631565</wp:posOffset>
                </wp:positionV>
                <wp:extent cx="730250" cy="361950"/>
                <wp:effectExtent l="0" t="0" r="0" b="0"/>
                <wp:wrapNone/>
                <wp:docPr id="70" name="Zone de texte 70"/>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6F4A7A" w:rsidRDefault="00D53F39" w:rsidP="00E24DB7">
                            <w:pPr>
                              <w:spacing w:before="180" w:line="240" w:lineRule="auto"/>
                              <w:jc w:val="center"/>
                              <w:rPr>
                                <w:sz w:val="14"/>
                                <w:szCs w:val="14"/>
                              </w:rPr>
                            </w:pPr>
                            <w:r>
                              <w:rPr>
                                <w:sz w:val="14"/>
                                <w:szCs w:val="14"/>
                              </w:rPr>
                              <w:t>Essai EC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DEA56" id="Zone de texte 70" o:spid="_x0000_s1493" type="#_x0000_t202" style="position:absolute;left:0;text-align:left;margin-left:390.8pt;margin-top:285.95pt;width:57.5pt;height:28.5pt;z-index:2511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" fillcolor="white [3201]" stroked="f" strokeweight=".5pt">
                <v:textbox inset="0,0,0,0">
                  <w:txbxContent>
                    <w:p w:rsidR="00D53F39" w:rsidRPr="006F4A7A" w:rsidRDefault="00D53F39" w:rsidP="00E24DB7">
                      <w:pPr>
                        <w:spacing w:before="180" w:line="240" w:lineRule="auto"/>
                        <w:jc w:val="center"/>
                        <w:rPr>
                          <w:sz w:val="14"/>
                          <w:szCs w:val="14"/>
                        </w:rPr>
                      </w:pPr>
                      <w:r>
                        <w:rPr>
                          <w:sz w:val="14"/>
                          <w:szCs w:val="14"/>
                        </w:rPr>
                        <w:t>Essai EC</w:t>
                      </w:r>
                    </w:p>
                  </w:txbxContent>
                </v:textbox>
              </v:shape>
            </w:pict>
          </mc:Fallback>
        </mc:AlternateContent>
      </w:r>
      <w:r w:rsidRPr="002C5876">
        <w:rPr>
          <w:noProof/>
          <w:lang w:val="en-GB" w:eastAsia="zh-CN"/>
        </w:rPr>
        <mc:AlternateContent>
          <mc:Choice Requires="wps">
            <w:drawing>
              <wp:anchor distT="0" distB="0" distL="114300" distR="114300" simplePos="0" relativeHeight="251169792" behindDoc="0" locked="0" layoutInCell="1" allowOverlap="1" wp14:anchorId="75FC710F" wp14:editId="708A489A">
                <wp:simplePos x="0" y="0"/>
                <wp:positionH relativeFrom="column">
                  <wp:posOffset>3661410</wp:posOffset>
                </wp:positionH>
                <wp:positionV relativeFrom="paragraph">
                  <wp:posOffset>1910715</wp:posOffset>
                </wp:positionV>
                <wp:extent cx="730250" cy="361950"/>
                <wp:effectExtent l="0" t="0" r="0" b="0"/>
                <wp:wrapNone/>
                <wp:docPr id="69" name="Zone de texte 69"/>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6F4A7A" w:rsidRDefault="00D53F39" w:rsidP="00E24DB7">
                            <w:pPr>
                              <w:spacing w:before="180" w:line="240" w:lineRule="auto"/>
                              <w:jc w:val="center"/>
                              <w:rPr>
                                <w:sz w:val="14"/>
                                <w:szCs w:val="14"/>
                              </w:rPr>
                            </w:pPr>
                            <w:r>
                              <w:rPr>
                                <w:sz w:val="14"/>
                                <w:szCs w:val="14"/>
                              </w:rPr>
                              <w:t>Essai EC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C710F" id="Zone de texte 69" o:spid="_x0000_s1494" type="#_x0000_t202" style="position:absolute;left:0;text-align:left;margin-left:288.3pt;margin-top:150.45pt;width:57.5pt;height:28.5pt;z-index:2511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" fillcolor="white [3201]" stroked="f" strokeweight=".5pt">
                <v:textbox inset="0,0,0,0">
                  <w:txbxContent>
                    <w:p w:rsidR="00D53F39" w:rsidRPr="006F4A7A" w:rsidRDefault="00D53F39" w:rsidP="00E24DB7">
                      <w:pPr>
                        <w:spacing w:before="180" w:line="240" w:lineRule="auto"/>
                        <w:jc w:val="center"/>
                        <w:rPr>
                          <w:sz w:val="14"/>
                          <w:szCs w:val="14"/>
                        </w:rPr>
                      </w:pPr>
                      <w:r>
                        <w:rPr>
                          <w:sz w:val="14"/>
                          <w:szCs w:val="14"/>
                        </w:rPr>
                        <w:t>Essai EC</w:t>
                      </w:r>
                    </w:p>
                  </w:txbxContent>
                </v:textbox>
              </v:shape>
            </w:pict>
          </mc:Fallback>
        </mc:AlternateContent>
      </w:r>
      <w:r w:rsidRPr="002C5876">
        <w:rPr>
          <w:noProof/>
          <w:lang w:val="en-GB" w:eastAsia="zh-CN"/>
        </w:rPr>
        <mc:AlternateContent>
          <mc:Choice Requires="wps">
            <w:drawing>
              <wp:anchor distT="0" distB="0" distL="114300" distR="114300" simplePos="0" relativeHeight="251167744" behindDoc="0" locked="0" layoutInCell="1" allowOverlap="1" wp14:anchorId="04103B67" wp14:editId="7DC390D7">
                <wp:simplePos x="0" y="0"/>
                <wp:positionH relativeFrom="column">
                  <wp:posOffset>1038860</wp:posOffset>
                </wp:positionH>
                <wp:positionV relativeFrom="paragraph">
                  <wp:posOffset>1929765</wp:posOffset>
                </wp:positionV>
                <wp:extent cx="730250" cy="361950"/>
                <wp:effectExtent l="0" t="0" r="0" b="0"/>
                <wp:wrapNone/>
                <wp:docPr id="68" name="Zone de texte 68"/>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6F4A7A" w:rsidRDefault="00D53F39" w:rsidP="00E24DB7">
                            <w:pPr>
                              <w:spacing w:before="180" w:line="240" w:lineRule="auto"/>
                              <w:jc w:val="center"/>
                              <w:rPr>
                                <w:sz w:val="14"/>
                                <w:szCs w:val="14"/>
                              </w:rPr>
                            </w:pPr>
                            <w:r>
                              <w:rPr>
                                <w:sz w:val="14"/>
                                <w:szCs w:val="14"/>
                              </w:rPr>
                              <w:t>Essai EC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03B67" id="Zone de texte 68" o:spid="_x0000_s1495" type="#_x0000_t202" style="position:absolute;left:0;text-align:left;margin-left:81.8pt;margin-top:151.95pt;width:57.5pt;height:28.5pt;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" fillcolor="white [3201]" stroked="f" strokeweight=".5pt">
                <v:textbox inset="0,0,0,0">
                  <w:txbxContent>
                    <w:p w:rsidR="00D53F39" w:rsidRPr="006F4A7A" w:rsidRDefault="00D53F39" w:rsidP="00E24DB7">
                      <w:pPr>
                        <w:spacing w:before="180" w:line="240" w:lineRule="auto"/>
                        <w:jc w:val="center"/>
                        <w:rPr>
                          <w:sz w:val="14"/>
                          <w:szCs w:val="14"/>
                        </w:rPr>
                      </w:pPr>
                      <w:r>
                        <w:rPr>
                          <w:sz w:val="14"/>
                          <w:szCs w:val="14"/>
                        </w:rPr>
                        <w:t>Essai EC</w:t>
                      </w:r>
                    </w:p>
                  </w:txbxContent>
                </v:textbox>
              </v:shape>
            </w:pict>
          </mc:Fallback>
        </mc:AlternateContent>
      </w:r>
      <w:r w:rsidRPr="002C5876">
        <w:rPr>
          <w:noProof/>
          <w:lang w:val="en-GB" w:eastAsia="zh-CN"/>
        </w:rPr>
        <mc:AlternateContent>
          <mc:Choice Requires="wps">
            <w:drawing>
              <wp:anchor distT="0" distB="0" distL="114300" distR="114300" simplePos="0" relativeHeight="251165696" behindDoc="0" locked="0" layoutInCell="1" allowOverlap="1" wp14:anchorId="529891AC" wp14:editId="42196035">
                <wp:simplePos x="0" y="0"/>
                <wp:positionH relativeFrom="column">
                  <wp:posOffset>3661410</wp:posOffset>
                </wp:positionH>
                <wp:positionV relativeFrom="paragraph">
                  <wp:posOffset>2488565</wp:posOffset>
                </wp:positionV>
                <wp:extent cx="730250" cy="361950"/>
                <wp:effectExtent l="0" t="0" r="0" b="0"/>
                <wp:wrapNone/>
                <wp:docPr id="67" name="Zone de texte 67"/>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6F4A7A" w:rsidRDefault="00D53F39" w:rsidP="00E24DB7">
                            <w:pPr>
                              <w:spacing w:before="180" w:line="240" w:lineRule="auto"/>
                              <w:jc w:val="center"/>
                              <w:rPr>
                                <w:sz w:val="14"/>
                                <w:szCs w:val="14"/>
                              </w:rPr>
                            </w:pPr>
                            <w:r>
                              <w:rPr>
                                <w:sz w:val="14"/>
                                <w:szCs w:val="14"/>
                              </w:rPr>
                              <w:t>Stabilisation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891AC" id="Zone de texte 67" o:spid="_x0000_s1496" type="#_x0000_t202" style="position:absolute;left:0;text-align:left;margin-left:288.3pt;margin-top:195.95pt;width:57.5pt;height:28.5pt;z-index:2511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" fillcolor="white [3201]" stroked="f" strokeweight=".5pt">
                <v:textbox inset="0,0,0,0">
                  <w:txbxContent>
                    <w:p w:rsidR="00D53F39" w:rsidRPr="006F4A7A" w:rsidRDefault="00D53F39" w:rsidP="00E24DB7">
                      <w:pPr>
                        <w:spacing w:before="180" w:line="240" w:lineRule="auto"/>
                        <w:jc w:val="center"/>
                        <w:rPr>
                          <w:sz w:val="14"/>
                          <w:szCs w:val="14"/>
                        </w:rPr>
                      </w:pPr>
                      <w:r>
                        <w:rPr>
                          <w:sz w:val="14"/>
                          <w:szCs w:val="14"/>
                        </w:rPr>
                        <w:t>Stabilisation</w:t>
                      </w:r>
                    </w:p>
                  </w:txbxContent>
                </v:textbox>
              </v:shape>
            </w:pict>
          </mc:Fallback>
        </mc:AlternateContent>
      </w:r>
      <w:r w:rsidRPr="002C5876">
        <w:rPr>
          <w:noProof/>
          <w:lang w:val="en-GB" w:eastAsia="zh-CN"/>
        </w:rPr>
        <mc:AlternateContent>
          <mc:Choice Requires="wps">
            <w:drawing>
              <wp:anchor distT="0" distB="0" distL="114300" distR="114300" simplePos="0" relativeHeight="251163648" behindDoc="0" locked="0" layoutInCell="1" allowOverlap="1" wp14:anchorId="628C9A3B" wp14:editId="4705C67D">
                <wp:simplePos x="0" y="0"/>
                <wp:positionH relativeFrom="column">
                  <wp:posOffset>4963160</wp:posOffset>
                </wp:positionH>
                <wp:positionV relativeFrom="paragraph">
                  <wp:posOffset>1898015</wp:posOffset>
                </wp:positionV>
                <wp:extent cx="730250" cy="361950"/>
                <wp:effectExtent l="0" t="0" r="0" b="0"/>
                <wp:wrapNone/>
                <wp:docPr id="66" name="Zone de texte 66"/>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6F4A7A" w:rsidRDefault="00D53F39" w:rsidP="00E24DB7">
                            <w:pPr>
                              <w:spacing w:before="180" w:line="240" w:lineRule="auto"/>
                              <w:jc w:val="center"/>
                              <w:rPr>
                                <w:sz w:val="14"/>
                                <w:szCs w:val="14"/>
                              </w:rPr>
                            </w:pPr>
                            <w:r>
                              <w:rPr>
                                <w:sz w:val="14"/>
                                <w:szCs w:val="14"/>
                              </w:rPr>
                              <w:t>Stabilisation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C9A3B" id="Zone de texte 66" o:spid="_x0000_s1497" type="#_x0000_t202" style="position:absolute;left:0;text-align:left;margin-left:390.8pt;margin-top:149.45pt;width:57.5pt;height:28.5pt;z-index:2511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" fillcolor="white [3201]" stroked="f" strokeweight=".5pt">
                <v:textbox inset="0,0,0,0">
                  <w:txbxContent>
                    <w:p w:rsidR="00D53F39" w:rsidRPr="006F4A7A" w:rsidRDefault="00D53F39" w:rsidP="00E24DB7">
                      <w:pPr>
                        <w:spacing w:before="180" w:line="240" w:lineRule="auto"/>
                        <w:jc w:val="center"/>
                        <w:rPr>
                          <w:sz w:val="14"/>
                          <w:szCs w:val="14"/>
                        </w:rPr>
                      </w:pPr>
                      <w:r>
                        <w:rPr>
                          <w:sz w:val="14"/>
                          <w:szCs w:val="14"/>
                        </w:rPr>
                        <w:t>Stabilisation</w:t>
                      </w:r>
                    </w:p>
                  </w:txbxContent>
                </v:textbox>
              </v:shape>
            </w:pict>
          </mc:Fallback>
        </mc:AlternateContent>
      </w:r>
      <w:r w:rsidRPr="002C5876">
        <w:rPr>
          <w:noProof/>
          <w:lang w:val="en-GB" w:eastAsia="zh-CN"/>
        </w:rPr>
        <mc:AlternateContent>
          <mc:Choice Requires="wps">
            <w:drawing>
              <wp:anchor distT="0" distB="0" distL="114300" distR="114300" simplePos="0" relativeHeight="251161600" behindDoc="0" locked="0" layoutInCell="1" allowOverlap="1" wp14:anchorId="439C8952" wp14:editId="674CD572">
                <wp:simplePos x="0" y="0"/>
                <wp:positionH relativeFrom="column">
                  <wp:posOffset>2366010</wp:posOffset>
                </wp:positionH>
                <wp:positionV relativeFrom="paragraph">
                  <wp:posOffset>1936115</wp:posOffset>
                </wp:positionV>
                <wp:extent cx="730250" cy="361950"/>
                <wp:effectExtent l="0" t="0" r="0" b="0"/>
                <wp:wrapNone/>
                <wp:docPr id="65" name="Zone de texte 65"/>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6F4A7A" w:rsidRDefault="00D53F39" w:rsidP="00E24DB7">
                            <w:pPr>
                              <w:spacing w:before="180" w:line="240" w:lineRule="auto"/>
                              <w:jc w:val="center"/>
                              <w:rPr>
                                <w:sz w:val="14"/>
                                <w:szCs w:val="14"/>
                              </w:rPr>
                            </w:pPr>
                            <w:r>
                              <w:rPr>
                                <w:sz w:val="14"/>
                                <w:szCs w:val="14"/>
                              </w:rPr>
                              <w:t>Stabilisation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C8952" id="Zone de texte 65" o:spid="_x0000_s1498" type="#_x0000_t202" style="position:absolute;left:0;text-align:left;margin-left:186.3pt;margin-top:152.45pt;width:57.5pt;height:28.5pt;z-index:2511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" fillcolor="white [3201]" stroked="f" strokeweight=".5pt">
                <v:textbox inset="0,0,0,0">
                  <w:txbxContent>
                    <w:p w:rsidR="00D53F39" w:rsidRPr="006F4A7A" w:rsidRDefault="00D53F39" w:rsidP="00E24DB7">
                      <w:pPr>
                        <w:spacing w:before="180" w:line="240" w:lineRule="auto"/>
                        <w:jc w:val="center"/>
                        <w:rPr>
                          <w:sz w:val="14"/>
                          <w:szCs w:val="14"/>
                        </w:rPr>
                      </w:pPr>
                      <w:r>
                        <w:rPr>
                          <w:sz w:val="14"/>
                          <w:szCs w:val="14"/>
                        </w:rPr>
                        <w:t>Stabilisation</w:t>
                      </w:r>
                    </w:p>
                  </w:txbxContent>
                </v:textbox>
              </v:shape>
            </w:pict>
          </mc:Fallback>
        </mc:AlternateContent>
      </w:r>
      <w:r w:rsidRPr="002C5876">
        <w:rPr>
          <w:noProof/>
          <w:lang w:val="en-GB" w:eastAsia="zh-CN"/>
        </w:rPr>
        <mc:AlternateContent>
          <mc:Choice Requires="wps">
            <w:drawing>
              <wp:anchor distT="0" distB="0" distL="114300" distR="114300" simplePos="0" relativeHeight="251159552" behindDoc="0" locked="0" layoutInCell="1" allowOverlap="1" wp14:anchorId="09A55B45" wp14:editId="27AB2C47">
                <wp:simplePos x="0" y="0"/>
                <wp:positionH relativeFrom="column">
                  <wp:posOffset>3655060</wp:posOffset>
                </wp:positionH>
                <wp:positionV relativeFrom="paragraph">
                  <wp:posOffset>1332865</wp:posOffset>
                </wp:positionV>
                <wp:extent cx="730250" cy="361950"/>
                <wp:effectExtent l="0" t="0" r="0" b="0"/>
                <wp:wrapNone/>
                <wp:docPr id="64" name="Zone de texte 64"/>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6F4A7A" w:rsidRDefault="00D53F39" w:rsidP="00E24DB7">
                            <w:pPr>
                              <w:spacing w:before="80" w:line="240" w:lineRule="auto"/>
                              <w:jc w:val="center"/>
                              <w:rPr>
                                <w:sz w:val="14"/>
                                <w:szCs w:val="14"/>
                              </w:rPr>
                            </w:pPr>
                            <w:r>
                              <w:rPr>
                                <w:sz w:val="14"/>
                                <w:szCs w:val="14"/>
                              </w:rPr>
                              <w:t>Recharge, stabilisation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55B45" id="Zone de texte 64" o:spid="_x0000_s1499" type="#_x0000_t202" style="position:absolute;left:0;text-align:left;margin-left:287.8pt;margin-top:104.95pt;width:57.5pt;height:28.5pt;z-index:2511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" fillcolor="white [3201]" stroked="f" strokeweight=".5pt">
                <v:textbox inset="0,0,0,0">
                  <w:txbxContent>
                    <w:p w:rsidR="00D53F39" w:rsidRPr="006F4A7A" w:rsidRDefault="00D53F39" w:rsidP="00E24DB7">
                      <w:pPr>
                        <w:spacing w:before="80" w:line="240" w:lineRule="auto"/>
                        <w:jc w:val="center"/>
                        <w:rPr>
                          <w:sz w:val="14"/>
                          <w:szCs w:val="14"/>
                        </w:rPr>
                      </w:pPr>
                      <w:r>
                        <w:rPr>
                          <w:sz w:val="14"/>
                          <w:szCs w:val="14"/>
                        </w:rPr>
                        <w:t>Recharge, stabilisation</w:t>
                      </w:r>
                    </w:p>
                  </w:txbxContent>
                </v:textbox>
              </v:shape>
            </w:pict>
          </mc:Fallback>
        </mc:AlternateContent>
      </w:r>
      <w:r w:rsidRPr="002C5876">
        <w:rPr>
          <w:noProof/>
          <w:lang w:val="en-GB" w:eastAsia="zh-CN"/>
        </w:rPr>
        <mc:AlternateContent>
          <mc:Choice Requires="wps">
            <w:drawing>
              <wp:anchor distT="0" distB="0" distL="114300" distR="114300" simplePos="0" relativeHeight="251157504" behindDoc="0" locked="0" layoutInCell="1" allowOverlap="1" wp14:anchorId="6CCE5AD6" wp14:editId="437FA2AD">
                <wp:simplePos x="0" y="0"/>
                <wp:positionH relativeFrom="column">
                  <wp:posOffset>1032510</wp:posOffset>
                </wp:positionH>
                <wp:positionV relativeFrom="paragraph">
                  <wp:posOffset>1358265</wp:posOffset>
                </wp:positionV>
                <wp:extent cx="730250" cy="361950"/>
                <wp:effectExtent l="0" t="0" r="0" b="0"/>
                <wp:wrapNone/>
                <wp:docPr id="62" name="Zone de texte 62"/>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6F4A7A" w:rsidRDefault="00D53F39" w:rsidP="00E24DB7">
                            <w:pPr>
                              <w:spacing w:before="80" w:line="240" w:lineRule="auto"/>
                              <w:jc w:val="center"/>
                              <w:rPr>
                                <w:sz w:val="14"/>
                                <w:szCs w:val="14"/>
                              </w:rPr>
                            </w:pPr>
                            <w:r>
                              <w:rPr>
                                <w:sz w:val="14"/>
                                <w:szCs w:val="14"/>
                              </w:rPr>
                              <w:t>Recharge, stabilisation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E5AD6" id="Zone de texte 62" o:spid="_x0000_s1500" type="#_x0000_t202" style="position:absolute;left:0;text-align:left;margin-left:81.3pt;margin-top:106.95pt;width:57.5pt;height:28.5pt;z-index:2511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" fillcolor="white [3201]" stroked="f" strokeweight=".5pt">
                <v:textbox inset="0,0,0,0">
                  <w:txbxContent>
                    <w:p w:rsidR="00D53F39" w:rsidRPr="006F4A7A" w:rsidRDefault="00D53F39" w:rsidP="00E24DB7">
                      <w:pPr>
                        <w:spacing w:before="80" w:line="240" w:lineRule="auto"/>
                        <w:jc w:val="center"/>
                        <w:rPr>
                          <w:sz w:val="14"/>
                          <w:szCs w:val="14"/>
                        </w:rPr>
                      </w:pPr>
                      <w:r>
                        <w:rPr>
                          <w:sz w:val="14"/>
                          <w:szCs w:val="14"/>
                        </w:rPr>
                        <w:t>Recharge, stabilisation</w:t>
                      </w:r>
                    </w:p>
                  </w:txbxContent>
                </v:textbox>
              </v:shape>
            </w:pict>
          </mc:Fallback>
        </mc:AlternateContent>
      </w:r>
      <w:r w:rsidRPr="002C5876">
        <w:rPr>
          <w:noProof/>
          <w:lang w:val="en-GB" w:eastAsia="zh-CN"/>
        </w:rPr>
        <mc:AlternateContent>
          <mc:Choice Requires="wps">
            <w:drawing>
              <wp:anchor distT="0" distB="0" distL="114300" distR="114300" simplePos="0" relativeHeight="251155456" behindDoc="0" locked="0" layoutInCell="1" allowOverlap="1" wp14:anchorId="1290A616" wp14:editId="5240484C">
                <wp:simplePos x="0" y="0"/>
                <wp:positionH relativeFrom="column">
                  <wp:posOffset>4963160</wp:posOffset>
                </wp:positionH>
                <wp:positionV relativeFrom="paragraph">
                  <wp:posOffset>729615</wp:posOffset>
                </wp:positionV>
                <wp:extent cx="730250" cy="361950"/>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6F4A7A" w:rsidRDefault="00D53F39" w:rsidP="00E24DB7">
                            <w:pPr>
                              <w:spacing w:before="180" w:line="240" w:lineRule="auto"/>
                              <w:jc w:val="center"/>
                              <w:rPr>
                                <w:sz w:val="14"/>
                                <w:szCs w:val="14"/>
                              </w:rPr>
                            </w:pPr>
                            <w:r>
                              <w:rPr>
                                <w:sz w:val="14"/>
                                <w:szCs w:val="14"/>
                              </w:rPr>
                              <w:t>Décharge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0A616" id="Zone de texte 59" o:spid="_x0000_s1501" type="#_x0000_t202" style="position:absolute;left:0;text-align:left;margin-left:390.8pt;margin-top:57.45pt;width:57.5pt;height:28.5pt;z-index:2511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" fillcolor="white [3201]" stroked="f" strokeweight=".5pt">
                <v:textbox inset="0,0,0,0">
                  <w:txbxContent>
                    <w:p w:rsidR="00D53F39" w:rsidRPr="006F4A7A" w:rsidRDefault="00D53F39" w:rsidP="00E24DB7">
                      <w:pPr>
                        <w:spacing w:before="180" w:line="240" w:lineRule="auto"/>
                        <w:jc w:val="center"/>
                        <w:rPr>
                          <w:sz w:val="14"/>
                          <w:szCs w:val="14"/>
                        </w:rPr>
                      </w:pPr>
                      <w:r>
                        <w:rPr>
                          <w:sz w:val="14"/>
                          <w:szCs w:val="14"/>
                        </w:rPr>
                        <w:t>Décharge</w:t>
                      </w:r>
                    </w:p>
                  </w:txbxContent>
                </v:textbox>
              </v:shape>
            </w:pict>
          </mc:Fallback>
        </mc:AlternateContent>
      </w:r>
      <w:r w:rsidRPr="002C5876">
        <w:rPr>
          <w:noProof/>
          <w:lang w:val="en-GB" w:eastAsia="zh-CN"/>
        </w:rPr>
        <mc:AlternateContent>
          <mc:Choice Requires="wps">
            <w:drawing>
              <wp:anchor distT="0" distB="0" distL="114300" distR="114300" simplePos="0" relativeHeight="251153408" behindDoc="0" locked="0" layoutInCell="1" allowOverlap="1" wp14:anchorId="07226F31" wp14:editId="4F106DA3">
                <wp:simplePos x="0" y="0"/>
                <wp:positionH relativeFrom="column">
                  <wp:posOffset>2359660</wp:posOffset>
                </wp:positionH>
                <wp:positionV relativeFrom="paragraph">
                  <wp:posOffset>774065</wp:posOffset>
                </wp:positionV>
                <wp:extent cx="730250" cy="361950"/>
                <wp:effectExtent l="0" t="0" r="0" b="0"/>
                <wp:wrapNone/>
                <wp:docPr id="57" name="Zone de texte 57"/>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6F4A7A" w:rsidRDefault="00D53F39" w:rsidP="00E24DB7">
                            <w:pPr>
                              <w:spacing w:before="180" w:line="240" w:lineRule="auto"/>
                              <w:jc w:val="center"/>
                              <w:rPr>
                                <w:sz w:val="14"/>
                                <w:szCs w:val="14"/>
                              </w:rPr>
                            </w:pPr>
                            <w:r>
                              <w:rPr>
                                <w:sz w:val="14"/>
                                <w:szCs w:val="14"/>
                              </w:rPr>
                              <w:t>Décharge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26F31" id="Zone de texte 57" o:spid="_x0000_s1502" type="#_x0000_t202" style="position:absolute;left:0;text-align:left;margin-left:185.8pt;margin-top:60.95pt;width:57.5pt;height:28.5pt;z-index:2511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" fillcolor="white [3201]" stroked="f" strokeweight=".5pt">
                <v:textbox inset="0,0,0,0">
                  <w:txbxContent>
                    <w:p w:rsidR="00D53F39" w:rsidRPr="006F4A7A" w:rsidRDefault="00D53F39" w:rsidP="00E24DB7">
                      <w:pPr>
                        <w:spacing w:before="180" w:line="240" w:lineRule="auto"/>
                        <w:jc w:val="center"/>
                        <w:rPr>
                          <w:sz w:val="14"/>
                          <w:szCs w:val="14"/>
                        </w:rPr>
                      </w:pPr>
                      <w:r>
                        <w:rPr>
                          <w:sz w:val="14"/>
                          <w:szCs w:val="14"/>
                        </w:rPr>
                        <w:t>Décharge</w:t>
                      </w:r>
                    </w:p>
                  </w:txbxContent>
                </v:textbox>
              </v:shape>
            </w:pict>
          </mc:Fallback>
        </mc:AlternateContent>
      </w:r>
      <w:r w:rsidRPr="002C5876">
        <w:rPr>
          <w:noProof/>
          <w:lang w:val="en-GB" w:eastAsia="zh-CN"/>
        </w:rPr>
        <mc:AlternateContent>
          <mc:Choice Requires="wps">
            <w:drawing>
              <wp:anchor distT="0" distB="0" distL="114300" distR="114300" simplePos="0" relativeHeight="251151360" behindDoc="0" locked="0" layoutInCell="1" allowOverlap="1" wp14:anchorId="444AE0F4" wp14:editId="07A4C936">
                <wp:simplePos x="0" y="0"/>
                <wp:positionH relativeFrom="column">
                  <wp:posOffset>2359660</wp:posOffset>
                </wp:positionH>
                <wp:positionV relativeFrom="paragraph">
                  <wp:posOffset>1358265</wp:posOffset>
                </wp:positionV>
                <wp:extent cx="730250" cy="361950"/>
                <wp:effectExtent l="0" t="0" r="0" b="0"/>
                <wp:wrapNone/>
                <wp:docPr id="55" name="Zone de texte 55"/>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6F4A7A" w:rsidRDefault="00D53F39" w:rsidP="00E24DB7">
                            <w:pPr>
                              <w:spacing w:line="240" w:lineRule="auto"/>
                              <w:jc w:val="center"/>
                              <w:rPr>
                                <w:sz w:val="14"/>
                                <w:szCs w:val="14"/>
                              </w:rPr>
                            </w:pPr>
                            <w:r w:rsidRPr="006F4A7A">
                              <w:rPr>
                                <w:sz w:val="14"/>
                                <w:szCs w:val="14"/>
                              </w:rPr>
                              <w:t xml:space="preserve">Au moins </w:t>
                            </w:r>
                            <w:r>
                              <w:rPr>
                                <w:sz w:val="14"/>
                                <w:szCs w:val="14"/>
                              </w:rPr>
                              <w:br/>
                              <w:t>1 cycle de préconditionnement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AE0F4" id="Zone de texte 55" o:spid="_x0000_s1503" type="#_x0000_t202" style="position:absolute;left:0;text-align:left;margin-left:185.8pt;margin-top:106.95pt;width:57.5pt;height:28.5pt;z-index:2511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" fillcolor="white [3201]" stroked="f" strokeweight=".5pt">
                <v:textbox inset="0,0,0,0">
                  <w:txbxContent>
                    <w:p w:rsidR="00D53F39" w:rsidRPr="006F4A7A" w:rsidRDefault="00D53F39" w:rsidP="00E24DB7">
                      <w:pPr>
                        <w:spacing w:line="240" w:lineRule="auto"/>
                        <w:jc w:val="center"/>
                        <w:rPr>
                          <w:sz w:val="14"/>
                          <w:szCs w:val="14"/>
                        </w:rPr>
                      </w:pPr>
                      <w:r w:rsidRPr="006F4A7A">
                        <w:rPr>
                          <w:sz w:val="14"/>
                          <w:szCs w:val="14"/>
                        </w:rPr>
                        <w:t xml:space="preserve">Au moins </w:t>
                      </w:r>
                      <w:r>
                        <w:rPr>
                          <w:sz w:val="14"/>
                          <w:szCs w:val="14"/>
                        </w:rPr>
                        <w:br/>
                        <w:t>1 cycle de préconditionnement</w:t>
                      </w:r>
                    </w:p>
                  </w:txbxContent>
                </v:textbox>
              </v:shape>
            </w:pict>
          </mc:Fallback>
        </mc:AlternateContent>
      </w:r>
      <w:r w:rsidRPr="002C5876">
        <w:rPr>
          <w:noProof/>
          <w:lang w:val="en-GB" w:eastAsia="zh-CN"/>
        </w:rPr>
        <mc:AlternateContent>
          <mc:Choice Requires="wps">
            <w:drawing>
              <wp:anchor distT="0" distB="0" distL="114300" distR="114300" simplePos="0" relativeHeight="251149312" behindDoc="0" locked="0" layoutInCell="1" allowOverlap="1" wp14:anchorId="57C7C48E" wp14:editId="25CC4E4F">
                <wp:simplePos x="0" y="0"/>
                <wp:positionH relativeFrom="column">
                  <wp:posOffset>4963160</wp:posOffset>
                </wp:positionH>
                <wp:positionV relativeFrom="paragraph">
                  <wp:posOffset>1320165</wp:posOffset>
                </wp:positionV>
                <wp:extent cx="730250" cy="361950"/>
                <wp:effectExtent l="0" t="0" r="0" b="0"/>
                <wp:wrapNone/>
                <wp:docPr id="50" name="Zone de texte 50"/>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6F4A7A" w:rsidRDefault="00D53F39" w:rsidP="00E24DB7">
                            <w:pPr>
                              <w:spacing w:line="240" w:lineRule="auto"/>
                              <w:jc w:val="center"/>
                              <w:rPr>
                                <w:sz w:val="14"/>
                                <w:szCs w:val="14"/>
                              </w:rPr>
                            </w:pPr>
                            <w:r w:rsidRPr="006F4A7A">
                              <w:rPr>
                                <w:sz w:val="14"/>
                                <w:szCs w:val="14"/>
                              </w:rPr>
                              <w:t xml:space="preserve">Au moins </w:t>
                            </w:r>
                            <w:r>
                              <w:rPr>
                                <w:sz w:val="14"/>
                                <w:szCs w:val="14"/>
                              </w:rPr>
                              <w:br/>
                              <w:t>1 cycle de préconditionnement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7C48E" id="Zone de texte 50" o:spid="_x0000_s1504" type="#_x0000_t202" style="position:absolute;left:0;text-align:left;margin-left:390.8pt;margin-top:103.95pt;width:57.5pt;height:28.5pt;z-index:2511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" fillcolor="white [3201]" stroked="f" strokeweight=".5pt">
                <v:textbox inset="0,0,0,0">
                  <w:txbxContent>
                    <w:p w:rsidR="00D53F39" w:rsidRPr="006F4A7A" w:rsidRDefault="00D53F39" w:rsidP="00E24DB7">
                      <w:pPr>
                        <w:spacing w:line="240" w:lineRule="auto"/>
                        <w:jc w:val="center"/>
                        <w:rPr>
                          <w:sz w:val="14"/>
                          <w:szCs w:val="14"/>
                        </w:rPr>
                      </w:pPr>
                      <w:r w:rsidRPr="006F4A7A">
                        <w:rPr>
                          <w:sz w:val="14"/>
                          <w:szCs w:val="14"/>
                        </w:rPr>
                        <w:t xml:space="preserve">Au moins </w:t>
                      </w:r>
                      <w:r>
                        <w:rPr>
                          <w:sz w:val="14"/>
                          <w:szCs w:val="14"/>
                        </w:rPr>
                        <w:br/>
                        <w:t>1 cycle de préconditionnement</w:t>
                      </w:r>
                    </w:p>
                  </w:txbxContent>
                </v:textbox>
              </v:shape>
            </w:pict>
          </mc:Fallback>
        </mc:AlternateContent>
      </w:r>
      <w:r w:rsidRPr="002C5876">
        <w:rPr>
          <w:noProof/>
          <w:lang w:val="en-GB" w:eastAsia="zh-CN"/>
        </w:rPr>
        <mc:AlternateContent>
          <mc:Choice Requires="wps">
            <w:drawing>
              <wp:anchor distT="0" distB="0" distL="114300" distR="114300" simplePos="0" relativeHeight="251147264" behindDoc="0" locked="0" layoutInCell="1" allowOverlap="1" wp14:anchorId="29E4F48F" wp14:editId="4F86CCD8">
                <wp:simplePos x="0" y="0"/>
                <wp:positionH relativeFrom="column">
                  <wp:posOffset>3661410</wp:posOffset>
                </wp:positionH>
                <wp:positionV relativeFrom="paragraph">
                  <wp:posOffset>755015</wp:posOffset>
                </wp:positionV>
                <wp:extent cx="730250" cy="361950"/>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6F4A7A" w:rsidRDefault="00D53F39" w:rsidP="00E24DB7">
                            <w:pPr>
                              <w:spacing w:line="240" w:lineRule="auto"/>
                              <w:jc w:val="center"/>
                              <w:rPr>
                                <w:sz w:val="14"/>
                                <w:szCs w:val="14"/>
                              </w:rPr>
                            </w:pPr>
                            <w:r w:rsidRPr="006F4A7A">
                              <w:rPr>
                                <w:sz w:val="14"/>
                                <w:szCs w:val="14"/>
                              </w:rPr>
                              <w:t xml:space="preserve">Au moins </w:t>
                            </w:r>
                            <w:r>
                              <w:rPr>
                                <w:sz w:val="14"/>
                                <w:szCs w:val="14"/>
                              </w:rPr>
                              <w:br/>
                              <w:t>1 cycle de préconditionnement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4F48F" id="Zone de texte 48" o:spid="_x0000_s1505" type="#_x0000_t202" style="position:absolute;left:0;text-align:left;margin-left:288.3pt;margin-top:59.45pt;width:57.5pt;height:28.5pt;z-index:2511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" fillcolor="white [3201]" stroked="f" strokeweight=".5pt">
                <v:textbox inset="0,0,0,0">
                  <w:txbxContent>
                    <w:p w:rsidR="00D53F39" w:rsidRPr="006F4A7A" w:rsidRDefault="00D53F39" w:rsidP="00E24DB7">
                      <w:pPr>
                        <w:spacing w:line="240" w:lineRule="auto"/>
                        <w:jc w:val="center"/>
                        <w:rPr>
                          <w:sz w:val="14"/>
                          <w:szCs w:val="14"/>
                        </w:rPr>
                      </w:pPr>
                      <w:r w:rsidRPr="006F4A7A">
                        <w:rPr>
                          <w:sz w:val="14"/>
                          <w:szCs w:val="14"/>
                        </w:rPr>
                        <w:t xml:space="preserve">Au moins </w:t>
                      </w:r>
                      <w:r>
                        <w:rPr>
                          <w:sz w:val="14"/>
                          <w:szCs w:val="14"/>
                        </w:rPr>
                        <w:br/>
                        <w:t>1 cycle de préconditionnement</w:t>
                      </w:r>
                    </w:p>
                  </w:txbxContent>
                </v:textbox>
              </v:shape>
            </w:pict>
          </mc:Fallback>
        </mc:AlternateContent>
      </w:r>
      <w:r w:rsidRPr="002C5876">
        <w:rPr>
          <w:noProof/>
          <w:lang w:val="en-GB" w:eastAsia="zh-CN"/>
        </w:rPr>
        <mc:AlternateContent>
          <mc:Choice Requires="wps">
            <w:drawing>
              <wp:anchor distT="0" distB="0" distL="114300" distR="114300" simplePos="0" relativeHeight="251145216" behindDoc="0" locked="0" layoutInCell="1" allowOverlap="1" wp14:anchorId="016D4B78" wp14:editId="58F4FBA1">
                <wp:simplePos x="0" y="0"/>
                <wp:positionH relativeFrom="column">
                  <wp:posOffset>1032510</wp:posOffset>
                </wp:positionH>
                <wp:positionV relativeFrom="paragraph">
                  <wp:posOffset>780415</wp:posOffset>
                </wp:positionV>
                <wp:extent cx="730250" cy="361950"/>
                <wp:effectExtent l="0" t="0" r="0" b="0"/>
                <wp:wrapNone/>
                <wp:docPr id="46" name="Zone de texte 46"/>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6F4A7A" w:rsidRDefault="00D53F39" w:rsidP="00E24DB7">
                            <w:pPr>
                              <w:spacing w:line="240" w:lineRule="auto"/>
                              <w:jc w:val="center"/>
                              <w:rPr>
                                <w:sz w:val="14"/>
                                <w:szCs w:val="14"/>
                              </w:rPr>
                            </w:pPr>
                            <w:r w:rsidRPr="006F4A7A">
                              <w:rPr>
                                <w:sz w:val="14"/>
                                <w:szCs w:val="14"/>
                              </w:rPr>
                              <w:t xml:space="preserve">Au moins </w:t>
                            </w:r>
                            <w:r>
                              <w:rPr>
                                <w:sz w:val="14"/>
                                <w:szCs w:val="14"/>
                              </w:rPr>
                              <w:br/>
                              <w:t>1 cycle de préconditionnement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D4B78" id="Zone de texte 46" o:spid="_x0000_s1506" type="#_x0000_t202" style="position:absolute;left:0;text-align:left;margin-left:81.3pt;margin-top:61.45pt;width:57.5pt;height:28.5pt;z-index:2511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" fillcolor="white [3201]" stroked="f" strokeweight=".5pt">
                <v:textbox inset="0,0,0,0">
                  <w:txbxContent>
                    <w:p w:rsidR="00D53F39" w:rsidRPr="006F4A7A" w:rsidRDefault="00D53F39" w:rsidP="00E24DB7">
                      <w:pPr>
                        <w:spacing w:line="240" w:lineRule="auto"/>
                        <w:jc w:val="center"/>
                        <w:rPr>
                          <w:sz w:val="14"/>
                          <w:szCs w:val="14"/>
                        </w:rPr>
                      </w:pPr>
                      <w:r w:rsidRPr="006F4A7A">
                        <w:rPr>
                          <w:sz w:val="14"/>
                          <w:szCs w:val="14"/>
                        </w:rPr>
                        <w:t xml:space="preserve">Au moins </w:t>
                      </w:r>
                      <w:r>
                        <w:rPr>
                          <w:sz w:val="14"/>
                          <w:szCs w:val="14"/>
                        </w:rPr>
                        <w:br/>
                        <w:t>1 cycle de préconditionnement</w:t>
                      </w:r>
                    </w:p>
                  </w:txbxContent>
                </v:textbox>
              </v:shape>
            </w:pict>
          </mc:Fallback>
        </mc:AlternateContent>
      </w:r>
      <w:r w:rsidRPr="002C5876">
        <w:rPr>
          <w:noProof/>
          <w:lang w:val="en-GB" w:eastAsia="zh-CN"/>
        </w:rPr>
        <mc:AlternateContent>
          <mc:Choice Requires="wps">
            <w:drawing>
              <wp:anchor distT="0" distB="0" distL="114300" distR="114300" simplePos="0" relativeHeight="251143168" behindDoc="0" locked="0" layoutInCell="1" allowOverlap="1" wp14:anchorId="496642CE" wp14:editId="731DACAE">
                <wp:simplePos x="0" y="0"/>
                <wp:positionH relativeFrom="column">
                  <wp:posOffset>4931410</wp:posOffset>
                </wp:positionH>
                <wp:positionV relativeFrom="paragraph">
                  <wp:posOffset>167640</wp:posOffset>
                </wp:positionV>
                <wp:extent cx="635000" cy="361950"/>
                <wp:effectExtent l="0" t="0" r="0" b="0"/>
                <wp:wrapNone/>
                <wp:docPr id="38" name="Zone de texte 38"/>
                <wp:cNvGraphicFramePr/>
                <a:graphic xmlns:a="http://schemas.openxmlformats.org/drawingml/2006/main">
                  <a:graphicData uri="http://schemas.microsoft.com/office/word/2010/wordprocessingShape">
                    <wps:wsp>
                      <wps:cNvSpPr txBox="1"/>
                      <wps:spPr>
                        <a:xfrm>
                          <a:off x="0" y="0"/>
                          <a:ext cx="63500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6F4A7A" w:rsidRDefault="00D53F39" w:rsidP="00E24DB7">
                            <w:pPr>
                              <w:spacing w:before="60" w:line="240" w:lineRule="auto"/>
                              <w:jc w:val="center"/>
                              <w:rPr>
                                <w:sz w:val="16"/>
                                <w:szCs w:val="16"/>
                              </w:rPr>
                            </w:pPr>
                            <w:r w:rsidRPr="006F4A7A">
                              <w:rPr>
                                <w:sz w:val="16"/>
                                <w:szCs w:val="16"/>
                              </w:rPr>
                              <w:t>Option 4</w:t>
                            </w:r>
                          </w:p>
                          <w:p w:rsidR="00D53F39" w:rsidRPr="006F4A7A" w:rsidRDefault="00D53F39" w:rsidP="00E24DB7">
                            <w:pPr>
                              <w:spacing w:line="240" w:lineRule="auto"/>
                              <w:jc w:val="center"/>
                              <w:rPr>
                                <w:sz w:val="16"/>
                                <w:szCs w:val="16"/>
                              </w:rPr>
                            </w:pPr>
                            <w:r w:rsidRPr="006F4A7A">
                              <w:rPr>
                                <w:sz w:val="16"/>
                                <w:szCs w:val="16"/>
                              </w:rPr>
                              <w:t xml:space="preserve">MC + EC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96642CE" id="Zone de texte 38" o:spid="_x0000_s1507" type="#_x0000_t202" style="position:absolute;left:0;text-align:left;margin-left:388.3pt;margin-top:13.2pt;width:50pt;height:28.5pt;z-index:25114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" fillcolor="white [3201]" stroked="f" strokeweight=".5pt">
                <v:textbox inset="0,0,0,0">
                  <w:txbxContent>
                    <w:p w:rsidR="00D53F39" w:rsidRPr="006F4A7A" w:rsidRDefault="00D53F39" w:rsidP="00E24DB7">
                      <w:pPr>
                        <w:spacing w:before="60" w:line="240" w:lineRule="auto"/>
                        <w:jc w:val="center"/>
                        <w:rPr>
                          <w:sz w:val="16"/>
                          <w:szCs w:val="16"/>
                        </w:rPr>
                      </w:pPr>
                      <w:r w:rsidRPr="006F4A7A">
                        <w:rPr>
                          <w:sz w:val="16"/>
                          <w:szCs w:val="16"/>
                        </w:rPr>
                        <w:t>Option 4</w:t>
                      </w:r>
                    </w:p>
                    <w:p w:rsidR="00D53F39" w:rsidRPr="006F4A7A" w:rsidRDefault="00D53F39" w:rsidP="00E24DB7">
                      <w:pPr>
                        <w:spacing w:line="240" w:lineRule="auto"/>
                        <w:jc w:val="center"/>
                        <w:rPr>
                          <w:sz w:val="16"/>
                          <w:szCs w:val="16"/>
                        </w:rPr>
                      </w:pPr>
                      <w:r w:rsidRPr="006F4A7A">
                        <w:rPr>
                          <w:sz w:val="16"/>
                          <w:szCs w:val="16"/>
                        </w:rPr>
                        <w:t xml:space="preserve">MC + EC </w:t>
                      </w:r>
                    </w:p>
                  </w:txbxContent>
                </v:textbox>
              </v:shape>
            </w:pict>
          </mc:Fallback>
        </mc:AlternateContent>
      </w:r>
      <w:r w:rsidRPr="002C5876">
        <w:rPr>
          <w:noProof/>
          <w:lang w:val="en-GB" w:eastAsia="zh-CN"/>
        </w:rPr>
        <mc:AlternateContent>
          <mc:Choice Requires="wps">
            <w:drawing>
              <wp:anchor distT="0" distB="0" distL="114300" distR="114300" simplePos="0" relativeHeight="251141120" behindDoc="0" locked="0" layoutInCell="1" allowOverlap="1" wp14:anchorId="547672DD" wp14:editId="5F21789A">
                <wp:simplePos x="0" y="0"/>
                <wp:positionH relativeFrom="column">
                  <wp:posOffset>3636010</wp:posOffset>
                </wp:positionH>
                <wp:positionV relativeFrom="paragraph">
                  <wp:posOffset>180340</wp:posOffset>
                </wp:positionV>
                <wp:extent cx="635000" cy="361950"/>
                <wp:effectExtent l="0" t="0" r="0" b="0"/>
                <wp:wrapNone/>
                <wp:docPr id="1403" name="Zone de texte 1403"/>
                <wp:cNvGraphicFramePr/>
                <a:graphic xmlns:a="http://schemas.openxmlformats.org/drawingml/2006/main">
                  <a:graphicData uri="http://schemas.microsoft.com/office/word/2010/wordprocessingShape">
                    <wps:wsp>
                      <wps:cNvSpPr txBox="1"/>
                      <wps:spPr>
                        <a:xfrm>
                          <a:off x="0" y="0"/>
                          <a:ext cx="63500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6F4A7A" w:rsidRDefault="00D53F39" w:rsidP="00E24DB7">
                            <w:pPr>
                              <w:spacing w:before="60" w:line="240" w:lineRule="auto"/>
                              <w:jc w:val="center"/>
                              <w:rPr>
                                <w:sz w:val="16"/>
                                <w:szCs w:val="16"/>
                              </w:rPr>
                            </w:pPr>
                            <w:r w:rsidRPr="006F4A7A">
                              <w:rPr>
                                <w:sz w:val="16"/>
                                <w:szCs w:val="16"/>
                              </w:rPr>
                              <w:t>Option 3</w:t>
                            </w:r>
                          </w:p>
                          <w:p w:rsidR="00D53F39" w:rsidRPr="006F4A7A" w:rsidRDefault="00D53F39" w:rsidP="00E24DB7">
                            <w:pPr>
                              <w:spacing w:line="240" w:lineRule="auto"/>
                              <w:jc w:val="center"/>
                              <w:rPr>
                                <w:sz w:val="16"/>
                                <w:szCs w:val="16"/>
                              </w:rPr>
                            </w:pPr>
                            <w:r w:rsidRPr="006F4A7A">
                              <w:rPr>
                                <w:sz w:val="16"/>
                                <w:szCs w:val="16"/>
                              </w:rPr>
                              <w:t>EC + MC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47672DD" id="Zone de texte 1403" o:spid="_x0000_s1508" type="#_x0000_t202" style="position:absolute;left:0;text-align:left;margin-left:286.3pt;margin-top:14.2pt;width:50pt;height:28.5pt;z-index:25114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" fillcolor="white [3201]" stroked="f" strokeweight=".5pt">
                <v:textbox inset="0,0,0,0">
                  <w:txbxContent>
                    <w:p w:rsidR="00D53F39" w:rsidRPr="006F4A7A" w:rsidRDefault="00D53F39" w:rsidP="00E24DB7">
                      <w:pPr>
                        <w:spacing w:before="60" w:line="240" w:lineRule="auto"/>
                        <w:jc w:val="center"/>
                        <w:rPr>
                          <w:sz w:val="16"/>
                          <w:szCs w:val="16"/>
                        </w:rPr>
                      </w:pPr>
                      <w:r w:rsidRPr="006F4A7A">
                        <w:rPr>
                          <w:sz w:val="16"/>
                          <w:szCs w:val="16"/>
                        </w:rPr>
                        <w:t>Option 3</w:t>
                      </w:r>
                    </w:p>
                    <w:p w:rsidR="00D53F39" w:rsidRPr="006F4A7A" w:rsidRDefault="00D53F39" w:rsidP="00E24DB7">
                      <w:pPr>
                        <w:spacing w:line="240" w:lineRule="auto"/>
                        <w:jc w:val="center"/>
                        <w:rPr>
                          <w:sz w:val="16"/>
                          <w:szCs w:val="16"/>
                        </w:rPr>
                      </w:pPr>
                      <w:r w:rsidRPr="006F4A7A">
                        <w:rPr>
                          <w:sz w:val="16"/>
                          <w:szCs w:val="16"/>
                        </w:rPr>
                        <w:t>EC + MC</w:t>
                      </w:r>
                    </w:p>
                  </w:txbxContent>
                </v:textbox>
              </v:shape>
            </w:pict>
          </mc:Fallback>
        </mc:AlternateContent>
      </w:r>
      <w:r w:rsidRPr="002C5876">
        <w:rPr>
          <w:noProof/>
          <w:lang w:val="en-GB" w:eastAsia="zh-CN"/>
        </w:rPr>
        <mc:AlternateContent>
          <mc:Choice Requires="wps">
            <w:drawing>
              <wp:anchor distT="0" distB="0" distL="114300" distR="114300" simplePos="0" relativeHeight="251139072" behindDoc="0" locked="0" layoutInCell="1" allowOverlap="1" wp14:anchorId="221C9080" wp14:editId="3CE04F33">
                <wp:simplePos x="0" y="0"/>
                <wp:positionH relativeFrom="column">
                  <wp:posOffset>2346960</wp:posOffset>
                </wp:positionH>
                <wp:positionV relativeFrom="paragraph">
                  <wp:posOffset>193040</wp:posOffset>
                </wp:positionV>
                <wp:extent cx="635000" cy="361950"/>
                <wp:effectExtent l="0" t="0" r="0" b="0"/>
                <wp:wrapNone/>
                <wp:docPr id="1402" name="Zone de texte 1402"/>
                <wp:cNvGraphicFramePr/>
                <a:graphic xmlns:a="http://schemas.openxmlformats.org/drawingml/2006/main">
                  <a:graphicData uri="http://schemas.microsoft.com/office/word/2010/wordprocessingShape">
                    <wps:wsp>
                      <wps:cNvSpPr txBox="1"/>
                      <wps:spPr>
                        <a:xfrm>
                          <a:off x="0" y="0"/>
                          <a:ext cx="63500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6F4A7A" w:rsidRDefault="00D53F39" w:rsidP="00E24DB7">
                            <w:pPr>
                              <w:spacing w:before="60" w:line="240" w:lineRule="auto"/>
                              <w:jc w:val="center"/>
                              <w:rPr>
                                <w:sz w:val="16"/>
                                <w:szCs w:val="16"/>
                              </w:rPr>
                            </w:pPr>
                            <w:r w:rsidRPr="006F4A7A">
                              <w:rPr>
                                <w:sz w:val="16"/>
                                <w:szCs w:val="16"/>
                              </w:rPr>
                              <w:t>Option 2</w:t>
                            </w:r>
                          </w:p>
                          <w:p w:rsidR="00D53F39" w:rsidRPr="006F4A7A" w:rsidRDefault="00D53F39" w:rsidP="00E24DB7">
                            <w:pPr>
                              <w:spacing w:line="240" w:lineRule="auto"/>
                              <w:jc w:val="center"/>
                              <w:rPr>
                                <w:sz w:val="16"/>
                                <w:szCs w:val="16"/>
                              </w:rPr>
                            </w:pPr>
                            <w:r w:rsidRPr="006F4A7A">
                              <w:rPr>
                                <w:sz w:val="16"/>
                                <w:szCs w:val="16"/>
                              </w:rPr>
                              <w:t>MC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21C9080" id="Zone de texte 1402" o:spid="_x0000_s1509" type="#_x0000_t202" style="position:absolute;left:0;text-align:left;margin-left:184.8pt;margin-top:15.2pt;width:50pt;height:28.5pt;z-index:25113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" fillcolor="white [3201]" stroked="f" strokeweight=".5pt">
                <v:textbox inset="0,0,0,0">
                  <w:txbxContent>
                    <w:p w:rsidR="00D53F39" w:rsidRPr="006F4A7A" w:rsidRDefault="00D53F39" w:rsidP="00E24DB7">
                      <w:pPr>
                        <w:spacing w:before="60" w:line="240" w:lineRule="auto"/>
                        <w:jc w:val="center"/>
                        <w:rPr>
                          <w:sz w:val="16"/>
                          <w:szCs w:val="16"/>
                        </w:rPr>
                      </w:pPr>
                      <w:r w:rsidRPr="006F4A7A">
                        <w:rPr>
                          <w:sz w:val="16"/>
                          <w:szCs w:val="16"/>
                        </w:rPr>
                        <w:t>Option 2</w:t>
                      </w:r>
                    </w:p>
                    <w:p w:rsidR="00D53F39" w:rsidRPr="006F4A7A" w:rsidRDefault="00D53F39" w:rsidP="00E24DB7">
                      <w:pPr>
                        <w:spacing w:line="240" w:lineRule="auto"/>
                        <w:jc w:val="center"/>
                        <w:rPr>
                          <w:sz w:val="16"/>
                          <w:szCs w:val="16"/>
                        </w:rPr>
                      </w:pPr>
                      <w:r w:rsidRPr="006F4A7A">
                        <w:rPr>
                          <w:sz w:val="16"/>
                          <w:szCs w:val="16"/>
                        </w:rPr>
                        <w:t>MC</w:t>
                      </w:r>
                    </w:p>
                  </w:txbxContent>
                </v:textbox>
              </v:shape>
            </w:pict>
          </mc:Fallback>
        </mc:AlternateContent>
      </w:r>
      <w:r w:rsidRPr="002C5876">
        <w:rPr>
          <w:noProof/>
          <w:lang w:val="en-GB" w:eastAsia="zh-CN"/>
        </w:rPr>
        <mc:AlternateContent>
          <mc:Choice Requires="wps">
            <w:drawing>
              <wp:anchor distT="0" distB="0" distL="114300" distR="114300" simplePos="0" relativeHeight="251137024" behindDoc="0" locked="0" layoutInCell="1" allowOverlap="1" wp14:anchorId="044B230F" wp14:editId="518CAD85">
                <wp:simplePos x="0" y="0"/>
                <wp:positionH relativeFrom="column">
                  <wp:posOffset>988060</wp:posOffset>
                </wp:positionH>
                <wp:positionV relativeFrom="paragraph">
                  <wp:posOffset>193040</wp:posOffset>
                </wp:positionV>
                <wp:extent cx="635000" cy="361950"/>
                <wp:effectExtent l="0" t="0" r="0" b="0"/>
                <wp:wrapNone/>
                <wp:docPr id="1401" name="Zone de texte 1401"/>
                <wp:cNvGraphicFramePr/>
                <a:graphic xmlns:a="http://schemas.openxmlformats.org/drawingml/2006/main">
                  <a:graphicData uri="http://schemas.microsoft.com/office/word/2010/wordprocessingShape">
                    <wps:wsp>
                      <wps:cNvSpPr txBox="1"/>
                      <wps:spPr>
                        <a:xfrm>
                          <a:off x="0" y="0"/>
                          <a:ext cx="63500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39" w:rsidRPr="006F4A7A" w:rsidRDefault="00D53F39" w:rsidP="00E24DB7">
                            <w:pPr>
                              <w:spacing w:before="60" w:line="240" w:lineRule="auto"/>
                              <w:jc w:val="center"/>
                              <w:rPr>
                                <w:sz w:val="16"/>
                                <w:szCs w:val="16"/>
                              </w:rPr>
                            </w:pPr>
                            <w:r w:rsidRPr="006F4A7A">
                              <w:rPr>
                                <w:sz w:val="16"/>
                                <w:szCs w:val="16"/>
                              </w:rPr>
                              <w:t>Option 1</w:t>
                            </w:r>
                          </w:p>
                          <w:p w:rsidR="00D53F39" w:rsidRPr="006F4A7A" w:rsidRDefault="00D53F39" w:rsidP="00E24DB7">
                            <w:pPr>
                              <w:spacing w:line="240" w:lineRule="auto"/>
                              <w:jc w:val="center"/>
                              <w:rPr>
                                <w:sz w:val="16"/>
                                <w:szCs w:val="16"/>
                              </w:rPr>
                            </w:pPr>
                            <w:r w:rsidRPr="006F4A7A">
                              <w:rPr>
                                <w:sz w:val="16"/>
                                <w:szCs w:val="16"/>
                              </w:rPr>
                              <w:t>EC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44B230F" id="Zone de texte 1401" o:spid="_x0000_s1510" type="#_x0000_t202" style="position:absolute;left:0;text-align:left;margin-left:77.8pt;margin-top:15.2pt;width:50pt;height:28.5pt;z-index:25113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" fillcolor="white [3201]" stroked="f" strokeweight=".5pt">
                <v:textbox inset="0,0,0,0">
                  <w:txbxContent>
                    <w:p w:rsidR="00D53F39" w:rsidRPr="006F4A7A" w:rsidRDefault="00D53F39" w:rsidP="00E24DB7">
                      <w:pPr>
                        <w:spacing w:before="60" w:line="240" w:lineRule="auto"/>
                        <w:jc w:val="center"/>
                        <w:rPr>
                          <w:sz w:val="16"/>
                          <w:szCs w:val="16"/>
                        </w:rPr>
                      </w:pPr>
                      <w:r w:rsidRPr="006F4A7A">
                        <w:rPr>
                          <w:sz w:val="16"/>
                          <w:szCs w:val="16"/>
                        </w:rPr>
                        <w:t>Option 1</w:t>
                      </w:r>
                    </w:p>
                    <w:p w:rsidR="00D53F39" w:rsidRPr="006F4A7A" w:rsidRDefault="00D53F39" w:rsidP="00E24DB7">
                      <w:pPr>
                        <w:spacing w:line="240" w:lineRule="auto"/>
                        <w:jc w:val="center"/>
                        <w:rPr>
                          <w:sz w:val="16"/>
                          <w:szCs w:val="16"/>
                        </w:rPr>
                      </w:pPr>
                      <w:r w:rsidRPr="006F4A7A">
                        <w:rPr>
                          <w:sz w:val="16"/>
                          <w:szCs w:val="16"/>
                        </w:rPr>
                        <w:t>EC</w:t>
                      </w:r>
                    </w:p>
                  </w:txbxContent>
                </v:textbox>
              </v:shape>
            </w:pict>
          </mc:Fallback>
        </mc:AlternateContent>
      </w:r>
      <w:r w:rsidRPr="002C5876">
        <w:rPr>
          <w:noProof/>
          <w:sz w:val="18"/>
          <w:szCs w:val="18"/>
          <w:lang w:val="en-GB" w:eastAsia="zh-CN"/>
        </w:rPr>
        <w:drawing>
          <wp:inline distT="0" distB="0" distL="0" distR="0" wp14:anchorId="1CE9B490" wp14:editId="4CC0CBB5">
            <wp:extent cx="5361631" cy="4895850"/>
            <wp:effectExtent l="0" t="0" r="0" b="0"/>
            <wp:docPr id="1360" name="Imag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364000" cy="4898013"/>
                    </a:xfrm>
                    <a:prstGeom prst="rect">
                      <a:avLst/>
                    </a:prstGeom>
                    <a:noFill/>
                    <a:ln>
                      <a:noFill/>
                    </a:ln>
                  </pic:spPr>
                </pic:pic>
              </a:graphicData>
            </a:graphic>
          </wp:inline>
        </w:drawing>
      </w:r>
    </w:p>
    <w:p w:rsidR="00E24DB7" w:rsidRPr="002C5876" w:rsidRDefault="00E24DB7" w:rsidP="00E24DB7">
      <w:pPr>
        <w:pStyle w:val="SingleTxtG"/>
        <w:ind w:left="2268" w:hanging="1134"/>
      </w:pPr>
      <w:r w:rsidRPr="002C5876">
        <w:t>3.2.3</w:t>
      </w:r>
      <w:r w:rsidRPr="002C5876">
        <w:tab/>
        <w:t xml:space="preserve">Le commutateur de mode de fonctionnement sélectionnable par le conducteur doit être dans la position spécifiée dans les séquences d’essais ci-après </w:t>
      </w:r>
      <w:r w:rsidRPr="002C5876">
        <w:rPr>
          <w:szCs w:val="24"/>
        </w:rPr>
        <w:t>(option 1 à option 4)</w:t>
      </w:r>
      <w:r w:rsidRPr="002C5876">
        <w:t>.</w:t>
      </w:r>
    </w:p>
    <w:p w:rsidR="00E24DB7" w:rsidRPr="002C5876" w:rsidRDefault="00E24DB7" w:rsidP="00E24DB7">
      <w:pPr>
        <w:pStyle w:val="SingleTxtG"/>
        <w:ind w:left="2268" w:hanging="1134"/>
      </w:pPr>
      <w:r w:rsidRPr="002C5876">
        <w:t>3.2.4</w:t>
      </w:r>
      <w:r w:rsidRPr="002C5876">
        <w:tab/>
        <w:t>Essai d’épuisement de la charge du type 1 non suivi d’un essai de maintien de la charge du type 1 (option 1).</w:t>
      </w:r>
    </w:p>
    <w:p w:rsidR="00E24DB7" w:rsidRPr="002C5876" w:rsidRDefault="00E24DB7" w:rsidP="00E24DB7">
      <w:pPr>
        <w:pStyle w:val="SingleTxtG"/>
        <w:ind w:left="2268"/>
      </w:pPr>
      <w:r w:rsidRPr="002C5876">
        <w:rPr>
          <w:szCs w:val="24"/>
        </w:rPr>
        <w:lastRenderedPageBreak/>
        <w:tab/>
        <w:t xml:space="preserve">La </w:t>
      </w:r>
      <w:r w:rsidRPr="002C5876">
        <w:t>séquence</w:t>
      </w:r>
      <w:r w:rsidRPr="002C5876">
        <w:rPr>
          <w:szCs w:val="24"/>
        </w:rPr>
        <w:t xml:space="preserve"> d</w:t>
      </w:r>
      <w:r w:rsidRPr="002C5876">
        <w:t>’essai conformément à l’o</w:t>
      </w:r>
      <w:r w:rsidRPr="002C5876">
        <w:rPr>
          <w:szCs w:val="24"/>
        </w:rPr>
        <w:t xml:space="preserve">ption 1, décrite aux paragraphes 3.2.4.1 à 3.2.4.7 de </w:t>
      </w:r>
      <w:r w:rsidRPr="002C5876">
        <w:t>la présente annexe</w:t>
      </w:r>
      <w:r w:rsidRPr="002C5876">
        <w:rPr>
          <w:szCs w:val="24"/>
        </w:rPr>
        <w:t xml:space="preserve">, ainsi que le profil de niveau de charge correspondant du </w:t>
      </w:r>
      <w:r w:rsidRPr="002C5876">
        <w:t>SRSEE</w:t>
      </w:r>
      <w:r w:rsidRPr="002C5876">
        <w:rPr>
          <w:szCs w:val="24"/>
        </w:rPr>
        <w:t>, sont représentés dans la f</w:t>
      </w:r>
      <w:r w:rsidRPr="002C5876">
        <w:t xml:space="preserve">igure A8.App1/1 de l’appendice 1 </w:t>
      </w:r>
      <w:r w:rsidRPr="002C5876">
        <w:rPr>
          <w:szCs w:val="24"/>
        </w:rPr>
        <w:t xml:space="preserve">de </w:t>
      </w:r>
      <w:r w:rsidRPr="002C5876">
        <w:t xml:space="preserve">la présente annexe. </w:t>
      </w:r>
    </w:p>
    <w:p w:rsidR="00E24DB7" w:rsidRPr="002C5876" w:rsidRDefault="00E24DB7" w:rsidP="00E24DB7">
      <w:pPr>
        <w:pStyle w:val="SingleTxtG"/>
        <w:keepNext/>
        <w:ind w:left="2268" w:hanging="1134"/>
        <w:jc w:val="left"/>
      </w:pPr>
      <w:r w:rsidRPr="002C5876">
        <w:t>3.2.4.1</w:t>
      </w:r>
      <w:r w:rsidRPr="002C5876">
        <w:tab/>
        <w:t>Préconditionnement</w:t>
      </w:r>
    </w:p>
    <w:p w:rsidR="00E24DB7" w:rsidRPr="002C5876" w:rsidRDefault="00E24DB7" w:rsidP="00E24DB7">
      <w:pPr>
        <w:pStyle w:val="SingleTxtG"/>
        <w:ind w:left="2268"/>
      </w:pPr>
      <w:r w:rsidRPr="002C5876">
        <w:t xml:space="preserve">Le véhicule doit être préparé conformément aux procédures définies </w:t>
      </w:r>
      <w:r w:rsidRPr="002C5876">
        <w:rPr>
          <w:szCs w:val="24"/>
        </w:rPr>
        <w:t>au paragraphe </w:t>
      </w:r>
      <w:r w:rsidRPr="002C5876">
        <w:t xml:space="preserve">2.2 de l’appendice 4 de la présente annexe. </w:t>
      </w:r>
    </w:p>
    <w:p w:rsidR="00E24DB7" w:rsidRPr="002C5876" w:rsidRDefault="00E24DB7" w:rsidP="00E24DB7">
      <w:pPr>
        <w:pStyle w:val="SingleTxtG"/>
        <w:keepNext/>
        <w:ind w:left="2268" w:hanging="1134"/>
        <w:jc w:val="left"/>
      </w:pPr>
      <w:r w:rsidRPr="002C5876">
        <w:t>3.2.4.2</w:t>
      </w:r>
      <w:r w:rsidRPr="002C5876">
        <w:tab/>
        <w:t>Conditions d’essai</w:t>
      </w:r>
    </w:p>
    <w:p w:rsidR="00E24DB7" w:rsidRPr="002C5876" w:rsidRDefault="00E24DB7" w:rsidP="00E24DB7">
      <w:pPr>
        <w:pStyle w:val="SingleTxtG"/>
        <w:ind w:left="2268" w:hanging="1134"/>
      </w:pPr>
      <w:r w:rsidRPr="002C5876">
        <w:t>3.2.4.2.1</w:t>
      </w:r>
      <w:r w:rsidRPr="002C5876">
        <w:tab/>
        <w:t xml:space="preserve">L’essai sera exécuté avec un SRSEE complétement chargé, conformément aux prescriptions concernant la recharge énoncées </w:t>
      </w:r>
      <w:r w:rsidRPr="002C5876">
        <w:rPr>
          <w:szCs w:val="24"/>
        </w:rPr>
        <w:t>au paragraphe </w:t>
      </w:r>
      <w:r w:rsidRPr="002C5876">
        <w:t xml:space="preserve">2.2.3 de l’appendice 4 de la présente annexe, et le véhicule fonctionnant </w:t>
      </w:r>
      <w:r w:rsidRPr="002C5876">
        <w:rPr>
          <w:szCs w:val="24"/>
        </w:rPr>
        <w:t xml:space="preserve">en mode </w:t>
      </w:r>
      <w:r w:rsidRPr="002C5876">
        <w:t xml:space="preserve">épuisement de la charge </w:t>
      </w:r>
      <w:r w:rsidRPr="002C5876">
        <w:rPr>
          <w:szCs w:val="24"/>
        </w:rPr>
        <w:t xml:space="preserve">comme défini au paragraphe 3.3.5 du </w:t>
      </w:r>
      <w:r w:rsidRPr="002C5876">
        <w:t>présent</w:t>
      </w:r>
      <w:r w:rsidRPr="002C5876">
        <w:rPr>
          <w:szCs w:val="24"/>
        </w:rPr>
        <w:t xml:space="preserve"> RTM</w:t>
      </w:r>
      <w:r w:rsidR="00123066">
        <w:rPr>
          <w:szCs w:val="24"/>
        </w:rPr>
        <w:t> </w:t>
      </w:r>
      <w:r w:rsidRPr="002C5876">
        <w:rPr>
          <w:szCs w:val="24"/>
        </w:rPr>
        <w:t>ONU.</w:t>
      </w:r>
    </w:p>
    <w:p w:rsidR="00E24DB7" w:rsidRPr="002C5876" w:rsidRDefault="00E24DB7" w:rsidP="00E24DB7">
      <w:pPr>
        <w:pStyle w:val="SingleTxtG"/>
        <w:keepNext/>
        <w:ind w:left="2268" w:hanging="1134"/>
        <w:jc w:val="left"/>
      </w:pPr>
      <w:r w:rsidRPr="002C5876">
        <w:t>3.2.4.2.2</w:t>
      </w:r>
      <w:r w:rsidRPr="002C5876">
        <w:tab/>
        <w:t>Sélection du mode de fonctionnement (en cas de mode sélectionnable par le conducteur)</w:t>
      </w:r>
    </w:p>
    <w:p w:rsidR="00E24DB7" w:rsidRPr="002C5876" w:rsidRDefault="00E24DB7" w:rsidP="00E24DB7">
      <w:pPr>
        <w:pStyle w:val="SingleTxtG"/>
        <w:ind w:left="2268"/>
      </w:pPr>
      <w:r w:rsidRPr="002C5876">
        <w:t xml:space="preserve">Pour les véhicules équipés d’un mode sélectionnable par le conducteur, le mode pour l’essai d’épuisement de la charge du type 1 doit être sélectionné conformément </w:t>
      </w:r>
      <w:r w:rsidRPr="002C5876">
        <w:rPr>
          <w:szCs w:val="24"/>
        </w:rPr>
        <w:t xml:space="preserve">au paragraphe </w:t>
      </w:r>
      <w:r w:rsidRPr="002C5876">
        <w:t xml:space="preserve">2 de l’appendice 6 de la présente annexe. </w:t>
      </w:r>
    </w:p>
    <w:p w:rsidR="00E24DB7" w:rsidRPr="002C5876" w:rsidRDefault="00E24DB7" w:rsidP="00E24DB7">
      <w:pPr>
        <w:pStyle w:val="SingleTxtG"/>
        <w:keepNext/>
        <w:ind w:left="2268" w:hanging="1134"/>
        <w:jc w:val="left"/>
      </w:pPr>
      <w:r w:rsidRPr="002C5876">
        <w:t>3.2.4.3</w:t>
      </w:r>
      <w:r w:rsidRPr="002C5876">
        <w:tab/>
        <w:t>Procédures d’essai d’épuisement de la charge du type 1</w:t>
      </w:r>
    </w:p>
    <w:p w:rsidR="00E24DB7" w:rsidRPr="002C5876" w:rsidRDefault="00E24DB7" w:rsidP="00E24DB7">
      <w:pPr>
        <w:pStyle w:val="SingleTxtG"/>
        <w:ind w:left="2268" w:hanging="1134"/>
      </w:pPr>
      <w:r w:rsidRPr="002C5876">
        <w:t>3.2.4.3.1</w:t>
      </w:r>
      <w:r w:rsidRPr="002C5876">
        <w:tab/>
        <w:t>La procédure d’essai d’épuisement de la charge du type 1 doit consister en plusieurs cycles consécutifs, chacun devant être suivi d’une période de stabilisation d’une durée de 30 min au plus jusqu’à ce que le mode maintien de la charge soit atteint.</w:t>
      </w:r>
    </w:p>
    <w:p w:rsidR="00E24DB7" w:rsidRPr="002C5876" w:rsidRDefault="00E24DB7" w:rsidP="00E24DB7">
      <w:pPr>
        <w:pStyle w:val="SingleTxtG"/>
        <w:ind w:left="2268" w:hanging="1134"/>
      </w:pPr>
      <w:r w:rsidRPr="002C5876">
        <w:t>3.2.4.3.2</w:t>
      </w:r>
      <w:r w:rsidRPr="002C5876">
        <w:tab/>
        <w:t xml:space="preserve">Au cours des périodes de stabilisation thermique entre cycles d’essai applicables </w:t>
      </w:r>
      <w:r w:rsidRPr="002C5876">
        <w:rPr>
          <w:szCs w:val="24"/>
        </w:rPr>
        <w:t>individuels</w:t>
      </w:r>
      <w:r w:rsidRPr="002C5876">
        <w:t xml:space="preserve">, la chaîne de traction doit être désactivée, et le SRSEE ne doit pas être rechargé depuis une source d’énergie électrique extérieure. L’appareil BCS utilisé pour mesurer les intensités électriques dans tous les SRSEE et pour </w:t>
      </w:r>
      <w:r w:rsidRPr="002C5876">
        <w:rPr>
          <w:szCs w:val="24"/>
        </w:rPr>
        <w:t>déterminer les tensions</w:t>
      </w:r>
      <w:r w:rsidRPr="002C5876">
        <w:t xml:space="preserve"> électriques conformément à l’appendice 3 de la présente annexe ne doit pas être désactivé entre les phases du cycle d’essai. Dans le cas d’une mesure par ampère-heure-mètre, l’intégration doit rester active tout au long de l’essai jusqu’à la fin de celui-ci.</w:t>
      </w:r>
    </w:p>
    <w:p w:rsidR="00E24DB7" w:rsidRPr="002C5876" w:rsidRDefault="00E24DB7" w:rsidP="00E24DB7">
      <w:pPr>
        <w:pStyle w:val="SingleTxtG"/>
        <w:ind w:left="2268"/>
      </w:pPr>
      <w:r w:rsidRPr="002C5876">
        <w:t xml:space="preserve">Au redémarrage après la période de stabilisation, le véhicule doit fonctionner selon le mode sélectionnable par le conducteur comme prescrit par le </w:t>
      </w:r>
      <w:r w:rsidRPr="002C5876">
        <w:rPr>
          <w:szCs w:val="24"/>
        </w:rPr>
        <w:t xml:space="preserve">paragraphe 3.2.4.2.2 </w:t>
      </w:r>
      <w:r w:rsidRPr="002C5876">
        <w:rPr>
          <w:bCs/>
        </w:rPr>
        <w:t>de la présente annexe</w:t>
      </w:r>
      <w:r w:rsidRPr="002C5876">
        <w:t xml:space="preserve">. </w:t>
      </w:r>
    </w:p>
    <w:p w:rsidR="00E24DB7" w:rsidRPr="002C5876" w:rsidRDefault="00E24DB7" w:rsidP="00E24DB7">
      <w:pPr>
        <w:pStyle w:val="SingleTxtG"/>
        <w:ind w:left="2268" w:hanging="1134"/>
      </w:pPr>
      <w:r w:rsidRPr="002C5876">
        <w:t>3.2.4.3.3</w:t>
      </w:r>
      <w:r w:rsidRPr="002C5876">
        <w:tab/>
        <w:t>Par dérogation au paragraphe 5.3.1 de l’annexe 5 et en sus du paragraphe 5.3.1.2 de l’annexe 5, les analyseurs peuvent être étalonnés et mis à zéro avant et après l’essai d’épuisement de la charge du type 1.</w:t>
      </w:r>
    </w:p>
    <w:p w:rsidR="00E24DB7" w:rsidRPr="002C5876" w:rsidRDefault="00E24DB7" w:rsidP="00E24DB7">
      <w:pPr>
        <w:pStyle w:val="SingleTxtG"/>
        <w:keepNext/>
        <w:ind w:left="2268" w:hanging="1134"/>
        <w:jc w:val="left"/>
      </w:pPr>
      <w:r w:rsidRPr="002C5876">
        <w:t>3.2.4.4</w:t>
      </w:r>
      <w:r w:rsidRPr="002C5876">
        <w:tab/>
        <w:t>Fin de l’essai d’épuisement de la charge du type 1</w:t>
      </w:r>
    </w:p>
    <w:p w:rsidR="00E24DB7" w:rsidRPr="002C5876" w:rsidRDefault="00E24DB7" w:rsidP="00E24DB7">
      <w:pPr>
        <w:pStyle w:val="SingleTxtG"/>
        <w:ind w:left="2268"/>
        <w:rPr>
          <w:iCs/>
          <w:spacing w:val="-4"/>
        </w:rPr>
      </w:pPr>
      <w:r w:rsidRPr="002C5876">
        <w:rPr>
          <w:iCs/>
          <w:spacing w:val="-4"/>
        </w:rPr>
        <w:t xml:space="preserve">On considère que l’essai d’épuisement de la charge </w:t>
      </w:r>
      <w:r w:rsidRPr="002C5876">
        <w:t>du type 1</w:t>
      </w:r>
      <w:r w:rsidRPr="002C5876">
        <w:rPr>
          <w:iCs/>
          <w:spacing w:val="-4"/>
        </w:rPr>
        <w:t xml:space="preserve"> est terminé lorsque le critère de déconnexion automatique </w:t>
      </w:r>
      <w:r w:rsidRPr="002C5876">
        <w:t xml:space="preserve">conformément au </w:t>
      </w:r>
      <w:r w:rsidRPr="002C5876">
        <w:rPr>
          <w:szCs w:val="24"/>
        </w:rPr>
        <w:t xml:space="preserve">paragraphe 3.2.4.5 </w:t>
      </w:r>
      <w:r w:rsidRPr="002C5876">
        <w:rPr>
          <w:bCs/>
        </w:rPr>
        <w:t>de la présente annexe</w:t>
      </w:r>
      <w:r w:rsidRPr="002C5876">
        <w:rPr>
          <w:iCs/>
          <w:spacing w:val="-4"/>
        </w:rPr>
        <w:t xml:space="preserve"> est rempli pour la première fois. </w:t>
      </w:r>
      <w:r w:rsidRPr="002C5876">
        <w:t xml:space="preserve">Le nombre de cycles d’essai </w:t>
      </w:r>
      <w:r w:rsidRPr="002C5876">
        <w:rPr>
          <w:iCs/>
          <w:szCs w:val="24"/>
        </w:rPr>
        <w:t xml:space="preserve">WLTP </w:t>
      </w:r>
      <w:r w:rsidRPr="002C5876">
        <w:t xml:space="preserve">applicables </w:t>
      </w:r>
      <w:r w:rsidRPr="002C5876">
        <w:rPr>
          <w:iCs/>
          <w:szCs w:val="24"/>
        </w:rPr>
        <w:t xml:space="preserve">jusqu’et y compris celui où </w:t>
      </w:r>
      <w:r w:rsidRPr="002C5876">
        <w:rPr>
          <w:iCs/>
          <w:spacing w:val="-4"/>
        </w:rPr>
        <w:t>le critère de déconnexion automatique est rempli pour la première fois est fixé à n + 1.</w:t>
      </w:r>
    </w:p>
    <w:p w:rsidR="00E24DB7" w:rsidRPr="002C5876" w:rsidRDefault="00E24DB7" w:rsidP="00E24DB7">
      <w:pPr>
        <w:pStyle w:val="SingleTxtG"/>
        <w:ind w:left="2268"/>
        <w:rPr>
          <w:iCs/>
          <w:szCs w:val="24"/>
        </w:rPr>
      </w:pPr>
      <w:r w:rsidRPr="002C5876">
        <w:rPr>
          <w:iCs/>
          <w:szCs w:val="24"/>
        </w:rPr>
        <w:t xml:space="preserve">Le </w:t>
      </w:r>
      <w:r w:rsidRPr="002C5876">
        <w:t xml:space="preserve">cycle d’essai </w:t>
      </w:r>
      <w:r w:rsidRPr="002C5876">
        <w:rPr>
          <w:iCs/>
          <w:szCs w:val="24"/>
        </w:rPr>
        <w:t xml:space="preserve">WLTP </w:t>
      </w:r>
      <w:r w:rsidRPr="002C5876">
        <w:t xml:space="preserve">applicable </w:t>
      </w:r>
      <w:r w:rsidRPr="002C5876">
        <w:rPr>
          <w:iCs/>
          <w:szCs w:val="24"/>
        </w:rPr>
        <w:t xml:space="preserve">n est désigné « cycle de transition ». </w:t>
      </w:r>
    </w:p>
    <w:p w:rsidR="00E24DB7" w:rsidRPr="002C5876" w:rsidRDefault="00E24DB7" w:rsidP="00E24DB7">
      <w:pPr>
        <w:pStyle w:val="SingleTxtG"/>
        <w:ind w:left="2268"/>
        <w:rPr>
          <w:i/>
          <w:szCs w:val="24"/>
        </w:rPr>
      </w:pPr>
      <w:r w:rsidRPr="002C5876">
        <w:rPr>
          <w:iCs/>
          <w:szCs w:val="24"/>
        </w:rPr>
        <w:t xml:space="preserve">Le </w:t>
      </w:r>
      <w:r w:rsidRPr="002C5876">
        <w:t xml:space="preserve">cycle d’essai </w:t>
      </w:r>
      <w:r w:rsidRPr="002C5876">
        <w:rPr>
          <w:iCs/>
          <w:szCs w:val="24"/>
        </w:rPr>
        <w:t xml:space="preserve">WLTP </w:t>
      </w:r>
      <w:r w:rsidRPr="002C5876">
        <w:t xml:space="preserve">applicable </w:t>
      </w:r>
      <w:r w:rsidRPr="002C5876">
        <w:rPr>
          <w:iCs/>
          <w:szCs w:val="24"/>
        </w:rPr>
        <w:t>n + 1 est désigné « cycle de confirmation ».</w:t>
      </w:r>
    </w:p>
    <w:p w:rsidR="00E24DB7" w:rsidRPr="002C5876" w:rsidRDefault="00E24DB7" w:rsidP="00E24DB7">
      <w:pPr>
        <w:pStyle w:val="SingleTxtG"/>
        <w:ind w:left="2268"/>
      </w:pPr>
      <w:r w:rsidRPr="002C5876">
        <w:t xml:space="preserve">Pour les véhicules qui n’ont pas la capacité de maintenir la charge pendant tout le cycle d’essai </w:t>
      </w:r>
      <w:r w:rsidRPr="002C5876">
        <w:rPr>
          <w:iCs/>
          <w:szCs w:val="24"/>
        </w:rPr>
        <w:t xml:space="preserve">WLTP </w:t>
      </w:r>
      <w:r w:rsidRPr="002C5876">
        <w:t xml:space="preserve">applicable, la fin de l’essai </w:t>
      </w:r>
      <w:r w:rsidRPr="002C5876">
        <w:rPr>
          <w:iCs/>
          <w:spacing w:val="-4"/>
        </w:rPr>
        <w:t xml:space="preserve">d’épuisement de la charge </w:t>
      </w:r>
      <w:r w:rsidRPr="002C5876">
        <w:t>du type 1</w:t>
      </w:r>
      <w:r w:rsidRPr="002C5876">
        <w:rPr>
          <w:iCs/>
          <w:spacing w:val="-4"/>
        </w:rPr>
        <w:t xml:space="preserve"> </w:t>
      </w:r>
      <w:r w:rsidRPr="002C5876">
        <w:t xml:space="preserve">est indiquée par l’affichage d’une instruction d’arrêter le véhicule au tableau de bord de série du véhicule, ou lorsque le véhicule s’écarte pendant 4 s </w:t>
      </w:r>
      <w:r w:rsidRPr="002C5876">
        <w:rPr>
          <w:szCs w:val="24"/>
        </w:rPr>
        <w:t xml:space="preserve">consécutives </w:t>
      </w:r>
      <w:r w:rsidRPr="002C5876">
        <w:t xml:space="preserve">ou plus de la marge de tolérance prescrite pour le tracé de la </w:t>
      </w:r>
      <w:r w:rsidRPr="002C5876">
        <w:lastRenderedPageBreak/>
        <w:t xml:space="preserve">vitesse. La commande d’accélérateur doit être désactivée et le véhicule doit être immobilisé par freinage dans les 60 s. </w:t>
      </w:r>
    </w:p>
    <w:p w:rsidR="00E24DB7" w:rsidRPr="002C5876" w:rsidRDefault="00E24DB7" w:rsidP="00E24DB7">
      <w:pPr>
        <w:pStyle w:val="SingleTxtG"/>
        <w:keepNext/>
        <w:ind w:left="2268" w:hanging="1134"/>
        <w:jc w:val="left"/>
      </w:pPr>
      <w:r w:rsidRPr="002C5876">
        <w:t>3.2.4.5</w:t>
      </w:r>
      <w:r w:rsidRPr="002C5876">
        <w:tab/>
      </w:r>
      <w:r w:rsidRPr="002C5876">
        <w:rPr>
          <w:iCs/>
        </w:rPr>
        <w:t xml:space="preserve">Critère de déconnexion automatique </w:t>
      </w:r>
    </w:p>
    <w:p w:rsidR="00E24DB7" w:rsidRPr="002C5876" w:rsidRDefault="00E24DB7" w:rsidP="00E24DB7">
      <w:pPr>
        <w:pStyle w:val="SingleTxtG"/>
        <w:ind w:left="2268" w:hanging="1134"/>
        <w:rPr>
          <w:szCs w:val="24"/>
        </w:rPr>
      </w:pPr>
      <w:r w:rsidRPr="002C5876">
        <w:rPr>
          <w:szCs w:val="24"/>
        </w:rPr>
        <w:t>3.2.4.5.1</w:t>
      </w:r>
      <w:r w:rsidRPr="002C5876">
        <w:rPr>
          <w:szCs w:val="24"/>
        </w:rPr>
        <w:tab/>
        <w:t xml:space="preserve">Il doit être déterminé si le </w:t>
      </w:r>
      <w:r w:rsidRPr="002C5876">
        <w:rPr>
          <w:iCs/>
        </w:rPr>
        <w:t xml:space="preserve">critère de déconnexion automatique a été rempli pour chaque </w:t>
      </w:r>
      <w:r w:rsidRPr="002C5876">
        <w:t xml:space="preserve">cycle d’essai </w:t>
      </w:r>
      <w:r w:rsidRPr="002C5876">
        <w:rPr>
          <w:iCs/>
          <w:szCs w:val="24"/>
        </w:rPr>
        <w:t xml:space="preserve">WLTP </w:t>
      </w:r>
      <w:r w:rsidRPr="002C5876">
        <w:t>applicable exécuté</w:t>
      </w:r>
      <w:r w:rsidRPr="002C5876">
        <w:rPr>
          <w:szCs w:val="24"/>
        </w:rPr>
        <w:t>.</w:t>
      </w:r>
    </w:p>
    <w:p w:rsidR="00E24DB7" w:rsidRPr="002C5876" w:rsidRDefault="00E24DB7" w:rsidP="00E24DB7">
      <w:pPr>
        <w:pStyle w:val="SingleTxtG"/>
        <w:keepLines/>
        <w:ind w:left="2268" w:hanging="1134"/>
        <w:rPr>
          <w:iCs/>
        </w:rPr>
      </w:pPr>
      <w:r w:rsidRPr="002C5876">
        <w:t>3.2.4.5.2</w:t>
      </w:r>
      <w:r w:rsidRPr="002C5876">
        <w:tab/>
      </w:r>
      <w:r w:rsidRPr="002C5876">
        <w:rPr>
          <w:iCs/>
        </w:rPr>
        <w:t xml:space="preserve">Le critère de déconnexion automatique pour l’essai d’épuisement de la charge </w:t>
      </w:r>
      <w:r w:rsidRPr="002C5876">
        <w:t xml:space="preserve">du type 1 </w:t>
      </w:r>
      <w:r w:rsidRPr="002C5876">
        <w:rPr>
          <w:iCs/>
        </w:rPr>
        <w:t xml:space="preserve">est rempli lorsque la variation énergétique électrique relative </w:t>
      </w:r>
      <w:r w:rsidRPr="002C5876">
        <w:rPr>
          <w:iCs/>
          <w:szCs w:val="24"/>
        </w:rPr>
        <w:t>REEC</w:t>
      </w:r>
      <w:r w:rsidRPr="002C5876">
        <w:rPr>
          <w:iCs/>
          <w:szCs w:val="24"/>
          <w:vertAlign w:val="subscript"/>
        </w:rPr>
        <w:t>i</w:t>
      </w:r>
      <w:r w:rsidRPr="002C5876">
        <w:rPr>
          <w:iCs/>
        </w:rPr>
        <w:t xml:space="preserve">, calculée </w:t>
      </w:r>
      <w:r w:rsidRPr="002C5876">
        <w:t>au moyen de l’équation suivante</w:t>
      </w:r>
      <w:r w:rsidRPr="002C5876">
        <w:rPr>
          <w:iCs/>
        </w:rPr>
        <w:t xml:space="preserve">, est inférieure à 0,04 : </w:t>
      </w:r>
    </w:p>
    <w:p w:rsidR="00E24DB7" w:rsidRPr="002C5876" w:rsidRDefault="00731CA6" w:rsidP="00704CBC">
      <w:pPr>
        <w:pStyle w:val="SingleTxtG"/>
        <w:keepLines/>
        <w:spacing w:after="240"/>
        <w:ind w:left="2268"/>
        <w:jc w:val="center"/>
        <w:rPr>
          <w:iCs/>
        </w:rPr>
      </w:pPr>
      <m:oMathPara>
        <m:oMath>
          <m:sSub>
            <m:sSubPr>
              <m:ctrlPr>
                <w:rPr>
                  <w:rFonts w:ascii="Cambria Math" w:hAnsi="Cambria Math" w:cstheme="majorBidi"/>
                </w:rPr>
              </m:ctrlPr>
            </m:sSubPr>
            <m:e>
              <m:r>
                <m:rPr>
                  <m:sty m:val="p"/>
                </m:rPr>
                <w:rPr>
                  <w:rFonts w:ascii="Cambria Math" w:hAnsi="Cambria Math" w:cstheme="majorBidi"/>
                </w:rPr>
                <m:t>REEC</m:t>
              </m:r>
            </m:e>
            <m:sub>
              <m:r>
                <m:rPr>
                  <m:sty m:val="p"/>
                </m:rPr>
                <w:rPr>
                  <w:rFonts w:ascii="Cambria Math" w:hAnsi="Cambria Math" w:cstheme="majorBidi"/>
                </w:rPr>
                <m:t>i</m:t>
              </m:r>
            </m:sub>
          </m:sSub>
          <m:r>
            <m:rPr>
              <m:sty m:val="p"/>
            </m:rPr>
            <w:rPr>
              <w:rFonts w:ascii="Cambria Math" w:hAnsi="Cambria Math" w:cstheme="majorBidi"/>
            </w:rPr>
            <m:t xml:space="preserve"> =</m:t>
          </m:r>
          <m:f>
            <m:fPr>
              <m:ctrlPr>
                <w:rPr>
                  <w:rFonts w:ascii="Cambria Math" w:hAnsi="Cambria Math" w:cstheme="majorBidi"/>
                </w:rPr>
              </m:ctrlPr>
            </m:fPr>
            <m:num>
              <m:d>
                <m:dPr>
                  <m:begChr m:val="|"/>
                  <m:endChr m:val="|"/>
                  <m:ctrlPr>
                    <w:rPr>
                      <w:rFonts w:ascii="Cambria Math" w:hAnsi="Cambria Math" w:cstheme="majorBidi"/>
                      <w:i/>
                    </w:rPr>
                  </m:ctrlPr>
                </m:dPr>
                <m:e>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REESS,i</m:t>
                      </m:r>
                    </m:sub>
                  </m:sSub>
                </m:e>
              </m:d>
            </m:num>
            <m:den>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cycle</m:t>
                  </m:r>
                </m:sub>
              </m:sSub>
              <m:r>
                <m:rPr>
                  <m:sty m:val="p"/>
                </m:rPr>
                <w:rPr>
                  <w:rFonts w:ascii="Cambria Math" w:hAnsi="Cambria Math" w:cstheme="majorBidi"/>
                </w:rPr>
                <m:t>×</m:t>
              </m:r>
              <m:f>
                <m:fPr>
                  <m:ctrlPr>
                    <w:rPr>
                      <w:rFonts w:ascii="Cambria Math" w:hAnsi="Cambria Math" w:cstheme="majorBidi"/>
                    </w:rPr>
                  </m:ctrlPr>
                </m:fPr>
                <m:num>
                  <m:r>
                    <m:rPr>
                      <m:sty m:val="p"/>
                    </m:rPr>
                    <w:rPr>
                      <w:rFonts w:ascii="Cambria Math" w:hAnsi="Cambria Math" w:cstheme="majorBidi"/>
                    </w:rPr>
                    <m:t>1</m:t>
                  </m:r>
                </m:num>
                <m:den>
                  <m:r>
                    <m:rPr>
                      <m:sty m:val="p"/>
                    </m:rPr>
                    <w:rPr>
                      <w:rFonts w:ascii="Cambria Math" w:hAnsi="Cambria Math" w:cstheme="majorBidi"/>
                    </w:rPr>
                    <m:t>3 600</m:t>
                  </m:r>
                </m:den>
              </m:f>
            </m:den>
          </m:f>
          <m:r>
            <w:rPr>
              <w:rFonts w:ascii="Cambria Math" w:hAnsi="Cambria Math"/>
            </w:rPr>
            <m:t xml:space="preserve"> </m:t>
          </m:r>
        </m:oMath>
      </m:oMathPara>
    </w:p>
    <w:p w:rsidR="00E24DB7" w:rsidRPr="002C5876" w:rsidRDefault="00E24DB7" w:rsidP="00E24DB7">
      <w:pPr>
        <w:pStyle w:val="SingleTxtG"/>
        <w:keepNext/>
        <w:ind w:left="2268"/>
      </w:pPr>
      <w:r w:rsidRPr="002C5876">
        <w:t>où :</w:t>
      </w:r>
    </w:p>
    <w:p w:rsidR="00E24DB7" w:rsidRPr="002C5876" w:rsidRDefault="00E24DB7" w:rsidP="00E24DB7">
      <w:pPr>
        <w:pStyle w:val="SingleTxtG"/>
        <w:ind w:left="3402" w:hanging="1134"/>
        <w:rPr>
          <w:szCs w:val="24"/>
        </w:rPr>
      </w:pPr>
      <w:r w:rsidRPr="002C5876">
        <w:t>REEC</w:t>
      </w:r>
      <w:r w:rsidRPr="002C5876">
        <w:rPr>
          <w:vertAlign w:val="subscript"/>
        </w:rPr>
        <w:t>i</w:t>
      </w:r>
      <w:r w:rsidRPr="002C5876">
        <w:rPr>
          <w:szCs w:val="24"/>
        </w:rPr>
        <w:tab/>
        <w:t xml:space="preserve">est la </w:t>
      </w:r>
      <w:r w:rsidRPr="002C5876">
        <w:t xml:space="preserve">variation énergétique </w:t>
      </w:r>
      <w:r w:rsidRPr="002C5876">
        <w:rPr>
          <w:iCs/>
        </w:rPr>
        <w:t xml:space="preserve">électrique </w:t>
      </w:r>
      <w:r w:rsidRPr="002C5876">
        <w:rPr>
          <w:szCs w:val="24"/>
        </w:rPr>
        <w:t xml:space="preserve">relative </w:t>
      </w:r>
      <w:r w:rsidRPr="002C5876">
        <w:rPr>
          <w:iCs/>
          <w:szCs w:val="24"/>
        </w:rPr>
        <w:t xml:space="preserve">sur le </w:t>
      </w:r>
      <w:r w:rsidRPr="002C5876">
        <w:t xml:space="preserve">cycle d’essai </w:t>
      </w:r>
      <w:r w:rsidRPr="002C5876">
        <w:rPr>
          <w:iCs/>
          <w:szCs w:val="24"/>
        </w:rPr>
        <w:t xml:space="preserve">applicable considéré i de </w:t>
      </w:r>
      <w:r w:rsidRPr="002C5876">
        <w:rPr>
          <w:iCs/>
        </w:rPr>
        <w:t xml:space="preserve">l’essai d’épuisement de la charge </w:t>
      </w:r>
      <w:r w:rsidRPr="002C5876">
        <w:t>du type 1</w:t>
      </w:r>
      <w:r w:rsidRPr="002C5876">
        <w:rPr>
          <w:iCs/>
          <w:szCs w:val="24"/>
        </w:rPr>
        <w:t> ;</w:t>
      </w:r>
    </w:p>
    <w:p w:rsidR="00E24DB7" w:rsidRPr="002C5876" w:rsidRDefault="00E24DB7" w:rsidP="00E24DB7">
      <w:pPr>
        <w:pStyle w:val="SingleTxtG"/>
        <w:ind w:left="3402" w:hanging="1134"/>
        <w:rPr>
          <w:szCs w:val="24"/>
        </w:rPr>
      </w:pPr>
      <w:r w:rsidRPr="002C5876">
        <w:rPr>
          <w:noProof/>
          <w:position w:val="-12"/>
          <w:lang w:val="en-GB" w:eastAsia="zh-CN"/>
        </w:rPr>
        <w:drawing>
          <wp:inline distT="0" distB="0" distL="0" distR="0" wp14:anchorId="1B53BEF7" wp14:editId="76D1C5E5">
            <wp:extent cx="533400" cy="209550"/>
            <wp:effectExtent l="0" t="0" r="0" b="0"/>
            <wp:docPr id="334" name="Imag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r w:rsidRPr="002C5876">
        <w:rPr>
          <w:szCs w:val="24"/>
        </w:rPr>
        <w:tab/>
        <w:t xml:space="preserve">est la </w:t>
      </w:r>
      <w:r w:rsidRPr="002C5876">
        <w:t xml:space="preserve">variation d’énergie </w:t>
      </w:r>
      <w:r w:rsidRPr="002C5876">
        <w:rPr>
          <w:iCs/>
        </w:rPr>
        <w:t xml:space="preserve">électrique </w:t>
      </w:r>
      <w:r w:rsidRPr="002C5876">
        <w:rPr>
          <w:szCs w:val="24"/>
        </w:rPr>
        <w:t xml:space="preserve">de tous les SRSEE pour </w:t>
      </w:r>
      <w:r w:rsidRPr="002C5876">
        <w:rPr>
          <w:iCs/>
          <w:szCs w:val="24"/>
        </w:rPr>
        <w:t xml:space="preserve">le </w:t>
      </w:r>
      <w:r w:rsidRPr="002C5876">
        <w:t xml:space="preserve">cycle d’essai </w:t>
      </w:r>
      <w:r w:rsidRPr="002C5876">
        <w:rPr>
          <w:iCs/>
          <w:szCs w:val="24"/>
        </w:rPr>
        <w:t xml:space="preserve">considéré i </w:t>
      </w:r>
      <w:r w:rsidRPr="002C5876">
        <w:rPr>
          <w:iCs/>
        </w:rPr>
        <w:t xml:space="preserve">d’épuisement de la charge </w:t>
      </w:r>
      <w:r w:rsidRPr="002C5876">
        <w:t>du type 1,</w:t>
      </w:r>
      <w:r w:rsidRPr="002C5876">
        <w:rPr>
          <w:szCs w:val="24"/>
        </w:rPr>
        <w:t xml:space="preserve"> </w:t>
      </w:r>
      <w:r w:rsidRPr="002C5876">
        <w:rPr>
          <w:iCs/>
        </w:rPr>
        <w:t xml:space="preserve">calculée </w:t>
      </w:r>
      <w:r w:rsidRPr="002C5876">
        <w:t xml:space="preserve">conformément au </w:t>
      </w:r>
      <w:r w:rsidRPr="002C5876">
        <w:rPr>
          <w:szCs w:val="24"/>
        </w:rPr>
        <w:t xml:space="preserve">paragraphe 4.3 </w:t>
      </w:r>
      <w:r w:rsidRPr="002C5876">
        <w:rPr>
          <w:bCs/>
        </w:rPr>
        <w:t>de la présente annexe</w:t>
      </w:r>
      <w:r w:rsidRPr="002C5876">
        <w:rPr>
          <w:szCs w:val="24"/>
        </w:rPr>
        <w:t>, en Wh ;</w:t>
      </w:r>
    </w:p>
    <w:p w:rsidR="00E24DB7" w:rsidRPr="002C5876" w:rsidRDefault="00E24DB7" w:rsidP="00E24DB7">
      <w:pPr>
        <w:pStyle w:val="SingleTxtG"/>
        <w:ind w:left="3402" w:hanging="1134"/>
        <w:rPr>
          <w:szCs w:val="24"/>
        </w:rPr>
      </w:pPr>
      <w:r w:rsidRPr="002C5876">
        <w:rPr>
          <w:noProof/>
          <w:position w:val="-12"/>
          <w:lang w:val="en-GB" w:eastAsia="zh-CN"/>
        </w:rPr>
        <w:drawing>
          <wp:inline distT="0" distB="0" distL="0" distR="0" wp14:anchorId="68A1DCEC" wp14:editId="24A537F5">
            <wp:extent cx="314325" cy="209550"/>
            <wp:effectExtent l="0" t="0" r="9525" b="0"/>
            <wp:docPr id="335" name="Imag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2C5876">
        <w:rPr>
          <w:szCs w:val="24"/>
        </w:rPr>
        <w:tab/>
        <w:t xml:space="preserve">est la demande d’énergie sur le cycle </w:t>
      </w:r>
      <w:r w:rsidRPr="002C5876">
        <w:t xml:space="preserve">d’essai </w:t>
      </w:r>
      <w:r w:rsidRPr="002C5876">
        <w:rPr>
          <w:szCs w:val="24"/>
        </w:rPr>
        <w:t xml:space="preserve">WLTP </w:t>
      </w:r>
      <w:r w:rsidRPr="002C5876">
        <w:rPr>
          <w:iCs/>
          <w:szCs w:val="24"/>
        </w:rPr>
        <w:t xml:space="preserve">applicable considéré, </w:t>
      </w:r>
      <w:r w:rsidRPr="002C5876">
        <w:rPr>
          <w:iCs/>
        </w:rPr>
        <w:t xml:space="preserve">calculée </w:t>
      </w:r>
      <w:r w:rsidRPr="002C5876">
        <w:t xml:space="preserve">conformément au </w:t>
      </w:r>
      <w:r w:rsidRPr="002C5876">
        <w:rPr>
          <w:szCs w:val="24"/>
        </w:rPr>
        <w:t>paragraphe 5 de l’annexe 7, en Ws ;</w:t>
      </w:r>
    </w:p>
    <w:p w:rsidR="00E24DB7" w:rsidRPr="002C5876" w:rsidRDefault="00E24DB7" w:rsidP="00E24DB7">
      <w:pPr>
        <w:pStyle w:val="SingleTxtG"/>
        <w:ind w:left="3402" w:hanging="1134"/>
        <w:rPr>
          <w:szCs w:val="24"/>
        </w:rPr>
      </w:pPr>
      <w:r w:rsidRPr="002C5876">
        <w:rPr>
          <w:szCs w:val="24"/>
        </w:rPr>
        <w:t xml:space="preserve">i </w:t>
      </w:r>
      <w:r w:rsidRPr="002C5876">
        <w:rPr>
          <w:szCs w:val="24"/>
        </w:rPr>
        <w:tab/>
      </w:r>
      <w:r w:rsidRPr="002C5876">
        <w:rPr>
          <w:szCs w:val="24"/>
        </w:rPr>
        <w:tab/>
        <w:t xml:space="preserve">est le numéro d’ordre du cycle </w:t>
      </w:r>
      <w:r w:rsidRPr="002C5876">
        <w:t xml:space="preserve">d’essai </w:t>
      </w:r>
      <w:r w:rsidRPr="002C5876">
        <w:rPr>
          <w:szCs w:val="24"/>
        </w:rPr>
        <w:t xml:space="preserve">WLTP </w:t>
      </w:r>
      <w:r w:rsidRPr="002C5876">
        <w:rPr>
          <w:iCs/>
          <w:szCs w:val="24"/>
        </w:rPr>
        <w:t>applicable considéré</w:t>
      </w:r>
      <w:r w:rsidRPr="002C5876">
        <w:rPr>
          <w:szCs w:val="24"/>
        </w:rPr>
        <w:t> ;</w:t>
      </w:r>
    </w:p>
    <w:p w:rsidR="00E24DB7" w:rsidRPr="002C5876" w:rsidRDefault="00E24DB7" w:rsidP="00E24DB7">
      <w:pPr>
        <w:pStyle w:val="SingleTxtG"/>
        <w:ind w:left="3402" w:hanging="1134"/>
        <w:rPr>
          <w:szCs w:val="24"/>
        </w:rPr>
      </w:pPr>
      <w:r w:rsidRPr="002C5876">
        <w:rPr>
          <w:noProof/>
          <w:position w:val="-20"/>
          <w:lang w:val="en-GB" w:eastAsia="zh-CN"/>
        </w:rPr>
        <w:drawing>
          <wp:inline distT="0" distB="0" distL="0" distR="0" wp14:anchorId="71606CE5" wp14:editId="1B3E848E">
            <wp:extent cx="333375" cy="333375"/>
            <wp:effectExtent l="0" t="0" r="9525" b="9525"/>
            <wp:docPr id="336" name="Imag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2C5876">
        <w:rPr>
          <w:szCs w:val="24"/>
        </w:rPr>
        <w:tab/>
        <w:t>est un facteur de conversion en Wh pour la demande d’énergie sur le cycle</w:t>
      </w:r>
      <w:r w:rsidRPr="002C5876">
        <w:rPr>
          <w:iCs/>
          <w:szCs w:val="24"/>
        </w:rPr>
        <w:t> ;</w:t>
      </w:r>
    </w:p>
    <w:p w:rsidR="00E24DB7" w:rsidRPr="002C5876" w:rsidRDefault="00E24DB7" w:rsidP="00E24DB7">
      <w:pPr>
        <w:pStyle w:val="SingleTxtG"/>
        <w:keepNext/>
        <w:ind w:left="2268" w:hanging="1134"/>
        <w:jc w:val="left"/>
      </w:pPr>
      <w:r w:rsidRPr="002C5876">
        <w:t>3.2.4.6</w:t>
      </w:r>
      <w:r w:rsidRPr="002C5876">
        <w:tab/>
        <w:t>Recharge du SRSEE et mesure de la quantité d’énergie électrique rechargée</w:t>
      </w:r>
    </w:p>
    <w:p w:rsidR="00E24DB7" w:rsidRPr="002C5876" w:rsidRDefault="00E24DB7" w:rsidP="00E24DB7">
      <w:pPr>
        <w:pStyle w:val="SingleTxtG"/>
        <w:ind w:left="2268" w:hanging="1134"/>
        <w:rPr>
          <w:iCs/>
          <w:spacing w:val="-4"/>
        </w:rPr>
      </w:pPr>
      <w:r w:rsidRPr="002C5876">
        <w:t>3.2.4.6.1</w:t>
      </w:r>
      <w:r w:rsidRPr="002C5876">
        <w:tab/>
        <w:t xml:space="preserve">Le véhicule doit être connecté au réseau dans les 120 min suivant la fin du </w:t>
      </w:r>
      <w:r w:rsidRPr="002C5876">
        <w:rPr>
          <w:szCs w:val="24"/>
        </w:rPr>
        <w:t xml:space="preserve">cycle </w:t>
      </w:r>
      <w:r w:rsidRPr="002C5876">
        <w:t xml:space="preserve">d’essai </w:t>
      </w:r>
      <w:r w:rsidRPr="002C5876">
        <w:rPr>
          <w:szCs w:val="24"/>
        </w:rPr>
        <w:t xml:space="preserve">WLTP </w:t>
      </w:r>
      <w:r w:rsidRPr="002C5876">
        <w:rPr>
          <w:iCs/>
          <w:szCs w:val="24"/>
        </w:rPr>
        <w:t xml:space="preserve">applicable </w:t>
      </w:r>
      <w:r w:rsidRPr="002C5876">
        <w:rPr>
          <w:szCs w:val="24"/>
        </w:rPr>
        <w:t>n + 1 au cours duquel l</w:t>
      </w:r>
      <w:r w:rsidRPr="002C5876">
        <w:rPr>
          <w:iCs/>
        </w:rPr>
        <w:t xml:space="preserve">e critère de déconnexion automatique pour l’essai d’épuisement de la charge </w:t>
      </w:r>
      <w:r w:rsidRPr="002C5876">
        <w:t xml:space="preserve">du type 1 </w:t>
      </w:r>
      <w:r w:rsidRPr="002C5876">
        <w:rPr>
          <w:iCs/>
        </w:rPr>
        <w:t xml:space="preserve">est rempli </w:t>
      </w:r>
      <w:r w:rsidRPr="002C5876">
        <w:rPr>
          <w:iCs/>
          <w:spacing w:val="-4"/>
        </w:rPr>
        <w:t>pour la première fois.</w:t>
      </w:r>
    </w:p>
    <w:p w:rsidR="00E24DB7" w:rsidRPr="002C5876" w:rsidRDefault="00E24DB7" w:rsidP="00E24DB7">
      <w:pPr>
        <w:pStyle w:val="SingleTxtG"/>
        <w:ind w:left="2259" w:firstLine="9"/>
        <w:rPr>
          <w:szCs w:val="24"/>
        </w:rPr>
      </w:pPr>
      <w:r w:rsidRPr="002C5876">
        <w:rPr>
          <w:szCs w:val="24"/>
        </w:rPr>
        <w:t xml:space="preserve">Le SRSEE est complétement rechargé lorsque le critère de fin de charge, comme défini au paragraphe 2.2.3.2 de l’appendice 4 </w:t>
      </w:r>
      <w:r w:rsidRPr="002C5876">
        <w:t>de la présente annexe</w:t>
      </w:r>
      <w:r w:rsidRPr="002C5876">
        <w:rPr>
          <w:szCs w:val="24"/>
        </w:rPr>
        <w:t xml:space="preserve">, </w:t>
      </w:r>
      <w:r w:rsidRPr="002C5876">
        <w:rPr>
          <w:iCs/>
        </w:rPr>
        <w:t>est rempli</w:t>
      </w:r>
      <w:r w:rsidRPr="002C5876">
        <w:rPr>
          <w:szCs w:val="24"/>
        </w:rPr>
        <w:t>.</w:t>
      </w:r>
    </w:p>
    <w:p w:rsidR="00E24DB7" w:rsidRPr="002C5876" w:rsidRDefault="00E24DB7" w:rsidP="00E24DB7">
      <w:pPr>
        <w:pStyle w:val="SingleTxtG"/>
        <w:ind w:left="2268" w:hanging="1134"/>
      </w:pPr>
      <w:r w:rsidRPr="002C5876">
        <w:t>3.2.4.6.2</w:t>
      </w:r>
      <w:r w:rsidRPr="002C5876">
        <w:tab/>
        <w:t xml:space="preserve">L’appareil de mesure de l’énergie </w:t>
      </w:r>
      <w:r w:rsidRPr="002C5876">
        <w:rPr>
          <w:iCs/>
        </w:rPr>
        <w:t>électrique</w:t>
      </w:r>
      <w:r w:rsidRPr="002C5876">
        <w:t>, placé entre le chargeur du véhicule et le réseau</w:t>
      </w:r>
      <w:r w:rsidRPr="002C5876">
        <w:rPr>
          <w:iCs/>
        </w:rPr>
        <w:t>,</w:t>
      </w:r>
      <w:r w:rsidRPr="002C5876">
        <w:t xml:space="preserve"> doit mesurer l’énergie </w:t>
      </w:r>
      <w:r w:rsidRPr="002C5876">
        <w:rPr>
          <w:iCs/>
        </w:rPr>
        <w:t xml:space="preserve">électrique </w:t>
      </w:r>
      <w:r w:rsidRPr="002C5876">
        <w:t>de recharge E</w:t>
      </w:r>
      <w:r w:rsidRPr="002C5876">
        <w:rPr>
          <w:vertAlign w:val="subscript"/>
        </w:rPr>
        <w:t>AC</w:t>
      </w:r>
      <w:r w:rsidRPr="002C5876">
        <w:t xml:space="preserve">, fournie par le réseau, ainsi que la durée. La mesure de l’énergie peut être arrêtée </w:t>
      </w:r>
      <w:r w:rsidRPr="002C5876">
        <w:rPr>
          <w:szCs w:val="24"/>
        </w:rPr>
        <w:t xml:space="preserve">lorsque le critère de fin de charge, comme défini au paragraphe 2.2.3.2 de l’appendice 4 </w:t>
      </w:r>
      <w:r w:rsidRPr="002C5876">
        <w:t>de la présente annexe</w:t>
      </w:r>
      <w:r w:rsidRPr="002C5876">
        <w:rPr>
          <w:szCs w:val="24"/>
        </w:rPr>
        <w:t xml:space="preserve">, </w:t>
      </w:r>
      <w:r w:rsidRPr="002C5876">
        <w:rPr>
          <w:iCs/>
        </w:rPr>
        <w:t>est rempli</w:t>
      </w:r>
      <w:r w:rsidRPr="002C5876">
        <w:rPr>
          <w:szCs w:val="24"/>
        </w:rPr>
        <w:t xml:space="preserve">. </w:t>
      </w:r>
    </w:p>
    <w:p w:rsidR="00E24DB7" w:rsidRPr="002C5876" w:rsidRDefault="00E24DB7" w:rsidP="00E24DB7">
      <w:pPr>
        <w:pStyle w:val="SingleTxtG"/>
        <w:ind w:left="2268" w:hanging="1134"/>
      </w:pPr>
      <w:r w:rsidRPr="002C5876">
        <w:t>3.2.4.7</w:t>
      </w:r>
      <w:r w:rsidRPr="002C5876">
        <w:tab/>
        <w:t xml:space="preserve">Chacun des cycles d’essai </w:t>
      </w:r>
      <w:r w:rsidRPr="002C5876">
        <w:rPr>
          <w:iCs/>
          <w:szCs w:val="24"/>
        </w:rPr>
        <w:t xml:space="preserve">WLTP </w:t>
      </w:r>
      <w:r w:rsidRPr="002C5876">
        <w:t>applicables individuels compris dans l’essai d’épuisement de la charge du type 1 doit satisfaire aux critères limites d’émissions conformément au paragraphe 1.2 de l’annexe 6.</w:t>
      </w:r>
    </w:p>
    <w:p w:rsidR="00E24DB7" w:rsidRPr="002C5876" w:rsidRDefault="00E24DB7" w:rsidP="00E24DB7">
      <w:pPr>
        <w:pStyle w:val="SingleTxtG"/>
        <w:keepNext/>
        <w:ind w:left="2268" w:hanging="1134"/>
        <w:jc w:val="left"/>
      </w:pPr>
      <w:r w:rsidRPr="002C5876">
        <w:t>3.2.5</w:t>
      </w:r>
      <w:r w:rsidRPr="002C5876">
        <w:tab/>
        <w:t xml:space="preserve">Essai de maintien de la charge du type 1 non suivi d’un essai d’épuisement </w:t>
      </w:r>
      <w:r w:rsidRPr="002C5876">
        <w:br/>
        <w:t>de la charge du type 1 (option 2)</w:t>
      </w:r>
    </w:p>
    <w:p w:rsidR="00E24DB7" w:rsidRPr="002C5876" w:rsidRDefault="00E24DB7" w:rsidP="00E24DB7">
      <w:pPr>
        <w:pStyle w:val="SingleTxtG"/>
        <w:ind w:left="2268"/>
      </w:pPr>
      <w:r w:rsidRPr="002C5876">
        <w:t xml:space="preserve">La séquence d’essai conformément à l’option 2, décrite aux paragraphes 3.2.5.1 à 3.2.5.3.3 de la présente annexe, ainsi que le profil de niveau de charge correspondant du SRSEE, sont représentés dans la figure A8.App1/2 de l’appendice 1 de la présente annexe. </w:t>
      </w:r>
    </w:p>
    <w:p w:rsidR="00E24DB7" w:rsidRPr="002C5876" w:rsidRDefault="00E24DB7" w:rsidP="00E24DB7">
      <w:pPr>
        <w:pStyle w:val="SingleTxtG"/>
        <w:keepNext/>
        <w:ind w:left="2268" w:hanging="1134"/>
        <w:jc w:val="left"/>
      </w:pPr>
      <w:r w:rsidRPr="002C5876">
        <w:lastRenderedPageBreak/>
        <w:t>3.2.5.1</w:t>
      </w:r>
      <w:r w:rsidRPr="002C5876">
        <w:tab/>
        <w:t>Préconditionnement et stabilisation thermique</w:t>
      </w:r>
    </w:p>
    <w:p w:rsidR="00E24DB7" w:rsidRPr="002C5876" w:rsidRDefault="00E24DB7" w:rsidP="00E24DB7">
      <w:pPr>
        <w:pStyle w:val="SingleTxtG"/>
        <w:ind w:left="2268"/>
      </w:pPr>
      <w:r w:rsidRPr="002C5876">
        <w:t xml:space="preserve">Le véhicule doit être préparé conformément aux procédures définies </w:t>
      </w:r>
      <w:r w:rsidRPr="002C5876">
        <w:rPr>
          <w:szCs w:val="24"/>
        </w:rPr>
        <w:t>au paragraphe </w:t>
      </w:r>
      <w:r w:rsidRPr="002C5876">
        <w:t>2.1 de l’appendice 4 de la présente annexe.</w:t>
      </w:r>
    </w:p>
    <w:p w:rsidR="00E24DB7" w:rsidRPr="002C5876" w:rsidRDefault="00E24DB7" w:rsidP="00E24DB7">
      <w:pPr>
        <w:pStyle w:val="SingleTxtG"/>
        <w:keepNext/>
        <w:ind w:left="2268" w:hanging="1134"/>
        <w:jc w:val="left"/>
      </w:pPr>
      <w:r w:rsidRPr="002C5876">
        <w:t>3.2.5.2</w:t>
      </w:r>
      <w:r w:rsidRPr="002C5876">
        <w:tab/>
        <w:t>Conditions d’essai</w:t>
      </w:r>
    </w:p>
    <w:p w:rsidR="00E24DB7" w:rsidRPr="002C5876" w:rsidRDefault="00E24DB7" w:rsidP="00E24DB7">
      <w:pPr>
        <w:pStyle w:val="SingleTxtG"/>
        <w:ind w:left="2268" w:hanging="1134"/>
      </w:pPr>
      <w:r w:rsidRPr="002C5876">
        <w:t>3.2.5.2.1</w:t>
      </w:r>
      <w:r w:rsidRPr="002C5876">
        <w:tab/>
        <w:t xml:space="preserve">Les essais doivent être exécutés sur le véhicule fonctionnant en mode maintien de la charge comme défini au </w:t>
      </w:r>
      <w:r w:rsidRPr="002C5876">
        <w:rPr>
          <w:szCs w:val="24"/>
        </w:rPr>
        <w:t xml:space="preserve">paragraphe 3.3.6 du </w:t>
      </w:r>
      <w:r w:rsidRPr="002C5876">
        <w:t>présent RTM</w:t>
      </w:r>
      <w:r w:rsidR="00123066">
        <w:t> ONU</w:t>
      </w:r>
      <w:r w:rsidRPr="002C5876">
        <w:t xml:space="preserve">. </w:t>
      </w:r>
    </w:p>
    <w:p w:rsidR="00E24DB7" w:rsidRPr="002C5876" w:rsidRDefault="00E24DB7" w:rsidP="00E24DB7">
      <w:pPr>
        <w:pStyle w:val="SingleTxtG"/>
        <w:keepNext/>
        <w:ind w:left="2268" w:hanging="1134"/>
        <w:jc w:val="left"/>
      </w:pPr>
      <w:r w:rsidRPr="002C5876">
        <w:t>3.2.5.2.2</w:t>
      </w:r>
      <w:r w:rsidRPr="002C5876">
        <w:tab/>
        <w:t>Sélection du mode de fonctionnement (en cas de mode sélectionnable par le conducteur)</w:t>
      </w:r>
    </w:p>
    <w:p w:rsidR="00E24DB7" w:rsidRPr="002C5876" w:rsidRDefault="00E24DB7" w:rsidP="00E24DB7">
      <w:pPr>
        <w:pStyle w:val="SingleTxtG"/>
        <w:ind w:left="2268"/>
      </w:pPr>
      <w:r w:rsidRPr="002C5876">
        <w:t xml:space="preserve">Pour les véhicules équipés d’un mode sélectionnable par le conducteur, le mode pour l’essai </w:t>
      </w:r>
      <w:r w:rsidRPr="002C5876">
        <w:rPr>
          <w:spacing w:val="-4"/>
        </w:rPr>
        <w:t xml:space="preserve">de maintien de la charge </w:t>
      </w:r>
      <w:r w:rsidRPr="002C5876">
        <w:t xml:space="preserve">du type 1 doit être sélectionné conformément </w:t>
      </w:r>
      <w:r w:rsidRPr="002C5876">
        <w:rPr>
          <w:szCs w:val="24"/>
        </w:rPr>
        <w:t>au paragraphe 3</w:t>
      </w:r>
      <w:r w:rsidRPr="002C5876">
        <w:t xml:space="preserve"> de l’appendice 6 de la présente annexe.</w:t>
      </w:r>
    </w:p>
    <w:p w:rsidR="00E24DB7" w:rsidRPr="002C5876" w:rsidRDefault="00E24DB7" w:rsidP="00E24DB7">
      <w:pPr>
        <w:pStyle w:val="SingleTxtG"/>
        <w:keepNext/>
        <w:ind w:left="2268" w:hanging="1134"/>
        <w:jc w:val="left"/>
      </w:pPr>
      <w:r w:rsidRPr="002C5876">
        <w:t>3.2.5.3</w:t>
      </w:r>
      <w:r w:rsidRPr="002C5876">
        <w:tab/>
        <w:t xml:space="preserve">Procédure d’essai de type 1 </w:t>
      </w:r>
    </w:p>
    <w:p w:rsidR="00E24DB7" w:rsidRPr="002C5876" w:rsidRDefault="00E24DB7" w:rsidP="00E24DB7">
      <w:pPr>
        <w:pStyle w:val="SingleTxtG"/>
        <w:ind w:left="2268" w:hanging="1134"/>
      </w:pPr>
      <w:r w:rsidRPr="002C5876">
        <w:t>3.2.5.3.1</w:t>
      </w:r>
      <w:r w:rsidRPr="002C5876">
        <w:tab/>
        <w:t>Les véhicules doivent être essayés conformément à la procédure d’essai du type 1 décrite à l’annexe 6.</w:t>
      </w:r>
    </w:p>
    <w:p w:rsidR="00E24DB7" w:rsidRPr="002C5876" w:rsidRDefault="00E24DB7" w:rsidP="00E24DB7">
      <w:pPr>
        <w:pStyle w:val="SingleTxtG"/>
        <w:ind w:left="2268" w:hanging="1134"/>
      </w:pPr>
      <w:r w:rsidRPr="002C5876">
        <w:t>3.2.5.3.2</w:t>
      </w:r>
      <w:r w:rsidRPr="002C5876">
        <w:tab/>
        <w:t>Si nécessaire, les résultats des émissions massiques de CO</w:t>
      </w:r>
      <w:r w:rsidRPr="002C5876">
        <w:rPr>
          <w:vertAlign w:val="subscript"/>
        </w:rPr>
        <w:t>2</w:t>
      </w:r>
      <w:r w:rsidRPr="002C5876">
        <w:t xml:space="preserve"> doivent être corrigés conformément </w:t>
      </w:r>
      <w:r w:rsidRPr="002C5876">
        <w:rPr>
          <w:szCs w:val="24"/>
        </w:rPr>
        <w:t xml:space="preserve">à </w:t>
      </w:r>
      <w:r w:rsidRPr="002C5876">
        <w:t xml:space="preserve">l’appendice 2 de la présente annexe. </w:t>
      </w:r>
    </w:p>
    <w:p w:rsidR="00E24DB7" w:rsidRPr="002C5876" w:rsidRDefault="00E24DB7" w:rsidP="00E24DB7">
      <w:pPr>
        <w:pStyle w:val="SingleTxtG"/>
        <w:ind w:left="2268" w:hanging="1134"/>
      </w:pPr>
      <w:r w:rsidRPr="002C5876">
        <w:t>3.2.5.3.3</w:t>
      </w:r>
      <w:r w:rsidRPr="002C5876">
        <w:tab/>
        <w:t>L’essai effectué conformément au paragraphe </w:t>
      </w:r>
      <w:r w:rsidRPr="002C5876">
        <w:rPr>
          <w:szCs w:val="24"/>
          <w:lang w:eastAsia="en-GB"/>
        </w:rPr>
        <w:t xml:space="preserve">3.2.5.3.1 </w:t>
      </w:r>
      <w:r w:rsidRPr="002C5876">
        <w:t xml:space="preserve">de la présente annexe doit satisfaire aux critères de limites d’émissions applicables conformément au paragraphe 1.2 de l’annexe 6. </w:t>
      </w:r>
    </w:p>
    <w:p w:rsidR="00E24DB7" w:rsidRPr="002C5876" w:rsidRDefault="00E24DB7" w:rsidP="00E24DB7">
      <w:pPr>
        <w:pStyle w:val="SingleTxtG"/>
        <w:keepNext/>
        <w:ind w:left="2268" w:hanging="1134"/>
        <w:jc w:val="left"/>
      </w:pPr>
      <w:r w:rsidRPr="002C5876">
        <w:t>3.2.6</w:t>
      </w:r>
      <w:r w:rsidRPr="002C5876">
        <w:tab/>
        <w:t xml:space="preserve">Essai d’épuisement de la charge du type 1 suivi d’un essai de maintien </w:t>
      </w:r>
      <w:r w:rsidRPr="002C5876">
        <w:br/>
        <w:t>de la charge du type 1 (option 3)</w:t>
      </w:r>
    </w:p>
    <w:p w:rsidR="00E24DB7" w:rsidRPr="002C5876" w:rsidRDefault="00E24DB7" w:rsidP="00E24DB7">
      <w:pPr>
        <w:pStyle w:val="SingleTxtG"/>
        <w:keepNext/>
        <w:ind w:left="2268"/>
      </w:pPr>
      <w:r w:rsidRPr="002C5876">
        <w:t>La séquence d’essai conformément à l’option 3, décrite aux paragraphes 3.2.6.1 à 3.2.6.3 de la présente annexe, ainsi que le profil de niveau de charge correspondant du SRSEE, sont représentés dans la figure A8.App1/3 de l’appendice 1 de la présente annexe.</w:t>
      </w:r>
    </w:p>
    <w:p w:rsidR="00E24DB7" w:rsidRPr="002C5876" w:rsidRDefault="00E24DB7" w:rsidP="00E24DB7">
      <w:pPr>
        <w:pStyle w:val="SingleTxtG"/>
        <w:ind w:left="2268" w:hanging="1134"/>
      </w:pPr>
      <w:r w:rsidRPr="002C5876">
        <w:t>3.2.6.1</w:t>
      </w:r>
      <w:r w:rsidRPr="002C5876">
        <w:tab/>
        <w:t xml:space="preserve">Pour l’essai d’épuisement de la charge du type 1, les procédures d’essai prescrites aux paragraphes 3.2.4.1 à 3.2.4.5 ainsi qu’au </w:t>
      </w:r>
      <w:r w:rsidRPr="002C5876">
        <w:rPr>
          <w:szCs w:val="24"/>
        </w:rPr>
        <w:t>paragraphe 3.2.4.7</w:t>
      </w:r>
      <w:r w:rsidRPr="002C5876">
        <w:t xml:space="preserve"> de la présente annexe, doivent être appliquées.</w:t>
      </w:r>
    </w:p>
    <w:p w:rsidR="00E24DB7" w:rsidRPr="002C5876" w:rsidRDefault="00E24DB7" w:rsidP="00E24DB7">
      <w:pPr>
        <w:pStyle w:val="SingleTxtG"/>
        <w:ind w:left="2268" w:hanging="1134"/>
      </w:pPr>
      <w:r w:rsidRPr="002C5876">
        <w:t>3.2.6.2</w:t>
      </w:r>
      <w:r w:rsidRPr="002C5876">
        <w:tab/>
        <w:t>Par la suite, les procédures d’essai de maintien de la charge du type 1 prescrites dans les paragraphes 3.2.5.1 à 3.2.5.3 de la présente annexe doivent être appliquées. Les dispositions des paragraphes </w:t>
      </w:r>
      <w:r w:rsidRPr="002C5876">
        <w:rPr>
          <w:szCs w:val="24"/>
        </w:rPr>
        <w:t>2.1.1 et 2.1.2 de l’appendice 4</w:t>
      </w:r>
      <w:r w:rsidRPr="002C5876">
        <w:t xml:space="preserve"> de la présente annexe ne s’appliquent pas.</w:t>
      </w:r>
    </w:p>
    <w:p w:rsidR="00E24DB7" w:rsidRPr="002C5876" w:rsidRDefault="00E24DB7" w:rsidP="00E24DB7">
      <w:pPr>
        <w:pStyle w:val="SingleTxtG"/>
        <w:keepNext/>
        <w:ind w:left="2268" w:hanging="1134"/>
        <w:jc w:val="left"/>
      </w:pPr>
      <w:r w:rsidRPr="002C5876">
        <w:t>3.2.6.3</w:t>
      </w:r>
      <w:r w:rsidRPr="002C5876">
        <w:tab/>
        <w:t>Recharge du SRSEE et mesure de la quantité d’énergie électrique rechargée</w:t>
      </w:r>
    </w:p>
    <w:p w:rsidR="00E24DB7" w:rsidRPr="002C5876" w:rsidRDefault="00E24DB7" w:rsidP="00E24DB7">
      <w:pPr>
        <w:pStyle w:val="SingleTxtG"/>
        <w:ind w:left="2268" w:hanging="1134"/>
      </w:pPr>
      <w:r w:rsidRPr="002C5876">
        <w:t>3.2.6.3.1</w:t>
      </w:r>
      <w:r w:rsidRPr="002C5876">
        <w:tab/>
        <w:t>Le véhicule doit être connecté au réseau dans les 120 min suivant la conclusion de l’essai de maintien de la charge de type 1.</w:t>
      </w:r>
    </w:p>
    <w:p w:rsidR="00E24DB7" w:rsidRPr="002C5876" w:rsidRDefault="00E24DB7" w:rsidP="00E24DB7">
      <w:pPr>
        <w:pStyle w:val="SingleTxtG"/>
        <w:ind w:left="2259" w:firstLine="9"/>
        <w:rPr>
          <w:szCs w:val="24"/>
        </w:rPr>
      </w:pPr>
      <w:r w:rsidRPr="002C5876">
        <w:rPr>
          <w:szCs w:val="24"/>
        </w:rPr>
        <w:t xml:space="preserve">Le SRSEE est complétement rechargé lorsque le critère de fin de charge, comme défini au paragraphe 2.2.3.2 de l’appendice 4 </w:t>
      </w:r>
      <w:r w:rsidRPr="002C5876">
        <w:t>de la présente annexe</w:t>
      </w:r>
      <w:r w:rsidRPr="002C5876">
        <w:rPr>
          <w:szCs w:val="24"/>
        </w:rPr>
        <w:t xml:space="preserve">, </w:t>
      </w:r>
      <w:r w:rsidRPr="002C5876">
        <w:rPr>
          <w:iCs/>
        </w:rPr>
        <w:t>est rempli</w:t>
      </w:r>
      <w:r w:rsidRPr="002C5876">
        <w:rPr>
          <w:szCs w:val="24"/>
        </w:rPr>
        <w:t>.</w:t>
      </w:r>
    </w:p>
    <w:p w:rsidR="00E24DB7" w:rsidRPr="002C5876" w:rsidRDefault="00E24DB7" w:rsidP="00E24DB7">
      <w:pPr>
        <w:pStyle w:val="SingleTxtG"/>
        <w:ind w:left="2268" w:hanging="1134"/>
      </w:pPr>
      <w:r w:rsidRPr="002C5876">
        <w:t>3.2.6.3.2</w:t>
      </w:r>
      <w:r w:rsidRPr="002C5876">
        <w:tab/>
        <w:t xml:space="preserve">L’appareil de mesure de l’énergie </w:t>
      </w:r>
      <w:r w:rsidRPr="002C5876">
        <w:rPr>
          <w:iCs/>
        </w:rPr>
        <w:t>électrique</w:t>
      </w:r>
      <w:r w:rsidRPr="002C5876">
        <w:t>, placé entre le chargeur du véhicule et le réseau</w:t>
      </w:r>
      <w:r w:rsidRPr="002C5876">
        <w:rPr>
          <w:iCs/>
        </w:rPr>
        <w:t>,</w:t>
      </w:r>
      <w:r w:rsidRPr="002C5876">
        <w:t xml:space="preserve"> doit mesurer l’énergie </w:t>
      </w:r>
      <w:r w:rsidRPr="002C5876">
        <w:rPr>
          <w:iCs/>
        </w:rPr>
        <w:t xml:space="preserve">électrique </w:t>
      </w:r>
      <w:r w:rsidRPr="002C5876">
        <w:t>de recharge E</w:t>
      </w:r>
      <w:r w:rsidRPr="002C5876">
        <w:rPr>
          <w:vertAlign w:val="subscript"/>
        </w:rPr>
        <w:t>AC</w:t>
      </w:r>
      <w:r w:rsidRPr="002C5876">
        <w:t xml:space="preserve">, fournie par le réseau, ainsi que la durée. La mesure de l’énergie peut être arrêtée </w:t>
      </w:r>
      <w:r w:rsidRPr="002C5876">
        <w:rPr>
          <w:szCs w:val="24"/>
        </w:rPr>
        <w:t xml:space="preserve">lorsque le critère de fin de charge, comme défini au paragraphe 2.2.3.2 de l’appendice 4 </w:t>
      </w:r>
      <w:r w:rsidRPr="002C5876">
        <w:t>de la présente annexe</w:t>
      </w:r>
      <w:r w:rsidRPr="002C5876">
        <w:rPr>
          <w:szCs w:val="24"/>
        </w:rPr>
        <w:t xml:space="preserve">, </w:t>
      </w:r>
      <w:r w:rsidRPr="002C5876">
        <w:rPr>
          <w:iCs/>
        </w:rPr>
        <w:t>est rempli</w:t>
      </w:r>
      <w:r w:rsidRPr="002C5876">
        <w:rPr>
          <w:szCs w:val="24"/>
        </w:rPr>
        <w:t xml:space="preserve">. </w:t>
      </w:r>
    </w:p>
    <w:p w:rsidR="00E24DB7" w:rsidRPr="002C5876" w:rsidRDefault="00E24DB7" w:rsidP="00E24DB7">
      <w:pPr>
        <w:pStyle w:val="SingleTxtG"/>
        <w:keepNext/>
        <w:ind w:left="2268" w:hanging="1134"/>
        <w:jc w:val="left"/>
      </w:pPr>
      <w:r w:rsidRPr="002C5876">
        <w:t>3.2.7</w:t>
      </w:r>
      <w:r w:rsidRPr="002C5876">
        <w:tab/>
        <w:t xml:space="preserve">Essai de maintien de la charge du type 1 suivi d’un essai d’épuisement </w:t>
      </w:r>
      <w:r w:rsidRPr="002C5876">
        <w:br/>
        <w:t>de la charge du type 1 (option 4)</w:t>
      </w:r>
    </w:p>
    <w:p w:rsidR="00E24DB7" w:rsidRPr="002C5876" w:rsidRDefault="00E24DB7" w:rsidP="00E24DB7">
      <w:pPr>
        <w:pStyle w:val="SingleTxtG"/>
        <w:ind w:left="2268"/>
      </w:pPr>
      <w:r w:rsidRPr="002C5876">
        <w:rPr>
          <w:szCs w:val="24"/>
        </w:rPr>
        <w:tab/>
        <w:t>La séquence d</w:t>
      </w:r>
      <w:r w:rsidRPr="002C5876">
        <w:t>’essai conformément à l’o</w:t>
      </w:r>
      <w:r w:rsidRPr="002C5876">
        <w:rPr>
          <w:szCs w:val="24"/>
        </w:rPr>
        <w:t xml:space="preserve">ption 4, décrite aux paragraphes 3.2.7.1 et 3.2.7.2 de </w:t>
      </w:r>
      <w:r w:rsidRPr="002C5876">
        <w:t>la présente annexe</w:t>
      </w:r>
      <w:r w:rsidRPr="002C5876">
        <w:rPr>
          <w:szCs w:val="24"/>
        </w:rPr>
        <w:t xml:space="preserve">, ainsi que le profil de niveau de charge correspondant du </w:t>
      </w:r>
      <w:r w:rsidRPr="002C5876">
        <w:t>SRSEE</w:t>
      </w:r>
      <w:r w:rsidRPr="002C5876">
        <w:rPr>
          <w:szCs w:val="24"/>
        </w:rPr>
        <w:t xml:space="preserve">, sont représentés dans la </w:t>
      </w:r>
      <w:r w:rsidRPr="002C5876">
        <w:t xml:space="preserve">figure A8.App1/4 de l’appendice 1 </w:t>
      </w:r>
      <w:r w:rsidRPr="002C5876">
        <w:rPr>
          <w:szCs w:val="24"/>
        </w:rPr>
        <w:t xml:space="preserve">de </w:t>
      </w:r>
      <w:r w:rsidRPr="002C5876">
        <w:t>la présente annexe.</w:t>
      </w:r>
    </w:p>
    <w:p w:rsidR="00E24DB7" w:rsidRPr="002C5876" w:rsidRDefault="00E24DB7" w:rsidP="00E24DB7">
      <w:pPr>
        <w:pStyle w:val="SingleTxtG"/>
        <w:ind w:left="2268" w:hanging="1134"/>
      </w:pPr>
      <w:r w:rsidRPr="002C5876">
        <w:lastRenderedPageBreak/>
        <w:t>3.2.7.1</w:t>
      </w:r>
      <w:r w:rsidRPr="002C5876">
        <w:tab/>
        <w:t xml:space="preserve">Pour l’essai de maintien de la charge du type 1, les procédures d’essai prescrites aux paragraphes 3.2.5.1 à 3.2.5.3, ainsi qu’au </w:t>
      </w:r>
      <w:r w:rsidRPr="002C5876">
        <w:rPr>
          <w:szCs w:val="24"/>
        </w:rPr>
        <w:t>paragraphe</w:t>
      </w:r>
      <w:r w:rsidRPr="002C5876">
        <w:t> 3.2.6.3.1 de la présente annexe, doivent être appliquées.</w:t>
      </w:r>
    </w:p>
    <w:p w:rsidR="00E24DB7" w:rsidRPr="002C5876" w:rsidRDefault="00E24DB7" w:rsidP="00E24DB7">
      <w:pPr>
        <w:pStyle w:val="SingleTxtG"/>
        <w:ind w:left="2268" w:hanging="1134"/>
      </w:pPr>
      <w:r w:rsidRPr="002C5876">
        <w:t>3.2.7.2</w:t>
      </w:r>
      <w:r w:rsidRPr="002C5876">
        <w:tab/>
        <w:t xml:space="preserve">Par la suite, les procédures d’essai d’épuisement de la charge du type 1 prescrites dans les paragraphes 3.2.4.2 à 3.2.4.7 de la présente annexe, doivent être appliquées. </w:t>
      </w:r>
    </w:p>
    <w:p w:rsidR="00E24DB7" w:rsidRPr="002C5876" w:rsidRDefault="00E24DB7" w:rsidP="00E24DB7">
      <w:pPr>
        <w:pStyle w:val="SingleTxtG"/>
        <w:keepNext/>
        <w:ind w:left="2268" w:hanging="1134"/>
        <w:jc w:val="left"/>
        <w:rPr>
          <w:bCs/>
        </w:rPr>
      </w:pPr>
      <w:r w:rsidRPr="002C5876">
        <w:rPr>
          <w:bCs/>
        </w:rPr>
        <w:t>3.3</w:t>
      </w:r>
      <w:r w:rsidRPr="002C5876">
        <w:rPr>
          <w:bCs/>
        </w:rPr>
        <w:tab/>
        <w:t>VHE-NRE</w:t>
      </w:r>
    </w:p>
    <w:p w:rsidR="00E24DB7" w:rsidRPr="002C5876" w:rsidRDefault="00E24DB7" w:rsidP="00E24DB7">
      <w:pPr>
        <w:pStyle w:val="SingleTxtG"/>
        <w:ind w:left="2268"/>
        <w:rPr>
          <w:bCs/>
        </w:rPr>
      </w:pPr>
      <w:r w:rsidRPr="002C5876">
        <w:rPr>
          <w:szCs w:val="24"/>
        </w:rPr>
        <w:tab/>
        <w:t>La séquence d</w:t>
      </w:r>
      <w:r w:rsidRPr="002C5876">
        <w:t xml:space="preserve">’essai </w:t>
      </w:r>
      <w:r w:rsidRPr="002C5876">
        <w:rPr>
          <w:szCs w:val="24"/>
        </w:rPr>
        <w:t xml:space="preserve">décrite aux paragraphes 3.3.1 à 3.3.3 de </w:t>
      </w:r>
      <w:r w:rsidRPr="002C5876">
        <w:t>la présente annexe</w:t>
      </w:r>
      <w:r w:rsidRPr="002C5876">
        <w:rPr>
          <w:szCs w:val="24"/>
        </w:rPr>
        <w:t xml:space="preserve">, ainsi que le profil de niveau de charge correspondant du </w:t>
      </w:r>
      <w:r w:rsidRPr="002C5876">
        <w:t>SRSEE</w:t>
      </w:r>
      <w:r w:rsidRPr="002C5876">
        <w:rPr>
          <w:szCs w:val="24"/>
        </w:rPr>
        <w:t>, sont représentés dans la f</w:t>
      </w:r>
      <w:r w:rsidRPr="002C5876">
        <w:t xml:space="preserve">igure A8.App1/5 de l’appendice 1 </w:t>
      </w:r>
      <w:r w:rsidRPr="002C5876">
        <w:rPr>
          <w:szCs w:val="24"/>
        </w:rPr>
        <w:t xml:space="preserve">de </w:t>
      </w:r>
      <w:r w:rsidRPr="002C5876">
        <w:t>la présente annexe.</w:t>
      </w:r>
    </w:p>
    <w:p w:rsidR="00E24DB7" w:rsidRPr="002C5876" w:rsidRDefault="00E24DB7" w:rsidP="00E24DB7">
      <w:pPr>
        <w:pStyle w:val="SingleTxtG"/>
        <w:keepNext/>
        <w:ind w:left="2268" w:hanging="1134"/>
        <w:jc w:val="left"/>
      </w:pPr>
      <w:r w:rsidRPr="002C5876">
        <w:t>3.3.1</w:t>
      </w:r>
      <w:r w:rsidRPr="002C5876">
        <w:tab/>
        <w:t>Préconditionnement et stabilisation thermique</w:t>
      </w:r>
    </w:p>
    <w:p w:rsidR="00E24DB7" w:rsidRPr="002C5876" w:rsidRDefault="00E24DB7" w:rsidP="00E24DB7">
      <w:pPr>
        <w:pStyle w:val="SingleTxtG"/>
        <w:ind w:left="2268" w:hanging="1134"/>
        <w:rPr>
          <w:bCs/>
          <w:szCs w:val="24"/>
        </w:rPr>
      </w:pPr>
      <w:r w:rsidRPr="002C5876">
        <w:t>3.3.1.1</w:t>
      </w:r>
      <w:r w:rsidRPr="002C5876">
        <w:tab/>
        <w:t xml:space="preserve">Les véhicules doivent être </w:t>
      </w:r>
      <w:r w:rsidRPr="002C5876">
        <w:rPr>
          <w:bCs/>
          <w:szCs w:val="24"/>
        </w:rPr>
        <w:t xml:space="preserve">préconditionnés </w:t>
      </w:r>
      <w:r w:rsidRPr="002C5876">
        <w:t xml:space="preserve">conformément </w:t>
      </w:r>
      <w:r w:rsidRPr="002C5876">
        <w:rPr>
          <w:bCs/>
          <w:szCs w:val="24"/>
        </w:rPr>
        <w:t>au paragraphe 2.6 de l’annexe 6.</w:t>
      </w:r>
    </w:p>
    <w:p w:rsidR="00E24DB7" w:rsidRPr="002C5876" w:rsidRDefault="00E24DB7" w:rsidP="00E24DB7">
      <w:pPr>
        <w:pStyle w:val="SingleTxtG"/>
        <w:ind w:left="2268"/>
        <w:rPr>
          <w:bCs/>
          <w:szCs w:val="24"/>
        </w:rPr>
      </w:pPr>
      <w:r w:rsidRPr="002C5876">
        <w:rPr>
          <w:bCs/>
          <w:szCs w:val="24"/>
        </w:rPr>
        <w:tab/>
        <w:t xml:space="preserve">En sus des dispositions applicables du paragraphe 2.6 de l’annexe 6, le </w:t>
      </w:r>
      <w:r w:rsidRPr="002C5876">
        <w:rPr>
          <w:szCs w:val="24"/>
        </w:rPr>
        <w:t xml:space="preserve">niveau de charge </w:t>
      </w:r>
      <w:r w:rsidRPr="002C5876">
        <w:rPr>
          <w:bCs/>
          <w:szCs w:val="24"/>
        </w:rPr>
        <w:t>du SRSEE de traction p</w:t>
      </w:r>
      <w:r w:rsidRPr="002C5876">
        <w:t xml:space="preserve">our l’essai de maintien de la charge </w:t>
      </w:r>
      <w:r w:rsidRPr="002C5876">
        <w:rPr>
          <w:bCs/>
          <w:szCs w:val="24"/>
        </w:rPr>
        <w:t xml:space="preserve">peut être </w:t>
      </w:r>
      <w:r w:rsidRPr="002C5876">
        <w:rPr>
          <w:bCs/>
        </w:rPr>
        <w:t>fixé selon les recommandations du constructeur avant le p</w:t>
      </w:r>
      <w:r w:rsidRPr="002C5876">
        <w:t xml:space="preserve">réconditionnement </w:t>
      </w:r>
      <w:r w:rsidRPr="002C5876">
        <w:rPr>
          <w:bCs/>
        </w:rPr>
        <w:t>de manière à obtenir que l’essai s’effectue en mode maintien de la charge</w:t>
      </w:r>
      <w:r w:rsidRPr="002C5876">
        <w:rPr>
          <w:bCs/>
          <w:szCs w:val="24"/>
        </w:rPr>
        <w:t>.</w:t>
      </w:r>
    </w:p>
    <w:p w:rsidR="00E24DB7" w:rsidRPr="002C5876" w:rsidRDefault="00E24DB7" w:rsidP="00E24DB7">
      <w:pPr>
        <w:pStyle w:val="SingleTxtG"/>
        <w:ind w:left="2268" w:hanging="1134"/>
        <w:rPr>
          <w:color w:val="000000"/>
          <w:szCs w:val="24"/>
        </w:rPr>
      </w:pPr>
      <w:r w:rsidRPr="002C5876">
        <w:rPr>
          <w:bCs/>
        </w:rPr>
        <w:t>3.3.1.2</w:t>
      </w:r>
      <w:r w:rsidRPr="002C5876">
        <w:rPr>
          <w:bCs/>
        </w:rPr>
        <w:tab/>
      </w:r>
      <w:r w:rsidRPr="002C5876">
        <w:t xml:space="preserve">Les véhicules doivent être soumis à une stabilisation thermique conformément </w:t>
      </w:r>
      <w:r w:rsidRPr="002C5876">
        <w:rPr>
          <w:bCs/>
          <w:szCs w:val="24"/>
        </w:rPr>
        <w:t>au paragraphe 2.7 de l’annexe 6</w:t>
      </w:r>
      <w:r w:rsidRPr="002C5876">
        <w:rPr>
          <w:color w:val="000000"/>
          <w:szCs w:val="24"/>
        </w:rPr>
        <w:t>.</w:t>
      </w:r>
    </w:p>
    <w:p w:rsidR="00E24DB7" w:rsidRPr="002C5876" w:rsidRDefault="00E24DB7" w:rsidP="00E24DB7">
      <w:pPr>
        <w:pStyle w:val="SingleTxtG"/>
        <w:keepNext/>
        <w:ind w:left="2268" w:hanging="1134"/>
        <w:jc w:val="left"/>
      </w:pPr>
      <w:r w:rsidRPr="002C5876">
        <w:t>3.3.2</w:t>
      </w:r>
      <w:r w:rsidRPr="002C5876">
        <w:tab/>
        <w:t>Conditions d’essai</w:t>
      </w:r>
    </w:p>
    <w:p w:rsidR="00E24DB7" w:rsidRPr="002C5876" w:rsidRDefault="00E24DB7" w:rsidP="00E24DB7">
      <w:pPr>
        <w:pStyle w:val="SingleTxtG"/>
        <w:ind w:left="2268" w:hanging="1134"/>
        <w:jc w:val="left"/>
        <w:rPr>
          <w:bCs/>
        </w:rPr>
      </w:pPr>
      <w:r w:rsidRPr="002C5876">
        <w:rPr>
          <w:bCs/>
        </w:rPr>
        <w:t>3.3.2.1</w:t>
      </w:r>
      <w:r w:rsidRPr="002C5876">
        <w:rPr>
          <w:bCs/>
        </w:rPr>
        <w:tab/>
      </w:r>
      <w:r w:rsidRPr="002C5876">
        <w:t xml:space="preserve">Les véhicules doivent être soumis à des essais en mode </w:t>
      </w:r>
      <w:r w:rsidRPr="002C5876">
        <w:rPr>
          <w:bCs/>
        </w:rPr>
        <w:t xml:space="preserve">maintien de la charge comme défini </w:t>
      </w:r>
      <w:r w:rsidRPr="002C5876">
        <w:t>au paragraphe 3.3.6 du présent RTM</w:t>
      </w:r>
      <w:r w:rsidR="00123066">
        <w:t> ONU</w:t>
      </w:r>
      <w:r w:rsidRPr="002C5876">
        <w:t xml:space="preserve">. </w:t>
      </w:r>
    </w:p>
    <w:p w:rsidR="00E24DB7" w:rsidRPr="002C5876" w:rsidRDefault="00E24DB7" w:rsidP="00E24DB7">
      <w:pPr>
        <w:pStyle w:val="SingleTxtG"/>
        <w:keepNext/>
        <w:ind w:left="2268" w:hanging="1134"/>
        <w:jc w:val="left"/>
      </w:pPr>
      <w:r w:rsidRPr="002C5876">
        <w:rPr>
          <w:szCs w:val="24"/>
        </w:rPr>
        <w:t>3.3.2.2</w:t>
      </w:r>
      <w:r w:rsidRPr="002C5876">
        <w:rPr>
          <w:szCs w:val="24"/>
        </w:rPr>
        <w:tab/>
      </w:r>
      <w:r w:rsidRPr="002C5876">
        <w:t>Sélection du mode de fonctionnement (en cas de mode sélectionnable par le conducteur)</w:t>
      </w:r>
    </w:p>
    <w:p w:rsidR="00E24DB7" w:rsidRPr="002C5876" w:rsidRDefault="00E24DB7" w:rsidP="00E24DB7">
      <w:pPr>
        <w:pStyle w:val="SingleTxtG"/>
        <w:ind w:left="2268"/>
      </w:pPr>
      <w:r w:rsidRPr="002C5876">
        <w:tab/>
        <w:t xml:space="preserve">Pour les véhicules équipés d’un mode sélectionnable par le conducteur, le mode pour l’essai </w:t>
      </w:r>
      <w:r w:rsidRPr="002C5876">
        <w:rPr>
          <w:spacing w:val="-4"/>
        </w:rPr>
        <w:t xml:space="preserve">de maintien de la charge </w:t>
      </w:r>
      <w:r w:rsidRPr="002C5876">
        <w:t xml:space="preserve">du type 1 doit être sélectionné conformément </w:t>
      </w:r>
      <w:r w:rsidRPr="002C5876">
        <w:rPr>
          <w:szCs w:val="24"/>
        </w:rPr>
        <w:t>au paragraphe 3</w:t>
      </w:r>
      <w:r w:rsidRPr="002C5876">
        <w:t xml:space="preserve"> de l’appendice 6 de la présente annexe. </w:t>
      </w:r>
    </w:p>
    <w:p w:rsidR="00E24DB7" w:rsidRPr="002C5876" w:rsidRDefault="00E24DB7" w:rsidP="00E24DB7">
      <w:pPr>
        <w:pStyle w:val="SingleTxtG"/>
        <w:keepNext/>
        <w:ind w:left="2268" w:hanging="1134"/>
        <w:jc w:val="left"/>
      </w:pPr>
      <w:r w:rsidRPr="002C5876">
        <w:t>3.3.3</w:t>
      </w:r>
      <w:r w:rsidRPr="002C5876">
        <w:tab/>
        <w:t>Essai de type 1</w:t>
      </w:r>
    </w:p>
    <w:p w:rsidR="00E24DB7" w:rsidRPr="002C5876" w:rsidRDefault="00E24DB7" w:rsidP="00E24DB7">
      <w:pPr>
        <w:pStyle w:val="SingleTxtG"/>
        <w:ind w:left="2268" w:hanging="1134"/>
        <w:rPr>
          <w:szCs w:val="24"/>
        </w:rPr>
      </w:pPr>
      <w:r w:rsidRPr="002C5876">
        <w:t>3.3.3.1</w:t>
      </w:r>
      <w:r w:rsidRPr="002C5876">
        <w:tab/>
        <w:t xml:space="preserve">Les véhicules doivent être soumis aux essais conformément à la procédure d’essai du type 1 </w:t>
      </w:r>
      <w:r w:rsidRPr="002C5876">
        <w:rPr>
          <w:color w:val="000000"/>
          <w:szCs w:val="24"/>
        </w:rPr>
        <w:t>décrite à l’annexe 6.</w:t>
      </w:r>
    </w:p>
    <w:p w:rsidR="00E24DB7" w:rsidRPr="002C5876" w:rsidRDefault="00E24DB7" w:rsidP="00E24DB7">
      <w:pPr>
        <w:pStyle w:val="SingleTxtG"/>
        <w:ind w:left="2268" w:hanging="1134"/>
      </w:pPr>
      <w:r w:rsidRPr="002C5876">
        <w:t>3.3.3.2</w:t>
      </w:r>
      <w:r w:rsidRPr="002C5876">
        <w:tab/>
        <w:t>Si nécessaire, les résultats des émissions massiques de CO</w:t>
      </w:r>
      <w:r w:rsidRPr="002C5876">
        <w:rPr>
          <w:vertAlign w:val="subscript"/>
        </w:rPr>
        <w:t>2</w:t>
      </w:r>
      <w:r w:rsidRPr="002C5876">
        <w:t xml:space="preserve"> doivent être corrigés conformément </w:t>
      </w:r>
      <w:r w:rsidRPr="002C5876">
        <w:rPr>
          <w:szCs w:val="24"/>
        </w:rPr>
        <w:t xml:space="preserve">à </w:t>
      </w:r>
      <w:r w:rsidRPr="002C5876">
        <w:t>l’appendice 2 de la présente annexe.</w:t>
      </w:r>
    </w:p>
    <w:p w:rsidR="00E24DB7" w:rsidRPr="002C5876" w:rsidRDefault="00E24DB7" w:rsidP="00E24DB7">
      <w:pPr>
        <w:pStyle w:val="SingleTxtG"/>
        <w:ind w:left="2268" w:hanging="1134"/>
        <w:rPr>
          <w:bCs/>
          <w:szCs w:val="24"/>
        </w:rPr>
      </w:pPr>
      <w:r w:rsidRPr="002C5876">
        <w:t>3.3.3.3</w:t>
      </w:r>
      <w:r w:rsidRPr="002C5876">
        <w:tab/>
        <w:t xml:space="preserve">L’essai </w:t>
      </w:r>
      <w:r w:rsidRPr="002C5876">
        <w:rPr>
          <w:spacing w:val="-4"/>
        </w:rPr>
        <w:t xml:space="preserve">de maintien de la charge </w:t>
      </w:r>
      <w:r w:rsidRPr="002C5876">
        <w:t xml:space="preserve">du type 1 </w:t>
      </w:r>
      <w:r w:rsidRPr="002C5876">
        <w:rPr>
          <w:szCs w:val="24"/>
          <w:lang w:eastAsia="en-GB"/>
        </w:rPr>
        <w:t xml:space="preserve">doit satisfaire aux </w:t>
      </w:r>
      <w:r w:rsidRPr="002C5876">
        <w:t>critères limites d’émissions</w:t>
      </w:r>
      <w:r w:rsidRPr="002C5876">
        <w:rPr>
          <w:szCs w:val="24"/>
          <w:lang w:eastAsia="en-GB"/>
        </w:rPr>
        <w:t xml:space="preserve"> </w:t>
      </w:r>
      <w:r w:rsidRPr="002C5876">
        <w:t xml:space="preserve">conformément au </w:t>
      </w:r>
      <w:r w:rsidRPr="002C5876">
        <w:rPr>
          <w:szCs w:val="24"/>
          <w:lang w:eastAsia="en-GB"/>
        </w:rPr>
        <w:t xml:space="preserve">paragraphe 1.2 de </w:t>
      </w:r>
      <w:r w:rsidRPr="002C5876">
        <w:rPr>
          <w:color w:val="000000"/>
          <w:szCs w:val="24"/>
        </w:rPr>
        <w:t>l’annexe 6</w:t>
      </w:r>
      <w:r w:rsidRPr="002C5876">
        <w:rPr>
          <w:szCs w:val="24"/>
          <w:lang w:eastAsia="en-GB"/>
        </w:rPr>
        <w:t>.</w:t>
      </w:r>
    </w:p>
    <w:p w:rsidR="00E24DB7" w:rsidRPr="002C5876" w:rsidRDefault="00E24DB7" w:rsidP="00E24DB7">
      <w:pPr>
        <w:pStyle w:val="SingleTxtG"/>
        <w:keepNext/>
        <w:ind w:left="2268" w:hanging="1134"/>
        <w:jc w:val="left"/>
        <w:rPr>
          <w:bCs/>
        </w:rPr>
      </w:pPr>
      <w:r w:rsidRPr="002C5876">
        <w:rPr>
          <w:bCs/>
        </w:rPr>
        <w:t>3.4</w:t>
      </w:r>
      <w:r w:rsidRPr="002C5876">
        <w:rPr>
          <w:bCs/>
        </w:rPr>
        <w:tab/>
        <w:t>VEP</w:t>
      </w:r>
    </w:p>
    <w:p w:rsidR="00E24DB7" w:rsidRPr="002C5876" w:rsidRDefault="00E24DB7" w:rsidP="00E24DB7">
      <w:pPr>
        <w:pStyle w:val="SingleTxtG"/>
        <w:keepNext/>
        <w:ind w:left="2268" w:hanging="1134"/>
        <w:jc w:val="left"/>
      </w:pPr>
      <w:r w:rsidRPr="002C5876">
        <w:t>3.4.1</w:t>
      </w:r>
      <w:r w:rsidRPr="002C5876">
        <w:tab/>
        <w:t>Prescriptions générales</w:t>
      </w:r>
    </w:p>
    <w:p w:rsidR="00E24DB7" w:rsidRPr="002C5876" w:rsidRDefault="00E24DB7" w:rsidP="00E24DB7">
      <w:pPr>
        <w:pStyle w:val="SingleTxtG"/>
        <w:ind w:left="2268"/>
      </w:pPr>
      <w:r w:rsidRPr="002C5876">
        <w:tab/>
        <w:t xml:space="preserve">La procédure d’essai </w:t>
      </w:r>
      <w:r w:rsidRPr="002C5876">
        <w:rPr>
          <w:color w:val="000000"/>
          <w:szCs w:val="24"/>
          <w:lang w:eastAsia="ja-JP"/>
        </w:rPr>
        <w:t>en vue de déte</w:t>
      </w:r>
      <w:r w:rsidRPr="002C5876">
        <w:rPr>
          <w:szCs w:val="24"/>
          <w:lang w:eastAsia="ja-JP"/>
        </w:rPr>
        <w:t xml:space="preserve">rminer l’autonomie en mode </w:t>
      </w:r>
      <w:r w:rsidRPr="002C5876">
        <w:t xml:space="preserve">électrique </w:t>
      </w:r>
      <w:r w:rsidRPr="002C5876">
        <w:rPr>
          <w:szCs w:val="24"/>
          <w:lang w:eastAsia="ja-JP"/>
        </w:rPr>
        <w:t xml:space="preserve">pur et la </w:t>
      </w:r>
      <w:r w:rsidRPr="002C5876">
        <w:t xml:space="preserve">consommation d’énergie électrique </w:t>
      </w:r>
      <w:r w:rsidRPr="002C5876">
        <w:rPr>
          <w:szCs w:val="24"/>
          <w:lang w:eastAsia="ja-JP"/>
        </w:rPr>
        <w:t>doit être sélectionnée en fonction de</w:t>
      </w:r>
      <w:r w:rsidRPr="002C5876">
        <w:rPr>
          <w:szCs w:val="24"/>
        </w:rPr>
        <w:t xml:space="preserve"> </w:t>
      </w:r>
      <w:r w:rsidRPr="002C5876">
        <w:t xml:space="preserve">l’autonomie en mode électrique pur </w:t>
      </w:r>
      <w:r w:rsidRPr="002C5876">
        <w:rPr>
          <w:szCs w:val="24"/>
        </w:rPr>
        <w:t xml:space="preserve">estimée (AMEP) du </w:t>
      </w:r>
      <w:r w:rsidRPr="002C5876">
        <w:t xml:space="preserve">véhicule </w:t>
      </w:r>
      <w:r w:rsidRPr="002C5876">
        <w:rPr>
          <w:szCs w:val="24"/>
        </w:rPr>
        <w:t>d’</w:t>
      </w:r>
      <w:r w:rsidRPr="002C5876">
        <w:t>essai</w:t>
      </w:r>
      <w:r w:rsidRPr="002C5876">
        <w:rPr>
          <w:szCs w:val="24"/>
          <w:lang w:eastAsia="ja-JP"/>
        </w:rPr>
        <w:t xml:space="preserve"> tirée du tableau A8/3. Si la méthode d’interpolation est appliquée, la </w:t>
      </w:r>
      <w:r w:rsidRPr="002C5876">
        <w:t xml:space="preserve">procédure d’essai </w:t>
      </w:r>
      <w:r w:rsidRPr="002C5876">
        <w:rPr>
          <w:szCs w:val="24"/>
          <w:lang w:eastAsia="ja-JP"/>
        </w:rPr>
        <w:t>doit être sélectionnée en fonction de l’</w:t>
      </w:r>
      <w:r w:rsidRPr="002C5876">
        <w:rPr>
          <w:szCs w:val="24"/>
        </w:rPr>
        <w:t xml:space="preserve">AMEP </w:t>
      </w:r>
      <w:r w:rsidRPr="002C5876">
        <w:rPr>
          <w:szCs w:val="24"/>
          <w:lang w:eastAsia="ja-JP"/>
        </w:rPr>
        <w:t xml:space="preserve">du </w:t>
      </w:r>
      <w:r w:rsidRPr="002C5876">
        <w:t xml:space="preserve">véhicule </w:t>
      </w:r>
      <w:r w:rsidRPr="002C5876">
        <w:rPr>
          <w:szCs w:val="24"/>
          <w:lang w:eastAsia="ja-JP"/>
        </w:rPr>
        <w:t>H au sein de la famille spécifique d’interpolation.</w:t>
      </w:r>
    </w:p>
    <w:p w:rsidR="00E24DB7" w:rsidRPr="002C5876" w:rsidRDefault="00E24DB7" w:rsidP="00E24DB7">
      <w:pPr>
        <w:pStyle w:val="H23G"/>
      </w:pPr>
      <w:r w:rsidRPr="002C5876">
        <w:rPr>
          <w:b w:val="0"/>
          <w:lang w:eastAsia="ja-JP"/>
        </w:rPr>
        <w:lastRenderedPageBreak/>
        <w:tab/>
      </w:r>
      <w:r w:rsidRPr="002C5876">
        <w:rPr>
          <w:b w:val="0"/>
          <w:lang w:eastAsia="ja-JP"/>
        </w:rPr>
        <w:tab/>
        <w:t>Tableau A8/3</w:t>
      </w:r>
      <w:r w:rsidRPr="002C5876">
        <w:rPr>
          <w:lang w:eastAsia="ja-JP"/>
        </w:rPr>
        <w:br/>
        <w:t xml:space="preserve">Procédures à appliquer pour déterminer l’autonomie en mode </w:t>
      </w:r>
      <w:r w:rsidRPr="002C5876">
        <w:t xml:space="preserve">électrique </w:t>
      </w:r>
      <w:r w:rsidRPr="002C5876">
        <w:br/>
      </w:r>
      <w:r w:rsidRPr="002C5876">
        <w:rPr>
          <w:lang w:eastAsia="ja-JP"/>
        </w:rPr>
        <w:t xml:space="preserve">pur et la </w:t>
      </w:r>
      <w:r w:rsidRPr="002C5876">
        <w:t>consommation d’énergie électrique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4"/>
        <w:gridCol w:w="2158"/>
        <w:gridCol w:w="2729"/>
      </w:tblGrid>
      <w:tr w:rsidR="00E24DB7" w:rsidRPr="002C5876" w:rsidTr="00E24DB7">
        <w:trPr>
          <w:tblHeader/>
        </w:trPr>
        <w:tc>
          <w:tcPr>
            <w:tcW w:w="2484" w:type="dxa"/>
            <w:tcBorders>
              <w:bottom w:val="single" w:sz="12" w:space="0" w:color="auto"/>
            </w:tcBorders>
            <w:tcMar>
              <w:left w:w="0" w:type="dxa"/>
              <w:right w:w="0" w:type="dxa"/>
            </w:tcMar>
            <w:vAlign w:val="bottom"/>
          </w:tcPr>
          <w:p w:rsidR="00E24DB7" w:rsidRPr="002C5876" w:rsidRDefault="00E24DB7" w:rsidP="00E24DB7">
            <w:pPr>
              <w:keepNext/>
              <w:keepLines/>
              <w:spacing w:before="80" w:after="80" w:line="200" w:lineRule="exact"/>
              <w:ind w:left="57" w:right="57"/>
              <w:rPr>
                <w:i/>
                <w:sz w:val="16"/>
                <w:szCs w:val="16"/>
                <w:lang w:eastAsia="ja-JP"/>
              </w:rPr>
            </w:pPr>
            <w:r w:rsidRPr="002C5876">
              <w:rPr>
                <w:i/>
                <w:sz w:val="16"/>
                <w:szCs w:val="16"/>
              </w:rPr>
              <w:t xml:space="preserve">Cycle d’essai applicable </w:t>
            </w:r>
          </w:p>
        </w:tc>
        <w:tc>
          <w:tcPr>
            <w:tcW w:w="2158" w:type="dxa"/>
            <w:tcBorders>
              <w:bottom w:val="single" w:sz="12" w:space="0" w:color="auto"/>
            </w:tcBorders>
            <w:tcMar>
              <w:left w:w="0" w:type="dxa"/>
              <w:right w:w="0" w:type="dxa"/>
            </w:tcMar>
            <w:vAlign w:val="bottom"/>
          </w:tcPr>
          <w:p w:rsidR="00E24DB7" w:rsidRPr="002C5876" w:rsidRDefault="00E24DB7" w:rsidP="00E24DB7">
            <w:pPr>
              <w:keepNext/>
              <w:keepLines/>
              <w:spacing w:before="80" w:after="80" w:line="200" w:lineRule="exact"/>
              <w:ind w:left="57" w:right="57"/>
              <w:rPr>
                <w:i/>
                <w:sz w:val="16"/>
                <w:szCs w:val="16"/>
                <w:lang w:eastAsia="ja-JP"/>
              </w:rPr>
            </w:pPr>
            <w:r w:rsidRPr="002C5876">
              <w:rPr>
                <w:i/>
                <w:sz w:val="16"/>
                <w:szCs w:val="16"/>
                <w:lang w:eastAsia="ja-JP"/>
              </w:rPr>
              <w:t>L’AMEP estimée est…</w:t>
            </w:r>
          </w:p>
        </w:tc>
        <w:tc>
          <w:tcPr>
            <w:tcW w:w="2729" w:type="dxa"/>
            <w:tcBorders>
              <w:bottom w:val="single" w:sz="12" w:space="0" w:color="auto"/>
            </w:tcBorders>
            <w:tcMar>
              <w:left w:w="0" w:type="dxa"/>
              <w:right w:w="0" w:type="dxa"/>
            </w:tcMar>
            <w:vAlign w:val="bottom"/>
          </w:tcPr>
          <w:p w:rsidR="00E24DB7" w:rsidRPr="002C5876" w:rsidRDefault="00E24DB7" w:rsidP="00E24DB7">
            <w:pPr>
              <w:keepNext/>
              <w:keepLines/>
              <w:spacing w:before="80" w:after="80" w:line="200" w:lineRule="exact"/>
              <w:ind w:left="57" w:rightChars="10" w:right="20"/>
              <w:rPr>
                <w:i/>
                <w:sz w:val="16"/>
                <w:szCs w:val="16"/>
                <w:lang w:eastAsia="ja-JP"/>
              </w:rPr>
            </w:pPr>
            <w:r w:rsidRPr="002C5876">
              <w:rPr>
                <w:i/>
                <w:sz w:val="16"/>
                <w:szCs w:val="16"/>
              </w:rPr>
              <w:t>Procédure d’essai a</w:t>
            </w:r>
            <w:r w:rsidRPr="002C5876">
              <w:rPr>
                <w:i/>
                <w:sz w:val="16"/>
                <w:szCs w:val="16"/>
                <w:lang w:eastAsia="ja-JP"/>
              </w:rPr>
              <w:t>pplicable</w:t>
            </w:r>
          </w:p>
        </w:tc>
      </w:tr>
      <w:tr w:rsidR="00E24DB7" w:rsidRPr="002C5876" w:rsidTr="00E24DB7">
        <w:trPr>
          <w:trHeight w:val="773"/>
        </w:trPr>
        <w:tc>
          <w:tcPr>
            <w:tcW w:w="2484" w:type="dxa"/>
            <w:vMerge w:val="restart"/>
            <w:tcBorders>
              <w:top w:val="single" w:sz="12" w:space="0" w:color="auto"/>
            </w:tcBorders>
            <w:tcMar>
              <w:left w:w="0" w:type="dxa"/>
              <w:right w:w="0" w:type="dxa"/>
            </w:tcMar>
          </w:tcPr>
          <w:p w:rsidR="00E24DB7" w:rsidRPr="002C5876" w:rsidRDefault="00E24DB7" w:rsidP="00E24DB7">
            <w:pPr>
              <w:keepNext/>
              <w:keepLines/>
              <w:spacing w:before="60" w:after="60" w:line="220" w:lineRule="atLeast"/>
              <w:ind w:left="57" w:right="57"/>
              <w:rPr>
                <w:sz w:val="18"/>
                <w:szCs w:val="18"/>
                <w:lang w:eastAsia="ja-JP"/>
              </w:rPr>
            </w:pPr>
            <w:r w:rsidRPr="002C5876">
              <w:rPr>
                <w:sz w:val="18"/>
                <w:szCs w:val="18"/>
              </w:rPr>
              <w:t>Cycle d’essai</w:t>
            </w:r>
            <w:r w:rsidRPr="002C5876">
              <w:rPr>
                <w:i/>
                <w:sz w:val="18"/>
                <w:szCs w:val="18"/>
              </w:rPr>
              <w:t xml:space="preserve"> </w:t>
            </w:r>
            <w:r w:rsidRPr="002C5876">
              <w:rPr>
                <w:sz w:val="18"/>
                <w:szCs w:val="18"/>
              </w:rPr>
              <w:t xml:space="preserve">conformément </w:t>
            </w:r>
            <w:r w:rsidRPr="002C5876">
              <w:rPr>
                <w:sz w:val="18"/>
                <w:szCs w:val="18"/>
                <w:lang w:eastAsia="ja-JP"/>
              </w:rPr>
              <w:t>au paragraphe 1.4.2.1 de la présente annexe, y compris la phase extra high</w:t>
            </w:r>
          </w:p>
        </w:tc>
        <w:tc>
          <w:tcPr>
            <w:tcW w:w="2158" w:type="dxa"/>
            <w:tcBorders>
              <w:top w:val="single" w:sz="12" w:space="0" w:color="auto"/>
            </w:tcBorders>
            <w:tcMar>
              <w:left w:w="0" w:type="dxa"/>
              <w:right w:w="0" w:type="dxa"/>
            </w:tcMar>
          </w:tcPr>
          <w:p w:rsidR="00E24DB7" w:rsidRPr="002C5876" w:rsidRDefault="00E24DB7" w:rsidP="00E24DB7">
            <w:pPr>
              <w:keepNext/>
              <w:keepLines/>
              <w:spacing w:before="60" w:after="60" w:line="220" w:lineRule="atLeast"/>
              <w:ind w:left="57" w:right="57"/>
              <w:rPr>
                <w:sz w:val="18"/>
                <w:szCs w:val="18"/>
                <w:lang w:eastAsia="ja-JP"/>
              </w:rPr>
            </w:pPr>
            <w:r w:rsidRPr="002C5876">
              <w:rPr>
                <w:sz w:val="18"/>
                <w:szCs w:val="18"/>
                <w:lang w:eastAsia="ja-JP"/>
              </w:rPr>
              <w:t xml:space="preserve">…inférieure à la longueur de 3 </w:t>
            </w:r>
            <w:r w:rsidRPr="002C5876">
              <w:rPr>
                <w:sz w:val="18"/>
                <w:szCs w:val="18"/>
              </w:rPr>
              <w:t xml:space="preserve">cycles d’essai </w:t>
            </w:r>
            <w:r w:rsidRPr="002C5876">
              <w:rPr>
                <w:iCs/>
                <w:sz w:val="18"/>
                <w:szCs w:val="18"/>
              </w:rPr>
              <w:t xml:space="preserve">WLTP </w:t>
            </w:r>
            <w:r w:rsidRPr="002C5876">
              <w:rPr>
                <w:sz w:val="18"/>
                <w:szCs w:val="18"/>
              </w:rPr>
              <w:t>applicables</w:t>
            </w:r>
            <w:r w:rsidRPr="002C5876">
              <w:rPr>
                <w:sz w:val="18"/>
                <w:szCs w:val="18"/>
                <w:lang w:eastAsia="ja-JP"/>
              </w:rPr>
              <w:t>.</w:t>
            </w:r>
          </w:p>
        </w:tc>
        <w:tc>
          <w:tcPr>
            <w:tcW w:w="2729" w:type="dxa"/>
            <w:tcBorders>
              <w:top w:val="single" w:sz="12" w:space="0" w:color="auto"/>
            </w:tcBorders>
            <w:tcMar>
              <w:left w:w="0" w:type="dxa"/>
              <w:right w:w="0" w:type="dxa"/>
            </w:tcMar>
          </w:tcPr>
          <w:p w:rsidR="00E24DB7" w:rsidRPr="002C5876" w:rsidRDefault="00E24DB7" w:rsidP="00E24DB7">
            <w:pPr>
              <w:keepNext/>
              <w:keepLines/>
              <w:spacing w:before="60" w:after="60" w:line="220" w:lineRule="atLeast"/>
              <w:ind w:left="57" w:right="57"/>
              <w:rPr>
                <w:sz w:val="18"/>
                <w:szCs w:val="18"/>
                <w:lang w:eastAsia="ja-JP"/>
              </w:rPr>
            </w:pPr>
            <w:r w:rsidRPr="002C5876">
              <w:rPr>
                <w:sz w:val="18"/>
                <w:szCs w:val="18"/>
              </w:rPr>
              <w:t>Procédure d’essai</w:t>
            </w:r>
            <w:r w:rsidRPr="002C5876">
              <w:rPr>
                <w:i/>
                <w:sz w:val="18"/>
                <w:szCs w:val="18"/>
              </w:rPr>
              <w:t xml:space="preserve"> </w:t>
            </w:r>
            <w:r w:rsidRPr="002C5876">
              <w:rPr>
                <w:sz w:val="18"/>
                <w:szCs w:val="18"/>
              </w:rPr>
              <w:t xml:space="preserve">du </w:t>
            </w:r>
            <w:r w:rsidRPr="002C5876">
              <w:rPr>
                <w:sz w:val="18"/>
                <w:szCs w:val="18"/>
                <w:lang w:eastAsia="ja-JP"/>
              </w:rPr>
              <w:t>type 1 avec cycles consécutifs (</w:t>
            </w:r>
            <w:r w:rsidRPr="002C5876">
              <w:rPr>
                <w:sz w:val="18"/>
                <w:szCs w:val="18"/>
              </w:rPr>
              <w:t xml:space="preserve">conformément </w:t>
            </w:r>
            <w:r w:rsidRPr="002C5876">
              <w:rPr>
                <w:sz w:val="18"/>
                <w:szCs w:val="18"/>
                <w:lang w:eastAsia="ja-JP"/>
              </w:rPr>
              <w:t xml:space="preserve">au paragraphe 3.4.4.1 </w:t>
            </w:r>
            <w:r w:rsidRPr="002C5876">
              <w:rPr>
                <w:sz w:val="18"/>
                <w:szCs w:val="18"/>
                <w:lang w:eastAsia="ja-JP"/>
              </w:rPr>
              <w:br/>
              <w:t xml:space="preserve">de </w:t>
            </w:r>
            <w:r w:rsidRPr="002C5876">
              <w:rPr>
                <w:sz w:val="18"/>
                <w:szCs w:val="18"/>
              </w:rPr>
              <w:t>la présente annexe</w:t>
            </w:r>
            <w:r w:rsidRPr="002C5876">
              <w:rPr>
                <w:sz w:val="18"/>
                <w:szCs w:val="18"/>
                <w:lang w:eastAsia="ja-JP"/>
              </w:rPr>
              <w:t>)</w:t>
            </w:r>
          </w:p>
        </w:tc>
      </w:tr>
      <w:tr w:rsidR="00E24DB7" w:rsidRPr="002C5876" w:rsidTr="00E24DB7">
        <w:trPr>
          <w:trHeight w:val="739"/>
        </w:trPr>
        <w:tc>
          <w:tcPr>
            <w:tcW w:w="2484" w:type="dxa"/>
            <w:vMerge/>
            <w:tcMar>
              <w:left w:w="0" w:type="dxa"/>
              <w:right w:w="0" w:type="dxa"/>
            </w:tcMar>
          </w:tcPr>
          <w:p w:rsidR="00E24DB7" w:rsidRPr="002C5876" w:rsidRDefault="00E24DB7" w:rsidP="00E24DB7">
            <w:pPr>
              <w:spacing w:before="60" w:after="60" w:line="220" w:lineRule="atLeast"/>
              <w:ind w:left="57" w:right="57"/>
              <w:rPr>
                <w:sz w:val="18"/>
                <w:szCs w:val="18"/>
                <w:lang w:eastAsia="ja-JP"/>
              </w:rPr>
            </w:pPr>
          </w:p>
        </w:tc>
        <w:tc>
          <w:tcPr>
            <w:tcW w:w="2158" w:type="dxa"/>
            <w:tcMar>
              <w:left w:w="0" w:type="dxa"/>
              <w:right w:w="0" w:type="dxa"/>
            </w:tcMar>
          </w:tcPr>
          <w:p w:rsidR="00E24DB7" w:rsidRPr="002C5876" w:rsidRDefault="00E24DB7" w:rsidP="00E24DB7">
            <w:pPr>
              <w:keepNext/>
              <w:keepLines/>
              <w:spacing w:before="60" w:after="60" w:line="220" w:lineRule="atLeast"/>
              <w:ind w:left="57" w:right="57"/>
              <w:rPr>
                <w:sz w:val="18"/>
                <w:szCs w:val="18"/>
                <w:lang w:eastAsia="ja-JP"/>
              </w:rPr>
            </w:pPr>
            <w:r w:rsidRPr="002C5876">
              <w:rPr>
                <w:sz w:val="18"/>
                <w:szCs w:val="18"/>
                <w:lang w:eastAsia="ja-JP"/>
              </w:rPr>
              <w:t xml:space="preserve">…égale ou supérieure à la longueur de 3 </w:t>
            </w:r>
            <w:r w:rsidRPr="002C5876">
              <w:rPr>
                <w:sz w:val="18"/>
                <w:szCs w:val="18"/>
              </w:rPr>
              <w:t xml:space="preserve">cycles d’essai </w:t>
            </w:r>
            <w:r w:rsidRPr="002C5876">
              <w:rPr>
                <w:iCs/>
                <w:sz w:val="18"/>
                <w:szCs w:val="18"/>
              </w:rPr>
              <w:t xml:space="preserve">WLTP </w:t>
            </w:r>
            <w:r w:rsidRPr="002C5876">
              <w:rPr>
                <w:sz w:val="18"/>
                <w:szCs w:val="18"/>
              </w:rPr>
              <w:t>applicables</w:t>
            </w:r>
            <w:r w:rsidRPr="002C5876">
              <w:rPr>
                <w:sz w:val="18"/>
                <w:szCs w:val="18"/>
                <w:lang w:eastAsia="ja-JP"/>
              </w:rPr>
              <w:t>.</w:t>
            </w:r>
          </w:p>
        </w:tc>
        <w:tc>
          <w:tcPr>
            <w:tcW w:w="2729" w:type="dxa"/>
            <w:tcMar>
              <w:left w:w="0" w:type="dxa"/>
              <w:right w:w="0" w:type="dxa"/>
            </w:tcMar>
          </w:tcPr>
          <w:p w:rsidR="00E24DB7" w:rsidRPr="002C5876" w:rsidRDefault="00E24DB7" w:rsidP="00E24DB7">
            <w:pPr>
              <w:spacing w:before="60" w:after="60" w:line="220" w:lineRule="atLeast"/>
              <w:ind w:left="57" w:right="57"/>
              <w:rPr>
                <w:sz w:val="18"/>
                <w:szCs w:val="18"/>
                <w:lang w:eastAsia="ja-JP"/>
              </w:rPr>
            </w:pPr>
            <w:r w:rsidRPr="002C5876">
              <w:rPr>
                <w:sz w:val="18"/>
                <w:szCs w:val="18"/>
              </w:rPr>
              <w:t>Procédure d’essai</w:t>
            </w:r>
            <w:r w:rsidRPr="002C5876">
              <w:rPr>
                <w:i/>
                <w:sz w:val="18"/>
                <w:szCs w:val="18"/>
              </w:rPr>
              <w:t xml:space="preserve"> </w:t>
            </w:r>
            <w:r w:rsidRPr="002C5876">
              <w:rPr>
                <w:sz w:val="18"/>
                <w:szCs w:val="18"/>
              </w:rPr>
              <w:t xml:space="preserve">du </w:t>
            </w:r>
            <w:r w:rsidRPr="002C5876">
              <w:rPr>
                <w:sz w:val="18"/>
                <w:szCs w:val="18"/>
                <w:lang w:eastAsia="ja-JP"/>
              </w:rPr>
              <w:t xml:space="preserve">type 1 </w:t>
            </w:r>
            <w:r w:rsidRPr="002C5876">
              <w:rPr>
                <w:sz w:val="18"/>
                <w:szCs w:val="18"/>
              </w:rPr>
              <w:t>abrégée</w:t>
            </w:r>
            <w:r w:rsidRPr="002C5876">
              <w:rPr>
                <w:sz w:val="18"/>
                <w:szCs w:val="18"/>
                <w:lang w:eastAsia="ja-JP"/>
              </w:rPr>
              <w:t xml:space="preserve"> (</w:t>
            </w:r>
            <w:r w:rsidRPr="002C5876">
              <w:rPr>
                <w:sz w:val="18"/>
                <w:szCs w:val="18"/>
              </w:rPr>
              <w:t xml:space="preserve">conformément </w:t>
            </w:r>
            <w:r w:rsidRPr="002C5876">
              <w:rPr>
                <w:sz w:val="18"/>
                <w:szCs w:val="18"/>
              </w:rPr>
              <w:br/>
            </w:r>
            <w:r w:rsidRPr="002C5876">
              <w:rPr>
                <w:sz w:val="18"/>
                <w:szCs w:val="18"/>
                <w:lang w:eastAsia="ja-JP"/>
              </w:rPr>
              <w:t xml:space="preserve">au paragraphe 3.4.4.2 </w:t>
            </w:r>
            <w:r w:rsidRPr="002C5876">
              <w:rPr>
                <w:sz w:val="18"/>
                <w:szCs w:val="18"/>
                <w:lang w:eastAsia="ja-JP"/>
              </w:rPr>
              <w:br/>
              <w:t xml:space="preserve">de </w:t>
            </w:r>
            <w:r w:rsidRPr="002C5876">
              <w:rPr>
                <w:sz w:val="18"/>
                <w:szCs w:val="18"/>
              </w:rPr>
              <w:t>la présente annexe</w:t>
            </w:r>
            <w:r w:rsidRPr="002C5876">
              <w:rPr>
                <w:sz w:val="18"/>
                <w:szCs w:val="18"/>
                <w:lang w:eastAsia="ja-JP"/>
              </w:rPr>
              <w:t>)</w:t>
            </w:r>
          </w:p>
        </w:tc>
      </w:tr>
      <w:tr w:rsidR="00E24DB7" w:rsidRPr="002C5876" w:rsidTr="00E24DB7">
        <w:trPr>
          <w:trHeight w:val="825"/>
        </w:trPr>
        <w:tc>
          <w:tcPr>
            <w:tcW w:w="2484" w:type="dxa"/>
            <w:vMerge w:val="restart"/>
            <w:tcMar>
              <w:left w:w="0" w:type="dxa"/>
              <w:right w:w="0" w:type="dxa"/>
            </w:tcMar>
          </w:tcPr>
          <w:p w:rsidR="00E24DB7" w:rsidRPr="002C5876" w:rsidRDefault="00E24DB7" w:rsidP="00E24DB7">
            <w:pPr>
              <w:keepNext/>
              <w:keepLines/>
              <w:spacing w:before="60" w:after="60" w:line="220" w:lineRule="atLeast"/>
              <w:ind w:left="57" w:right="57"/>
              <w:rPr>
                <w:sz w:val="18"/>
                <w:szCs w:val="18"/>
                <w:lang w:eastAsia="ja-JP"/>
              </w:rPr>
            </w:pPr>
            <w:r w:rsidRPr="002C5876">
              <w:rPr>
                <w:sz w:val="18"/>
                <w:szCs w:val="18"/>
              </w:rPr>
              <w:t>Cycle d’essai</w:t>
            </w:r>
            <w:r w:rsidRPr="002C5876">
              <w:rPr>
                <w:i/>
                <w:sz w:val="18"/>
                <w:szCs w:val="18"/>
              </w:rPr>
              <w:t xml:space="preserve"> </w:t>
            </w:r>
            <w:r w:rsidRPr="002C5876">
              <w:rPr>
                <w:sz w:val="18"/>
                <w:szCs w:val="18"/>
              </w:rPr>
              <w:t xml:space="preserve">conformément </w:t>
            </w:r>
            <w:r w:rsidRPr="002C5876">
              <w:rPr>
                <w:sz w:val="18"/>
                <w:szCs w:val="18"/>
                <w:lang w:eastAsia="ja-JP"/>
              </w:rPr>
              <w:t>au paragraphe 1.4.2.1 de la présente annexe sauf la phase extra high</w:t>
            </w:r>
          </w:p>
        </w:tc>
        <w:tc>
          <w:tcPr>
            <w:tcW w:w="2158" w:type="dxa"/>
            <w:tcMar>
              <w:left w:w="0" w:type="dxa"/>
              <w:right w:w="0" w:type="dxa"/>
            </w:tcMar>
          </w:tcPr>
          <w:p w:rsidR="00E24DB7" w:rsidRPr="002C5876" w:rsidRDefault="00E24DB7" w:rsidP="00E24DB7">
            <w:pPr>
              <w:keepNext/>
              <w:keepLines/>
              <w:spacing w:before="60" w:after="60" w:line="220" w:lineRule="atLeast"/>
              <w:ind w:left="57" w:right="57"/>
              <w:rPr>
                <w:sz w:val="18"/>
                <w:szCs w:val="18"/>
                <w:lang w:eastAsia="ja-JP"/>
              </w:rPr>
            </w:pPr>
            <w:r w:rsidRPr="002C5876">
              <w:rPr>
                <w:sz w:val="18"/>
                <w:szCs w:val="18"/>
                <w:lang w:eastAsia="ja-JP"/>
              </w:rPr>
              <w:t xml:space="preserve">…inférieure à la longueur de 4 </w:t>
            </w:r>
            <w:r w:rsidRPr="002C5876">
              <w:rPr>
                <w:sz w:val="18"/>
                <w:szCs w:val="18"/>
              </w:rPr>
              <w:t xml:space="preserve">cycles d’essai </w:t>
            </w:r>
            <w:r w:rsidRPr="002C5876">
              <w:rPr>
                <w:iCs/>
                <w:sz w:val="18"/>
                <w:szCs w:val="18"/>
              </w:rPr>
              <w:t xml:space="preserve">WLTP </w:t>
            </w:r>
            <w:r w:rsidRPr="002C5876">
              <w:rPr>
                <w:sz w:val="18"/>
                <w:szCs w:val="18"/>
              </w:rPr>
              <w:t>applicables.</w:t>
            </w:r>
          </w:p>
        </w:tc>
        <w:tc>
          <w:tcPr>
            <w:tcW w:w="2729" w:type="dxa"/>
            <w:tcMar>
              <w:left w:w="0" w:type="dxa"/>
              <w:right w:w="0" w:type="dxa"/>
            </w:tcMar>
          </w:tcPr>
          <w:p w:rsidR="00E24DB7" w:rsidRPr="002C5876" w:rsidRDefault="00E24DB7" w:rsidP="00E24DB7">
            <w:pPr>
              <w:spacing w:before="60" w:after="60" w:line="220" w:lineRule="atLeast"/>
              <w:ind w:left="57" w:right="57"/>
              <w:rPr>
                <w:sz w:val="18"/>
                <w:szCs w:val="18"/>
                <w:lang w:eastAsia="ja-JP"/>
              </w:rPr>
            </w:pPr>
            <w:r w:rsidRPr="002C5876">
              <w:rPr>
                <w:sz w:val="18"/>
                <w:szCs w:val="18"/>
              </w:rPr>
              <w:t>Procédure d’essai</w:t>
            </w:r>
            <w:r w:rsidRPr="002C5876">
              <w:rPr>
                <w:i/>
                <w:sz w:val="18"/>
                <w:szCs w:val="18"/>
              </w:rPr>
              <w:t xml:space="preserve"> </w:t>
            </w:r>
            <w:r w:rsidRPr="002C5876">
              <w:rPr>
                <w:sz w:val="18"/>
                <w:szCs w:val="18"/>
              </w:rPr>
              <w:t xml:space="preserve">du </w:t>
            </w:r>
            <w:r w:rsidRPr="002C5876">
              <w:rPr>
                <w:sz w:val="18"/>
                <w:szCs w:val="18"/>
                <w:lang w:eastAsia="ja-JP"/>
              </w:rPr>
              <w:t>type 1 avec cycles consécutifs (</w:t>
            </w:r>
            <w:r w:rsidRPr="002C5876">
              <w:rPr>
                <w:sz w:val="18"/>
                <w:szCs w:val="18"/>
              </w:rPr>
              <w:t xml:space="preserve">conformément </w:t>
            </w:r>
            <w:r w:rsidRPr="002C5876">
              <w:rPr>
                <w:sz w:val="18"/>
                <w:szCs w:val="18"/>
                <w:lang w:eastAsia="ja-JP"/>
              </w:rPr>
              <w:t xml:space="preserve">au paragraphe 3.4.4.1 </w:t>
            </w:r>
            <w:r w:rsidRPr="002C5876">
              <w:rPr>
                <w:sz w:val="18"/>
                <w:szCs w:val="18"/>
                <w:lang w:eastAsia="ja-JP"/>
              </w:rPr>
              <w:br/>
              <w:t xml:space="preserve">de </w:t>
            </w:r>
            <w:r w:rsidRPr="002C5876">
              <w:rPr>
                <w:sz w:val="18"/>
                <w:szCs w:val="18"/>
              </w:rPr>
              <w:t>la présente annexe</w:t>
            </w:r>
            <w:r w:rsidRPr="002C5876">
              <w:rPr>
                <w:sz w:val="18"/>
                <w:szCs w:val="18"/>
                <w:lang w:eastAsia="ja-JP"/>
              </w:rPr>
              <w:t>)</w:t>
            </w:r>
          </w:p>
        </w:tc>
      </w:tr>
      <w:tr w:rsidR="00E24DB7" w:rsidRPr="002C5876" w:rsidTr="00E24DB7">
        <w:trPr>
          <w:trHeight w:val="815"/>
        </w:trPr>
        <w:tc>
          <w:tcPr>
            <w:tcW w:w="2484" w:type="dxa"/>
            <w:vMerge/>
            <w:tcBorders>
              <w:bottom w:val="single" w:sz="4" w:space="0" w:color="auto"/>
            </w:tcBorders>
            <w:tcMar>
              <w:left w:w="0" w:type="dxa"/>
              <w:right w:w="0" w:type="dxa"/>
            </w:tcMar>
          </w:tcPr>
          <w:p w:rsidR="00E24DB7" w:rsidRPr="002C5876" w:rsidRDefault="00E24DB7" w:rsidP="00E24DB7">
            <w:pPr>
              <w:spacing w:before="60" w:after="60" w:line="220" w:lineRule="atLeast"/>
              <w:ind w:left="57" w:right="57"/>
              <w:rPr>
                <w:sz w:val="18"/>
                <w:szCs w:val="18"/>
                <w:lang w:eastAsia="ja-JP"/>
              </w:rPr>
            </w:pPr>
          </w:p>
        </w:tc>
        <w:tc>
          <w:tcPr>
            <w:tcW w:w="2158" w:type="dxa"/>
            <w:tcBorders>
              <w:bottom w:val="single" w:sz="4" w:space="0" w:color="auto"/>
            </w:tcBorders>
            <w:tcMar>
              <w:left w:w="0" w:type="dxa"/>
              <w:right w:w="0" w:type="dxa"/>
            </w:tcMar>
          </w:tcPr>
          <w:p w:rsidR="00E24DB7" w:rsidRPr="002C5876" w:rsidRDefault="00E24DB7" w:rsidP="00E24DB7">
            <w:pPr>
              <w:keepNext/>
              <w:keepLines/>
              <w:spacing w:before="60" w:after="60" w:line="220" w:lineRule="atLeast"/>
              <w:ind w:left="57" w:right="57"/>
              <w:rPr>
                <w:sz w:val="18"/>
                <w:szCs w:val="18"/>
                <w:lang w:eastAsia="ja-JP"/>
              </w:rPr>
            </w:pPr>
            <w:r w:rsidRPr="002C5876">
              <w:rPr>
                <w:sz w:val="18"/>
                <w:szCs w:val="18"/>
                <w:lang w:eastAsia="ja-JP"/>
              </w:rPr>
              <w:t xml:space="preserve">…égale ou supérieure à la longueur de 4 </w:t>
            </w:r>
            <w:r w:rsidRPr="002C5876">
              <w:rPr>
                <w:sz w:val="18"/>
                <w:szCs w:val="18"/>
              </w:rPr>
              <w:t xml:space="preserve">cycles d’essai </w:t>
            </w:r>
            <w:r w:rsidRPr="002C5876">
              <w:rPr>
                <w:iCs/>
                <w:sz w:val="18"/>
                <w:szCs w:val="18"/>
              </w:rPr>
              <w:t xml:space="preserve">WLTP </w:t>
            </w:r>
            <w:r w:rsidRPr="002C5876">
              <w:rPr>
                <w:sz w:val="18"/>
                <w:szCs w:val="18"/>
              </w:rPr>
              <w:t>applicables.</w:t>
            </w:r>
          </w:p>
        </w:tc>
        <w:tc>
          <w:tcPr>
            <w:tcW w:w="2729" w:type="dxa"/>
            <w:tcBorders>
              <w:bottom w:val="single" w:sz="4" w:space="0" w:color="auto"/>
            </w:tcBorders>
            <w:tcMar>
              <w:left w:w="0" w:type="dxa"/>
              <w:right w:w="0" w:type="dxa"/>
            </w:tcMar>
          </w:tcPr>
          <w:p w:rsidR="00E24DB7" w:rsidRPr="002C5876" w:rsidRDefault="00E24DB7" w:rsidP="00E24DB7">
            <w:pPr>
              <w:spacing w:before="60" w:after="60" w:line="220" w:lineRule="atLeast"/>
              <w:ind w:left="57" w:right="57"/>
              <w:rPr>
                <w:sz w:val="18"/>
                <w:szCs w:val="18"/>
                <w:lang w:eastAsia="ja-JP"/>
              </w:rPr>
            </w:pPr>
            <w:r w:rsidRPr="002C5876">
              <w:rPr>
                <w:sz w:val="18"/>
                <w:szCs w:val="18"/>
              </w:rPr>
              <w:t>Procédure d’essai</w:t>
            </w:r>
            <w:r w:rsidRPr="002C5876">
              <w:rPr>
                <w:i/>
                <w:sz w:val="18"/>
                <w:szCs w:val="18"/>
              </w:rPr>
              <w:t xml:space="preserve"> </w:t>
            </w:r>
            <w:r w:rsidRPr="002C5876">
              <w:rPr>
                <w:sz w:val="18"/>
                <w:szCs w:val="18"/>
              </w:rPr>
              <w:t xml:space="preserve">du </w:t>
            </w:r>
            <w:r w:rsidRPr="002C5876">
              <w:rPr>
                <w:sz w:val="18"/>
                <w:szCs w:val="18"/>
                <w:lang w:eastAsia="ja-JP"/>
              </w:rPr>
              <w:t xml:space="preserve">type 1 </w:t>
            </w:r>
            <w:r w:rsidRPr="002C5876">
              <w:rPr>
                <w:sz w:val="18"/>
                <w:szCs w:val="18"/>
              </w:rPr>
              <w:t xml:space="preserve">abrégée </w:t>
            </w:r>
            <w:r w:rsidRPr="002C5876">
              <w:rPr>
                <w:sz w:val="18"/>
                <w:szCs w:val="18"/>
                <w:lang w:eastAsia="ja-JP"/>
              </w:rPr>
              <w:t>(</w:t>
            </w:r>
            <w:r w:rsidRPr="002C5876">
              <w:rPr>
                <w:sz w:val="18"/>
                <w:szCs w:val="18"/>
              </w:rPr>
              <w:t xml:space="preserve">conformément </w:t>
            </w:r>
            <w:r w:rsidRPr="002C5876">
              <w:rPr>
                <w:sz w:val="18"/>
                <w:szCs w:val="18"/>
                <w:lang w:eastAsia="ja-JP"/>
              </w:rPr>
              <w:t xml:space="preserve">au paragraphe 3.4.4.2 </w:t>
            </w:r>
            <w:r w:rsidRPr="002C5876">
              <w:rPr>
                <w:sz w:val="18"/>
                <w:szCs w:val="18"/>
                <w:lang w:eastAsia="ja-JP"/>
              </w:rPr>
              <w:br/>
              <w:t xml:space="preserve">de </w:t>
            </w:r>
            <w:r w:rsidRPr="002C5876">
              <w:rPr>
                <w:sz w:val="18"/>
                <w:szCs w:val="18"/>
              </w:rPr>
              <w:t>la présente annexe</w:t>
            </w:r>
            <w:r w:rsidRPr="002C5876">
              <w:rPr>
                <w:sz w:val="18"/>
                <w:szCs w:val="18"/>
                <w:lang w:eastAsia="ja-JP"/>
              </w:rPr>
              <w:t>)</w:t>
            </w:r>
          </w:p>
        </w:tc>
      </w:tr>
      <w:tr w:rsidR="00E24DB7" w:rsidRPr="002C5876" w:rsidTr="00E24DB7">
        <w:trPr>
          <w:trHeight w:val="815"/>
        </w:trPr>
        <w:tc>
          <w:tcPr>
            <w:tcW w:w="2484" w:type="dxa"/>
            <w:tcBorders>
              <w:bottom w:val="single" w:sz="12" w:space="0" w:color="auto"/>
            </w:tcBorders>
            <w:tcMar>
              <w:left w:w="0" w:type="dxa"/>
              <w:right w:w="0" w:type="dxa"/>
            </w:tcMar>
          </w:tcPr>
          <w:p w:rsidR="00E24DB7" w:rsidRPr="002C5876" w:rsidRDefault="00E24DB7" w:rsidP="00E24DB7">
            <w:pPr>
              <w:keepNext/>
              <w:keepLines/>
              <w:spacing w:before="60" w:after="60" w:line="220" w:lineRule="atLeast"/>
              <w:ind w:left="57" w:right="57"/>
              <w:rPr>
                <w:sz w:val="18"/>
                <w:szCs w:val="18"/>
                <w:lang w:eastAsia="ja-JP"/>
              </w:rPr>
            </w:pPr>
            <w:r w:rsidRPr="002C5876">
              <w:rPr>
                <w:sz w:val="18"/>
                <w:szCs w:val="18"/>
                <w:lang w:eastAsia="ja-JP"/>
              </w:rPr>
              <w:t xml:space="preserve">Cycle urbain </w:t>
            </w:r>
            <w:r w:rsidRPr="002C5876">
              <w:rPr>
                <w:sz w:val="18"/>
                <w:szCs w:val="18"/>
              </w:rPr>
              <w:t xml:space="preserve">conformément </w:t>
            </w:r>
            <w:r w:rsidRPr="002C5876">
              <w:rPr>
                <w:sz w:val="18"/>
                <w:szCs w:val="18"/>
                <w:lang w:eastAsia="ja-JP"/>
              </w:rPr>
              <w:t>au paragraphe 1.4.2.2</w:t>
            </w:r>
          </w:p>
        </w:tc>
        <w:tc>
          <w:tcPr>
            <w:tcW w:w="2158" w:type="dxa"/>
            <w:tcBorders>
              <w:bottom w:val="single" w:sz="12" w:space="0" w:color="auto"/>
            </w:tcBorders>
            <w:tcMar>
              <w:left w:w="0" w:type="dxa"/>
              <w:right w:w="0" w:type="dxa"/>
            </w:tcMar>
          </w:tcPr>
          <w:p w:rsidR="00E24DB7" w:rsidRPr="002C5876" w:rsidRDefault="00E24DB7" w:rsidP="00E24DB7">
            <w:pPr>
              <w:keepNext/>
              <w:keepLines/>
              <w:spacing w:before="60" w:after="60" w:line="220" w:lineRule="atLeast"/>
              <w:ind w:left="57" w:right="57"/>
              <w:rPr>
                <w:sz w:val="18"/>
                <w:szCs w:val="18"/>
                <w:lang w:eastAsia="ja-JP"/>
              </w:rPr>
            </w:pPr>
            <w:r w:rsidRPr="002C5876">
              <w:rPr>
                <w:sz w:val="18"/>
                <w:szCs w:val="18"/>
                <w:lang w:eastAsia="ja-JP"/>
              </w:rPr>
              <w:t xml:space="preserve">…non disponible sur le </w:t>
            </w:r>
            <w:r w:rsidRPr="002C5876">
              <w:rPr>
                <w:sz w:val="18"/>
                <w:szCs w:val="18"/>
              </w:rPr>
              <w:t xml:space="preserve">cycle d’essai </w:t>
            </w:r>
            <w:r w:rsidRPr="002C5876">
              <w:rPr>
                <w:iCs/>
                <w:sz w:val="18"/>
                <w:szCs w:val="18"/>
              </w:rPr>
              <w:t xml:space="preserve">WLTP </w:t>
            </w:r>
            <w:r w:rsidRPr="002C5876">
              <w:rPr>
                <w:sz w:val="18"/>
                <w:szCs w:val="18"/>
              </w:rPr>
              <w:t>applicable</w:t>
            </w:r>
            <w:r w:rsidRPr="002C5876">
              <w:rPr>
                <w:sz w:val="18"/>
                <w:szCs w:val="18"/>
                <w:lang w:eastAsia="ja-JP"/>
              </w:rPr>
              <w:t>.</w:t>
            </w:r>
          </w:p>
        </w:tc>
        <w:tc>
          <w:tcPr>
            <w:tcW w:w="2729" w:type="dxa"/>
            <w:tcBorders>
              <w:bottom w:val="single" w:sz="12" w:space="0" w:color="auto"/>
            </w:tcBorders>
            <w:tcMar>
              <w:left w:w="0" w:type="dxa"/>
              <w:right w:w="0" w:type="dxa"/>
            </w:tcMar>
          </w:tcPr>
          <w:p w:rsidR="00E24DB7" w:rsidRPr="002C5876" w:rsidRDefault="00E24DB7" w:rsidP="00E24DB7">
            <w:pPr>
              <w:spacing w:before="60" w:after="60" w:line="220" w:lineRule="atLeast"/>
              <w:ind w:left="57" w:right="57"/>
              <w:rPr>
                <w:sz w:val="18"/>
                <w:szCs w:val="18"/>
                <w:lang w:eastAsia="ja-JP"/>
              </w:rPr>
            </w:pPr>
            <w:r w:rsidRPr="002C5876">
              <w:rPr>
                <w:sz w:val="18"/>
                <w:szCs w:val="18"/>
              </w:rPr>
              <w:t>Procédure d’essai</w:t>
            </w:r>
            <w:r w:rsidRPr="002C5876">
              <w:rPr>
                <w:i/>
                <w:sz w:val="18"/>
                <w:szCs w:val="18"/>
              </w:rPr>
              <w:t xml:space="preserve"> </w:t>
            </w:r>
            <w:r w:rsidRPr="002C5876">
              <w:rPr>
                <w:sz w:val="18"/>
                <w:szCs w:val="18"/>
              </w:rPr>
              <w:t xml:space="preserve">du </w:t>
            </w:r>
            <w:r w:rsidRPr="002C5876">
              <w:rPr>
                <w:sz w:val="18"/>
                <w:szCs w:val="18"/>
                <w:lang w:eastAsia="ja-JP"/>
              </w:rPr>
              <w:t>type 1 avec cycles consécutifs (</w:t>
            </w:r>
            <w:r w:rsidRPr="002C5876">
              <w:rPr>
                <w:sz w:val="18"/>
                <w:szCs w:val="18"/>
              </w:rPr>
              <w:t xml:space="preserve">conformément </w:t>
            </w:r>
            <w:r w:rsidRPr="002C5876">
              <w:rPr>
                <w:sz w:val="18"/>
                <w:szCs w:val="18"/>
                <w:lang w:eastAsia="ja-JP"/>
              </w:rPr>
              <w:t xml:space="preserve">au paragraphe 3.4.4.1 </w:t>
            </w:r>
            <w:r w:rsidRPr="002C5876">
              <w:rPr>
                <w:sz w:val="18"/>
                <w:szCs w:val="18"/>
                <w:lang w:eastAsia="ja-JP"/>
              </w:rPr>
              <w:br/>
              <w:t xml:space="preserve">de </w:t>
            </w:r>
            <w:r w:rsidRPr="002C5876">
              <w:rPr>
                <w:sz w:val="18"/>
                <w:szCs w:val="18"/>
              </w:rPr>
              <w:t>la présente annexe</w:t>
            </w:r>
            <w:r w:rsidRPr="002C5876">
              <w:rPr>
                <w:sz w:val="18"/>
                <w:szCs w:val="18"/>
                <w:lang w:eastAsia="ja-JP"/>
              </w:rPr>
              <w:t>)</w:t>
            </w:r>
          </w:p>
        </w:tc>
      </w:tr>
    </w:tbl>
    <w:p w:rsidR="00E24DB7" w:rsidRPr="002C5876" w:rsidRDefault="00E24DB7" w:rsidP="00E24DB7">
      <w:pPr>
        <w:pStyle w:val="SingleTxtG"/>
        <w:spacing w:before="240"/>
        <w:ind w:left="2268"/>
        <w:rPr>
          <w:szCs w:val="24"/>
          <w:lang w:eastAsia="ja-JP"/>
        </w:rPr>
      </w:pPr>
      <w:r w:rsidRPr="002C5876">
        <w:rPr>
          <w:color w:val="FF0000"/>
          <w:szCs w:val="24"/>
          <w:lang w:eastAsia="ja-JP"/>
        </w:rPr>
        <w:tab/>
      </w:r>
      <w:r w:rsidRPr="002C5876">
        <w:rPr>
          <w:szCs w:val="24"/>
          <w:lang w:eastAsia="ja-JP"/>
        </w:rPr>
        <w:t>Le constructeur doit fournir des preuves à l’</w:t>
      </w:r>
      <w:r w:rsidRPr="002C5876">
        <w:rPr>
          <w:szCs w:val="24"/>
        </w:rPr>
        <w:t>autorité compétente</w:t>
      </w:r>
      <w:r w:rsidRPr="002C5876">
        <w:rPr>
          <w:color w:val="000000"/>
          <w:szCs w:val="24"/>
        </w:rPr>
        <w:t xml:space="preserve"> en ce qui concerne </w:t>
      </w:r>
      <w:r w:rsidRPr="002C5876">
        <w:t xml:space="preserve">l’autonomie en mode électrique pur </w:t>
      </w:r>
      <w:r w:rsidRPr="002C5876">
        <w:rPr>
          <w:szCs w:val="24"/>
        </w:rPr>
        <w:t xml:space="preserve">estimée (AMEP) avant l’essai. </w:t>
      </w:r>
      <w:r w:rsidRPr="002C5876">
        <w:rPr>
          <w:szCs w:val="24"/>
          <w:lang w:eastAsia="ja-JP"/>
        </w:rPr>
        <w:t xml:space="preserve">Si la méthode d’interpolation est appliquée, la </w:t>
      </w:r>
      <w:r w:rsidRPr="002C5876">
        <w:t xml:space="preserve">procédure d’essai </w:t>
      </w:r>
      <w:r w:rsidRPr="002C5876">
        <w:rPr>
          <w:szCs w:val="24"/>
          <w:lang w:eastAsia="ja-JP"/>
        </w:rPr>
        <w:t>applicable doit être déterminée en fonction de l’</w:t>
      </w:r>
      <w:r w:rsidRPr="002C5876">
        <w:rPr>
          <w:szCs w:val="24"/>
        </w:rPr>
        <w:t xml:space="preserve">AMEP estimée </w:t>
      </w:r>
      <w:r w:rsidRPr="002C5876">
        <w:rPr>
          <w:szCs w:val="24"/>
          <w:lang w:eastAsia="ja-JP"/>
        </w:rPr>
        <w:t xml:space="preserve">du </w:t>
      </w:r>
      <w:r w:rsidRPr="002C5876">
        <w:t xml:space="preserve">véhicule </w:t>
      </w:r>
      <w:r w:rsidRPr="002C5876">
        <w:rPr>
          <w:szCs w:val="24"/>
          <w:lang w:eastAsia="ja-JP"/>
        </w:rPr>
        <w:t>H au sein de la famille d’interpolation. L’</w:t>
      </w:r>
      <w:r w:rsidRPr="002C5876">
        <w:rPr>
          <w:szCs w:val="24"/>
        </w:rPr>
        <w:t xml:space="preserve">AMEP </w:t>
      </w:r>
      <w:r w:rsidRPr="002C5876">
        <w:rPr>
          <w:szCs w:val="24"/>
          <w:lang w:eastAsia="ja-JP"/>
        </w:rPr>
        <w:t xml:space="preserve">déterminé au moyen de la </w:t>
      </w:r>
      <w:r w:rsidRPr="002C5876">
        <w:t xml:space="preserve">procédure d’essai </w:t>
      </w:r>
      <w:r w:rsidRPr="002C5876">
        <w:rPr>
          <w:szCs w:val="24"/>
          <w:lang w:eastAsia="ja-JP"/>
        </w:rPr>
        <w:t xml:space="preserve">appliquée </w:t>
      </w:r>
      <w:r w:rsidRPr="002C5876">
        <w:rPr>
          <w:szCs w:val="24"/>
        </w:rPr>
        <w:t xml:space="preserve">doit confirmer que </w:t>
      </w:r>
      <w:r w:rsidRPr="002C5876">
        <w:rPr>
          <w:szCs w:val="24"/>
          <w:lang w:eastAsia="ja-JP"/>
        </w:rPr>
        <w:t xml:space="preserve">la </w:t>
      </w:r>
      <w:r w:rsidRPr="002C5876">
        <w:t xml:space="preserve">procédure d’essai </w:t>
      </w:r>
      <w:r w:rsidRPr="002C5876">
        <w:rPr>
          <w:szCs w:val="24"/>
        </w:rPr>
        <w:t xml:space="preserve">correcte a été appliquée. </w:t>
      </w:r>
    </w:p>
    <w:p w:rsidR="00E24DB7" w:rsidRPr="002C5876" w:rsidRDefault="00E24DB7" w:rsidP="00E24DB7">
      <w:pPr>
        <w:pStyle w:val="SingleTxtG"/>
        <w:ind w:left="2268"/>
      </w:pPr>
      <w:r w:rsidRPr="002C5876">
        <w:rPr>
          <w:szCs w:val="24"/>
          <w:lang w:eastAsia="ja-JP"/>
        </w:rPr>
        <w:tab/>
      </w:r>
      <w:r w:rsidRPr="002C5876">
        <w:rPr>
          <w:szCs w:val="24"/>
        </w:rPr>
        <w:t>La séquence d</w:t>
      </w:r>
      <w:r w:rsidRPr="002C5876">
        <w:t>’essai pour la procédure d’essai</w:t>
      </w:r>
      <w:r w:rsidRPr="002C5876">
        <w:rPr>
          <w:i/>
          <w:sz w:val="16"/>
          <w:szCs w:val="16"/>
        </w:rPr>
        <w:t xml:space="preserve"> </w:t>
      </w:r>
      <w:r w:rsidRPr="002C5876">
        <w:t xml:space="preserve">du </w:t>
      </w:r>
      <w:r w:rsidRPr="002C5876">
        <w:rPr>
          <w:szCs w:val="24"/>
          <w:lang w:eastAsia="ja-JP"/>
        </w:rPr>
        <w:t>type 1 avec cycles consécutifs</w:t>
      </w:r>
      <w:r w:rsidRPr="002C5876">
        <w:rPr>
          <w:szCs w:val="24"/>
        </w:rPr>
        <w:t xml:space="preserve">, décrite aux paragraphes 3.4.2, </w:t>
      </w:r>
      <w:r w:rsidRPr="002C5876">
        <w:rPr>
          <w:szCs w:val="24"/>
          <w:lang w:eastAsia="ja-JP"/>
        </w:rPr>
        <w:t xml:space="preserve">3.4.3 et 3.4.4.1 </w:t>
      </w:r>
      <w:r w:rsidRPr="002C5876">
        <w:rPr>
          <w:szCs w:val="24"/>
        </w:rPr>
        <w:t xml:space="preserve">de </w:t>
      </w:r>
      <w:r w:rsidRPr="002C5876">
        <w:t>la présente annexe</w:t>
      </w:r>
      <w:r w:rsidRPr="002C5876">
        <w:rPr>
          <w:szCs w:val="24"/>
        </w:rPr>
        <w:t xml:space="preserve">, ainsi que le profil de niveau de charge correspondant du </w:t>
      </w:r>
      <w:r w:rsidRPr="002C5876">
        <w:t>SRSEE</w:t>
      </w:r>
      <w:r w:rsidRPr="002C5876">
        <w:rPr>
          <w:szCs w:val="24"/>
        </w:rPr>
        <w:t xml:space="preserve">, sont représentés dans la </w:t>
      </w:r>
      <w:r w:rsidRPr="002C5876">
        <w:t xml:space="preserve">figure A8.App1/6 de l’appendice 1 </w:t>
      </w:r>
      <w:r w:rsidRPr="002C5876">
        <w:rPr>
          <w:szCs w:val="24"/>
        </w:rPr>
        <w:t xml:space="preserve">de </w:t>
      </w:r>
      <w:r w:rsidRPr="002C5876">
        <w:t>la présente annexe.</w:t>
      </w:r>
    </w:p>
    <w:p w:rsidR="00E24DB7" w:rsidRPr="002C5876" w:rsidRDefault="00E24DB7" w:rsidP="00E24DB7">
      <w:pPr>
        <w:pStyle w:val="SingleTxtG"/>
        <w:ind w:left="2268"/>
        <w:rPr>
          <w:szCs w:val="24"/>
          <w:lang w:eastAsia="ja-JP"/>
        </w:rPr>
      </w:pPr>
      <w:r w:rsidRPr="002C5876">
        <w:rPr>
          <w:szCs w:val="24"/>
          <w:lang w:eastAsia="ja-JP"/>
        </w:rPr>
        <w:tab/>
      </w:r>
      <w:r w:rsidRPr="002C5876">
        <w:rPr>
          <w:szCs w:val="24"/>
        </w:rPr>
        <w:t>La séquence d</w:t>
      </w:r>
      <w:r w:rsidRPr="002C5876">
        <w:t>’essai pour la procédure d’essai</w:t>
      </w:r>
      <w:r w:rsidRPr="002C5876">
        <w:rPr>
          <w:i/>
          <w:sz w:val="16"/>
          <w:szCs w:val="16"/>
        </w:rPr>
        <w:t xml:space="preserve"> </w:t>
      </w:r>
      <w:r w:rsidRPr="002C5876">
        <w:t xml:space="preserve">du </w:t>
      </w:r>
      <w:r w:rsidRPr="002C5876">
        <w:rPr>
          <w:szCs w:val="24"/>
          <w:lang w:eastAsia="ja-JP"/>
        </w:rPr>
        <w:t>type 1 raccourcie</w:t>
      </w:r>
      <w:r w:rsidRPr="002C5876">
        <w:rPr>
          <w:szCs w:val="24"/>
        </w:rPr>
        <w:t xml:space="preserve">, décrite aux paragraphes 3.4.2, </w:t>
      </w:r>
      <w:r w:rsidRPr="002C5876">
        <w:rPr>
          <w:szCs w:val="24"/>
          <w:lang w:eastAsia="ja-JP"/>
        </w:rPr>
        <w:t xml:space="preserve">3.4.3 et 3.4.4.2 </w:t>
      </w:r>
      <w:r w:rsidRPr="002C5876">
        <w:rPr>
          <w:szCs w:val="24"/>
        </w:rPr>
        <w:t xml:space="preserve">de </w:t>
      </w:r>
      <w:r w:rsidRPr="002C5876">
        <w:t>la présente annexe</w:t>
      </w:r>
      <w:r w:rsidRPr="002C5876">
        <w:rPr>
          <w:szCs w:val="24"/>
        </w:rPr>
        <w:t xml:space="preserve">, ainsi que le profil de niveau de charge correspondant du </w:t>
      </w:r>
      <w:r w:rsidRPr="002C5876">
        <w:t>SRSEE</w:t>
      </w:r>
      <w:r w:rsidRPr="002C5876">
        <w:rPr>
          <w:szCs w:val="24"/>
        </w:rPr>
        <w:t xml:space="preserve">, sont représentés dans la </w:t>
      </w:r>
      <w:r w:rsidRPr="002C5876">
        <w:t xml:space="preserve">figure A8.App1/7 de l’appendice 1 </w:t>
      </w:r>
      <w:r w:rsidRPr="002C5876">
        <w:rPr>
          <w:szCs w:val="24"/>
        </w:rPr>
        <w:t xml:space="preserve">de </w:t>
      </w:r>
      <w:r w:rsidRPr="002C5876">
        <w:t>la présente annexe</w:t>
      </w:r>
      <w:r w:rsidRPr="002C5876">
        <w:rPr>
          <w:szCs w:val="24"/>
          <w:lang w:eastAsia="ja-JP"/>
        </w:rPr>
        <w:t>.</w:t>
      </w:r>
    </w:p>
    <w:p w:rsidR="00E24DB7" w:rsidRPr="002C5876" w:rsidRDefault="00E24DB7" w:rsidP="00E24DB7">
      <w:pPr>
        <w:pStyle w:val="SingleTxtG"/>
        <w:keepNext/>
        <w:ind w:left="2268" w:hanging="1134"/>
        <w:jc w:val="left"/>
      </w:pPr>
      <w:r w:rsidRPr="002C5876">
        <w:rPr>
          <w:szCs w:val="24"/>
        </w:rPr>
        <w:t>3.4.2</w:t>
      </w:r>
      <w:r w:rsidRPr="002C5876">
        <w:rPr>
          <w:szCs w:val="24"/>
        </w:rPr>
        <w:tab/>
      </w:r>
      <w:r w:rsidRPr="002C5876">
        <w:t>Préconditionnement</w:t>
      </w:r>
    </w:p>
    <w:p w:rsidR="00E24DB7" w:rsidRPr="002C5876" w:rsidRDefault="00E24DB7" w:rsidP="00E24DB7">
      <w:pPr>
        <w:pStyle w:val="SingleTxtG"/>
        <w:ind w:left="2268"/>
      </w:pPr>
      <w:r w:rsidRPr="002C5876">
        <w:t xml:space="preserve">Le véhicule doit être préparé conformément aux procédures définies </w:t>
      </w:r>
      <w:r w:rsidRPr="002C5876">
        <w:rPr>
          <w:szCs w:val="24"/>
        </w:rPr>
        <w:t>au paragraphe 3</w:t>
      </w:r>
      <w:r w:rsidRPr="002C5876">
        <w:t xml:space="preserve"> de l’appendice 4 de la présente annexe.</w:t>
      </w:r>
    </w:p>
    <w:p w:rsidR="00E24DB7" w:rsidRPr="002C5876" w:rsidRDefault="00E24DB7" w:rsidP="00E24DB7">
      <w:pPr>
        <w:pStyle w:val="SingleTxtG"/>
        <w:keepNext/>
        <w:ind w:left="2268" w:hanging="1134"/>
        <w:jc w:val="left"/>
      </w:pPr>
      <w:r w:rsidRPr="002C5876">
        <w:t>3.4.3</w:t>
      </w:r>
      <w:r w:rsidRPr="002C5876">
        <w:tab/>
        <w:t>Sélection du mode de fonctionnement (en cas de mode sélectionnable par le conducteur)</w:t>
      </w:r>
    </w:p>
    <w:p w:rsidR="00E24DB7" w:rsidRPr="002C5876" w:rsidRDefault="00E24DB7" w:rsidP="00E24DB7">
      <w:pPr>
        <w:pStyle w:val="SingleTxtG"/>
        <w:ind w:left="2268"/>
      </w:pPr>
      <w:r w:rsidRPr="002C5876">
        <w:tab/>
        <w:t xml:space="preserve">Pour les véhicules équipés d’un mode sélectionnable par le conducteur, le mode pour l’essai doit être sélectionné conformément </w:t>
      </w:r>
      <w:r w:rsidRPr="002C5876">
        <w:rPr>
          <w:szCs w:val="24"/>
        </w:rPr>
        <w:t>au paragraphe 3</w:t>
      </w:r>
      <w:r w:rsidRPr="002C5876">
        <w:t xml:space="preserve"> de l’appendice 6 de la présente annexe. </w:t>
      </w:r>
    </w:p>
    <w:p w:rsidR="00E24DB7" w:rsidRPr="002C5876" w:rsidRDefault="00E24DB7" w:rsidP="00E24DB7">
      <w:pPr>
        <w:pStyle w:val="SingleTxtG"/>
        <w:keepNext/>
        <w:ind w:left="2268" w:hanging="1134"/>
        <w:jc w:val="left"/>
      </w:pPr>
      <w:r w:rsidRPr="002C5876">
        <w:lastRenderedPageBreak/>
        <w:t>3.4.4</w:t>
      </w:r>
      <w:r w:rsidRPr="002C5876">
        <w:tab/>
        <w:t>VEP − P</w:t>
      </w:r>
      <w:r w:rsidRPr="002C5876">
        <w:rPr>
          <w:color w:val="000000"/>
          <w:szCs w:val="24"/>
        </w:rPr>
        <w:t>rocédure d’e</w:t>
      </w:r>
      <w:r w:rsidRPr="002C5876">
        <w:t>ssai du type 1</w:t>
      </w:r>
    </w:p>
    <w:p w:rsidR="00E24DB7" w:rsidRPr="002C5876" w:rsidRDefault="00E24DB7" w:rsidP="00E24DB7">
      <w:pPr>
        <w:pStyle w:val="SingleTxtG"/>
        <w:keepNext/>
        <w:ind w:left="2268" w:hanging="1134"/>
        <w:jc w:val="left"/>
      </w:pPr>
      <w:r w:rsidRPr="002C5876">
        <w:t>3.4.4.1</w:t>
      </w:r>
      <w:r w:rsidRPr="002C5876">
        <w:tab/>
        <w:t>P</w:t>
      </w:r>
      <w:r w:rsidRPr="002C5876">
        <w:rPr>
          <w:color w:val="000000"/>
          <w:szCs w:val="24"/>
        </w:rPr>
        <w:t>rocédure d’e</w:t>
      </w:r>
      <w:r w:rsidRPr="002C5876">
        <w:t xml:space="preserve">ssai du type 1 </w:t>
      </w:r>
      <w:r w:rsidRPr="002C5876">
        <w:rPr>
          <w:szCs w:val="24"/>
          <w:lang w:eastAsia="ja-JP"/>
        </w:rPr>
        <w:t>avec cycles consécutifs</w:t>
      </w:r>
    </w:p>
    <w:p w:rsidR="00E24DB7" w:rsidRPr="002C5876" w:rsidRDefault="00E24DB7" w:rsidP="00E24DB7">
      <w:pPr>
        <w:pStyle w:val="SingleTxtG"/>
        <w:keepNext/>
        <w:ind w:left="2268" w:hanging="1134"/>
        <w:jc w:val="left"/>
        <w:rPr>
          <w:color w:val="000000"/>
          <w:szCs w:val="24"/>
        </w:rPr>
      </w:pPr>
      <w:r w:rsidRPr="002C5876">
        <w:rPr>
          <w:color w:val="000000"/>
          <w:szCs w:val="24"/>
        </w:rPr>
        <w:t>3.4.4.1.1</w:t>
      </w:r>
      <w:r w:rsidRPr="002C5876">
        <w:rPr>
          <w:color w:val="000000"/>
          <w:szCs w:val="24"/>
        </w:rPr>
        <w:tab/>
        <w:t>Suivi de la courbe de vitesse et pauses</w:t>
      </w:r>
    </w:p>
    <w:p w:rsidR="00E24DB7" w:rsidRPr="002C5876" w:rsidRDefault="00E24DB7" w:rsidP="00E24DB7">
      <w:pPr>
        <w:pStyle w:val="SingleTxtG"/>
        <w:ind w:left="2268"/>
        <w:rPr>
          <w:color w:val="000000"/>
          <w:szCs w:val="24"/>
        </w:rPr>
      </w:pPr>
      <w:r w:rsidRPr="002C5876">
        <w:tab/>
        <w:t xml:space="preserve">L’essai doit consister à exécuter des cycles d’essai </w:t>
      </w:r>
      <w:r w:rsidRPr="002C5876">
        <w:rPr>
          <w:szCs w:val="24"/>
        </w:rPr>
        <w:t xml:space="preserve">applicables </w:t>
      </w:r>
      <w:r w:rsidRPr="002C5876">
        <w:t xml:space="preserve">consécutifs jusqu’à ce que le critère de déconnexion conformément </w:t>
      </w:r>
      <w:r w:rsidRPr="002C5876">
        <w:rPr>
          <w:szCs w:val="24"/>
        </w:rPr>
        <w:t xml:space="preserve">au paragraphe 3.4.4.1.3 de </w:t>
      </w:r>
      <w:r w:rsidRPr="002C5876">
        <w:t xml:space="preserve">la présente annexe soit atteint. </w:t>
      </w:r>
    </w:p>
    <w:p w:rsidR="00E24DB7" w:rsidRPr="002C5876" w:rsidRDefault="00E24DB7" w:rsidP="00E24DB7">
      <w:pPr>
        <w:pStyle w:val="SingleTxtG"/>
        <w:ind w:left="2268"/>
      </w:pPr>
      <w:r w:rsidRPr="002C5876">
        <w:tab/>
        <w:t xml:space="preserve">Des pauses pour le conducteur et/ou l’opérateur sont seulement admises entre les cycles d’essai et avec une durée </w:t>
      </w:r>
      <w:r w:rsidRPr="002C5876">
        <w:rPr>
          <w:color w:val="000000"/>
          <w:szCs w:val="24"/>
        </w:rPr>
        <w:t>totale maximale d’interruption de 10 mn</w:t>
      </w:r>
      <w:r w:rsidRPr="002C5876">
        <w:t>. Au cours de la pause la chaîne de traction doit être désactivée.</w:t>
      </w:r>
    </w:p>
    <w:p w:rsidR="00E24DB7" w:rsidRPr="002C5876" w:rsidRDefault="00E24DB7" w:rsidP="00E24DB7">
      <w:pPr>
        <w:pStyle w:val="SingleTxtG"/>
        <w:rPr>
          <w:color w:val="000000"/>
          <w:szCs w:val="24"/>
        </w:rPr>
      </w:pPr>
      <w:r w:rsidRPr="002C5876">
        <w:rPr>
          <w:color w:val="000000"/>
          <w:szCs w:val="24"/>
        </w:rPr>
        <w:t>3.4.4.1.2</w:t>
      </w:r>
      <w:r w:rsidRPr="002C5876">
        <w:rPr>
          <w:color w:val="000000"/>
          <w:szCs w:val="24"/>
        </w:rPr>
        <w:tab/>
        <w:t xml:space="preserve">Mesure de l’intensité et de la tension électriques du SRSEE </w:t>
      </w:r>
    </w:p>
    <w:p w:rsidR="00E24DB7" w:rsidRPr="002C5876" w:rsidRDefault="00E24DB7" w:rsidP="00E24DB7">
      <w:pPr>
        <w:pStyle w:val="SingleTxtG"/>
        <w:ind w:left="2268"/>
        <w:rPr>
          <w:color w:val="000000"/>
          <w:szCs w:val="24"/>
        </w:rPr>
      </w:pPr>
      <w:r w:rsidRPr="002C5876">
        <w:rPr>
          <w:color w:val="000000"/>
          <w:szCs w:val="24"/>
        </w:rPr>
        <w:t xml:space="preserve">À partir du début de l’essai et </w:t>
      </w:r>
      <w:r w:rsidRPr="002C5876">
        <w:t xml:space="preserve">jusqu’à ce que le critère de déconnexion soit atteint, </w:t>
      </w:r>
      <w:r w:rsidRPr="002C5876">
        <w:rPr>
          <w:color w:val="000000"/>
          <w:szCs w:val="24"/>
        </w:rPr>
        <w:t xml:space="preserve">l’intensité électrique de tous les SRSEE doit être mesurée </w:t>
      </w:r>
      <w:r w:rsidRPr="002C5876">
        <w:t xml:space="preserve">conformément </w:t>
      </w:r>
      <w:r w:rsidRPr="002C5876">
        <w:rPr>
          <w:szCs w:val="24"/>
        </w:rPr>
        <w:t>à l’a</w:t>
      </w:r>
      <w:r w:rsidRPr="002C5876">
        <w:rPr>
          <w:color w:val="000000"/>
          <w:szCs w:val="24"/>
        </w:rPr>
        <w:t xml:space="preserve">ppendice 3 </w:t>
      </w:r>
      <w:r w:rsidRPr="002C5876">
        <w:rPr>
          <w:szCs w:val="24"/>
        </w:rPr>
        <w:t xml:space="preserve">de </w:t>
      </w:r>
      <w:r w:rsidRPr="002C5876">
        <w:t xml:space="preserve">la présente annexe </w:t>
      </w:r>
      <w:r w:rsidRPr="002C5876">
        <w:rPr>
          <w:color w:val="000000"/>
          <w:szCs w:val="24"/>
        </w:rPr>
        <w:t xml:space="preserve">et la tension électrique doit être déterminée </w:t>
      </w:r>
      <w:r w:rsidRPr="002C5876">
        <w:t xml:space="preserve">conformément </w:t>
      </w:r>
      <w:r w:rsidRPr="002C5876">
        <w:rPr>
          <w:szCs w:val="24"/>
        </w:rPr>
        <w:t>à l’a</w:t>
      </w:r>
      <w:r w:rsidRPr="002C5876">
        <w:rPr>
          <w:color w:val="000000"/>
          <w:szCs w:val="24"/>
        </w:rPr>
        <w:t xml:space="preserve">ppendice 3 </w:t>
      </w:r>
      <w:r w:rsidRPr="002C5876">
        <w:rPr>
          <w:szCs w:val="24"/>
        </w:rPr>
        <w:t xml:space="preserve">de </w:t>
      </w:r>
      <w:r w:rsidRPr="002C5876">
        <w:t>la présente annexe</w:t>
      </w:r>
      <w:r w:rsidRPr="002C5876">
        <w:rPr>
          <w:color w:val="000000"/>
          <w:szCs w:val="24"/>
        </w:rPr>
        <w:t>.</w:t>
      </w:r>
    </w:p>
    <w:p w:rsidR="00E24DB7" w:rsidRPr="002C5876" w:rsidRDefault="00E24DB7" w:rsidP="00E24DB7">
      <w:pPr>
        <w:pStyle w:val="SingleTxtG"/>
        <w:rPr>
          <w:color w:val="000000"/>
          <w:szCs w:val="24"/>
        </w:rPr>
      </w:pPr>
      <w:r w:rsidRPr="002C5876">
        <w:rPr>
          <w:color w:val="000000"/>
          <w:szCs w:val="24"/>
        </w:rPr>
        <w:t>3.4.4.1.3</w:t>
      </w:r>
      <w:r w:rsidRPr="002C5876">
        <w:rPr>
          <w:color w:val="000000"/>
          <w:szCs w:val="24"/>
        </w:rPr>
        <w:tab/>
        <w:t>Critère de déconnexion automatique</w:t>
      </w:r>
    </w:p>
    <w:p w:rsidR="00E24DB7" w:rsidRPr="002C5876" w:rsidRDefault="00E24DB7" w:rsidP="00E24DB7">
      <w:pPr>
        <w:pStyle w:val="SingleTxtG"/>
        <w:ind w:left="2268"/>
      </w:pPr>
      <w:r w:rsidRPr="002C5876">
        <w:t xml:space="preserve">Le critère de déconnexion automatique est atteint lorsque le véhicule s’écarte pendant 4 s </w:t>
      </w:r>
      <w:r w:rsidRPr="002C5876">
        <w:rPr>
          <w:szCs w:val="24"/>
          <w:lang w:eastAsia="ja-JP"/>
        </w:rPr>
        <w:t xml:space="preserve">consécutives </w:t>
      </w:r>
      <w:r w:rsidRPr="002C5876">
        <w:t xml:space="preserve">ou plus de la marge de tolérance sur </w:t>
      </w:r>
      <w:r w:rsidRPr="002C5876">
        <w:rPr>
          <w:color w:val="000000"/>
          <w:szCs w:val="24"/>
        </w:rPr>
        <w:t xml:space="preserve">la courbe de vitesse </w:t>
      </w:r>
      <w:r w:rsidRPr="002C5876">
        <w:t xml:space="preserve">prescrite </w:t>
      </w:r>
      <w:r w:rsidRPr="002C5876">
        <w:rPr>
          <w:szCs w:val="24"/>
        </w:rPr>
        <w:t>comme spécifié au paragraphe 2.6.8.3 de l’annexe 6</w:t>
      </w:r>
      <w:r w:rsidRPr="002C5876">
        <w:t>. Dans ce cas, la commande d’accélérateur doit être désactivée et le véhicule doit être immobilisé par freinage dans les 60 s.</w:t>
      </w:r>
    </w:p>
    <w:p w:rsidR="00E24DB7" w:rsidRPr="002C5876" w:rsidRDefault="00E24DB7" w:rsidP="00E24DB7">
      <w:pPr>
        <w:pStyle w:val="SingleTxtG"/>
        <w:ind w:left="2268" w:hanging="1134"/>
        <w:rPr>
          <w:szCs w:val="24"/>
        </w:rPr>
      </w:pPr>
      <w:r w:rsidRPr="002C5876">
        <w:rPr>
          <w:szCs w:val="24"/>
        </w:rPr>
        <w:t>3.4.4.2</w:t>
      </w:r>
      <w:r w:rsidRPr="002C5876">
        <w:rPr>
          <w:szCs w:val="24"/>
        </w:rPr>
        <w:tab/>
      </w:r>
      <w:r w:rsidRPr="002C5876">
        <w:t>P</w:t>
      </w:r>
      <w:r w:rsidRPr="002C5876">
        <w:rPr>
          <w:color w:val="000000"/>
          <w:szCs w:val="24"/>
        </w:rPr>
        <w:t>rocédure d’e</w:t>
      </w:r>
      <w:r w:rsidRPr="002C5876">
        <w:t>ssai du type 1 abrégée</w:t>
      </w:r>
    </w:p>
    <w:p w:rsidR="00E24DB7" w:rsidRPr="002C5876" w:rsidRDefault="00E24DB7" w:rsidP="00E24DB7">
      <w:pPr>
        <w:pStyle w:val="SingleTxtG"/>
        <w:ind w:left="2268" w:hanging="1134"/>
        <w:rPr>
          <w:szCs w:val="24"/>
        </w:rPr>
      </w:pPr>
      <w:r w:rsidRPr="002C5876">
        <w:rPr>
          <w:szCs w:val="24"/>
        </w:rPr>
        <w:t>3.4.4.2.1</w:t>
      </w:r>
      <w:r w:rsidRPr="002C5876">
        <w:rPr>
          <w:szCs w:val="24"/>
        </w:rPr>
        <w:tab/>
      </w:r>
      <w:r w:rsidRPr="002C5876">
        <w:rPr>
          <w:color w:val="000000"/>
          <w:szCs w:val="24"/>
        </w:rPr>
        <w:t>Courbe de vitesse</w:t>
      </w:r>
    </w:p>
    <w:p w:rsidR="00E24DB7" w:rsidRPr="002C5876" w:rsidRDefault="00E24DB7" w:rsidP="00E24DB7">
      <w:pPr>
        <w:pStyle w:val="SingleTxtG"/>
        <w:ind w:left="2268"/>
        <w:rPr>
          <w:szCs w:val="24"/>
        </w:rPr>
      </w:pPr>
      <w:r w:rsidRPr="002C5876">
        <w:t>La p</w:t>
      </w:r>
      <w:r w:rsidRPr="002C5876">
        <w:rPr>
          <w:color w:val="000000"/>
          <w:szCs w:val="24"/>
        </w:rPr>
        <w:t>rocédure d’e</w:t>
      </w:r>
      <w:r w:rsidRPr="002C5876">
        <w:t>ssai du type 1 abrégée est composée de deux segments dynamiques (DS</w:t>
      </w:r>
      <w:r w:rsidRPr="002C5876">
        <w:rPr>
          <w:vertAlign w:val="subscript"/>
        </w:rPr>
        <w:t>1</w:t>
      </w:r>
      <w:r w:rsidRPr="002C5876">
        <w:t xml:space="preserve"> et DS</w:t>
      </w:r>
      <w:r w:rsidRPr="002C5876">
        <w:rPr>
          <w:vertAlign w:val="subscript"/>
        </w:rPr>
        <w:t>2</w:t>
      </w:r>
      <w:r w:rsidRPr="002C5876">
        <w:t xml:space="preserve">) combinés avec deux segments à </w:t>
      </w:r>
      <w:r w:rsidRPr="002C5876">
        <w:rPr>
          <w:color w:val="000000"/>
          <w:szCs w:val="24"/>
        </w:rPr>
        <w:t xml:space="preserve">vitesse </w:t>
      </w:r>
      <w:r w:rsidRPr="002C5876">
        <w:t>constante (CSS</w:t>
      </w:r>
      <w:r w:rsidRPr="002C5876">
        <w:rPr>
          <w:vertAlign w:val="subscript"/>
        </w:rPr>
        <w:t>M</w:t>
      </w:r>
      <w:r w:rsidRPr="002C5876">
        <w:t xml:space="preserve"> et CSS</w:t>
      </w:r>
      <w:r w:rsidRPr="002C5876">
        <w:rPr>
          <w:vertAlign w:val="subscript"/>
        </w:rPr>
        <w:t>E</w:t>
      </w:r>
      <w:r w:rsidRPr="002C5876">
        <w:t>)</w:t>
      </w:r>
      <w:r w:rsidRPr="002C5876">
        <w:rPr>
          <w:szCs w:val="24"/>
        </w:rPr>
        <w:t xml:space="preserve"> comme représenté à la figure A8/2.</w:t>
      </w:r>
    </w:p>
    <w:p w:rsidR="00E24DB7" w:rsidRPr="002C5876" w:rsidRDefault="00E24DB7" w:rsidP="00E24DB7">
      <w:pPr>
        <w:pStyle w:val="H23G"/>
      </w:pPr>
      <w:r w:rsidRPr="002C5876">
        <w:rPr>
          <w:b w:val="0"/>
        </w:rPr>
        <w:tab/>
      </w:r>
      <w:r w:rsidRPr="002C5876">
        <w:rPr>
          <w:b w:val="0"/>
        </w:rPr>
        <w:tab/>
        <w:t>Figure A8/2</w:t>
      </w:r>
      <w:r w:rsidRPr="002C5876">
        <w:br/>
        <w:t>Courbe de vitesse de la procédure d’essai du type 1 abrégée</w:t>
      </w:r>
    </w:p>
    <w:p w:rsidR="00E24DB7" w:rsidRPr="002C5876" w:rsidRDefault="00E24DB7" w:rsidP="00E24DB7">
      <w:pPr>
        <w:spacing w:after="120"/>
        <w:ind w:left="1134" w:right="1134"/>
        <w:jc w:val="both"/>
        <w:rPr>
          <w:szCs w:val="24"/>
        </w:rPr>
      </w:pPr>
      <w:r w:rsidRPr="002C5876">
        <w:rPr>
          <w:noProof/>
          <w:lang w:val="en-GB" w:eastAsia="zh-CN"/>
        </w:rPr>
        <w:drawing>
          <wp:inline distT="0" distB="0" distL="0" distR="0" wp14:anchorId="486FFCB3" wp14:editId="0B3E32F3">
            <wp:extent cx="4921624" cy="2570771"/>
            <wp:effectExtent l="0" t="0" r="0" b="1270"/>
            <wp:docPr id="1344" name="Imag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961472" cy="2591585"/>
                    </a:xfrm>
                    <a:prstGeom prst="rect">
                      <a:avLst/>
                    </a:prstGeom>
                    <a:noFill/>
                    <a:ln>
                      <a:noFill/>
                    </a:ln>
                  </pic:spPr>
                </pic:pic>
              </a:graphicData>
            </a:graphic>
          </wp:inline>
        </w:drawing>
      </w:r>
    </w:p>
    <w:p w:rsidR="00E24DB7" w:rsidRPr="002C5876" w:rsidRDefault="00E24DB7" w:rsidP="00E24DB7">
      <w:pPr>
        <w:pStyle w:val="SingleTxtG"/>
        <w:ind w:left="2268"/>
      </w:pPr>
      <w:r w:rsidRPr="002C5876">
        <w:rPr>
          <w:color w:val="000000"/>
          <w:szCs w:val="24"/>
        </w:rPr>
        <w:tab/>
        <w:t xml:space="preserve">Les </w:t>
      </w:r>
      <w:r w:rsidRPr="002C5876">
        <w:t xml:space="preserve">segments dynamiques </w:t>
      </w:r>
      <m:oMath>
        <m:sSub>
          <m:sSubPr>
            <m:ctrlPr>
              <w:rPr>
                <w:rFonts w:ascii="Cambria Math" w:hAnsi="Cambria Math"/>
              </w:rPr>
            </m:ctrlPr>
          </m:sSubPr>
          <m:e>
            <m:r>
              <m:rPr>
                <m:sty m:val="p"/>
              </m:rPr>
              <w:rPr>
                <w:rFonts w:ascii="Cambria Math" w:hAnsi="Cambria Math"/>
              </w:rPr>
              <m:t>DS</m:t>
            </m:r>
          </m:e>
          <m:sub>
            <m:r>
              <m:rPr>
                <m:sty m:val="p"/>
              </m:rPr>
              <w:rPr>
                <w:rFonts w:ascii="Cambria Math" w:hAnsi="Cambria Math"/>
              </w:rPr>
              <m:t>1</m:t>
            </m:r>
          </m:sub>
        </m:sSub>
      </m:oMath>
      <w:r w:rsidRPr="002C5876">
        <w:t xml:space="preserve"> et </w:t>
      </w:r>
      <m:oMath>
        <m:sSub>
          <m:sSubPr>
            <m:ctrlPr>
              <w:rPr>
                <w:rFonts w:ascii="Cambria Math" w:hAnsi="Cambria Math"/>
              </w:rPr>
            </m:ctrlPr>
          </m:sSubPr>
          <m:e>
            <m:r>
              <m:rPr>
                <m:sty m:val="p"/>
              </m:rPr>
              <w:rPr>
                <w:rFonts w:ascii="Cambria Math" w:hAnsi="Cambria Math"/>
              </w:rPr>
              <m:t>DS</m:t>
            </m:r>
          </m:e>
          <m:sub>
            <m:r>
              <m:rPr>
                <m:sty m:val="p"/>
              </m:rPr>
              <w:rPr>
                <w:rFonts w:ascii="Cambria Math" w:hAnsi="Cambria Math"/>
              </w:rPr>
              <m:t>2</m:t>
            </m:r>
          </m:sub>
        </m:sSub>
      </m:oMath>
      <w:r w:rsidRPr="002C5876">
        <w:t xml:space="preserve"> sont utilisés pour calculer la consommation d’énergie pour la phase considérée, le cycle WLTP urbain applicable et le cycle d’essai WLTP </w:t>
      </w:r>
      <w:r w:rsidRPr="002C5876">
        <w:rPr>
          <w:szCs w:val="24"/>
        </w:rPr>
        <w:t>applicable</w:t>
      </w:r>
      <w:r w:rsidRPr="002C5876">
        <w:t>.</w:t>
      </w:r>
      <w:r w:rsidRPr="002C5876" w:rsidDel="00694231">
        <w:rPr>
          <w:sz w:val="16"/>
          <w:szCs w:val="16"/>
        </w:rPr>
        <w:t xml:space="preserve"> </w:t>
      </w:r>
    </w:p>
    <w:p w:rsidR="00E24DB7" w:rsidRPr="002C5876" w:rsidRDefault="00E24DB7" w:rsidP="00E24DB7">
      <w:pPr>
        <w:pStyle w:val="SingleTxtG"/>
        <w:ind w:left="2268"/>
      </w:pPr>
      <w:r w:rsidRPr="002C5876">
        <w:t>Les segments à vitesse constante CSS</w:t>
      </w:r>
      <w:r w:rsidRPr="002C5876">
        <w:rPr>
          <w:vertAlign w:val="subscript"/>
        </w:rPr>
        <w:t>M</w:t>
      </w:r>
      <w:r w:rsidRPr="002C5876">
        <w:t xml:space="preserve"> et CSS</w:t>
      </w:r>
      <w:r w:rsidRPr="002C5876">
        <w:rPr>
          <w:vertAlign w:val="subscript"/>
        </w:rPr>
        <w:t>E</w:t>
      </w:r>
      <w:r w:rsidRPr="002C5876">
        <w:t xml:space="preserve"> sont destinés à réduire la durée de l’essai en épuisant la charge du SRSEE plus rapidement que la procédure d’essai de type 1 avec cycles consécutifs.</w:t>
      </w:r>
    </w:p>
    <w:p w:rsidR="00E24DB7" w:rsidRPr="002C5876" w:rsidRDefault="00E24DB7" w:rsidP="00E24DB7">
      <w:pPr>
        <w:pStyle w:val="SingleTxtG"/>
        <w:keepNext/>
        <w:keepLines/>
      </w:pPr>
      <w:r w:rsidRPr="002C5876">
        <w:lastRenderedPageBreak/>
        <w:t>3.4.4.2.1.1</w:t>
      </w:r>
      <w:r w:rsidRPr="002C5876">
        <w:tab/>
        <w:t>Segments dynamiques</w:t>
      </w:r>
    </w:p>
    <w:p w:rsidR="00E24DB7" w:rsidRPr="002C5876" w:rsidRDefault="00E24DB7" w:rsidP="00E24DB7">
      <w:pPr>
        <w:pStyle w:val="SingleTxtG"/>
        <w:ind w:left="2268"/>
      </w:pPr>
      <w:r w:rsidRPr="002C5876">
        <w:tab/>
        <w:t>Chaque segment dynamique des DS</w:t>
      </w:r>
      <w:r w:rsidRPr="002C5876">
        <w:rPr>
          <w:vertAlign w:val="subscript"/>
        </w:rPr>
        <w:t>1</w:t>
      </w:r>
      <w:r w:rsidRPr="002C5876">
        <w:t xml:space="preserve"> et DS</w:t>
      </w:r>
      <w:r w:rsidRPr="002C5876">
        <w:rPr>
          <w:vertAlign w:val="subscript"/>
        </w:rPr>
        <w:t>2</w:t>
      </w:r>
      <w:r w:rsidRPr="002C5876">
        <w:t xml:space="preserve"> est constitué d’un cycle d’essai WLTP applicable conformément au paragraphe 1.4.2.1 de la présente annexe, suivi par un cycle d’essai urbain WLTP applicable conformément au paragraphe 1.4.2.2 de la présente annexe.</w:t>
      </w:r>
    </w:p>
    <w:p w:rsidR="00E24DB7" w:rsidRPr="002C5876" w:rsidRDefault="00E24DB7" w:rsidP="00E24DB7">
      <w:pPr>
        <w:pStyle w:val="SingleTxtG"/>
        <w:keepNext/>
        <w:keepLines/>
      </w:pPr>
      <w:r w:rsidRPr="002C5876">
        <w:t>3.4.4.2.1.2</w:t>
      </w:r>
      <w:r w:rsidRPr="002C5876">
        <w:tab/>
        <w:t>Segment à vitesse constante</w:t>
      </w:r>
    </w:p>
    <w:p w:rsidR="00E24DB7" w:rsidRPr="002C5876" w:rsidRDefault="00E24DB7" w:rsidP="00E24DB7">
      <w:pPr>
        <w:pStyle w:val="SingleTxtG"/>
        <w:ind w:left="2268"/>
        <w:rPr>
          <w:strike/>
        </w:rPr>
      </w:pPr>
      <w:r w:rsidRPr="002C5876">
        <w:t>Les vitesses constantes sur les segments CSS</w:t>
      </w:r>
      <w:r w:rsidRPr="002C5876">
        <w:rPr>
          <w:vertAlign w:val="subscript"/>
        </w:rPr>
        <w:t>M</w:t>
      </w:r>
      <w:r w:rsidRPr="002C5876">
        <w:t xml:space="preserve"> et CSS</w:t>
      </w:r>
      <w:r w:rsidRPr="002C5876">
        <w:rPr>
          <w:vertAlign w:val="subscript"/>
        </w:rPr>
        <w:t>E</w:t>
      </w:r>
      <w:r w:rsidRPr="002C5876">
        <w:t xml:space="preserve"> doivent être identiques. Si la méthode d’interpolation est appliquée, la même valeur de vitesse constante doit être appliquée à l’intérieur de la famille d’interpolation.</w:t>
      </w:r>
    </w:p>
    <w:p w:rsidR="00E24DB7" w:rsidRPr="002C5876" w:rsidRDefault="00E24DB7" w:rsidP="00E24DB7">
      <w:pPr>
        <w:pStyle w:val="SingleTxtG"/>
        <w:keepNext/>
        <w:ind w:left="2835" w:hanging="567"/>
      </w:pPr>
      <w:r w:rsidRPr="002C5876">
        <w:t>a)</w:t>
      </w:r>
      <w:r w:rsidRPr="002C5876">
        <w:tab/>
        <w:t>Prescriptions de vitesse :</w:t>
      </w:r>
    </w:p>
    <w:p w:rsidR="00E24DB7" w:rsidRPr="002C5876" w:rsidRDefault="00E24DB7" w:rsidP="00E24DB7">
      <w:pPr>
        <w:pStyle w:val="SingleTxtG"/>
        <w:ind w:left="2835"/>
      </w:pPr>
      <w:r w:rsidRPr="002C5876">
        <w:t>La vitesse minimale sur les segments à vitesse constante est de 100 km/h. Si la phase extra-haute (Extra High</w:t>
      </w:r>
      <w:r w:rsidRPr="002C5876">
        <w:rPr>
          <w:vertAlign w:val="subscript"/>
        </w:rPr>
        <w:t>3</w:t>
      </w:r>
      <w:r w:rsidRPr="002C5876">
        <w:t>) est omise par une Partie contractante, la vitesse minimale sur les segments à vitesse constante doit être fixée à 80 km/h. À la demande du constructeur et avec l’accord de l’autorité compétente, une vitesse constante plus élevée sur les segments à vitesse constante peut être sélectionnée.</w:t>
      </w:r>
    </w:p>
    <w:p w:rsidR="00E24DB7" w:rsidRPr="002C5876" w:rsidRDefault="00E24DB7" w:rsidP="00E24DB7">
      <w:pPr>
        <w:pStyle w:val="SingleTxtG"/>
        <w:ind w:left="2835"/>
      </w:pPr>
      <w:r w:rsidRPr="002C5876">
        <w:t>L’accélération jusqu’à la vitesse constante doit être progressive et effectuée dans un délai de 1 min après la fin des segments dynamiques et, dans le cas d’une pause effectuée conformément au tableau A.8/4, après activation de la procédure de démarrage de la chaîne de traction.</w:t>
      </w:r>
    </w:p>
    <w:p w:rsidR="00E24DB7" w:rsidRPr="002C5876" w:rsidRDefault="00E24DB7" w:rsidP="00E24DB7">
      <w:pPr>
        <w:pStyle w:val="SingleTxtG"/>
        <w:ind w:left="2835"/>
      </w:pPr>
      <w:r w:rsidRPr="002C5876">
        <w:t>Si la vitesse maximale du véhicule est inférieure à la vitesse minimale requise pour les segments à vitesse constante conformément aux prescriptions de vitesse du présent paragraphe, la vitesse requise sur les segments à vitesse constante doit être égale à la vitesse maximale du véhicule.</w:t>
      </w:r>
    </w:p>
    <w:p w:rsidR="00E24DB7" w:rsidRPr="002C5876" w:rsidRDefault="00E24DB7" w:rsidP="00E24DB7">
      <w:pPr>
        <w:pStyle w:val="SingleTxtG"/>
        <w:keepNext/>
        <w:ind w:left="2835" w:hanging="567"/>
      </w:pPr>
      <w:r w:rsidRPr="002C5876">
        <w:t>b)</w:t>
      </w:r>
      <w:r w:rsidRPr="002C5876">
        <w:tab/>
        <w:t>Détermination de la distance parcourue sur les segments CSSE et CSS</w:t>
      </w:r>
      <w:r w:rsidRPr="002C5876">
        <w:rPr>
          <w:vertAlign w:val="subscript"/>
        </w:rPr>
        <w:t>M</w:t>
      </w:r>
      <w:r w:rsidRPr="002C5876">
        <w:t> :</w:t>
      </w:r>
    </w:p>
    <w:p w:rsidR="00E24DB7" w:rsidRPr="002C5876" w:rsidRDefault="00E24DB7" w:rsidP="00E24DB7">
      <w:pPr>
        <w:pStyle w:val="SingleTxtG"/>
        <w:ind w:left="2835"/>
      </w:pPr>
      <w:r w:rsidRPr="002C5876">
        <w:t>La longueur des segments à vitesse constante CSSE doit être déterminée sur la base du pourcentage d’énergie utilisable du SRSEE UBE</w:t>
      </w:r>
      <w:r w:rsidRPr="002C5876">
        <w:rPr>
          <w:vertAlign w:val="subscript"/>
        </w:rPr>
        <w:t>STP</w:t>
      </w:r>
      <w:r w:rsidRPr="002C5876">
        <w:t xml:space="preserve"> conformément au paragraphe 4.4.2.1 de la présente annexe. L’énergie restante dans le SRSEE de traction après le segment de vitesse dynamique DS</w:t>
      </w:r>
      <w:r w:rsidRPr="002C5876">
        <w:rPr>
          <w:vertAlign w:val="subscript"/>
        </w:rPr>
        <w:t>2</w:t>
      </w:r>
      <w:r w:rsidRPr="002C5876">
        <w:t xml:space="preserve"> doit être égale ou inférieure à 10 % de la valeur UBE</w:t>
      </w:r>
      <w:r w:rsidRPr="002C5876">
        <w:rPr>
          <w:vertAlign w:val="subscript"/>
        </w:rPr>
        <w:t>STP</w:t>
      </w:r>
      <w:r w:rsidRPr="002C5876">
        <w:t>. Le constructeur doit fournir des preuves à l’autorité compétente après l’essai pour démontrer qu’il est satisfait à cette prescription.</w:t>
      </w:r>
    </w:p>
    <w:p w:rsidR="00E24DB7" w:rsidRPr="002C5876" w:rsidRDefault="00E24DB7" w:rsidP="00E24DB7">
      <w:pPr>
        <w:pStyle w:val="SingleTxtG"/>
        <w:keepNext/>
        <w:ind w:left="2835"/>
      </w:pPr>
      <w:r w:rsidRPr="002C5876">
        <w:t>La longueur du segment à vitesse constante CSS</w:t>
      </w:r>
      <w:r w:rsidRPr="002C5876">
        <w:rPr>
          <w:vertAlign w:val="subscript"/>
        </w:rPr>
        <w:t>M</w:t>
      </w:r>
      <w:r w:rsidRPr="002C5876">
        <w:t xml:space="preserve"> peut être calculée au moyen de l’équation suivante :</w:t>
      </w:r>
    </w:p>
    <w:p w:rsidR="00E24DB7" w:rsidRPr="002C5876" w:rsidRDefault="00731CA6" w:rsidP="00E24DB7">
      <w:pPr>
        <w:pStyle w:val="SingleTxtG"/>
        <w:keepNext/>
        <w:ind w:left="2835"/>
        <w:jc w:val="center"/>
      </w:pPr>
      <m:oMathPara>
        <m:oMath>
          <m:sSub>
            <m:sSubPr>
              <m:ctrlPr>
                <w:rPr>
                  <w:rFonts w:ascii="Cambria Math" w:hAnsi="Cambria Math" w:cstheme="majorBidi"/>
                </w:rPr>
              </m:ctrlPr>
            </m:sSubPr>
            <m:e>
              <m:r>
                <m:rPr>
                  <m:sty m:val="p"/>
                </m:rPr>
                <w:rPr>
                  <w:rFonts w:ascii="Cambria Math" w:hAnsi="Cambria Math" w:cstheme="majorBidi"/>
                </w:rPr>
                <m:t>d</m:t>
              </m:r>
            </m:e>
            <m:sub>
              <m:r>
                <m:rPr>
                  <m:sty m:val="p"/>
                </m:rPr>
                <w:rPr>
                  <w:rFonts w:ascii="Cambria Math" w:hAnsi="Cambria Math" w:cstheme="majorBidi"/>
                </w:rPr>
                <m:t>CSSM</m:t>
              </m:r>
            </m:sub>
          </m:sSub>
          <m: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PER</m:t>
              </m:r>
            </m:e>
            <m:sub>
              <m:r>
                <m:rPr>
                  <m:sty m:val="p"/>
                </m:rPr>
                <w:rPr>
                  <w:rFonts w:ascii="Cambria Math" w:hAnsi="Cambria Math" w:cstheme="majorBidi"/>
                </w:rPr>
                <m:t>est</m:t>
              </m:r>
            </m:sub>
          </m:sSub>
          <m: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d</m:t>
              </m:r>
            </m:e>
            <m:sub>
              <m:r>
                <m:rPr>
                  <m:sty m:val="p"/>
                </m:rPr>
                <w:rPr>
                  <w:rFonts w:ascii="Cambria Math" w:hAnsi="Cambria Math" w:cstheme="majorBidi"/>
                </w:rPr>
                <m:t>DS1</m:t>
              </m:r>
            </m:sub>
          </m:sSub>
          <m: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d</m:t>
              </m:r>
            </m:e>
            <m:sub>
              <m:r>
                <m:rPr>
                  <m:sty m:val="p"/>
                </m:rPr>
                <w:rPr>
                  <w:rFonts w:ascii="Cambria Math" w:hAnsi="Cambria Math" w:cstheme="majorBidi"/>
                </w:rPr>
                <m:t>DS2</m:t>
              </m:r>
            </m:sub>
          </m:sSub>
          <m: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d</m:t>
              </m:r>
            </m:e>
            <m:sub>
              <m:r>
                <m:rPr>
                  <m:sty m:val="p"/>
                </m:rPr>
                <w:rPr>
                  <w:rFonts w:ascii="Cambria Math" w:hAnsi="Cambria Math" w:cstheme="majorBidi"/>
                </w:rPr>
                <m:t>CSSE</m:t>
              </m:r>
            </m:sub>
          </m:sSub>
        </m:oMath>
      </m:oMathPara>
    </w:p>
    <w:p w:rsidR="00E24DB7" w:rsidRPr="002C5876" w:rsidRDefault="00E24DB7" w:rsidP="00E24DB7">
      <w:pPr>
        <w:pStyle w:val="SingleTxtG"/>
        <w:keepNext/>
        <w:ind w:left="2835"/>
      </w:pPr>
      <w:r w:rsidRPr="002C5876">
        <w:t xml:space="preserve">où : </w:t>
      </w:r>
    </w:p>
    <w:p w:rsidR="00E24DB7" w:rsidRPr="002C5876" w:rsidRDefault="00E24DB7" w:rsidP="00E24DB7">
      <w:pPr>
        <w:pStyle w:val="SingleTxtG"/>
        <w:ind w:left="3969" w:hanging="1134"/>
      </w:pPr>
      <w:r w:rsidRPr="002C5876">
        <w:t>PER</w:t>
      </w:r>
      <w:r w:rsidRPr="002C5876">
        <w:rPr>
          <w:vertAlign w:val="subscript"/>
        </w:rPr>
        <w:t>est</w:t>
      </w:r>
      <w:r w:rsidRPr="002C5876">
        <w:tab/>
        <w:t>est l’autonomie en mode électrique pur estimée du VEP considéré, en km ;</w:t>
      </w:r>
    </w:p>
    <w:p w:rsidR="00E24DB7" w:rsidRPr="002C5876" w:rsidRDefault="00E24DB7" w:rsidP="00E24DB7">
      <w:pPr>
        <w:pStyle w:val="SingleTxtG"/>
        <w:ind w:left="3969" w:hanging="1134"/>
      </w:pPr>
      <w:r w:rsidRPr="002C5876">
        <w:t>d</w:t>
      </w:r>
      <w:r w:rsidRPr="002C5876">
        <w:rPr>
          <w:vertAlign w:val="subscript"/>
        </w:rPr>
        <w:t>DS1</w:t>
      </w:r>
      <w:r w:rsidRPr="002C5876">
        <w:tab/>
        <w:t>est la longueur du segment dynamique 1, en km ;</w:t>
      </w:r>
    </w:p>
    <w:p w:rsidR="00E24DB7" w:rsidRPr="002C5876" w:rsidRDefault="00E24DB7" w:rsidP="00E24DB7">
      <w:pPr>
        <w:pStyle w:val="SingleTxtG"/>
        <w:ind w:left="3969" w:hanging="1134"/>
      </w:pPr>
      <w:r w:rsidRPr="002C5876">
        <w:t>d</w:t>
      </w:r>
      <w:r w:rsidRPr="002C5876">
        <w:rPr>
          <w:vertAlign w:val="subscript"/>
        </w:rPr>
        <w:t>DS2</w:t>
      </w:r>
      <w:r w:rsidRPr="002C5876">
        <w:tab/>
        <w:t>est la longueur du segment dynamique 2, en km ;</w:t>
      </w:r>
    </w:p>
    <w:p w:rsidR="00E24DB7" w:rsidRPr="002C5876" w:rsidRDefault="00E24DB7" w:rsidP="00E24DB7">
      <w:pPr>
        <w:pStyle w:val="SingleTxtG"/>
        <w:ind w:left="3969" w:hanging="1134"/>
      </w:pPr>
      <w:r w:rsidRPr="002C5876">
        <w:t>d</w:t>
      </w:r>
      <w:r w:rsidRPr="002C5876">
        <w:rPr>
          <w:vertAlign w:val="subscript"/>
        </w:rPr>
        <w:t>CSSE</w:t>
      </w:r>
      <w:r w:rsidRPr="002C5876">
        <w:tab/>
        <w:t>est la longueur du segment à vitesse constante CSS</w:t>
      </w:r>
      <w:r w:rsidRPr="002C5876">
        <w:rPr>
          <w:vertAlign w:val="subscript"/>
        </w:rPr>
        <w:t>E</w:t>
      </w:r>
      <w:r w:rsidRPr="002C5876">
        <w:t>, en km.</w:t>
      </w:r>
    </w:p>
    <w:p w:rsidR="00E24DB7" w:rsidRPr="002C5876" w:rsidRDefault="00E24DB7" w:rsidP="00E24DB7">
      <w:pPr>
        <w:pStyle w:val="SingleTxtG"/>
        <w:keepNext/>
        <w:ind w:left="2268" w:hanging="1134"/>
        <w:jc w:val="left"/>
      </w:pPr>
      <w:r w:rsidRPr="002C5876">
        <w:t>3.4.4.2.1.3</w:t>
      </w:r>
      <w:r w:rsidRPr="002C5876">
        <w:tab/>
        <w:t>Pauses</w:t>
      </w:r>
    </w:p>
    <w:p w:rsidR="00E24DB7" w:rsidRPr="002C5876" w:rsidRDefault="00E24DB7" w:rsidP="00E24DB7">
      <w:pPr>
        <w:pStyle w:val="SingleTxtG"/>
        <w:ind w:left="2268"/>
      </w:pPr>
      <w:r w:rsidRPr="002C5876">
        <w:t>Des pauses du conducteur et/ou de l’opérateur sont seulement admises sur les segments à vitesse constante, comme prescrit au tableau A8/4.</w:t>
      </w:r>
    </w:p>
    <w:p w:rsidR="00E24DB7" w:rsidRPr="002C5876" w:rsidRDefault="00E24DB7" w:rsidP="00E24DB7">
      <w:pPr>
        <w:pStyle w:val="H23G"/>
      </w:pPr>
      <w:r w:rsidRPr="002C5876">
        <w:rPr>
          <w:b w:val="0"/>
        </w:rPr>
        <w:lastRenderedPageBreak/>
        <w:tab/>
      </w:r>
      <w:r w:rsidRPr="002C5876">
        <w:rPr>
          <w:b w:val="0"/>
        </w:rPr>
        <w:tab/>
        <w:t>Tableau A8/4</w:t>
      </w:r>
      <w:r w:rsidRPr="002C5876">
        <w:t xml:space="preserve"> </w:t>
      </w:r>
      <w:r w:rsidRPr="002C5876">
        <w:br/>
        <w:t>Pauses du conducteur et/ou de l’opérateur</w:t>
      </w:r>
    </w:p>
    <w:tbl>
      <w:tblPr>
        <w:tblW w:w="7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23"/>
        <w:gridCol w:w="3542"/>
      </w:tblGrid>
      <w:tr w:rsidR="00E24DB7" w:rsidRPr="002C5876" w:rsidTr="00E24DB7">
        <w:trPr>
          <w:tblHeader/>
          <w:jc w:val="center"/>
        </w:trPr>
        <w:tc>
          <w:tcPr>
            <w:tcW w:w="3823" w:type="dxa"/>
            <w:tcBorders>
              <w:bottom w:val="single" w:sz="12" w:space="0" w:color="auto"/>
            </w:tcBorders>
            <w:vAlign w:val="bottom"/>
            <w:hideMark/>
          </w:tcPr>
          <w:p w:rsidR="00E24DB7" w:rsidRPr="002C5876" w:rsidRDefault="00E24DB7" w:rsidP="00E24DB7">
            <w:pPr>
              <w:keepNext/>
              <w:spacing w:before="80" w:after="80" w:line="200" w:lineRule="exact"/>
              <w:ind w:left="57" w:right="57"/>
              <w:rPr>
                <w:i/>
                <w:sz w:val="16"/>
                <w:szCs w:val="16"/>
              </w:rPr>
            </w:pPr>
            <w:r w:rsidRPr="002C5876">
              <w:rPr>
                <w:i/>
                <w:sz w:val="16"/>
                <w:szCs w:val="16"/>
              </w:rPr>
              <w:t xml:space="preserve">Distance parcourue sur le segment </w:t>
            </w:r>
            <w:r w:rsidRPr="002C5876">
              <w:rPr>
                <w:i/>
                <w:sz w:val="16"/>
                <w:szCs w:val="16"/>
              </w:rPr>
              <w:br/>
              <w:t>à vitesse constante CSS</w:t>
            </w:r>
            <w:r w:rsidRPr="002C5876">
              <w:rPr>
                <w:i/>
                <w:sz w:val="16"/>
                <w:szCs w:val="16"/>
                <w:vertAlign w:val="subscript"/>
              </w:rPr>
              <w:t>M</w:t>
            </w:r>
            <w:r w:rsidRPr="002C5876">
              <w:rPr>
                <w:i/>
                <w:sz w:val="16"/>
                <w:szCs w:val="16"/>
              </w:rPr>
              <w:t xml:space="preserve"> (km)</w:t>
            </w:r>
          </w:p>
        </w:tc>
        <w:tc>
          <w:tcPr>
            <w:tcW w:w="3542" w:type="dxa"/>
            <w:tcBorders>
              <w:bottom w:val="single" w:sz="12" w:space="0" w:color="auto"/>
            </w:tcBorders>
            <w:vAlign w:val="bottom"/>
            <w:hideMark/>
          </w:tcPr>
          <w:p w:rsidR="00E24DB7" w:rsidRPr="002C5876" w:rsidRDefault="00E24DB7" w:rsidP="00E24DB7">
            <w:pPr>
              <w:keepNext/>
              <w:spacing w:before="80" w:after="80" w:line="200" w:lineRule="exact"/>
              <w:ind w:left="57" w:right="57"/>
              <w:rPr>
                <w:i/>
                <w:sz w:val="16"/>
                <w:szCs w:val="16"/>
              </w:rPr>
            </w:pPr>
            <w:r w:rsidRPr="002C5876">
              <w:rPr>
                <w:i/>
                <w:sz w:val="16"/>
                <w:szCs w:val="16"/>
              </w:rPr>
              <w:t>Durée totale maximale des pauses (min)</w:t>
            </w:r>
          </w:p>
        </w:tc>
      </w:tr>
      <w:tr w:rsidR="00E24DB7" w:rsidRPr="002C5876" w:rsidTr="00E24DB7">
        <w:trPr>
          <w:jc w:val="center"/>
        </w:trPr>
        <w:tc>
          <w:tcPr>
            <w:tcW w:w="3823" w:type="dxa"/>
            <w:tcBorders>
              <w:top w:val="single" w:sz="12" w:space="0" w:color="auto"/>
            </w:tcBorders>
            <w:vAlign w:val="bottom"/>
            <w:hideMark/>
          </w:tcPr>
          <w:p w:rsidR="00E24DB7" w:rsidRPr="002C5876" w:rsidRDefault="00E24DB7" w:rsidP="00E24DB7">
            <w:pPr>
              <w:keepNext/>
              <w:spacing w:before="60" w:after="60" w:line="220" w:lineRule="atLeast"/>
              <w:ind w:left="57" w:right="57"/>
              <w:rPr>
                <w:sz w:val="18"/>
                <w:szCs w:val="18"/>
              </w:rPr>
            </w:pPr>
            <w:r w:rsidRPr="002C5876">
              <w:rPr>
                <w:sz w:val="18"/>
                <w:szCs w:val="18"/>
              </w:rPr>
              <w:t>Jusqu’à 100</w:t>
            </w:r>
          </w:p>
        </w:tc>
        <w:tc>
          <w:tcPr>
            <w:tcW w:w="3542" w:type="dxa"/>
            <w:tcBorders>
              <w:top w:val="single" w:sz="12" w:space="0" w:color="auto"/>
            </w:tcBorders>
            <w:vAlign w:val="bottom"/>
            <w:hideMark/>
          </w:tcPr>
          <w:p w:rsidR="00E24DB7" w:rsidRPr="002C5876" w:rsidRDefault="00E24DB7" w:rsidP="00E24DB7">
            <w:pPr>
              <w:keepNext/>
              <w:spacing w:before="60" w:after="60" w:line="220" w:lineRule="atLeast"/>
              <w:ind w:left="57" w:right="57"/>
              <w:rPr>
                <w:sz w:val="18"/>
                <w:szCs w:val="18"/>
              </w:rPr>
            </w:pPr>
            <w:r w:rsidRPr="002C5876">
              <w:rPr>
                <w:sz w:val="18"/>
                <w:szCs w:val="18"/>
              </w:rPr>
              <w:t>10</w:t>
            </w:r>
          </w:p>
        </w:tc>
      </w:tr>
      <w:tr w:rsidR="00E24DB7" w:rsidRPr="002C5876" w:rsidTr="00E24DB7">
        <w:trPr>
          <w:jc w:val="center"/>
        </w:trPr>
        <w:tc>
          <w:tcPr>
            <w:tcW w:w="3823" w:type="dxa"/>
            <w:vAlign w:val="bottom"/>
            <w:hideMark/>
          </w:tcPr>
          <w:p w:rsidR="00E24DB7" w:rsidRPr="002C5876" w:rsidRDefault="00E24DB7" w:rsidP="00E24DB7">
            <w:pPr>
              <w:keepNext/>
              <w:spacing w:before="60" w:after="60" w:line="220" w:lineRule="atLeast"/>
              <w:ind w:left="57" w:right="57"/>
              <w:rPr>
                <w:sz w:val="18"/>
                <w:szCs w:val="18"/>
              </w:rPr>
            </w:pPr>
            <w:r w:rsidRPr="002C5876">
              <w:rPr>
                <w:sz w:val="18"/>
                <w:szCs w:val="18"/>
              </w:rPr>
              <w:t>Jusqu’à 150</w:t>
            </w:r>
          </w:p>
        </w:tc>
        <w:tc>
          <w:tcPr>
            <w:tcW w:w="3542" w:type="dxa"/>
            <w:vAlign w:val="bottom"/>
            <w:hideMark/>
          </w:tcPr>
          <w:p w:rsidR="00E24DB7" w:rsidRPr="002C5876" w:rsidRDefault="00E24DB7" w:rsidP="00E24DB7">
            <w:pPr>
              <w:keepNext/>
              <w:spacing w:before="60" w:after="60" w:line="220" w:lineRule="atLeast"/>
              <w:ind w:left="57" w:right="57"/>
              <w:rPr>
                <w:sz w:val="18"/>
                <w:szCs w:val="18"/>
              </w:rPr>
            </w:pPr>
            <w:r w:rsidRPr="002C5876">
              <w:rPr>
                <w:sz w:val="18"/>
                <w:szCs w:val="18"/>
              </w:rPr>
              <w:t>20</w:t>
            </w:r>
          </w:p>
        </w:tc>
      </w:tr>
      <w:tr w:rsidR="00E24DB7" w:rsidRPr="002C5876" w:rsidTr="00E24DB7">
        <w:trPr>
          <w:jc w:val="center"/>
        </w:trPr>
        <w:tc>
          <w:tcPr>
            <w:tcW w:w="3823" w:type="dxa"/>
            <w:vAlign w:val="bottom"/>
            <w:hideMark/>
          </w:tcPr>
          <w:p w:rsidR="00E24DB7" w:rsidRPr="002C5876" w:rsidRDefault="00E24DB7" w:rsidP="00E24DB7">
            <w:pPr>
              <w:keepNext/>
              <w:spacing w:before="60" w:after="60" w:line="220" w:lineRule="atLeast"/>
              <w:ind w:left="57" w:right="57"/>
              <w:rPr>
                <w:sz w:val="18"/>
                <w:szCs w:val="18"/>
              </w:rPr>
            </w:pPr>
            <w:r w:rsidRPr="002C5876">
              <w:rPr>
                <w:sz w:val="18"/>
                <w:szCs w:val="18"/>
              </w:rPr>
              <w:t>Jusqu’à 200</w:t>
            </w:r>
          </w:p>
        </w:tc>
        <w:tc>
          <w:tcPr>
            <w:tcW w:w="3542" w:type="dxa"/>
            <w:vAlign w:val="bottom"/>
            <w:hideMark/>
          </w:tcPr>
          <w:p w:rsidR="00E24DB7" w:rsidRPr="002C5876" w:rsidRDefault="00E24DB7" w:rsidP="00E24DB7">
            <w:pPr>
              <w:keepNext/>
              <w:spacing w:before="60" w:after="60" w:line="220" w:lineRule="atLeast"/>
              <w:ind w:left="57" w:right="57"/>
              <w:rPr>
                <w:sz w:val="18"/>
                <w:szCs w:val="18"/>
              </w:rPr>
            </w:pPr>
            <w:r w:rsidRPr="002C5876">
              <w:rPr>
                <w:sz w:val="18"/>
                <w:szCs w:val="18"/>
              </w:rPr>
              <w:t>30</w:t>
            </w:r>
          </w:p>
        </w:tc>
      </w:tr>
      <w:tr w:rsidR="00E24DB7" w:rsidRPr="002C5876" w:rsidTr="00E24DB7">
        <w:trPr>
          <w:jc w:val="center"/>
        </w:trPr>
        <w:tc>
          <w:tcPr>
            <w:tcW w:w="3823" w:type="dxa"/>
            <w:tcBorders>
              <w:bottom w:val="single" w:sz="4" w:space="0" w:color="auto"/>
            </w:tcBorders>
            <w:vAlign w:val="bottom"/>
            <w:hideMark/>
          </w:tcPr>
          <w:p w:rsidR="00E24DB7" w:rsidRPr="002C5876" w:rsidRDefault="00E24DB7" w:rsidP="00E24DB7">
            <w:pPr>
              <w:keepNext/>
              <w:spacing w:before="60" w:after="60" w:line="220" w:lineRule="atLeast"/>
              <w:ind w:left="57" w:right="57"/>
              <w:rPr>
                <w:sz w:val="18"/>
                <w:szCs w:val="18"/>
              </w:rPr>
            </w:pPr>
            <w:r w:rsidRPr="002C5876">
              <w:rPr>
                <w:sz w:val="18"/>
                <w:szCs w:val="18"/>
              </w:rPr>
              <w:t>Jusqu’à 300</w:t>
            </w:r>
          </w:p>
        </w:tc>
        <w:tc>
          <w:tcPr>
            <w:tcW w:w="3542" w:type="dxa"/>
            <w:tcBorders>
              <w:bottom w:val="single" w:sz="4" w:space="0" w:color="auto"/>
            </w:tcBorders>
            <w:vAlign w:val="bottom"/>
            <w:hideMark/>
          </w:tcPr>
          <w:p w:rsidR="00E24DB7" w:rsidRPr="002C5876" w:rsidRDefault="00E24DB7" w:rsidP="00E24DB7">
            <w:pPr>
              <w:keepNext/>
              <w:spacing w:before="60" w:after="60" w:line="220" w:lineRule="atLeast"/>
              <w:ind w:left="57" w:right="57"/>
              <w:rPr>
                <w:sz w:val="18"/>
                <w:szCs w:val="18"/>
              </w:rPr>
            </w:pPr>
            <w:r w:rsidRPr="002C5876">
              <w:rPr>
                <w:sz w:val="18"/>
                <w:szCs w:val="18"/>
              </w:rPr>
              <w:t>60</w:t>
            </w:r>
          </w:p>
        </w:tc>
      </w:tr>
      <w:tr w:rsidR="00E24DB7" w:rsidRPr="002C5876" w:rsidTr="00E24DB7">
        <w:trPr>
          <w:jc w:val="center"/>
        </w:trPr>
        <w:tc>
          <w:tcPr>
            <w:tcW w:w="3823" w:type="dxa"/>
            <w:tcBorders>
              <w:bottom w:val="single" w:sz="12" w:space="0" w:color="auto"/>
            </w:tcBorders>
            <w:vAlign w:val="bottom"/>
            <w:hideMark/>
          </w:tcPr>
          <w:p w:rsidR="00E24DB7" w:rsidRPr="002C5876" w:rsidRDefault="00E24DB7" w:rsidP="00E24DB7">
            <w:pPr>
              <w:keepNext/>
              <w:spacing w:before="60" w:after="60" w:line="220" w:lineRule="atLeast"/>
              <w:ind w:left="57" w:right="57"/>
              <w:rPr>
                <w:sz w:val="18"/>
                <w:szCs w:val="18"/>
              </w:rPr>
            </w:pPr>
            <w:r w:rsidRPr="002C5876">
              <w:rPr>
                <w:sz w:val="18"/>
                <w:szCs w:val="18"/>
              </w:rPr>
              <w:t>Plus de 300</w:t>
            </w:r>
          </w:p>
        </w:tc>
        <w:tc>
          <w:tcPr>
            <w:tcW w:w="3542" w:type="dxa"/>
            <w:tcBorders>
              <w:bottom w:val="single" w:sz="12" w:space="0" w:color="auto"/>
            </w:tcBorders>
            <w:vAlign w:val="bottom"/>
            <w:hideMark/>
          </w:tcPr>
          <w:p w:rsidR="00E24DB7" w:rsidRPr="002C5876" w:rsidRDefault="00E24DB7" w:rsidP="00E24DB7">
            <w:pPr>
              <w:keepNext/>
              <w:spacing w:before="60" w:after="60" w:line="220" w:lineRule="atLeast"/>
              <w:ind w:left="57" w:right="57"/>
              <w:rPr>
                <w:sz w:val="18"/>
                <w:szCs w:val="18"/>
              </w:rPr>
            </w:pPr>
            <w:r w:rsidRPr="002C5876">
              <w:rPr>
                <w:sz w:val="18"/>
                <w:szCs w:val="18"/>
              </w:rPr>
              <w:t>Selon les recommandations du constructeur</w:t>
            </w:r>
          </w:p>
        </w:tc>
      </w:tr>
    </w:tbl>
    <w:p w:rsidR="00E24DB7" w:rsidRPr="002C5876" w:rsidRDefault="00E24DB7" w:rsidP="00E24DB7">
      <w:pPr>
        <w:spacing w:before="120" w:after="240"/>
        <w:ind w:left="1134" w:firstLine="170"/>
        <w:rPr>
          <w:sz w:val="18"/>
          <w:szCs w:val="18"/>
        </w:rPr>
      </w:pPr>
      <w:r w:rsidRPr="002C5876">
        <w:rPr>
          <w:i/>
          <w:sz w:val="18"/>
          <w:szCs w:val="18"/>
        </w:rPr>
        <w:t>Note</w:t>
      </w:r>
      <w:r w:rsidRPr="002C5876">
        <w:rPr>
          <w:sz w:val="18"/>
          <w:szCs w:val="18"/>
        </w:rPr>
        <w:t xml:space="preserve"> : Au cours d’une pause, la chaîne de traction doit être désactivée. </w:t>
      </w:r>
    </w:p>
    <w:p w:rsidR="00E24DB7" w:rsidRPr="002C5876" w:rsidRDefault="00E24DB7" w:rsidP="00E24DB7">
      <w:pPr>
        <w:pStyle w:val="SingleTxtG"/>
        <w:keepNext/>
        <w:spacing w:before="240"/>
        <w:jc w:val="left"/>
      </w:pPr>
      <w:r w:rsidRPr="002C5876">
        <w:t>3.4.4.2.2</w:t>
      </w:r>
      <w:r w:rsidRPr="002C5876">
        <w:tab/>
        <w:t>Mesure de l’intensité et de la tension électriques du SRSEE</w:t>
      </w:r>
    </w:p>
    <w:p w:rsidR="00E24DB7" w:rsidRPr="002C5876" w:rsidRDefault="00E24DB7" w:rsidP="00E24DB7">
      <w:pPr>
        <w:pStyle w:val="SingleTxtG"/>
        <w:ind w:left="2268"/>
      </w:pPr>
      <w:r w:rsidRPr="002C5876">
        <w:t>À partir du début de l’essai et jusqu’à ce que le critère de déconnexion soit atteint, l’intensité électrique de tous les SRSEE et la tension électrique de tous les SRSEE doivent être déterminés conformément à l’appendice 3 de la présente annexe.</w:t>
      </w:r>
    </w:p>
    <w:p w:rsidR="00E24DB7" w:rsidRPr="002C5876" w:rsidRDefault="00E24DB7" w:rsidP="00E24DB7">
      <w:pPr>
        <w:pStyle w:val="SingleTxtG"/>
        <w:keepNext/>
        <w:ind w:left="2268" w:hanging="1134"/>
        <w:jc w:val="left"/>
        <w:rPr>
          <w:szCs w:val="24"/>
        </w:rPr>
      </w:pPr>
      <w:r w:rsidRPr="002C5876">
        <w:rPr>
          <w:color w:val="000000"/>
          <w:szCs w:val="24"/>
        </w:rPr>
        <w:t>3.4.4.2.3</w:t>
      </w:r>
      <w:r w:rsidRPr="002C5876">
        <w:rPr>
          <w:color w:val="000000"/>
          <w:szCs w:val="24"/>
        </w:rPr>
        <w:tab/>
        <w:t>C</w:t>
      </w:r>
      <w:r w:rsidRPr="002C5876">
        <w:t>ritère de déconnexion automatique</w:t>
      </w:r>
    </w:p>
    <w:p w:rsidR="00E24DB7" w:rsidRPr="002C5876" w:rsidRDefault="00E24DB7" w:rsidP="00E24DB7">
      <w:pPr>
        <w:pStyle w:val="SingleTxtG"/>
        <w:ind w:left="2268"/>
      </w:pPr>
      <w:r w:rsidRPr="002C5876">
        <w:t xml:space="preserve">Le critère de déconnexion automatique est atteint lorsque le véhicule s’écarte pendant 4 s consécutives ou plus de la marge de tolérance prescrite pour le tracé de la vitesse </w:t>
      </w:r>
      <w:r w:rsidRPr="002C5876">
        <w:rPr>
          <w:szCs w:val="24"/>
        </w:rPr>
        <w:t xml:space="preserve">comme spécifié au paragraphe 2.6.8.3 de l’annexe 6 </w:t>
      </w:r>
      <w:r w:rsidRPr="002C5876">
        <w:t xml:space="preserve">sur le </w:t>
      </w:r>
      <w:r w:rsidRPr="002C5876">
        <w:rPr>
          <w:szCs w:val="24"/>
        </w:rPr>
        <w:t>second segment à vitesse constante CSS</w:t>
      </w:r>
      <w:r w:rsidRPr="002C5876">
        <w:rPr>
          <w:szCs w:val="24"/>
          <w:vertAlign w:val="subscript"/>
        </w:rPr>
        <w:t>E</w:t>
      </w:r>
      <w:r w:rsidRPr="002C5876">
        <w:t>. Dans ce cas, la commande d’accélérateur doit être désactivée et le véhicule doit être immobilisé par freinage dans les 60 s.</w:t>
      </w:r>
    </w:p>
    <w:p w:rsidR="00E24DB7" w:rsidRPr="002C5876" w:rsidRDefault="00E24DB7" w:rsidP="00E24DB7">
      <w:pPr>
        <w:pStyle w:val="SingleTxtG"/>
        <w:keepNext/>
        <w:ind w:left="2268" w:hanging="1134"/>
        <w:jc w:val="left"/>
      </w:pPr>
      <w:r w:rsidRPr="002C5876">
        <w:rPr>
          <w:szCs w:val="24"/>
        </w:rPr>
        <w:t>3.4.4.3</w:t>
      </w:r>
      <w:r w:rsidRPr="002C5876">
        <w:rPr>
          <w:szCs w:val="24"/>
        </w:rPr>
        <w:tab/>
      </w:r>
      <w:r w:rsidRPr="002C5876">
        <w:t>Recharge du SRSEE et mesure de la quantité d’énergie électrique rechargée</w:t>
      </w:r>
    </w:p>
    <w:p w:rsidR="00E24DB7" w:rsidRPr="002C5876" w:rsidRDefault="00E24DB7" w:rsidP="00E24DB7">
      <w:pPr>
        <w:pStyle w:val="SingleTxtG"/>
        <w:ind w:left="2268" w:hanging="1134"/>
      </w:pPr>
      <w:r w:rsidRPr="002C5876">
        <w:rPr>
          <w:szCs w:val="24"/>
        </w:rPr>
        <w:t>3.4.4.3.1</w:t>
      </w:r>
      <w:r w:rsidRPr="002C5876">
        <w:rPr>
          <w:szCs w:val="24"/>
        </w:rPr>
        <w:tab/>
      </w:r>
      <w:r w:rsidRPr="002C5876">
        <w:t xml:space="preserve">Après un arrêt effectué conformément au paragraphe 3.4.4.1.3 </w:t>
      </w:r>
      <w:r w:rsidRPr="002C5876">
        <w:rPr>
          <w:szCs w:val="24"/>
        </w:rPr>
        <w:t xml:space="preserve">de </w:t>
      </w:r>
      <w:r w:rsidRPr="002C5876">
        <w:t>la présente annexe pour la p</w:t>
      </w:r>
      <w:r w:rsidRPr="002C5876">
        <w:rPr>
          <w:color w:val="000000"/>
          <w:szCs w:val="24"/>
        </w:rPr>
        <w:t>rocédure d’e</w:t>
      </w:r>
      <w:r w:rsidRPr="002C5876">
        <w:t xml:space="preserve">ssai du type 1 </w:t>
      </w:r>
      <w:r w:rsidRPr="002C5876">
        <w:rPr>
          <w:szCs w:val="24"/>
          <w:lang w:eastAsia="ja-JP"/>
        </w:rPr>
        <w:t xml:space="preserve">avec cycles consécutifs </w:t>
      </w:r>
      <w:r w:rsidRPr="002C5876">
        <w:t xml:space="preserve">au paragraphe 3.4.4.2.3 </w:t>
      </w:r>
      <w:r w:rsidRPr="002C5876">
        <w:rPr>
          <w:szCs w:val="24"/>
        </w:rPr>
        <w:t xml:space="preserve">de </w:t>
      </w:r>
      <w:r w:rsidRPr="002C5876">
        <w:t>la présente annexe pour la p</w:t>
      </w:r>
      <w:r w:rsidRPr="002C5876">
        <w:rPr>
          <w:color w:val="000000"/>
          <w:szCs w:val="24"/>
        </w:rPr>
        <w:t>rocédure d’e</w:t>
      </w:r>
      <w:r w:rsidRPr="002C5876">
        <w:t>ssai du type 1 abrégée, le véhicule doit être connecté au réseau dans les 120 min qui suivent.</w:t>
      </w:r>
    </w:p>
    <w:p w:rsidR="00E24DB7" w:rsidRPr="002C5876" w:rsidRDefault="00E24DB7" w:rsidP="00E24DB7">
      <w:pPr>
        <w:pStyle w:val="SingleTxtG"/>
        <w:ind w:left="2268"/>
        <w:rPr>
          <w:szCs w:val="24"/>
        </w:rPr>
      </w:pPr>
      <w:r w:rsidRPr="002C5876">
        <w:rPr>
          <w:szCs w:val="24"/>
        </w:rPr>
        <w:t xml:space="preserve">Le SRSEE est complétement rechargé lorsque le critère de fin de charge, comme défini au paragraphe 2.2.3.2 de l’appendice 4 </w:t>
      </w:r>
      <w:r w:rsidRPr="002C5876">
        <w:t>de la présente annexe</w:t>
      </w:r>
      <w:r w:rsidRPr="002C5876">
        <w:rPr>
          <w:szCs w:val="24"/>
        </w:rPr>
        <w:t xml:space="preserve">, </w:t>
      </w:r>
      <w:r w:rsidRPr="002C5876">
        <w:rPr>
          <w:iCs/>
        </w:rPr>
        <w:t>est rempli</w:t>
      </w:r>
      <w:r w:rsidRPr="002C5876">
        <w:rPr>
          <w:szCs w:val="24"/>
        </w:rPr>
        <w:t>.</w:t>
      </w:r>
    </w:p>
    <w:p w:rsidR="00E24DB7" w:rsidRPr="002C5876" w:rsidRDefault="00E24DB7" w:rsidP="00E24DB7">
      <w:pPr>
        <w:pStyle w:val="SingleTxtG"/>
        <w:ind w:left="2268" w:hanging="1134"/>
        <w:rPr>
          <w:color w:val="000000"/>
          <w:szCs w:val="24"/>
        </w:rPr>
      </w:pPr>
      <w:r w:rsidRPr="002C5876">
        <w:rPr>
          <w:color w:val="000000"/>
          <w:szCs w:val="24"/>
        </w:rPr>
        <w:t>3.4.4.3.2</w:t>
      </w:r>
      <w:r w:rsidRPr="002C5876">
        <w:rPr>
          <w:color w:val="000000"/>
          <w:szCs w:val="24"/>
        </w:rPr>
        <w:tab/>
      </w:r>
      <w:r w:rsidRPr="002C5876">
        <w:t xml:space="preserve">L’appareil de mesure de l’énergie </w:t>
      </w:r>
      <w:r w:rsidRPr="002C5876">
        <w:rPr>
          <w:iCs/>
        </w:rPr>
        <w:t>électrique</w:t>
      </w:r>
      <w:r w:rsidRPr="002C5876">
        <w:t>, placé entre le chargeur du véhicule et le réseau</w:t>
      </w:r>
      <w:r w:rsidRPr="002C5876">
        <w:rPr>
          <w:iCs/>
        </w:rPr>
        <w:t>,</w:t>
      </w:r>
      <w:r w:rsidRPr="002C5876">
        <w:t xml:space="preserve"> doit mesurer l’énergie </w:t>
      </w:r>
      <w:r w:rsidRPr="002C5876">
        <w:rPr>
          <w:iCs/>
        </w:rPr>
        <w:t xml:space="preserve">électrique </w:t>
      </w:r>
      <w:r w:rsidRPr="002C5876">
        <w:t>de recharge E</w:t>
      </w:r>
      <w:r w:rsidRPr="002C5876">
        <w:rPr>
          <w:vertAlign w:val="subscript"/>
        </w:rPr>
        <w:t>AC</w:t>
      </w:r>
      <w:r w:rsidRPr="002C5876">
        <w:t xml:space="preserve">, fournie par le réseau, ainsi que la durée. La mesure de l’énergie peut être arrêtée </w:t>
      </w:r>
      <w:r w:rsidRPr="002C5876">
        <w:rPr>
          <w:szCs w:val="24"/>
        </w:rPr>
        <w:t xml:space="preserve">lorsque le critère de fin de charge, comme défini au paragraphe 2.2.3.2 de l’appendice 4 </w:t>
      </w:r>
      <w:r w:rsidRPr="002C5876">
        <w:t>de la présente annexe</w:t>
      </w:r>
      <w:r w:rsidRPr="002C5876">
        <w:rPr>
          <w:szCs w:val="24"/>
        </w:rPr>
        <w:t xml:space="preserve">, </w:t>
      </w:r>
      <w:r w:rsidRPr="002C5876">
        <w:rPr>
          <w:iCs/>
        </w:rPr>
        <w:t>est rempli</w:t>
      </w:r>
      <w:r w:rsidRPr="002C5876">
        <w:rPr>
          <w:szCs w:val="24"/>
        </w:rPr>
        <w:t>.</w:t>
      </w:r>
    </w:p>
    <w:p w:rsidR="00E24DB7" w:rsidRPr="002C5876" w:rsidRDefault="00E24DB7" w:rsidP="00E24DB7">
      <w:pPr>
        <w:pStyle w:val="SingleTxtG"/>
        <w:keepNext/>
        <w:ind w:left="2268" w:hanging="1134"/>
        <w:jc w:val="left"/>
        <w:rPr>
          <w:color w:val="000000"/>
          <w:szCs w:val="24"/>
        </w:rPr>
      </w:pPr>
      <w:r w:rsidRPr="002C5876">
        <w:rPr>
          <w:color w:val="000000"/>
          <w:szCs w:val="24"/>
        </w:rPr>
        <w:t>3.5</w:t>
      </w:r>
      <w:r w:rsidRPr="002C5876">
        <w:rPr>
          <w:color w:val="000000"/>
          <w:szCs w:val="24"/>
        </w:rPr>
        <w:tab/>
      </w:r>
      <w:r w:rsidRPr="002C5876">
        <w:rPr>
          <w:bCs/>
        </w:rPr>
        <w:t>VHPC-NRE</w:t>
      </w:r>
    </w:p>
    <w:p w:rsidR="00E24DB7" w:rsidRPr="002C5876" w:rsidRDefault="00E24DB7" w:rsidP="00E24DB7">
      <w:pPr>
        <w:pStyle w:val="SingleTxtG"/>
        <w:ind w:left="2268"/>
      </w:pPr>
      <w:r w:rsidRPr="002C5876">
        <w:rPr>
          <w:szCs w:val="24"/>
        </w:rPr>
        <w:t>La séquence d</w:t>
      </w:r>
      <w:r w:rsidRPr="002C5876">
        <w:t xml:space="preserve">’essai </w:t>
      </w:r>
      <w:r w:rsidRPr="002C5876">
        <w:rPr>
          <w:szCs w:val="24"/>
        </w:rPr>
        <w:t xml:space="preserve">décrite aux paragraphes 3.5.1 à 3.5.3 de </w:t>
      </w:r>
      <w:r w:rsidRPr="002C5876">
        <w:t>la présente annexe</w:t>
      </w:r>
      <w:r w:rsidRPr="002C5876">
        <w:rPr>
          <w:szCs w:val="24"/>
        </w:rPr>
        <w:t xml:space="preserve">, ainsi que le profil de niveau de charge correspondant du </w:t>
      </w:r>
      <w:r w:rsidRPr="002C5876">
        <w:t>SRSEE</w:t>
      </w:r>
      <w:r w:rsidRPr="002C5876">
        <w:rPr>
          <w:szCs w:val="24"/>
        </w:rPr>
        <w:t>, sont représentés dans la f</w:t>
      </w:r>
      <w:r w:rsidRPr="002C5876">
        <w:t xml:space="preserve">igure A8.App1/5 de l’appendice 1 </w:t>
      </w:r>
      <w:r w:rsidRPr="002C5876">
        <w:rPr>
          <w:szCs w:val="24"/>
        </w:rPr>
        <w:t xml:space="preserve">de </w:t>
      </w:r>
      <w:r w:rsidRPr="002C5876">
        <w:t>la présente annexe.</w:t>
      </w:r>
    </w:p>
    <w:p w:rsidR="00E24DB7" w:rsidRPr="002C5876" w:rsidRDefault="00E24DB7" w:rsidP="00E24DB7">
      <w:pPr>
        <w:pStyle w:val="SingleTxtG"/>
        <w:keepNext/>
        <w:ind w:left="2268" w:hanging="1134"/>
        <w:jc w:val="left"/>
      </w:pPr>
      <w:r w:rsidRPr="002C5876">
        <w:rPr>
          <w:color w:val="000000"/>
          <w:szCs w:val="24"/>
        </w:rPr>
        <w:t>3.5.1</w:t>
      </w:r>
      <w:r w:rsidRPr="002C5876">
        <w:rPr>
          <w:color w:val="000000"/>
          <w:szCs w:val="24"/>
        </w:rPr>
        <w:tab/>
      </w:r>
      <w:r w:rsidRPr="002C5876">
        <w:t>Préconditionnement et stabilisation thermique</w:t>
      </w:r>
    </w:p>
    <w:p w:rsidR="00E24DB7" w:rsidRPr="002C5876" w:rsidRDefault="00E24DB7" w:rsidP="00E24DB7">
      <w:pPr>
        <w:pStyle w:val="SingleTxtG"/>
        <w:ind w:left="2268"/>
        <w:rPr>
          <w:bCs/>
          <w:szCs w:val="24"/>
        </w:rPr>
      </w:pPr>
      <w:r w:rsidRPr="002C5876">
        <w:t xml:space="preserve">Les véhicules doivent subir un préconditionnement et une stabilisation thermique conformément </w:t>
      </w:r>
      <w:r w:rsidRPr="002C5876">
        <w:rPr>
          <w:bCs/>
          <w:szCs w:val="24"/>
        </w:rPr>
        <w:t xml:space="preserve">au paragraphe 3.3.1 </w:t>
      </w:r>
      <w:r w:rsidRPr="002C5876">
        <w:rPr>
          <w:szCs w:val="24"/>
        </w:rPr>
        <w:t xml:space="preserve">de </w:t>
      </w:r>
      <w:r w:rsidRPr="002C5876">
        <w:t>la présente annexe</w:t>
      </w:r>
      <w:r w:rsidRPr="002C5876">
        <w:rPr>
          <w:bCs/>
          <w:szCs w:val="24"/>
        </w:rPr>
        <w:t>.</w:t>
      </w:r>
    </w:p>
    <w:p w:rsidR="00E24DB7" w:rsidRPr="002C5876" w:rsidRDefault="00E24DB7" w:rsidP="00E24DB7">
      <w:pPr>
        <w:pStyle w:val="SingleTxtG"/>
        <w:keepNext/>
        <w:ind w:left="2268" w:hanging="1134"/>
        <w:jc w:val="left"/>
        <w:rPr>
          <w:szCs w:val="24"/>
        </w:rPr>
      </w:pPr>
      <w:r w:rsidRPr="002C5876">
        <w:rPr>
          <w:color w:val="000000"/>
          <w:szCs w:val="24"/>
        </w:rPr>
        <w:t>3.</w:t>
      </w:r>
      <w:r w:rsidRPr="002C5876">
        <w:rPr>
          <w:color w:val="000000"/>
          <w:szCs w:val="24"/>
          <w:lang w:eastAsia="ja-JP"/>
        </w:rPr>
        <w:t>5</w:t>
      </w:r>
      <w:r w:rsidRPr="002C5876">
        <w:rPr>
          <w:color w:val="000000"/>
          <w:szCs w:val="24"/>
        </w:rPr>
        <w:t>.2</w:t>
      </w:r>
      <w:r w:rsidRPr="002C5876">
        <w:rPr>
          <w:color w:val="000000"/>
          <w:szCs w:val="24"/>
        </w:rPr>
        <w:tab/>
        <w:t xml:space="preserve">Conditions </w:t>
      </w:r>
      <w:r w:rsidRPr="002C5876">
        <w:rPr>
          <w:szCs w:val="24"/>
        </w:rPr>
        <w:t>d</w:t>
      </w:r>
      <w:r w:rsidRPr="002C5876">
        <w:t>’essai</w:t>
      </w:r>
    </w:p>
    <w:p w:rsidR="00E24DB7" w:rsidRPr="002C5876" w:rsidRDefault="00E24DB7" w:rsidP="00E24DB7">
      <w:pPr>
        <w:pStyle w:val="SingleTxtG"/>
        <w:ind w:left="2268" w:hanging="1134"/>
        <w:rPr>
          <w:bCs/>
        </w:rPr>
      </w:pPr>
      <w:r w:rsidRPr="002C5876">
        <w:rPr>
          <w:bCs/>
        </w:rPr>
        <w:t>3.5.2.1</w:t>
      </w:r>
      <w:r w:rsidRPr="002C5876">
        <w:rPr>
          <w:bCs/>
        </w:rPr>
        <w:tab/>
      </w:r>
      <w:r w:rsidRPr="002C5876">
        <w:t xml:space="preserve">Les véhicules doivent être soumis à des essais en mode </w:t>
      </w:r>
      <w:r w:rsidRPr="002C5876">
        <w:rPr>
          <w:bCs/>
        </w:rPr>
        <w:t xml:space="preserve">maintien de la charge comme défini </w:t>
      </w:r>
      <w:r w:rsidRPr="002C5876">
        <w:t>au paragraphe 3.3.6 du présent RTM</w:t>
      </w:r>
      <w:r w:rsidR="00123066">
        <w:t> ONU</w:t>
      </w:r>
      <w:r w:rsidRPr="002C5876">
        <w:t xml:space="preserve">. </w:t>
      </w:r>
    </w:p>
    <w:p w:rsidR="00E24DB7" w:rsidRPr="002C5876" w:rsidRDefault="00E24DB7" w:rsidP="00E24DB7">
      <w:pPr>
        <w:pStyle w:val="SingleTxtG"/>
        <w:keepNext/>
        <w:ind w:left="2268" w:hanging="1134"/>
      </w:pPr>
      <w:r w:rsidRPr="002C5876">
        <w:rPr>
          <w:szCs w:val="24"/>
        </w:rPr>
        <w:lastRenderedPageBreak/>
        <w:t>3.5.2.2</w:t>
      </w:r>
      <w:r w:rsidRPr="002C5876">
        <w:rPr>
          <w:szCs w:val="24"/>
        </w:rPr>
        <w:tab/>
      </w:r>
      <w:r w:rsidRPr="002C5876">
        <w:t>Sélection du mode de fonctionnement (en cas de mode sélectionnable par le conducteur)</w:t>
      </w:r>
    </w:p>
    <w:p w:rsidR="00E24DB7" w:rsidRPr="002C5876" w:rsidRDefault="00E24DB7" w:rsidP="00E24DB7">
      <w:pPr>
        <w:pStyle w:val="SingleTxtG"/>
        <w:ind w:left="2268"/>
        <w:rPr>
          <w:color w:val="000000"/>
          <w:szCs w:val="24"/>
        </w:rPr>
      </w:pPr>
      <w:r w:rsidRPr="002C5876">
        <w:t xml:space="preserve">Pour les véhicules équipés d’un mode sélectionnable par le conducteur, le mode pour l’essai du type 1 en mode </w:t>
      </w:r>
      <w:r w:rsidRPr="002C5876">
        <w:rPr>
          <w:spacing w:val="-4"/>
        </w:rPr>
        <w:t xml:space="preserve">maintien de la charge </w:t>
      </w:r>
      <w:r w:rsidRPr="002C5876">
        <w:t xml:space="preserve">doit être sélectionné conformément </w:t>
      </w:r>
      <w:r w:rsidRPr="002C5876">
        <w:rPr>
          <w:szCs w:val="24"/>
        </w:rPr>
        <w:t>au paragraphe 3</w:t>
      </w:r>
      <w:r w:rsidRPr="002C5876">
        <w:t xml:space="preserve"> de l’appendice 6 de la présente annexe. </w:t>
      </w:r>
    </w:p>
    <w:p w:rsidR="00E24DB7" w:rsidRPr="002C5876" w:rsidRDefault="00E24DB7" w:rsidP="00E24DB7">
      <w:pPr>
        <w:pStyle w:val="SingleTxtG"/>
        <w:keepNext/>
        <w:ind w:left="2268" w:hanging="1134"/>
        <w:rPr>
          <w:szCs w:val="24"/>
        </w:rPr>
      </w:pPr>
      <w:r w:rsidRPr="002C5876">
        <w:t>3.5.3</w:t>
      </w:r>
      <w:r w:rsidRPr="002C5876">
        <w:tab/>
        <w:t>Procédure d’essai du type 1</w:t>
      </w:r>
    </w:p>
    <w:p w:rsidR="00E24DB7" w:rsidRPr="002C5876" w:rsidRDefault="00E24DB7" w:rsidP="00E24DB7">
      <w:pPr>
        <w:pStyle w:val="SingleTxtG"/>
        <w:ind w:left="2268" w:hanging="1134"/>
        <w:rPr>
          <w:color w:val="000000"/>
          <w:szCs w:val="24"/>
        </w:rPr>
      </w:pPr>
      <w:r w:rsidRPr="002C5876">
        <w:rPr>
          <w:color w:val="000000"/>
          <w:szCs w:val="24"/>
        </w:rPr>
        <w:t>3.5.3.1</w:t>
      </w:r>
      <w:r w:rsidRPr="002C5876">
        <w:rPr>
          <w:color w:val="000000"/>
          <w:szCs w:val="24"/>
        </w:rPr>
        <w:tab/>
      </w:r>
      <w:r w:rsidRPr="002C5876">
        <w:t xml:space="preserve">Les véhicules doivent être soumis aux essais conformément à la procédure d’essai du type 1 </w:t>
      </w:r>
      <w:r w:rsidRPr="002C5876">
        <w:rPr>
          <w:color w:val="000000"/>
          <w:szCs w:val="24"/>
        </w:rPr>
        <w:t xml:space="preserve">décrite à l’annexe 6 et leur </w:t>
      </w:r>
      <w:r w:rsidRPr="002C5876">
        <w:t xml:space="preserve">consommation de carburant doit être </w:t>
      </w:r>
      <w:r w:rsidRPr="002C5876">
        <w:rPr>
          <w:color w:val="000000"/>
          <w:szCs w:val="24"/>
        </w:rPr>
        <w:t xml:space="preserve">calculée </w:t>
      </w:r>
      <w:r w:rsidRPr="002C5876">
        <w:t>conformément à l’appendice 7 de la présente annexe.</w:t>
      </w:r>
    </w:p>
    <w:p w:rsidR="00E24DB7" w:rsidRPr="002C5876" w:rsidRDefault="00E24DB7" w:rsidP="00E24DB7">
      <w:pPr>
        <w:pStyle w:val="SingleTxtG"/>
        <w:ind w:left="2268" w:hanging="1134"/>
      </w:pPr>
      <w:r w:rsidRPr="002C5876">
        <w:t>3.5.3.2</w:t>
      </w:r>
      <w:r w:rsidRPr="002C5876">
        <w:tab/>
        <w:t xml:space="preserve">Si nécessaire, les résultats de consommation de carburant doivent être corrigés conformément </w:t>
      </w:r>
      <w:r w:rsidRPr="002C5876">
        <w:rPr>
          <w:szCs w:val="24"/>
        </w:rPr>
        <w:t xml:space="preserve">à </w:t>
      </w:r>
      <w:r w:rsidRPr="002C5876">
        <w:t>l’appendice 2 de la présente annexe.</w:t>
      </w:r>
    </w:p>
    <w:p w:rsidR="00E24DB7" w:rsidRPr="002C5876" w:rsidRDefault="00E24DB7" w:rsidP="00E24DB7">
      <w:pPr>
        <w:pStyle w:val="SingleTxtG"/>
        <w:keepNext/>
        <w:ind w:left="2268" w:hanging="1134"/>
        <w:rPr>
          <w:szCs w:val="24"/>
        </w:rPr>
      </w:pPr>
      <w:r w:rsidRPr="002C5876">
        <w:rPr>
          <w:szCs w:val="24"/>
        </w:rPr>
        <w:t>4.</w:t>
      </w:r>
      <w:r w:rsidRPr="002C5876">
        <w:rPr>
          <w:szCs w:val="24"/>
        </w:rPr>
        <w:tab/>
        <w:t xml:space="preserve">Calculs relatifs aux </w:t>
      </w:r>
      <w:r w:rsidRPr="002C5876">
        <w:t xml:space="preserve">véhicules </w:t>
      </w:r>
      <w:r w:rsidRPr="002C5876">
        <w:rPr>
          <w:szCs w:val="24"/>
        </w:rPr>
        <w:t xml:space="preserve">hybrides électriques, </w:t>
      </w:r>
      <w:r w:rsidRPr="002C5876">
        <w:t xml:space="preserve">véhicules </w:t>
      </w:r>
      <w:r w:rsidRPr="002C5876">
        <w:rPr>
          <w:szCs w:val="24"/>
        </w:rPr>
        <w:t xml:space="preserve">électriques purs et </w:t>
      </w:r>
      <w:r w:rsidRPr="002C5876">
        <w:t>véhicules hybrides à pile à combustible à hydrogène comprimé</w:t>
      </w:r>
    </w:p>
    <w:p w:rsidR="00E24DB7" w:rsidRPr="002C5876" w:rsidRDefault="00E24DB7" w:rsidP="00E24DB7">
      <w:pPr>
        <w:pStyle w:val="SingleTxtG"/>
        <w:keepNext/>
        <w:ind w:left="2268" w:hanging="1134"/>
        <w:rPr>
          <w:color w:val="000000"/>
          <w:szCs w:val="24"/>
        </w:rPr>
      </w:pPr>
      <w:r w:rsidRPr="002C5876">
        <w:rPr>
          <w:color w:val="000000"/>
          <w:szCs w:val="24"/>
        </w:rPr>
        <w:t>4.1</w:t>
      </w:r>
      <w:r w:rsidRPr="002C5876">
        <w:rPr>
          <w:color w:val="000000"/>
          <w:szCs w:val="24"/>
        </w:rPr>
        <w:tab/>
        <w:t>Calcul des émissions de composés gazeux, des émissions de matières particulaires et des émissions en nombre de particules</w:t>
      </w:r>
    </w:p>
    <w:p w:rsidR="00E24DB7" w:rsidRPr="002C5876" w:rsidRDefault="00E24DB7" w:rsidP="00E24DB7">
      <w:pPr>
        <w:pStyle w:val="SingleTxtG"/>
        <w:ind w:left="2268" w:hanging="1134"/>
      </w:pPr>
      <w:r w:rsidRPr="002C5876">
        <w:t>4.1.1</w:t>
      </w:r>
      <w:r w:rsidRPr="002C5876">
        <w:tab/>
        <w:t xml:space="preserve">Émissions massiques de composés gazeux, émissions de matières particulaires et émissions en nombre de particules en mode </w:t>
      </w:r>
      <w:r w:rsidRPr="002C5876">
        <w:rPr>
          <w:bCs/>
        </w:rPr>
        <w:t xml:space="preserve">maintien de la charge </w:t>
      </w:r>
      <w:r w:rsidRPr="002C5876">
        <w:t xml:space="preserve">pour les </w:t>
      </w:r>
      <w:r w:rsidRPr="002C5876">
        <w:rPr>
          <w:bCs/>
        </w:rPr>
        <w:t xml:space="preserve">VHE-RE </w:t>
      </w:r>
      <w:r w:rsidRPr="002C5876">
        <w:t xml:space="preserve">et </w:t>
      </w:r>
      <w:r w:rsidRPr="002C5876">
        <w:rPr>
          <w:bCs/>
        </w:rPr>
        <w:t xml:space="preserve">VHE-NRE </w:t>
      </w:r>
    </w:p>
    <w:p w:rsidR="00E24DB7" w:rsidRPr="002C5876" w:rsidRDefault="00E24DB7" w:rsidP="00E24DB7">
      <w:pPr>
        <w:pStyle w:val="SingleTxtG"/>
        <w:ind w:left="2268" w:hanging="1134"/>
      </w:pPr>
      <w:r w:rsidRPr="002C5876">
        <w:tab/>
        <w:t xml:space="preserve">Les émissions de matières particulaires </w:t>
      </w:r>
      <m:oMath>
        <m:sSub>
          <m:sSubPr>
            <m:ctrlPr>
              <w:rPr>
                <w:rFonts w:ascii="Cambria Math" w:hAnsi="Cambria Math"/>
              </w:rPr>
            </m:ctrlPr>
          </m:sSubPr>
          <m:e>
            <m:r>
              <m:rPr>
                <m:sty m:val="p"/>
              </m:rPr>
              <w:rPr>
                <w:rFonts w:ascii="Cambria Math" w:hAnsi="Cambria Math"/>
              </w:rPr>
              <m:t>PM</m:t>
            </m:r>
          </m:e>
          <m:sub>
            <m:r>
              <m:rPr>
                <m:sty m:val="p"/>
              </m:rPr>
              <w:rPr>
                <w:rFonts w:ascii="Cambria Math" w:hAnsi="Cambria Math"/>
              </w:rPr>
              <m:t>CS</m:t>
            </m:r>
          </m:sub>
        </m:sSub>
      </m:oMath>
      <w:r w:rsidRPr="002C5876">
        <w:t xml:space="preserve"> en mode </w:t>
      </w:r>
      <w:r w:rsidRPr="002C5876">
        <w:rPr>
          <w:bCs/>
        </w:rPr>
        <w:t xml:space="preserve">maintien de la charge </w:t>
      </w:r>
      <w:r w:rsidRPr="002C5876">
        <w:t>doivent être calculées conformément au paragraphe 3.3 de l’annexe 7.</w:t>
      </w:r>
    </w:p>
    <w:p w:rsidR="00E24DB7" w:rsidRPr="002C5876" w:rsidRDefault="00E24DB7" w:rsidP="00E24DB7">
      <w:pPr>
        <w:pStyle w:val="SingleTxtG"/>
        <w:ind w:left="2268" w:hanging="1134"/>
      </w:pPr>
      <w:r w:rsidRPr="002C5876">
        <w:tab/>
        <w:t xml:space="preserve">Les émissions en nombre de particules </w:t>
      </w:r>
      <m:oMath>
        <m:sSub>
          <m:sSubPr>
            <m:ctrlPr>
              <w:rPr>
                <w:rFonts w:ascii="Cambria Math" w:hAnsi="Cambria Math"/>
              </w:rPr>
            </m:ctrlPr>
          </m:sSubPr>
          <m:e>
            <m:r>
              <m:rPr>
                <m:sty m:val="p"/>
              </m:rPr>
              <w:rPr>
                <w:rFonts w:ascii="Cambria Math" w:hAnsi="Cambria Math"/>
              </w:rPr>
              <m:t>PN</m:t>
            </m:r>
          </m:e>
          <m:sub>
            <m:r>
              <m:rPr>
                <m:sty m:val="p"/>
              </m:rPr>
              <w:rPr>
                <w:rFonts w:ascii="Cambria Math" w:hAnsi="Cambria Math"/>
              </w:rPr>
              <m:t>CS</m:t>
            </m:r>
          </m:sub>
        </m:sSub>
      </m:oMath>
      <w:r w:rsidRPr="002C5876">
        <w:t xml:space="preserve"> en mode </w:t>
      </w:r>
      <w:r w:rsidRPr="002C5876">
        <w:rPr>
          <w:bCs/>
        </w:rPr>
        <w:t xml:space="preserve">maintien de la charge </w:t>
      </w:r>
      <w:r w:rsidRPr="002C5876">
        <w:t>doivent être calculées conformément au paragraphe 4 de l’annexe 7.</w:t>
      </w:r>
    </w:p>
    <w:p w:rsidR="00E24DB7" w:rsidRPr="002C5876" w:rsidRDefault="00E24DB7" w:rsidP="00E24DB7">
      <w:pPr>
        <w:pStyle w:val="SingleTxtG"/>
        <w:keepNext/>
        <w:ind w:left="2268" w:hanging="1134"/>
      </w:pPr>
      <w:r w:rsidRPr="002C5876">
        <w:rPr>
          <w:bCs/>
        </w:rPr>
        <w:t>4.1.1.1</w:t>
      </w:r>
      <w:r w:rsidRPr="002C5876">
        <w:rPr>
          <w:bCs/>
        </w:rPr>
        <w:tab/>
        <w:t>Procédure par étapes pour le c</w:t>
      </w:r>
      <w:r w:rsidRPr="002C5876">
        <w:t xml:space="preserve">alcul des résultats finals de l’essai du type 1 en mode </w:t>
      </w:r>
      <w:r w:rsidRPr="002C5876">
        <w:rPr>
          <w:bCs/>
        </w:rPr>
        <w:t xml:space="preserve">maintien de la charge </w:t>
      </w:r>
      <w:r w:rsidRPr="002C5876">
        <w:t xml:space="preserve">pour les </w:t>
      </w:r>
      <w:r w:rsidRPr="002C5876">
        <w:rPr>
          <w:bCs/>
        </w:rPr>
        <w:t xml:space="preserve">VHE-NRE </w:t>
      </w:r>
      <w:r w:rsidRPr="002C5876">
        <w:t xml:space="preserve">et </w:t>
      </w:r>
      <w:r w:rsidRPr="002C5876">
        <w:rPr>
          <w:bCs/>
        </w:rPr>
        <w:t>VHE-RE</w:t>
      </w:r>
    </w:p>
    <w:p w:rsidR="00E24DB7" w:rsidRPr="002C5876" w:rsidRDefault="00E24DB7" w:rsidP="00E24DB7">
      <w:pPr>
        <w:pStyle w:val="SingleTxtG"/>
        <w:ind w:left="2268" w:hanging="1134"/>
      </w:pPr>
      <w:r w:rsidRPr="002C5876">
        <w:tab/>
        <w:t>Les résultats doivent être calculés dans l’ordre indiqué au tableau A8/5. Tous les résultats applicables dans la colonne « Données de sortie » doivent être enregistrés. La colonne « Processus » indique les paragraphes à appliquer pour les calculs ou contient des calculs additionnels.</w:t>
      </w:r>
    </w:p>
    <w:p w:rsidR="00E24DB7" w:rsidRPr="002C5876" w:rsidRDefault="00E24DB7" w:rsidP="00E24DB7">
      <w:pPr>
        <w:pStyle w:val="SingleTxtG"/>
        <w:ind w:left="2268" w:hanging="1134"/>
      </w:pPr>
      <w:r w:rsidRPr="002C5876">
        <w:tab/>
        <w:t>Dans ce même tableau, la nomenclature suivante est utilisée dans les équations et les résultats :</w:t>
      </w:r>
    </w:p>
    <w:p w:rsidR="00E24DB7" w:rsidRPr="002C5876" w:rsidRDefault="00E24DB7" w:rsidP="00E24DB7">
      <w:pPr>
        <w:pStyle w:val="SingleTxtG"/>
        <w:ind w:left="3402" w:hanging="1134"/>
      </w:pPr>
      <m:oMath>
        <m:r>
          <m:rPr>
            <m:sty m:val="p"/>
          </m:rPr>
          <w:rPr>
            <w:rFonts w:ascii="Cambria Math" w:hAnsi="Cambria Math"/>
          </w:rPr>
          <m:t>c</m:t>
        </m:r>
      </m:oMath>
      <w:r w:rsidRPr="002C5876">
        <w:tab/>
        <w:t>cycle d’essai applicable complet ;</w:t>
      </w:r>
    </w:p>
    <w:p w:rsidR="00E24DB7" w:rsidRPr="002C5876" w:rsidRDefault="00E24DB7" w:rsidP="00E24DB7">
      <w:pPr>
        <w:pStyle w:val="SingleTxtG"/>
        <w:ind w:left="3402" w:hanging="1134"/>
      </w:pPr>
      <m:oMath>
        <m:r>
          <m:rPr>
            <m:sty m:val="p"/>
          </m:rPr>
          <w:rPr>
            <w:rFonts w:ascii="Cambria Math" w:hAnsi="Cambria Math"/>
          </w:rPr>
          <m:t>p</m:t>
        </m:r>
      </m:oMath>
      <w:r w:rsidRPr="002C5876">
        <w:tab/>
        <w:t>toute phase du cycle applicable ;</w:t>
      </w:r>
    </w:p>
    <w:p w:rsidR="00E24DB7" w:rsidRPr="002C5876" w:rsidRDefault="00E24DB7" w:rsidP="00E24DB7">
      <w:pPr>
        <w:pStyle w:val="SingleTxtG"/>
        <w:ind w:left="3402" w:hanging="1134"/>
      </w:pPr>
      <m:oMath>
        <m:r>
          <m:rPr>
            <m:sty m:val="p"/>
          </m:rPr>
          <w:rPr>
            <w:rFonts w:ascii="Cambria Math" w:hAnsi="Cambria Math"/>
          </w:rPr>
          <m:t>i</m:t>
        </m:r>
      </m:oMath>
      <w:r w:rsidRPr="002C5876">
        <w:tab/>
        <w:t>constituants d’émissions critères applicables (sauf CO</w:t>
      </w:r>
      <w:r w:rsidRPr="002C5876">
        <w:rPr>
          <w:vertAlign w:val="subscript"/>
        </w:rPr>
        <w:t>2</w:t>
      </w:r>
      <w:r w:rsidRPr="002C5876">
        <w:t>) ;</w:t>
      </w:r>
    </w:p>
    <w:p w:rsidR="00E24DB7" w:rsidRPr="002C5876" w:rsidRDefault="00E24DB7" w:rsidP="00E24DB7">
      <w:pPr>
        <w:pStyle w:val="SingleTxtG"/>
        <w:ind w:left="3402" w:hanging="1134"/>
      </w:pPr>
      <w:r w:rsidRPr="002C5876">
        <w:t>CS</w:t>
      </w:r>
      <w:r w:rsidRPr="002C5876">
        <w:tab/>
        <w:t xml:space="preserve">mode </w:t>
      </w:r>
      <w:r w:rsidRPr="002C5876">
        <w:rPr>
          <w:bCs/>
        </w:rPr>
        <w:t>maintien de la charge ;</w:t>
      </w:r>
    </w:p>
    <w:p w:rsidR="00E24DB7" w:rsidRPr="002C5876" w:rsidRDefault="00E24DB7" w:rsidP="00E24DB7">
      <w:pPr>
        <w:pStyle w:val="SingleTxtG"/>
        <w:ind w:left="3402" w:hanging="1134"/>
      </w:pPr>
      <w:r w:rsidRPr="002C5876">
        <w:t>CO</w:t>
      </w:r>
      <w:r w:rsidRPr="002C5876">
        <w:rPr>
          <w:vertAlign w:val="subscript"/>
        </w:rPr>
        <w:t>2</w:t>
      </w:r>
      <w:r w:rsidRPr="002C5876">
        <w:rPr>
          <w:vertAlign w:val="subscript"/>
        </w:rPr>
        <w:tab/>
      </w:r>
      <w:r w:rsidRPr="002C5876">
        <w:t>émissions massiques de CO</w:t>
      </w:r>
      <w:r w:rsidRPr="002C5876">
        <w:rPr>
          <w:vertAlign w:val="subscript"/>
        </w:rPr>
        <w:t>2</w:t>
      </w:r>
      <w:r w:rsidRPr="002C5876">
        <w:t>.</w:t>
      </w:r>
    </w:p>
    <w:p w:rsidR="00E24DB7" w:rsidRPr="002C5876" w:rsidRDefault="00E24DB7" w:rsidP="00E24DB7">
      <w:pPr>
        <w:pStyle w:val="H23G"/>
        <w:ind w:left="0" w:firstLine="0"/>
        <w:rPr>
          <w:lang w:eastAsia="ja-JP"/>
        </w:rPr>
      </w:pPr>
      <w:r w:rsidRPr="002C5876">
        <w:rPr>
          <w:lang w:eastAsia="de-DE"/>
        </w:rPr>
        <w:br w:type="page"/>
      </w:r>
      <w:r w:rsidRPr="002C5876">
        <w:rPr>
          <w:b w:val="0"/>
          <w:lang w:eastAsia="de-DE"/>
        </w:rPr>
        <w:lastRenderedPageBreak/>
        <w:t>Tableau A8/5</w:t>
      </w:r>
      <w:r w:rsidRPr="002C5876">
        <w:rPr>
          <w:b w:val="0"/>
          <w:lang w:eastAsia="de-DE"/>
        </w:rPr>
        <w:br/>
      </w:r>
      <w:r w:rsidRPr="002C5876">
        <w:rPr>
          <w:lang w:eastAsia="de-DE"/>
        </w:rPr>
        <w:t xml:space="preserve">Calcul des valeurs finales d’émissions gazeuses en </w:t>
      </w:r>
      <w:r w:rsidRPr="002C5876">
        <w:t xml:space="preserve">mode maintien de la charge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71"/>
        <w:gridCol w:w="1716"/>
        <w:gridCol w:w="3001"/>
        <w:gridCol w:w="1918"/>
        <w:gridCol w:w="1333"/>
      </w:tblGrid>
      <w:tr w:rsidR="00E24DB7" w:rsidRPr="002C5876" w:rsidTr="00E24DB7">
        <w:trPr>
          <w:tblHeader/>
        </w:trPr>
        <w:tc>
          <w:tcPr>
            <w:tcW w:w="1671" w:type="dxa"/>
            <w:tcBorders>
              <w:bottom w:val="single" w:sz="12" w:space="0" w:color="auto"/>
            </w:tcBorders>
            <w:shd w:val="clear" w:color="auto" w:fill="auto"/>
            <w:vAlign w:val="bottom"/>
          </w:tcPr>
          <w:p w:rsidR="00E24DB7" w:rsidRPr="002C5876" w:rsidRDefault="00E24DB7" w:rsidP="00E24DB7">
            <w:pPr>
              <w:spacing w:before="80" w:after="80" w:line="200" w:lineRule="exact"/>
              <w:ind w:left="57" w:right="57"/>
              <w:rPr>
                <w:bCs/>
                <w:i/>
                <w:sz w:val="16"/>
                <w:szCs w:val="16"/>
              </w:rPr>
            </w:pPr>
            <w:r w:rsidRPr="002C5876">
              <w:rPr>
                <w:bCs/>
                <w:i/>
                <w:sz w:val="16"/>
                <w:szCs w:val="16"/>
              </w:rPr>
              <w:t>Source</w:t>
            </w:r>
          </w:p>
        </w:tc>
        <w:tc>
          <w:tcPr>
            <w:tcW w:w="1716" w:type="dxa"/>
            <w:tcBorders>
              <w:bottom w:val="single" w:sz="12" w:space="0" w:color="auto"/>
            </w:tcBorders>
            <w:shd w:val="clear" w:color="auto" w:fill="auto"/>
            <w:vAlign w:val="bottom"/>
          </w:tcPr>
          <w:p w:rsidR="00E24DB7" w:rsidRPr="002C5876" w:rsidRDefault="00E24DB7" w:rsidP="00E24DB7">
            <w:pPr>
              <w:spacing w:before="80" w:after="80" w:line="200" w:lineRule="exact"/>
              <w:ind w:left="57" w:right="57"/>
              <w:rPr>
                <w:bCs/>
                <w:i/>
                <w:sz w:val="16"/>
                <w:szCs w:val="16"/>
              </w:rPr>
            </w:pPr>
            <w:r w:rsidRPr="002C5876">
              <w:rPr>
                <w:bCs/>
                <w:i/>
                <w:sz w:val="16"/>
                <w:szCs w:val="16"/>
              </w:rPr>
              <w:t>Données d’entrée</w:t>
            </w:r>
          </w:p>
        </w:tc>
        <w:tc>
          <w:tcPr>
            <w:tcW w:w="3001" w:type="dxa"/>
            <w:tcBorders>
              <w:bottom w:val="single" w:sz="12" w:space="0" w:color="auto"/>
            </w:tcBorders>
            <w:shd w:val="clear" w:color="auto" w:fill="auto"/>
            <w:vAlign w:val="bottom"/>
          </w:tcPr>
          <w:p w:rsidR="00E24DB7" w:rsidRPr="002C5876" w:rsidRDefault="00E24DB7" w:rsidP="00E24DB7">
            <w:pPr>
              <w:spacing w:before="80" w:after="80" w:line="200" w:lineRule="exact"/>
              <w:ind w:left="57" w:right="57"/>
              <w:rPr>
                <w:bCs/>
                <w:i/>
                <w:sz w:val="16"/>
                <w:szCs w:val="16"/>
              </w:rPr>
            </w:pPr>
            <w:r w:rsidRPr="002C5876">
              <w:rPr>
                <w:bCs/>
                <w:i/>
                <w:sz w:val="16"/>
                <w:szCs w:val="16"/>
              </w:rPr>
              <w:t>Processus</w:t>
            </w:r>
          </w:p>
        </w:tc>
        <w:tc>
          <w:tcPr>
            <w:tcW w:w="1918" w:type="dxa"/>
            <w:tcBorders>
              <w:bottom w:val="single" w:sz="12" w:space="0" w:color="auto"/>
            </w:tcBorders>
            <w:shd w:val="clear" w:color="auto" w:fill="auto"/>
            <w:vAlign w:val="bottom"/>
          </w:tcPr>
          <w:p w:rsidR="00E24DB7" w:rsidRPr="002C5876" w:rsidRDefault="00E24DB7" w:rsidP="00E24DB7">
            <w:pPr>
              <w:spacing w:before="80" w:after="80" w:line="200" w:lineRule="exact"/>
              <w:ind w:left="57" w:right="57"/>
              <w:rPr>
                <w:bCs/>
                <w:i/>
                <w:sz w:val="16"/>
                <w:szCs w:val="16"/>
              </w:rPr>
            </w:pPr>
            <w:r w:rsidRPr="002C5876">
              <w:rPr>
                <w:bCs/>
                <w:i/>
                <w:sz w:val="16"/>
                <w:szCs w:val="16"/>
              </w:rPr>
              <w:t>Données de sortie</w:t>
            </w:r>
          </w:p>
        </w:tc>
        <w:tc>
          <w:tcPr>
            <w:tcW w:w="1333" w:type="dxa"/>
            <w:tcBorders>
              <w:bottom w:val="single" w:sz="12" w:space="0" w:color="auto"/>
            </w:tcBorders>
            <w:shd w:val="clear" w:color="auto" w:fill="auto"/>
            <w:vAlign w:val="bottom"/>
          </w:tcPr>
          <w:p w:rsidR="00E24DB7" w:rsidRPr="002C5876" w:rsidRDefault="00E24DB7" w:rsidP="00E24DB7">
            <w:pPr>
              <w:spacing w:before="80" w:after="80" w:line="200" w:lineRule="exact"/>
              <w:ind w:left="57" w:right="57"/>
              <w:rPr>
                <w:bCs/>
                <w:i/>
                <w:sz w:val="16"/>
                <w:szCs w:val="16"/>
              </w:rPr>
            </w:pPr>
            <w:r w:rsidRPr="002C5876">
              <w:rPr>
                <w:bCs/>
                <w:i/>
                <w:sz w:val="16"/>
                <w:szCs w:val="16"/>
              </w:rPr>
              <w:t>Étape n</w:t>
            </w:r>
            <w:r w:rsidRPr="002C5876">
              <w:rPr>
                <w:bCs/>
                <w:i/>
                <w:sz w:val="16"/>
                <w:szCs w:val="16"/>
                <w:vertAlign w:val="superscript"/>
              </w:rPr>
              <w:t>o</w:t>
            </w:r>
            <w:r w:rsidRPr="002C5876">
              <w:rPr>
                <w:bCs/>
                <w:i/>
                <w:sz w:val="16"/>
                <w:szCs w:val="16"/>
              </w:rPr>
              <w:t> </w:t>
            </w:r>
          </w:p>
        </w:tc>
      </w:tr>
      <w:tr w:rsidR="00E24DB7" w:rsidRPr="002C5876" w:rsidTr="00E24DB7">
        <w:tc>
          <w:tcPr>
            <w:tcW w:w="1671" w:type="dxa"/>
            <w:tcBorders>
              <w:top w:val="single" w:sz="12" w:space="0" w:color="auto"/>
            </w:tcBorders>
            <w:shd w:val="clear" w:color="auto" w:fill="auto"/>
          </w:tcPr>
          <w:p w:rsidR="00E24DB7" w:rsidRPr="002C5876" w:rsidRDefault="00E24DB7" w:rsidP="00E24DB7">
            <w:pPr>
              <w:spacing w:before="60" w:after="60"/>
              <w:ind w:left="57" w:right="57"/>
              <w:rPr>
                <w:bCs/>
                <w:sz w:val="18"/>
                <w:szCs w:val="18"/>
              </w:rPr>
            </w:pPr>
            <w:r w:rsidRPr="002C5876">
              <w:rPr>
                <w:sz w:val="18"/>
                <w:szCs w:val="18"/>
              </w:rPr>
              <w:t>Annexe 6</w:t>
            </w:r>
          </w:p>
        </w:tc>
        <w:tc>
          <w:tcPr>
            <w:tcW w:w="1716" w:type="dxa"/>
            <w:tcBorders>
              <w:top w:val="single" w:sz="12" w:space="0" w:color="auto"/>
            </w:tcBorders>
            <w:shd w:val="clear" w:color="auto" w:fill="auto"/>
          </w:tcPr>
          <w:p w:rsidR="00E24DB7" w:rsidRPr="002C5876" w:rsidRDefault="00E24DB7" w:rsidP="00E24DB7">
            <w:pPr>
              <w:spacing w:before="60" w:after="60"/>
              <w:ind w:left="57" w:right="57"/>
              <w:rPr>
                <w:bCs/>
                <w:sz w:val="18"/>
                <w:szCs w:val="18"/>
              </w:rPr>
            </w:pPr>
            <w:r w:rsidRPr="002C5876">
              <w:rPr>
                <w:sz w:val="18"/>
                <w:szCs w:val="18"/>
              </w:rPr>
              <w:t>Résultats d’essais bruts</w:t>
            </w:r>
          </w:p>
        </w:tc>
        <w:tc>
          <w:tcPr>
            <w:tcW w:w="3001" w:type="dxa"/>
            <w:tcBorders>
              <w:top w:val="single" w:sz="12" w:space="0" w:color="auto"/>
            </w:tcBorders>
            <w:shd w:val="clear" w:color="auto" w:fill="auto"/>
          </w:tcPr>
          <w:p w:rsidR="00E24DB7" w:rsidRPr="002C5876" w:rsidRDefault="00E24DB7" w:rsidP="00E24DB7">
            <w:pPr>
              <w:suppressAutoHyphens w:val="0"/>
              <w:spacing w:before="60" w:after="60"/>
              <w:ind w:left="57" w:right="57"/>
              <w:rPr>
                <w:sz w:val="18"/>
                <w:szCs w:val="18"/>
              </w:rPr>
            </w:pPr>
            <w:r w:rsidRPr="002C5876">
              <w:rPr>
                <w:sz w:val="18"/>
                <w:szCs w:val="18"/>
              </w:rPr>
              <w:t xml:space="preserve">Émissions massiques en mode maintien de la charge </w:t>
            </w:r>
          </w:p>
          <w:p w:rsidR="00E24DB7" w:rsidRPr="002C5876" w:rsidRDefault="00E24DB7" w:rsidP="00E24DB7">
            <w:pPr>
              <w:spacing w:before="60" w:after="60"/>
              <w:ind w:left="57" w:right="57"/>
              <w:rPr>
                <w:bCs/>
                <w:sz w:val="18"/>
                <w:szCs w:val="18"/>
              </w:rPr>
            </w:pPr>
            <w:r w:rsidRPr="002C5876">
              <w:rPr>
                <w:sz w:val="18"/>
                <w:szCs w:val="18"/>
              </w:rPr>
              <w:t>Par. 3 à 3.2.2 de l’annexe 7</w:t>
            </w:r>
          </w:p>
        </w:tc>
        <w:tc>
          <w:tcPr>
            <w:tcW w:w="1918" w:type="dxa"/>
            <w:tcBorders>
              <w:top w:val="single" w:sz="12" w:space="0" w:color="auto"/>
            </w:tcBorders>
            <w:shd w:val="clear" w:color="auto" w:fill="auto"/>
          </w:tcPr>
          <w:p w:rsidR="00E24DB7" w:rsidRPr="00D53F39" w:rsidRDefault="00B93407" w:rsidP="00E24DB7">
            <w:pPr>
              <w:spacing w:before="60" w:after="60"/>
              <w:ind w:left="57" w:right="57"/>
              <w:rPr>
                <w:bCs/>
                <w:sz w:val="18"/>
                <w:szCs w:val="18"/>
                <w:lang w:val="es-ES"/>
              </w:rPr>
            </w:pPr>
            <w:r>
              <w:rPr>
                <w:position w:val="-5"/>
                <w:sz w:val="18"/>
                <w:szCs w:val="18"/>
              </w:rPr>
              <w:pict>
                <v:shape id="_x0000_i1027" type="#_x0000_t75" style="width:.75pt;height:1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activeWritingStyle w:lang=&quot;EN-GB&quot; w:vendorID=&quot;64&quot; w:dllVersion=&quot;131077&quot; w:nlCheck=&quot;on&quot; w:optionSet=&quot;1&quot;/&gt;&lt;w:activeWritingStyle w:lang=&quot;FR-CH&quot; w:vendorID=&quot;64&quot; w:dllVersion=&quot;131078&quot; w:nlCheck=&quot;on&quot; w:optionSet=&quot;1&quot;/&gt;&lt;w:stylePaneFormatFilter w:val=&quot;3001&quot;/&gt;&lt;w:defaultTabStop w:val=&quot;567&quot;/&gt;&lt;w:hyphenationZone w:val=&quot;357&quot;/&gt;&lt;w:doNotHyphenateCaps/&gt;&lt;w:evenAndOddHeaders/&gt;&lt;w:drawingGridHorizontalSpacing w:val=&quot;100&quot;/&gt;&lt;w:displayHorizontalDrawingGridEvery w:val=&quot;0&quot;/&gt;&lt;w:displayVertic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endnotePr&gt;&lt;w:numFmt w:val=&quot;decimal&quot;/&gt;&lt;/w:endnotePr&gt;&lt;w:compat&gt;&lt;w:dontAllowFieldEndSelect/&gt;&lt;w:useWord2002TableStyleRules/&gt;&lt;/w:compat&gt;&lt;wsp:rsids&gt;&lt;wsp:rsidRoot wsp:val=&quot;00FD0041&quot;/&gt;&lt;wsp:rsid wsp:val=&quot;00010850&quot;/&gt;&lt;wsp:rsid wsp:val=&quot;0001470D&quot;/&gt;&lt;wsp:rsid wsp:val=&quot;00015953&quot;/&gt;&lt;wsp:rsid wsp:val=&quot;00016165&quot;/&gt;&lt;wsp:rsid wsp:val=&quot;00016AC5&quot;/&gt;&lt;wsp:rsid wsp:val=&quot;00021126&quot;/&gt;&lt;wsp:rsid wsp:val=&quot;00021907&quot;/&gt;&lt;wsp:rsid wsp:val=&quot;000233A5&quot;/&gt;&lt;wsp:rsid wsp:val=&quot;0002445D&quot;/&gt;&lt;wsp:rsid wsp:val=&quot;00024C50&quot;/&gt;&lt;wsp:rsid wsp:val=&quot;00025E92&quot;/&gt;&lt;wsp:rsid wsp:val=&quot;000276A3&quot;/&gt;&lt;wsp:rsid wsp:val=&quot;00032060&quot;/&gt;&lt;wsp:rsid wsp:val=&quot;00033ED2&quot;/&gt;&lt;wsp:rsid wsp:val=&quot;00040539&quot;/&gt;&lt;wsp:rsid wsp:val=&quot;00040598&quot;/&gt;&lt;wsp:rsid wsp:val=&quot;00040E86&quot;/&gt;&lt;wsp:rsid wsp:val=&quot;00047F10&quot;/&gt;&lt;wsp:rsid wsp:val=&quot;00051F3D&quot;/&gt;&lt;wsp:rsid wsp:val=&quot;00052157&quot;/&gt;&lt;wsp:rsid wsp:val=&quot;0005346D&quot;/&gt;&lt;wsp:rsid wsp:val=&quot;00055FE4&quot;/&gt;&lt;wsp:rsid wsp:val=&quot;000568B7&quot;/&gt;&lt;wsp:rsid wsp:val=&quot;00060395&quot;/&gt;&lt;wsp:rsid wsp:val=&quot;00061A2F&quot;/&gt;&lt;wsp:rsid wsp:val=&quot;000641CE&quot;/&gt;&lt;wsp:rsid wsp:val=&quot;00067310&quot;/&gt;&lt;wsp:rsid wsp:val=&quot;000725B5&quot;/&gt;&lt;wsp:rsid wsp:val=&quot;00075D0C&quot;/&gt;&lt;wsp:rsid wsp:val=&quot;00076538&quot;/&gt;&lt;wsp:rsid wsp:val=&quot;00077E35&quot;/&gt;&lt;wsp:rsid wsp:val=&quot;0008669E&quot;/&gt;&lt;wsp:rsid wsp:val=&quot;000875BC&quot;/&gt;&lt;wsp:rsid wsp:val=&quot;00090132&quot;/&gt;&lt;wsp:rsid wsp:val=&quot;00090599&quot;/&gt;&lt;wsp:rsid wsp:val=&quot;00092266&quot;/&gt;&lt;wsp:rsid wsp:val=&quot;000A1501&quot;/&gt;&lt;wsp:rsid wsp:val=&quot;000A2494&quot;/&gt;&lt;wsp:rsid wsp:val=&quot;000A6B7E&quot;/&gt;&lt;wsp:rsid wsp:val=&quot;000B34DA&quot;/&gt;&lt;wsp:rsid wsp:val=&quot;000B782A&quot;/&gt;&lt;wsp:rsid wsp:val=&quot;000C350E&quot;/&gt;&lt;wsp:rsid wsp:val=&quot;000C6CDB&quot;/&gt;&lt;wsp:rsid wsp:val=&quot;000D5AEC&quot;/&gt;&lt;wsp:rsid wsp:val=&quot;000D5C25&quot;/&gt;&lt;wsp:rsid wsp:val=&quot;000E24CB&quot;/&gt;&lt;wsp:rsid wsp:val=&quot;000E4F06&quot;/&gt;&lt;wsp:rsid wsp:val=&quot;000E5601&quot;/&gt;&lt;wsp:rsid wsp:val=&quot;000F41F2&quot;/&gt;&lt;wsp:rsid wsp:val=&quot;000F782E&quot;/&gt;&lt;wsp:rsid wsp:val=&quot;0010373B&quot;/&gt;&lt;wsp:rsid wsp:val=&quot;0011415F&quot;/&gt;&lt;wsp:rsid wsp:val=&quot;001178A4&quot;/&gt;&lt;wsp:rsid wsp:val=&quot;00122E60&quot;/&gt;&lt;wsp:rsid wsp:val=&quot;00125446&quot;/&gt;&lt;wsp:rsid wsp:val=&quot;001358D9&quot;/&gt;&lt;wsp:rsid wsp:val=&quot;00136435&quot;/&gt;&lt;wsp:rsid wsp:val=&quot;00141E26&quot;/&gt;&lt;wsp:rsid wsp:val=&quot;00143EB9&quot;/&gt;&lt;wsp:rsid wsp:val=&quot;00152C5A&quot;/&gt;&lt;wsp:rsid wsp:val=&quot;0015389C&quot;/&gt;&lt;wsp:rsid wsp:val=&quot;00160540&quot;/&gt;&lt;wsp:rsid wsp:val=&quot;00160CDE&quot;/&gt;&lt;wsp:rsid wsp:val=&quot;001652F6&quot;/&gt;&lt;wsp:rsid wsp:val=&quot;00166C68&quot;/&gt;&lt;wsp:rsid wsp:val=&quot;00171720&quot;/&gt;&lt;wsp:rsid wsp:val=&quot;00174814&quot;/&gt;&lt;wsp:rsid wsp:val=&quot;001775B5&quot;/&gt;&lt;wsp:rsid wsp:val=&quot;00181A90&quot;/&gt;&lt;wsp:rsid wsp:val=&quot;00186C5D&quot;/&gt;&lt;wsp:rsid wsp:val=&quot;00190996&quot;/&gt;&lt;wsp:rsid wsp:val=&quot;00190D5D&quot;/&gt;&lt;wsp:rsid wsp:val=&quot;00192EEB&quot;/&gt;&lt;wsp:rsid wsp:val=&quot;00194484&quot;/&gt;&lt;wsp:rsid wsp:val=&quot;001A2040&quot;/&gt;&lt;wsp:rsid wsp:val=&quot;001A20FB&quot;/&gt;&lt;wsp:rsid wsp:val=&quot;001A376F&quot;/&gt;&lt;wsp:rsid wsp:val=&quot;001A7953&quot;/&gt;&lt;wsp:rsid wsp:val=&quot;001B09BB&quot;/&gt;&lt;wsp:rsid wsp:val=&quot;001B32D1&quot;/&gt;&lt;wsp:rsid wsp:val=&quot;001C3D8D&quot;/&gt;&lt;wsp:rsid wsp:val=&quot;001C6497&quot;/&gt;&lt;wsp:rsid wsp:val=&quot;001C7633&quot;/&gt;&lt;wsp:rsid wsp:val=&quot;001D7F8A&quot;/&gt;&lt;wsp:rsid wsp:val=&quot;001E0447&quot;/&gt;&lt;wsp:rsid wsp:val=&quot;001E1495&quot;/&gt;&lt;wsp:rsid wsp:val=&quot;001E1E03&quot;/&gt;&lt;wsp:rsid wsp:val=&quot;001E34CB&quot;/&gt;&lt;wsp:rsid wsp:val=&quot;001E3FEB&quot;/&gt;&lt;wsp:rsid wsp:val=&quot;001E4541&quot;/&gt;&lt;wsp:rsid wsp:val=&quot;001E4A02&quot;/&gt;&lt;wsp:rsid wsp:val=&quot;001E4E3F&quot;/&gt;&lt;wsp:rsid wsp:val=&quot;001E653B&quot;/&gt;&lt;wsp:rsid wsp:val=&quot;001E6DF0&quot;/&gt;&lt;wsp:rsid wsp:val=&quot;001F3E68&quot;/&gt;&lt;wsp:rsid wsp:val=&quot;001F4931&quot;/&gt;&lt;wsp:rsid wsp:val=&quot;001F538A&quot;/&gt;&lt;wsp:rsid wsp:val=&quot;002000CD&quot;/&gt;&lt;wsp:rsid wsp:val=&quot;00200CBA&quot;/&gt;&lt;wsp:rsid wsp:val=&quot;00204B66&quot;/&gt;&lt;wsp:rsid wsp:val=&quot;002059CE&quot;/&gt;&lt;wsp:rsid wsp:val=&quot;00206AD4&quot;/&gt;&lt;wsp:rsid wsp:val=&quot;002070D7&quot;/&gt;&lt;wsp:rsid wsp:val=&quot;00223547&quot;/&gt;&lt;wsp:rsid wsp:val=&quot;00224B8B&quot;/&gt;&lt;wsp:rsid wsp:val=&quot;00225A8C&quot;/&gt;&lt;wsp:rsid wsp:val=&quot;00226E26&quot;/&gt;&lt;wsp:rsid wsp:val=&quot;00230ED3&quot;/&gt;&lt;wsp:rsid wsp:val=&quot;00231A7F&quot;/&gt;&lt;wsp:rsid wsp:val=&quot;002423A6&quot;/&gt;&lt;wsp:rsid wsp:val=&quot;00242BBD&quot;/&gt;&lt;wsp:rsid wsp:val=&quot;00244817&quot;/&gt;&lt;wsp:rsid wsp:val=&quot;0024586F&quot;/&gt;&lt;wsp:rsid wsp:val=&quot;00246BC8&quot;/&gt;&lt;wsp:rsid wsp:val=&quot;00251F95&quot;/&gt;&lt;wsp:rsid wsp:val=&quot;00252317&quot;/&gt;&lt;wsp:rsid wsp:val=&quot;002659F1&quot;/&gt;&lt;wsp:rsid wsp:val=&quot;00267CF8&quot;/&gt;&lt;wsp:rsid wsp:val=&quot;00271E41&quot;/&gt;&lt;wsp:rsid wsp:val=&quot;0027347B&quot;/&gt;&lt;wsp:rsid wsp:val=&quot;002761A9&quot;/&gt;&lt;wsp:rsid wsp:val=&quot;00284C19&quot;/&gt;&lt;wsp:rsid wsp:val=&quot;00286E23&quot;/&gt;&lt;wsp:rsid wsp:val=&quot;002876A1&quot;/&gt;&lt;wsp:rsid wsp:val=&quot;00287CA6&quot;/&gt;&lt;wsp:rsid wsp:val=&quot;00287E79&quot;/&gt;&lt;wsp:rsid wsp:val=&quot;00291F11&quot;/&gt;&lt;wsp:rsid wsp:val=&quot;002928F9&quot;/&gt;&lt;wsp:rsid wsp:val=&quot;00294D5B&quot;/&gt;&lt;wsp:rsid wsp:val=&quot;0029791D&quot;/&gt;&lt;wsp:rsid wsp:val=&quot;002A2A2C&quot;/&gt;&lt;wsp:rsid wsp:val=&quot;002A5D07&quot;/&gt;&lt;wsp:rsid wsp:val=&quot;002B1B50&quot;/&gt;&lt;wsp:rsid wsp:val=&quot;002B32E3&quot;/&gt;&lt;wsp:rsid wsp:val=&quot;002C5B01&quot;/&gt;&lt;wsp:rsid wsp:val=&quot;002D25CA&quot;/&gt;&lt;wsp:rsid wsp:val=&quot;002D3DA4&quot;/&gt;&lt;wsp:rsid wsp:val=&quot;002E0BC7&quot;/&gt;&lt;wsp:rsid wsp:val=&quot;002E2F5C&quot;/&gt;&lt;wsp:rsid wsp:val=&quot;002E4648&quot;/&gt;&lt;wsp:rsid wsp:val=&quot;002F0B5D&quot;/&gt;&lt;wsp:rsid wsp:val=&quot;002F0C48&quot;/&gt;&lt;wsp:rsid wsp:val=&quot;003016B7&quot;/&gt;&lt;wsp:rsid wsp:val=&quot;00306D54&quot;/&gt;&lt;wsp:rsid wsp:val=&quot;0030754C&quot;/&gt;&lt;wsp:rsid wsp:val=&quot;00307EDE&quot;/&gt;&lt;wsp:rsid wsp:val=&quot;00317E54&quot;/&gt;&lt;wsp:rsid wsp:val=&quot;00322DF1&quot;/&gt;&lt;wsp:rsid wsp:val=&quot;00324EBF&quot;/&gt;&lt;wsp:rsid wsp:val=&quot;0032556C&quot;/&gt;&lt;wsp:rsid wsp:val=&quot;00330508&quot;/&gt;&lt;wsp:rsid wsp:val=&quot;0033286A&quot;/&gt;&lt;wsp:rsid wsp:val=&quot;00333130&quot;/&gt;&lt;wsp:rsid wsp:val=&quot;0033437C&quot;/&gt;&lt;wsp:rsid wsp:val=&quot;003359AA&quot;/&gt;&lt;wsp:rsid wsp:val=&quot;00346E32&quot;/&gt;&lt;wsp:rsid wsp:val=&quot;003515AA&quot;/&gt;&lt;wsp:rsid wsp:val=&quot;003559BE&quot;/&gt;&lt;wsp:rsid wsp:val=&quot;00364F13&quot;/&gt;&lt;wsp:rsid wsp:val=&quot;0036776C&quot;/&gt;&lt;wsp:rsid wsp:val=&quot;00372A7A&quot;/&gt;&lt;wsp:rsid wsp:val=&quot;00372D1D&quot;/&gt;&lt;wsp:rsid wsp:val=&quot;00374106&quot;/&gt;&lt;wsp:rsid wsp:val=&quot;0037679A&quot;/&gt;&lt;wsp:rsid wsp:val=&quot;0038047C&quot;/&gt;&lt;wsp:rsid wsp:val=&quot;0038074E&quot;/&gt;&lt;wsp:rsid wsp:val=&quot;00382062&quot;/&gt;&lt;wsp:rsid wsp:val=&quot;00387BE2&quot;/&gt;&lt;wsp:rsid wsp:val=&quot;00390EEF&quot;/&gt;&lt;wsp:rsid wsp:val=&quot;00394410&quot;/&gt;&lt;wsp:rsid wsp:val=&quot;003976D5&quot;/&gt;&lt;wsp:rsid wsp:val=&quot;003A1CCA&quot;/&gt;&lt;wsp:rsid wsp:val=&quot;003B2253&quot;/&gt;&lt;wsp:rsid wsp:val=&quot;003B53B6&quot;/&gt;&lt;wsp:rsid wsp:val=&quot;003C297A&quot;/&gt;&lt;wsp:rsid wsp:val=&quot;003D222A&quot;/&gt;&lt;wsp:rsid wsp:val=&quot;003D6C68&quot;/&gt;&lt;wsp:rsid wsp:val=&quot;003E01D0&quot;/&gt;&lt;wsp:rsid wsp:val=&quot;003E49B9&quot;/&gt;&lt;wsp:rsid wsp:val=&quot;003E5E5B&quot;/&gt;&lt;wsp:rsid wsp:val=&quot;003E5F12&quot;/&gt;&lt;wsp:rsid wsp:val=&quot;003E786C&quot;/&gt;&lt;wsp:rsid wsp:val=&quot;003F2A89&quot;/&gt;&lt;wsp:rsid wsp:val=&quot;003F4A54&quot;/&gt;&lt;wsp:rsid wsp:val=&quot;003F5593&quot;/&gt;&lt;wsp:rsid wsp:val=&quot;0040144C&quot;/&gt;&lt;wsp:rsid wsp:val=&quot;004067AE&quot;/&gt;&lt;wsp:rsid wsp:val=&quot;00410521&quot;/&gt;&lt;wsp:rsid wsp:val=&quot;00413BB0&quot;/&gt;&lt;wsp:rsid wsp:val=&quot;004159D0&quot;/&gt;&lt;wsp:rsid wsp:val=&quot;00417326&quot;/&gt;&lt;wsp:rsid wsp:val=&quot;00421A10&quot;/&gt;&lt;wsp:rsid wsp:val=&quot;00422499&quot;/&gt;&lt;wsp:rsid wsp:val=&quot;00427256&quot;/&gt;&lt;wsp:rsid wsp:val=&quot;00430EFC&quot;/&gt;&lt;wsp:rsid wsp:val=&quot;004334A9&quot;/&gt;&lt;wsp:rsid wsp:val=&quot;004342E2&quot;/&gt;&lt;wsp:rsid wsp:val=&quot;00434354&quot;/&gt;&lt;wsp:rsid wsp:val=&quot;00434FCA&quot;/&gt;&lt;wsp:rsid wsp:val=&quot;00440BC8&quot;/&gt;&lt;wsp:rsid wsp:val=&quot;004479E7&quot;/&gt;&lt;wsp:rsid wsp:val=&quot;00454F8D&quot;/&gt;&lt;wsp:rsid wsp:val=&quot;004567EB&quot;/&gt;&lt;wsp:rsid wsp:val=&quot;00460E72&quot;/&gt;&lt;wsp:rsid wsp:val=&quot;00464191&quot;/&gt;&lt;wsp:rsid wsp:val=&quot;00467412&quot;/&gt;&lt;wsp:rsid wsp:val=&quot;00472049&quot;/&gt;&lt;wsp:rsid wsp:val=&quot;00476265&quot;/&gt;&lt;wsp:rsid wsp:val=&quot;00490F56&quot;/&gt;&lt;wsp:rsid wsp:val=&quot;00491F39&quot;/&gt;&lt;wsp:rsid wsp:val=&quot;004A49A5&quot;/&gt;&lt;wsp:rsid wsp:val=&quot;004A66A2&quot;/&gt;&lt;wsp:rsid wsp:val=&quot;004B07A3&quot;/&gt;&lt;wsp:rsid wsp:val=&quot;004B261D&quot;/&gt;&lt;wsp:rsid wsp:val=&quot;004B51CD&quot;/&gt;&lt;wsp:rsid wsp:val=&quot;004B576C&quot;/&gt;&lt;wsp:rsid wsp:val=&quot;004C54C0&quot;/&gt;&lt;wsp:rsid wsp:val=&quot;004C56B2&quot;/&gt;&lt;wsp:rsid wsp:val=&quot;004C7D3D&quot;/&gt;&lt;wsp:rsid wsp:val=&quot;004D00B2&quot;/&gt;&lt;wsp:rsid wsp:val=&quot;004D4868&quot;/&gt;&lt;wsp:rsid wsp:val=&quot;004D57CF&quot;/&gt;&lt;wsp:rsid wsp:val=&quot;004D6120&quot;/&gt;&lt;wsp:rsid wsp:val=&quot;004D6726&quot;/&gt;&lt;wsp:rsid wsp:val=&quot;004E4963&quot;/&gt;&lt;wsp:rsid wsp:val=&quot;004E6809&quot;/&gt;&lt;wsp:rsid wsp:val=&quot;004E7F24&quot;/&gt;&lt;wsp:rsid wsp:val=&quot;004F57E4&quot;/&gt;&lt;wsp:rsid wsp:val=&quot;004F64EE&quot;/&gt;&lt;wsp:rsid wsp:val=&quot;00501742&quot;/&gt;&lt;wsp:rsid wsp:val=&quot;005111B1&quot;/&gt;&lt;wsp:rsid wsp:val=&quot;0051457E&quot;/&gt;&lt;wsp:rsid wsp:val=&quot;005158C5&quot;/&gt;&lt;wsp:rsid wsp:val=&quot;0051714B&quot;/&gt;&lt;wsp:rsid wsp:val=&quot;00520B81&quot;/&gt;&lt;wsp:rsid wsp:val=&quot;00520F80&quot;/&gt;&lt;wsp:rsid wsp:val=&quot;005239FF&quot;/&gt;&lt;wsp:rsid wsp:val=&quot;00523DB8&quot;/&gt;&lt;wsp:rsid wsp:val=&quot;005264CC&quot;/&gt;&lt;wsp:rsid wsp:val=&quot;005326A3&quot;/&gt;&lt;wsp:rsid wsp:val=&quot;00533150&quot;/&gt;&lt;wsp:rsid wsp:val=&quot;005342E3&quot;/&gt;&lt;wsp:rsid wsp:val=&quot;00543B57&quot;/&gt;&lt;wsp:rsid wsp:val=&quot;00543C47&quot;/&gt;&lt;wsp:rsid wsp:val=&quot;00543D5E&quot;/&gt;&lt;wsp:rsid wsp:val=&quot;005454BB&quot;/&gt;&lt;wsp:rsid wsp:val=&quot;00552260&quot;/&gt;&lt;wsp:rsid wsp:val=&quot;00552777&quot;/&gt;&lt;wsp:rsid wsp:val=&quot;00555494&quot;/&gt;&lt;wsp:rsid wsp:val=&quot;00555CBA&quot;/&gt;&lt;wsp:rsid wsp:val=&quot;00556C1A&quot;/&gt;&lt;wsp:rsid wsp:val=&quot;00561679&quot;/&gt;&lt;wsp:rsid wsp:val=&quot;00565B29&quot;/&gt;&lt;wsp:rsid wsp:val=&quot;00571BC1&quot;/&gt;&lt;wsp:rsid wsp:val=&quot;00571F41&quot;/&gt;&lt;wsp:rsid wsp:val=&quot;00575476&quot;/&gt;&lt;wsp:rsid wsp:val=&quot;0057646B&quot;/&gt;&lt;wsp:rsid wsp:val=&quot;00583A20&quot;/&gt;&lt;wsp:rsid wsp:val=&quot;00584373&quot;/&gt;&lt;wsp:rsid wsp:val=&quot;0059061F&quot;/&gt;&lt;wsp:rsid wsp:val=&quot;00591DB3&quot;/&gt;&lt;wsp:rsid wsp:val=&quot;005939ED&quot;/&gt;&lt;wsp:rsid wsp:val=&quot;005947BC&quot;/&gt;&lt;wsp:rsid wsp:val=&quot;00595E27&quot;/&gt;&lt;wsp:rsid wsp:val=&quot;00595E8A&quot;/&gt;&lt;wsp:rsid wsp:val=&quot;005A0268&quot;/&gt;&lt;wsp:rsid wsp:val=&quot;005A0B69&quot;/&gt;&lt;wsp:rsid wsp:val=&quot;005A3F11&quot;/&gt;&lt;wsp:rsid wsp:val=&quot;005A5473&quot;/&gt;&lt;wsp:rsid wsp:val=&quot;005A6014&quot;/&gt;&lt;wsp:rsid wsp:val=&quot;005B4213&quot;/&gt;&lt;wsp:rsid wsp:val=&quot;005B473C&quot;/&gt;&lt;wsp:rsid wsp:val=&quot;005B4DCA&quot;/&gt;&lt;wsp:rsid wsp:val=&quot;005C549A&quot;/&gt;&lt;wsp:rsid wsp:val=&quot;005D0011&quot;/&gt;&lt;wsp:rsid wsp:val=&quot;005D0035&quot;/&gt;&lt;wsp:rsid wsp:val=&quot;005D6073&quot;/&gt;&lt;wsp:rsid wsp:val=&quot;005D62CE&quot;/&gt;&lt;wsp:rsid wsp:val=&quot;005D7719&quot;/&gt;&lt;wsp:rsid wsp:val=&quot;005E1B9B&quot;/&gt;&lt;wsp:rsid wsp:val=&quot;005E32D1&quot;/&gt;&lt;wsp:rsid wsp:val=&quot;005E5D1F&quot;/&gt;&lt;wsp:rsid wsp:val=&quot;005F0207&quot;/&gt;&lt;wsp:rsid wsp:val=&quot;006047C5&quot;/&gt;&lt;wsp:rsid wsp:val=&quot;0061113B&quot;/&gt;&lt;wsp:rsid wsp:val=&quot;00611D43&quot;/&gt;&lt;wsp:rsid wsp:val=&quot;00611F1E&quot;/&gt;&lt;wsp:rsid wsp:val=&quot;00612D48&quot;/&gt;&lt;wsp:rsid wsp:val=&quot;00613A5E&quot;/&gt;&lt;wsp:rsid wsp:val=&quot;00616B45&quot;/&gt;&lt;wsp:rsid wsp:val=&quot;0062215C&quot;/&gt;&lt;wsp:rsid wsp:val=&quot;006241C6&quot;/&gt;&lt;wsp:rsid wsp:val=&quot;00630D9B&quot;/&gt;&lt;wsp:rsid wsp:val=&quot;00631953&quot;/&gt;&lt;wsp:rsid wsp:val=&quot;0063208D&quot;/&gt;&lt;wsp:rsid wsp:val=&quot;00634EDA&quot;/&gt;&lt;wsp:rsid wsp:val=&quot;00643814&quot;/&gt;&lt;wsp:rsid wsp:val=&quot;006439EC&quot;/&gt;&lt;wsp:rsid wsp:val=&quot;00645090&quot;/&gt;&lt;wsp:rsid wsp:val=&quot;00647059&quot;/&gt;&lt;wsp:rsid wsp:val=&quot;00647162&quot;/&gt;&lt;wsp:rsid wsp:val=&quot;0065029A&quot;/&gt;&lt;wsp:rsid wsp:val=&quot;006553F9&quot;/&gt;&lt;wsp:rsid wsp:val=&quot;00661E96&quot;/&gt;&lt;wsp:rsid wsp:val=&quot;00662E5D&quot;/&gt;&lt;wsp:rsid wsp:val=&quot;00665786&quot;/&gt;&lt;wsp:rsid wsp:val=&quot;00671C93&quot;/&gt;&lt;wsp:rsid wsp:val=&quot;00671F00&quot;/&gt;&lt;wsp:rsid wsp:val=&quot;006729C8&quot;/&gt;&lt;wsp:rsid wsp:val=&quot;00672BD2&quot;/&gt;&lt;wsp:rsid wsp:val=&quot;006732E0&quot;/&gt;&lt;wsp:rsid wsp:val=&quot;00674B14&quot;/&gt;&lt;wsp:rsid wsp:val=&quot;00675501&quot;/&gt;&lt;wsp:rsid wsp:val=&quot;006759A5&quot;/&gt;&lt;wsp:rsid wsp:val=&quot;0068562A&quot;/&gt;&lt;wsp:rsid wsp:val=&quot;00691B37&quot;/&gt;&lt;wsp:rsid wsp:val=&quot;0069549E&quot;/&gt;&lt;wsp:rsid wsp:val=&quot;006A24AD&quot;/&gt;&lt;wsp:rsid wsp:val=&quot;006A6B31&quot;/&gt;&lt;wsp:rsid wsp:val=&quot;006A6C95&quot;/&gt;&lt;wsp:rsid wsp:val=&quot;006A7B29&quot;/&gt;&lt;wsp:rsid wsp:val=&quot;006B0EB2&quot;/&gt;&lt;wsp:rsid wsp:val=&quot;006B0FF8&quot;/&gt;&lt;wsp:rsid wsp:val=&quot;006B348B&quot;/&gt;&lt;wsp:rsid wsp:val=&quot;006B4590&quot;/&gt;&lt;wsp:rsid wsp:val=&quot;006C3174&quot;/&gt;&lt;wsp:rsid wsp:val=&quot;006C340C&quot;/&gt;&lt;wsp:rsid wsp:val=&quot;006E6002&quot;/&gt;&lt;wsp:rsid wsp:val=&quot;006F1D0B&quot;/&gt;&lt;wsp:rsid wsp:val=&quot;006F27A8&quot;/&gt;&lt;wsp:rsid wsp:val=&quot;006F3493&quot;/&gt;&lt;wsp:rsid wsp:val=&quot;006F3544&quot;/&gt;&lt;wsp:rsid wsp:val=&quot;0070347C&quot;/&gt;&lt;wsp:rsid wsp:val=&quot;007102D2&quot;/&gt;&lt;wsp:rsid wsp:val=&quot;00714A66&quot;/&gt;&lt;wsp:rsid wsp:val=&quot;0071658C&quot;/&gt;&lt;wsp:rsid wsp:val=&quot;007176C1&quot;/&gt;&lt;wsp:rsid wsp:val=&quot;00720BC0&quot;/&gt;&lt;wsp:rsid wsp:val=&quot;0072116B&quot;/&gt;&lt;wsp:rsid wsp:val=&quot;00725063&quot;/&gt;&lt;wsp:rsid wsp:val=&quot;00732E72&quot;/&gt;&lt;wsp:rsid wsp:val=&quot;00737789&quot;/&gt;&lt;wsp:rsid wsp:val=&quot;00741D90&quot;/&gt;&lt;wsp:rsid wsp:val=&quot;00752D32&quot;/&gt;&lt;wsp:rsid wsp:val=&quot;007607B1&quot;/&gt;&lt;wsp:rsid wsp:val=&quot;0076355C&quot;/&gt;&lt;wsp:rsid wsp:val=&quot;00765296&quot;/&gt;&lt;wsp:rsid wsp:val=&quot;00766D28&quot;/&gt;&lt;wsp:rsid wsp:val=&quot;007723C2&quot;/&gt;&lt;wsp:rsid wsp:val=&quot;007775AA&quot;/&gt;&lt;wsp:rsid wsp:val=&quot;007815B9&quot;/&gt;&lt;wsp:rsid wsp:val=&quot;00785F1F&quot;/&gt;&lt;wsp:rsid wsp:val=&quot;007869B6&quot;/&gt;&lt;wsp:rsid wsp:val=&quot;00790B9D&quot;/&gt;&lt;wsp:rsid wsp:val=&quot;00796091&quot;/&gt;&lt;wsp:rsid wsp:val=&quot;00796316&quot;/&gt;&lt;wsp:rsid wsp:val=&quot;007A1C58&quot;/&gt;&lt;wsp:rsid wsp:val=&quot;007A20D2&quot;/&gt;&lt;wsp:rsid wsp:val=&quot;007A79CD&quot;/&gt;&lt;wsp:rsid wsp:val=&quot;007D2668&quot;/&gt;&lt;wsp:rsid wsp:val=&quot;007D3119&quot;/&gt;&lt;wsp:rsid wsp:val=&quot;007D7E57&quot;/&gt;&lt;wsp:rsid wsp:val=&quot;007E1241&quot;/&gt;&lt;wsp:rsid wsp:val=&quot;007E1D3C&quot;/&gt;&lt;wsp:rsid wsp:val=&quot;007F1867&quot;/&gt;&lt;wsp:rsid wsp:val=&quot;007F1EC4&quot;/&gt;&lt;wsp:rsid wsp:val=&quot;007F55CB&quot;/&gt;&lt;wsp:rsid wsp:val=&quot;007F55DB&quot;/&gt;&lt;wsp:rsid wsp:val=&quot;007F768E&quot;/&gt;&lt;wsp:rsid wsp:val=&quot;00800CB4&quot;/&gt;&lt;wsp:rsid wsp:val=&quot;008021D4&quot;/&gt;&lt;wsp:rsid wsp:val=&quot;008059DE&quot;/&gt;&lt;wsp:rsid wsp:val=&quot;008149F9&quot;/&gt;&lt;wsp:rsid wsp:val=&quot;008245B7&quot;/&gt;&lt;wsp:rsid wsp:val=&quot;008245E8&quot;/&gt;&lt;wsp:rsid wsp:val=&quot;0082755E&quot;/&gt;&lt;wsp:rsid wsp:val=&quot;00831A18&quot;/&gt;&lt;wsp:rsid wsp:val=&quot;00834BFD&quot;/&gt;&lt;wsp:rsid wsp:val=&quot;00837345&quot;/&gt;&lt;wsp:rsid wsp:val=&quot;00844750&quot;/&gt;&lt;wsp:rsid wsp:val=&quot;00851A74&quot;/&gt;&lt;wsp:rsid wsp:val=&quot;00853AB8&quot;/&gt;&lt;wsp:rsid wsp:val=&quot;00853D3B&quot;/&gt;&lt;wsp:rsid wsp:val=&quot;00854C34&quot;/&gt;&lt;wsp:rsid wsp:val=&quot;0085586A&quot;/&gt;&lt;wsp:rsid wsp:val=&quot;00856DB2&quot;/&gt;&lt;wsp:rsid wsp:val=&quot;0088030B&quot;/&gt;&lt;wsp:rsid wsp:val=&quot;00895DE5&quot;/&gt;&lt;wsp:rsid wsp:val=&quot;008A0FA8&quot;/&gt;&lt;wsp:rsid wsp:val=&quot;008A1EC0&quot;/&gt;&lt;wsp:rsid wsp:val=&quot;008B2202&quot;/&gt;&lt;wsp:rsid wsp:val=&quot;008B44C4&quot;/&gt;&lt;wsp:rsid wsp:val=&quot;008B5253&quot;/&gt;&lt;wsp:rsid wsp:val=&quot;008C189F&quot;/&gt;&lt;wsp:rsid wsp:val=&quot;008C322B&quot;/&gt;&lt;wsp:rsid wsp:val=&quot;008C4B74&quot;/&gt;&lt;wsp:rsid wsp:val=&quot;008D1156&quot;/&gt;&lt;wsp:rsid wsp:val=&quot;008D59DB&quot;/&gt;&lt;wsp:rsid wsp:val=&quot;008D7CC0&quot;/&gt;&lt;wsp:rsid wsp:val=&quot;008E0319&quot;/&gt;&lt;wsp:rsid wsp:val=&quot;008E1DBC&quot;/&gt;&lt;wsp:rsid wsp:val=&quot;008E4DE2&quot;/&gt;&lt;wsp:rsid wsp:val=&quot;008E7CE2&quot;/&gt;&lt;wsp:rsid wsp:val=&quot;008E7FAE&quot;/&gt;&lt;wsp:rsid wsp:val=&quot;009019CF&quot;/&gt;&lt;wsp:rsid wsp:val=&quot;00911250&quot;/&gt;&lt;wsp:rsid wsp:val=&quot;00911BF7&quot;/&gt;&lt;wsp:rsid wsp:val=&quot;0091594A&quot;/&gt;&lt;wsp:rsid wsp:val=&quot;009230F1&quot;/&gt;&lt;wsp:rsid wsp:val=&quot;00926925&quot;/&gt;&lt;wsp:rsid wsp:val=&quot;00933655&quot;/&gt;&lt;wsp:rsid wsp:val=&quot;00935490&quot;/&gt;&lt;wsp:rsid wsp:val=&quot;009418DE&quot;/&gt;&lt;wsp:rsid wsp:val=&quot;00942052&quot;/&gt;&lt;wsp:rsid wsp:val=&quot;00950CF6&quot;/&gt;&lt;wsp:rsid wsp:val=&quot;009516B7&quot;/&gt;&lt;wsp:rsid wsp:val=&quot;009545F1&quot;/&gt;&lt;wsp:rsid wsp:val=&quot;00957CE5&quot;/&gt;&lt;wsp:rsid wsp:val=&quot;009624E2&quot;/&gt;&lt;wsp:rsid wsp:val=&quot;00962CCA&quot;/&gt;&lt;wsp:rsid wsp:val=&quot;00974DD2&quot;/&gt;&lt;wsp:rsid wsp:val=&quot;00976DA7&quot;/&gt;&lt;wsp:rsid wsp:val=&quot;00977EC8&quot;/&gt;&lt;wsp:rsid wsp:val=&quot;0099494F&quot;/&gt;&lt;wsp:rsid wsp:val=&quot;00996562&quot;/&gt;&lt;wsp:rsid wsp:val=&quot;009A1A4C&quot;/&gt;&lt;wsp:rsid wsp:val=&quot;009A3048&quot;/&gt;&lt;wsp:rsid wsp:val=&quot;009A6C26&quot;/&gt;&lt;wsp:rsid wsp:val=&quot;009A7A1F&quot;/&gt;&lt;wsp:rsid wsp:val=&quot;009B09F5&quot;/&gt;&lt;wsp:rsid wsp:val=&quot;009B17AD&quot;/&gt;&lt;wsp:rsid wsp:val=&quot;009B342E&quot;/&gt;&lt;wsp:rsid wsp:val=&quot;009B3F8C&quot;/&gt;&lt;wsp:rsid wsp:val=&quot;009B45E0&quot;/&gt;&lt;wsp:rsid wsp:val=&quot;009B540F&quot;/&gt;&lt;wsp:rsid wsp:val=&quot;009C02D2&quot;/&gt;&lt;wsp:rsid wsp:val=&quot;009C41DB&quot;/&gt;&lt;wsp:rsid wsp:val=&quot;009D2640&quot;/&gt;&lt;wsp:rsid wsp:val=&quot;009D3A8C&quot;/&gt;&lt;wsp:rsid wsp:val=&quot;009E1BA9&quot;/&gt;&lt;wsp:rsid wsp:val=&quot;009E2876&quot;/&gt;&lt;wsp:rsid wsp:val=&quot;009E2F0B&quot;/&gt;&lt;wsp:rsid wsp:val=&quot;009E7956&quot;/&gt;&lt;wsp:rsid wsp:val=&quot;009F072F&quot;/&gt;&lt;wsp:rsid wsp:val=&quot;009F26C1&quot;/&gt;&lt;wsp:rsid wsp:val=&quot;009F3F95&quot;/&gt;&lt;wsp:rsid wsp:val=&quot;009F61E4&quot;/&gt;&lt;wsp:rsid wsp:val=&quot;00A013D3&quot;/&gt;&lt;wsp:rsid wsp:val=&quot;00A023FC&quot;/&gt;&lt;wsp:rsid wsp:val=&quot;00A0338D&quot;/&gt;&lt;wsp:rsid wsp:val=&quot;00A05DD1&quot;/&gt;&lt;wsp:rsid wsp:val=&quot;00A077E9&quot;/&gt;&lt;wsp:rsid wsp:val=&quot;00A2492E&quot;/&gt;&lt;wsp:rsid wsp:val=&quot;00A31163&quot;/&gt;&lt;wsp:rsid wsp:val=&quot;00A31788&quot;/&gt;&lt;wsp:rsid wsp:val=&quot;00A34593&quot;/&gt;&lt;wsp:rsid wsp:val=&quot;00A364DB&quot;/&gt;&lt;wsp:rsid wsp:val=&quot;00A44481&quot;/&gt;&lt;wsp:rsid wsp:val=&quot;00A45E90&quot;/&gt;&lt;wsp:rsid wsp:val=&quot;00A4770F&quot;/&gt;&lt;wsp:rsid wsp:val=&quot;00A50D6B&quot;/&gt;&lt;wsp:rsid wsp:val=&quot;00A51050&quot;/&gt;&lt;wsp:rsid wsp:val=&quot;00A5118A&quot;/&gt;&lt;wsp:rsid wsp:val=&quot;00A51CE3&quot;/&gt;&lt;wsp:rsid wsp:val=&quot;00A56945&quot;/&gt;&lt;wsp:rsid wsp:val=&quot;00A57027&quot;/&gt;&lt;wsp:rsid wsp:val=&quot;00A5750C&quot;/&gt;&lt;wsp:rsid wsp:val=&quot;00A60EFF&quot;/&gt;&lt;wsp:rsid wsp:val=&quot;00A61CC9&quot;/&gt;&lt;wsp:rsid wsp:val=&quot;00A66781&quot;/&gt;&lt;wsp:rsid wsp:val=&quot;00A72C35&quot;/&gt;&lt;wsp:rsid wsp:val=&quot;00A752BB&quot;/&gt;&lt;wsp:rsid wsp:val=&quot;00A81F93&quot;/&gt;&lt;wsp:rsid wsp:val=&quot;00A9247E&quot;/&gt;&lt;wsp:rsid wsp:val=&quot;00A973B3&quot;/&gt;&lt;wsp:rsid wsp:val=&quot;00A973EE&quot;/&gt;&lt;wsp:rsid wsp:val=&quot;00AA0DCA&quot;/&gt;&lt;wsp:rsid wsp:val=&quot;00AA1584&quot;/&gt;&lt;wsp:rsid wsp:val=&quot;00AA3771&quot;/&gt;&lt;wsp:rsid wsp:val=&quot;00AA7796&quot;/&gt;&lt;wsp:rsid wsp:val=&quot;00AC67A1&quot;/&gt;&lt;wsp:rsid wsp:val=&quot;00AC7977&quot;/&gt;&lt;wsp:rsid wsp:val=&quot;00AC7E56&quot;/&gt;&lt;wsp:rsid wsp:val=&quot;00AD55C9&quot;/&gt;&lt;wsp:rsid wsp:val=&quot;00AD5798&quot;/&gt;&lt;wsp:rsid wsp:val=&quot;00AD5B30&quot;/&gt;&lt;wsp:rsid wsp:val=&quot;00AE0272&quot;/&gt;&lt;wsp:rsid wsp:val=&quot;00AE2617&quot;/&gt;&lt;wsp:rsid wsp:val=&quot;00AE352C&quot;/&gt;&lt;wsp:rsid wsp:val=&quot;00AE4CCA&quot;/&gt;&lt;wsp:rsid wsp:val=&quot;00AE79AC&quot;/&gt;&lt;wsp:rsid wsp:val=&quot;00AF068B&quot;/&gt;&lt;wsp:rsid wsp:val=&quot;00B01AAD&quot;/&gt;&lt;wsp:rsid wsp:val=&quot;00B041C1&quot;/&gt;&lt;wsp:rsid wsp:val=&quot;00B101DB&quot;/&gt;&lt;wsp:rsid wsp:val=&quot;00B150A2&quot;/&gt;&lt;wsp:rsid wsp:val=&quot;00B1627E&quot;/&gt;&lt;wsp:rsid wsp:val=&quot;00B21751&quot;/&gt;&lt;wsp:rsid wsp:val=&quot;00B220F6&quot;/&gt;&lt;wsp:rsid wsp:val=&quot;00B256F0&quot;/&gt;&lt;wsp:rsid wsp:val=&quot;00B25EA9&quot;/&gt;&lt;wsp:rsid wsp:val=&quot;00B31D7D&quot;/&gt;&lt;wsp:rsid wsp:val=&quot;00B32E2D&quot;/&gt;&lt;wsp:rsid wsp:val=&quot;00B3524E&quot;/&gt;&lt;wsp:rsid wsp:val=&quot;00B370A4&quot;/&gt;&lt;wsp:rsid wsp:val=&quot;00B416B8&quot;/&gt;&lt;wsp:rsid wsp:val=&quot;00B42351&quot;/&gt;&lt;wsp:rsid wsp:val=&quot;00B43741&quot;/&gt;&lt;wsp:rsid wsp:val=&quot;00B45642&quot;/&gt;&lt;wsp:rsid wsp:val=&quot;00B52F29&quot;/&gt;&lt;wsp:rsid wsp:val=&quot;00B5388D&quot;/&gt;&lt;wsp:rsid wsp:val=&quot;00B61990&quot;/&gt;&lt;wsp:rsid wsp:val=&quot;00B6249B&quot;/&gt;&lt;wsp:rsid wsp:val=&quot;00B70CCD&quot;/&gt;&lt;wsp:rsid wsp:val=&quot;00B724E6&quot;/&gt;&lt;wsp:rsid wsp:val=&quot;00B75E66&quot;/&gt;&lt;wsp:rsid wsp:val=&quot;00B773BF&quot;/&gt;&lt;wsp:rsid wsp:val=&quot;00B82016&quot;/&gt;&lt;wsp:rsid wsp:val=&quot;00BA3BEC&quot;/&gt;&lt;wsp:rsid wsp:val=&quot;00BC3F20&quot;/&gt;&lt;wsp:rsid wsp:val=&quot;00BC76F0&quot;/&gt;&lt;wsp:rsid wsp:val=&quot;00BD13E6&quot;/&gt;&lt;wsp:rsid wsp:val=&quot;00BD28B2&quot;/&gt;&lt;wsp:rsid wsp:val=&quot;00BD5A8D&quot;/&gt;&lt;wsp:rsid wsp:val=&quot;00BD7343&quot;/&gt;&lt;wsp:rsid wsp:val=&quot;00BE64CB&quot;/&gt;&lt;wsp:rsid wsp:val=&quot;00BE7C74&quot;/&gt;&lt;wsp:rsid wsp:val=&quot;00BF0556&quot;/&gt;&lt;wsp:rsid wsp:val=&quot;00BF334D&quot;/&gt;&lt;wsp:rsid wsp:val=&quot;00BF346F&quot;/&gt;&lt;wsp:rsid wsp:val=&quot;00BF37EE&quot;/&gt;&lt;wsp:rsid wsp:val=&quot;00C024A1&quot;/&gt;&lt;wsp:rsid wsp:val=&quot;00C02C42&quot;/&gt;&lt;wsp:rsid wsp:val=&quot;00C10FB1&quot;/&gt;&lt;wsp:rsid wsp:val=&quot;00C11282&quot;/&gt;&lt;wsp:rsid wsp:val=&quot;00C14108&quot;/&gt;&lt;wsp:rsid wsp:val=&quot;00C21D54&quot;/&gt;&lt;wsp:rsid wsp:val=&quot;00C261F8&quot;/&gt;&lt;wsp:rsid wsp:val=&quot;00C27662&quot;/&gt;&lt;wsp:rsid wsp:val=&quot;00C322BF&quot;/&gt;&lt;wsp:rsid wsp:val=&quot;00C32914&quot;/&gt;&lt;wsp:rsid wsp:val=&quot;00C33100&quot;/&gt;&lt;wsp:rsid wsp:val=&quot;00C42EDB&quot;/&gt;&lt;wsp:rsid wsp:val=&quot;00C451B9&quot;/&gt;&lt;wsp:rsid wsp:val=&quot;00C51D9C&quot;/&gt;&lt;wsp:rsid wsp:val=&quot;00C54DA4&quot;/&gt;&lt;wsp:rsid wsp:val=&quot;00C55118&quot;/&gt;&lt;wsp:rsid wsp:val=&quot;00C577D1&quot;/&gt;&lt;wsp:rsid wsp:val=&quot;00C57A2D&quot;/&gt;&lt;wsp:rsid wsp:val=&quot;00C6018C&quot;/&gt;&lt;wsp:rsid wsp:val=&quot;00C67D23&quot;/&gt;&lt;wsp:rsid wsp:val=&quot;00C71827&quot;/&gt;&lt;wsp:rsid wsp:val=&quot;00C75D25&quot;/&gt;&lt;wsp:rsid wsp:val=&quot;00C825E5&quot;/&gt;&lt;wsp:rsid wsp:val=&quot;00C92A84&quot;/&gt;&lt;wsp:rsid wsp:val=&quot;00C94B44&quot;/&gt;&lt;wsp:rsid wsp:val=&quot;00C95EB8&quot;/&gt;&lt;wsp:rsid wsp:val=&quot;00C97EC1&quot;/&gt;&lt;wsp:rsid wsp:val=&quot;00CA4CC9&quot;/&gt;&lt;wsp:rsid wsp:val=&quot;00CB02C5&quot;/&gt;&lt;wsp:rsid wsp:val=&quot;00CB0D41&quot;/&gt;&lt;wsp:rsid wsp:val=&quot;00CB1F82&quot;/&gt;&lt;wsp:rsid wsp:val=&quot;00CB39CD&quot;/&gt;&lt;wsp:rsid wsp:val=&quot;00CC2A62&quot;/&gt;&lt;wsp:rsid wsp:val=&quot;00CC7CE6&quot;/&gt;&lt;wsp:rsid wsp:val=&quot;00CD044C&quot;/&gt;&lt;wsp:rsid wsp:val=&quot;00CD1589&quot;/&gt;&lt;wsp:rsid wsp:val=&quot;00CD1A71&quot;/&gt;&lt;wsp:rsid wsp:val=&quot;00CD1FBB&quot;/&gt;&lt;wsp:rsid wsp:val=&quot;00CE033D&quot;/&gt;&lt;wsp:rsid wsp:val=&quot;00CE08E5&quot;/&gt;&lt;wsp:rsid wsp:val=&quot;00D0068B&quot;/&gt;&lt;wsp:rsid wsp:val=&quot;00D016B5&quot;/&gt;&lt;wsp:rsid wsp:val=&quot;00D034F1&quot;/&gt;&lt;wsp:rsid wsp:val=&quot;00D05828&quot;/&gt;&lt;wsp:rsid wsp:val=&quot;00D062F1&quot;/&gt;&lt;wsp:rsid wsp:val=&quot;00D06712&quot;/&gt;&lt;wsp:rsid wsp:val=&quot;00D14C21&quot;/&gt;&lt;wsp:rsid wsp:val=&quot;00D14F42&quot;/&gt;&lt;wsp:rsid wsp:val=&quot;00D171D4&quot;/&gt;&lt;wsp:rsid wsp:val=&quot;00D20BFE&quot;/&gt;&lt;wsp:rsid wsp:val=&quot;00D244CB&quot;/&gt;&lt;wsp:rsid wsp:val=&quot;00D27D5E&quot;/&gt;&lt;wsp:rsid wsp:val=&quot;00D32B08&quot;/&gt;&lt;wsp:rsid wsp:val=&quot;00D32D3B&quot;/&gt;&lt;wsp:rsid wsp:val=&quot;00D407D1&quot;/&gt;&lt;wsp:rsid wsp:val=&quot;00D418EA&quot;/&gt;&lt;wsp:rsid wsp:val=&quot;00D43E5F&quot;/&gt;&lt;wsp:rsid wsp:val=&quot;00D4492E&quot;/&gt;&lt;wsp:rsid wsp:val=&quot;00D47973&quot;/&gt;&lt;wsp:rsid wsp:val=&quot;00D51CE6&quot;/&gt;&lt;wsp:rsid wsp:val=&quot;00D639BD&quot;/&gt;&lt;wsp:rsid wsp:val=&quot;00D65777&quot;/&gt;&lt;wsp:rsid wsp:val=&quot;00D66E0D&quot;/&gt;&lt;wsp:rsid wsp:val=&quot;00D7425A&quot;/&gt;&lt;wsp:rsid wsp:val=&quot;00D74F7E&quot;/&gt;&lt;wsp:rsid wsp:val=&quot;00D766E4&quot;/&gt;&lt;wsp:rsid wsp:val=&quot;00D7695F&quot;/&gt;&lt;wsp:rsid wsp:val=&quot;00D833D6&quot;/&gt;&lt;wsp:rsid wsp:val=&quot;00D9039B&quot;/&gt;&lt;wsp:rsid wsp:val=&quot;00D91514&quot;/&gt;&lt;wsp:rsid wsp:val=&quot;00D93582&quot;/&gt;&lt;wsp:rsid wsp:val=&quot;00D96BFD&quot;/&gt;&lt;wsp:rsid wsp:val=&quot;00DA41A2&quot;/&gt;&lt;wsp:rsid wsp:val=&quot;00DA43A1&quot;/&gt;&lt;wsp:rsid wsp:val=&quot;00DA5E1D&quot;/&gt;&lt;wsp:rsid wsp:val=&quot;00DC3628&quot;/&gt;&lt;wsp:rsid wsp:val=&quot;00DC3D46&quot;/&gt;&lt;wsp:rsid wsp:val=&quot;00DC4F43&quot;/&gt;&lt;wsp:rsid wsp:val=&quot;00DC78E9&quot;/&gt;&lt;wsp:rsid wsp:val=&quot;00DD535C&quot;/&gt;&lt;wsp:rsid wsp:val=&quot;00DE083E&quot;/&gt;&lt;wsp:rsid wsp:val=&quot;00DE6AD7&quot;/&gt;&lt;wsp:rsid wsp:val=&quot;00DE6D90&quot;/&gt;&lt;wsp:rsid wsp:val=&quot;00DF002F&quot;/&gt;&lt;wsp:rsid wsp:val=&quot;00DF47F1&quot;/&gt;&lt;wsp:rsid wsp:val=&quot;00E00CF1&quot;/&gt;&lt;wsp:rsid wsp:val=&quot;00E0244D&quot;/&gt;&lt;wsp:rsid wsp:val=&quot;00E026DF&quot;/&gt;&lt;wsp:rsid wsp:val=&quot;00E02F48&quot;/&gt;&lt;wsp:rsid wsp:val=&quot;00E03712&quot;/&gt;&lt;wsp:rsid wsp:val=&quot;00E06B3F&quot;/&gt;&lt;wsp:rsid wsp:val=&quot;00E10A73&quot;/&gt;&lt;wsp:rsid wsp:val=&quot;00E14F27&quot;/&gt;&lt;wsp:rsid wsp:val=&quot;00E171D2&quot;/&gt;&lt;wsp:rsid wsp:val=&quot;00E17BD3&quot;/&gt;&lt;wsp:rsid wsp:val=&quot;00E221F3&quot;/&gt;&lt;wsp:rsid wsp:val=&quot;00E25534&quot;/&gt;&lt;wsp:rsid wsp:val=&quot;00E319B6&quot;/&gt;&lt;wsp:rsid wsp:val=&quot;00E32145&quot;/&gt;&lt;wsp:rsid wsp:val=&quot;00E32F5A&quot;/&gt;&lt;wsp:rsid wsp:val=&quot;00E34EB5&quot;/&gt;&lt;wsp:rsid wsp:val=&quot;00E353E7&quot;/&gt;&lt;wsp:rsid wsp:val=&quot;00E46AC5&quot;/&gt;&lt;wsp:rsid wsp:val=&quot;00E47554&quot;/&gt;&lt;wsp:rsid wsp:val=&quot;00E47BB0&quot;/&gt;&lt;wsp:rsid wsp:val=&quot;00E510F3&quot;/&gt;&lt;wsp:rsid wsp:val=&quot;00E51874&quot;/&gt;&lt;wsp:rsid wsp:val=&quot;00E60012&quot;/&gt;&lt;wsp:rsid wsp:val=&quot;00E61149&quot;/&gt;&lt;wsp:rsid wsp:val=&quot;00E62CFF&quot;/&gt;&lt;wsp:rsid wsp:val=&quot;00E65117&quot;/&gt;&lt;wsp:rsid wsp:val=&quot;00E665EE&quot;/&gt;&lt;wsp:rsid wsp:val=&quot;00E679AE&quot;/&gt;&lt;wsp:rsid wsp:val=&quot;00E71570&quot;/&gt;&lt;wsp:rsid wsp:val=&quot;00E73B13&quot;/&gt;&lt;wsp:rsid wsp:val=&quot;00E75C58&quot;/&gt;&lt;wsp:rsid wsp:val=&quot;00E76819&quot;/&gt;&lt;wsp:rsid wsp:val=&quot;00E81E94&quot;/&gt;&lt;wsp:rsid wsp:val=&quot;00E82607&quot;/&gt;&lt;wsp:rsid wsp:val=&quot;00E84A82&quot;/&gt;&lt;wsp:rsid wsp:val=&quot;00E85025&quot;/&gt;&lt;wsp:rsid wsp:val=&quot;00E9483E&quot;/&gt;&lt;wsp:rsid wsp:val=&quot;00E950C1&quot;/&gt;&lt;wsp:rsid wsp:val=&quot;00E96710&quot;/&gt;&lt;wsp:rsid wsp:val=&quot;00E97E2C&quot;/&gt;&lt;wsp:rsid wsp:val=&quot;00EA3B1D&quot;/&gt;&lt;wsp:rsid wsp:val=&quot;00EA5B20&quot;/&gt;&lt;wsp:rsid wsp:val=&quot;00EA6FB6&quot;/&gt;&lt;wsp:rsid wsp:val=&quot;00EB0423&quot;/&gt;&lt;wsp:rsid wsp:val=&quot;00EB77B9&quot;/&gt;&lt;wsp:rsid wsp:val=&quot;00EB7D07&quot;/&gt;&lt;wsp:rsid wsp:val=&quot;00ED3A26&quot;/&gt;&lt;wsp:rsid wsp:val=&quot;00ED73A1&quot;/&gt;&lt;wsp:rsid wsp:val=&quot;00EF09E3&quot;/&gt;&lt;wsp:rsid wsp:val=&quot;00EF70BB&quot;/&gt;&lt;wsp:rsid wsp:val=&quot;00F02F18&quot;/&gt;&lt;wsp:rsid wsp:val=&quot;00F02FA9&quot;/&gt;&lt;wsp:rsid wsp:val=&quot;00F06660&quot;/&gt;&lt;wsp:rsid wsp:val=&quot;00F07AE1&quot;/&gt;&lt;wsp:rsid wsp:val=&quot;00F10CCF&quot;/&gt;&lt;wsp:rsid wsp:val=&quot;00F116EB&quot;/&gt;&lt;wsp:rsid wsp:val=&quot;00F11E76&quot;/&gt;&lt;wsp:rsid wsp:val=&quot;00F1791E&quot;/&gt;&lt;wsp:rsid wsp:val=&quot;00F1794E&quot;/&gt;&lt;wsp:rsid wsp:val=&quot;00F211AF&quot;/&gt;&lt;wsp:rsid wsp:val=&quot;00F25EC3&quot;/&gt;&lt;wsp:rsid wsp:val=&quot;00F32ADB&quot;/&gt;&lt;wsp:rsid wsp:val=&quot;00F32C98&quot;/&gt;&lt;wsp:rsid wsp:val=&quot;00F37E12&quot;/&gt;&lt;wsp:rsid wsp:val=&quot;00F409E9&quot;/&gt;&lt;wsp:rsid wsp:val=&quot;00F424BD&quot;/&gt;&lt;wsp:rsid wsp:val=&quot;00F44DAD&quot;/&gt;&lt;wsp:rsid wsp:val=&quot;00F45D41&quot;/&gt;&lt;wsp:rsid wsp:val=&quot;00F45F45&quot;/&gt;&lt;wsp:rsid wsp:val=&quot;00F515AD&quot;/&gt;&lt;wsp:rsid wsp:val=&quot;00F57DD7&quot;/&gt;&lt;wsp:rsid wsp:val=&quot;00F636AD&quot;/&gt;&lt;wsp:rsid wsp:val=&quot;00F6452E&quot;/&gt;&lt;wsp:rsid wsp:val=&quot;00F734D9&quot;/&gt;&lt;wsp:rsid wsp:val=&quot;00F73762&quot;/&gt;&lt;wsp:rsid wsp:val=&quot;00F73E53&quot;/&gt;&lt;wsp:rsid wsp:val=&quot;00F73F83&quot;/&gt;&lt;wsp:rsid wsp:val=&quot;00F74902&quot;/&gt;&lt;wsp:rsid wsp:val=&quot;00F85A4E&quot;/&gt;&lt;wsp:rsid wsp:val=&quot;00F87FFE&quot;/&gt;&lt;wsp:rsid wsp:val=&quot;00F9353A&quot;/&gt;&lt;wsp:rsid wsp:val=&quot;00F965C2&quot;/&gt;&lt;wsp:rsid wsp:val=&quot;00FA27D4&quot;/&gt;&lt;wsp:rsid wsp:val=&quot;00FA53C5&quot;/&gt;&lt;wsp:rsid wsp:val=&quot;00FA5A79&quot;/&gt;&lt;wsp:rsid wsp:val=&quot;00FB0BFE&quot;/&gt;&lt;wsp:rsid wsp:val=&quot;00FB4300&quot;/&gt;&lt;wsp:rsid wsp:val=&quot;00FB4C51&quot;/&gt;&lt;wsp:rsid wsp:val=&quot;00FB734D&quot;/&gt;&lt;wsp:rsid wsp:val=&quot;00FC1ED8&quot;/&gt;&lt;wsp:rsid wsp:val=&quot;00FC4ACD&quot;/&gt;&lt;wsp:rsid wsp:val=&quot;00FC68E3&quot;/&gt;&lt;wsp:rsid wsp:val=&quot;00FC7E26&quot;/&gt;&lt;wsp:rsid wsp:val=&quot;00FD0041&quot;/&gt;&lt;wsp:rsid wsp:val=&quot;00FD02A2&quot;/&gt;&lt;wsp:rsid wsp:val=&quot;00FD5E64&quot;/&gt;&lt;wsp:rsid wsp:val=&quot;00FD7985&quot;/&gt;&lt;wsp:rsid wsp:val=&quot;00FE520A&quot;/&gt;&lt;wsp:rsid wsp:val=&quot;00FE5C45&quot;/&gt;&lt;wsp:rsid wsp:val=&quot;00FE6526&quot;/&gt;&lt;wsp:rsid wsp:val=&quot;00FF1DBD&quot;/&gt;&lt;wsp:rsid wsp:val=&quot;00FF1E4B&quot;/&gt;&lt;wsp:rsid wsp:val=&quot;00FF33E4&quot;/&gt;&lt;/wsp:rsids&gt;&lt;/w:docPr&gt;&lt;w:body&gt;&lt;wx:sect&gt;&lt;w:p wsp:rsidR=&quot;00000000&quot; wsp:rsidRDefault=&quot;00BE64CB&quot; wsp:rsidP=&quot;00BE64CB&quot;&gt;&lt;m:oMathPara&gt;&lt;m:oMath&gt;&lt;m:e&gt;&lt;m:ctrlPr/&gt;&lt;/m: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1" o:title="" chromakey="white"/>
                </v:shape>
              </w:pict>
            </w:r>
            <w:r w:rsidR="00E24DB7" w:rsidRPr="00D53F39">
              <w:rPr>
                <w:sz w:val="18"/>
                <w:szCs w:val="18"/>
                <w:lang w:val="es-ES"/>
              </w:rPr>
              <w:t>M</w:t>
            </w:r>
            <w:r w:rsidR="00E24DB7" w:rsidRPr="00D53F39">
              <w:rPr>
                <w:sz w:val="18"/>
                <w:szCs w:val="18"/>
                <w:vertAlign w:val="subscript"/>
                <w:lang w:val="es-ES"/>
              </w:rPr>
              <w:t>i,CS,p,1</w:t>
            </w:r>
            <w:r w:rsidR="00E24DB7" w:rsidRPr="00D53F39">
              <w:rPr>
                <w:sz w:val="18"/>
                <w:szCs w:val="18"/>
                <w:lang w:val="es-ES"/>
              </w:rPr>
              <w:t>, g/km</w:t>
            </w:r>
            <w:r w:rsidR="00E24DB7" w:rsidRPr="00D53F39">
              <w:rPr>
                <w:sz w:val="18"/>
                <w:szCs w:val="18"/>
                <w:lang w:val="es-ES"/>
              </w:rPr>
              <w:br/>
            </w:r>
            <w:r>
              <w:rPr>
                <w:position w:val="-5"/>
                <w:sz w:val="18"/>
                <w:szCs w:val="18"/>
              </w:rPr>
              <w:pict>
                <v:shape id="_x0000_i1028" type="#_x0000_t75" style="width:.75pt;height:1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activeWritingStyle w:lang=&quot;EN-GB&quot; w:vendorID=&quot;64&quot; w:dllVersion=&quot;131077&quot; w:nlCheck=&quot;on&quot; w:optionSet=&quot;1&quot;/&gt;&lt;w:activeWritingStyle w:lang=&quot;FR-CH&quot; w:vendorID=&quot;64&quot; w:dllVersion=&quot;131078&quot; w:nlCheck=&quot;on&quot; w:optionSet=&quot;1&quot;/&gt;&lt;w:stylePaneFormatFilter w:val=&quot;3001&quot;/&gt;&lt;w:defaultTabStop w:val=&quot;567&quot;/&gt;&lt;w:hyphenationZone w:val=&quot;357&quot;/&gt;&lt;w:doNotHyphenateCaps/&gt;&lt;w:evenAndOddHeaders/&gt;&lt;w:drawingGridHorizontalSpacing w:val=&quot;100&quot;/&gt;&lt;w:displayHorizontalDrawingGridEvery w:val=&quot;0&quot;/&gt;&lt;w:displayVertic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endnotePr&gt;&lt;w:numFmt w:val=&quot;decimal&quot;/&gt;&lt;/w:endnotePr&gt;&lt;w:compat&gt;&lt;w:dontAllowFieldEndSelect/&gt;&lt;w:useWord2002TableStyleRules/&gt;&lt;/w:compat&gt;&lt;wsp:rsids&gt;&lt;wsp:rsidRoot wsp:val=&quot;00FD0041&quot;/&gt;&lt;wsp:rsid wsp:val=&quot;00010850&quot;/&gt;&lt;wsp:rsid wsp:val=&quot;0001470D&quot;/&gt;&lt;wsp:rsid wsp:val=&quot;00015953&quot;/&gt;&lt;wsp:rsid wsp:val=&quot;00016165&quot;/&gt;&lt;wsp:rsid wsp:val=&quot;00016AC5&quot;/&gt;&lt;wsp:rsid wsp:val=&quot;00021126&quot;/&gt;&lt;wsp:rsid wsp:val=&quot;00021907&quot;/&gt;&lt;wsp:rsid wsp:val=&quot;000233A5&quot;/&gt;&lt;wsp:rsid wsp:val=&quot;0002445D&quot;/&gt;&lt;wsp:rsid wsp:val=&quot;00024C50&quot;/&gt;&lt;wsp:rsid wsp:val=&quot;00025E92&quot;/&gt;&lt;wsp:rsid wsp:val=&quot;000276A3&quot;/&gt;&lt;wsp:rsid wsp:val=&quot;00032060&quot;/&gt;&lt;wsp:rsid wsp:val=&quot;00033ED2&quot;/&gt;&lt;wsp:rsid wsp:val=&quot;00040539&quot;/&gt;&lt;wsp:rsid wsp:val=&quot;00040598&quot;/&gt;&lt;wsp:rsid wsp:val=&quot;00040E86&quot;/&gt;&lt;wsp:rsid wsp:val=&quot;00047F10&quot;/&gt;&lt;wsp:rsid wsp:val=&quot;00051F3D&quot;/&gt;&lt;wsp:rsid wsp:val=&quot;00052157&quot;/&gt;&lt;wsp:rsid wsp:val=&quot;0005346D&quot;/&gt;&lt;wsp:rsid wsp:val=&quot;00055FE4&quot;/&gt;&lt;wsp:rsid wsp:val=&quot;000568B7&quot;/&gt;&lt;wsp:rsid wsp:val=&quot;00060395&quot;/&gt;&lt;wsp:rsid wsp:val=&quot;00061A2F&quot;/&gt;&lt;wsp:rsid wsp:val=&quot;000641CE&quot;/&gt;&lt;wsp:rsid wsp:val=&quot;00067310&quot;/&gt;&lt;wsp:rsid wsp:val=&quot;000725B5&quot;/&gt;&lt;wsp:rsid wsp:val=&quot;00075D0C&quot;/&gt;&lt;wsp:rsid wsp:val=&quot;00076538&quot;/&gt;&lt;wsp:rsid wsp:val=&quot;00077E35&quot;/&gt;&lt;wsp:rsid wsp:val=&quot;0008669E&quot;/&gt;&lt;wsp:rsid wsp:val=&quot;000875BC&quot;/&gt;&lt;wsp:rsid wsp:val=&quot;00090132&quot;/&gt;&lt;wsp:rsid wsp:val=&quot;00090599&quot;/&gt;&lt;wsp:rsid wsp:val=&quot;00092266&quot;/&gt;&lt;wsp:rsid wsp:val=&quot;000A1501&quot;/&gt;&lt;wsp:rsid wsp:val=&quot;000A2494&quot;/&gt;&lt;wsp:rsid wsp:val=&quot;000A6B7E&quot;/&gt;&lt;wsp:rsid wsp:val=&quot;000B34DA&quot;/&gt;&lt;wsp:rsid wsp:val=&quot;000B782A&quot;/&gt;&lt;wsp:rsid wsp:val=&quot;000C350E&quot;/&gt;&lt;wsp:rsid wsp:val=&quot;000C6CDB&quot;/&gt;&lt;wsp:rsid wsp:val=&quot;000D5AEC&quot;/&gt;&lt;wsp:rsid wsp:val=&quot;000D5C25&quot;/&gt;&lt;wsp:rsid wsp:val=&quot;000E24CB&quot;/&gt;&lt;wsp:rsid wsp:val=&quot;000E4F06&quot;/&gt;&lt;wsp:rsid wsp:val=&quot;000E5601&quot;/&gt;&lt;wsp:rsid wsp:val=&quot;000F41F2&quot;/&gt;&lt;wsp:rsid wsp:val=&quot;000F782E&quot;/&gt;&lt;wsp:rsid wsp:val=&quot;0010373B&quot;/&gt;&lt;wsp:rsid wsp:val=&quot;0011415F&quot;/&gt;&lt;wsp:rsid wsp:val=&quot;001178A4&quot;/&gt;&lt;wsp:rsid wsp:val=&quot;00122E60&quot;/&gt;&lt;wsp:rsid wsp:val=&quot;00125446&quot;/&gt;&lt;wsp:rsid wsp:val=&quot;001358D9&quot;/&gt;&lt;wsp:rsid wsp:val=&quot;00136435&quot;/&gt;&lt;wsp:rsid wsp:val=&quot;00141E26&quot;/&gt;&lt;wsp:rsid wsp:val=&quot;00143EB9&quot;/&gt;&lt;wsp:rsid wsp:val=&quot;00152C5A&quot;/&gt;&lt;wsp:rsid wsp:val=&quot;0015389C&quot;/&gt;&lt;wsp:rsid wsp:val=&quot;00160540&quot;/&gt;&lt;wsp:rsid wsp:val=&quot;00160CDE&quot;/&gt;&lt;wsp:rsid wsp:val=&quot;001652F6&quot;/&gt;&lt;wsp:rsid wsp:val=&quot;00166C68&quot;/&gt;&lt;wsp:rsid wsp:val=&quot;00171720&quot;/&gt;&lt;wsp:rsid wsp:val=&quot;00174814&quot;/&gt;&lt;wsp:rsid wsp:val=&quot;001775B5&quot;/&gt;&lt;wsp:rsid wsp:val=&quot;00181A90&quot;/&gt;&lt;wsp:rsid wsp:val=&quot;00186C5D&quot;/&gt;&lt;wsp:rsid wsp:val=&quot;00190996&quot;/&gt;&lt;wsp:rsid wsp:val=&quot;00190D5D&quot;/&gt;&lt;wsp:rsid wsp:val=&quot;00192EEB&quot;/&gt;&lt;wsp:rsid wsp:val=&quot;00194484&quot;/&gt;&lt;wsp:rsid wsp:val=&quot;001A2040&quot;/&gt;&lt;wsp:rsid wsp:val=&quot;001A20FB&quot;/&gt;&lt;wsp:rsid wsp:val=&quot;001A376F&quot;/&gt;&lt;wsp:rsid wsp:val=&quot;001A7953&quot;/&gt;&lt;wsp:rsid wsp:val=&quot;001B09BB&quot;/&gt;&lt;wsp:rsid wsp:val=&quot;001B32D1&quot;/&gt;&lt;wsp:rsid wsp:val=&quot;001C3D8D&quot;/&gt;&lt;wsp:rsid wsp:val=&quot;001C6497&quot;/&gt;&lt;wsp:rsid wsp:val=&quot;001C7633&quot;/&gt;&lt;wsp:rsid wsp:val=&quot;001D7F8A&quot;/&gt;&lt;wsp:rsid wsp:val=&quot;001E0447&quot;/&gt;&lt;wsp:rsid wsp:val=&quot;001E1495&quot;/&gt;&lt;wsp:rsid wsp:val=&quot;001E1E03&quot;/&gt;&lt;wsp:rsid wsp:val=&quot;001E34CB&quot;/&gt;&lt;wsp:rsid wsp:val=&quot;001E3FEB&quot;/&gt;&lt;wsp:rsid wsp:val=&quot;001E4541&quot;/&gt;&lt;wsp:rsid wsp:val=&quot;001E4A02&quot;/&gt;&lt;wsp:rsid wsp:val=&quot;001E4E3F&quot;/&gt;&lt;wsp:rsid wsp:val=&quot;001E653B&quot;/&gt;&lt;wsp:rsid wsp:val=&quot;001E6DF0&quot;/&gt;&lt;wsp:rsid wsp:val=&quot;001F3E68&quot;/&gt;&lt;wsp:rsid wsp:val=&quot;001F4931&quot;/&gt;&lt;wsp:rsid wsp:val=&quot;001F538A&quot;/&gt;&lt;wsp:rsid wsp:val=&quot;002000CD&quot;/&gt;&lt;wsp:rsid wsp:val=&quot;00200CBA&quot;/&gt;&lt;wsp:rsid wsp:val=&quot;00204B66&quot;/&gt;&lt;wsp:rsid wsp:val=&quot;002059CE&quot;/&gt;&lt;wsp:rsid wsp:val=&quot;00206AD4&quot;/&gt;&lt;wsp:rsid wsp:val=&quot;002070D7&quot;/&gt;&lt;wsp:rsid wsp:val=&quot;00223547&quot;/&gt;&lt;wsp:rsid wsp:val=&quot;00224B8B&quot;/&gt;&lt;wsp:rsid wsp:val=&quot;00225A8C&quot;/&gt;&lt;wsp:rsid wsp:val=&quot;00226E26&quot;/&gt;&lt;wsp:rsid wsp:val=&quot;00230ED3&quot;/&gt;&lt;wsp:rsid wsp:val=&quot;00231A7F&quot;/&gt;&lt;wsp:rsid wsp:val=&quot;002423A6&quot;/&gt;&lt;wsp:rsid wsp:val=&quot;00242BBD&quot;/&gt;&lt;wsp:rsid wsp:val=&quot;00244817&quot;/&gt;&lt;wsp:rsid wsp:val=&quot;0024586F&quot;/&gt;&lt;wsp:rsid wsp:val=&quot;00246BC8&quot;/&gt;&lt;wsp:rsid wsp:val=&quot;00251F95&quot;/&gt;&lt;wsp:rsid wsp:val=&quot;00252317&quot;/&gt;&lt;wsp:rsid wsp:val=&quot;002659F1&quot;/&gt;&lt;wsp:rsid wsp:val=&quot;00267CF8&quot;/&gt;&lt;wsp:rsid wsp:val=&quot;00271E41&quot;/&gt;&lt;wsp:rsid wsp:val=&quot;0027347B&quot;/&gt;&lt;wsp:rsid wsp:val=&quot;002761A9&quot;/&gt;&lt;wsp:rsid wsp:val=&quot;00284C19&quot;/&gt;&lt;wsp:rsid wsp:val=&quot;00286E23&quot;/&gt;&lt;wsp:rsid wsp:val=&quot;002876A1&quot;/&gt;&lt;wsp:rsid wsp:val=&quot;00287CA6&quot;/&gt;&lt;wsp:rsid wsp:val=&quot;00287E79&quot;/&gt;&lt;wsp:rsid wsp:val=&quot;00291F11&quot;/&gt;&lt;wsp:rsid wsp:val=&quot;002928F9&quot;/&gt;&lt;wsp:rsid wsp:val=&quot;00294D5B&quot;/&gt;&lt;wsp:rsid wsp:val=&quot;0029791D&quot;/&gt;&lt;wsp:rsid wsp:val=&quot;002A2A2C&quot;/&gt;&lt;wsp:rsid wsp:val=&quot;002A5D07&quot;/&gt;&lt;wsp:rsid wsp:val=&quot;002B1B50&quot;/&gt;&lt;wsp:rsid wsp:val=&quot;002B32E3&quot;/&gt;&lt;wsp:rsid wsp:val=&quot;002C5B01&quot;/&gt;&lt;wsp:rsid wsp:val=&quot;002D25CA&quot;/&gt;&lt;wsp:rsid wsp:val=&quot;002D3DA4&quot;/&gt;&lt;wsp:rsid wsp:val=&quot;002E0BC7&quot;/&gt;&lt;wsp:rsid wsp:val=&quot;002E2F5C&quot;/&gt;&lt;wsp:rsid wsp:val=&quot;002E4648&quot;/&gt;&lt;wsp:rsid wsp:val=&quot;002F0B5D&quot;/&gt;&lt;wsp:rsid wsp:val=&quot;002F0C48&quot;/&gt;&lt;wsp:rsid wsp:val=&quot;003016B7&quot;/&gt;&lt;wsp:rsid wsp:val=&quot;00306D54&quot;/&gt;&lt;wsp:rsid wsp:val=&quot;0030754C&quot;/&gt;&lt;wsp:rsid wsp:val=&quot;00307EDE&quot;/&gt;&lt;wsp:rsid wsp:val=&quot;00317E54&quot;/&gt;&lt;wsp:rsid wsp:val=&quot;00322DF1&quot;/&gt;&lt;wsp:rsid wsp:val=&quot;00324EBF&quot;/&gt;&lt;wsp:rsid wsp:val=&quot;0032556C&quot;/&gt;&lt;wsp:rsid wsp:val=&quot;00330508&quot;/&gt;&lt;wsp:rsid wsp:val=&quot;0033286A&quot;/&gt;&lt;wsp:rsid wsp:val=&quot;00333130&quot;/&gt;&lt;wsp:rsid wsp:val=&quot;0033437C&quot;/&gt;&lt;wsp:rsid wsp:val=&quot;003359AA&quot;/&gt;&lt;wsp:rsid wsp:val=&quot;00346E32&quot;/&gt;&lt;wsp:rsid wsp:val=&quot;003515AA&quot;/&gt;&lt;wsp:rsid wsp:val=&quot;003559BE&quot;/&gt;&lt;wsp:rsid wsp:val=&quot;00364F13&quot;/&gt;&lt;wsp:rsid wsp:val=&quot;0036776C&quot;/&gt;&lt;wsp:rsid wsp:val=&quot;00372A7A&quot;/&gt;&lt;wsp:rsid wsp:val=&quot;00372D1D&quot;/&gt;&lt;wsp:rsid wsp:val=&quot;00374106&quot;/&gt;&lt;wsp:rsid wsp:val=&quot;0037679A&quot;/&gt;&lt;wsp:rsid wsp:val=&quot;0038047C&quot;/&gt;&lt;wsp:rsid wsp:val=&quot;0038074E&quot;/&gt;&lt;wsp:rsid wsp:val=&quot;00382062&quot;/&gt;&lt;wsp:rsid wsp:val=&quot;00387BE2&quot;/&gt;&lt;wsp:rsid wsp:val=&quot;00390EEF&quot;/&gt;&lt;wsp:rsid wsp:val=&quot;00394410&quot;/&gt;&lt;wsp:rsid wsp:val=&quot;003976D5&quot;/&gt;&lt;wsp:rsid wsp:val=&quot;003A1CCA&quot;/&gt;&lt;wsp:rsid wsp:val=&quot;003B2253&quot;/&gt;&lt;wsp:rsid wsp:val=&quot;003B53B6&quot;/&gt;&lt;wsp:rsid wsp:val=&quot;003C297A&quot;/&gt;&lt;wsp:rsid wsp:val=&quot;003D14C3&quot;/&gt;&lt;wsp:rsid wsp:val=&quot;003D222A&quot;/&gt;&lt;wsp:rsid wsp:val=&quot;003D6C68&quot;/&gt;&lt;wsp:rsid wsp:val=&quot;003E01D0&quot;/&gt;&lt;wsp:rsid wsp:val=&quot;003E49B9&quot;/&gt;&lt;wsp:rsid wsp:val=&quot;003E5E5B&quot;/&gt;&lt;wsp:rsid wsp:val=&quot;003E5F12&quot;/&gt;&lt;wsp:rsid wsp:val=&quot;003E786C&quot;/&gt;&lt;wsp:rsid wsp:val=&quot;003F2A89&quot;/&gt;&lt;wsp:rsid wsp:val=&quot;003F4A54&quot;/&gt;&lt;wsp:rsid wsp:val=&quot;003F5593&quot;/&gt;&lt;wsp:rsid wsp:val=&quot;0040144C&quot;/&gt;&lt;wsp:rsid wsp:val=&quot;004067AE&quot;/&gt;&lt;wsp:rsid wsp:val=&quot;00410521&quot;/&gt;&lt;wsp:rsid wsp:val=&quot;00413BB0&quot;/&gt;&lt;wsp:rsid wsp:val=&quot;004159D0&quot;/&gt;&lt;wsp:rsid wsp:val=&quot;00417326&quot;/&gt;&lt;wsp:rsid wsp:val=&quot;00421A10&quot;/&gt;&lt;wsp:rsid wsp:val=&quot;00422499&quot;/&gt;&lt;wsp:rsid wsp:val=&quot;00427256&quot;/&gt;&lt;wsp:rsid wsp:val=&quot;00430EFC&quot;/&gt;&lt;wsp:rsid wsp:val=&quot;004334A9&quot;/&gt;&lt;wsp:rsid wsp:val=&quot;004342E2&quot;/&gt;&lt;wsp:rsid wsp:val=&quot;00434354&quot;/&gt;&lt;wsp:rsid wsp:val=&quot;00434FCA&quot;/&gt;&lt;wsp:rsid wsp:val=&quot;00440BC8&quot;/&gt;&lt;wsp:rsid wsp:val=&quot;004479E7&quot;/&gt;&lt;wsp:rsid wsp:val=&quot;00454F8D&quot;/&gt;&lt;wsp:rsid wsp:val=&quot;004567EB&quot;/&gt;&lt;wsp:rsid wsp:val=&quot;00460E72&quot;/&gt;&lt;wsp:rsid wsp:val=&quot;00464191&quot;/&gt;&lt;wsp:rsid wsp:val=&quot;00467412&quot;/&gt;&lt;wsp:rsid wsp:val=&quot;00472049&quot;/&gt;&lt;wsp:rsid wsp:val=&quot;00476265&quot;/&gt;&lt;wsp:rsid wsp:val=&quot;00490F56&quot;/&gt;&lt;wsp:rsid wsp:val=&quot;00491F39&quot;/&gt;&lt;wsp:rsid wsp:val=&quot;004A49A5&quot;/&gt;&lt;wsp:rsid wsp:val=&quot;004A66A2&quot;/&gt;&lt;wsp:rsid wsp:val=&quot;004B07A3&quot;/&gt;&lt;wsp:rsid wsp:val=&quot;004B261D&quot;/&gt;&lt;wsp:rsid wsp:val=&quot;004B51CD&quot;/&gt;&lt;wsp:rsid wsp:val=&quot;004B576C&quot;/&gt;&lt;wsp:rsid wsp:val=&quot;004C54C0&quot;/&gt;&lt;wsp:rsid wsp:val=&quot;004C56B2&quot;/&gt;&lt;wsp:rsid wsp:val=&quot;004C7D3D&quot;/&gt;&lt;wsp:rsid wsp:val=&quot;004D00B2&quot;/&gt;&lt;wsp:rsid wsp:val=&quot;004D4868&quot;/&gt;&lt;wsp:rsid wsp:val=&quot;004D57CF&quot;/&gt;&lt;wsp:rsid wsp:val=&quot;004D6120&quot;/&gt;&lt;wsp:rsid wsp:val=&quot;004D6726&quot;/&gt;&lt;wsp:rsid wsp:val=&quot;004E4963&quot;/&gt;&lt;wsp:rsid wsp:val=&quot;004E6809&quot;/&gt;&lt;wsp:rsid wsp:val=&quot;004E7F24&quot;/&gt;&lt;wsp:rsid wsp:val=&quot;004F57E4&quot;/&gt;&lt;wsp:rsid wsp:val=&quot;004F64EE&quot;/&gt;&lt;wsp:rsid wsp:val=&quot;00501742&quot;/&gt;&lt;wsp:rsid wsp:val=&quot;005111B1&quot;/&gt;&lt;wsp:rsid wsp:val=&quot;0051457E&quot;/&gt;&lt;wsp:rsid wsp:val=&quot;005158C5&quot;/&gt;&lt;wsp:rsid wsp:val=&quot;0051714B&quot;/&gt;&lt;wsp:rsid wsp:val=&quot;00520B81&quot;/&gt;&lt;wsp:rsid wsp:val=&quot;00520F80&quot;/&gt;&lt;wsp:rsid wsp:val=&quot;005239FF&quot;/&gt;&lt;wsp:rsid wsp:val=&quot;00523DB8&quot;/&gt;&lt;wsp:rsid wsp:val=&quot;005264CC&quot;/&gt;&lt;wsp:rsid wsp:val=&quot;005326A3&quot;/&gt;&lt;wsp:rsid wsp:val=&quot;00533150&quot;/&gt;&lt;wsp:rsid wsp:val=&quot;005342E3&quot;/&gt;&lt;wsp:rsid wsp:val=&quot;00543B57&quot;/&gt;&lt;wsp:rsid wsp:val=&quot;00543C47&quot;/&gt;&lt;wsp:rsid wsp:val=&quot;00543D5E&quot;/&gt;&lt;wsp:rsid wsp:val=&quot;005454BB&quot;/&gt;&lt;wsp:rsid wsp:val=&quot;00552260&quot;/&gt;&lt;wsp:rsid wsp:val=&quot;00552777&quot;/&gt;&lt;wsp:rsid wsp:val=&quot;00555494&quot;/&gt;&lt;wsp:rsid wsp:val=&quot;00555CBA&quot;/&gt;&lt;wsp:rsid wsp:val=&quot;00556C1A&quot;/&gt;&lt;wsp:rsid wsp:val=&quot;00561679&quot;/&gt;&lt;wsp:rsid wsp:val=&quot;00565B29&quot;/&gt;&lt;wsp:rsid wsp:val=&quot;00571BC1&quot;/&gt;&lt;wsp:rsid wsp:val=&quot;00571F41&quot;/&gt;&lt;wsp:rsid wsp:val=&quot;00575476&quot;/&gt;&lt;wsp:rsid wsp:val=&quot;0057646B&quot;/&gt;&lt;wsp:rsid wsp:val=&quot;00583A20&quot;/&gt;&lt;wsp:rsid wsp:val=&quot;00584373&quot;/&gt;&lt;wsp:rsid wsp:val=&quot;0059061F&quot;/&gt;&lt;wsp:rsid wsp:val=&quot;00591DB3&quot;/&gt;&lt;wsp:rsid wsp:val=&quot;005939ED&quot;/&gt;&lt;wsp:rsid wsp:val=&quot;005947BC&quot;/&gt;&lt;wsp:rsid wsp:val=&quot;00595E27&quot;/&gt;&lt;wsp:rsid wsp:val=&quot;00595E8A&quot;/&gt;&lt;wsp:rsid wsp:val=&quot;005A0268&quot;/&gt;&lt;wsp:rsid wsp:val=&quot;005A0B69&quot;/&gt;&lt;wsp:rsid wsp:val=&quot;005A3F11&quot;/&gt;&lt;wsp:rsid wsp:val=&quot;005A5473&quot;/&gt;&lt;wsp:rsid wsp:val=&quot;005A6014&quot;/&gt;&lt;wsp:rsid wsp:val=&quot;005B4213&quot;/&gt;&lt;wsp:rsid wsp:val=&quot;005B473C&quot;/&gt;&lt;wsp:rsid wsp:val=&quot;005B4DCA&quot;/&gt;&lt;wsp:rsid wsp:val=&quot;005C549A&quot;/&gt;&lt;wsp:rsid wsp:val=&quot;005D0011&quot;/&gt;&lt;wsp:rsid wsp:val=&quot;005D0035&quot;/&gt;&lt;wsp:rsid wsp:val=&quot;005D6073&quot;/&gt;&lt;wsp:rsid wsp:val=&quot;005D62CE&quot;/&gt;&lt;wsp:rsid wsp:val=&quot;005D7719&quot;/&gt;&lt;wsp:rsid wsp:val=&quot;005E1B9B&quot;/&gt;&lt;wsp:rsid wsp:val=&quot;005E32D1&quot;/&gt;&lt;wsp:rsid wsp:val=&quot;005E5D1F&quot;/&gt;&lt;wsp:rsid wsp:val=&quot;005F0207&quot;/&gt;&lt;wsp:rsid wsp:val=&quot;006047C5&quot;/&gt;&lt;wsp:rsid wsp:val=&quot;0061113B&quot;/&gt;&lt;wsp:rsid wsp:val=&quot;00611D43&quot;/&gt;&lt;wsp:rsid wsp:val=&quot;00611F1E&quot;/&gt;&lt;wsp:rsid wsp:val=&quot;00612D48&quot;/&gt;&lt;wsp:rsid wsp:val=&quot;00613A5E&quot;/&gt;&lt;wsp:rsid wsp:val=&quot;00616B45&quot;/&gt;&lt;wsp:rsid wsp:val=&quot;0062215C&quot;/&gt;&lt;wsp:rsid wsp:val=&quot;006241C6&quot;/&gt;&lt;wsp:rsid wsp:val=&quot;00630D9B&quot;/&gt;&lt;wsp:rsid wsp:val=&quot;00631953&quot;/&gt;&lt;wsp:rsid wsp:val=&quot;0063208D&quot;/&gt;&lt;wsp:rsid wsp:val=&quot;00634EDA&quot;/&gt;&lt;wsp:rsid wsp:val=&quot;00643814&quot;/&gt;&lt;wsp:rsid wsp:val=&quot;006439EC&quot;/&gt;&lt;wsp:rsid wsp:val=&quot;00645090&quot;/&gt;&lt;wsp:rsid wsp:val=&quot;00647059&quot;/&gt;&lt;wsp:rsid wsp:val=&quot;00647162&quot;/&gt;&lt;wsp:rsid wsp:val=&quot;0065029A&quot;/&gt;&lt;wsp:rsid wsp:val=&quot;006553F9&quot;/&gt;&lt;wsp:rsid wsp:val=&quot;00661E96&quot;/&gt;&lt;wsp:rsid wsp:val=&quot;00662E5D&quot;/&gt;&lt;wsp:rsid wsp:val=&quot;00665786&quot;/&gt;&lt;wsp:rsid wsp:val=&quot;00671C93&quot;/&gt;&lt;wsp:rsid wsp:val=&quot;00671F00&quot;/&gt;&lt;wsp:rsid wsp:val=&quot;006729C8&quot;/&gt;&lt;wsp:rsid wsp:val=&quot;00672BD2&quot;/&gt;&lt;wsp:rsid wsp:val=&quot;006732E0&quot;/&gt;&lt;wsp:rsid wsp:val=&quot;00674B14&quot;/&gt;&lt;wsp:rsid wsp:val=&quot;00675501&quot;/&gt;&lt;wsp:rsid wsp:val=&quot;006759A5&quot;/&gt;&lt;wsp:rsid wsp:val=&quot;0068562A&quot;/&gt;&lt;wsp:rsid wsp:val=&quot;00691B37&quot;/&gt;&lt;wsp:rsid wsp:val=&quot;0069549E&quot;/&gt;&lt;wsp:rsid wsp:val=&quot;006A24AD&quot;/&gt;&lt;wsp:rsid wsp:val=&quot;006A6B31&quot;/&gt;&lt;wsp:rsid wsp:val=&quot;006A6C95&quot;/&gt;&lt;wsp:rsid wsp:val=&quot;006A7B29&quot;/&gt;&lt;wsp:rsid wsp:val=&quot;006B0EB2&quot;/&gt;&lt;wsp:rsid wsp:val=&quot;006B0FF8&quot;/&gt;&lt;wsp:rsid wsp:val=&quot;006B348B&quot;/&gt;&lt;wsp:rsid wsp:val=&quot;006B4590&quot;/&gt;&lt;wsp:rsid wsp:val=&quot;006C3174&quot;/&gt;&lt;wsp:rsid wsp:val=&quot;006C340C&quot;/&gt;&lt;wsp:rsid wsp:val=&quot;006E6002&quot;/&gt;&lt;wsp:rsid wsp:val=&quot;006F1D0B&quot;/&gt;&lt;wsp:rsid wsp:val=&quot;006F27A8&quot;/&gt;&lt;wsp:rsid wsp:val=&quot;006F3493&quot;/&gt;&lt;wsp:rsid wsp:val=&quot;006F3544&quot;/&gt;&lt;wsp:rsid wsp:val=&quot;0070347C&quot;/&gt;&lt;wsp:rsid wsp:val=&quot;007102D2&quot;/&gt;&lt;wsp:rsid wsp:val=&quot;00714A66&quot;/&gt;&lt;wsp:rsid wsp:val=&quot;0071658C&quot;/&gt;&lt;wsp:rsid wsp:val=&quot;007176C1&quot;/&gt;&lt;wsp:rsid wsp:val=&quot;00720BC0&quot;/&gt;&lt;wsp:rsid wsp:val=&quot;0072116B&quot;/&gt;&lt;wsp:rsid wsp:val=&quot;00725063&quot;/&gt;&lt;wsp:rsid wsp:val=&quot;00732E72&quot;/&gt;&lt;wsp:rsid wsp:val=&quot;00737789&quot;/&gt;&lt;wsp:rsid wsp:val=&quot;00741D90&quot;/&gt;&lt;wsp:rsid wsp:val=&quot;00752D32&quot;/&gt;&lt;wsp:rsid wsp:val=&quot;007607B1&quot;/&gt;&lt;wsp:rsid wsp:val=&quot;0076355C&quot;/&gt;&lt;wsp:rsid wsp:val=&quot;00765296&quot;/&gt;&lt;wsp:rsid wsp:val=&quot;00766D28&quot;/&gt;&lt;wsp:rsid wsp:val=&quot;007723C2&quot;/&gt;&lt;wsp:rsid wsp:val=&quot;007775AA&quot;/&gt;&lt;wsp:rsid wsp:val=&quot;007815B9&quot;/&gt;&lt;wsp:rsid wsp:val=&quot;00785F1F&quot;/&gt;&lt;wsp:rsid wsp:val=&quot;007869B6&quot;/&gt;&lt;wsp:rsid wsp:val=&quot;00790B9D&quot;/&gt;&lt;wsp:rsid wsp:val=&quot;00796091&quot;/&gt;&lt;wsp:rsid wsp:val=&quot;00796316&quot;/&gt;&lt;wsp:rsid wsp:val=&quot;007A1C58&quot;/&gt;&lt;wsp:rsid wsp:val=&quot;007A20D2&quot;/&gt;&lt;wsp:rsid wsp:val=&quot;007A79CD&quot;/&gt;&lt;wsp:rsid wsp:val=&quot;007D2668&quot;/&gt;&lt;wsp:rsid wsp:val=&quot;007D3119&quot;/&gt;&lt;wsp:rsid wsp:val=&quot;007D7E57&quot;/&gt;&lt;wsp:rsid wsp:val=&quot;007E1241&quot;/&gt;&lt;wsp:rsid wsp:val=&quot;007E1D3C&quot;/&gt;&lt;wsp:rsid wsp:val=&quot;007F1867&quot;/&gt;&lt;wsp:rsid wsp:val=&quot;007F1EC4&quot;/&gt;&lt;wsp:rsid wsp:val=&quot;007F55CB&quot;/&gt;&lt;wsp:rsid wsp:val=&quot;007F55DB&quot;/&gt;&lt;wsp:rsid wsp:val=&quot;007F768E&quot;/&gt;&lt;wsp:rsid wsp:val=&quot;00800CB4&quot;/&gt;&lt;wsp:rsid wsp:val=&quot;008021D4&quot;/&gt;&lt;wsp:rsid wsp:val=&quot;008059DE&quot;/&gt;&lt;wsp:rsid wsp:val=&quot;008149F9&quot;/&gt;&lt;wsp:rsid wsp:val=&quot;008245B7&quot;/&gt;&lt;wsp:rsid wsp:val=&quot;008245E8&quot;/&gt;&lt;wsp:rsid wsp:val=&quot;0082755E&quot;/&gt;&lt;wsp:rsid wsp:val=&quot;00831A18&quot;/&gt;&lt;wsp:rsid wsp:val=&quot;00834BFD&quot;/&gt;&lt;wsp:rsid wsp:val=&quot;00837345&quot;/&gt;&lt;wsp:rsid wsp:val=&quot;00844750&quot;/&gt;&lt;wsp:rsid wsp:val=&quot;00851A74&quot;/&gt;&lt;wsp:rsid wsp:val=&quot;00853AB8&quot;/&gt;&lt;wsp:rsid wsp:val=&quot;00853D3B&quot;/&gt;&lt;wsp:rsid wsp:val=&quot;00854C34&quot;/&gt;&lt;wsp:rsid wsp:val=&quot;0085586A&quot;/&gt;&lt;wsp:rsid wsp:val=&quot;00856DB2&quot;/&gt;&lt;wsp:rsid wsp:val=&quot;0088030B&quot;/&gt;&lt;wsp:rsid wsp:val=&quot;00895DE5&quot;/&gt;&lt;wsp:rsid wsp:val=&quot;008A0FA8&quot;/&gt;&lt;wsp:rsid wsp:val=&quot;008A1EC0&quot;/&gt;&lt;wsp:rsid wsp:val=&quot;008B2202&quot;/&gt;&lt;wsp:rsid wsp:val=&quot;008B44C4&quot;/&gt;&lt;wsp:rsid wsp:val=&quot;008B5253&quot;/&gt;&lt;wsp:rsid wsp:val=&quot;008C189F&quot;/&gt;&lt;wsp:rsid wsp:val=&quot;008C322B&quot;/&gt;&lt;wsp:rsid wsp:val=&quot;008C4B74&quot;/&gt;&lt;wsp:rsid wsp:val=&quot;008D1156&quot;/&gt;&lt;wsp:rsid wsp:val=&quot;008D59DB&quot;/&gt;&lt;wsp:rsid wsp:val=&quot;008D7CC0&quot;/&gt;&lt;wsp:rsid wsp:val=&quot;008E0319&quot;/&gt;&lt;wsp:rsid wsp:val=&quot;008E1DBC&quot;/&gt;&lt;wsp:rsid wsp:val=&quot;008E4DE2&quot;/&gt;&lt;wsp:rsid wsp:val=&quot;008E7CE2&quot;/&gt;&lt;wsp:rsid wsp:val=&quot;008E7FAE&quot;/&gt;&lt;wsp:rsid wsp:val=&quot;009019CF&quot;/&gt;&lt;wsp:rsid wsp:val=&quot;00911250&quot;/&gt;&lt;wsp:rsid wsp:val=&quot;00911BF7&quot;/&gt;&lt;wsp:rsid wsp:val=&quot;0091594A&quot;/&gt;&lt;wsp:rsid wsp:val=&quot;009230F1&quot;/&gt;&lt;wsp:rsid wsp:val=&quot;00926925&quot;/&gt;&lt;wsp:rsid wsp:val=&quot;00933655&quot;/&gt;&lt;wsp:rsid wsp:val=&quot;00935490&quot;/&gt;&lt;wsp:rsid wsp:val=&quot;009418DE&quot;/&gt;&lt;wsp:rsid wsp:val=&quot;00942052&quot;/&gt;&lt;wsp:rsid wsp:val=&quot;00950CF6&quot;/&gt;&lt;wsp:rsid wsp:val=&quot;009516B7&quot;/&gt;&lt;wsp:rsid wsp:val=&quot;009545F1&quot;/&gt;&lt;wsp:rsid wsp:val=&quot;00957CE5&quot;/&gt;&lt;wsp:rsid wsp:val=&quot;009624E2&quot;/&gt;&lt;wsp:rsid wsp:val=&quot;00962CCA&quot;/&gt;&lt;wsp:rsid wsp:val=&quot;00974DD2&quot;/&gt;&lt;wsp:rsid wsp:val=&quot;00976DA7&quot;/&gt;&lt;wsp:rsid wsp:val=&quot;00977EC8&quot;/&gt;&lt;wsp:rsid wsp:val=&quot;0099494F&quot;/&gt;&lt;wsp:rsid wsp:val=&quot;00996562&quot;/&gt;&lt;wsp:rsid wsp:val=&quot;009A1A4C&quot;/&gt;&lt;wsp:rsid wsp:val=&quot;009A3048&quot;/&gt;&lt;wsp:rsid wsp:val=&quot;009A6C26&quot;/&gt;&lt;wsp:rsid wsp:val=&quot;009A7A1F&quot;/&gt;&lt;wsp:rsid wsp:val=&quot;009B09F5&quot;/&gt;&lt;wsp:rsid wsp:val=&quot;009B17AD&quot;/&gt;&lt;wsp:rsid wsp:val=&quot;009B342E&quot;/&gt;&lt;wsp:rsid wsp:val=&quot;009B3F8C&quot;/&gt;&lt;wsp:rsid wsp:val=&quot;009B45E0&quot;/&gt;&lt;wsp:rsid wsp:val=&quot;009B540F&quot;/&gt;&lt;wsp:rsid wsp:val=&quot;009C02D2&quot;/&gt;&lt;wsp:rsid wsp:val=&quot;009C41DB&quot;/&gt;&lt;wsp:rsid wsp:val=&quot;009D2640&quot;/&gt;&lt;wsp:rsid wsp:val=&quot;009D3A8C&quot;/&gt;&lt;wsp:rsid wsp:val=&quot;009E1BA9&quot;/&gt;&lt;wsp:rsid wsp:val=&quot;009E2876&quot;/&gt;&lt;wsp:rsid wsp:val=&quot;009E2F0B&quot;/&gt;&lt;wsp:rsid wsp:val=&quot;009E7956&quot;/&gt;&lt;wsp:rsid wsp:val=&quot;009F072F&quot;/&gt;&lt;wsp:rsid wsp:val=&quot;009F26C1&quot;/&gt;&lt;wsp:rsid wsp:val=&quot;009F3F95&quot;/&gt;&lt;wsp:rsid wsp:val=&quot;009F61E4&quot;/&gt;&lt;wsp:rsid wsp:val=&quot;00A013D3&quot;/&gt;&lt;wsp:rsid wsp:val=&quot;00A023FC&quot;/&gt;&lt;wsp:rsid wsp:val=&quot;00A0338D&quot;/&gt;&lt;wsp:rsid wsp:val=&quot;00A05DD1&quot;/&gt;&lt;wsp:rsid wsp:val=&quot;00A077E9&quot;/&gt;&lt;wsp:rsid wsp:val=&quot;00A2492E&quot;/&gt;&lt;wsp:rsid wsp:val=&quot;00A31163&quot;/&gt;&lt;wsp:rsid wsp:val=&quot;00A31788&quot;/&gt;&lt;wsp:rsid wsp:val=&quot;00A34593&quot;/&gt;&lt;wsp:rsid wsp:val=&quot;00A364DB&quot;/&gt;&lt;wsp:rsid wsp:val=&quot;00A44481&quot;/&gt;&lt;wsp:rsid wsp:val=&quot;00A45E90&quot;/&gt;&lt;wsp:rsid wsp:val=&quot;00A4770F&quot;/&gt;&lt;wsp:rsid wsp:val=&quot;00A50D6B&quot;/&gt;&lt;wsp:rsid wsp:val=&quot;00A51050&quot;/&gt;&lt;wsp:rsid wsp:val=&quot;00A5118A&quot;/&gt;&lt;wsp:rsid wsp:val=&quot;00A51CE3&quot;/&gt;&lt;wsp:rsid wsp:val=&quot;00A56945&quot;/&gt;&lt;wsp:rsid wsp:val=&quot;00A57027&quot;/&gt;&lt;wsp:rsid wsp:val=&quot;00A5750C&quot;/&gt;&lt;wsp:rsid wsp:val=&quot;00A60EFF&quot;/&gt;&lt;wsp:rsid wsp:val=&quot;00A61CC9&quot;/&gt;&lt;wsp:rsid wsp:val=&quot;00A66781&quot;/&gt;&lt;wsp:rsid wsp:val=&quot;00A72C35&quot;/&gt;&lt;wsp:rsid wsp:val=&quot;00A752BB&quot;/&gt;&lt;wsp:rsid wsp:val=&quot;00A81F93&quot;/&gt;&lt;wsp:rsid wsp:val=&quot;00A9247E&quot;/&gt;&lt;wsp:rsid wsp:val=&quot;00A973B3&quot;/&gt;&lt;wsp:rsid wsp:val=&quot;00A973EE&quot;/&gt;&lt;wsp:rsid wsp:val=&quot;00AA0DCA&quot;/&gt;&lt;wsp:rsid wsp:val=&quot;00AA1584&quot;/&gt;&lt;wsp:rsid wsp:val=&quot;00AA3771&quot;/&gt;&lt;wsp:rsid wsp:val=&quot;00AA7796&quot;/&gt;&lt;wsp:rsid wsp:val=&quot;00AC67A1&quot;/&gt;&lt;wsp:rsid wsp:val=&quot;00AC7977&quot;/&gt;&lt;wsp:rsid wsp:val=&quot;00AC7E56&quot;/&gt;&lt;wsp:rsid wsp:val=&quot;00AD55C9&quot;/&gt;&lt;wsp:rsid wsp:val=&quot;00AD5798&quot;/&gt;&lt;wsp:rsid wsp:val=&quot;00AD5B30&quot;/&gt;&lt;wsp:rsid wsp:val=&quot;00AE0272&quot;/&gt;&lt;wsp:rsid wsp:val=&quot;00AE2617&quot;/&gt;&lt;wsp:rsid wsp:val=&quot;00AE352C&quot;/&gt;&lt;wsp:rsid wsp:val=&quot;00AE4CCA&quot;/&gt;&lt;wsp:rsid wsp:val=&quot;00AE79AC&quot;/&gt;&lt;wsp:rsid wsp:val=&quot;00AF068B&quot;/&gt;&lt;wsp:rsid wsp:val=&quot;00B01AAD&quot;/&gt;&lt;wsp:rsid wsp:val=&quot;00B041C1&quot;/&gt;&lt;wsp:rsid wsp:val=&quot;00B101DB&quot;/&gt;&lt;wsp:rsid wsp:val=&quot;00B150A2&quot;/&gt;&lt;wsp:rsid wsp:val=&quot;00B1627E&quot;/&gt;&lt;wsp:rsid wsp:val=&quot;00B21751&quot;/&gt;&lt;wsp:rsid wsp:val=&quot;00B220F6&quot;/&gt;&lt;wsp:rsid wsp:val=&quot;00B256F0&quot;/&gt;&lt;wsp:rsid wsp:val=&quot;00B25EA9&quot;/&gt;&lt;wsp:rsid wsp:val=&quot;00B31D7D&quot;/&gt;&lt;wsp:rsid wsp:val=&quot;00B32E2D&quot;/&gt;&lt;wsp:rsid wsp:val=&quot;00B3524E&quot;/&gt;&lt;wsp:rsid wsp:val=&quot;00B370A4&quot;/&gt;&lt;wsp:rsid wsp:val=&quot;00B416B8&quot;/&gt;&lt;wsp:rsid wsp:val=&quot;00B42351&quot;/&gt;&lt;wsp:rsid wsp:val=&quot;00B43741&quot;/&gt;&lt;wsp:rsid wsp:val=&quot;00B45642&quot;/&gt;&lt;wsp:rsid wsp:val=&quot;00B52F29&quot;/&gt;&lt;wsp:rsid wsp:val=&quot;00B5388D&quot;/&gt;&lt;wsp:rsid wsp:val=&quot;00B61990&quot;/&gt;&lt;wsp:rsid wsp:val=&quot;00B6249B&quot;/&gt;&lt;wsp:rsid wsp:val=&quot;00B70CCD&quot;/&gt;&lt;wsp:rsid wsp:val=&quot;00B724E6&quot;/&gt;&lt;wsp:rsid wsp:val=&quot;00B75E66&quot;/&gt;&lt;wsp:rsid wsp:val=&quot;00B773BF&quot;/&gt;&lt;wsp:rsid wsp:val=&quot;00B82016&quot;/&gt;&lt;wsp:rsid wsp:val=&quot;00BA3BEC&quot;/&gt;&lt;wsp:rsid wsp:val=&quot;00BC3F20&quot;/&gt;&lt;wsp:rsid wsp:val=&quot;00BC76F0&quot;/&gt;&lt;wsp:rsid wsp:val=&quot;00BD13E6&quot;/&gt;&lt;wsp:rsid wsp:val=&quot;00BD28B2&quot;/&gt;&lt;wsp:rsid wsp:val=&quot;00BD5A8D&quot;/&gt;&lt;wsp:rsid wsp:val=&quot;00BD7343&quot;/&gt;&lt;wsp:rsid wsp:val=&quot;00BE7C74&quot;/&gt;&lt;wsp:rsid wsp:val=&quot;00BF0556&quot;/&gt;&lt;wsp:rsid wsp:val=&quot;00BF334D&quot;/&gt;&lt;wsp:rsid wsp:val=&quot;00BF346F&quot;/&gt;&lt;wsp:rsid wsp:val=&quot;00BF37EE&quot;/&gt;&lt;wsp:rsid wsp:val=&quot;00C024A1&quot;/&gt;&lt;wsp:rsid wsp:val=&quot;00C02C42&quot;/&gt;&lt;wsp:rsid wsp:val=&quot;00C10FB1&quot;/&gt;&lt;wsp:rsid wsp:val=&quot;00C11282&quot;/&gt;&lt;wsp:rsid wsp:val=&quot;00C14108&quot;/&gt;&lt;wsp:rsid wsp:val=&quot;00C21D54&quot;/&gt;&lt;wsp:rsid wsp:val=&quot;00C261F8&quot;/&gt;&lt;wsp:rsid wsp:val=&quot;00C27662&quot;/&gt;&lt;wsp:rsid wsp:val=&quot;00C322BF&quot;/&gt;&lt;wsp:rsid wsp:val=&quot;00C32914&quot;/&gt;&lt;wsp:rsid wsp:val=&quot;00C33100&quot;/&gt;&lt;wsp:rsid wsp:val=&quot;00C42EDB&quot;/&gt;&lt;wsp:rsid wsp:val=&quot;00C451B9&quot;/&gt;&lt;wsp:rsid wsp:val=&quot;00C51D9C&quot;/&gt;&lt;wsp:rsid wsp:val=&quot;00C54DA4&quot;/&gt;&lt;wsp:rsid wsp:val=&quot;00C55118&quot;/&gt;&lt;wsp:rsid wsp:val=&quot;00C577D1&quot;/&gt;&lt;wsp:rsid wsp:val=&quot;00C57A2D&quot;/&gt;&lt;wsp:rsid wsp:val=&quot;00C6018C&quot;/&gt;&lt;wsp:rsid wsp:val=&quot;00C67D23&quot;/&gt;&lt;wsp:rsid wsp:val=&quot;00C71827&quot;/&gt;&lt;wsp:rsid wsp:val=&quot;00C75D25&quot;/&gt;&lt;wsp:rsid wsp:val=&quot;00C825E5&quot;/&gt;&lt;wsp:rsid wsp:val=&quot;00C92A84&quot;/&gt;&lt;wsp:rsid wsp:val=&quot;00C94B44&quot;/&gt;&lt;wsp:rsid wsp:val=&quot;00C95EB8&quot;/&gt;&lt;wsp:rsid wsp:val=&quot;00C97EC1&quot;/&gt;&lt;wsp:rsid wsp:val=&quot;00CA4CC9&quot;/&gt;&lt;wsp:rsid wsp:val=&quot;00CB02C5&quot;/&gt;&lt;wsp:rsid wsp:val=&quot;00CB0D41&quot;/&gt;&lt;wsp:rsid wsp:val=&quot;00CB1F82&quot;/&gt;&lt;wsp:rsid wsp:val=&quot;00CB39CD&quot;/&gt;&lt;wsp:rsid wsp:val=&quot;00CC2A62&quot;/&gt;&lt;wsp:rsid wsp:val=&quot;00CC7CE6&quot;/&gt;&lt;wsp:rsid wsp:val=&quot;00CD044C&quot;/&gt;&lt;wsp:rsid wsp:val=&quot;00CD1589&quot;/&gt;&lt;wsp:rsid wsp:val=&quot;00CD1A71&quot;/&gt;&lt;wsp:rsid wsp:val=&quot;00CD1FBB&quot;/&gt;&lt;wsp:rsid wsp:val=&quot;00CE033D&quot;/&gt;&lt;wsp:rsid wsp:val=&quot;00CE08E5&quot;/&gt;&lt;wsp:rsid wsp:val=&quot;00D0068B&quot;/&gt;&lt;wsp:rsid wsp:val=&quot;00D016B5&quot;/&gt;&lt;wsp:rsid wsp:val=&quot;00D034F1&quot;/&gt;&lt;wsp:rsid wsp:val=&quot;00D05828&quot;/&gt;&lt;wsp:rsid wsp:val=&quot;00D062F1&quot;/&gt;&lt;wsp:rsid wsp:val=&quot;00D06712&quot;/&gt;&lt;wsp:rsid wsp:val=&quot;00D14C21&quot;/&gt;&lt;wsp:rsid wsp:val=&quot;00D14F42&quot;/&gt;&lt;wsp:rsid wsp:val=&quot;00D171D4&quot;/&gt;&lt;wsp:rsid wsp:val=&quot;00D20BFE&quot;/&gt;&lt;wsp:rsid wsp:val=&quot;00D244CB&quot;/&gt;&lt;wsp:rsid wsp:val=&quot;00D27D5E&quot;/&gt;&lt;wsp:rsid wsp:val=&quot;00D32B08&quot;/&gt;&lt;wsp:rsid wsp:val=&quot;00D32D3B&quot;/&gt;&lt;wsp:rsid wsp:val=&quot;00D407D1&quot;/&gt;&lt;wsp:rsid wsp:val=&quot;00D418EA&quot;/&gt;&lt;wsp:rsid wsp:val=&quot;00D43E5F&quot;/&gt;&lt;wsp:rsid wsp:val=&quot;00D4492E&quot;/&gt;&lt;wsp:rsid wsp:val=&quot;00D47973&quot;/&gt;&lt;wsp:rsid wsp:val=&quot;00D51CE6&quot;/&gt;&lt;wsp:rsid wsp:val=&quot;00D639BD&quot;/&gt;&lt;wsp:rsid wsp:val=&quot;00D65777&quot;/&gt;&lt;wsp:rsid wsp:val=&quot;00D66E0D&quot;/&gt;&lt;wsp:rsid wsp:val=&quot;00D7425A&quot;/&gt;&lt;wsp:rsid wsp:val=&quot;00D74F7E&quot;/&gt;&lt;wsp:rsid wsp:val=&quot;00D766E4&quot;/&gt;&lt;wsp:rsid wsp:val=&quot;00D7695F&quot;/&gt;&lt;wsp:rsid wsp:val=&quot;00D833D6&quot;/&gt;&lt;wsp:rsid wsp:val=&quot;00D9039B&quot;/&gt;&lt;wsp:rsid wsp:val=&quot;00D91514&quot;/&gt;&lt;wsp:rsid wsp:val=&quot;00D93582&quot;/&gt;&lt;wsp:rsid wsp:val=&quot;00D96BFD&quot;/&gt;&lt;wsp:rsid wsp:val=&quot;00DA41A2&quot;/&gt;&lt;wsp:rsid wsp:val=&quot;00DA43A1&quot;/&gt;&lt;wsp:rsid wsp:val=&quot;00DA5E1D&quot;/&gt;&lt;wsp:rsid wsp:val=&quot;00DC3628&quot;/&gt;&lt;wsp:rsid wsp:val=&quot;00DC3D46&quot;/&gt;&lt;wsp:rsid wsp:val=&quot;00DC4F43&quot;/&gt;&lt;wsp:rsid wsp:val=&quot;00DC78E9&quot;/&gt;&lt;wsp:rsid wsp:val=&quot;00DD535C&quot;/&gt;&lt;wsp:rsid wsp:val=&quot;00DE083E&quot;/&gt;&lt;wsp:rsid wsp:val=&quot;00DE6AD7&quot;/&gt;&lt;wsp:rsid wsp:val=&quot;00DE6D90&quot;/&gt;&lt;wsp:rsid wsp:val=&quot;00DF002F&quot;/&gt;&lt;wsp:rsid wsp:val=&quot;00DF47F1&quot;/&gt;&lt;wsp:rsid wsp:val=&quot;00E00CF1&quot;/&gt;&lt;wsp:rsid wsp:val=&quot;00E0244D&quot;/&gt;&lt;wsp:rsid wsp:val=&quot;00E026DF&quot;/&gt;&lt;wsp:rsid wsp:val=&quot;00E02F48&quot;/&gt;&lt;wsp:rsid wsp:val=&quot;00E03712&quot;/&gt;&lt;wsp:rsid wsp:val=&quot;00E06B3F&quot;/&gt;&lt;wsp:rsid wsp:val=&quot;00E10A73&quot;/&gt;&lt;wsp:rsid wsp:val=&quot;00E14F27&quot;/&gt;&lt;wsp:rsid wsp:val=&quot;00E171D2&quot;/&gt;&lt;wsp:rsid wsp:val=&quot;00E17BD3&quot;/&gt;&lt;wsp:rsid wsp:val=&quot;00E221F3&quot;/&gt;&lt;wsp:rsid wsp:val=&quot;00E25534&quot;/&gt;&lt;wsp:rsid wsp:val=&quot;00E319B6&quot;/&gt;&lt;wsp:rsid wsp:val=&quot;00E32145&quot;/&gt;&lt;wsp:rsid wsp:val=&quot;00E32F5A&quot;/&gt;&lt;wsp:rsid wsp:val=&quot;00E34EB5&quot;/&gt;&lt;wsp:rsid wsp:val=&quot;00E353E7&quot;/&gt;&lt;wsp:rsid wsp:val=&quot;00E46AC5&quot;/&gt;&lt;wsp:rsid wsp:val=&quot;00E47554&quot;/&gt;&lt;wsp:rsid wsp:val=&quot;00E47BB0&quot;/&gt;&lt;wsp:rsid wsp:val=&quot;00E510F3&quot;/&gt;&lt;wsp:rsid wsp:val=&quot;00E51874&quot;/&gt;&lt;wsp:rsid wsp:val=&quot;00E60012&quot;/&gt;&lt;wsp:rsid wsp:val=&quot;00E61149&quot;/&gt;&lt;wsp:rsid wsp:val=&quot;00E62CFF&quot;/&gt;&lt;wsp:rsid wsp:val=&quot;00E65117&quot;/&gt;&lt;wsp:rsid wsp:val=&quot;00E665EE&quot;/&gt;&lt;wsp:rsid wsp:val=&quot;00E679AE&quot;/&gt;&lt;wsp:rsid wsp:val=&quot;00E71570&quot;/&gt;&lt;wsp:rsid wsp:val=&quot;00E73B13&quot;/&gt;&lt;wsp:rsid wsp:val=&quot;00E75C58&quot;/&gt;&lt;wsp:rsid wsp:val=&quot;00E76819&quot;/&gt;&lt;wsp:rsid wsp:val=&quot;00E81E94&quot;/&gt;&lt;wsp:rsid wsp:val=&quot;00E82607&quot;/&gt;&lt;wsp:rsid wsp:val=&quot;00E84A82&quot;/&gt;&lt;wsp:rsid wsp:val=&quot;00E85025&quot;/&gt;&lt;wsp:rsid wsp:val=&quot;00E9483E&quot;/&gt;&lt;wsp:rsid wsp:val=&quot;00E950C1&quot;/&gt;&lt;wsp:rsid wsp:val=&quot;00E96710&quot;/&gt;&lt;wsp:rsid wsp:val=&quot;00E97E2C&quot;/&gt;&lt;wsp:rsid wsp:val=&quot;00EA3B1D&quot;/&gt;&lt;wsp:rsid wsp:val=&quot;00EA5B20&quot;/&gt;&lt;wsp:rsid wsp:val=&quot;00EA6FB6&quot;/&gt;&lt;wsp:rsid wsp:val=&quot;00EB0423&quot;/&gt;&lt;wsp:rsid wsp:val=&quot;00EB77B9&quot;/&gt;&lt;wsp:rsid wsp:val=&quot;00EB7D07&quot;/&gt;&lt;wsp:rsid wsp:val=&quot;00ED3A26&quot;/&gt;&lt;wsp:rsid wsp:val=&quot;00ED73A1&quot;/&gt;&lt;wsp:rsid wsp:val=&quot;00EF09E3&quot;/&gt;&lt;wsp:rsid wsp:val=&quot;00EF70BB&quot;/&gt;&lt;wsp:rsid wsp:val=&quot;00F02F18&quot;/&gt;&lt;wsp:rsid wsp:val=&quot;00F02FA9&quot;/&gt;&lt;wsp:rsid wsp:val=&quot;00F06660&quot;/&gt;&lt;wsp:rsid wsp:val=&quot;00F07AE1&quot;/&gt;&lt;wsp:rsid wsp:val=&quot;00F10CCF&quot;/&gt;&lt;wsp:rsid wsp:val=&quot;00F116EB&quot;/&gt;&lt;wsp:rsid wsp:val=&quot;00F11E76&quot;/&gt;&lt;wsp:rsid wsp:val=&quot;00F1791E&quot;/&gt;&lt;wsp:rsid wsp:val=&quot;00F1794E&quot;/&gt;&lt;wsp:rsid wsp:val=&quot;00F211AF&quot;/&gt;&lt;wsp:rsid wsp:val=&quot;00F25EC3&quot;/&gt;&lt;wsp:rsid wsp:val=&quot;00F32ADB&quot;/&gt;&lt;wsp:rsid wsp:val=&quot;00F32C98&quot;/&gt;&lt;wsp:rsid wsp:val=&quot;00F37E12&quot;/&gt;&lt;wsp:rsid wsp:val=&quot;00F409E9&quot;/&gt;&lt;wsp:rsid wsp:val=&quot;00F424BD&quot;/&gt;&lt;wsp:rsid wsp:val=&quot;00F44DAD&quot;/&gt;&lt;wsp:rsid wsp:val=&quot;00F45D41&quot;/&gt;&lt;wsp:rsid wsp:val=&quot;00F45F45&quot;/&gt;&lt;wsp:rsid wsp:val=&quot;00F515AD&quot;/&gt;&lt;wsp:rsid wsp:val=&quot;00F57DD7&quot;/&gt;&lt;wsp:rsid wsp:val=&quot;00F636AD&quot;/&gt;&lt;wsp:rsid wsp:val=&quot;00F6452E&quot;/&gt;&lt;wsp:rsid wsp:val=&quot;00F734D9&quot;/&gt;&lt;wsp:rsid wsp:val=&quot;00F73762&quot;/&gt;&lt;wsp:rsid wsp:val=&quot;00F73E53&quot;/&gt;&lt;wsp:rsid wsp:val=&quot;00F73F83&quot;/&gt;&lt;wsp:rsid wsp:val=&quot;00F74902&quot;/&gt;&lt;wsp:rsid wsp:val=&quot;00F85A4E&quot;/&gt;&lt;wsp:rsid wsp:val=&quot;00F87FFE&quot;/&gt;&lt;wsp:rsid wsp:val=&quot;00F9353A&quot;/&gt;&lt;wsp:rsid wsp:val=&quot;00F965C2&quot;/&gt;&lt;wsp:rsid wsp:val=&quot;00FA27D4&quot;/&gt;&lt;wsp:rsid wsp:val=&quot;00FA53C5&quot;/&gt;&lt;wsp:rsid wsp:val=&quot;00FA5A79&quot;/&gt;&lt;wsp:rsid wsp:val=&quot;00FB0BFE&quot;/&gt;&lt;wsp:rsid wsp:val=&quot;00FB4300&quot;/&gt;&lt;wsp:rsid wsp:val=&quot;00FB4C51&quot;/&gt;&lt;wsp:rsid wsp:val=&quot;00FB734D&quot;/&gt;&lt;wsp:rsid wsp:val=&quot;00FC1ED8&quot;/&gt;&lt;wsp:rsid wsp:val=&quot;00FC4ACD&quot;/&gt;&lt;wsp:rsid wsp:val=&quot;00FC68E3&quot;/&gt;&lt;wsp:rsid wsp:val=&quot;00FC7E26&quot;/&gt;&lt;wsp:rsid wsp:val=&quot;00FD0041&quot;/&gt;&lt;wsp:rsid wsp:val=&quot;00FD02A2&quot;/&gt;&lt;wsp:rsid wsp:val=&quot;00FD5E64&quot;/&gt;&lt;wsp:rsid wsp:val=&quot;00FD7985&quot;/&gt;&lt;wsp:rsid wsp:val=&quot;00FE520A&quot;/&gt;&lt;wsp:rsid wsp:val=&quot;00FE5C45&quot;/&gt;&lt;wsp:rsid wsp:val=&quot;00FE6526&quot;/&gt;&lt;wsp:rsid wsp:val=&quot;00FF1DBD&quot;/&gt;&lt;wsp:rsid wsp:val=&quot;00FF1E4B&quot;/&gt;&lt;wsp:rsid wsp:val=&quot;00FF33E4&quot;/&gt;&lt;/wsp:rsids&gt;&lt;/w:docPr&gt;&lt;w:body&gt;&lt;wx:sect&gt;&lt;w:p wsp:rsidR=&quot;00000000&quot; wsp:rsidRDefault=&quot;003D14C3&quot; wsp:rsidP=&quot;003D14C3&quot;&gt;&lt;m:oMathPara&gt;&lt;m:oMath&gt;&lt;m:e&gt;&lt;m:ctrlPr/&gt;&lt;/m: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1" o:title="" chromakey="white"/>
                </v:shape>
              </w:pict>
            </w:r>
            <w:r w:rsidR="00E24DB7" w:rsidRPr="00D53F39">
              <w:rPr>
                <w:sz w:val="18"/>
                <w:szCs w:val="18"/>
                <w:lang w:val="es-ES"/>
              </w:rPr>
              <w:t>M</w:t>
            </w:r>
            <w:r w:rsidR="00E24DB7" w:rsidRPr="00D53F39">
              <w:rPr>
                <w:sz w:val="18"/>
                <w:szCs w:val="18"/>
                <w:vertAlign w:val="subscript"/>
                <w:lang w:val="es-ES"/>
              </w:rPr>
              <w:t>CO2,CS,p,1</w:t>
            </w:r>
            <w:r w:rsidR="00E24DB7" w:rsidRPr="00D53F39">
              <w:rPr>
                <w:sz w:val="18"/>
                <w:szCs w:val="18"/>
                <w:lang w:val="es-ES"/>
              </w:rPr>
              <w:t>, g/km</w:t>
            </w:r>
          </w:p>
        </w:tc>
        <w:tc>
          <w:tcPr>
            <w:tcW w:w="1333" w:type="dxa"/>
            <w:tcBorders>
              <w:top w:val="single" w:sz="12" w:space="0" w:color="auto"/>
            </w:tcBorders>
            <w:shd w:val="clear" w:color="auto" w:fill="auto"/>
          </w:tcPr>
          <w:p w:rsidR="00E24DB7" w:rsidRPr="002C5876" w:rsidRDefault="00E24DB7" w:rsidP="00E24DB7">
            <w:pPr>
              <w:spacing w:before="60" w:after="60"/>
              <w:ind w:left="57" w:right="57"/>
              <w:rPr>
                <w:bCs/>
                <w:sz w:val="18"/>
                <w:szCs w:val="18"/>
              </w:rPr>
            </w:pPr>
            <w:r w:rsidRPr="002C5876">
              <w:rPr>
                <w:sz w:val="18"/>
                <w:szCs w:val="18"/>
              </w:rPr>
              <w:t>1</w:t>
            </w:r>
          </w:p>
        </w:tc>
      </w:tr>
      <w:tr w:rsidR="00E24DB7" w:rsidRPr="002C5876" w:rsidTr="00E24DB7">
        <w:tc>
          <w:tcPr>
            <w:tcW w:w="1671" w:type="dxa"/>
            <w:shd w:val="clear" w:color="auto" w:fill="auto"/>
          </w:tcPr>
          <w:p w:rsidR="00E24DB7" w:rsidRPr="002C5876" w:rsidRDefault="00E24DB7" w:rsidP="00E24DB7">
            <w:pPr>
              <w:spacing w:before="60" w:after="60"/>
              <w:ind w:left="57" w:right="57"/>
              <w:rPr>
                <w:sz w:val="18"/>
                <w:szCs w:val="18"/>
              </w:rPr>
            </w:pPr>
            <w:r w:rsidRPr="002C5876">
              <w:rPr>
                <w:sz w:val="18"/>
                <w:szCs w:val="18"/>
              </w:rPr>
              <w:t xml:space="preserve">Sortie </w:t>
            </w:r>
            <w:r w:rsidRPr="002C5876">
              <w:rPr>
                <w:sz w:val="18"/>
                <w:szCs w:val="18"/>
              </w:rPr>
              <w:br/>
              <w:t>de l’étape n</w:t>
            </w:r>
            <w:r w:rsidRPr="002C5876">
              <w:rPr>
                <w:sz w:val="18"/>
                <w:szCs w:val="18"/>
                <w:vertAlign w:val="superscript"/>
              </w:rPr>
              <w:t>o</w:t>
            </w:r>
            <w:r w:rsidRPr="002C5876">
              <w:rPr>
                <w:sz w:val="18"/>
                <w:szCs w:val="18"/>
              </w:rPr>
              <w:t xml:space="preserve"> 1 </w:t>
            </w:r>
            <w:r w:rsidRPr="002C5876">
              <w:rPr>
                <w:sz w:val="18"/>
                <w:szCs w:val="18"/>
              </w:rPr>
              <w:br/>
              <w:t>de ce tableau</w:t>
            </w:r>
          </w:p>
        </w:tc>
        <w:tc>
          <w:tcPr>
            <w:tcW w:w="1716" w:type="dxa"/>
            <w:shd w:val="clear" w:color="auto" w:fill="auto"/>
          </w:tcPr>
          <w:p w:rsidR="00E24DB7" w:rsidRPr="00D53F39" w:rsidRDefault="00E24DB7" w:rsidP="00E24DB7">
            <w:pPr>
              <w:spacing w:before="60" w:after="60"/>
              <w:ind w:left="57" w:right="57"/>
              <w:rPr>
                <w:sz w:val="18"/>
                <w:szCs w:val="18"/>
                <w:lang w:val="es-ES"/>
              </w:rPr>
            </w:pPr>
            <w:r w:rsidRPr="00D53F39">
              <w:rPr>
                <w:sz w:val="18"/>
                <w:szCs w:val="18"/>
                <w:lang w:val="es-ES"/>
              </w:rPr>
              <w:t>M</w:t>
            </w:r>
            <w:r w:rsidRPr="00D53F39">
              <w:rPr>
                <w:sz w:val="18"/>
                <w:szCs w:val="18"/>
                <w:vertAlign w:val="subscript"/>
                <w:lang w:val="es-ES"/>
              </w:rPr>
              <w:t>i,CS,p,1</w:t>
            </w:r>
            <w:r w:rsidRPr="00D53F39">
              <w:rPr>
                <w:sz w:val="18"/>
                <w:szCs w:val="18"/>
                <w:lang w:val="es-ES"/>
              </w:rPr>
              <w:t>, g/km</w:t>
            </w:r>
            <w:r w:rsidRPr="00D53F39">
              <w:rPr>
                <w:sz w:val="18"/>
                <w:szCs w:val="18"/>
                <w:lang w:val="es-ES"/>
              </w:rPr>
              <w:br/>
              <w:t>M</w:t>
            </w:r>
            <w:r w:rsidRPr="00D53F39">
              <w:rPr>
                <w:sz w:val="18"/>
                <w:szCs w:val="18"/>
                <w:vertAlign w:val="subscript"/>
                <w:lang w:val="es-ES"/>
              </w:rPr>
              <w:t>CO2,CS,p,1</w:t>
            </w:r>
            <w:r w:rsidRPr="00D53F39">
              <w:rPr>
                <w:sz w:val="18"/>
                <w:szCs w:val="18"/>
                <w:lang w:val="es-ES"/>
              </w:rPr>
              <w:t>, g/km</w:t>
            </w:r>
          </w:p>
        </w:tc>
        <w:tc>
          <w:tcPr>
            <w:tcW w:w="3001" w:type="dxa"/>
            <w:shd w:val="clear" w:color="auto" w:fill="auto"/>
          </w:tcPr>
          <w:p w:rsidR="00E24DB7" w:rsidRPr="002C5876" w:rsidRDefault="00E24DB7" w:rsidP="00E24DB7">
            <w:pPr>
              <w:suppressAutoHyphens w:val="0"/>
              <w:spacing w:before="60" w:after="60"/>
              <w:ind w:left="57" w:right="57"/>
              <w:rPr>
                <w:sz w:val="18"/>
                <w:szCs w:val="18"/>
              </w:rPr>
            </w:pPr>
            <w:r w:rsidRPr="002C5876">
              <w:rPr>
                <w:sz w:val="18"/>
                <w:szCs w:val="18"/>
              </w:rPr>
              <w:t xml:space="preserve">Calcul des valeurs combinées sur </w:t>
            </w:r>
            <w:r w:rsidRPr="002C5876">
              <w:rPr>
                <w:sz w:val="18"/>
                <w:szCs w:val="18"/>
              </w:rPr>
              <w:br/>
              <w:t xml:space="preserve">le cycle en mode maintien de </w:t>
            </w:r>
            <w:r w:rsidRPr="002C5876">
              <w:rPr>
                <w:sz w:val="18"/>
                <w:szCs w:val="18"/>
              </w:rPr>
              <w:br/>
              <w:t>la charge :</w:t>
            </w:r>
          </w:p>
          <w:p w:rsidR="00E24DB7" w:rsidRPr="002C5876" w:rsidRDefault="00E24DB7" w:rsidP="00E24DB7">
            <w:pPr>
              <w:suppressAutoHyphens w:val="0"/>
              <w:spacing w:before="60" w:after="60"/>
              <w:ind w:left="57" w:right="57"/>
              <w:rPr>
                <w:sz w:val="18"/>
                <w:szCs w:val="18"/>
              </w:rPr>
            </w:pPr>
            <w:r w:rsidRPr="002C5876">
              <w:rPr>
                <w:noProof/>
                <w:position w:val="-36"/>
                <w:sz w:val="18"/>
                <w:szCs w:val="18"/>
                <w:lang w:val="en-GB" w:eastAsia="zh-CN"/>
              </w:rPr>
              <w:drawing>
                <wp:inline distT="0" distB="0" distL="0" distR="0" wp14:anchorId="6C355889" wp14:editId="55926BD1">
                  <wp:extent cx="1562100" cy="523875"/>
                  <wp:effectExtent l="0" t="0" r="0" b="9525"/>
                  <wp:docPr id="340" name="Imag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562100" cy="523875"/>
                          </a:xfrm>
                          <a:prstGeom prst="rect">
                            <a:avLst/>
                          </a:prstGeom>
                          <a:noFill/>
                          <a:ln>
                            <a:noFill/>
                          </a:ln>
                        </pic:spPr>
                      </pic:pic>
                    </a:graphicData>
                  </a:graphic>
                </wp:inline>
              </w:drawing>
            </w:r>
          </w:p>
          <w:p w:rsidR="00E24DB7" w:rsidRPr="002C5876" w:rsidRDefault="00E24DB7" w:rsidP="00E24DB7">
            <w:pPr>
              <w:suppressAutoHyphens w:val="0"/>
              <w:spacing w:before="60" w:after="60"/>
              <w:ind w:left="57" w:right="57"/>
              <w:rPr>
                <w:sz w:val="18"/>
                <w:szCs w:val="18"/>
              </w:rPr>
            </w:pPr>
            <w:r w:rsidRPr="002C5876">
              <w:rPr>
                <w:noProof/>
                <w:position w:val="-36"/>
                <w:sz w:val="18"/>
                <w:szCs w:val="18"/>
                <w:lang w:val="en-GB" w:eastAsia="zh-CN"/>
              </w:rPr>
              <w:drawing>
                <wp:inline distT="0" distB="0" distL="0" distR="0" wp14:anchorId="6D3F0811" wp14:editId="26255788">
                  <wp:extent cx="1847850" cy="523875"/>
                  <wp:effectExtent l="0" t="0" r="0" b="9525"/>
                  <wp:docPr id="341"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847850" cy="523875"/>
                          </a:xfrm>
                          <a:prstGeom prst="rect">
                            <a:avLst/>
                          </a:prstGeom>
                          <a:noFill/>
                          <a:ln>
                            <a:noFill/>
                          </a:ln>
                        </pic:spPr>
                      </pic:pic>
                    </a:graphicData>
                  </a:graphic>
                </wp:inline>
              </w:drawing>
            </w:r>
            <w:r w:rsidRPr="002C5876">
              <w:rPr>
                <w:sz w:val="18"/>
                <w:szCs w:val="18"/>
              </w:rPr>
              <w:t>où :</w:t>
            </w:r>
          </w:p>
          <w:p w:rsidR="00E24DB7" w:rsidRPr="002C5876" w:rsidRDefault="00E24DB7" w:rsidP="00E24DB7">
            <w:pPr>
              <w:suppressAutoHyphens w:val="0"/>
              <w:spacing w:before="60" w:after="60"/>
              <w:ind w:left="57" w:right="57"/>
              <w:rPr>
                <w:sz w:val="18"/>
                <w:szCs w:val="18"/>
              </w:rPr>
            </w:pPr>
            <w:r w:rsidRPr="002C5876">
              <w:rPr>
                <w:noProof/>
                <w:position w:val="-12"/>
                <w:sz w:val="18"/>
                <w:szCs w:val="18"/>
                <w:lang w:val="en-GB" w:eastAsia="zh-CN"/>
              </w:rPr>
              <w:drawing>
                <wp:inline distT="0" distB="0" distL="0" distR="0" wp14:anchorId="019BD0DB" wp14:editId="51A809DF">
                  <wp:extent cx="476250" cy="209550"/>
                  <wp:effectExtent l="0" t="0" r="0" b="0"/>
                  <wp:docPr id="342" name="Imag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76250" cy="209550"/>
                          </a:xfrm>
                          <a:prstGeom prst="rect">
                            <a:avLst/>
                          </a:prstGeom>
                          <a:noFill/>
                          <a:ln>
                            <a:noFill/>
                          </a:ln>
                        </pic:spPr>
                      </pic:pic>
                    </a:graphicData>
                  </a:graphic>
                </wp:inline>
              </w:drawing>
            </w:r>
            <w:r w:rsidRPr="002C5876">
              <w:rPr>
                <w:sz w:val="18"/>
                <w:szCs w:val="18"/>
              </w:rPr>
              <w:t xml:space="preserve"> est le résultat d’émissions massiques en mode maintien de la charge sur le cycle total ;</w:t>
            </w:r>
          </w:p>
          <w:p w:rsidR="00E24DB7" w:rsidRPr="002C5876" w:rsidRDefault="00E24DB7" w:rsidP="00E24DB7">
            <w:pPr>
              <w:suppressAutoHyphens w:val="0"/>
              <w:spacing w:before="60" w:after="60"/>
              <w:ind w:left="57" w:right="57"/>
              <w:rPr>
                <w:sz w:val="18"/>
                <w:szCs w:val="18"/>
              </w:rPr>
            </w:pPr>
            <w:r w:rsidRPr="002C5876">
              <w:rPr>
                <w:noProof/>
                <w:position w:val="-12"/>
                <w:sz w:val="18"/>
                <w:szCs w:val="18"/>
                <w:lang w:val="en-GB" w:eastAsia="zh-CN"/>
              </w:rPr>
              <w:drawing>
                <wp:inline distT="0" distB="0" distL="0" distR="0" wp14:anchorId="368F7F37" wp14:editId="3A101FB2">
                  <wp:extent cx="628650" cy="209550"/>
                  <wp:effectExtent l="0" t="0" r="0" b="0"/>
                  <wp:docPr id="343" name="Imag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628650" cy="209550"/>
                          </a:xfrm>
                          <a:prstGeom prst="rect">
                            <a:avLst/>
                          </a:prstGeom>
                          <a:noFill/>
                          <a:ln>
                            <a:noFill/>
                          </a:ln>
                        </pic:spPr>
                      </pic:pic>
                    </a:graphicData>
                  </a:graphic>
                </wp:inline>
              </w:drawing>
            </w:r>
            <w:r w:rsidRPr="002C5876">
              <w:rPr>
                <w:sz w:val="18"/>
                <w:szCs w:val="18"/>
                <w:vertAlign w:val="subscript"/>
              </w:rPr>
              <w:t xml:space="preserve"> </w:t>
            </w:r>
            <w:r w:rsidRPr="002C5876">
              <w:rPr>
                <w:sz w:val="18"/>
                <w:szCs w:val="18"/>
              </w:rPr>
              <w:t>est le résultat d’émissions massiques de CO</w:t>
            </w:r>
            <w:r w:rsidRPr="002C5876">
              <w:rPr>
                <w:sz w:val="18"/>
                <w:szCs w:val="18"/>
                <w:vertAlign w:val="subscript"/>
              </w:rPr>
              <w:t>2</w:t>
            </w:r>
            <w:r w:rsidRPr="002C5876">
              <w:rPr>
                <w:sz w:val="18"/>
                <w:szCs w:val="18"/>
              </w:rPr>
              <w:t xml:space="preserve"> en mode maintien de la charge sur le cycle total ;</w:t>
            </w:r>
          </w:p>
          <w:p w:rsidR="00E24DB7" w:rsidRPr="002C5876" w:rsidRDefault="00E24DB7" w:rsidP="00E24DB7">
            <w:pPr>
              <w:suppressAutoHyphens w:val="0"/>
              <w:spacing w:before="60" w:after="60"/>
              <w:ind w:left="57" w:right="57"/>
              <w:rPr>
                <w:sz w:val="18"/>
                <w:szCs w:val="18"/>
              </w:rPr>
            </w:pPr>
            <w:r w:rsidRPr="002C5876">
              <w:rPr>
                <w:sz w:val="18"/>
                <w:szCs w:val="18"/>
              </w:rPr>
              <w:t>d</w:t>
            </w:r>
            <w:r w:rsidRPr="002C5876">
              <w:rPr>
                <w:sz w:val="18"/>
                <w:szCs w:val="18"/>
                <w:vertAlign w:val="subscript"/>
              </w:rPr>
              <w:t>p</w:t>
            </w:r>
            <w:r w:rsidRPr="002C5876">
              <w:rPr>
                <w:sz w:val="18"/>
                <w:szCs w:val="18"/>
              </w:rPr>
              <w:t xml:space="preserve"> sont les distances parcourues sur les phases du cycle p.</w:t>
            </w:r>
          </w:p>
        </w:tc>
        <w:tc>
          <w:tcPr>
            <w:tcW w:w="1918" w:type="dxa"/>
            <w:shd w:val="clear" w:color="auto" w:fill="auto"/>
          </w:tcPr>
          <w:p w:rsidR="00E24DB7" w:rsidRPr="00D53F39" w:rsidRDefault="00E24DB7" w:rsidP="00E24DB7">
            <w:pPr>
              <w:spacing w:before="60" w:after="60"/>
              <w:ind w:left="57" w:right="57"/>
              <w:rPr>
                <w:sz w:val="18"/>
                <w:szCs w:val="18"/>
                <w:lang w:val="es-ES"/>
              </w:rPr>
            </w:pPr>
            <w:r w:rsidRPr="00D53F39">
              <w:rPr>
                <w:sz w:val="18"/>
                <w:szCs w:val="18"/>
                <w:lang w:val="es-ES"/>
              </w:rPr>
              <w:t>M</w:t>
            </w:r>
            <w:r w:rsidRPr="00D53F39">
              <w:rPr>
                <w:sz w:val="18"/>
                <w:szCs w:val="18"/>
                <w:vertAlign w:val="subscript"/>
                <w:lang w:val="es-ES"/>
              </w:rPr>
              <w:t>i,CS,c,2</w:t>
            </w:r>
            <w:r w:rsidRPr="00D53F39">
              <w:rPr>
                <w:sz w:val="18"/>
                <w:szCs w:val="18"/>
                <w:lang w:val="es-ES"/>
              </w:rPr>
              <w:t>, g/km</w:t>
            </w:r>
            <w:r w:rsidRPr="00D53F39">
              <w:rPr>
                <w:sz w:val="18"/>
                <w:szCs w:val="18"/>
                <w:lang w:val="es-ES"/>
              </w:rPr>
              <w:br/>
              <w:t>M</w:t>
            </w:r>
            <w:r w:rsidRPr="00D53F39">
              <w:rPr>
                <w:sz w:val="18"/>
                <w:szCs w:val="18"/>
                <w:vertAlign w:val="subscript"/>
                <w:lang w:val="es-ES"/>
              </w:rPr>
              <w:t>CO2,CS,c,2</w:t>
            </w:r>
            <w:r w:rsidRPr="00D53F39">
              <w:rPr>
                <w:sz w:val="18"/>
                <w:szCs w:val="18"/>
                <w:lang w:val="es-ES"/>
              </w:rPr>
              <w:t>, g/km</w:t>
            </w:r>
          </w:p>
        </w:tc>
        <w:tc>
          <w:tcPr>
            <w:tcW w:w="1333" w:type="dxa"/>
            <w:shd w:val="clear" w:color="auto" w:fill="auto"/>
          </w:tcPr>
          <w:p w:rsidR="00E24DB7" w:rsidRPr="002C5876" w:rsidRDefault="00E24DB7" w:rsidP="00E24DB7">
            <w:pPr>
              <w:spacing w:before="60" w:after="60"/>
              <w:ind w:left="57" w:right="57"/>
              <w:rPr>
                <w:sz w:val="18"/>
                <w:szCs w:val="18"/>
              </w:rPr>
            </w:pPr>
            <w:r w:rsidRPr="002C5876">
              <w:rPr>
                <w:sz w:val="18"/>
                <w:szCs w:val="18"/>
              </w:rPr>
              <w:t>2</w:t>
            </w:r>
          </w:p>
        </w:tc>
      </w:tr>
      <w:tr w:rsidR="00E24DB7" w:rsidRPr="002C5876" w:rsidTr="00E24DB7">
        <w:tc>
          <w:tcPr>
            <w:tcW w:w="1671" w:type="dxa"/>
            <w:shd w:val="clear" w:color="auto" w:fill="auto"/>
          </w:tcPr>
          <w:p w:rsidR="00E24DB7" w:rsidRPr="002C5876" w:rsidRDefault="00E24DB7" w:rsidP="00E24DB7">
            <w:pPr>
              <w:spacing w:before="60" w:after="60"/>
              <w:ind w:left="57" w:right="57"/>
              <w:rPr>
                <w:sz w:val="18"/>
                <w:szCs w:val="18"/>
              </w:rPr>
            </w:pPr>
            <w:r w:rsidRPr="002C5876">
              <w:rPr>
                <w:sz w:val="18"/>
                <w:szCs w:val="18"/>
              </w:rPr>
              <w:t xml:space="preserve">Sortie </w:t>
            </w:r>
            <w:r w:rsidRPr="002C5876">
              <w:rPr>
                <w:sz w:val="18"/>
                <w:szCs w:val="18"/>
              </w:rPr>
              <w:br/>
              <w:t>des étapes n</w:t>
            </w:r>
            <w:r w:rsidRPr="002C5876">
              <w:rPr>
                <w:sz w:val="18"/>
                <w:szCs w:val="18"/>
                <w:vertAlign w:val="superscript"/>
              </w:rPr>
              <w:t>os</w:t>
            </w:r>
            <w:r w:rsidRPr="002C5876">
              <w:rPr>
                <w:sz w:val="18"/>
                <w:szCs w:val="18"/>
              </w:rPr>
              <w:t xml:space="preserve"> 1 </w:t>
            </w:r>
            <w:r w:rsidRPr="002C5876">
              <w:rPr>
                <w:sz w:val="18"/>
                <w:szCs w:val="18"/>
              </w:rPr>
              <w:br/>
              <w:t>et 2 de ce tableau</w:t>
            </w:r>
          </w:p>
        </w:tc>
        <w:tc>
          <w:tcPr>
            <w:tcW w:w="1716" w:type="dxa"/>
            <w:shd w:val="clear" w:color="auto" w:fill="auto"/>
          </w:tcPr>
          <w:p w:rsidR="00E24DB7" w:rsidRPr="002C5876" w:rsidRDefault="00E24DB7" w:rsidP="00E24DB7">
            <w:pPr>
              <w:spacing w:before="60" w:after="60"/>
              <w:ind w:left="57" w:right="57"/>
              <w:rPr>
                <w:sz w:val="18"/>
                <w:szCs w:val="18"/>
              </w:rPr>
            </w:pPr>
            <w:r w:rsidRPr="002C5876">
              <w:rPr>
                <w:sz w:val="18"/>
                <w:szCs w:val="18"/>
              </w:rPr>
              <w:t>M</w:t>
            </w:r>
            <w:r w:rsidRPr="002C5876">
              <w:rPr>
                <w:sz w:val="18"/>
                <w:szCs w:val="18"/>
                <w:vertAlign w:val="subscript"/>
              </w:rPr>
              <w:t>CO2,CS,p,1</w:t>
            </w:r>
            <w:r w:rsidRPr="002C5876">
              <w:rPr>
                <w:sz w:val="18"/>
                <w:szCs w:val="18"/>
              </w:rPr>
              <w:t>, g/km</w:t>
            </w:r>
            <w:r w:rsidRPr="002C5876">
              <w:rPr>
                <w:sz w:val="18"/>
                <w:szCs w:val="18"/>
              </w:rPr>
              <w:br/>
              <w:t>M</w:t>
            </w:r>
            <w:r w:rsidRPr="002C5876">
              <w:rPr>
                <w:sz w:val="18"/>
                <w:szCs w:val="18"/>
                <w:vertAlign w:val="subscript"/>
              </w:rPr>
              <w:t>CO2,CS,c,2</w:t>
            </w:r>
            <w:r w:rsidRPr="002C5876">
              <w:rPr>
                <w:sz w:val="18"/>
                <w:szCs w:val="18"/>
              </w:rPr>
              <w:t>, g/km</w:t>
            </w:r>
          </w:p>
        </w:tc>
        <w:tc>
          <w:tcPr>
            <w:tcW w:w="3001" w:type="dxa"/>
            <w:shd w:val="clear" w:color="auto" w:fill="auto"/>
          </w:tcPr>
          <w:p w:rsidR="00E24DB7" w:rsidRPr="002C5876" w:rsidRDefault="00E24DB7" w:rsidP="00E24DB7">
            <w:pPr>
              <w:suppressAutoHyphens w:val="0"/>
              <w:spacing w:before="60" w:after="60"/>
              <w:ind w:left="57" w:right="57"/>
              <w:rPr>
                <w:sz w:val="18"/>
                <w:szCs w:val="18"/>
              </w:rPr>
            </w:pPr>
            <w:r w:rsidRPr="002C5876">
              <w:rPr>
                <w:sz w:val="18"/>
                <w:szCs w:val="18"/>
              </w:rPr>
              <w:t xml:space="preserve">Correction de la variation d’énergie électrique du SRSEE </w:t>
            </w:r>
          </w:p>
          <w:p w:rsidR="00E24DB7" w:rsidRPr="002C5876" w:rsidRDefault="00E24DB7" w:rsidP="00E24DB7">
            <w:pPr>
              <w:suppressAutoHyphens w:val="0"/>
              <w:spacing w:before="60" w:after="60"/>
              <w:ind w:left="57" w:right="57"/>
              <w:rPr>
                <w:sz w:val="18"/>
                <w:szCs w:val="18"/>
              </w:rPr>
            </w:pPr>
            <w:r w:rsidRPr="002C5876">
              <w:rPr>
                <w:sz w:val="18"/>
                <w:szCs w:val="18"/>
              </w:rPr>
              <w:t xml:space="preserve">Par. 4.1.1.2 à 4.1.1.5 de la présente annexe </w:t>
            </w:r>
          </w:p>
        </w:tc>
        <w:tc>
          <w:tcPr>
            <w:tcW w:w="1918" w:type="dxa"/>
            <w:shd w:val="clear" w:color="auto" w:fill="auto"/>
          </w:tcPr>
          <w:p w:rsidR="00E24DB7" w:rsidRPr="00D53F39" w:rsidRDefault="00731CA6" w:rsidP="00E24DB7">
            <w:pPr>
              <w:spacing w:before="60" w:after="60"/>
              <w:ind w:left="57" w:right="57"/>
              <w:rPr>
                <w:sz w:val="18"/>
                <w:szCs w:val="18"/>
                <w:lang w:val="en-US"/>
              </w:rPr>
            </w:pPr>
            <m:oMath>
              <m:sSub>
                <m:sSubPr>
                  <m:ctrlPr>
                    <w:rPr>
                      <w:rFonts w:ascii="Cambria Math" w:hAnsi="Cambria Math"/>
                      <w:sz w:val="18"/>
                      <w:szCs w:val="18"/>
                    </w:rPr>
                  </m:ctrlPr>
                </m:sSubPr>
                <m:e>
                  <m:r>
                    <m:rPr>
                      <m:sty m:val="p"/>
                    </m:rPr>
                    <w:rPr>
                      <w:rFonts w:ascii="Cambria Math" w:hAnsi="Cambria Math"/>
                      <w:sz w:val="18"/>
                      <w:szCs w:val="18"/>
                      <w:lang w:val="en-US"/>
                    </w:rPr>
                    <m:t>M</m:t>
                  </m:r>
                </m:e>
                <m:sub>
                  <m:r>
                    <m:rPr>
                      <m:sty m:val="p"/>
                    </m:rPr>
                    <w:rPr>
                      <w:rFonts w:ascii="Cambria Math" w:hAnsi="Cambria Math"/>
                      <w:sz w:val="18"/>
                      <w:szCs w:val="18"/>
                      <w:lang w:val="en-US"/>
                    </w:rPr>
                    <m:t>CO2,CS,p,3</m:t>
                  </m:r>
                </m:sub>
              </m:sSub>
            </m:oMath>
            <w:r w:rsidR="00E24DB7" w:rsidRPr="00D53F39">
              <w:rPr>
                <w:sz w:val="18"/>
                <w:szCs w:val="18"/>
                <w:lang w:val="en-US"/>
              </w:rPr>
              <w:t>, g/km</w:t>
            </w:r>
            <w:r w:rsidR="00E24DB7" w:rsidRPr="00D53F39">
              <w:rPr>
                <w:sz w:val="18"/>
                <w:szCs w:val="18"/>
                <w:lang w:val="en-US"/>
              </w:rPr>
              <w:br/>
            </w:r>
            <m:oMath>
              <m:sSub>
                <m:sSubPr>
                  <m:ctrlPr>
                    <w:rPr>
                      <w:rFonts w:ascii="Cambria Math" w:hAnsi="Cambria Math"/>
                      <w:sz w:val="18"/>
                      <w:szCs w:val="18"/>
                    </w:rPr>
                  </m:ctrlPr>
                </m:sSubPr>
                <m:e>
                  <m:r>
                    <m:rPr>
                      <m:sty m:val="p"/>
                    </m:rPr>
                    <w:rPr>
                      <w:rFonts w:ascii="Cambria Math" w:hAnsi="Cambria Math"/>
                      <w:sz w:val="18"/>
                      <w:szCs w:val="18"/>
                      <w:lang w:val="en-US"/>
                    </w:rPr>
                    <m:t>M</m:t>
                  </m:r>
                </m:e>
                <m:sub>
                  <m:r>
                    <m:rPr>
                      <m:sty m:val="p"/>
                    </m:rPr>
                    <w:rPr>
                      <w:rFonts w:ascii="Cambria Math" w:hAnsi="Cambria Math"/>
                      <w:sz w:val="18"/>
                      <w:szCs w:val="18"/>
                      <w:lang w:val="en-US"/>
                    </w:rPr>
                    <m:t>CO2,CS,c,3</m:t>
                  </m:r>
                </m:sub>
              </m:sSub>
            </m:oMath>
            <w:r w:rsidR="00E24DB7" w:rsidRPr="00D53F39">
              <w:rPr>
                <w:sz w:val="18"/>
                <w:szCs w:val="18"/>
                <w:lang w:val="en-US"/>
              </w:rPr>
              <w:t>, g/km</w:t>
            </w:r>
          </w:p>
        </w:tc>
        <w:tc>
          <w:tcPr>
            <w:tcW w:w="1333" w:type="dxa"/>
            <w:shd w:val="clear" w:color="auto" w:fill="auto"/>
          </w:tcPr>
          <w:p w:rsidR="00E24DB7" w:rsidRPr="002C5876" w:rsidRDefault="00E24DB7" w:rsidP="00E24DB7">
            <w:pPr>
              <w:spacing w:before="60" w:after="60"/>
              <w:ind w:left="57" w:right="57"/>
              <w:rPr>
                <w:sz w:val="18"/>
                <w:szCs w:val="18"/>
              </w:rPr>
            </w:pPr>
            <w:r w:rsidRPr="002C5876">
              <w:rPr>
                <w:sz w:val="18"/>
                <w:szCs w:val="18"/>
              </w:rPr>
              <w:t>3</w:t>
            </w:r>
          </w:p>
        </w:tc>
      </w:tr>
      <w:tr w:rsidR="00E24DB7" w:rsidRPr="002C5876" w:rsidTr="00E24DB7">
        <w:tc>
          <w:tcPr>
            <w:tcW w:w="1671" w:type="dxa"/>
            <w:shd w:val="clear" w:color="auto" w:fill="auto"/>
          </w:tcPr>
          <w:p w:rsidR="00E24DB7" w:rsidRPr="002C5876" w:rsidRDefault="00E24DB7" w:rsidP="00E24DB7">
            <w:pPr>
              <w:spacing w:before="60" w:after="60"/>
              <w:ind w:left="57" w:right="57"/>
              <w:rPr>
                <w:sz w:val="18"/>
                <w:szCs w:val="18"/>
              </w:rPr>
            </w:pPr>
            <w:r w:rsidRPr="002C5876">
              <w:rPr>
                <w:sz w:val="18"/>
                <w:szCs w:val="18"/>
              </w:rPr>
              <w:t xml:space="preserve">Sortie </w:t>
            </w:r>
            <w:r w:rsidRPr="002C5876">
              <w:rPr>
                <w:sz w:val="18"/>
                <w:szCs w:val="18"/>
              </w:rPr>
              <w:br/>
              <w:t>des étapes n</w:t>
            </w:r>
            <w:r w:rsidRPr="002C5876">
              <w:rPr>
                <w:sz w:val="18"/>
                <w:szCs w:val="18"/>
                <w:vertAlign w:val="superscript"/>
              </w:rPr>
              <w:t>os</w:t>
            </w:r>
            <w:r w:rsidRPr="002C5876">
              <w:rPr>
                <w:sz w:val="18"/>
                <w:szCs w:val="18"/>
              </w:rPr>
              <w:t xml:space="preserve"> 2 </w:t>
            </w:r>
            <w:r w:rsidRPr="002C5876">
              <w:rPr>
                <w:sz w:val="18"/>
                <w:szCs w:val="18"/>
              </w:rPr>
              <w:br/>
              <w:t>et 3 de ce tableau</w:t>
            </w:r>
          </w:p>
        </w:tc>
        <w:tc>
          <w:tcPr>
            <w:tcW w:w="1716" w:type="dxa"/>
            <w:shd w:val="clear" w:color="auto" w:fill="auto"/>
          </w:tcPr>
          <w:p w:rsidR="00E24DB7" w:rsidRPr="00D53F39" w:rsidRDefault="00E24DB7" w:rsidP="00E24DB7">
            <w:pPr>
              <w:spacing w:before="60" w:after="60"/>
              <w:ind w:left="57" w:right="57"/>
              <w:rPr>
                <w:sz w:val="18"/>
                <w:szCs w:val="18"/>
                <w:lang w:val="es-ES"/>
              </w:rPr>
            </w:pPr>
            <w:r w:rsidRPr="00D53F39">
              <w:rPr>
                <w:sz w:val="18"/>
                <w:szCs w:val="18"/>
                <w:lang w:val="es-ES"/>
              </w:rPr>
              <w:t>M</w:t>
            </w:r>
            <w:r w:rsidRPr="00D53F39">
              <w:rPr>
                <w:sz w:val="18"/>
                <w:szCs w:val="18"/>
                <w:vertAlign w:val="subscript"/>
                <w:lang w:val="es-ES"/>
              </w:rPr>
              <w:t>i,CS,C,2</w:t>
            </w:r>
            <w:r w:rsidRPr="00D53F39">
              <w:rPr>
                <w:sz w:val="18"/>
                <w:szCs w:val="18"/>
                <w:lang w:val="es-ES"/>
              </w:rPr>
              <w:t>,g/km</w:t>
            </w:r>
            <w:r w:rsidRPr="00D53F39">
              <w:rPr>
                <w:sz w:val="18"/>
                <w:szCs w:val="18"/>
                <w:lang w:val="es-ES"/>
              </w:rPr>
              <w:br/>
              <w:t>M</w:t>
            </w:r>
            <w:r w:rsidRPr="00D53F39">
              <w:rPr>
                <w:sz w:val="18"/>
                <w:szCs w:val="18"/>
                <w:vertAlign w:val="subscript"/>
                <w:lang w:val="es-ES"/>
              </w:rPr>
              <w:t>CO2,CS,c,3</w:t>
            </w:r>
            <w:r w:rsidRPr="00D53F39">
              <w:rPr>
                <w:sz w:val="18"/>
                <w:szCs w:val="18"/>
                <w:lang w:val="es-ES"/>
              </w:rPr>
              <w:t>, g/km</w:t>
            </w:r>
          </w:p>
        </w:tc>
        <w:tc>
          <w:tcPr>
            <w:tcW w:w="3001" w:type="dxa"/>
            <w:shd w:val="clear" w:color="auto" w:fill="auto"/>
          </w:tcPr>
          <w:p w:rsidR="00E24DB7" w:rsidRPr="002C5876" w:rsidRDefault="00E24DB7" w:rsidP="00E24DB7">
            <w:pPr>
              <w:tabs>
                <w:tab w:val="left" w:pos="2421"/>
              </w:tabs>
              <w:suppressAutoHyphens w:val="0"/>
              <w:spacing w:before="60" w:after="60"/>
              <w:ind w:left="57" w:right="57"/>
              <w:rPr>
                <w:sz w:val="18"/>
                <w:szCs w:val="18"/>
              </w:rPr>
            </w:pPr>
            <w:r w:rsidRPr="002C5876">
              <w:rPr>
                <w:sz w:val="18"/>
                <w:szCs w:val="18"/>
              </w:rPr>
              <w:t>Correction des émissions massiques en mode maintien de la charge pour tous les véhicules équipés de systèmes à régénération périodique, K</w:t>
            </w:r>
            <w:r w:rsidRPr="002C5876">
              <w:rPr>
                <w:sz w:val="18"/>
                <w:szCs w:val="18"/>
                <w:vertAlign w:val="subscript"/>
              </w:rPr>
              <w:t>1</w:t>
            </w:r>
            <w:r w:rsidRPr="002C5876">
              <w:rPr>
                <w:sz w:val="18"/>
                <w:szCs w:val="18"/>
              </w:rPr>
              <w:t xml:space="preserve">, conformément à l’annexe 6, </w:t>
            </w:r>
            <w:r w:rsidRPr="002C5876">
              <w:rPr>
                <w:sz w:val="18"/>
                <w:szCs w:val="18"/>
              </w:rPr>
              <w:br/>
              <w:t>appendice 1</w:t>
            </w:r>
          </w:p>
          <w:p w:rsidR="00E24DB7" w:rsidRPr="002C5876" w:rsidRDefault="00731CA6" w:rsidP="00E24DB7">
            <w:pPr>
              <w:tabs>
                <w:tab w:val="left" w:pos="2421"/>
              </w:tabs>
              <w:suppressAutoHyphens w:val="0"/>
              <w:spacing w:before="60" w:after="60"/>
              <w:ind w:left="57" w:right="57"/>
              <w:rPr>
                <w:sz w:val="18"/>
                <w:szCs w:val="18"/>
              </w:rPr>
            </w:pPr>
            <m:oMathPara>
              <m:oMathParaPr>
                <m:jc m:val="left"/>
              </m:oMathParaPr>
              <m:oMath>
                <m:sSub>
                  <m:sSubPr>
                    <m:ctrlPr>
                      <w:rPr>
                        <w:rFonts w:ascii="Cambria Math" w:hAnsi="Cambria Math" w:cstheme="majorBidi"/>
                        <w:sz w:val="18"/>
                        <w:szCs w:val="18"/>
                      </w:rPr>
                    </m:ctrlPr>
                  </m:sSubPr>
                  <m:e>
                    <m:r>
                      <m:rPr>
                        <m:sty m:val="p"/>
                      </m:rPr>
                      <w:rPr>
                        <w:rFonts w:ascii="Cambria Math" w:hAnsi="Cambria Math" w:cstheme="majorBidi"/>
                        <w:sz w:val="18"/>
                        <w:szCs w:val="18"/>
                      </w:rPr>
                      <m:t>M</m:t>
                    </m:r>
                  </m:e>
                  <m:sub>
                    <m:r>
                      <m:rPr>
                        <m:sty m:val="p"/>
                      </m:rPr>
                      <w:rPr>
                        <w:rFonts w:ascii="Cambria Math" w:hAnsi="Cambria Math" w:cstheme="majorBidi"/>
                        <w:sz w:val="18"/>
                        <w:szCs w:val="18"/>
                      </w:rPr>
                      <m:t>i,CS,c,4</m:t>
                    </m:r>
                  </m:sub>
                </m:sSub>
                <m:r>
                  <m:rPr>
                    <m:sty m:val="p"/>
                  </m:rPr>
                  <w:rPr>
                    <w:rFonts w:ascii="Cambria Math" w:hAnsi="Cambria Math" w:cstheme="majorBidi"/>
                    <w:sz w:val="18"/>
                    <w:szCs w:val="18"/>
                  </w:rPr>
                  <m:t>=</m:t>
                </m:r>
                <m:sSub>
                  <m:sSubPr>
                    <m:ctrlPr>
                      <w:rPr>
                        <w:rFonts w:ascii="Cambria Math" w:hAnsi="Cambria Math" w:cstheme="majorBidi"/>
                        <w:sz w:val="18"/>
                        <w:szCs w:val="18"/>
                      </w:rPr>
                    </m:ctrlPr>
                  </m:sSubPr>
                  <m:e>
                    <m:r>
                      <m:rPr>
                        <m:sty m:val="p"/>
                      </m:rPr>
                      <w:rPr>
                        <w:rFonts w:ascii="Cambria Math" w:hAnsi="Cambria Math" w:cstheme="majorBidi"/>
                        <w:sz w:val="18"/>
                        <w:szCs w:val="18"/>
                      </w:rPr>
                      <m:t>K</m:t>
                    </m:r>
                  </m:e>
                  <m:sub>
                    <m:r>
                      <m:rPr>
                        <m:sty m:val="p"/>
                      </m:rPr>
                      <w:rPr>
                        <w:rFonts w:ascii="Cambria Math" w:hAnsi="Cambria Math" w:cstheme="majorBidi"/>
                        <w:sz w:val="18"/>
                        <w:szCs w:val="18"/>
                      </w:rPr>
                      <m:t>i</m:t>
                    </m:r>
                  </m:sub>
                </m:sSub>
                <m:r>
                  <m:rPr>
                    <m:sty m:val="p"/>
                  </m:rPr>
                  <w:rPr>
                    <w:rFonts w:ascii="Cambria Math" w:hAnsi="Cambria Math" w:cstheme="majorBidi"/>
                    <w:sz w:val="18"/>
                    <w:szCs w:val="18"/>
                  </w:rPr>
                  <m:t>×</m:t>
                </m:r>
                <m:sSub>
                  <m:sSubPr>
                    <m:ctrlPr>
                      <w:rPr>
                        <w:rFonts w:ascii="Cambria Math" w:hAnsi="Cambria Math" w:cstheme="majorBidi"/>
                        <w:sz w:val="18"/>
                        <w:szCs w:val="18"/>
                      </w:rPr>
                    </m:ctrlPr>
                  </m:sSubPr>
                  <m:e>
                    <m:r>
                      <m:rPr>
                        <m:sty m:val="p"/>
                      </m:rPr>
                      <w:rPr>
                        <w:rFonts w:ascii="Cambria Math" w:hAnsi="Cambria Math" w:cstheme="majorBidi"/>
                        <w:sz w:val="18"/>
                        <w:szCs w:val="18"/>
                      </w:rPr>
                      <m:t>M</m:t>
                    </m:r>
                  </m:e>
                  <m:sub>
                    <m:r>
                      <m:rPr>
                        <m:sty m:val="p"/>
                      </m:rPr>
                      <w:rPr>
                        <w:rFonts w:ascii="Cambria Math" w:hAnsi="Cambria Math" w:cstheme="majorBidi"/>
                        <w:sz w:val="18"/>
                        <w:szCs w:val="18"/>
                      </w:rPr>
                      <m:t>i,CS,c,2</m:t>
                    </m:r>
                  </m:sub>
                </m:sSub>
              </m:oMath>
            </m:oMathPara>
          </w:p>
          <w:p w:rsidR="00E24DB7" w:rsidRPr="002C5876" w:rsidRDefault="00E24DB7" w:rsidP="00E24DB7">
            <w:pPr>
              <w:tabs>
                <w:tab w:val="left" w:pos="2421"/>
              </w:tabs>
              <w:suppressAutoHyphens w:val="0"/>
              <w:spacing w:before="60" w:after="60"/>
              <w:ind w:left="57" w:right="57"/>
              <w:rPr>
                <w:sz w:val="18"/>
                <w:szCs w:val="18"/>
              </w:rPr>
            </w:pPr>
            <w:r w:rsidRPr="002C5876">
              <w:rPr>
                <w:sz w:val="18"/>
                <w:szCs w:val="18"/>
              </w:rPr>
              <w:t>ou</w:t>
            </w:r>
          </w:p>
          <w:p w:rsidR="00E24DB7" w:rsidRPr="002C5876" w:rsidRDefault="00731CA6" w:rsidP="00E24DB7">
            <w:pPr>
              <w:tabs>
                <w:tab w:val="left" w:pos="2421"/>
              </w:tabs>
              <w:suppressAutoHyphens w:val="0"/>
              <w:spacing w:before="60" w:after="60"/>
              <w:ind w:left="57" w:right="57"/>
              <w:rPr>
                <w:rFonts w:eastAsiaTheme="minorEastAsia"/>
                <w:sz w:val="18"/>
                <w:szCs w:val="18"/>
              </w:rPr>
            </w:pPr>
            <m:oMathPara>
              <m:oMathParaPr>
                <m:jc m:val="left"/>
              </m:oMathParaPr>
              <m:oMath>
                <m:sSub>
                  <m:sSubPr>
                    <m:ctrlPr>
                      <w:rPr>
                        <w:rFonts w:ascii="Cambria Math" w:hAnsi="Cambria Math" w:cstheme="majorBidi"/>
                        <w:sz w:val="18"/>
                        <w:szCs w:val="18"/>
                      </w:rPr>
                    </m:ctrlPr>
                  </m:sSubPr>
                  <m:e>
                    <m:r>
                      <m:rPr>
                        <m:sty m:val="p"/>
                      </m:rPr>
                      <w:rPr>
                        <w:rFonts w:ascii="Cambria Math" w:hAnsi="Cambria Math" w:cstheme="majorBidi"/>
                        <w:sz w:val="18"/>
                        <w:szCs w:val="18"/>
                      </w:rPr>
                      <m:t>M</m:t>
                    </m:r>
                  </m:e>
                  <m:sub>
                    <m:r>
                      <m:rPr>
                        <m:sty m:val="p"/>
                      </m:rPr>
                      <w:rPr>
                        <w:rFonts w:ascii="Cambria Math" w:hAnsi="Cambria Math" w:cstheme="majorBidi"/>
                        <w:sz w:val="18"/>
                        <w:szCs w:val="18"/>
                      </w:rPr>
                      <m:t>i,CS,c,4</m:t>
                    </m:r>
                  </m:sub>
                </m:sSub>
                <m:r>
                  <m:rPr>
                    <m:sty m:val="p"/>
                  </m:rPr>
                  <w:rPr>
                    <w:rFonts w:ascii="Cambria Math" w:hAnsi="Cambria Math" w:cstheme="majorBidi"/>
                    <w:sz w:val="18"/>
                    <w:szCs w:val="18"/>
                  </w:rPr>
                  <m:t>=</m:t>
                </m:r>
                <m:sSub>
                  <m:sSubPr>
                    <m:ctrlPr>
                      <w:rPr>
                        <w:rFonts w:ascii="Cambria Math" w:hAnsi="Cambria Math" w:cstheme="majorBidi"/>
                        <w:sz w:val="18"/>
                        <w:szCs w:val="18"/>
                      </w:rPr>
                    </m:ctrlPr>
                  </m:sSubPr>
                  <m:e>
                    <m:r>
                      <m:rPr>
                        <m:sty m:val="p"/>
                      </m:rPr>
                      <w:rPr>
                        <w:rFonts w:ascii="Cambria Math" w:hAnsi="Cambria Math" w:cstheme="majorBidi"/>
                        <w:sz w:val="18"/>
                        <w:szCs w:val="18"/>
                      </w:rPr>
                      <m:t>K</m:t>
                    </m:r>
                  </m:e>
                  <m:sub>
                    <m:r>
                      <m:rPr>
                        <m:sty m:val="p"/>
                      </m:rPr>
                      <w:rPr>
                        <w:rFonts w:ascii="Cambria Math" w:hAnsi="Cambria Math" w:cstheme="majorBidi"/>
                        <w:sz w:val="18"/>
                        <w:szCs w:val="18"/>
                      </w:rPr>
                      <m:t>i</m:t>
                    </m:r>
                  </m:sub>
                </m:sSub>
                <m:r>
                  <m:rPr>
                    <m:sty m:val="p"/>
                  </m:rPr>
                  <w:rPr>
                    <w:rFonts w:ascii="Cambria Math" w:hAnsi="Cambria Math" w:cstheme="majorBidi"/>
                    <w:sz w:val="18"/>
                    <w:szCs w:val="18"/>
                  </w:rPr>
                  <m:t>+</m:t>
                </m:r>
                <m:sSub>
                  <m:sSubPr>
                    <m:ctrlPr>
                      <w:rPr>
                        <w:rFonts w:ascii="Cambria Math" w:hAnsi="Cambria Math" w:cstheme="majorBidi"/>
                        <w:sz w:val="18"/>
                        <w:szCs w:val="18"/>
                      </w:rPr>
                    </m:ctrlPr>
                  </m:sSubPr>
                  <m:e>
                    <m:r>
                      <m:rPr>
                        <m:sty m:val="p"/>
                      </m:rPr>
                      <w:rPr>
                        <w:rFonts w:ascii="Cambria Math" w:hAnsi="Cambria Math" w:cstheme="majorBidi"/>
                        <w:sz w:val="18"/>
                        <w:szCs w:val="18"/>
                      </w:rPr>
                      <m:t>M</m:t>
                    </m:r>
                  </m:e>
                  <m:sub>
                    <m:r>
                      <m:rPr>
                        <m:sty m:val="p"/>
                      </m:rPr>
                      <w:rPr>
                        <w:rFonts w:ascii="Cambria Math" w:hAnsi="Cambria Math" w:cstheme="majorBidi"/>
                        <w:sz w:val="18"/>
                        <w:szCs w:val="18"/>
                      </w:rPr>
                      <m:t>i,CS,c,2</m:t>
                    </m:r>
                  </m:sub>
                </m:sSub>
              </m:oMath>
            </m:oMathPara>
          </w:p>
          <w:p w:rsidR="00E24DB7" w:rsidRPr="002C5876" w:rsidRDefault="00E24DB7" w:rsidP="00E24DB7">
            <w:pPr>
              <w:tabs>
                <w:tab w:val="left" w:pos="2421"/>
              </w:tabs>
              <w:suppressAutoHyphens w:val="0"/>
              <w:spacing w:before="60" w:after="60"/>
              <w:ind w:left="57" w:right="57"/>
              <w:rPr>
                <w:sz w:val="18"/>
                <w:szCs w:val="18"/>
              </w:rPr>
            </w:pPr>
            <w:r w:rsidRPr="002C5876">
              <w:rPr>
                <w:sz w:val="18"/>
                <w:szCs w:val="18"/>
              </w:rPr>
              <w:t>et</w:t>
            </w:r>
          </w:p>
          <w:p w:rsidR="00E24DB7" w:rsidRPr="002C5876" w:rsidRDefault="00731CA6" w:rsidP="00E24DB7">
            <w:pPr>
              <w:tabs>
                <w:tab w:val="left" w:pos="2421"/>
              </w:tabs>
              <w:suppressAutoHyphens w:val="0"/>
              <w:spacing w:before="60" w:after="60"/>
              <w:ind w:left="57" w:right="57"/>
              <w:rPr>
                <w:sz w:val="18"/>
                <w:szCs w:val="18"/>
              </w:rPr>
            </w:pPr>
            <m:oMathPara>
              <m:oMathParaPr>
                <m:jc m:val="left"/>
              </m:oMathParaPr>
              <m:oMath>
                <m:sSub>
                  <m:sSubPr>
                    <m:ctrlPr>
                      <w:rPr>
                        <w:rFonts w:ascii="Cambria Math" w:hAnsi="Cambria Math" w:cstheme="majorBidi"/>
                        <w:sz w:val="18"/>
                        <w:szCs w:val="18"/>
                      </w:rPr>
                    </m:ctrlPr>
                  </m:sSubPr>
                  <m:e>
                    <m:r>
                      <m:rPr>
                        <m:sty m:val="p"/>
                      </m:rPr>
                      <w:rPr>
                        <w:rFonts w:ascii="Cambria Math" w:hAnsi="Cambria Math" w:cstheme="majorBidi"/>
                        <w:sz w:val="18"/>
                        <w:szCs w:val="18"/>
                      </w:rPr>
                      <m:t>M</m:t>
                    </m:r>
                  </m:e>
                  <m:sub>
                    <m:r>
                      <m:rPr>
                        <m:sty m:val="p"/>
                      </m:rPr>
                      <w:rPr>
                        <w:rFonts w:ascii="Cambria Math" w:hAnsi="Cambria Math" w:cstheme="majorBidi"/>
                        <w:sz w:val="18"/>
                        <w:szCs w:val="18"/>
                      </w:rPr>
                      <m:t>CO2,CS,c,4</m:t>
                    </m:r>
                  </m:sub>
                </m:sSub>
                <m:r>
                  <m:rPr>
                    <m:sty m:val="p"/>
                  </m:rPr>
                  <w:rPr>
                    <w:rFonts w:ascii="Cambria Math" w:hAnsi="Cambria Math" w:cstheme="majorBidi"/>
                    <w:sz w:val="18"/>
                    <w:szCs w:val="18"/>
                  </w:rPr>
                  <m:t>=</m:t>
                </m:r>
                <m:sSub>
                  <m:sSubPr>
                    <m:ctrlPr>
                      <w:rPr>
                        <w:rFonts w:ascii="Cambria Math" w:hAnsi="Cambria Math" w:cstheme="majorBidi"/>
                        <w:sz w:val="18"/>
                        <w:szCs w:val="18"/>
                      </w:rPr>
                    </m:ctrlPr>
                  </m:sSubPr>
                  <m:e>
                    <m:r>
                      <m:rPr>
                        <m:sty m:val="p"/>
                      </m:rPr>
                      <w:rPr>
                        <w:rFonts w:ascii="Cambria Math" w:hAnsi="Cambria Math" w:cstheme="majorBidi"/>
                        <w:sz w:val="18"/>
                        <w:szCs w:val="18"/>
                      </w:rPr>
                      <m:t>K</m:t>
                    </m:r>
                  </m:e>
                  <m:sub>
                    <m:r>
                      <m:rPr>
                        <m:sty m:val="p"/>
                      </m:rPr>
                      <w:rPr>
                        <w:rFonts w:ascii="Cambria Math" w:hAnsi="Cambria Math" w:cstheme="majorBidi"/>
                        <w:sz w:val="18"/>
                        <w:szCs w:val="18"/>
                      </w:rPr>
                      <m:t>CO2,</m:t>
                    </m:r>
                    <m:sSub>
                      <m:sSubPr>
                        <m:ctrlPr>
                          <w:rPr>
                            <w:rFonts w:ascii="Cambria Math" w:hAnsi="Cambria Math" w:cstheme="majorBidi"/>
                            <w:sz w:val="18"/>
                            <w:szCs w:val="18"/>
                          </w:rPr>
                        </m:ctrlPr>
                      </m:sSubPr>
                      <m:e>
                        <m:r>
                          <m:rPr>
                            <m:sty m:val="p"/>
                          </m:rPr>
                          <w:rPr>
                            <w:rFonts w:ascii="Cambria Math" w:hAnsi="Cambria Math" w:cstheme="majorBidi"/>
                            <w:sz w:val="18"/>
                            <w:szCs w:val="18"/>
                          </w:rPr>
                          <m:t>K</m:t>
                        </m:r>
                      </m:e>
                      <m:sub>
                        <m:r>
                          <m:rPr>
                            <m:sty m:val="p"/>
                          </m:rPr>
                          <w:rPr>
                            <w:rFonts w:ascii="Cambria Math" w:hAnsi="Cambria Math" w:cstheme="majorBidi"/>
                            <w:sz w:val="18"/>
                            <w:szCs w:val="18"/>
                          </w:rPr>
                          <m:t>i</m:t>
                        </m:r>
                      </m:sub>
                    </m:sSub>
                  </m:sub>
                </m:sSub>
                <m:r>
                  <m:rPr>
                    <m:sty m:val="p"/>
                  </m:rPr>
                  <w:rPr>
                    <w:rFonts w:ascii="Cambria Math" w:hAnsi="Cambria Math" w:cstheme="majorBidi"/>
                    <w:sz w:val="18"/>
                    <w:szCs w:val="18"/>
                  </w:rPr>
                  <m:t>×</m:t>
                </m:r>
                <m:sSub>
                  <m:sSubPr>
                    <m:ctrlPr>
                      <w:rPr>
                        <w:rFonts w:ascii="Cambria Math" w:hAnsi="Cambria Math" w:cstheme="majorBidi"/>
                        <w:sz w:val="18"/>
                        <w:szCs w:val="18"/>
                      </w:rPr>
                    </m:ctrlPr>
                  </m:sSubPr>
                  <m:e>
                    <m:r>
                      <m:rPr>
                        <m:sty m:val="p"/>
                      </m:rPr>
                      <w:rPr>
                        <w:rFonts w:ascii="Cambria Math" w:hAnsi="Cambria Math" w:cstheme="majorBidi"/>
                        <w:sz w:val="18"/>
                        <w:szCs w:val="18"/>
                      </w:rPr>
                      <m:t>M</m:t>
                    </m:r>
                  </m:e>
                  <m:sub>
                    <m:r>
                      <m:rPr>
                        <m:sty m:val="p"/>
                      </m:rPr>
                      <w:rPr>
                        <w:rFonts w:ascii="Cambria Math" w:hAnsi="Cambria Math" w:cstheme="majorBidi"/>
                        <w:sz w:val="18"/>
                        <w:szCs w:val="18"/>
                      </w:rPr>
                      <m:t>CO2,CS,c,3</m:t>
                    </m:r>
                  </m:sub>
                </m:sSub>
              </m:oMath>
            </m:oMathPara>
          </w:p>
          <w:p w:rsidR="00E24DB7" w:rsidRPr="002C5876" w:rsidRDefault="00E24DB7" w:rsidP="00E24DB7">
            <w:pPr>
              <w:tabs>
                <w:tab w:val="left" w:pos="2421"/>
              </w:tabs>
              <w:suppressAutoHyphens w:val="0"/>
              <w:spacing w:before="60" w:after="60"/>
              <w:ind w:left="57" w:right="57"/>
              <w:rPr>
                <w:sz w:val="18"/>
                <w:szCs w:val="18"/>
              </w:rPr>
            </w:pPr>
            <w:r w:rsidRPr="002C5876">
              <w:rPr>
                <w:sz w:val="18"/>
                <w:szCs w:val="18"/>
              </w:rPr>
              <w:t>ou</w:t>
            </w:r>
          </w:p>
          <w:p w:rsidR="00E24DB7" w:rsidRPr="002C5876" w:rsidRDefault="00731CA6" w:rsidP="00E24DB7">
            <w:pPr>
              <w:tabs>
                <w:tab w:val="left" w:pos="2421"/>
              </w:tabs>
              <w:suppressAutoHyphens w:val="0"/>
              <w:spacing w:before="60" w:after="60"/>
              <w:ind w:left="57" w:right="57"/>
              <w:rPr>
                <w:sz w:val="18"/>
                <w:szCs w:val="18"/>
              </w:rPr>
            </w:pPr>
            <m:oMathPara>
              <m:oMathParaPr>
                <m:jc m:val="left"/>
              </m:oMathParaPr>
              <m:oMath>
                <m:sSub>
                  <m:sSubPr>
                    <m:ctrlPr>
                      <w:rPr>
                        <w:rFonts w:ascii="Cambria Math" w:hAnsi="Cambria Math" w:cstheme="majorBidi"/>
                        <w:sz w:val="18"/>
                        <w:szCs w:val="18"/>
                      </w:rPr>
                    </m:ctrlPr>
                  </m:sSubPr>
                  <m:e>
                    <m:r>
                      <m:rPr>
                        <m:sty m:val="p"/>
                      </m:rPr>
                      <w:rPr>
                        <w:rFonts w:ascii="Cambria Math" w:hAnsi="Cambria Math" w:cstheme="majorBidi"/>
                        <w:sz w:val="18"/>
                        <w:szCs w:val="18"/>
                      </w:rPr>
                      <m:t>M</m:t>
                    </m:r>
                  </m:e>
                  <m:sub>
                    <m:r>
                      <m:rPr>
                        <m:sty m:val="p"/>
                      </m:rPr>
                      <w:rPr>
                        <w:rFonts w:ascii="Cambria Math" w:hAnsi="Cambria Math" w:cstheme="majorBidi"/>
                        <w:sz w:val="18"/>
                        <w:szCs w:val="18"/>
                      </w:rPr>
                      <m:t>CO2,CS,c,4</m:t>
                    </m:r>
                  </m:sub>
                </m:sSub>
                <m:r>
                  <m:rPr>
                    <m:sty m:val="p"/>
                  </m:rPr>
                  <w:rPr>
                    <w:rFonts w:ascii="Cambria Math" w:hAnsi="Cambria Math" w:cstheme="majorBidi"/>
                    <w:sz w:val="18"/>
                    <w:szCs w:val="18"/>
                  </w:rPr>
                  <m:t>=</m:t>
                </m:r>
                <m:sSub>
                  <m:sSubPr>
                    <m:ctrlPr>
                      <w:rPr>
                        <w:rFonts w:ascii="Cambria Math" w:hAnsi="Cambria Math" w:cstheme="majorBidi"/>
                        <w:sz w:val="18"/>
                        <w:szCs w:val="18"/>
                      </w:rPr>
                    </m:ctrlPr>
                  </m:sSubPr>
                  <m:e>
                    <m:r>
                      <m:rPr>
                        <m:sty m:val="p"/>
                      </m:rPr>
                      <w:rPr>
                        <w:rFonts w:ascii="Cambria Math" w:hAnsi="Cambria Math" w:cstheme="majorBidi"/>
                        <w:sz w:val="18"/>
                        <w:szCs w:val="18"/>
                      </w:rPr>
                      <m:t>K</m:t>
                    </m:r>
                  </m:e>
                  <m:sub>
                    <m:r>
                      <m:rPr>
                        <m:sty m:val="p"/>
                      </m:rPr>
                      <w:rPr>
                        <w:rFonts w:ascii="Cambria Math" w:hAnsi="Cambria Math" w:cstheme="majorBidi"/>
                        <w:sz w:val="18"/>
                        <w:szCs w:val="18"/>
                      </w:rPr>
                      <m:t>CO2,</m:t>
                    </m:r>
                    <m:sSub>
                      <m:sSubPr>
                        <m:ctrlPr>
                          <w:rPr>
                            <w:rFonts w:ascii="Cambria Math" w:hAnsi="Cambria Math" w:cstheme="majorBidi"/>
                            <w:sz w:val="18"/>
                            <w:szCs w:val="18"/>
                          </w:rPr>
                        </m:ctrlPr>
                      </m:sSubPr>
                      <m:e>
                        <m:r>
                          <m:rPr>
                            <m:sty m:val="p"/>
                          </m:rPr>
                          <w:rPr>
                            <w:rFonts w:ascii="Cambria Math" w:hAnsi="Cambria Math" w:cstheme="majorBidi"/>
                            <w:sz w:val="18"/>
                            <w:szCs w:val="18"/>
                          </w:rPr>
                          <m:t>K</m:t>
                        </m:r>
                      </m:e>
                      <m:sub>
                        <m:r>
                          <m:rPr>
                            <m:sty m:val="p"/>
                          </m:rPr>
                          <w:rPr>
                            <w:rFonts w:ascii="Cambria Math" w:hAnsi="Cambria Math" w:cstheme="majorBidi"/>
                            <w:sz w:val="18"/>
                            <w:szCs w:val="18"/>
                          </w:rPr>
                          <m:t>i</m:t>
                        </m:r>
                      </m:sub>
                    </m:sSub>
                  </m:sub>
                </m:sSub>
                <m:r>
                  <m:rPr>
                    <m:sty m:val="p"/>
                  </m:rPr>
                  <w:rPr>
                    <w:rFonts w:ascii="Cambria Math" w:hAnsi="Cambria Math" w:cstheme="majorBidi"/>
                    <w:sz w:val="18"/>
                    <w:szCs w:val="18"/>
                  </w:rPr>
                  <m:t>+</m:t>
                </m:r>
                <m:sSub>
                  <m:sSubPr>
                    <m:ctrlPr>
                      <w:rPr>
                        <w:rFonts w:ascii="Cambria Math" w:hAnsi="Cambria Math" w:cstheme="majorBidi"/>
                        <w:sz w:val="18"/>
                        <w:szCs w:val="18"/>
                      </w:rPr>
                    </m:ctrlPr>
                  </m:sSubPr>
                  <m:e>
                    <m:r>
                      <m:rPr>
                        <m:sty m:val="p"/>
                      </m:rPr>
                      <w:rPr>
                        <w:rFonts w:ascii="Cambria Math" w:hAnsi="Cambria Math" w:cstheme="majorBidi"/>
                        <w:sz w:val="18"/>
                        <w:szCs w:val="18"/>
                      </w:rPr>
                      <m:t>M</m:t>
                    </m:r>
                  </m:e>
                  <m:sub>
                    <m:r>
                      <m:rPr>
                        <m:sty m:val="p"/>
                      </m:rPr>
                      <w:rPr>
                        <w:rFonts w:ascii="Cambria Math" w:hAnsi="Cambria Math" w:cstheme="majorBidi"/>
                        <w:sz w:val="18"/>
                        <w:szCs w:val="18"/>
                      </w:rPr>
                      <m:t>CO2,CS,c,3</m:t>
                    </m:r>
                  </m:sub>
                </m:sSub>
              </m:oMath>
            </m:oMathPara>
          </w:p>
          <w:p w:rsidR="00E24DB7" w:rsidRPr="002C5876" w:rsidRDefault="00E24DB7" w:rsidP="00E24DB7">
            <w:pPr>
              <w:tabs>
                <w:tab w:val="left" w:pos="2421"/>
              </w:tabs>
              <w:suppressAutoHyphens w:val="0"/>
              <w:spacing w:before="60" w:after="60"/>
              <w:ind w:left="57" w:right="57"/>
              <w:rPr>
                <w:sz w:val="18"/>
                <w:szCs w:val="18"/>
              </w:rPr>
            </w:pPr>
            <w:r w:rsidRPr="002C5876">
              <w:rPr>
                <w:sz w:val="18"/>
                <w:szCs w:val="18"/>
              </w:rPr>
              <w:t xml:space="preserve">Facteur additif de recalage ou multiplicatif à utiliser en fonction </w:t>
            </w:r>
            <w:r w:rsidRPr="002C5876">
              <w:rPr>
                <w:sz w:val="18"/>
                <w:szCs w:val="18"/>
              </w:rPr>
              <w:br/>
              <w:t>de la détermination de K</w:t>
            </w:r>
            <w:r w:rsidRPr="002C5876">
              <w:rPr>
                <w:sz w:val="18"/>
                <w:szCs w:val="18"/>
                <w:vertAlign w:val="subscript"/>
              </w:rPr>
              <w:t>i</w:t>
            </w:r>
            <w:r w:rsidRPr="002C5876">
              <w:rPr>
                <w:sz w:val="18"/>
                <w:szCs w:val="18"/>
              </w:rPr>
              <w:t>.</w:t>
            </w:r>
          </w:p>
          <w:p w:rsidR="00E24DB7" w:rsidRPr="002C5876" w:rsidRDefault="00E24DB7" w:rsidP="00E24DB7">
            <w:pPr>
              <w:tabs>
                <w:tab w:val="left" w:pos="2421"/>
              </w:tabs>
              <w:suppressAutoHyphens w:val="0"/>
              <w:spacing w:before="60" w:after="60"/>
              <w:ind w:left="57" w:right="57"/>
              <w:rPr>
                <w:sz w:val="18"/>
                <w:szCs w:val="18"/>
              </w:rPr>
            </w:pPr>
            <w:r w:rsidRPr="002C5876">
              <w:rPr>
                <w:sz w:val="18"/>
                <w:szCs w:val="18"/>
              </w:rPr>
              <w:t>Si K</w:t>
            </w:r>
            <w:r w:rsidRPr="002C5876">
              <w:rPr>
                <w:sz w:val="18"/>
                <w:szCs w:val="18"/>
                <w:vertAlign w:val="subscript"/>
              </w:rPr>
              <w:t>i</w:t>
            </w:r>
            <w:r w:rsidRPr="002C5876">
              <w:rPr>
                <w:sz w:val="18"/>
                <w:szCs w:val="18"/>
              </w:rPr>
              <w:t xml:space="preserve"> n’est pas applicable :</w:t>
            </w:r>
          </w:p>
          <w:p w:rsidR="00E24DB7" w:rsidRPr="00D53F39" w:rsidRDefault="00731CA6" w:rsidP="00E24DB7">
            <w:pPr>
              <w:tabs>
                <w:tab w:val="left" w:pos="2421"/>
              </w:tabs>
              <w:suppressAutoHyphens w:val="0"/>
              <w:spacing w:before="60" w:after="60"/>
              <w:ind w:left="57" w:right="57"/>
              <w:rPr>
                <w:sz w:val="18"/>
                <w:szCs w:val="18"/>
                <w:lang w:val="en-US"/>
              </w:rPr>
            </w:pPr>
            <m:oMathPara>
              <m:oMathParaPr>
                <m:jc m:val="left"/>
              </m:oMathParaPr>
              <m:oMath>
                <m:sSub>
                  <m:sSubPr>
                    <m:ctrlPr>
                      <w:rPr>
                        <w:rFonts w:ascii="Cambria Math" w:hAnsi="Cambria Math" w:cstheme="majorBidi"/>
                        <w:sz w:val="18"/>
                        <w:szCs w:val="18"/>
                      </w:rPr>
                    </m:ctrlPr>
                  </m:sSubPr>
                  <m:e>
                    <m:r>
                      <m:rPr>
                        <m:nor/>
                      </m:rPr>
                      <w:rPr>
                        <w:rFonts w:asciiTheme="majorBidi" w:hAnsiTheme="majorBidi" w:cstheme="majorBidi"/>
                        <w:sz w:val="18"/>
                        <w:szCs w:val="18"/>
                        <w:lang w:val="en-US"/>
                      </w:rPr>
                      <m:t>M</m:t>
                    </m:r>
                  </m:e>
                  <m:sub>
                    <m:r>
                      <m:rPr>
                        <m:nor/>
                      </m:rPr>
                      <w:rPr>
                        <w:rFonts w:asciiTheme="majorBidi" w:hAnsiTheme="majorBidi" w:cstheme="majorBidi"/>
                        <w:sz w:val="18"/>
                        <w:szCs w:val="18"/>
                        <w:lang w:val="en-US"/>
                      </w:rPr>
                      <m:t>i,CS,c,4</m:t>
                    </m:r>
                  </m:sub>
                </m:sSub>
                <m:r>
                  <m:rPr>
                    <m:nor/>
                  </m:rPr>
                  <w:rPr>
                    <w:rFonts w:asciiTheme="majorBidi" w:hAnsiTheme="majorBidi" w:cstheme="majorBidi"/>
                    <w:sz w:val="18"/>
                    <w:szCs w:val="18"/>
                    <w:lang w:val="en-US"/>
                  </w:rPr>
                  <m:t>=</m:t>
                </m:r>
                <m:sSub>
                  <m:sSubPr>
                    <m:ctrlPr>
                      <w:rPr>
                        <w:rFonts w:ascii="Cambria Math" w:hAnsi="Cambria Math" w:cstheme="majorBidi"/>
                        <w:sz w:val="18"/>
                        <w:szCs w:val="18"/>
                      </w:rPr>
                    </m:ctrlPr>
                  </m:sSubPr>
                  <m:e>
                    <m:r>
                      <m:rPr>
                        <m:nor/>
                      </m:rPr>
                      <w:rPr>
                        <w:rFonts w:asciiTheme="majorBidi" w:hAnsiTheme="majorBidi" w:cstheme="majorBidi"/>
                        <w:sz w:val="18"/>
                        <w:szCs w:val="18"/>
                        <w:lang w:val="en-US"/>
                      </w:rPr>
                      <m:t>M</m:t>
                    </m:r>
                  </m:e>
                  <m:sub>
                    <m:r>
                      <m:rPr>
                        <m:nor/>
                      </m:rPr>
                      <w:rPr>
                        <w:rFonts w:asciiTheme="majorBidi" w:hAnsiTheme="majorBidi" w:cstheme="majorBidi"/>
                        <w:sz w:val="18"/>
                        <w:szCs w:val="18"/>
                        <w:lang w:val="en-US"/>
                      </w:rPr>
                      <m:t>i,CS,c,2</m:t>
                    </m:r>
                  </m:sub>
                </m:sSub>
              </m:oMath>
            </m:oMathPara>
          </w:p>
          <w:p w:rsidR="00E24DB7" w:rsidRPr="002C5876" w:rsidRDefault="00731CA6" w:rsidP="00E24DB7">
            <w:pPr>
              <w:tabs>
                <w:tab w:val="left" w:pos="2421"/>
              </w:tabs>
              <w:suppressAutoHyphens w:val="0"/>
              <w:spacing w:before="60" w:after="60"/>
              <w:ind w:left="57" w:right="57"/>
              <w:rPr>
                <w:sz w:val="18"/>
                <w:szCs w:val="18"/>
              </w:rPr>
            </w:pPr>
            <m:oMathPara>
              <m:oMathParaPr>
                <m:jc m:val="left"/>
              </m:oMathParaPr>
              <m:oMath>
                <m:sSub>
                  <m:sSubPr>
                    <m:ctrlPr>
                      <w:rPr>
                        <w:rFonts w:ascii="Cambria Math" w:hAnsi="Cambria Math" w:cstheme="majorBidi"/>
                        <w:sz w:val="18"/>
                        <w:szCs w:val="18"/>
                      </w:rPr>
                    </m:ctrlPr>
                  </m:sSubPr>
                  <m:e>
                    <m:r>
                      <m:rPr>
                        <m:sty m:val="p"/>
                      </m:rPr>
                      <w:rPr>
                        <w:rFonts w:ascii="Cambria Math" w:hAnsi="Cambria Math" w:cstheme="majorBidi"/>
                        <w:sz w:val="18"/>
                        <w:szCs w:val="18"/>
                      </w:rPr>
                      <m:t>M</m:t>
                    </m:r>
                  </m:e>
                  <m:sub>
                    <m:r>
                      <m:rPr>
                        <m:sty m:val="p"/>
                      </m:rPr>
                      <w:rPr>
                        <w:rFonts w:ascii="Cambria Math" w:hAnsi="Cambria Math" w:cstheme="majorBidi"/>
                        <w:sz w:val="18"/>
                        <w:szCs w:val="18"/>
                      </w:rPr>
                      <m:t>CO2,CS,c,4</m:t>
                    </m:r>
                  </m:sub>
                </m:sSub>
                <m:r>
                  <m:rPr>
                    <m:sty m:val="p"/>
                  </m:rPr>
                  <w:rPr>
                    <w:rFonts w:ascii="Cambria Math" w:hAnsi="Cambria Math" w:cstheme="majorBidi"/>
                    <w:sz w:val="18"/>
                    <w:szCs w:val="18"/>
                  </w:rPr>
                  <m:t>=</m:t>
                </m:r>
                <m:sSub>
                  <m:sSubPr>
                    <m:ctrlPr>
                      <w:rPr>
                        <w:rFonts w:ascii="Cambria Math" w:hAnsi="Cambria Math" w:cstheme="majorBidi"/>
                        <w:sz w:val="18"/>
                        <w:szCs w:val="18"/>
                      </w:rPr>
                    </m:ctrlPr>
                  </m:sSubPr>
                  <m:e>
                    <m:r>
                      <m:rPr>
                        <m:sty m:val="p"/>
                      </m:rPr>
                      <w:rPr>
                        <w:rFonts w:ascii="Cambria Math" w:hAnsi="Cambria Math" w:cstheme="majorBidi"/>
                        <w:sz w:val="18"/>
                        <w:szCs w:val="18"/>
                      </w:rPr>
                      <m:t>M</m:t>
                    </m:r>
                  </m:e>
                  <m:sub>
                    <m:r>
                      <m:rPr>
                        <m:sty m:val="p"/>
                      </m:rPr>
                      <w:rPr>
                        <w:rFonts w:ascii="Cambria Math" w:hAnsi="Cambria Math" w:cstheme="majorBidi"/>
                        <w:sz w:val="18"/>
                        <w:szCs w:val="18"/>
                      </w:rPr>
                      <m:t>CO2,CS,c,3</m:t>
                    </m:r>
                  </m:sub>
                </m:sSub>
              </m:oMath>
            </m:oMathPara>
          </w:p>
        </w:tc>
        <w:tc>
          <w:tcPr>
            <w:tcW w:w="1918" w:type="dxa"/>
            <w:shd w:val="clear" w:color="auto" w:fill="auto"/>
          </w:tcPr>
          <w:p w:rsidR="00E24DB7" w:rsidRPr="00D53F39" w:rsidRDefault="00E24DB7" w:rsidP="00E24DB7">
            <w:pPr>
              <w:spacing w:before="60" w:after="60"/>
              <w:ind w:left="57" w:right="57"/>
              <w:rPr>
                <w:sz w:val="18"/>
                <w:szCs w:val="18"/>
                <w:lang w:val="es-ES"/>
              </w:rPr>
            </w:pPr>
            <w:r w:rsidRPr="00D53F39">
              <w:rPr>
                <w:sz w:val="18"/>
                <w:szCs w:val="18"/>
                <w:lang w:val="es-ES"/>
              </w:rPr>
              <w:t>M</w:t>
            </w:r>
            <w:r w:rsidRPr="00D53F39">
              <w:rPr>
                <w:sz w:val="18"/>
                <w:szCs w:val="18"/>
                <w:vertAlign w:val="subscript"/>
                <w:lang w:val="es-ES"/>
              </w:rPr>
              <w:t>i,CS,C,4</w:t>
            </w:r>
            <w:r w:rsidRPr="00D53F39">
              <w:rPr>
                <w:sz w:val="18"/>
                <w:szCs w:val="18"/>
                <w:lang w:val="es-ES"/>
              </w:rPr>
              <w:t>,g/km</w:t>
            </w:r>
            <w:r w:rsidRPr="00D53F39">
              <w:rPr>
                <w:sz w:val="18"/>
                <w:szCs w:val="18"/>
                <w:lang w:val="es-ES"/>
              </w:rPr>
              <w:br/>
              <w:t>M</w:t>
            </w:r>
            <w:r w:rsidRPr="00D53F39">
              <w:rPr>
                <w:sz w:val="18"/>
                <w:szCs w:val="18"/>
                <w:vertAlign w:val="subscript"/>
                <w:lang w:val="es-ES"/>
              </w:rPr>
              <w:t>CO2,CS,c,4</w:t>
            </w:r>
            <w:r w:rsidRPr="00D53F39">
              <w:rPr>
                <w:sz w:val="18"/>
                <w:szCs w:val="18"/>
                <w:lang w:val="es-ES"/>
              </w:rPr>
              <w:t>, g/km</w:t>
            </w:r>
          </w:p>
        </w:tc>
        <w:tc>
          <w:tcPr>
            <w:tcW w:w="1333" w:type="dxa"/>
            <w:shd w:val="clear" w:color="auto" w:fill="auto"/>
          </w:tcPr>
          <w:p w:rsidR="00E24DB7" w:rsidRPr="002C5876" w:rsidRDefault="00E24DB7" w:rsidP="00E24DB7">
            <w:pPr>
              <w:spacing w:before="60" w:after="60"/>
              <w:ind w:left="57" w:right="57"/>
              <w:rPr>
                <w:sz w:val="18"/>
                <w:szCs w:val="18"/>
              </w:rPr>
            </w:pPr>
            <w:r w:rsidRPr="002C5876">
              <w:rPr>
                <w:sz w:val="18"/>
                <w:szCs w:val="18"/>
              </w:rPr>
              <w:t>4a</w:t>
            </w:r>
          </w:p>
        </w:tc>
      </w:tr>
      <w:tr w:rsidR="00E24DB7" w:rsidRPr="002C5876" w:rsidTr="00E24DB7">
        <w:tc>
          <w:tcPr>
            <w:tcW w:w="1671" w:type="dxa"/>
            <w:shd w:val="clear" w:color="auto" w:fill="auto"/>
          </w:tcPr>
          <w:p w:rsidR="00E24DB7" w:rsidRPr="002C5876" w:rsidRDefault="00E24DB7" w:rsidP="00E24DB7">
            <w:pPr>
              <w:keepNext/>
              <w:keepLines/>
              <w:spacing w:before="60" w:after="60"/>
              <w:ind w:left="57" w:right="57"/>
              <w:rPr>
                <w:sz w:val="18"/>
                <w:szCs w:val="18"/>
              </w:rPr>
            </w:pPr>
            <w:r w:rsidRPr="002C5876">
              <w:rPr>
                <w:sz w:val="18"/>
                <w:szCs w:val="18"/>
              </w:rPr>
              <w:lastRenderedPageBreak/>
              <w:t xml:space="preserve">Sortie </w:t>
            </w:r>
            <w:r w:rsidRPr="002C5876">
              <w:rPr>
                <w:sz w:val="18"/>
                <w:szCs w:val="18"/>
              </w:rPr>
              <w:br/>
              <w:t>des étapes n</w:t>
            </w:r>
            <w:r w:rsidRPr="002C5876">
              <w:rPr>
                <w:sz w:val="18"/>
                <w:szCs w:val="18"/>
                <w:vertAlign w:val="superscript"/>
              </w:rPr>
              <w:t>os</w:t>
            </w:r>
            <w:r w:rsidRPr="002C5876">
              <w:rPr>
                <w:sz w:val="18"/>
                <w:szCs w:val="18"/>
              </w:rPr>
              <w:t xml:space="preserve"> 3 </w:t>
            </w:r>
            <w:r w:rsidRPr="002C5876">
              <w:rPr>
                <w:sz w:val="18"/>
                <w:szCs w:val="18"/>
              </w:rPr>
              <w:br/>
              <w:t>et 4a de ce tableau</w:t>
            </w:r>
          </w:p>
        </w:tc>
        <w:tc>
          <w:tcPr>
            <w:tcW w:w="1716" w:type="dxa"/>
            <w:shd w:val="clear" w:color="auto" w:fill="auto"/>
          </w:tcPr>
          <w:p w:rsidR="00E24DB7" w:rsidRPr="002C5876" w:rsidRDefault="00E24DB7" w:rsidP="00E24DB7">
            <w:pPr>
              <w:keepNext/>
              <w:keepLines/>
              <w:suppressAutoHyphens w:val="0"/>
              <w:spacing w:before="60" w:after="60"/>
              <w:ind w:left="57" w:right="57"/>
              <w:rPr>
                <w:sz w:val="18"/>
                <w:szCs w:val="18"/>
              </w:rPr>
            </w:pPr>
            <w:r w:rsidRPr="002C5876">
              <w:rPr>
                <w:sz w:val="18"/>
                <w:szCs w:val="18"/>
              </w:rPr>
              <w:t>M</w:t>
            </w:r>
            <w:r w:rsidRPr="002C5876">
              <w:rPr>
                <w:sz w:val="18"/>
                <w:szCs w:val="18"/>
                <w:vertAlign w:val="subscript"/>
              </w:rPr>
              <w:t>CO2,CS,p,3</w:t>
            </w:r>
            <w:r w:rsidRPr="002C5876">
              <w:rPr>
                <w:sz w:val="18"/>
                <w:szCs w:val="18"/>
              </w:rPr>
              <w:t>, g/km</w:t>
            </w:r>
            <w:r w:rsidRPr="002C5876">
              <w:rPr>
                <w:sz w:val="18"/>
                <w:szCs w:val="18"/>
              </w:rPr>
              <w:br/>
              <w:t>M</w:t>
            </w:r>
            <w:r w:rsidRPr="002C5876">
              <w:rPr>
                <w:sz w:val="18"/>
                <w:szCs w:val="18"/>
                <w:vertAlign w:val="subscript"/>
              </w:rPr>
              <w:t>CO2,CS,c,3</w:t>
            </w:r>
            <w:r w:rsidRPr="002C5876">
              <w:rPr>
                <w:sz w:val="18"/>
                <w:szCs w:val="18"/>
              </w:rPr>
              <w:t>, g/km</w:t>
            </w:r>
            <w:r w:rsidRPr="002C5876">
              <w:rPr>
                <w:sz w:val="18"/>
                <w:szCs w:val="18"/>
              </w:rPr>
              <w:br/>
              <w:t>M</w:t>
            </w:r>
            <w:r w:rsidRPr="002C5876">
              <w:rPr>
                <w:sz w:val="18"/>
                <w:szCs w:val="18"/>
                <w:vertAlign w:val="subscript"/>
              </w:rPr>
              <w:t>CO2,CS,c,4</w:t>
            </w:r>
            <w:r w:rsidRPr="002C5876">
              <w:rPr>
                <w:sz w:val="18"/>
                <w:szCs w:val="18"/>
              </w:rPr>
              <w:t>, g/km</w:t>
            </w:r>
          </w:p>
        </w:tc>
        <w:tc>
          <w:tcPr>
            <w:tcW w:w="3001" w:type="dxa"/>
            <w:shd w:val="clear" w:color="auto" w:fill="auto"/>
          </w:tcPr>
          <w:p w:rsidR="00E24DB7" w:rsidRPr="002C5876" w:rsidRDefault="00E24DB7" w:rsidP="00E24DB7">
            <w:pPr>
              <w:keepNext/>
              <w:keepLines/>
              <w:suppressAutoHyphens w:val="0"/>
              <w:spacing w:before="60" w:after="60"/>
              <w:ind w:left="57" w:right="57"/>
              <w:rPr>
                <w:spacing w:val="-2"/>
                <w:sz w:val="18"/>
                <w:szCs w:val="18"/>
              </w:rPr>
            </w:pPr>
            <w:r w:rsidRPr="002C5876">
              <w:rPr>
                <w:spacing w:val="-2"/>
                <w:sz w:val="18"/>
                <w:szCs w:val="18"/>
              </w:rPr>
              <w:t>Si K</w:t>
            </w:r>
            <w:r w:rsidRPr="002C5876">
              <w:rPr>
                <w:spacing w:val="-2"/>
                <w:sz w:val="18"/>
                <w:szCs w:val="18"/>
                <w:vertAlign w:val="subscript"/>
              </w:rPr>
              <w:t>i</w:t>
            </w:r>
            <w:r w:rsidRPr="002C5876">
              <w:rPr>
                <w:spacing w:val="-2"/>
                <w:sz w:val="18"/>
                <w:szCs w:val="18"/>
              </w:rPr>
              <w:t xml:space="preserve"> n’est pas applicable, aligner les valeurs de la phase pour CO</w:t>
            </w:r>
            <w:r w:rsidRPr="002C5876">
              <w:rPr>
                <w:spacing w:val="-2"/>
                <w:sz w:val="18"/>
                <w:szCs w:val="18"/>
                <w:vertAlign w:val="subscript"/>
              </w:rPr>
              <w:t>2</w:t>
            </w:r>
            <w:r w:rsidRPr="002C5876">
              <w:rPr>
                <w:spacing w:val="-2"/>
                <w:sz w:val="18"/>
                <w:szCs w:val="18"/>
              </w:rPr>
              <w:t xml:space="preserve"> sur la valeur combinée sur le cycle :</w:t>
            </w:r>
          </w:p>
          <w:p w:rsidR="00E24DB7" w:rsidRPr="002C5876" w:rsidRDefault="00E24DB7" w:rsidP="00E24DB7">
            <w:pPr>
              <w:keepNext/>
              <w:keepLines/>
              <w:suppressAutoHyphens w:val="0"/>
              <w:spacing w:before="60" w:after="60"/>
              <w:ind w:left="57" w:right="57"/>
              <w:rPr>
                <w:sz w:val="18"/>
                <w:szCs w:val="18"/>
              </w:rPr>
            </w:pPr>
            <w:r w:rsidRPr="002C5876">
              <w:rPr>
                <w:noProof/>
                <w:position w:val="-12"/>
                <w:sz w:val="18"/>
                <w:szCs w:val="18"/>
                <w:lang w:val="en-GB" w:eastAsia="zh-CN"/>
              </w:rPr>
              <w:drawing>
                <wp:inline distT="0" distB="0" distL="0" distR="0" wp14:anchorId="179CCAC8" wp14:editId="751C0955">
                  <wp:extent cx="1752600" cy="209550"/>
                  <wp:effectExtent l="0" t="0" r="0" b="0"/>
                  <wp:docPr id="988" name="Imag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752600" cy="209550"/>
                          </a:xfrm>
                          <a:prstGeom prst="rect">
                            <a:avLst/>
                          </a:prstGeom>
                          <a:noFill/>
                          <a:ln>
                            <a:noFill/>
                          </a:ln>
                        </pic:spPr>
                      </pic:pic>
                    </a:graphicData>
                  </a:graphic>
                </wp:inline>
              </w:drawing>
            </w:r>
          </w:p>
          <w:p w:rsidR="00E24DB7" w:rsidRPr="002C5876" w:rsidRDefault="00E24DB7" w:rsidP="00E24DB7">
            <w:pPr>
              <w:keepNext/>
              <w:keepLines/>
              <w:suppressAutoHyphens w:val="0"/>
              <w:spacing w:before="60" w:after="60"/>
              <w:ind w:left="57" w:right="57"/>
              <w:rPr>
                <w:sz w:val="18"/>
                <w:szCs w:val="18"/>
              </w:rPr>
            </w:pPr>
            <w:r w:rsidRPr="002C5876">
              <w:rPr>
                <w:sz w:val="18"/>
                <w:szCs w:val="18"/>
              </w:rPr>
              <w:t>pour chaque phase du cycle p ;</w:t>
            </w:r>
          </w:p>
          <w:p w:rsidR="00E24DB7" w:rsidRPr="002C5876" w:rsidRDefault="00E24DB7" w:rsidP="00E24DB7">
            <w:pPr>
              <w:keepNext/>
              <w:keepLines/>
              <w:suppressAutoHyphens w:val="0"/>
              <w:spacing w:before="60" w:after="60"/>
              <w:ind w:left="57" w:right="57"/>
              <w:rPr>
                <w:sz w:val="18"/>
                <w:szCs w:val="18"/>
              </w:rPr>
            </w:pPr>
            <w:r w:rsidRPr="002C5876">
              <w:rPr>
                <w:sz w:val="18"/>
                <w:szCs w:val="18"/>
              </w:rPr>
              <w:t>où :</w:t>
            </w:r>
          </w:p>
          <w:p w:rsidR="00E24DB7" w:rsidRPr="002C5876" w:rsidRDefault="00E24DB7" w:rsidP="00E24DB7">
            <w:pPr>
              <w:keepNext/>
              <w:keepLines/>
              <w:suppressAutoHyphens w:val="0"/>
              <w:spacing w:before="60" w:after="60"/>
              <w:ind w:left="57" w:right="57"/>
              <w:rPr>
                <w:sz w:val="18"/>
                <w:szCs w:val="18"/>
              </w:rPr>
            </w:pPr>
            <w:r w:rsidRPr="002C5876">
              <w:rPr>
                <w:noProof/>
                <w:position w:val="-28"/>
                <w:sz w:val="18"/>
                <w:szCs w:val="18"/>
                <w:lang w:val="en-GB" w:eastAsia="zh-CN"/>
              </w:rPr>
              <w:drawing>
                <wp:inline distT="0" distB="0" distL="0" distR="0" wp14:anchorId="4F9F084D" wp14:editId="230E46B8">
                  <wp:extent cx="1057275" cy="390525"/>
                  <wp:effectExtent l="0" t="0" r="9525" b="9525"/>
                  <wp:docPr id="989" name="Imag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057275" cy="390525"/>
                          </a:xfrm>
                          <a:prstGeom prst="rect">
                            <a:avLst/>
                          </a:prstGeom>
                          <a:noFill/>
                          <a:ln>
                            <a:noFill/>
                          </a:ln>
                        </pic:spPr>
                      </pic:pic>
                    </a:graphicData>
                  </a:graphic>
                </wp:inline>
              </w:drawing>
            </w:r>
          </w:p>
          <w:p w:rsidR="00E24DB7" w:rsidRPr="002C5876" w:rsidRDefault="00E24DB7" w:rsidP="00E24DB7">
            <w:pPr>
              <w:keepNext/>
              <w:keepLines/>
              <w:suppressAutoHyphens w:val="0"/>
              <w:spacing w:before="60" w:after="60"/>
              <w:ind w:left="57" w:right="57"/>
              <w:rPr>
                <w:sz w:val="18"/>
                <w:szCs w:val="18"/>
              </w:rPr>
            </w:pPr>
            <w:r w:rsidRPr="002C5876">
              <w:rPr>
                <w:sz w:val="18"/>
                <w:szCs w:val="18"/>
              </w:rPr>
              <w:t>Si K</w:t>
            </w:r>
            <w:r w:rsidRPr="002C5876">
              <w:rPr>
                <w:sz w:val="18"/>
                <w:szCs w:val="18"/>
                <w:vertAlign w:val="subscript"/>
              </w:rPr>
              <w:t>i</w:t>
            </w:r>
            <w:r w:rsidRPr="002C5876">
              <w:rPr>
                <w:sz w:val="18"/>
                <w:szCs w:val="18"/>
              </w:rPr>
              <w:t xml:space="preserve"> n’est pas applicable :</w:t>
            </w:r>
          </w:p>
          <w:p w:rsidR="00E24DB7" w:rsidRPr="002C5876" w:rsidRDefault="00E24DB7" w:rsidP="00E24DB7">
            <w:pPr>
              <w:keepNext/>
              <w:keepLines/>
              <w:suppressAutoHyphens w:val="0"/>
              <w:spacing w:before="60" w:after="60"/>
              <w:ind w:left="57" w:right="57"/>
              <w:rPr>
                <w:sz w:val="18"/>
                <w:szCs w:val="18"/>
              </w:rPr>
            </w:pPr>
            <w:r w:rsidRPr="002C5876">
              <w:rPr>
                <w:noProof/>
                <w:position w:val="-12"/>
                <w:sz w:val="18"/>
                <w:szCs w:val="18"/>
                <w:lang w:val="en-GB" w:eastAsia="zh-CN"/>
              </w:rPr>
              <w:drawing>
                <wp:inline distT="0" distB="0" distL="0" distR="0" wp14:anchorId="75BBC507" wp14:editId="3F82829F">
                  <wp:extent cx="1362075" cy="209550"/>
                  <wp:effectExtent l="0" t="0" r="9525" b="0"/>
                  <wp:docPr id="990" name="Imag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362075" cy="209550"/>
                          </a:xfrm>
                          <a:prstGeom prst="rect">
                            <a:avLst/>
                          </a:prstGeom>
                          <a:noFill/>
                          <a:ln>
                            <a:noFill/>
                          </a:ln>
                        </pic:spPr>
                      </pic:pic>
                    </a:graphicData>
                  </a:graphic>
                </wp:inline>
              </w:drawing>
            </w:r>
          </w:p>
        </w:tc>
        <w:tc>
          <w:tcPr>
            <w:tcW w:w="1918" w:type="dxa"/>
            <w:shd w:val="clear" w:color="auto" w:fill="auto"/>
          </w:tcPr>
          <w:p w:rsidR="00E24DB7" w:rsidRPr="002C5876" w:rsidRDefault="00E24DB7" w:rsidP="00E24DB7">
            <w:pPr>
              <w:keepNext/>
              <w:keepLines/>
              <w:spacing w:before="60" w:after="60"/>
              <w:ind w:left="57" w:right="57"/>
              <w:rPr>
                <w:sz w:val="18"/>
                <w:szCs w:val="18"/>
              </w:rPr>
            </w:pPr>
            <w:r w:rsidRPr="002C5876">
              <w:rPr>
                <w:sz w:val="18"/>
                <w:szCs w:val="18"/>
              </w:rPr>
              <w:t>M</w:t>
            </w:r>
            <w:r w:rsidRPr="002C5876">
              <w:rPr>
                <w:sz w:val="18"/>
                <w:szCs w:val="18"/>
                <w:vertAlign w:val="subscript"/>
              </w:rPr>
              <w:t>CO2,CS,p, 4</w:t>
            </w:r>
            <w:r w:rsidRPr="002C5876">
              <w:rPr>
                <w:sz w:val="18"/>
                <w:szCs w:val="18"/>
              </w:rPr>
              <w:t>,g/km</w:t>
            </w:r>
          </w:p>
        </w:tc>
        <w:tc>
          <w:tcPr>
            <w:tcW w:w="1333" w:type="dxa"/>
            <w:shd w:val="clear" w:color="auto" w:fill="auto"/>
          </w:tcPr>
          <w:p w:rsidR="00E24DB7" w:rsidRPr="002C5876" w:rsidRDefault="00E24DB7" w:rsidP="00E24DB7">
            <w:pPr>
              <w:keepNext/>
              <w:keepLines/>
              <w:spacing w:before="60" w:after="60"/>
              <w:ind w:left="57" w:right="57"/>
              <w:rPr>
                <w:sz w:val="18"/>
                <w:szCs w:val="18"/>
              </w:rPr>
            </w:pPr>
            <w:r w:rsidRPr="002C5876">
              <w:rPr>
                <w:sz w:val="18"/>
                <w:szCs w:val="18"/>
              </w:rPr>
              <w:t>4b</w:t>
            </w:r>
          </w:p>
        </w:tc>
      </w:tr>
      <w:tr w:rsidR="00E24DB7" w:rsidRPr="002C5876" w:rsidTr="00E24DB7">
        <w:tc>
          <w:tcPr>
            <w:tcW w:w="1671" w:type="dxa"/>
            <w:shd w:val="clear" w:color="auto" w:fill="auto"/>
          </w:tcPr>
          <w:p w:rsidR="00E24DB7" w:rsidRPr="002C5876" w:rsidRDefault="00E24DB7" w:rsidP="00E24DB7">
            <w:pPr>
              <w:keepNext/>
              <w:keepLines/>
              <w:spacing w:before="60" w:after="60"/>
              <w:ind w:left="57" w:right="57"/>
              <w:rPr>
                <w:sz w:val="18"/>
                <w:szCs w:val="18"/>
              </w:rPr>
            </w:pPr>
            <w:r w:rsidRPr="002C5876">
              <w:rPr>
                <w:sz w:val="18"/>
                <w:szCs w:val="18"/>
              </w:rPr>
              <w:t xml:space="preserve">Sortie </w:t>
            </w:r>
            <w:r w:rsidRPr="002C5876">
              <w:rPr>
                <w:sz w:val="18"/>
                <w:szCs w:val="18"/>
              </w:rPr>
              <w:br/>
              <w:t>de l’étape n</w:t>
            </w:r>
            <w:r w:rsidRPr="002C5876">
              <w:rPr>
                <w:sz w:val="18"/>
                <w:szCs w:val="18"/>
                <w:vertAlign w:val="superscript"/>
              </w:rPr>
              <w:t>o</w:t>
            </w:r>
            <w:r w:rsidRPr="002C5876">
              <w:rPr>
                <w:sz w:val="18"/>
                <w:szCs w:val="18"/>
              </w:rPr>
              <w:t xml:space="preserve"> 4 </w:t>
            </w:r>
            <w:r w:rsidRPr="002C5876">
              <w:rPr>
                <w:sz w:val="18"/>
                <w:szCs w:val="18"/>
              </w:rPr>
              <w:br/>
              <w:t>de ce tableau</w:t>
            </w:r>
          </w:p>
        </w:tc>
        <w:tc>
          <w:tcPr>
            <w:tcW w:w="1716" w:type="dxa"/>
            <w:shd w:val="clear" w:color="auto" w:fill="auto"/>
          </w:tcPr>
          <w:p w:rsidR="00E24DB7" w:rsidRPr="002C5876" w:rsidRDefault="00E24DB7" w:rsidP="00E24DB7">
            <w:pPr>
              <w:keepNext/>
              <w:keepLines/>
              <w:spacing w:before="60" w:after="60"/>
              <w:ind w:left="57" w:right="57"/>
              <w:rPr>
                <w:sz w:val="18"/>
                <w:szCs w:val="18"/>
              </w:rPr>
            </w:pPr>
            <w:r w:rsidRPr="002C5876">
              <w:rPr>
                <w:sz w:val="18"/>
                <w:szCs w:val="18"/>
              </w:rPr>
              <w:t>M</w:t>
            </w:r>
            <w:r w:rsidRPr="002C5876">
              <w:rPr>
                <w:sz w:val="18"/>
                <w:szCs w:val="18"/>
                <w:vertAlign w:val="subscript"/>
              </w:rPr>
              <w:t>i,CS,c,4</w:t>
            </w:r>
            <w:r w:rsidRPr="002C5876">
              <w:rPr>
                <w:sz w:val="18"/>
                <w:szCs w:val="18"/>
              </w:rPr>
              <w:t>,g/km</w:t>
            </w:r>
            <w:r w:rsidRPr="002C5876">
              <w:rPr>
                <w:sz w:val="18"/>
                <w:szCs w:val="18"/>
              </w:rPr>
              <w:br/>
              <w:t>M</w:t>
            </w:r>
            <w:r w:rsidRPr="002C5876">
              <w:rPr>
                <w:sz w:val="18"/>
                <w:szCs w:val="18"/>
                <w:vertAlign w:val="subscript"/>
              </w:rPr>
              <w:t>CO2,CS,p,4</w:t>
            </w:r>
            <w:r w:rsidRPr="002C5876">
              <w:rPr>
                <w:sz w:val="18"/>
                <w:szCs w:val="18"/>
              </w:rPr>
              <w:t>, g/km</w:t>
            </w:r>
            <w:r w:rsidRPr="002C5876">
              <w:rPr>
                <w:sz w:val="18"/>
                <w:szCs w:val="18"/>
              </w:rPr>
              <w:br/>
              <w:t>M</w:t>
            </w:r>
            <w:r w:rsidRPr="002C5876">
              <w:rPr>
                <w:sz w:val="18"/>
                <w:szCs w:val="18"/>
                <w:vertAlign w:val="subscript"/>
              </w:rPr>
              <w:t>CO2,CS,c,4</w:t>
            </w:r>
            <w:r w:rsidRPr="002C5876">
              <w:rPr>
                <w:sz w:val="18"/>
                <w:szCs w:val="18"/>
              </w:rPr>
              <w:t>, g/km</w:t>
            </w:r>
          </w:p>
        </w:tc>
        <w:tc>
          <w:tcPr>
            <w:tcW w:w="3001" w:type="dxa"/>
            <w:shd w:val="clear" w:color="auto" w:fill="auto"/>
          </w:tcPr>
          <w:p w:rsidR="00E24DB7" w:rsidRPr="002C5876" w:rsidRDefault="00E24DB7" w:rsidP="00E24DB7">
            <w:pPr>
              <w:keepNext/>
              <w:keepLines/>
              <w:suppressAutoHyphens w:val="0"/>
              <w:spacing w:before="60" w:after="60"/>
              <w:ind w:left="57" w:right="57"/>
              <w:rPr>
                <w:sz w:val="18"/>
                <w:szCs w:val="18"/>
              </w:rPr>
            </w:pPr>
            <w:r w:rsidRPr="002C5876">
              <w:rPr>
                <w:sz w:val="18"/>
                <w:szCs w:val="18"/>
              </w:rPr>
              <w:t>Place réservée pour corrections additionnelles, si nécessaires.</w:t>
            </w:r>
          </w:p>
          <w:p w:rsidR="00E24DB7" w:rsidRPr="002C5876" w:rsidRDefault="00E24DB7" w:rsidP="00E24DB7">
            <w:pPr>
              <w:keepNext/>
              <w:keepLines/>
              <w:suppressAutoHyphens w:val="0"/>
              <w:spacing w:before="60" w:after="60"/>
              <w:ind w:left="57" w:right="57"/>
              <w:rPr>
                <w:sz w:val="18"/>
                <w:szCs w:val="18"/>
              </w:rPr>
            </w:pPr>
            <w:r w:rsidRPr="002C5876">
              <w:rPr>
                <w:sz w:val="18"/>
                <w:szCs w:val="18"/>
              </w:rPr>
              <w:t>À défaut :</w:t>
            </w:r>
          </w:p>
          <w:p w:rsidR="00E24DB7" w:rsidRPr="002C5876" w:rsidRDefault="00E24DB7" w:rsidP="00E24DB7">
            <w:pPr>
              <w:keepNext/>
              <w:keepLines/>
              <w:suppressAutoHyphens w:val="0"/>
              <w:spacing w:before="60" w:after="60"/>
              <w:ind w:left="57" w:right="57"/>
              <w:rPr>
                <w:sz w:val="18"/>
                <w:szCs w:val="18"/>
              </w:rPr>
            </w:pPr>
            <w:r w:rsidRPr="002C5876">
              <w:rPr>
                <w:noProof/>
                <w:position w:val="-12"/>
                <w:sz w:val="18"/>
                <w:szCs w:val="18"/>
                <w:lang w:val="en-GB" w:eastAsia="zh-CN"/>
              </w:rPr>
              <w:drawing>
                <wp:inline distT="0" distB="0" distL="0" distR="0" wp14:anchorId="0CD9E8F4" wp14:editId="1ECA8E4B">
                  <wp:extent cx="1038225" cy="209550"/>
                  <wp:effectExtent l="0" t="0" r="9525" b="0"/>
                  <wp:docPr id="991" name="Imag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038225" cy="209550"/>
                          </a:xfrm>
                          <a:prstGeom prst="rect">
                            <a:avLst/>
                          </a:prstGeom>
                          <a:noFill/>
                          <a:ln>
                            <a:noFill/>
                          </a:ln>
                        </pic:spPr>
                      </pic:pic>
                    </a:graphicData>
                  </a:graphic>
                </wp:inline>
              </w:drawing>
            </w:r>
            <w:r w:rsidRPr="002C5876">
              <w:rPr>
                <w:noProof/>
                <w:position w:val="-12"/>
                <w:sz w:val="18"/>
                <w:szCs w:val="18"/>
                <w:lang w:val="en-GB" w:eastAsia="zh-CN"/>
              </w:rPr>
              <w:drawing>
                <wp:inline distT="0" distB="0" distL="0" distR="0" wp14:anchorId="5BC188D2" wp14:editId="2AAAB542">
                  <wp:extent cx="1343025" cy="209550"/>
                  <wp:effectExtent l="0" t="0" r="9525" b="0"/>
                  <wp:docPr id="992" name="Imag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343025" cy="209550"/>
                          </a:xfrm>
                          <a:prstGeom prst="rect">
                            <a:avLst/>
                          </a:prstGeom>
                          <a:noFill/>
                          <a:ln>
                            <a:noFill/>
                          </a:ln>
                        </pic:spPr>
                      </pic:pic>
                    </a:graphicData>
                  </a:graphic>
                </wp:inline>
              </w:drawing>
            </w:r>
            <w:r w:rsidRPr="002C5876">
              <w:rPr>
                <w:noProof/>
                <w:position w:val="-12"/>
                <w:sz w:val="18"/>
                <w:szCs w:val="18"/>
                <w:lang w:val="en-GB" w:eastAsia="zh-CN"/>
              </w:rPr>
              <w:drawing>
                <wp:inline distT="0" distB="0" distL="0" distR="0" wp14:anchorId="71F87E10" wp14:editId="65092AE4">
                  <wp:extent cx="1371600" cy="209550"/>
                  <wp:effectExtent l="0" t="0" r="0" b="0"/>
                  <wp:docPr id="993" name="Imag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371600" cy="209550"/>
                          </a:xfrm>
                          <a:prstGeom prst="rect">
                            <a:avLst/>
                          </a:prstGeom>
                          <a:noFill/>
                          <a:ln>
                            <a:noFill/>
                          </a:ln>
                        </pic:spPr>
                      </pic:pic>
                    </a:graphicData>
                  </a:graphic>
                </wp:inline>
              </w:drawing>
            </w:r>
          </w:p>
        </w:tc>
        <w:tc>
          <w:tcPr>
            <w:tcW w:w="1918" w:type="dxa"/>
            <w:shd w:val="clear" w:color="auto" w:fill="auto"/>
          </w:tcPr>
          <w:p w:rsidR="00E24DB7" w:rsidRPr="002C5876" w:rsidRDefault="00E24DB7" w:rsidP="00E24DB7">
            <w:pPr>
              <w:keepNext/>
              <w:keepLines/>
              <w:spacing w:before="60" w:after="60"/>
              <w:ind w:left="57" w:right="57"/>
              <w:rPr>
                <w:sz w:val="18"/>
                <w:szCs w:val="18"/>
              </w:rPr>
            </w:pPr>
            <w:r w:rsidRPr="002C5876">
              <w:rPr>
                <w:sz w:val="18"/>
                <w:szCs w:val="18"/>
              </w:rPr>
              <w:t>M</w:t>
            </w:r>
            <w:r w:rsidRPr="002C5876">
              <w:rPr>
                <w:sz w:val="18"/>
                <w:szCs w:val="18"/>
                <w:vertAlign w:val="subscript"/>
              </w:rPr>
              <w:t>i,CS,c,5</w:t>
            </w:r>
            <w:r w:rsidRPr="002C5876">
              <w:rPr>
                <w:sz w:val="18"/>
                <w:szCs w:val="18"/>
              </w:rPr>
              <w:t>,g/km</w:t>
            </w:r>
            <w:r w:rsidRPr="002C5876">
              <w:rPr>
                <w:sz w:val="18"/>
                <w:szCs w:val="18"/>
              </w:rPr>
              <w:br/>
              <w:t>M</w:t>
            </w:r>
            <w:r w:rsidRPr="002C5876">
              <w:rPr>
                <w:sz w:val="18"/>
                <w:szCs w:val="18"/>
                <w:vertAlign w:val="subscript"/>
              </w:rPr>
              <w:t>CO2,CS,c,5</w:t>
            </w:r>
            <w:r w:rsidRPr="002C5876">
              <w:rPr>
                <w:sz w:val="18"/>
                <w:szCs w:val="18"/>
              </w:rPr>
              <w:t>, g/km</w:t>
            </w:r>
            <w:r w:rsidRPr="002C5876">
              <w:rPr>
                <w:sz w:val="18"/>
                <w:szCs w:val="18"/>
              </w:rPr>
              <w:br/>
              <w:t>M</w:t>
            </w:r>
            <w:r w:rsidRPr="002C5876">
              <w:rPr>
                <w:sz w:val="18"/>
                <w:szCs w:val="18"/>
                <w:vertAlign w:val="subscript"/>
              </w:rPr>
              <w:t>CO2,CS,p,5</w:t>
            </w:r>
            <w:r w:rsidRPr="002C5876">
              <w:rPr>
                <w:sz w:val="18"/>
                <w:szCs w:val="18"/>
              </w:rPr>
              <w:t>, g/km</w:t>
            </w:r>
          </w:p>
        </w:tc>
        <w:tc>
          <w:tcPr>
            <w:tcW w:w="1333" w:type="dxa"/>
            <w:shd w:val="clear" w:color="auto" w:fill="auto"/>
          </w:tcPr>
          <w:p w:rsidR="00E24DB7" w:rsidRPr="002C5876" w:rsidRDefault="00E24DB7" w:rsidP="00E24DB7">
            <w:pPr>
              <w:keepNext/>
              <w:keepLines/>
              <w:suppressAutoHyphens w:val="0"/>
              <w:spacing w:before="60" w:after="60"/>
              <w:ind w:left="57" w:right="57"/>
              <w:rPr>
                <w:sz w:val="18"/>
                <w:szCs w:val="18"/>
              </w:rPr>
            </w:pPr>
            <w:r w:rsidRPr="002C5876">
              <w:rPr>
                <w:sz w:val="18"/>
                <w:szCs w:val="18"/>
              </w:rPr>
              <w:t>5</w:t>
            </w:r>
          </w:p>
          <w:p w:rsidR="00E24DB7" w:rsidRPr="002C5876" w:rsidRDefault="00E24DB7" w:rsidP="00E24DB7">
            <w:pPr>
              <w:keepNext/>
              <w:keepLines/>
              <w:spacing w:before="60" w:after="60"/>
              <w:ind w:left="57" w:right="57"/>
              <w:rPr>
                <w:sz w:val="18"/>
                <w:szCs w:val="18"/>
              </w:rPr>
            </w:pPr>
            <w:r w:rsidRPr="002C5876">
              <w:rPr>
                <w:sz w:val="18"/>
                <w:szCs w:val="18"/>
              </w:rPr>
              <w:t>Résultat d’un essai unique.</w:t>
            </w:r>
          </w:p>
        </w:tc>
      </w:tr>
      <w:tr w:rsidR="00E24DB7" w:rsidRPr="002C5876" w:rsidTr="00E24DB7">
        <w:tc>
          <w:tcPr>
            <w:tcW w:w="1671" w:type="dxa"/>
            <w:shd w:val="clear" w:color="auto" w:fill="auto"/>
          </w:tcPr>
          <w:p w:rsidR="00E24DB7" w:rsidRPr="002C5876" w:rsidRDefault="00E24DB7" w:rsidP="00E24DB7">
            <w:pPr>
              <w:spacing w:before="60" w:after="60"/>
              <w:ind w:left="57" w:right="57"/>
              <w:rPr>
                <w:sz w:val="18"/>
                <w:szCs w:val="18"/>
              </w:rPr>
            </w:pPr>
            <w:r w:rsidRPr="002C5876">
              <w:rPr>
                <w:sz w:val="18"/>
                <w:szCs w:val="18"/>
              </w:rPr>
              <w:t xml:space="preserve">Sortie </w:t>
            </w:r>
            <w:r w:rsidRPr="002C5876">
              <w:rPr>
                <w:sz w:val="18"/>
                <w:szCs w:val="18"/>
              </w:rPr>
              <w:br/>
              <w:t>de l’étape n</w:t>
            </w:r>
            <w:r w:rsidRPr="002C5876">
              <w:rPr>
                <w:sz w:val="18"/>
                <w:szCs w:val="18"/>
                <w:vertAlign w:val="superscript"/>
              </w:rPr>
              <w:t>o</w:t>
            </w:r>
            <w:r w:rsidRPr="002C5876">
              <w:rPr>
                <w:sz w:val="18"/>
                <w:szCs w:val="18"/>
              </w:rPr>
              <w:t> 5</w:t>
            </w:r>
            <w:r w:rsidRPr="002C5876">
              <w:rPr>
                <w:sz w:val="18"/>
                <w:szCs w:val="18"/>
              </w:rPr>
              <w:br/>
              <w:t>de ce tableau</w:t>
            </w:r>
          </w:p>
        </w:tc>
        <w:tc>
          <w:tcPr>
            <w:tcW w:w="1716" w:type="dxa"/>
            <w:shd w:val="clear" w:color="auto" w:fill="auto"/>
          </w:tcPr>
          <w:p w:rsidR="00E24DB7" w:rsidRPr="002C5876" w:rsidRDefault="00E24DB7" w:rsidP="00E24DB7">
            <w:pPr>
              <w:suppressAutoHyphens w:val="0"/>
              <w:spacing w:before="60" w:after="60"/>
              <w:ind w:left="57" w:right="57"/>
              <w:rPr>
                <w:sz w:val="18"/>
                <w:szCs w:val="18"/>
              </w:rPr>
            </w:pPr>
            <w:r w:rsidRPr="002C5876">
              <w:rPr>
                <w:sz w:val="18"/>
                <w:szCs w:val="18"/>
              </w:rPr>
              <w:t>Pour chaque essai :</w:t>
            </w:r>
            <w:r w:rsidRPr="002C5876">
              <w:rPr>
                <w:sz w:val="18"/>
                <w:szCs w:val="18"/>
              </w:rPr>
              <w:br/>
              <w:t>M</w:t>
            </w:r>
            <w:r w:rsidRPr="002C5876">
              <w:rPr>
                <w:sz w:val="18"/>
                <w:szCs w:val="18"/>
                <w:vertAlign w:val="subscript"/>
              </w:rPr>
              <w:t>i,CS,c,5</w:t>
            </w:r>
            <w:r w:rsidRPr="002C5876">
              <w:rPr>
                <w:sz w:val="18"/>
                <w:szCs w:val="18"/>
              </w:rPr>
              <w:t>,g/km</w:t>
            </w:r>
            <w:r w:rsidRPr="002C5876">
              <w:rPr>
                <w:sz w:val="18"/>
                <w:szCs w:val="18"/>
              </w:rPr>
              <w:br/>
              <w:t>M</w:t>
            </w:r>
            <w:r w:rsidRPr="002C5876">
              <w:rPr>
                <w:sz w:val="18"/>
                <w:szCs w:val="18"/>
                <w:vertAlign w:val="subscript"/>
              </w:rPr>
              <w:t>CO2,CS,c,5</w:t>
            </w:r>
            <w:r w:rsidRPr="002C5876">
              <w:rPr>
                <w:sz w:val="18"/>
                <w:szCs w:val="18"/>
              </w:rPr>
              <w:t>, g/km</w:t>
            </w:r>
            <w:r w:rsidRPr="002C5876">
              <w:rPr>
                <w:sz w:val="18"/>
                <w:szCs w:val="18"/>
              </w:rPr>
              <w:br/>
              <w:t>M</w:t>
            </w:r>
            <w:r w:rsidRPr="002C5876">
              <w:rPr>
                <w:sz w:val="18"/>
                <w:szCs w:val="18"/>
                <w:vertAlign w:val="subscript"/>
              </w:rPr>
              <w:t>CO2,CS,p,5</w:t>
            </w:r>
            <w:r w:rsidRPr="002C5876">
              <w:rPr>
                <w:sz w:val="18"/>
                <w:szCs w:val="18"/>
              </w:rPr>
              <w:t>, g/km</w:t>
            </w:r>
          </w:p>
        </w:tc>
        <w:tc>
          <w:tcPr>
            <w:tcW w:w="3001" w:type="dxa"/>
            <w:shd w:val="clear" w:color="auto" w:fill="auto"/>
          </w:tcPr>
          <w:p w:rsidR="00E24DB7" w:rsidRPr="002C5876" w:rsidRDefault="00E24DB7" w:rsidP="00E24DB7">
            <w:pPr>
              <w:suppressAutoHyphens w:val="0"/>
              <w:spacing w:before="60" w:after="60"/>
              <w:ind w:left="57" w:right="57"/>
              <w:rPr>
                <w:sz w:val="18"/>
                <w:szCs w:val="18"/>
              </w:rPr>
            </w:pPr>
            <w:r w:rsidRPr="002C5876">
              <w:rPr>
                <w:sz w:val="18"/>
                <w:szCs w:val="18"/>
              </w:rPr>
              <w:t>Calcul de la valeur moyenne des essais et valeur déclarée conformément aux paragraphes 1.2 à 1.2.3 de l’annexe 6</w:t>
            </w:r>
          </w:p>
        </w:tc>
        <w:tc>
          <w:tcPr>
            <w:tcW w:w="1918" w:type="dxa"/>
            <w:shd w:val="clear" w:color="auto" w:fill="auto"/>
          </w:tcPr>
          <w:p w:rsidR="00E24DB7" w:rsidRPr="002C5876" w:rsidRDefault="00E24DB7" w:rsidP="00E24DB7">
            <w:pPr>
              <w:suppressAutoHyphens w:val="0"/>
              <w:spacing w:before="60" w:after="60"/>
              <w:ind w:left="57" w:right="57"/>
              <w:rPr>
                <w:sz w:val="18"/>
                <w:szCs w:val="18"/>
              </w:rPr>
            </w:pPr>
            <w:r w:rsidRPr="002C5876">
              <w:rPr>
                <w:sz w:val="18"/>
                <w:szCs w:val="18"/>
              </w:rPr>
              <w:t>M</w:t>
            </w:r>
            <w:r w:rsidRPr="002C5876">
              <w:rPr>
                <w:sz w:val="18"/>
                <w:szCs w:val="18"/>
                <w:vertAlign w:val="subscript"/>
              </w:rPr>
              <w:t>i,CS,C,6</w:t>
            </w:r>
            <w:r w:rsidRPr="002C5876">
              <w:rPr>
                <w:sz w:val="18"/>
                <w:szCs w:val="18"/>
              </w:rPr>
              <w:t>,g/km</w:t>
            </w:r>
            <w:r w:rsidRPr="002C5876">
              <w:rPr>
                <w:sz w:val="18"/>
                <w:szCs w:val="18"/>
              </w:rPr>
              <w:br/>
              <w:t>M</w:t>
            </w:r>
            <w:r w:rsidRPr="002C5876">
              <w:rPr>
                <w:sz w:val="18"/>
                <w:szCs w:val="18"/>
                <w:vertAlign w:val="subscript"/>
              </w:rPr>
              <w:t>CO2,CS,c,6</w:t>
            </w:r>
            <w:r w:rsidRPr="002C5876">
              <w:rPr>
                <w:sz w:val="18"/>
                <w:szCs w:val="18"/>
              </w:rPr>
              <w:t>, g/km</w:t>
            </w:r>
            <w:r w:rsidRPr="002C5876">
              <w:rPr>
                <w:sz w:val="18"/>
                <w:szCs w:val="18"/>
              </w:rPr>
              <w:br/>
              <w:t>M</w:t>
            </w:r>
            <w:r w:rsidRPr="002C5876">
              <w:rPr>
                <w:sz w:val="18"/>
                <w:szCs w:val="18"/>
                <w:vertAlign w:val="subscript"/>
              </w:rPr>
              <w:t>CO2,CS,p,6</w:t>
            </w:r>
            <w:r w:rsidRPr="002C5876">
              <w:rPr>
                <w:sz w:val="18"/>
                <w:szCs w:val="18"/>
              </w:rPr>
              <w:t>, g/km</w:t>
            </w:r>
            <w:r w:rsidRPr="002C5876">
              <w:rPr>
                <w:sz w:val="18"/>
                <w:szCs w:val="18"/>
              </w:rPr>
              <w:br/>
              <w:t>M</w:t>
            </w:r>
            <w:r w:rsidRPr="002C5876">
              <w:rPr>
                <w:sz w:val="18"/>
                <w:szCs w:val="18"/>
                <w:vertAlign w:val="subscript"/>
              </w:rPr>
              <w:t>CO2,CS,c,declared</w:t>
            </w:r>
            <w:r w:rsidRPr="002C5876">
              <w:rPr>
                <w:sz w:val="18"/>
                <w:szCs w:val="18"/>
              </w:rPr>
              <w:t>, g/km</w:t>
            </w:r>
          </w:p>
        </w:tc>
        <w:tc>
          <w:tcPr>
            <w:tcW w:w="1333" w:type="dxa"/>
            <w:shd w:val="clear" w:color="auto" w:fill="auto"/>
          </w:tcPr>
          <w:p w:rsidR="00E24DB7" w:rsidRPr="002C5876" w:rsidRDefault="00E24DB7" w:rsidP="00E24DB7">
            <w:pPr>
              <w:suppressAutoHyphens w:val="0"/>
              <w:spacing w:before="60" w:after="60"/>
              <w:ind w:left="57" w:right="57"/>
              <w:rPr>
                <w:sz w:val="18"/>
                <w:szCs w:val="18"/>
              </w:rPr>
            </w:pPr>
            <w:r w:rsidRPr="002C5876">
              <w:rPr>
                <w:sz w:val="18"/>
                <w:szCs w:val="18"/>
              </w:rPr>
              <w:t>6</w:t>
            </w:r>
          </w:p>
          <w:p w:rsidR="00E24DB7" w:rsidRPr="002C5876" w:rsidRDefault="00E24DB7" w:rsidP="00E24DB7">
            <w:pPr>
              <w:suppressAutoHyphens w:val="0"/>
              <w:spacing w:before="60" w:after="60"/>
              <w:ind w:left="57" w:right="57"/>
              <w:rPr>
                <w:sz w:val="18"/>
                <w:szCs w:val="18"/>
              </w:rPr>
            </w:pPr>
            <w:r w:rsidRPr="002C5876">
              <w:rPr>
                <w:sz w:val="18"/>
                <w:szCs w:val="18"/>
              </w:rPr>
              <w:t>M</w:t>
            </w:r>
            <w:r w:rsidRPr="002C5876">
              <w:rPr>
                <w:sz w:val="18"/>
                <w:szCs w:val="18"/>
                <w:vertAlign w:val="subscript"/>
              </w:rPr>
              <w:t>i,CS</w:t>
            </w:r>
            <w:r w:rsidRPr="002C5876">
              <w:rPr>
                <w:sz w:val="18"/>
                <w:szCs w:val="18"/>
              </w:rPr>
              <w:t xml:space="preserve"> résultats d’un </w:t>
            </w:r>
            <w:r w:rsidRPr="002C5876">
              <w:rPr>
                <w:spacing w:val="-4"/>
                <w:sz w:val="18"/>
                <w:szCs w:val="18"/>
              </w:rPr>
              <w:t>essai du type 1 pour un</w:t>
            </w:r>
            <w:r w:rsidRPr="002C5876">
              <w:rPr>
                <w:sz w:val="18"/>
                <w:szCs w:val="18"/>
              </w:rPr>
              <w:t xml:space="preserve"> véhicule d’essai</w:t>
            </w:r>
          </w:p>
        </w:tc>
      </w:tr>
      <w:tr w:rsidR="00E24DB7" w:rsidRPr="002C5876" w:rsidTr="00E24DB7">
        <w:tc>
          <w:tcPr>
            <w:tcW w:w="1671" w:type="dxa"/>
            <w:shd w:val="clear" w:color="auto" w:fill="auto"/>
          </w:tcPr>
          <w:p w:rsidR="00E24DB7" w:rsidRPr="002C5876" w:rsidRDefault="00E24DB7" w:rsidP="00E24DB7">
            <w:pPr>
              <w:keepNext/>
              <w:spacing w:before="60" w:after="60"/>
              <w:ind w:left="57" w:right="57"/>
              <w:rPr>
                <w:sz w:val="18"/>
                <w:szCs w:val="18"/>
              </w:rPr>
            </w:pPr>
            <w:r w:rsidRPr="002C5876">
              <w:rPr>
                <w:sz w:val="18"/>
                <w:szCs w:val="18"/>
              </w:rPr>
              <w:t xml:space="preserve">Sortie </w:t>
            </w:r>
            <w:r w:rsidRPr="002C5876">
              <w:rPr>
                <w:sz w:val="18"/>
                <w:szCs w:val="18"/>
              </w:rPr>
              <w:br/>
              <w:t>de l’étape n</w:t>
            </w:r>
            <w:r w:rsidRPr="002C5876">
              <w:rPr>
                <w:sz w:val="18"/>
                <w:szCs w:val="18"/>
                <w:vertAlign w:val="superscript"/>
              </w:rPr>
              <w:t>o</w:t>
            </w:r>
            <w:r w:rsidRPr="002C5876">
              <w:rPr>
                <w:sz w:val="18"/>
                <w:szCs w:val="18"/>
              </w:rPr>
              <w:t xml:space="preserve"> 6 </w:t>
            </w:r>
            <w:r w:rsidRPr="002C5876">
              <w:rPr>
                <w:sz w:val="18"/>
                <w:szCs w:val="18"/>
              </w:rPr>
              <w:br/>
              <w:t>de ce tableau</w:t>
            </w:r>
          </w:p>
        </w:tc>
        <w:tc>
          <w:tcPr>
            <w:tcW w:w="1716" w:type="dxa"/>
            <w:shd w:val="clear" w:color="auto" w:fill="auto"/>
          </w:tcPr>
          <w:p w:rsidR="00E24DB7" w:rsidRPr="002C5876" w:rsidRDefault="00E24DB7" w:rsidP="00E24DB7">
            <w:pPr>
              <w:keepNext/>
              <w:suppressAutoHyphens w:val="0"/>
              <w:spacing w:before="60" w:after="60"/>
              <w:ind w:left="57" w:right="57"/>
              <w:rPr>
                <w:spacing w:val="-1"/>
                <w:sz w:val="18"/>
                <w:szCs w:val="18"/>
              </w:rPr>
            </w:pPr>
            <w:r w:rsidRPr="002C5876">
              <w:rPr>
                <w:sz w:val="18"/>
                <w:szCs w:val="18"/>
              </w:rPr>
              <w:t>M</w:t>
            </w:r>
            <w:r w:rsidRPr="002C5876">
              <w:rPr>
                <w:sz w:val="18"/>
                <w:szCs w:val="18"/>
                <w:vertAlign w:val="subscript"/>
              </w:rPr>
              <w:t>CO2,CS,c,6</w:t>
            </w:r>
            <w:r w:rsidRPr="002C5876">
              <w:rPr>
                <w:sz w:val="18"/>
                <w:szCs w:val="18"/>
              </w:rPr>
              <w:t>, g/km</w:t>
            </w:r>
            <w:r w:rsidRPr="002C5876">
              <w:rPr>
                <w:sz w:val="18"/>
                <w:szCs w:val="18"/>
              </w:rPr>
              <w:br/>
              <w:t>M</w:t>
            </w:r>
            <w:r w:rsidRPr="002C5876">
              <w:rPr>
                <w:sz w:val="18"/>
                <w:szCs w:val="18"/>
                <w:vertAlign w:val="subscript"/>
              </w:rPr>
              <w:t>CO2,CS,p,6</w:t>
            </w:r>
            <w:r w:rsidRPr="002C5876">
              <w:rPr>
                <w:sz w:val="18"/>
                <w:szCs w:val="18"/>
              </w:rPr>
              <w:t>, g/km</w:t>
            </w:r>
            <w:r w:rsidRPr="002C5876">
              <w:rPr>
                <w:sz w:val="18"/>
                <w:szCs w:val="18"/>
              </w:rPr>
              <w:br/>
            </w:r>
            <w:r w:rsidRPr="002C5876">
              <w:rPr>
                <w:spacing w:val="-1"/>
                <w:sz w:val="18"/>
                <w:szCs w:val="18"/>
              </w:rPr>
              <w:t>M</w:t>
            </w:r>
            <w:r w:rsidRPr="002C5876">
              <w:rPr>
                <w:spacing w:val="-1"/>
                <w:sz w:val="18"/>
                <w:szCs w:val="18"/>
                <w:vertAlign w:val="subscript"/>
              </w:rPr>
              <w:t>CO2,CS,c,declared</w:t>
            </w:r>
            <w:r w:rsidRPr="002C5876">
              <w:rPr>
                <w:spacing w:val="-1"/>
                <w:sz w:val="18"/>
                <w:szCs w:val="18"/>
              </w:rPr>
              <w:t>, g/km</w:t>
            </w:r>
          </w:p>
        </w:tc>
        <w:tc>
          <w:tcPr>
            <w:tcW w:w="3001" w:type="dxa"/>
            <w:shd w:val="clear" w:color="auto" w:fill="auto"/>
          </w:tcPr>
          <w:p w:rsidR="00E24DB7" w:rsidRPr="002C5876" w:rsidRDefault="00E24DB7" w:rsidP="00E24DB7">
            <w:pPr>
              <w:keepNext/>
              <w:suppressAutoHyphens w:val="0"/>
              <w:spacing w:before="60" w:after="60"/>
              <w:ind w:left="57" w:right="57"/>
              <w:rPr>
                <w:sz w:val="18"/>
                <w:szCs w:val="18"/>
              </w:rPr>
            </w:pPr>
            <w:r w:rsidRPr="002C5876">
              <w:rPr>
                <w:sz w:val="18"/>
                <w:szCs w:val="18"/>
              </w:rPr>
              <w:t>Alignement des valeurs de phases</w:t>
            </w:r>
          </w:p>
          <w:p w:rsidR="00E24DB7" w:rsidRPr="002C5876" w:rsidRDefault="00E24DB7" w:rsidP="00E24DB7">
            <w:pPr>
              <w:keepNext/>
              <w:suppressAutoHyphens w:val="0"/>
              <w:spacing w:before="60" w:after="60"/>
              <w:ind w:left="57" w:right="57"/>
              <w:rPr>
                <w:sz w:val="18"/>
                <w:szCs w:val="18"/>
              </w:rPr>
            </w:pPr>
            <w:r w:rsidRPr="002C5876">
              <w:rPr>
                <w:sz w:val="18"/>
                <w:szCs w:val="18"/>
              </w:rPr>
              <w:t>Par. 1.2.4 de l’annexe 6</w:t>
            </w:r>
          </w:p>
          <w:p w:rsidR="00E24DB7" w:rsidRPr="002C5876" w:rsidRDefault="00E24DB7" w:rsidP="00E24DB7">
            <w:pPr>
              <w:keepNext/>
              <w:suppressAutoHyphens w:val="0"/>
              <w:spacing w:before="60" w:after="60"/>
              <w:ind w:left="57" w:right="57"/>
              <w:rPr>
                <w:sz w:val="18"/>
                <w:szCs w:val="18"/>
              </w:rPr>
            </w:pPr>
            <w:r w:rsidRPr="002C5876">
              <w:rPr>
                <w:sz w:val="18"/>
                <w:szCs w:val="18"/>
              </w:rPr>
              <w:t>et :</w:t>
            </w:r>
          </w:p>
          <w:p w:rsidR="00E24DB7" w:rsidRPr="002C5876" w:rsidRDefault="00E24DB7" w:rsidP="00E24DB7">
            <w:pPr>
              <w:keepNext/>
              <w:suppressAutoHyphens w:val="0"/>
              <w:spacing w:before="60" w:after="60"/>
              <w:ind w:left="57" w:right="57"/>
              <w:rPr>
                <w:sz w:val="18"/>
                <w:szCs w:val="18"/>
              </w:rPr>
            </w:pPr>
            <w:r w:rsidRPr="002C5876">
              <w:rPr>
                <w:noProof/>
                <w:position w:val="-12"/>
                <w:sz w:val="18"/>
                <w:szCs w:val="18"/>
                <w:lang w:val="en-GB" w:eastAsia="zh-CN"/>
              </w:rPr>
              <w:drawing>
                <wp:inline distT="0" distB="0" distL="0" distR="0" wp14:anchorId="2BBF4911" wp14:editId="6462DBA7">
                  <wp:extent cx="1600200" cy="209550"/>
                  <wp:effectExtent l="0" t="0" r="0" b="0"/>
                  <wp:docPr id="994" name="Imag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600200" cy="209550"/>
                          </a:xfrm>
                          <a:prstGeom prst="rect">
                            <a:avLst/>
                          </a:prstGeom>
                          <a:noFill/>
                          <a:ln>
                            <a:noFill/>
                          </a:ln>
                        </pic:spPr>
                      </pic:pic>
                    </a:graphicData>
                  </a:graphic>
                </wp:inline>
              </w:drawing>
            </w:r>
          </w:p>
        </w:tc>
        <w:tc>
          <w:tcPr>
            <w:tcW w:w="1918" w:type="dxa"/>
            <w:shd w:val="clear" w:color="auto" w:fill="auto"/>
          </w:tcPr>
          <w:p w:rsidR="00E24DB7" w:rsidRPr="002C5876" w:rsidRDefault="00E24DB7" w:rsidP="00E24DB7">
            <w:pPr>
              <w:keepNext/>
              <w:tabs>
                <w:tab w:val="left" w:pos="1536"/>
              </w:tabs>
              <w:spacing w:before="60" w:after="60"/>
              <w:ind w:left="57" w:right="57"/>
              <w:rPr>
                <w:sz w:val="18"/>
                <w:szCs w:val="18"/>
              </w:rPr>
            </w:pPr>
            <w:r w:rsidRPr="002C5876">
              <w:rPr>
                <w:sz w:val="18"/>
                <w:szCs w:val="18"/>
              </w:rPr>
              <w:t>M</w:t>
            </w:r>
            <w:r w:rsidRPr="002C5876">
              <w:rPr>
                <w:sz w:val="18"/>
                <w:szCs w:val="18"/>
                <w:vertAlign w:val="subscript"/>
              </w:rPr>
              <w:t>CO2,CS,c,7</w:t>
            </w:r>
            <w:r w:rsidRPr="002C5876">
              <w:rPr>
                <w:sz w:val="18"/>
                <w:szCs w:val="18"/>
              </w:rPr>
              <w:t xml:space="preserve">, g/km </w:t>
            </w:r>
            <w:r w:rsidRPr="002C5876">
              <w:rPr>
                <w:sz w:val="18"/>
                <w:szCs w:val="18"/>
              </w:rPr>
              <w:br/>
              <w:t>M</w:t>
            </w:r>
            <w:r w:rsidRPr="002C5876">
              <w:rPr>
                <w:sz w:val="18"/>
                <w:szCs w:val="18"/>
                <w:vertAlign w:val="subscript"/>
              </w:rPr>
              <w:t>CO2,CS,p,7</w:t>
            </w:r>
            <w:r w:rsidRPr="002C5876">
              <w:rPr>
                <w:sz w:val="18"/>
                <w:szCs w:val="18"/>
              </w:rPr>
              <w:t>, g/km</w:t>
            </w:r>
          </w:p>
        </w:tc>
        <w:tc>
          <w:tcPr>
            <w:tcW w:w="1333" w:type="dxa"/>
            <w:shd w:val="clear" w:color="auto" w:fill="auto"/>
          </w:tcPr>
          <w:p w:rsidR="00E24DB7" w:rsidRPr="002C5876" w:rsidRDefault="00E24DB7" w:rsidP="00E24DB7">
            <w:pPr>
              <w:keepNext/>
              <w:suppressAutoHyphens w:val="0"/>
              <w:spacing w:before="60" w:after="60"/>
              <w:ind w:left="57" w:right="57"/>
              <w:rPr>
                <w:sz w:val="18"/>
                <w:szCs w:val="18"/>
              </w:rPr>
            </w:pPr>
            <w:r w:rsidRPr="002C5876">
              <w:rPr>
                <w:sz w:val="18"/>
                <w:szCs w:val="18"/>
              </w:rPr>
              <w:t>7</w:t>
            </w:r>
          </w:p>
          <w:p w:rsidR="00E24DB7" w:rsidRPr="002C5876" w:rsidRDefault="00E24DB7" w:rsidP="00E24DB7">
            <w:pPr>
              <w:keepNext/>
              <w:suppressAutoHyphens w:val="0"/>
              <w:spacing w:before="60" w:after="60"/>
              <w:ind w:left="57" w:right="57"/>
              <w:rPr>
                <w:spacing w:val="-2"/>
                <w:sz w:val="18"/>
                <w:szCs w:val="18"/>
              </w:rPr>
            </w:pPr>
            <w:r w:rsidRPr="002C5876">
              <w:rPr>
                <w:spacing w:val="-2"/>
                <w:sz w:val="18"/>
                <w:szCs w:val="18"/>
              </w:rPr>
              <w:t>M</w:t>
            </w:r>
            <w:r w:rsidRPr="002C5876">
              <w:rPr>
                <w:spacing w:val="-2"/>
                <w:sz w:val="18"/>
                <w:szCs w:val="18"/>
                <w:vertAlign w:val="subscript"/>
              </w:rPr>
              <w:t>CO2,CS</w:t>
            </w:r>
            <w:r w:rsidRPr="002C5876">
              <w:rPr>
                <w:spacing w:val="-2"/>
                <w:sz w:val="18"/>
                <w:szCs w:val="18"/>
              </w:rPr>
              <w:t xml:space="preserve"> résultats d’un essai du type 1 pour un véhicule d’essai</w:t>
            </w:r>
          </w:p>
        </w:tc>
      </w:tr>
      <w:tr w:rsidR="00E24DB7" w:rsidRPr="002C5876" w:rsidTr="00E24DB7">
        <w:tc>
          <w:tcPr>
            <w:tcW w:w="1671" w:type="dxa"/>
            <w:tcBorders>
              <w:bottom w:val="single" w:sz="4" w:space="0" w:color="auto"/>
            </w:tcBorders>
            <w:shd w:val="clear" w:color="auto" w:fill="auto"/>
          </w:tcPr>
          <w:p w:rsidR="00E24DB7" w:rsidRPr="002C5876" w:rsidRDefault="00E24DB7" w:rsidP="00E24DB7">
            <w:pPr>
              <w:spacing w:before="60" w:after="60"/>
              <w:ind w:left="57" w:right="57"/>
              <w:rPr>
                <w:sz w:val="18"/>
                <w:szCs w:val="18"/>
              </w:rPr>
            </w:pPr>
            <w:r w:rsidRPr="002C5876">
              <w:rPr>
                <w:sz w:val="18"/>
                <w:szCs w:val="18"/>
              </w:rPr>
              <w:t xml:space="preserve">Sortie </w:t>
            </w:r>
            <w:r w:rsidRPr="002C5876">
              <w:rPr>
                <w:sz w:val="18"/>
                <w:szCs w:val="18"/>
              </w:rPr>
              <w:br/>
              <w:t>des étapes n</w:t>
            </w:r>
            <w:r w:rsidRPr="002C5876">
              <w:rPr>
                <w:sz w:val="18"/>
                <w:szCs w:val="18"/>
                <w:vertAlign w:val="superscript"/>
              </w:rPr>
              <w:t>os</w:t>
            </w:r>
            <w:r w:rsidRPr="002C5876">
              <w:rPr>
                <w:sz w:val="18"/>
                <w:szCs w:val="18"/>
              </w:rPr>
              <w:t> 6 et 7 de ce tableau</w:t>
            </w:r>
          </w:p>
        </w:tc>
        <w:tc>
          <w:tcPr>
            <w:tcW w:w="1716" w:type="dxa"/>
            <w:tcBorders>
              <w:bottom w:val="single" w:sz="4" w:space="0" w:color="auto"/>
            </w:tcBorders>
            <w:shd w:val="clear" w:color="auto" w:fill="auto"/>
          </w:tcPr>
          <w:p w:rsidR="00E24DB7" w:rsidRPr="002C5876" w:rsidRDefault="00E24DB7" w:rsidP="00E24DB7">
            <w:pPr>
              <w:suppressAutoHyphens w:val="0"/>
              <w:spacing w:before="60" w:after="60"/>
              <w:ind w:left="57" w:right="57"/>
              <w:rPr>
                <w:sz w:val="18"/>
                <w:szCs w:val="18"/>
              </w:rPr>
            </w:pPr>
            <w:r w:rsidRPr="002C5876">
              <w:rPr>
                <w:sz w:val="18"/>
                <w:szCs w:val="18"/>
              </w:rPr>
              <w:t>Pour chacun des véhicules d’essai H et L :</w:t>
            </w:r>
          </w:p>
          <w:p w:rsidR="00E24DB7" w:rsidRPr="002C5876" w:rsidRDefault="00E24DB7" w:rsidP="00E24DB7">
            <w:pPr>
              <w:suppressAutoHyphens w:val="0"/>
              <w:spacing w:before="60" w:after="60"/>
              <w:ind w:left="57" w:right="57"/>
              <w:rPr>
                <w:sz w:val="18"/>
                <w:szCs w:val="18"/>
              </w:rPr>
            </w:pPr>
            <w:r w:rsidRPr="002C5876">
              <w:rPr>
                <w:sz w:val="18"/>
                <w:szCs w:val="18"/>
              </w:rPr>
              <w:t>M</w:t>
            </w:r>
            <w:r w:rsidRPr="002C5876">
              <w:rPr>
                <w:sz w:val="18"/>
                <w:szCs w:val="18"/>
                <w:vertAlign w:val="subscript"/>
              </w:rPr>
              <w:t>i,CS,c,6</w:t>
            </w:r>
            <w:r w:rsidRPr="002C5876">
              <w:rPr>
                <w:sz w:val="18"/>
                <w:szCs w:val="18"/>
              </w:rPr>
              <w:t>,g/km</w:t>
            </w:r>
            <w:r w:rsidRPr="002C5876">
              <w:rPr>
                <w:sz w:val="18"/>
                <w:szCs w:val="18"/>
              </w:rPr>
              <w:br/>
              <w:t>M</w:t>
            </w:r>
            <w:r w:rsidRPr="002C5876">
              <w:rPr>
                <w:sz w:val="18"/>
                <w:szCs w:val="18"/>
                <w:vertAlign w:val="subscript"/>
              </w:rPr>
              <w:t>CO2,CS,c,7</w:t>
            </w:r>
            <w:r w:rsidRPr="002C5876">
              <w:rPr>
                <w:sz w:val="18"/>
                <w:szCs w:val="18"/>
              </w:rPr>
              <w:t>, g/km</w:t>
            </w:r>
            <w:r w:rsidRPr="002C5876">
              <w:rPr>
                <w:sz w:val="18"/>
                <w:szCs w:val="18"/>
              </w:rPr>
              <w:br/>
              <w:t>M</w:t>
            </w:r>
            <w:r w:rsidRPr="002C5876">
              <w:rPr>
                <w:sz w:val="18"/>
                <w:szCs w:val="18"/>
                <w:vertAlign w:val="subscript"/>
              </w:rPr>
              <w:t>CO2,CS,p,7</w:t>
            </w:r>
            <w:r w:rsidRPr="002C5876">
              <w:rPr>
                <w:sz w:val="18"/>
                <w:szCs w:val="18"/>
              </w:rPr>
              <w:t>, g/km</w:t>
            </w:r>
          </w:p>
        </w:tc>
        <w:tc>
          <w:tcPr>
            <w:tcW w:w="3001" w:type="dxa"/>
            <w:tcBorders>
              <w:bottom w:val="single" w:sz="4" w:space="0" w:color="auto"/>
            </w:tcBorders>
            <w:shd w:val="clear" w:color="auto" w:fill="auto"/>
          </w:tcPr>
          <w:p w:rsidR="00E24DB7" w:rsidRPr="002C5876" w:rsidRDefault="00E24DB7" w:rsidP="00E24DB7">
            <w:pPr>
              <w:spacing w:before="60" w:after="60"/>
              <w:ind w:left="57" w:right="57"/>
              <w:rPr>
                <w:spacing w:val="-2"/>
                <w:sz w:val="18"/>
                <w:szCs w:val="18"/>
              </w:rPr>
            </w:pPr>
            <w:r w:rsidRPr="002C5876">
              <w:rPr>
                <w:spacing w:val="-2"/>
                <w:sz w:val="18"/>
                <w:szCs w:val="18"/>
              </w:rPr>
              <w:t xml:space="preserve">Si outre un véhicule d’essai H un véhicule d’essai L et, le cas échéant, un véhicule M ont aussi été essayés, les valeurs d’émissions critères résultantes doivent être les plus élevées des deux ou, le cas échéant, trois, et sont désignées </w:t>
            </w:r>
            <m:oMath>
              <m:sSub>
                <m:sSubPr>
                  <m:ctrlPr>
                    <w:rPr>
                      <w:rFonts w:ascii="Cambria Math" w:hAnsi="Cambria Math"/>
                      <w:spacing w:val="-2"/>
                      <w:sz w:val="18"/>
                      <w:szCs w:val="18"/>
                    </w:rPr>
                  </m:ctrlPr>
                </m:sSubPr>
                <m:e>
                  <m:r>
                    <m:rPr>
                      <m:sty m:val="p"/>
                    </m:rPr>
                    <w:rPr>
                      <w:rFonts w:ascii="Cambria Math" w:hAnsi="Cambria Math"/>
                      <w:spacing w:val="-2"/>
                      <w:sz w:val="18"/>
                      <w:szCs w:val="18"/>
                    </w:rPr>
                    <m:t>M</m:t>
                  </m:r>
                </m:e>
                <m:sub>
                  <m:r>
                    <m:rPr>
                      <m:sty m:val="p"/>
                    </m:rPr>
                    <w:rPr>
                      <w:rFonts w:ascii="Cambria Math" w:hAnsi="Cambria Math"/>
                      <w:spacing w:val="-2"/>
                      <w:sz w:val="18"/>
                      <w:szCs w:val="18"/>
                    </w:rPr>
                    <m:t>i,CS,c</m:t>
                  </m:r>
                </m:sub>
              </m:sSub>
            </m:oMath>
            <w:r w:rsidRPr="002C5876">
              <w:rPr>
                <w:spacing w:val="-2"/>
                <w:sz w:val="18"/>
                <w:szCs w:val="18"/>
              </w:rPr>
              <w:t>.</w:t>
            </w:r>
          </w:p>
          <w:p w:rsidR="00E24DB7" w:rsidRPr="002C5876" w:rsidRDefault="00E24DB7" w:rsidP="00E24DB7">
            <w:pPr>
              <w:spacing w:before="60" w:after="60"/>
              <w:ind w:left="57" w:right="57"/>
              <w:rPr>
                <w:spacing w:val="-2"/>
                <w:sz w:val="18"/>
                <w:szCs w:val="18"/>
              </w:rPr>
            </w:pPr>
            <w:r w:rsidRPr="002C5876">
              <w:rPr>
                <w:spacing w:val="-2"/>
                <w:sz w:val="18"/>
                <w:szCs w:val="18"/>
              </w:rPr>
              <w:t>Dans le cas des émissions combinées HCT+NO</w:t>
            </w:r>
            <w:r w:rsidRPr="002C5876">
              <w:rPr>
                <w:spacing w:val="-2"/>
                <w:sz w:val="18"/>
                <w:szCs w:val="18"/>
                <w:vertAlign w:val="subscript"/>
              </w:rPr>
              <w:t>x</w:t>
            </w:r>
            <w:r w:rsidRPr="002C5876">
              <w:rPr>
                <w:spacing w:val="-2"/>
                <w:sz w:val="18"/>
                <w:szCs w:val="18"/>
              </w:rPr>
              <w:t>, la valeur la plus élevée de la somme correspondant soit au véhicule H soit au véhicule L soit, le cas échéant, au véhicule M doit être déclarée.</w:t>
            </w:r>
          </w:p>
          <w:p w:rsidR="00E24DB7" w:rsidRPr="002C5876" w:rsidRDefault="00E24DB7" w:rsidP="00E24DB7">
            <w:pPr>
              <w:spacing w:before="60" w:after="60"/>
              <w:ind w:left="57" w:right="57"/>
              <w:rPr>
                <w:sz w:val="18"/>
                <w:szCs w:val="18"/>
              </w:rPr>
            </w:pPr>
            <w:r w:rsidRPr="002C5876">
              <w:rPr>
                <w:sz w:val="18"/>
                <w:szCs w:val="18"/>
              </w:rPr>
              <w:t xml:space="preserve">À défaut, si aucun véhicule L n’a été essayé ou si, le cas échéant, un véhicule M a été essayé, </w:t>
            </w:r>
            <w:r w:rsidRPr="002C5876">
              <w:rPr>
                <w:noProof/>
                <w:position w:val="-12"/>
                <w:sz w:val="18"/>
                <w:szCs w:val="18"/>
                <w:lang w:val="en-GB" w:eastAsia="zh-CN"/>
              </w:rPr>
              <w:drawing>
                <wp:inline distT="0" distB="0" distL="0" distR="0" wp14:anchorId="3F9184A3" wp14:editId="4C9A3B6E">
                  <wp:extent cx="981075" cy="209550"/>
                  <wp:effectExtent l="0" t="0" r="9525" b="0"/>
                  <wp:docPr id="995" name="Imag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981075" cy="209550"/>
                          </a:xfrm>
                          <a:prstGeom prst="rect">
                            <a:avLst/>
                          </a:prstGeom>
                          <a:noFill/>
                          <a:ln>
                            <a:noFill/>
                          </a:ln>
                        </pic:spPr>
                      </pic:pic>
                    </a:graphicData>
                  </a:graphic>
                </wp:inline>
              </w:drawing>
            </w:r>
          </w:p>
          <w:p w:rsidR="00E24DB7" w:rsidRPr="002C5876" w:rsidRDefault="00E24DB7" w:rsidP="00E24DB7">
            <w:pPr>
              <w:suppressAutoHyphens w:val="0"/>
              <w:spacing w:before="60" w:after="60"/>
              <w:ind w:left="57" w:right="57"/>
              <w:rPr>
                <w:sz w:val="18"/>
                <w:szCs w:val="18"/>
              </w:rPr>
            </w:pPr>
            <w:r w:rsidRPr="002C5876">
              <w:rPr>
                <w:sz w:val="18"/>
                <w:szCs w:val="18"/>
              </w:rPr>
              <w:t>Pour le CO</w:t>
            </w:r>
            <w:r w:rsidRPr="002C5876">
              <w:rPr>
                <w:sz w:val="18"/>
                <w:szCs w:val="18"/>
                <w:vertAlign w:val="subscript"/>
              </w:rPr>
              <w:t>2</w:t>
            </w:r>
            <w:r w:rsidRPr="002C5876">
              <w:rPr>
                <w:sz w:val="18"/>
                <w:szCs w:val="18"/>
              </w:rPr>
              <w:t xml:space="preserve"> les valeurs obtenues à l’étape 7 de ce tableau doivent être utilisées.</w:t>
            </w:r>
          </w:p>
          <w:p w:rsidR="00E24DB7" w:rsidRPr="002C5876" w:rsidRDefault="00E24DB7" w:rsidP="00E24DB7">
            <w:pPr>
              <w:suppressAutoHyphens w:val="0"/>
              <w:spacing w:before="60" w:after="60"/>
              <w:ind w:left="57" w:right="57"/>
              <w:rPr>
                <w:sz w:val="18"/>
                <w:szCs w:val="18"/>
              </w:rPr>
            </w:pPr>
            <w:r w:rsidRPr="002C5876">
              <w:rPr>
                <w:sz w:val="18"/>
                <w:szCs w:val="18"/>
              </w:rPr>
              <w:t>Les valeurs de CO</w:t>
            </w:r>
            <w:r w:rsidRPr="002C5876">
              <w:rPr>
                <w:sz w:val="18"/>
                <w:szCs w:val="18"/>
                <w:vertAlign w:val="subscript"/>
              </w:rPr>
              <w:t>2</w:t>
            </w:r>
            <w:r w:rsidRPr="002C5876">
              <w:rPr>
                <w:sz w:val="18"/>
                <w:szCs w:val="18"/>
              </w:rPr>
              <w:t xml:space="preserve"> doivent être arrondies à la deuxième décimale.</w:t>
            </w:r>
          </w:p>
        </w:tc>
        <w:tc>
          <w:tcPr>
            <w:tcW w:w="1918" w:type="dxa"/>
            <w:tcBorders>
              <w:bottom w:val="single" w:sz="4" w:space="0" w:color="auto"/>
            </w:tcBorders>
            <w:shd w:val="clear" w:color="auto" w:fill="auto"/>
          </w:tcPr>
          <w:p w:rsidR="00E24DB7" w:rsidRPr="00D53F39" w:rsidRDefault="00E24DB7" w:rsidP="00E24DB7">
            <w:pPr>
              <w:spacing w:before="60" w:after="60"/>
              <w:ind w:left="57" w:right="57"/>
              <w:rPr>
                <w:sz w:val="18"/>
                <w:szCs w:val="18"/>
                <w:lang w:val="es-ES"/>
              </w:rPr>
            </w:pPr>
            <w:r w:rsidRPr="00D53F39">
              <w:rPr>
                <w:sz w:val="18"/>
                <w:szCs w:val="18"/>
                <w:lang w:val="es-ES"/>
              </w:rPr>
              <w:t>M</w:t>
            </w:r>
            <w:r w:rsidRPr="00D53F39">
              <w:rPr>
                <w:sz w:val="18"/>
                <w:szCs w:val="18"/>
                <w:vertAlign w:val="subscript"/>
                <w:lang w:val="es-ES"/>
              </w:rPr>
              <w:t>i,CS,c</w:t>
            </w:r>
            <w:r w:rsidRPr="00D53F39">
              <w:rPr>
                <w:sz w:val="18"/>
                <w:szCs w:val="18"/>
                <w:lang w:val="es-ES"/>
              </w:rPr>
              <w:t>,</w:t>
            </w:r>
            <w:r w:rsidRPr="00D53F39">
              <w:rPr>
                <w:sz w:val="18"/>
                <w:szCs w:val="18"/>
                <w:vertAlign w:val="subscript"/>
                <w:lang w:val="es-ES"/>
              </w:rPr>
              <w:t xml:space="preserve"> </w:t>
            </w:r>
            <w:r w:rsidRPr="00D53F39">
              <w:rPr>
                <w:sz w:val="18"/>
                <w:szCs w:val="18"/>
                <w:lang w:val="es-ES"/>
              </w:rPr>
              <w:t>g/km</w:t>
            </w:r>
            <w:r w:rsidRPr="00D53F39">
              <w:rPr>
                <w:sz w:val="18"/>
                <w:szCs w:val="18"/>
                <w:lang w:val="es-ES"/>
              </w:rPr>
              <w:br/>
              <w:t>M</w:t>
            </w:r>
            <w:r w:rsidRPr="00D53F39">
              <w:rPr>
                <w:sz w:val="18"/>
                <w:szCs w:val="18"/>
                <w:vertAlign w:val="subscript"/>
                <w:lang w:val="es-ES"/>
              </w:rPr>
              <w:t>CO2,CS,c,H</w:t>
            </w:r>
            <w:r w:rsidRPr="00D53F39">
              <w:rPr>
                <w:sz w:val="18"/>
                <w:szCs w:val="18"/>
                <w:lang w:val="es-ES"/>
              </w:rPr>
              <w:t>, g/km</w:t>
            </w:r>
          </w:p>
          <w:p w:rsidR="00E24DB7" w:rsidRPr="002C5876" w:rsidRDefault="00E24DB7" w:rsidP="00E24DB7">
            <w:pPr>
              <w:spacing w:before="60" w:after="60"/>
              <w:ind w:left="57" w:right="57"/>
              <w:rPr>
                <w:sz w:val="18"/>
                <w:szCs w:val="18"/>
              </w:rPr>
            </w:pPr>
            <w:r w:rsidRPr="002C5876">
              <w:rPr>
                <w:sz w:val="18"/>
                <w:szCs w:val="18"/>
              </w:rPr>
              <w:t>Si un véhicule L a été essayé :</w:t>
            </w:r>
          </w:p>
          <w:p w:rsidR="00E24DB7" w:rsidRPr="002C5876" w:rsidRDefault="00E24DB7" w:rsidP="00E24DB7">
            <w:pPr>
              <w:spacing w:before="60" w:after="60"/>
              <w:ind w:left="57" w:right="57"/>
              <w:rPr>
                <w:sz w:val="18"/>
                <w:szCs w:val="18"/>
              </w:rPr>
            </w:pPr>
            <w:r w:rsidRPr="002C5876">
              <w:rPr>
                <w:sz w:val="18"/>
                <w:szCs w:val="18"/>
              </w:rPr>
              <w:t>M</w:t>
            </w:r>
            <w:r w:rsidRPr="002C5876">
              <w:rPr>
                <w:sz w:val="18"/>
                <w:szCs w:val="18"/>
                <w:vertAlign w:val="subscript"/>
              </w:rPr>
              <w:t>CO2,CS,c,L</w:t>
            </w:r>
            <w:r w:rsidRPr="002C5876">
              <w:rPr>
                <w:sz w:val="18"/>
                <w:szCs w:val="18"/>
              </w:rPr>
              <w:t>, g/km</w:t>
            </w:r>
            <w:r w:rsidRPr="002C5876">
              <w:rPr>
                <w:sz w:val="18"/>
                <w:szCs w:val="18"/>
              </w:rPr>
              <w:br/>
              <w:t>M</w:t>
            </w:r>
            <w:r w:rsidRPr="002C5876">
              <w:rPr>
                <w:sz w:val="18"/>
                <w:szCs w:val="18"/>
                <w:vertAlign w:val="subscript"/>
              </w:rPr>
              <w:t>CO2,CS,p,L</w:t>
            </w:r>
            <w:r w:rsidRPr="002C5876">
              <w:rPr>
                <w:sz w:val="18"/>
                <w:szCs w:val="18"/>
              </w:rPr>
              <w:t>, g/km</w:t>
            </w:r>
          </w:p>
          <w:p w:rsidR="00E24DB7" w:rsidRPr="002C5876" w:rsidRDefault="00E24DB7" w:rsidP="00E24DB7">
            <w:pPr>
              <w:spacing w:before="60" w:after="60"/>
              <w:ind w:left="57" w:right="57"/>
              <w:rPr>
                <w:sz w:val="18"/>
                <w:szCs w:val="18"/>
              </w:rPr>
            </w:pPr>
            <w:r w:rsidRPr="002C5876">
              <w:rPr>
                <w:sz w:val="18"/>
                <w:szCs w:val="18"/>
              </w:rPr>
              <w:t>et si, le cas échéant, un véhicule M a été essayé :</w:t>
            </w:r>
          </w:p>
          <w:p w:rsidR="00E24DB7" w:rsidRPr="002C5876" w:rsidRDefault="00E24DB7" w:rsidP="00E24DB7">
            <w:pPr>
              <w:spacing w:before="60" w:after="60"/>
              <w:ind w:left="57" w:right="57"/>
              <w:rPr>
                <w:sz w:val="18"/>
                <w:szCs w:val="18"/>
              </w:rPr>
            </w:pPr>
            <w:r w:rsidRPr="002C5876">
              <w:rPr>
                <w:sz w:val="18"/>
                <w:szCs w:val="18"/>
              </w:rPr>
              <w:t>M</w:t>
            </w:r>
            <w:r w:rsidRPr="002C5876">
              <w:rPr>
                <w:sz w:val="18"/>
                <w:szCs w:val="18"/>
                <w:vertAlign w:val="subscript"/>
              </w:rPr>
              <w:t>CO2,CS,c,M</w:t>
            </w:r>
            <w:r w:rsidRPr="002C5876">
              <w:rPr>
                <w:sz w:val="18"/>
                <w:szCs w:val="18"/>
              </w:rPr>
              <w:t>, g/km</w:t>
            </w:r>
            <w:r w:rsidRPr="002C5876">
              <w:rPr>
                <w:sz w:val="18"/>
                <w:szCs w:val="18"/>
              </w:rPr>
              <w:br/>
              <w:t>M</w:t>
            </w:r>
            <w:r w:rsidRPr="002C5876">
              <w:rPr>
                <w:sz w:val="18"/>
                <w:szCs w:val="18"/>
                <w:vertAlign w:val="subscript"/>
              </w:rPr>
              <w:t>CO2,CS,p,M</w:t>
            </w:r>
            <w:r w:rsidRPr="002C5876">
              <w:rPr>
                <w:sz w:val="18"/>
                <w:szCs w:val="18"/>
              </w:rPr>
              <w:t>, g/km</w:t>
            </w:r>
          </w:p>
        </w:tc>
        <w:tc>
          <w:tcPr>
            <w:tcW w:w="1333" w:type="dxa"/>
            <w:tcBorders>
              <w:bottom w:val="single" w:sz="4" w:space="0" w:color="auto"/>
            </w:tcBorders>
            <w:shd w:val="clear" w:color="auto" w:fill="auto"/>
          </w:tcPr>
          <w:p w:rsidR="00E24DB7" w:rsidRPr="002C5876" w:rsidRDefault="00E24DB7" w:rsidP="00E24DB7">
            <w:pPr>
              <w:spacing w:before="60" w:after="60"/>
              <w:ind w:left="57" w:right="57"/>
              <w:rPr>
                <w:sz w:val="18"/>
                <w:szCs w:val="18"/>
              </w:rPr>
            </w:pPr>
            <w:r w:rsidRPr="002C5876">
              <w:rPr>
                <w:sz w:val="18"/>
                <w:szCs w:val="18"/>
              </w:rPr>
              <w:t>8</w:t>
            </w:r>
          </w:p>
          <w:p w:rsidR="00E24DB7" w:rsidRPr="002C5876" w:rsidRDefault="00E24DB7" w:rsidP="00E24DB7">
            <w:pPr>
              <w:spacing w:before="60" w:after="60"/>
              <w:ind w:left="57" w:right="57"/>
              <w:rPr>
                <w:sz w:val="18"/>
                <w:szCs w:val="18"/>
              </w:rPr>
            </w:pPr>
            <w:r w:rsidRPr="002C5876">
              <w:rPr>
                <w:sz w:val="18"/>
                <w:szCs w:val="18"/>
              </w:rPr>
              <w:t>Résultat d’une famille d’interpolation.</w:t>
            </w:r>
          </w:p>
          <w:p w:rsidR="00E24DB7" w:rsidRPr="002C5876" w:rsidRDefault="00E24DB7" w:rsidP="00E24DB7">
            <w:pPr>
              <w:suppressAutoHyphens w:val="0"/>
              <w:spacing w:before="60" w:after="60"/>
              <w:ind w:left="57" w:right="57"/>
              <w:rPr>
                <w:sz w:val="18"/>
                <w:szCs w:val="18"/>
              </w:rPr>
            </w:pPr>
            <w:r w:rsidRPr="002C5876">
              <w:rPr>
                <w:sz w:val="18"/>
                <w:szCs w:val="18"/>
              </w:rPr>
              <w:t xml:space="preserve">Résultat final des émissions critères. </w:t>
            </w:r>
          </w:p>
        </w:tc>
      </w:tr>
      <w:tr w:rsidR="00E24DB7" w:rsidRPr="002C5876" w:rsidTr="00E24DB7">
        <w:tc>
          <w:tcPr>
            <w:tcW w:w="1671" w:type="dxa"/>
            <w:tcBorders>
              <w:bottom w:val="single" w:sz="12" w:space="0" w:color="auto"/>
            </w:tcBorders>
            <w:shd w:val="clear" w:color="auto" w:fill="auto"/>
          </w:tcPr>
          <w:p w:rsidR="00E24DB7" w:rsidRPr="002C5876" w:rsidRDefault="00E24DB7" w:rsidP="00E24DB7">
            <w:pPr>
              <w:keepNext/>
              <w:keepLines/>
              <w:spacing w:before="60" w:after="60"/>
              <w:ind w:left="57" w:right="57"/>
              <w:rPr>
                <w:sz w:val="18"/>
                <w:szCs w:val="18"/>
              </w:rPr>
            </w:pPr>
            <w:r w:rsidRPr="002C5876">
              <w:rPr>
                <w:sz w:val="18"/>
                <w:szCs w:val="18"/>
              </w:rPr>
              <w:lastRenderedPageBreak/>
              <w:t xml:space="preserve">Sortie </w:t>
            </w:r>
            <w:r w:rsidRPr="002C5876">
              <w:rPr>
                <w:sz w:val="18"/>
                <w:szCs w:val="18"/>
              </w:rPr>
              <w:br/>
              <w:t>de l’étape n</w:t>
            </w:r>
            <w:r w:rsidRPr="002C5876">
              <w:rPr>
                <w:sz w:val="18"/>
                <w:szCs w:val="18"/>
                <w:vertAlign w:val="superscript"/>
              </w:rPr>
              <w:t>o</w:t>
            </w:r>
            <w:r w:rsidRPr="002C5876">
              <w:rPr>
                <w:sz w:val="18"/>
                <w:szCs w:val="18"/>
              </w:rPr>
              <w:t xml:space="preserve"> 8 </w:t>
            </w:r>
            <w:r w:rsidRPr="002C5876">
              <w:rPr>
                <w:sz w:val="18"/>
                <w:szCs w:val="18"/>
              </w:rPr>
              <w:br/>
              <w:t>de ce tableau</w:t>
            </w:r>
          </w:p>
        </w:tc>
        <w:tc>
          <w:tcPr>
            <w:tcW w:w="1716" w:type="dxa"/>
            <w:tcBorders>
              <w:bottom w:val="single" w:sz="12" w:space="0" w:color="auto"/>
            </w:tcBorders>
            <w:shd w:val="clear" w:color="auto" w:fill="auto"/>
          </w:tcPr>
          <w:p w:rsidR="00E24DB7" w:rsidRPr="002C5876" w:rsidRDefault="00E24DB7" w:rsidP="00E24DB7">
            <w:pPr>
              <w:keepNext/>
              <w:keepLines/>
              <w:spacing w:before="60" w:after="60"/>
              <w:ind w:left="57" w:right="57"/>
              <w:rPr>
                <w:sz w:val="18"/>
                <w:szCs w:val="18"/>
              </w:rPr>
            </w:pPr>
            <w:r w:rsidRPr="002C5876">
              <w:rPr>
                <w:sz w:val="18"/>
                <w:szCs w:val="18"/>
              </w:rPr>
              <w:t>M</w:t>
            </w:r>
            <w:r w:rsidRPr="002C5876">
              <w:rPr>
                <w:sz w:val="18"/>
                <w:szCs w:val="18"/>
                <w:vertAlign w:val="subscript"/>
              </w:rPr>
              <w:t>CO2,CS,c,H</w:t>
            </w:r>
            <w:r w:rsidRPr="002C5876">
              <w:rPr>
                <w:sz w:val="18"/>
                <w:szCs w:val="18"/>
              </w:rPr>
              <w:t>, g/km</w:t>
            </w:r>
            <w:r w:rsidRPr="002C5876">
              <w:rPr>
                <w:sz w:val="18"/>
                <w:szCs w:val="18"/>
              </w:rPr>
              <w:br/>
              <w:t>M</w:t>
            </w:r>
            <w:r w:rsidRPr="002C5876">
              <w:rPr>
                <w:sz w:val="18"/>
                <w:szCs w:val="18"/>
                <w:vertAlign w:val="subscript"/>
              </w:rPr>
              <w:t>CO2,CS,p,H</w:t>
            </w:r>
            <w:r w:rsidRPr="002C5876">
              <w:rPr>
                <w:sz w:val="18"/>
                <w:szCs w:val="18"/>
              </w:rPr>
              <w:t>, g/km</w:t>
            </w:r>
          </w:p>
          <w:p w:rsidR="00E24DB7" w:rsidRPr="002C5876" w:rsidRDefault="00E24DB7" w:rsidP="00E24DB7">
            <w:pPr>
              <w:keepNext/>
              <w:keepLines/>
              <w:spacing w:before="60" w:after="60"/>
              <w:ind w:left="57" w:right="57"/>
              <w:rPr>
                <w:sz w:val="18"/>
                <w:szCs w:val="18"/>
              </w:rPr>
            </w:pPr>
            <w:r w:rsidRPr="002C5876">
              <w:rPr>
                <w:sz w:val="18"/>
                <w:szCs w:val="18"/>
              </w:rPr>
              <w:t>Si un véhicule L a été essayé :</w:t>
            </w:r>
          </w:p>
          <w:p w:rsidR="00E24DB7" w:rsidRPr="002C5876" w:rsidRDefault="00E24DB7" w:rsidP="00E24DB7">
            <w:pPr>
              <w:keepNext/>
              <w:keepLines/>
              <w:spacing w:before="60" w:after="60"/>
              <w:ind w:left="57" w:right="57"/>
              <w:rPr>
                <w:sz w:val="18"/>
                <w:szCs w:val="18"/>
              </w:rPr>
            </w:pPr>
            <w:r w:rsidRPr="002C5876">
              <w:rPr>
                <w:sz w:val="18"/>
                <w:szCs w:val="18"/>
              </w:rPr>
              <w:t>M</w:t>
            </w:r>
            <w:r w:rsidRPr="002C5876">
              <w:rPr>
                <w:sz w:val="18"/>
                <w:szCs w:val="18"/>
                <w:vertAlign w:val="subscript"/>
              </w:rPr>
              <w:t>CO2,CS,c,L</w:t>
            </w:r>
            <w:r w:rsidRPr="002C5876">
              <w:rPr>
                <w:sz w:val="18"/>
                <w:szCs w:val="18"/>
              </w:rPr>
              <w:t>, g/km</w:t>
            </w:r>
            <w:r w:rsidRPr="002C5876">
              <w:rPr>
                <w:sz w:val="18"/>
                <w:szCs w:val="18"/>
              </w:rPr>
              <w:br/>
              <w:t>M</w:t>
            </w:r>
            <w:r w:rsidRPr="002C5876">
              <w:rPr>
                <w:sz w:val="18"/>
                <w:szCs w:val="18"/>
                <w:vertAlign w:val="subscript"/>
              </w:rPr>
              <w:t>CO2,CS,p,L</w:t>
            </w:r>
            <w:r w:rsidRPr="002C5876">
              <w:rPr>
                <w:sz w:val="18"/>
                <w:szCs w:val="18"/>
              </w:rPr>
              <w:t>, g/km</w:t>
            </w:r>
          </w:p>
          <w:p w:rsidR="00E24DB7" w:rsidRPr="002C5876" w:rsidRDefault="00E24DB7" w:rsidP="00E24DB7">
            <w:pPr>
              <w:keepNext/>
              <w:keepLines/>
              <w:suppressAutoHyphens w:val="0"/>
              <w:spacing w:before="60" w:after="60"/>
              <w:ind w:left="57" w:right="57"/>
              <w:rPr>
                <w:sz w:val="18"/>
                <w:szCs w:val="18"/>
              </w:rPr>
            </w:pPr>
            <w:r w:rsidRPr="002C5876">
              <w:rPr>
                <w:sz w:val="18"/>
                <w:szCs w:val="18"/>
              </w:rPr>
              <w:t>et si, le cas échéant, un véhicule M a été essayé:</w:t>
            </w:r>
          </w:p>
          <w:p w:rsidR="00E24DB7" w:rsidRPr="002C5876" w:rsidRDefault="00E24DB7" w:rsidP="00E24DB7">
            <w:pPr>
              <w:keepNext/>
              <w:keepLines/>
              <w:suppressAutoHyphens w:val="0"/>
              <w:spacing w:before="60" w:after="60"/>
              <w:ind w:left="57" w:right="57"/>
              <w:rPr>
                <w:sz w:val="18"/>
                <w:szCs w:val="18"/>
              </w:rPr>
            </w:pPr>
            <w:r w:rsidRPr="002C5876">
              <w:rPr>
                <w:sz w:val="18"/>
                <w:szCs w:val="18"/>
              </w:rPr>
              <w:t>M</w:t>
            </w:r>
            <w:r w:rsidRPr="002C5876">
              <w:rPr>
                <w:sz w:val="18"/>
                <w:szCs w:val="18"/>
                <w:vertAlign w:val="subscript"/>
              </w:rPr>
              <w:t>CO2,CS,c,M</w:t>
            </w:r>
            <w:r w:rsidRPr="002C5876">
              <w:rPr>
                <w:sz w:val="18"/>
                <w:szCs w:val="18"/>
              </w:rPr>
              <w:t>, g/km</w:t>
            </w:r>
            <w:r w:rsidRPr="002C5876">
              <w:rPr>
                <w:sz w:val="18"/>
                <w:szCs w:val="18"/>
              </w:rPr>
              <w:br/>
              <w:t>M</w:t>
            </w:r>
            <w:r w:rsidRPr="002C5876">
              <w:rPr>
                <w:sz w:val="18"/>
                <w:szCs w:val="18"/>
                <w:vertAlign w:val="subscript"/>
              </w:rPr>
              <w:t>CO2,CS,p,M</w:t>
            </w:r>
            <w:r w:rsidRPr="002C5876">
              <w:rPr>
                <w:sz w:val="18"/>
                <w:szCs w:val="18"/>
              </w:rPr>
              <w:t>, g/km</w:t>
            </w:r>
          </w:p>
        </w:tc>
        <w:tc>
          <w:tcPr>
            <w:tcW w:w="3001" w:type="dxa"/>
            <w:tcBorders>
              <w:bottom w:val="single" w:sz="12" w:space="0" w:color="auto"/>
            </w:tcBorders>
            <w:shd w:val="clear" w:color="auto" w:fill="auto"/>
          </w:tcPr>
          <w:p w:rsidR="00E24DB7" w:rsidRPr="002C5876" w:rsidRDefault="00E24DB7" w:rsidP="00E24DB7">
            <w:pPr>
              <w:keepNext/>
              <w:keepLines/>
              <w:spacing w:before="60" w:after="60"/>
              <w:ind w:left="57" w:right="57"/>
              <w:rPr>
                <w:sz w:val="18"/>
                <w:szCs w:val="18"/>
              </w:rPr>
            </w:pPr>
            <w:r w:rsidRPr="002C5876">
              <w:rPr>
                <w:sz w:val="18"/>
                <w:szCs w:val="18"/>
              </w:rPr>
              <w:t>Calcul des émissions massiques de CO</w:t>
            </w:r>
            <w:r w:rsidRPr="002C5876">
              <w:rPr>
                <w:sz w:val="18"/>
                <w:szCs w:val="18"/>
                <w:vertAlign w:val="subscript"/>
              </w:rPr>
              <w:t>2</w:t>
            </w:r>
            <w:r w:rsidRPr="002C5876">
              <w:rPr>
                <w:sz w:val="18"/>
                <w:szCs w:val="18"/>
              </w:rPr>
              <w:t xml:space="preserve"> conformément au paragraphe 4.5.4.1 de la présente annexe pour les véhicules donnés d’une famille d’interpolation.</w:t>
            </w:r>
          </w:p>
          <w:p w:rsidR="00E24DB7" w:rsidRPr="002C5876" w:rsidRDefault="00E24DB7" w:rsidP="00E24DB7">
            <w:pPr>
              <w:keepNext/>
              <w:keepLines/>
              <w:spacing w:before="60" w:after="60"/>
              <w:ind w:left="57" w:right="57"/>
              <w:rPr>
                <w:sz w:val="18"/>
                <w:szCs w:val="18"/>
              </w:rPr>
            </w:pPr>
            <w:r w:rsidRPr="002C5876">
              <w:rPr>
                <w:sz w:val="18"/>
                <w:szCs w:val="18"/>
              </w:rPr>
              <w:t>Les valeurs de CO</w:t>
            </w:r>
            <w:r w:rsidRPr="002C5876">
              <w:rPr>
                <w:sz w:val="18"/>
                <w:szCs w:val="18"/>
                <w:vertAlign w:val="subscript"/>
              </w:rPr>
              <w:t>2</w:t>
            </w:r>
            <w:r w:rsidRPr="002C5876">
              <w:rPr>
                <w:sz w:val="18"/>
                <w:szCs w:val="18"/>
              </w:rPr>
              <w:t xml:space="preserve"> doivent être arrondies conformément au tableau A8/2.</w:t>
            </w:r>
          </w:p>
        </w:tc>
        <w:tc>
          <w:tcPr>
            <w:tcW w:w="1918" w:type="dxa"/>
            <w:tcBorders>
              <w:bottom w:val="single" w:sz="12" w:space="0" w:color="auto"/>
            </w:tcBorders>
            <w:shd w:val="clear" w:color="auto" w:fill="auto"/>
          </w:tcPr>
          <w:p w:rsidR="00E24DB7" w:rsidRPr="00D53F39" w:rsidRDefault="00E24DB7" w:rsidP="00E24DB7">
            <w:pPr>
              <w:keepNext/>
              <w:keepLines/>
              <w:spacing w:before="60" w:after="60"/>
              <w:ind w:left="57" w:right="57"/>
              <w:rPr>
                <w:sz w:val="18"/>
                <w:szCs w:val="18"/>
                <w:lang w:val="en-US"/>
              </w:rPr>
            </w:pPr>
            <w:r w:rsidRPr="00D53F39">
              <w:rPr>
                <w:sz w:val="18"/>
                <w:szCs w:val="18"/>
                <w:lang w:val="en-US"/>
              </w:rPr>
              <w:t>M</w:t>
            </w:r>
            <w:r w:rsidRPr="00D53F39">
              <w:rPr>
                <w:sz w:val="18"/>
                <w:szCs w:val="18"/>
                <w:vertAlign w:val="subscript"/>
                <w:lang w:val="en-US"/>
              </w:rPr>
              <w:t>CO2,CS,c,ind</w:t>
            </w:r>
            <w:r w:rsidRPr="00D53F39">
              <w:rPr>
                <w:sz w:val="18"/>
                <w:szCs w:val="18"/>
                <w:lang w:val="en-US"/>
              </w:rPr>
              <w:t>, g/km</w:t>
            </w:r>
            <w:r w:rsidRPr="00D53F39">
              <w:rPr>
                <w:sz w:val="18"/>
                <w:szCs w:val="18"/>
                <w:lang w:val="en-US"/>
              </w:rPr>
              <w:br/>
              <w:t>M</w:t>
            </w:r>
            <w:r w:rsidRPr="00D53F39">
              <w:rPr>
                <w:sz w:val="18"/>
                <w:szCs w:val="18"/>
                <w:vertAlign w:val="subscript"/>
                <w:lang w:val="en-US"/>
              </w:rPr>
              <w:t>CO2,CS,p,ind</w:t>
            </w:r>
            <w:r w:rsidRPr="00D53F39">
              <w:rPr>
                <w:sz w:val="18"/>
                <w:szCs w:val="18"/>
                <w:lang w:val="en-US"/>
              </w:rPr>
              <w:t>, g/km</w:t>
            </w:r>
          </w:p>
        </w:tc>
        <w:tc>
          <w:tcPr>
            <w:tcW w:w="1333" w:type="dxa"/>
            <w:tcBorders>
              <w:bottom w:val="single" w:sz="12" w:space="0" w:color="auto"/>
            </w:tcBorders>
            <w:shd w:val="clear" w:color="auto" w:fill="auto"/>
          </w:tcPr>
          <w:p w:rsidR="00E24DB7" w:rsidRPr="002C5876" w:rsidRDefault="00E24DB7" w:rsidP="00E24DB7">
            <w:pPr>
              <w:keepNext/>
              <w:keepLines/>
              <w:spacing w:before="60" w:after="60"/>
              <w:ind w:left="57" w:right="57"/>
              <w:rPr>
                <w:sz w:val="18"/>
                <w:szCs w:val="18"/>
              </w:rPr>
            </w:pPr>
            <w:r w:rsidRPr="002C5876">
              <w:rPr>
                <w:sz w:val="18"/>
                <w:szCs w:val="18"/>
              </w:rPr>
              <w:t>9</w:t>
            </w:r>
          </w:p>
          <w:p w:rsidR="00E24DB7" w:rsidRPr="002C5876" w:rsidRDefault="00E24DB7" w:rsidP="00E24DB7">
            <w:pPr>
              <w:keepNext/>
              <w:keepLines/>
              <w:spacing w:before="60" w:after="60"/>
              <w:ind w:left="57" w:right="57"/>
              <w:rPr>
                <w:sz w:val="18"/>
                <w:szCs w:val="18"/>
              </w:rPr>
            </w:pPr>
            <w:r w:rsidRPr="002C5876">
              <w:rPr>
                <w:sz w:val="18"/>
                <w:szCs w:val="18"/>
              </w:rPr>
              <w:t>Résultat d’un véhicule donné.</w:t>
            </w:r>
          </w:p>
          <w:p w:rsidR="00E24DB7" w:rsidRPr="002C5876" w:rsidRDefault="00E24DB7" w:rsidP="00E24DB7">
            <w:pPr>
              <w:keepNext/>
              <w:keepLines/>
              <w:spacing w:before="60" w:after="60"/>
              <w:ind w:left="57" w:right="57"/>
              <w:rPr>
                <w:sz w:val="18"/>
                <w:szCs w:val="18"/>
              </w:rPr>
            </w:pPr>
            <w:r w:rsidRPr="002C5876">
              <w:rPr>
                <w:sz w:val="18"/>
                <w:szCs w:val="18"/>
              </w:rPr>
              <w:t>Résultat final pour le CO</w:t>
            </w:r>
            <w:r w:rsidRPr="002C5876">
              <w:rPr>
                <w:sz w:val="18"/>
                <w:szCs w:val="18"/>
                <w:vertAlign w:val="subscript"/>
              </w:rPr>
              <w:t>2</w:t>
            </w:r>
          </w:p>
        </w:tc>
      </w:tr>
    </w:tbl>
    <w:p w:rsidR="00E24DB7" w:rsidRPr="002C5876" w:rsidRDefault="00E24DB7" w:rsidP="00E24DB7">
      <w:pPr>
        <w:pStyle w:val="SingleTxtG"/>
        <w:keepNext/>
        <w:spacing w:before="240"/>
        <w:ind w:left="2268" w:hanging="1134"/>
      </w:pPr>
      <w:r w:rsidRPr="002C5876">
        <w:t>4.1.1.2</w:t>
      </w:r>
      <w:r w:rsidRPr="002C5876">
        <w:tab/>
        <w:t>Dans le cas où la correction conformément au paragraphe 1.1.4 de l’appendice 2 de la présente annexe n’a pas été appliquée, les émissions massiques de CO</w:t>
      </w:r>
      <w:r w:rsidRPr="002C5876">
        <w:rPr>
          <w:vertAlign w:val="subscript"/>
        </w:rPr>
        <w:t>2</w:t>
      </w:r>
      <w:r w:rsidRPr="002C5876">
        <w:t xml:space="preserve"> en mode maintien de la charge doivent être calculées comme suit :</w:t>
      </w:r>
    </w:p>
    <w:p w:rsidR="00E24DB7" w:rsidRPr="002C5876" w:rsidRDefault="00731CA6" w:rsidP="00E24DB7">
      <w:pPr>
        <w:ind w:left="2268" w:right="1134"/>
        <w:jc w:val="center"/>
        <w:rPr>
          <w:b/>
        </w:rPr>
      </w:pPr>
      <m:oMathPara>
        <m:oMath>
          <m:sSub>
            <m:sSubPr>
              <m:ctrlPr>
                <w:rPr>
                  <w:rFonts w:ascii="Cambria Math" w:hAnsi="Cambria Math" w:cstheme="majorBidi"/>
                  <w:b/>
                </w:rPr>
              </m:ctrlPr>
            </m:sSubPr>
            <m:e>
              <m:r>
                <m:rPr>
                  <m:sty m:val="p"/>
                </m:rPr>
                <w:rPr>
                  <w:rFonts w:ascii="Cambria Math" w:hAnsi="Cambria Math" w:cstheme="majorBidi"/>
                </w:rPr>
                <m:t>M</m:t>
              </m:r>
            </m:e>
            <m:sub>
              <m:r>
                <m:rPr>
                  <m:sty m:val="p"/>
                </m:rPr>
                <w:rPr>
                  <w:rFonts w:ascii="Cambria Math" w:hAnsi="Cambria Math" w:cstheme="majorBidi"/>
                </w:rPr>
                <m:t>CO2,CS</m:t>
              </m:r>
            </m:sub>
          </m:sSub>
          <m:r>
            <m:rPr>
              <m:sty m:val="p"/>
            </m:rPr>
            <w:rPr>
              <w:rFonts w:ascii="Cambria Math" w:hAnsi="Cambria Math" w:cstheme="majorBidi"/>
            </w:rPr>
            <m:t xml:space="preserve">= </m:t>
          </m:r>
          <m:sSub>
            <m:sSubPr>
              <m:ctrlPr>
                <w:rPr>
                  <w:rFonts w:ascii="Cambria Math" w:hAnsi="Cambria Math" w:cstheme="majorBidi"/>
                  <w:b/>
                </w:rPr>
              </m:ctrlPr>
            </m:sSubPr>
            <m:e>
              <m:r>
                <m:rPr>
                  <m:sty m:val="p"/>
                </m:rPr>
                <w:rPr>
                  <w:rFonts w:ascii="Cambria Math" w:hAnsi="Cambria Math" w:cstheme="majorBidi"/>
                </w:rPr>
                <m:t>M</m:t>
              </m:r>
            </m:e>
            <m:sub>
              <m:r>
                <m:rPr>
                  <m:sty m:val="p"/>
                </m:rPr>
                <w:rPr>
                  <w:rFonts w:ascii="Cambria Math" w:hAnsi="Cambria Math" w:cstheme="majorBidi"/>
                </w:rPr>
                <m:t>CO2,CS,nb</m:t>
              </m:r>
            </m:sub>
          </m:sSub>
        </m:oMath>
      </m:oMathPara>
    </w:p>
    <w:p w:rsidR="00E24DB7" w:rsidRPr="002C5876" w:rsidRDefault="00E24DB7" w:rsidP="00E24DB7">
      <w:pPr>
        <w:pStyle w:val="SingleTxtG"/>
        <w:keepNext/>
        <w:ind w:left="2268"/>
      </w:pPr>
      <w:r w:rsidRPr="002C5876">
        <w:t>où :</w:t>
      </w:r>
    </w:p>
    <w:p w:rsidR="00E24DB7" w:rsidRPr="002C5876" w:rsidRDefault="00E24DB7" w:rsidP="00E24DB7">
      <w:pPr>
        <w:pStyle w:val="SingleTxtG"/>
        <w:ind w:left="3402" w:hanging="1134"/>
      </w:pPr>
      <w:r w:rsidRPr="002C5876">
        <w:t>M</w:t>
      </w:r>
      <w:r w:rsidRPr="002C5876">
        <w:rPr>
          <w:vertAlign w:val="subscript"/>
        </w:rPr>
        <w:t>CO2,CS</w:t>
      </w:r>
      <w:r w:rsidRPr="002C5876">
        <w:tab/>
        <w:t>sont les émissions massiques de CO</w:t>
      </w:r>
      <w:r w:rsidRPr="002C5876">
        <w:rPr>
          <w:vertAlign w:val="subscript"/>
        </w:rPr>
        <w:t>2</w:t>
      </w:r>
      <w:r w:rsidRPr="002C5876">
        <w:t xml:space="preserve"> de l’essai du type 1 </w:t>
      </w:r>
      <w:r w:rsidRPr="002C5876">
        <w:rPr>
          <w:bCs/>
        </w:rPr>
        <w:t xml:space="preserve">en mode maintien de la charge </w:t>
      </w:r>
      <w:r w:rsidRPr="002C5876">
        <w:t>conformément au tableau A8/5, étape n</w:t>
      </w:r>
      <w:r w:rsidRPr="002C5876">
        <w:rPr>
          <w:vertAlign w:val="superscript"/>
        </w:rPr>
        <w:t>o</w:t>
      </w:r>
      <w:r w:rsidRPr="002C5876">
        <w:t> 3, en g/km ;</w:t>
      </w:r>
    </w:p>
    <w:p w:rsidR="00E24DB7" w:rsidRPr="002C5876" w:rsidRDefault="00E24DB7" w:rsidP="00E24DB7">
      <w:pPr>
        <w:pStyle w:val="SingleTxtG"/>
        <w:ind w:left="3402" w:hanging="1134"/>
      </w:pPr>
      <w:r w:rsidRPr="002C5876">
        <w:t>M</w:t>
      </w:r>
      <w:r w:rsidRPr="002C5876">
        <w:rPr>
          <w:vertAlign w:val="subscript"/>
        </w:rPr>
        <w:t>CO2,CS,nb</w:t>
      </w:r>
      <w:r w:rsidRPr="002C5876">
        <w:tab/>
        <w:t>sont les émissions massiques non compensées de CO</w:t>
      </w:r>
      <w:r w:rsidRPr="002C5876">
        <w:rPr>
          <w:vertAlign w:val="subscript"/>
        </w:rPr>
        <w:t>2</w:t>
      </w:r>
      <w:r w:rsidRPr="002C5876">
        <w:t xml:space="preserve"> de l’essai du type 1 </w:t>
      </w:r>
      <w:r w:rsidRPr="002C5876">
        <w:rPr>
          <w:bCs/>
        </w:rPr>
        <w:t>en mode maintien de la charge</w:t>
      </w:r>
      <w:r w:rsidRPr="002C5876">
        <w:t>, non corrigées pour le bilan énergétique, déterminées conformément au tableau A8/5, étape n</w:t>
      </w:r>
      <w:r w:rsidRPr="002C5876">
        <w:rPr>
          <w:vertAlign w:val="superscript"/>
        </w:rPr>
        <w:t>o</w:t>
      </w:r>
      <w:r w:rsidRPr="002C5876">
        <w:t> 2, en g/km.</w:t>
      </w:r>
    </w:p>
    <w:p w:rsidR="00E24DB7" w:rsidRPr="002C5876" w:rsidRDefault="00E24DB7" w:rsidP="00E24DB7">
      <w:pPr>
        <w:pStyle w:val="SingleTxtG"/>
        <w:keepNext/>
        <w:ind w:left="2268" w:hanging="1134"/>
        <w:rPr>
          <w:bCs/>
        </w:rPr>
      </w:pPr>
      <w:r w:rsidRPr="002C5876">
        <w:t>4.1.1.3</w:t>
      </w:r>
      <w:r w:rsidRPr="002C5876">
        <w:tab/>
        <w:t>Si la correction des émissions massiques de CO</w:t>
      </w:r>
      <w:r w:rsidRPr="002C5876">
        <w:rPr>
          <w:vertAlign w:val="subscript"/>
        </w:rPr>
        <w:t>2</w:t>
      </w:r>
      <w:r w:rsidRPr="002C5876">
        <w:t xml:space="preserve"> </w:t>
      </w:r>
      <w:r w:rsidRPr="002C5876">
        <w:rPr>
          <w:bCs/>
        </w:rPr>
        <w:t>en mode maintien de la charge e</w:t>
      </w:r>
      <w:r w:rsidRPr="002C5876">
        <w:t>st requise conformément au paragraphe 1.1.3 de l’appendice 2 de la présente annexe</w:t>
      </w:r>
      <w:r w:rsidRPr="002C5876">
        <w:rPr>
          <w:bCs/>
        </w:rPr>
        <w:t xml:space="preserve">, ou dans le cas où la correction conformément au paragraphe 1.1.4 de l’appendice 2 </w:t>
      </w:r>
      <w:r w:rsidRPr="002C5876">
        <w:t xml:space="preserve">de la présente annexe a été </w:t>
      </w:r>
      <w:r w:rsidRPr="002C5876">
        <w:rPr>
          <w:bCs/>
        </w:rPr>
        <w:t xml:space="preserve">appliquée, le coefficient de correction des </w:t>
      </w:r>
      <w:r w:rsidRPr="002C5876">
        <w:t>émissions massiques de CO</w:t>
      </w:r>
      <w:r w:rsidRPr="002C5876">
        <w:rPr>
          <w:vertAlign w:val="subscript"/>
        </w:rPr>
        <w:t>2</w:t>
      </w:r>
      <w:r w:rsidRPr="002C5876">
        <w:t xml:space="preserve"> doit être déterminé conformément </w:t>
      </w:r>
      <w:r w:rsidRPr="002C5876">
        <w:rPr>
          <w:bCs/>
        </w:rPr>
        <w:t>au paragraphe 2 de l’appendice</w:t>
      </w:r>
      <w:r w:rsidRPr="002C5876">
        <w:t> </w:t>
      </w:r>
      <w:r w:rsidRPr="002C5876">
        <w:rPr>
          <w:bCs/>
        </w:rPr>
        <w:t xml:space="preserve">2 </w:t>
      </w:r>
      <w:r w:rsidRPr="002C5876">
        <w:t>de la présente annexe</w:t>
      </w:r>
      <w:r w:rsidRPr="002C5876">
        <w:rPr>
          <w:bCs/>
        </w:rPr>
        <w:t>. Les émissions massiques corrigées de CO</w:t>
      </w:r>
      <w:r w:rsidRPr="002C5876">
        <w:rPr>
          <w:bCs/>
          <w:vertAlign w:val="subscript"/>
        </w:rPr>
        <w:t>2</w:t>
      </w:r>
      <w:r w:rsidRPr="002C5876">
        <w:rPr>
          <w:bCs/>
        </w:rPr>
        <w:t xml:space="preserve"> en mode maintien de la charge doivent être calculées au moyen de l’équation suivante :</w:t>
      </w:r>
    </w:p>
    <w:p w:rsidR="00E24DB7" w:rsidRPr="002C5876" w:rsidRDefault="00731CA6" w:rsidP="00E24DB7">
      <w:pPr>
        <w:spacing w:line="240" w:lineRule="exact"/>
        <w:ind w:left="2268" w:right="1134"/>
        <w:jc w:val="center"/>
        <w:rPr>
          <w:b/>
          <w:bCs/>
        </w:rPr>
      </w:pPr>
      <m:oMathPara>
        <m:oMath>
          <m:sSub>
            <m:sSubPr>
              <m:ctrlPr>
                <w:rPr>
                  <w:rFonts w:ascii="Cambria Math" w:hAnsi="Cambria Math" w:cstheme="majorBidi"/>
                  <w:b/>
                </w:rPr>
              </m:ctrlPr>
            </m:sSubPr>
            <m:e>
              <m:r>
                <m:rPr>
                  <m:sty m:val="p"/>
                </m:rPr>
                <w:rPr>
                  <w:rFonts w:ascii="Cambria Math" w:hAnsi="Cambria Math" w:cstheme="majorBidi"/>
                </w:rPr>
                <m:t>M</m:t>
              </m:r>
            </m:e>
            <m:sub>
              <m:r>
                <m:rPr>
                  <m:sty m:val="p"/>
                </m:rPr>
                <w:rPr>
                  <w:rFonts w:ascii="Cambria Math" w:hAnsi="Cambria Math" w:cstheme="majorBidi"/>
                </w:rPr>
                <m:t>CO2,CS</m:t>
              </m:r>
            </m:sub>
          </m:sSub>
          <m:r>
            <m:rPr>
              <m:sty m:val="p"/>
            </m:rPr>
            <w:rPr>
              <w:rFonts w:ascii="Cambria Math" w:hAnsi="Cambria Math" w:cstheme="majorBidi"/>
            </w:rPr>
            <m:t>=</m:t>
          </m:r>
          <m:sSub>
            <m:sSubPr>
              <m:ctrlPr>
                <w:rPr>
                  <w:rFonts w:ascii="Cambria Math" w:hAnsi="Cambria Math" w:cstheme="majorBidi"/>
                  <w:b/>
                </w:rPr>
              </m:ctrlPr>
            </m:sSubPr>
            <m:e>
              <m:r>
                <m:rPr>
                  <m:sty m:val="p"/>
                </m:rPr>
                <w:rPr>
                  <w:rFonts w:ascii="Cambria Math" w:hAnsi="Cambria Math" w:cstheme="majorBidi"/>
                </w:rPr>
                <m:t>M</m:t>
              </m:r>
            </m:e>
            <m:sub>
              <m:r>
                <m:rPr>
                  <m:sty m:val="p"/>
                </m:rPr>
                <w:rPr>
                  <w:rFonts w:ascii="Cambria Math" w:hAnsi="Cambria Math" w:cstheme="majorBidi"/>
                </w:rPr>
                <m:t>CO2,CS,nb</m:t>
              </m:r>
            </m:sub>
          </m:sSub>
          <m:r>
            <m:rPr>
              <m:sty m:val="p"/>
            </m:rPr>
            <w:rPr>
              <w:rFonts w:ascii="Cambria Math" w:hAnsi="Cambria Math" w:cstheme="majorBidi"/>
            </w:rPr>
            <m:t>-</m:t>
          </m:r>
          <m:sSub>
            <m:sSubPr>
              <m:ctrlPr>
                <w:rPr>
                  <w:rFonts w:ascii="Cambria Math" w:hAnsi="Cambria Math" w:cstheme="majorBidi"/>
                  <w:b/>
                </w:rPr>
              </m:ctrlPr>
            </m:sSubPr>
            <m:e>
              <m:r>
                <m:rPr>
                  <m:sty m:val="p"/>
                </m:rPr>
                <w:rPr>
                  <w:rFonts w:ascii="Cambria Math" w:hAnsi="Cambria Math" w:cstheme="majorBidi"/>
                </w:rPr>
                <m:t>K</m:t>
              </m:r>
            </m:e>
            <m:sub>
              <m:r>
                <m:rPr>
                  <m:sty m:val="p"/>
                </m:rPr>
                <w:rPr>
                  <w:rFonts w:ascii="Cambria Math" w:hAnsi="Cambria Math" w:cstheme="majorBidi"/>
                </w:rPr>
                <m:t>CO2</m:t>
              </m:r>
            </m:sub>
          </m:sSub>
          <m:r>
            <m:rPr>
              <m:sty m:val="p"/>
            </m:rPr>
            <w:rPr>
              <w:rFonts w:ascii="Cambria Math" w:hAnsi="Cambria Math" w:cstheme="majorBidi"/>
            </w:rPr>
            <m:t>×</m:t>
          </m:r>
          <m:sSub>
            <m:sSubPr>
              <m:ctrlPr>
                <w:rPr>
                  <w:rFonts w:ascii="Cambria Math" w:hAnsi="Cambria Math" w:cstheme="majorBidi"/>
                  <w:b/>
                </w:rPr>
              </m:ctrlPr>
            </m:sSubPr>
            <m:e>
              <m:r>
                <m:rPr>
                  <m:sty m:val="p"/>
                </m:rPr>
                <w:rPr>
                  <w:rFonts w:ascii="Cambria Math" w:hAnsi="Cambria Math" w:cstheme="majorBidi"/>
                </w:rPr>
                <m:t>EC</m:t>
              </m:r>
            </m:e>
            <m:sub>
              <m:r>
                <m:rPr>
                  <m:sty m:val="p"/>
                </m:rPr>
                <w:rPr>
                  <w:rFonts w:ascii="Cambria Math" w:hAnsi="Cambria Math" w:cstheme="majorBidi"/>
                </w:rPr>
                <m:t>DC,CS</m:t>
              </m:r>
            </m:sub>
          </m:sSub>
        </m:oMath>
      </m:oMathPara>
    </w:p>
    <w:p w:rsidR="00E24DB7" w:rsidRPr="002C5876" w:rsidRDefault="00E24DB7" w:rsidP="00E24DB7">
      <w:pPr>
        <w:pStyle w:val="SingleTxtG"/>
        <w:keepNext/>
        <w:ind w:left="2268"/>
      </w:pPr>
      <w:r w:rsidRPr="002C5876">
        <w:t>où :</w:t>
      </w:r>
    </w:p>
    <w:p w:rsidR="00E24DB7" w:rsidRPr="002C5876" w:rsidRDefault="00E24DB7" w:rsidP="00E24DB7">
      <w:pPr>
        <w:pStyle w:val="SingleTxtG"/>
        <w:ind w:left="3402" w:hanging="1134"/>
      </w:pPr>
      <w:r w:rsidRPr="002C5876">
        <w:t>M</w:t>
      </w:r>
      <w:r w:rsidRPr="002C5876">
        <w:rPr>
          <w:vertAlign w:val="subscript"/>
        </w:rPr>
        <w:t>CO2,CS</w:t>
      </w:r>
      <w:r w:rsidRPr="002C5876">
        <w:tab/>
        <w:t>sont les émissions massiques de CO</w:t>
      </w:r>
      <w:r w:rsidRPr="002C5876">
        <w:rPr>
          <w:vertAlign w:val="subscript"/>
        </w:rPr>
        <w:t>2</w:t>
      </w:r>
      <w:r w:rsidRPr="002C5876">
        <w:t xml:space="preserve"> de l’essai du type 1 </w:t>
      </w:r>
      <w:r w:rsidRPr="002C5876">
        <w:rPr>
          <w:bCs/>
        </w:rPr>
        <w:t xml:space="preserve">en mode maintien de la charge </w:t>
      </w:r>
      <w:r w:rsidRPr="002C5876">
        <w:t>conformément au tableau A8/5, étape n</w:t>
      </w:r>
      <w:r w:rsidRPr="002C5876">
        <w:rPr>
          <w:vertAlign w:val="superscript"/>
        </w:rPr>
        <w:t>o</w:t>
      </w:r>
      <w:r w:rsidRPr="002C5876">
        <w:t> 3, en g/km ;</w:t>
      </w:r>
    </w:p>
    <w:p w:rsidR="00E24DB7" w:rsidRPr="002C5876" w:rsidRDefault="00E24DB7" w:rsidP="00E24DB7">
      <w:pPr>
        <w:pStyle w:val="SingleTxtG"/>
        <w:ind w:left="3402" w:hanging="1134"/>
      </w:pPr>
      <w:r w:rsidRPr="002C5876">
        <w:t>M</w:t>
      </w:r>
      <w:r w:rsidRPr="002C5876">
        <w:rPr>
          <w:vertAlign w:val="subscript"/>
        </w:rPr>
        <w:t>CO2,CS,nb</w:t>
      </w:r>
      <w:r w:rsidRPr="002C5876">
        <w:rPr>
          <w:vertAlign w:val="subscript"/>
        </w:rPr>
        <w:tab/>
      </w:r>
      <w:r w:rsidRPr="002C5876">
        <w:t>sont les émissions massiques non compensées de CO</w:t>
      </w:r>
      <w:r w:rsidRPr="002C5876">
        <w:rPr>
          <w:vertAlign w:val="subscript"/>
        </w:rPr>
        <w:t>2</w:t>
      </w:r>
      <w:r w:rsidRPr="002C5876">
        <w:t xml:space="preserve"> de l’essai du type 1 </w:t>
      </w:r>
      <w:r w:rsidRPr="002C5876">
        <w:rPr>
          <w:bCs/>
        </w:rPr>
        <w:t>en mode maintien de la charge</w:t>
      </w:r>
      <w:r w:rsidRPr="002C5876">
        <w:t>, non corrigées pour le bilan énergétique, déterminées conformément au tableau A8/5, étape n</w:t>
      </w:r>
      <w:r w:rsidRPr="002C5876">
        <w:rPr>
          <w:vertAlign w:val="superscript"/>
        </w:rPr>
        <w:t>o</w:t>
      </w:r>
      <w:r w:rsidRPr="002C5876">
        <w:t> 2, en g/km ;</w:t>
      </w:r>
    </w:p>
    <w:p w:rsidR="00E24DB7" w:rsidRPr="002C5876" w:rsidRDefault="00E24DB7" w:rsidP="00E24DB7">
      <w:pPr>
        <w:pStyle w:val="SingleTxtG"/>
        <w:ind w:left="3402" w:hanging="1134"/>
      </w:pPr>
      <w:r w:rsidRPr="002C5876">
        <w:t>EC</w:t>
      </w:r>
      <w:r w:rsidRPr="002C5876">
        <w:rPr>
          <w:vertAlign w:val="subscript"/>
        </w:rPr>
        <w:t>DC,CS</w:t>
      </w:r>
      <w:r w:rsidRPr="002C5876">
        <w:tab/>
        <w:t xml:space="preserve">est la consommation d’énergie électrique de l’essai du type 1 </w:t>
      </w:r>
      <w:r w:rsidRPr="002C5876">
        <w:rPr>
          <w:bCs/>
        </w:rPr>
        <w:t xml:space="preserve">en mode maintien de la charge </w:t>
      </w:r>
      <w:r w:rsidRPr="002C5876">
        <w:t>conformément au paragraphe 4.3 de la présente annexe, en Wh/km ;</w:t>
      </w:r>
    </w:p>
    <w:p w:rsidR="00E24DB7" w:rsidRPr="002C5876" w:rsidRDefault="00E24DB7" w:rsidP="00E24DB7">
      <w:pPr>
        <w:pStyle w:val="SingleTxtG"/>
        <w:ind w:left="3402" w:hanging="1134"/>
      </w:pPr>
      <w:r w:rsidRPr="002C5876">
        <w:t>K</w:t>
      </w:r>
      <w:r w:rsidRPr="002C5876">
        <w:rPr>
          <w:vertAlign w:val="subscript"/>
        </w:rPr>
        <w:t>CO2</w:t>
      </w:r>
      <w:r w:rsidRPr="002C5876">
        <w:tab/>
        <w:t xml:space="preserve">est </w:t>
      </w:r>
      <w:r w:rsidRPr="002C5876">
        <w:rPr>
          <w:bCs/>
        </w:rPr>
        <w:t xml:space="preserve">le coefficient de correction des </w:t>
      </w:r>
      <w:r w:rsidRPr="002C5876">
        <w:t>émissions massiques de CO</w:t>
      </w:r>
      <w:r w:rsidRPr="002C5876">
        <w:rPr>
          <w:vertAlign w:val="subscript"/>
        </w:rPr>
        <w:t>2</w:t>
      </w:r>
      <w:r w:rsidRPr="002C5876">
        <w:t xml:space="preserve"> déterminé conformément </w:t>
      </w:r>
      <w:r w:rsidRPr="002C5876">
        <w:rPr>
          <w:bCs/>
        </w:rPr>
        <w:t>au paragraphe </w:t>
      </w:r>
      <w:r w:rsidRPr="002C5876">
        <w:t xml:space="preserve">2.3.2 </w:t>
      </w:r>
      <w:r w:rsidRPr="002C5876">
        <w:rPr>
          <w:bCs/>
        </w:rPr>
        <w:t>de l’appendice</w:t>
      </w:r>
      <w:r w:rsidRPr="002C5876">
        <w:t> </w:t>
      </w:r>
      <w:r w:rsidRPr="002C5876">
        <w:rPr>
          <w:bCs/>
        </w:rPr>
        <w:t xml:space="preserve">2 </w:t>
      </w:r>
      <w:r w:rsidRPr="002C5876">
        <w:t>de la présente annexe, en (g/km)/(Wh/km).</w:t>
      </w:r>
    </w:p>
    <w:p w:rsidR="00E24DB7" w:rsidRPr="002C5876" w:rsidRDefault="00E24DB7" w:rsidP="00E24DB7">
      <w:pPr>
        <w:pStyle w:val="SingleTxtG"/>
        <w:keepNext/>
        <w:keepLines/>
        <w:ind w:left="2268" w:hanging="1134"/>
      </w:pPr>
      <w:r w:rsidRPr="002C5876">
        <w:lastRenderedPageBreak/>
        <w:t>4.1.1.4</w:t>
      </w:r>
      <w:r w:rsidRPr="002C5876">
        <w:tab/>
        <w:t>D</w:t>
      </w:r>
      <w:r w:rsidRPr="002C5876">
        <w:rPr>
          <w:bCs/>
        </w:rPr>
        <w:t xml:space="preserve">ans le cas où des coefficients de correction des </w:t>
      </w:r>
      <w:r w:rsidRPr="002C5876">
        <w:t>émissions massiques de CO</w:t>
      </w:r>
      <w:r w:rsidRPr="002C5876">
        <w:rPr>
          <w:vertAlign w:val="subscript"/>
        </w:rPr>
        <w:t xml:space="preserve">2 </w:t>
      </w:r>
      <w:r w:rsidRPr="002C5876">
        <w:t>spécifiques par phase n’ont pas été déterminés, l</w:t>
      </w:r>
      <w:r w:rsidRPr="002C5876">
        <w:rPr>
          <w:bCs/>
        </w:rPr>
        <w:t xml:space="preserve">es </w:t>
      </w:r>
      <w:r w:rsidRPr="002C5876">
        <w:t>émissions massiques de CO</w:t>
      </w:r>
      <w:r w:rsidRPr="002C5876">
        <w:rPr>
          <w:vertAlign w:val="subscript"/>
        </w:rPr>
        <w:t xml:space="preserve">2 </w:t>
      </w:r>
      <w:r w:rsidRPr="002C5876">
        <w:t xml:space="preserve">spécifiques par phase </w:t>
      </w:r>
      <w:r w:rsidRPr="002C5876">
        <w:rPr>
          <w:bCs/>
        </w:rPr>
        <w:t>doivent être calculées au moyen de l’équation suivante </w:t>
      </w:r>
      <w:r w:rsidRPr="002C5876">
        <w:t>:</w:t>
      </w:r>
    </w:p>
    <w:p w:rsidR="00E24DB7" w:rsidRPr="002C5876" w:rsidRDefault="00731CA6" w:rsidP="00E24DB7">
      <w:pPr>
        <w:pStyle w:val="SingleTxtG"/>
        <w:keepNext/>
        <w:keepLines/>
        <w:ind w:left="2268" w:hanging="1134"/>
        <w:jc w:val="center"/>
      </w:pPr>
      <m:oMathPara>
        <m:oMath>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CO2,CS,p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CO2,CS,nb,p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CO2</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DC,CS,p</m:t>
              </m:r>
            </m:sub>
          </m:sSub>
        </m:oMath>
      </m:oMathPara>
    </w:p>
    <w:p w:rsidR="00E24DB7" w:rsidRPr="002C5876" w:rsidRDefault="00E24DB7" w:rsidP="00E24DB7">
      <w:pPr>
        <w:pStyle w:val="SingleTxtG"/>
        <w:keepNext/>
        <w:ind w:left="2268"/>
      </w:pPr>
      <w:r w:rsidRPr="002C5876">
        <w:t>où :</w:t>
      </w:r>
    </w:p>
    <w:p w:rsidR="00E24DB7" w:rsidRPr="002C5876" w:rsidRDefault="00E24DB7" w:rsidP="00E24DB7">
      <w:pPr>
        <w:pStyle w:val="SingleTxtG"/>
        <w:ind w:left="3402" w:hanging="1134"/>
      </w:pPr>
      <w:r w:rsidRPr="002C5876">
        <w:t>M</w:t>
      </w:r>
      <w:r w:rsidRPr="002C5876">
        <w:rPr>
          <w:vertAlign w:val="subscript"/>
        </w:rPr>
        <w:t>CO2,CS,p</w:t>
      </w:r>
      <w:r w:rsidRPr="002C5876">
        <w:tab/>
        <w:t>sont les émissions massiques de CO</w:t>
      </w:r>
      <w:r w:rsidRPr="002C5876">
        <w:rPr>
          <w:vertAlign w:val="subscript"/>
        </w:rPr>
        <w:t>2</w:t>
      </w:r>
      <w:r w:rsidRPr="002C5876">
        <w:t xml:space="preserve"> de la phase p de l’essai du type 1 </w:t>
      </w:r>
      <w:r w:rsidRPr="002C5876">
        <w:rPr>
          <w:bCs/>
        </w:rPr>
        <w:t xml:space="preserve">en mode maintien de la charge </w:t>
      </w:r>
      <w:r w:rsidRPr="002C5876">
        <w:t>conformément au tableau A8/5, étape n</w:t>
      </w:r>
      <w:r w:rsidRPr="002C5876">
        <w:rPr>
          <w:vertAlign w:val="superscript"/>
        </w:rPr>
        <w:t>o</w:t>
      </w:r>
      <w:r w:rsidRPr="002C5876">
        <w:t> 3, en g/km ;</w:t>
      </w:r>
    </w:p>
    <w:p w:rsidR="00E24DB7" w:rsidRPr="002C5876" w:rsidRDefault="00E24DB7" w:rsidP="00E24DB7">
      <w:pPr>
        <w:pStyle w:val="SingleTxtG"/>
        <w:ind w:left="3402" w:hanging="1134"/>
      </w:pPr>
      <w:r w:rsidRPr="002C5876">
        <w:t>M</w:t>
      </w:r>
      <w:r w:rsidRPr="002C5876">
        <w:rPr>
          <w:vertAlign w:val="subscript"/>
        </w:rPr>
        <w:t>CO2,CS,nb,p</w:t>
      </w:r>
      <w:r w:rsidRPr="002C5876">
        <w:rPr>
          <w:vertAlign w:val="subscript"/>
        </w:rPr>
        <w:tab/>
      </w:r>
      <w:r w:rsidRPr="002C5876">
        <w:t>sont les émissions massiques non compensées de CO</w:t>
      </w:r>
      <w:r w:rsidRPr="002C5876">
        <w:rPr>
          <w:vertAlign w:val="subscript"/>
        </w:rPr>
        <w:t>2</w:t>
      </w:r>
      <w:r w:rsidRPr="002C5876">
        <w:t xml:space="preserve"> de la phase p de l’essai du type 1 </w:t>
      </w:r>
      <w:r w:rsidRPr="002C5876">
        <w:rPr>
          <w:bCs/>
        </w:rPr>
        <w:t>en mode maintien de la charge</w:t>
      </w:r>
      <w:r w:rsidRPr="002C5876">
        <w:t>, non corrigées pour le bilan énergétique, déterminées conformément au tableau A8/5, étape n</w:t>
      </w:r>
      <w:r w:rsidRPr="002C5876">
        <w:rPr>
          <w:vertAlign w:val="superscript"/>
        </w:rPr>
        <w:t>o</w:t>
      </w:r>
      <w:r w:rsidRPr="002C5876">
        <w:t> 1, en g/km ;</w:t>
      </w:r>
    </w:p>
    <w:p w:rsidR="00E24DB7" w:rsidRPr="002C5876" w:rsidRDefault="00E24DB7" w:rsidP="00E24DB7">
      <w:pPr>
        <w:pStyle w:val="SingleTxtG"/>
        <w:ind w:left="3402" w:hanging="1134"/>
      </w:pPr>
      <w:r w:rsidRPr="002C5876">
        <w:t>EC</w:t>
      </w:r>
      <w:r w:rsidRPr="002C5876">
        <w:rPr>
          <w:vertAlign w:val="subscript"/>
        </w:rPr>
        <w:t>DC,CS,p</w:t>
      </w:r>
      <w:r w:rsidRPr="002C5876">
        <w:tab/>
        <w:t xml:space="preserve">est la consommation d’énergie électrique de la phase p de l’essai du type 1 </w:t>
      </w:r>
      <w:r w:rsidRPr="002C5876">
        <w:rPr>
          <w:bCs/>
        </w:rPr>
        <w:t xml:space="preserve">en mode maintien de la charge </w:t>
      </w:r>
      <w:r w:rsidRPr="002C5876">
        <w:t>conformément au paragraphe 4.3 de la présente annexe, en Wh/km ;</w:t>
      </w:r>
    </w:p>
    <w:p w:rsidR="00E24DB7" w:rsidRPr="002C5876" w:rsidRDefault="00E24DB7" w:rsidP="00E24DB7">
      <w:pPr>
        <w:pStyle w:val="SingleTxtG"/>
        <w:ind w:left="3402" w:hanging="1134"/>
      </w:pPr>
      <w:r w:rsidRPr="002C5876">
        <w:t>K</w:t>
      </w:r>
      <w:r w:rsidRPr="002C5876">
        <w:rPr>
          <w:vertAlign w:val="subscript"/>
        </w:rPr>
        <w:t>CO2</w:t>
      </w:r>
      <w:r w:rsidRPr="002C5876">
        <w:tab/>
        <w:t xml:space="preserve">est </w:t>
      </w:r>
      <w:r w:rsidRPr="002C5876">
        <w:rPr>
          <w:bCs/>
        </w:rPr>
        <w:t xml:space="preserve">le coefficient de correction des </w:t>
      </w:r>
      <w:r w:rsidRPr="002C5876">
        <w:t>émissions massiques de CO</w:t>
      </w:r>
      <w:r w:rsidRPr="002C5876">
        <w:rPr>
          <w:vertAlign w:val="subscript"/>
        </w:rPr>
        <w:t>2</w:t>
      </w:r>
      <w:r w:rsidRPr="002C5876">
        <w:t xml:space="preserve"> déterminé conformément </w:t>
      </w:r>
      <w:r w:rsidRPr="002C5876">
        <w:rPr>
          <w:bCs/>
        </w:rPr>
        <w:t>au paragraphe </w:t>
      </w:r>
      <w:r w:rsidRPr="002C5876">
        <w:t xml:space="preserve">2.3.2 </w:t>
      </w:r>
      <w:r w:rsidRPr="002C5876">
        <w:rPr>
          <w:bCs/>
        </w:rPr>
        <w:t>de l’appendice</w:t>
      </w:r>
      <w:r w:rsidRPr="002C5876">
        <w:t> </w:t>
      </w:r>
      <w:r w:rsidRPr="002C5876">
        <w:rPr>
          <w:bCs/>
        </w:rPr>
        <w:t xml:space="preserve">2 </w:t>
      </w:r>
      <w:r w:rsidRPr="002C5876">
        <w:t>de la présente annexe, en (g/km)/(Wh/km).</w:t>
      </w:r>
    </w:p>
    <w:p w:rsidR="00E24DB7" w:rsidRPr="002C5876" w:rsidRDefault="00E24DB7" w:rsidP="00E24DB7">
      <w:pPr>
        <w:pStyle w:val="SingleTxtG"/>
        <w:keepNext/>
        <w:ind w:left="2268" w:hanging="1134"/>
      </w:pPr>
      <w:r w:rsidRPr="002C5876">
        <w:t>4.1.1.5</w:t>
      </w:r>
      <w:r w:rsidRPr="002C5876">
        <w:tab/>
        <w:t>D</w:t>
      </w:r>
      <w:r w:rsidRPr="002C5876">
        <w:rPr>
          <w:bCs/>
        </w:rPr>
        <w:t xml:space="preserve">ans le cas où des coefficients de correction des </w:t>
      </w:r>
      <w:r w:rsidRPr="002C5876">
        <w:t>émissions massiques de CO</w:t>
      </w:r>
      <w:r w:rsidRPr="002C5876">
        <w:rPr>
          <w:vertAlign w:val="subscript"/>
        </w:rPr>
        <w:t xml:space="preserve">2 </w:t>
      </w:r>
      <w:r w:rsidRPr="002C5876">
        <w:t>spécifiques par phase ont été déterminés, l</w:t>
      </w:r>
      <w:r w:rsidRPr="002C5876">
        <w:rPr>
          <w:bCs/>
        </w:rPr>
        <w:t xml:space="preserve">es </w:t>
      </w:r>
      <w:r w:rsidRPr="002C5876">
        <w:t>émissions massiques de CO</w:t>
      </w:r>
      <w:r w:rsidRPr="002C5876">
        <w:rPr>
          <w:vertAlign w:val="subscript"/>
        </w:rPr>
        <w:t xml:space="preserve">2 </w:t>
      </w:r>
      <w:r w:rsidRPr="002C5876">
        <w:t xml:space="preserve">spécifiques par phase </w:t>
      </w:r>
      <w:r w:rsidRPr="002C5876">
        <w:rPr>
          <w:bCs/>
        </w:rPr>
        <w:t>doivent être calculées au moyen de l’équation suivante </w:t>
      </w:r>
      <w:r w:rsidRPr="002C5876">
        <w:t>:</w:t>
      </w:r>
    </w:p>
    <w:p w:rsidR="00E24DB7" w:rsidRPr="002C5876" w:rsidRDefault="00731CA6" w:rsidP="00E24DB7">
      <w:pPr>
        <w:pStyle w:val="SingleTxtG"/>
        <w:keepNext/>
        <w:ind w:left="2268" w:hanging="1134"/>
        <w:jc w:val="center"/>
      </w:pPr>
      <m:oMathPara>
        <m:oMath>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CO2,CS,p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CO2,CS,nb,p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CO2,p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DC,CS,p</m:t>
              </m:r>
            </m:sub>
          </m:sSub>
        </m:oMath>
      </m:oMathPara>
    </w:p>
    <w:p w:rsidR="00E24DB7" w:rsidRPr="002C5876" w:rsidRDefault="00E24DB7" w:rsidP="00E24DB7">
      <w:pPr>
        <w:pStyle w:val="SingleTxtG"/>
        <w:keepNext/>
        <w:ind w:left="2268"/>
      </w:pPr>
      <w:r w:rsidRPr="002C5876">
        <w:t>où :</w:t>
      </w:r>
    </w:p>
    <w:p w:rsidR="00E24DB7" w:rsidRPr="002C5876" w:rsidRDefault="00E24DB7" w:rsidP="00E24DB7">
      <w:pPr>
        <w:pStyle w:val="SingleTxtG"/>
        <w:ind w:left="3402" w:hanging="1134"/>
      </w:pPr>
      <w:r w:rsidRPr="002C5876">
        <w:t>M</w:t>
      </w:r>
      <w:r w:rsidRPr="002C5876">
        <w:rPr>
          <w:vertAlign w:val="subscript"/>
        </w:rPr>
        <w:t>CO2,CS,p</w:t>
      </w:r>
      <w:r w:rsidRPr="002C5876">
        <w:tab/>
        <w:t>sont les émissions massiques de CO</w:t>
      </w:r>
      <w:r w:rsidRPr="002C5876">
        <w:rPr>
          <w:vertAlign w:val="subscript"/>
        </w:rPr>
        <w:t>2</w:t>
      </w:r>
      <w:r w:rsidRPr="002C5876">
        <w:t xml:space="preserve"> de la phase p de l’essai du type 1 </w:t>
      </w:r>
      <w:r w:rsidRPr="002C5876">
        <w:rPr>
          <w:bCs/>
        </w:rPr>
        <w:t xml:space="preserve">en mode maintien de la charge </w:t>
      </w:r>
      <w:r w:rsidRPr="002C5876">
        <w:t>conformément au tableau A8/5, étape n</w:t>
      </w:r>
      <w:r w:rsidRPr="002C5876">
        <w:rPr>
          <w:vertAlign w:val="superscript"/>
        </w:rPr>
        <w:t>o</w:t>
      </w:r>
      <w:r w:rsidRPr="002C5876">
        <w:t> 3, en g/km ;</w:t>
      </w:r>
    </w:p>
    <w:p w:rsidR="00E24DB7" w:rsidRPr="002C5876" w:rsidRDefault="00E24DB7" w:rsidP="00E24DB7">
      <w:pPr>
        <w:pStyle w:val="SingleTxtG"/>
        <w:ind w:left="3402" w:hanging="1134"/>
      </w:pPr>
      <w:r w:rsidRPr="002C5876">
        <w:t>M</w:t>
      </w:r>
      <w:r w:rsidRPr="002C5876">
        <w:rPr>
          <w:vertAlign w:val="subscript"/>
        </w:rPr>
        <w:t>CO2,CS,nb,p</w:t>
      </w:r>
      <w:r w:rsidRPr="002C5876">
        <w:rPr>
          <w:vertAlign w:val="subscript"/>
        </w:rPr>
        <w:tab/>
      </w:r>
      <w:r w:rsidRPr="002C5876">
        <w:t>sont les émissions massiques non compensées de CO</w:t>
      </w:r>
      <w:r w:rsidRPr="002C5876">
        <w:rPr>
          <w:vertAlign w:val="subscript"/>
        </w:rPr>
        <w:t>2</w:t>
      </w:r>
      <w:r w:rsidRPr="002C5876">
        <w:t xml:space="preserve"> de la phase p de l’essai du type 1 </w:t>
      </w:r>
      <w:r w:rsidRPr="002C5876">
        <w:rPr>
          <w:bCs/>
        </w:rPr>
        <w:t>en mode maintien de la charge</w:t>
      </w:r>
      <w:r w:rsidRPr="002C5876">
        <w:t>, non corrigées pour le bilan énergétique, déterminées conformément au tableau A8/5, étape n</w:t>
      </w:r>
      <w:r w:rsidRPr="002C5876">
        <w:rPr>
          <w:vertAlign w:val="superscript"/>
        </w:rPr>
        <w:t>o</w:t>
      </w:r>
      <w:r w:rsidRPr="002C5876">
        <w:t> 1, en g/km ;</w:t>
      </w:r>
    </w:p>
    <w:p w:rsidR="00E24DB7" w:rsidRPr="002C5876" w:rsidRDefault="00E24DB7" w:rsidP="00E24DB7">
      <w:pPr>
        <w:pStyle w:val="SingleTxtG"/>
        <w:ind w:left="3402" w:hanging="1134"/>
      </w:pPr>
      <w:r w:rsidRPr="002C5876">
        <w:t>EC</w:t>
      </w:r>
      <w:r w:rsidRPr="002C5876">
        <w:rPr>
          <w:vertAlign w:val="subscript"/>
        </w:rPr>
        <w:t>DC,CS,p</w:t>
      </w:r>
      <w:r w:rsidRPr="002C5876">
        <w:tab/>
        <w:t xml:space="preserve">est la consommation d’énergie électrique de la phase p de l’essai du type 1 </w:t>
      </w:r>
      <w:r w:rsidRPr="002C5876">
        <w:rPr>
          <w:bCs/>
        </w:rPr>
        <w:t xml:space="preserve">en mode maintien de la charge </w:t>
      </w:r>
      <w:r w:rsidRPr="002C5876">
        <w:t>conformément au paragraphe 4.3 de la présente annexe, en Wh/km ;</w:t>
      </w:r>
    </w:p>
    <w:p w:rsidR="00E24DB7" w:rsidRPr="002C5876" w:rsidRDefault="00E24DB7" w:rsidP="00E24DB7">
      <w:pPr>
        <w:pStyle w:val="SingleTxtG"/>
        <w:ind w:left="3402" w:hanging="1134"/>
      </w:pPr>
      <w:r w:rsidRPr="002C5876">
        <w:t>K</w:t>
      </w:r>
      <w:r w:rsidRPr="002C5876">
        <w:rPr>
          <w:vertAlign w:val="subscript"/>
        </w:rPr>
        <w:t>CO2,p</w:t>
      </w:r>
      <w:r w:rsidRPr="002C5876">
        <w:tab/>
        <w:t xml:space="preserve">est </w:t>
      </w:r>
      <w:r w:rsidRPr="002C5876">
        <w:rPr>
          <w:bCs/>
        </w:rPr>
        <w:t xml:space="preserve">le coefficient de correction des </w:t>
      </w:r>
      <w:r w:rsidRPr="002C5876">
        <w:t>émissions massiques de CO</w:t>
      </w:r>
      <w:r w:rsidRPr="002C5876">
        <w:rPr>
          <w:vertAlign w:val="subscript"/>
        </w:rPr>
        <w:t>2</w:t>
      </w:r>
      <w:r w:rsidRPr="002C5876">
        <w:t xml:space="preserve"> </w:t>
      </w:r>
      <w:r w:rsidRPr="002C5876">
        <w:rPr>
          <w:spacing w:val="-2"/>
        </w:rPr>
        <w:t xml:space="preserve">déterminé conformément </w:t>
      </w:r>
      <w:r w:rsidRPr="002C5876">
        <w:rPr>
          <w:bCs/>
          <w:spacing w:val="-2"/>
        </w:rPr>
        <w:t>au paragraphe </w:t>
      </w:r>
      <w:r w:rsidRPr="002C5876">
        <w:rPr>
          <w:spacing w:val="-2"/>
        </w:rPr>
        <w:t xml:space="preserve">2.3.2.2 </w:t>
      </w:r>
      <w:r w:rsidRPr="002C5876">
        <w:rPr>
          <w:bCs/>
          <w:spacing w:val="-2"/>
        </w:rPr>
        <w:t>de l’appendice</w:t>
      </w:r>
      <w:r w:rsidRPr="002C5876">
        <w:rPr>
          <w:spacing w:val="-2"/>
        </w:rPr>
        <w:t> </w:t>
      </w:r>
      <w:r w:rsidRPr="002C5876">
        <w:rPr>
          <w:bCs/>
          <w:spacing w:val="-2"/>
        </w:rPr>
        <w:t>2</w:t>
      </w:r>
      <w:r w:rsidRPr="002C5876">
        <w:rPr>
          <w:bCs/>
        </w:rPr>
        <w:t xml:space="preserve"> </w:t>
      </w:r>
      <w:r w:rsidRPr="002C5876">
        <w:t>de la présente annexe, en (g/km)/(Wh/km) ;</w:t>
      </w:r>
    </w:p>
    <w:p w:rsidR="00E24DB7" w:rsidRPr="002C5876" w:rsidRDefault="00E24DB7" w:rsidP="00E24DB7">
      <w:pPr>
        <w:pStyle w:val="SingleTxtG"/>
        <w:ind w:left="3402" w:hanging="1134"/>
      </w:pPr>
      <w:r w:rsidRPr="002C5876">
        <w:t>p</w:t>
      </w:r>
      <w:r w:rsidRPr="002C5876">
        <w:tab/>
        <w:t>est le numéro d’ordre de la phase individuelle du cycle d’essai WLTP applicable.</w:t>
      </w:r>
    </w:p>
    <w:p w:rsidR="00E24DB7" w:rsidRPr="002C5876" w:rsidRDefault="00E24DB7" w:rsidP="00E24DB7">
      <w:pPr>
        <w:pStyle w:val="SingleTxtG"/>
        <w:ind w:left="2268" w:hanging="1134"/>
        <w:jc w:val="left"/>
        <w:rPr>
          <w:color w:val="000000"/>
        </w:rPr>
      </w:pPr>
      <w:r w:rsidRPr="002C5876">
        <w:rPr>
          <w:color w:val="000000"/>
        </w:rPr>
        <w:t>4.1.2</w:t>
      </w:r>
      <w:r w:rsidRPr="002C5876">
        <w:rPr>
          <w:color w:val="000000"/>
        </w:rPr>
        <w:tab/>
        <w:t>É</w:t>
      </w:r>
      <w:r w:rsidRPr="002C5876">
        <w:t>missions massiques de CO</w:t>
      </w:r>
      <w:r w:rsidRPr="002C5876">
        <w:rPr>
          <w:vertAlign w:val="subscript"/>
        </w:rPr>
        <w:t>2</w:t>
      </w:r>
      <w:r w:rsidRPr="002C5876">
        <w:t xml:space="preserve"> pondérées en fonction des facteurs d’utilisation </w:t>
      </w:r>
      <w:r w:rsidRPr="002C5876">
        <w:rPr>
          <w:bCs/>
        </w:rPr>
        <w:t xml:space="preserve">en mode épuisement de la charge </w:t>
      </w:r>
      <w:r w:rsidRPr="002C5876">
        <w:rPr>
          <w:color w:val="000000"/>
        </w:rPr>
        <w:t>pour les VHE-NRE</w:t>
      </w:r>
    </w:p>
    <w:p w:rsidR="00E24DB7" w:rsidRPr="002C5876" w:rsidRDefault="00E24DB7" w:rsidP="00E24DB7">
      <w:pPr>
        <w:pStyle w:val="SingleTxtG"/>
        <w:ind w:left="2268"/>
        <w:rPr>
          <w:color w:val="000000"/>
        </w:rPr>
      </w:pPr>
      <w:r w:rsidRPr="002C5876">
        <w:t>Les émissions massiques de CO</w:t>
      </w:r>
      <w:r w:rsidRPr="002C5876">
        <w:rPr>
          <w:vertAlign w:val="subscript"/>
        </w:rPr>
        <w:t>2</w:t>
      </w:r>
      <w:r w:rsidRPr="002C5876">
        <w:t xml:space="preserve"> pondérées en fonction des facteurs d’utilisation </w:t>
      </w:r>
      <w:r w:rsidRPr="002C5876">
        <w:rPr>
          <w:bCs/>
        </w:rPr>
        <w:t>en mode épuisement de la charge</w:t>
      </w:r>
      <w:r w:rsidRPr="002C5876">
        <w:t xml:space="preserve"> </w:t>
      </w:r>
      <w:r w:rsidRPr="002C5876">
        <w:rPr>
          <w:color w:val="000000"/>
        </w:rPr>
        <w:t>M</w:t>
      </w:r>
      <w:r w:rsidRPr="002C5876">
        <w:rPr>
          <w:color w:val="000000"/>
          <w:vertAlign w:val="subscript"/>
        </w:rPr>
        <w:t>CO2,CD</w:t>
      </w:r>
      <w:r w:rsidRPr="002C5876">
        <w:rPr>
          <w:color w:val="000000"/>
        </w:rPr>
        <w:t xml:space="preserve"> </w:t>
      </w:r>
      <w:r w:rsidRPr="002C5876">
        <w:rPr>
          <w:bCs/>
        </w:rPr>
        <w:t>doivent être calculées au moyen de l’équation suivante </w:t>
      </w:r>
      <w:r w:rsidRPr="002C5876">
        <w:rPr>
          <w:color w:val="000000"/>
        </w:rPr>
        <w:t>:</w:t>
      </w:r>
    </w:p>
    <w:p w:rsidR="00E24DB7" w:rsidRPr="002C5876" w:rsidRDefault="00731CA6" w:rsidP="00E24DB7">
      <w:pPr>
        <w:pStyle w:val="SingleTxtG"/>
        <w:ind w:left="2268"/>
        <w:jc w:val="center"/>
        <w:rPr>
          <w:color w:val="000000"/>
        </w:rPr>
      </w:pPr>
      <m:oMathPara>
        <m:oMath>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CO2,CD</m:t>
              </m:r>
            </m:sub>
          </m:sSub>
          <m:r>
            <m:rPr>
              <m:sty m:val="p"/>
            </m:rPr>
            <w:rPr>
              <w:rFonts w:ascii="Cambria Math" w:hAnsi="Cambria Math" w:cstheme="majorBidi"/>
            </w:rPr>
            <m:t xml:space="preserve">= </m:t>
          </m:r>
          <m:f>
            <m:fPr>
              <m:ctrlPr>
                <w:rPr>
                  <w:rFonts w:ascii="Cambria Math" w:hAnsi="Cambria Math" w:cstheme="majorBidi"/>
                </w:rPr>
              </m:ctrlPr>
            </m:fPr>
            <m:num>
              <m:nary>
                <m:naryPr>
                  <m:chr m:val="∑"/>
                  <m:limLoc m:val="undOvr"/>
                  <m:ctrlPr>
                    <w:rPr>
                      <w:rFonts w:ascii="Cambria Math" w:hAnsi="Cambria Math" w:cstheme="majorBidi"/>
                    </w:rPr>
                  </m:ctrlPr>
                </m:naryPr>
                <m:sub>
                  <m:r>
                    <m:rPr>
                      <m:sty m:val="p"/>
                    </m:rPr>
                    <w:rPr>
                      <w:rFonts w:ascii="Cambria Math" w:hAnsi="Cambria Math" w:cstheme="majorBidi"/>
                    </w:rPr>
                    <m:t>j=1</m:t>
                  </m:r>
                </m:sub>
                <m:sup>
                  <m:r>
                    <m:rPr>
                      <m:sty m:val="p"/>
                    </m:rPr>
                    <w:rPr>
                      <w:rFonts w:ascii="Cambria Math" w:hAnsi="Cambria Math" w:cstheme="majorBidi"/>
                    </w:rPr>
                    <m:t>k</m:t>
                  </m:r>
                </m:sup>
                <m:e>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UF</m:t>
                      </m:r>
                    </m:e>
                    <m:sub>
                      <m:r>
                        <m:rPr>
                          <m:sty m:val="p"/>
                        </m:rPr>
                        <w:rPr>
                          <w:rFonts w:ascii="Cambria Math" w:hAnsi="Cambria Math" w:cstheme="majorBidi"/>
                        </w:rPr>
                        <m:t xml:space="preserve">j </m:t>
                      </m:r>
                    </m:sub>
                  </m:sSub>
                  <m:r>
                    <m:rPr>
                      <m:sty m:val="p"/>
                    </m:rPr>
                    <w:rPr>
                      <w:rFonts w:ascii="Cambria Math" w:hAnsi="Cambria Math" w:cstheme="majorBidi"/>
                    </w:rPr>
                    <m:t xml:space="preserve">× </m:t>
                  </m:r>
                </m:e>
              </m:nary>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CO2,CD,j</m:t>
                  </m:r>
                </m:sub>
              </m:sSub>
              <m:r>
                <m:rPr>
                  <m:sty m:val="p"/>
                </m:rPr>
                <w:rPr>
                  <w:rFonts w:ascii="Cambria Math" w:hAnsi="Cambria Math" w:cstheme="majorBidi"/>
                </w:rPr>
                <m:t>)</m:t>
              </m:r>
            </m:num>
            <m:den>
              <m:nary>
                <m:naryPr>
                  <m:chr m:val="∑"/>
                  <m:limLoc m:val="undOvr"/>
                  <m:ctrlPr>
                    <w:rPr>
                      <w:rFonts w:ascii="Cambria Math" w:hAnsi="Cambria Math" w:cstheme="majorBidi"/>
                    </w:rPr>
                  </m:ctrlPr>
                </m:naryPr>
                <m:sub>
                  <m:r>
                    <m:rPr>
                      <m:sty m:val="p"/>
                    </m:rPr>
                    <w:rPr>
                      <w:rFonts w:ascii="Cambria Math" w:hAnsi="Cambria Math" w:cstheme="majorBidi"/>
                    </w:rPr>
                    <m:t>j=1</m:t>
                  </m:r>
                </m:sub>
                <m:sup>
                  <m:r>
                    <m:rPr>
                      <m:sty m:val="p"/>
                    </m:rPr>
                    <w:rPr>
                      <w:rFonts w:ascii="Cambria Math" w:hAnsi="Cambria Math" w:cstheme="majorBidi"/>
                    </w:rPr>
                    <m:t>k</m:t>
                  </m:r>
                </m:sup>
                <m:e>
                  <m:sSub>
                    <m:sSubPr>
                      <m:ctrlPr>
                        <w:rPr>
                          <w:rFonts w:ascii="Cambria Math" w:hAnsi="Cambria Math" w:cstheme="majorBidi"/>
                        </w:rPr>
                      </m:ctrlPr>
                    </m:sSubPr>
                    <m:e>
                      <m:r>
                        <m:rPr>
                          <m:sty m:val="p"/>
                        </m:rPr>
                        <w:rPr>
                          <w:rFonts w:ascii="Cambria Math" w:hAnsi="Cambria Math" w:cstheme="majorBidi"/>
                        </w:rPr>
                        <m:t>UF</m:t>
                      </m:r>
                    </m:e>
                    <m:sub>
                      <m:r>
                        <m:rPr>
                          <m:sty m:val="p"/>
                        </m:rPr>
                        <w:rPr>
                          <w:rFonts w:ascii="Cambria Math" w:hAnsi="Cambria Math" w:cstheme="majorBidi"/>
                        </w:rPr>
                        <m:t>j</m:t>
                      </m:r>
                    </m:sub>
                  </m:sSub>
                </m:e>
              </m:nary>
            </m:den>
          </m:f>
          <m:r>
            <m:rPr>
              <m:nor/>
            </m:rPr>
            <w:rPr>
              <w:rFonts w:asciiTheme="majorBidi" w:hAnsiTheme="majorBidi" w:cstheme="majorBidi"/>
            </w:rPr>
            <m:t xml:space="preserve"> </m:t>
          </m:r>
        </m:oMath>
      </m:oMathPara>
    </w:p>
    <w:p w:rsidR="00E24DB7" w:rsidRPr="002C5876" w:rsidRDefault="00E24DB7" w:rsidP="00E24DB7">
      <w:pPr>
        <w:pStyle w:val="SingleTxtG"/>
        <w:keepNext/>
        <w:keepLines/>
        <w:ind w:left="2268"/>
      </w:pPr>
      <w:r w:rsidRPr="002C5876">
        <w:lastRenderedPageBreak/>
        <w:t>où :</w:t>
      </w:r>
    </w:p>
    <w:p w:rsidR="00E24DB7" w:rsidRPr="002C5876" w:rsidRDefault="00E24DB7" w:rsidP="00E24DB7">
      <w:pPr>
        <w:pStyle w:val="SingleTxtG"/>
        <w:keepNext/>
        <w:keepLines/>
        <w:ind w:left="3402" w:hanging="1134"/>
      </w:pPr>
      <w:r w:rsidRPr="002C5876">
        <w:t>M</w:t>
      </w:r>
      <w:r w:rsidRPr="002C5876">
        <w:rPr>
          <w:vertAlign w:val="subscript"/>
        </w:rPr>
        <w:t>CO2,CD</w:t>
      </w:r>
      <w:r w:rsidRPr="002C5876">
        <w:rPr>
          <w:vertAlign w:val="subscript"/>
        </w:rPr>
        <w:tab/>
      </w:r>
      <w:r w:rsidRPr="002C5876">
        <w:t>sont les émissions massiques de CO</w:t>
      </w:r>
      <w:r w:rsidRPr="002C5876">
        <w:rPr>
          <w:vertAlign w:val="subscript"/>
        </w:rPr>
        <w:t>2</w:t>
      </w:r>
      <w:r w:rsidRPr="002C5876">
        <w:t xml:space="preserve"> pondérées en fonction des facteurs d’utilisation </w:t>
      </w:r>
      <w:r w:rsidRPr="002C5876">
        <w:rPr>
          <w:bCs/>
        </w:rPr>
        <w:t>en mode épuisement de la charge</w:t>
      </w:r>
      <w:r w:rsidRPr="002C5876">
        <w:t>, en g/km ;</w:t>
      </w:r>
    </w:p>
    <w:p w:rsidR="00E24DB7" w:rsidRPr="002C5876" w:rsidRDefault="00E24DB7" w:rsidP="00E24DB7">
      <w:pPr>
        <w:pStyle w:val="SingleTxtG"/>
        <w:ind w:left="3402" w:hanging="1134"/>
      </w:pPr>
      <w:r w:rsidRPr="002C5876">
        <w:t>M</w:t>
      </w:r>
      <w:r w:rsidRPr="002C5876">
        <w:rPr>
          <w:vertAlign w:val="subscript"/>
        </w:rPr>
        <w:t>CO2,CD,j</w:t>
      </w:r>
      <w:r w:rsidRPr="002C5876">
        <w:tab/>
        <w:t>sont les émissions massiques de CO</w:t>
      </w:r>
      <w:r w:rsidRPr="002C5876">
        <w:rPr>
          <w:vertAlign w:val="subscript"/>
        </w:rPr>
        <w:t>2</w:t>
      </w:r>
      <w:r w:rsidRPr="002C5876">
        <w:t xml:space="preserve"> déterminées conformément au paragraphe 3.2.1 de l’annexe 7 de la phase j de l’essai du type 1 </w:t>
      </w:r>
      <w:r w:rsidRPr="002C5876">
        <w:rPr>
          <w:bCs/>
        </w:rPr>
        <w:t>en mode maintien de la charge</w:t>
      </w:r>
      <w:r w:rsidRPr="002C5876">
        <w:t>, en g/km ;</w:t>
      </w:r>
    </w:p>
    <w:p w:rsidR="00E24DB7" w:rsidRPr="002C5876" w:rsidRDefault="00E24DB7" w:rsidP="00E24DB7">
      <w:pPr>
        <w:pStyle w:val="SingleTxtG"/>
        <w:ind w:left="3402" w:hanging="1134"/>
      </w:pPr>
      <w:r w:rsidRPr="002C5876">
        <w:t>UF</w:t>
      </w:r>
      <w:r w:rsidRPr="002C5876">
        <w:rPr>
          <w:vertAlign w:val="subscript"/>
        </w:rPr>
        <w:t>j</w:t>
      </w:r>
      <w:r w:rsidRPr="002C5876">
        <w:tab/>
        <w:t xml:space="preserve">est le facteur d’utilisation de la phase j conformément </w:t>
      </w:r>
      <w:r w:rsidRPr="002C5876">
        <w:rPr>
          <w:bCs/>
        </w:rPr>
        <w:t>à l’appendice</w:t>
      </w:r>
      <w:r w:rsidRPr="002C5876">
        <w:t> 5</w:t>
      </w:r>
      <w:r w:rsidRPr="002C5876">
        <w:rPr>
          <w:bCs/>
        </w:rPr>
        <w:t xml:space="preserve"> </w:t>
      </w:r>
      <w:r w:rsidRPr="002C5876">
        <w:t>de la présente annexe ;</w:t>
      </w:r>
    </w:p>
    <w:p w:rsidR="00E24DB7" w:rsidRPr="002C5876" w:rsidRDefault="00E24DB7" w:rsidP="00E24DB7">
      <w:pPr>
        <w:pStyle w:val="SingleTxtG"/>
        <w:ind w:left="3402" w:hanging="1134"/>
      </w:pPr>
      <w:r w:rsidRPr="002C5876">
        <w:t>j</w:t>
      </w:r>
      <w:r w:rsidRPr="002C5876">
        <w:tab/>
        <w:t>est le numéro d’ordre de la phase considérée ;</w:t>
      </w:r>
    </w:p>
    <w:p w:rsidR="00E24DB7" w:rsidRPr="002C5876" w:rsidRDefault="00E24DB7" w:rsidP="00E24DB7">
      <w:pPr>
        <w:pStyle w:val="SingleTxtG"/>
        <w:ind w:left="3402" w:hanging="1134"/>
      </w:pPr>
      <w:r w:rsidRPr="002C5876">
        <w:t>k</w:t>
      </w:r>
      <w:r w:rsidRPr="002C5876">
        <w:tab/>
        <w:t>est le nombre de phases exécutées jusqu’à la fin du cycle de transition conformément au paragraphe 3.2.4.4 de la présente annexe.</w:t>
      </w:r>
    </w:p>
    <w:p w:rsidR="00E24DB7" w:rsidRPr="002C5876" w:rsidRDefault="00E24DB7" w:rsidP="00E24DB7">
      <w:pPr>
        <w:pStyle w:val="SingleTxtG"/>
        <w:ind w:left="2268"/>
      </w:pPr>
      <w:r w:rsidRPr="002C5876">
        <w:t>D</w:t>
      </w:r>
      <w:r w:rsidRPr="002C5876">
        <w:rPr>
          <w:bCs/>
        </w:rPr>
        <w:t xml:space="preserve">ans le cas où </w:t>
      </w:r>
      <w:r w:rsidRPr="002C5876">
        <w:t>la méthode d’interpolation est appliquée, k est le nombre de phases exécutées jusqu’à la fin du cycle de transition du véhicule L n</w:t>
      </w:r>
      <w:r w:rsidRPr="002C5876">
        <w:rPr>
          <w:vertAlign w:val="subscript"/>
        </w:rPr>
        <w:t>veh_L</w:t>
      </w:r>
      <w:r w:rsidRPr="002C5876">
        <w:t>.</w:t>
      </w:r>
    </w:p>
    <w:p w:rsidR="00E24DB7" w:rsidRPr="002C5876" w:rsidRDefault="00E24DB7" w:rsidP="00E24DB7">
      <w:pPr>
        <w:pStyle w:val="SingleTxtG"/>
        <w:ind w:left="2268"/>
      </w:pPr>
      <w:r w:rsidRPr="002C5876">
        <w:t xml:space="preserve">Si le nombre de cycles de transition exécutés par le véhicule H, </w:t>
      </w:r>
      <m:oMath>
        <m:sSub>
          <m:sSubPr>
            <m:ctrlPr>
              <w:rPr>
                <w:rFonts w:ascii="Cambria Math" w:hAnsi="Cambria Math"/>
              </w:rPr>
            </m:ctrlPr>
          </m:sSubPr>
          <m:e>
            <m:r>
              <m:rPr>
                <m:sty m:val="p"/>
              </m:rPr>
              <w:rPr>
                <w:rFonts w:ascii="Cambria Math" w:hAnsi="Cambria Math"/>
              </w:rPr>
              <m:t>n</m:t>
            </m:r>
          </m:e>
          <m:sub>
            <m:sSub>
              <m:sSubPr>
                <m:ctrlPr>
                  <w:rPr>
                    <w:rFonts w:ascii="Cambria Math" w:hAnsi="Cambria Math"/>
                  </w:rPr>
                </m:ctrlPr>
              </m:sSubPr>
              <m:e>
                <m:r>
                  <m:rPr>
                    <m:sty m:val="p"/>
                  </m:rPr>
                  <w:rPr>
                    <w:rFonts w:ascii="Cambria Math" w:hAnsi="Cambria Math"/>
                  </w:rPr>
                  <m:t>veh</m:t>
                </m:r>
              </m:e>
              <m:sub>
                <m:r>
                  <m:rPr>
                    <m:sty m:val="p"/>
                  </m:rPr>
                  <w:rPr>
                    <w:rFonts w:ascii="Cambria Math" w:hAnsi="Cambria Math"/>
                  </w:rPr>
                  <m:t>H</m:t>
                </m:r>
              </m:sub>
            </m:sSub>
          </m:sub>
        </m:sSub>
      </m:oMath>
      <w:r w:rsidRPr="002C5876">
        <w:t xml:space="preserve">, et, le cas échéant, par un véhicule donné au sein de la famille d’interpolation du véhicule, </w:t>
      </w:r>
      <m:oMath>
        <m:sSub>
          <m:sSubPr>
            <m:ctrlPr>
              <w:rPr>
                <w:rFonts w:ascii="Cambria Math" w:hAnsi="Cambria Math"/>
              </w:rPr>
            </m:ctrlPr>
          </m:sSubPr>
          <m:e>
            <m:r>
              <m:rPr>
                <m:sty m:val="p"/>
              </m:rPr>
              <w:rPr>
                <w:rFonts w:ascii="Cambria Math" w:hAnsi="Cambria Math"/>
              </w:rPr>
              <m:t>n</m:t>
            </m:r>
          </m:e>
          <m:sub>
            <m:sSub>
              <m:sSubPr>
                <m:ctrlPr>
                  <w:rPr>
                    <w:rFonts w:ascii="Cambria Math" w:hAnsi="Cambria Math"/>
                  </w:rPr>
                </m:ctrlPr>
              </m:sSubPr>
              <m:e>
                <m:r>
                  <m:rPr>
                    <m:sty m:val="p"/>
                  </m:rPr>
                  <w:rPr>
                    <w:rFonts w:ascii="Cambria Math" w:hAnsi="Cambria Math"/>
                  </w:rPr>
                  <m:t>veh</m:t>
                </m:r>
              </m:e>
              <m:sub>
                <m:r>
                  <m:rPr>
                    <m:sty m:val="p"/>
                  </m:rPr>
                  <w:rPr>
                    <w:rFonts w:ascii="Cambria Math" w:hAnsi="Cambria Math"/>
                  </w:rPr>
                  <m:t>ind</m:t>
                </m:r>
              </m:sub>
            </m:sSub>
          </m:sub>
        </m:sSub>
      </m:oMath>
      <w:r w:rsidRPr="002C5876">
        <w:t xml:space="preserve">, est inférieur au nombre de cycles de transition exécutés par le véhicule L,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veh_L</m:t>
            </m:r>
          </m:sub>
        </m:sSub>
      </m:oMath>
      <w:r w:rsidRPr="002C5876">
        <w:t>, le cycle de confirmation du véhicule H, et, le cas échéant, du véhicule donné, doit être inclus dans le calcul. Les émissions massiques de CO</w:t>
      </w:r>
      <w:r w:rsidRPr="002C5876">
        <w:rPr>
          <w:vertAlign w:val="subscript"/>
        </w:rPr>
        <w:t>2</w:t>
      </w:r>
      <w:r w:rsidRPr="002C5876">
        <w:t xml:space="preserve"> de chaque phase du cycle de confirmation doivent alors être corrigées pour les rapporter à une consommation d’énergie électrique de zéro EC</w:t>
      </w:r>
      <w:r w:rsidRPr="002C5876">
        <w:rPr>
          <w:vertAlign w:val="subscript"/>
        </w:rPr>
        <w:t>DC,CD,j</w:t>
      </w:r>
      <w:r w:rsidRPr="002C5876">
        <w:t xml:space="preserve"> = 0 par application du </w:t>
      </w:r>
      <w:r w:rsidRPr="002C5876">
        <w:rPr>
          <w:bCs/>
        </w:rPr>
        <w:t xml:space="preserve">coefficient de correction des </w:t>
      </w:r>
      <w:r w:rsidRPr="002C5876">
        <w:t>émissions de CO</w:t>
      </w:r>
      <w:r w:rsidRPr="002C5876">
        <w:rPr>
          <w:vertAlign w:val="subscript"/>
        </w:rPr>
        <w:t xml:space="preserve">2 </w:t>
      </w:r>
      <w:r w:rsidRPr="002C5876">
        <w:t xml:space="preserve">conformément </w:t>
      </w:r>
      <w:r w:rsidRPr="002C5876">
        <w:rPr>
          <w:bCs/>
        </w:rPr>
        <w:t>à l’appendice</w:t>
      </w:r>
      <w:r w:rsidRPr="002C5876">
        <w:t> 2</w:t>
      </w:r>
      <w:r w:rsidRPr="002C5876">
        <w:rPr>
          <w:bCs/>
        </w:rPr>
        <w:t xml:space="preserve"> </w:t>
      </w:r>
      <w:r w:rsidRPr="002C5876">
        <w:t>de la présente annexe.</w:t>
      </w:r>
    </w:p>
    <w:p w:rsidR="00E24DB7" w:rsidRPr="002C5876" w:rsidRDefault="00E24DB7" w:rsidP="00E24DB7">
      <w:pPr>
        <w:pStyle w:val="SingleTxtG"/>
        <w:keepNext/>
        <w:ind w:left="2268" w:hanging="1134"/>
        <w:jc w:val="left"/>
        <w:rPr>
          <w:color w:val="000000"/>
        </w:rPr>
      </w:pPr>
      <w:r w:rsidRPr="002C5876">
        <w:t>4.1.3</w:t>
      </w:r>
      <w:r w:rsidRPr="002C5876">
        <w:tab/>
      </w:r>
      <w:r w:rsidRPr="002C5876">
        <w:rPr>
          <w:color w:val="000000"/>
        </w:rPr>
        <w:t>É</w:t>
      </w:r>
      <w:r w:rsidRPr="002C5876">
        <w:t xml:space="preserve">missions massiques </w:t>
      </w:r>
      <w:r w:rsidRPr="002C5876">
        <w:rPr>
          <w:color w:val="000000"/>
        </w:rPr>
        <w:t xml:space="preserve">de composés gazeux, émissions de matières particulaires et émissions en nombre de particules </w:t>
      </w:r>
      <w:r w:rsidRPr="002C5876">
        <w:t xml:space="preserve">pondérées </w:t>
      </w:r>
      <w:r w:rsidRPr="002C5876">
        <w:br/>
        <w:t xml:space="preserve">en fonction des facteurs d’utilisation </w:t>
      </w:r>
      <w:r w:rsidRPr="002C5876">
        <w:rPr>
          <w:color w:val="000000"/>
        </w:rPr>
        <w:t>pour les VHE-NRE</w:t>
      </w:r>
    </w:p>
    <w:p w:rsidR="00E24DB7" w:rsidRPr="002C5876" w:rsidRDefault="00E24DB7" w:rsidP="00E24DB7">
      <w:pPr>
        <w:pStyle w:val="SingleTxtG"/>
        <w:keepNext/>
        <w:ind w:left="2268" w:hanging="1134"/>
      </w:pPr>
      <w:r w:rsidRPr="002C5876">
        <w:t>4.1.3.1</w:t>
      </w:r>
      <w:r w:rsidRPr="002C5876">
        <w:tab/>
        <w:t xml:space="preserve">Les émissions massiques </w:t>
      </w:r>
      <w:r w:rsidRPr="002C5876">
        <w:rPr>
          <w:color w:val="000000"/>
        </w:rPr>
        <w:t xml:space="preserve">de composés gazeux </w:t>
      </w:r>
      <w:r w:rsidRPr="002C5876">
        <w:t xml:space="preserve">pondérées en fonction des facteurs d’utilisation </w:t>
      </w:r>
      <w:r w:rsidRPr="002C5876">
        <w:rPr>
          <w:bCs/>
        </w:rPr>
        <w:t>doivent être calculées au moyen de l’équation suivante </w:t>
      </w:r>
      <w:r w:rsidRPr="002C5876">
        <w:t>:</w:t>
      </w:r>
    </w:p>
    <w:p w:rsidR="00E24DB7" w:rsidRPr="002C5876" w:rsidRDefault="00731CA6" w:rsidP="00E24DB7">
      <w:pPr>
        <w:pStyle w:val="SingleTxtG"/>
        <w:keepNext/>
        <w:spacing w:after="240"/>
        <w:ind w:left="2268" w:hanging="1134"/>
        <w:jc w:val="center"/>
      </w:pPr>
      <m:oMathPara>
        <m:oMath>
          <m:sSub>
            <m:sSubPr>
              <m:ctrlPr>
                <w:rPr>
                  <w:rFonts w:ascii="Cambria Math" w:hAnsi="Cambria Math" w:cstheme="majorBidi"/>
                  <w:noProof/>
                  <w:lang w:eastAsia="de-DE"/>
                </w:rPr>
              </m:ctrlPr>
            </m:sSubPr>
            <m:e>
              <m:r>
                <m:rPr>
                  <m:sty m:val="p"/>
                </m:rPr>
                <w:rPr>
                  <w:rFonts w:ascii="Cambria Math" w:hAnsi="Cambria Math" w:cstheme="majorBidi"/>
                  <w:noProof/>
                  <w:lang w:eastAsia="de-DE"/>
                </w:rPr>
                <m:t>M</m:t>
              </m:r>
            </m:e>
            <m:sub>
              <m:r>
                <m:rPr>
                  <m:sty m:val="p"/>
                </m:rPr>
                <w:rPr>
                  <w:rFonts w:ascii="Cambria Math" w:hAnsi="Cambria Math" w:cstheme="majorBidi"/>
                  <w:noProof/>
                  <w:lang w:eastAsia="de-DE"/>
                </w:rPr>
                <m:t>i, weighted</m:t>
              </m:r>
            </m:sub>
          </m:sSub>
          <m:r>
            <m:rPr>
              <m:sty m:val="p"/>
            </m:rPr>
            <w:rPr>
              <w:rFonts w:ascii="Cambria Math" w:eastAsia="Cambria Math" w:hAnsi="Cambria Math" w:cstheme="majorBidi"/>
              <w:noProof/>
              <w:lang w:eastAsia="de-DE"/>
            </w:rPr>
            <m:t>=</m:t>
          </m:r>
          <m:nary>
            <m:naryPr>
              <m:chr m:val="∑"/>
              <m:limLoc m:val="undOvr"/>
              <m:ctrlPr>
                <w:rPr>
                  <w:rFonts w:ascii="Cambria Math" w:eastAsia="Cambria Math" w:hAnsi="Cambria Math" w:cstheme="majorBidi"/>
                  <w:noProof/>
                  <w:lang w:eastAsia="de-DE"/>
                </w:rPr>
              </m:ctrlPr>
            </m:naryPr>
            <m:sub>
              <m:r>
                <m:rPr>
                  <m:sty m:val="p"/>
                </m:rPr>
                <w:rPr>
                  <w:rFonts w:ascii="Cambria Math" w:eastAsia="Cambria Math" w:hAnsi="Cambria Math" w:cstheme="majorBidi"/>
                  <w:noProof/>
                  <w:lang w:eastAsia="de-DE"/>
                </w:rPr>
                <m:t>j=1</m:t>
              </m:r>
            </m:sub>
            <m:sup>
              <m:r>
                <m:rPr>
                  <m:sty m:val="p"/>
                </m:rPr>
                <w:rPr>
                  <w:rFonts w:ascii="Cambria Math" w:eastAsia="Cambria Math" w:hAnsi="Cambria Math" w:cstheme="majorBidi"/>
                  <w:noProof/>
                  <w:lang w:eastAsia="de-DE"/>
                </w:rPr>
                <m:t>k</m:t>
              </m:r>
            </m:sup>
            <m:e>
              <m:r>
                <m:rPr>
                  <m:sty m:val="p"/>
                </m:rPr>
                <w:rPr>
                  <w:rFonts w:ascii="Cambria Math" w:eastAsia="Cambria Math" w:hAnsi="Cambria Math" w:cstheme="majorBidi"/>
                  <w:noProof/>
                  <w:lang w:eastAsia="de-DE"/>
                </w:rPr>
                <m:t>(</m:t>
              </m:r>
              <m:sSub>
                <m:sSubPr>
                  <m:ctrlPr>
                    <w:rPr>
                      <w:rFonts w:ascii="Cambria Math" w:eastAsia="Cambria Math" w:hAnsi="Cambria Math" w:cstheme="majorBidi"/>
                      <w:noProof/>
                      <w:lang w:eastAsia="de-DE"/>
                    </w:rPr>
                  </m:ctrlPr>
                </m:sSubPr>
                <m:e>
                  <m:r>
                    <m:rPr>
                      <m:sty m:val="p"/>
                    </m:rPr>
                    <w:rPr>
                      <w:rFonts w:ascii="Cambria Math" w:eastAsia="Cambria Math" w:hAnsi="Cambria Math" w:cstheme="majorBidi"/>
                      <w:noProof/>
                      <w:lang w:eastAsia="de-DE"/>
                    </w:rPr>
                    <m:t>UF</m:t>
                  </m:r>
                </m:e>
                <m:sub>
                  <m:r>
                    <m:rPr>
                      <m:sty m:val="p"/>
                    </m:rPr>
                    <w:rPr>
                      <w:rFonts w:ascii="Cambria Math" w:eastAsia="Cambria Math" w:hAnsi="Cambria Math" w:cstheme="majorBidi"/>
                      <w:noProof/>
                      <w:lang w:eastAsia="de-DE"/>
                    </w:rPr>
                    <m:t>j</m:t>
                  </m:r>
                </m:sub>
              </m:sSub>
            </m:e>
          </m:nary>
          <m:r>
            <m:rPr>
              <m:sty m:val="p"/>
            </m:rPr>
            <w:rPr>
              <w:rFonts w:ascii="Cambria Math" w:eastAsia="Cambria Math" w:hAnsi="Cambria Math" w:cstheme="majorBidi"/>
              <w:noProof/>
              <w:lang w:eastAsia="de-DE"/>
            </w:rPr>
            <m:t>×</m:t>
          </m:r>
          <m:sSub>
            <m:sSubPr>
              <m:ctrlPr>
                <w:rPr>
                  <w:rFonts w:ascii="Cambria Math" w:eastAsia="Cambria Math" w:hAnsi="Cambria Math" w:cstheme="majorBidi"/>
                  <w:noProof/>
                  <w:lang w:eastAsia="de-DE"/>
                </w:rPr>
              </m:ctrlPr>
            </m:sSubPr>
            <m:e>
              <m:r>
                <m:rPr>
                  <m:sty m:val="p"/>
                </m:rPr>
                <w:rPr>
                  <w:rFonts w:ascii="Cambria Math" w:eastAsia="Cambria Math" w:hAnsi="Cambria Math" w:cstheme="majorBidi"/>
                  <w:noProof/>
                  <w:lang w:eastAsia="de-DE"/>
                </w:rPr>
                <m:t>M</m:t>
              </m:r>
            </m:e>
            <m:sub>
              <m:r>
                <m:rPr>
                  <m:sty m:val="p"/>
                </m:rPr>
                <w:rPr>
                  <w:rFonts w:ascii="Cambria Math" w:eastAsia="Cambria Math" w:hAnsi="Cambria Math" w:cstheme="majorBidi"/>
                  <w:noProof/>
                  <w:lang w:eastAsia="de-DE"/>
                </w:rPr>
                <m:t>i,CD, j</m:t>
              </m:r>
            </m:sub>
          </m:sSub>
          <m:r>
            <m:rPr>
              <m:sty m:val="p"/>
            </m:rPr>
            <w:rPr>
              <w:rFonts w:ascii="Cambria Math" w:hAnsi="Cambria Math" w:cstheme="majorBidi"/>
              <w:noProof/>
              <w:lang w:eastAsia="de-DE"/>
            </w:rPr>
            <m:t>)+</m:t>
          </m:r>
          <m:d>
            <m:dPr>
              <m:ctrlPr>
                <w:rPr>
                  <w:rFonts w:ascii="Cambria Math" w:hAnsi="Cambria Math" w:cstheme="majorBidi"/>
                  <w:noProof/>
                  <w:lang w:eastAsia="de-DE"/>
                </w:rPr>
              </m:ctrlPr>
            </m:dPr>
            <m:e>
              <m:r>
                <m:rPr>
                  <m:sty m:val="p"/>
                </m:rPr>
                <w:rPr>
                  <w:rFonts w:ascii="Cambria Math" w:hAnsi="Cambria Math" w:cstheme="majorBidi"/>
                  <w:noProof/>
                  <w:lang w:eastAsia="de-DE"/>
                </w:rPr>
                <m:t xml:space="preserve">1- </m:t>
              </m:r>
              <m:nary>
                <m:naryPr>
                  <m:chr m:val="∑"/>
                  <m:limLoc m:val="undOvr"/>
                  <m:ctrlPr>
                    <w:rPr>
                      <w:rFonts w:ascii="Cambria Math" w:hAnsi="Cambria Math" w:cstheme="majorBidi"/>
                      <w:noProof/>
                      <w:lang w:eastAsia="de-DE"/>
                    </w:rPr>
                  </m:ctrlPr>
                </m:naryPr>
                <m:sub>
                  <m:r>
                    <m:rPr>
                      <m:sty m:val="p"/>
                    </m:rPr>
                    <w:rPr>
                      <w:rFonts w:ascii="Cambria Math" w:hAnsi="Cambria Math" w:cstheme="majorBidi"/>
                      <w:noProof/>
                      <w:lang w:eastAsia="de-DE"/>
                    </w:rPr>
                    <m:t>j=1</m:t>
                  </m:r>
                </m:sub>
                <m:sup>
                  <m:r>
                    <m:rPr>
                      <m:sty m:val="p"/>
                    </m:rPr>
                    <w:rPr>
                      <w:rFonts w:ascii="Cambria Math" w:hAnsi="Cambria Math" w:cstheme="majorBidi"/>
                      <w:noProof/>
                      <w:lang w:eastAsia="de-DE"/>
                    </w:rPr>
                    <m:t>k</m:t>
                  </m:r>
                </m:sup>
                <m:e>
                  <m:sSub>
                    <m:sSubPr>
                      <m:ctrlPr>
                        <w:rPr>
                          <w:rFonts w:ascii="Cambria Math" w:hAnsi="Cambria Math" w:cstheme="majorBidi"/>
                          <w:noProof/>
                          <w:lang w:eastAsia="de-DE"/>
                        </w:rPr>
                      </m:ctrlPr>
                    </m:sSubPr>
                    <m:e>
                      <m:r>
                        <m:rPr>
                          <m:sty m:val="p"/>
                        </m:rPr>
                        <w:rPr>
                          <w:rFonts w:ascii="Cambria Math" w:hAnsi="Cambria Math" w:cstheme="majorBidi"/>
                          <w:noProof/>
                          <w:lang w:eastAsia="de-DE"/>
                        </w:rPr>
                        <m:t>UF</m:t>
                      </m:r>
                    </m:e>
                    <m:sub>
                      <m:r>
                        <m:rPr>
                          <m:sty m:val="p"/>
                        </m:rPr>
                        <w:rPr>
                          <w:rFonts w:ascii="Cambria Math" w:hAnsi="Cambria Math" w:cstheme="majorBidi"/>
                          <w:noProof/>
                          <w:lang w:eastAsia="de-DE"/>
                        </w:rPr>
                        <m:t>j</m:t>
                      </m:r>
                    </m:sub>
                  </m:sSub>
                </m:e>
              </m:nary>
            </m:e>
          </m:d>
          <m:r>
            <m:rPr>
              <m:sty m:val="p"/>
            </m:rPr>
            <w:rPr>
              <w:rFonts w:ascii="Cambria Math" w:hAnsi="Cambria Math" w:cstheme="majorBidi"/>
              <w:noProof/>
              <w:lang w:eastAsia="de-DE"/>
            </w:rPr>
            <m:t>×</m:t>
          </m:r>
          <m:sSub>
            <m:sSubPr>
              <m:ctrlPr>
                <w:rPr>
                  <w:rFonts w:ascii="Cambria Math" w:hAnsi="Cambria Math" w:cstheme="majorBidi"/>
                  <w:noProof/>
                  <w:lang w:eastAsia="de-DE"/>
                </w:rPr>
              </m:ctrlPr>
            </m:sSubPr>
            <m:e>
              <m:r>
                <m:rPr>
                  <m:sty m:val="p"/>
                </m:rPr>
                <w:rPr>
                  <w:rFonts w:ascii="Cambria Math" w:hAnsi="Cambria Math" w:cstheme="majorBidi"/>
                  <w:noProof/>
                  <w:lang w:eastAsia="de-DE"/>
                </w:rPr>
                <m:t>M</m:t>
              </m:r>
            </m:e>
            <m:sub>
              <m:r>
                <m:rPr>
                  <m:sty m:val="p"/>
                </m:rPr>
                <w:rPr>
                  <w:rFonts w:ascii="Cambria Math" w:hAnsi="Cambria Math" w:cstheme="majorBidi"/>
                  <w:noProof/>
                  <w:lang w:eastAsia="de-DE"/>
                </w:rPr>
                <m:t>i, CS</m:t>
              </m:r>
            </m:sub>
          </m:sSub>
          <m:r>
            <w:rPr>
              <w:rFonts w:ascii="Cambria Math" w:hAnsi="Cambria Math"/>
              <w:noProof/>
              <w:lang w:eastAsia="de-DE"/>
            </w:rPr>
            <m:t xml:space="preserve"> </m:t>
          </m:r>
        </m:oMath>
      </m:oMathPara>
    </w:p>
    <w:p w:rsidR="00E24DB7" w:rsidRPr="002C5876" w:rsidRDefault="00E24DB7" w:rsidP="00E24DB7">
      <w:pPr>
        <w:pStyle w:val="SingleTxtG"/>
        <w:keepNext/>
        <w:ind w:left="2268"/>
      </w:pPr>
      <w:r w:rsidRPr="002C5876">
        <w:t>où :</w:t>
      </w:r>
    </w:p>
    <w:p w:rsidR="00E24DB7" w:rsidRPr="002C5876" w:rsidRDefault="00E24DB7" w:rsidP="00E24DB7">
      <w:pPr>
        <w:pStyle w:val="SingleTxtG"/>
        <w:ind w:left="3402" w:hanging="1134"/>
      </w:pPr>
      <w:r w:rsidRPr="002C5876">
        <w:rPr>
          <w:rFonts w:eastAsiaTheme="minorEastAsia"/>
          <w:lang w:eastAsia="de-DE"/>
        </w:rPr>
        <w:t>M</w:t>
      </w:r>
      <w:r w:rsidRPr="002C5876">
        <w:rPr>
          <w:rFonts w:eastAsiaTheme="minorEastAsia"/>
          <w:vertAlign w:val="subscript"/>
          <w:lang w:eastAsia="de-DE"/>
        </w:rPr>
        <w:t>i,weighted</w:t>
      </w:r>
      <w:r w:rsidRPr="002C5876">
        <w:tab/>
        <w:t xml:space="preserve">sont les émissions massiques </w:t>
      </w:r>
      <w:r w:rsidRPr="002C5876">
        <w:rPr>
          <w:color w:val="000000"/>
        </w:rPr>
        <w:t xml:space="preserve">du composé i </w:t>
      </w:r>
      <w:r w:rsidRPr="002C5876">
        <w:t>pondérées en fonction des facteurs d’utilisation, en g/km ;</w:t>
      </w:r>
    </w:p>
    <w:p w:rsidR="00E24DB7" w:rsidRPr="002C5876" w:rsidRDefault="00E24DB7" w:rsidP="00E24DB7">
      <w:pPr>
        <w:pStyle w:val="SingleTxtG"/>
        <w:ind w:left="3402" w:hanging="1134"/>
      </w:pPr>
      <w:r w:rsidRPr="002C5876">
        <w:t>i</w:t>
      </w:r>
      <w:r w:rsidRPr="002C5876">
        <w:tab/>
      </w:r>
      <w:r w:rsidRPr="002C5876">
        <w:tab/>
        <w:t xml:space="preserve">est le numéro d’ordre du </w:t>
      </w:r>
      <w:r w:rsidRPr="002C5876">
        <w:rPr>
          <w:color w:val="000000"/>
        </w:rPr>
        <w:t>composé gazeux d’é</w:t>
      </w:r>
      <w:r w:rsidRPr="002C5876">
        <w:t>missions considéré ;</w:t>
      </w:r>
    </w:p>
    <w:p w:rsidR="00E24DB7" w:rsidRPr="002C5876" w:rsidRDefault="00E24DB7" w:rsidP="00E24DB7">
      <w:pPr>
        <w:pStyle w:val="SingleTxtG"/>
        <w:ind w:left="3402" w:hanging="1134"/>
      </w:pPr>
      <w:r w:rsidRPr="002C5876">
        <w:t>UF</w:t>
      </w:r>
      <w:r w:rsidRPr="002C5876">
        <w:rPr>
          <w:vertAlign w:val="subscript"/>
        </w:rPr>
        <w:t>j</w:t>
      </w:r>
      <w:r w:rsidRPr="002C5876">
        <w:tab/>
        <w:t xml:space="preserve">est le facteur d’utilisation de la phase j conformément </w:t>
      </w:r>
      <w:r w:rsidRPr="002C5876">
        <w:rPr>
          <w:bCs/>
        </w:rPr>
        <w:t>à l’appendice</w:t>
      </w:r>
      <w:r w:rsidRPr="002C5876">
        <w:t> 5</w:t>
      </w:r>
      <w:r w:rsidRPr="002C5876">
        <w:rPr>
          <w:bCs/>
        </w:rPr>
        <w:t xml:space="preserve"> </w:t>
      </w:r>
      <w:r w:rsidRPr="002C5876">
        <w:t>de la présente annexe ;</w:t>
      </w:r>
    </w:p>
    <w:p w:rsidR="00E24DB7" w:rsidRPr="002C5876" w:rsidRDefault="00E24DB7" w:rsidP="00E24DB7">
      <w:pPr>
        <w:pStyle w:val="SingleTxtG"/>
        <w:ind w:left="3402" w:hanging="1134"/>
      </w:pPr>
      <w:r w:rsidRPr="002C5876">
        <w:t>M</w:t>
      </w:r>
      <w:r w:rsidRPr="002C5876">
        <w:rPr>
          <w:vertAlign w:val="subscript"/>
        </w:rPr>
        <w:t>i,CD,j</w:t>
      </w:r>
      <w:r w:rsidRPr="002C5876">
        <w:tab/>
        <w:t xml:space="preserve">sont les émissions massiques </w:t>
      </w:r>
      <w:r w:rsidRPr="002C5876">
        <w:rPr>
          <w:color w:val="000000"/>
        </w:rPr>
        <w:t>du composé gazeux d’é</w:t>
      </w:r>
      <w:r w:rsidRPr="002C5876">
        <w:t xml:space="preserve">missions </w:t>
      </w:r>
      <w:r w:rsidRPr="002C5876">
        <w:rPr>
          <w:color w:val="000000"/>
        </w:rPr>
        <w:t xml:space="preserve">i </w:t>
      </w:r>
      <w:r w:rsidRPr="002C5876">
        <w:t xml:space="preserve">déterminées conformément au paragraphe 3.2.1 de l’annexe 7 de la phase j de l’essai du type 1 </w:t>
      </w:r>
      <w:r w:rsidRPr="002C5876">
        <w:rPr>
          <w:bCs/>
        </w:rPr>
        <w:t>en mode épuisement de la charge</w:t>
      </w:r>
      <w:r w:rsidRPr="002C5876">
        <w:t>, en g/km ;</w:t>
      </w:r>
    </w:p>
    <w:p w:rsidR="00E24DB7" w:rsidRPr="002C5876" w:rsidRDefault="00E24DB7" w:rsidP="00E24DB7">
      <w:pPr>
        <w:pStyle w:val="SingleTxtG"/>
        <w:ind w:left="3402" w:hanging="1134"/>
      </w:pPr>
      <w:r w:rsidRPr="002C5876">
        <w:t>M</w:t>
      </w:r>
      <w:r w:rsidRPr="002C5876">
        <w:rPr>
          <w:vertAlign w:val="subscript"/>
        </w:rPr>
        <w:t>i,CS</w:t>
      </w:r>
      <w:r w:rsidRPr="002C5876">
        <w:tab/>
        <w:t xml:space="preserve">sont les émissions massiques </w:t>
      </w:r>
      <w:r w:rsidRPr="002C5876">
        <w:rPr>
          <w:color w:val="000000"/>
        </w:rPr>
        <w:t>du composé gazeux d’é</w:t>
      </w:r>
      <w:r w:rsidRPr="002C5876">
        <w:t xml:space="preserve">missions </w:t>
      </w:r>
      <w:r w:rsidRPr="002C5876">
        <w:rPr>
          <w:color w:val="000000"/>
        </w:rPr>
        <w:t>i pour</w:t>
      </w:r>
      <w:r w:rsidRPr="002C5876">
        <w:t xml:space="preserve"> l’essai du type 1 </w:t>
      </w:r>
      <w:r w:rsidRPr="002C5876">
        <w:rPr>
          <w:bCs/>
        </w:rPr>
        <w:t>en mode maintien de la charge</w:t>
      </w:r>
      <w:r w:rsidRPr="002C5876">
        <w:t xml:space="preserve"> conformément au tableau A8/5, étape n</w:t>
      </w:r>
      <w:r w:rsidRPr="002C5876">
        <w:rPr>
          <w:vertAlign w:val="superscript"/>
        </w:rPr>
        <w:t>o</w:t>
      </w:r>
      <w:r w:rsidRPr="002C5876">
        <w:t> 7, en g/km ;</w:t>
      </w:r>
    </w:p>
    <w:p w:rsidR="00E24DB7" w:rsidRPr="002C5876" w:rsidRDefault="00E24DB7" w:rsidP="00E24DB7">
      <w:pPr>
        <w:pStyle w:val="SingleTxtG"/>
        <w:ind w:left="3402" w:hanging="1134"/>
      </w:pPr>
      <w:r w:rsidRPr="002C5876">
        <w:t>j</w:t>
      </w:r>
      <w:r w:rsidRPr="002C5876">
        <w:tab/>
        <w:t>est le numéro d’ordre de la phase considérée ;</w:t>
      </w:r>
    </w:p>
    <w:p w:rsidR="00E24DB7" w:rsidRPr="002C5876" w:rsidRDefault="00E24DB7" w:rsidP="00E24DB7">
      <w:pPr>
        <w:pStyle w:val="SingleTxtG"/>
        <w:ind w:left="3402" w:hanging="1134"/>
      </w:pPr>
      <w:r w:rsidRPr="002C5876">
        <w:t>k</w:t>
      </w:r>
      <w:r w:rsidRPr="002C5876">
        <w:tab/>
      </w:r>
      <w:r w:rsidRPr="002C5876">
        <w:tab/>
        <w:t>est le nombre de phases exécutées jusqu’à la fin du cycle de transition conformément au paragraphe 3.2.4.4 de la présente annexe.</w:t>
      </w:r>
    </w:p>
    <w:p w:rsidR="00E24DB7" w:rsidRPr="002C5876" w:rsidRDefault="00E24DB7" w:rsidP="00E24DB7">
      <w:pPr>
        <w:pStyle w:val="SingleTxtG"/>
        <w:ind w:left="2268"/>
      </w:pPr>
      <w:r w:rsidRPr="002C5876">
        <w:lastRenderedPageBreak/>
        <w:t>D</w:t>
      </w:r>
      <w:r w:rsidRPr="002C5876">
        <w:rPr>
          <w:bCs/>
        </w:rPr>
        <w:t xml:space="preserve">ans le cas où </w:t>
      </w:r>
      <w:r w:rsidRPr="002C5876">
        <w:t>la méthode d’interpolation est appliquée pour i = CO</w:t>
      </w:r>
      <w:r w:rsidRPr="002C5876">
        <w:rPr>
          <w:vertAlign w:val="subscript"/>
        </w:rPr>
        <w:t>2</w:t>
      </w:r>
      <w:r w:rsidRPr="002C5876">
        <w:t xml:space="preserve">, k est le nombre de phases exécutées jusqu’à la fin du cycle de transition du véhicule L </w:t>
      </w:r>
      <w:r w:rsidRPr="002C5876">
        <w:rPr>
          <w:vertAlign w:val="subscript"/>
        </w:rPr>
        <w:t>nveh_L</w:t>
      </w:r>
      <w:r w:rsidRPr="002C5876">
        <w:t>.</w:t>
      </w:r>
    </w:p>
    <w:p w:rsidR="00E24DB7" w:rsidRPr="002C5876" w:rsidRDefault="00E24DB7" w:rsidP="00E24DB7">
      <w:pPr>
        <w:pStyle w:val="SingleTxtG"/>
        <w:ind w:left="2268"/>
      </w:pPr>
      <w:r w:rsidRPr="002C5876">
        <w:t xml:space="preserve">Si le nombre de cycles de transition exécutés par le véhicule H, </w:t>
      </w:r>
      <m:oMath>
        <m:sSub>
          <m:sSubPr>
            <m:ctrlPr>
              <w:rPr>
                <w:rFonts w:ascii="Cambria Math" w:hAnsi="Cambria Math"/>
              </w:rPr>
            </m:ctrlPr>
          </m:sSubPr>
          <m:e>
            <m:r>
              <m:rPr>
                <m:sty m:val="p"/>
              </m:rPr>
              <w:rPr>
                <w:rFonts w:ascii="Cambria Math" w:hAnsi="Cambria Math"/>
              </w:rPr>
              <m:t>n</m:t>
            </m:r>
          </m:e>
          <m:sub>
            <m:sSub>
              <m:sSubPr>
                <m:ctrlPr>
                  <w:rPr>
                    <w:rFonts w:ascii="Cambria Math" w:hAnsi="Cambria Math"/>
                  </w:rPr>
                </m:ctrlPr>
              </m:sSubPr>
              <m:e>
                <m:r>
                  <m:rPr>
                    <m:sty m:val="p"/>
                  </m:rPr>
                  <w:rPr>
                    <w:rFonts w:ascii="Cambria Math" w:hAnsi="Cambria Math"/>
                  </w:rPr>
                  <m:t>veh</m:t>
                </m:r>
              </m:e>
              <m:sub>
                <m:r>
                  <m:rPr>
                    <m:sty m:val="p"/>
                  </m:rPr>
                  <w:rPr>
                    <w:rFonts w:ascii="Cambria Math" w:hAnsi="Cambria Math"/>
                  </w:rPr>
                  <m:t>H</m:t>
                </m:r>
              </m:sub>
            </m:sSub>
          </m:sub>
        </m:sSub>
      </m:oMath>
      <w:r w:rsidRPr="002C5876">
        <w:t xml:space="preserve">, et, le cas échéant, par un véhicule donné au sein de la famille d’interpolation du véhicule, </w:t>
      </w:r>
      <m:oMath>
        <m:sSub>
          <m:sSubPr>
            <m:ctrlPr>
              <w:rPr>
                <w:rFonts w:ascii="Cambria Math" w:hAnsi="Cambria Math"/>
              </w:rPr>
            </m:ctrlPr>
          </m:sSubPr>
          <m:e>
            <m:r>
              <m:rPr>
                <m:sty m:val="p"/>
              </m:rPr>
              <w:rPr>
                <w:rFonts w:ascii="Cambria Math" w:hAnsi="Cambria Math"/>
              </w:rPr>
              <m:t>n</m:t>
            </m:r>
          </m:e>
          <m:sub>
            <m:sSub>
              <m:sSubPr>
                <m:ctrlPr>
                  <w:rPr>
                    <w:rFonts w:ascii="Cambria Math" w:hAnsi="Cambria Math"/>
                  </w:rPr>
                </m:ctrlPr>
              </m:sSubPr>
              <m:e>
                <m:r>
                  <m:rPr>
                    <m:sty m:val="p"/>
                  </m:rPr>
                  <w:rPr>
                    <w:rFonts w:ascii="Cambria Math" w:hAnsi="Cambria Math"/>
                  </w:rPr>
                  <m:t>veh</m:t>
                </m:r>
              </m:e>
              <m:sub>
                <m:r>
                  <m:rPr>
                    <m:sty m:val="p"/>
                  </m:rPr>
                  <w:rPr>
                    <w:rFonts w:ascii="Cambria Math" w:hAnsi="Cambria Math"/>
                  </w:rPr>
                  <m:t>ind</m:t>
                </m:r>
              </m:sub>
            </m:sSub>
          </m:sub>
        </m:sSub>
      </m:oMath>
      <w:r w:rsidRPr="002C5876">
        <w:t>, est inférieur au nombre de cycles de transition exécutés par le véhicule L, n</w:t>
      </w:r>
      <w:r w:rsidRPr="002C5876">
        <w:rPr>
          <w:vertAlign w:val="subscript"/>
        </w:rPr>
        <w:t>veh_L</w:t>
      </w:r>
      <w:r w:rsidRPr="002C5876">
        <w:t>, le cycle de confirmation du véhicule H, et, le cas échéant, du véhicule donné, doit être inclus dans le calcul. Les émissions massiques de CO</w:t>
      </w:r>
      <w:r w:rsidRPr="002C5876">
        <w:rPr>
          <w:vertAlign w:val="subscript"/>
        </w:rPr>
        <w:t>2</w:t>
      </w:r>
      <w:r w:rsidRPr="002C5876">
        <w:t xml:space="preserve"> de chaque phase du cycle de confirmation doivent alors être corrigées pour les rapporter à une consommation d’énergie électrique de zéro EC</w:t>
      </w:r>
      <w:r w:rsidRPr="002C5876">
        <w:rPr>
          <w:vertAlign w:val="subscript"/>
        </w:rPr>
        <w:t xml:space="preserve">DC,CD,j </w:t>
      </w:r>
      <w:r w:rsidRPr="002C5876">
        <w:t xml:space="preserve">= 0 par application du </w:t>
      </w:r>
      <w:r w:rsidRPr="002C5876">
        <w:rPr>
          <w:bCs/>
        </w:rPr>
        <w:t xml:space="preserve">coefficient de correction des </w:t>
      </w:r>
      <w:r w:rsidRPr="002C5876">
        <w:t>émissions de CO</w:t>
      </w:r>
      <w:r w:rsidRPr="002C5876">
        <w:rPr>
          <w:vertAlign w:val="subscript"/>
        </w:rPr>
        <w:t xml:space="preserve">2 </w:t>
      </w:r>
      <w:r w:rsidRPr="002C5876">
        <w:t xml:space="preserve">conformément </w:t>
      </w:r>
      <w:r w:rsidRPr="002C5876">
        <w:rPr>
          <w:bCs/>
        </w:rPr>
        <w:t>à l’appendice</w:t>
      </w:r>
      <w:r w:rsidRPr="002C5876">
        <w:t> 2</w:t>
      </w:r>
      <w:r w:rsidRPr="002C5876">
        <w:rPr>
          <w:bCs/>
        </w:rPr>
        <w:t xml:space="preserve"> </w:t>
      </w:r>
      <w:r w:rsidRPr="002C5876">
        <w:t>de la présente annexe.</w:t>
      </w:r>
    </w:p>
    <w:p w:rsidR="00E24DB7" w:rsidRPr="002C5876" w:rsidRDefault="00E24DB7" w:rsidP="00E24DB7">
      <w:pPr>
        <w:pStyle w:val="SingleTxtG"/>
        <w:keepNext/>
        <w:ind w:left="2268" w:hanging="1134"/>
      </w:pPr>
      <w:r w:rsidRPr="002C5876">
        <w:t>4.1.3.2</w:t>
      </w:r>
      <w:r w:rsidRPr="002C5876">
        <w:tab/>
        <w:t xml:space="preserve">Les émissions </w:t>
      </w:r>
      <w:r w:rsidRPr="002C5876">
        <w:rPr>
          <w:color w:val="000000"/>
        </w:rPr>
        <w:t xml:space="preserve">en nombre de particules </w:t>
      </w:r>
      <w:r w:rsidRPr="002C5876">
        <w:t xml:space="preserve">pondérées en fonction des facteurs d’utilisation </w:t>
      </w:r>
      <w:r w:rsidRPr="002C5876">
        <w:rPr>
          <w:bCs/>
        </w:rPr>
        <w:t>doivent être calculées au moyen de l’équation suivante </w:t>
      </w:r>
      <w:r w:rsidRPr="002C5876">
        <w:t>:</w:t>
      </w:r>
    </w:p>
    <w:p w:rsidR="00E24DB7" w:rsidRPr="002C5876" w:rsidRDefault="00731CA6" w:rsidP="00E24DB7">
      <w:pPr>
        <w:pStyle w:val="SingleTxtG"/>
        <w:keepNext/>
        <w:ind w:left="2268" w:hanging="1134"/>
        <w:jc w:val="center"/>
      </w:pPr>
      <m:oMathPara>
        <m:oMath>
          <m:sSub>
            <m:sSubPr>
              <m:ctrlPr>
                <w:rPr>
                  <w:rFonts w:ascii="Cambria Math" w:eastAsia="Times New Roman" w:hAnsi="Cambria Math" w:cstheme="majorBidi"/>
                  <w:noProof/>
                  <w:lang w:eastAsia="de-DE"/>
                </w:rPr>
              </m:ctrlPr>
            </m:sSubPr>
            <m:e>
              <m:r>
                <m:rPr>
                  <m:sty m:val="p"/>
                </m:rPr>
                <w:rPr>
                  <w:rFonts w:ascii="Cambria Math" w:eastAsia="Times New Roman" w:hAnsi="Cambria Math" w:cstheme="majorBidi"/>
                  <w:noProof/>
                  <w:lang w:eastAsia="de-DE"/>
                </w:rPr>
                <m:t>PN</m:t>
              </m:r>
            </m:e>
            <m:sub>
              <m:r>
                <m:rPr>
                  <m:sty m:val="p"/>
                </m:rPr>
                <w:rPr>
                  <w:rFonts w:ascii="Cambria Math" w:eastAsia="Times New Roman" w:hAnsi="Cambria Math" w:cstheme="majorBidi"/>
                  <w:noProof/>
                  <w:lang w:eastAsia="de-DE"/>
                </w:rPr>
                <m:t xml:space="preserve"> weighted</m:t>
              </m:r>
            </m:sub>
          </m:sSub>
          <m:r>
            <m:rPr>
              <m:sty m:val="p"/>
            </m:rPr>
            <w:rPr>
              <w:rFonts w:ascii="Cambria Math" w:eastAsia="Cambria Math" w:hAnsi="Cambria Math" w:cstheme="majorBidi"/>
              <w:noProof/>
              <w:lang w:eastAsia="de-DE"/>
            </w:rPr>
            <m:t>=</m:t>
          </m:r>
          <m:nary>
            <m:naryPr>
              <m:chr m:val="∑"/>
              <m:limLoc m:val="undOvr"/>
              <m:ctrlPr>
                <w:rPr>
                  <w:rFonts w:ascii="Cambria Math" w:eastAsia="Cambria Math" w:hAnsi="Cambria Math" w:cstheme="majorBidi"/>
                  <w:noProof/>
                  <w:lang w:eastAsia="de-DE"/>
                </w:rPr>
              </m:ctrlPr>
            </m:naryPr>
            <m:sub>
              <m:r>
                <m:rPr>
                  <m:sty m:val="p"/>
                </m:rPr>
                <w:rPr>
                  <w:rFonts w:ascii="Cambria Math" w:eastAsia="Cambria Math" w:hAnsi="Cambria Math" w:cstheme="majorBidi"/>
                  <w:noProof/>
                  <w:lang w:eastAsia="de-DE"/>
                </w:rPr>
                <m:t>j=1</m:t>
              </m:r>
            </m:sub>
            <m:sup>
              <m:r>
                <m:rPr>
                  <m:sty m:val="p"/>
                </m:rPr>
                <w:rPr>
                  <w:rFonts w:ascii="Cambria Math" w:eastAsia="Cambria Math" w:hAnsi="Cambria Math" w:cstheme="majorBidi"/>
                  <w:noProof/>
                  <w:lang w:eastAsia="de-DE"/>
                </w:rPr>
                <m:t>k</m:t>
              </m:r>
            </m:sup>
            <m:e>
              <m:r>
                <m:rPr>
                  <m:sty m:val="p"/>
                </m:rPr>
                <w:rPr>
                  <w:rFonts w:ascii="Cambria Math" w:eastAsia="Cambria Math" w:hAnsi="Cambria Math" w:cstheme="majorBidi"/>
                  <w:noProof/>
                  <w:lang w:eastAsia="de-DE"/>
                </w:rPr>
                <m:t>(</m:t>
              </m:r>
              <m:sSub>
                <m:sSubPr>
                  <m:ctrlPr>
                    <w:rPr>
                      <w:rFonts w:ascii="Cambria Math" w:eastAsia="Cambria Math" w:hAnsi="Cambria Math" w:cstheme="majorBidi"/>
                      <w:noProof/>
                      <w:lang w:eastAsia="de-DE"/>
                    </w:rPr>
                  </m:ctrlPr>
                </m:sSubPr>
                <m:e>
                  <m:r>
                    <m:rPr>
                      <m:sty m:val="p"/>
                    </m:rPr>
                    <w:rPr>
                      <w:rFonts w:ascii="Cambria Math" w:eastAsia="Cambria Math" w:hAnsi="Cambria Math" w:cstheme="majorBidi"/>
                      <w:noProof/>
                      <w:lang w:eastAsia="de-DE"/>
                    </w:rPr>
                    <m:t>UF</m:t>
                  </m:r>
                </m:e>
                <m:sub>
                  <m:r>
                    <m:rPr>
                      <m:sty m:val="p"/>
                    </m:rPr>
                    <w:rPr>
                      <w:rFonts w:ascii="Cambria Math" w:eastAsia="Cambria Math" w:hAnsi="Cambria Math" w:cstheme="majorBidi"/>
                      <w:noProof/>
                      <w:lang w:eastAsia="de-DE"/>
                    </w:rPr>
                    <m:t>j</m:t>
                  </m:r>
                </m:sub>
              </m:sSub>
            </m:e>
          </m:nary>
          <m:r>
            <m:rPr>
              <m:sty m:val="p"/>
            </m:rPr>
            <w:rPr>
              <w:rFonts w:ascii="Cambria Math" w:eastAsia="Cambria Math" w:hAnsi="Cambria Math" w:cstheme="majorBidi"/>
              <w:noProof/>
              <w:lang w:eastAsia="de-DE"/>
            </w:rPr>
            <m:t>×</m:t>
          </m:r>
          <m:sSub>
            <m:sSubPr>
              <m:ctrlPr>
                <w:rPr>
                  <w:rFonts w:ascii="Cambria Math" w:eastAsia="Cambria Math" w:hAnsi="Cambria Math" w:cstheme="majorBidi"/>
                  <w:noProof/>
                  <w:lang w:eastAsia="de-DE"/>
                </w:rPr>
              </m:ctrlPr>
            </m:sSubPr>
            <m:e>
              <m:r>
                <m:rPr>
                  <m:sty m:val="p"/>
                </m:rPr>
                <w:rPr>
                  <w:rFonts w:ascii="Cambria Math" w:eastAsia="Cambria Math" w:hAnsi="Cambria Math" w:cstheme="majorBidi"/>
                  <w:noProof/>
                  <w:lang w:eastAsia="de-DE"/>
                </w:rPr>
                <m:t>PN</m:t>
              </m:r>
            </m:e>
            <m:sub>
              <m:r>
                <m:rPr>
                  <m:sty m:val="p"/>
                </m:rPr>
                <w:rPr>
                  <w:rFonts w:ascii="Cambria Math" w:eastAsia="Cambria Math" w:hAnsi="Cambria Math" w:cstheme="majorBidi"/>
                  <w:noProof/>
                  <w:lang w:eastAsia="de-DE"/>
                </w:rPr>
                <m:t>CD, j</m:t>
              </m:r>
            </m:sub>
          </m:sSub>
          <m:r>
            <m:rPr>
              <m:sty m:val="p"/>
            </m:rPr>
            <w:rPr>
              <w:rFonts w:ascii="Cambria Math" w:eastAsia="Times New Roman" w:hAnsi="Cambria Math" w:cstheme="majorBidi"/>
              <w:noProof/>
              <w:lang w:eastAsia="de-DE"/>
            </w:rPr>
            <m:t xml:space="preserve">)+(1- </m:t>
          </m:r>
          <m:nary>
            <m:naryPr>
              <m:chr m:val="∑"/>
              <m:limLoc m:val="undOvr"/>
              <m:ctrlPr>
                <w:rPr>
                  <w:rFonts w:ascii="Cambria Math" w:eastAsia="Times New Roman" w:hAnsi="Cambria Math" w:cstheme="majorBidi"/>
                  <w:noProof/>
                  <w:lang w:eastAsia="de-DE"/>
                </w:rPr>
              </m:ctrlPr>
            </m:naryPr>
            <m:sub>
              <m:r>
                <m:rPr>
                  <m:sty m:val="p"/>
                </m:rPr>
                <w:rPr>
                  <w:rFonts w:ascii="Cambria Math" w:eastAsia="Times New Roman" w:hAnsi="Cambria Math" w:cstheme="majorBidi"/>
                  <w:noProof/>
                  <w:lang w:eastAsia="de-DE"/>
                </w:rPr>
                <m:t>j=1</m:t>
              </m:r>
            </m:sub>
            <m:sup>
              <m:r>
                <m:rPr>
                  <m:sty m:val="p"/>
                </m:rPr>
                <w:rPr>
                  <w:rFonts w:ascii="Cambria Math" w:eastAsia="Cambria Math" w:hAnsi="Cambria Math" w:cstheme="majorBidi"/>
                  <w:noProof/>
                  <w:lang w:eastAsia="de-DE"/>
                </w:rPr>
                <m:t>k</m:t>
              </m:r>
            </m:sup>
            <m:e>
              <m:sSub>
                <m:sSubPr>
                  <m:ctrlPr>
                    <w:rPr>
                      <w:rFonts w:ascii="Cambria Math" w:eastAsia="Times New Roman" w:hAnsi="Cambria Math" w:cstheme="majorBidi"/>
                      <w:noProof/>
                      <w:lang w:eastAsia="de-DE"/>
                    </w:rPr>
                  </m:ctrlPr>
                </m:sSubPr>
                <m:e>
                  <m:r>
                    <m:rPr>
                      <m:sty m:val="p"/>
                    </m:rPr>
                    <w:rPr>
                      <w:rFonts w:ascii="Cambria Math" w:eastAsia="Times New Roman" w:hAnsi="Cambria Math" w:cstheme="majorBidi"/>
                      <w:noProof/>
                      <w:lang w:eastAsia="de-DE"/>
                    </w:rPr>
                    <m:t>UF</m:t>
                  </m:r>
                </m:e>
                <m:sub>
                  <m:r>
                    <m:rPr>
                      <m:sty m:val="p"/>
                    </m:rPr>
                    <w:rPr>
                      <w:rFonts w:ascii="Cambria Math" w:eastAsia="Times New Roman" w:hAnsi="Cambria Math" w:cstheme="majorBidi"/>
                      <w:noProof/>
                      <w:lang w:eastAsia="de-DE"/>
                    </w:rPr>
                    <m:t>j</m:t>
                  </m:r>
                </m:sub>
              </m:sSub>
            </m:e>
          </m:nary>
          <m:r>
            <m:rPr>
              <m:sty m:val="p"/>
            </m:rPr>
            <w:rPr>
              <w:rFonts w:ascii="Cambria Math" w:eastAsia="Times New Roman" w:hAnsi="Cambria Math" w:cstheme="majorBidi"/>
              <w:noProof/>
              <w:lang w:eastAsia="de-DE"/>
            </w:rPr>
            <m:t>)×</m:t>
          </m:r>
          <m:sSub>
            <m:sSubPr>
              <m:ctrlPr>
                <w:rPr>
                  <w:rFonts w:ascii="Cambria Math" w:eastAsia="Times New Roman" w:hAnsi="Cambria Math" w:cstheme="majorBidi"/>
                  <w:noProof/>
                  <w:lang w:eastAsia="de-DE"/>
                </w:rPr>
              </m:ctrlPr>
            </m:sSubPr>
            <m:e>
              <m:r>
                <m:rPr>
                  <m:sty m:val="p"/>
                </m:rPr>
                <w:rPr>
                  <w:rFonts w:ascii="Cambria Math" w:eastAsia="Times New Roman" w:hAnsi="Cambria Math" w:cstheme="majorBidi"/>
                  <w:noProof/>
                  <w:lang w:eastAsia="de-DE"/>
                </w:rPr>
                <m:t>PN</m:t>
              </m:r>
            </m:e>
            <m:sub>
              <m:r>
                <m:rPr>
                  <m:sty m:val="p"/>
                </m:rPr>
                <w:rPr>
                  <w:rFonts w:ascii="Cambria Math" w:eastAsia="Times New Roman" w:hAnsi="Cambria Math" w:cstheme="majorBidi"/>
                  <w:noProof/>
                  <w:lang w:eastAsia="de-DE"/>
                </w:rPr>
                <m:t xml:space="preserve"> CS</m:t>
              </m:r>
            </m:sub>
          </m:sSub>
        </m:oMath>
      </m:oMathPara>
    </w:p>
    <w:p w:rsidR="00E24DB7" w:rsidRPr="002C5876" w:rsidRDefault="00E24DB7" w:rsidP="00E24DB7">
      <w:pPr>
        <w:pStyle w:val="SingleTxtG"/>
        <w:keepNext/>
        <w:ind w:left="2268"/>
      </w:pPr>
      <w:r w:rsidRPr="002C5876">
        <w:t>où :</w:t>
      </w:r>
    </w:p>
    <w:p w:rsidR="00E24DB7" w:rsidRPr="002C5876" w:rsidRDefault="00E24DB7" w:rsidP="00E24DB7">
      <w:pPr>
        <w:pStyle w:val="SingleTxtG"/>
        <w:ind w:left="3402" w:hanging="1134"/>
      </w:pPr>
      <w:r w:rsidRPr="002C5876">
        <w:rPr>
          <w:rFonts w:eastAsiaTheme="minorEastAsia"/>
          <w:lang w:eastAsia="de-DE"/>
        </w:rPr>
        <w:t>PN</w:t>
      </w:r>
      <w:r w:rsidRPr="002C5876">
        <w:rPr>
          <w:rFonts w:eastAsiaTheme="minorEastAsia"/>
          <w:vertAlign w:val="subscript"/>
          <w:lang w:eastAsia="de-DE"/>
        </w:rPr>
        <w:t>weighted</w:t>
      </w:r>
      <w:r w:rsidRPr="002C5876">
        <w:tab/>
        <w:t xml:space="preserve">sont les émissions </w:t>
      </w:r>
      <w:r w:rsidRPr="002C5876">
        <w:rPr>
          <w:color w:val="000000"/>
        </w:rPr>
        <w:t xml:space="preserve">en nombre de particules </w:t>
      </w:r>
      <w:r w:rsidRPr="002C5876">
        <w:t>pondérées en fonction des facteurs d’utilisation, en particules par km ;</w:t>
      </w:r>
    </w:p>
    <w:p w:rsidR="00E24DB7" w:rsidRPr="002C5876" w:rsidRDefault="00E24DB7" w:rsidP="00E24DB7">
      <w:pPr>
        <w:pStyle w:val="SingleTxtG"/>
        <w:ind w:left="3402" w:hanging="1134"/>
      </w:pPr>
      <w:r w:rsidRPr="002C5876">
        <w:t>UF</w:t>
      </w:r>
      <w:r w:rsidRPr="002C5876">
        <w:rPr>
          <w:vertAlign w:val="subscript"/>
        </w:rPr>
        <w:t>j</w:t>
      </w:r>
      <w:r w:rsidRPr="002C5876">
        <w:tab/>
        <w:t xml:space="preserve">est le facteur d’utilisation de la phase j conformément </w:t>
      </w:r>
      <w:r w:rsidRPr="002C5876">
        <w:rPr>
          <w:bCs/>
        </w:rPr>
        <w:t>à l’appendice</w:t>
      </w:r>
      <w:r w:rsidRPr="002C5876">
        <w:t> 5</w:t>
      </w:r>
      <w:r w:rsidRPr="002C5876">
        <w:rPr>
          <w:bCs/>
        </w:rPr>
        <w:t xml:space="preserve"> </w:t>
      </w:r>
      <w:r w:rsidRPr="002C5876">
        <w:t>de la présente annexe ;</w:t>
      </w:r>
    </w:p>
    <w:p w:rsidR="00E24DB7" w:rsidRPr="002C5876" w:rsidRDefault="00E24DB7" w:rsidP="00E24DB7">
      <w:pPr>
        <w:pStyle w:val="SingleTxtG"/>
        <w:ind w:left="3402" w:hanging="1134"/>
      </w:pPr>
      <w:r w:rsidRPr="002C5876">
        <w:t>PN</w:t>
      </w:r>
      <w:r w:rsidRPr="002C5876">
        <w:rPr>
          <w:vertAlign w:val="subscript"/>
        </w:rPr>
        <w:t>CD,j</w:t>
      </w:r>
      <w:r w:rsidRPr="002C5876">
        <w:tab/>
        <w:t xml:space="preserve">sont les émissions </w:t>
      </w:r>
      <w:r w:rsidRPr="002C5876">
        <w:rPr>
          <w:color w:val="000000"/>
        </w:rPr>
        <w:t xml:space="preserve">en nombre de particules </w:t>
      </w:r>
      <w:r w:rsidRPr="002C5876">
        <w:t xml:space="preserve">au cours de la phase j déterminées conformément au paragraphe 4 de l’annexe 7 de l’essai du type 1 </w:t>
      </w:r>
      <w:r w:rsidRPr="002C5876">
        <w:rPr>
          <w:bCs/>
        </w:rPr>
        <w:t>en mode épuisement de la charge</w:t>
      </w:r>
      <w:r w:rsidRPr="002C5876">
        <w:t>, en particules par km ;</w:t>
      </w:r>
    </w:p>
    <w:p w:rsidR="00E24DB7" w:rsidRPr="002C5876" w:rsidRDefault="00E24DB7" w:rsidP="00E24DB7">
      <w:pPr>
        <w:pStyle w:val="SingleTxtG"/>
        <w:ind w:left="3402" w:hanging="1134"/>
      </w:pPr>
      <w:r w:rsidRPr="002C5876">
        <w:t>PN</w:t>
      </w:r>
      <w:r w:rsidRPr="002C5876">
        <w:rPr>
          <w:vertAlign w:val="subscript"/>
        </w:rPr>
        <w:t>CS</w:t>
      </w:r>
      <w:r w:rsidRPr="002C5876">
        <w:tab/>
        <w:t xml:space="preserve">sont les émissions </w:t>
      </w:r>
      <w:r w:rsidRPr="002C5876">
        <w:rPr>
          <w:color w:val="000000"/>
        </w:rPr>
        <w:t xml:space="preserve">en nombre de particules </w:t>
      </w:r>
      <w:r w:rsidRPr="002C5876">
        <w:t xml:space="preserve">déterminées conformément au paragraphe 4.1.1 la présente annexe pour l’essai du type 1 </w:t>
      </w:r>
      <w:r w:rsidRPr="002C5876">
        <w:rPr>
          <w:bCs/>
        </w:rPr>
        <w:t>en mode épuisement de la charge</w:t>
      </w:r>
      <w:r w:rsidRPr="002C5876">
        <w:t>, en particules par km ;</w:t>
      </w:r>
    </w:p>
    <w:p w:rsidR="00E24DB7" w:rsidRPr="002C5876" w:rsidRDefault="00E24DB7" w:rsidP="00E24DB7">
      <w:pPr>
        <w:pStyle w:val="SingleTxtG"/>
        <w:ind w:left="3402" w:hanging="1134"/>
      </w:pPr>
      <w:r w:rsidRPr="002C5876">
        <w:t>j</w:t>
      </w:r>
      <w:r w:rsidRPr="002C5876">
        <w:tab/>
      </w:r>
      <w:r w:rsidRPr="002C5876">
        <w:tab/>
        <w:t>est le numéro d’ordre de la phase considérée ;</w:t>
      </w:r>
    </w:p>
    <w:p w:rsidR="00E24DB7" w:rsidRPr="002C5876" w:rsidRDefault="00E24DB7" w:rsidP="00E24DB7">
      <w:pPr>
        <w:pStyle w:val="SingleTxtG"/>
        <w:ind w:left="3402" w:hanging="1134"/>
      </w:pPr>
      <w:r w:rsidRPr="002C5876">
        <w:t>k</w:t>
      </w:r>
      <w:r w:rsidRPr="002C5876">
        <w:tab/>
      </w:r>
      <w:r w:rsidRPr="002C5876">
        <w:tab/>
        <w:t>est le nombre de phases exécutées jusqu’à la fin du cycle de transition n conformément au paragraphe 3.2.4.4 de la présente annexe.</w:t>
      </w:r>
    </w:p>
    <w:p w:rsidR="00E24DB7" w:rsidRPr="002C5876" w:rsidRDefault="00E24DB7" w:rsidP="00E24DB7">
      <w:pPr>
        <w:pStyle w:val="SingleTxtG"/>
        <w:ind w:left="2268" w:hanging="1134"/>
      </w:pPr>
      <w:r w:rsidRPr="002C5876">
        <w:t>4.1.3.3</w:t>
      </w:r>
      <w:r w:rsidRPr="002C5876">
        <w:tab/>
        <w:t xml:space="preserve">Les émissions </w:t>
      </w:r>
      <w:r w:rsidRPr="002C5876">
        <w:rPr>
          <w:color w:val="000000"/>
        </w:rPr>
        <w:t xml:space="preserve">de matières particulaires </w:t>
      </w:r>
      <w:r w:rsidRPr="002C5876">
        <w:t xml:space="preserve">pondérées en fonction des facteurs d’utilisation </w:t>
      </w:r>
      <w:r w:rsidRPr="002C5876">
        <w:rPr>
          <w:bCs/>
        </w:rPr>
        <w:t>doivent être calculées au moyen de l’équation suivante </w:t>
      </w:r>
      <w:r w:rsidRPr="002C5876">
        <w:t>:</w:t>
      </w:r>
    </w:p>
    <w:p w:rsidR="004C4621" w:rsidRPr="002C5876" w:rsidRDefault="00731CA6" w:rsidP="00E24DB7">
      <w:pPr>
        <w:pStyle w:val="SingleTxtG"/>
        <w:ind w:left="2268" w:hanging="1134"/>
      </w:pPr>
      <m:oMathPara>
        <m:oMath>
          <m:sSub>
            <m:sSubPr>
              <m:ctrlPr>
                <w:rPr>
                  <w:rFonts w:ascii="Cambria Math" w:hAnsi="Cambria Math"/>
                  <w:noProof/>
                  <w:szCs w:val="24"/>
                  <w:lang w:eastAsia="de-DE"/>
                </w:rPr>
              </m:ctrlPr>
            </m:sSubPr>
            <m:e>
              <m:r>
                <m:rPr>
                  <m:sty m:val="p"/>
                </m:rPr>
                <w:rPr>
                  <w:rFonts w:ascii="Cambria Math" w:hAnsi="Cambria Math"/>
                  <w:noProof/>
                  <w:szCs w:val="24"/>
                  <w:lang w:eastAsia="de-DE"/>
                </w:rPr>
                <m:t>PM</m:t>
              </m:r>
            </m:e>
            <m:sub>
              <m:r>
                <m:rPr>
                  <m:sty m:val="p"/>
                </m:rPr>
                <w:rPr>
                  <w:rFonts w:ascii="Cambria Math" w:hAnsi="Cambria Math"/>
                  <w:noProof/>
                  <w:szCs w:val="24"/>
                  <w:lang w:eastAsia="de-DE"/>
                </w:rPr>
                <m:t xml:space="preserve"> weighted</m:t>
              </m:r>
            </m:sub>
          </m:sSub>
          <m:r>
            <m:rPr>
              <m:sty m:val="p"/>
            </m:rPr>
            <w:rPr>
              <w:rFonts w:ascii="Cambria Math" w:eastAsia="Cambria Math" w:hAnsi="Cambria Math"/>
              <w:noProof/>
              <w:szCs w:val="24"/>
              <w:lang w:eastAsia="de-DE"/>
            </w:rPr>
            <m:t>=</m:t>
          </m:r>
          <m:nary>
            <m:naryPr>
              <m:chr m:val="∑"/>
              <m:limLoc m:val="undOvr"/>
              <m:ctrlPr>
                <w:rPr>
                  <w:rFonts w:ascii="Cambria Math" w:eastAsia="Cambria Math" w:hAnsi="Cambria Math"/>
                  <w:noProof/>
                  <w:szCs w:val="24"/>
                  <w:lang w:eastAsia="de-DE"/>
                </w:rPr>
              </m:ctrlPr>
            </m:naryPr>
            <m:sub>
              <m:r>
                <m:rPr>
                  <m:sty m:val="p"/>
                </m:rPr>
                <w:rPr>
                  <w:rFonts w:ascii="Cambria Math" w:eastAsia="Cambria Math" w:hAnsi="Cambria Math"/>
                  <w:noProof/>
                  <w:szCs w:val="24"/>
                  <w:lang w:eastAsia="de-DE"/>
                </w:rPr>
                <m:t>c=1</m:t>
              </m:r>
            </m:sub>
            <m:sup>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n</m:t>
                  </m:r>
                </m:e>
                <m:sub>
                  <m:r>
                    <m:rPr>
                      <m:sty m:val="p"/>
                    </m:rPr>
                    <w:rPr>
                      <w:rFonts w:ascii="Cambria Math" w:eastAsia="Cambria Math" w:hAnsi="Cambria Math"/>
                      <w:noProof/>
                      <w:szCs w:val="24"/>
                      <w:lang w:eastAsia="de-DE"/>
                    </w:rPr>
                    <m:t>c</m:t>
                  </m:r>
                </m:sub>
              </m:sSub>
            </m:sup>
            <m:e>
              <m:r>
                <m:rPr>
                  <m:sty m:val="p"/>
                </m:rPr>
                <w:rPr>
                  <w:rFonts w:ascii="Cambria Math" w:eastAsia="Cambria Math" w:hAnsi="Cambria Math"/>
                  <w:noProof/>
                  <w:szCs w:val="24"/>
                  <w:lang w:eastAsia="de-DE"/>
                </w:rPr>
                <m:t>(</m:t>
              </m:r>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UF</m:t>
                  </m:r>
                </m:e>
                <m:sub>
                  <m:r>
                    <m:rPr>
                      <m:sty m:val="p"/>
                    </m:rPr>
                    <w:rPr>
                      <w:rFonts w:ascii="Cambria Math" w:eastAsia="Cambria Math" w:hAnsi="Cambria Math"/>
                      <w:noProof/>
                      <w:szCs w:val="24"/>
                      <w:lang w:eastAsia="de-DE"/>
                    </w:rPr>
                    <m:t>c</m:t>
                  </m:r>
                </m:sub>
              </m:sSub>
            </m:e>
          </m:nary>
          <m:r>
            <m:rPr>
              <m:sty m:val="p"/>
            </m:rPr>
            <w:rPr>
              <w:rFonts w:ascii="Cambria Math" w:eastAsia="Cambria Math" w:hAnsi="Cambria Math"/>
              <w:noProof/>
              <w:szCs w:val="24"/>
              <w:lang w:eastAsia="de-DE"/>
            </w:rPr>
            <m:t>×</m:t>
          </m:r>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PM</m:t>
              </m:r>
            </m:e>
            <m:sub>
              <m:r>
                <m:rPr>
                  <m:sty m:val="p"/>
                </m:rPr>
                <w:rPr>
                  <w:rFonts w:ascii="Cambria Math" w:eastAsia="Cambria Math" w:hAnsi="Cambria Math"/>
                  <w:noProof/>
                  <w:szCs w:val="24"/>
                  <w:lang w:eastAsia="de-DE"/>
                </w:rPr>
                <m:t>CD, c</m:t>
              </m:r>
            </m:sub>
          </m:sSub>
          <m:r>
            <m:rPr>
              <m:sty m:val="p"/>
            </m:rPr>
            <w:rPr>
              <w:rFonts w:ascii="Cambria Math" w:hAnsi="Cambria Math"/>
              <w:noProof/>
              <w:szCs w:val="24"/>
              <w:lang w:eastAsia="de-DE"/>
            </w:rPr>
            <m:t xml:space="preserve">)+(1- </m:t>
          </m:r>
          <m:nary>
            <m:naryPr>
              <m:chr m:val="∑"/>
              <m:limLoc m:val="undOvr"/>
              <m:ctrlPr>
                <w:rPr>
                  <w:rFonts w:ascii="Cambria Math" w:hAnsi="Cambria Math"/>
                  <w:noProof/>
                  <w:szCs w:val="24"/>
                  <w:lang w:eastAsia="de-DE"/>
                </w:rPr>
              </m:ctrlPr>
            </m:naryPr>
            <m:sub>
              <m:r>
                <m:rPr>
                  <m:sty m:val="p"/>
                </m:rPr>
                <w:rPr>
                  <w:rFonts w:ascii="Cambria Math" w:hAnsi="Cambria Math"/>
                  <w:noProof/>
                  <w:szCs w:val="24"/>
                  <w:lang w:eastAsia="de-DE"/>
                </w:rPr>
                <m:t>c=1</m:t>
              </m:r>
            </m:sub>
            <m:sup>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n</m:t>
                  </m:r>
                </m:e>
                <m:sub>
                  <m:r>
                    <m:rPr>
                      <m:sty m:val="p"/>
                    </m:rPr>
                    <w:rPr>
                      <w:rFonts w:ascii="Cambria Math" w:eastAsia="Cambria Math" w:hAnsi="Cambria Math"/>
                      <w:noProof/>
                      <w:szCs w:val="24"/>
                      <w:lang w:eastAsia="de-DE"/>
                    </w:rPr>
                    <m:t>c</m:t>
                  </m:r>
                </m:sub>
              </m:sSub>
            </m:sup>
            <m:e>
              <m:sSub>
                <m:sSubPr>
                  <m:ctrlPr>
                    <w:rPr>
                      <w:rFonts w:ascii="Cambria Math" w:hAnsi="Cambria Math"/>
                      <w:noProof/>
                      <w:szCs w:val="24"/>
                      <w:lang w:eastAsia="de-DE"/>
                    </w:rPr>
                  </m:ctrlPr>
                </m:sSubPr>
                <m:e>
                  <m:r>
                    <m:rPr>
                      <m:sty m:val="p"/>
                    </m:rPr>
                    <w:rPr>
                      <w:rFonts w:ascii="Cambria Math" w:hAnsi="Cambria Math"/>
                      <w:noProof/>
                      <w:szCs w:val="24"/>
                      <w:lang w:eastAsia="de-DE"/>
                    </w:rPr>
                    <m:t>UF</m:t>
                  </m:r>
                </m:e>
                <m:sub>
                  <m:r>
                    <m:rPr>
                      <m:sty m:val="p"/>
                    </m:rPr>
                    <w:rPr>
                      <w:rFonts w:ascii="Cambria Math" w:hAnsi="Cambria Math"/>
                      <w:noProof/>
                      <w:szCs w:val="24"/>
                      <w:lang w:eastAsia="de-DE"/>
                    </w:rPr>
                    <m:t>c</m:t>
                  </m:r>
                </m:sub>
              </m:sSub>
            </m:e>
          </m:nary>
          <m:r>
            <m:rPr>
              <m:sty m:val="p"/>
            </m:rPr>
            <w:rPr>
              <w:rFonts w:ascii="Cambria Math" w:hAnsi="Cambria Math"/>
              <w:noProof/>
              <w:szCs w:val="24"/>
              <w:lang w:eastAsia="de-DE"/>
            </w:rPr>
            <m:t>)×</m:t>
          </m:r>
          <m:sSub>
            <m:sSubPr>
              <m:ctrlPr>
                <w:rPr>
                  <w:rFonts w:ascii="Cambria Math" w:hAnsi="Cambria Math"/>
                  <w:noProof/>
                  <w:szCs w:val="24"/>
                  <w:lang w:eastAsia="de-DE"/>
                </w:rPr>
              </m:ctrlPr>
            </m:sSubPr>
            <m:e>
              <m:r>
                <m:rPr>
                  <m:sty m:val="p"/>
                </m:rPr>
                <w:rPr>
                  <w:rFonts w:ascii="Cambria Math" w:hAnsi="Cambria Math"/>
                  <w:noProof/>
                  <w:szCs w:val="24"/>
                  <w:lang w:eastAsia="de-DE"/>
                </w:rPr>
                <m:t>PM</m:t>
              </m:r>
            </m:e>
            <m:sub>
              <m:r>
                <m:rPr>
                  <m:sty m:val="p"/>
                </m:rPr>
                <w:rPr>
                  <w:rFonts w:ascii="Cambria Math" w:hAnsi="Cambria Math"/>
                  <w:noProof/>
                  <w:szCs w:val="24"/>
                  <w:lang w:eastAsia="de-DE"/>
                </w:rPr>
                <m:t xml:space="preserve"> CS</m:t>
              </m:r>
            </m:sub>
          </m:sSub>
        </m:oMath>
      </m:oMathPara>
    </w:p>
    <w:p w:rsidR="00E24DB7" w:rsidRPr="002C5876" w:rsidRDefault="00E24DB7" w:rsidP="00E24DB7">
      <w:pPr>
        <w:pStyle w:val="SingleTxtG"/>
        <w:ind w:left="2268"/>
        <w:rPr>
          <w:lang w:eastAsia="de-DE"/>
        </w:rPr>
      </w:pPr>
      <w:r w:rsidRPr="002C5876">
        <w:rPr>
          <w:lang w:eastAsia="de-DE"/>
        </w:rPr>
        <w:t>où :</w:t>
      </w:r>
    </w:p>
    <w:p w:rsidR="00E24DB7" w:rsidRPr="002C5876" w:rsidRDefault="00731CA6" w:rsidP="00E24DB7">
      <w:pPr>
        <w:pStyle w:val="SingleTxtG"/>
        <w:ind w:left="3402" w:hanging="1134"/>
      </w:pPr>
      <m:oMath>
        <m:sSub>
          <m:sSubPr>
            <m:ctrlPr>
              <w:rPr>
                <w:rFonts w:ascii="Cambria Math" w:hAnsi="Cambria Math"/>
                <w:lang w:eastAsia="de-DE"/>
              </w:rPr>
            </m:ctrlPr>
          </m:sSubPr>
          <m:e>
            <m:r>
              <m:rPr>
                <m:sty m:val="p"/>
              </m:rPr>
              <w:rPr>
                <w:rFonts w:ascii="Cambria Math" w:hAnsi="Cambria Math"/>
                <w:lang w:eastAsia="de-DE"/>
              </w:rPr>
              <m:t>PM</m:t>
            </m:r>
          </m:e>
          <m:sub>
            <m:r>
              <m:rPr>
                <m:sty m:val="p"/>
              </m:rPr>
              <w:rPr>
                <w:rFonts w:ascii="Cambria Math" w:hAnsi="Cambria Math"/>
                <w:lang w:eastAsia="de-DE"/>
              </w:rPr>
              <m:t>weighted</m:t>
            </m:r>
          </m:sub>
        </m:sSub>
      </m:oMath>
      <w:r w:rsidR="00E24DB7" w:rsidRPr="002C5876">
        <w:tab/>
        <w:t xml:space="preserve">sont les émissions </w:t>
      </w:r>
      <w:r w:rsidR="00E24DB7" w:rsidRPr="002C5876">
        <w:rPr>
          <w:color w:val="000000"/>
        </w:rPr>
        <w:t xml:space="preserve">de matières particulaires </w:t>
      </w:r>
      <w:r w:rsidR="00E24DB7" w:rsidRPr="002C5876">
        <w:t>pondérées en fonction des facteurs d’utilisation, en mg/km ;</w:t>
      </w:r>
    </w:p>
    <w:p w:rsidR="00E24DB7" w:rsidRPr="002C5876" w:rsidRDefault="00731CA6" w:rsidP="00E24DB7">
      <w:pPr>
        <w:pStyle w:val="SingleTxtG"/>
        <w:ind w:left="3402" w:hanging="1134"/>
      </w:pPr>
      <m:oMath>
        <m:sSub>
          <m:sSubPr>
            <m:ctrlPr>
              <w:rPr>
                <w:rFonts w:ascii="Cambria Math" w:eastAsia="Cambria Math" w:hAnsi="Cambria Math"/>
                <w:lang w:eastAsia="de-DE"/>
              </w:rPr>
            </m:ctrlPr>
          </m:sSubPr>
          <m:e>
            <m:r>
              <m:rPr>
                <m:sty m:val="p"/>
              </m:rPr>
              <w:rPr>
                <w:rFonts w:ascii="Cambria Math" w:eastAsia="Cambria Math" w:hAnsi="Cambria Math"/>
                <w:lang w:eastAsia="de-DE"/>
              </w:rPr>
              <m:t>UF</m:t>
            </m:r>
          </m:e>
          <m:sub>
            <m:r>
              <m:rPr>
                <m:sty m:val="p"/>
              </m:rPr>
              <w:rPr>
                <w:rFonts w:ascii="Cambria Math" w:eastAsia="Cambria Math" w:hAnsi="Cambria Math"/>
                <w:lang w:eastAsia="de-DE"/>
              </w:rPr>
              <m:t>c</m:t>
            </m:r>
          </m:sub>
        </m:sSub>
      </m:oMath>
      <w:r w:rsidR="00E24DB7" w:rsidRPr="002C5876">
        <w:tab/>
        <w:t xml:space="preserve">est le facteur d’utilisation du cycle c conformément </w:t>
      </w:r>
      <w:r w:rsidR="00E24DB7" w:rsidRPr="002C5876">
        <w:rPr>
          <w:bCs/>
        </w:rPr>
        <w:t>à l’appendice</w:t>
      </w:r>
      <w:r w:rsidR="00E24DB7" w:rsidRPr="002C5876">
        <w:t> 5</w:t>
      </w:r>
      <w:r w:rsidR="00E24DB7" w:rsidRPr="002C5876">
        <w:rPr>
          <w:bCs/>
        </w:rPr>
        <w:t xml:space="preserve"> </w:t>
      </w:r>
      <w:r w:rsidR="00E24DB7" w:rsidRPr="002C5876">
        <w:t>de la présente annexe ;</w:t>
      </w:r>
    </w:p>
    <w:p w:rsidR="00E24DB7" w:rsidRPr="002C5876" w:rsidRDefault="00731CA6" w:rsidP="00E24DB7">
      <w:pPr>
        <w:pStyle w:val="SingleTxtG"/>
        <w:ind w:left="3402" w:hanging="1134"/>
      </w:pPr>
      <m:oMath>
        <m:sSub>
          <m:sSubPr>
            <m:ctrlPr>
              <w:rPr>
                <w:rFonts w:ascii="Cambria Math" w:eastAsia="Cambria Math" w:hAnsi="Cambria Math"/>
                <w:lang w:eastAsia="de-DE"/>
              </w:rPr>
            </m:ctrlPr>
          </m:sSubPr>
          <m:e>
            <m:r>
              <m:rPr>
                <m:sty m:val="p"/>
              </m:rPr>
              <w:rPr>
                <w:rFonts w:ascii="Cambria Math" w:eastAsia="Cambria Math" w:hAnsi="Cambria Math"/>
                <w:lang w:eastAsia="de-DE"/>
              </w:rPr>
              <m:t>PM</m:t>
            </m:r>
          </m:e>
          <m:sub>
            <m:r>
              <m:rPr>
                <m:sty m:val="p"/>
              </m:rPr>
              <w:rPr>
                <w:rFonts w:ascii="Cambria Math" w:eastAsia="Cambria Math" w:hAnsi="Cambria Math"/>
                <w:lang w:eastAsia="de-DE"/>
              </w:rPr>
              <m:t>CD,c</m:t>
            </m:r>
          </m:sub>
        </m:sSub>
      </m:oMath>
      <w:r w:rsidR="00E24DB7" w:rsidRPr="002C5876">
        <w:tab/>
        <w:t xml:space="preserve">sont les émissions </w:t>
      </w:r>
      <w:r w:rsidR="00E24DB7" w:rsidRPr="002C5876">
        <w:rPr>
          <w:color w:val="000000"/>
        </w:rPr>
        <w:t xml:space="preserve">de matières particulaires </w:t>
      </w:r>
      <w:r w:rsidR="00E24DB7" w:rsidRPr="002C5876">
        <w:t xml:space="preserve">au cours du cycle c déterminées conformément au paragraphe 3.3 de l’annexe 7 de l’essai du type 1 </w:t>
      </w:r>
      <w:r w:rsidR="00E24DB7" w:rsidRPr="002C5876">
        <w:rPr>
          <w:bCs/>
        </w:rPr>
        <w:t>en mode épuisement de la charge</w:t>
      </w:r>
      <w:r w:rsidR="00E24DB7" w:rsidRPr="002C5876">
        <w:t>, en mg/km ;</w:t>
      </w:r>
    </w:p>
    <w:p w:rsidR="00E24DB7" w:rsidRPr="002C5876" w:rsidRDefault="00731CA6" w:rsidP="00E24DB7">
      <w:pPr>
        <w:pStyle w:val="SingleTxtG"/>
        <w:ind w:left="3402" w:hanging="1134"/>
      </w:pPr>
      <m:oMath>
        <m:sSub>
          <m:sSubPr>
            <m:ctrlPr>
              <w:rPr>
                <w:rFonts w:ascii="Cambria Math" w:hAnsi="Cambria Math"/>
                <w:lang w:eastAsia="de-DE"/>
              </w:rPr>
            </m:ctrlPr>
          </m:sSubPr>
          <m:e>
            <m:r>
              <m:rPr>
                <m:sty m:val="p"/>
              </m:rPr>
              <w:rPr>
                <w:rFonts w:ascii="Cambria Math" w:hAnsi="Cambria Math"/>
                <w:lang w:eastAsia="de-DE"/>
              </w:rPr>
              <m:t>PM</m:t>
            </m:r>
          </m:e>
          <m:sub>
            <m:r>
              <m:rPr>
                <m:sty m:val="p"/>
              </m:rPr>
              <w:rPr>
                <w:rFonts w:ascii="Cambria Math" w:hAnsi="Cambria Math"/>
                <w:lang w:eastAsia="de-DE"/>
              </w:rPr>
              <m:t xml:space="preserve"> CS</m:t>
            </m:r>
          </m:sub>
        </m:sSub>
      </m:oMath>
      <w:r w:rsidR="00E24DB7" w:rsidRPr="002C5876">
        <w:tab/>
        <w:t xml:space="preserve">sont les émissions </w:t>
      </w:r>
      <w:r w:rsidR="00E24DB7" w:rsidRPr="002C5876">
        <w:rPr>
          <w:color w:val="000000"/>
        </w:rPr>
        <w:t xml:space="preserve">de matières particulaires </w:t>
      </w:r>
      <w:r w:rsidR="00E24DB7" w:rsidRPr="002C5876">
        <w:t xml:space="preserve">de l’essai du type 1 </w:t>
      </w:r>
      <w:r w:rsidR="00E24DB7" w:rsidRPr="002C5876">
        <w:rPr>
          <w:bCs/>
        </w:rPr>
        <w:t xml:space="preserve">en mode épuisement de la charge </w:t>
      </w:r>
      <w:r w:rsidR="00E24DB7" w:rsidRPr="002C5876">
        <w:t>conformément au paragraphe 4.1.1 la présente annexe, en mg/km ;</w:t>
      </w:r>
    </w:p>
    <w:p w:rsidR="00E24DB7" w:rsidRPr="002C5876" w:rsidRDefault="00E24DB7" w:rsidP="00E24DB7">
      <w:pPr>
        <w:pStyle w:val="SingleTxtG"/>
        <w:ind w:left="3402" w:hanging="1134"/>
      </w:pPr>
      <m:oMath>
        <m:r>
          <m:rPr>
            <m:sty m:val="p"/>
          </m:rPr>
          <w:rPr>
            <w:rFonts w:ascii="Cambria Math" w:hAnsi="Cambria Math"/>
          </w:rPr>
          <w:lastRenderedPageBreak/>
          <m:t>c</m:t>
        </m:r>
      </m:oMath>
      <w:r w:rsidRPr="002C5876">
        <w:tab/>
      </w:r>
      <w:r w:rsidRPr="002C5876">
        <w:tab/>
        <w:t>est le numéro d’ordre du cycle considéré ;</w:t>
      </w:r>
    </w:p>
    <w:p w:rsidR="00E24DB7" w:rsidRPr="002C5876" w:rsidRDefault="00731CA6" w:rsidP="00E24DB7">
      <w:pPr>
        <w:pStyle w:val="SingleTxtG"/>
        <w:ind w:left="3402" w:hanging="1134"/>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c</m:t>
            </m:r>
          </m:sub>
        </m:sSub>
      </m:oMath>
      <w:r w:rsidR="00E24DB7" w:rsidRPr="002C5876">
        <w:tab/>
      </w:r>
      <w:r w:rsidR="00E24DB7" w:rsidRPr="002C5876">
        <w:tab/>
        <w:t>est le nombre de cycles d’essai WLTP applicables exécutés jusqu’à la fin du cycle de transition n conformément au paragraphe 3.2.4.4 de la présente annexe.</w:t>
      </w:r>
    </w:p>
    <w:p w:rsidR="00E24DB7" w:rsidRPr="002C5876" w:rsidRDefault="00E24DB7" w:rsidP="00E24DB7">
      <w:pPr>
        <w:pStyle w:val="SingleTxtG"/>
        <w:keepNext/>
        <w:ind w:left="2268" w:hanging="1134"/>
        <w:jc w:val="left"/>
        <w:rPr>
          <w:color w:val="000000"/>
        </w:rPr>
      </w:pPr>
      <w:r w:rsidRPr="002C5876">
        <w:rPr>
          <w:color w:val="000000"/>
        </w:rPr>
        <w:t>4.2</w:t>
      </w:r>
      <w:r w:rsidRPr="002C5876">
        <w:rPr>
          <w:color w:val="000000"/>
        </w:rPr>
        <w:tab/>
        <w:t>Calcul de la consommation de carburant</w:t>
      </w:r>
    </w:p>
    <w:p w:rsidR="00E24DB7" w:rsidRPr="002C5876" w:rsidRDefault="00E24DB7" w:rsidP="00E24DB7">
      <w:pPr>
        <w:pStyle w:val="SingleTxtG"/>
        <w:keepNext/>
        <w:ind w:left="2268" w:hanging="1134"/>
        <w:jc w:val="left"/>
        <w:rPr>
          <w:color w:val="000000"/>
        </w:rPr>
      </w:pPr>
      <w:r w:rsidRPr="002C5876">
        <w:rPr>
          <w:color w:val="000000"/>
        </w:rPr>
        <w:t>4.2.1</w:t>
      </w:r>
      <w:r w:rsidRPr="002C5876">
        <w:rPr>
          <w:color w:val="000000"/>
        </w:rPr>
        <w:tab/>
        <w:t xml:space="preserve">Consommation de carburant en mode maintien de la charge </w:t>
      </w:r>
      <w:r w:rsidRPr="002C5876">
        <w:rPr>
          <w:color w:val="000000"/>
        </w:rPr>
        <w:br/>
        <w:t>pour les VHE-RE, les VHE-NRE et les VHPC-NRE</w:t>
      </w:r>
    </w:p>
    <w:p w:rsidR="00E24DB7" w:rsidRPr="002C5876" w:rsidRDefault="00E24DB7" w:rsidP="00E24DB7">
      <w:pPr>
        <w:pStyle w:val="SingleTxtG"/>
        <w:ind w:left="2268" w:hanging="1134"/>
        <w:rPr>
          <w:color w:val="000000"/>
        </w:rPr>
      </w:pPr>
      <w:r w:rsidRPr="002C5876">
        <w:rPr>
          <w:color w:val="000000"/>
        </w:rPr>
        <w:t>4.2.1.1</w:t>
      </w:r>
      <w:r w:rsidRPr="002C5876">
        <w:rPr>
          <w:color w:val="000000"/>
        </w:rPr>
        <w:tab/>
        <w:t>La consommation de carburant en mode maintien de la charge pour les VHE</w:t>
      </w:r>
      <w:r w:rsidRPr="002C5876">
        <w:rPr>
          <w:color w:val="000000"/>
        </w:rPr>
        <w:noBreakHyphen/>
        <w:t>RE et les VHE-NRE doit être calculée par étapes, conformément au tableau A8/6.</w:t>
      </w:r>
    </w:p>
    <w:p w:rsidR="00E24DB7" w:rsidRPr="002C5876" w:rsidRDefault="00E24DB7" w:rsidP="00E24DB7">
      <w:pPr>
        <w:pStyle w:val="H23G"/>
        <w:ind w:left="0" w:firstLine="0"/>
        <w:rPr>
          <w:lang w:eastAsia="ja-JP"/>
        </w:rPr>
      </w:pPr>
      <w:r w:rsidRPr="002C5876">
        <w:rPr>
          <w:b w:val="0"/>
          <w:lang w:eastAsia="de-DE"/>
        </w:rPr>
        <w:t>Tableau A8/6</w:t>
      </w:r>
      <w:r w:rsidRPr="002C5876">
        <w:rPr>
          <w:lang w:eastAsia="de-DE"/>
        </w:rPr>
        <w:br/>
        <w:t xml:space="preserve">Calcul de la consommation finale de carburant en mode maintien de la charge pour les VHE-RE et les VHE-NRE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19"/>
        <w:gridCol w:w="1792"/>
        <w:gridCol w:w="2715"/>
        <w:gridCol w:w="1806"/>
        <w:gridCol w:w="1407"/>
      </w:tblGrid>
      <w:tr w:rsidR="00E24DB7" w:rsidRPr="002C5876" w:rsidTr="00E24DB7">
        <w:trPr>
          <w:tblHeader/>
          <w:jc w:val="center"/>
        </w:trPr>
        <w:tc>
          <w:tcPr>
            <w:tcW w:w="1919" w:type="dxa"/>
            <w:tcBorders>
              <w:bottom w:val="single" w:sz="12" w:space="0" w:color="auto"/>
            </w:tcBorders>
            <w:vAlign w:val="bottom"/>
          </w:tcPr>
          <w:p w:rsidR="00E24DB7" w:rsidRPr="002C5876" w:rsidRDefault="00E24DB7" w:rsidP="00E24DB7">
            <w:pPr>
              <w:keepNext/>
              <w:keepLines/>
              <w:spacing w:before="80" w:after="80" w:line="200" w:lineRule="exact"/>
              <w:ind w:left="57" w:right="57"/>
              <w:rPr>
                <w:i/>
                <w:color w:val="000000"/>
                <w:sz w:val="16"/>
                <w:szCs w:val="16"/>
              </w:rPr>
            </w:pPr>
            <w:r w:rsidRPr="002C5876">
              <w:rPr>
                <w:i/>
                <w:sz w:val="16"/>
                <w:szCs w:val="16"/>
              </w:rPr>
              <w:t>Source</w:t>
            </w:r>
          </w:p>
        </w:tc>
        <w:tc>
          <w:tcPr>
            <w:tcW w:w="1792" w:type="dxa"/>
            <w:tcBorders>
              <w:bottom w:val="single" w:sz="12" w:space="0" w:color="auto"/>
            </w:tcBorders>
            <w:vAlign w:val="bottom"/>
          </w:tcPr>
          <w:p w:rsidR="00E24DB7" w:rsidRPr="002C5876" w:rsidRDefault="00E24DB7" w:rsidP="00E24DB7">
            <w:pPr>
              <w:keepNext/>
              <w:keepLines/>
              <w:spacing w:before="80" w:after="80" w:line="200" w:lineRule="exact"/>
              <w:ind w:left="57" w:right="57"/>
              <w:rPr>
                <w:i/>
                <w:color w:val="000000"/>
                <w:sz w:val="16"/>
                <w:szCs w:val="16"/>
              </w:rPr>
            </w:pPr>
            <w:r w:rsidRPr="002C5876">
              <w:rPr>
                <w:i/>
                <w:sz w:val="16"/>
                <w:szCs w:val="16"/>
              </w:rPr>
              <w:t>Données d’entrée</w:t>
            </w:r>
          </w:p>
        </w:tc>
        <w:tc>
          <w:tcPr>
            <w:tcW w:w="2715" w:type="dxa"/>
            <w:tcBorders>
              <w:bottom w:val="single" w:sz="12" w:space="0" w:color="auto"/>
            </w:tcBorders>
            <w:vAlign w:val="bottom"/>
          </w:tcPr>
          <w:p w:rsidR="00E24DB7" w:rsidRPr="002C5876" w:rsidRDefault="00E24DB7" w:rsidP="00E24DB7">
            <w:pPr>
              <w:keepNext/>
              <w:keepLines/>
              <w:spacing w:before="80" w:after="80" w:line="200" w:lineRule="exact"/>
              <w:ind w:left="57" w:right="57"/>
              <w:rPr>
                <w:i/>
                <w:color w:val="000000"/>
                <w:sz w:val="16"/>
                <w:szCs w:val="16"/>
              </w:rPr>
            </w:pPr>
            <w:r w:rsidRPr="002C5876">
              <w:rPr>
                <w:i/>
                <w:sz w:val="16"/>
                <w:szCs w:val="16"/>
              </w:rPr>
              <w:t>Processus</w:t>
            </w:r>
          </w:p>
        </w:tc>
        <w:tc>
          <w:tcPr>
            <w:tcW w:w="1806" w:type="dxa"/>
            <w:tcBorders>
              <w:bottom w:val="single" w:sz="12" w:space="0" w:color="auto"/>
            </w:tcBorders>
            <w:vAlign w:val="bottom"/>
          </w:tcPr>
          <w:p w:rsidR="00E24DB7" w:rsidRPr="002C5876" w:rsidRDefault="00E24DB7" w:rsidP="00E24DB7">
            <w:pPr>
              <w:keepNext/>
              <w:keepLines/>
              <w:spacing w:before="80" w:after="80" w:line="200" w:lineRule="exact"/>
              <w:ind w:left="57" w:right="57"/>
              <w:rPr>
                <w:i/>
                <w:color w:val="000000"/>
                <w:sz w:val="16"/>
                <w:szCs w:val="16"/>
              </w:rPr>
            </w:pPr>
            <w:r w:rsidRPr="002C5876">
              <w:rPr>
                <w:i/>
                <w:sz w:val="16"/>
                <w:szCs w:val="16"/>
              </w:rPr>
              <w:t>Données de sortie</w:t>
            </w:r>
          </w:p>
        </w:tc>
        <w:tc>
          <w:tcPr>
            <w:tcW w:w="1407" w:type="dxa"/>
            <w:tcBorders>
              <w:bottom w:val="single" w:sz="12" w:space="0" w:color="auto"/>
            </w:tcBorders>
            <w:vAlign w:val="bottom"/>
          </w:tcPr>
          <w:p w:rsidR="00E24DB7" w:rsidRPr="002C5876" w:rsidRDefault="00E24DB7" w:rsidP="00E24DB7">
            <w:pPr>
              <w:keepNext/>
              <w:keepLines/>
              <w:spacing w:before="80" w:after="80" w:line="200" w:lineRule="exact"/>
              <w:ind w:left="57" w:right="57"/>
              <w:rPr>
                <w:i/>
                <w:color w:val="000000"/>
                <w:sz w:val="16"/>
                <w:szCs w:val="16"/>
              </w:rPr>
            </w:pPr>
            <w:r w:rsidRPr="002C5876">
              <w:rPr>
                <w:i/>
                <w:sz w:val="16"/>
                <w:szCs w:val="16"/>
              </w:rPr>
              <w:t>Étape n</w:t>
            </w:r>
            <w:r w:rsidRPr="002C5876">
              <w:rPr>
                <w:i/>
                <w:sz w:val="16"/>
                <w:szCs w:val="16"/>
                <w:vertAlign w:val="superscript"/>
              </w:rPr>
              <w:t>o</w:t>
            </w:r>
          </w:p>
        </w:tc>
      </w:tr>
      <w:tr w:rsidR="00E24DB7" w:rsidRPr="002C5876" w:rsidTr="00E24DB7">
        <w:trPr>
          <w:jc w:val="center"/>
        </w:trPr>
        <w:tc>
          <w:tcPr>
            <w:tcW w:w="1919" w:type="dxa"/>
            <w:tcBorders>
              <w:top w:val="single" w:sz="12" w:space="0" w:color="auto"/>
            </w:tcBorders>
          </w:tcPr>
          <w:p w:rsidR="00E24DB7" w:rsidRPr="002C5876" w:rsidRDefault="00E24DB7" w:rsidP="00E24DB7">
            <w:pPr>
              <w:keepNext/>
              <w:keepLines/>
              <w:spacing w:before="40" w:after="40" w:line="240" w:lineRule="auto"/>
              <w:ind w:left="57" w:right="57"/>
              <w:rPr>
                <w:b/>
                <w:sz w:val="18"/>
                <w:szCs w:val="18"/>
              </w:rPr>
            </w:pPr>
            <w:r w:rsidRPr="002C5876">
              <w:rPr>
                <w:sz w:val="18"/>
                <w:szCs w:val="18"/>
              </w:rPr>
              <w:t xml:space="preserve">Sortie </w:t>
            </w:r>
            <w:r w:rsidRPr="002C5876">
              <w:rPr>
                <w:sz w:val="18"/>
                <w:szCs w:val="18"/>
              </w:rPr>
              <w:br/>
              <w:t xml:space="preserve">des étapes </w:t>
            </w:r>
            <w:r w:rsidRPr="002C5876">
              <w:rPr>
                <w:rFonts w:eastAsia="MS Mincho"/>
                <w:sz w:val="18"/>
                <w:szCs w:val="18"/>
              </w:rPr>
              <w:t>n</w:t>
            </w:r>
            <w:r w:rsidRPr="002C5876">
              <w:rPr>
                <w:rFonts w:eastAsia="MS Mincho"/>
                <w:sz w:val="18"/>
                <w:szCs w:val="18"/>
                <w:vertAlign w:val="superscript"/>
              </w:rPr>
              <w:t>os</w:t>
            </w:r>
            <w:r w:rsidRPr="002C5876">
              <w:rPr>
                <w:rFonts w:eastAsia="MS Mincho"/>
                <w:sz w:val="18"/>
                <w:szCs w:val="18"/>
              </w:rPr>
              <w:t> </w:t>
            </w:r>
            <w:r w:rsidRPr="002C5876">
              <w:rPr>
                <w:sz w:val="18"/>
                <w:szCs w:val="18"/>
              </w:rPr>
              <w:t>6 et 7 du tableau A8/5 de la présente annexe</w:t>
            </w:r>
          </w:p>
        </w:tc>
        <w:tc>
          <w:tcPr>
            <w:tcW w:w="1792" w:type="dxa"/>
            <w:tcBorders>
              <w:top w:val="single" w:sz="12" w:space="0" w:color="auto"/>
            </w:tcBorders>
          </w:tcPr>
          <w:p w:rsidR="00E24DB7" w:rsidRPr="002C5876" w:rsidRDefault="00E24DB7" w:rsidP="00E24DB7">
            <w:pPr>
              <w:keepNext/>
              <w:keepLines/>
              <w:spacing w:before="40" w:after="40" w:line="240" w:lineRule="auto"/>
              <w:ind w:left="57" w:right="57"/>
              <w:rPr>
                <w:sz w:val="18"/>
                <w:szCs w:val="18"/>
              </w:rPr>
            </w:pPr>
            <w:r w:rsidRPr="002C5876">
              <w:rPr>
                <w:sz w:val="18"/>
                <w:szCs w:val="18"/>
              </w:rPr>
              <w:t>M</w:t>
            </w:r>
            <w:r w:rsidRPr="002C5876">
              <w:rPr>
                <w:sz w:val="18"/>
                <w:szCs w:val="18"/>
                <w:vertAlign w:val="subscript"/>
              </w:rPr>
              <w:t>i,CS,c,6</w:t>
            </w:r>
            <w:r w:rsidRPr="002C5876">
              <w:rPr>
                <w:sz w:val="18"/>
                <w:szCs w:val="18"/>
              </w:rPr>
              <w:t>, g/km</w:t>
            </w:r>
          </w:p>
          <w:p w:rsidR="00E24DB7" w:rsidRPr="002C5876" w:rsidRDefault="00E24DB7" w:rsidP="00E24DB7">
            <w:pPr>
              <w:keepNext/>
              <w:keepLines/>
              <w:spacing w:before="40" w:after="40" w:line="240" w:lineRule="auto"/>
              <w:ind w:left="57" w:right="57"/>
              <w:rPr>
                <w:sz w:val="18"/>
                <w:szCs w:val="18"/>
              </w:rPr>
            </w:pPr>
            <w:r w:rsidRPr="002C5876">
              <w:rPr>
                <w:sz w:val="18"/>
                <w:szCs w:val="18"/>
              </w:rPr>
              <w:t>M</w:t>
            </w:r>
            <w:r w:rsidRPr="002C5876">
              <w:rPr>
                <w:sz w:val="18"/>
                <w:szCs w:val="18"/>
                <w:vertAlign w:val="subscript"/>
              </w:rPr>
              <w:t>CO2,CS,c,7</w:t>
            </w:r>
            <w:r w:rsidRPr="002C5876">
              <w:rPr>
                <w:sz w:val="18"/>
                <w:szCs w:val="18"/>
              </w:rPr>
              <w:t>, g/km</w:t>
            </w:r>
            <w:r w:rsidRPr="002C5876">
              <w:rPr>
                <w:sz w:val="18"/>
                <w:szCs w:val="18"/>
              </w:rPr>
              <w:br/>
              <w:t>M</w:t>
            </w:r>
            <w:r w:rsidRPr="002C5876">
              <w:rPr>
                <w:sz w:val="18"/>
                <w:szCs w:val="18"/>
                <w:vertAlign w:val="subscript"/>
              </w:rPr>
              <w:t>CO2,CS,p,7</w:t>
            </w:r>
            <w:r w:rsidRPr="002C5876">
              <w:rPr>
                <w:sz w:val="18"/>
                <w:szCs w:val="18"/>
              </w:rPr>
              <w:t>, g/km</w:t>
            </w:r>
          </w:p>
        </w:tc>
        <w:tc>
          <w:tcPr>
            <w:tcW w:w="2715" w:type="dxa"/>
            <w:tcBorders>
              <w:top w:val="single" w:sz="12" w:space="0" w:color="auto"/>
            </w:tcBorders>
          </w:tcPr>
          <w:p w:rsidR="00E24DB7" w:rsidRPr="002C5876" w:rsidRDefault="00E24DB7" w:rsidP="00E24DB7">
            <w:pPr>
              <w:keepNext/>
              <w:keepLines/>
              <w:suppressAutoHyphens w:val="0"/>
              <w:spacing w:before="40" w:after="40" w:line="240" w:lineRule="auto"/>
              <w:ind w:left="57" w:right="57"/>
              <w:rPr>
                <w:sz w:val="18"/>
                <w:szCs w:val="18"/>
              </w:rPr>
            </w:pPr>
            <w:r w:rsidRPr="002C5876">
              <w:rPr>
                <w:sz w:val="18"/>
                <w:szCs w:val="18"/>
              </w:rPr>
              <w:t>Calcul de la consommation de carburant conformément au paragraphe 6 de l’annexe 7.</w:t>
            </w:r>
          </w:p>
          <w:p w:rsidR="00E24DB7" w:rsidRPr="002C5876" w:rsidRDefault="00E24DB7" w:rsidP="00E24DB7">
            <w:pPr>
              <w:keepNext/>
              <w:keepLines/>
              <w:tabs>
                <w:tab w:val="left" w:pos="421"/>
              </w:tabs>
              <w:spacing w:before="40" w:after="40" w:line="240" w:lineRule="auto"/>
              <w:ind w:left="57" w:right="57"/>
              <w:rPr>
                <w:sz w:val="18"/>
                <w:szCs w:val="18"/>
              </w:rPr>
            </w:pPr>
            <w:r w:rsidRPr="002C5876">
              <w:rPr>
                <w:sz w:val="18"/>
                <w:szCs w:val="18"/>
              </w:rPr>
              <w:t>Le calcul de la consommation de carburant doit être fait séparément pour le cycle applicable et les phases de ce cycle.</w:t>
            </w:r>
          </w:p>
          <w:p w:rsidR="00E24DB7" w:rsidRPr="002C5876" w:rsidRDefault="00E24DB7" w:rsidP="00E24DB7">
            <w:pPr>
              <w:keepNext/>
              <w:keepLines/>
              <w:spacing w:before="40" w:after="40" w:line="240" w:lineRule="auto"/>
              <w:ind w:left="57" w:right="57" w:firstLine="24"/>
              <w:rPr>
                <w:sz w:val="18"/>
                <w:szCs w:val="18"/>
              </w:rPr>
            </w:pPr>
            <w:r w:rsidRPr="002C5876">
              <w:rPr>
                <w:sz w:val="18"/>
                <w:szCs w:val="18"/>
              </w:rPr>
              <w:t>À cette fin :</w:t>
            </w:r>
          </w:p>
          <w:p w:rsidR="00E24DB7" w:rsidRPr="002C5876" w:rsidRDefault="00E24DB7" w:rsidP="00E24DB7">
            <w:pPr>
              <w:keepNext/>
              <w:keepLines/>
              <w:spacing w:before="40" w:after="40" w:line="240" w:lineRule="auto"/>
              <w:ind w:left="284" w:right="57" w:hanging="227"/>
              <w:rPr>
                <w:sz w:val="18"/>
                <w:szCs w:val="18"/>
              </w:rPr>
            </w:pPr>
            <w:r w:rsidRPr="002C5876">
              <w:rPr>
                <w:sz w:val="18"/>
                <w:szCs w:val="18"/>
              </w:rPr>
              <w:t>a)</w:t>
            </w:r>
            <w:r w:rsidRPr="002C5876">
              <w:rPr>
                <w:sz w:val="18"/>
                <w:szCs w:val="18"/>
              </w:rPr>
              <w:tab/>
              <w:t>Les valeurs de CO</w:t>
            </w:r>
            <w:r w:rsidRPr="002C5876">
              <w:rPr>
                <w:sz w:val="18"/>
                <w:szCs w:val="18"/>
                <w:vertAlign w:val="subscript"/>
              </w:rPr>
              <w:t>2</w:t>
            </w:r>
            <w:r w:rsidRPr="002C5876">
              <w:rPr>
                <w:sz w:val="18"/>
                <w:szCs w:val="18"/>
              </w:rPr>
              <w:t xml:space="preserve"> du cycle ou de la phase applicable doivent être utilisées ;</w:t>
            </w:r>
          </w:p>
          <w:p w:rsidR="00E24DB7" w:rsidRPr="002C5876" w:rsidRDefault="00E24DB7" w:rsidP="00E24DB7">
            <w:pPr>
              <w:keepNext/>
              <w:keepLines/>
              <w:spacing w:before="40" w:after="40" w:line="240" w:lineRule="auto"/>
              <w:ind w:left="284" w:right="57" w:hanging="227"/>
              <w:rPr>
                <w:b/>
                <w:sz w:val="18"/>
                <w:szCs w:val="18"/>
              </w:rPr>
            </w:pPr>
            <w:r w:rsidRPr="002C5876">
              <w:rPr>
                <w:sz w:val="18"/>
                <w:szCs w:val="18"/>
              </w:rPr>
              <w:t>b)</w:t>
            </w:r>
            <w:r w:rsidRPr="002C5876">
              <w:rPr>
                <w:sz w:val="18"/>
                <w:szCs w:val="18"/>
              </w:rPr>
              <w:tab/>
              <w:t>Les émissions critères sur le cycle complet doivent être utilisées.</w:t>
            </w:r>
          </w:p>
        </w:tc>
        <w:tc>
          <w:tcPr>
            <w:tcW w:w="1806" w:type="dxa"/>
            <w:tcBorders>
              <w:top w:val="single" w:sz="12" w:space="0" w:color="auto"/>
            </w:tcBorders>
          </w:tcPr>
          <w:p w:rsidR="00E24DB7" w:rsidRPr="00D53F39" w:rsidRDefault="00E24DB7" w:rsidP="00E24DB7">
            <w:pPr>
              <w:keepNext/>
              <w:keepLines/>
              <w:spacing w:before="40" w:after="40" w:line="240" w:lineRule="auto"/>
              <w:ind w:left="57" w:right="57"/>
              <w:rPr>
                <w:b/>
                <w:sz w:val="18"/>
                <w:szCs w:val="18"/>
                <w:lang w:val="en-US"/>
              </w:rPr>
            </w:pPr>
            <w:r w:rsidRPr="00D53F39">
              <w:rPr>
                <w:sz w:val="18"/>
                <w:szCs w:val="18"/>
                <w:lang w:val="en-US"/>
              </w:rPr>
              <w:t>FC</w:t>
            </w:r>
            <w:r w:rsidRPr="00D53F39">
              <w:rPr>
                <w:sz w:val="18"/>
                <w:szCs w:val="18"/>
                <w:vertAlign w:val="subscript"/>
                <w:lang w:val="en-US"/>
              </w:rPr>
              <w:t>CS,c,1</w:t>
            </w:r>
            <w:r w:rsidRPr="00D53F39">
              <w:rPr>
                <w:sz w:val="18"/>
                <w:szCs w:val="18"/>
                <w:lang w:val="en-US"/>
              </w:rPr>
              <w:t>, l/100 km</w:t>
            </w:r>
            <w:r w:rsidRPr="00D53F39">
              <w:rPr>
                <w:sz w:val="18"/>
                <w:szCs w:val="18"/>
                <w:lang w:val="en-US"/>
              </w:rPr>
              <w:br/>
              <w:t>FC</w:t>
            </w:r>
            <w:r w:rsidRPr="00D53F39">
              <w:rPr>
                <w:sz w:val="18"/>
                <w:szCs w:val="18"/>
                <w:vertAlign w:val="subscript"/>
                <w:lang w:val="en-US"/>
              </w:rPr>
              <w:t>CS,p,1</w:t>
            </w:r>
            <w:r w:rsidRPr="00D53F39">
              <w:rPr>
                <w:sz w:val="18"/>
                <w:szCs w:val="18"/>
                <w:lang w:val="en-US"/>
              </w:rPr>
              <w:t>, l/100 km</w:t>
            </w:r>
          </w:p>
        </w:tc>
        <w:tc>
          <w:tcPr>
            <w:tcW w:w="1407" w:type="dxa"/>
            <w:tcBorders>
              <w:top w:val="single" w:sz="12" w:space="0" w:color="auto"/>
            </w:tcBorders>
          </w:tcPr>
          <w:p w:rsidR="00E24DB7" w:rsidRPr="002C5876" w:rsidRDefault="00E24DB7" w:rsidP="00E24DB7">
            <w:pPr>
              <w:keepNext/>
              <w:keepLines/>
              <w:suppressAutoHyphens w:val="0"/>
              <w:spacing w:before="40" w:after="40" w:line="240" w:lineRule="auto"/>
              <w:ind w:left="57" w:right="57"/>
              <w:rPr>
                <w:sz w:val="18"/>
                <w:szCs w:val="18"/>
              </w:rPr>
            </w:pPr>
            <w:r w:rsidRPr="002C5876">
              <w:rPr>
                <w:sz w:val="18"/>
                <w:szCs w:val="18"/>
              </w:rPr>
              <w:t>1</w:t>
            </w:r>
          </w:p>
          <w:p w:rsidR="00E24DB7" w:rsidRPr="002C5876" w:rsidRDefault="00E24DB7" w:rsidP="00E24DB7">
            <w:pPr>
              <w:keepNext/>
              <w:keepLines/>
              <w:spacing w:before="40" w:after="40" w:line="240" w:lineRule="auto"/>
              <w:ind w:left="57" w:right="57"/>
              <w:rPr>
                <w:b/>
                <w:sz w:val="18"/>
                <w:szCs w:val="18"/>
              </w:rPr>
            </w:pPr>
            <w:r w:rsidRPr="002C5876">
              <w:rPr>
                <w:sz w:val="18"/>
                <w:szCs w:val="18"/>
              </w:rPr>
              <w:t>FC</w:t>
            </w:r>
            <w:r w:rsidRPr="002C5876">
              <w:rPr>
                <w:sz w:val="18"/>
                <w:szCs w:val="18"/>
                <w:vertAlign w:val="subscript"/>
              </w:rPr>
              <w:t>CS</w:t>
            </w:r>
            <w:r w:rsidRPr="002C5876">
              <w:rPr>
                <w:sz w:val="18"/>
                <w:szCs w:val="18"/>
              </w:rPr>
              <w:t xml:space="preserve"> résultats d’un essai du type 1 pour un véhicule d’essai.</w:t>
            </w:r>
          </w:p>
        </w:tc>
      </w:tr>
      <w:tr w:rsidR="00E24DB7" w:rsidRPr="002C5876" w:rsidTr="00E24DB7">
        <w:trPr>
          <w:jc w:val="center"/>
        </w:trPr>
        <w:tc>
          <w:tcPr>
            <w:tcW w:w="1919" w:type="dxa"/>
            <w:tcBorders>
              <w:bottom w:val="single" w:sz="4" w:space="0" w:color="auto"/>
            </w:tcBorders>
          </w:tcPr>
          <w:p w:rsidR="00E24DB7" w:rsidRPr="002C5876" w:rsidRDefault="00E24DB7" w:rsidP="00E24DB7">
            <w:pPr>
              <w:spacing w:before="40" w:after="40" w:line="240" w:lineRule="auto"/>
              <w:ind w:left="57" w:right="57"/>
              <w:rPr>
                <w:sz w:val="18"/>
                <w:szCs w:val="18"/>
              </w:rPr>
            </w:pPr>
            <w:r w:rsidRPr="002C5876">
              <w:rPr>
                <w:sz w:val="18"/>
                <w:szCs w:val="18"/>
              </w:rPr>
              <w:t xml:space="preserve">Étape </w:t>
            </w:r>
            <w:r w:rsidRPr="002C5876">
              <w:rPr>
                <w:rFonts w:eastAsia="MS Mincho"/>
                <w:sz w:val="18"/>
                <w:szCs w:val="18"/>
              </w:rPr>
              <w:t>n</w:t>
            </w:r>
            <w:r w:rsidRPr="002C5876">
              <w:rPr>
                <w:rFonts w:eastAsia="MS Mincho"/>
                <w:sz w:val="18"/>
                <w:szCs w:val="18"/>
                <w:vertAlign w:val="superscript"/>
              </w:rPr>
              <w:t>o</w:t>
            </w:r>
            <w:r w:rsidRPr="002C5876">
              <w:rPr>
                <w:rFonts w:eastAsia="MS Mincho"/>
                <w:sz w:val="18"/>
                <w:szCs w:val="18"/>
              </w:rPr>
              <w:t> </w:t>
            </w:r>
            <w:r w:rsidRPr="002C5876">
              <w:rPr>
                <w:sz w:val="18"/>
                <w:szCs w:val="18"/>
              </w:rPr>
              <w:t xml:space="preserve">1 </w:t>
            </w:r>
            <w:r w:rsidRPr="002C5876">
              <w:rPr>
                <w:sz w:val="18"/>
                <w:szCs w:val="18"/>
              </w:rPr>
              <w:br/>
              <w:t>de ce tableau</w:t>
            </w:r>
          </w:p>
        </w:tc>
        <w:tc>
          <w:tcPr>
            <w:tcW w:w="1792" w:type="dxa"/>
            <w:tcBorders>
              <w:bottom w:val="single" w:sz="4" w:space="0" w:color="auto"/>
            </w:tcBorders>
          </w:tcPr>
          <w:p w:rsidR="00E24DB7" w:rsidRPr="002C5876" w:rsidRDefault="00E24DB7" w:rsidP="00E24DB7">
            <w:pPr>
              <w:spacing w:before="40" w:after="40" w:line="240" w:lineRule="auto"/>
              <w:ind w:left="57" w:right="57"/>
              <w:rPr>
                <w:sz w:val="18"/>
                <w:szCs w:val="18"/>
              </w:rPr>
            </w:pPr>
            <w:r w:rsidRPr="002C5876">
              <w:rPr>
                <w:sz w:val="18"/>
                <w:szCs w:val="18"/>
              </w:rPr>
              <w:t>Pour chacun des véhicules d’essai H et L :</w:t>
            </w:r>
          </w:p>
          <w:p w:rsidR="00E24DB7" w:rsidRPr="00D53F39" w:rsidRDefault="00E24DB7" w:rsidP="00E24DB7">
            <w:pPr>
              <w:keepNext/>
              <w:keepLines/>
              <w:spacing w:before="40" w:after="40" w:line="240" w:lineRule="auto"/>
              <w:ind w:left="57" w:right="57"/>
              <w:rPr>
                <w:sz w:val="18"/>
                <w:szCs w:val="18"/>
                <w:lang w:val="en-US"/>
              </w:rPr>
            </w:pPr>
            <w:r w:rsidRPr="00D53F39">
              <w:rPr>
                <w:sz w:val="18"/>
                <w:szCs w:val="18"/>
                <w:lang w:val="en-US"/>
              </w:rPr>
              <w:t>FC</w:t>
            </w:r>
            <w:r w:rsidRPr="00D53F39">
              <w:rPr>
                <w:sz w:val="18"/>
                <w:szCs w:val="18"/>
                <w:vertAlign w:val="subscript"/>
                <w:lang w:val="en-US"/>
              </w:rPr>
              <w:t>CS,c,1</w:t>
            </w:r>
            <w:r w:rsidRPr="00D53F39">
              <w:rPr>
                <w:sz w:val="18"/>
                <w:szCs w:val="18"/>
                <w:lang w:val="en-US"/>
              </w:rPr>
              <w:t>, l/100 km</w:t>
            </w:r>
            <w:r w:rsidRPr="00D53F39">
              <w:rPr>
                <w:sz w:val="18"/>
                <w:szCs w:val="18"/>
                <w:lang w:val="en-US"/>
              </w:rPr>
              <w:br/>
              <w:t>FC</w:t>
            </w:r>
            <w:r w:rsidRPr="00D53F39">
              <w:rPr>
                <w:sz w:val="18"/>
                <w:szCs w:val="18"/>
                <w:vertAlign w:val="subscript"/>
                <w:lang w:val="en-US"/>
              </w:rPr>
              <w:t>CS,p,1</w:t>
            </w:r>
            <w:r w:rsidRPr="00D53F39">
              <w:rPr>
                <w:sz w:val="18"/>
                <w:szCs w:val="18"/>
                <w:lang w:val="en-US"/>
              </w:rPr>
              <w:t>, l/100 km</w:t>
            </w:r>
          </w:p>
        </w:tc>
        <w:tc>
          <w:tcPr>
            <w:tcW w:w="2715" w:type="dxa"/>
            <w:tcBorders>
              <w:bottom w:val="single" w:sz="4" w:space="0" w:color="auto"/>
            </w:tcBorders>
          </w:tcPr>
          <w:p w:rsidR="00E24DB7" w:rsidRPr="002C5876" w:rsidRDefault="00E24DB7" w:rsidP="00E24DB7">
            <w:pPr>
              <w:suppressAutoHyphens w:val="0"/>
              <w:spacing w:before="40" w:after="40" w:line="240" w:lineRule="auto"/>
              <w:ind w:left="57" w:right="57"/>
              <w:rPr>
                <w:sz w:val="18"/>
                <w:szCs w:val="18"/>
              </w:rPr>
            </w:pPr>
            <w:r w:rsidRPr="002C5876">
              <w:rPr>
                <w:sz w:val="18"/>
                <w:szCs w:val="18"/>
              </w:rPr>
              <w:t xml:space="preserve">Pour FC, les valeurs dérivées de l’étape </w:t>
            </w:r>
            <w:r w:rsidRPr="002C5876">
              <w:rPr>
                <w:rFonts w:eastAsia="MS Mincho"/>
                <w:sz w:val="18"/>
                <w:szCs w:val="18"/>
              </w:rPr>
              <w:t>n</w:t>
            </w:r>
            <w:r w:rsidRPr="002C5876">
              <w:rPr>
                <w:rFonts w:eastAsia="MS Mincho"/>
                <w:sz w:val="18"/>
                <w:szCs w:val="18"/>
                <w:vertAlign w:val="superscript"/>
              </w:rPr>
              <w:t>o</w:t>
            </w:r>
            <w:r w:rsidRPr="002C5876">
              <w:rPr>
                <w:rFonts w:eastAsia="MS Mincho"/>
                <w:sz w:val="18"/>
                <w:szCs w:val="18"/>
              </w:rPr>
              <w:t> </w:t>
            </w:r>
            <w:r w:rsidRPr="002C5876">
              <w:rPr>
                <w:sz w:val="18"/>
                <w:szCs w:val="18"/>
              </w:rPr>
              <w:t>1 de ce tableau doivent être utilisées.</w:t>
            </w:r>
          </w:p>
          <w:p w:rsidR="00E24DB7" w:rsidRPr="002C5876" w:rsidRDefault="00E24DB7" w:rsidP="00E24DB7">
            <w:pPr>
              <w:suppressAutoHyphens w:val="0"/>
              <w:spacing w:before="40" w:after="40" w:line="240" w:lineRule="auto"/>
              <w:ind w:left="57" w:right="57"/>
              <w:rPr>
                <w:sz w:val="18"/>
                <w:szCs w:val="18"/>
              </w:rPr>
            </w:pPr>
            <w:r w:rsidRPr="002C5876">
              <w:rPr>
                <w:sz w:val="18"/>
                <w:szCs w:val="18"/>
              </w:rPr>
              <w:t>Les valeurs FC doivent être arrondies à la troisième décimale.</w:t>
            </w:r>
          </w:p>
        </w:tc>
        <w:tc>
          <w:tcPr>
            <w:tcW w:w="1806" w:type="dxa"/>
            <w:tcBorders>
              <w:bottom w:val="single" w:sz="4" w:space="0" w:color="auto"/>
            </w:tcBorders>
          </w:tcPr>
          <w:p w:rsidR="00E24DB7" w:rsidRPr="002C5876" w:rsidRDefault="00E24DB7" w:rsidP="00E24DB7">
            <w:pPr>
              <w:keepNext/>
              <w:keepLines/>
              <w:spacing w:before="40" w:after="40" w:line="240" w:lineRule="auto"/>
              <w:ind w:left="57" w:right="57"/>
              <w:rPr>
                <w:sz w:val="18"/>
                <w:szCs w:val="18"/>
              </w:rPr>
            </w:pPr>
            <w:r w:rsidRPr="002C5876">
              <w:rPr>
                <w:spacing w:val="-1"/>
                <w:sz w:val="18"/>
                <w:szCs w:val="18"/>
              </w:rPr>
              <w:t>FC</w:t>
            </w:r>
            <w:r w:rsidRPr="002C5876">
              <w:rPr>
                <w:spacing w:val="-1"/>
                <w:sz w:val="18"/>
                <w:szCs w:val="18"/>
                <w:vertAlign w:val="subscript"/>
              </w:rPr>
              <w:t>CS,c,H</w:t>
            </w:r>
            <w:r w:rsidRPr="002C5876">
              <w:rPr>
                <w:spacing w:val="-1"/>
                <w:sz w:val="18"/>
                <w:szCs w:val="18"/>
              </w:rPr>
              <w:t>, l/100 km</w:t>
            </w:r>
            <w:r w:rsidRPr="002C5876">
              <w:rPr>
                <w:sz w:val="18"/>
                <w:szCs w:val="18"/>
              </w:rPr>
              <w:br/>
              <w:t>FC</w:t>
            </w:r>
            <w:r w:rsidRPr="002C5876">
              <w:rPr>
                <w:sz w:val="18"/>
                <w:szCs w:val="18"/>
                <w:vertAlign w:val="subscript"/>
              </w:rPr>
              <w:t>CS,p,H</w:t>
            </w:r>
            <w:r w:rsidRPr="002C5876">
              <w:rPr>
                <w:sz w:val="18"/>
                <w:szCs w:val="18"/>
              </w:rPr>
              <w:t>, l/100 km et en cas d’essai d’un véhicule L :</w:t>
            </w:r>
          </w:p>
          <w:p w:rsidR="00E24DB7" w:rsidRPr="00D53F39" w:rsidRDefault="00E24DB7" w:rsidP="00E24DB7">
            <w:pPr>
              <w:keepNext/>
              <w:keepLines/>
              <w:spacing w:before="40" w:after="40" w:line="240" w:lineRule="auto"/>
              <w:ind w:left="57" w:right="57"/>
              <w:rPr>
                <w:sz w:val="18"/>
                <w:szCs w:val="18"/>
                <w:lang w:val="en-US"/>
              </w:rPr>
            </w:pPr>
            <w:r w:rsidRPr="00D53F39">
              <w:rPr>
                <w:sz w:val="18"/>
                <w:szCs w:val="18"/>
                <w:lang w:val="en-US"/>
              </w:rPr>
              <w:t>FC</w:t>
            </w:r>
            <w:r w:rsidRPr="00D53F39">
              <w:rPr>
                <w:sz w:val="18"/>
                <w:szCs w:val="18"/>
                <w:vertAlign w:val="subscript"/>
                <w:lang w:val="en-US"/>
              </w:rPr>
              <w:t>CS,c,L</w:t>
            </w:r>
            <w:r w:rsidRPr="00D53F39">
              <w:rPr>
                <w:sz w:val="18"/>
                <w:szCs w:val="18"/>
                <w:lang w:val="en-US"/>
              </w:rPr>
              <w:t>, l/100 km</w:t>
            </w:r>
            <w:r w:rsidRPr="00D53F39">
              <w:rPr>
                <w:sz w:val="18"/>
                <w:szCs w:val="18"/>
                <w:lang w:val="en-US"/>
              </w:rPr>
              <w:br/>
              <w:t>FC</w:t>
            </w:r>
            <w:r w:rsidRPr="00D53F39">
              <w:rPr>
                <w:sz w:val="18"/>
                <w:szCs w:val="18"/>
                <w:vertAlign w:val="subscript"/>
                <w:lang w:val="en-US"/>
              </w:rPr>
              <w:t>CS,p,L</w:t>
            </w:r>
            <w:r w:rsidRPr="00D53F39">
              <w:rPr>
                <w:sz w:val="18"/>
                <w:szCs w:val="18"/>
                <w:lang w:val="en-US"/>
              </w:rPr>
              <w:t xml:space="preserve">, l/100 km </w:t>
            </w:r>
          </w:p>
        </w:tc>
        <w:tc>
          <w:tcPr>
            <w:tcW w:w="1407" w:type="dxa"/>
            <w:tcBorders>
              <w:bottom w:val="single" w:sz="4" w:space="0" w:color="auto"/>
            </w:tcBorders>
          </w:tcPr>
          <w:p w:rsidR="00E24DB7" w:rsidRPr="002C5876" w:rsidRDefault="00E24DB7" w:rsidP="00E24DB7">
            <w:pPr>
              <w:suppressAutoHyphens w:val="0"/>
              <w:spacing w:before="40" w:after="40" w:line="240" w:lineRule="auto"/>
              <w:ind w:left="57" w:right="57"/>
              <w:rPr>
                <w:sz w:val="18"/>
                <w:szCs w:val="18"/>
              </w:rPr>
            </w:pPr>
            <w:r w:rsidRPr="002C5876">
              <w:rPr>
                <w:sz w:val="18"/>
                <w:szCs w:val="18"/>
              </w:rPr>
              <w:t>2</w:t>
            </w:r>
          </w:p>
          <w:p w:rsidR="00E24DB7" w:rsidRPr="002C5876" w:rsidRDefault="00E24DB7" w:rsidP="00E24DB7">
            <w:pPr>
              <w:suppressAutoHyphens w:val="0"/>
              <w:spacing w:before="40" w:after="40" w:line="240" w:lineRule="auto"/>
              <w:ind w:left="57" w:right="57"/>
              <w:rPr>
                <w:spacing w:val="-12"/>
                <w:sz w:val="18"/>
                <w:szCs w:val="18"/>
              </w:rPr>
            </w:pPr>
            <w:r w:rsidRPr="002C5876">
              <w:rPr>
                <w:sz w:val="18"/>
                <w:szCs w:val="18"/>
              </w:rPr>
              <w:t xml:space="preserve">Résultat </w:t>
            </w:r>
            <w:r w:rsidRPr="002C5876">
              <w:rPr>
                <w:sz w:val="18"/>
                <w:szCs w:val="18"/>
              </w:rPr>
              <w:br/>
              <w:t>d</w:t>
            </w:r>
            <w:r w:rsidRPr="002C5876">
              <w:rPr>
                <w:color w:val="FF0000"/>
                <w:sz w:val="18"/>
                <w:szCs w:val="18"/>
              </w:rPr>
              <w:t>’</w:t>
            </w:r>
            <w:r w:rsidRPr="002C5876">
              <w:rPr>
                <w:sz w:val="18"/>
                <w:szCs w:val="18"/>
              </w:rPr>
              <w:t xml:space="preserve">une famille </w:t>
            </w:r>
            <w:r w:rsidRPr="002C5876">
              <w:rPr>
                <w:spacing w:val="-4"/>
                <w:sz w:val="18"/>
                <w:szCs w:val="18"/>
              </w:rPr>
              <w:t>d’interpolation</w:t>
            </w:r>
            <w:r w:rsidRPr="002C5876">
              <w:rPr>
                <w:spacing w:val="-12"/>
                <w:sz w:val="18"/>
                <w:szCs w:val="18"/>
              </w:rPr>
              <w:t>.</w:t>
            </w:r>
          </w:p>
          <w:p w:rsidR="00E24DB7" w:rsidRPr="002C5876" w:rsidRDefault="00E24DB7" w:rsidP="00E24DB7">
            <w:pPr>
              <w:suppressAutoHyphens w:val="0"/>
              <w:spacing w:before="40" w:after="40" w:line="240" w:lineRule="auto"/>
              <w:ind w:left="57" w:right="57"/>
              <w:rPr>
                <w:sz w:val="18"/>
                <w:szCs w:val="18"/>
              </w:rPr>
            </w:pPr>
            <w:r w:rsidRPr="002C5876">
              <w:rPr>
                <w:sz w:val="18"/>
                <w:szCs w:val="18"/>
              </w:rPr>
              <w:t>Résultat final des émissions critères.</w:t>
            </w:r>
          </w:p>
        </w:tc>
      </w:tr>
      <w:tr w:rsidR="00E24DB7" w:rsidRPr="002C5876" w:rsidTr="00E24DB7">
        <w:trPr>
          <w:jc w:val="center"/>
        </w:trPr>
        <w:tc>
          <w:tcPr>
            <w:tcW w:w="1919" w:type="dxa"/>
            <w:tcBorders>
              <w:bottom w:val="single" w:sz="12" w:space="0" w:color="auto"/>
            </w:tcBorders>
          </w:tcPr>
          <w:p w:rsidR="00E24DB7" w:rsidRPr="002C5876" w:rsidRDefault="00E24DB7" w:rsidP="00E24DB7">
            <w:pPr>
              <w:spacing w:before="40" w:after="40" w:line="240" w:lineRule="auto"/>
              <w:ind w:left="57" w:right="57"/>
              <w:rPr>
                <w:sz w:val="18"/>
                <w:szCs w:val="18"/>
              </w:rPr>
            </w:pPr>
            <w:r w:rsidRPr="002C5876">
              <w:rPr>
                <w:sz w:val="18"/>
                <w:szCs w:val="18"/>
              </w:rPr>
              <w:t xml:space="preserve">Étape </w:t>
            </w:r>
            <w:r w:rsidRPr="002C5876">
              <w:rPr>
                <w:rFonts w:eastAsia="MS Mincho"/>
                <w:sz w:val="18"/>
                <w:szCs w:val="18"/>
              </w:rPr>
              <w:t>n</w:t>
            </w:r>
            <w:r w:rsidRPr="002C5876">
              <w:rPr>
                <w:rFonts w:eastAsia="MS Mincho"/>
                <w:sz w:val="18"/>
                <w:szCs w:val="18"/>
                <w:vertAlign w:val="superscript"/>
              </w:rPr>
              <w:t>o</w:t>
            </w:r>
            <w:r w:rsidRPr="002C5876">
              <w:rPr>
                <w:rFonts w:eastAsia="MS Mincho"/>
                <w:sz w:val="18"/>
                <w:szCs w:val="18"/>
              </w:rPr>
              <w:t> </w:t>
            </w:r>
            <w:r w:rsidRPr="002C5876">
              <w:rPr>
                <w:sz w:val="18"/>
                <w:szCs w:val="18"/>
              </w:rPr>
              <w:t xml:space="preserve">2 </w:t>
            </w:r>
            <w:r w:rsidRPr="002C5876">
              <w:rPr>
                <w:sz w:val="18"/>
                <w:szCs w:val="18"/>
              </w:rPr>
              <w:br/>
              <w:t>de ce tableau</w:t>
            </w:r>
          </w:p>
        </w:tc>
        <w:tc>
          <w:tcPr>
            <w:tcW w:w="1792" w:type="dxa"/>
            <w:tcBorders>
              <w:bottom w:val="single" w:sz="12" w:space="0" w:color="auto"/>
            </w:tcBorders>
          </w:tcPr>
          <w:p w:rsidR="00E24DB7" w:rsidRPr="00D53F39" w:rsidRDefault="00E24DB7" w:rsidP="00E24DB7">
            <w:pPr>
              <w:suppressAutoHyphens w:val="0"/>
              <w:spacing w:before="40" w:after="40" w:line="240" w:lineRule="auto"/>
              <w:ind w:left="57" w:right="57"/>
              <w:rPr>
                <w:sz w:val="18"/>
                <w:szCs w:val="18"/>
                <w:lang w:val="en-US"/>
              </w:rPr>
            </w:pPr>
            <w:r w:rsidRPr="00D53F39">
              <w:rPr>
                <w:spacing w:val="-1"/>
                <w:sz w:val="18"/>
                <w:szCs w:val="18"/>
                <w:lang w:val="en-US"/>
              </w:rPr>
              <w:t>FC</w:t>
            </w:r>
            <w:r w:rsidRPr="00D53F39">
              <w:rPr>
                <w:spacing w:val="-1"/>
                <w:sz w:val="18"/>
                <w:szCs w:val="18"/>
                <w:vertAlign w:val="subscript"/>
                <w:lang w:val="en-US"/>
              </w:rPr>
              <w:t>CS,c,H</w:t>
            </w:r>
            <w:r w:rsidRPr="00D53F39">
              <w:rPr>
                <w:spacing w:val="-1"/>
                <w:sz w:val="18"/>
                <w:szCs w:val="18"/>
                <w:lang w:val="en-US"/>
              </w:rPr>
              <w:t>, l/100 km</w:t>
            </w:r>
            <w:r w:rsidRPr="00D53F39">
              <w:rPr>
                <w:sz w:val="18"/>
                <w:szCs w:val="18"/>
                <w:lang w:val="en-US"/>
              </w:rPr>
              <w:br/>
              <w:t>FC</w:t>
            </w:r>
            <w:r w:rsidRPr="00D53F39">
              <w:rPr>
                <w:sz w:val="18"/>
                <w:szCs w:val="18"/>
                <w:vertAlign w:val="subscript"/>
                <w:lang w:val="en-US"/>
              </w:rPr>
              <w:t>CS,p,H</w:t>
            </w:r>
            <w:r w:rsidRPr="00D53F39">
              <w:rPr>
                <w:sz w:val="18"/>
                <w:szCs w:val="18"/>
                <w:lang w:val="en-US"/>
              </w:rPr>
              <w:t>, l/100 km</w:t>
            </w:r>
          </w:p>
          <w:p w:rsidR="00E24DB7" w:rsidRPr="002C5876" w:rsidRDefault="00E24DB7" w:rsidP="00E24DB7">
            <w:pPr>
              <w:suppressAutoHyphens w:val="0"/>
              <w:spacing w:before="40" w:after="40" w:line="240" w:lineRule="auto"/>
              <w:ind w:left="57" w:right="57"/>
              <w:rPr>
                <w:sz w:val="18"/>
                <w:szCs w:val="18"/>
              </w:rPr>
            </w:pPr>
            <w:r w:rsidRPr="002C5876">
              <w:rPr>
                <w:sz w:val="18"/>
                <w:szCs w:val="18"/>
              </w:rPr>
              <w:t>et en cas d’essai d’un véhicule L :</w:t>
            </w:r>
          </w:p>
          <w:p w:rsidR="00E24DB7" w:rsidRPr="00D53F39" w:rsidRDefault="00E24DB7" w:rsidP="00E24DB7">
            <w:pPr>
              <w:spacing w:before="40" w:after="40" w:line="240" w:lineRule="auto"/>
              <w:ind w:left="57" w:right="57"/>
              <w:rPr>
                <w:sz w:val="18"/>
                <w:szCs w:val="18"/>
                <w:lang w:val="en-US"/>
              </w:rPr>
            </w:pPr>
            <w:r w:rsidRPr="00D53F39">
              <w:rPr>
                <w:spacing w:val="-1"/>
                <w:sz w:val="18"/>
                <w:szCs w:val="18"/>
                <w:lang w:val="en-US"/>
              </w:rPr>
              <w:t>FC</w:t>
            </w:r>
            <w:r w:rsidRPr="00D53F39">
              <w:rPr>
                <w:spacing w:val="-1"/>
                <w:sz w:val="18"/>
                <w:szCs w:val="18"/>
                <w:vertAlign w:val="subscript"/>
                <w:lang w:val="en-US"/>
              </w:rPr>
              <w:t>CS,c,L</w:t>
            </w:r>
            <w:r w:rsidRPr="00D53F39">
              <w:rPr>
                <w:spacing w:val="-1"/>
                <w:sz w:val="18"/>
                <w:szCs w:val="18"/>
                <w:lang w:val="en-US"/>
              </w:rPr>
              <w:t>, l/100 km</w:t>
            </w:r>
            <w:r w:rsidRPr="00D53F39">
              <w:rPr>
                <w:sz w:val="18"/>
                <w:szCs w:val="18"/>
                <w:lang w:val="en-US"/>
              </w:rPr>
              <w:br/>
              <w:t>FC</w:t>
            </w:r>
            <w:r w:rsidRPr="00D53F39">
              <w:rPr>
                <w:sz w:val="18"/>
                <w:szCs w:val="18"/>
                <w:vertAlign w:val="subscript"/>
                <w:lang w:val="en-US"/>
              </w:rPr>
              <w:t>CS,p,L</w:t>
            </w:r>
            <w:r w:rsidRPr="00D53F39">
              <w:rPr>
                <w:sz w:val="18"/>
                <w:szCs w:val="18"/>
                <w:lang w:val="en-US"/>
              </w:rPr>
              <w:t>, l/100 km</w:t>
            </w:r>
          </w:p>
        </w:tc>
        <w:tc>
          <w:tcPr>
            <w:tcW w:w="2715" w:type="dxa"/>
            <w:tcBorders>
              <w:bottom w:val="single" w:sz="12" w:space="0" w:color="auto"/>
            </w:tcBorders>
          </w:tcPr>
          <w:p w:rsidR="00E24DB7" w:rsidRPr="002C5876" w:rsidRDefault="00E24DB7" w:rsidP="00E24DB7">
            <w:pPr>
              <w:suppressAutoHyphens w:val="0"/>
              <w:spacing w:before="40" w:after="40" w:line="240" w:lineRule="auto"/>
              <w:ind w:left="57" w:right="57"/>
              <w:rPr>
                <w:sz w:val="18"/>
                <w:szCs w:val="18"/>
              </w:rPr>
            </w:pPr>
            <w:r w:rsidRPr="002C5876">
              <w:rPr>
                <w:sz w:val="18"/>
                <w:szCs w:val="18"/>
              </w:rPr>
              <w:t>Le calcul de la consommation de carburant doit être fait conformément au paragraphe 4.5.5.1 de la présente annexe pour chacun des véhicules d’une famille d’interpolation.</w:t>
            </w:r>
          </w:p>
          <w:p w:rsidR="00E24DB7" w:rsidRPr="002C5876" w:rsidRDefault="00E24DB7" w:rsidP="00E24DB7">
            <w:pPr>
              <w:suppressAutoHyphens w:val="0"/>
              <w:spacing w:before="40" w:after="40" w:line="240" w:lineRule="auto"/>
              <w:ind w:left="57" w:right="57"/>
              <w:rPr>
                <w:sz w:val="18"/>
                <w:szCs w:val="18"/>
              </w:rPr>
            </w:pPr>
            <w:r w:rsidRPr="002C5876">
              <w:rPr>
                <w:sz w:val="18"/>
                <w:szCs w:val="18"/>
              </w:rPr>
              <w:t xml:space="preserve">Les valeurs FC doivent être arrondies conformément </w:t>
            </w:r>
            <w:r w:rsidRPr="002C5876">
              <w:rPr>
                <w:sz w:val="18"/>
                <w:szCs w:val="18"/>
              </w:rPr>
              <w:br/>
              <w:t>au tableau A8/2. </w:t>
            </w:r>
          </w:p>
        </w:tc>
        <w:tc>
          <w:tcPr>
            <w:tcW w:w="1806" w:type="dxa"/>
            <w:tcBorders>
              <w:bottom w:val="single" w:sz="12" w:space="0" w:color="auto"/>
            </w:tcBorders>
          </w:tcPr>
          <w:p w:rsidR="00E24DB7" w:rsidRPr="00D53F39" w:rsidRDefault="00E24DB7" w:rsidP="00E24DB7">
            <w:pPr>
              <w:suppressAutoHyphens w:val="0"/>
              <w:spacing w:before="40" w:after="40" w:line="240" w:lineRule="auto"/>
              <w:ind w:left="57" w:right="57"/>
              <w:rPr>
                <w:sz w:val="18"/>
                <w:szCs w:val="18"/>
                <w:lang w:val="en-US"/>
              </w:rPr>
            </w:pPr>
            <w:r w:rsidRPr="00D53F39">
              <w:rPr>
                <w:spacing w:val="-3"/>
                <w:sz w:val="18"/>
                <w:szCs w:val="18"/>
                <w:lang w:val="en-US"/>
              </w:rPr>
              <w:t>FC</w:t>
            </w:r>
            <w:r w:rsidRPr="00D53F39">
              <w:rPr>
                <w:spacing w:val="-3"/>
                <w:sz w:val="18"/>
                <w:szCs w:val="18"/>
                <w:vertAlign w:val="subscript"/>
                <w:lang w:val="en-US"/>
              </w:rPr>
              <w:t>CS,c,ind</w:t>
            </w:r>
            <w:r w:rsidRPr="00D53F39">
              <w:rPr>
                <w:spacing w:val="-3"/>
                <w:sz w:val="18"/>
                <w:szCs w:val="18"/>
                <w:lang w:val="en-US"/>
              </w:rPr>
              <w:t>, l/100 km</w:t>
            </w:r>
            <w:r w:rsidRPr="00D53F39">
              <w:rPr>
                <w:sz w:val="18"/>
                <w:szCs w:val="18"/>
                <w:lang w:val="en-US"/>
              </w:rPr>
              <w:br/>
              <w:t>FC</w:t>
            </w:r>
            <w:r w:rsidRPr="00D53F39">
              <w:rPr>
                <w:sz w:val="18"/>
                <w:szCs w:val="18"/>
                <w:vertAlign w:val="subscript"/>
                <w:lang w:val="en-US"/>
              </w:rPr>
              <w:t>CS,p,ind</w:t>
            </w:r>
            <w:r w:rsidRPr="00D53F39">
              <w:rPr>
                <w:sz w:val="18"/>
                <w:szCs w:val="18"/>
                <w:lang w:val="en-US"/>
              </w:rPr>
              <w:t xml:space="preserve">, l/100 km </w:t>
            </w:r>
          </w:p>
        </w:tc>
        <w:tc>
          <w:tcPr>
            <w:tcW w:w="1407" w:type="dxa"/>
            <w:tcBorders>
              <w:bottom w:val="single" w:sz="12" w:space="0" w:color="auto"/>
            </w:tcBorders>
          </w:tcPr>
          <w:p w:rsidR="00E24DB7" w:rsidRPr="002C5876" w:rsidRDefault="00E24DB7" w:rsidP="00E24DB7">
            <w:pPr>
              <w:suppressAutoHyphens w:val="0"/>
              <w:spacing w:before="40" w:after="40" w:line="240" w:lineRule="auto"/>
              <w:ind w:left="57" w:right="57"/>
              <w:rPr>
                <w:sz w:val="18"/>
                <w:szCs w:val="18"/>
              </w:rPr>
            </w:pPr>
            <w:r w:rsidRPr="002C5876">
              <w:rPr>
                <w:sz w:val="18"/>
                <w:szCs w:val="18"/>
              </w:rPr>
              <w:t>3</w:t>
            </w:r>
          </w:p>
          <w:p w:rsidR="00E24DB7" w:rsidRPr="002C5876" w:rsidRDefault="00E24DB7" w:rsidP="00E24DB7">
            <w:pPr>
              <w:suppressAutoHyphens w:val="0"/>
              <w:spacing w:before="40" w:after="40" w:line="240" w:lineRule="auto"/>
              <w:ind w:left="57" w:right="57"/>
              <w:rPr>
                <w:sz w:val="18"/>
                <w:szCs w:val="18"/>
              </w:rPr>
            </w:pPr>
            <w:r w:rsidRPr="002C5876">
              <w:rPr>
                <w:sz w:val="18"/>
                <w:szCs w:val="18"/>
              </w:rPr>
              <w:t>Résultat d’un véhicule donné</w:t>
            </w:r>
          </w:p>
          <w:p w:rsidR="00E24DB7" w:rsidRPr="002C5876" w:rsidRDefault="00E24DB7" w:rsidP="00E24DB7">
            <w:pPr>
              <w:suppressAutoHyphens w:val="0"/>
              <w:spacing w:before="40" w:after="40" w:line="240" w:lineRule="auto"/>
              <w:ind w:left="57" w:right="57"/>
              <w:rPr>
                <w:sz w:val="18"/>
                <w:szCs w:val="18"/>
              </w:rPr>
            </w:pPr>
            <w:r w:rsidRPr="002C5876">
              <w:rPr>
                <w:sz w:val="18"/>
                <w:szCs w:val="18"/>
              </w:rPr>
              <w:t>Résultat final pour FC.</w:t>
            </w:r>
          </w:p>
        </w:tc>
      </w:tr>
    </w:tbl>
    <w:p w:rsidR="00E24DB7" w:rsidRPr="002C5876" w:rsidRDefault="00E24DB7" w:rsidP="00E24DB7">
      <w:pPr>
        <w:pStyle w:val="SingleTxtG"/>
        <w:keepNext/>
        <w:spacing w:before="240"/>
        <w:ind w:left="2268" w:hanging="1134"/>
        <w:jc w:val="left"/>
      </w:pPr>
      <w:r w:rsidRPr="002C5876">
        <w:t>4.2.1.2</w:t>
      </w:r>
      <w:r w:rsidRPr="002C5876">
        <w:tab/>
        <w:t xml:space="preserve">Consommation de carburant en mode maintien de la charge </w:t>
      </w:r>
      <w:r w:rsidRPr="002C5876">
        <w:br/>
        <w:t>pour les VHPC-NRE</w:t>
      </w:r>
    </w:p>
    <w:p w:rsidR="00E24DB7" w:rsidRPr="002C5876" w:rsidRDefault="00E24DB7" w:rsidP="00E24DB7">
      <w:pPr>
        <w:pStyle w:val="SingleTxtG"/>
        <w:keepNext/>
        <w:ind w:left="2268" w:hanging="1134"/>
        <w:jc w:val="left"/>
        <w:rPr>
          <w:color w:val="000000"/>
        </w:rPr>
      </w:pPr>
      <w:r w:rsidRPr="002C5876">
        <w:rPr>
          <w:color w:val="000000"/>
        </w:rPr>
        <w:t>4.2.1.2.1</w:t>
      </w:r>
      <w:r w:rsidRPr="002C5876">
        <w:rPr>
          <w:color w:val="000000"/>
        </w:rPr>
        <w:tab/>
        <w:t xml:space="preserve">Procédure par étapes pour le calcul des résultats finals de l’essai du type 1 </w:t>
      </w:r>
      <w:r w:rsidRPr="002C5876">
        <w:rPr>
          <w:color w:val="000000"/>
        </w:rPr>
        <w:br/>
        <w:t>en mode maintien de la charge pour les VHPC-NRE</w:t>
      </w:r>
    </w:p>
    <w:p w:rsidR="00E24DB7" w:rsidRPr="002C5876" w:rsidRDefault="00E24DB7" w:rsidP="00E24DB7">
      <w:pPr>
        <w:pStyle w:val="SingleTxtG"/>
        <w:ind w:left="2268"/>
        <w:rPr>
          <w:color w:val="000000"/>
        </w:rPr>
      </w:pPr>
      <w:r w:rsidRPr="002C5876">
        <w:rPr>
          <w:color w:val="000000"/>
        </w:rPr>
        <w:t>Les résultats doivent être calculés dans l’ordre indiqué au tableau A8/7. Tous les résultats applicables dans la colonne « Données de sortie » doivent être enregistrés. La colonne « Processus » indique les paragraphes à appliquer pour les calculs ou contient des calculs additionnels.</w:t>
      </w:r>
    </w:p>
    <w:p w:rsidR="00E24DB7" w:rsidRPr="002C5876" w:rsidRDefault="00E24DB7" w:rsidP="00E24DB7">
      <w:pPr>
        <w:pStyle w:val="SingleTxtG"/>
        <w:keepNext/>
        <w:ind w:left="2268"/>
        <w:rPr>
          <w:color w:val="000000"/>
        </w:rPr>
      </w:pPr>
      <w:r w:rsidRPr="002C5876">
        <w:rPr>
          <w:color w:val="000000"/>
        </w:rPr>
        <w:lastRenderedPageBreak/>
        <w:t>Dans ce même tableau, la nomenclature suivante est utilisée dans les équations et les résultats :</w:t>
      </w:r>
    </w:p>
    <w:p w:rsidR="00E24DB7" w:rsidRPr="002C5876" w:rsidRDefault="00E24DB7" w:rsidP="00E24DB7">
      <w:pPr>
        <w:pStyle w:val="SingleTxtG"/>
        <w:ind w:left="3402" w:hanging="1134"/>
        <w:rPr>
          <w:color w:val="000000"/>
        </w:rPr>
      </w:pPr>
      <w:r w:rsidRPr="002C5876">
        <w:rPr>
          <w:color w:val="000000"/>
        </w:rPr>
        <w:t>c</w:t>
      </w:r>
      <w:r w:rsidRPr="002C5876">
        <w:rPr>
          <w:color w:val="000000"/>
        </w:rPr>
        <w:tab/>
        <w:t>cycle d’essai applicable complet ;</w:t>
      </w:r>
    </w:p>
    <w:p w:rsidR="00E24DB7" w:rsidRPr="002C5876" w:rsidRDefault="00E24DB7" w:rsidP="00E24DB7">
      <w:pPr>
        <w:pStyle w:val="SingleTxtG"/>
        <w:ind w:left="3402" w:hanging="1134"/>
        <w:rPr>
          <w:color w:val="000000"/>
        </w:rPr>
      </w:pPr>
      <w:r w:rsidRPr="002C5876">
        <w:rPr>
          <w:color w:val="000000"/>
        </w:rPr>
        <w:t>p</w:t>
      </w:r>
      <w:r w:rsidRPr="002C5876">
        <w:rPr>
          <w:color w:val="000000"/>
        </w:rPr>
        <w:tab/>
        <w:t>toute phase du cycle applicable ;</w:t>
      </w:r>
    </w:p>
    <w:p w:rsidR="00E24DB7" w:rsidRPr="002C5876" w:rsidRDefault="00E24DB7" w:rsidP="00E24DB7">
      <w:pPr>
        <w:pStyle w:val="SingleTxtG"/>
        <w:ind w:left="3402" w:hanging="1134"/>
        <w:rPr>
          <w:color w:val="000000"/>
        </w:rPr>
      </w:pPr>
      <w:r w:rsidRPr="002C5876">
        <w:rPr>
          <w:color w:val="000000"/>
        </w:rPr>
        <w:t>CS</w:t>
      </w:r>
      <w:r w:rsidRPr="002C5876">
        <w:rPr>
          <w:color w:val="000000"/>
        </w:rPr>
        <w:tab/>
        <w:t>mode maintien de la charge.</w:t>
      </w:r>
    </w:p>
    <w:p w:rsidR="00E24DB7" w:rsidRPr="002C5876" w:rsidRDefault="00E24DB7" w:rsidP="00E24DB7">
      <w:pPr>
        <w:pStyle w:val="H23G"/>
        <w:ind w:left="0" w:firstLine="0"/>
        <w:rPr>
          <w:lang w:eastAsia="de-DE"/>
        </w:rPr>
      </w:pPr>
      <w:r w:rsidRPr="002C5876">
        <w:rPr>
          <w:b w:val="0"/>
          <w:lang w:eastAsia="de-DE"/>
        </w:rPr>
        <w:t>Tableau A8/7</w:t>
      </w:r>
      <w:r w:rsidRPr="002C5876">
        <w:rPr>
          <w:lang w:eastAsia="de-DE"/>
        </w:rPr>
        <w:br/>
        <w:t>Calcul de la consommation finale de carburant en mode maintien de la charge pour les VHPC-NRE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5"/>
        <w:gridCol w:w="2212"/>
        <w:gridCol w:w="2617"/>
        <w:gridCol w:w="1890"/>
        <w:gridCol w:w="1365"/>
      </w:tblGrid>
      <w:tr w:rsidR="00E24DB7" w:rsidRPr="002C5876" w:rsidTr="00E24DB7">
        <w:trPr>
          <w:tblHeader/>
          <w:jc w:val="center"/>
        </w:trPr>
        <w:tc>
          <w:tcPr>
            <w:tcW w:w="1555" w:type="dxa"/>
            <w:tcBorders>
              <w:bottom w:val="single" w:sz="12" w:space="0" w:color="auto"/>
            </w:tcBorders>
            <w:vAlign w:val="bottom"/>
          </w:tcPr>
          <w:p w:rsidR="00E24DB7" w:rsidRPr="002C5876" w:rsidRDefault="00E24DB7" w:rsidP="00E24DB7">
            <w:pPr>
              <w:spacing w:before="80" w:after="80" w:line="200" w:lineRule="exact"/>
              <w:ind w:left="57" w:right="57"/>
              <w:rPr>
                <w:bCs/>
                <w:i/>
                <w:sz w:val="16"/>
                <w:szCs w:val="16"/>
              </w:rPr>
            </w:pPr>
            <w:r w:rsidRPr="002C5876">
              <w:rPr>
                <w:i/>
                <w:sz w:val="16"/>
                <w:szCs w:val="16"/>
              </w:rPr>
              <w:t>Source</w:t>
            </w:r>
          </w:p>
        </w:tc>
        <w:tc>
          <w:tcPr>
            <w:tcW w:w="2212" w:type="dxa"/>
            <w:tcBorders>
              <w:bottom w:val="single" w:sz="12" w:space="0" w:color="auto"/>
            </w:tcBorders>
            <w:vAlign w:val="bottom"/>
          </w:tcPr>
          <w:p w:rsidR="00E24DB7" w:rsidRPr="002C5876" w:rsidRDefault="00E24DB7" w:rsidP="00E24DB7">
            <w:pPr>
              <w:spacing w:before="80" w:after="80" w:line="200" w:lineRule="exact"/>
              <w:ind w:left="57" w:right="57"/>
              <w:rPr>
                <w:bCs/>
                <w:i/>
                <w:sz w:val="16"/>
                <w:szCs w:val="16"/>
              </w:rPr>
            </w:pPr>
            <w:r w:rsidRPr="002C5876">
              <w:rPr>
                <w:i/>
                <w:sz w:val="16"/>
                <w:szCs w:val="16"/>
              </w:rPr>
              <w:t>Données d’entrée</w:t>
            </w:r>
          </w:p>
        </w:tc>
        <w:tc>
          <w:tcPr>
            <w:tcW w:w="2617" w:type="dxa"/>
            <w:tcBorders>
              <w:bottom w:val="single" w:sz="12" w:space="0" w:color="auto"/>
            </w:tcBorders>
            <w:vAlign w:val="bottom"/>
          </w:tcPr>
          <w:p w:rsidR="00E24DB7" w:rsidRPr="002C5876" w:rsidRDefault="00E24DB7" w:rsidP="00E24DB7">
            <w:pPr>
              <w:spacing w:before="80" w:after="80" w:line="200" w:lineRule="exact"/>
              <w:ind w:left="57" w:right="57"/>
              <w:rPr>
                <w:bCs/>
                <w:i/>
                <w:sz w:val="16"/>
                <w:szCs w:val="16"/>
              </w:rPr>
            </w:pPr>
            <w:r w:rsidRPr="002C5876">
              <w:rPr>
                <w:i/>
                <w:sz w:val="16"/>
                <w:szCs w:val="16"/>
              </w:rPr>
              <w:t>Processus</w:t>
            </w:r>
          </w:p>
        </w:tc>
        <w:tc>
          <w:tcPr>
            <w:tcW w:w="1890" w:type="dxa"/>
            <w:tcBorders>
              <w:bottom w:val="single" w:sz="12" w:space="0" w:color="auto"/>
            </w:tcBorders>
            <w:vAlign w:val="bottom"/>
          </w:tcPr>
          <w:p w:rsidR="00E24DB7" w:rsidRPr="002C5876" w:rsidRDefault="00E24DB7" w:rsidP="00E24DB7">
            <w:pPr>
              <w:spacing w:before="80" w:after="80" w:line="200" w:lineRule="exact"/>
              <w:ind w:left="57" w:right="57"/>
              <w:rPr>
                <w:bCs/>
                <w:i/>
                <w:spacing w:val="-1"/>
                <w:sz w:val="16"/>
                <w:szCs w:val="16"/>
              </w:rPr>
            </w:pPr>
            <w:r w:rsidRPr="002C5876">
              <w:rPr>
                <w:i/>
                <w:spacing w:val="-1"/>
                <w:sz w:val="16"/>
                <w:szCs w:val="16"/>
              </w:rPr>
              <w:t>Données de sortie</w:t>
            </w:r>
          </w:p>
        </w:tc>
        <w:tc>
          <w:tcPr>
            <w:tcW w:w="1365" w:type="dxa"/>
            <w:tcBorders>
              <w:bottom w:val="single" w:sz="12" w:space="0" w:color="auto"/>
            </w:tcBorders>
            <w:vAlign w:val="bottom"/>
          </w:tcPr>
          <w:p w:rsidR="00E24DB7" w:rsidRPr="002C5876" w:rsidRDefault="00E24DB7" w:rsidP="00E24DB7">
            <w:pPr>
              <w:spacing w:before="80" w:after="80" w:line="200" w:lineRule="exact"/>
              <w:ind w:left="57" w:right="57"/>
              <w:rPr>
                <w:bCs/>
                <w:i/>
                <w:sz w:val="16"/>
                <w:szCs w:val="16"/>
              </w:rPr>
            </w:pPr>
            <w:r w:rsidRPr="002C5876">
              <w:rPr>
                <w:i/>
                <w:sz w:val="16"/>
                <w:szCs w:val="16"/>
              </w:rPr>
              <w:t>Étape n</w:t>
            </w:r>
            <w:r w:rsidRPr="002C5876">
              <w:rPr>
                <w:i/>
                <w:sz w:val="16"/>
                <w:szCs w:val="16"/>
                <w:vertAlign w:val="superscript"/>
              </w:rPr>
              <w:t>o</w:t>
            </w:r>
          </w:p>
        </w:tc>
      </w:tr>
      <w:tr w:rsidR="00E24DB7" w:rsidRPr="002C5876" w:rsidTr="00E24DB7">
        <w:trPr>
          <w:jc w:val="center"/>
        </w:trPr>
        <w:tc>
          <w:tcPr>
            <w:tcW w:w="1555" w:type="dxa"/>
            <w:tcBorders>
              <w:top w:val="single" w:sz="12" w:space="0" w:color="auto"/>
            </w:tcBorders>
          </w:tcPr>
          <w:p w:rsidR="00E24DB7" w:rsidRPr="002C5876" w:rsidRDefault="00E24DB7" w:rsidP="00E24DB7">
            <w:pPr>
              <w:spacing w:before="60" w:after="60" w:line="220" w:lineRule="atLeast"/>
              <w:ind w:left="57" w:right="57"/>
              <w:rPr>
                <w:b/>
                <w:sz w:val="18"/>
                <w:szCs w:val="18"/>
              </w:rPr>
            </w:pPr>
            <w:r w:rsidRPr="002C5876">
              <w:rPr>
                <w:sz w:val="18"/>
                <w:szCs w:val="18"/>
              </w:rPr>
              <w:t>Appendice 7 de la présente annexe</w:t>
            </w:r>
          </w:p>
        </w:tc>
        <w:tc>
          <w:tcPr>
            <w:tcW w:w="2212" w:type="dxa"/>
            <w:tcBorders>
              <w:top w:val="single" w:sz="12"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Consommation de carburant non compensée en mode maintien de la charge.</w:t>
            </w:r>
          </w:p>
          <w:p w:rsidR="00E24DB7" w:rsidRPr="002C5876" w:rsidRDefault="00E24DB7" w:rsidP="00E24DB7">
            <w:pPr>
              <w:spacing w:before="60" w:after="60" w:line="220" w:lineRule="atLeast"/>
              <w:ind w:left="57" w:right="57"/>
              <w:rPr>
                <w:b/>
                <w:sz w:val="18"/>
                <w:szCs w:val="18"/>
              </w:rPr>
            </w:pPr>
            <w:r w:rsidRPr="002C5876">
              <w:rPr>
                <w:sz w:val="18"/>
                <w:szCs w:val="18"/>
              </w:rPr>
              <w:t>FC</w:t>
            </w:r>
            <w:r w:rsidRPr="002C5876">
              <w:rPr>
                <w:sz w:val="18"/>
                <w:szCs w:val="18"/>
                <w:vertAlign w:val="subscript"/>
              </w:rPr>
              <w:t>CS,nb,</w:t>
            </w:r>
            <w:r w:rsidRPr="002C5876">
              <w:rPr>
                <w:sz w:val="18"/>
                <w:szCs w:val="18"/>
              </w:rPr>
              <w:t xml:space="preserve"> kg/100km</w:t>
            </w:r>
          </w:p>
        </w:tc>
        <w:tc>
          <w:tcPr>
            <w:tcW w:w="2617" w:type="dxa"/>
            <w:tcBorders>
              <w:top w:val="single" w:sz="12" w:space="0" w:color="auto"/>
            </w:tcBorders>
          </w:tcPr>
          <w:p w:rsidR="00E24DB7" w:rsidRPr="002C5876" w:rsidRDefault="00E24DB7" w:rsidP="00E24DB7">
            <w:pPr>
              <w:spacing w:before="60" w:after="60" w:line="220" w:lineRule="atLeast"/>
              <w:ind w:left="57" w:right="57"/>
              <w:rPr>
                <w:b/>
                <w:sz w:val="18"/>
                <w:szCs w:val="18"/>
              </w:rPr>
            </w:pPr>
            <w:r w:rsidRPr="002C5876">
              <w:rPr>
                <w:sz w:val="18"/>
                <w:szCs w:val="18"/>
              </w:rPr>
              <w:t>Consommation de carburant en mode maintien de la charge conformément au paragraphe 2.2.6 de l’appendice 7 de la présente annexe (valeurs spécifiques par phase uniquement, si cela est demandé par la Partie contractante conformément au paragraphe 2.2.7 de l’appendice 7 de la présente annexe).</w:t>
            </w:r>
          </w:p>
        </w:tc>
        <w:tc>
          <w:tcPr>
            <w:tcW w:w="1890" w:type="dxa"/>
            <w:tcBorders>
              <w:top w:val="single" w:sz="12" w:space="0" w:color="auto"/>
            </w:tcBorders>
          </w:tcPr>
          <w:p w:rsidR="00E24DB7" w:rsidRPr="00D53F39" w:rsidRDefault="00E24DB7" w:rsidP="00E24DB7">
            <w:pPr>
              <w:spacing w:before="60" w:after="60" w:line="220" w:lineRule="atLeast"/>
              <w:ind w:left="57" w:right="57"/>
              <w:rPr>
                <w:b/>
                <w:spacing w:val="-1"/>
                <w:sz w:val="18"/>
                <w:szCs w:val="18"/>
                <w:lang w:val="en-US"/>
              </w:rPr>
            </w:pPr>
            <w:r w:rsidRPr="00D53F39">
              <w:rPr>
                <w:spacing w:val="-2"/>
                <w:sz w:val="18"/>
                <w:szCs w:val="18"/>
                <w:lang w:val="en-US"/>
              </w:rPr>
              <w:t>FC</w:t>
            </w:r>
            <w:r w:rsidRPr="00D53F39">
              <w:rPr>
                <w:spacing w:val="-2"/>
                <w:sz w:val="18"/>
                <w:szCs w:val="18"/>
                <w:vertAlign w:val="subscript"/>
                <w:lang w:val="en-US"/>
              </w:rPr>
              <w:t>CS,p,1</w:t>
            </w:r>
            <w:r w:rsidRPr="00D53F39">
              <w:rPr>
                <w:spacing w:val="-2"/>
                <w:sz w:val="18"/>
                <w:szCs w:val="18"/>
                <w:lang w:val="en-US"/>
              </w:rPr>
              <w:t>, kg/100 km</w:t>
            </w:r>
            <w:r w:rsidRPr="00D53F39">
              <w:rPr>
                <w:spacing w:val="-2"/>
                <w:sz w:val="18"/>
                <w:szCs w:val="18"/>
                <w:lang w:val="en-US"/>
              </w:rPr>
              <w:br/>
            </w:r>
            <w:r w:rsidRPr="00D53F39">
              <w:rPr>
                <w:spacing w:val="-1"/>
                <w:sz w:val="18"/>
                <w:szCs w:val="18"/>
                <w:lang w:val="en-US"/>
              </w:rPr>
              <w:t>FC</w:t>
            </w:r>
            <w:r w:rsidRPr="00D53F39">
              <w:rPr>
                <w:spacing w:val="-1"/>
                <w:sz w:val="18"/>
                <w:szCs w:val="18"/>
                <w:vertAlign w:val="subscript"/>
                <w:lang w:val="en-US"/>
              </w:rPr>
              <w:t>CS,c,1</w:t>
            </w:r>
            <w:r w:rsidRPr="00D53F39">
              <w:rPr>
                <w:spacing w:val="-1"/>
                <w:sz w:val="18"/>
                <w:szCs w:val="18"/>
                <w:lang w:val="en-US"/>
              </w:rPr>
              <w:t>, kg/100 km</w:t>
            </w:r>
          </w:p>
        </w:tc>
        <w:tc>
          <w:tcPr>
            <w:tcW w:w="1365" w:type="dxa"/>
            <w:tcBorders>
              <w:top w:val="single" w:sz="12" w:space="0" w:color="auto"/>
            </w:tcBorders>
          </w:tcPr>
          <w:p w:rsidR="00E24DB7" w:rsidRPr="002C5876" w:rsidRDefault="00E24DB7" w:rsidP="00E24DB7">
            <w:pPr>
              <w:spacing w:before="60" w:after="60" w:line="220" w:lineRule="atLeast"/>
              <w:ind w:left="57" w:right="57"/>
              <w:rPr>
                <w:b/>
                <w:sz w:val="18"/>
                <w:szCs w:val="18"/>
              </w:rPr>
            </w:pPr>
            <w:r w:rsidRPr="002C5876">
              <w:rPr>
                <w:sz w:val="18"/>
                <w:szCs w:val="18"/>
              </w:rPr>
              <w:t>1</w:t>
            </w:r>
          </w:p>
        </w:tc>
      </w:tr>
      <w:tr w:rsidR="00E24DB7" w:rsidRPr="002C5876" w:rsidTr="00E24DB7">
        <w:trPr>
          <w:jc w:val="center"/>
        </w:trPr>
        <w:tc>
          <w:tcPr>
            <w:tcW w:w="1555" w:type="dxa"/>
          </w:tcPr>
          <w:p w:rsidR="00E24DB7" w:rsidRPr="002C5876" w:rsidRDefault="00E24DB7" w:rsidP="00E24DB7">
            <w:pPr>
              <w:spacing w:before="60" w:after="60" w:line="220" w:lineRule="atLeast"/>
              <w:ind w:left="57" w:right="57"/>
              <w:rPr>
                <w:sz w:val="18"/>
                <w:szCs w:val="18"/>
              </w:rPr>
            </w:pPr>
            <w:r w:rsidRPr="002C5876">
              <w:rPr>
                <w:sz w:val="18"/>
                <w:szCs w:val="18"/>
              </w:rPr>
              <w:t xml:space="preserve">Sortie de l’étape </w:t>
            </w:r>
            <w:r w:rsidRPr="002C5876">
              <w:rPr>
                <w:rFonts w:eastAsia="MS Mincho"/>
                <w:sz w:val="18"/>
                <w:szCs w:val="18"/>
              </w:rPr>
              <w:t>n</w:t>
            </w:r>
            <w:r w:rsidRPr="002C5876">
              <w:rPr>
                <w:rFonts w:eastAsia="MS Mincho"/>
                <w:sz w:val="18"/>
                <w:szCs w:val="18"/>
                <w:vertAlign w:val="superscript"/>
              </w:rPr>
              <w:t>o</w:t>
            </w:r>
            <w:r w:rsidRPr="002C5876">
              <w:rPr>
                <w:rFonts w:eastAsia="MS Mincho"/>
                <w:sz w:val="18"/>
                <w:szCs w:val="18"/>
              </w:rPr>
              <w:t> </w:t>
            </w:r>
            <w:r w:rsidRPr="002C5876">
              <w:rPr>
                <w:sz w:val="18"/>
                <w:szCs w:val="18"/>
              </w:rPr>
              <w:t>1 de ce tableau</w:t>
            </w:r>
          </w:p>
        </w:tc>
        <w:tc>
          <w:tcPr>
            <w:tcW w:w="2212" w:type="dxa"/>
          </w:tcPr>
          <w:p w:rsidR="00E24DB7" w:rsidRPr="00D53F39" w:rsidRDefault="00E24DB7" w:rsidP="00E24DB7">
            <w:pPr>
              <w:spacing w:before="60" w:after="60" w:line="220" w:lineRule="atLeast"/>
              <w:ind w:left="57" w:right="57"/>
              <w:rPr>
                <w:spacing w:val="-2"/>
                <w:sz w:val="18"/>
                <w:szCs w:val="18"/>
                <w:lang w:val="en-US"/>
              </w:rPr>
            </w:pPr>
            <w:r w:rsidRPr="00D53F39">
              <w:rPr>
                <w:spacing w:val="-2"/>
                <w:sz w:val="18"/>
                <w:szCs w:val="18"/>
                <w:lang w:val="en-US"/>
              </w:rPr>
              <w:t>FC</w:t>
            </w:r>
            <w:r w:rsidRPr="00D53F39">
              <w:rPr>
                <w:spacing w:val="-2"/>
                <w:sz w:val="18"/>
                <w:szCs w:val="18"/>
                <w:vertAlign w:val="subscript"/>
                <w:lang w:val="en-US"/>
              </w:rPr>
              <w:t>CS,p,1</w:t>
            </w:r>
            <w:r w:rsidRPr="00D53F39">
              <w:rPr>
                <w:spacing w:val="-2"/>
                <w:sz w:val="18"/>
                <w:szCs w:val="18"/>
                <w:lang w:val="en-US"/>
              </w:rPr>
              <w:t>, kg/100 km</w:t>
            </w:r>
            <w:r w:rsidRPr="00D53F39">
              <w:rPr>
                <w:spacing w:val="-2"/>
                <w:sz w:val="18"/>
                <w:szCs w:val="18"/>
                <w:lang w:val="en-US"/>
              </w:rPr>
              <w:br/>
            </w:r>
            <w:r w:rsidRPr="00D53F39">
              <w:rPr>
                <w:spacing w:val="-1"/>
                <w:sz w:val="18"/>
                <w:szCs w:val="18"/>
                <w:lang w:val="en-US"/>
              </w:rPr>
              <w:t>FC</w:t>
            </w:r>
            <w:r w:rsidRPr="00D53F39">
              <w:rPr>
                <w:spacing w:val="-1"/>
                <w:sz w:val="18"/>
                <w:szCs w:val="18"/>
                <w:vertAlign w:val="subscript"/>
                <w:lang w:val="en-US"/>
              </w:rPr>
              <w:t>CS,c,1</w:t>
            </w:r>
            <w:r w:rsidRPr="00D53F39">
              <w:rPr>
                <w:spacing w:val="-1"/>
                <w:sz w:val="18"/>
                <w:szCs w:val="18"/>
                <w:lang w:val="en-US"/>
              </w:rPr>
              <w:t>, kg/100 km</w:t>
            </w:r>
          </w:p>
        </w:tc>
        <w:tc>
          <w:tcPr>
            <w:tcW w:w="2617" w:type="dxa"/>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Correction de la variation d’énergie électrique du SRSEE.</w:t>
            </w:r>
          </w:p>
          <w:p w:rsidR="00E24DB7" w:rsidRPr="002C5876" w:rsidRDefault="00E24DB7" w:rsidP="00E24DB7">
            <w:pPr>
              <w:spacing w:before="60" w:after="60" w:line="220" w:lineRule="atLeast"/>
              <w:ind w:left="57" w:right="57"/>
              <w:rPr>
                <w:sz w:val="18"/>
                <w:szCs w:val="18"/>
              </w:rPr>
            </w:pPr>
            <w:r w:rsidRPr="002C5876">
              <w:rPr>
                <w:sz w:val="18"/>
                <w:szCs w:val="18"/>
              </w:rPr>
              <w:t>Par. 4.2.1.2.2 à 4.2.1.2.5 de la présente annexe</w:t>
            </w:r>
          </w:p>
        </w:tc>
        <w:tc>
          <w:tcPr>
            <w:tcW w:w="1890" w:type="dxa"/>
          </w:tcPr>
          <w:p w:rsidR="00E24DB7" w:rsidRPr="00D53F39" w:rsidRDefault="00E24DB7" w:rsidP="00E24DB7">
            <w:pPr>
              <w:spacing w:before="60" w:after="60" w:line="220" w:lineRule="atLeast"/>
              <w:ind w:left="57" w:right="57"/>
              <w:rPr>
                <w:spacing w:val="-1"/>
                <w:sz w:val="18"/>
                <w:szCs w:val="18"/>
                <w:lang w:val="en-US"/>
              </w:rPr>
            </w:pPr>
            <w:r w:rsidRPr="00D53F39">
              <w:rPr>
                <w:spacing w:val="-2"/>
                <w:sz w:val="18"/>
                <w:szCs w:val="18"/>
                <w:lang w:val="en-US"/>
              </w:rPr>
              <w:t>FC</w:t>
            </w:r>
            <w:r w:rsidRPr="00D53F39">
              <w:rPr>
                <w:spacing w:val="-2"/>
                <w:sz w:val="18"/>
                <w:szCs w:val="18"/>
                <w:vertAlign w:val="subscript"/>
                <w:lang w:val="en-US"/>
              </w:rPr>
              <w:t>CS,p,2</w:t>
            </w:r>
            <w:r w:rsidRPr="00D53F39">
              <w:rPr>
                <w:spacing w:val="-2"/>
                <w:sz w:val="18"/>
                <w:szCs w:val="18"/>
                <w:lang w:val="en-US"/>
              </w:rPr>
              <w:t>, kg/100 km</w:t>
            </w:r>
            <w:r w:rsidRPr="00D53F39">
              <w:rPr>
                <w:spacing w:val="-2"/>
                <w:sz w:val="18"/>
                <w:szCs w:val="18"/>
                <w:lang w:val="en-US"/>
              </w:rPr>
              <w:br/>
            </w:r>
            <w:r w:rsidRPr="00D53F39">
              <w:rPr>
                <w:spacing w:val="-1"/>
                <w:sz w:val="18"/>
                <w:szCs w:val="18"/>
                <w:lang w:val="en-US"/>
              </w:rPr>
              <w:t>FC</w:t>
            </w:r>
            <w:r w:rsidRPr="00D53F39">
              <w:rPr>
                <w:spacing w:val="-1"/>
                <w:sz w:val="18"/>
                <w:szCs w:val="18"/>
                <w:vertAlign w:val="subscript"/>
                <w:lang w:val="en-US"/>
              </w:rPr>
              <w:t>CS,c,2</w:t>
            </w:r>
            <w:r w:rsidRPr="00D53F39">
              <w:rPr>
                <w:spacing w:val="-1"/>
                <w:sz w:val="18"/>
                <w:szCs w:val="18"/>
                <w:lang w:val="en-US"/>
              </w:rPr>
              <w:t>, kg/100 km</w:t>
            </w:r>
          </w:p>
        </w:tc>
        <w:tc>
          <w:tcPr>
            <w:tcW w:w="1365" w:type="dxa"/>
          </w:tcPr>
          <w:p w:rsidR="00E24DB7" w:rsidRPr="002C5876" w:rsidRDefault="00E24DB7" w:rsidP="00E24DB7">
            <w:pPr>
              <w:spacing w:before="60" w:after="60" w:line="220" w:lineRule="atLeast"/>
              <w:ind w:left="57" w:right="57"/>
              <w:rPr>
                <w:sz w:val="18"/>
                <w:szCs w:val="18"/>
              </w:rPr>
            </w:pPr>
            <w:r w:rsidRPr="002C5876">
              <w:rPr>
                <w:sz w:val="18"/>
                <w:szCs w:val="18"/>
              </w:rPr>
              <w:t>2</w:t>
            </w:r>
          </w:p>
        </w:tc>
      </w:tr>
      <w:tr w:rsidR="00E24DB7" w:rsidRPr="002C5876" w:rsidTr="00E24DB7">
        <w:trPr>
          <w:jc w:val="center"/>
        </w:trPr>
        <w:tc>
          <w:tcPr>
            <w:tcW w:w="1555" w:type="dxa"/>
          </w:tcPr>
          <w:p w:rsidR="00E24DB7" w:rsidRPr="002C5876" w:rsidRDefault="00E24DB7" w:rsidP="00E24DB7">
            <w:pPr>
              <w:spacing w:before="60" w:after="60" w:line="220" w:lineRule="atLeast"/>
              <w:ind w:left="57" w:right="57"/>
              <w:rPr>
                <w:sz w:val="18"/>
                <w:szCs w:val="18"/>
              </w:rPr>
            </w:pPr>
            <w:r w:rsidRPr="002C5876">
              <w:rPr>
                <w:sz w:val="18"/>
                <w:szCs w:val="18"/>
              </w:rPr>
              <w:t xml:space="preserve">Sortie de l’étape </w:t>
            </w:r>
            <w:r w:rsidRPr="002C5876">
              <w:rPr>
                <w:rFonts w:eastAsia="MS Mincho"/>
                <w:sz w:val="18"/>
                <w:szCs w:val="18"/>
              </w:rPr>
              <w:t>n</w:t>
            </w:r>
            <w:r w:rsidRPr="002C5876">
              <w:rPr>
                <w:rFonts w:eastAsia="MS Mincho"/>
                <w:sz w:val="18"/>
                <w:szCs w:val="18"/>
                <w:vertAlign w:val="superscript"/>
              </w:rPr>
              <w:t>o</w:t>
            </w:r>
            <w:r w:rsidRPr="002C5876">
              <w:rPr>
                <w:rFonts w:eastAsia="MS Mincho"/>
                <w:sz w:val="18"/>
                <w:szCs w:val="18"/>
              </w:rPr>
              <w:t> </w:t>
            </w:r>
            <w:r w:rsidRPr="002C5876">
              <w:rPr>
                <w:sz w:val="18"/>
                <w:szCs w:val="18"/>
              </w:rPr>
              <w:t>2 de ce tableau</w:t>
            </w:r>
          </w:p>
        </w:tc>
        <w:tc>
          <w:tcPr>
            <w:tcW w:w="2212" w:type="dxa"/>
          </w:tcPr>
          <w:p w:rsidR="00E24DB7" w:rsidRPr="00D53F39" w:rsidRDefault="00E24DB7" w:rsidP="00E24DB7">
            <w:pPr>
              <w:spacing w:before="60" w:after="60" w:line="220" w:lineRule="atLeast"/>
              <w:ind w:left="57" w:right="57"/>
              <w:rPr>
                <w:spacing w:val="-2"/>
                <w:sz w:val="18"/>
                <w:szCs w:val="18"/>
                <w:lang w:val="en-US"/>
              </w:rPr>
            </w:pPr>
            <w:r w:rsidRPr="00D53F39">
              <w:rPr>
                <w:spacing w:val="-2"/>
                <w:sz w:val="18"/>
                <w:szCs w:val="18"/>
                <w:lang w:val="en-US"/>
              </w:rPr>
              <w:t>FC</w:t>
            </w:r>
            <w:r w:rsidRPr="00D53F39">
              <w:rPr>
                <w:spacing w:val="-2"/>
                <w:sz w:val="18"/>
                <w:szCs w:val="18"/>
                <w:vertAlign w:val="subscript"/>
                <w:lang w:val="en-US"/>
              </w:rPr>
              <w:t>CS,p,2</w:t>
            </w:r>
            <w:r w:rsidRPr="00D53F39">
              <w:rPr>
                <w:spacing w:val="-2"/>
                <w:sz w:val="18"/>
                <w:szCs w:val="18"/>
                <w:lang w:val="en-US"/>
              </w:rPr>
              <w:t>, kg/100 km</w:t>
            </w:r>
            <w:r w:rsidRPr="00D53F39">
              <w:rPr>
                <w:spacing w:val="-2"/>
                <w:sz w:val="18"/>
                <w:szCs w:val="18"/>
                <w:lang w:val="en-US"/>
              </w:rPr>
              <w:br/>
            </w:r>
            <w:r w:rsidRPr="00D53F39">
              <w:rPr>
                <w:spacing w:val="-1"/>
                <w:sz w:val="18"/>
                <w:szCs w:val="18"/>
                <w:lang w:val="en-US"/>
              </w:rPr>
              <w:t>FC</w:t>
            </w:r>
            <w:r w:rsidRPr="00D53F39">
              <w:rPr>
                <w:spacing w:val="-1"/>
                <w:sz w:val="18"/>
                <w:szCs w:val="18"/>
                <w:vertAlign w:val="subscript"/>
                <w:lang w:val="en-US"/>
              </w:rPr>
              <w:t>CS,c,2</w:t>
            </w:r>
            <w:r w:rsidRPr="00D53F39">
              <w:rPr>
                <w:spacing w:val="-1"/>
                <w:sz w:val="18"/>
                <w:szCs w:val="18"/>
                <w:lang w:val="en-US"/>
              </w:rPr>
              <w:t>, kg/100 km</w:t>
            </w:r>
          </w:p>
        </w:tc>
        <w:tc>
          <w:tcPr>
            <w:tcW w:w="2617" w:type="dxa"/>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Place réservée pour corrections additionnelles, si nécessaires</w:t>
            </w:r>
          </w:p>
          <w:p w:rsidR="00E24DB7" w:rsidRPr="002C5876" w:rsidRDefault="00E24DB7" w:rsidP="00E24DB7">
            <w:pPr>
              <w:suppressAutoHyphens w:val="0"/>
              <w:spacing w:before="60" w:after="60" w:line="220" w:lineRule="atLeast"/>
              <w:ind w:left="57" w:right="57"/>
              <w:rPr>
                <w:sz w:val="18"/>
                <w:szCs w:val="18"/>
              </w:rPr>
            </w:pPr>
            <w:r w:rsidRPr="002C5876">
              <w:rPr>
                <w:sz w:val="18"/>
                <w:szCs w:val="18"/>
              </w:rPr>
              <w:t>À défaut :</w:t>
            </w:r>
          </w:p>
          <w:p w:rsidR="00E24DB7" w:rsidRPr="002C5876" w:rsidRDefault="00E24DB7" w:rsidP="00E24DB7">
            <w:pPr>
              <w:suppressAutoHyphens w:val="0"/>
              <w:spacing w:before="60" w:after="60" w:line="220" w:lineRule="atLeast"/>
              <w:ind w:left="57" w:right="57"/>
              <w:rPr>
                <w:sz w:val="18"/>
                <w:szCs w:val="18"/>
              </w:rPr>
            </w:pPr>
            <w:r w:rsidRPr="002C5876">
              <w:rPr>
                <w:noProof/>
                <w:position w:val="-12"/>
                <w:sz w:val="18"/>
                <w:szCs w:val="18"/>
                <w:lang w:val="en-GB" w:eastAsia="zh-CN"/>
              </w:rPr>
              <w:drawing>
                <wp:inline distT="0" distB="0" distL="0" distR="0" wp14:anchorId="385AE3E3" wp14:editId="11E55BFA">
                  <wp:extent cx="1028700" cy="209550"/>
                  <wp:effectExtent l="0" t="0" r="0" b="0"/>
                  <wp:docPr id="366" name="Imag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028700" cy="209550"/>
                          </a:xfrm>
                          <a:prstGeom prst="rect">
                            <a:avLst/>
                          </a:prstGeom>
                          <a:noFill/>
                          <a:ln>
                            <a:noFill/>
                          </a:ln>
                        </pic:spPr>
                      </pic:pic>
                    </a:graphicData>
                  </a:graphic>
                </wp:inline>
              </w:drawing>
            </w:r>
          </w:p>
          <w:p w:rsidR="00E24DB7" w:rsidRPr="002C5876" w:rsidRDefault="00E24DB7" w:rsidP="00E24DB7">
            <w:pPr>
              <w:suppressAutoHyphens w:val="0"/>
              <w:spacing w:before="60" w:after="60" w:line="220" w:lineRule="atLeast"/>
              <w:ind w:left="57" w:right="57"/>
              <w:rPr>
                <w:sz w:val="18"/>
                <w:szCs w:val="18"/>
              </w:rPr>
            </w:pPr>
            <w:r w:rsidRPr="002C5876">
              <w:rPr>
                <w:noProof/>
                <w:position w:val="-12"/>
                <w:sz w:val="18"/>
                <w:szCs w:val="18"/>
                <w:lang w:val="en-GB" w:eastAsia="zh-CN"/>
              </w:rPr>
              <w:drawing>
                <wp:inline distT="0" distB="0" distL="0" distR="0" wp14:anchorId="27063780" wp14:editId="348BED63">
                  <wp:extent cx="1009650" cy="209550"/>
                  <wp:effectExtent l="0" t="0" r="0" b="0"/>
                  <wp:docPr id="367" name="Imag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009650" cy="209550"/>
                          </a:xfrm>
                          <a:prstGeom prst="rect">
                            <a:avLst/>
                          </a:prstGeom>
                          <a:noFill/>
                          <a:ln>
                            <a:noFill/>
                          </a:ln>
                        </pic:spPr>
                      </pic:pic>
                    </a:graphicData>
                  </a:graphic>
                </wp:inline>
              </w:drawing>
            </w:r>
          </w:p>
        </w:tc>
        <w:tc>
          <w:tcPr>
            <w:tcW w:w="1890" w:type="dxa"/>
          </w:tcPr>
          <w:p w:rsidR="00E24DB7" w:rsidRPr="00D53F39" w:rsidRDefault="00E24DB7" w:rsidP="00E24DB7">
            <w:pPr>
              <w:spacing w:before="60" w:after="60" w:line="220" w:lineRule="atLeast"/>
              <w:ind w:left="57" w:right="57"/>
              <w:rPr>
                <w:spacing w:val="-1"/>
                <w:sz w:val="18"/>
                <w:szCs w:val="18"/>
                <w:lang w:val="en-US"/>
              </w:rPr>
            </w:pPr>
            <w:r w:rsidRPr="00D53F39">
              <w:rPr>
                <w:spacing w:val="-2"/>
                <w:sz w:val="18"/>
                <w:szCs w:val="18"/>
                <w:lang w:val="en-US"/>
              </w:rPr>
              <w:t>FC</w:t>
            </w:r>
            <w:r w:rsidRPr="00D53F39">
              <w:rPr>
                <w:spacing w:val="-2"/>
                <w:sz w:val="18"/>
                <w:szCs w:val="18"/>
                <w:vertAlign w:val="subscript"/>
                <w:lang w:val="en-US"/>
              </w:rPr>
              <w:t>CS,p,3</w:t>
            </w:r>
            <w:r w:rsidRPr="00D53F39">
              <w:rPr>
                <w:spacing w:val="-2"/>
                <w:sz w:val="18"/>
                <w:szCs w:val="18"/>
                <w:lang w:val="en-US"/>
              </w:rPr>
              <w:t>, kg/100 km</w:t>
            </w:r>
            <w:r w:rsidRPr="00D53F39">
              <w:rPr>
                <w:spacing w:val="-2"/>
                <w:sz w:val="18"/>
                <w:szCs w:val="18"/>
                <w:lang w:val="en-US"/>
              </w:rPr>
              <w:br/>
            </w:r>
            <w:r w:rsidRPr="00D53F39">
              <w:rPr>
                <w:spacing w:val="-1"/>
                <w:sz w:val="18"/>
                <w:szCs w:val="18"/>
                <w:lang w:val="en-US"/>
              </w:rPr>
              <w:t>FC</w:t>
            </w:r>
            <w:r w:rsidRPr="00D53F39">
              <w:rPr>
                <w:spacing w:val="-1"/>
                <w:sz w:val="18"/>
                <w:szCs w:val="18"/>
                <w:vertAlign w:val="subscript"/>
                <w:lang w:val="en-US"/>
              </w:rPr>
              <w:t>CS,c,3</w:t>
            </w:r>
            <w:r w:rsidRPr="00D53F39">
              <w:rPr>
                <w:spacing w:val="-1"/>
                <w:sz w:val="18"/>
                <w:szCs w:val="18"/>
                <w:lang w:val="en-US"/>
              </w:rPr>
              <w:t>, kg/100 km</w:t>
            </w:r>
          </w:p>
        </w:tc>
        <w:tc>
          <w:tcPr>
            <w:tcW w:w="1365" w:type="dxa"/>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3</w:t>
            </w:r>
          </w:p>
          <w:p w:rsidR="00E24DB7" w:rsidRPr="002C5876" w:rsidRDefault="00E24DB7" w:rsidP="00E24DB7">
            <w:pPr>
              <w:spacing w:before="60" w:after="60" w:line="220" w:lineRule="atLeast"/>
              <w:ind w:left="57" w:right="57"/>
              <w:rPr>
                <w:sz w:val="18"/>
                <w:szCs w:val="18"/>
              </w:rPr>
            </w:pPr>
            <w:r w:rsidRPr="002C5876">
              <w:rPr>
                <w:sz w:val="18"/>
                <w:szCs w:val="18"/>
              </w:rPr>
              <w:t>Résultat d’un essai unique</w:t>
            </w:r>
          </w:p>
        </w:tc>
      </w:tr>
      <w:tr w:rsidR="00E24DB7" w:rsidRPr="002C5876" w:rsidTr="00E24DB7">
        <w:trPr>
          <w:jc w:val="center"/>
        </w:trPr>
        <w:tc>
          <w:tcPr>
            <w:tcW w:w="1555" w:type="dxa"/>
            <w:tcBorders>
              <w:bottom w:val="single" w:sz="4"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 xml:space="preserve">Sortie de l’étape </w:t>
            </w:r>
            <w:r w:rsidRPr="002C5876">
              <w:rPr>
                <w:rFonts w:eastAsia="MS Mincho"/>
                <w:sz w:val="18"/>
                <w:szCs w:val="18"/>
              </w:rPr>
              <w:t>n</w:t>
            </w:r>
            <w:r w:rsidRPr="002C5876">
              <w:rPr>
                <w:rFonts w:eastAsia="MS Mincho"/>
                <w:sz w:val="18"/>
                <w:szCs w:val="18"/>
                <w:vertAlign w:val="superscript"/>
              </w:rPr>
              <w:t>o</w:t>
            </w:r>
            <w:r w:rsidRPr="002C5876">
              <w:rPr>
                <w:rFonts w:eastAsia="MS Mincho"/>
                <w:sz w:val="18"/>
                <w:szCs w:val="18"/>
              </w:rPr>
              <w:t> </w:t>
            </w:r>
            <w:r w:rsidRPr="002C5876">
              <w:rPr>
                <w:sz w:val="18"/>
                <w:szCs w:val="18"/>
              </w:rPr>
              <w:t>3 de ce tableau</w:t>
            </w:r>
          </w:p>
        </w:tc>
        <w:tc>
          <w:tcPr>
            <w:tcW w:w="2212" w:type="dxa"/>
            <w:tcBorders>
              <w:bottom w:val="single" w:sz="4"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Pour chaque essai :</w:t>
            </w:r>
            <w:r w:rsidRPr="002C5876">
              <w:rPr>
                <w:sz w:val="18"/>
                <w:szCs w:val="18"/>
              </w:rPr>
              <w:br/>
            </w:r>
            <w:r w:rsidRPr="002C5876">
              <w:rPr>
                <w:spacing w:val="-2"/>
                <w:sz w:val="18"/>
                <w:szCs w:val="18"/>
              </w:rPr>
              <w:t>FC</w:t>
            </w:r>
            <w:r w:rsidRPr="002C5876">
              <w:rPr>
                <w:spacing w:val="-2"/>
                <w:sz w:val="18"/>
                <w:szCs w:val="18"/>
                <w:vertAlign w:val="subscript"/>
              </w:rPr>
              <w:t>CS,p,3</w:t>
            </w:r>
            <w:r w:rsidRPr="002C5876">
              <w:rPr>
                <w:spacing w:val="-2"/>
                <w:sz w:val="18"/>
                <w:szCs w:val="18"/>
              </w:rPr>
              <w:t>, kg/100 km ;</w:t>
            </w:r>
            <w:r w:rsidRPr="002C5876">
              <w:rPr>
                <w:spacing w:val="-2"/>
                <w:sz w:val="18"/>
                <w:szCs w:val="18"/>
              </w:rPr>
              <w:br/>
            </w:r>
            <w:r w:rsidRPr="002C5876">
              <w:rPr>
                <w:spacing w:val="-1"/>
                <w:sz w:val="18"/>
                <w:szCs w:val="18"/>
              </w:rPr>
              <w:t>FC</w:t>
            </w:r>
            <w:r w:rsidRPr="002C5876">
              <w:rPr>
                <w:spacing w:val="-1"/>
                <w:sz w:val="18"/>
                <w:szCs w:val="18"/>
                <w:vertAlign w:val="subscript"/>
              </w:rPr>
              <w:t>CS,c,3</w:t>
            </w:r>
            <w:r w:rsidRPr="002C5876">
              <w:rPr>
                <w:spacing w:val="-1"/>
                <w:sz w:val="18"/>
                <w:szCs w:val="18"/>
              </w:rPr>
              <w:t>, kg/100 km</w:t>
            </w:r>
          </w:p>
        </w:tc>
        <w:tc>
          <w:tcPr>
            <w:tcW w:w="2617" w:type="dxa"/>
            <w:tcBorders>
              <w:bottom w:val="single" w:sz="4" w:space="0" w:color="auto"/>
            </w:tcBorders>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Calcul de la valeur moyenne des essais et valeur déclarée conformément aux paragraphes 1.2 à 1.2.3 de l’annexe 6</w:t>
            </w:r>
          </w:p>
        </w:tc>
        <w:tc>
          <w:tcPr>
            <w:tcW w:w="1890" w:type="dxa"/>
            <w:tcBorders>
              <w:bottom w:val="single" w:sz="4" w:space="0" w:color="auto"/>
            </w:tcBorders>
          </w:tcPr>
          <w:p w:rsidR="00E24DB7" w:rsidRPr="00D53F39" w:rsidRDefault="00E24DB7" w:rsidP="00E24DB7">
            <w:pPr>
              <w:spacing w:before="60" w:after="60" w:line="220" w:lineRule="atLeast"/>
              <w:ind w:left="57" w:right="57"/>
              <w:rPr>
                <w:spacing w:val="-1"/>
                <w:sz w:val="18"/>
                <w:szCs w:val="18"/>
                <w:lang w:val="en-US"/>
              </w:rPr>
            </w:pPr>
            <w:r w:rsidRPr="00D53F39">
              <w:rPr>
                <w:spacing w:val="-2"/>
                <w:sz w:val="18"/>
                <w:szCs w:val="18"/>
                <w:lang w:val="en-US"/>
              </w:rPr>
              <w:t>FC</w:t>
            </w:r>
            <w:r w:rsidRPr="00D53F39">
              <w:rPr>
                <w:spacing w:val="-2"/>
                <w:sz w:val="18"/>
                <w:szCs w:val="18"/>
                <w:vertAlign w:val="subscript"/>
                <w:lang w:val="en-US"/>
              </w:rPr>
              <w:t>CS,p,4</w:t>
            </w:r>
            <w:r w:rsidRPr="00D53F39">
              <w:rPr>
                <w:spacing w:val="-2"/>
                <w:sz w:val="18"/>
                <w:szCs w:val="18"/>
                <w:lang w:val="en-US"/>
              </w:rPr>
              <w:t>, kg/100 km</w:t>
            </w:r>
            <w:r w:rsidRPr="00D53F39">
              <w:rPr>
                <w:spacing w:val="-2"/>
                <w:sz w:val="18"/>
                <w:szCs w:val="18"/>
                <w:lang w:val="en-US"/>
              </w:rPr>
              <w:br/>
            </w:r>
            <w:r w:rsidRPr="00D53F39">
              <w:rPr>
                <w:spacing w:val="-1"/>
                <w:sz w:val="18"/>
                <w:szCs w:val="18"/>
                <w:lang w:val="en-US"/>
              </w:rPr>
              <w:t>FC</w:t>
            </w:r>
            <w:r w:rsidRPr="00D53F39">
              <w:rPr>
                <w:spacing w:val="-1"/>
                <w:sz w:val="18"/>
                <w:szCs w:val="18"/>
                <w:vertAlign w:val="subscript"/>
                <w:lang w:val="en-US"/>
              </w:rPr>
              <w:t>CS,c,4</w:t>
            </w:r>
            <w:r w:rsidRPr="00D53F39">
              <w:rPr>
                <w:spacing w:val="-1"/>
                <w:sz w:val="18"/>
                <w:szCs w:val="18"/>
                <w:lang w:val="en-US"/>
              </w:rPr>
              <w:t>, kg/100 km</w:t>
            </w:r>
          </w:p>
        </w:tc>
        <w:tc>
          <w:tcPr>
            <w:tcW w:w="1365" w:type="dxa"/>
            <w:tcBorders>
              <w:bottom w:val="single" w:sz="4" w:space="0" w:color="auto"/>
            </w:tcBorders>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4</w:t>
            </w:r>
          </w:p>
        </w:tc>
      </w:tr>
      <w:tr w:rsidR="00E24DB7" w:rsidRPr="002C5876" w:rsidTr="00E24DB7">
        <w:trPr>
          <w:jc w:val="center"/>
        </w:trPr>
        <w:tc>
          <w:tcPr>
            <w:tcW w:w="1555" w:type="dxa"/>
            <w:tcBorders>
              <w:bottom w:val="single" w:sz="12" w:space="0" w:color="auto"/>
            </w:tcBorders>
          </w:tcPr>
          <w:p w:rsidR="00E24DB7" w:rsidRPr="002C5876" w:rsidRDefault="00E24DB7" w:rsidP="00E24DB7">
            <w:pPr>
              <w:keepNext/>
              <w:spacing w:before="60" w:after="60" w:line="220" w:lineRule="atLeast"/>
              <w:ind w:left="57" w:right="57"/>
              <w:rPr>
                <w:sz w:val="18"/>
                <w:szCs w:val="18"/>
              </w:rPr>
            </w:pPr>
            <w:r w:rsidRPr="002C5876">
              <w:rPr>
                <w:sz w:val="18"/>
                <w:szCs w:val="18"/>
              </w:rPr>
              <w:t xml:space="preserve">Sortie de l’étape </w:t>
            </w:r>
            <w:r w:rsidRPr="002C5876">
              <w:rPr>
                <w:rFonts w:eastAsia="MS Mincho"/>
                <w:sz w:val="18"/>
                <w:szCs w:val="18"/>
              </w:rPr>
              <w:t>n</w:t>
            </w:r>
            <w:r w:rsidRPr="002C5876">
              <w:rPr>
                <w:rFonts w:eastAsia="MS Mincho"/>
                <w:sz w:val="18"/>
                <w:szCs w:val="18"/>
                <w:vertAlign w:val="superscript"/>
              </w:rPr>
              <w:t>o</w:t>
            </w:r>
            <w:r w:rsidRPr="002C5876">
              <w:rPr>
                <w:rFonts w:eastAsia="MS Mincho"/>
                <w:sz w:val="18"/>
                <w:szCs w:val="18"/>
              </w:rPr>
              <w:t> </w:t>
            </w:r>
            <w:r w:rsidRPr="002C5876">
              <w:rPr>
                <w:sz w:val="18"/>
                <w:szCs w:val="18"/>
              </w:rPr>
              <w:t>4 de ce tableau</w:t>
            </w:r>
          </w:p>
        </w:tc>
        <w:tc>
          <w:tcPr>
            <w:tcW w:w="2212" w:type="dxa"/>
            <w:tcBorders>
              <w:bottom w:val="single" w:sz="12" w:space="0" w:color="auto"/>
            </w:tcBorders>
          </w:tcPr>
          <w:p w:rsidR="00E24DB7" w:rsidRPr="00D53F39" w:rsidRDefault="00E24DB7" w:rsidP="00E24DB7">
            <w:pPr>
              <w:keepNext/>
              <w:spacing w:before="60" w:after="60" w:line="220" w:lineRule="atLeast"/>
              <w:ind w:left="57" w:right="57"/>
              <w:rPr>
                <w:sz w:val="18"/>
                <w:szCs w:val="18"/>
                <w:lang w:val="en-US"/>
              </w:rPr>
            </w:pPr>
            <w:r w:rsidRPr="00D53F39">
              <w:rPr>
                <w:spacing w:val="-2"/>
                <w:sz w:val="18"/>
                <w:szCs w:val="18"/>
                <w:lang w:val="en-US"/>
              </w:rPr>
              <w:t>FC</w:t>
            </w:r>
            <w:r w:rsidRPr="00D53F39">
              <w:rPr>
                <w:spacing w:val="-2"/>
                <w:sz w:val="18"/>
                <w:szCs w:val="18"/>
                <w:vertAlign w:val="subscript"/>
                <w:lang w:val="en-US"/>
              </w:rPr>
              <w:t>CS,p,4</w:t>
            </w:r>
            <w:r w:rsidRPr="00D53F39">
              <w:rPr>
                <w:spacing w:val="-2"/>
                <w:sz w:val="18"/>
                <w:szCs w:val="18"/>
                <w:lang w:val="en-US"/>
              </w:rPr>
              <w:t>, kg/100 km</w:t>
            </w:r>
            <w:r w:rsidRPr="00D53F39">
              <w:rPr>
                <w:spacing w:val="-2"/>
                <w:sz w:val="18"/>
                <w:szCs w:val="18"/>
                <w:lang w:val="en-US"/>
              </w:rPr>
              <w:br/>
            </w:r>
            <w:r w:rsidRPr="00D53F39">
              <w:rPr>
                <w:spacing w:val="-1"/>
                <w:sz w:val="18"/>
                <w:szCs w:val="18"/>
                <w:lang w:val="en-US"/>
              </w:rPr>
              <w:t>FC</w:t>
            </w:r>
            <w:r w:rsidRPr="00D53F39">
              <w:rPr>
                <w:spacing w:val="-1"/>
                <w:sz w:val="18"/>
                <w:szCs w:val="18"/>
                <w:vertAlign w:val="subscript"/>
                <w:lang w:val="en-US"/>
              </w:rPr>
              <w:t>CS,c,4</w:t>
            </w:r>
            <w:r w:rsidRPr="00D53F39">
              <w:rPr>
                <w:spacing w:val="-1"/>
                <w:sz w:val="18"/>
                <w:szCs w:val="18"/>
                <w:lang w:val="en-US"/>
              </w:rPr>
              <w:t>, kg/100 km</w:t>
            </w:r>
            <w:r w:rsidRPr="00D53F39">
              <w:rPr>
                <w:sz w:val="18"/>
                <w:szCs w:val="18"/>
                <w:lang w:val="en-US"/>
              </w:rPr>
              <w:br/>
              <w:t>FC</w:t>
            </w:r>
            <w:r w:rsidRPr="00D53F39">
              <w:rPr>
                <w:sz w:val="18"/>
                <w:szCs w:val="18"/>
                <w:vertAlign w:val="subscript"/>
                <w:lang w:val="en-US"/>
              </w:rPr>
              <w:t>CS,c,declared</w:t>
            </w:r>
            <w:r w:rsidRPr="00D53F39">
              <w:rPr>
                <w:sz w:val="18"/>
                <w:szCs w:val="18"/>
                <w:lang w:val="en-US"/>
              </w:rPr>
              <w:t>, kg/100 km</w:t>
            </w:r>
          </w:p>
        </w:tc>
        <w:tc>
          <w:tcPr>
            <w:tcW w:w="2617" w:type="dxa"/>
            <w:tcBorders>
              <w:bottom w:val="single" w:sz="12" w:space="0" w:color="auto"/>
            </w:tcBorders>
          </w:tcPr>
          <w:p w:rsidR="00E24DB7" w:rsidRPr="002C5876" w:rsidRDefault="00E24DB7" w:rsidP="00E24DB7">
            <w:pPr>
              <w:keepNext/>
              <w:suppressAutoHyphens w:val="0"/>
              <w:spacing w:before="60" w:after="60" w:line="220" w:lineRule="atLeast"/>
              <w:ind w:left="57" w:right="57"/>
              <w:rPr>
                <w:sz w:val="18"/>
                <w:szCs w:val="18"/>
              </w:rPr>
            </w:pPr>
            <w:r w:rsidRPr="002C5876">
              <w:rPr>
                <w:sz w:val="18"/>
                <w:szCs w:val="18"/>
              </w:rPr>
              <w:t>Alignement des valeurs de phases.</w:t>
            </w:r>
          </w:p>
          <w:p w:rsidR="00E24DB7" w:rsidRPr="002C5876" w:rsidRDefault="00E24DB7" w:rsidP="00E24DB7">
            <w:pPr>
              <w:keepNext/>
              <w:suppressAutoHyphens w:val="0"/>
              <w:spacing w:before="60" w:after="60" w:line="220" w:lineRule="atLeast"/>
              <w:ind w:left="57" w:right="57"/>
              <w:rPr>
                <w:sz w:val="18"/>
                <w:szCs w:val="18"/>
              </w:rPr>
            </w:pPr>
            <w:r w:rsidRPr="002C5876">
              <w:rPr>
                <w:sz w:val="18"/>
                <w:szCs w:val="18"/>
              </w:rPr>
              <w:t>Par. 1.2.4 de l’annexe 6</w:t>
            </w:r>
          </w:p>
          <w:p w:rsidR="00E24DB7" w:rsidRPr="002C5876" w:rsidRDefault="00E24DB7" w:rsidP="00E24DB7">
            <w:pPr>
              <w:keepNext/>
              <w:suppressAutoHyphens w:val="0"/>
              <w:spacing w:before="60" w:after="60" w:line="220" w:lineRule="atLeast"/>
              <w:ind w:left="57" w:right="57"/>
              <w:rPr>
                <w:sz w:val="18"/>
                <w:szCs w:val="18"/>
              </w:rPr>
            </w:pPr>
            <w:r w:rsidRPr="002C5876">
              <w:rPr>
                <w:sz w:val="18"/>
                <w:szCs w:val="18"/>
              </w:rPr>
              <w:t>et :</w:t>
            </w:r>
          </w:p>
          <w:p w:rsidR="00E24DB7" w:rsidRPr="002C5876" w:rsidRDefault="00E24DB7" w:rsidP="00E24DB7">
            <w:pPr>
              <w:keepNext/>
              <w:suppressAutoHyphens w:val="0"/>
              <w:spacing w:before="60" w:after="60" w:line="220" w:lineRule="atLeast"/>
              <w:ind w:left="57" w:right="57"/>
              <w:rPr>
                <w:sz w:val="18"/>
                <w:szCs w:val="18"/>
              </w:rPr>
            </w:pPr>
            <w:r w:rsidRPr="002C5876">
              <w:rPr>
                <w:noProof/>
                <w:position w:val="-12"/>
                <w:sz w:val="18"/>
                <w:szCs w:val="18"/>
                <w:lang w:val="en-GB" w:eastAsia="zh-CN"/>
              </w:rPr>
              <w:drawing>
                <wp:inline distT="0" distB="0" distL="0" distR="0" wp14:anchorId="771EB82B" wp14:editId="708C3537">
                  <wp:extent cx="1276350" cy="209550"/>
                  <wp:effectExtent l="0" t="0" r="0" b="0"/>
                  <wp:docPr id="368" name="Imag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276350" cy="209550"/>
                          </a:xfrm>
                          <a:prstGeom prst="rect">
                            <a:avLst/>
                          </a:prstGeom>
                          <a:noFill/>
                          <a:ln>
                            <a:noFill/>
                          </a:ln>
                        </pic:spPr>
                      </pic:pic>
                    </a:graphicData>
                  </a:graphic>
                </wp:inline>
              </w:drawing>
            </w:r>
          </w:p>
        </w:tc>
        <w:tc>
          <w:tcPr>
            <w:tcW w:w="1890" w:type="dxa"/>
            <w:tcBorders>
              <w:bottom w:val="single" w:sz="12" w:space="0" w:color="auto"/>
            </w:tcBorders>
          </w:tcPr>
          <w:p w:rsidR="00E24DB7" w:rsidRPr="00D53F39" w:rsidRDefault="00E24DB7" w:rsidP="00E24DB7">
            <w:pPr>
              <w:keepNext/>
              <w:spacing w:before="60" w:after="60" w:line="220" w:lineRule="atLeast"/>
              <w:ind w:left="57" w:right="57"/>
              <w:rPr>
                <w:spacing w:val="-1"/>
                <w:sz w:val="18"/>
                <w:szCs w:val="18"/>
                <w:lang w:val="en-US"/>
              </w:rPr>
            </w:pPr>
            <w:r w:rsidRPr="00D53F39">
              <w:rPr>
                <w:spacing w:val="-2"/>
                <w:sz w:val="18"/>
                <w:szCs w:val="18"/>
                <w:lang w:val="en-US"/>
              </w:rPr>
              <w:t>FC</w:t>
            </w:r>
            <w:r w:rsidRPr="00D53F39">
              <w:rPr>
                <w:spacing w:val="-2"/>
                <w:sz w:val="18"/>
                <w:szCs w:val="18"/>
                <w:vertAlign w:val="subscript"/>
                <w:lang w:val="en-US"/>
              </w:rPr>
              <w:t>CS,p,5</w:t>
            </w:r>
            <w:r w:rsidRPr="00D53F39">
              <w:rPr>
                <w:spacing w:val="-2"/>
                <w:sz w:val="18"/>
                <w:szCs w:val="18"/>
                <w:lang w:val="en-US"/>
              </w:rPr>
              <w:t>, kg/100 km</w:t>
            </w:r>
            <w:r w:rsidRPr="00D53F39">
              <w:rPr>
                <w:spacing w:val="-2"/>
                <w:sz w:val="18"/>
                <w:szCs w:val="18"/>
                <w:lang w:val="en-US"/>
              </w:rPr>
              <w:br/>
            </w:r>
            <w:r w:rsidRPr="00D53F39">
              <w:rPr>
                <w:spacing w:val="-1"/>
                <w:sz w:val="18"/>
                <w:szCs w:val="18"/>
                <w:lang w:val="en-US"/>
              </w:rPr>
              <w:t>FC</w:t>
            </w:r>
            <w:r w:rsidRPr="00D53F39">
              <w:rPr>
                <w:spacing w:val="-1"/>
                <w:sz w:val="18"/>
                <w:szCs w:val="18"/>
                <w:vertAlign w:val="subscript"/>
                <w:lang w:val="en-US"/>
              </w:rPr>
              <w:t>CS,c,5</w:t>
            </w:r>
            <w:r w:rsidRPr="00D53F39">
              <w:rPr>
                <w:spacing w:val="-1"/>
                <w:sz w:val="18"/>
                <w:szCs w:val="18"/>
                <w:lang w:val="en-US"/>
              </w:rPr>
              <w:t>, kg/100 km</w:t>
            </w:r>
          </w:p>
        </w:tc>
        <w:tc>
          <w:tcPr>
            <w:tcW w:w="1365" w:type="dxa"/>
            <w:tcBorders>
              <w:bottom w:val="single" w:sz="12" w:space="0" w:color="auto"/>
            </w:tcBorders>
          </w:tcPr>
          <w:p w:rsidR="00E24DB7" w:rsidRPr="002C5876" w:rsidRDefault="00E24DB7" w:rsidP="00E24DB7">
            <w:pPr>
              <w:keepNext/>
              <w:suppressAutoHyphens w:val="0"/>
              <w:spacing w:before="60" w:after="60" w:line="220" w:lineRule="atLeast"/>
              <w:ind w:left="57" w:right="57"/>
              <w:rPr>
                <w:sz w:val="18"/>
                <w:szCs w:val="18"/>
              </w:rPr>
            </w:pPr>
            <w:r w:rsidRPr="002C5876">
              <w:rPr>
                <w:sz w:val="18"/>
                <w:szCs w:val="18"/>
              </w:rPr>
              <w:t>5</w:t>
            </w:r>
          </w:p>
          <w:p w:rsidR="00E24DB7" w:rsidRPr="002C5876" w:rsidRDefault="00E24DB7" w:rsidP="00E24DB7">
            <w:pPr>
              <w:keepNext/>
              <w:suppressAutoHyphens w:val="0"/>
              <w:spacing w:before="60" w:after="60" w:line="220" w:lineRule="atLeast"/>
              <w:ind w:left="57" w:right="57"/>
              <w:rPr>
                <w:sz w:val="18"/>
                <w:szCs w:val="18"/>
              </w:rPr>
            </w:pPr>
            <w:r w:rsidRPr="002C5876">
              <w:rPr>
                <w:sz w:val="18"/>
                <w:szCs w:val="18"/>
              </w:rPr>
              <w:t>FC</w:t>
            </w:r>
            <w:r w:rsidRPr="002C5876">
              <w:rPr>
                <w:sz w:val="18"/>
                <w:szCs w:val="18"/>
                <w:vertAlign w:val="subscript"/>
              </w:rPr>
              <w:t>CS</w:t>
            </w:r>
            <w:r w:rsidRPr="002C5876">
              <w:rPr>
                <w:sz w:val="18"/>
                <w:szCs w:val="18"/>
              </w:rPr>
              <w:t xml:space="preserve"> résultats d’un essai du type 1 pour un véhicule d’essai</w:t>
            </w:r>
          </w:p>
        </w:tc>
      </w:tr>
    </w:tbl>
    <w:p w:rsidR="00E24DB7" w:rsidRPr="002C5876" w:rsidRDefault="00E24DB7" w:rsidP="00E24DB7">
      <w:pPr>
        <w:pStyle w:val="SingleTxtG"/>
        <w:spacing w:before="240"/>
        <w:ind w:left="2268" w:hanging="1134"/>
      </w:pPr>
    </w:p>
    <w:p w:rsidR="00E24DB7" w:rsidRPr="002C5876" w:rsidRDefault="00E24DB7" w:rsidP="00E24DB7">
      <w:pPr>
        <w:pStyle w:val="SingleTxtG"/>
        <w:spacing w:before="240"/>
        <w:ind w:left="2268" w:hanging="1134"/>
      </w:pPr>
      <w:r w:rsidRPr="002C5876">
        <w:br w:type="page"/>
      </w:r>
      <w:r w:rsidRPr="002C5876">
        <w:lastRenderedPageBreak/>
        <w:t>4.2.1.2.2</w:t>
      </w:r>
      <w:r w:rsidRPr="002C5876">
        <w:tab/>
        <w:t>Dans le cas où la correction conformément au paragraphe 1.1.4 de l’appendice 2 de la présente annexe n’a pas été appliquée, la consommation de carburant en mode maintien de la charge doit être calculée comme suit :</w:t>
      </w:r>
    </w:p>
    <w:p w:rsidR="00E24DB7" w:rsidRPr="002C5876" w:rsidRDefault="00731CA6" w:rsidP="00E24DB7">
      <w:pPr>
        <w:pStyle w:val="SingleTxtG"/>
        <w:spacing w:after="240"/>
        <w:ind w:left="2268" w:hanging="1134"/>
        <w:jc w:val="center"/>
      </w:pPr>
      <m:oMathPara>
        <m:oMath>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CS</m:t>
              </m:r>
            </m:sub>
          </m:sSub>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 xml:space="preserve">CS,nb </m:t>
              </m:r>
            </m:sub>
          </m:sSub>
        </m:oMath>
      </m:oMathPara>
    </w:p>
    <w:p w:rsidR="00E24DB7" w:rsidRPr="002C5876" w:rsidRDefault="00E24DB7" w:rsidP="00E24DB7">
      <w:pPr>
        <w:keepNext/>
        <w:spacing w:after="120"/>
        <w:ind w:left="2835" w:right="1134" w:hanging="567"/>
        <w:jc w:val="both"/>
        <w:rPr>
          <w:szCs w:val="24"/>
        </w:rPr>
      </w:pPr>
      <w:r w:rsidRPr="002C5876">
        <w:rPr>
          <w:szCs w:val="24"/>
        </w:rPr>
        <w:t>où :</w:t>
      </w:r>
    </w:p>
    <w:p w:rsidR="00E24DB7" w:rsidRPr="002C5876" w:rsidRDefault="00E24DB7" w:rsidP="00E24DB7">
      <w:pPr>
        <w:pStyle w:val="SingleTxtG"/>
        <w:ind w:left="3402" w:hanging="1134"/>
        <w:rPr>
          <w:szCs w:val="24"/>
        </w:rPr>
      </w:pPr>
      <w:r w:rsidRPr="002C5876">
        <w:rPr>
          <w:szCs w:val="24"/>
        </w:rPr>
        <w:t>FC</w:t>
      </w:r>
      <w:r w:rsidRPr="002C5876">
        <w:rPr>
          <w:szCs w:val="24"/>
          <w:vertAlign w:val="subscript"/>
        </w:rPr>
        <w:t>CS</w:t>
      </w:r>
      <w:r w:rsidRPr="002C5876">
        <w:rPr>
          <w:szCs w:val="24"/>
        </w:rPr>
        <w:tab/>
        <w:t xml:space="preserve">est la consommation de carburant en mode maintien de la charge pour l’essai du type 1 en mode maintien de la charge conformément au tableau A8/7, étape </w:t>
      </w:r>
      <w:r w:rsidRPr="002C5876">
        <w:rPr>
          <w:rFonts w:eastAsia="MS Mincho"/>
        </w:rPr>
        <w:t>n</w:t>
      </w:r>
      <w:r w:rsidRPr="002C5876">
        <w:rPr>
          <w:rFonts w:eastAsia="MS Mincho"/>
          <w:vertAlign w:val="superscript"/>
        </w:rPr>
        <w:t>o</w:t>
      </w:r>
      <w:r w:rsidRPr="002C5876">
        <w:rPr>
          <w:rFonts w:eastAsia="MS Mincho"/>
        </w:rPr>
        <w:t> </w:t>
      </w:r>
      <w:r w:rsidRPr="002C5876">
        <w:rPr>
          <w:szCs w:val="24"/>
        </w:rPr>
        <w:t>2, en kg/100 km ;</w:t>
      </w:r>
    </w:p>
    <w:p w:rsidR="00E24DB7" w:rsidRPr="002C5876" w:rsidRDefault="00E24DB7" w:rsidP="00E24DB7">
      <w:pPr>
        <w:pStyle w:val="SingleTxtG"/>
        <w:ind w:left="3402" w:hanging="1134"/>
        <w:rPr>
          <w:szCs w:val="24"/>
        </w:rPr>
      </w:pPr>
      <w:r w:rsidRPr="002C5876">
        <w:rPr>
          <w:szCs w:val="24"/>
        </w:rPr>
        <w:t>FC</w:t>
      </w:r>
      <w:r w:rsidRPr="002C5876">
        <w:rPr>
          <w:szCs w:val="24"/>
          <w:vertAlign w:val="subscript"/>
        </w:rPr>
        <w:t>CS,nb</w:t>
      </w:r>
      <w:r w:rsidRPr="002C5876">
        <w:rPr>
          <w:szCs w:val="24"/>
        </w:rPr>
        <w:tab/>
        <w:t xml:space="preserve">est la consommation de carburant non compensée en mode maintien de la charge pour l’essai du type 1 en mode maintien de la charge, non corrigée pour le bilan énergétique, conformément au tableau A8/7, étape </w:t>
      </w:r>
      <w:r w:rsidRPr="002C5876">
        <w:rPr>
          <w:rFonts w:eastAsia="MS Mincho"/>
        </w:rPr>
        <w:t>n</w:t>
      </w:r>
      <w:r w:rsidRPr="002C5876">
        <w:rPr>
          <w:rFonts w:eastAsia="MS Mincho"/>
          <w:vertAlign w:val="superscript"/>
        </w:rPr>
        <w:t>o</w:t>
      </w:r>
      <w:r w:rsidRPr="002C5876">
        <w:rPr>
          <w:rFonts w:eastAsia="MS Mincho"/>
        </w:rPr>
        <w:t> </w:t>
      </w:r>
      <w:r w:rsidRPr="002C5876">
        <w:rPr>
          <w:szCs w:val="24"/>
        </w:rPr>
        <w:t>1, en kg/100 km.</w:t>
      </w:r>
    </w:p>
    <w:p w:rsidR="00E24DB7" w:rsidRPr="002C5876" w:rsidRDefault="00E24DB7" w:rsidP="00E24DB7">
      <w:pPr>
        <w:pStyle w:val="SingleTxtG"/>
        <w:ind w:left="2268" w:hanging="1134"/>
        <w:rPr>
          <w:bCs/>
          <w:szCs w:val="24"/>
        </w:rPr>
      </w:pPr>
      <w:r w:rsidRPr="002C5876">
        <w:rPr>
          <w:bCs/>
          <w:szCs w:val="24"/>
        </w:rPr>
        <w:t>4.2.1.2.3</w:t>
      </w:r>
      <w:r w:rsidRPr="002C5876">
        <w:rPr>
          <w:bCs/>
          <w:szCs w:val="24"/>
        </w:rPr>
        <w:tab/>
        <w:t xml:space="preserve">Si la </w:t>
      </w:r>
      <w:r w:rsidRPr="002C5876">
        <w:rPr>
          <w:szCs w:val="24"/>
        </w:rPr>
        <w:t xml:space="preserve">correction de la consommation de carburant est requise conformément au paragraphe 1.1.3 de l’appendice </w:t>
      </w:r>
      <w:r w:rsidRPr="002C5876">
        <w:rPr>
          <w:bCs/>
          <w:szCs w:val="24"/>
        </w:rPr>
        <w:t>2 de la présente annexe, ou si la correction conformément au paragraphe 1.1.4 de l’appendice 2 à cette même annexe a été appliquée, le coefficient de correction de la consommation doit être déterminé conformément au paragraphe 2 de l’appendice</w:t>
      </w:r>
      <w:r w:rsidRPr="002C5876">
        <w:t> </w:t>
      </w:r>
      <w:r w:rsidRPr="002C5876">
        <w:rPr>
          <w:bCs/>
          <w:szCs w:val="24"/>
        </w:rPr>
        <w:t>2 de la présente annexe. La consommation de carburant corrigée en mode maintien de la charge doit être calculée au moyen de l’équation suivante :</w:t>
      </w:r>
    </w:p>
    <w:p w:rsidR="00E24DB7" w:rsidRPr="002C5876" w:rsidRDefault="00731CA6" w:rsidP="00E24DB7">
      <w:pPr>
        <w:spacing w:line="240" w:lineRule="exact"/>
        <w:ind w:left="2268" w:right="1134"/>
        <w:jc w:val="center"/>
        <w:rPr>
          <w:b/>
          <w:bCs/>
        </w:rPr>
      </w:pPr>
      <m:oMathPara>
        <m:oMath>
          <m:sSub>
            <m:sSubPr>
              <m:ctrlPr>
                <w:rPr>
                  <w:rFonts w:ascii="Cambria Math" w:hAnsi="Cambria Math" w:cstheme="majorBidi"/>
                  <w:b/>
                </w:rPr>
              </m:ctrlPr>
            </m:sSubPr>
            <m:e>
              <m:r>
                <m:rPr>
                  <m:sty m:val="p"/>
                </m:rPr>
                <w:rPr>
                  <w:rFonts w:ascii="Cambria Math" w:hAnsi="Cambria Math" w:cstheme="majorBidi"/>
                </w:rPr>
                <m:t>FC</m:t>
              </m:r>
            </m:e>
            <m:sub>
              <m:r>
                <m:rPr>
                  <m:sty m:val="p"/>
                </m:rPr>
                <w:rPr>
                  <w:rFonts w:ascii="Cambria Math" w:hAnsi="Cambria Math" w:cstheme="majorBidi"/>
                </w:rPr>
                <m:t>CS</m:t>
              </m:r>
            </m:sub>
          </m:sSub>
          <m:r>
            <m:rPr>
              <m:sty m:val="p"/>
            </m:rPr>
            <w:rPr>
              <w:rFonts w:ascii="Cambria Math" w:hAnsi="Cambria Math" w:cstheme="majorBidi"/>
            </w:rPr>
            <m:t>=</m:t>
          </m:r>
          <m:sSub>
            <m:sSubPr>
              <m:ctrlPr>
                <w:rPr>
                  <w:rFonts w:ascii="Cambria Math" w:hAnsi="Cambria Math" w:cstheme="majorBidi"/>
                  <w:b/>
                </w:rPr>
              </m:ctrlPr>
            </m:sSubPr>
            <m:e>
              <m:r>
                <m:rPr>
                  <m:sty m:val="p"/>
                </m:rPr>
                <w:rPr>
                  <w:rFonts w:ascii="Cambria Math" w:hAnsi="Cambria Math" w:cstheme="majorBidi"/>
                </w:rPr>
                <m:t>FC</m:t>
              </m:r>
            </m:e>
            <m:sub>
              <m:r>
                <m:rPr>
                  <m:sty m:val="p"/>
                </m:rPr>
                <w:rPr>
                  <w:rFonts w:ascii="Cambria Math" w:hAnsi="Cambria Math" w:cstheme="majorBidi"/>
                </w:rPr>
                <m:t>CS,nb</m:t>
              </m:r>
            </m:sub>
          </m:sSub>
          <m:r>
            <m:rPr>
              <m:sty m:val="p"/>
            </m:rPr>
            <w:rPr>
              <w:rFonts w:ascii="Cambria Math" w:hAnsi="Cambria Math" w:cstheme="majorBidi"/>
            </w:rPr>
            <m:t>-</m:t>
          </m:r>
          <m:sSub>
            <m:sSubPr>
              <m:ctrlPr>
                <w:rPr>
                  <w:rFonts w:ascii="Cambria Math" w:hAnsi="Cambria Math" w:cstheme="majorBidi"/>
                  <w:b/>
                </w:rPr>
              </m:ctrlPr>
            </m:sSubPr>
            <m:e>
              <m:r>
                <m:rPr>
                  <m:sty m:val="p"/>
                </m:rPr>
                <w:rPr>
                  <w:rFonts w:ascii="Cambria Math" w:hAnsi="Cambria Math" w:cstheme="majorBidi"/>
                </w:rPr>
                <m:t>K</m:t>
              </m:r>
            </m:e>
            <m:sub>
              <m:r>
                <m:rPr>
                  <m:sty m:val="p"/>
                </m:rPr>
                <w:rPr>
                  <w:rFonts w:ascii="Cambria Math" w:hAnsi="Cambria Math" w:cstheme="majorBidi"/>
                </w:rPr>
                <m:t>fuel,FCHV</m:t>
              </m:r>
            </m:sub>
          </m:sSub>
          <m:r>
            <m:rPr>
              <m:sty m:val="p"/>
            </m:rPr>
            <w:rPr>
              <w:rFonts w:ascii="Cambria Math" w:hAnsi="Cambria Math" w:cstheme="majorBidi"/>
            </w:rPr>
            <m:t>×</m:t>
          </m:r>
          <m:sSub>
            <m:sSubPr>
              <m:ctrlPr>
                <w:rPr>
                  <w:rFonts w:ascii="Cambria Math" w:hAnsi="Cambria Math" w:cstheme="majorBidi"/>
                  <w:b/>
                </w:rPr>
              </m:ctrlPr>
            </m:sSubPr>
            <m:e>
              <m:r>
                <m:rPr>
                  <m:sty m:val="p"/>
                </m:rPr>
                <w:rPr>
                  <w:rFonts w:ascii="Cambria Math" w:hAnsi="Cambria Math" w:cstheme="majorBidi"/>
                </w:rPr>
                <m:t>EC</m:t>
              </m:r>
            </m:e>
            <m:sub>
              <m:r>
                <m:rPr>
                  <m:sty m:val="p"/>
                </m:rPr>
                <w:rPr>
                  <w:rFonts w:ascii="Cambria Math" w:hAnsi="Cambria Math" w:cstheme="majorBidi"/>
                </w:rPr>
                <m:t>DC,CS</m:t>
              </m:r>
            </m:sub>
          </m:sSub>
        </m:oMath>
      </m:oMathPara>
    </w:p>
    <w:p w:rsidR="00E24DB7" w:rsidRPr="002C5876" w:rsidRDefault="00E24DB7" w:rsidP="00E24DB7">
      <w:pPr>
        <w:spacing w:after="120"/>
        <w:ind w:left="2268" w:right="1134"/>
        <w:jc w:val="both"/>
        <w:rPr>
          <w:szCs w:val="24"/>
        </w:rPr>
      </w:pPr>
      <w:r w:rsidRPr="002C5876">
        <w:rPr>
          <w:szCs w:val="24"/>
        </w:rPr>
        <w:t>où :</w:t>
      </w:r>
    </w:p>
    <w:p w:rsidR="00E24DB7" w:rsidRPr="002C5876" w:rsidRDefault="00E24DB7" w:rsidP="00E24DB7">
      <w:pPr>
        <w:pStyle w:val="SingleTxtG"/>
        <w:ind w:left="3402" w:hanging="1134"/>
        <w:rPr>
          <w:szCs w:val="24"/>
        </w:rPr>
      </w:pPr>
      <w:r w:rsidRPr="002C5876">
        <w:rPr>
          <w:szCs w:val="24"/>
        </w:rPr>
        <w:t>FC</w:t>
      </w:r>
      <w:r w:rsidRPr="002C5876">
        <w:rPr>
          <w:szCs w:val="24"/>
          <w:vertAlign w:val="subscript"/>
        </w:rPr>
        <w:t>CS</w:t>
      </w:r>
      <w:r w:rsidRPr="002C5876">
        <w:rPr>
          <w:szCs w:val="24"/>
        </w:rPr>
        <w:tab/>
        <w:t xml:space="preserve">est la consommation de carburant en mode maintien de la charge pour l’essai du type 1 en mode maintien de la charge conformément au tableau A8/7, étape </w:t>
      </w:r>
      <w:r w:rsidRPr="002C5876">
        <w:rPr>
          <w:rFonts w:eastAsia="MS Mincho"/>
        </w:rPr>
        <w:t>n</w:t>
      </w:r>
      <w:r w:rsidRPr="002C5876">
        <w:rPr>
          <w:rFonts w:eastAsia="MS Mincho"/>
          <w:vertAlign w:val="superscript"/>
        </w:rPr>
        <w:t>o</w:t>
      </w:r>
      <w:r w:rsidRPr="002C5876">
        <w:rPr>
          <w:rFonts w:eastAsia="MS Mincho"/>
        </w:rPr>
        <w:t> </w:t>
      </w:r>
      <w:r w:rsidRPr="002C5876">
        <w:rPr>
          <w:szCs w:val="24"/>
        </w:rPr>
        <w:t>2, en kg/100 km ;</w:t>
      </w:r>
    </w:p>
    <w:p w:rsidR="00E24DB7" w:rsidRPr="002C5876" w:rsidRDefault="00E24DB7" w:rsidP="00E24DB7">
      <w:pPr>
        <w:pStyle w:val="SingleTxtG"/>
        <w:ind w:left="3402" w:hanging="1134"/>
        <w:rPr>
          <w:szCs w:val="24"/>
        </w:rPr>
      </w:pPr>
      <w:r w:rsidRPr="002C5876">
        <w:rPr>
          <w:szCs w:val="24"/>
        </w:rPr>
        <w:t>FC</w:t>
      </w:r>
      <w:r w:rsidRPr="002C5876">
        <w:rPr>
          <w:szCs w:val="24"/>
          <w:vertAlign w:val="subscript"/>
        </w:rPr>
        <w:t>CS,nb</w:t>
      </w:r>
      <w:r w:rsidRPr="002C5876">
        <w:rPr>
          <w:szCs w:val="24"/>
          <w:vertAlign w:val="subscript"/>
        </w:rPr>
        <w:tab/>
      </w:r>
      <w:r w:rsidRPr="002C5876">
        <w:rPr>
          <w:szCs w:val="24"/>
        </w:rPr>
        <w:t xml:space="preserve">est la consommation de carburant non compensée pour l’essai du type 1 en mode maintien de la charge, non corrigée pour le bilan énergétique, conformément au tableau A8/7, étape </w:t>
      </w:r>
      <w:r w:rsidRPr="002C5876">
        <w:rPr>
          <w:rFonts w:eastAsia="MS Mincho"/>
        </w:rPr>
        <w:t>n</w:t>
      </w:r>
      <w:r w:rsidRPr="002C5876">
        <w:rPr>
          <w:rFonts w:eastAsia="MS Mincho"/>
          <w:vertAlign w:val="superscript"/>
        </w:rPr>
        <w:t>o</w:t>
      </w:r>
      <w:r w:rsidRPr="002C5876">
        <w:rPr>
          <w:rFonts w:eastAsia="MS Mincho"/>
        </w:rPr>
        <w:t> </w:t>
      </w:r>
      <w:r w:rsidRPr="002C5876">
        <w:rPr>
          <w:szCs w:val="24"/>
        </w:rPr>
        <w:t>1, en kg/100 km ;</w:t>
      </w:r>
    </w:p>
    <w:p w:rsidR="00E24DB7" w:rsidRPr="002C5876" w:rsidRDefault="00E24DB7" w:rsidP="00E24DB7">
      <w:pPr>
        <w:pStyle w:val="SingleTxtG"/>
        <w:ind w:left="3402" w:hanging="1134"/>
        <w:rPr>
          <w:szCs w:val="24"/>
        </w:rPr>
      </w:pPr>
      <w:r w:rsidRPr="002C5876">
        <w:rPr>
          <w:szCs w:val="24"/>
        </w:rPr>
        <w:t>EC</w:t>
      </w:r>
      <w:r w:rsidRPr="002C5876">
        <w:rPr>
          <w:szCs w:val="24"/>
          <w:vertAlign w:val="subscript"/>
        </w:rPr>
        <w:t>DC,CS</w:t>
      </w:r>
      <w:r w:rsidRPr="002C5876">
        <w:rPr>
          <w:szCs w:val="24"/>
        </w:rPr>
        <w:tab/>
        <w:t>est la consommation d’énergie électrique de l’essai du type 1 en mode maintien de la charge conformément au paragraphe 4.3 de la présente annexe, en Wh/km ;</w:t>
      </w:r>
    </w:p>
    <w:p w:rsidR="00E24DB7" w:rsidRPr="002C5876" w:rsidRDefault="00E24DB7" w:rsidP="00E24DB7">
      <w:pPr>
        <w:pStyle w:val="SingleTxtG"/>
        <w:ind w:left="3402" w:hanging="1134"/>
        <w:rPr>
          <w:szCs w:val="24"/>
        </w:rPr>
      </w:pPr>
      <w:r w:rsidRPr="002C5876">
        <w:rPr>
          <w:szCs w:val="24"/>
        </w:rPr>
        <w:t>K</w:t>
      </w:r>
      <w:r w:rsidRPr="002C5876">
        <w:rPr>
          <w:szCs w:val="24"/>
          <w:vertAlign w:val="subscript"/>
        </w:rPr>
        <w:t>fuel,FCHV</w:t>
      </w:r>
      <w:r w:rsidRPr="002C5876">
        <w:rPr>
          <w:szCs w:val="24"/>
        </w:rPr>
        <w:tab/>
        <w:t>est le coefficient de correction de la consommation de carburant conformément au paragraphe 2.3.1 de l’appendice 2 de la présente annexe, en (kg/</w:t>
      </w:r>
      <w:r w:rsidRPr="002C5876">
        <w:t>100 km)</w:t>
      </w:r>
      <w:r w:rsidRPr="002C5876">
        <w:rPr>
          <w:szCs w:val="24"/>
        </w:rPr>
        <w:t>/(Wh/km).</w:t>
      </w:r>
    </w:p>
    <w:p w:rsidR="00E24DB7" w:rsidRPr="002C5876" w:rsidRDefault="00E24DB7" w:rsidP="00E24DB7">
      <w:pPr>
        <w:pStyle w:val="SingleTxtG"/>
        <w:ind w:left="2268" w:hanging="1134"/>
        <w:rPr>
          <w:bCs/>
          <w:szCs w:val="24"/>
        </w:rPr>
      </w:pPr>
      <w:r w:rsidRPr="002C5876">
        <w:rPr>
          <w:bCs/>
          <w:szCs w:val="24"/>
        </w:rPr>
        <w:t>4.2.1.2.4</w:t>
      </w:r>
      <w:r w:rsidRPr="002C5876">
        <w:rPr>
          <w:bCs/>
          <w:szCs w:val="24"/>
        </w:rPr>
        <w:tab/>
        <w:t>Dans le cas où des coefficients de correction de la consommation de carburant spécifiques par phase n’ont pas été déterminés, la consommation de carburant spécifique par phase doit être calculée au moyen de l’équation suivante :</w:t>
      </w:r>
    </w:p>
    <w:p w:rsidR="00E24DB7" w:rsidRPr="002C5876" w:rsidRDefault="00731CA6" w:rsidP="00E24DB7">
      <w:pPr>
        <w:pStyle w:val="SingleTxtG"/>
        <w:spacing w:after="240"/>
        <w:ind w:left="2268"/>
        <w:jc w:val="center"/>
        <w:rPr>
          <w:bCs/>
          <w:szCs w:val="24"/>
        </w:rPr>
      </w:pPr>
      <m:oMathPara>
        <m:oMath>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CS,p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CS,nb,p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fuel,FCHV</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DC,CS,p</m:t>
              </m:r>
            </m:sub>
          </m:sSub>
        </m:oMath>
      </m:oMathPara>
    </w:p>
    <w:p w:rsidR="00E24DB7" w:rsidRPr="002C5876" w:rsidRDefault="00E24DB7" w:rsidP="00E24DB7">
      <w:pPr>
        <w:pStyle w:val="SingleTxtG"/>
        <w:keepNext/>
        <w:keepLines/>
        <w:ind w:left="3402" w:hanging="1134"/>
        <w:rPr>
          <w:bCs/>
          <w:szCs w:val="24"/>
        </w:rPr>
      </w:pPr>
      <w:r w:rsidRPr="002C5876">
        <w:rPr>
          <w:szCs w:val="24"/>
        </w:rPr>
        <w:t>où :</w:t>
      </w:r>
    </w:p>
    <w:p w:rsidR="00E24DB7" w:rsidRPr="002C5876" w:rsidRDefault="00E24DB7" w:rsidP="00E24DB7">
      <w:pPr>
        <w:pStyle w:val="SingleTxtG"/>
        <w:keepNext/>
        <w:keepLines/>
        <w:ind w:left="3402" w:hanging="1134"/>
        <w:rPr>
          <w:szCs w:val="24"/>
        </w:rPr>
      </w:pPr>
      <w:r w:rsidRPr="002C5876">
        <w:rPr>
          <w:szCs w:val="24"/>
        </w:rPr>
        <w:t>FC</w:t>
      </w:r>
      <w:r w:rsidRPr="002C5876">
        <w:rPr>
          <w:szCs w:val="24"/>
          <w:vertAlign w:val="subscript"/>
        </w:rPr>
        <w:t>CS,p</w:t>
      </w:r>
      <w:r w:rsidRPr="002C5876">
        <w:rPr>
          <w:szCs w:val="24"/>
        </w:rPr>
        <w:tab/>
      </w:r>
      <w:r w:rsidRPr="002C5876">
        <w:rPr>
          <w:spacing w:val="-2"/>
          <w:szCs w:val="24"/>
        </w:rPr>
        <w:t xml:space="preserve">est la consommation de carburant en mode maintien de la charge de la phase p de l’essai du type 1 en mode maintien de la charge conformément au tableau A8/7, étape </w:t>
      </w:r>
      <w:r w:rsidRPr="002C5876">
        <w:rPr>
          <w:rFonts w:eastAsia="MS Mincho"/>
          <w:spacing w:val="-2"/>
        </w:rPr>
        <w:t>n</w:t>
      </w:r>
      <w:r w:rsidRPr="002C5876">
        <w:rPr>
          <w:rFonts w:eastAsia="MS Mincho"/>
          <w:spacing w:val="-2"/>
          <w:vertAlign w:val="superscript"/>
        </w:rPr>
        <w:t>o</w:t>
      </w:r>
      <w:r w:rsidRPr="002C5876">
        <w:rPr>
          <w:rFonts w:eastAsia="MS Mincho"/>
          <w:spacing w:val="-2"/>
        </w:rPr>
        <w:t> </w:t>
      </w:r>
      <w:r w:rsidRPr="002C5876">
        <w:rPr>
          <w:spacing w:val="-2"/>
          <w:szCs w:val="24"/>
        </w:rPr>
        <w:t>2, en kg/100 km ;</w:t>
      </w:r>
    </w:p>
    <w:p w:rsidR="00E24DB7" w:rsidRPr="002C5876" w:rsidRDefault="00E24DB7" w:rsidP="00E24DB7">
      <w:pPr>
        <w:pStyle w:val="SingleTxtG"/>
        <w:ind w:left="3402" w:hanging="1134"/>
        <w:rPr>
          <w:szCs w:val="24"/>
        </w:rPr>
      </w:pPr>
      <w:r w:rsidRPr="002C5876">
        <w:rPr>
          <w:szCs w:val="24"/>
        </w:rPr>
        <w:t>FC</w:t>
      </w:r>
      <w:r w:rsidRPr="002C5876">
        <w:rPr>
          <w:szCs w:val="24"/>
          <w:vertAlign w:val="subscript"/>
        </w:rPr>
        <w:t>CS,nb,p</w:t>
      </w:r>
      <w:r w:rsidRPr="002C5876">
        <w:rPr>
          <w:szCs w:val="24"/>
          <w:vertAlign w:val="subscript"/>
        </w:rPr>
        <w:tab/>
      </w:r>
      <w:r w:rsidRPr="002C5876">
        <w:rPr>
          <w:szCs w:val="24"/>
        </w:rPr>
        <w:t xml:space="preserve">est la consommation de carburant non compensée de la phase p de l’essai du type 1 en mode maintien de la charge, non corrigée pour le bilan énergétique, conformément au tableau A8/7, étape </w:t>
      </w:r>
      <w:r w:rsidRPr="002C5876">
        <w:rPr>
          <w:rFonts w:eastAsia="MS Mincho"/>
        </w:rPr>
        <w:t>n</w:t>
      </w:r>
      <w:r w:rsidRPr="002C5876">
        <w:rPr>
          <w:rFonts w:eastAsia="MS Mincho"/>
          <w:vertAlign w:val="superscript"/>
        </w:rPr>
        <w:t>o</w:t>
      </w:r>
      <w:r w:rsidRPr="002C5876">
        <w:rPr>
          <w:rFonts w:eastAsia="MS Mincho"/>
        </w:rPr>
        <w:t> </w:t>
      </w:r>
      <w:r w:rsidRPr="002C5876">
        <w:rPr>
          <w:szCs w:val="24"/>
        </w:rPr>
        <w:t>1, en kg/100 km ;</w:t>
      </w:r>
    </w:p>
    <w:p w:rsidR="00E24DB7" w:rsidRPr="002C5876" w:rsidRDefault="00E24DB7" w:rsidP="00E24DB7">
      <w:pPr>
        <w:pStyle w:val="SingleTxtG"/>
        <w:ind w:left="3402" w:hanging="1134"/>
        <w:rPr>
          <w:szCs w:val="24"/>
        </w:rPr>
      </w:pPr>
      <w:r w:rsidRPr="002C5876">
        <w:rPr>
          <w:szCs w:val="24"/>
        </w:rPr>
        <w:t>EC</w:t>
      </w:r>
      <w:r w:rsidRPr="002C5876">
        <w:rPr>
          <w:szCs w:val="24"/>
          <w:vertAlign w:val="subscript"/>
        </w:rPr>
        <w:t>DS,CS,p</w:t>
      </w:r>
      <w:r w:rsidRPr="002C5876">
        <w:rPr>
          <w:szCs w:val="24"/>
        </w:rPr>
        <w:tab/>
        <w:t>est la consommation d’énergie électrique de la phase p de l’essai du type 1 en mode maintien de la charge, déterminée conformément au paragraphe 4.3 de la présente annexe, en Wh/km ;</w:t>
      </w:r>
    </w:p>
    <w:p w:rsidR="00E24DB7" w:rsidRPr="002C5876" w:rsidRDefault="00E24DB7" w:rsidP="00E24DB7">
      <w:pPr>
        <w:pStyle w:val="SingleTxtG"/>
        <w:ind w:left="3402" w:hanging="1134"/>
        <w:rPr>
          <w:szCs w:val="24"/>
        </w:rPr>
      </w:pPr>
      <w:r w:rsidRPr="002C5876">
        <w:rPr>
          <w:szCs w:val="24"/>
        </w:rPr>
        <w:lastRenderedPageBreak/>
        <w:t>K</w:t>
      </w:r>
      <w:r w:rsidRPr="002C5876">
        <w:rPr>
          <w:szCs w:val="24"/>
          <w:vertAlign w:val="subscript"/>
        </w:rPr>
        <w:t>fuel,FCHV</w:t>
      </w:r>
      <w:r w:rsidRPr="002C5876">
        <w:rPr>
          <w:szCs w:val="24"/>
        </w:rPr>
        <w:tab/>
      </w:r>
      <w:r w:rsidRPr="002C5876">
        <w:rPr>
          <w:szCs w:val="24"/>
        </w:rPr>
        <w:tab/>
        <w:t>est le coefficient de correction de la consommation de carburant conformément au paragraphe 2.3.1 de l’appendice 2 de la présente annexe, en (kg/</w:t>
      </w:r>
      <w:r w:rsidRPr="002C5876">
        <w:t>100 km)</w:t>
      </w:r>
      <w:r w:rsidRPr="002C5876">
        <w:rPr>
          <w:szCs w:val="24"/>
        </w:rPr>
        <w:t>/(Wh/km) ;</w:t>
      </w:r>
    </w:p>
    <w:p w:rsidR="00E24DB7" w:rsidRPr="002C5876" w:rsidRDefault="00E24DB7" w:rsidP="00E24DB7">
      <w:pPr>
        <w:pStyle w:val="SingleTxtG"/>
        <w:ind w:left="3402" w:hanging="1134"/>
        <w:rPr>
          <w:szCs w:val="24"/>
        </w:rPr>
      </w:pPr>
      <w:r w:rsidRPr="002C5876">
        <w:rPr>
          <w:szCs w:val="24"/>
        </w:rPr>
        <w:t>p</w:t>
      </w:r>
      <w:r w:rsidRPr="002C5876">
        <w:rPr>
          <w:szCs w:val="24"/>
        </w:rPr>
        <w:tab/>
        <w:t>est le numéro d’ordre de la phase individuelle du cycle d’essai WLTP applicable.</w:t>
      </w:r>
    </w:p>
    <w:p w:rsidR="00E24DB7" w:rsidRPr="002C5876" w:rsidRDefault="00E24DB7" w:rsidP="00E24DB7">
      <w:pPr>
        <w:pStyle w:val="SingleTxtG"/>
        <w:ind w:left="2268" w:hanging="1134"/>
        <w:rPr>
          <w:bCs/>
          <w:szCs w:val="24"/>
        </w:rPr>
      </w:pPr>
      <w:r w:rsidRPr="002C5876">
        <w:rPr>
          <w:bCs/>
          <w:szCs w:val="24"/>
        </w:rPr>
        <w:t>4.2.1.2.5</w:t>
      </w:r>
      <w:r w:rsidRPr="002C5876">
        <w:rPr>
          <w:bCs/>
          <w:szCs w:val="24"/>
        </w:rPr>
        <w:tab/>
        <w:t>Dans le cas où des coefficients de correction de la consommation de carburant spécifiques par phase ont été déterminés, la consommation de carburant spécifique par phase doit être calculée au moyen de l’équation suivante :</w:t>
      </w:r>
    </w:p>
    <w:p w:rsidR="00E24DB7" w:rsidRPr="002C5876" w:rsidRDefault="00731CA6" w:rsidP="00E24DB7">
      <w:pPr>
        <w:spacing w:line="240" w:lineRule="exact"/>
        <w:ind w:left="1134"/>
        <w:jc w:val="center"/>
        <w:rPr>
          <w:b/>
          <w:bCs/>
        </w:rPr>
      </w:pPr>
      <m:oMathPara>
        <m:oMath>
          <m:sSub>
            <m:sSubPr>
              <m:ctrlPr>
                <w:rPr>
                  <w:rFonts w:ascii="Cambria Math" w:hAnsi="Cambria Math" w:cstheme="majorBidi"/>
                  <w:b/>
                </w:rPr>
              </m:ctrlPr>
            </m:sSubPr>
            <m:e>
              <m:r>
                <m:rPr>
                  <m:sty m:val="p"/>
                </m:rPr>
                <w:rPr>
                  <w:rFonts w:ascii="Cambria Math" w:hAnsi="Cambria Math" w:cstheme="majorBidi"/>
                </w:rPr>
                <m:t>FC</m:t>
              </m:r>
            </m:e>
            <m:sub>
              <m:r>
                <m:rPr>
                  <m:sty m:val="p"/>
                </m:rPr>
                <w:rPr>
                  <w:rFonts w:ascii="Cambria Math" w:hAnsi="Cambria Math" w:cstheme="majorBidi"/>
                </w:rPr>
                <m:t>CS,p</m:t>
              </m:r>
            </m:sub>
          </m:sSub>
          <m:r>
            <m:rPr>
              <m:sty m:val="p"/>
            </m:rPr>
            <w:rPr>
              <w:rFonts w:ascii="Cambria Math" w:hAnsi="Cambria Math" w:cstheme="majorBidi"/>
            </w:rPr>
            <m:t>=</m:t>
          </m:r>
          <m:sSub>
            <m:sSubPr>
              <m:ctrlPr>
                <w:rPr>
                  <w:rFonts w:ascii="Cambria Math" w:hAnsi="Cambria Math" w:cstheme="majorBidi"/>
                  <w:b/>
                </w:rPr>
              </m:ctrlPr>
            </m:sSubPr>
            <m:e>
              <m:r>
                <m:rPr>
                  <m:sty m:val="p"/>
                </m:rPr>
                <w:rPr>
                  <w:rFonts w:ascii="Cambria Math" w:hAnsi="Cambria Math" w:cstheme="majorBidi"/>
                </w:rPr>
                <m:t>FC</m:t>
              </m:r>
            </m:e>
            <m:sub>
              <m:r>
                <m:rPr>
                  <m:sty m:val="p"/>
                </m:rPr>
                <w:rPr>
                  <w:rFonts w:ascii="Cambria Math" w:hAnsi="Cambria Math" w:cstheme="majorBidi"/>
                </w:rPr>
                <m:t>CS,nb,p</m:t>
              </m:r>
            </m:sub>
          </m:sSub>
          <m:r>
            <m:rPr>
              <m:sty m:val="p"/>
            </m:rPr>
            <w:rPr>
              <w:rFonts w:ascii="Cambria Math" w:hAnsi="Cambria Math" w:cstheme="majorBidi"/>
            </w:rPr>
            <m:t>-</m:t>
          </m:r>
          <m:sSub>
            <m:sSubPr>
              <m:ctrlPr>
                <w:rPr>
                  <w:rFonts w:ascii="Cambria Math" w:hAnsi="Cambria Math" w:cstheme="majorBidi"/>
                  <w:b/>
                </w:rPr>
              </m:ctrlPr>
            </m:sSubPr>
            <m:e>
              <m:r>
                <m:rPr>
                  <m:sty m:val="p"/>
                </m:rPr>
                <w:rPr>
                  <w:rFonts w:ascii="Cambria Math" w:hAnsi="Cambria Math" w:cstheme="majorBidi"/>
                </w:rPr>
                <m:t>K</m:t>
              </m:r>
            </m:e>
            <m:sub>
              <m:r>
                <m:rPr>
                  <m:sty m:val="p"/>
                </m:rPr>
                <w:rPr>
                  <w:rFonts w:ascii="Cambria Math" w:hAnsi="Cambria Math" w:cstheme="majorBidi"/>
                </w:rPr>
                <m:t>fuel,FCHV,p</m:t>
              </m:r>
            </m:sub>
          </m:sSub>
          <m:r>
            <m:rPr>
              <m:sty m:val="p"/>
            </m:rPr>
            <w:rPr>
              <w:rFonts w:ascii="Cambria Math" w:hAnsi="Cambria Math" w:cstheme="majorBidi"/>
            </w:rPr>
            <m:t>×</m:t>
          </m:r>
          <m:sSub>
            <m:sSubPr>
              <m:ctrlPr>
                <w:rPr>
                  <w:rFonts w:ascii="Cambria Math" w:hAnsi="Cambria Math" w:cstheme="majorBidi"/>
                  <w:b/>
                </w:rPr>
              </m:ctrlPr>
            </m:sSubPr>
            <m:e>
              <m:r>
                <m:rPr>
                  <m:sty m:val="p"/>
                </m:rPr>
                <w:rPr>
                  <w:rFonts w:ascii="Cambria Math" w:hAnsi="Cambria Math" w:cstheme="majorBidi"/>
                </w:rPr>
                <m:t>EC</m:t>
              </m:r>
            </m:e>
            <m:sub>
              <m:r>
                <m:rPr>
                  <m:sty m:val="p"/>
                </m:rPr>
                <w:rPr>
                  <w:rFonts w:ascii="Cambria Math" w:hAnsi="Cambria Math" w:cstheme="majorBidi"/>
                </w:rPr>
                <m:t>DC,CS,p</m:t>
              </m:r>
            </m:sub>
          </m:sSub>
        </m:oMath>
      </m:oMathPara>
    </w:p>
    <w:p w:rsidR="00E24DB7" w:rsidRPr="002C5876" w:rsidRDefault="00E24DB7" w:rsidP="00E24DB7">
      <w:pPr>
        <w:pStyle w:val="SingleTxtG"/>
        <w:ind w:left="3402" w:hanging="1134"/>
        <w:rPr>
          <w:szCs w:val="24"/>
        </w:rPr>
      </w:pPr>
      <w:r w:rsidRPr="002C5876">
        <w:rPr>
          <w:szCs w:val="24"/>
        </w:rPr>
        <w:t>où :</w:t>
      </w:r>
    </w:p>
    <w:p w:rsidR="00E24DB7" w:rsidRPr="002C5876" w:rsidRDefault="00E24DB7" w:rsidP="00E24DB7">
      <w:pPr>
        <w:pStyle w:val="SingleTxtG"/>
        <w:ind w:left="3402" w:hanging="1134"/>
        <w:rPr>
          <w:szCs w:val="24"/>
        </w:rPr>
      </w:pPr>
      <w:r w:rsidRPr="002C5876">
        <w:rPr>
          <w:szCs w:val="24"/>
        </w:rPr>
        <w:t>FC</w:t>
      </w:r>
      <w:r w:rsidRPr="002C5876">
        <w:rPr>
          <w:szCs w:val="24"/>
          <w:vertAlign w:val="subscript"/>
        </w:rPr>
        <w:t>CS,p</w:t>
      </w:r>
      <w:r w:rsidRPr="002C5876">
        <w:rPr>
          <w:szCs w:val="24"/>
        </w:rPr>
        <w:tab/>
        <w:t xml:space="preserve">est la consommation de carburant en mode maintien de la charge de la phase p de l’essai du type 1 en mode maintien de la charge conformément au tableau A8/7, étape </w:t>
      </w:r>
      <w:r w:rsidRPr="002C5876">
        <w:rPr>
          <w:rFonts w:eastAsia="MS Mincho"/>
        </w:rPr>
        <w:t>n</w:t>
      </w:r>
      <w:r w:rsidRPr="002C5876">
        <w:rPr>
          <w:rFonts w:eastAsia="MS Mincho"/>
          <w:vertAlign w:val="superscript"/>
        </w:rPr>
        <w:t>o</w:t>
      </w:r>
      <w:r w:rsidRPr="002C5876">
        <w:rPr>
          <w:rFonts w:eastAsia="MS Mincho"/>
        </w:rPr>
        <w:t> </w:t>
      </w:r>
      <w:r w:rsidRPr="002C5876">
        <w:rPr>
          <w:szCs w:val="24"/>
        </w:rPr>
        <w:t>2, en kg/100 km ;</w:t>
      </w:r>
    </w:p>
    <w:p w:rsidR="00E24DB7" w:rsidRPr="002C5876" w:rsidRDefault="00E24DB7" w:rsidP="00E24DB7">
      <w:pPr>
        <w:pStyle w:val="SingleTxtG"/>
        <w:ind w:left="3402" w:hanging="1134"/>
        <w:rPr>
          <w:szCs w:val="24"/>
        </w:rPr>
      </w:pPr>
      <w:r w:rsidRPr="002C5876">
        <w:rPr>
          <w:szCs w:val="24"/>
        </w:rPr>
        <w:t>FC</w:t>
      </w:r>
      <w:r w:rsidRPr="002C5876">
        <w:rPr>
          <w:szCs w:val="24"/>
          <w:vertAlign w:val="subscript"/>
        </w:rPr>
        <w:t>CS,nb,p</w:t>
      </w:r>
      <w:r w:rsidRPr="002C5876">
        <w:rPr>
          <w:szCs w:val="24"/>
          <w:vertAlign w:val="subscript"/>
        </w:rPr>
        <w:tab/>
      </w:r>
      <w:r w:rsidRPr="002C5876">
        <w:rPr>
          <w:szCs w:val="24"/>
        </w:rPr>
        <w:t xml:space="preserve">est la consommation de carburant non compensée de la phase p de l’essai du type 1 en mode maintien de la charge, non corrigée pour le bilan énergétique, conformément au tableau A8/7, étape </w:t>
      </w:r>
      <w:r w:rsidRPr="002C5876">
        <w:rPr>
          <w:rFonts w:eastAsia="MS Mincho"/>
        </w:rPr>
        <w:t>n</w:t>
      </w:r>
      <w:r w:rsidRPr="002C5876">
        <w:rPr>
          <w:rFonts w:eastAsia="MS Mincho"/>
          <w:vertAlign w:val="superscript"/>
        </w:rPr>
        <w:t>o</w:t>
      </w:r>
      <w:r w:rsidRPr="002C5876">
        <w:rPr>
          <w:rFonts w:eastAsia="MS Mincho"/>
        </w:rPr>
        <w:t> </w:t>
      </w:r>
      <w:r w:rsidRPr="002C5876">
        <w:rPr>
          <w:szCs w:val="24"/>
        </w:rPr>
        <w:t>1, en kg/100 km ;</w:t>
      </w:r>
    </w:p>
    <w:p w:rsidR="00E24DB7" w:rsidRPr="002C5876" w:rsidRDefault="00E24DB7" w:rsidP="00E24DB7">
      <w:pPr>
        <w:pStyle w:val="SingleTxtG"/>
        <w:ind w:left="3402" w:hanging="1134"/>
        <w:rPr>
          <w:szCs w:val="24"/>
        </w:rPr>
      </w:pPr>
      <w:r w:rsidRPr="002C5876">
        <w:rPr>
          <w:szCs w:val="24"/>
        </w:rPr>
        <w:t>EC</w:t>
      </w:r>
      <w:r w:rsidRPr="002C5876">
        <w:rPr>
          <w:szCs w:val="24"/>
          <w:vertAlign w:val="subscript"/>
        </w:rPr>
        <w:t>DS,CS,p</w:t>
      </w:r>
      <w:r w:rsidRPr="002C5876">
        <w:rPr>
          <w:szCs w:val="24"/>
        </w:rPr>
        <w:tab/>
        <w:t>est la consommation d’énergie électrique de la phase p de l’essai du type 1 en mode maintien de la charge, déterminée conformément au paragraphe 4.3 de la présente annexe, en Wh/km ;</w:t>
      </w:r>
    </w:p>
    <w:p w:rsidR="00E24DB7" w:rsidRPr="002C5876" w:rsidRDefault="00E24DB7" w:rsidP="00E24DB7">
      <w:pPr>
        <w:pStyle w:val="SingleTxtG"/>
        <w:ind w:left="3402" w:hanging="1134"/>
        <w:rPr>
          <w:szCs w:val="24"/>
        </w:rPr>
      </w:pPr>
      <w:r w:rsidRPr="002C5876">
        <w:rPr>
          <w:szCs w:val="24"/>
        </w:rPr>
        <w:t>K</w:t>
      </w:r>
      <w:r w:rsidRPr="002C5876">
        <w:rPr>
          <w:szCs w:val="24"/>
          <w:vertAlign w:val="subscript"/>
        </w:rPr>
        <w:t>fuel,FCHV,p</w:t>
      </w:r>
      <w:r w:rsidRPr="002C5876">
        <w:rPr>
          <w:szCs w:val="24"/>
        </w:rPr>
        <w:tab/>
      </w:r>
      <w:r w:rsidRPr="002C5876">
        <w:rPr>
          <w:szCs w:val="24"/>
        </w:rPr>
        <w:tab/>
        <w:t>est le coefficient de correction de la consommation de carburant pour la correction de la phase p conformément au paragraphe 2.3.1.2 de l’appendice 2 de la présente annexe, en (kg/</w:t>
      </w:r>
      <w:r w:rsidRPr="002C5876">
        <w:t>100 km)</w:t>
      </w:r>
      <w:r w:rsidRPr="002C5876">
        <w:rPr>
          <w:szCs w:val="24"/>
        </w:rPr>
        <w:t>/(Wh/km) ;</w:t>
      </w:r>
    </w:p>
    <w:p w:rsidR="00E24DB7" w:rsidRPr="002C5876" w:rsidRDefault="00E24DB7" w:rsidP="00E24DB7">
      <w:pPr>
        <w:pStyle w:val="SingleTxtG"/>
        <w:ind w:left="3402" w:hanging="1134"/>
        <w:rPr>
          <w:szCs w:val="24"/>
        </w:rPr>
      </w:pPr>
      <w:r w:rsidRPr="002C5876">
        <w:rPr>
          <w:szCs w:val="24"/>
        </w:rPr>
        <w:t>p</w:t>
      </w:r>
      <w:r w:rsidRPr="002C5876">
        <w:rPr>
          <w:szCs w:val="24"/>
        </w:rPr>
        <w:tab/>
        <w:t>est le numéro d’ordre de la phase individuelle du cycle d’essai WLTP applicable.</w:t>
      </w:r>
    </w:p>
    <w:p w:rsidR="00E24DB7" w:rsidRPr="002C5876" w:rsidRDefault="00E24DB7" w:rsidP="00E24DB7">
      <w:pPr>
        <w:pStyle w:val="SingleTxtG"/>
        <w:ind w:left="2268" w:hanging="1134"/>
        <w:rPr>
          <w:szCs w:val="24"/>
        </w:rPr>
      </w:pPr>
      <w:r w:rsidRPr="002C5876">
        <w:rPr>
          <w:color w:val="000000"/>
          <w:szCs w:val="24"/>
        </w:rPr>
        <w:t>4.2.2</w:t>
      </w:r>
      <w:r w:rsidRPr="002C5876">
        <w:rPr>
          <w:color w:val="000000"/>
          <w:szCs w:val="24"/>
        </w:rPr>
        <w:tab/>
        <w:t>Consommation de carburant pondérée en fonction des facteurs d’utilisation en mode épuisement de la charge pour</w:t>
      </w:r>
      <w:r w:rsidRPr="002C5876">
        <w:rPr>
          <w:szCs w:val="24"/>
        </w:rPr>
        <w:t xml:space="preserve"> </w:t>
      </w:r>
      <w:r w:rsidRPr="002C5876">
        <w:rPr>
          <w:color w:val="000000"/>
          <w:szCs w:val="24"/>
        </w:rPr>
        <w:t>les VHE-RE</w:t>
      </w:r>
    </w:p>
    <w:p w:rsidR="00E24DB7" w:rsidRPr="002C5876" w:rsidRDefault="00E24DB7" w:rsidP="00E24DB7">
      <w:pPr>
        <w:pStyle w:val="SingleTxtG"/>
        <w:ind w:left="2268"/>
        <w:rPr>
          <w:bCs/>
          <w:szCs w:val="24"/>
        </w:rPr>
      </w:pPr>
      <w:r w:rsidRPr="002C5876">
        <w:rPr>
          <w:szCs w:val="24"/>
        </w:rPr>
        <w:t xml:space="preserve">La consommation de carburant </w:t>
      </w:r>
      <w:r w:rsidRPr="002C5876">
        <w:rPr>
          <w:color w:val="000000"/>
          <w:szCs w:val="24"/>
        </w:rPr>
        <w:t>pondérée en fonction des facteurs d’utilisation en mode épuisement de la charge,</w:t>
      </w:r>
      <w:r w:rsidRPr="002C5876">
        <w:rPr>
          <w:szCs w:val="24"/>
        </w:rPr>
        <w:t xml:space="preserve"> </w:t>
      </w: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CD</m:t>
            </m:r>
          </m:sub>
        </m:sSub>
      </m:oMath>
      <w:r w:rsidRPr="002C5876">
        <w:rPr>
          <w:szCs w:val="24"/>
        </w:rPr>
        <w:t>, doit être calculée au moyen de l’équation suivante </w:t>
      </w:r>
      <w:r w:rsidRPr="002C5876">
        <w:rPr>
          <w:bCs/>
          <w:szCs w:val="24"/>
        </w:rPr>
        <w:t>:</w:t>
      </w:r>
    </w:p>
    <w:p w:rsidR="00E24DB7" w:rsidRPr="002C5876" w:rsidRDefault="00731CA6" w:rsidP="00E24DB7">
      <w:pPr>
        <w:pStyle w:val="SingleTxtG"/>
        <w:spacing w:after="240"/>
        <w:ind w:left="2268"/>
        <w:jc w:val="center"/>
        <w:rPr>
          <w:bCs/>
          <w:szCs w:val="24"/>
        </w:rPr>
      </w:pPr>
      <m:oMathPara>
        <m:oMath>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CD</m:t>
              </m:r>
            </m:sub>
          </m:sSub>
          <m:r>
            <m:rPr>
              <m:sty m:val="p"/>
            </m:rPr>
            <w:rPr>
              <w:rFonts w:ascii="Cambria Math" w:hAnsi="Cambria Math" w:cstheme="majorBidi"/>
            </w:rPr>
            <m:t xml:space="preserve">= </m:t>
          </m:r>
          <m:f>
            <m:fPr>
              <m:ctrlPr>
                <w:rPr>
                  <w:rFonts w:ascii="Cambria Math" w:hAnsi="Cambria Math" w:cstheme="majorBidi"/>
                </w:rPr>
              </m:ctrlPr>
            </m:fPr>
            <m:num>
              <m:nary>
                <m:naryPr>
                  <m:chr m:val="∑"/>
                  <m:limLoc m:val="undOvr"/>
                  <m:ctrlPr>
                    <w:rPr>
                      <w:rFonts w:ascii="Cambria Math" w:hAnsi="Cambria Math" w:cstheme="majorBidi"/>
                    </w:rPr>
                  </m:ctrlPr>
                </m:naryPr>
                <m:sub>
                  <m:r>
                    <m:rPr>
                      <m:sty m:val="p"/>
                    </m:rPr>
                    <w:rPr>
                      <w:rFonts w:ascii="Cambria Math" w:hAnsi="Cambria Math" w:cstheme="majorBidi"/>
                    </w:rPr>
                    <m:t>j=1</m:t>
                  </m:r>
                </m:sub>
                <m:sup>
                  <m:r>
                    <m:rPr>
                      <m:sty m:val="p"/>
                    </m:rPr>
                    <w:rPr>
                      <w:rFonts w:ascii="Cambria Math" w:hAnsi="Cambria Math" w:cstheme="majorBidi"/>
                    </w:rPr>
                    <m:t>k</m:t>
                  </m:r>
                </m:sup>
                <m:e>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UF</m:t>
                      </m:r>
                    </m:e>
                    <m:sub>
                      <m:r>
                        <m:rPr>
                          <m:sty m:val="p"/>
                        </m:rPr>
                        <w:rPr>
                          <w:rFonts w:ascii="Cambria Math" w:hAnsi="Cambria Math" w:cstheme="majorBidi"/>
                        </w:rPr>
                        <m:t xml:space="preserve">j </m:t>
                      </m:r>
                    </m:sub>
                  </m:sSub>
                  <m:r>
                    <m:rPr>
                      <m:sty m:val="p"/>
                    </m:rPr>
                    <w:rPr>
                      <w:rFonts w:ascii="Cambria Math" w:hAnsi="Cambria Math" w:cstheme="majorBidi"/>
                    </w:rPr>
                    <m:t xml:space="preserve">× </m:t>
                  </m:r>
                </m:e>
              </m:nary>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CD,j</m:t>
                  </m:r>
                </m:sub>
              </m:sSub>
              <m:r>
                <m:rPr>
                  <m:sty m:val="p"/>
                </m:rPr>
                <w:rPr>
                  <w:rFonts w:ascii="Cambria Math" w:hAnsi="Cambria Math" w:cstheme="majorBidi"/>
                </w:rPr>
                <m:t>)</m:t>
              </m:r>
            </m:num>
            <m:den>
              <m:nary>
                <m:naryPr>
                  <m:chr m:val="∑"/>
                  <m:limLoc m:val="undOvr"/>
                  <m:ctrlPr>
                    <w:rPr>
                      <w:rFonts w:ascii="Cambria Math" w:hAnsi="Cambria Math" w:cstheme="majorBidi"/>
                    </w:rPr>
                  </m:ctrlPr>
                </m:naryPr>
                <m:sub>
                  <m:r>
                    <m:rPr>
                      <m:sty m:val="p"/>
                    </m:rPr>
                    <w:rPr>
                      <w:rFonts w:ascii="Cambria Math" w:hAnsi="Cambria Math" w:cstheme="majorBidi"/>
                    </w:rPr>
                    <m:t>j=1</m:t>
                  </m:r>
                </m:sub>
                <m:sup>
                  <m:r>
                    <m:rPr>
                      <m:sty m:val="p"/>
                    </m:rPr>
                    <w:rPr>
                      <w:rFonts w:ascii="Cambria Math" w:hAnsi="Cambria Math" w:cstheme="majorBidi"/>
                    </w:rPr>
                    <m:t>k</m:t>
                  </m:r>
                </m:sup>
                <m:e>
                  <m:sSub>
                    <m:sSubPr>
                      <m:ctrlPr>
                        <w:rPr>
                          <w:rFonts w:ascii="Cambria Math" w:hAnsi="Cambria Math" w:cstheme="majorBidi"/>
                        </w:rPr>
                      </m:ctrlPr>
                    </m:sSubPr>
                    <m:e>
                      <m:r>
                        <m:rPr>
                          <m:sty m:val="p"/>
                        </m:rPr>
                        <w:rPr>
                          <w:rFonts w:ascii="Cambria Math" w:hAnsi="Cambria Math" w:cstheme="majorBidi"/>
                        </w:rPr>
                        <m:t>UF</m:t>
                      </m:r>
                    </m:e>
                    <m:sub>
                      <m:r>
                        <m:rPr>
                          <m:sty m:val="p"/>
                        </m:rPr>
                        <w:rPr>
                          <w:rFonts w:ascii="Cambria Math" w:hAnsi="Cambria Math" w:cstheme="majorBidi"/>
                        </w:rPr>
                        <m:t>j</m:t>
                      </m:r>
                    </m:sub>
                  </m:sSub>
                </m:e>
              </m:nary>
            </m:den>
          </m:f>
        </m:oMath>
      </m:oMathPara>
    </w:p>
    <w:p w:rsidR="00E24DB7" w:rsidRPr="002C5876" w:rsidRDefault="00E24DB7" w:rsidP="00E24DB7">
      <w:pPr>
        <w:keepNext/>
        <w:spacing w:after="120"/>
        <w:ind w:left="2268" w:right="1134"/>
        <w:jc w:val="both"/>
        <w:rPr>
          <w:szCs w:val="24"/>
        </w:rPr>
      </w:pPr>
      <w:r w:rsidRPr="002C5876">
        <w:rPr>
          <w:szCs w:val="24"/>
        </w:rPr>
        <w:t>où :</w:t>
      </w:r>
    </w:p>
    <w:p w:rsidR="00E24DB7" w:rsidRPr="002C5876" w:rsidRDefault="00E24DB7" w:rsidP="00E24DB7">
      <w:pPr>
        <w:pStyle w:val="SingleTxtG"/>
        <w:ind w:left="3402" w:hanging="1134"/>
        <w:rPr>
          <w:szCs w:val="24"/>
        </w:rPr>
      </w:pPr>
      <w:r w:rsidRPr="002C5876">
        <w:rPr>
          <w:szCs w:val="24"/>
        </w:rPr>
        <w:t>FC</w:t>
      </w:r>
      <w:r w:rsidRPr="002C5876">
        <w:rPr>
          <w:szCs w:val="24"/>
          <w:vertAlign w:val="subscript"/>
        </w:rPr>
        <w:t>CD</w:t>
      </w:r>
      <w:r w:rsidRPr="002C5876">
        <w:rPr>
          <w:szCs w:val="24"/>
          <w:vertAlign w:val="subscript"/>
        </w:rPr>
        <w:tab/>
      </w:r>
      <w:r w:rsidRPr="002C5876">
        <w:rPr>
          <w:szCs w:val="24"/>
        </w:rPr>
        <w:t xml:space="preserve">est la consommation de carburant </w:t>
      </w:r>
      <w:r w:rsidRPr="002C5876">
        <w:rPr>
          <w:color w:val="000000"/>
          <w:szCs w:val="24"/>
        </w:rPr>
        <w:t>pondérée en fonction des facteurs d’utilisation en mode épuisement de la charge</w:t>
      </w:r>
      <w:r w:rsidRPr="002C5876">
        <w:rPr>
          <w:szCs w:val="24"/>
        </w:rPr>
        <w:t>, en l/100 km ;</w:t>
      </w:r>
    </w:p>
    <w:p w:rsidR="00E24DB7" w:rsidRPr="002C5876" w:rsidRDefault="00E24DB7" w:rsidP="00E24DB7">
      <w:pPr>
        <w:pStyle w:val="SingleTxtG"/>
        <w:ind w:left="3402" w:hanging="1134"/>
        <w:rPr>
          <w:szCs w:val="24"/>
        </w:rPr>
      </w:pPr>
      <w:r w:rsidRPr="002C5876">
        <w:rPr>
          <w:szCs w:val="24"/>
        </w:rPr>
        <w:t>FC</w:t>
      </w:r>
      <w:r w:rsidRPr="002C5876">
        <w:rPr>
          <w:szCs w:val="24"/>
          <w:vertAlign w:val="subscript"/>
        </w:rPr>
        <w:t>CD,j</w:t>
      </w:r>
      <w:r w:rsidRPr="002C5876">
        <w:rPr>
          <w:szCs w:val="24"/>
        </w:rPr>
        <w:tab/>
        <w:t>est la consommation de carburant pour la phase j de l’essai d’épuisement de la charge du type 1, déterminée conformément au paragraphe 6 de l’annexe 7, en l/100 km ;</w:t>
      </w:r>
    </w:p>
    <w:p w:rsidR="00E24DB7" w:rsidRPr="002C5876" w:rsidRDefault="00E24DB7" w:rsidP="00E24DB7">
      <w:pPr>
        <w:pStyle w:val="SingleTxtG"/>
        <w:ind w:left="3402" w:hanging="1134"/>
        <w:rPr>
          <w:szCs w:val="24"/>
        </w:rPr>
      </w:pPr>
      <w:r w:rsidRPr="002C5876">
        <w:rPr>
          <w:szCs w:val="24"/>
        </w:rPr>
        <w:t>UF</w:t>
      </w:r>
      <w:r w:rsidRPr="002C5876">
        <w:rPr>
          <w:szCs w:val="24"/>
          <w:vertAlign w:val="subscript"/>
        </w:rPr>
        <w:t>j</w:t>
      </w:r>
      <w:r w:rsidRPr="002C5876">
        <w:rPr>
          <w:szCs w:val="24"/>
        </w:rPr>
        <w:tab/>
        <w:t>est le facteur d’utilisation de la phase j conformément à l’appendice 5 de la présente annexe ;</w:t>
      </w:r>
    </w:p>
    <w:p w:rsidR="00E24DB7" w:rsidRPr="002C5876" w:rsidRDefault="00E24DB7" w:rsidP="00E24DB7">
      <w:pPr>
        <w:pStyle w:val="SingleTxtG"/>
        <w:ind w:left="3402" w:hanging="1134"/>
        <w:rPr>
          <w:szCs w:val="24"/>
        </w:rPr>
      </w:pPr>
      <w:r w:rsidRPr="002C5876">
        <w:rPr>
          <w:szCs w:val="24"/>
        </w:rPr>
        <w:t>j</w:t>
      </w:r>
      <w:r w:rsidRPr="002C5876">
        <w:rPr>
          <w:szCs w:val="24"/>
        </w:rPr>
        <w:tab/>
        <w:t>est le numéro d’ordre de la phase considérée ;</w:t>
      </w:r>
    </w:p>
    <w:p w:rsidR="00E24DB7" w:rsidRPr="002C5876" w:rsidRDefault="00E24DB7" w:rsidP="00E24DB7">
      <w:pPr>
        <w:pStyle w:val="SingleTxtG"/>
        <w:ind w:left="3402" w:hanging="1134"/>
        <w:rPr>
          <w:szCs w:val="24"/>
        </w:rPr>
      </w:pPr>
      <w:r w:rsidRPr="002C5876">
        <w:rPr>
          <w:szCs w:val="24"/>
        </w:rPr>
        <w:t>k</w:t>
      </w:r>
      <w:r w:rsidRPr="002C5876">
        <w:rPr>
          <w:szCs w:val="24"/>
        </w:rPr>
        <w:tab/>
        <w:t>est le nombre de phases exécutées jusqu’à la fin du cycle de transition, conformément au paragraphe 3.2.4.4 de la présente annexe.</w:t>
      </w:r>
    </w:p>
    <w:p w:rsidR="00E24DB7" w:rsidRPr="002C5876" w:rsidRDefault="00E24DB7" w:rsidP="00E24DB7">
      <w:pPr>
        <w:pStyle w:val="SingleTxtG"/>
        <w:ind w:left="2268"/>
        <w:rPr>
          <w:szCs w:val="24"/>
        </w:rPr>
      </w:pPr>
      <w:r w:rsidRPr="002C5876">
        <w:rPr>
          <w:szCs w:val="24"/>
        </w:rPr>
        <w:t xml:space="preserve">Dans le cas où la méthode d’interpolation est appliquée, k est le nombre de phases exécutées jusqu’à la fin du cycle de transition du véhicule L </w:t>
      </w:r>
      <m:oMath>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veh_L</m:t>
            </m:r>
          </m:sub>
        </m:sSub>
        <m:r>
          <w:rPr>
            <w:rFonts w:ascii="Cambria Math" w:hAnsi="Cambria Math"/>
            <w:szCs w:val="24"/>
          </w:rPr>
          <m:t>.</m:t>
        </m:r>
      </m:oMath>
    </w:p>
    <w:p w:rsidR="00E24DB7" w:rsidRPr="002C5876" w:rsidRDefault="00E24DB7" w:rsidP="00E24DB7">
      <w:pPr>
        <w:pStyle w:val="SingleTxtG"/>
        <w:ind w:left="2268"/>
      </w:pPr>
      <w:r w:rsidRPr="002C5876">
        <w:lastRenderedPageBreak/>
        <w:t xml:space="preserve">Si le nombre de cycles de transition exécutés par le véhicule H, </w:t>
      </w:r>
      <m:oMath>
        <m:sSub>
          <m:sSubPr>
            <m:ctrlPr>
              <w:rPr>
                <w:rFonts w:ascii="Cambria Math" w:hAnsi="Cambria Math"/>
              </w:rPr>
            </m:ctrlPr>
          </m:sSubPr>
          <m:e>
            <m:r>
              <m:rPr>
                <m:sty m:val="p"/>
              </m:rPr>
              <w:rPr>
                <w:rFonts w:ascii="Cambria Math" w:hAnsi="Cambria Math"/>
              </w:rPr>
              <m:t>n</m:t>
            </m:r>
          </m:e>
          <m:sub>
            <m:sSub>
              <m:sSubPr>
                <m:ctrlPr>
                  <w:rPr>
                    <w:rFonts w:ascii="Cambria Math" w:hAnsi="Cambria Math"/>
                  </w:rPr>
                </m:ctrlPr>
              </m:sSubPr>
              <m:e>
                <m:r>
                  <m:rPr>
                    <m:sty m:val="p"/>
                  </m:rPr>
                  <w:rPr>
                    <w:rFonts w:ascii="Cambria Math" w:hAnsi="Cambria Math"/>
                  </w:rPr>
                  <m:t>veh</m:t>
                </m:r>
              </m:e>
              <m:sub>
                <m:r>
                  <m:rPr>
                    <m:sty m:val="p"/>
                  </m:rPr>
                  <w:rPr>
                    <w:rFonts w:ascii="Cambria Math" w:hAnsi="Cambria Math"/>
                  </w:rPr>
                  <m:t>H</m:t>
                </m:r>
              </m:sub>
            </m:sSub>
          </m:sub>
        </m:sSub>
      </m:oMath>
      <w:r w:rsidRPr="002C5876">
        <w:t xml:space="preserve">, et, le cas échéant, par un véhicule donné au sein de la famille d’interpolation du véhicule, </w:t>
      </w:r>
      <m:oMath>
        <m:sSub>
          <m:sSubPr>
            <m:ctrlPr>
              <w:rPr>
                <w:rFonts w:ascii="Cambria Math" w:hAnsi="Cambria Math"/>
              </w:rPr>
            </m:ctrlPr>
          </m:sSubPr>
          <m:e>
            <m:r>
              <m:rPr>
                <m:sty m:val="p"/>
              </m:rPr>
              <w:rPr>
                <w:rFonts w:ascii="Cambria Math" w:hAnsi="Cambria Math"/>
              </w:rPr>
              <m:t>n</m:t>
            </m:r>
          </m:e>
          <m:sub>
            <m:sSub>
              <m:sSubPr>
                <m:ctrlPr>
                  <w:rPr>
                    <w:rFonts w:ascii="Cambria Math" w:hAnsi="Cambria Math"/>
                  </w:rPr>
                </m:ctrlPr>
              </m:sSubPr>
              <m:e>
                <m:r>
                  <m:rPr>
                    <m:sty m:val="p"/>
                  </m:rPr>
                  <w:rPr>
                    <w:rFonts w:ascii="Cambria Math" w:hAnsi="Cambria Math"/>
                  </w:rPr>
                  <m:t>veh</m:t>
                </m:r>
              </m:e>
              <m:sub>
                <m:r>
                  <m:rPr>
                    <m:sty m:val="p"/>
                  </m:rPr>
                  <w:rPr>
                    <w:rFonts w:ascii="Cambria Math" w:hAnsi="Cambria Math"/>
                  </w:rPr>
                  <m:t>ind</m:t>
                </m:r>
              </m:sub>
            </m:sSub>
          </m:sub>
        </m:sSub>
      </m:oMath>
      <w:r w:rsidRPr="002C5876">
        <w:t>, est inférieur au nombre de cycles de transition exécutés par le véhicule L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veh_L</m:t>
            </m:r>
          </m:sub>
        </m:sSub>
      </m:oMath>
      <w:r w:rsidRPr="002C5876">
        <w:t>, le cycle de confirmation du véhicule H, et, le cas échéant, du véhicule donné, doit être inclus dans le calcul. La consommation de carburant de chaque phase du cycle de confirmation doit être calculée conformément au paragraphe 6 de l’annexe 7, avec les émissions critères sur l’ensemble du cycle de confirmation et la valeur de CO</w:t>
      </w:r>
      <w:r w:rsidRPr="002C5876">
        <w:rPr>
          <w:vertAlign w:val="subscript"/>
        </w:rPr>
        <w:t>2</w:t>
      </w:r>
      <w:r w:rsidRPr="002C5876">
        <w:t xml:space="preserve"> applicable, laquelle doit être corrigée pour la rapporter à une consommation d’énergie électrique de zéro, </w:t>
      </w:r>
      <m:oMath>
        <m:sSub>
          <m:sSubPr>
            <m:ctrlPr>
              <w:rPr>
                <w:rFonts w:ascii="Cambria Math" w:hAnsi="Cambria Math"/>
              </w:rPr>
            </m:ctrlPr>
          </m:sSubPr>
          <m:e>
            <m:r>
              <m:rPr>
                <m:sty m:val="p"/>
              </m:rPr>
              <w:rPr>
                <w:rFonts w:ascii="Cambria Math" w:hAnsi="Cambria Math"/>
              </w:rPr>
              <m:t>EC</m:t>
            </m:r>
          </m:e>
          <m:sub>
            <m:r>
              <m:rPr>
                <m:sty m:val="p"/>
              </m:rPr>
              <w:rPr>
                <w:rFonts w:ascii="Cambria Math" w:hAnsi="Cambria Math"/>
              </w:rPr>
              <m:t>DC,CD,j</m:t>
            </m:r>
          </m:sub>
        </m:sSub>
        <m:r>
          <w:rPr>
            <w:rFonts w:ascii="Cambria Math" w:hAnsi="Cambria Math"/>
          </w:rPr>
          <m:t>=0</m:t>
        </m:r>
      </m:oMath>
      <w:r w:rsidRPr="002C5876">
        <w:t>, par application du coefficient de correction des émissions massiques de CO</w:t>
      </w:r>
      <w:r w:rsidRPr="002C5876">
        <w:rPr>
          <w:vertAlign w:val="subscript"/>
        </w:rPr>
        <w:t>2</w:t>
      </w:r>
      <w:r w:rsidRPr="002C5876">
        <w:t xml:space="preserve"> (K</w:t>
      </w:r>
      <w:r w:rsidRPr="002C5876">
        <w:rPr>
          <w:vertAlign w:val="subscript"/>
        </w:rPr>
        <w:t>CO2</w:t>
      </w:r>
      <w:r w:rsidRPr="002C5876">
        <w:t>) conformément à l’appendice 2 de la présente annexe.</w:t>
      </w:r>
    </w:p>
    <w:p w:rsidR="00E24DB7" w:rsidRPr="002C5876" w:rsidRDefault="00E24DB7" w:rsidP="00E24DB7">
      <w:pPr>
        <w:pStyle w:val="SingleTxtG"/>
        <w:ind w:left="2268" w:hanging="1134"/>
        <w:jc w:val="left"/>
        <w:rPr>
          <w:szCs w:val="24"/>
        </w:rPr>
      </w:pPr>
      <w:r w:rsidRPr="002C5876">
        <w:rPr>
          <w:szCs w:val="24"/>
        </w:rPr>
        <w:t>4.2.3</w:t>
      </w:r>
      <w:r w:rsidRPr="002C5876">
        <w:rPr>
          <w:szCs w:val="24"/>
        </w:rPr>
        <w:tab/>
      </w:r>
      <w:r w:rsidRPr="002C5876">
        <w:rPr>
          <w:color w:val="000000"/>
          <w:szCs w:val="24"/>
        </w:rPr>
        <w:t>Consommation de carburant pondérée en fonction des facteurs d’utilisation p</w:t>
      </w:r>
      <w:r w:rsidRPr="002C5876">
        <w:rPr>
          <w:szCs w:val="24"/>
        </w:rPr>
        <w:t xml:space="preserve">our </w:t>
      </w:r>
      <w:r w:rsidRPr="002C5876">
        <w:rPr>
          <w:color w:val="000000"/>
          <w:szCs w:val="24"/>
        </w:rPr>
        <w:t>les VHE-RE</w:t>
      </w:r>
    </w:p>
    <w:p w:rsidR="00E24DB7" w:rsidRPr="002C5876" w:rsidRDefault="00E24DB7" w:rsidP="00E24DB7">
      <w:pPr>
        <w:pStyle w:val="SingleTxtG"/>
        <w:ind w:left="2268"/>
        <w:rPr>
          <w:bCs/>
          <w:szCs w:val="24"/>
        </w:rPr>
      </w:pPr>
      <w:r w:rsidRPr="002C5876">
        <w:rPr>
          <w:szCs w:val="24"/>
        </w:rPr>
        <w:t xml:space="preserve">La consommation de carburant </w:t>
      </w:r>
      <w:r w:rsidRPr="002C5876">
        <w:rPr>
          <w:color w:val="000000"/>
          <w:szCs w:val="24"/>
        </w:rPr>
        <w:t>pondérée en fonction des facteurs d’utilisation p</w:t>
      </w:r>
      <w:r w:rsidRPr="002C5876">
        <w:rPr>
          <w:szCs w:val="24"/>
        </w:rPr>
        <w:t>our l’essai du type 1 en mode épuisement de la charge et en mode maintien de la charge doit être calculée au moyen de l’équation suivante </w:t>
      </w:r>
      <w:r w:rsidRPr="002C5876">
        <w:rPr>
          <w:bCs/>
          <w:szCs w:val="24"/>
        </w:rPr>
        <w:t>:</w:t>
      </w:r>
    </w:p>
    <w:p w:rsidR="00E24DB7" w:rsidRPr="002C5876" w:rsidRDefault="00731CA6" w:rsidP="00E24DB7">
      <w:pPr>
        <w:pStyle w:val="SingleTxtG"/>
        <w:spacing w:after="240"/>
        <w:ind w:left="2268"/>
        <w:jc w:val="center"/>
        <w:rPr>
          <w:bCs/>
          <w:szCs w:val="24"/>
        </w:rPr>
      </w:pPr>
      <m:oMathPara>
        <m:oMath>
          <m:sSub>
            <m:sSubPr>
              <m:ctrlPr>
                <w:rPr>
                  <w:rFonts w:ascii="Cambria Math" w:eastAsia="Times New Roman" w:hAnsi="Cambria Math" w:cstheme="majorBidi"/>
                  <w:noProof/>
                  <w:lang w:eastAsia="de-DE"/>
                </w:rPr>
              </m:ctrlPr>
            </m:sSubPr>
            <m:e>
              <m:r>
                <m:rPr>
                  <m:sty m:val="p"/>
                </m:rPr>
                <w:rPr>
                  <w:rFonts w:ascii="Cambria Math" w:eastAsia="Times New Roman" w:hAnsi="Cambria Math" w:cstheme="majorBidi"/>
                  <w:noProof/>
                  <w:lang w:eastAsia="de-DE"/>
                </w:rPr>
                <m:t>FC</m:t>
              </m:r>
            </m:e>
            <m:sub>
              <m:r>
                <m:rPr>
                  <m:sty m:val="p"/>
                </m:rPr>
                <w:rPr>
                  <w:rFonts w:ascii="Cambria Math" w:eastAsia="Times New Roman" w:hAnsi="Cambria Math" w:cstheme="majorBidi"/>
                  <w:noProof/>
                  <w:lang w:eastAsia="de-DE"/>
                </w:rPr>
                <m:t>weighted</m:t>
              </m:r>
            </m:sub>
          </m:sSub>
          <m:r>
            <m:rPr>
              <m:sty m:val="p"/>
            </m:rPr>
            <w:rPr>
              <w:rFonts w:ascii="Cambria Math" w:eastAsia="Cambria Math" w:hAnsi="Cambria Math" w:cstheme="majorBidi"/>
              <w:noProof/>
              <w:lang w:eastAsia="de-DE"/>
            </w:rPr>
            <m:t>=</m:t>
          </m:r>
          <m:nary>
            <m:naryPr>
              <m:chr m:val="∑"/>
              <m:limLoc m:val="undOvr"/>
              <m:ctrlPr>
                <w:rPr>
                  <w:rFonts w:ascii="Cambria Math" w:eastAsia="Cambria Math" w:hAnsi="Cambria Math" w:cstheme="majorBidi"/>
                  <w:noProof/>
                  <w:lang w:eastAsia="de-DE"/>
                </w:rPr>
              </m:ctrlPr>
            </m:naryPr>
            <m:sub>
              <m:r>
                <m:rPr>
                  <m:sty m:val="p"/>
                </m:rPr>
                <w:rPr>
                  <w:rFonts w:ascii="Cambria Math" w:eastAsia="Cambria Math" w:hAnsi="Cambria Math" w:cstheme="majorBidi"/>
                  <w:noProof/>
                  <w:lang w:eastAsia="de-DE"/>
                </w:rPr>
                <m:t>j=1</m:t>
              </m:r>
            </m:sub>
            <m:sup>
              <m:r>
                <m:rPr>
                  <m:sty m:val="p"/>
                </m:rPr>
                <w:rPr>
                  <w:rFonts w:ascii="Cambria Math" w:eastAsia="Cambria Math" w:hAnsi="Cambria Math" w:cstheme="majorBidi"/>
                  <w:noProof/>
                  <w:lang w:eastAsia="de-DE"/>
                </w:rPr>
                <m:t>k</m:t>
              </m:r>
            </m:sup>
            <m:e>
              <m:r>
                <m:rPr>
                  <m:sty m:val="p"/>
                </m:rPr>
                <w:rPr>
                  <w:rFonts w:ascii="Cambria Math" w:eastAsia="Cambria Math" w:hAnsi="Cambria Math" w:cstheme="majorBidi"/>
                  <w:noProof/>
                  <w:lang w:eastAsia="de-DE"/>
                </w:rPr>
                <m:t>(</m:t>
              </m:r>
              <m:sSub>
                <m:sSubPr>
                  <m:ctrlPr>
                    <w:rPr>
                      <w:rFonts w:ascii="Cambria Math" w:eastAsia="Cambria Math" w:hAnsi="Cambria Math" w:cstheme="majorBidi"/>
                      <w:noProof/>
                      <w:lang w:eastAsia="de-DE"/>
                    </w:rPr>
                  </m:ctrlPr>
                </m:sSubPr>
                <m:e>
                  <m:r>
                    <m:rPr>
                      <m:sty m:val="p"/>
                    </m:rPr>
                    <w:rPr>
                      <w:rFonts w:ascii="Cambria Math" w:eastAsia="Cambria Math" w:hAnsi="Cambria Math" w:cstheme="majorBidi"/>
                      <w:noProof/>
                      <w:lang w:eastAsia="de-DE"/>
                    </w:rPr>
                    <m:t>UF</m:t>
                  </m:r>
                </m:e>
                <m:sub>
                  <m:r>
                    <m:rPr>
                      <m:sty m:val="p"/>
                    </m:rPr>
                    <w:rPr>
                      <w:rFonts w:ascii="Cambria Math" w:eastAsia="Cambria Math" w:hAnsi="Cambria Math" w:cstheme="majorBidi"/>
                      <w:noProof/>
                      <w:lang w:eastAsia="de-DE"/>
                    </w:rPr>
                    <m:t>j</m:t>
                  </m:r>
                </m:sub>
              </m:sSub>
            </m:e>
          </m:nary>
          <m:r>
            <m:rPr>
              <m:sty m:val="p"/>
            </m:rPr>
            <w:rPr>
              <w:rFonts w:ascii="Cambria Math" w:eastAsia="Times New Roman" w:hAnsi="Cambria Math" w:cstheme="majorBidi"/>
            </w:rPr>
            <m:t>×</m:t>
          </m:r>
          <m:sSub>
            <m:sSubPr>
              <m:ctrlPr>
                <w:rPr>
                  <w:rFonts w:ascii="Cambria Math" w:eastAsia="Cambria Math" w:hAnsi="Cambria Math" w:cstheme="majorBidi"/>
                  <w:noProof/>
                  <w:lang w:eastAsia="de-DE"/>
                </w:rPr>
              </m:ctrlPr>
            </m:sSubPr>
            <m:e>
              <m:r>
                <m:rPr>
                  <m:sty m:val="p"/>
                </m:rPr>
                <w:rPr>
                  <w:rFonts w:ascii="Cambria Math" w:eastAsia="Cambria Math" w:hAnsi="Cambria Math" w:cstheme="majorBidi"/>
                  <w:noProof/>
                  <w:lang w:eastAsia="de-DE"/>
                </w:rPr>
                <m:t>FC</m:t>
              </m:r>
            </m:e>
            <m:sub>
              <m:r>
                <m:rPr>
                  <m:sty m:val="p"/>
                </m:rPr>
                <w:rPr>
                  <w:rFonts w:ascii="Cambria Math" w:eastAsia="Cambria Math" w:hAnsi="Cambria Math" w:cstheme="majorBidi"/>
                  <w:noProof/>
                  <w:lang w:eastAsia="de-DE"/>
                </w:rPr>
                <m:t>CD, j</m:t>
              </m:r>
            </m:sub>
          </m:sSub>
          <m:r>
            <m:rPr>
              <m:sty m:val="p"/>
            </m:rPr>
            <w:rPr>
              <w:rFonts w:ascii="Cambria Math" w:eastAsia="Times New Roman" w:hAnsi="Cambria Math" w:cstheme="majorBidi"/>
              <w:noProof/>
              <w:lang w:eastAsia="de-DE"/>
            </w:rPr>
            <m:t xml:space="preserve">)+(1- </m:t>
          </m:r>
          <m:nary>
            <m:naryPr>
              <m:chr m:val="∑"/>
              <m:limLoc m:val="undOvr"/>
              <m:ctrlPr>
                <w:rPr>
                  <w:rFonts w:ascii="Cambria Math" w:eastAsia="Times New Roman" w:hAnsi="Cambria Math" w:cstheme="majorBidi"/>
                  <w:noProof/>
                  <w:lang w:eastAsia="de-DE"/>
                </w:rPr>
              </m:ctrlPr>
            </m:naryPr>
            <m:sub>
              <m:r>
                <m:rPr>
                  <m:sty m:val="p"/>
                </m:rPr>
                <w:rPr>
                  <w:rFonts w:ascii="Cambria Math" w:eastAsia="Times New Roman" w:hAnsi="Cambria Math" w:cstheme="majorBidi"/>
                  <w:noProof/>
                  <w:lang w:eastAsia="de-DE"/>
                </w:rPr>
                <m:t>j=1</m:t>
              </m:r>
            </m:sub>
            <m:sup>
              <m:r>
                <m:rPr>
                  <m:sty m:val="p"/>
                </m:rPr>
                <w:rPr>
                  <w:rFonts w:ascii="Cambria Math" w:eastAsia="Times New Roman" w:hAnsi="Cambria Math" w:cstheme="majorBidi"/>
                  <w:noProof/>
                  <w:lang w:eastAsia="de-DE"/>
                </w:rPr>
                <m:t>k</m:t>
              </m:r>
            </m:sup>
            <m:e>
              <m:sSub>
                <m:sSubPr>
                  <m:ctrlPr>
                    <w:rPr>
                      <w:rFonts w:ascii="Cambria Math" w:eastAsia="Times New Roman" w:hAnsi="Cambria Math" w:cstheme="majorBidi"/>
                      <w:noProof/>
                      <w:lang w:eastAsia="de-DE"/>
                    </w:rPr>
                  </m:ctrlPr>
                </m:sSubPr>
                <m:e>
                  <m:r>
                    <m:rPr>
                      <m:sty m:val="p"/>
                    </m:rPr>
                    <w:rPr>
                      <w:rFonts w:ascii="Cambria Math" w:eastAsia="Times New Roman" w:hAnsi="Cambria Math" w:cstheme="majorBidi"/>
                      <w:noProof/>
                      <w:lang w:eastAsia="de-DE"/>
                    </w:rPr>
                    <m:t>UF</m:t>
                  </m:r>
                </m:e>
                <m:sub>
                  <m:r>
                    <m:rPr>
                      <m:sty m:val="p"/>
                    </m:rPr>
                    <w:rPr>
                      <w:rFonts w:ascii="Cambria Math" w:eastAsia="Times New Roman" w:hAnsi="Cambria Math" w:cstheme="majorBidi"/>
                      <w:noProof/>
                      <w:lang w:eastAsia="de-DE"/>
                    </w:rPr>
                    <m:t>j</m:t>
                  </m:r>
                </m:sub>
              </m:sSub>
            </m:e>
          </m:nary>
          <m:r>
            <m:rPr>
              <m:sty m:val="p"/>
            </m:rPr>
            <w:rPr>
              <w:rFonts w:ascii="Cambria Math" w:eastAsia="Times New Roman" w:hAnsi="Cambria Math" w:cstheme="majorBidi"/>
              <w:noProof/>
              <w:lang w:eastAsia="de-DE"/>
            </w:rPr>
            <m:t>)</m:t>
          </m:r>
          <m:r>
            <m:rPr>
              <m:sty m:val="p"/>
            </m:rPr>
            <w:rPr>
              <w:rFonts w:ascii="Cambria Math" w:eastAsia="Times New Roman" w:hAnsi="Cambria Math" w:cstheme="majorBidi"/>
            </w:rPr>
            <m:t>×</m:t>
          </m:r>
          <m:sSub>
            <m:sSubPr>
              <m:ctrlPr>
                <w:rPr>
                  <w:rFonts w:ascii="Cambria Math" w:eastAsia="Times New Roman" w:hAnsi="Cambria Math" w:cstheme="majorBidi"/>
                  <w:noProof/>
                  <w:lang w:eastAsia="de-DE"/>
                </w:rPr>
              </m:ctrlPr>
            </m:sSubPr>
            <m:e>
              <m:r>
                <m:rPr>
                  <m:sty m:val="p"/>
                </m:rPr>
                <w:rPr>
                  <w:rFonts w:ascii="Cambria Math" w:eastAsia="Times New Roman" w:hAnsi="Cambria Math" w:cstheme="majorBidi"/>
                  <w:noProof/>
                  <w:lang w:eastAsia="de-DE"/>
                </w:rPr>
                <m:t>FC</m:t>
              </m:r>
            </m:e>
            <m:sub>
              <m:r>
                <m:rPr>
                  <m:sty m:val="p"/>
                </m:rPr>
                <w:rPr>
                  <w:rFonts w:ascii="Cambria Math" w:eastAsia="Times New Roman" w:hAnsi="Cambria Math" w:cstheme="majorBidi"/>
                  <w:noProof/>
                  <w:lang w:eastAsia="de-DE"/>
                </w:rPr>
                <m:t xml:space="preserve"> CS</m:t>
              </m:r>
            </m:sub>
          </m:sSub>
        </m:oMath>
      </m:oMathPara>
    </w:p>
    <w:p w:rsidR="00E24DB7" w:rsidRPr="002C5876" w:rsidRDefault="00E24DB7" w:rsidP="00E24DB7">
      <w:pPr>
        <w:spacing w:after="120"/>
        <w:ind w:left="1701" w:right="1134" w:firstLine="567"/>
        <w:jc w:val="both"/>
        <w:rPr>
          <w:szCs w:val="24"/>
        </w:rPr>
      </w:pPr>
      <w:r w:rsidRPr="002C5876">
        <w:rPr>
          <w:szCs w:val="24"/>
        </w:rPr>
        <w:t>où :</w:t>
      </w:r>
    </w:p>
    <w:p w:rsidR="00E24DB7" w:rsidRPr="002C5876" w:rsidRDefault="00E24DB7" w:rsidP="00E24DB7">
      <w:pPr>
        <w:pStyle w:val="SingleTxtG"/>
        <w:ind w:left="3402" w:hanging="1134"/>
        <w:rPr>
          <w:szCs w:val="24"/>
        </w:rPr>
      </w:pPr>
      <w:r w:rsidRPr="002C5876">
        <w:rPr>
          <w:szCs w:val="24"/>
          <w:lang w:eastAsia="de-DE"/>
        </w:rPr>
        <w:t>FC</w:t>
      </w:r>
      <w:r w:rsidRPr="002C5876">
        <w:rPr>
          <w:szCs w:val="24"/>
          <w:vertAlign w:val="subscript"/>
          <w:lang w:eastAsia="de-DE"/>
        </w:rPr>
        <w:t>weighted</w:t>
      </w:r>
      <w:r w:rsidRPr="002C5876">
        <w:rPr>
          <w:szCs w:val="24"/>
        </w:rPr>
        <w:tab/>
        <w:t xml:space="preserve">est la consommation de carburant </w:t>
      </w:r>
      <w:r w:rsidRPr="002C5876">
        <w:rPr>
          <w:color w:val="000000"/>
          <w:szCs w:val="24"/>
        </w:rPr>
        <w:t>pondérée en fonction des facteurs d’utilisation</w:t>
      </w:r>
      <w:r w:rsidRPr="002C5876">
        <w:rPr>
          <w:szCs w:val="24"/>
        </w:rPr>
        <w:t>, en l/100 km ;</w:t>
      </w:r>
    </w:p>
    <w:p w:rsidR="00E24DB7" w:rsidRPr="002C5876" w:rsidRDefault="00E24DB7" w:rsidP="00E24DB7">
      <w:pPr>
        <w:pStyle w:val="SingleTxtG"/>
        <w:ind w:left="3402" w:hanging="1134"/>
        <w:rPr>
          <w:szCs w:val="24"/>
        </w:rPr>
      </w:pPr>
      <w:r w:rsidRPr="002C5876">
        <w:rPr>
          <w:szCs w:val="24"/>
        </w:rPr>
        <w:t>UF</w:t>
      </w:r>
      <w:r w:rsidRPr="002C5876">
        <w:rPr>
          <w:szCs w:val="24"/>
          <w:vertAlign w:val="subscript"/>
        </w:rPr>
        <w:t>j</w:t>
      </w:r>
      <w:r w:rsidRPr="002C5876">
        <w:rPr>
          <w:szCs w:val="24"/>
        </w:rPr>
        <w:tab/>
        <w:t>est le facteur d’utilisation de la phase j conformément à l’appendice 5 de la présente annexe ;</w:t>
      </w:r>
    </w:p>
    <w:p w:rsidR="00E24DB7" w:rsidRPr="002C5876" w:rsidRDefault="00E24DB7" w:rsidP="00E24DB7">
      <w:pPr>
        <w:pStyle w:val="SingleTxtG"/>
        <w:ind w:left="3402" w:hanging="1134"/>
        <w:rPr>
          <w:szCs w:val="24"/>
        </w:rPr>
      </w:pPr>
      <w:r w:rsidRPr="002C5876">
        <w:rPr>
          <w:szCs w:val="24"/>
        </w:rPr>
        <w:t>FC</w:t>
      </w:r>
      <w:r w:rsidRPr="002C5876">
        <w:rPr>
          <w:szCs w:val="24"/>
          <w:vertAlign w:val="subscript"/>
        </w:rPr>
        <w:t>CD,J</w:t>
      </w:r>
      <w:r w:rsidRPr="002C5876">
        <w:rPr>
          <w:szCs w:val="24"/>
        </w:rPr>
        <w:tab/>
        <w:t>est la consommation de carburant pour la phase j de l’essai d’épuisement de la charge du type 1, déterminée conformément au paragraphe 6 de l’annexe 7, en l/100 km ;</w:t>
      </w:r>
    </w:p>
    <w:p w:rsidR="00E24DB7" w:rsidRPr="002C5876" w:rsidRDefault="00E24DB7" w:rsidP="00E24DB7">
      <w:pPr>
        <w:pStyle w:val="SingleTxtG"/>
        <w:ind w:left="3402" w:hanging="1134"/>
        <w:rPr>
          <w:szCs w:val="24"/>
        </w:rPr>
      </w:pPr>
      <w:r w:rsidRPr="002C5876">
        <w:rPr>
          <w:szCs w:val="24"/>
        </w:rPr>
        <w:t>FC</w:t>
      </w:r>
      <w:r w:rsidRPr="002C5876">
        <w:rPr>
          <w:szCs w:val="24"/>
          <w:vertAlign w:val="subscript"/>
        </w:rPr>
        <w:t>CS</w:t>
      </w:r>
      <w:r w:rsidRPr="002C5876">
        <w:rPr>
          <w:szCs w:val="24"/>
        </w:rPr>
        <w:tab/>
        <w:t xml:space="preserve">est la consommation de carburant déterminée conformément au tableau A8/6, étape </w:t>
      </w:r>
      <w:r w:rsidRPr="002C5876">
        <w:rPr>
          <w:rFonts w:eastAsia="MS Mincho"/>
        </w:rPr>
        <w:t>n</w:t>
      </w:r>
      <w:r w:rsidRPr="002C5876">
        <w:rPr>
          <w:rFonts w:eastAsia="MS Mincho"/>
          <w:vertAlign w:val="superscript"/>
        </w:rPr>
        <w:t>o</w:t>
      </w:r>
      <w:r w:rsidRPr="002C5876">
        <w:rPr>
          <w:rFonts w:eastAsia="MS Mincho"/>
        </w:rPr>
        <w:t> </w:t>
      </w:r>
      <w:r w:rsidRPr="002C5876">
        <w:rPr>
          <w:szCs w:val="24"/>
        </w:rPr>
        <w:t>1, en l/100 km ;</w:t>
      </w:r>
    </w:p>
    <w:p w:rsidR="00E24DB7" w:rsidRPr="002C5876" w:rsidRDefault="00E24DB7" w:rsidP="00E24DB7">
      <w:pPr>
        <w:pStyle w:val="SingleTxtG"/>
        <w:ind w:left="3402" w:hanging="1134"/>
        <w:rPr>
          <w:szCs w:val="24"/>
        </w:rPr>
      </w:pPr>
      <w:r w:rsidRPr="002C5876">
        <w:rPr>
          <w:szCs w:val="24"/>
        </w:rPr>
        <w:t>j</w:t>
      </w:r>
      <w:r w:rsidRPr="002C5876">
        <w:rPr>
          <w:szCs w:val="24"/>
        </w:rPr>
        <w:tab/>
      </w:r>
      <w:r w:rsidRPr="002C5876">
        <w:rPr>
          <w:szCs w:val="24"/>
        </w:rPr>
        <w:tab/>
        <w:t>est le numéro d’ordre de la phase considérée ;</w:t>
      </w:r>
    </w:p>
    <w:p w:rsidR="00E24DB7" w:rsidRPr="002C5876" w:rsidRDefault="00E24DB7" w:rsidP="00E24DB7">
      <w:pPr>
        <w:pStyle w:val="SingleTxtG"/>
        <w:ind w:left="3402" w:hanging="1134"/>
        <w:rPr>
          <w:szCs w:val="24"/>
        </w:rPr>
      </w:pPr>
      <w:r w:rsidRPr="002C5876">
        <w:rPr>
          <w:szCs w:val="24"/>
        </w:rPr>
        <w:t>k</w:t>
      </w:r>
      <w:r w:rsidRPr="002C5876">
        <w:rPr>
          <w:szCs w:val="24"/>
        </w:rPr>
        <w:tab/>
        <w:t>est le nombre de phases exécutées jusqu’à la fin du cycle de transition, conformément au paragraphe 3.2.4.4 de la présente annexe.</w:t>
      </w:r>
    </w:p>
    <w:p w:rsidR="00E24DB7" w:rsidRPr="002C5876" w:rsidRDefault="00E24DB7" w:rsidP="00E24DB7">
      <w:pPr>
        <w:pStyle w:val="SingleTxtG"/>
        <w:ind w:left="2268"/>
        <w:rPr>
          <w:szCs w:val="24"/>
        </w:rPr>
      </w:pPr>
      <w:r w:rsidRPr="002C5876">
        <w:rPr>
          <w:szCs w:val="24"/>
        </w:rPr>
        <w:t>Dans le cas où la méthode d’interpolation est appliquée, k est le nombre de phases exécutées jusqu’à la fin du cycle de transition du véhicule L n</w:t>
      </w:r>
      <w:r w:rsidRPr="002C5876">
        <w:rPr>
          <w:szCs w:val="24"/>
          <w:vertAlign w:val="subscript"/>
        </w:rPr>
        <w:t>veh_L</w:t>
      </w:r>
      <w:r w:rsidRPr="002C5876">
        <w:rPr>
          <w:szCs w:val="24"/>
        </w:rPr>
        <w:t>.</w:t>
      </w:r>
    </w:p>
    <w:p w:rsidR="00E24DB7" w:rsidRPr="002C5876" w:rsidRDefault="00E24DB7" w:rsidP="00E24DB7">
      <w:pPr>
        <w:pStyle w:val="SingleTxtG"/>
        <w:ind w:left="2268"/>
        <w:rPr>
          <w:szCs w:val="24"/>
        </w:rPr>
      </w:pPr>
      <w:r w:rsidRPr="002C5876">
        <w:rPr>
          <w:szCs w:val="24"/>
        </w:rPr>
        <w:t xml:space="preserve">Si le nombre de cycles de transition exécutés par le véhicule H, </w:t>
      </w:r>
      <m:oMath>
        <m:sSub>
          <m:sSubPr>
            <m:ctrlPr>
              <w:rPr>
                <w:rFonts w:ascii="Cambria Math" w:hAnsi="Cambria Math"/>
                <w:szCs w:val="24"/>
              </w:rPr>
            </m:ctrlPr>
          </m:sSubPr>
          <m:e>
            <m:r>
              <m:rPr>
                <m:sty m:val="p"/>
              </m:rPr>
              <w:rPr>
                <w:rFonts w:ascii="Cambria Math" w:hAnsi="Cambria Math"/>
                <w:szCs w:val="24"/>
              </w:rPr>
              <m:t>n</m:t>
            </m:r>
          </m:e>
          <m:sub>
            <m:sSub>
              <m:sSubPr>
                <m:ctrlPr>
                  <w:rPr>
                    <w:rFonts w:ascii="Cambria Math" w:hAnsi="Cambria Math"/>
                    <w:szCs w:val="24"/>
                  </w:rPr>
                </m:ctrlPr>
              </m:sSubPr>
              <m:e>
                <m:r>
                  <m:rPr>
                    <m:sty m:val="p"/>
                  </m:rPr>
                  <w:rPr>
                    <w:rFonts w:ascii="Cambria Math" w:hAnsi="Cambria Math"/>
                    <w:szCs w:val="24"/>
                  </w:rPr>
                  <m:t>veh</m:t>
                </m:r>
              </m:e>
              <m:sub>
                <m:r>
                  <m:rPr>
                    <m:sty m:val="p"/>
                  </m:rPr>
                  <w:rPr>
                    <w:rFonts w:ascii="Cambria Math" w:hAnsi="Cambria Math"/>
                    <w:szCs w:val="24"/>
                  </w:rPr>
                  <m:t>H</m:t>
                </m:r>
              </m:sub>
            </m:sSub>
          </m:sub>
        </m:sSub>
      </m:oMath>
      <w:r w:rsidRPr="002C5876">
        <w:rPr>
          <w:szCs w:val="24"/>
        </w:rPr>
        <w:t xml:space="preserve">, et, le cas échéant, par un véhicule donné au sein de la famille d’interpolation du véhicule, </w:t>
      </w:r>
      <m:oMath>
        <m:sSub>
          <m:sSubPr>
            <m:ctrlPr>
              <w:rPr>
                <w:rFonts w:ascii="Cambria Math" w:hAnsi="Cambria Math"/>
                <w:szCs w:val="24"/>
              </w:rPr>
            </m:ctrlPr>
          </m:sSubPr>
          <m:e>
            <m:r>
              <m:rPr>
                <m:sty m:val="p"/>
              </m:rPr>
              <w:rPr>
                <w:rFonts w:ascii="Cambria Math" w:hAnsi="Cambria Math"/>
                <w:szCs w:val="24"/>
              </w:rPr>
              <m:t>n</m:t>
            </m:r>
          </m:e>
          <m:sub>
            <m:sSub>
              <m:sSubPr>
                <m:ctrlPr>
                  <w:rPr>
                    <w:rFonts w:ascii="Cambria Math" w:hAnsi="Cambria Math"/>
                    <w:szCs w:val="24"/>
                  </w:rPr>
                </m:ctrlPr>
              </m:sSubPr>
              <m:e>
                <m:r>
                  <m:rPr>
                    <m:sty m:val="p"/>
                  </m:rPr>
                  <w:rPr>
                    <w:rFonts w:ascii="Cambria Math" w:hAnsi="Cambria Math"/>
                    <w:szCs w:val="24"/>
                  </w:rPr>
                  <m:t>veh</m:t>
                </m:r>
              </m:e>
              <m:sub>
                <m:r>
                  <m:rPr>
                    <m:sty m:val="p"/>
                  </m:rPr>
                  <w:rPr>
                    <w:rFonts w:ascii="Cambria Math" w:hAnsi="Cambria Math"/>
                    <w:szCs w:val="24"/>
                  </w:rPr>
                  <m:t>ind</m:t>
                </m:r>
              </m:sub>
            </m:sSub>
          </m:sub>
        </m:sSub>
      </m:oMath>
      <w:r w:rsidRPr="002C5876">
        <w:rPr>
          <w:szCs w:val="24"/>
        </w:rPr>
        <w:t>, est inférieur au nombre de cycles de transition exécutés par le véhicule L n</w:t>
      </w:r>
      <w:r w:rsidRPr="002C5876">
        <w:rPr>
          <w:szCs w:val="24"/>
          <w:vertAlign w:val="subscript"/>
        </w:rPr>
        <w:t>veh_L</w:t>
      </w:r>
      <w:r w:rsidRPr="002C5876">
        <w:rPr>
          <w:szCs w:val="24"/>
        </w:rPr>
        <w:t xml:space="preserve">, le cycle de confirmation du véhicule H, et, le cas échéant, du véhicule donné, doit être inclus dans le calcul. </w:t>
      </w:r>
    </w:p>
    <w:p w:rsidR="00E24DB7" w:rsidRPr="002C5876" w:rsidRDefault="00E24DB7" w:rsidP="00E24DB7">
      <w:pPr>
        <w:pStyle w:val="SingleTxtG"/>
        <w:ind w:left="2268"/>
        <w:rPr>
          <w:szCs w:val="24"/>
        </w:rPr>
      </w:pPr>
      <w:r w:rsidRPr="002C5876">
        <w:rPr>
          <w:szCs w:val="24"/>
        </w:rPr>
        <w:t xml:space="preserve">La consommation de carburant de chaque phase du cycle de confirmation doit être </w:t>
      </w:r>
      <w:r w:rsidRPr="002C5876">
        <w:t>calculée conformément au paragraphe 6 de l’annexe 7, avec les émissions critères sur l’ensemble du cycle de confirmation et la valeur de CO</w:t>
      </w:r>
      <w:r w:rsidRPr="002C5876">
        <w:rPr>
          <w:vertAlign w:val="subscript"/>
        </w:rPr>
        <w:t>2</w:t>
      </w:r>
      <w:r w:rsidRPr="002C5876">
        <w:t xml:space="preserve"> applicable, laquelle doit être </w:t>
      </w:r>
      <w:r w:rsidRPr="002C5876">
        <w:rPr>
          <w:szCs w:val="24"/>
        </w:rPr>
        <w:t>corrigée pour la rapporter à une consommation d’énergie électrique de zéro, EC</w:t>
      </w:r>
      <w:r w:rsidRPr="002C5876">
        <w:rPr>
          <w:szCs w:val="24"/>
          <w:vertAlign w:val="subscript"/>
        </w:rPr>
        <w:t>DC,CD,j</w:t>
      </w:r>
      <w:r w:rsidRPr="002C5876">
        <w:rPr>
          <w:szCs w:val="24"/>
        </w:rPr>
        <w:t xml:space="preserve"> = 0, </w:t>
      </w:r>
      <w:r w:rsidRPr="002C5876">
        <w:t>par application du coefficient de correction des émissions massiques de CO</w:t>
      </w:r>
      <w:r w:rsidRPr="002C5876">
        <w:rPr>
          <w:vertAlign w:val="subscript"/>
        </w:rPr>
        <w:t>2</w:t>
      </w:r>
      <w:r w:rsidRPr="002C5876">
        <w:t xml:space="preserve"> (K</w:t>
      </w:r>
      <w:r w:rsidRPr="002C5876">
        <w:rPr>
          <w:vertAlign w:val="subscript"/>
        </w:rPr>
        <w:t>CO2</w:t>
      </w:r>
      <w:r w:rsidRPr="002C5876">
        <w:t xml:space="preserve">) </w:t>
      </w:r>
      <w:r w:rsidRPr="002C5876">
        <w:rPr>
          <w:szCs w:val="24"/>
        </w:rPr>
        <w:t>conformément à l’appendice 2 de la présente annexe.</w:t>
      </w:r>
    </w:p>
    <w:p w:rsidR="00E24DB7" w:rsidRPr="002C5876" w:rsidRDefault="00E24DB7" w:rsidP="00E24DB7">
      <w:pPr>
        <w:pStyle w:val="SingleTxtG"/>
        <w:ind w:left="2268" w:hanging="1134"/>
        <w:jc w:val="left"/>
        <w:rPr>
          <w:color w:val="000000"/>
          <w:szCs w:val="24"/>
        </w:rPr>
      </w:pPr>
      <w:r w:rsidRPr="002C5876">
        <w:rPr>
          <w:color w:val="000000"/>
          <w:szCs w:val="24"/>
        </w:rPr>
        <w:t>4.3</w:t>
      </w:r>
      <w:r w:rsidRPr="002C5876">
        <w:rPr>
          <w:color w:val="000000"/>
          <w:szCs w:val="24"/>
        </w:rPr>
        <w:tab/>
        <w:t>Calcul de la consommation d’énergie électrique</w:t>
      </w:r>
    </w:p>
    <w:p w:rsidR="00E24DB7" w:rsidRPr="002C5876" w:rsidRDefault="00E24DB7" w:rsidP="00E24DB7">
      <w:pPr>
        <w:pStyle w:val="SingleTxtG"/>
        <w:ind w:left="2268"/>
        <w:rPr>
          <w:color w:val="000000"/>
          <w:szCs w:val="24"/>
        </w:rPr>
      </w:pPr>
      <w:r w:rsidRPr="002C5876">
        <w:rPr>
          <w:color w:val="000000"/>
          <w:szCs w:val="24"/>
        </w:rPr>
        <w:lastRenderedPageBreak/>
        <w:t>Pour calculer la consommation d’énergie électrique sur la base de l’intensité et de la tension déterminées conformément à l’appendice 3 de la présente annexe, on applique l’équation suivante :</w:t>
      </w:r>
    </w:p>
    <w:p w:rsidR="00E24DB7" w:rsidRPr="002C5876" w:rsidRDefault="00731CA6" w:rsidP="00E24DB7">
      <w:pPr>
        <w:pStyle w:val="SingleTxtG"/>
        <w:ind w:left="2268"/>
        <w:jc w:val="center"/>
        <w:rPr>
          <w:color w:val="000000"/>
          <w:szCs w:val="24"/>
        </w:rPr>
      </w:pPr>
      <m:oMathPara>
        <m:oMath>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DC,j</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ΔE</m:t>
                  </m:r>
                </m:e>
                <m:sub>
                  <m:r>
                    <m:rPr>
                      <m:sty m:val="p"/>
                    </m:rPr>
                    <w:rPr>
                      <w:rFonts w:ascii="Cambria Math" w:hAnsi="Cambria Math" w:cstheme="majorBidi"/>
                    </w:rPr>
                    <m:t>REESS,j</m:t>
                  </m:r>
                </m:sub>
              </m:sSub>
            </m:num>
            <m:den>
              <m:sSub>
                <m:sSubPr>
                  <m:ctrlPr>
                    <w:rPr>
                      <w:rFonts w:ascii="Cambria Math" w:hAnsi="Cambria Math" w:cstheme="majorBidi"/>
                    </w:rPr>
                  </m:ctrlPr>
                </m:sSubPr>
                <m:e>
                  <m:r>
                    <m:rPr>
                      <m:sty m:val="p"/>
                    </m:rPr>
                    <w:rPr>
                      <w:rFonts w:ascii="Cambria Math" w:hAnsi="Cambria Math" w:cstheme="majorBidi"/>
                    </w:rPr>
                    <m:t>d</m:t>
                  </m:r>
                </m:e>
                <m:sub>
                  <m:r>
                    <m:rPr>
                      <m:sty m:val="p"/>
                    </m:rPr>
                    <w:rPr>
                      <w:rFonts w:ascii="Cambria Math" w:hAnsi="Cambria Math" w:cstheme="majorBidi"/>
                    </w:rPr>
                    <m:t>j</m:t>
                  </m:r>
                </m:sub>
              </m:sSub>
            </m:den>
          </m:f>
          <m:r>
            <m:rPr>
              <m:sty m:val="p"/>
            </m:rPr>
            <w:rPr>
              <w:rFonts w:ascii="Cambria Math" w:hAnsi="Cambria Math"/>
            </w:rPr>
            <m:t xml:space="preserve"> </m:t>
          </m:r>
        </m:oMath>
      </m:oMathPara>
    </w:p>
    <w:p w:rsidR="00E24DB7" w:rsidRPr="002C5876" w:rsidRDefault="00E24DB7" w:rsidP="00E24DB7">
      <w:pPr>
        <w:pStyle w:val="SingleTxtG"/>
        <w:ind w:left="3402" w:hanging="1134"/>
        <w:rPr>
          <w:szCs w:val="24"/>
        </w:rPr>
      </w:pPr>
      <w:r w:rsidRPr="002C5876">
        <w:rPr>
          <w:szCs w:val="24"/>
        </w:rPr>
        <w:t>où :</w:t>
      </w:r>
    </w:p>
    <w:p w:rsidR="00E24DB7" w:rsidRPr="002C5876" w:rsidRDefault="00E24DB7" w:rsidP="00E24DB7">
      <w:pPr>
        <w:pStyle w:val="SingleTxtG"/>
        <w:ind w:left="3402" w:hanging="1134"/>
        <w:rPr>
          <w:szCs w:val="24"/>
        </w:rPr>
      </w:pPr>
      <w:r w:rsidRPr="002C5876">
        <w:rPr>
          <w:szCs w:val="24"/>
        </w:rPr>
        <w:t>EC</w:t>
      </w:r>
      <w:r w:rsidRPr="002C5876">
        <w:rPr>
          <w:szCs w:val="24"/>
          <w:vertAlign w:val="subscript"/>
        </w:rPr>
        <w:t>DC,J</w:t>
      </w:r>
      <w:r w:rsidRPr="002C5876">
        <w:rPr>
          <w:szCs w:val="24"/>
        </w:rPr>
        <w:tab/>
        <w:t>est la consommation d’énergie électrique sur la période j considérée, compte tenu de l’épuisement de la charge du SRSEE, en Wh/km ;</w:t>
      </w:r>
    </w:p>
    <w:p w:rsidR="00E24DB7" w:rsidRPr="002C5876" w:rsidRDefault="00E24DB7" w:rsidP="00E24DB7">
      <w:pPr>
        <w:pStyle w:val="SingleTxtG"/>
        <w:ind w:left="3402" w:hanging="1134"/>
        <w:rPr>
          <w:szCs w:val="24"/>
        </w:rPr>
      </w:pPr>
      <w:r w:rsidRPr="002C5876">
        <w:rPr>
          <w:szCs w:val="24"/>
        </w:rPr>
        <w:sym w:font="Symbol" w:char="F044"/>
      </w:r>
      <w:r w:rsidRPr="002C5876">
        <w:rPr>
          <w:szCs w:val="24"/>
        </w:rPr>
        <w:t>E</w:t>
      </w:r>
      <w:r w:rsidRPr="002C5876">
        <w:rPr>
          <w:szCs w:val="24"/>
          <w:vertAlign w:val="subscript"/>
        </w:rPr>
        <w:t>REESS,j</w:t>
      </w:r>
      <w:r w:rsidRPr="002C5876">
        <w:rPr>
          <w:szCs w:val="24"/>
        </w:rPr>
        <w:tab/>
        <w:t>est la variation d’énergie électrique de tous les SRSEE durant la période j considérée, en Wh ;</w:t>
      </w:r>
    </w:p>
    <w:p w:rsidR="00E24DB7" w:rsidRPr="002C5876" w:rsidRDefault="00E24DB7" w:rsidP="00E24DB7">
      <w:pPr>
        <w:pStyle w:val="SingleTxtG"/>
        <w:ind w:left="3402" w:hanging="1134"/>
        <w:rPr>
          <w:szCs w:val="24"/>
        </w:rPr>
      </w:pPr>
      <w:r w:rsidRPr="002C5876">
        <w:rPr>
          <w:szCs w:val="24"/>
        </w:rPr>
        <w:t>d</w:t>
      </w:r>
      <w:r w:rsidRPr="002C5876">
        <w:rPr>
          <w:szCs w:val="24"/>
          <w:vertAlign w:val="subscript"/>
        </w:rPr>
        <w:t>j</w:t>
      </w:r>
      <w:r w:rsidRPr="002C5876">
        <w:rPr>
          <w:szCs w:val="24"/>
        </w:rPr>
        <w:tab/>
        <w:t>est la distance parcourue sur la période j considérée, en km ;</w:t>
      </w:r>
    </w:p>
    <w:p w:rsidR="00E24DB7" w:rsidRPr="002C5876" w:rsidRDefault="00E24DB7" w:rsidP="00E24DB7">
      <w:pPr>
        <w:pStyle w:val="SingleTxtG"/>
        <w:ind w:left="3402" w:hanging="1134"/>
        <w:rPr>
          <w:szCs w:val="24"/>
        </w:rPr>
      </w:pPr>
      <w:r w:rsidRPr="002C5876">
        <w:rPr>
          <w:szCs w:val="24"/>
        </w:rPr>
        <w:t>et</w:t>
      </w:r>
    </w:p>
    <w:p w:rsidR="00E24DB7" w:rsidRPr="002C5876" w:rsidRDefault="00731CA6" w:rsidP="00E24DB7">
      <w:pPr>
        <w:pStyle w:val="SingleTxtG"/>
        <w:spacing w:after="240"/>
        <w:ind w:left="2268"/>
        <w:jc w:val="center"/>
        <w:rPr>
          <w:szCs w:val="24"/>
        </w:rPr>
      </w:pPr>
      <m:oMathPara>
        <m:oMath>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REESS,j</m:t>
              </m:r>
            </m:sub>
          </m:sSub>
          <m:r>
            <m:rPr>
              <m:sty m:val="p"/>
            </m:rPr>
            <w:rPr>
              <w:rFonts w:ascii="Cambria Math" w:hAnsi="Cambria Math" w:cstheme="majorBidi"/>
            </w:rPr>
            <m:t xml:space="preserve">= </m:t>
          </m:r>
          <m:nary>
            <m:naryPr>
              <m:chr m:val="∑"/>
              <m:limLoc m:val="undOvr"/>
              <m:ctrlPr>
                <w:rPr>
                  <w:rFonts w:ascii="Cambria Math" w:hAnsi="Cambria Math" w:cstheme="majorBidi"/>
                </w:rPr>
              </m:ctrlPr>
            </m:naryPr>
            <m:sub>
              <m:r>
                <m:rPr>
                  <m:sty m:val="p"/>
                </m:rPr>
                <w:rPr>
                  <w:rFonts w:ascii="Cambria Math" w:hAnsi="Cambria Math" w:cstheme="majorBidi"/>
                </w:rPr>
                <m:t>i=1</m:t>
              </m:r>
            </m:sub>
            <m:sup>
              <m:r>
                <m:rPr>
                  <m:sty m:val="p"/>
                </m:rPr>
                <w:rPr>
                  <w:rFonts w:ascii="Cambria Math" w:hAnsi="Cambria Math" w:cstheme="majorBidi"/>
                </w:rPr>
                <m:t>n</m:t>
              </m:r>
            </m:sup>
            <m:e>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REESS,j,i</m:t>
                  </m:r>
                </m:sub>
              </m:sSub>
            </m:e>
          </m:nary>
          <m:r>
            <w:rPr>
              <w:rFonts w:ascii="Cambria Math" w:hAnsi="Cambria Math"/>
            </w:rPr>
            <m:t xml:space="preserve"> </m:t>
          </m:r>
        </m:oMath>
      </m:oMathPara>
    </w:p>
    <w:p w:rsidR="00E24DB7" w:rsidRPr="002C5876" w:rsidRDefault="00E24DB7" w:rsidP="00E24DB7">
      <w:pPr>
        <w:pStyle w:val="SingleTxtG"/>
        <w:ind w:left="3402" w:hanging="1134"/>
        <w:rPr>
          <w:szCs w:val="24"/>
        </w:rPr>
      </w:pPr>
      <w:r w:rsidRPr="002C5876">
        <w:rPr>
          <w:szCs w:val="24"/>
        </w:rPr>
        <w:t>où :</w:t>
      </w:r>
    </w:p>
    <w:p w:rsidR="00E24DB7" w:rsidRPr="002C5876" w:rsidRDefault="00E24DB7" w:rsidP="00E24DB7">
      <w:pPr>
        <w:pStyle w:val="SingleTxtG"/>
        <w:ind w:left="3402" w:hanging="1134"/>
        <w:rPr>
          <w:szCs w:val="24"/>
        </w:rPr>
      </w:pPr>
      <w:r w:rsidRPr="002C5876">
        <w:rPr>
          <w:szCs w:val="24"/>
        </w:rPr>
        <w:sym w:font="Symbol" w:char="F044"/>
      </w:r>
      <w:r w:rsidRPr="002C5876">
        <w:rPr>
          <w:szCs w:val="24"/>
        </w:rPr>
        <w:t>E</w:t>
      </w:r>
      <w:r w:rsidRPr="002C5876">
        <w:rPr>
          <w:szCs w:val="24"/>
          <w:vertAlign w:val="subscript"/>
        </w:rPr>
        <w:t>REESS,j,i</w:t>
      </w:r>
      <w:r w:rsidRPr="002C5876">
        <w:rPr>
          <w:szCs w:val="24"/>
        </w:rPr>
        <w:tab/>
        <w:t>est la variation d’énergie électrique du SRSEE i durant la période j considérée, en Wh ;</w:t>
      </w:r>
    </w:p>
    <w:p w:rsidR="00E24DB7" w:rsidRPr="002C5876" w:rsidRDefault="00E24DB7" w:rsidP="00E24DB7">
      <w:pPr>
        <w:pStyle w:val="SingleTxtG"/>
        <w:ind w:left="3402" w:hanging="1134"/>
        <w:rPr>
          <w:szCs w:val="24"/>
        </w:rPr>
      </w:pPr>
      <w:r w:rsidRPr="002C5876">
        <w:rPr>
          <w:szCs w:val="24"/>
        </w:rPr>
        <w:t>et</w:t>
      </w:r>
    </w:p>
    <w:p w:rsidR="00E24DB7" w:rsidRPr="002C5876" w:rsidRDefault="00731CA6" w:rsidP="00E24DB7">
      <w:pPr>
        <w:pStyle w:val="SingleTxtG"/>
        <w:ind w:left="2268"/>
        <w:jc w:val="center"/>
        <w:rPr>
          <w:szCs w:val="24"/>
        </w:rPr>
      </w:pPr>
      <m:oMathPara>
        <m:oMath>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REESS,j,i</m:t>
              </m:r>
            </m:sub>
          </m:sSub>
          <m:r>
            <m:rPr>
              <m:sty m:val="p"/>
            </m:rPr>
            <w:rPr>
              <w:rFonts w:ascii="Cambria Math" w:hAnsi="Cambria Math" w:cstheme="majorBidi"/>
            </w:rPr>
            <m:t xml:space="preserve">= </m:t>
          </m:r>
          <m:f>
            <m:fPr>
              <m:ctrlPr>
                <w:rPr>
                  <w:rFonts w:ascii="Cambria Math" w:hAnsi="Cambria Math" w:cstheme="majorBidi"/>
                </w:rPr>
              </m:ctrlPr>
            </m:fPr>
            <m:num>
              <m:r>
                <m:rPr>
                  <m:sty m:val="p"/>
                </m:rPr>
                <w:rPr>
                  <w:rFonts w:ascii="Cambria Math" w:hAnsi="Cambria Math" w:cstheme="majorBidi"/>
                </w:rPr>
                <m:t>1</m:t>
              </m:r>
            </m:num>
            <m:den>
              <m:r>
                <m:rPr>
                  <m:sty m:val="p"/>
                </m:rPr>
                <w:rPr>
                  <w:rFonts w:ascii="Cambria Math" w:hAnsi="Cambria Math" w:cstheme="majorBidi"/>
                </w:rPr>
                <m:t>3 600</m:t>
              </m:r>
            </m:den>
          </m:f>
          <m:r>
            <w:rPr>
              <w:rFonts w:ascii="Cambria Math" w:hAnsi="Cambria Math" w:cstheme="majorBidi"/>
            </w:rPr>
            <m:t>×</m:t>
          </m:r>
          <m:nary>
            <m:naryPr>
              <m:limLoc m:val="undOvr"/>
              <m:ctrlPr>
                <w:rPr>
                  <w:rFonts w:ascii="Cambria Math" w:hAnsi="Cambria Math" w:cstheme="majorBidi"/>
                </w:rPr>
              </m:ctrlPr>
            </m:naryPr>
            <m:sub>
              <m:sSub>
                <m:sSubPr>
                  <m:ctrlPr>
                    <w:rPr>
                      <w:rFonts w:ascii="Cambria Math" w:hAnsi="Cambria Math" w:cstheme="majorBidi"/>
                    </w:rPr>
                  </m:ctrlPr>
                </m:sSubPr>
                <m:e>
                  <m:r>
                    <m:rPr>
                      <m:sty m:val="p"/>
                    </m:rPr>
                    <w:rPr>
                      <w:rFonts w:ascii="Cambria Math" w:hAnsi="Cambria Math" w:cstheme="majorBidi"/>
                    </w:rPr>
                    <m:t>t</m:t>
                  </m:r>
                </m:e>
                <m:sub>
                  <m:r>
                    <m:rPr>
                      <m:sty m:val="p"/>
                    </m:rPr>
                    <w:rPr>
                      <w:rFonts w:ascii="Cambria Math" w:hAnsi="Cambria Math" w:cstheme="majorBidi"/>
                    </w:rPr>
                    <m:t>0</m:t>
                  </m:r>
                </m:sub>
              </m:sSub>
            </m:sub>
            <m:sup>
              <m:sSub>
                <m:sSubPr>
                  <m:ctrlPr>
                    <w:rPr>
                      <w:rFonts w:ascii="Cambria Math" w:hAnsi="Cambria Math" w:cstheme="majorBidi"/>
                    </w:rPr>
                  </m:ctrlPr>
                </m:sSubPr>
                <m:e>
                  <m:r>
                    <m:rPr>
                      <m:sty m:val="p"/>
                    </m:rPr>
                    <w:rPr>
                      <w:rFonts w:ascii="Cambria Math" w:hAnsi="Cambria Math" w:cstheme="majorBidi"/>
                    </w:rPr>
                    <m:t>t</m:t>
                  </m:r>
                </m:e>
                <m:sub>
                  <m:r>
                    <m:rPr>
                      <m:sty m:val="p"/>
                    </m:rPr>
                    <w:rPr>
                      <w:rFonts w:ascii="Cambria Math" w:hAnsi="Cambria Math" w:cstheme="majorBidi"/>
                    </w:rPr>
                    <m:t>end</m:t>
                  </m:r>
                </m:sub>
              </m:sSub>
            </m:sup>
            <m:e>
              <m:sSub>
                <m:sSubPr>
                  <m:ctrlPr>
                    <w:rPr>
                      <w:rFonts w:ascii="Cambria Math" w:hAnsi="Cambria Math" w:cstheme="majorBidi"/>
                    </w:rPr>
                  </m:ctrlPr>
                </m:sSubPr>
                <m:e>
                  <m:r>
                    <m:rPr>
                      <m:sty m:val="p"/>
                    </m:rPr>
                    <w:rPr>
                      <w:rFonts w:ascii="Cambria Math" w:hAnsi="Cambria Math" w:cstheme="majorBidi"/>
                    </w:rPr>
                    <m:t>U(t)</m:t>
                  </m:r>
                </m:e>
                <m:sub>
                  <m:r>
                    <m:rPr>
                      <m:sty m:val="p"/>
                    </m:rPr>
                    <w:rPr>
                      <w:rFonts w:ascii="Cambria Math" w:hAnsi="Cambria Math" w:cstheme="majorBidi"/>
                    </w:rPr>
                    <m:t>REESS,j,i</m:t>
                  </m:r>
                </m:sub>
              </m:sSub>
              <m:sSub>
                <m:sSubPr>
                  <m:ctrlPr>
                    <w:rPr>
                      <w:rFonts w:ascii="Cambria Math" w:hAnsi="Cambria Math" w:cstheme="majorBidi"/>
                    </w:rPr>
                  </m:ctrlPr>
                </m:sSubPr>
                <m:e>
                  <m:r>
                    <m:rPr>
                      <m:sty m:val="p"/>
                    </m:rPr>
                    <w:rPr>
                      <w:rFonts w:ascii="Cambria Math" w:hAnsi="Cambria Math" w:cstheme="majorBidi"/>
                    </w:rPr>
                    <m:t>×I</m:t>
                  </m:r>
                  <m:d>
                    <m:dPr>
                      <m:ctrlPr>
                        <w:rPr>
                          <w:rFonts w:ascii="Cambria Math" w:hAnsi="Cambria Math" w:cstheme="majorBidi"/>
                        </w:rPr>
                      </m:ctrlPr>
                    </m:dPr>
                    <m:e>
                      <m:r>
                        <m:rPr>
                          <m:sty m:val="p"/>
                        </m:rPr>
                        <w:rPr>
                          <w:rFonts w:ascii="Cambria Math" w:hAnsi="Cambria Math" w:cstheme="majorBidi"/>
                        </w:rPr>
                        <m:t>t</m:t>
                      </m:r>
                    </m:e>
                  </m:d>
                </m:e>
                <m:sub>
                  <m:r>
                    <m:rPr>
                      <m:sty m:val="p"/>
                    </m:rPr>
                    <w:rPr>
                      <w:rFonts w:ascii="Cambria Math" w:hAnsi="Cambria Math" w:cstheme="majorBidi"/>
                    </w:rPr>
                    <m:t>j,i</m:t>
                  </m:r>
                </m:sub>
              </m:sSub>
              <m:r>
                <m:rPr>
                  <m:sty m:val="p"/>
                </m:rPr>
                <w:rPr>
                  <w:rFonts w:ascii="Cambria Math" w:hAnsi="Cambria Math" w:cstheme="majorBidi"/>
                </w:rPr>
                <m:t xml:space="preserve"> dt</m:t>
              </m:r>
            </m:e>
          </m:nary>
        </m:oMath>
      </m:oMathPara>
    </w:p>
    <w:p w:rsidR="00E24DB7" w:rsidRPr="002C5876" w:rsidRDefault="00E24DB7" w:rsidP="00E24DB7">
      <w:pPr>
        <w:pStyle w:val="SingleTxtG"/>
        <w:ind w:left="3402" w:hanging="1134"/>
        <w:rPr>
          <w:szCs w:val="24"/>
        </w:rPr>
      </w:pPr>
      <w:r w:rsidRPr="002C5876">
        <w:rPr>
          <w:szCs w:val="24"/>
        </w:rPr>
        <w:t>où :</w:t>
      </w:r>
    </w:p>
    <w:p w:rsidR="00E24DB7" w:rsidRPr="002C5876" w:rsidRDefault="00E24DB7" w:rsidP="00E24DB7">
      <w:pPr>
        <w:pStyle w:val="SingleTxtG"/>
        <w:ind w:left="3402" w:hanging="1134"/>
        <w:rPr>
          <w:szCs w:val="24"/>
        </w:rPr>
      </w:pPr>
      <w:r w:rsidRPr="002C5876">
        <w:rPr>
          <w:szCs w:val="24"/>
        </w:rPr>
        <w:t>U(t)</w:t>
      </w:r>
      <w:r w:rsidRPr="002C5876">
        <w:rPr>
          <w:szCs w:val="24"/>
          <w:vertAlign w:val="subscript"/>
        </w:rPr>
        <w:t>REESS,j,i</w:t>
      </w:r>
      <w:r w:rsidRPr="002C5876">
        <w:rPr>
          <w:szCs w:val="24"/>
        </w:rPr>
        <w:tab/>
        <w:t>est la tension du SRSEE i durant la période j considérée, déterminée conformément à l’appendice 3 de la présente annexe, en V ;</w:t>
      </w:r>
    </w:p>
    <w:p w:rsidR="00E24DB7" w:rsidRPr="002C5876" w:rsidRDefault="00E24DB7" w:rsidP="00E24DB7">
      <w:pPr>
        <w:pStyle w:val="SingleTxtG"/>
        <w:ind w:left="3402" w:hanging="1134"/>
        <w:rPr>
          <w:szCs w:val="24"/>
        </w:rPr>
      </w:pPr>
      <w:r w:rsidRPr="002C5876">
        <w:rPr>
          <w:szCs w:val="24"/>
        </w:rPr>
        <w:t>t</w:t>
      </w:r>
      <w:r w:rsidRPr="002C5876">
        <w:rPr>
          <w:szCs w:val="24"/>
          <w:vertAlign w:val="subscript"/>
        </w:rPr>
        <w:t>0</w:t>
      </w:r>
      <w:r w:rsidRPr="002C5876">
        <w:rPr>
          <w:szCs w:val="24"/>
        </w:rPr>
        <w:tab/>
        <w:t>est le temps au début de la période j considérée, en s ;</w:t>
      </w:r>
    </w:p>
    <w:p w:rsidR="00E24DB7" w:rsidRPr="002C5876" w:rsidRDefault="00E24DB7" w:rsidP="00E24DB7">
      <w:pPr>
        <w:pStyle w:val="SingleTxtG"/>
        <w:ind w:left="3402" w:hanging="1134"/>
        <w:rPr>
          <w:szCs w:val="24"/>
        </w:rPr>
      </w:pPr>
      <w:r w:rsidRPr="002C5876">
        <w:rPr>
          <w:szCs w:val="24"/>
        </w:rPr>
        <w:t>t</w:t>
      </w:r>
      <w:r w:rsidRPr="002C5876">
        <w:rPr>
          <w:szCs w:val="24"/>
          <w:vertAlign w:val="subscript"/>
        </w:rPr>
        <w:t>end</w:t>
      </w:r>
      <w:r w:rsidRPr="002C5876">
        <w:rPr>
          <w:szCs w:val="24"/>
        </w:rPr>
        <w:tab/>
        <w:t>est le temps à la fin de la période j considérée, en s ;</w:t>
      </w:r>
    </w:p>
    <w:p w:rsidR="00E24DB7" w:rsidRPr="002C5876" w:rsidRDefault="00E24DB7" w:rsidP="00E24DB7">
      <w:pPr>
        <w:pStyle w:val="SingleTxtG"/>
        <w:ind w:left="3402" w:hanging="1134"/>
        <w:rPr>
          <w:szCs w:val="24"/>
        </w:rPr>
      </w:pPr>
      <w:r w:rsidRPr="002C5876">
        <w:rPr>
          <w:szCs w:val="24"/>
        </w:rPr>
        <w:t>I(t)</w:t>
      </w:r>
      <w:r w:rsidRPr="002C5876">
        <w:rPr>
          <w:szCs w:val="24"/>
          <w:vertAlign w:val="subscript"/>
        </w:rPr>
        <w:t>j,i</w:t>
      </w:r>
      <w:r w:rsidRPr="002C5876">
        <w:rPr>
          <w:szCs w:val="24"/>
        </w:rPr>
        <w:tab/>
        <w:t>est l’intensité électrique du SRSEE i durant la période j considérée, déterminée conformément à l’appendice 3 de la présente annexe, en A ;</w:t>
      </w:r>
    </w:p>
    <w:p w:rsidR="00E24DB7" w:rsidRPr="002C5876" w:rsidRDefault="00E24DB7" w:rsidP="00E24DB7">
      <w:pPr>
        <w:pStyle w:val="SingleTxtG"/>
        <w:ind w:left="3402" w:hanging="1134"/>
        <w:rPr>
          <w:szCs w:val="24"/>
        </w:rPr>
      </w:pPr>
      <w:r w:rsidRPr="002C5876">
        <w:rPr>
          <w:szCs w:val="24"/>
        </w:rPr>
        <w:t>i</w:t>
      </w:r>
      <w:r w:rsidRPr="002C5876">
        <w:rPr>
          <w:szCs w:val="24"/>
        </w:rPr>
        <w:tab/>
        <w:t>est le numéro d’ordre du SRSEE considéré ;</w:t>
      </w:r>
    </w:p>
    <w:p w:rsidR="00E24DB7" w:rsidRPr="002C5876" w:rsidRDefault="00E24DB7" w:rsidP="00E24DB7">
      <w:pPr>
        <w:pStyle w:val="SingleTxtG"/>
        <w:ind w:left="3402" w:hanging="1134"/>
        <w:rPr>
          <w:szCs w:val="24"/>
        </w:rPr>
      </w:pPr>
      <w:r w:rsidRPr="002C5876">
        <w:rPr>
          <w:szCs w:val="24"/>
        </w:rPr>
        <w:t>n</w:t>
      </w:r>
      <w:r w:rsidRPr="002C5876">
        <w:rPr>
          <w:szCs w:val="24"/>
        </w:rPr>
        <w:tab/>
        <w:t>est le nombre total de SRSEE ;</w:t>
      </w:r>
    </w:p>
    <w:p w:rsidR="00E24DB7" w:rsidRPr="002C5876" w:rsidRDefault="00E24DB7" w:rsidP="00E24DB7">
      <w:pPr>
        <w:pStyle w:val="SingleTxtG"/>
        <w:ind w:left="3402" w:hanging="1134"/>
        <w:rPr>
          <w:szCs w:val="24"/>
        </w:rPr>
      </w:pPr>
      <m:oMath>
        <m:r>
          <m:rPr>
            <m:sty m:val="p"/>
          </m:rPr>
          <w:rPr>
            <w:rFonts w:ascii="Cambria Math" w:hAnsi="Cambria Math"/>
            <w:szCs w:val="24"/>
          </w:rPr>
          <m:t>j</m:t>
        </m:r>
      </m:oMath>
      <w:r w:rsidRPr="002C5876">
        <w:rPr>
          <w:szCs w:val="24"/>
        </w:rPr>
        <w:tab/>
        <w:t>est le numéro d’ordre de la période considérée, une période pouvant être toute combinaison de phases ou de cycles ;</w:t>
      </w:r>
    </w:p>
    <w:p w:rsidR="00E24DB7" w:rsidRPr="002C5876" w:rsidRDefault="00E24DB7" w:rsidP="00E24DB7">
      <w:pPr>
        <w:pStyle w:val="SingleTxtG"/>
        <w:ind w:left="3345" w:hanging="1134"/>
        <w:rPr>
          <w:szCs w:val="24"/>
        </w:rPr>
      </w:pPr>
      <w:r w:rsidRPr="002C5876">
        <w:rPr>
          <w:noProof/>
          <w:position w:val="-20"/>
          <w:lang w:val="en-GB" w:eastAsia="zh-CN"/>
        </w:rPr>
        <w:drawing>
          <wp:inline distT="0" distB="0" distL="0" distR="0" wp14:anchorId="4DE278E3" wp14:editId="04448AB0">
            <wp:extent cx="333375" cy="333375"/>
            <wp:effectExtent l="0" t="0" r="9525" b="9525"/>
            <wp:docPr id="1452" name="Imag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2C5876">
        <w:rPr>
          <w:szCs w:val="24"/>
        </w:rPr>
        <w:tab/>
        <w:t>est le facteur de conversion des Ws en Wh.</w:t>
      </w:r>
    </w:p>
    <w:p w:rsidR="00E24DB7" w:rsidRPr="002C5876" w:rsidRDefault="00E24DB7" w:rsidP="00E24DB7">
      <w:pPr>
        <w:pStyle w:val="SingleTxtG"/>
        <w:ind w:left="2268" w:hanging="1134"/>
        <w:jc w:val="left"/>
        <w:rPr>
          <w:szCs w:val="24"/>
        </w:rPr>
      </w:pPr>
      <w:r w:rsidRPr="002C5876">
        <w:rPr>
          <w:color w:val="000000"/>
          <w:szCs w:val="24"/>
        </w:rPr>
        <w:t>4.3.1</w:t>
      </w:r>
      <w:r w:rsidRPr="002C5876">
        <w:rPr>
          <w:color w:val="000000"/>
          <w:szCs w:val="24"/>
        </w:rPr>
        <w:tab/>
        <w:t xml:space="preserve">Consommation d’énergie électrique pondérée en fonction des facteurs d’utilisation en mode épuisement de la charge, basée sur l’énergie </w:t>
      </w:r>
      <w:r w:rsidRPr="002C5876">
        <w:rPr>
          <w:color w:val="000000"/>
          <w:szCs w:val="24"/>
        </w:rPr>
        <w:br/>
        <w:t>électrique rechargée depuis le secteur</w:t>
      </w:r>
      <w:r w:rsidRPr="002C5876">
        <w:rPr>
          <w:szCs w:val="24"/>
        </w:rPr>
        <w:t>, pour les VHE-RE</w:t>
      </w:r>
    </w:p>
    <w:p w:rsidR="00E24DB7" w:rsidRPr="002C5876" w:rsidRDefault="00E24DB7" w:rsidP="00E24DB7">
      <w:pPr>
        <w:pStyle w:val="SingleTxtG"/>
        <w:ind w:left="2268"/>
        <w:rPr>
          <w:bCs/>
          <w:szCs w:val="24"/>
        </w:rPr>
      </w:pPr>
      <w:r w:rsidRPr="002C5876">
        <w:rPr>
          <w:szCs w:val="24"/>
        </w:rPr>
        <w:t xml:space="preserve">La consommation d’énergie électrique </w:t>
      </w:r>
      <w:r w:rsidRPr="002C5876">
        <w:rPr>
          <w:color w:val="000000"/>
          <w:szCs w:val="24"/>
        </w:rPr>
        <w:t>pondérée en fonction des facteurs d’utilisation en mode épuisement de la charge, basée sur l’énergie électrique rechargée depuis le secteur</w:t>
      </w:r>
      <w:r w:rsidRPr="002C5876">
        <w:rPr>
          <w:szCs w:val="24"/>
        </w:rPr>
        <w:t>, doit être calculée au moyen de l’équation suivante </w:t>
      </w:r>
      <w:r w:rsidRPr="002C5876">
        <w:rPr>
          <w:bCs/>
          <w:szCs w:val="24"/>
        </w:rPr>
        <w:t>:</w:t>
      </w:r>
    </w:p>
    <w:p w:rsidR="00E24DB7" w:rsidRPr="002C5876" w:rsidRDefault="00731CA6" w:rsidP="00E24DB7">
      <w:pPr>
        <w:pStyle w:val="SingleTxtG"/>
        <w:spacing w:after="240"/>
        <w:ind w:left="2268"/>
        <w:jc w:val="center"/>
        <w:rPr>
          <w:bCs/>
          <w:szCs w:val="24"/>
        </w:rPr>
      </w:pPr>
      <m:oMathPara>
        <m:oMath>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AC,CD</m:t>
              </m:r>
            </m:sub>
          </m:sSub>
          <m:r>
            <m:rPr>
              <m:sty m:val="p"/>
            </m:rPr>
            <w:rPr>
              <w:rFonts w:ascii="Cambria Math" w:hAnsi="Cambria Math" w:cstheme="majorBidi"/>
            </w:rPr>
            <m:t xml:space="preserve">= </m:t>
          </m:r>
          <m:f>
            <m:fPr>
              <m:ctrlPr>
                <w:rPr>
                  <w:rFonts w:ascii="Cambria Math" w:hAnsi="Cambria Math" w:cstheme="majorBidi"/>
                </w:rPr>
              </m:ctrlPr>
            </m:fPr>
            <m:num>
              <m:r>
                <m:rPr>
                  <m:sty m:val="p"/>
                </m:rPr>
                <w:rPr>
                  <w:rFonts w:ascii="Cambria Math" w:hAnsi="Cambria Math" w:cstheme="majorBidi"/>
                </w:rPr>
                <m:t xml:space="preserve"> </m:t>
              </m:r>
              <m:nary>
                <m:naryPr>
                  <m:chr m:val="∑"/>
                  <m:limLoc m:val="undOvr"/>
                  <m:ctrlPr>
                    <w:rPr>
                      <w:rFonts w:ascii="Cambria Math" w:hAnsi="Cambria Math" w:cstheme="majorBidi"/>
                    </w:rPr>
                  </m:ctrlPr>
                </m:naryPr>
                <m:sub>
                  <m:r>
                    <m:rPr>
                      <m:sty m:val="p"/>
                    </m:rPr>
                    <w:rPr>
                      <w:rFonts w:ascii="Cambria Math" w:hAnsi="Cambria Math" w:cstheme="majorBidi"/>
                    </w:rPr>
                    <m:t>j=1</m:t>
                  </m:r>
                </m:sub>
                <m:sup>
                  <m:r>
                    <m:rPr>
                      <m:sty m:val="p"/>
                    </m:rPr>
                    <w:rPr>
                      <w:rFonts w:ascii="Cambria Math" w:hAnsi="Cambria Math" w:cstheme="majorBidi"/>
                    </w:rPr>
                    <m:t>k</m:t>
                  </m:r>
                </m:sup>
                <m:e>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UF</m:t>
                      </m:r>
                    </m:e>
                    <m:sub>
                      <m:r>
                        <m:rPr>
                          <m:sty m:val="p"/>
                        </m:rPr>
                        <w:rPr>
                          <w:rFonts w:ascii="Cambria Math" w:hAnsi="Cambria Math" w:cstheme="majorBidi"/>
                        </w:rPr>
                        <m:t xml:space="preserve">j </m:t>
                      </m:r>
                    </m:sub>
                  </m:sSub>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AC,CD,j</m:t>
                      </m:r>
                    </m:sub>
                  </m:sSub>
                </m:e>
              </m:nary>
              <m:r>
                <m:rPr>
                  <m:sty m:val="p"/>
                </m:rPr>
                <w:rPr>
                  <w:rFonts w:ascii="Cambria Math" w:hAnsi="Cambria Math" w:cstheme="majorBidi"/>
                </w:rPr>
                <m:t>)</m:t>
              </m:r>
            </m:num>
            <m:den>
              <m:nary>
                <m:naryPr>
                  <m:chr m:val="∑"/>
                  <m:limLoc m:val="undOvr"/>
                  <m:ctrlPr>
                    <w:rPr>
                      <w:rFonts w:ascii="Cambria Math" w:hAnsi="Cambria Math" w:cstheme="majorBidi"/>
                    </w:rPr>
                  </m:ctrlPr>
                </m:naryPr>
                <m:sub>
                  <m:r>
                    <m:rPr>
                      <m:sty m:val="p"/>
                    </m:rPr>
                    <w:rPr>
                      <w:rFonts w:ascii="Cambria Math" w:hAnsi="Cambria Math" w:cstheme="majorBidi"/>
                    </w:rPr>
                    <m:t>j=1</m:t>
                  </m:r>
                </m:sub>
                <m:sup>
                  <m:r>
                    <m:rPr>
                      <m:sty m:val="p"/>
                    </m:rPr>
                    <w:rPr>
                      <w:rFonts w:ascii="Cambria Math" w:hAnsi="Cambria Math" w:cstheme="majorBidi"/>
                    </w:rPr>
                    <m:t>k</m:t>
                  </m:r>
                </m:sup>
                <m:e>
                  <m:sSub>
                    <m:sSubPr>
                      <m:ctrlPr>
                        <w:rPr>
                          <w:rFonts w:ascii="Cambria Math" w:hAnsi="Cambria Math" w:cstheme="majorBidi"/>
                        </w:rPr>
                      </m:ctrlPr>
                    </m:sSubPr>
                    <m:e>
                      <m:r>
                        <m:rPr>
                          <m:sty m:val="p"/>
                        </m:rPr>
                        <w:rPr>
                          <w:rFonts w:ascii="Cambria Math" w:hAnsi="Cambria Math" w:cstheme="majorBidi"/>
                        </w:rPr>
                        <m:t>UF</m:t>
                      </m:r>
                    </m:e>
                    <m:sub>
                      <m:r>
                        <m:rPr>
                          <m:sty m:val="p"/>
                        </m:rPr>
                        <w:rPr>
                          <w:rFonts w:ascii="Cambria Math" w:hAnsi="Cambria Math" w:cstheme="majorBidi"/>
                        </w:rPr>
                        <m:t>j</m:t>
                      </m:r>
                    </m:sub>
                  </m:sSub>
                </m:e>
              </m:nary>
            </m:den>
          </m:f>
        </m:oMath>
      </m:oMathPara>
    </w:p>
    <w:p w:rsidR="00E24DB7" w:rsidRPr="002C5876" w:rsidRDefault="00E24DB7" w:rsidP="00E24DB7">
      <w:pPr>
        <w:spacing w:after="120"/>
        <w:ind w:left="3402" w:right="1134" w:hanging="1134"/>
        <w:jc w:val="both"/>
        <w:rPr>
          <w:szCs w:val="24"/>
        </w:rPr>
      </w:pPr>
      <w:r w:rsidRPr="002C5876">
        <w:rPr>
          <w:szCs w:val="24"/>
        </w:rPr>
        <w:t>où :</w:t>
      </w:r>
    </w:p>
    <w:p w:rsidR="00E24DB7" w:rsidRPr="002C5876" w:rsidRDefault="00E24DB7" w:rsidP="00E24DB7">
      <w:pPr>
        <w:pStyle w:val="SingleTxtG"/>
        <w:ind w:left="3402" w:hanging="1134"/>
        <w:rPr>
          <w:szCs w:val="24"/>
        </w:rPr>
      </w:pPr>
      <w:r w:rsidRPr="002C5876">
        <w:rPr>
          <w:szCs w:val="24"/>
        </w:rPr>
        <w:t>EC</w:t>
      </w:r>
      <w:r w:rsidRPr="002C5876">
        <w:rPr>
          <w:szCs w:val="24"/>
          <w:vertAlign w:val="subscript"/>
        </w:rPr>
        <w:t>AC,CD</w:t>
      </w:r>
      <w:r w:rsidRPr="002C5876">
        <w:rPr>
          <w:szCs w:val="24"/>
        </w:rPr>
        <w:tab/>
        <w:t xml:space="preserve">est la consommation d’énergie électrique </w:t>
      </w:r>
      <w:r w:rsidRPr="002C5876">
        <w:rPr>
          <w:color w:val="000000"/>
          <w:szCs w:val="24"/>
        </w:rPr>
        <w:t>pondérée en fonction des facteurs d’utilisation en mode épuisement de la charge, basée sur l’énergie électrique rechargée depuis le secteur</w:t>
      </w:r>
      <w:r w:rsidRPr="002C5876">
        <w:rPr>
          <w:szCs w:val="24"/>
        </w:rPr>
        <w:t>, en Wh/km ;</w:t>
      </w:r>
    </w:p>
    <w:p w:rsidR="00E24DB7" w:rsidRPr="002C5876" w:rsidRDefault="00E24DB7" w:rsidP="00E24DB7">
      <w:pPr>
        <w:pStyle w:val="SingleTxtG"/>
        <w:ind w:left="3402" w:hanging="1134"/>
        <w:rPr>
          <w:szCs w:val="24"/>
        </w:rPr>
      </w:pPr>
      <w:r w:rsidRPr="002C5876">
        <w:rPr>
          <w:szCs w:val="24"/>
        </w:rPr>
        <w:t>UF</w:t>
      </w:r>
      <w:r w:rsidRPr="002C5876">
        <w:rPr>
          <w:szCs w:val="24"/>
          <w:vertAlign w:val="subscript"/>
        </w:rPr>
        <w:t>j</w:t>
      </w:r>
      <w:r w:rsidRPr="002C5876">
        <w:rPr>
          <w:szCs w:val="24"/>
        </w:rPr>
        <w:tab/>
        <w:t>est le facteur d’utilisation de la phase j conformément à l’appendice 5 de la présente annexe ;</w:t>
      </w:r>
    </w:p>
    <w:p w:rsidR="00E24DB7" w:rsidRPr="002C5876" w:rsidRDefault="00E24DB7" w:rsidP="00E24DB7">
      <w:pPr>
        <w:pStyle w:val="SingleTxtG"/>
        <w:ind w:left="3402" w:hanging="1134"/>
        <w:rPr>
          <w:szCs w:val="24"/>
        </w:rPr>
      </w:pPr>
      <w:r w:rsidRPr="002C5876">
        <w:rPr>
          <w:szCs w:val="24"/>
        </w:rPr>
        <w:t>EC</w:t>
      </w:r>
      <w:r w:rsidRPr="002C5876">
        <w:rPr>
          <w:szCs w:val="24"/>
          <w:vertAlign w:val="subscript"/>
        </w:rPr>
        <w:t>AC,CD,j</w:t>
      </w:r>
      <w:r w:rsidRPr="002C5876">
        <w:rPr>
          <w:szCs w:val="24"/>
        </w:rPr>
        <w:tab/>
        <w:t xml:space="preserve">est la consommation d’énergie électrique </w:t>
      </w:r>
      <w:r w:rsidRPr="002C5876">
        <w:rPr>
          <w:color w:val="000000"/>
          <w:szCs w:val="24"/>
        </w:rPr>
        <w:t>basée sur l’énergie électrique rechargée depuis le secteur</w:t>
      </w:r>
      <w:r w:rsidRPr="002C5876">
        <w:rPr>
          <w:szCs w:val="24"/>
        </w:rPr>
        <w:t xml:space="preserve">, pour la </w:t>
      </w:r>
      <w:r w:rsidRPr="002C5876">
        <w:rPr>
          <w:iCs/>
          <w:szCs w:val="24"/>
        </w:rPr>
        <w:t xml:space="preserve">phase j, en </w:t>
      </w:r>
      <w:r w:rsidRPr="002C5876">
        <w:rPr>
          <w:szCs w:val="24"/>
        </w:rPr>
        <w:t>Wh/km ;</w:t>
      </w:r>
    </w:p>
    <w:p w:rsidR="00E24DB7" w:rsidRPr="002C5876" w:rsidRDefault="00E24DB7" w:rsidP="00E24DB7">
      <w:pPr>
        <w:spacing w:after="120"/>
        <w:ind w:left="3402" w:right="1134" w:hanging="1134"/>
        <w:jc w:val="both"/>
        <w:rPr>
          <w:szCs w:val="24"/>
        </w:rPr>
      </w:pPr>
      <w:r w:rsidRPr="002C5876">
        <w:rPr>
          <w:szCs w:val="24"/>
        </w:rPr>
        <w:t>et</w:t>
      </w:r>
    </w:p>
    <w:p w:rsidR="00E24DB7" w:rsidRPr="002C5876" w:rsidRDefault="00731CA6" w:rsidP="00E24DB7">
      <w:pPr>
        <w:spacing w:after="120"/>
        <w:ind w:left="2268" w:right="1134"/>
        <w:jc w:val="center"/>
        <w:rPr>
          <w:szCs w:val="24"/>
        </w:rPr>
      </w:pPr>
      <m:oMathPara>
        <m:oMath>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AC,CD,j</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DC,CD,j</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AC</m:t>
                  </m:r>
                </m:sub>
              </m:sSub>
            </m:num>
            <m:den>
              <m:nary>
                <m:naryPr>
                  <m:chr m:val="∑"/>
                  <m:limLoc m:val="subSup"/>
                  <m:ctrlPr>
                    <w:rPr>
                      <w:rFonts w:ascii="Cambria Math" w:hAnsi="Cambria Math" w:cstheme="majorBidi"/>
                    </w:rPr>
                  </m:ctrlPr>
                </m:naryPr>
                <m:sub>
                  <m:r>
                    <m:rPr>
                      <m:sty m:val="p"/>
                    </m:rPr>
                    <w:rPr>
                      <w:rFonts w:ascii="Cambria Math" w:hAnsi="Cambria Math" w:cstheme="majorBidi"/>
                    </w:rPr>
                    <m:t>j=1</m:t>
                  </m:r>
                </m:sub>
                <m:sup>
                  <m:r>
                    <m:rPr>
                      <m:sty m:val="p"/>
                    </m:rPr>
                    <w:rPr>
                      <w:rFonts w:ascii="Cambria Math" w:hAnsi="Cambria Math" w:cstheme="majorBidi"/>
                    </w:rPr>
                    <m:t>k</m:t>
                  </m:r>
                </m:sup>
                <m:e>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REESS,j</m:t>
                      </m:r>
                    </m:sub>
                  </m:sSub>
                </m:e>
              </m:nary>
            </m:den>
          </m:f>
        </m:oMath>
      </m:oMathPara>
    </w:p>
    <w:p w:rsidR="00E24DB7" w:rsidRPr="002C5876" w:rsidRDefault="00E24DB7" w:rsidP="00E24DB7">
      <w:pPr>
        <w:spacing w:after="120"/>
        <w:ind w:left="2268" w:right="1134"/>
        <w:jc w:val="both"/>
        <w:rPr>
          <w:szCs w:val="24"/>
        </w:rPr>
      </w:pPr>
      <w:r w:rsidRPr="002C5876">
        <w:rPr>
          <w:szCs w:val="24"/>
        </w:rPr>
        <w:t>où :</w:t>
      </w:r>
    </w:p>
    <w:p w:rsidR="00E24DB7" w:rsidRPr="002C5876" w:rsidRDefault="00E24DB7" w:rsidP="00E24DB7">
      <w:pPr>
        <w:pStyle w:val="SingleTxtG"/>
        <w:ind w:left="3402" w:hanging="1134"/>
        <w:rPr>
          <w:szCs w:val="24"/>
        </w:rPr>
      </w:pPr>
      <w:r w:rsidRPr="002C5876">
        <w:rPr>
          <w:szCs w:val="24"/>
        </w:rPr>
        <w:t>EC</w:t>
      </w:r>
      <w:r w:rsidRPr="002C5876">
        <w:rPr>
          <w:szCs w:val="24"/>
          <w:vertAlign w:val="subscript"/>
        </w:rPr>
        <w:t>DC,CD,j</w:t>
      </w:r>
      <w:r w:rsidRPr="002C5876">
        <w:rPr>
          <w:szCs w:val="24"/>
        </w:rPr>
        <w:tab/>
        <w:t>est la consommation d’énergie électrique, compte tenu de l’épuisement de la charge du SRSEE, pour la phase j de l’essai du type 1 en mode épuisement de la charge, conformément au paragraphe 4.3 de la présente annexe,</w:t>
      </w:r>
      <w:r w:rsidRPr="002C5876">
        <w:t xml:space="preserve"> en </w:t>
      </w:r>
      <w:r w:rsidRPr="002C5876">
        <w:rPr>
          <w:szCs w:val="24"/>
        </w:rPr>
        <w:t>Wh/km ;</w:t>
      </w:r>
    </w:p>
    <w:p w:rsidR="00E24DB7" w:rsidRPr="002C5876" w:rsidRDefault="00E24DB7" w:rsidP="00E24DB7">
      <w:pPr>
        <w:pStyle w:val="SingleTxtG"/>
        <w:ind w:left="3402" w:hanging="1134"/>
        <w:rPr>
          <w:szCs w:val="24"/>
        </w:rPr>
      </w:pPr>
      <w:r w:rsidRPr="002C5876">
        <w:rPr>
          <w:szCs w:val="24"/>
        </w:rPr>
        <w:t>E</w:t>
      </w:r>
      <w:r w:rsidRPr="002C5876">
        <w:rPr>
          <w:szCs w:val="24"/>
          <w:vertAlign w:val="subscript"/>
        </w:rPr>
        <w:t>AC</w:t>
      </w:r>
      <w:r w:rsidRPr="002C5876">
        <w:rPr>
          <w:szCs w:val="24"/>
        </w:rPr>
        <w:tab/>
        <w:t>est l’énergie électrique récupérée par recharge par le réseau, déterminée conformément au paragraphe 3.2.4.6 de la présente annexe,</w:t>
      </w:r>
      <w:r w:rsidRPr="002C5876">
        <w:t xml:space="preserve"> en </w:t>
      </w:r>
      <w:r w:rsidRPr="002C5876">
        <w:rPr>
          <w:szCs w:val="24"/>
        </w:rPr>
        <w:t>Wh ;</w:t>
      </w:r>
    </w:p>
    <w:p w:rsidR="00E24DB7" w:rsidRPr="002C5876" w:rsidRDefault="00E24DB7" w:rsidP="00E24DB7">
      <w:pPr>
        <w:pStyle w:val="SingleTxtG"/>
        <w:ind w:left="3402" w:hanging="1134"/>
        <w:rPr>
          <w:szCs w:val="24"/>
        </w:rPr>
      </w:pPr>
      <w:r w:rsidRPr="002C5876">
        <w:rPr>
          <w:szCs w:val="24"/>
        </w:rPr>
        <w:sym w:font="Symbol" w:char="F044"/>
      </w:r>
      <w:r w:rsidRPr="002C5876">
        <w:rPr>
          <w:szCs w:val="24"/>
        </w:rPr>
        <w:t>E</w:t>
      </w:r>
      <w:r w:rsidRPr="002C5876">
        <w:rPr>
          <w:szCs w:val="24"/>
          <w:vertAlign w:val="subscript"/>
        </w:rPr>
        <w:t>REESS,j</w:t>
      </w:r>
      <w:r w:rsidRPr="002C5876">
        <w:rPr>
          <w:szCs w:val="24"/>
        </w:rPr>
        <w:tab/>
        <w:t>est la variation d’énergie électrique de tous les SRSEE pour la phase j, en Wh, conformément au paragraphe 4.3 de la présente annexe ;</w:t>
      </w:r>
    </w:p>
    <w:p w:rsidR="00E24DB7" w:rsidRPr="002C5876" w:rsidRDefault="00E24DB7" w:rsidP="00E24DB7">
      <w:pPr>
        <w:pStyle w:val="SingleTxtG"/>
        <w:ind w:left="3402" w:hanging="1134"/>
        <w:rPr>
          <w:szCs w:val="24"/>
        </w:rPr>
      </w:pPr>
      <w:r w:rsidRPr="002C5876">
        <w:rPr>
          <w:szCs w:val="24"/>
        </w:rPr>
        <w:t>j</w:t>
      </w:r>
      <w:r w:rsidRPr="002C5876">
        <w:rPr>
          <w:szCs w:val="24"/>
        </w:rPr>
        <w:tab/>
        <w:t>est le numéro d’ordre de la phase considérée ;</w:t>
      </w:r>
    </w:p>
    <w:p w:rsidR="00E24DB7" w:rsidRPr="002C5876" w:rsidRDefault="00E24DB7" w:rsidP="00E24DB7">
      <w:pPr>
        <w:pStyle w:val="SingleTxtG"/>
        <w:ind w:left="3402" w:hanging="1134"/>
        <w:rPr>
          <w:szCs w:val="24"/>
        </w:rPr>
      </w:pPr>
      <w:r w:rsidRPr="002C5876">
        <w:rPr>
          <w:szCs w:val="24"/>
        </w:rPr>
        <w:t>k</w:t>
      </w:r>
      <w:r w:rsidRPr="002C5876">
        <w:rPr>
          <w:szCs w:val="24"/>
        </w:rPr>
        <w:tab/>
        <w:t>est le nombre de phases exécutées jusqu’à la fin du cycle de transition conformément au paragraphe 3.2.4.4 de la présente annexe.</w:t>
      </w:r>
    </w:p>
    <w:p w:rsidR="00E24DB7" w:rsidRPr="002C5876" w:rsidRDefault="00E24DB7" w:rsidP="00E24DB7">
      <w:pPr>
        <w:pStyle w:val="SingleTxtG"/>
        <w:ind w:left="3402"/>
        <w:rPr>
          <w:szCs w:val="24"/>
        </w:rPr>
      </w:pPr>
      <w:r w:rsidRPr="002C5876">
        <w:rPr>
          <w:szCs w:val="24"/>
        </w:rPr>
        <w:tab/>
        <w:t xml:space="preserve">Dans le cas où une méthode d’interpolation est appliquée, k est le nombre de phases exécutées jusqu’à la fin du cycle de transition du véhicule L, </w:t>
      </w:r>
      <m:oMath>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veh_L</m:t>
            </m:r>
          </m:sub>
        </m:sSub>
      </m:oMath>
      <w:r w:rsidRPr="002C5876">
        <w:rPr>
          <w:szCs w:val="24"/>
        </w:rPr>
        <w:t>.</w:t>
      </w:r>
    </w:p>
    <w:p w:rsidR="00E24DB7" w:rsidRPr="002C5876" w:rsidRDefault="00E24DB7" w:rsidP="00E24DB7">
      <w:pPr>
        <w:pStyle w:val="SingleTxtG"/>
        <w:ind w:left="2268" w:hanging="1134"/>
        <w:jc w:val="left"/>
        <w:rPr>
          <w:szCs w:val="24"/>
        </w:rPr>
      </w:pPr>
      <w:r w:rsidRPr="002C5876">
        <w:rPr>
          <w:szCs w:val="24"/>
        </w:rPr>
        <w:t>4.3.2</w:t>
      </w:r>
      <w:r w:rsidRPr="002C5876">
        <w:rPr>
          <w:szCs w:val="24"/>
        </w:rPr>
        <w:tab/>
      </w:r>
      <w:r w:rsidRPr="002C5876">
        <w:rPr>
          <w:color w:val="000000"/>
          <w:szCs w:val="24"/>
        </w:rPr>
        <w:t>Consommation d’énergie électrique pondérée en fonction des facteurs d’utilisation, basée sur l’énergie électrique rechargée depuis le secteur</w:t>
      </w:r>
      <w:r w:rsidRPr="002C5876">
        <w:rPr>
          <w:szCs w:val="24"/>
        </w:rPr>
        <w:t xml:space="preserve">, </w:t>
      </w:r>
      <w:r w:rsidRPr="002C5876">
        <w:rPr>
          <w:szCs w:val="24"/>
        </w:rPr>
        <w:br/>
        <w:t>pour les VHE-RE</w:t>
      </w:r>
    </w:p>
    <w:p w:rsidR="00E24DB7" w:rsidRPr="002C5876" w:rsidRDefault="00E24DB7" w:rsidP="00E24DB7">
      <w:pPr>
        <w:pStyle w:val="SingleTxtG"/>
        <w:ind w:left="2268"/>
        <w:rPr>
          <w:bCs/>
        </w:rPr>
      </w:pPr>
      <w:r w:rsidRPr="002C5876">
        <w:t>La consommation d’énergie électrique pondérée en fonction des facteurs d’utilisation, basée sur l’énergie électrique rechargée depuis le secteur, doit être calculée au moyen de l’équation suivante </w:t>
      </w:r>
      <w:r w:rsidRPr="002C5876">
        <w:rPr>
          <w:bCs/>
        </w:rPr>
        <w:t>:</w:t>
      </w:r>
    </w:p>
    <w:p w:rsidR="00E24DB7" w:rsidRPr="002C5876" w:rsidRDefault="00731CA6" w:rsidP="00E24DB7">
      <w:pPr>
        <w:spacing w:after="120"/>
        <w:ind w:left="2268" w:right="1134"/>
        <w:jc w:val="center"/>
        <w:rPr>
          <w:szCs w:val="24"/>
        </w:rPr>
      </w:pPr>
      <m:oMathPara>
        <m:oMath>
          <m:sSub>
            <m:sSubPr>
              <m:ctrlPr>
                <w:rPr>
                  <w:rFonts w:ascii="Cambria Math" w:hAnsi="Cambria Math"/>
                  <w:szCs w:val="24"/>
                </w:rPr>
              </m:ctrlPr>
            </m:sSubPr>
            <m:e>
              <m:r>
                <m:rPr>
                  <m:sty m:val="p"/>
                </m:rPr>
                <w:rPr>
                  <w:rFonts w:ascii="Cambria Math" w:hAnsi="Cambria Math"/>
                  <w:szCs w:val="24"/>
                </w:rPr>
                <m:t>EC</m:t>
              </m:r>
            </m:e>
            <m:sub>
              <m:r>
                <m:rPr>
                  <m:sty m:val="p"/>
                </m:rPr>
                <w:rPr>
                  <w:rFonts w:ascii="Cambria Math" w:hAnsi="Cambria Math"/>
                  <w:szCs w:val="24"/>
                </w:rPr>
                <m:t>AC,weighted</m:t>
              </m:r>
            </m:sub>
          </m:sSub>
          <m:r>
            <m:rPr>
              <m:sty m:val="p"/>
            </m:rPr>
            <w:rPr>
              <w:rFonts w:ascii="Cambria Math" w:hAnsi="Cambria Math"/>
              <w:szCs w:val="24"/>
            </w:rPr>
            <m:t xml:space="preserve">= </m:t>
          </m:r>
          <m:nary>
            <m:naryPr>
              <m:chr m:val="∑"/>
              <m:limLoc m:val="undOvr"/>
              <m:ctrlPr>
                <w:rPr>
                  <w:rFonts w:ascii="Cambria Math" w:hAnsi="Cambria Math"/>
                  <w:szCs w:val="24"/>
                </w:rPr>
              </m:ctrlPr>
            </m:naryPr>
            <m:sub>
              <m:r>
                <m:rPr>
                  <m:sty m:val="p"/>
                </m:rPr>
                <w:rPr>
                  <w:rFonts w:ascii="Cambria Math" w:hAnsi="Cambria Math"/>
                  <w:szCs w:val="24"/>
                </w:rPr>
                <m:t>j=1</m:t>
              </m:r>
            </m:sub>
            <m:sup>
              <m:r>
                <m:rPr>
                  <m:sty m:val="p"/>
                </m:rPr>
                <w:rPr>
                  <w:rFonts w:ascii="Cambria Math" w:hAnsi="Cambria Math"/>
                  <w:szCs w:val="24"/>
                </w:rPr>
                <m:t>k</m:t>
              </m:r>
            </m:sup>
            <m:e>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UF</m:t>
                  </m:r>
                </m:e>
                <m:sub>
                  <m:r>
                    <m:rPr>
                      <m:sty m:val="p"/>
                    </m:rPr>
                    <w:rPr>
                      <w:rFonts w:ascii="Cambria Math" w:hAnsi="Cambria Math"/>
                      <w:szCs w:val="24"/>
                    </w:rPr>
                    <m:t xml:space="preserve">j </m:t>
                  </m:r>
                </m:sub>
              </m:sSub>
              <m:r>
                <m:rPr>
                  <m:sty m:val="p"/>
                </m:rPr>
                <w:rPr>
                  <w:rFonts w:ascii="Cambria Math" w:hAnsi="Cambria Math"/>
                </w:rPr>
                <m:t>×</m:t>
              </m:r>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EC</m:t>
                  </m:r>
                </m:e>
                <m:sub>
                  <m:r>
                    <m:rPr>
                      <m:sty m:val="p"/>
                    </m:rPr>
                    <w:rPr>
                      <w:rFonts w:ascii="Cambria Math" w:hAnsi="Cambria Math"/>
                      <w:szCs w:val="24"/>
                    </w:rPr>
                    <m:t>AC,CD,j</m:t>
                  </m:r>
                </m:sub>
              </m:sSub>
            </m:e>
          </m:nary>
          <m:r>
            <m:rPr>
              <m:sty m:val="p"/>
            </m:rPr>
            <w:rPr>
              <w:rFonts w:ascii="Cambria Math" w:hAnsi="Cambria Math"/>
              <w:szCs w:val="24"/>
            </w:rPr>
            <m:t>)</m:t>
          </m:r>
        </m:oMath>
      </m:oMathPara>
    </w:p>
    <w:p w:rsidR="00E24DB7" w:rsidRPr="002C5876" w:rsidRDefault="00E24DB7" w:rsidP="00E24DB7">
      <w:pPr>
        <w:keepNext/>
        <w:spacing w:after="120"/>
        <w:ind w:left="3402" w:right="1134" w:hanging="1134"/>
        <w:jc w:val="both"/>
        <w:rPr>
          <w:szCs w:val="24"/>
        </w:rPr>
      </w:pPr>
      <w:r w:rsidRPr="002C5876">
        <w:rPr>
          <w:szCs w:val="24"/>
        </w:rPr>
        <w:t>où :</w:t>
      </w:r>
    </w:p>
    <w:p w:rsidR="00E24DB7" w:rsidRPr="002C5876" w:rsidRDefault="00731CA6" w:rsidP="00E24DB7">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EC</m:t>
            </m:r>
          </m:e>
          <m:sub>
            <m:r>
              <m:rPr>
                <m:sty m:val="p"/>
              </m:rPr>
              <w:rPr>
                <w:rFonts w:ascii="Cambria Math" w:hAnsi="Cambria Math"/>
                <w:szCs w:val="24"/>
              </w:rPr>
              <m:t>AC,weighted</m:t>
            </m:r>
          </m:sub>
        </m:sSub>
      </m:oMath>
      <w:r w:rsidR="00E24DB7" w:rsidRPr="002C5876">
        <w:rPr>
          <w:szCs w:val="24"/>
        </w:rPr>
        <w:tab/>
        <w:t xml:space="preserve">est la </w:t>
      </w:r>
      <w:r w:rsidR="00E24DB7" w:rsidRPr="002C5876">
        <w:rPr>
          <w:color w:val="000000"/>
          <w:szCs w:val="24"/>
        </w:rPr>
        <w:t>consommation d’énergie électrique pondérée en fonction des facteurs d’utilisation, basée sur l’énergie électrique rechargée depuis le secteur</w:t>
      </w:r>
      <w:r w:rsidR="00E24DB7" w:rsidRPr="002C5876">
        <w:rPr>
          <w:szCs w:val="24"/>
        </w:rPr>
        <w:t xml:space="preserve">, en Wh/km ; </w:t>
      </w:r>
    </w:p>
    <w:p w:rsidR="00E24DB7" w:rsidRPr="002C5876" w:rsidRDefault="00731CA6" w:rsidP="00E24DB7">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UF</m:t>
            </m:r>
          </m:e>
          <m:sub>
            <m:r>
              <m:rPr>
                <m:sty m:val="p"/>
              </m:rPr>
              <w:rPr>
                <w:rFonts w:ascii="Cambria Math" w:hAnsi="Cambria Math"/>
                <w:szCs w:val="24"/>
              </w:rPr>
              <m:t xml:space="preserve">j </m:t>
            </m:r>
          </m:sub>
        </m:sSub>
      </m:oMath>
      <w:r w:rsidR="00E24DB7" w:rsidRPr="002C5876">
        <w:rPr>
          <w:szCs w:val="24"/>
        </w:rPr>
        <w:tab/>
        <w:t>est le facteur d’utilisation de la phase j conformément à l’appendice 5 de la présente annexe ;</w:t>
      </w:r>
    </w:p>
    <w:p w:rsidR="00E24DB7" w:rsidRPr="002C5876" w:rsidRDefault="00731CA6" w:rsidP="00E24DB7">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EC</m:t>
            </m:r>
          </m:e>
          <m:sub>
            <m:r>
              <m:rPr>
                <m:sty m:val="p"/>
              </m:rPr>
              <w:rPr>
                <w:rFonts w:ascii="Cambria Math" w:hAnsi="Cambria Math"/>
                <w:szCs w:val="24"/>
              </w:rPr>
              <m:t>AC,CD,j</m:t>
            </m:r>
          </m:sub>
        </m:sSub>
      </m:oMath>
      <w:r w:rsidR="00E24DB7" w:rsidRPr="002C5876">
        <w:rPr>
          <w:szCs w:val="24"/>
          <w:vertAlign w:val="subscript"/>
        </w:rPr>
        <w:tab/>
      </w:r>
      <w:r w:rsidR="00E24DB7" w:rsidRPr="002C5876">
        <w:rPr>
          <w:szCs w:val="24"/>
          <w:vertAlign w:val="subscript"/>
        </w:rPr>
        <w:tab/>
      </w:r>
      <w:r w:rsidR="00E24DB7" w:rsidRPr="002C5876">
        <w:rPr>
          <w:szCs w:val="24"/>
        </w:rPr>
        <w:t xml:space="preserve">est la consommation d’énergie électrique </w:t>
      </w:r>
      <w:r w:rsidR="00E24DB7" w:rsidRPr="002C5876">
        <w:rPr>
          <w:color w:val="000000"/>
          <w:szCs w:val="24"/>
        </w:rPr>
        <w:t>basée sur l’énergie électrique rechargée depuis le secteur</w:t>
      </w:r>
      <w:r w:rsidR="00E24DB7" w:rsidRPr="002C5876">
        <w:rPr>
          <w:szCs w:val="24"/>
        </w:rPr>
        <w:t xml:space="preserve">, pour la </w:t>
      </w:r>
      <w:r w:rsidR="00E24DB7" w:rsidRPr="002C5876">
        <w:rPr>
          <w:iCs/>
          <w:szCs w:val="24"/>
        </w:rPr>
        <w:t xml:space="preserve">phase j, conformément au paragraphe 4.3.1 de la présente annexe, en </w:t>
      </w:r>
      <w:r w:rsidR="00E24DB7" w:rsidRPr="002C5876">
        <w:rPr>
          <w:szCs w:val="24"/>
        </w:rPr>
        <w:t>Wh/km ;</w:t>
      </w:r>
    </w:p>
    <w:p w:rsidR="00E24DB7" w:rsidRPr="002C5876" w:rsidRDefault="00E24DB7" w:rsidP="00E24DB7">
      <w:pPr>
        <w:pStyle w:val="SingleTxtG"/>
        <w:ind w:left="3402" w:hanging="1134"/>
        <w:rPr>
          <w:szCs w:val="24"/>
        </w:rPr>
      </w:pPr>
      <m:oMath>
        <m:r>
          <m:rPr>
            <m:sty m:val="p"/>
          </m:rPr>
          <w:rPr>
            <w:rFonts w:ascii="Cambria Math" w:hAnsi="Cambria Math"/>
            <w:szCs w:val="24"/>
          </w:rPr>
          <m:t>j</m:t>
        </m:r>
      </m:oMath>
      <w:r w:rsidRPr="002C5876">
        <w:rPr>
          <w:szCs w:val="24"/>
        </w:rPr>
        <w:tab/>
      </w:r>
      <w:r w:rsidRPr="002C5876">
        <w:rPr>
          <w:szCs w:val="24"/>
        </w:rPr>
        <w:tab/>
        <w:t>est le numéro d’ordre de la phase considérée ;</w:t>
      </w:r>
      <w:r w:rsidRPr="002C5876" w:rsidDel="00BB3E13">
        <w:rPr>
          <w:szCs w:val="24"/>
        </w:rPr>
        <w:t xml:space="preserve"> </w:t>
      </w:r>
    </w:p>
    <w:p w:rsidR="00E24DB7" w:rsidRPr="002C5876" w:rsidRDefault="00E24DB7" w:rsidP="00E24DB7">
      <w:pPr>
        <w:pStyle w:val="SingleTxtG"/>
        <w:ind w:left="3402" w:hanging="1134"/>
        <w:rPr>
          <w:szCs w:val="24"/>
        </w:rPr>
      </w:pPr>
      <m:oMath>
        <m:r>
          <m:rPr>
            <m:sty m:val="p"/>
          </m:rPr>
          <w:rPr>
            <w:rFonts w:ascii="Cambria Math" w:hAnsi="Cambria Math"/>
            <w:szCs w:val="24"/>
          </w:rPr>
          <m:t>k</m:t>
        </m:r>
      </m:oMath>
      <w:r w:rsidRPr="002C5876">
        <w:rPr>
          <w:szCs w:val="24"/>
        </w:rPr>
        <w:tab/>
        <w:t>est le nombre de phases exécutées jusqu’à la fin du cycle de transition conformément au paragraphe 3.2.4.4 de la présente annexe.</w:t>
      </w:r>
    </w:p>
    <w:p w:rsidR="00E24DB7" w:rsidRPr="002C5876" w:rsidRDefault="00E24DB7" w:rsidP="00E24DB7">
      <w:pPr>
        <w:pStyle w:val="SingleTxtG"/>
        <w:ind w:left="3402" w:hanging="1134"/>
        <w:rPr>
          <w:szCs w:val="24"/>
        </w:rPr>
      </w:pPr>
      <w:r w:rsidRPr="002C5876">
        <w:rPr>
          <w:szCs w:val="24"/>
        </w:rPr>
        <w:tab/>
        <w:t xml:space="preserve">Dans le cas où une méthode d’interpolation est appliquée, k est le nombre de phases exécutées jusqu’à la fin du cycle de transition du véhicule L, </w:t>
      </w:r>
      <m:oMath>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veh_L</m:t>
            </m:r>
          </m:sub>
        </m:sSub>
      </m:oMath>
      <w:r w:rsidRPr="002C5876">
        <w:rPr>
          <w:szCs w:val="24"/>
        </w:rPr>
        <w:t>.</w:t>
      </w:r>
    </w:p>
    <w:p w:rsidR="00E24DB7" w:rsidRPr="002C5876" w:rsidRDefault="00E24DB7" w:rsidP="00E24DB7">
      <w:pPr>
        <w:spacing w:after="120"/>
        <w:ind w:left="2268" w:right="1134" w:hanging="1134"/>
        <w:rPr>
          <w:szCs w:val="24"/>
        </w:rPr>
      </w:pPr>
      <w:r w:rsidRPr="002C5876">
        <w:rPr>
          <w:szCs w:val="24"/>
        </w:rPr>
        <w:t>4.3.3</w:t>
      </w:r>
      <w:r w:rsidRPr="002C5876">
        <w:rPr>
          <w:szCs w:val="24"/>
        </w:rPr>
        <w:tab/>
        <w:t>Consommation d’énergie électrique pour les VHE-RE</w:t>
      </w:r>
    </w:p>
    <w:p w:rsidR="00E24DB7" w:rsidRPr="002C5876" w:rsidRDefault="00E24DB7" w:rsidP="00E24DB7">
      <w:pPr>
        <w:spacing w:after="120"/>
        <w:ind w:left="2268" w:right="1134" w:hanging="1134"/>
        <w:rPr>
          <w:szCs w:val="24"/>
        </w:rPr>
      </w:pPr>
      <w:r w:rsidRPr="002C5876">
        <w:rPr>
          <w:szCs w:val="24"/>
        </w:rPr>
        <w:t>4.3.3.1</w:t>
      </w:r>
      <w:r w:rsidRPr="002C5876">
        <w:rPr>
          <w:szCs w:val="24"/>
        </w:rPr>
        <w:tab/>
        <w:t>Détermination de la consommation d’énergie électrique spécifique par cycle</w:t>
      </w:r>
    </w:p>
    <w:p w:rsidR="00E24DB7" w:rsidRPr="002C5876" w:rsidRDefault="00E24DB7" w:rsidP="00E24DB7">
      <w:pPr>
        <w:pStyle w:val="SingleTxtG"/>
        <w:ind w:left="2268"/>
        <w:rPr>
          <w:bCs/>
          <w:szCs w:val="24"/>
        </w:rPr>
      </w:pPr>
      <w:r w:rsidRPr="002C5876">
        <w:rPr>
          <w:szCs w:val="24"/>
        </w:rPr>
        <w:t xml:space="preserve">La consommation d’énergie électrique </w:t>
      </w:r>
      <w:r w:rsidRPr="002C5876">
        <w:rPr>
          <w:color w:val="000000"/>
          <w:szCs w:val="24"/>
        </w:rPr>
        <w:t xml:space="preserve">basée sur l’énergie électrique rechargée depuis le secteur et sur </w:t>
      </w:r>
      <w:r w:rsidRPr="002C5876">
        <w:rPr>
          <w:szCs w:val="24"/>
        </w:rPr>
        <w:t>l’autonomie équivalente en mode électrique pur doit être calculée au moyen de l’équation suivante </w:t>
      </w:r>
      <w:r w:rsidRPr="002C5876">
        <w:rPr>
          <w:bCs/>
          <w:szCs w:val="24"/>
        </w:rPr>
        <w:t>:</w:t>
      </w:r>
    </w:p>
    <w:p w:rsidR="00E24DB7" w:rsidRPr="002C5876" w:rsidRDefault="00E24DB7" w:rsidP="00E24DB7">
      <w:pPr>
        <w:pStyle w:val="SingleTxtG"/>
        <w:ind w:left="2268"/>
        <w:jc w:val="center"/>
        <w:rPr>
          <w:bCs/>
          <w:szCs w:val="24"/>
        </w:rPr>
      </w:pPr>
      <m:oMathPara>
        <m:oMath>
          <m:r>
            <m:rPr>
              <m:nor/>
            </m:rPr>
            <m:t>EC</m:t>
          </m:r>
          <m:r>
            <m:rPr>
              <m:nor/>
            </m:rPr>
            <w:rPr>
              <w:rFonts w:ascii="Cambria Math"/>
            </w:rPr>
            <m:t> </m:t>
          </m:r>
          <m:r>
            <m:rPr>
              <m:nor/>
            </m:rPr>
            <w:rPr>
              <w:rFonts w:ascii="Cambria Math"/>
            </w:rPr>
            <m:t>=</m:t>
          </m:r>
          <m:r>
            <m:rPr>
              <m:nor/>
            </m:rPr>
            <w:rPr>
              <w:rFonts w:ascii="Cambria Math"/>
            </w:rPr>
            <m:t> </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AC</m:t>
                  </m:r>
                </m:sub>
              </m:sSub>
            </m:num>
            <m:den>
              <m:r>
                <m:rPr>
                  <m:sty m:val="p"/>
                </m:rPr>
                <w:rPr>
                  <w:rFonts w:ascii="Cambria Math" w:hAnsi="Cambria Math" w:cstheme="majorBidi"/>
                </w:rPr>
                <m:t>EAER</m:t>
              </m:r>
            </m:den>
          </m:f>
        </m:oMath>
      </m:oMathPara>
    </w:p>
    <w:p w:rsidR="00E24DB7" w:rsidRPr="002C5876" w:rsidRDefault="00E24DB7" w:rsidP="00E24DB7">
      <w:pPr>
        <w:spacing w:after="120"/>
        <w:ind w:left="3402" w:right="1134" w:hanging="1134"/>
        <w:jc w:val="both"/>
        <w:rPr>
          <w:szCs w:val="24"/>
        </w:rPr>
      </w:pPr>
      <w:r w:rsidRPr="002C5876">
        <w:rPr>
          <w:szCs w:val="24"/>
        </w:rPr>
        <w:t>où :</w:t>
      </w:r>
    </w:p>
    <w:p w:rsidR="00E24DB7" w:rsidRPr="002C5876" w:rsidRDefault="00E24DB7" w:rsidP="00E24DB7">
      <w:pPr>
        <w:pStyle w:val="SingleTxtG"/>
        <w:ind w:left="3402" w:hanging="1134"/>
        <w:rPr>
          <w:szCs w:val="24"/>
        </w:rPr>
      </w:pPr>
      <w:r w:rsidRPr="002C5876">
        <w:rPr>
          <w:szCs w:val="24"/>
        </w:rPr>
        <w:t>EC</w:t>
      </w:r>
      <w:r w:rsidRPr="002C5876">
        <w:rPr>
          <w:szCs w:val="24"/>
        </w:rPr>
        <w:tab/>
        <w:t xml:space="preserve">est la consommation d’énergie électrique du cycle d’essai WLTP applicable, </w:t>
      </w:r>
      <w:r w:rsidRPr="002C5876">
        <w:rPr>
          <w:color w:val="000000"/>
          <w:szCs w:val="24"/>
        </w:rPr>
        <w:t xml:space="preserve">basée sur l’énergie électrique rechargée depuis le secteur et sur </w:t>
      </w:r>
      <w:r w:rsidRPr="002C5876">
        <w:rPr>
          <w:szCs w:val="24"/>
        </w:rPr>
        <w:t>l’autonomie équivalente en mode électrique pur, en Wh/km ;</w:t>
      </w:r>
    </w:p>
    <w:p w:rsidR="00E24DB7" w:rsidRPr="002C5876" w:rsidRDefault="00E24DB7" w:rsidP="00E24DB7">
      <w:pPr>
        <w:pStyle w:val="SingleTxtG"/>
        <w:ind w:left="3402" w:hanging="1134"/>
        <w:rPr>
          <w:szCs w:val="24"/>
        </w:rPr>
      </w:pPr>
      <w:r w:rsidRPr="002C5876">
        <w:rPr>
          <w:szCs w:val="24"/>
        </w:rPr>
        <w:t>E</w:t>
      </w:r>
      <w:r w:rsidRPr="002C5876">
        <w:rPr>
          <w:szCs w:val="24"/>
          <w:vertAlign w:val="subscript"/>
        </w:rPr>
        <w:t>AC</w:t>
      </w:r>
      <w:r w:rsidRPr="002C5876">
        <w:rPr>
          <w:szCs w:val="24"/>
        </w:rPr>
        <w:tab/>
        <w:t xml:space="preserve">est </w:t>
      </w:r>
      <w:r w:rsidRPr="002C5876">
        <w:rPr>
          <w:color w:val="000000"/>
          <w:szCs w:val="24"/>
        </w:rPr>
        <w:t xml:space="preserve">l’énergie électrique rechargée depuis le secteur, conformément au </w:t>
      </w:r>
      <w:r w:rsidRPr="002C5876">
        <w:rPr>
          <w:szCs w:val="24"/>
        </w:rPr>
        <w:t>paragraphe </w:t>
      </w:r>
      <w:r w:rsidRPr="002C5876">
        <w:rPr>
          <w:iCs/>
          <w:szCs w:val="24"/>
        </w:rPr>
        <w:t>3.2.4.6 de la présente annexe, en </w:t>
      </w:r>
      <w:r w:rsidRPr="002C5876">
        <w:rPr>
          <w:szCs w:val="24"/>
        </w:rPr>
        <w:t>Wh ;</w:t>
      </w:r>
    </w:p>
    <w:p w:rsidR="00E24DB7" w:rsidRPr="002C5876" w:rsidRDefault="00E24DB7" w:rsidP="00E24DB7">
      <w:pPr>
        <w:pStyle w:val="SingleTxtG"/>
        <w:ind w:left="3402" w:hanging="1134"/>
        <w:rPr>
          <w:szCs w:val="24"/>
        </w:rPr>
      </w:pPr>
      <w:r w:rsidRPr="002C5876">
        <w:rPr>
          <w:szCs w:val="24"/>
        </w:rPr>
        <w:t>EAER</w:t>
      </w:r>
      <w:r w:rsidRPr="002C5876">
        <w:rPr>
          <w:szCs w:val="24"/>
        </w:rPr>
        <w:tab/>
        <w:t>est l’autonomie équivalente en mode électrique pur, conformément au paragraphe 4.4.4.1 de la présente annexe, en km.</w:t>
      </w:r>
    </w:p>
    <w:p w:rsidR="00E24DB7" w:rsidRPr="002C5876" w:rsidRDefault="00E24DB7" w:rsidP="00E24DB7">
      <w:pPr>
        <w:pStyle w:val="SingleTxtG"/>
        <w:ind w:left="2268" w:hanging="1134"/>
      </w:pPr>
      <w:r w:rsidRPr="002C5876">
        <w:t>4.3.3.2</w:t>
      </w:r>
      <w:r w:rsidRPr="002C5876">
        <w:tab/>
        <w:t>Détermination de la consommation d’énergie électrique spécifique par phase</w:t>
      </w:r>
    </w:p>
    <w:p w:rsidR="00E24DB7" w:rsidRPr="002C5876" w:rsidRDefault="00E24DB7" w:rsidP="00E24DB7">
      <w:pPr>
        <w:pStyle w:val="SingleTxtG"/>
        <w:ind w:left="2268"/>
        <w:rPr>
          <w:szCs w:val="24"/>
        </w:rPr>
      </w:pPr>
      <w:r w:rsidRPr="002C5876">
        <w:rPr>
          <w:szCs w:val="24"/>
        </w:rPr>
        <w:t xml:space="preserve">La consommation d’énergie électrique spécifique par phase </w:t>
      </w:r>
      <w:r w:rsidRPr="002C5876">
        <w:rPr>
          <w:color w:val="000000"/>
          <w:szCs w:val="24"/>
        </w:rPr>
        <w:t xml:space="preserve">basée sur l’énergie électrique rechargée depuis le secteur et sur </w:t>
      </w:r>
      <w:r w:rsidRPr="002C5876">
        <w:rPr>
          <w:szCs w:val="24"/>
        </w:rPr>
        <w:t>l’autonomie équivalente en mode électrique pur spécifique par phase doit être calculée au moyen de l’équation suivante :</w:t>
      </w:r>
    </w:p>
    <w:p w:rsidR="00E24DB7" w:rsidRPr="002C5876" w:rsidRDefault="00731CA6" w:rsidP="00E24DB7">
      <w:pPr>
        <w:pStyle w:val="SingleTxtG"/>
        <w:ind w:left="2268"/>
        <w:jc w:val="center"/>
        <w:rPr>
          <w:szCs w:val="24"/>
        </w:rPr>
      </w:pPr>
      <m:oMathPara>
        <m:oMath>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p</m:t>
              </m:r>
            </m:sub>
          </m:sSub>
          <m:r>
            <m:rPr>
              <m:nor/>
            </m:rPr>
            <w:rPr>
              <w:rFonts w:asciiTheme="majorBidi" w:hAnsiTheme="majorBidi" w:cstheme="majorBidi"/>
            </w:rPr>
            <m:t> = </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AC</m:t>
                  </m:r>
                </m:sub>
              </m:sSub>
            </m:num>
            <m:den>
              <m:sSub>
                <m:sSubPr>
                  <m:ctrlPr>
                    <w:rPr>
                      <w:rFonts w:ascii="Cambria Math" w:hAnsi="Cambria Math" w:cstheme="majorBidi"/>
                    </w:rPr>
                  </m:ctrlPr>
                </m:sSubPr>
                <m:e>
                  <m:r>
                    <m:rPr>
                      <m:sty m:val="p"/>
                    </m:rPr>
                    <w:rPr>
                      <w:rFonts w:ascii="Cambria Math" w:hAnsi="Cambria Math" w:cstheme="majorBidi"/>
                    </w:rPr>
                    <m:t>EAER</m:t>
                  </m:r>
                </m:e>
                <m:sub>
                  <m:r>
                    <m:rPr>
                      <m:sty m:val="p"/>
                    </m:rPr>
                    <w:rPr>
                      <w:rFonts w:ascii="Cambria Math" w:hAnsi="Cambria Math" w:cstheme="majorBidi"/>
                    </w:rPr>
                    <m:t>p</m:t>
                  </m:r>
                </m:sub>
              </m:sSub>
            </m:den>
          </m:f>
        </m:oMath>
      </m:oMathPara>
    </w:p>
    <w:p w:rsidR="00E24DB7" w:rsidRPr="002C5876" w:rsidRDefault="00E24DB7" w:rsidP="00E24DB7">
      <w:pPr>
        <w:spacing w:after="120"/>
        <w:ind w:left="2268" w:right="1134"/>
        <w:jc w:val="both"/>
        <w:rPr>
          <w:szCs w:val="24"/>
        </w:rPr>
      </w:pPr>
      <w:r w:rsidRPr="002C5876">
        <w:rPr>
          <w:szCs w:val="24"/>
        </w:rPr>
        <w:t xml:space="preserve">où : </w:t>
      </w:r>
    </w:p>
    <w:p w:rsidR="00E24DB7" w:rsidRPr="002C5876" w:rsidRDefault="00E24DB7" w:rsidP="00E24DB7">
      <w:pPr>
        <w:pStyle w:val="SingleTxtG"/>
        <w:ind w:left="3402" w:hanging="1134"/>
        <w:rPr>
          <w:szCs w:val="24"/>
        </w:rPr>
      </w:pPr>
      <w:r w:rsidRPr="002C5876">
        <w:rPr>
          <w:szCs w:val="24"/>
        </w:rPr>
        <w:t>EC</w:t>
      </w:r>
      <w:r w:rsidRPr="002C5876">
        <w:rPr>
          <w:szCs w:val="24"/>
          <w:vertAlign w:val="subscript"/>
        </w:rPr>
        <w:t>P</w:t>
      </w:r>
      <w:r w:rsidRPr="002C5876">
        <w:rPr>
          <w:szCs w:val="24"/>
        </w:rPr>
        <w:tab/>
        <w:t xml:space="preserve">est la consommation d’énergie électrique spécifique par phase </w:t>
      </w:r>
      <w:r w:rsidRPr="002C5876">
        <w:rPr>
          <w:color w:val="000000"/>
          <w:szCs w:val="24"/>
        </w:rPr>
        <w:t xml:space="preserve">basée sur l’énergie électrique rechargée depuis le secteur et sur </w:t>
      </w:r>
      <w:r w:rsidRPr="002C5876">
        <w:rPr>
          <w:szCs w:val="24"/>
        </w:rPr>
        <w:t>l’autonomie équivalente en mode électrique pur, en Wh/km ;</w:t>
      </w:r>
    </w:p>
    <w:p w:rsidR="00E24DB7" w:rsidRPr="002C5876" w:rsidRDefault="00E24DB7" w:rsidP="00E24DB7">
      <w:pPr>
        <w:pStyle w:val="SingleTxtG"/>
        <w:ind w:left="3402" w:hanging="1134"/>
        <w:rPr>
          <w:szCs w:val="24"/>
        </w:rPr>
      </w:pPr>
      <w:r w:rsidRPr="002C5876">
        <w:rPr>
          <w:szCs w:val="24"/>
        </w:rPr>
        <w:t>E</w:t>
      </w:r>
      <w:r w:rsidRPr="002C5876">
        <w:rPr>
          <w:szCs w:val="24"/>
          <w:vertAlign w:val="subscript"/>
        </w:rPr>
        <w:t>AC</w:t>
      </w:r>
      <w:r w:rsidRPr="002C5876">
        <w:rPr>
          <w:szCs w:val="24"/>
        </w:rPr>
        <w:tab/>
        <w:t xml:space="preserve">est </w:t>
      </w:r>
      <w:r w:rsidRPr="002C5876">
        <w:rPr>
          <w:color w:val="000000"/>
          <w:szCs w:val="24"/>
        </w:rPr>
        <w:t xml:space="preserve">l’énergie électrique rechargée depuis le secteur, conformément au </w:t>
      </w:r>
      <w:r w:rsidRPr="002C5876">
        <w:rPr>
          <w:szCs w:val="24"/>
        </w:rPr>
        <w:t>paragraphe </w:t>
      </w:r>
      <w:r w:rsidRPr="002C5876">
        <w:rPr>
          <w:iCs/>
          <w:szCs w:val="24"/>
        </w:rPr>
        <w:t>3.2.4.6 de la présente annexe, en </w:t>
      </w:r>
      <w:r w:rsidRPr="002C5876">
        <w:rPr>
          <w:szCs w:val="24"/>
        </w:rPr>
        <w:t>Wh ;</w:t>
      </w:r>
    </w:p>
    <w:p w:rsidR="00E24DB7" w:rsidRPr="002C5876" w:rsidRDefault="00731CA6" w:rsidP="00E24DB7">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EAER</m:t>
            </m:r>
          </m:e>
          <m:sub>
            <m:r>
              <m:rPr>
                <m:sty m:val="p"/>
              </m:rPr>
              <w:rPr>
                <w:rFonts w:ascii="Cambria Math" w:hAnsi="Cambria Math"/>
                <w:szCs w:val="24"/>
              </w:rPr>
              <m:t>p</m:t>
            </m:r>
          </m:sub>
        </m:sSub>
      </m:oMath>
      <w:r w:rsidR="00E24DB7" w:rsidRPr="002C5876">
        <w:rPr>
          <w:szCs w:val="24"/>
        </w:rPr>
        <w:tab/>
        <w:t>est l’autonomie équivalente en mode électrique pur spécifique par phase, conformément au paragraphe 4.4.4.2 de la présente annexe, en km.</w:t>
      </w:r>
    </w:p>
    <w:p w:rsidR="00E24DB7" w:rsidRPr="002C5876" w:rsidRDefault="00E24DB7" w:rsidP="002C5876">
      <w:pPr>
        <w:pStyle w:val="SingleTxtG"/>
        <w:keepNext/>
        <w:keepLines/>
        <w:ind w:left="2268" w:hanging="1134"/>
        <w:rPr>
          <w:szCs w:val="24"/>
        </w:rPr>
      </w:pPr>
      <w:r w:rsidRPr="002C5876">
        <w:rPr>
          <w:szCs w:val="24"/>
        </w:rPr>
        <w:t>4.3.4</w:t>
      </w:r>
      <w:r w:rsidRPr="002C5876">
        <w:rPr>
          <w:szCs w:val="24"/>
        </w:rPr>
        <w:tab/>
        <w:t>Consommation d’énergie électrique des VEP</w:t>
      </w:r>
    </w:p>
    <w:p w:rsidR="00E24DB7" w:rsidRPr="002C5876" w:rsidRDefault="00E24DB7" w:rsidP="00E24DB7">
      <w:pPr>
        <w:spacing w:after="120"/>
        <w:ind w:left="2268" w:right="1134"/>
        <w:jc w:val="both"/>
        <w:rPr>
          <w:color w:val="000000"/>
          <w:szCs w:val="24"/>
        </w:rPr>
      </w:pPr>
      <w:r w:rsidRPr="002C5876">
        <w:rPr>
          <w:szCs w:val="24"/>
        </w:rPr>
        <w:tab/>
        <w:t>Les Parties contractantes ont le choix d’ignorer le calcul d’</w:t>
      </w:r>
      <w:r w:rsidRPr="002C5876">
        <w:rPr>
          <w:color w:val="000000"/>
          <w:szCs w:val="24"/>
        </w:rPr>
        <w:t>EC</w:t>
      </w:r>
      <w:r w:rsidRPr="002C5876">
        <w:rPr>
          <w:color w:val="000000"/>
          <w:szCs w:val="24"/>
          <w:vertAlign w:val="subscript"/>
        </w:rPr>
        <w:t>city</w:t>
      </w:r>
      <w:r w:rsidRPr="002C5876">
        <w:rPr>
          <w:color w:val="000000"/>
          <w:szCs w:val="24"/>
        </w:rPr>
        <w:t xml:space="preserve"> effectué conformément au paragraphe 4.3.4.2 de la présente annexe.</w:t>
      </w:r>
    </w:p>
    <w:p w:rsidR="00E24DB7" w:rsidRPr="002C5876" w:rsidRDefault="00E24DB7" w:rsidP="00E24DB7">
      <w:pPr>
        <w:pStyle w:val="SingleTxtG"/>
        <w:ind w:left="2268" w:hanging="1134"/>
        <w:rPr>
          <w:color w:val="000000"/>
          <w:szCs w:val="24"/>
        </w:rPr>
      </w:pPr>
      <w:r w:rsidRPr="002C5876">
        <w:rPr>
          <w:szCs w:val="24"/>
        </w:rPr>
        <w:lastRenderedPageBreak/>
        <w:t>4.3.4.1</w:t>
      </w:r>
      <w:r w:rsidRPr="002C5876">
        <w:rPr>
          <w:szCs w:val="24"/>
        </w:rPr>
        <w:tab/>
        <w:t>La consommation d’énergie électrique déterminée dans le présent paragraphe doit être calculée uniquement si le véhicule a pu suivre la courbe de vitesse du cycle d’essai applicable dans les limites de tolérance spécifiées au paragraphe 2.6.8.3 de l’annexe 6</w:t>
      </w:r>
      <w:r w:rsidRPr="002C5876">
        <w:rPr>
          <w:color w:val="000000"/>
          <w:szCs w:val="24"/>
        </w:rPr>
        <w:t xml:space="preserve"> durant toute la période considérée.</w:t>
      </w:r>
    </w:p>
    <w:p w:rsidR="00E24DB7" w:rsidRPr="002C5876" w:rsidRDefault="00E24DB7" w:rsidP="00E24DB7">
      <w:pPr>
        <w:pStyle w:val="SingleTxtG"/>
        <w:ind w:left="2268" w:hanging="1134"/>
        <w:jc w:val="left"/>
        <w:rPr>
          <w:szCs w:val="24"/>
        </w:rPr>
      </w:pPr>
      <w:r w:rsidRPr="002C5876">
        <w:rPr>
          <w:szCs w:val="24"/>
        </w:rPr>
        <w:t>4.3.4.2</w:t>
      </w:r>
      <w:r w:rsidRPr="002C5876">
        <w:rPr>
          <w:szCs w:val="24"/>
        </w:rPr>
        <w:tab/>
        <w:t xml:space="preserve">Détermination de la consommation d’énergie électrique du cycle d’essai WLTP applicable </w:t>
      </w:r>
    </w:p>
    <w:p w:rsidR="00E24DB7" w:rsidRPr="002C5876" w:rsidRDefault="00E24DB7" w:rsidP="00E24DB7">
      <w:pPr>
        <w:pStyle w:val="SingleTxtG"/>
        <w:ind w:left="2268"/>
      </w:pPr>
      <w:r w:rsidRPr="002C5876">
        <w:t xml:space="preserve">La consommation d’énergie électrique du cycle d’essai WLTP applicable, </w:t>
      </w:r>
      <w:r w:rsidRPr="002C5876">
        <w:rPr>
          <w:color w:val="000000"/>
        </w:rPr>
        <w:t>basée sur l’énergie électrique rechargée depuis le secteur et sur l’autonomie du véhicule en mode électrique pur</w:t>
      </w:r>
      <w:r w:rsidRPr="002C5876">
        <w:t>, doit être calculée au moyen de l’équation suivante :</w:t>
      </w:r>
    </w:p>
    <w:p w:rsidR="00E24DB7" w:rsidRPr="002C5876" w:rsidRDefault="00731CA6" w:rsidP="00E24DB7">
      <w:pPr>
        <w:pStyle w:val="SingleTxtG"/>
        <w:ind w:left="2268"/>
        <w:jc w:val="center"/>
      </w:pPr>
      <m:oMathPara>
        <m:oMath>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WLTC</m:t>
              </m:r>
            </m:sub>
          </m:sSub>
          <m:r>
            <m:rPr>
              <m:nor/>
            </m:rPr>
            <w:rPr>
              <w:rFonts w:asciiTheme="majorBidi" w:hAnsiTheme="majorBidi" w:cstheme="majorBidi"/>
            </w:rPr>
            <m:t> = </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AC</m:t>
                  </m:r>
                </m:sub>
              </m:sSub>
            </m:num>
            <m:den>
              <m:sSub>
                <m:sSubPr>
                  <m:ctrlPr>
                    <w:rPr>
                      <w:rFonts w:ascii="Cambria Math" w:hAnsi="Cambria Math" w:cstheme="majorBidi"/>
                    </w:rPr>
                  </m:ctrlPr>
                </m:sSubPr>
                <m:e>
                  <m:r>
                    <m:rPr>
                      <m:sty m:val="p"/>
                    </m:rPr>
                    <w:rPr>
                      <w:rFonts w:ascii="Cambria Math" w:hAnsi="Cambria Math" w:cstheme="majorBidi"/>
                    </w:rPr>
                    <m:t>PER</m:t>
                  </m:r>
                </m:e>
                <m:sub>
                  <m:r>
                    <m:rPr>
                      <m:sty m:val="p"/>
                    </m:rPr>
                    <w:rPr>
                      <w:rFonts w:ascii="Cambria Math" w:hAnsi="Cambria Math" w:cstheme="majorBidi"/>
                    </w:rPr>
                    <m:t>WLTC</m:t>
                  </m:r>
                </m:sub>
              </m:sSub>
            </m:den>
          </m:f>
        </m:oMath>
      </m:oMathPara>
    </w:p>
    <w:p w:rsidR="00E24DB7" w:rsidRPr="002C5876" w:rsidRDefault="00E24DB7" w:rsidP="00E24DB7">
      <w:pPr>
        <w:pStyle w:val="SingleTxtG"/>
        <w:ind w:left="2268"/>
        <w:rPr>
          <w:szCs w:val="24"/>
        </w:rPr>
      </w:pPr>
      <w:r w:rsidRPr="002C5876">
        <w:rPr>
          <w:szCs w:val="24"/>
        </w:rPr>
        <w:t>où :</w:t>
      </w:r>
    </w:p>
    <w:p w:rsidR="00E24DB7" w:rsidRPr="002C5876" w:rsidRDefault="00E24DB7" w:rsidP="00E24DB7">
      <w:pPr>
        <w:pStyle w:val="SingleTxtG"/>
        <w:ind w:left="3402" w:hanging="1134"/>
        <w:rPr>
          <w:szCs w:val="24"/>
        </w:rPr>
      </w:pPr>
      <w:r w:rsidRPr="002C5876">
        <w:rPr>
          <w:szCs w:val="24"/>
        </w:rPr>
        <w:t>EC</w:t>
      </w:r>
      <w:r w:rsidRPr="002C5876">
        <w:rPr>
          <w:szCs w:val="24"/>
          <w:vertAlign w:val="subscript"/>
        </w:rPr>
        <w:t>WLTC</w:t>
      </w:r>
      <w:r w:rsidRPr="002C5876">
        <w:rPr>
          <w:szCs w:val="24"/>
        </w:rPr>
        <w:tab/>
        <w:t xml:space="preserve">est la consommation d’énergie électrique du cycle d’essai WLTP applicable, </w:t>
      </w:r>
      <w:r w:rsidRPr="002C5876">
        <w:rPr>
          <w:color w:val="000000"/>
          <w:szCs w:val="24"/>
        </w:rPr>
        <w:t xml:space="preserve">basée sur l’énergie électrique rechargée depuis le secteur et sur l’autonomie du véhicule en mode électrique pur pour le cycle d’essai </w:t>
      </w:r>
      <w:r w:rsidRPr="002C5876">
        <w:rPr>
          <w:szCs w:val="24"/>
        </w:rPr>
        <w:t>visé, en Wh/km ;</w:t>
      </w:r>
    </w:p>
    <w:p w:rsidR="00E24DB7" w:rsidRPr="002C5876" w:rsidRDefault="00E24DB7" w:rsidP="00E24DB7">
      <w:pPr>
        <w:pStyle w:val="SingleTxtG"/>
        <w:ind w:left="3402" w:hanging="1134"/>
        <w:rPr>
          <w:szCs w:val="24"/>
        </w:rPr>
      </w:pPr>
      <w:r w:rsidRPr="002C5876">
        <w:rPr>
          <w:szCs w:val="24"/>
        </w:rPr>
        <w:t>E</w:t>
      </w:r>
      <w:r w:rsidRPr="002C5876">
        <w:rPr>
          <w:szCs w:val="24"/>
          <w:vertAlign w:val="subscript"/>
        </w:rPr>
        <w:t>AC</w:t>
      </w:r>
      <w:r w:rsidRPr="002C5876">
        <w:rPr>
          <w:szCs w:val="24"/>
        </w:rPr>
        <w:tab/>
        <w:t xml:space="preserve">est </w:t>
      </w:r>
      <w:r w:rsidRPr="002C5876">
        <w:rPr>
          <w:color w:val="000000"/>
          <w:szCs w:val="24"/>
        </w:rPr>
        <w:t xml:space="preserve">l’énergie électrique rechargée depuis le secteur, conformément au </w:t>
      </w:r>
      <w:r w:rsidRPr="002C5876">
        <w:rPr>
          <w:szCs w:val="24"/>
        </w:rPr>
        <w:t>paragraphe 3.4.4.3 de la présente annexe, en Wh ;</w:t>
      </w:r>
    </w:p>
    <w:p w:rsidR="00E24DB7" w:rsidRPr="002C5876" w:rsidRDefault="00E24DB7" w:rsidP="00E24DB7">
      <w:pPr>
        <w:pStyle w:val="SingleTxtG"/>
        <w:ind w:left="3402" w:hanging="1134"/>
        <w:rPr>
          <w:szCs w:val="24"/>
        </w:rPr>
      </w:pPr>
      <w:r w:rsidRPr="002C5876">
        <w:rPr>
          <w:szCs w:val="24"/>
        </w:rPr>
        <w:t>PER</w:t>
      </w:r>
      <w:r w:rsidRPr="002C5876">
        <w:rPr>
          <w:szCs w:val="24"/>
          <w:vertAlign w:val="subscript"/>
        </w:rPr>
        <w:t>WLTC</w:t>
      </w:r>
      <w:r w:rsidRPr="002C5876">
        <w:rPr>
          <w:szCs w:val="24"/>
        </w:rPr>
        <w:tab/>
        <w:t xml:space="preserve">est </w:t>
      </w:r>
      <w:r w:rsidRPr="002C5876">
        <w:rPr>
          <w:color w:val="000000"/>
          <w:szCs w:val="24"/>
        </w:rPr>
        <w:t xml:space="preserve">l’autonomie du véhicule en mode électrique pur pour le cycle d’essai WLTP </w:t>
      </w:r>
      <w:r w:rsidRPr="002C5876">
        <w:rPr>
          <w:szCs w:val="24"/>
        </w:rPr>
        <w:t>applicable, telle que calculée conformément au paragraphe 4.4.2.1.1 ou 4.4.2.2.1 de la présente annexe, selon la procédure d’essai suivie, en km.</w:t>
      </w:r>
    </w:p>
    <w:p w:rsidR="00E24DB7" w:rsidRPr="002C5876" w:rsidRDefault="00E24DB7" w:rsidP="00E24DB7">
      <w:pPr>
        <w:pStyle w:val="SingleTxtG"/>
        <w:ind w:left="2268" w:hanging="1134"/>
        <w:jc w:val="left"/>
        <w:rPr>
          <w:szCs w:val="24"/>
        </w:rPr>
      </w:pPr>
      <w:r w:rsidRPr="002C5876">
        <w:rPr>
          <w:szCs w:val="24"/>
        </w:rPr>
        <w:t>4.3.4.3</w:t>
      </w:r>
      <w:r w:rsidRPr="002C5876">
        <w:rPr>
          <w:szCs w:val="24"/>
        </w:rPr>
        <w:tab/>
        <w:t>Détermination de la consommation d’énergie électrique du cycle d’essai WLTP urbain applicable</w:t>
      </w:r>
    </w:p>
    <w:p w:rsidR="00E24DB7" w:rsidRPr="002C5876" w:rsidRDefault="00E24DB7" w:rsidP="00E24DB7">
      <w:pPr>
        <w:pStyle w:val="SingleTxtG"/>
        <w:ind w:left="2268"/>
      </w:pPr>
      <w:r w:rsidRPr="002C5876">
        <w:t>La consommation d’énergie électrique du cycle d’essai WLTP urbain applicable, basée sur l’énergie électrique rechargée depuis le secteur et sur l’autonomie du véhicule en mode électrique pur pour le cycle d’essai visé, doit être calculée au moyen de l’équation suivante :</w:t>
      </w:r>
    </w:p>
    <w:p w:rsidR="00E24DB7" w:rsidRPr="002C5876" w:rsidRDefault="00731CA6" w:rsidP="00E24DB7">
      <w:pPr>
        <w:pStyle w:val="SingleTxtG"/>
        <w:ind w:left="2268"/>
        <w:jc w:val="center"/>
      </w:pPr>
      <m:oMathPara>
        <m:oMath>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city</m:t>
              </m:r>
            </m:sub>
          </m:sSub>
          <m:r>
            <m:rPr>
              <m:nor/>
            </m:rPr>
            <w:rPr>
              <w:rFonts w:asciiTheme="majorBidi" w:hAnsiTheme="majorBidi" w:cstheme="majorBidi"/>
            </w:rPr>
            <m:t> = </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AC</m:t>
                  </m:r>
                </m:sub>
              </m:sSub>
            </m:num>
            <m:den>
              <m:sSub>
                <m:sSubPr>
                  <m:ctrlPr>
                    <w:rPr>
                      <w:rFonts w:ascii="Cambria Math" w:hAnsi="Cambria Math" w:cstheme="majorBidi"/>
                    </w:rPr>
                  </m:ctrlPr>
                </m:sSubPr>
                <m:e>
                  <m:r>
                    <m:rPr>
                      <m:sty m:val="p"/>
                    </m:rPr>
                    <w:rPr>
                      <w:rFonts w:ascii="Cambria Math" w:hAnsi="Cambria Math" w:cstheme="majorBidi"/>
                    </w:rPr>
                    <m:t>PER</m:t>
                  </m:r>
                </m:e>
                <m:sub>
                  <m:r>
                    <m:rPr>
                      <m:sty m:val="p"/>
                    </m:rPr>
                    <w:rPr>
                      <w:rFonts w:ascii="Cambria Math" w:hAnsi="Cambria Math" w:cstheme="majorBidi"/>
                    </w:rPr>
                    <m:t>city</m:t>
                  </m:r>
                </m:sub>
              </m:sSub>
            </m:den>
          </m:f>
          <m:r>
            <w:rPr>
              <w:rFonts w:ascii="Cambria Math" w:hAnsi="Cambria Math" w:cstheme="majorBidi"/>
            </w:rPr>
            <m:t xml:space="preserve"> </m:t>
          </m:r>
        </m:oMath>
      </m:oMathPara>
    </w:p>
    <w:p w:rsidR="00E24DB7" w:rsidRPr="002C5876" w:rsidRDefault="00E24DB7" w:rsidP="00E24DB7">
      <w:pPr>
        <w:pStyle w:val="SingleTxtG"/>
        <w:ind w:left="3402" w:hanging="1134"/>
        <w:jc w:val="left"/>
        <w:rPr>
          <w:szCs w:val="24"/>
        </w:rPr>
      </w:pPr>
      <w:r w:rsidRPr="002C5876">
        <w:rPr>
          <w:szCs w:val="24"/>
        </w:rPr>
        <w:t>où :</w:t>
      </w:r>
    </w:p>
    <w:p w:rsidR="00E24DB7" w:rsidRPr="002C5876" w:rsidRDefault="00E24DB7" w:rsidP="00E24DB7">
      <w:pPr>
        <w:pStyle w:val="SingleTxtG"/>
        <w:ind w:left="3402" w:hanging="1134"/>
        <w:rPr>
          <w:szCs w:val="24"/>
        </w:rPr>
      </w:pPr>
      <w:r w:rsidRPr="002C5876">
        <w:rPr>
          <w:szCs w:val="24"/>
        </w:rPr>
        <w:t>EC</w:t>
      </w:r>
      <w:r w:rsidRPr="002C5876">
        <w:rPr>
          <w:szCs w:val="24"/>
          <w:vertAlign w:val="subscript"/>
        </w:rPr>
        <w:t>city</w:t>
      </w:r>
      <w:r w:rsidRPr="002C5876">
        <w:rPr>
          <w:szCs w:val="24"/>
        </w:rPr>
        <w:tab/>
        <w:t xml:space="preserve">est la consommation d’énergie électrique du cycle d’essai WLTP urbain applicable, </w:t>
      </w:r>
      <w:r w:rsidRPr="002C5876">
        <w:rPr>
          <w:color w:val="000000"/>
          <w:szCs w:val="24"/>
        </w:rPr>
        <w:t>basée sur l’énergie électrique rechargée depuis le secteur et sur l’autonomie du véhicule en mode électrique pur pour le cycle d’essai visé</w:t>
      </w:r>
      <w:r w:rsidRPr="002C5876">
        <w:rPr>
          <w:szCs w:val="24"/>
        </w:rPr>
        <w:t>, en Wh/km ;</w:t>
      </w:r>
    </w:p>
    <w:p w:rsidR="00E24DB7" w:rsidRPr="002C5876" w:rsidRDefault="00E24DB7" w:rsidP="00E24DB7">
      <w:pPr>
        <w:pStyle w:val="SingleTxtG"/>
        <w:ind w:left="3402" w:hanging="1134"/>
        <w:rPr>
          <w:szCs w:val="24"/>
        </w:rPr>
      </w:pPr>
      <w:r w:rsidRPr="002C5876">
        <w:rPr>
          <w:szCs w:val="24"/>
        </w:rPr>
        <w:t>E</w:t>
      </w:r>
      <w:r w:rsidRPr="002C5876">
        <w:rPr>
          <w:szCs w:val="24"/>
          <w:vertAlign w:val="subscript"/>
        </w:rPr>
        <w:t>AC</w:t>
      </w:r>
      <w:r w:rsidRPr="002C5876">
        <w:rPr>
          <w:szCs w:val="24"/>
        </w:rPr>
        <w:tab/>
        <w:t xml:space="preserve">est </w:t>
      </w:r>
      <w:r w:rsidRPr="002C5876">
        <w:rPr>
          <w:color w:val="000000"/>
          <w:szCs w:val="24"/>
        </w:rPr>
        <w:t xml:space="preserve">l’énergie électrique rechargée depuis le secteur, conformément au </w:t>
      </w:r>
      <w:r w:rsidRPr="002C5876">
        <w:rPr>
          <w:szCs w:val="24"/>
        </w:rPr>
        <w:t>paragraphe 3.4.4.3 de la présente annexe, en Wh ;</w:t>
      </w:r>
    </w:p>
    <w:p w:rsidR="00E24DB7" w:rsidRPr="002C5876" w:rsidRDefault="00E24DB7" w:rsidP="00E24DB7">
      <w:pPr>
        <w:pStyle w:val="SingleTxtG"/>
        <w:ind w:left="3402" w:hanging="1134"/>
        <w:rPr>
          <w:szCs w:val="24"/>
        </w:rPr>
      </w:pPr>
      <w:r w:rsidRPr="002C5876">
        <w:rPr>
          <w:szCs w:val="24"/>
        </w:rPr>
        <w:t>PER</w:t>
      </w:r>
      <w:r w:rsidRPr="002C5876">
        <w:rPr>
          <w:szCs w:val="24"/>
          <w:vertAlign w:val="subscript"/>
        </w:rPr>
        <w:t>city</w:t>
      </w:r>
      <w:r w:rsidRPr="002C5876">
        <w:rPr>
          <w:szCs w:val="24"/>
        </w:rPr>
        <w:tab/>
        <w:t xml:space="preserve">est </w:t>
      </w:r>
      <w:r w:rsidRPr="002C5876">
        <w:rPr>
          <w:color w:val="000000"/>
          <w:szCs w:val="24"/>
        </w:rPr>
        <w:t xml:space="preserve">l’autonomie du véhicule en mode électrique pur pour le cycle d’essai WLTP urbain </w:t>
      </w:r>
      <w:r w:rsidRPr="002C5876">
        <w:rPr>
          <w:szCs w:val="24"/>
        </w:rPr>
        <w:t>applicable, telle que calculée conformément au paragraphe 4.4.2.1.2 ou 4.4.2.2.2 de la présente annexe, selon la procédure d’essai suivie, en km.</w:t>
      </w:r>
    </w:p>
    <w:p w:rsidR="00E24DB7" w:rsidRPr="002C5876" w:rsidRDefault="00E24DB7" w:rsidP="002C5876">
      <w:pPr>
        <w:pStyle w:val="SingleTxtG"/>
        <w:keepNext/>
        <w:keepLines/>
        <w:ind w:left="2268" w:hanging="1134"/>
        <w:jc w:val="left"/>
      </w:pPr>
      <w:r w:rsidRPr="002C5876">
        <w:t>4.3.4.4</w:t>
      </w:r>
      <w:r w:rsidRPr="002C5876">
        <w:tab/>
        <w:t>Détermination de la consommation d’énergie électrique pour chaque phase</w:t>
      </w:r>
    </w:p>
    <w:p w:rsidR="00E24DB7" w:rsidRPr="002C5876" w:rsidRDefault="00E24DB7" w:rsidP="00E24DB7">
      <w:pPr>
        <w:pStyle w:val="SingleTxtG"/>
        <w:ind w:left="2268"/>
      </w:pPr>
      <w:r w:rsidRPr="002C5876">
        <w:t>La consommation d’énergie électrique pour chaque phase, basée sur l’énergie électrique rechargée depuis le secteur et sur l’autonomie du véhicule en mode électrique pur pour la phase visée, doit être calculée au moyen de l’équation suivante :</w:t>
      </w:r>
    </w:p>
    <w:p w:rsidR="00E24DB7" w:rsidRPr="002C5876" w:rsidRDefault="00731CA6" w:rsidP="00E24DB7">
      <w:pPr>
        <w:pStyle w:val="SingleTxtG"/>
        <w:ind w:left="2268"/>
        <w:jc w:val="center"/>
      </w:pPr>
      <m:oMathPara>
        <m:oMath>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p</m:t>
              </m:r>
            </m:sub>
          </m:sSub>
          <m:r>
            <m:rPr>
              <m:nor/>
            </m:rPr>
            <w:rPr>
              <w:rFonts w:asciiTheme="majorBidi" w:hAnsiTheme="majorBidi" w:cstheme="majorBidi"/>
            </w:rPr>
            <m:t> = </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AC</m:t>
                  </m:r>
                </m:sub>
              </m:sSub>
            </m:num>
            <m:den>
              <m:sSub>
                <m:sSubPr>
                  <m:ctrlPr>
                    <w:rPr>
                      <w:rFonts w:ascii="Cambria Math" w:hAnsi="Cambria Math" w:cstheme="majorBidi"/>
                    </w:rPr>
                  </m:ctrlPr>
                </m:sSubPr>
                <m:e>
                  <m:r>
                    <m:rPr>
                      <m:sty m:val="p"/>
                    </m:rPr>
                    <w:rPr>
                      <w:rFonts w:ascii="Cambria Math" w:hAnsi="Cambria Math" w:cstheme="majorBidi"/>
                    </w:rPr>
                    <m:t>PER</m:t>
                  </m:r>
                </m:e>
                <m:sub>
                  <m:r>
                    <m:rPr>
                      <m:sty m:val="p"/>
                    </m:rPr>
                    <w:rPr>
                      <w:rFonts w:ascii="Cambria Math" w:hAnsi="Cambria Math" w:cstheme="majorBidi"/>
                    </w:rPr>
                    <m:t>p</m:t>
                  </m:r>
                </m:sub>
              </m:sSub>
            </m:den>
          </m:f>
          <m:r>
            <w:rPr>
              <w:rFonts w:ascii="Cambria Math" w:hAnsi="Cambria Math"/>
            </w:rPr>
            <m:t xml:space="preserve"> </m:t>
          </m:r>
        </m:oMath>
      </m:oMathPara>
    </w:p>
    <w:p w:rsidR="00E24DB7" w:rsidRPr="002C5876" w:rsidRDefault="00E24DB7" w:rsidP="00E24DB7">
      <w:pPr>
        <w:pStyle w:val="SingleTxtG"/>
        <w:ind w:left="2268"/>
        <w:rPr>
          <w:szCs w:val="24"/>
        </w:rPr>
      </w:pPr>
      <w:r w:rsidRPr="002C5876">
        <w:rPr>
          <w:szCs w:val="24"/>
        </w:rPr>
        <w:t>où :</w:t>
      </w:r>
    </w:p>
    <w:p w:rsidR="00E24DB7" w:rsidRPr="002C5876" w:rsidRDefault="00731CA6" w:rsidP="00E24DB7">
      <w:pPr>
        <w:pStyle w:val="SingleTxtG"/>
        <w:ind w:left="3402" w:hanging="1134"/>
        <w:rPr>
          <w:szCs w:val="24"/>
        </w:rPr>
      </w:pPr>
      <m:oMath>
        <m:sSub>
          <m:sSubPr>
            <m:ctrlPr>
              <w:rPr>
                <w:rFonts w:ascii="Cambria Math" w:hAnsi="Cambria Math"/>
                <w:szCs w:val="24"/>
              </w:rPr>
            </m:ctrlPr>
          </m:sSubPr>
          <m:e>
            <m:r>
              <m:rPr>
                <m:sty m:val="p"/>
              </m:rPr>
              <w:rPr>
                <w:rFonts w:ascii="Cambria Math"/>
                <w:szCs w:val="24"/>
              </w:rPr>
              <m:t>EC</m:t>
            </m:r>
          </m:e>
          <m:sub>
            <m:r>
              <m:rPr>
                <m:sty m:val="p"/>
              </m:rPr>
              <w:rPr>
                <w:rFonts w:ascii="Cambria Math"/>
                <w:szCs w:val="24"/>
              </w:rPr>
              <m:t>p</m:t>
            </m:r>
          </m:sub>
        </m:sSub>
      </m:oMath>
      <w:r w:rsidR="00E24DB7" w:rsidRPr="002C5876">
        <w:rPr>
          <w:szCs w:val="24"/>
        </w:rPr>
        <w:tab/>
        <w:t xml:space="preserve">est la consommation d’énergie électrique de chaque phase p, basée sur </w:t>
      </w:r>
      <w:r w:rsidR="00E24DB7" w:rsidRPr="002C5876">
        <w:rPr>
          <w:color w:val="000000"/>
          <w:szCs w:val="24"/>
        </w:rPr>
        <w:t>l’énergie électrique rechargée depuis le secteur et sur l’autonomie du véhicule en mode électrique pur pour la phase visée</w:t>
      </w:r>
      <w:r w:rsidR="00E24DB7" w:rsidRPr="002C5876">
        <w:rPr>
          <w:szCs w:val="24"/>
        </w:rPr>
        <w:t>, en Wh/km ;</w:t>
      </w:r>
    </w:p>
    <w:p w:rsidR="00E24DB7" w:rsidRPr="002C5876" w:rsidRDefault="00E24DB7" w:rsidP="00E24DB7">
      <w:pPr>
        <w:pStyle w:val="SingleTxtG"/>
        <w:ind w:left="3402" w:hanging="1134"/>
        <w:rPr>
          <w:szCs w:val="24"/>
        </w:rPr>
      </w:pPr>
      <m:oMath>
        <m:r>
          <m:rPr>
            <m:nor/>
          </m:rPr>
          <w:rPr>
            <w:szCs w:val="24"/>
          </w:rPr>
          <m:t>E</m:t>
        </m:r>
        <m:r>
          <m:rPr>
            <m:nor/>
          </m:rPr>
          <w:rPr>
            <w:iCs/>
            <w:szCs w:val="24"/>
            <w:vertAlign w:val="subscript"/>
          </w:rPr>
          <m:t>AC</m:t>
        </m:r>
      </m:oMath>
      <w:r w:rsidRPr="002C5876">
        <w:rPr>
          <w:szCs w:val="24"/>
        </w:rPr>
        <w:tab/>
        <w:t xml:space="preserve">est </w:t>
      </w:r>
      <w:r w:rsidRPr="002C5876">
        <w:rPr>
          <w:color w:val="000000"/>
          <w:szCs w:val="24"/>
        </w:rPr>
        <w:t xml:space="preserve">l’énergie électrique rechargée depuis le secteur, conformément au </w:t>
      </w:r>
      <w:r w:rsidRPr="002C5876">
        <w:rPr>
          <w:szCs w:val="24"/>
        </w:rPr>
        <w:t>paragraphe 3.4.4.3 de la présente annexe, en Wh ;</w:t>
      </w:r>
    </w:p>
    <w:p w:rsidR="00E24DB7" w:rsidRPr="002C5876" w:rsidRDefault="00731CA6" w:rsidP="00E24DB7">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PER</m:t>
            </m:r>
          </m:e>
          <m:sub>
            <m:r>
              <m:rPr>
                <m:sty m:val="p"/>
              </m:rPr>
              <w:rPr>
                <w:rFonts w:ascii="Cambria Math" w:hAnsi="Cambria Math"/>
                <w:szCs w:val="24"/>
              </w:rPr>
              <m:t>p</m:t>
            </m:r>
          </m:sub>
        </m:sSub>
      </m:oMath>
      <w:r w:rsidR="00E24DB7" w:rsidRPr="002C5876">
        <w:rPr>
          <w:szCs w:val="24"/>
        </w:rPr>
        <w:tab/>
        <w:t xml:space="preserve">est </w:t>
      </w:r>
      <w:r w:rsidR="00E24DB7" w:rsidRPr="002C5876">
        <w:rPr>
          <w:color w:val="000000"/>
          <w:szCs w:val="24"/>
        </w:rPr>
        <w:t xml:space="preserve">l’autonomie du véhicule en mode électrique pur pour la phase visée, </w:t>
      </w:r>
      <w:r w:rsidR="00E24DB7" w:rsidRPr="002C5876">
        <w:rPr>
          <w:szCs w:val="24"/>
        </w:rPr>
        <w:t>telle que calculée conformément au paragraphe 4.4.2.1.3 ou 4.4.2.2.3 de la présente annexe, selon la procédure d’essai à suivre, en km.</w:t>
      </w:r>
    </w:p>
    <w:p w:rsidR="00E24DB7" w:rsidRPr="002C5876" w:rsidRDefault="00E24DB7" w:rsidP="002C5876">
      <w:pPr>
        <w:pStyle w:val="SingleTxtG"/>
        <w:keepNext/>
        <w:keepLines/>
        <w:ind w:left="2268" w:hanging="1134"/>
        <w:jc w:val="left"/>
        <w:rPr>
          <w:color w:val="000000"/>
          <w:szCs w:val="24"/>
        </w:rPr>
      </w:pPr>
      <w:r w:rsidRPr="002C5876">
        <w:rPr>
          <w:color w:val="000000"/>
          <w:szCs w:val="24"/>
        </w:rPr>
        <w:t>4.4</w:t>
      </w:r>
      <w:r w:rsidRPr="002C5876">
        <w:rPr>
          <w:color w:val="000000"/>
          <w:szCs w:val="24"/>
        </w:rPr>
        <w:tab/>
        <w:t>Calcul des autonomies électriques</w:t>
      </w:r>
    </w:p>
    <w:p w:rsidR="00E24DB7" w:rsidRPr="002C5876" w:rsidRDefault="00E24DB7" w:rsidP="00E24DB7">
      <w:pPr>
        <w:pStyle w:val="SingleTxtG"/>
        <w:ind w:left="2268"/>
        <w:rPr>
          <w:color w:val="000000"/>
          <w:szCs w:val="24"/>
        </w:rPr>
      </w:pPr>
      <w:r w:rsidRPr="002C5876">
        <w:rPr>
          <w:color w:val="000000"/>
          <w:szCs w:val="24"/>
        </w:rPr>
        <w:tab/>
      </w:r>
      <w:r w:rsidRPr="002C5876">
        <w:rPr>
          <w:szCs w:val="24"/>
        </w:rPr>
        <w:t xml:space="preserve">Les Parties contractantes ont le choix d’ignorer la </w:t>
      </w:r>
      <w:r w:rsidRPr="002C5876">
        <w:rPr>
          <w:color w:val="000000"/>
          <w:szCs w:val="24"/>
        </w:rPr>
        <w:t>détermination d’AER</w:t>
      </w:r>
      <w:r w:rsidRPr="002C5876">
        <w:rPr>
          <w:color w:val="000000"/>
          <w:szCs w:val="24"/>
          <w:vertAlign w:val="subscript"/>
        </w:rPr>
        <w:t>city</w:t>
      </w:r>
      <w:r w:rsidRPr="002C5876">
        <w:rPr>
          <w:color w:val="000000"/>
          <w:szCs w:val="24"/>
        </w:rPr>
        <w:t xml:space="preserve"> et de PER</w:t>
      </w:r>
      <w:r w:rsidRPr="002C5876">
        <w:rPr>
          <w:color w:val="000000"/>
          <w:szCs w:val="24"/>
          <w:vertAlign w:val="subscript"/>
        </w:rPr>
        <w:t>city</w:t>
      </w:r>
      <w:r w:rsidRPr="002C5876">
        <w:rPr>
          <w:color w:val="000000"/>
          <w:szCs w:val="24"/>
        </w:rPr>
        <w:t>, et le calcul d’EAER</w:t>
      </w:r>
      <w:r w:rsidRPr="002C5876">
        <w:rPr>
          <w:color w:val="000000"/>
          <w:szCs w:val="24"/>
          <w:vertAlign w:val="subscript"/>
        </w:rPr>
        <w:t>city</w:t>
      </w:r>
      <w:r w:rsidRPr="002C5876">
        <w:rPr>
          <w:color w:val="000000"/>
          <w:szCs w:val="24"/>
        </w:rPr>
        <w:t xml:space="preserve">. </w:t>
      </w:r>
    </w:p>
    <w:p w:rsidR="00E24DB7" w:rsidRPr="002C5876" w:rsidRDefault="00E24DB7" w:rsidP="002C5876">
      <w:pPr>
        <w:pStyle w:val="SingleTxtG"/>
        <w:keepNext/>
        <w:keepLines/>
        <w:ind w:left="2268" w:hanging="1134"/>
        <w:jc w:val="left"/>
        <w:rPr>
          <w:color w:val="000000"/>
          <w:szCs w:val="24"/>
        </w:rPr>
      </w:pPr>
      <w:r w:rsidRPr="002C5876">
        <w:rPr>
          <w:color w:val="000000"/>
          <w:szCs w:val="24"/>
        </w:rPr>
        <w:t>4.4.1</w:t>
      </w:r>
      <w:r w:rsidRPr="002C5876">
        <w:rPr>
          <w:color w:val="000000"/>
          <w:szCs w:val="24"/>
        </w:rPr>
        <w:tab/>
        <w:t xml:space="preserve">Autonomies en mode électrique AER et </w:t>
      </w:r>
      <m:oMath>
        <m:sSub>
          <m:sSubPr>
            <m:ctrlPr>
              <w:rPr>
                <w:rFonts w:ascii="Cambria Math" w:hAnsi="Cambria Math"/>
                <w:color w:val="000000"/>
                <w:szCs w:val="24"/>
              </w:rPr>
            </m:ctrlPr>
          </m:sSubPr>
          <m:e>
            <m:r>
              <m:rPr>
                <m:sty m:val="p"/>
              </m:rPr>
              <w:rPr>
                <w:rFonts w:ascii="Cambria Math" w:hAnsi="Cambria Math"/>
                <w:color w:val="000000"/>
                <w:szCs w:val="24"/>
              </w:rPr>
              <m:t>AER</m:t>
            </m:r>
          </m:e>
          <m:sub>
            <m:r>
              <m:rPr>
                <m:sty m:val="p"/>
              </m:rPr>
              <w:rPr>
                <w:rFonts w:ascii="Cambria Math" w:hAnsi="Cambria Math"/>
                <w:color w:val="000000"/>
                <w:szCs w:val="24"/>
              </w:rPr>
              <m:t>city</m:t>
            </m:r>
          </m:sub>
        </m:sSub>
      </m:oMath>
      <w:r w:rsidRPr="002C5876">
        <w:rPr>
          <w:color w:val="000000"/>
          <w:szCs w:val="24"/>
        </w:rPr>
        <w:t xml:space="preserve"> pour les VHE-RE</w:t>
      </w:r>
      <w:r w:rsidRPr="002C5876" w:rsidDel="00234A8E">
        <w:rPr>
          <w:color w:val="000000"/>
          <w:szCs w:val="24"/>
        </w:rPr>
        <w:t xml:space="preserve"> </w:t>
      </w:r>
    </w:p>
    <w:p w:rsidR="00E24DB7" w:rsidRPr="002C5876" w:rsidRDefault="00E24DB7" w:rsidP="002C5876">
      <w:pPr>
        <w:pStyle w:val="SingleTxtG"/>
        <w:keepNext/>
        <w:keepLines/>
        <w:ind w:left="2268" w:hanging="1134"/>
        <w:jc w:val="left"/>
        <w:rPr>
          <w:color w:val="000000"/>
          <w:szCs w:val="24"/>
        </w:rPr>
      </w:pPr>
      <w:r w:rsidRPr="002C5876">
        <w:rPr>
          <w:color w:val="000000"/>
          <w:szCs w:val="24"/>
        </w:rPr>
        <w:t>4.4.1.1</w:t>
      </w:r>
      <w:r w:rsidRPr="002C5876">
        <w:rPr>
          <w:color w:val="000000"/>
          <w:szCs w:val="24"/>
        </w:rPr>
        <w:tab/>
        <w:t>Autonomie en mode électrique AER</w:t>
      </w:r>
    </w:p>
    <w:p w:rsidR="00E24DB7" w:rsidRPr="002C5876" w:rsidRDefault="00E24DB7" w:rsidP="00E24DB7">
      <w:pPr>
        <w:pStyle w:val="SingleTxtG"/>
        <w:ind w:left="2268"/>
        <w:rPr>
          <w:color w:val="000000"/>
          <w:szCs w:val="24"/>
        </w:rPr>
      </w:pPr>
      <w:r w:rsidRPr="002C5876">
        <w:rPr>
          <w:color w:val="000000"/>
          <w:szCs w:val="24"/>
        </w:rPr>
        <w:t>L’autonomie en mode électrique AER</w:t>
      </w:r>
      <w:r w:rsidRPr="002C5876">
        <w:rPr>
          <w:szCs w:val="24"/>
        </w:rPr>
        <w:t xml:space="preserve"> pour </w:t>
      </w:r>
      <w:r w:rsidRPr="002C5876">
        <w:rPr>
          <w:color w:val="000000"/>
          <w:szCs w:val="24"/>
        </w:rPr>
        <w:t xml:space="preserve">les VHE-RE est déterminée à partir de </w:t>
      </w:r>
      <w:r w:rsidRPr="002C5876">
        <w:rPr>
          <w:szCs w:val="24"/>
        </w:rPr>
        <w:t>l’essai d’épuisement de la charge du type 1</w:t>
      </w:r>
      <w:r w:rsidRPr="002C5876">
        <w:rPr>
          <w:color w:val="000000"/>
          <w:szCs w:val="24"/>
        </w:rPr>
        <w:t>, décrit au paragraphe 3.2.4.3 de la présente annexe en tant qu’essai faisant partie de la séquence d’essais de l’option 1, et mentionné au paragraphe 3.2.6.1 de la même annexe</w:t>
      </w:r>
      <w:r w:rsidRPr="002C5876" w:rsidDel="00A5601C">
        <w:rPr>
          <w:color w:val="000000"/>
          <w:szCs w:val="24"/>
        </w:rPr>
        <w:t xml:space="preserve"> </w:t>
      </w:r>
      <w:r w:rsidRPr="002C5876">
        <w:rPr>
          <w:color w:val="000000"/>
          <w:szCs w:val="24"/>
        </w:rPr>
        <w:t xml:space="preserve">en tant qu’essai faisant partie de la séquence d’essais de l’option 3, en exécutant le cycle d’essai WLTP applicable conformément au paragraphe 1.4.2.1 de la présente annexe. L’autonomie AER correspond à la distance parcourue depuis le début de </w:t>
      </w:r>
      <w:r w:rsidRPr="002C5876">
        <w:rPr>
          <w:szCs w:val="24"/>
        </w:rPr>
        <w:t>l’essai d’épuisement de la charge du type 1</w:t>
      </w:r>
      <w:r w:rsidRPr="002C5876">
        <w:rPr>
          <w:color w:val="000000"/>
          <w:szCs w:val="24"/>
        </w:rPr>
        <w:t xml:space="preserve"> jusqu’au moment où le moteur thermique commence à consommer du carburant.</w:t>
      </w:r>
    </w:p>
    <w:p w:rsidR="00E24DB7" w:rsidRPr="002C5876" w:rsidRDefault="00E24DB7" w:rsidP="002C5876">
      <w:pPr>
        <w:pStyle w:val="SingleTxtG"/>
        <w:keepNext/>
        <w:keepLines/>
        <w:ind w:left="2268" w:hanging="1134"/>
        <w:jc w:val="left"/>
        <w:rPr>
          <w:color w:val="000000"/>
          <w:szCs w:val="24"/>
        </w:rPr>
      </w:pPr>
      <w:r w:rsidRPr="002C5876">
        <w:rPr>
          <w:szCs w:val="24"/>
        </w:rPr>
        <w:t>4.4.1.2</w:t>
      </w:r>
      <w:r w:rsidRPr="002C5876">
        <w:rPr>
          <w:szCs w:val="24"/>
        </w:rPr>
        <w:tab/>
      </w:r>
      <w:r w:rsidRPr="002C5876">
        <w:rPr>
          <w:color w:val="000000"/>
          <w:szCs w:val="24"/>
        </w:rPr>
        <w:t>Autonomie en mode électrique urbain AER</w:t>
      </w:r>
      <w:r w:rsidRPr="002C5876">
        <w:rPr>
          <w:color w:val="000000"/>
          <w:szCs w:val="24"/>
          <w:vertAlign w:val="subscript"/>
        </w:rPr>
        <w:t>city</w:t>
      </w:r>
    </w:p>
    <w:p w:rsidR="00E24DB7" w:rsidRPr="002C5876" w:rsidRDefault="00E24DB7" w:rsidP="00E24DB7">
      <w:pPr>
        <w:pStyle w:val="SingleTxtG"/>
        <w:ind w:left="2268" w:hanging="1134"/>
        <w:rPr>
          <w:color w:val="000000"/>
          <w:szCs w:val="24"/>
        </w:rPr>
      </w:pPr>
      <w:r w:rsidRPr="002C5876">
        <w:rPr>
          <w:color w:val="000000"/>
          <w:szCs w:val="24"/>
        </w:rPr>
        <w:t>4.4.1.2.1</w:t>
      </w:r>
      <w:r w:rsidRPr="002C5876">
        <w:rPr>
          <w:color w:val="000000"/>
          <w:szCs w:val="24"/>
        </w:rPr>
        <w:tab/>
        <w:t>L’autonomie en mode électrique urbain AER</w:t>
      </w:r>
      <w:r w:rsidRPr="002C5876">
        <w:rPr>
          <w:color w:val="000000"/>
          <w:szCs w:val="24"/>
          <w:vertAlign w:val="subscript"/>
        </w:rPr>
        <w:t>city</w:t>
      </w:r>
      <w:r w:rsidRPr="002C5876">
        <w:rPr>
          <w:color w:val="000000"/>
          <w:szCs w:val="24"/>
        </w:rPr>
        <w:t xml:space="preserve"> pour les VHE-RE est déterminée à partir de </w:t>
      </w:r>
      <w:r w:rsidRPr="002C5876">
        <w:rPr>
          <w:szCs w:val="24"/>
        </w:rPr>
        <w:t>l’essai d’épuisement de la charge du type 1</w:t>
      </w:r>
      <w:r w:rsidRPr="002C5876">
        <w:rPr>
          <w:color w:val="000000"/>
          <w:szCs w:val="24"/>
        </w:rPr>
        <w:t>, décrit au paragraphe 3.2.4.3 de la présente annexe en tant qu’essai faisant partie de la séquence d’essais de l’option 1, et mentionné au paragraphe 3.2.6.1 de la même annexe</w:t>
      </w:r>
      <w:r w:rsidRPr="002C5876" w:rsidDel="00A5601C">
        <w:rPr>
          <w:color w:val="000000"/>
          <w:szCs w:val="24"/>
        </w:rPr>
        <w:t xml:space="preserve"> </w:t>
      </w:r>
      <w:r w:rsidRPr="002C5876">
        <w:rPr>
          <w:color w:val="000000"/>
          <w:szCs w:val="24"/>
        </w:rPr>
        <w:t xml:space="preserve">en tant qu’essai faisant partie de la séquence d’essais de l’option 3, en exécutant le cycle d’essai WLTP urbain applicable conformément au paragraphe 1.4.2.2 de la présente annexe. L’autonomie </w:t>
      </w:r>
      <m:oMath>
        <m:sSub>
          <m:sSubPr>
            <m:ctrlPr>
              <w:rPr>
                <w:rFonts w:ascii="Cambria Math" w:hAnsi="Cambria Math"/>
                <w:color w:val="000000"/>
                <w:szCs w:val="24"/>
              </w:rPr>
            </m:ctrlPr>
          </m:sSubPr>
          <m:e>
            <m:r>
              <m:rPr>
                <m:sty m:val="p"/>
              </m:rPr>
              <w:rPr>
                <w:rFonts w:ascii="Cambria Math" w:hAnsi="Cambria Math"/>
                <w:color w:val="000000"/>
                <w:szCs w:val="24"/>
              </w:rPr>
              <m:t>AER</m:t>
            </m:r>
          </m:e>
          <m:sub>
            <m:r>
              <m:rPr>
                <m:sty m:val="p"/>
              </m:rPr>
              <w:rPr>
                <w:rFonts w:ascii="Cambria Math" w:hAnsi="Cambria Math"/>
                <w:color w:val="000000"/>
                <w:szCs w:val="24"/>
              </w:rPr>
              <m:t>city</m:t>
            </m:r>
          </m:sub>
        </m:sSub>
      </m:oMath>
      <w:r w:rsidRPr="002C5876">
        <w:rPr>
          <w:color w:val="000000"/>
          <w:szCs w:val="24"/>
        </w:rPr>
        <w:t xml:space="preserve"> correspond à la distance parcourue depuis le début de </w:t>
      </w:r>
      <w:r w:rsidRPr="002C5876">
        <w:rPr>
          <w:szCs w:val="24"/>
        </w:rPr>
        <w:t>l’essai d’épuisement de la charge du type 1</w:t>
      </w:r>
      <w:r w:rsidRPr="002C5876">
        <w:rPr>
          <w:color w:val="000000"/>
          <w:szCs w:val="24"/>
        </w:rPr>
        <w:t xml:space="preserve"> jusqu’au moment où le moteur thermique commence à consommer du carburant.</w:t>
      </w:r>
    </w:p>
    <w:p w:rsidR="00E24DB7" w:rsidRPr="002C5876" w:rsidRDefault="00E24DB7" w:rsidP="00E24DB7">
      <w:pPr>
        <w:pStyle w:val="SingleTxtG"/>
        <w:keepNext/>
        <w:keepLines/>
        <w:ind w:left="2268" w:hanging="1134"/>
        <w:rPr>
          <w:color w:val="000000"/>
          <w:szCs w:val="24"/>
        </w:rPr>
      </w:pPr>
      <w:r w:rsidRPr="002C5876">
        <w:rPr>
          <w:color w:val="000000"/>
          <w:szCs w:val="24"/>
        </w:rPr>
        <w:t>4.4.1.2.2</w:t>
      </w:r>
      <w:r w:rsidRPr="002C5876">
        <w:rPr>
          <w:color w:val="000000"/>
          <w:szCs w:val="24"/>
        </w:rPr>
        <w:tab/>
        <w:t xml:space="preserve">L’autonomie en mode électrique urbain </w:t>
      </w:r>
      <m:oMath>
        <m:sSub>
          <m:sSubPr>
            <m:ctrlPr>
              <w:rPr>
                <w:rFonts w:ascii="Cambria Math" w:hAnsi="Cambria Math"/>
                <w:color w:val="000000"/>
                <w:szCs w:val="24"/>
              </w:rPr>
            </m:ctrlPr>
          </m:sSubPr>
          <m:e>
            <m:r>
              <m:rPr>
                <m:sty m:val="p"/>
              </m:rPr>
              <w:rPr>
                <w:rFonts w:ascii="Cambria Math" w:hAnsi="Cambria Math"/>
                <w:color w:val="000000"/>
                <w:szCs w:val="24"/>
              </w:rPr>
              <m:t>AER</m:t>
            </m:r>
          </m:e>
          <m:sub>
            <m:r>
              <m:rPr>
                <m:sty m:val="p"/>
              </m:rPr>
              <w:rPr>
                <w:rFonts w:ascii="Cambria Math" w:hAnsi="Cambria Math"/>
                <w:color w:val="000000"/>
                <w:szCs w:val="24"/>
              </w:rPr>
              <m:t>city</m:t>
            </m:r>
          </m:sub>
        </m:sSub>
      </m:oMath>
      <w:r w:rsidRPr="002C5876">
        <w:rPr>
          <w:color w:val="000000"/>
          <w:szCs w:val="24"/>
        </w:rPr>
        <w:t xml:space="preserve"> peut également être déterminée à partir de </w:t>
      </w:r>
      <w:r w:rsidRPr="002C5876">
        <w:rPr>
          <w:szCs w:val="24"/>
        </w:rPr>
        <w:t>l’essai d’épuisement de la charge du type 1</w:t>
      </w:r>
      <w:r w:rsidRPr="002C5876">
        <w:rPr>
          <w:color w:val="000000"/>
          <w:szCs w:val="24"/>
        </w:rPr>
        <w:t>, décrit au paragraphe 3.2.4.3 de la présente annexe, en exécutant les cycles d’essai WLTP applicables conformément au paragraphe 1.4.2.1 de la présente annexe. Dans ce cas, on ignore le cycle d’essai WLTP urbain applicable dans le cadre de l’essai d’épuisement de la charge du type</w:t>
      </w:r>
      <w:r w:rsidR="001967E7">
        <w:rPr>
          <w:color w:val="000000"/>
          <w:szCs w:val="24"/>
        </w:rPr>
        <w:t> </w:t>
      </w:r>
      <w:r w:rsidRPr="002C5876">
        <w:rPr>
          <w:color w:val="000000"/>
          <w:szCs w:val="24"/>
        </w:rPr>
        <w:t xml:space="preserve">1 et on calcule l’autonomie en mode électrique urbain </w:t>
      </w:r>
      <m:oMath>
        <m:sSub>
          <m:sSubPr>
            <m:ctrlPr>
              <w:rPr>
                <w:rFonts w:ascii="Cambria Math" w:hAnsi="Cambria Math"/>
                <w:color w:val="000000"/>
                <w:szCs w:val="24"/>
              </w:rPr>
            </m:ctrlPr>
          </m:sSubPr>
          <m:e>
            <m:r>
              <m:rPr>
                <m:sty m:val="p"/>
              </m:rPr>
              <w:rPr>
                <w:rFonts w:ascii="Cambria Math" w:hAnsi="Cambria Math"/>
                <w:color w:val="000000"/>
                <w:szCs w:val="24"/>
              </w:rPr>
              <m:t>AER</m:t>
            </m:r>
          </m:e>
          <m:sub>
            <m:r>
              <m:rPr>
                <m:sty m:val="p"/>
              </m:rPr>
              <w:rPr>
                <w:rFonts w:ascii="Cambria Math" w:hAnsi="Cambria Math"/>
                <w:color w:val="000000"/>
                <w:szCs w:val="24"/>
              </w:rPr>
              <m:t>city</m:t>
            </m:r>
          </m:sub>
        </m:sSub>
      </m:oMath>
      <w:r w:rsidRPr="002C5876">
        <w:rPr>
          <w:color w:val="000000"/>
          <w:szCs w:val="24"/>
        </w:rPr>
        <w:t xml:space="preserve"> au moyen de l’équation suivante :</w:t>
      </w:r>
    </w:p>
    <w:p w:rsidR="00E24DB7" w:rsidRPr="002C5876" w:rsidRDefault="00731CA6" w:rsidP="00E24DB7">
      <w:pPr>
        <w:pStyle w:val="SingleTxtG"/>
        <w:keepNext/>
        <w:keepLines/>
        <w:spacing w:after="240"/>
        <w:ind w:left="2268" w:hanging="1134"/>
        <w:jc w:val="center"/>
        <w:rPr>
          <w:color w:val="000000"/>
          <w:szCs w:val="24"/>
        </w:rPr>
      </w:pPr>
      <m:oMathPara>
        <m:oMath>
          <m:sSub>
            <m:sSubPr>
              <m:ctrlPr>
                <w:rPr>
                  <w:rFonts w:ascii="Cambria Math" w:hAnsi="Cambria Math" w:cstheme="majorBidi"/>
                </w:rPr>
              </m:ctrlPr>
            </m:sSubPr>
            <m:e>
              <m:r>
                <m:rPr>
                  <m:sty m:val="p"/>
                </m:rPr>
                <w:rPr>
                  <w:rFonts w:ascii="Cambria Math" w:hAnsi="Cambria Math" w:cstheme="majorBidi"/>
                </w:rPr>
                <m:t>AER</m:t>
              </m:r>
            </m:e>
            <m:sub>
              <m:r>
                <m:rPr>
                  <m:sty m:val="p"/>
                </m:rPr>
                <w:rPr>
                  <w:rFonts w:ascii="Cambria Math" w:hAnsi="Cambria Math" w:cstheme="majorBidi"/>
                </w:rPr>
                <m:t>city</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UBE</m:t>
                  </m:r>
                </m:e>
                <m:sub>
                  <m:r>
                    <m:rPr>
                      <m:sty m:val="p"/>
                    </m:rPr>
                    <w:rPr>
                      <w:rFonts w:ascii="Cambria Math" w:hAnsi="Cambria Math" w:cstheme="majorBidi"/>
                    </w:rPr>
                    <m:t>city</m:t>
                  </m:r>
                </m:sub>
              </m:sSub>
            </m:num>
            <m:den>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DC,city</m:t>
                  </m:r>
                </m:sub>
              </m:sSub>
            </m:den>
          </m:f>
          <m:r>
            <w:rPr>
              <w:rFonts w:ascii="Cambria Math" w:hAnsi="Cambria Math"/>
            </w:rPr>
            <m:t xml:space="preserve"> </m:t>
          </m:r>
        </m:oMath>
      </m:oMathPara>
    </w:p>
    <w:p w:rsidR="00E24DB7" w:rsidRPr="002C5876" w:rsidRDefault="00E24DB7" w:rsidP="00E24DB7">
      <w:pPr>
        <w:spacing w:after="120"/>
        <w:ind w:left="2268" w:right="1134"/>
        <w:jc w:val="both"/>
      </w:pPr>
      <w:r w:rsidRPr="002C5876">
        <w:t>où :</w:t>
      </w:r>
    </w:p>
    <w:p w:rsidR="00E24DB7" w:rsidRPr="002C5876" w:rsidRDefault="00E24DB7" w:rsidP="00E24DB7">
      <w:pPr>
        <w:pStyle w:val="SingleTxtG"/>
        <w:ind w:left="3402" w:hanging="1134"/>
        <w:rPr>
          <w:color w:val="000000"/>
          <w:szCs w:val="24"/>
        </w:rPr>
      </w:pPr>
      <w:r w:rsidRPr="002C5876">
        <w:lastRenderedPageBreak/>
        <w:t>UBE</w:t>
      </w:r>
      <w:r w:rsidRPr="002C5876">
        <w:rPr>
          <w:vertAlign w:val="subscript"/>
        </w:rPr>
        <w:t>city</w:t>
      </w:r>
      <w:r w:rsidRPr="002C5876">
        <w:tab/>
        <w:t xml:space="preserve">est l’énergie utilisable du SRSEE, déterminée depuis le début de </w:t>
      </w:r>
      <w:r w:rsidRPr="002C5876">
        <w:rPr>
          <w:szCs w:val="24"/>
        </w:rPr>
        <w:t>l’essai d’épuisement de la charge du type</w:t>
      </w:r>
      <w:r w:rsidR="001967E7">
        <w:rPr>
          <w:szCs w:val="24"/>
        </w:rPr>
        <w:t> </w:t>
      </w:r>
      <w:r w:rsidRPr="002C5876">
        <w:rPr>
          <w:szCs w:val="24"/>
        </w:rPr>
        <w:t>1</w:t>
      </w:r>
      <w:r w:rsidRPr="002C5876">
        <w:t xml:space="preserve">, décrit au </w:t>
      </w:r>
      <w:r w:rsidRPr="002C5876">
        <w:rPr>
          <w:color w:val="000000"/>
          <w:szCs w:val="24"/>
        </w:rPr>
        <w:t>paragraphe 3.2.4.3 de la présente annexe, en exécutant les cycles d’essai WLTP applicables jusqu’au moment où le moteur thermique commence à consommer du carburant, en</w:t>
      </w:r>
      <w:r w:rsidR="001967E7">
        <w:rPr>
          <w:color w:val="000000"/>
          <w:szCs w:val="24"/>
        </w:rPr>
        <w:t> </w:t>
      </w:r>
      <w:r w:rsidRPr="002C5876">
        <w:rPr>
          <w:color w:val="000000"/>
          <w:szCs w:val="24"/>
        </w:rPr>
        <w:t>Wh ;</w:t>
      </w:r>
    </w:p>
    <w:p w:rsidR="00E24DB7" w:rsidRPr="002C5876" w:rsidRDefault="00E24DB7" w:rsidP="00E24DB7">
      <w:pPr>
        <w:pStyle w:val="SingleTxtG"/>
        <w:ind w:left="3402" w:hanging="1134"/>
      </w:pPr>
      <w:r w:rsidRPr="002C5876">
        <w:t>EC</w:t>
      </w:r>
      <w:r w:rsidRPr="002C5876">
        <w:rPr>
          <w:vertAlign w:val="subscript"/>
        </w:rPr>
        <w:t>DC,city</w:t>
      </w:r>
      <w:r w:rsidRPr="002C5876">
        <w:tab/>
        <w:t xml:space="preserve">est la consommation d’énergie électrique pondérée des cycles d’essai WLTP urbains applicables en mode électrique pur de l’essai d’épuisement de la charge du type 1, décrit au </w:t>
      </w:r>
      <w:r w:rsidRPr="002C5876">
        <w:rPr>
          <w:color w:val="000000"/>
          <w:szCs w:val="24"/>
        </w:rPr>
        <w:t xml:space="preserve">paragraphe 3.2.4.3 de la présente annexe, déterminée en exécutant le(s) cycle(s) d’essai </w:t>
      </w:r>
      <w:r w:rsidRPr="002C5876">
        <w:t>WLTP applicable(s),</w:t>
      </w:r>
      <w:r w:rsidR="001967E7">
        <w:t xml:space="preserve"> </w:t>
      </w:r>
      <w:r w:rsidRPr="002C5876">
        <w:t>en</w:t>
      </w:r>
      <w:r w:rsidR="001967E7">
        <w:t> </w:t>
      </w:r>
      <w:r w:rsidRPr="002C5876">
        <w:t>Wh/km ;</w:t>
      </w:r>
    </w:p>
    <w:p w:rsidR="00E24DB7" w:rsidRPr="002C5876" w:rsidRDefault="00E24DB7" w:rsidP="00E24DB7">
      <w:pPr>
        <w:pStyle w:val="SingleTxtG"/>
        <w:ind w:left="3402" w:hanging="1134"/>
      </w:pPr>
      <w:r w:rsidRPr="002C5876">
        <w:t>et</w:t>
      </w:r>
    </w:p>
    <w:p w:rsidR="00E24DB7" w:rsidRPr="002C5876" w:rsidRDefault="00731CA6" w:rsidP="00E24DB7">
      <w:pPr>
        <w:pStyle w:val="SingleTxtG"/>
        <w:ind w:left="2268"/>
        <w:jc w:val="center"/>
      </w:pPr>
      <m:oMathPara>
        <m:oMath>
          <m:sSub>
            <m:sSubPr>
              <m:ctrlPr>
                <w:rPr>
                  <w:rFonts w:ascii="Cambria Math" w:hAnsi="Cambria Math" w:cstheme="majorBidi"/>
                </w:rPr>
              </m:ctrlPr>
            </m:sSubPr>
            <m:e>
              <m:r>
                <m:rPr>
                  <m:sty m:val="p"/>
                </m:rPr>
                <w:rPr>
                  <w:rFonts w:ascii="Cambria Math" w:hAnsi="Cambria Math" w:cstheme="majorBidi"/>
                </w:rPr>
                <m:t>UBE</m:t>
              </m:r>
            </m:e>
            <m:sub>
              <m:r>
                <m:rPr>
                  <m:sty m:val="p"/>
                </m:rPr>
                <w:rPr>
                  <w:rFonts w:ascii="Cambria Math" w:hAnsi="Cambria Math" w:cstheme="majorBidi"/>
                </w:rPr>
                <m:t>city</m:t>
              </m:r>
            </m:sub>
          </m:sSub>
          <m:r>
            <m:rPr>
              <m:sty m:val="p"/>
            </m:rPr>
            <w:rPr>
              <w:rFonts w:ascii="Cambria Math" w:hAnsi="Cambria Math" w:cstheme="majorBidi"/>
            </w:rPr>
            <m:t>=</m:t>
          </m:r>
          <m:nary>
            <m:naryPr>
              <m:chr m:val="∑"/>
              <m:limLoc m:val="subSup"/>
              <m:ctrlPr>
                <w:rPr>
                  <w:rFonts w:ascii="Cambria Math" w:hAnsi="Cambria Math" w:cstheme="majorBidi"/>
                </w:rPr>
              </m:ctrlPr>
            </m:naryPr>
            <m:sub>
              <m:r>
                <m:rPr>
                  <m:sty m:val="p"/>
                </m:rPr>
                <w:rPr>
                  <w:rFonts w:ascii="Cambria Math" w:hAnsi="Cambria Math" w:cstheme="majorBidi"/>
                </w:rPr>
                <m:t>j=1</m:t>
              </m:r>
            </m:sub>
            <m:sup>
              <m:r>
                <m:rPr>
                  <m:sty m:val="p"/>
                </m:rPr>
                <w:rPr>
                  <w:rFonts w:ascii="Cambria Math" w:hAnsi="Cambria Math" w:cstheme="majorBidi"/>
                </w:rPr>
                <m:t>k</m:t>
              </m:r>
              <m:r>
                <w:rPr>
                  <w:rFonts w:ascii="Cambria Math" w:hAnsi="Cambria Math" w:cstheme="majorBidi"/>
                </w:rPr>
                <m:t>+</m:t>
              </m:r>
              <m:r>
                <m:rPr>
                  <m:nor/>
                </m:rPr>
                <w:rPr>
                  <w:rFonts w:asciiTheme="majorBidi" w:hAnsiTheme="majorBidi" w:cstheme="majorBidi"/>
                  <w:iCs/>
                </w:rPr>
                <m:t>1</m:t>
              </m:r>
            </m:sup>
            <m:e>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REESS,j</m:t>
                  </m:r>
                </m:sub>
              </m:sSub>
            </m:e>
          </m:nary>
          <m:r>
            <m:rPr>
              <m:nor/>
            </m:rPr>
            <w:rPr>
              <w:rFonts w:asciiTheme="majorBidi" w:hAnsiTheme="majorBidi" w:cstheme="majorBidi"/>
            </w:rPr>
            <m:t xml:space="preserve"> </m:t>
          </m:r>
        </m:oMath>
      </m:oMathPara>
    </w:p>
    <w:p w:rsidR="00E24DB7" w:rsidRPr="002C5876" w:rsidRDefault="00E24DB7" w:rsidP="00E24DB7">
      <w:pPr>
        <w:pStyle w:val="SingleTxtG"/>
        <w:ind w:left="3402" w:hanging="1134"/>
      </w:pPr>
      <w:r w:rsidRPr="002C5876">
        <w:t>où :</w:t>
      </w:r>
    </w:p>
    <w:p w:rsidR="00E24DB7" w:rsidRPr="002C5876" w:rsidRDefault="00E24DB7" w:rsidP="00E24DB7">
      <w:pPr>
        <w:pStyle w:val="SingleTxtG"/>
        <w:ind w:left="3402" w:hanging="1134"/>
      </w:pPr>
      <w:r w:rsidRPr="002C5876">
        <w:sym w:font="Symbol" w:char="F044"/>
      </w:r>
      <w:r w:rsidRPr="002C5876">
        <w:t>E</w:t>
      </w:r>
      <w:r w:rsidRPr="002C5876">
        <w:rPr>
          <w:vertAlign w:val="subscript"/>
        </w:rPr>
        <w:t>REESS,j</w:t>
      </w:r>
      <w:r w:rsidRPr="002C5876">
        <w:tab/>
      </w:r>
      <w:r w:rsidRPr="002C5876">
        <w:rPr>
          <w:szCs w:val="24"/>
        </w:rPr>
        <w:t xml:space="preserve">est la variation d’énergie électrique de tous les </w:t>
      </w:r>
      <w:r w:rsidRPr="002C5876">
        <w:t>SRSEE durant la phase j, en Wh ;</w:t>
      </w:r>
    </w:p>
    <w:p w:rsidR="00E24DB7" w:rsidRPr="002C5876" w:rsidRDefault="00E24DB7" w:rsidP="00E24DB7">
      <w:pPr>
        <w:pStyle w:val="SingleTxtG"/>
        <w:ind w:left="3402" w:hanging="1134"/>
      </w:pPr>
      <w:r w:rsidRPr="002C5876">
        <w:t>j</w:t>
      </w:r>
      <w:r w:rsidRPr="002C5876">
        <w:tab/>
        <w:t>est le numéro d’ordre de la phase considérée ;</w:t>
      </w:r>
    </w:p>
    <w:p w:rsidR="00E24DB7" w:rsidRPr="002C5876" w:rsidRDefault="00E24DB7" w:rsidP="00E24DB7">
      <w:pPr>
        <w:pStyle w:val="SingleTxtG"/>
        <w:ind w:left="3402" w:hanging="1134"/>
      </w:pPr>
      <w:r w:rsidRPr="002C5876">
        <w:t>k+1</w:t>
      </w:r>
      <w:r w:rsidRPr="002C5876">
        <w:tab/>
        <w:t>est le nombre de phases exécutées depuis le début de l’essai jusqu’</w:t>
      </w:r>
      <w:r w:rsidRPr="002C5876">
        <w:rPr>
          <w:color w:val="000000"/>
          <w:szCs w:val="24"/>
        </w:rPr>
        <w:t>au moment où</w:t>
      </w:r>
      <w:r w:rsidRPr="002C5876">
        <w:t xml:space="preserve"> le moteur thermique commence à consommer du carburant ;</w:t>
      </w:r>
    </w:p>
    <w:p w:rsidR="00E24DB7" w:rsidRPr="002C5876" w:rsidRDefault="00E24DB7" w:rsidP="00E24DB7">
      <w:pPr>
        <w:pStyle w:val="SingleTxtG"/>
        <w:ind w:left="3402" w:hanging="1134"/>
      </w:pPr>
      <w:r w:rsidRPr="002C5876">
        <w:t>et</w:t>
      </w:r>
    </w:p>
    <w:p w:rsidR="00E24DB7" w:rsidRPr="002C5876" w:rsidRDefault="00731CA6" w:rsidP="00E24DB7">
      <w:pPr>
        <w:pStyle w:val="SingleTxtG"/>
        <w:ind w:left="2268"/>
        <w:jc w:val="center"/>
      </w:pPr>
      <m:oMathPara>
        <m:oMath>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DC,city</m:t>
              </m:r>
            </m:sub>
          </m:sSub>
          <m:r>
            <m:rPr>
              <m:sty m:val="p"/>
            </m:rPr>
            <w:rPr>
              <w:rFonts w:ascii="Cambria Math" w:hAnsi="Cambria Math" w:cstheme="majorBidi"/>
            </w:rPr>
            <m:t>=</m:t>
          </m:r>
          <m:nary>
            <m:naryPr>
              <m:chr m:val="∑"/>
              <m:limLoc m:val="subSup"/>
              <m:ctrlPr>
                <w:rPr>
                  <w:rFonts w:ascii="Cambria Math" w:hAnsi="Cambria Math" w:cstheme="majorBidi"/>
                </w:rPr>
              </m:ctrlPr>
            </m:naryPr>
            <m:sub>
              <m:r>
                <m:rPr>
                  <m:sty m:val="p"/>
                </m:rPr>
                <w:rPr>
                  <w:rFonts w:ascii="Cambria Math" w:hAnsi="Cambria Math" w:cstheme="majorBidi"/>
                </w:rPr>
                <m:t>j=1</m:t>
              </m:r>
            </m:sub>
            <m:sup>
              <m:sSub>
                <m:sSubPr>
                  <m:ctrlPr>
                    <w:rPr>
                      <w:rFonts w:ascii="Cambria Math" w:hAnsi="Cambria Math" w:cstheme="majorBidi"/>
                    </w:rPr>
                  </m:ctrlPr>
                </m:sSubPr>
                <m:e>
                  <m:r>
                    <m:rPr>
                      <m:sty m:val="p"/>
                    </m:rPr>
                    <w:rPr>
                      <w:rFonts w:ascii="Cambria Math" w:hAnsi="Cambria Math" w:cstheme="majorBidi"/>
                    </w:rPr>
                    <m:t>n</m:t>
                  </m:r>
                </m:e>
                <m:sub>
                  <m:r>
                    <m:rPr>
                      <m:sty m:val="p"/>
                    </m:rPr>
                    <w:rPr>
                      <w:rFonts w:ascii="Cambria Math" w:hAnsi="Cambria Math" w:cstheme="majorBidi"/>
                    </w:rPr>
                    <m:t>city,pe</m:t>
                  </m:r>
                </m:sub>
              </m:sSub>
            </m:sup>
            <m:e>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DC,city,j</m:t>
                  </m:r>
                </m:sub>
              </m:sSub>
            </m:e>
          </m:nary>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city,j</m:t>
              </m:r>
            </m:sub>
          </m:sSub>
          <m:r>
            <w:rPr>
              <w:rFonts w:ascii="Cambria Math" w:hAnsi="Cambria Math"/>
            </w:rPr>
            <m:t xml:space="preserve"> </m:t>
          </m:r>
        </m:oMath>
      </m:oMathPara>
    </w:p>
    <w:p w:rsidR="00E24DB7" w:rsidRPr="002C5876" w:rsidRDefault="00E24DB7" w:rsidP="00E24DB7">
      <w:pPr>
        <w:pStyle w:val="SingleTxtG"/>
        <w:ind w:left="3402" w:hanging="1134"/>
      </w:pPr>
      <w:r w:rsidRPr="002C5876">
        <w:t>où :</w:t>
      </w:r>
    </w:p>
    <w:p w:rsidR="00E24DB7" w:rsidRPr="002C5876" w:rsidRDefault="00E24DB7" w:rsidP="00E24DB7">
      <w:pPr>
        <w:pStyle w:val="SingleTxtG"/>
        <w:ind w:left="3402" w:hanging="1134"/>
      </w:pPr>
      <w:r w:rsidRPr="002C5876">
        <w:t>EC</w:t>
      </w:r>
      <w:r w:rsidRPr="002C5876">
        <w:rPr>
          <w:vertAlign w:val="subscript"/>
        </w:rPr>
        <w:t>DC,city,j</w:t>
      </w:r>
      <w:r w:rsidRPr="002C5876">
        <w:tab/>
        <w:t>est la consommation d’énergie électrique, en Wh/km, pour le j</w:t>
      </w:r>
      <w:r w:rsidRPr="002C5876">
        <w:rPr>
          <w:vertAlign w:val="superscript"/>
        </w:rPr>
        <w:t>e</w:t>
      </w:r>
      <w:r w:rsidRPr="002C5876">
        <w:t xml:space="preserve"> cycle d’essai WLTP urbain en mode électrique pur de </w:t>
      </w:r>
      <w:r w:rsidRPr="002C5876">
        <w:rPr>
          <w:szCs w:val="24"/>
        </w:rPr>
        <w:t>l’essai d’épuisement de la charge du type 1,</w:t>
      </w:r>
      <w:r w:rsidRPr="002C5876">
        <w:t xml:space="preserve"> mené en exécutant les cycles d’essai WLTP applicables, conformément au paragraphe 3.2.4.3 de la présente annexe ;</w:t>
      </w:r>
    </w:p>
    <w:p w:rsidR="00E24DB7" w:rsidRPr="002C5876" w:rsidRDefault="00E24DB7" w:rsidP="00E24DB7">
      <w:pPr>
        <w:pStyle w:val="SingleTxtG"/>
        <w:ind w:left="3402" w:hanging="1134"/>
      </w:pPr>
      <w:r w:rsidRPr="002C5876">
        <w:t>K</w:t>
      </w:r>
      <w:r w:rsidRPr="002C5876">
        <w:rPr>
          <w:vertAlign w:val="subscript"/>
        </w:rPr>
        <w:t>city,j</w:t>
      </w:r>
      <w:r w:rsidRPr="002C5876">
        <w:tab/>
        <w:t>est le facteur de pondération pour le j</w:t>
      </w:r>
      <w:r w:rsidRPr="002C5876">
        <w:rPr>
          <w:vertAlign w:val="superscript"/>
        </w:rPr>
        <w:t>e</w:t>
      </w:r>
      <w:r w:rsidRPr="002C5876">
        <w:t xml:space="preserve"> cycle d’essai WLTP urbain applicable en mode électrique pur de l’essai d’épuisement de la charge du type 1, mené en exécutant les cycles d’essai WLTP applicables, conformément au paragraphe 3.2.4.3 de la présente annexe ;</w:t>
      </w:r>
    </w:p>
    <w:p w:rsidR="00E24DB7" w:rsidRPr="002C5876" w:rsidRDefault="00E24DB7" w:rsidP="00E24DB7">
      <w:pPr>
        <w:pStyle w:val="SingleTxtG"/>
        <w:ind w:left="3402" w:hanging="1134"/>
      </w:pPr>
      <w:r w:rsidRPr="002C5876">
        <w:t>j</w:t>
      </w:r>
      <w:r w:rsidRPr="002C5876">
        <w:tab/>
        <w:t>est le numéro d’ordre du cycle d’essai WLTP urbain en mode électrique pur applicable considéré ;</w:t>
      </w:r>
    </w:p>
    <w:p w:rsidR="00E24DB7" w:rsidRPr="002C5876" w:rsidRDefault="00E24DB7" w:rsidP="00E24DB7">
      <w:pPr>
        <w:pStyle w:val="SingleTxtG"/>
        <w:ind w:left="3402" w:hanging="1134"/>
      </w:pPr>
      <w:r w:rsidRPr="002C5876">
        <w:t>n</w:t>
      </w:r>
      <w:r w:rsidRPr="002C5876">
        <w:rPr>
          <w:vertAlign w:val="subscript"/>
        </w:rPr>
        <w:t>city,pe</w:t>
      </w:r>
      <w:r w:rsidRPr="002C5876">
        <w:tab/>
        <w:t>est le nombre de cycles d’essai WLTP urbain en mode électrique pur applicables ;</w:t>
      </w:r>
    </w:p>
    <w:p w:rsidR="00E24DB7" w:rsidRPr="002C5876" w:rsidRDefault="00E24DB7" w:rsidP="00E24DB7">
      <w:pPr>
        <w:pStyle w:val="SingleTxtG"/>
        <w:ind w:left="3402" w:hanging="1134"/>
      </w:pPr>
      <w:r w:rsidRPr="002C5876">
        <w:t>et</w:t>
      </w:r>
    </w:p>
    <w:p w:rsidR="00E24DB7" w:rsidRPr="002C5876" w:rsidRDefault="00731CA6" w:rsidP="00E24DB7">
      <w:pPr>
        <w:pStyle w:val="SingleTxtG"/>
        <w:ind w:left="2268"/>
        <w:jc w:val="center"/>
      </w:pPr>
      <m:oMathPara>
        <m:oMath>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city,1</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REESS,city,1</m:t>
                  </m:r>
                </m:sub>
              </m:sSub>
            </m:num>
            <m:den>
              <m:sSub>
                <m:sSubPr>
                  <m:ctrlPr>
                    <w:rPr>
                      <w:rFonts w:ascii="Cambria Math" w:hAnsi="Cambria Math" w:cstheme="majorBidi"/>
                    </w:rPr>
                  </m:ctrlPr>
                </m:sSubPr>
                <m:e>
                  <m:r>
                    <m:rPr>
                      <m:sty m:val="p"/>
                    </m:rPr>
                    <w:rPr>
                      <w:rFonts w:ascii="Cambria Math" w:hAnsi="Cambria Math" w:cstheme="majorBidi"/>
                    </w:rPr>
                    <m:t>UBE</m:t>
                  </m:r>
                </m:e>
                <m:sub>
                  <m:r>
                    <m:rPr>
                      <m:sty m:val="p"/>
                    </m:rPr>
                    <w:rPr>
                      <w:rFonts w:ascii="Cambria Math" w:hAnsi="Cambria Math" w:cstheme="majorBidi"/>
                    </w:rPr>
                    <m:t>city</m:t>
                  </m:r>
                </m:sub>
              </m:sSub>
            </m:den>
          </m:f>
        </m:oMath>
      </m:oMathPara>
    </w:p>
    <w:p w:rsidR="00E24DB7" w:rsidRPr="002C5876" w:rsidRDefault="00E24DB7" w:rsidP="00E24DB7">
      <w:pPr>
        <w:pStyle w:val="SingleTxtG"/>
        <w:ind w:left="3402" w:hanging="1134"/>
      </w:pPr>
      <w:r w:rsidRPr="002C5876">
        <w:t>où :</w:t>
      </w:r>
    </w:p>
    <w:p w:rsidR="00E24DB7" w:rsidRPr="002C5876" w:rsidRDefault="00E24DB7" w:rsidP="00E24DB7">
      <w:pPr>
        <w:pStyle w:val="SingleTxtG"/>
        <w:ind w:left="3402" w:hanging="1134"/>
      </w:pPr>
      <w:r w:rsidRPr="002C5876">
        <w:sym w:font="Symbol" w:char="F044"/>
      </w:r>
      <w:r w:rsidRPr="002C5876">
        <w:t>E</w:t>
      </w:r>
      <w:r w:rsidRPr="002C5876">
        <w:rPr>
          <w:vertAlign w:val="subscript"/>
        </w:rPr>
        <w:t>REESS,city1</w:t>
      </w:r>
      <w:r w:rsidRPr="002C5876">
        <w:tab/>
        <w:t xml:space="preserve">est la variation d’énergie électrique de tous les SRSEE durant le premier cycle d’essai WLTP urbain applicable de </w:t>
      </w:r>
      <w:r w:rsidRPr="002C5876">
        <w:rPr>
          <w:szCs w:val="24"/>
        </w:rPr>
        <w:t>l’essai d’épuisement de la charge du type 1</w:t>
      </w:r>
      <w:r w:rsidRPr="002C5876">
        <w:t>, en Wh ;</w:t>
      </w:r>
    </w:p>
    <w:p w:rsidR="00E24DB7" w:rsidRPr="002C5876" w:rsidRDefault="00E24DB7" w:rsidP="00E24DB7">
      <w:pPr>
        <w:pStyle w:val="SingleTxtG"/>
        <w:ind w:left="3402" w:hanging="1134"/>
      </w:pPr>
      <w:r w:rsidRPr="002C5876">
        <w:t>et</w:t>
      </w:r>
    </w:p>
    <w:p w:rsidR="00E24DB7" w:rsidRPr="002C5876" w:rsidRDefault="00731CA6" w:rsidP="00E24DB7">
      <w:pPr>
        <w:pStyle w:val="SingleTxtG"/>
        <w:spacing w:after="240"/>
        <w:ind w:left="2268"/>
        <w:jc w:val="center"/>
        <w:rPr>
          <w:rFonts w:eastAsiaTheme="minorEastAsia"/>
        </w:rPr>
      </w:pPr>
      <m:oMath>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city,j</m:t>
            </m:r>
          </m:sub>
        </m:sSub>
        <m:r>
          <m:rPr>
            <m:sty m:val="p"/>
          </m:rPr>
          <w:rPr>
            <w:rFonts w:ascii="Cambria Math" w:hAnsi="Cambria Math" w:cstheme="majorBidi"/>
          </w:rPr>
          <m:t>=</m:t>
        </m:r>
        <m:f>
          <m:fPr>
            <m:ctrlPr>
              <w:rPr>
                <w:rFonts w:ascii="Cambria Math" w:hAnsi="Cambria Math" w:cstheme="majorBidi"/>
              </w:rPr>
            </m:ctrlPr>
          </m:fPr>
          <m:num>
            <m:r>
              <m:rPr>
                <m:sty m:val="p"/>
              </m:rPr>
              <w:rPr>
                <w:rFonts w:ascii="Cambria Math" w:hAnsi="Cambria Math" w:cstheme="majorBidi"/>
              </w:rPr>
              <m:t>1-</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city,1</m:t>
                </m:r>
              </m:sub>
            </m:sSub>
          </m:num>
          <m:den>
            <m:sSub>
              <m:sSubPr>
                <m:ctrlPr>
                  <w:rPr>
                    <w:rFonts w:ascii="Cambria Math" w:hAnsi="Cambria Math" w:cstheme="majorBidi"/>
                  </w:rPr>
                </m:ctrlPr>
              </m:sSubPr>
              <m:e>
                <m:r>
                  <m:rPr>
                    <m:sty m:val="p"/>
                  </m:rPr>
                  <w:rPr>
                    <w:rFonts w:ascii="Cambria Math" w:hAnsi="Cambria Math" w:cstheme="majorBidi"/>
                  </w:rPr>
                  <m:t>n</m:t>
                </m:r>
              </m:e>
              <m:sub>
                <m:r>
                  <m:rPr>
                    <m:sty m:val="p"/>
                  </m:rPr>
                  <w:rPr>
                    <w:rFonts w:ascii="Cambria Math" w:hAnsi="Cambria Math" w:cstheme="majorBidi"/>
                  </w:rPr>
                  <m:t>city,pe</m:t>
                </m:r>
              </m:sub>
            </m:sSub>
            <m:r>
              <m:rPr>
                <m:sty m:val="p"/>
              </m:rPr>
              <w:rPr>
                <w:rFonts w:ascii="Cambria Math" w:hAnsi="Cambria Math" w:cstheme="majorBidi"/>
              </w:rPr>
              <m:t>-1</m:t>
            </m:r>
          </m:den>
        </m:f>
      </m:oMath>
      <w:r w:rsidR="00E24DB7" w:rsidRPr="002C5876">
        <w:rPr>
          <w:rFonts w:eastAsiaTheme="minorEastAsia"/>
        </w:rPr>
        <w:t xml:space="preserve"> pour </w:t>
      </w:r>
      <m:oMath>
        <m:r>
          <m:rPr>
            <m:nor/>
          </m:rPr>
          <w:rPr>
            <w:rFonts w:asciiTheme="majorBidi" w:hAnsiTheme="majorBidi" w:cstheme="majorBidi"/>
          </w:rPr>
          <m:t>j</m:t>
        </m:r>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r>
          <m:rPr>
            <m:nor/>
          </m:rPr>
          <w:rPr>
            <w:rFonts w:asciiTheme="majorBidi" w:hAnsiTheme="majorBidi" w:cstheme="majorBidi"/>
          </w:rPr>
          <m:t>2</m:t>
        </m:r>
        <m:r>
          <m:rPr>
            <m:sty m:val="p"/>
          </m:rPr>
          <w:rPr>
            <w:rFonts w:ascii="Cambria Math" w:hAnsi="Cambria Math"/>
          </w:rPr>
          <m:t xml:space="preserve"> </m:t>
        </m:r>
        <m:r>
          <m:rPr>
            <m:nor/>
          </m:rPr>
          <w:rPr>
            <w:rFonts w:ascii="Cambria Math" w:hAnsiTheme="majorBidi" w:cstheme="majorBidi"/>
          </w:rPr>
          <m:t>à</m:t>
        </m:r>
        <m:r>
          <m:rPr>
            <m:sty m:val="p"/>
          </m:rPr>
          <w:rPr>
            <w:rFonts w:ascii="Cambria Math" w:hAnsi="Cambria Math"/>
          </w:rPr>
          <m:t xml:space="preserve"> </m:t>
        </m:r>
        <m:sSub>
          <m:sSubPr>
            <m:ctrlPr>
              <w:rPr>
                <w:rFonts w:ascii="Cambria Math" w:hAnsi="Cambria Math" w:cstheme="majorBidi"/>
              </w:rPr>
            </m:ctrlPr>
          </m:sSubPr>
          <m:e>
            <m:r>
              <m:rPr>
                <m:sty m:val="p"/>
              </m:rPr>
              <w:rPr>
                <w:rFonts w:ascii="Cambria Math" w:hAnsi="Cambria Math" w:cstheme="majorBidi"/>
              </w:rPr>
              <m:t>n</m:t>
            </m:r>
          </m:e>
          <m:sub>
            <m:r>
              <m:rPr>
                <m:sty m:val="p"/>
              </m:rPr>
              <w:rPr>
                <w:rFonts w:ascii="Cambria Math" w:hAnsi="Cambria Math" w:cstheme="majorBidi"/>
              </w:rPr>
              <m:t>city,pe</m:t>
            </m:r>
          </m:sub>
        </m:sSub>
      </m:oMath>
    </w:p>
    <w:p w:rsidR="00E24DB7" w:rsidRPr="002C5876" w:rsidRDefault="00E24DB7" w:rsidP="00E24DB7">
      <w:pPr>
        <w:pStyle w:val="SingleTxtG"/>
        <w:ind w:left="2268" w:hanging="1134"/>
        <w:jc w:val="left"/>
        <w:rPr>
          <w:color w:val="000000"/>
          <w:szCs w:val="24"/>
        </w:rPr>
      </w:pPr>
      <w:r w:rsidRPr="002C5876">
        <w:rPr>
          <w:szCs w:val="24"/>
        </w:rPr>
        <w:lastRenderedPageBreak/>
        <w:t>4.4.2</w:t>
      </w:r>
      <w:r w:rsidRPr="002C5876">
        <w:rPr>
          <w:szCs w:val="24"/>
        </w:rPr>
        <w:tab/>
        <w:t>Autonomie en mode électrique pur pour les VEP</w:t>
      </w:r>
    </w:p>
    <w:p w:rsidR="00E24DB7" w:rsidRPr="002C5876" w:rsidRDefault="00E24DB7" w:rsidP="00E24DB7">
      <w:pPr>
        <w:pStyle w:val="SingleTxtG"/>
        <w:ind w:left="2268"/>
        <w:rPr>
          <w:color w:val="000000"/>
        </w:rPr>
      </w:pPr>
      <w:r w:rsidRPr="002C5876">
        <w:rPr>
          <w:color w:val="000000"/>
        </w:rPr>
        <w:t xml:space="preserve">Les autonomies déterminées dans le présent paragraphe doivent être calculées uniquement si le véhicule </w:t>
      </w:r>
      <w:r w:rsidRPr="002C5876">
        <w:t>a pu suivre la courbe de vitesse du cycle d’essai WLTP applicable dans les limites de tolérance spécifiées au paragraphe 2.6.8.3 de l’annexe 6</w:t>
      </w:r>
      <w:r w:rsidRPr="002C5876">
        <w:rPr>
          <w:color w:val="000000"/>
        </w:rPr>
        <w:t xml:space="preserve"> durant toute la période considérée.</w:t>
      </w:r>
    </w:p>
    <w:p w:rsidR="00E24DB7" w:rsidRPr="002C5876" w:rsidRDefault="00E24DB7" w:rsidP="00E24DB7">
      <w:pPr>
        <w:pStyle w:val="SingleTxtG"/>
        <w:ind w:left="2268" w:hanging="1134"/>
        <w:jc w:val="left"/>
        <w:rPr>
          <w:color w:val="000000"/>
          <w:szCs w:val="24"/>
        </w:rPr>
      </w:pPr>
      <w:r w:rsidRPr="002C5876">
        <w:rPr>
          <w:color w:val="000000"/>
          <w:szCs w:val="24"/>
        </w:rPr>
        <w:t>4.4.2.1</w:t>
      </w:r>
      <w:r w:rsidRPr="002C5876">
        <w:rPr>
          <w:color w:val="000000"/>
          <w:szCs w:val="24"/>
        </w:rPr>
        <w:tab/>
        <w:t xml:space="preserve">Détermination de l’autonomie en mode électrique pur dans le cas </w:t>
      </w:r>
      <w:r w:rsidRPr="002C5876">
        <w:rPr>
          <w:color w:val="000000"/>
          <w:szCs w:val="24"/>
        </w:rPr>
        <w:br/>
        <w:t>de l’application de la procédure d’essai du type 1 abrégée</w:t>
      </w:r>
    </w:p>
    <w:p w:rsidR="00E24DB7" w:rsidRPr="002C5876" w:rsidRDefault="00E24DB7" w:rsidP="00E24DB7">
      <w:pPr>
        <w:pStyle w:val="SingleTxtG"/>
        <w:ind w:left="2268" w:hanging="1134"/>
        <w:rPr>
          <w:szCs w:val="24"/>
        </w:rPr>
      </w:pPr>
      <w:r w:rsidRPr="002C5876">
        <w:rPr>
          <w:szCs w:val="24"/>
        </w:rPr>
        <w:t>4.4.2.1.1</w:t>
      </w:r>
      <w:r w:rsidRPr="002C5876">
        <w:rPr>
          <w:szCs w:val="24"/>
        </w:rPr>
        <w:tab/>
      </w:r>
      <w:r w:rsidRPr="002C5876">
        <w:rPr>
          <w:color w:val="000000"/>
          <w:szCs w:val="24"/>
        </w:rPr>
        <w:t>L’autonomie en mode électrique pur des VEP pour le</w:t>
      </w:r>
      <w:r w:rsidRPr="002C5876">
        <w:rPr>
          <w:szCs w:val="24"/>
        </w:rPr>
        <w:t xml:space="preserve"> cycle d’essai WLTP applicable, PER</w:t>
      </w:r>
      <w:r w:rsidRPr="002C5876">
        <w:rPr>
          <w:szCs w:val="24"/>
          <w:vertAlign w:val="subscript"/>
        </w:rPr>
        <w:t>WLTC</w:t>
      </w:r>
      <w:r w:rsidRPr="002C5876">
        <w:rPr>
          <w:szCs w:val="24"/>
        </w:rPr>
        <w:t>, doit être calculée à partir de l’essai du type 1 abrégé, tel que décrit au paragraphe 3.4.4.2 de la présente annexe, à l’aide des équations suivantes :</w:t>
      </w:r>
    </w:p>
    <w:p w:rsidR="00E24DB7" w:rsidRPr="002C5876" w:rsidRDefault="00731CA6" w:rsidP="00E24DB7">
      <w:pPr>
        <w:pStyle w:val="SingleTxtG"/>
        <w:spacing w:after="240"/>
        <w:ind w:left="2268"/>
        <w:jc w:val="center"/>
        <w:rPr>
          <w:szCs w:val="24"/>
        </w:rPr>
      </w:pPr>
      <m:oMathPara>
        <m:oMath>
          <m:sSub>
            <m:sSubPr>
              <m:ctrlPr>
                <w:rPr>
                  <w:rFonts w:ascii="Cambria Math" w:hAnsi="Cambria Math" w:cstheme="majorBidi"/>
                </w:rPr>
              </m:ctrlPr>
            </m:sSubPr>
            <m:e>
              <m:r>
                <m:rPr>
                  <m:sty m:val="p"/>
                </m:rPr>
                <w:rPr>
                  <w:rFonts w:ascii="Cambria Math" w:hAnsi="Cambria Math" w:cstheme="majorBidi"/>
                </w:rPr>
                <m:t>PER</m:t>
              </m:r>
            </m:e>
            <m:sub>
              <m:r>
                <m:rPr>
                  <m:sty m:val="p"/>
                </m:rPr>
                <w:rPr>
                  <w:rFonts w:ascii="Cambria Math" w:hAnsi="Cambria Math" w:cstheme="majorBidi"/>
                </w:rPr>
                <m:t>WLTC</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UBE</m:t>
                  </m:r>
                </m:e>
                <m:sub>
                  <m:r>
                    <m:rPr>
                      <m:sty m:val="p"/>
                    </m:rPr>
                    <w:rPr>
                      <w:rFonts w:ascii="Cambria Math" w:hAnsi="Cambria Math" w:cstheme="majorBidi"/>
                    </w:rPr>
                    <m:t>STP</m:t>
                  </m:r>
                </m:sub>
              </m:sSub>
            </m:num>
            <m:den>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DC,WLTC</m:t>
                  </m:r>
                </m:sub>
              </m:sSub>
            </m:den>
          </m:f>
          <m:r>
            <w:rPr>
              <w:rFonts w:ascii="Cambria Math" w:hAnsi="Cambria Math" w:cstheme="majorBidi"/>
            </w:rPr>
            <m:t xml:space="preserve"> </m:t>
          </m:r>
        </m:oMath>
      </m:oMathPara>
    </w:p>
    <w:p w:rsidR="00E24DB7" w:rsidRPr="002C5876" w:rsidRDefault="00E24DB7" w:rsidP="00E24DB7">
      <w:pPr>
        <w:pStyle w:val="SingleTxtG"/>
        <w:ind w:left="2268"/>
        <w:rPr>
          <w:szCs w:val="24"/>
        </w:rPr>
      </w:pPr>
      <w:r w:rsidRPr="002C5876">
        <w:rPr>
          <w:szCs w:val="24"/>
        </w:rPr>
        <w:t>où :</w:t>
      </w:r>
    </w:p>
    <w:p w:rsidR="00E24DB7" w:rsidRPr="002C5876" w:rsidRDefault="00E24DB7" w:rsidP="00E24DB7">
      <w:pPr>
        <w:pStyle w:val="SingleTxtG"/>
        <w:ind w:left="3402" w:hanging="1134"/>
        <w:rPr>
          <w:szCs w:val="24"/>
        </w:rPr>
      </w:pPr>
      <w:r w:rsidRPr="002C5876">
        <w:rPr>
          <w:szCs w:val="24"/>
        </w:rPr>
        <w:t>UBE</w:t>
      </w:r>
      <w:r w:rsidRPr="002C5876">
        <w:rPr>
          <w:szCs w:val="24"/>
          <w:vertAlign w:val="subscript"/>
        </w:rPr>
        <w:t>STP</w:t>
      </w:r>
      <w:r w:rsidRPr="002C5876">
        <w:rPr>
          <w:szCs w:val="24"/>
        </w:rPr>
        <w:tab/>
        <w:t xml:space="preserve">est l’énergie utilisable du SRSEE, déterminée à partir du début de la procédure d’essai </w:t>
      </w:r>
      <w:r w:rsidRPr="002C5876">
        <w:rPr>
          <w:color w:val="000000"/>
          <w:szCs w:val="24"/>
        </w:rPr>
        <w:t xml:space="preserve">du type 1 abrégée </w:t>
      </w:r>
      <w:r w:rsidRPr="002C5876">
        <w:rPr>
          <w:szCs w:val="24"/>
        </w:rPr>
        <w:t>jusqu’à ce que le critère de déconnexion tel que défini au paragraphe 3.4.4.2.3 de la présente annexe soit atteint, en Wh ;</w:t>
      </w:r>
    </w:p>
    <w:p w:rsidR="00E24DB7" w:rsidRPr="002C5876" w:rsidRDefault="00E24DB7" w:rsidP="00E24DB7">
      <w:pPr>
        <w:pStyle w:val="SingleTxtG"/>
        <w:ind w:left="3402" w:hanging="1134"/>
        <w:rPr>
          <w:szCs w:val="24"/>
        </w:rPr>
      </w:pPr>
      <w:r w:rsidRPr="002C5876">
        <w:rPr>
          <w:szCs w:val="24"/>
        </w:rPr>
        <w:t>EC</w:t>
      </w:r>
      <w:r w:rsidRPr="002C5876">
        <w:rPr>
          <w:szCs w:val="24"/>
          <w:vertAlign w:val="subscript"/>
        </w:rPr>
        <w:t>DC,WLTC</w:t>
      </w:r>
      <w:r w:rsidRPr="002C5876">
        <w:rPr>
          <w:szCs w:val="24"/>
        </w:rPr>
        <w:tab/>
        <w:t>est la consommation d’énergie électrique pondérée pour le cycle d’essai WLTP applicable des segments dynamiques DS</w:t>
      </w:r>
      <w:r w:rsidRPr="002C5876">
        <w:rPr>
          <w:szCs w:val="24"/>
          <w:vertAlign w:val="subscript"/>
        </w:rPr>
        <w:t>1</w:t>
      </w:r>
      <w:r w:rsidRPr="002C5876">
        <w:rPr>
          <w:szCs w:val="24"/>
        </w:rPr>
        <w:t xml:space="preserve"> et DS</w:t>
      </w:r>
      <w:r w:rsidRPr="002C5876">
        <w:rPr>
          <w:szCs w:val="24"/>
          <w:vertAlign w:val="subscript"/>
        </w:rPr>
        <w:t>2</w:t>
      </w:r>
      <w:r w:rsidRPr="002C5876">
        <w:rPr>
          <w:szCs w:val="24"/>
        </w:rPr>
        <w:t xml:space="preserve"> de la procédure d’essai du type 1 abrégée, en Wh/km ;</w:t>
      </w:r>
    </w:p>
    <w:p w:rsidR="00E24DB7" w:rsidRPr="002C5876" w:rsidRDefault="00E24DB7" w:rsidP="00E24DB7">
      <w:pPr>
        <w:pStyle w:val="SingleTxtG"/>
        <w:ind w:left="2268"/>
        <w:rPr>
          <w:color w:val="000000"/>
          <w:szCs w:val="24"/>
        </w:rPr>
      </w:pPr>
      <w:r w:rsidRPr="002C5876">
        <w:rPr>
          <w:color w:val="000000"/>
          <w:szCs w:val="24"/>
        </w:rPr>
        <w:t>et</w:t>
      </w:r>
    </w:p>
    <w:p w:rsidR="00E24DB7" w:rsidRPr="002C5876" w:rsidRDefault="00731CA6" w:rsidP="00E24DB7">
      <w:pPr>
        <w:pStyle w:val="SingleTxtG"/>
        <w:spacing w:after="240"/>
        <w:ind w:left="2268"/>
        <w:jc w:val="center"/>
        <w:rPr>
          <w:color w:val="000000"/>
          <w:szCs w:val="24"/>
        </w:rPr>
      </w:pPr>
      <m:oMathPara>
        <m:oMath>
          <m:sSub>
            <m:sSubPr>
              <m:ctrlPr>
                <w:rPr>
                  <w:rFonts w:ascii="Cambria Math" w:hAnsi="Cambria Math" w:cstheme="majorBidi"/>
                </w:rPr>
              </m:ctrlPr>
            </m:sSubPr>
            <m:e>
              <m:r>
                <m:rPr>
                  <m:sty m:val="p"/>
                </m:rPr>
                <w:rPr>
                  <w:rFonts w:ascii="Cambria Math" w:hAnsi="Cambria Math" w:cstheme="majorBidi"/>
                </w:rPr>
                <m:t>UBE</m:t>
              </m:r>
            </m:e>
            <m:sub>
              <m:r>
                <m:rPr>
                  <m:sty m:val="p"/>
                </m:rPr>
                <w:rPr>
                  <w:rFonts w:ascii="Cambria Math" w:hAnsi="Cambria Math" w:cstheme="majorBidi"/>
                </w:rPr>
                <m:t>STP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REESS,</m:t>
              </m:r>
              <m:sSub>
                <m:sSubPr>
                  <m:ctrlPr>
                    <w:rPr>
                      <w:rFonts w:ascii="Cambria Math" w:hAnsi="Cambria Math" w:cstheme="majorBidi"/>
                    </w:rPr>
                  </m:ctrlPr>
                </m:sSubPr>
                <m:e>
                  <m:r>
                    <m:rPr>
                      <m:sty m:val="p"/>
                    </m:rPr>
                    <w:rPr>
                      <w:rFonts w:ascii="Cambria Math" w:hAnsi="Cambria Math" w:cstheme="majorBidi"/>
                    </w:rPr>
                    <m:t>DS</m:t>
                  </m:r>
                </m:e>
                <m:sub>
                  <m:r>
                    <m:rPr>
                      <m:sty m:val="p"/>
                    </m:rPr>
                    <w:rPr>
                      <w:rFonts w:ascii="Cambria Math" w:hAnsi="Cambria Math" w:cstheme="majorBidi"/>
                    </w:rPr>
                    <m:t>1</m:t>
                  </m:r>
                </m:sub>
              </m:sSub>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REESS,</m:t>
              </m:r>
              <m:sSub>
                <m:sSubPr>
                  <m:ctrlPr>
                    <w:rPr>
                      <w:rFonts w:ascii="Cambria Math" w:hAnsi="Cambria Math" w:cstheme="majorBidi"/>
                    </w:rPr>
                  </m:ctrlPr>
                </m:sSubPr>
                <m:e>
                  <m:r>
                    <m:rPr>
                      <m:sty m:val="p"/>
                    </m:rPr>
                    <w:rPr>
                      <w:rFonts w:ascii="Cambria Math" w:hAnsi="Cambria Math" w:cstheme="majorBidi"/>
                    </w:rPr>
                    <m:t>DS</m:t>
                  </m:r>
                </m:e>
                <m:sub>
                  <m:r>
                    <m:rPr>
                      <m:sty m:val="p"/>
                    </m:rPr>
                    <w:rPr>
                      <w:rFonts w:ascii="Cambria Math" w:hAnsi="Cambria Math" w:cstheme="majorBidi"/>
                    </w:rPr>
                    <m:t>2</m:t>
                  </m:r>
                </m:sub>
              </m:sSub>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REESS,</m:t>
              </m:r>
              <m:sSub>
                <m:sSubPr>
                  <m:ctrlPr>
                    <w:rPr>
                      <w:rFonts w:ascii="Cambria Math" w:hAnsi="Cambria Math" w:cstheme="majorBidi"/>
                    </w:rPr>
                  </m:ctrlPr>
                </m:sSubPr>
                <m:e>
                  <m:r>
                    <m:rPr>
                      <m:sty m:val="p"/>
                    </m:rPr>
                    <w:rPr>
                      <w:rFonts w:ascii="Cambria Math" w:hAnsi="Cambria Math" w:cstheme="majorBidi"/>
                    </w:rPr>
                    <m:t>CSS</m:t>
                  </m:r>
                </m:e>
                <m:sub>
                  <m:r>
                    <m:rPr>
                      <m:sty m:val="p"/>
                    </m:rPr>
                    <w:rPr>
                      <w:rFonts w:ascii="Cambria Math" w:hAnsi="Cambria Math" w:cstheme="majorBidi"/>
                    </w:rPr>
                    <m:t>M</m:t>
                  </m:r>
                </m:sub>
              </m:sSub>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REESS,</m:t>
              </m:r>
              <m:sSub>
                <m:sSubPr>
                  <m:ctrlPr>
                    <w:rPr>
                      <w:rFonts w:ascii="Cambria Math" w:hAnsi="Cambria Math" w:cstheme="majorBidi"/>
                    </w:rPr>
                  </m:ctrlPr>
                </m:sSubPr>
                <m:e>
                  <m:r>
                    <m:rPr>
                      <m:sty m:val="p"/>
                    </m:rPr>
                    <w:rPr>
                      <w:rFonts w:ascii="Cambria Math" w:hAnsi="Cambria Math" w:cstheme="majorBidi"/>
                    </w:rPr>
                    <m:t>CCS</m:t>
                  </m:r>
                </m:e>
                <m:sub>
                  <m:r>
                    <m:rPr>
                      <m:sty m:val="p"/>
                    </m:rPr>
                    <w:rPr>
                      <w:rFonts w:ascii="Cambria Math" w:hAnsi="Cambria Math" w:cstheme="majorBidi"/>
                    </w:rPr>
                    <m:t>E</m:t>
                  </m:r>
                </m:sub>
              </m:sSub>
            </m:sub>
          </m:sSub>
        </m:oMath>
      </m:oMathPara>
    </w:p>
    <w:p w:rsidR="00E24DB7" w:rsidRPr="002C5876" w:rsidRDefault="00E24DB7" w:rsidP="00E24DB7">
      <w:pPr>
        <w:pStyle w:val="SingleTxtG"/>
        <w:keepNext/>
        <w:ind w:left="2268"/>
        <w:rPr>
          <w:szCs w:val="24"/>
        </w:rPr>
      </w:pPr>
      <w:r w:rsidRPr="002C5876">
        <w:rPr>
          <w:szCs w:val="24"/>
        </w:rPr>
        <w:t>où :</w:t>
      </w:r>
    </w:p>
    <w:p w:rsidR="00E24DB7" w:rsidRPr="002C5876" w:rsidRDefault="00731CA6" w:rsidP="00E24DB7">
      <w:pPr>
        <w:pStyle w:val="SingleTxtG"/>
        <w:ind w:left="3459" w:hanging="1191"/>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Sub>
              <m:sSubPr>
                <m:ctrlPr>
                  <w:rPr>
                    <w:rFonts w:ascii="Cambria Math" w:hAnsi="Cambria Math"/>
                    <w:szCs w:val="24"/>
                  </w:rPr>
                </m:ctrlPr>
              </m:sSubPr>
              <m:e>
                <m:r>
                  <m:rPr>
                    <m:sty m:val="p"/>
                  </m:rPr>
                  <w:rPr>
                    <w:rFonts w:ascii="Cambria Math" w:hAnsi="Cambria Math"/>
                    <w:szCs w:val="24"/>
                  </w:rPr>
                  <m:t>DS</m:t>
                </m:r>
              </m:e>
              <m:sub>
                <m:r>
                  <m:rPr>
                    <m:sty m:val="p"/>
                  </m:rPr>
                  <w:rPr>
                    <w:rFonts w:ascii="Cambria Math" w:hAnsi="Cambria Math"/>
                    <w:szCs w:val="24"/>
                  </w:rPr>
                  <m:t>1</m:t>
                </m:r>
              </m:sub>
            </m:sSub>
          </m:sub>
        </m:sSub>
      </m:oMath>
      <w:r w:rsidR="00E24DB7" w:rsidRPr="002C5876">
        <w:rPr>
          <w:szCs w:val="24"/>
        </w:rPr>
        <w:tab/>
        <w:t>est la variation d’énergie électrique de tous les SRSEE durant le segment dynamique DS</w:t>
      </w:r>
      <w:r w:rsidR="00E24DB7" w:rsidRPr="002C5876">
        <w:rPr>
          <w:szCs w:val="24"/>
          <w:vertAlign w:val="subscript"/>
        </w:rPr>
        <w:t>1</w:t>
      </w:r>
      <w:r w:rsidR="00E24DB7" w:rsidRPr="002C5876">
        <w:rPr>
          <w:szCs w:val="24"/>
        </w:rPr>
        <w:t xml:space="preserve"> de la procédure d’essai du type 1 abrégée, en Wh ;</w:t>
      </w:r>
    </w:p>
    <w:p w:rsidR="00E24DB7" w:rsidRPr="002C5876" w:rsidRDefault="00731CA6" w:rsidP="00E24DB7">
      <w:pPr>
        <w:pStyle w:val="SingleTxtG"/>
        <w:ind w:left="3459" w:hanging="1191"/>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Sub>
              <m:sSubPr>
                <m:ctrlPr>
                  <w:rPr>
                    <w:rFonts w:ascii="Cambria Math" w:hAnsi="Cambria Math"/>
                    <w:szCs w:val="24"/>
                  </w:rPr>
                </m:ctrlPr>
              </m:sSubPr>
              <m:e>
                <m:r>
                  <m:rPr>
                    <m:sty m:val="p"/>
                  </m:rPr>
                  <w:rPr>
                    <w:rFonts w:ascii="Cambria Math" w:hAnsi="Cambria Math"/>
                    <w:szCs w:val="24"/>
                  </w:rPr>
                  <m:t>DS</m:t>
                </m:r>
              </m:e>
              <m:sub>
                <m:r>
                  <m:rPr>
                    <m:sty m:val="p"/>
                  </m:rPr>
                  <w:rPr>
                    <w:rFonts w:ascii="Cambria Math" w:hAnsi="Cambria Math"/>
                    <w:szCs w:val="24"/>
                  </w:rPr>
                  <m:t>2</m:t>
                </m:r>
              </m:sub>
            </m:sSub>
          </m:sub>
        </m:sSub>
      </m:oMath>
      <w:r w:rsidR="00E24DB7" w:rsidRPr="002C5876">
        <w:rPr>
          <w:szCs w:val="24"/>
        </w:rPr>
        <w:tab/>
        <w:t>est la variation d’énergie électrique de tous les SRSEE durant le segment dynamique DS</w:t>
      </w:r>
      <w:r w:rsidR="00E24DB7" w:rsidRPr="002C5876">
        <w:rPr>
          <w:szCs w:val="24"/>
          <w:vertAlign w:val="subscript"/>
        </w:rPr>
        <w:t>2</w:t>
      </w:r>
      <w:r w:rsidR="00E24DB7" w:rsidRPr="002C5876">
        <w:rPr>
          <w:szCs w:val="24"/>
        </w:rPr>
        <w:t xml:space="preserve"> de la procédure d’essai du type 1 abrégée, en Wh ;</w:t>
      </w:r>
    </w:p>
    <w:p w:rsidR="00E24DB7" w:rsidRPr="002C5876" w:rsidRDefault="00731CA6" w:rsidP="00E24DB7">
      <w:pPr>
        <w:pStyle w:val="SingleTxtG"/>
        <w:ind w:left="3459" w:hanging="1191"/>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Sub>
              <m:sSubPr>
                <m:ctrlPr>
                  <w:rPr>
                    <w:rFonts w:ascii="Cambria Math" w:hAnsi="Cambria Math"/>
                    <w:szCs w:val="24"/>
                  </w:rPr>
                </m:ctrlPr>
              </m:sSubPr>
              <m:e>
                <m:r>
                  <m:rPr>
                    <m:sty m:val="p"/>
                  </m:rPr>
                  <w:rPr>
                    <w:rFonts w:ascii="Cambria Math" w:hAnsi="Cambria Math"/>
                    <w:szCs w:val="24"/>
                  </w:rPr>
                  <m:t>CSS</m:t>
                </m:r>
              </m:e>
              <m:sub>
                <m:r>
                  <m:rPr>
                    <m:sty m:val="p"/>
                  </m:rPr>
                  <w:rPr>
                    <w:rFonts w:ascii="Cambria Math" w:hAnsi="Cambria Math"/>
                    <w:szCs w:val="24"/>
                  </w:rPr>
                  <m:t>M</m:t>
                </m:r>
              </m:sub>
            </m:sSub>
          </m:sub>
        </m:sSub>
      </m:oMath>
      <w:r w:rsidR="00E24DB7" w:rsidRPr="002C5876">
        <w:rPr>
          <w:szCs w:val="24"/>
        </w:rPr>
        <w:tab/>
        <w:t>est la variation d’énergie électrique de tous les SRSEE durant</w:t>
      </w:r>
      <w:r w:rsidR="00E24DB7" w:rsidRPr="002C5876" w:rsidDel="00860185">
        <w:rPr>
          <w:szCs w:val="24"/>
        </w:rPr>
        <w:t xml:space="preserve"> </w:t>
      </w:r>
      <w:r w:rsidR="00E24DB7" w:rsidRPr="002C5876">
        <w:rPr>
          <w:szCs w:val="24"/>
        </w:rPr>
        <w:t>le segment à vitesse constante CSS</w:t>
      </w:r>
      <w:r w:rsidR="00E24DB7" w:rsidRPr="002C5876">
        <w:rPr>
          <w:szCs w:val="24"/>
          <w:vertAlign w:val="subscript"/>
        </w:rPr>
        <w:t>M</w:t>
      </w:r>
      <w:r w:rsidR="00E24DB7" w:rsidRPr="002C5876">
        <w:rPr>
          <w:szCs w:val="24"/>
        </w:rPr>
        <w:t xml:space="preserve"> de la procédure d’essai du type 1 abrégée, en Wh ;</w:t>
      </w:r>
    </w:p>
    <w:p w:rsidR="00E24DB7" w:rsidRPr="002C5876" w:rsidRDefault="00731CA6" w:rsidP="00E24DB7">
      <w:pPr>
        <w:pStyle w:val="SingleTxtG"/>
        <w:ind w:left="3459" w:hanging="1191"/>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Sub>
              <m:sSubPr>
                <m:ctrlPr>
                  <w:rPr>
                    <w:rFonts w:ascii="Cambria Math" w:hAnsi="Cambria Math"/>
                    <w:szCs w:val="24"/>
                  </w:rPr>
                </m:ctrlPr>
              </m:sSubPr>
              <m:e>
                <m:r>
                  <m:rPr>
                    <m:sty m:val="p"/>
                  </m:rPr>
                  <w:rPr>
                    <w:rFonts w:ascii="Cambria Math" w:hAnsi="Cambria Math"/>
                    <w:szCs w:val="24"/>
                  </w:rPr>
                  <m:t>CSS</m:t>
                </m:r>
              </m:e>
              <m:sub>
                <m:r>
                  <m:rPr>
                    <m:sty m:val="p"/>
                  </m:rPr>
                  <w:rPr>
                    <w:rFonts w:ascii="Cambria Math" w:hAnsi="Cambria Math"/>
                    <w:szCs w:val="24"/>
                  </w:rPr>
                  <m:t>E</m:t>
                </m:r>
              </m:sub>
            </m:sSub>
          </m:sub>
        </m:sSub>
      </m:oMath>
      <w:r w:rsidR="00E24DB7" w:rsidRPr="002C5876">
        <w:rPr>
          <w:szCs w:val="24"/>
        </w:rPr>
        <w:tab/>
        <w:t>est la variation d’énergie électrique de tous les SRSEE durant le segment à vitesse constante CSS</w:t>
      </w:r>
      <w:r w:rsidR="00E24DB7" w:rsidRPr="002C5876">
        <w:rPr>
          <w:szCs w:val="24"/>
          <w:vertAlign w:val="subscript"/>
        </w:rPr>
        <w:t>E</w:t>
      </w:r>
      <w:r w:rsidR="00E24DB7" w:rsidRPr="002C5876">
        <w:rPr>
          <w:szCs w:val="24"/>
        </w:rPr>
        <w:t xml:space="preserve"> de la procédure d’essai du type 1 abrégée, en Wh ;</w:t>
      </w:r>
    </w:p>
    <w:p w:rsidR="00E24DB7" w:rsidRPr="002C5876" w:rsidRDefault="00E24DB7" w:rsidP="00E24DB7">
      <w:pPr>
        <w:pStyle w:val="SingleTxtG"/>
        <w:ind w:left="2268"/>
        <w:rPr>
          <w:szCs w:val="24"/>
        </w:rPr>
      </w:pPr>
      <w:r w:rsidRPr="002C5876">
        <w:rPr>
          <w:szCs w:val="24"/>
        </w:rPr>
        <w:t>et</w:t>
      </w:r>
    </w:p>
    <w:p w:rsidR="00E24DB7" w:rsidRPr="002C5876" w:rsidRDefault="00731CA6" w:rsidP="00E24DB7">
      <w:pPr>
        <w:pStyle w:val="SingleTxtG"/>
        <w:ind w:left="2268"/>
        <w:jc w:val="center"/>
        <w:rPr>
          <w:szCs w:val="24"/>
        </w:rPr>
      </w:pPr>
      <m:oMathPara>
        <m:oMath>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DC,WLTC</m:t>
              </m:r>
            </m:sub>
          </m:sSub>
          <m:r>
            <m:rPr>
              <m:sty m:val="p"/>
            </m:rPr>
            <w:rPr>
              <w:rFonts w:ascii="Cambria Math" w:hAnsi="Cambria Math" w:cstheme="majorBidi"/>
            </w:rPr>
            <m:t>=</m:t>
          </m:r>
          <m:nary>
            <m:naryPr>
              <m:chr m:val="∑"/>
              <m:limLoc m:val="subSup"/>
              <m:ctrlPr>
                <w:rPr>
                  <w:rFonts w:ascii="Cambria Math" w:hAnsi="Cambria Math" w:cstheme="majorBidi"/>
                </w:rPr>
              </m:ctrlPr>
            </m:naryPr>
            <m:sub>
              <m:r>
                <m:rPr>
                  <m:sty m:val="p"/>
                </m:rPr>
                <w:rPr>
                  <w:rFonts w:ascii="Cambria Math" w:hAnsi="Cambria Math" w:cstheme="majorBidi"/>
                </w:rPr>
                <m:t>j=1</m:t>
              </m:r>
            </m:sub>
            <m:sup>
              <m:r>
                <m:rPr>
                  <m:sty m:val="p"/>
                </m:rPr>
                <w:rPr>
                  <w:rFonts w:ascii="Cambria Math" w:hAnsi="Cambria Math" w:cstheme="majorBidi"/>
                </w:rPr>
                <m:t>2</m:t>
              </m:r>
            </m:sup>
            <m:e>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DC,WLTC,j</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WLTC,j</m:t>
                  </m:r>
                </m:sub>
              </m:sSub>
            </m:e>
          </m:nary>
        </m:oMath>
      </m:oMathPara>
    </w:p>
    <w:p w:rsidR="00E24DB7" w:rsidRPr="002C5876" w:rsidRDefault="00E24DB7" w:rsidP="00E24DB7">
      <w:pPr>
        <w:pStyle w:val="SingleTxtG"/>
        <w:ind w:left="3402" w:hanging="1134"/>
      </w:pPr>
      <w:r w:rsidRPr="002C5876">
        <w:t>où :</w:t>
      </w:r>
    </w:p>
    <w:p w:rsidR="00E24DB7" w:rsidRPr="002C5876" w:rsidRDefault="00E24DB7" w:rsidP="00E24DB7">
      <w:pPr>
        <w:pStyle w:val="SingleTxtG"/>
        <w:ind w:left="3402" w:hanging="1134"/>
        <w:rPr>
          <w:szCs w:val="24"/>
        </w:rPr>
      </w:pPr>
      <w:r w:rsidRPr="002C5876">
        <w:rPr>
          <w:noProof/>
          <w:position w:val="-12"/>
          <w:lang w:val="en-GB" w:eastAsia="zh-CN"/>
        </w:rPr>
        <w:drawing>
          <wp:inline distT="0" distB="0" distL="0" distR="0" wp14:anchorId="54893CD5" wp14:editId="2FEF8861">
            <wp:extent cx="685800" cy="209550"/>
            <wp:effectExtent l="0" t="0" r="0" b="0"/>
            <wp:docPr id="1468" name="Imag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685800" cy="209550"/>
                    </a:xfrm>
                    <a:prstGeom prst="rect">
                      <a:avLst/>
                    </a:prstGeom>
                    <a:noFill/>
                    <a:ln>
                      <a:noFill/>
                    </a:ln>
                  </pic:spPr>
                </pic:pic>
              </a:graphicData>
            </a:graphic>
          </wp:inline>
        </w:drawing>
      </w:r>
      <w:r w:rsidRPr="002C5876">
        <w:rPr>
          <w:szCs w:val="24"/>
        </w:rPr>
        <w:tab/>
        <w:t>est la consommation d’énergie électrique pour le cycle d’essai WLTP applicable du segment dynamique DS</w:t>
      </w:r>
      <w:r w:rsidRPr="002C5876">
        <w:rPr>
          <w:szCs w:val="24"/>
          <w:vertAlign w:val="subscript"/>
        </w:rPr>
        <w:t>j</w:t>
      </w:r>
      <w:r w:rsidRPr="002C5876">
        <w:rPr>
          <w:szCs w:val="24"/>
        </w:rPr>
        <w:t xml:space="preserve"> de la procédure d’essai du type 1 abrégée, conformément au paragraphe 4.3 de la présente annexe, en Wh/km ;</w:t>
      </w:r>
    </w:p>
    <w:p w:rsidR="00E24DB7" w:rsidRPr="002C5876" w:rsidRDefault="00E24DB7" w:rsidP="00E24DB7">
      <w:pPr>
        <w:pStyle w:val="SingleTxtG"/>
        <w:ind w:left="3402" w:hanging="1134"/>
        <w:rPr>
          <w:szCs w:val="24"/>
        </w:rPr>
      </w:pPr>
      <w:r w:rsidRPr="002C5876">
        <w:rPr>
          <w:szCs w:val="24"/>
        </w:rPr>
        <w:t>K</w:t>
      </w:r>
      <w:r w:rsidRPr="002C5876">
        <w:rPr>
          <w:szCs w:val="24"/>
          <w:vertAlign w:val="subscript"/>
        </w:rPr>
        <w:t>WLTC,j</w:t>
      </w:r>
      <w:r w:rsidRPr="002C5876">
        <w:rPr>
          <w:szCs w:val="24"/>
        </w:rPr>
        <w:tab/>
        <w:t>est le facteur de pondération pour le cycle d’essai WLTP applicable du segment dynamique DS</w:t>
      </w:r>
      <w:r w:rsidRPr="002C5876">
        <w:rPr>
          <w:szCs w:val="24"/>
          <w:vertAlign w:val="subscript"/>
        </w:rPr>
        <w:t>j</w:t>
      </w:r>
      <w:r w:rsidRPr="002C5876">
        <w:rPr>
          <w:szCs w:val="24"/>
        </w:rPr>
        <w:t xml:space="preserve"> de la procédure d’essai du type 1 abrégée ;</w:t>
      </w:r>
    </w:p>
    <w:p w:rsidR="00E24DB7" w:rsidRPr="002C5876" w:rsidRDefault="00E24DB7" w:rsidP="00E24DB7">
      <w:pPr>
        <w:pStyle w:val="SingleTxtG"/>
        <w:ind w:left="3402" w:hanging="1134"/>
        <w:rPr>
          <w:szCs w:val="24"/>
        </w:rPr>
      </w:pPr>
      <w:r w:rsidRPr="002C5876">
        <w:rPr>
          <w:szCs w:val="24"/>
        </w:rPr>
        <w:lastRenderedPageBreak/>
        <w:t>et</w:t>
      </w:r>
    </w:p>
    <w:p w:rsidR="00E24DB7" w:rsidRPr="002C5876" w:rsidRDefault="00731CA6" w:rsidP="00E24DB7">
      <w:pPr>
        <w:pStyle w:val="SingleTxtG"/>
        <w:spacing w:after="240"/>
        <w:ind w:left="2268"/>
        <w:jc w:val="center"/>
        <w:rPr>
          <w:szCs w:val="24"/>
        </w:rPr>
      </w:pPr>
      <m:oMathPara>
        <m:oMath>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WLTC,1</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REESS,WLTC,1</m:t>
                  </m:r>
                </m:sub>
              </m:sSub>
            </m:num>
            <m:den>
              <m:sSub>
                <m:sSubPr>
                  <m:ctrlPr>
                    <w:rPr>
                      <w:rFonts w:ascii="Cambria Math" w:hAnsi="Cambria Math" w:cstheme="majorBidi"/>
                    </w:rPr>
                  </m:ctrlPr>
                </m:sSubPr>
                <m:e>
                  <m:r>
                    <m:rPr>
                      <m:sty m:val="p"/>
                    </m:rPr>
                    <w:rPr>
                      <w:rFonts w:ascii="Cambria Math" w:hAnsi="Cambria Math" w:cstheme="majorBidi"/>
                    </w:rPr>
                    <m:t>UBE</m:t>
                  </m:r>
                </m:e>
                <m:sub>
                  <m:r>
                    <m:rPr>
                      <m:sty m:val="p"/>
                    </m:rPr>
                    <w:rPr>
                      <w:rFonts w:ascii="Cambria Math" w:hAnsi="Cambria Math" w:cstheme="majorBidi"/>
                    </w:rPr>
                    <m:t>STP</m:t>
                  </m:r>
                </m:sub>
              </m:sSub>
            </m:den>
          </m:f>
          <m:r>
            <m:rPr>
              <m:sty m:val="p"/>
            </m:rPr>
            <w:rPr>
              <w:rFonts w:ascii="Cambria Math" w:hAnsi="Cambria Math" w:cstheme="majorBidi"/>
            </w:rPr>
            <m:t xml:space="preserve"> et </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WLTC,2</m:t>
              </m:r>
            </m:sub>
          </m:sSub>
          <m:r>
            <m:rPr>
              <m:sty m:val="p"/>
            </m:rPr>
            <w:rPr>
              <w:rFonts w:ascii="Cambria Math" w:hAnsi="Cambria Math" w:cstheme="majorBidi"/>
            </w:rPr>
            <m:t>=1-</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WLTC,1</m:t>
              </m:r>
            </m:sub>
          </m:sSub>
        </m:oMath>
      </m:oMathPara>
    </w:p>
    <w:p w:rsidR="00E24DB7" w:rsidRPr="002C5876" w:rsidRDefault="00E24DB7" w:rsidP="00E24DB7">
      <w:pPr>
        <w:spacing w:after="120"/>
        <w:ind w:left="3686" w:right="1134" w:hanging="1418"/>
        <w:jc w:val="both"/>
      </w:pPr>
      <w:r w:rsidRPr="002C5876">
        <w:t>où :</w:t>
      </w:r>
    </w:p>
    <w:p w:rsidR="00E24DB7" w:rsidRPr="002C5876" w:rsidRDefault="00E24DB7" w:rsidP="00E24DB7">
      <w:pPr>
        <w:pStyle w:val="SingleTxtG"/>
        <w:ind w:left="3515" w:hanging="1247"/>
        <w:rPr>
          <w:szCs w:val="24"/>
        </w:rPr>
      </w:pPr>
      <w:r w:rsidRPr="002C5876">
        <w:rPr>
          <w:szCs w:val="24"/>
        </w:rPr>
        <w:t>K</w:t>
      </w:r>
      <w:r w:rsidRPr="002C5876">
        <w:rPr>
          <w:szCs w:val="24"/>
          <w:vertAlign w:val="subscript"/>
        </w:rPr>
        <w:t>WLTC,j</w:t>
      </w:r>
      <w:r w:rsidRPr="002C5876">
        <w:rPr>
          <w:szCs w:val="24"/>
        </w:rPr>
        <w:tab/>
        <w:t>est le facteur de pondération, pour le cycle d’essai WLTP applicable, du segment dynamique DS</w:t>
      </w:r>
      <w:r w:rsidRPr="002C5876">
        <w:rPr>
          <w:szCs w:val="24"/>
          <w:vertAlign w:val="subscript"/>
        </w:rPr>
        <w:t>j</w:t>
      </w:r>
      <w:r w:rsidRPr="002C5876">
        <w:rPr>
          <w:szCs w:val="24"/>
        </w:rPr>
        <w:t xml:space="preserve"> de la procédure d’essai du type 1 abrégée ;</w:t>
      </w:r>
    </w:p>
    <w:p w:rsidR="00E24DB7" w:rsidRPr="002C5876" w:rsidRDefault="00E24DB7" w:rsidP="00E24DB7">
      <w:pPr>
        <w:pStyle w:val="SingleTxtG"/>
        <w:ind w:left="3515" w:hanging="1247"/>
        <w:rPr>
          <w:szCs w:val="24"/>
        </w:rPr>
      </w:pPr>
      <w:r w:rsidRPr="002C5876">
        <w:rPr>
          <w:szCs w:val="24"/>
        </w:rPr>
        <w:sym w:font="Symbol" w:char="F044"/>
      </w:r>
      <w:r w:rsidRPr="002C5876">
        <w:rPr>
          <w:szCs w:val="24"/>
        </w:rPr>
        <w:t>E</w:t>
      </w:r>
      <w:r w:rsidRPr="002C5876">
        <w:rPr>
          <w:szCs w:val="24"/>
          <w:vertAlign w:val="subscript"/>
        </w:rPr>
        <w:t>REESS,WLTC,1</w:t>
      </w:r>
      <w:r w:rsidRPr="002C5876">
        <w:rPr>
          <w:szCs w:val="24"/>
        </w:rPr>
        <w:tab/>
        <w:t>est la variation d’énergie électrique de tous les SRSEE durant le cycle d’essai WLTP applicable du segment dynamique DS</w:t>
      </w:r>
      <w:r w:rsidRPr="002C5876">
        <w:rPr>
          <w:szCs w:val="24"/>
          <w:vertAlign w:val="subscript"/>
        </w:rPr>
        <w:t>1</w:t>
      </w:r>
      <w:r w:rsidRPr="002C5876">
        <w:rPr>
          <w:szCs w:val="24"/>
        </w:rPr>
        <w:t xml:space="preserve"> de la procédure d’essai du type 1 abrégée, en Wh.</w:t>
      </w:r>
    </w:p>
    <w:p w:rsidR="00E24DB7" w:rsidRPr="002C5876" w:rsidRDefault="00E24DB7" w:rsidP="00E24DB7">
      <w:pPr>
        <w:pStyle w:val="SingleTxtG"/>
        <w:ind w:left="2268" w:hanging="1134"/>
      </w:pPr>
      <w:r w:rsidRPr="002C5876">
        <w:t>4.4.2.1.2</w:t>
      </w:r>
      <w:r w:rsidRPr="002C5876">
        <w:tab/>
      </w:r>
      <w:r w:rsidRPr="002C5876">
        <w:rPr>
          <w:color w:val="000000"/>
        </w:rPr>
        <w:t>L’autonomie en mode électrique pur des VEP pour le</w:t>
      </w:r>
      <w:r w:rsidRPr="002C5876">
        <w:t xml:space="preserve"> cycle d’essai WLTP urbain applicable, PER</w:t>
      </w:r>
      <w:r w:rsidRPr="002C5876">
        <w:rPr>
          <w:vertAlign w:val="subscript"/>
        </w:rPr>
        <w:t>city</w:t>
      </w:r>
      <w:r w:rsidRPr="002C5876">
        <w:t>, doit être calculée à partir de l’essai du type 1 abrégé, tel que décrit au paragraphe 3.4.4.2 de la présente annexe, à l’aide des équations suivantes :</w:t>
      </w:r>
    </w:p>
    <w:p w:rsidR="00E24DB7" w:rsidRPr="002C5876" w:rsidRDefault="00731CA6" w:rsidP="00E24DB7">
      <w:pPr>
        <w:pStyle w:val="SingleTxtG"/>
        <w:ind w:left="2268" w:hanging="1134"/>
        <w:jc w:val="center"/>
      </w:pPr>
      <m:oMathPara>
        <m:oMath>
          <m:sSub>
            <m:sSubPr>
              <m:ctrlPr>
                <w:rPr>
                  <w:rFonts w:ascii="Cambria Math" w:hAnsi="Cambria Math" w:cstheme="majorBidi"/>
                </w:rPr>
              </m:ctrlPr>
            </m:sSubPr>
            <m:e>
              <m:r>
                <m:rPr>
                  <m:sty m:val="p"/>
                </m:rPr>
                <w:rPr>
                  <w:rFonts w:ascii="Cambria Math" w:hAnsi="Cambria Math" w:cstheme="majorBidi"/>
                </w:rPr>
                <m:t>PER</m:t>
              </m:r>
            </m:e>
            <m:sub>
              <m:r>
                <m:rPr>
                  <m:sty m:val="p"/>
                </m:rPr>
                <w:rPr>
                  <w:rFonts w:ascii="Cambria Math" w:hAnsi="Cambria Math" w:cstheme="majorBidi"/>
                </w:rPr>
                <m:t>city</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UBE</m:t>
                  </m:r>
                </m:e>
                <m:sub>
                  <m:r>
                    <m:rPr>
                      <m:sty m:val="p"/>
                    </m:rPr>
                    <w:rPr>
                      <w:rFonts w:ascii="Cambria Math" w:hAnsi="Cambria Math" w:cstheme="majorBidi"/>
                    </w:rPr>
                    <m:t>STP</m:t>
                  </m:r>
                </m:sub>
              </m:sSub>
            </m:num>
            <m:den>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DC,city</m:t>
                  </m:r>
                </m:sub>
              </m:sSub>
            </m:den>
          </m:f>
          <m:r>
            <w:rPr>
              <w:rFonts w:ascii="Cambria Math" w:hAnsi="Cambria Math"/>
            </w:rPr>
            <m:t xml:space="preserve"> </m:t>
          </m:r>
        </m:oMath>
      </m:oMathPara>
    </w:p>
    <w:p w:rsidR="00E24DB7" w:rsidRPr="002C5876" w:rsidRDefault="00E24DB7" w:rsidP="00E24DB7">
      <w:pPr>
        <w:pStyle w:val="SingleTxtG"/>
        <w:ind w:left="3402" w:hanging="1134"/>
        <w:rPr>
          <w:szCs w:val="24"/>
        </w:rPr>
      </w:pPr>
      <w:r w:rsidRPr="002C5876">
        <w:rPr>
          <w:szCs w:val="24"/>
        </w:rPr>
        <w:t>où :</w:t>
      </w:r>
    </w:p>
    <w:p w:rsidR="00E24DB7" w:rsidRPr="002C5876" w:rsidRDefault="00E24DB7" w:rsidP="00E24DB7">
      <w:pPr>
        <w:pStyle w:val="SingleTxtG"/>
        <w:ind w:left="3402" w:hanging="1134"/>
        <w:rPr>
          <w:szCs w:val="24"/>
        </w:rPr>
      </w:pPr>
      <w:r w:rsidRPr="002C5876">
        <w:rPr>
          <w:szCs w:val="24"/>
        </w:rPr>
        <w:t>UBE</w:t>
      </w:r>
      <w:r w:rsidRPr="002C5876">
        <w:rPr>
          <w:szCs w:val="24"/>
          <w:vertAlign w:val="subscript"/>
        </w:rPr>
        <w:t>STP</w:t>
      </w:r>
      <w:r w:rsidRPr="002C5876">
        <w:rPr>
          <w:szCs w:val="24"/>
        </w:rPr>
        <w:tab/>
        <w:t>est l’énergie utilisable du SRSEE, conformément au paragraphe 4.4.2.1.1 de la présente annexe, en Wh ;</w:t>
      </w:r>
    </w:p>
    <w:p w:rsidR="00E24DB7" w:rsidRPr="002C5876" w:rsidRDefault="00E24DB7" w:rsidP="00E24DB7">
      <w:pPr>
        <w:pStyle w:val="SingleTxtG"/>
        <w:ind w:left="3402" w:hanging="1134"/>
        <w:rPr>
          <w:szCs w:val="24"/>
        </w:rPr>
      </w:pPr>
      <w:r w:rsidRPr="002C5876">
        <w:rPr>
          <w:szCs w:val="24"/>
        </w:rPr>
        <w:t>EC</w:t>
      </w:r>
      <w:r w:rsidRPr="002C5876">
        <w:rPr>
          <w:szCs w:val="24"/>
          <w:vertAlign w:val="subscript"/>
        </w:rPr>
        <w:t>DC,city</w:t>
      </w:r>
      <w:r w:rsidRPr="002C5876">
        <w:rPr>
          <w:szCs w:val="24"/>
        </w:rPr>
        <w:tab/>
        <w:t>est la consommation d’énergie électrique pondérée pour le cycle d’essai WLTP urbain applicable des segments dynamiques DS</w:t>
      </w:r>
      <w:r w:rsidRPr="002C5876">
        <w:rPr>
          <w:szCs w:val="24"/>
          <w:vertAlign w:val="subscript"/>
        </w:rPr>
        <w:t>1</w:t>
      </w:r>
      <w:r w:rsidRPr="002C5876">
        <w:rPr>
          <w:szCs w:val="24"/>
        </w:rPr>
        <w:t xml:space="preserve"> et DS</w:t>
      </w:r>
      <w:r w:rsidRPr="002C5876">
        <w:rPr>
          <w:szCs w:val="24"/>
          <w:vertAlign w:val="subscript"/>
        </w:rPr>
        <w:t>2</w:t>
      </w:r>
      <w:r w:rsidRPr="002C5876">
        <w:rPr>
          <w:szCs w:val="24"/>
        </w:rPr>
        <w:t xml:space="preserve"> de la procédure d’essai du type 1 abrégée, en Wh/km ;</w:t>
      </w:r>
    </w:p>
    <w:p w:rsidR="00E24DB7" w:rsidRPr="002C5876" w:rsidRDefault="00E24DB7" w:rsidP="00E24DB7">
      <w:pPr>
        <w:pStyle w:val="SingleTxtG"/>
        <w:keepNext/>
        <w:ind w:left="3402" w:hanging="1134"/>
        <w:rPr>
          <w:szCs w:val="24"/>
        </w:rPr>
      </w:pPr>
      <w:r w:rsidRPr="002C5876">
        <w:rPr>
          <w:szCs w:val="24"/>
        </w:rPr>
        <w:t>et</w:t>
      </w:r>
    </w:p>
    <w:p w:rsidR="00E24DB7" w:rsidRPr="002C5876" w:rsidRDefault="00731CA6" w:rsidP="00E24DB7">
      <w:pPr>
        <w:pStyle w:val="SingleTxtG"/>
        <w:keepNext/>
        <w:spacing w:after="240"/>
        <w:ind w:left="2268"/>
        <w:jc w:val="center"/>
        <w:rPr>
          <w:szCs w:val="24"/>
        </w:rPr>
      </w:pPr>
      <m:oMathPara>
        <m:oMath>
          <m:sSub>
            <m:sSubPr>
              <m:ctrlPr>
                <w:rPr>
                  <w:rFonts w:ascii="Cambria Math" w:eastAsia="Times New Roman" w:hAnsi="Cambria Math" w:cstheme="majorBidi"/>
                </w:rPr>
              </m:ctrlPr>
            </m:sSubPr>
            <m:e>
              <m:r>
                <m:rPr>
                  <m:sty m:val="p"/>
                </m:rPr>
                <w:rPr>
                  <w:rFonts w:ascii="Cambria Math" w:eastAsia="Times New Roman" w:hAnsi="Cambria Math" w:cstheme="majorBidi"/>
                </w:rPr>
                <m:t>EC</m:t>
              </m:r>
            </m:e>
            <m:sub>
              <m:r>
                <m:rPr>
                  <m:sty m:val="p"/>
                </m:rPr>
                <w:rPr>
                  <w:rFonts w:ascii="Cambria Math" w:eastAsia="Times New Roman" w:hAnsi="Cambria Math" w:cstheme="majorBidi"/>
                </w:rPr>
                <m:t>DC,city</m:t>
              </m:r>
            </m:sub>
          </m:sSub>
          <m:r>
            <m:rPr>
              <m:sty m:val="p"/>
            </m:rPr>
            <w:rPr>
              <w:rFonts w:ascii="Cambria Math" w:eastAsia="Times New Roman" w:hAnsi="Cambria Math" w:cstheme="majorBidi"/>
            </w:rPr>
            <m:t>=</m:t>
          </m:r>
          <m:nary>
            <m:naryPr>
              <m:chr m:val="∑"/>
              <m:limLoc m:val="subSup"/>
              <m:ctrlPr>
                <w:rPr>
                  <w:rFonts w:ascii="Cambria Math" w:eastAsia="Times New Roman" w:hAnsi="Cambria Math" w:cstheme="majorBidi"/>
                </w:rPr>
              </m:ctrlPr>
            </m:naryPr>
            <m:sub>
              <m:r>
                <m:rPr>
                  <m:sty m:val="p"/>
                </m:rPr>
                <w:rPr>
                  <w:rFonts w:ascii="Cambria Math" w:eastAsia="Times New Roman" w:hAnsi="Cambria Math" w:cstheme="majorBidi"/>
                </w:rPr>
                <m:t>j=1</m:t>
              </m:r>
            </m:sub>
            <m:sup>
              <m:r>
                <m:rPr>
                  <m:sty m:val="p"/>
                </m:rPr>
                <w:rPr>
                  <w:rFonts w:ascii="Cambria Math" w:eastAsia="Times New Roman" w:hAnsi="Cambria Math" w:cstheme="majorBidi"/>
                </w:rPr>
                <m:t>4</m:t>
              </m:r>
            </m:sup>
            <m:e>
              <m:sSub>
                <m:sSubPr>
                  <m:ctrlPr>
                    <w:rPr>
                      <w:rFonts w:ascii="Cambria Math" w:eastAsia="Times New Roman" w:hAnsi="Cambria Math" w:cstheme="majorBidi"/>
                    </w:rPr>
                  </m:ctrlPr>
                </m:sSubPr>
                <m:e>
                  <m:r>
                    <m:rPr>
                      <m:sty m:val="p"/>
                    </m:rPr>
                    <w:rPr>
                      <w:rFonts w:ascii="Cambria Math" w:eastAsia="Times New Roman" w:hAnsi="Cambria Math" w:cstheme="majorBidi"/>
                    </w:rPr>
                    <m:t>EC</m:t>
                  </m:r>
                </m:e>
                <m:sub>
                  <m:r>
                    <m:rPr>
                      <m:sty m:val="p"/>
                    </m:rPr>
                    <w:rPr>
                      <w:rFonts w:ascii="Cambria Math" w:eastAsia="Times New Roman" w:hAnsi="Cambria Math" w:cstheme="majorBidi"/>
                    </w:rPr>
                    <m:t>DC,city,j</m:t>
                  </m:r>
                </m:sub>
              </m:sSub>
              <m:r>
                <m:rPr>
                  <m:sty m:val="p"/>
                </m:rPr>
                <w:rPr>
                  <w:rFonts w:ascii="Cambria Math" w:eastAsia="Times New Roman" w:hAnsi="Cambria Math" w:cstheme="majorBidi"/>
                </w:rPr>
                <m:t>×</m:t>
              </m:r>
              <m:sSub>
                <m:sSubPr>
                  <m:ctrlPr>
                    <w:rPr>
                      <w:rFonts w:ascii="Cambria Math" w:eastAsia="Times New Roman" w:hAnsi="Cambria Math" w:cstheme="majorBidi"/>
                    </w:rPr>
                  </m:ctrlPr>
                </m:sSubPr>
                <m:e>
                  <m:r>
                    <m:rPr>
                      <m:sty m:val="p"/>
                    </m:rPr>
                    <w:rPr>
                      <w:rFonts w:ascii="Cambria Math" w:eastAsia="Times New Roman" w:hAnsi="Cambria Math" w:cstheme="majorBidi"/>
                    </w:rPr>
                    <m:t>K</m:t>
                  </m:r>
                </m:e>
                <m:sub>
                  <m:r>
                    <m:rPr>
                      <m:sty m:val="p"/>
                    </m:rPr>
                    <w:rPr>
                      <w:rFonts w:ascii="Cambria Math" w:eastAsia="Times New Roman" w:hAnsi="Cambria Math" w:cstheme="majorBidi"/>
                    </w:rPr>
                    <m:t>city,j</m:t>
                  </m:r>
                </m:sub>
              </m:sSub>
            </m:e>
          </m:nary>
        </m:oMath>
      </m:oMathPara>
    </w:p>
    <w:p w:rsidR="00E24DB7" w:rsidRPr="002C5876" w:rsidRDefault="00E24DB7" w:rsidP="00E24DB7">
      <w:pPr>
        <w:pStyle w:val="SingleTxtG"/>
        <w:ind w:left="3402" w:hanging="1134"/>
        <w:rPr>
          <w:szCs w:val="24"/>
        </w:rPr>
      </w:pPr>
      <w:r w:rsidRPr="002C5876">
        <w:t>où :</w:t>
      </w:r>
    </w:p>
    <w:p w:rsidR="00E24DB7" w:rsidRPr="002C5876" w:rsidRDefault="00E24DB7" w:rsidP="00E24DB7">
      <w:pPr>
        <w:pStyle w:val="SingleTxtG"/>
        <w:ind w:left="3402" w:hanging="1134"/>
        <w:rPr>
          <w:szCs w:val="24"/>
        </w:rPr>
      </w:pPr>
      <w:r w:rsidRPr="002C5876">
        <w:rPr>
          <w:szCs w:val="24"/>
        </w:rPr>
        <w:t>EC</w:t>
      </w:r>
      <w:r w:rsidRPr="002C5876">
        <w:rPr>
          <w:szCs w:val="24"/>
          <w:vertAlign w:val="subscript"/>
        </w:rPr>
        <w:t>DC,city,j</w:t>
      </w:r>
      <w:r w:rsidRPr="002C5876">
        <w:rPr>
          <w:szCs w:val="24"/>
        </w:rPr>
        <w:tab/>
        <w:t>est la consommation d’énergie électrique pour le cycle d’essai WLTP urbain applicable − le premier cycle d’essai WLTP urbain applicable de DS</w:t>
      </w:r>
      <w:r w:rsidRPr="002C5876">
        <w:rPr>
          <w:szCs w:val="24"/>
          <w:vertAlign w:val="subscript"/>
        </w:rPr>
        <w:t xml:space="preserve">1 </w:t>
      </w:r>
      <w:r w:rsidRPr="002C5876">
        <w:rPr>
          <w:szCs w:val="24"/>
        </w:rPr>
        <w:t>étant noté j = 1, le second cycle d’essai WLTP urbain applicable de DS</w:t>
      </w:r>
      <w:r w:rsidRPr="002C5876">
        <w:rPr>
          <w:szCs w:val="24"/>
          <w:vertAlign w:val="subscript"/>
        </w:rPr>
        <w:t>1</w:t>
      </w:r>
      <w:r w:rsidRPr="002C5876">
        <w:rPr>
          <w:szCs w:val="24"/>
        </w:rPr>
        <w:t xml:space="preserve"> étant noté j = 2, le premier cycle d’essai WLTP urbain applicable de DS</w:t>
      </w:r>
      <w:r w:rsidRPr="002C5876">
        <w:rPr>
          <w:szCs w:val="24"/>
          <w:vertAlign w:val="subscript"/>
        </w:rPr>
        <w:t>2</w:t>
      </w:r>
      <w:r w:rsidRPr="002C5876">
        <w:rPr>
          <w:szCs w:val="24"/>
        </w:rPr>
        <w:t xml:space="preserve"> étant noté j = 3 et le second cycle d’essai WLTP urbain applicable de DS</w:t>
      </w:r>
      <w:r w:rsidRPr="002C5876">
        <w:rPr>
          <w:szCs w:val="24"/>
          <w:vertAlign w:val="subscript"/>
        </w:rPr>
        <w:t xml:space="preserve">2 </w:t>
      </w:r>
      <w:r w:rsidRPr="002C5876">
        <w:rPr>
          <w:szCs w:val="24"/>
        </w:rPr>
        <w:t>étant noté j = 4 − de la procédure d’essai du type 1 abrégée, conformément au paragraphe 4.3 de la présente annexe, en Wh/km ;</w:t>
      </w:r>
    </w:p>
    <w:p w:rsidR="00E24DB7" w:rsidRPr="002C5876" w:rsidRDefault="00E24DB7" w:rsidP="00E24DB7">
      <w:pPr>
        <w:pStyle w:val="SingleTxtG"/>
        <w:ind w:left="3402" w:hanging="1134"/>
        <w:rPr>
          <w:szCs w:val="24"/>
        </w:rPr>
      </w:pPr>
      <w:r w:rsidRPr="002C5876">
        <w:rPr>
          <w:szCs w:val="24"/>
        </w:rPr>
        <w:t>K</w:t>
      </w:r>
      <w:r w:rsidRPr="002C5876">
        <w:rPr>
          <w:szCs w:val="24"/>
          <w:vertAlign w:val="subscript"/>
        </w:rPr>
        <w:t>city,j</w:t>
      </w:r>
      <w:r w:rsidRPr="002C5876">
        <w:rPr>
          <w:szCs w:val="24"/>
        </w:rPr>
        <w:tab/>
        <w:t>est le facteur de pondération pour le cycle d’essai WLTP urbain applicable, le premier cycle d’essai WLTP urbain applicable de DS</w:t>
      </w:r>
      <w:r w:rsidRPr="002C5876">
        <w:rPr>
          <w:szCs w:val="24"/>
          <w:vertAlign w:val="subscript"/>
        </w:rPr>
        <w:t xml:space="preserve">1 </w:t>
      </w:r>
      <w:r w:rsidRPr="002C5876">
        <w:rPr>
          <w:szCs w:val="24"/>
        </w:rPr>
        <w:t>étant noté j = 1, le second cycle d’essai WLTP urbain applicable de DS</w:t>
      </w:r>
      <w:r w:rsidRPr="002C5876">
        <w:rPr>
          <w:szCs w:val="24"/>
          <w:vertAlign w:val="subscript"/>
        </w:rPr>
        <w:t>1</w:t>
      </w:r>
      <w:r w:rsidRPr="002C5876">
        <w:rPr>
          <w:szCs w:val="24"/>
        </w:rPr>
        <w:t xml:space="preserve"> étant noté j = 2, le premier cycle d’essai WLTP urbain applicable de DS</w:t>
      </w:r>
      <w:r w:rsidRPr="002C5876">
        <w:rPr>
          <w:szCs w:val="24"/>
          <w:vertAlign w:val="subscript"/>
        </w:rPr>
        <w:t>2</w:t>
      </w:r>
      <w:r w:rsidRPr="002C5876">
        <w:rPr>
          <w:szCs w:val="24"/>
        </w:rPr>
        <w:t xml:space="preserve"> étant noté j = 3 et le second cycle d’essai WLTP urbain applicable de DS</w:t>
      </w:r>
      <w:r w:rsidRPr="002C5876">
        <w:rPr>
          <w:szCs w:val="24"/>
          <w:vertAlign w:val="subscript"/>
        </w:rPr>
        <w:t xml:space="preserve">2 </w:t>
      </w:r>
      <w:r w:rsidRPr="002C5876">
        <w:rPr>
          <w:szCs w:val="24"/>
        </w:rPr>
        <w:t>étant noté j = 4 ;</w:t>
      </w:r>
    </w:p>
    <w:p w:rsidR="00E24DB7" w:rsidRPr="002C5876" w:rsidRDefault="00E24DB7" w:rsidP="00E24DB7">
      <w:pPr>
        <w:pStyle w:val="SingleTxtG"/>
        <w:ind w:left="3402" w:hanging="1134"/>
        <w:rPr>
          <w:szCs w:val="24"/>
        </w:rPr>
      </w:pPr>
      <w:r w:rsidRPr="002C5876">
        <w:rPr>
          <w:szCs w:val="24"/>
        </w:rPr>
        <w:t>et</w:t>
      </w:r>
    </w:p>
    <w:p w:rsidR="00E24DB7" w:rsidRPr="002C5876" w:rsidRDefault="00731CA6" w:rsidP="00E24DB7">
      <w:pPr>
        <w:pStyle w:val="SingleTxtG"/>
        <w:spacing w:after="240"/>
        <w:ind w:left="2268"/>
        <w:jc w:val="center"/>
        <w:rPr>
          <w:szCs w:val="24"/>
        </w:rPr>
      </w:pPr>
      <m:oMathPara>
        <m:oMath>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city,1</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REESS,city,1</m:t>
                  </m:r>
                </m:sub>
              </m:sSub>
            </m:num>
            <m:den>
              <m:sSub>
                <m:sSubPr>
                  <m:ctrlPr>
                    <w:rPr>
                      <w:rFonts w:ascii="Cambria Math" w:hAnsi="Cambria Math" w:cstheme="majorBidi"/>
                    </w:rPr>
                  </m:ctrlPr>
                </m:sSubPr>
                <m:e>
                  <m:r>
                    <m:rPr>
                      <m:sty m:val="p"/>
                    </m:rPr>
                    <w:rPr>
                      <w:rFonts w:ascii="Cambria Math" w:hAnsi="Cambria Math" w:cstheme="majorBidi"/>
                    </w:rPr>
                    <m:t>UBE</m:t>
                  </m:r>
                </m:e>
                <m:sub>
                  <m:r>
                    <m:rPr>
                      <m:sty m:val="p"/>
                    </m:rPr>
                    <w:rPr>
                      <w:rFonts w:ascii="Cambria Math" w:hAnsi="Cambria Math" w:cstheme="majorBidi"/>
                    </w:rPr>
                    <m:t>STP</m:t>
                  </m:r>
                </m:sub>
              </m:sSub>
            </m:den>
          </m:f>
          <m:r>
            <m:rPr>
              <m:sty m:val="p"/>
            </m:rPr>
            <w:rPr>
              <w:rFonts w:ascii="Cambria Math" w:hAnsi="Cambria Math" w:cstheme="majorBidi"/>
            </w:rPr>
            <m:t xml:space="preserve"> et  </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city,j</m:t>
              </m:r>
            </m:sub>
          </m:sSub>
          <m:r>
            <m:rPr>
              <m:sty m:val="p"/>
            </m:rPr>
            <w:rPr>
              <w:rFonts w:ascii="Cambria Math" w:hAnsi="Cambria Math" w:cstheme="majorBidi"/>
            </w:rPr>
            <m:t>=</m:t>
          </m:r>
          <m:f>
            <m:fPr>
              <m:ctrlPr>
                <w:rPr>
                  <w:rFonts w:ascii="Cambria Math" w:hAnsi="Cambria Math" w:cstheme="majorBidi"/>
                </w:rPr>
              </m:ctrlPr>
            </m:fPr>
            <m:num>
              <m:r>
                <m:rPr>
                  <m:sty m:val="p"/>
                </m:rPr>
                <w:rPr>
                  <w:rFonts w:ascii="Cambria Math" w:hAnsi="Cambria Math" w:cstheme="majorBidi"/>
                </w:rPr>
                <m:t>1</m:t>
              </m:r>
              <m:r>
                <m:rPr>
                  <m:sty m:val="p"/>
                </m:rPr>
                <w:rPr>
                  <w:rFonts w:ascii="Cambria Math" w:hAnsiTheme="majorBidi" w:cstheme="majorBidi"/>
                </w:rPr>
                <m:t xml:space="preserve"> </m:t>
              </m:r>
              <m:r>
                <m:rPr>
                  <m:sty m:val="p"/>
                </m:rPr>
                <w:rPr>
                  <w:rFonts w:ascii="Cambria Math" w:hAnsi="Cambria Math" w:cstheme="majorBidi"/>
                </w:rPr>
                <m:t>-</m:t>
              </m:r>
              <m:r>
                <m:rPr>
                  <m:sty m:val="p"/>
                </m:rPr>
                <w:rPr>
                  <w:rFonts w:ascii="Cambria Math" w:hAnsiTheme="majorBidi" w:cstheme="majorBidi"/>
                </w:rPr>
                <m:t xml:space="preserve"> </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city,1</m:t>
                  </m:r>
                </m:sub>
              </m:sSub>
            </m:num>
            <m:den>
              <m:r>
                <m:rPr>
                  <m:sty m:val="p"/>
                </m:rPr>
                <w:rPr>
                  <w:rFonts w:ascii="Cambria Math" w:hAnsi="Cambria Math" w:cstheme="majorBidi"/>
                </w:rPr>
                <m:t>3</m:t>
              </m:r>
            </m:den>
          </m:f>
          <m:r>
            <m:rPr>
              <m:sty m:val="p"/>
            </m:rPr>
            <w:rPr>
              <w:rFonts w:ascii="Cambria Math" w:hAnsi="Cambria Math" w:cstheme="majorBidi"/>
            </w:rPr>
            <m:t xml:space="preserve"> pour j=2…4</m:t>
          </m:r>
        </m:oMath>
      </m:oMathPara>
    </w:p>
    <w:p w:rsidR="00E24DB7" w:rsidRPr="002C5876" w:rsidRDefault="00E24DB7" w:rsidP="00E24DB7">
      <w:pPr>
        <w:pStyle w:val="SingleTxtG"/>
        <w:ind w:left="3402" w:hanging="1134"/>
      </w:pPr>
      <w:r w:rsidRPr="002C5876">
        <w:t>où :</w:t>
      </w:r>
    </w:p>
    <w:p w:rsidR="00E24DB7" w:rsidRPr="002C5876" w:rsidRDefault="00E24DB7" w:rsidP="00E24DB7">
      <w:pPr>
        <w:pStyle w:val="SingleTxtG"/>
        <w:ind w:left="3402" w:hanging="1134"/>
        <w:rPr>
          <w:szCs w:val="24"/>
        </w:rPr>
      </w:pPr>
      <w:r w:rsidRPr="002C5876">
        <w:rPr>
          <w:szCs w:val="24"/>
        </w:rPr>
        <w:sym w:font="Symbol" w:char="F044"/>
      </w:r>
      <w:r w:rsidRPr="002C5876">
        <w:rPr>
          <w:szCs w:val="24"/>
        </w:rPr>
        <w:t>E</w:t>
      </w:r>
      <w:r w:rsidRPr="002C5876">
        <w:rPr>
          <w:szCs w:val="24"/>
          <w:vertAlign w:val="subscript"/>
        </w:rPr>
        <w:t>REESS,city,1</w:t>
      </w:r>
      <w:r w:rsidRPr="002C5876">
        <w:rPr>
          <w:szCs w:val="24"/>
        </w:rPr>
        <w:tab/>
        <w:t>est la variation d’énergie de tous les SRSEE durant le premier cycle d’essai WLTP urbain applicable du segment DS</w:t>
      </w:r>
      <w:r w:rsidRPr="002C5876">
        <w:rPr>
          <w:szCs w:val="24"/>
          <w:vertAlign w:val="subscript"/>
        </w:rPr>
        <w:t>1</w:t>
      </w:r>
      <w:r w:rsidRPr="002C5876">
        <w:rPr>
          <w:szCs w:val="24"/>
        </w:rPr>
        <w:t xml:space="preserve"> de la procédure d’essai du type 1 abrégée, en Wh.</w:t>
      </w:r>
    </w:p>
    <w:p w:rsidR="00E24DB7" w:rsidRPr="002C5876" w:rsidRDefault="00E24DB7" w:rsidP="00E24DB7">
      <w:pPr>
        <w:pStyle w:val="SingleTxtG"/>
        <w:ind w:left="2268" w:hanging="1134"/>
        <w:rPr>
          <w:szCs w:val="24"/>
        </w:rPr>
      </w:pPr>
      <w:r w:rsidRPr="002C5876">
        <w:rPr>
          <w:szCs w:val="24"/>
        </w:rPr>
        <w:lastRenderedPageBreak/>
        <w:t>4.4.2.1.3</w:t>
      </w:r>
      <w:r w:rsidRPr="002C5876">
        <w:rPr>
          <w:szCs w:val="24"/>
        </w:rPr>
        <w:tab/>
        <w:t>L’autonomie en mode électrique pur spécifique par phase pour les VEP, PER</w:t>
      </w:r>
      <w:r w:rsidRPr="002C5876">
        <w:rPr>
          <w:szCs w:val="24"/>
          <w:vertAlign w:val="subscript"/>
        </w:rPr>
        <w:t>p</w:t>
      </w:r>
      <w:r w:rsidRPr="002C5876">
        <w:rPr>
          <w:szCs w:val="24"/>
        </w:rPr>
        <w:t>, doit être calculée à partir de l’essai du type 1, tel que décrit au paragraphe 3.4.4.2 de la présente annexe, en appliquant les équations suivantes :</w:t>
      </w:r>
    </w:p>
    <w:p w:rsidR="00E24DB7" w:rsidRPr="002C5876" w:rsidRDefault="00731CA6" w:rsidP="00E24DB7">
      <w:pPr>
        <w:pStyle w:val="SingleTxtG"/>
        <w:ind w:left="2268" w:hanging="1134"/>
        <w:jc w:val="center"/>
        <w:rPr>
          <w:szCs w:val="24"/>
        </w:rPr>
      </w:pPr>
      <m:oMathPara>
        <m:oMath>
          <m:sSub>
            <m:sSubPr>
              <m:ctrlPr>
                <w:rPr>
                  <w:rFonts w:ascii="Cambria Math" w:hAnsi="Cambria Math" w:cstheme="majorBidi"/>
                </w:rPr>
              </m:ctrlPr>
            </m:sSubPr>
            <m:e>
              <m:r>
                <m:rPr>
                  <m:sty m:val="p"/>
                </m:rPr>
                <w:rPr>
                  <w:rFonts w:ascii="Cambria Math" w:hAnsi="Cambria Math" w:cstheme="majorBidi"/>
                </w:rPr>
                <m:t>PER</m:t>
              </m:r>
            </m:e>
            <m:sub>
              <m:r>
                <m:rPr>
                  <m:sty m:val="p"/>
                </m:rPr>
                <w:rPr>
                  <w:rFonts w:ascii="Cambria Math" w:hAnsi="Cambria Math" w:cstheme="majorBidi"/>
                </w:rPr>
                <m:t>p</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UBE</m:t>
                  </m:r>
                </m:e>
                <m:sub>
                  <m:r>
                    <m:rPr>
                      <m:sty m:val="p"/>
                    </m:rPr>
                    <w:rPr>
                      <w:rFonts w:ascii="Cambria Math" w:hAnsi="Cambria Math" w:cstheme="majorBidi"/>
                    </w:rPr>
                    <m:t>STP</m:t>
                  </m:r>
                </m:sub>
              </m:sSub>
            </m:num>
            <m:den>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DC,p</m:t>
                  </m:r>
                </m:sub>
              </m:sSub>
            </m:den>
          </m:f>
          <m:r>
            <w:rPr>
              <w:rFonts w:ascii="Cambria Math" w:hAnsi="Cambria Math"/>
            </w:rPr>
            <m:t xml:space="preserve"> </m:t>
          </m:r>
        </m:oMath>
      </m:oMathPara>
    </w:p>
    <w:p w:rsidR="00E24DB7" w:rsidRPr="002C5876" w:rsidRDefault="00E24DB7" w:rsidP="00E24DB7">
      <w:pPr>
        <w:pStyle w:val="SingleTxtG"/>
        <w:ind w:left="3402" w:hanging="1134"/>
        <w:rPr>
          <w:szCs w:val="24"/>
        </w:rPr>
      </w:pPr>
      <w:r w:rsidRPr="002C5876">
        <w:rPr>
          <w:szCs w:val="24"/>
        </w:rPr>
        <w:t>où :</w:t>
      </w:r>
    </w:p>
    <w:p w:rsidR="00E24DB7" w:rsidRPr="002C5876" w:rsidRDefault="00E24DB7" w:rsidP="00E24DB7">
      <w:pPr>
        <w:pStyle w:val="SingleTxtG"/>
        <w:ind w:left="3402" w:hanging="1134"/>
        <w:rPr>
          <w:szCs w:val="24"/>
        </w:rPr>
      </w:pPr>
      <w:r w:rsidRPr="002C5876">
        <w:rPr>
          <w:szCs w:val="24"/>
        </w:rPr>
        <w:t>UBE</w:t>
      </w:r>
      <w:r w:rsidRPr="002C5876">
        <w:rPr>
          <w:szCs w:val="24"/>
          <w:vertAlign w:val="subscript"/>
        </w:rPr>
        <w:t>STP</w:t>
      </w:r>
      <w:r w:rsidRPr="002C5876">
        <w:rPr>
          <w:szCs w:val="24"/>
        </w:rPr>
        <w:tab/>
        <w:t>est l’énergie utilisable du SRSEE, conformément au paragraphe 4.4.2.1.1 de la présente annexe, en Wh ;</w:t>
      </w:r>
    </w:p>
    <w:p w:rsidR="00E24DB7" w:rsidRPr="002C5876" w:rsidRDefault="00E24DB7" w:rsidP="00E24DB7">
      <w:pPr>
        <w:pStyle w:val="SingleTxtG"/>
        <w:ind w:left="3402" w:hanging="1134"/>
        <w:rPr>
          <w:szCs w:val="24"/>
        </w:rPr>
      </w:pPr>
      <w:r w:rsidRPr="002C5876">
        <w:rPr>
          <w:szCs w:val="24"/>
        </w:rPr>
        <w:t>EC</w:t>
      </w:r>
      <w:r w:rsidRPr="002C5876">
        <w:rPr>
          <w:szCs w:val="24"/>
          <w:vertAlign w:val="subscript"/>
        </w:rPr>
        <w:t>DC,p</w:t>
      </w:r>
      <w:r w:rsidRPr="002C5876">
        <w:rPr>
          <w:szCs w:val="24"/>
        </w:rPr>
        <w:tab/>
        <w:t>est la consommation d’énergie électrique pondérée pour chaque phase individuelle des segments DS</w:t>
      </w:r>
      <w:r w:rsidRPr="002C5876">
        <w:rPr>
          <w:szCs w:val="24"/>
          <w:vertAlign w:val="subscript"/>
        </w:rPr>
        <w:t>1</w:t>
      </w:r>
      <w:r w:rsidRPr="002C5876">
        <w:rPr>
          <w:szCs w:val="24"/>
        </w:rPr>
        <w:t xml:space="preserve"> et DS</w:t>
      </w:r>
      <w:r w:rsidRPr="002C5876">
        <w:rPr>
          <w:szCs w:val="24"/>
          <w:vertAlign w:val="subscript"/>
        </w:rPr>
        <w:t>2</w:t>
      </w:r>
      <w:r w:rsidRPr="002C5876">
        <w:rPr>
          <w:szCs w:val="24"/>
        </w:rPr>
        <w:t xml:space="preserve"> de la procédure d’essai du type 1 abrégée, en Wh/km ;</w:t>
      </w:r>
    </w:p>
    <w:p w:rsidR="00E24DB7" w:rsidRPr="002C5876" w:rsidRDefault="00E24DB7" w:rsidP="00E24DB7">
      <w:pPr>
        <w:pStyle w:val="SingleTxtG"/>
        <w:ind w:left="2268"/>
      </w:pPr>
      <w:r w:rsidRPr="002C5876">
        <w:t>Dans le cas des phases à basse vitesse (p = low) et à vitesse moyenne (p = medium), les équations suivantes doivent être appliquées :</w:t>
      </w:r>
    </w:p>
    <w:p w:rsidR="00E24DB7" w:rsidRPr="002C5876" w:rsidRDefault="00731CA6" w:rsidP="00E24DB7">
      <w:pPr>
        <w:pStyle w:val="SingleTxtG"/>
        <w:ind w:left="2268"/>
        <w:jc w:val="center"/>
      </w:pPr>
      <m:oMathPara>
        <m:oMath>
          <m:sSub>
            <m:sSubPr>
              <m:ctrlPr>
                <w:rPr>
                  <w:rFonts w:ascii="Cambria Math" w:eastAsia="Times New Roman" w:hAnsi="Cambria Math" w:cstheme="majorBidi"/>
                </w:rPr>
              </m:ctrlPr>
            </m:sSubPr>
            <m:e>
              <m:r>
                <m:rPr>
                  <m:sty m:val="p"/>
                </m:rPr>
                <w:rPr>
                  <w:rFonts w:ascii="Cambria Math" w:eastAsia="Times New Roman" w:hAnsi="Cambria Math" w:cstheme="majorBidi"/>
                </w:rPr>
                <m:t>EC</m:t>
              </m:r>
            </m:e>
            <m:sub>
              <m:r>
                <m:rPr>
                  <m:sty m:val="p"/>
                </m:rPr>
                <w:rPr>
                  <w:rFonts w:ascii="Cambria Math" w:eastAsia="Times New Roman" w:hAnsi="Cambria Math" w:cstheme="majorBidi"/>
                </w:rPr>
                <m:t>DC,p</m:t>
              </m:r>
            </m:sub>
          </m:sSub>
          <m:r>
            <m:rPr>
              <m:sty m:val="p"/>
            </m:rPr>
            <w:rPr>
              <w:rFonts w:ascii="Cambria Math" w:eastAsia="Times New Roman" w:hAnsi="Cambria Math" w:cstheme="majorBidi"/>
            </w:rPr>
            <m:t>=</m:t>
          </m:r>
          <m:nary>
            <m:naryPr>
              <m:chr m:val="∑"/>
              <m:limLoc m:val="subSup"/>
              <m:ctrlPr>
                <w:rPr>
                  <w:rFonts w:ascii="Cambria Math" w:eastAsia="Times New Roman" w:hAnsi="Cambria Math" w:cstheme="majorBidi"/>
                </w:rPr>
              </m:ctrlPr>
            </m:naryPr>
            <m:sub>
              <m:r>
                <m:rPr>
                  <m:sty m:val="p"/>
                </m:rPr>
                <w:rPr>
                  <w:rFonts w:ascii="Cambria Math" w:eastAsia="Times New Roman" w:hAnsi="Cambria Math" w:cstheme="majorBidi"/>
                </w:rPr>
                <m:t>j = 1</m:t>
              </m:r>
            </m:sub>
            <m:sup>
              <m:r>
                <m:rPr>
                  <m:sty m:val="p"/>
                </m:rPr>
                <w:rPr>
                  <w:rFonts w:ascii="Cambria Math" w:eastAsia="Times New Roman" w:hAnsi="Cambria Math" w:cstheme="majorBidi"/>
                </w:rPr>
                <m:t>4</m:t>
              </m:r>
            </m:sup>
            <m:e>
              <m:sSub>
                <m:sSubPr>
                  <m:ctrlPr>
                    <w:rPr>
                      <w:rFonts w:ascii="Cambria Math" w:eastAsia="Times New Roman" w:hAnsi="Cambria Math" w:cstheme="majorBidi"/>
                    </w:rPr>
                  </m:ctrlPr>
                </m:sSubPr>
                <m:e>
                  <m:r>
                    <m:rPr>
                      <m:sty m:val="p"/>
                    </m:rPr>
                    <w:rPr>
                      <w:rFonts w:ascii="Cambria Math" w:eastAsia="Times New Roman" w:hAnsi="Cambria Math" w:cstheme="majorBidi"/>
                    </w:rPr>
                    <m:t>EC</m:t>
                  </m:r>
                </m:e>
                <m:sub>
                  <m:r>
                    <m:rPr>
                      <m:sty m:val="p"/>
                    </m:rPr>
                    <w:rPr>
                      <w:rFonts w:ascii="Cambria Math" w:eastAsia="Times New Roman" w:hAnsi="Cambria Math" w:cstheme="majorBidi"/>
                    </w:rPr>
                    <m:t>DC,p,j</m:t>
                  </m:r>
                </m:sub>
              </m:sSub>
              <m:r>
                <m:rPr>
                  <m:sty m:val="p"/>
                </m:rPr>
                <w:rPr>
                  <w:rFonts w:ascii="Cambria Math" w:eastAsia="Times New Roman" w:hAnsi="Cambria Math" w:cstheme="majorBidi"/>
                </w:rPr>
                <m:t>×</m:t>
              </m:r>
              <m:sSub>
                <m:sSubPr>
                  <m:ctrlPr>
                    <w:rPr>
                      <w:rFonts w:ascii="Cambria Math" w:eastAsia="Times New Roman" w:hAnsi="Cambria Math" w:cstheme="majorBidi"/>
                    </w:rPr>
                  </m:ctrlPr>
                </m:sSubPr>
                <m:e>
                  <m:r>
                    <m:rPr>
                      <m:sty m:val="p"/>
                    </m:rPr>
                    <w:rPr>
                      <w:rFonts w:ascii="Cambria Math" w:eastAsia="Times New Roman" w:hAnsi="Cambria Math" w:cstheme="majorBidi"/>
                    </w:rPr>
                    <m:t>K</m:t>
                  </m:r>
                </m:e>
                <m:sub>
                  <m:r>
                    <m:rPr>
                      <m:sty m:val="p"/>
                    </m:rPr>
                    <w:rPr>
                      <w:rFonts w:ascii="Cambria Math" w:eastAsia="Times New Roman" w:hAnsi="Cambria Math" w:cstheme="majorBidi"/>
                    </w:rPr>
                    <m:t>p,j</m:t>
                  </m:r>
                </m:sub>
              </m:sSub>
            </m:e>
          </m:nary>
        </m:oMath>
      </m:oMathPara>
    </w:p>
    <w:p w:rsidR="00E24DB7" w:rsidRPr="002C5876" w:rsidRDefault="00E24DB7" w:rsidP="00E24DB7">
      <w:pPr>
        <w:pStyle w:val="SingleTxtG"/>
        <w:ind w:left="3402" w:hanging="1134"/>
        <w:rPr>
          <w:szCs w:val="24"/>
        </w:rPr>
      </w:pPr>
      <w:r w:rsidRPr="002C5876">
        <w:t>où :</w:t>
      </w:r>
    </w:p>
    <w:p w:rsidR="00E24DB7" w:rsidRPr="002C5876" w:rsidRDefault="00E24DB7" w:rsidP="00E24DB7">
      <w:pPr>
        <w:pStyle w:val="SingleTxtG"/>
        <w:ind w:left="3402" w:hanging="1134"/>
        <w:rPr>
          <w:szCs w:val="24"/>
        </w:rPr>
      </w:pPr>
      <w:r w:rsidRPr="002C5876">
        <w:rPr>
          <w:szCs w:val="24"/>
        </w:rPr>
        <w:t>EC</w:t>
      </w:r>
      <w:r w:rsidRPr="002C5876">
        <w:rPr>
          <w:szCs w:val="24"/>
          <w:vertAlign w:val="subscript"/>
        </w:rPr>
        <w:t>DC,p,j</w:t>
      </w:r>
      <w:r w:rsidRPr="002C5876">
        <w:rPr>
          <w:szCs w:val="24"/>
        </w:rPr>
        <w:tab/>
        <w:t>est la consommation d’énergie électrique pour la phase p − la première phase p de DS</w:t>
      </w:r>
      <w:r w:rsidRPr="002C5876">
        <w:rPr>
          <w:szCs w:val="24"/>
          <w:vertAlign w:val="subscript"/>
        </w:rPr>
        <w:t>1</w:t>
      </w:r>
      <w:r w:rsidRPr="002C5876">
        <w:rPr>
          <w:szCs w:val="24"/>
        </w:rPr>
        <w:t xml:space="preserve"> étant notée j = 1, la seconde phase p de DS</w:t>
      </w:r>
      <w:r w:rsidRPr="002C5876">
        <w:rPr>
          <w:szCs w:val="24"/>
          <w:vertAlign w:val="subscript"/>
        </w:rPr>
        <w:t>1</w:t>
      </w:r>
      <w:r w:rsidRPr="002C5876">
        <w:rPr>
          <w:szCs w:val="24"/>
        </w:rPr>
        <w:t xml:space="preserve"> étant notée j = 2, la première phase p de DS</w:t>
      </w:r>
      <w:r w:rsidRPr="002C5876">
        <w:rPr>
          <w:szCs w:val="24"/>
          <w:vertAlign w:val="subscript"/>
        </w:rPr>
        <w:t>2</w:t>
      </w:r>
      <w:r w:rsidRPr="002C5876">
        <w:rPr>
          <w:szCs w:val="24"/>
        </w:rPr>
        <w:t xml:space="preserve"> étant notée j = 3 et la seconde phase p de DS</w:t>
      </w:r>
      <w:r w:rsidRPr="002C5876">
        <w:rPr>
          <w:szCs w:val="24"/>
          <w:vertAlign w:val="subscript"/>
        </w:rPr>
        <w:t xml:space="preserve">2 </w:t>
      </w:r>
      <w:r w:rsidRPr="002C5876">
        <w:rPr>
          <w:szCs w:val="24"/>
        </w:rPr>
        <w:t>étant notée j = 4 − de la procédure d’essai du type 1 abrégée, conformément au paragraphe 4.3 de la présente annexe, en Wh/km ;</w:t>
      </w:r>
    </w:p>
    <w:p w:rsidR="00E24DB7" w:rsidRPr="002C5876" w:rsidRDefault="00E24DB7" w:rsidP="00E24DB7">
      <w:pPr>
        <w:pStyle w:val="SingleTxtG"/>
        <w:ind w:left="3402" w:hanging="1134"/>
        <w:rPr>
          <w:szCs w:val="24"/>
        </w:rPr>
      </w:pPr>
      <w:r w:rsidRPr="002C5876">
        <w:rPr>
          <w:szCs w:val="24"/>
        </w:rPr>
        <w:t>K</w:t>
      </w:r>
      <w:r w:rsidRPr="002C5876">
        <w:rPr>
          <w:szCs w:val="24"/>
          <w:vertAlign w:val="subscript"/>
        </w:rPr>
        <w:t>p,j</w:t>
      </w:r>
      <w:r w:rsidRPr="002C5876">
        <w:rPr>
          <w:szCs w:val="24"/>
        </w:rPr>
        <w:tab/>
        <w:t>est le facteur de pondération pour la phase p − la première phase p de DS</w:t>
      </w:r>
      <w:r w:rsidRPr="002C5876">
        <w:rPr>
          <w:szCs w:val="24"/>
          <w:vertAlign w:val="subscript"/>
        </w:rPr>
        <w:t>1</w:t>
      </w:r>
      <w:r w:rsidRPr="002C5876">
        <w:rPr>
          <w:szCs w:val="24"/>
        </w:rPr>
        <w:t xml:space="preserve"> étant notée j = 1, la seconde phase p de DS</w:t>
      </w:r>
      <w:r w:rsidRPr="002C5876">
        <w:rPr>
          <w:szCs w:val="24"/>
          <w:vertAlign w:val="subscript"/>
        </w:rPr>
        <w:t>1</w:t>
      </w:r>
      <w:r w:rsidRPr="002C5876">
        <w:rPr>
          <w:szCs w:val="24"/>
        </w:rPr>
        <w:t xml:space="preserve"> étant notée j = 2, la première phase p de DS</w:t>
      </w:r>
      <w:r w:rsidRPr="002C5876">
        <w:rPr>
          <w:szCs w:val="24"/>
          <w:vertAlign w:val="subscript"/>
        </w:rPr>
        <w:t>2</w:t>
      </w:r>
      <w:r w:rsidRPr="002C5876">
        <w:rPr>
          <w:szCs w:val="24"/>
        </w:rPr>
        <w:t xml:space="preserve"> étant notée j = 3 et la seconde phase p de DS</w:t>
      </w:r>
      <w:r w:rsidRPr="002C5876">
        <w:rPr>
          <w:szCs w:val="24"/>
          <w:vertAlign w:val="subscript"/>
        </w:rPr>
        <w:t xml:space="preserve">2 </w:t>
      </w:r>
      <w:r w:rsidRPr="002C5876">
        <w:rPr>
          <w:szCs w:val="24"/>
        </w:rPr>
        <w:t>étant notée j = 4 − de la procédure d’essai du type 1 abrégée ;</w:t>
      </w:r>
    </w:p>
    <w:p w:rsidR="00E24DB7" w:rsidRPr="002C5876" w:rsidRDefault="00E24DB7" w:rsidP="00E24DB7">
      <w:pPr>
        <w:pStyle w:val="SingleTxtG"/>
        <w:ind w:left="3402" w:hanging="1134"/>
        <w:rPr>
          <w:szCs w:val="24"/>
        </w:rPr>
      </w:pPr>
      <w:r w:rsidRPr="002C5876">
        <w:rPr>
          <w:szCs w:val="24"/>
        </w:rPr>
        <w:t>et</w:t>
      </w:r>
    </w:p>
    <w:p w:rsidR="00E24DB7" w:rsidRPr="002C5876" w:rsidRDefault="00731CA6" w:rsidP="00E24DB7">
      <w:pPr>
        <w:pStyle w:val="SingleTxtG"/>
        <w:ind w:left="2268"/>
        <w:jc w:val="center"/>
        <w:rPr>
          <w:szCs w:val="24"/>
        </w:rPr>
      </w:pPr>
      <m:oMathPara>
        <m:oMath>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p,1</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REESS,p,1</m:t>
                  </m:r>
                </m:sub>
              </m:sSub>
            </m:num>
            <m:den>
              <m:sSub>
                <m:sSubPr>
                  <m:ctrlPr>
                    <w:rPr>
                      <w:rFonts w:ascii="Cambria Math" w:hAnsi="Cambria Math" w:cstheme="majorBidi"/>
                    </w:rPr>
                  </m:ctrlPr>
                </m:sSubPr>
                <m:e>
                  <m:r>
                    <m:rPr>
                      <m:sty m:val="p"/>
                    </m:rPr>
                    <w:rPr>
                      <w:rFonts w:ascii="Cambria Math" w:hAnsi="Cambria Math" w:cstheme="majorBidi"/>
                    </w:rPr>
                    <m:t>UBE</m:t>
                  </m:r>
                </m:e>
                <m:sub>
                  <m:r>
                    <m:rPr>
                      <m:sty m:val="p"/>
                    </m:rPr>
                    <w:rPr>
                      <w:rFonts w:ascii="Cambria Math" w:hAnsi="Cambria Math" w:cstheme="majorBidi"/>
                    </w:rPr>
                    <m:t>STP</m:t>
                  </m:r>
                </m:sub>
              </m:sSub>
            </m:den>
          </m:f>
          <m:r>
            <m:rPr>
              <m:sty m:val="p"/>
            </m:rPr>
            <w:rPr>
              <w:rFonts w:ascii="Cambria Math" w:hAnsi="Cambria Math" w:cstheme="majorBidi"/>
            </w:rPr>
            <m:t xml:space="preserve"> </m:t>
          </m:r>
          <m:r>
            <m:rPr>
              <m:sty m:val="p"/>
            </m:rPr>
            <w:rPr>
              <w:rFonts w:ascii="Cambria Math" w:hAnsiTheme="majorBidi" w:cstheme="majorBidi"/>
            </w:rPr>
            <m:t>et</m:t>
          </m:r>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p,j</m:t>
              </m:r>
            </m:sub>
          </m:sSub>
          <m:r>
            <m:rPr>
              <m:sty m:val="p"/>
            </m:rPr>
            <w:rPr>
              <w:rFonts w:ascii="Cambria Math" w:hAnsi="Cambria Math" w:cstheme="majorBidi"/>
            </w:rPr>
            <m:t>=</m:t>
          </m:r>
          <m:f>
            <m:fPr>
              <m:ctrlPr>
                <w:rPr>
                  <w:rFonts w:ascii="Cambria Math" w:hAnsi="Cambria Math" w:cstheme="majorBidi"/>
                </w:rPr>
              </m:ctrlPr>
            </m:fPr>
            <m:num>
              <m:r>
                <m:rPr>
                  <m:sty m:val="p"/>
                </m:rPr>
                <w:rPr>
                  <w:rFonts w:ascii="Cambria Math" w:hAnsi="Cambria Math" w:cstheme="majorBidi"/>
                </w:rPr>
                <m:t>1-</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p,1</m:t>
                  </m:r>
                </m:sub>
              </m:sSub>
            </m:num>
            <m:den>
              <m:r>
                <m:rPr>
                  <m:sty m:val="p"/>
                </m:rPr>
                <w:rPr>
                  <w:rFonts w:ascii="Cambria Math" w:hAnsi="Cambria Math" w:cstheme="majorBidi"/>
                </w:rPr>
                <m:t>3</m:t>
              </m:r>
            </m:den>
          </m:f>
          <m:r>
            <m:rPr>
              <m:sty m:val="p"/>
            </m:rPr>
            <w:rPr>
              <w:rFonts w:ascii="Cambria Math" w:hAnsi="Cambria Math" w:cstheme="majorBidi"/>
            </w:rPr>
            <m:t xml:space="preserve"> pour j=2…4</m:t>
          </m:r>
        </m:oMath>
      </m:oMathPara>
    </w:p>
    <w:p w:rsidR="00E24DB7" w:rsidRPr="002C5876" w:rsidRDefault="00E24DB7" w:rsidP="00E24DB7">
      <w:pPr>
        <w:pStyle w:val="SingleTxtG"/>
        <w:keepNext/>
        <w:ind w:left="3402" w:hanging="1134"/>
      </w:pPr>
      <w:r w:rsidRPr="002C5876">
        <w:t>où :</w:t>
      </w:r>
    </w:p>
    <w:p w:rsidR="00E24DB7" w:rsidRPr="002C5876" w:rsidRDefault="00E24DB7" w:rsidP="00E24DB7">
      <w:pPr>
        <w:pStyle w:val="SingleTxtG"/>
        <w:ind w:left="3402" w:hanging="1134"/>
        <w:rPr>
          <w:szCs w:val="24"/>
        </w:rPr>
      </w:pPr>
      <w:r w:rsidRPr="002C5876">
        <w:rPr>
          <w:szCs w:val="24"/>
        </w:rPr>
        <w:sym w:font="Symbol" w:char="F044"/>
      </w:r>
      <w:r w:rsidRPr="002C5876">
        <w:rPr>
          <w:szCs w:val="24"/>
        </w:rPr>
        <w:t>E</w:t>
      </w:r>
      <w:r w:rsidRPr="002C5876">
        <w:rPr>
          <w:szCs w:val="24"/>
          <w:vertAlign w:val="subscript"/>
        </w:rPr>
        <w:t>REESS,p,1</w:t>
      </w:r>
      <w:r w:rsidRPr="002C5876">
        <w:rPr>
          <w:szCs w:val="24"/>
        </w:rPr>
        <w:tab/>
        <w:t>est la variation d’énergie de tous les SRSEE durant la première phase p du segment DS</w:t>
      </w:r>
      <w:r w:rsidRPr="002C5876">
        <w:rPr>
          <w:szCs w:val="24"/>
          <w:vertAlign w:val="subscript"/>
        </w:rPr>
        <w:t>1</w:t>
      </w:r>
      <w:r w:rsidRPr="002C5876">
        <w:rPr>
          <w:szCs w:val="24"/>
        </w:rPr>
        <w:t xml:space="preserve"> de la procédure d’essai du type 1 abrégée, en Wh.</w:t>
      </w:r>
    </w:p>
    <w:p w:rsidR="00E24DB7" w:rsidRPr="002C5876" w:rsidRDefault="00E24DB7" w:rsidP="00E24DB7">
      <w:pPr>
        <w:pStyle w:val="SingleTxtG"/>
        <w:ind w:left="2268"/>
        <w:rPr>
          <w:szCs w:val="24"/>
        </w:rPr>
      </w:pPr>
      <w:r w:rsidRPr="002C5876">
        <w:rPr>
          <w:szCs w:val="24"/>
        </w:rPr>
        <w:t>Dans le cas des phases à haute vitesse (p = high) et à extra-haute vitesse (p = extra high), les équations suivantes doivent être appliquées :</w:t>
      </w:r>
    </w:p>
    <w:p w:rsidR="00E24DB7" w:rsidRPr="002C5876" w:rsidRDefault="00E24DB7" w:rsidP="00E24DB7">
      <w:pPr>
        <w:pStyle w:val="SingleTxtG"/>
        <w:ind w:left="2268"/>
        <w:jc w:val="center"/>
        <w:rPr>
          <w:szCs w:val="24"/>
        </w:rPr>
      </w:pPr>
      <w:r w:rsidRPr="002C5876">
        <w:rPr>
          <w:noProof/>
          <w:position w:val="-20"/>
          <w:lang w:val="en-GB" w:eastAsia="zh-CN"/>
        </w:rPr>
        <w:drawing>
          <wp:inline distT="0" distB="0" distL="0" distR="0" wp14:anchorId="134FB247" wp14:editId="73771ABE">
            <wp:extent cx="1657350" cy="314325"/>
            <wp:effectExtent l="0" t="0" r="0" b="9525"/>
            <wp:docPr id="1479" name="Imag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657350" cy="314325"/>
                    </a:xfrm>
                    <a:prstGeom prst="rect">
                      <a:avLst/>
                    </a:prstGeom>
                    <a:noFill/>
                    <a:ln>
                      <a:noFill/>
                    </a:ln>
                  </pic:spPr>
                </pic:pic>
              </a:graphicData>
            </a:graphic>
          </wp:inline>
        </w:drawing>
      </w:r>
    </w:p>
    <w:p w:rsidR="00E24DB7" w:rsidRPr="002C5876" w:rsidRDefault="00E24DB7" w:rsidP="00E24DB7">
      <w:pPr>
        <w:pStyle w:val="SingleTxtG"/>
        <w:ind w:left="3402" w:hanging="1134"/>
        <w:rPr>
          <w:szCs w:val="24"/>
        </w:rPr>
      </w:pPr>
      <w:r w:rsidRPr="002C5876">
        <w:t>où :</w:t>
      </w:r>
    </w:p>
    <w:p w:rsidR="00E24DB7" w:rsidRPr="002C5876" w:rsidRDefault="00E24DB7" w:rsidP="00E24DB7">
      <w:pPr>
        <w:pStyle w:val="SingleTxtG"/>
        <w:ind w:left="3402" w:hanging="1134"/>
        <w:rPr>
          <w:szCs w:val="24"/>
        </w:rPr>
      </w:pPr>
      <w:r w:rsidRPr="002C5876">
        <w:rPr>
          <w:szCs w:val="24"/>
        </w:rPr>
        <w:t>EC</w:t>
      </w:r>
      <w:r w:rsidRPr="002C5876">
        <w:rPr>
          <w:szCs w:val="24"/>
          <w:vertAlign w:val="subscript"/>
        </w:rPr>
        <w:t>DCp,j</w:t>
      </w:r>
      <w:r w:rsidRPr="002C5876">
        <w:rPr>
          <w:szCs w:val="24"/>
        </w:rPr>
        <w:tab/>
        <w:t>est la consommation d’énergie électrique pour la phase p du segment DS</w:t>
      </w:r>
      <w:r w:rsidRPr="002C5876">
        <w:rPr>
          <w:szCs w:val="24"/>
          <w:vertAlign w:val="subscript"/>
        </w:rPr>
        <w:t>j</w:t>
      </w:r>
      <w:r w:rsidRPr="002C5876">
        <w:rPr>
          <w:szCs w:val="24"/>
        </w:rPr>
        <w:t xml:space="preserve"> de la procédure d’essai du type 1 abrégée, conformément au paragraphe 4.3 de la présente annexe, en Wh/km ;</w:t>
      </w:r>
    </w:p>
    <w:p w:rsidR="00E24DB7" w:rsidRPr="002C5876" w:rsidRDefault="00E24DB7" w:rsidP="00E24DB7">
      <w:pPr>
        <w:pStyle w:val="SingleTxtG"/>
        <w:ind w:left="3402" w:hanging="1134"/>
        <w:rPr>
          <w:szCs w:val="24"/>
        </w:rPr>
      </w:pPr>
      <w:r w:rsidRPr="002C5876">
        <w:rPr>
          <w:szCs w:val="24"/>
        </w:rPr>
        <w:t>K</w:t>
      </w:r>
      <w:r w:rsidRPr="002C5876">
        <w:rPr>
          <w:szCs w:val="24"/>
          <w:vertAlign w:val="subscript"/>
        </w:rPr>
        <w:t>p,j</w:t>
      </w:r>
      <w:r w:rsidRPr="002C5876">
        <w:rPr>
          <w:szCs w:val="24"/>
        </w:rPr>
        <w:tab/>
        <w:t>est le facteur de pondération pour la phase p du segment DS</w:t>
      </w:r>
      <w:r w:rsidRPr="002C5876">
        <w:rPr>
          <w:szCs w:val="24"/>
          <w:vertAlign w:val="subscript"/>
        </w:rPr>
        <w:t>j</w:t>
      </w:r>
      <w:r w:rsidRPr="002C5876">
        <w:rPr>
          <w:szCs w:val="24"/>
        </w:rPr>
        <w:t xml:space="preserve"> de la procédure d’essai du type 1 abrégée ;</w:t>
      </w:r>
    </w:p>
    <w:p w:rsidR="00E24DB7" w:rsidRPr="002C5876" w:rsidRDefault="00E24DB7" w:rsidP="00E24DB7">
      <w:pPr>
        <w:pStyle w:val="SingleTxtG"/>
        <w:ind w:left="3402" w:hanging="1134"/>
        <w:rPr>
          <w:szCs w:val="24"/>
        </w:rPr>
      </w:pPr>
      <w:r w:rsidRPr="002C5876">
        <w:rPr>
          <w:szCs w:val="24"/>
        </w:rPr>
        <w:t>et</w:t>
      </w:r>
    </w:p>
    <w:p w:rsidR="00E24DB7" w:rsidRPr="002C5876" w:rsidRDefault="00731CA6" w:rsidP="00E24DB7">
      <w:pPr>
        <w:pStyle w:val="SingleTxtG"/>
        <w:spacing w:after="240"/>
        <w:ind w:left="2268"/>
        <w:jc w:val="center"/>
        <w:rPr>
          <w:szCs w:val="24"/>
        </w:rPr>
      </w:pPr>
      <m:oMathPara>
        <m:oMath>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p,1</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REESS,p,1</m:t>
                  </m:r>
                </m:sub>
              </m:sSub>
            </m:num>
            <m:den>
              <m:sSub>
                <m:sSubPr>
                  <m:ctrlPr>
                    <w:rPr>
                      <w:rFonts w:ascii="Cambria Math" w:hAnsi="Cambria Math" w:cstheme="majorBidi"/>
                    </w:rPr>
                  </m:ctrlPr>
                </m:sSubPr>
                <m:e>
                  <m:r>
                    <m:rPr>
                      <m:sty m:val="p"/>
                    </m:rPr>
                    <w:rPr>
                      <w:rFonts w:ascii="Cambria Math" w:hAnsi="Cambria Math" w:cstheme="majorBidi"/>
                    </w:rPr>
                    <m:t>UBE</m:t>
                  </m:r>
                </m:e>
                <m:sub>
                  <m:r>
                    <m:rPr>
                      <m:sty m:val="p"/>
                    </m:rPr>
                    <w:rPr>
                      <w:rFonts w:ascii="Cambria Math" w:hAnsi="Cambria Math" w:cstheme="majorBidi"/>
                    </w:rPr>
                    <m:t>STP</m:t>
                  </m:r>
                </m:sub>
              </m:sSub>
            </m:den>
          </m:f>
          <m:r>
            <m:rPr>
              <m:sty m:val="p"/>
            </m:rPr>
            <w:rPr>
              <w:rFonts w:ascii="Cambria Math" w:hAnsi="Cambria Math" w:cstheme="majorBidi"/>
            </w:rPr>
            <m:t xml:space="preserve"> </m:t>
          </m:r>
          <m:r>
            <m:rPr>
              <m:sty m:val="p"/>
            </m:rPr>
            <w:rPr>
              <w:rFonts w:ascii="Cambria Math" w:hAnsiTheme="majorBidi" w:cstheme="majorBidi"/>
            </w:rPr>
            <m:t xml:space="preserve">et </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p,2</m:t>
              </m:r>
            </m:sub>
          </m:sSub>
          <m:r>
            <m:rPr>
              <m:sty m:val="p"/>
            </m:rPr>
            <w:rPr>
              <w:rFonts w:ascii="Cambria Math" w:hAnsi="Cambria Math" w:cstheme="majorBidi"/>
            </w:rPr>
            <m:t>=1-</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p,1</m:t>
              </m:r>
            </m:sub>
          </m:sSub>
        </m:oMath>
      </m:oMathPara>
    </w:p>
    <w:p w:rsidR="00E24DB7" w:rsidRPr="002C5876" w:rsidRDefault="00E24DB7" w:rsidP="00E24DB7">
      <w:pPr>
        <w:pStyle w:val="SingleTxtG"/>
        <w:ind w:left="3402" w:hanging="1134"/>
        <w:rPr>
          <w:szCs w:val="24"/>
        </w:rPr>
      </w:pPr>
      <w:r w:rsidRPr="002C5876">
        <w:lastRenderedPageBreak/>
        <w:t>où :</w:t>
      </w:r>
    </w:p>
    <w:p w:rsidR="00E24DB7" w:rsidRPr="002C5876" w:rsidRDefault="00E24DB7" w:rsidP="00E24DB7">
      <w:pPr>
        <w:pStyle w:val="SingleTxtG"/>
        <w:ind w:left="3402" w:hanging="1134"/>
        <w:rPr>
          <w:szCs w:val="24"/>
        </w:rPr>
      </w:pPr>
      <w:r w:rsidRPr="002C5876">
        <w:rPr>
          <w:szCs w:val="24"/>
        </w:rPr>
        <w:sym w:font="Symbol" w:char="F044"/>
      </w:r>
      <w:r w:rsidRPr="002C5876">
        <w:rPr>
          <w:szCs w:val="24"/>
        </w:rPr>
        <w:t>E</w:t>
      </w:r>
      <w:r w:rsidRPr="002C5876">
        <w:rPr>
          <w:szCs w:val="24"/>
          <w:vertAlign w:val="subscript"/>
        </w:rPr>
        <w:t>REESS,p,1</w:t>
      </w:r>
      <w:r w:rsidRPr="002C5876">
        <w:rPr>
          <w:szCs w:val="24"/>
        </w:rPr>
        <w:tab/>
        <w:t>est la variation d’énergie électrique de tous les SRSEE durant la première phase p du segment DS</w:t>
      </w:r>
      <w:r w:rsidRPr="002C5876">
        <w:rPr>
          <w:szCs w:val="24"/>
          <w:vertAlign w:val="subscript"/>
        </w:rPr>
        <w:t>1</w:t>
      </w:r>
      <w:r w:rsidRPr="002C5876">
        <w:rPr>
          <w:szCs w:val="24"/>
        </w:rPr>
        <w:t xml:space="preserve"> de la procédure d’essai du type 1 abrégée, en Wh.</w:t>
      </w:r>
    </w:p>
    <w:p w:rsidR="00E24DB7" w:rsidRPr="002C5876" w:rsidRDefault="00E24DB7" w:rsidP="00E24DB7">
      <w:pPr>
        <w:pStyle w:val="SingleTxtG"/>
        <w:ind w:left="2268" w:hanging="1134"/>
        <w:jc w:val="left"/>
        <w:rPr>
          <w:color w:val="000000"/>
          <w:szCs w:val="24"/>
        </w:rPr>
      </w:pPr>
      <w:r w:rsidRPr="002C5876">
        <w:rPr>
          <w:color w:val="000000"/>
          <w:szCs w:val="24"/>
        </w:rPr>
        <w:t>4.4.2.2</w:t>
      </w:r>
      <w:r w:rsidRPr="002C5876">
        <w:rPr>
          <w:color w:val="000000"/>
          <w:szCs w:val="24"/>
        </w:rPr>
        <w:tab/>
        <w:t xml:space="preserve">Détermination de l’autonomie en mode électrique pur dans le cas </w:t>
      </w:r>
      <w:r w:rsidRPr="002C5876">
        <w:rPr>
          <w:color w:val="000000"/>
          <w:szCs w:val="24"/>
        </w:rPr>
        <w:br/>
        <w:t xml:space="preserve">de l’application de la procédure d’essai du type 1 </w:t>
      </w:r>
      <w:r w:rsidRPr="002C5876">
        <w:rPr>
          <w:color w:val="000000"/>
          <w:szCs w:val="24"/>
        </w:rPr>
        <w:br/>
        <w:t xml:space="preserve">avec cycles consécutifs </w:t>
      </w:r>
    </w:p>
    <w:p w:rsidR="00E24DB7" w:rsidRPr="002C5876" w:rsidRDefault="00E24DB7" w:rsidP="00E24DB7">
      <w:pPr>
        <w:pStyle w:val="SingleTxtG"/>
        <w:ind w:left="2268" w:hanging="1134"/>
      </w:pPr>
      <w:r w:rsidRPr="002C5876">
        <w:t>4.4.2.2.1</w:t>
      </w:r>
      <w:r w:rsidRPr="002C5876">
        <w:tab/>
        <w:t>L’autonomie en mode électrique pur des VEP pour le cycle d’essai WLTP applicable, PER</w:t>
      </w:r>
      <w:r w:rsidRPr="002C5876">
        <w:rPr>
          <w:vertAlign w:val="subscript"/>
        </w:rPr>
        <w:t>WLTP</w:t>
      </w:r>
      <w:r w:rsidRPr="002C5876">
        <w:t>, doit être calculée à partir de l’essai du type 1, tel que décrit au paragraphe 3.4.4.1 de la présente annexe, en appliquant les équations suivantes :</w:t>
      </w:r>
    </w:p>
    <w:p w:rsidR="00E24DB7" w:rsidRPr="002C5876" w:rsidRDefault="00731CA6" w:rsidP="00E24DB7">
      <w:pPr>
        <w:pStyle w:val="SingleTxtG"/>
        <w:spacing w:after="240"/>
        <w:ind w:left="2268"/>
        <w:jc w:val="center"/>
      </w:pPr>
      <m:oMathPara>
        <m:oMath>
          <m:sSub>
            <m:sSubPr>
              <m:ctrlPr>
                <w:rPr>
                  <w:rFonts w:ascii="Cambria Math" w:hAnsi="Cambria Math" w:cstheme="majorBidi"/>
                </w:rPr>
              </m:ctrlPr>
            </m:sSubPr>
            <m:e>
              <m:r>
                <m:rPr>
                  <m:sty m:val="p"/>
                </m:rPr>
                <w:rPr>
                  <w:rFonts w:ascii="Cambria Math" w:hAnsi="Cambria Math" w:cstheme="majorBidi"/>
                </w:rPr>
                <m:t>PER</m:t>
              </m:r>
            </m:e>
            <m:sub>
              <m:r>
                <m:rPr>
                  <m:sty m:val="p"/>
                </m:rPr>
                <w:rPr>
                  <w:rFonts w:ascii="Cambria Math" w:hAnsi="Cambria Math" w:cstheme="majorBidi"/>
                </w:rPr>
                <m:t>WLTC</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UBE</m:t>
                  </m:r>
                </m:e>
                <m:sub>
                  <m:r>
                    <m:rPr>
                      <m:sty m:val="p"/>
                    </m:rPr>
                    <w:rPr>
                      <w:rFonts w:ascii="Cambria Math" w:hAnsi="Cambria Math" w:cstheme="majorBidi"/>
                    </w:rPr>
                    <m:t>CCP</m:t>
                  </m:r>
                </m:sub>
              </m:sSub>
            </m:num>
            <m:den>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DC,WLTC</m:t>
                  </m:r>
                </m:sub>
              </m:sSub>
            </m:den>
          </m:f>
          <m:r>
            <w:rPr>
              <w:rFonts w:ascii="Cambria Math" w:hAnsi="Cambria Math" w:cstheme="majorBidi"/>
            </w:rPr>
            <m:t xml:space="preserve"> </m:t>
          </m:r>
        </m:oMath>
      </m:oMathPara>
    </w:p>
    <w:p w:rsidR="00E24DB7" w:rsidRPr="002C5876" w:rsidRDefault="00E24DB7" w:rsidP="00E24DB7">
      <w:pPr>
        <w:pStyle w:val="SingleTxtG"/>
        <w:ind w:left="3402" w:hanging="1134"/>
        <w:rPr>
          <w:szCs w:val="24"/>
        </w:rPr>
      </w:pPr>
      <w:r w:rsidRPr="002C5876">
        <w:rPr>
          <w:szCs w:val="24"/>
        </w:rPr>
        <w:t>où :</w:t>
      </w:r>
    </w:p>
    <w:p w:rsidR="00E24DB7" w:rsidRPr="002C5876" w:rsidRDefault="00E24DB7" w:rsidP="00E24DB7">
      <w:pPr>
        <w:pStyle w:val="SingleTxtG"/>
        <w:ind w:left="3402" w:hanging="1134"/>
        <w:rPr>
          <w:szCs w:val="24"/>
        </w:rPr>
      </w:pPr>
      <w:r w:rsidRPr="002C5876">
        <w:rPr>
          <w:szCs w:val="24"/>
        </w:rPr>
        <w:t>UBE</w:t>
      </w:r>
      <w:r w:rsidRPr="002C5876">
        <w:rPr>
          <w:szCs w:val="24"/>
          <w:vertAlign w:val="subscript"/>
        </w:rPr>
        <w:t>CCP</w:t>
      </w:r>
      <w:r w:rsidRPr="002C5876">
        <w:rPr>
          <w:szCs w:val="24"/>
        </w:rPr>
        <w:tab/>
        <w:t xml:space="preserve">est l’énergie utilisable du SRSEE, déterminée à partir du début de la procédure d’essai du type 1 </w:t>
      </w:r>
      <w:r w:rsidRPr="002C5876">
        <w:rPr>
          <w:color w:val="000000"/>
          <w:szCs w:val="24"/>
        </w:rPr>
        <w:t xml:space="preserve">avec cycles consécutifs, </w:t>
      </w:r>
      <w:r w:rsidRPr="002C5876">
        <w:rPr>
          <w:szCs w:val="24"/>
        </w:rPr>
        <w:t>jusqu’à ce que le critère de déconnexion tel que défini au paragraphe 3.4.4.1.3 de la présente annexe soit atteint, en Wh ;</w:t>
      </w:r>
    </w:p>
    <w:p w:rsidR="00E24DB7" w:rsidRPr="002C5876" w:rsidRDefault="00E24DB7" w:rsidP="00E24DB7">
      <w:pPr>
        <w:pStyle w:val="SingleTxtG"/>
        <w:ind w:left="3402" w:hanging="1134"/>
        <w:rPr>
          <w:szCs w:val="24"/>
        </w:rPr>
      </w:pPr>
      <w:r w:rsidRPr="002C5876">
        <w:rPr>
          <w:szCs w:val="24"/>
        </w:rPr>
        <w:t>EC</w:t>
      </w:r>
      <w:r w:rsidRPr="002C5876">
        <w:rPr>
          <w:szCs w:val="24"/>
          <w:vertAlign w:val="subscript"/>
        </w:rPr>
        <w:t>DC,WLTC</w:t>
      </w:r>
      <w:r w:rsidRPr="002C5876">
        <w:rPr>
          <w:szCs w:val="24"/>
        </w:rPr>
        <w:tab/>
        <w:t xml:space="preserve">est la consommation d’énergie électrique pour le cycle d’essai WLTP applicable, déterminée à partir des cycles d’essai WLTP applicables entièrement exécutés de la procédure d’essai du type 1 </w:t>
      </w:r>
      <w:r w:rsidRPr="002C5876">
        <w:rPr>
          <w:color w:val="000000"/>
          <w:szCs w:val="24"/>
        </w:rPr>
        <w:t>avec cycles consécutifs</w:t>
      </w:r>
      <w:r w:rsidRPr="002C5876">
        <w:rPr>
          <w:szCs w:val="24"/>
        </w:rPr>
        <w:t>, en Wh/km ;</w:t>
      </w:r>
    </w:p>
    <w:p w:rsidR="00E24DB7" w:rsidRPr="002C5876" w:rsidRDefault="00E24DB7" w:rsidP="00E24DB7">
      <w:pPr>
        <w:pStyle w:val="SingleTxtG"/>
        <w:ind w:left="3402" w:hanging="1134"/>
        <w:rPr>
          <w:color w:val="000000"/>
          <w:szCs w:val="24"/>
        </w:rPr>
      </w:pPr>
      <w:r w:rsidRPr="002C5876">
        <w:rPr>
          <w:color w:val="000000"/>
          <w:szCs w:val="24"/>
        </w:rPr>
        <w:t>et</w:t>
      </w:r>
    </w:p>
    <w:p w:rsidR="00E24DB7" w:rsidRPr="002C5876" w:rsidRDefault="00731CA6" w:rsidP="00E24DB7">
      <w:pPr>
        <w:pStyle w:val="SingleTxtG"/>
        <w:ind w:left="2268"/>
        <w:jc w:val="center"/>
        <w:rPr>
          <w:color w:val="000000"/>
          <w:szCs w:val="24"/>
        </w:rPr>
      </w:pPr>
      <m:oMathPara>
        <m:oMath>
          <m:sSub>
            <m:sSubPr>
              <m:ctrlPr>
                <w:rPr>
                  <w:rFonts w:ascii="Cambria Math" w:hAnsi="Cambria Math" w:cstheme="majorBidi"/>
                </w:rPr>
              </m:ctrlPr>
            </m:sSubPr>
            <m:e>
              <m:r>
                <m:rPr>
                  <m:sty m:val="p"/>
                </m:rPr>
                <w:rPr>
                  <w:rFonts w:ascii="Cambria Math" w:hAnsi="Cambria Math" w:cstheme="majorBidi"/>
                </w:rPr>
                <m:t>UBE</m:t>
              </m:r>
            </m:e>
            <m:sub>
              <m:r>
                <m:rPr>
                  <m:sty m:val="p"/>
                </m:rPr>
                <w:rPr>
                  <w:rFonts w:ascii="Cambria Math" w:hAnsi="Cambria Math" w:cstheme="majorBidi"/>
                </w:rPr>
                <m:t>CCP</m:t>
              </m:r>
            </m:sub>
          </m:sSub>
          <m:r>
            <m:rPr>
              <m:sty m:val="p"/>
            </m:rPr>
            <w:rPr>
              <w:rFonts w:ascii="Cambria Math" w:hAnsi="Cambria Math" w:cstheme="majorBidi"/>
            </w:rPr>
            <m:t>=</m:t>
          </m:r>
          <m:nary>
            <m:naryPr>
              <m:chr m:val="∑"/>
              <m:limLoc m:val="subSup"/>
              <m:ctrlPr>
                <w:rPr>
                  <w:rFonts w:ascii="Cambria Math" w:hAnsi="Cambria Math" w:cstheme="majorBidi"/>
                </w:rPr>
              </m:ctrlPr>
            </m:naryPr>
            <m:sub>
              <m:r>
                <m:rPr>
                  <m:sty m:val="p"/>
                </m:rPr>
                <w:rPr>
                  <w:rFonts w:ascii="Cambria Math" w:hAnsi="Cambria Math" w:cstheme="majorBidi"/>
                </w:rPr>
                <m:t>j=1</m:t>
              </m:r>
            </m:sub>
            <m:sup>
              <m:r>
                <m:rPr>
                  <m:sty m:val="p"/>
                </m:rPr>
                <w:rPr>
                  <w:rFonts w:ascii="Cambria Math" w:hAnsi="Cambria Math" w:cstheme="majorBidi"/>
                </w:rPr>
                <m:t>k</m:t>
              </m:r>
            </m:sup>
            <m:e>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REESS,j</m:t>
                  </m:r>
                </m:sub>
              </m:sSub>
            </m:e>
          </m:nary>
        </m:oMath>
      </m:oMathPara>
    </w:p>
    <w:p w:rsidR="00E24DB7" w:rsidRPr="002C5876" w:rsidRDefault="00E24DB7" w:rsidP="00E24DB7">
      <w:pPr>
        <w:pStyle w:val="SingleTxtG"/>
        <w:ind w:left="3402" w:hanging="1134"/>
        <w:rPr>
          <w:szCs w:val="24"/>
        </w:rPr>
      </w:pPr>
      <w:r w:rsidRPr="002C5876">
        <w:rPr>
          <w:szCs w:val="24"/>
        </w:rPr>
        <w:t>où :</w:t>
      </w:r>
    </w:p>
    <w:p w:rsidR="00E24DB7" w:rsidRPr="002C5876" w:rsidRDefault="00E24DB7" w:rsidP="00E24DB7">
      <w:pPr>
        <w:pStyle w:val="SingleTxtG"/>
        <w:ind w:left="3515" w:hanging="1247"/>
        <w:rPr>
          <w:szCs w:val="24"/>
        </w:rPr>
      </w:pPr>
      <w:r w:rsidRPr="002C5876">
        <w:rPr>
          <w:szCs w:val="24"/>
        </w:rPr>
        <w:sym w:font="Symbol" w:char="F044"/>
      </w:r>
      <w:r w:rsidRPr="002C5876">
        <w:rPr>
          <w:szCs w:val="24"/>
        </w:rPr>
        <w:t>E</w:t>
      </w:r>
      <w:r w:rsidRPr="002C5876">
        <w:rPr>
          <w:szCs w:val="24"/>
          <w:vertAlign w:val="subscript"/>
        </w:rPr>
        <w:t>REESS,j</w:t>
      </w:r>
      <w:r w:rsidRPr="002C5876">
        <w:rPr>
          <w:szCs w:val="24"/>
        </w:rPr>
        <w:tab/>
        <w:t xml:space="preserve">est la variation d’énergie électrique de tous les SRSEE durant la phase j de la procédure d’essai du type 1 </w:t>
      </w:r>
      <w:r w:rsidRPr="002C5876">
        <w:rPr>
          <w:color w:val="000000"/>
          <w:szCs w:val="24"/>
        </w:rPr>
        <w:t>avec cycles consécutifs</w:t>
      </w:r>
      <w:r w:rsidRPr="002C5876">
        <w:rPr>
          <w:szCs w:val="24"/>
        </w:rPr>
        <w:t>, en Wh ;</w:t>
      </w:r>
    </w:p>
    <w:p w:rsidR="00E24DB7" w:rsidRPr="002C5876" w:rsidRDefault="00E24DB7" w:rsidP="00E24DB7">
      <w:pPr>
        <w:pStyle w:val="SingleTxtG"/>
        <w:ind w:left="3515" w:hanging="1247"/>
        <w:rPr>
          <w:szCs w:val="24"/>
        </w:rPr>
      </w:pPr>
      <w:r w:rsidRPr="002C5876">
        <w:rPr>
          <w:szCs w:val="24"/>
        </w:rPr>
        <w:t>j</w:t>
      </w:r>
      <w:r w:rsidRPr="002C5876">
        <w:rPr>
          <w:szCs w:val="24"/>
        </w:rPr>
        <w:tab/>
        <w:t>est le numéro d’ordre de la phase ;</w:t>
      </w:r>
    </w:p>
    <w:p w:rsidR="00E24DB7" w:rsidRPr="002C5876" w:rsidRDefault="00E24DB7" w:rsidP="00E24DB7">
      <w:pPr>
        <w:pStyle w:val="SingleTxtG"/>
        <w:ind w:left="3515" w:hanging="1247"/>
        <w:rPr>
          <w:szCs w:val="24"/>
        </w:rPr>
      </w:pPr>
      <w:r w:rsidRPr="002C5876">
        <w:rPr>
          <w:szCs w:val="24"/>
        </w:rPr>
        <w:t>k</w:t>
      </w:r>
      <w:r w:rsidRPr="002C5876">
        <w:rPr>
          <w:szCs w:val="24"/>
        </w:rPr>
        <w:tab/>
        <w:t>est le nombre de phases exécutées depuis le début, jusqu’à la phase à laquelle le critère de déconnexion est atteint, cette phase étant incluse ;</w:t>
      </w:r>
    </w:p>
    <w:p w:rsidR="00E24DB7" w:rsidRPr="002C5876" w:rsidRDefault="00E24DB7" w:rsidP="00E24DB7">
      <w:pPr>
        <w:pStyle w:val="SingleTxtG"/>
        <w:ind w:left="3402" w:hanging="1134"/>
        <w:rPr>
          <w:szCs w:val="24"/>
        </w:rPr>
      </w:pPr>
      <w:r w:rsidRPr="002C5876">
        <w:rPr>
          <w:szCs w:val="24"/>
        </w:rPr>
        <w:t>et</w:t>
      </w:r>
    </w:p>
    <w:p w:rsidR="00E24DB7" w:rsidRPr="002C5876" w:rsidRDefault="00731CA6" w:rsidP="00E24DB7">
      <w:pPr>
        <w:pStyle w:val="SingleTxtG"/>
        <w:ind w:left="2268"/>
        <w:jc w:val="center"/>
        <w:rPr>
          <w:szCs w:val="24"/>
        </w:rPr>
      </w:pPr>
      <m:oMathPara>
        <m:oMath>
          <m:sSub>
            <m:sSubPr>
              <m:ctrlPr>
                <w:rPr>
                  <w:rFonts w:ascii="Cambria Math" w:eastAsia="Times New Roman" w:hAnsi="Cambria Math" w:cstheme="majorBidi"/>
                </w:rPr>
              </m:ctrlPr>
            </m:sSubPr>
            <m:e>
              <m:r>
                <m:rPr>
                  <m:sty m:val="p"/>
                </m:rPr>
                <w:rPr>
                  <w:rFonts w:ascii="Cambria Math" w:eastAsia="Times New Roman" w:hAnsi="Cambria Math" w:cstheme="majorBidi"/>
                </w:rPr>
                <m:t>EC</m:t>
              </m:r>
            </m:e>
            <m:sub>
              <m:r>
                <m:rPr>
                  <m:sty m:val="p"/>
                </m:rPr>
                <w:rPr>
                  <w:rFonts w:ascii="Cambria Math" w:eastAsia="Times New Roman" w:hAnsi="Cambria Math" w:cstheme="majorBidi"/>
                </w:rPr>
                <m:t>DC,WLTC</m:t>
              </m:r>
            </m:sub>
          </m:sSub>
          <m:r>
            <m:rPr>
              <m:sty m:val="p"/>
            </m:rPr>
            <w:rPr>
              <w:rFonts w:ascii="Cambria Math" w:eastAsia="Times New Roman" w:hAnsi="Cambria Math" w:cstheme="majorBidi"/>
            </w:rPr>
            <m:t>=</m:t>
          </m:r>
          <m:nary>
            <m:naryPr>
              <m:chr m:val="∑"/>
              <m:limLoc m:val="subSup"/>
              <m:ctrlPr>
                <w:rPr>
                  <w:rFonts w:ascii="Cambria Math" w:eastAsia="Times New Roman" w:hAnsi="Cambria Math" w:cstheme="majorBidi"/>
                </w:rPr>
              </m:ctrlPr>
            </m:naryPr>
            <m:sub>
              <m:r>
                <m:rPr>
                  <m:sty m:val="p"/>
                </m:rPr>
                <w:rPr>
                  <w:rFonts w:ascii="Cambria Math" w:eastAsia="Times New Roman" w:hAnsi="Cambria Math" w:cstheme="majorBidi"/>
                </w:rPr>
                <m:t>j=1</m:t>
              </m:r>
            </m:sub>
            <m:sup>
              <m:sSub>
                <m:sSubPr>
                  <m:ctrlPr>
                    <w:rPr>
                      <w:rFonts w:ascii="Cambria Math" w:eastAsia="Times New Roman" w:hAnsi="Cambria Math" w:cstheme="majorBidi"/>
                    </w:rPr>
                  </m:ctrlPr>
                </m:sSubPr>
                <m:e>
                  <m:r>
                    <m:rPr>
                      <m:sty m:val="p"/>
                    </m:rPr>
                    <w:rPr>
                      <w:rFonts w:ascii="Cambria Math" w:eastAsia="Times New Roman" w:hAnsi="Cambria Math" w:cstheme="majorBidi"/>
                    </w:rPr>
                    <m:t>n</m:t>
                  </m:r>
                </m:e>
                <m:sub>
                  <m:r>
                    <m:rPr>
                      <m:sty m:val="p"/>
                    </m:rPr>
                    <w:rPr>
                      <w:rFonts w:ascii="Cambria Math" w:eastAsia="Times New Roman" w:hAnsi="Cambria Math" w:cstheme="majorBidi"/>
                    </w:rPr>
                    <m:t>WLTC</m:t>
                  </m:r>
                </m:sub>
              </m:sSub>
            </m:sup>
            <m:e>
              <m:sSub>
                <m:sSubPr>
                  <m:ctrlPr>
                    <w:rPr>
                      <w:rFonts w:ascii="Cambria Math" w:eastAsia="Times New Roman" w:hAnsi="Cambria Math" w:cstheme="majorBidi"/>
                    </w:rPr>
                  </m:ctrlPr>
                </m:sSubPr>
                <m:e>
                  <m:r>
                    <m:rPr>
                      <m:sty m:val="p"/>
                    </m:rPr>
                    <w:rPr>
                      <w:rFonts w:ascii="Cambria Math" w:eastAsia="Times New Roman" w:hAnsi="Cambria Math" w:cstheme="majorBidi"/>
                    </w:rPr>
                    <m:t>EC</m:t>
                  </m:r>
                </m:e>
                <m:sub>
                  <m:r>
                    <m:rPr>
                      <m:sty m:val="p"/>
                    </m:rPr>
                    <w:rPr>
                      <w:rFonts w:ascii="Cambria Math" w:eastAsia="Times New Roman" w:hAnsi="Cambria Math" w:cstheme="majorBidi"/>
                    </w:rPr>
                    <m:t>DC,WLTC,j</m:t>
                  </m:r>
                </m:sub>
              </m:sSub>
              <m:r>
                <m:rPr>
                  <m:sty m:val="p"/>
                </m:rPr>
                <w:rPr>
                  <w:rFonts w:ascii="Cambria Math" w:eastAsia="Times New Roman" w:hAnsi="Cambria Math" w:cstheme="majorBidi"/>
                </w:rPr>
                <m:t>×</m:t>
              </m:r>
              <m:sSub>
                <m:sSubPr>
                  <m:ctrlPr>
                    <w:rPr>
                      <w:rFonts w:ascii="Cambria Math" w:eastAsia="Times New Roman" w:hAnsi="Cambria Math" w:cstheme="majorBidi"/>
                    </w:rPr>
                  </m:ctrlPr>
                </m:sSubPr>
                <m:e>
                  <m:r>
                    <m:rPr>
                      <m:sty m:val="p"/>
                    </m:rPr>
                    <w:rPr>
                      <w:rFonts w:ascii="Cambria Math" w:eastAsia="Times New Roman" w:hAnsi="Cambria Math" w:cstheme="majorBidi"/>
                    </w:rPr>
                    <m:t>K</m:t>
                  </m:r>
                </m:e>
                <m:sub>
                  <m:r>
                    <m:rPr>
                      <m:sty m:val="p"/>
                    </m:rPr>
                    <w:rPr>
                      <w:rFonts w:ascii="Cambria Math" w:eastAsia="Times New Roman" w:hAnsi="Cambria Math" w:cstheme="majorBidi"/>
                    </w:rPr>
                    <m:t>WLTC,j</m:t>
                  </m:r>
                </m:sub>
              </m:sSub>
            </m:e>
          </m:nary>
        </m:oMath>
      </m:oMathPara>
    </w:p>
    <w:p w:rsidR="00E24DB7" w:rsidRPr="002C5876" w:rsidRDefault="00E24DB7" w:rsidP="00E24DB7">
      <w:pPr>
        <w:pStyle w:val="SingleTxtG"/>
        <w:ind w:left="3402" w:hanging="1134"/>
        <w:rPr>
          <w:szCs w:val="24"/>
        </w:rPr>
      </w:pPr>
      <w:r w:rsidRPr="002C5876">
        <w:rPr>
          <w:szCs w:val="24"/>
        </w:rPr>
        <w:t>où :</w:t>
      </w:r>
    </w:p>
    <w:p w:rsidR="00E24DB7" w:rsidRPr="002C5876" w:rsidRDefault="00E24DB7" w:rsidP="00E24DB7">
      <w:pPr>
        <w:pStyle w:val="SingleTxtG"/>
        <w:ind w:left="3515" w:hanging="1247"/>
        <w:rPr>
          <w:szCs w:val="24"/>
        </w:rPr>
      </w:pPr>
      <w:r w:rsidRPr="002C5876">
        <w:rPr>
          <w:szCs w:val="24"/>
        </w:rPr>
        <w:t>EC</w:t>
      </w:r>
      <w:r w:rsidRPr="002C5876">
        <w:rPr>
          <w:szCs w:val="24"/>
          <w:vertAlign w:val="subscript"/>
        </w:rPr>
        <w:t>DC,WLTC,j</w:t>
      </w:r>
      <w:r w:rsidRPr="002C5876">
        <w:rPr>
          <w:szCs w:val="24"/>
        </w:rPr>
        <w:tab/>
        <w:t xml:space="preserve">est la consommation d’énergie électrique pour le cycle d’essai WLTP applicable j de la procédure d’essai du type 1 </w:t>
      </w:r>
      <w:r w:rsidRPr="002C5876">
        <w:rPr>
          <w:color w:val="000000"/>
          <w:szCs w:val="24"/>
        </w:rPr>
        <w:t>avec cycles consécutifs,</w:t>
      </w:r>
      <w:r w:rsidRPr="002C5876">
        <w:rPr>
          <w:szCs w:val="24"/>
        </w:rPr>
        <w:t xml:space="preserve"> conformément au paragraphe 4.3 de la présente annexe, en Wh/km ;</w:t>
      </w:r>
    </w:p>
    <w:p w:rsidR="00E24DB7" w:rsidRPr="002C5876" w:rsidRDefault="00E24DB7" w:rsidP="00E24DB7">
      <w:pPr>
        <w:pStyle w:val="SingleTxtG"/>
        <w:ind w:left="3515" w:hanging="1247"/>
        <w:rPr>
          <w:szCs w:val="24"/>
        </w:rPr>
      </w:pPr>
      <w:r w:rsidRPr="002C5876">
        <w:rPr>
          <w:szCs w:val="24"/>
        </w:rPr>
        <w:t>K</w:t>
      </w:r>
      <w:r w:rsidRPr="002C5876">
        <w:rPr>
          <w:szCs w:val="24"/>
          <w:vertAlign w:val="subscript"/>
        </w:rPr>
        <w:t>WLTC,j</w:t>
      </w:r>
      <w:r w:rsidRPr="002C5876">
        <w:rPr>
          <w:szCs w:val="24"/>
        </w:rPr>
        <w:tab/>
        <w:t>est le facteur de pondération pour le cycle d’essai WLTP applicable</w:t>
      </w:r>
      <w:r w:rsidR="0041018E">
        <w:rPr>
          <w:szCs w:val="24"/>
        </w:rPr>
        <w:t> </w:t>
      </w:r>
      <w:r w:rsidRPr="002C5876">
        <w:rPr>
          <w:szCs w:val="24"/>
        </w:rPr>
        <w:t>j de la procédure d’essai du type</w:t>
      </w:r>
      <w:r w:rsidR="0041018E">
        <w:rPr>
          <w:szCs w:val="24"/>
        </w:rPr>
        <w:t> </w:t>
      </w:r>
      <w:r w:rsidRPr="002C5876">
        <w:rPr>
          <w:szCs w:val="24"/>
        </w:rPr>
        <w:t xml:space="preserve">1 </w:t>
      </w:r>
      <w:r w:rsidRPr="002C5876">
        <w:rPr>
          <w:color w:val="000000"/>
          <w:szCs w:val="24"/>
        </w:rPr>
        <w:t>avec cycles consécutifs</w:t>
      </w:r>
      <w:r w:rsidRPr="002C5876">
        <w:rPr>
          <w:szCs w:val="24"/>
        </w:rPr>
        <w:t> ;</w:t>
      </w:r>
    </w:p>
    <w:p w:rsidR="00E24DB7" w:rsidRPr="002C5876" w:rsidRDefault="00E24DB7" w:rsidP="00E24DB7">
      <w:pPr>
        <w:pStyle w:val="SingleTxtG"/>
        <w:ind w:left="3515" w:hanging="1247"/>
        <w:rPr>
          <w:szCs w:val="24"/>
        </w:rPr>
      </w:pPr>
      <w:r w:rsidRPr="002C5876">
        <w:rPr>
          <w:szCs w:val="24"/>
        </w:rPr>
        <w:t>j</w:t>
      </w:r>
      <w:r w:rsidRPr="002C5876">
        <w:rPr>
          <w:szCs w:val="24"/>
        </w:rPr>
        <w:tab/>
        <w:t>est le numéro d’ordre du cycle d’essai WLTP applicable ;</w:t>
      </w:r>
    </w:p>
    <w:p w:rsidR="00E24DB7" w:rsidRPr="002C5876" w:rsidRDefault="00E24DB7" w:rsidP="00E24DB7">
      <w:pPr>
        <w:pStyle w:val="SingleTxtG"/>
        <w:ind w:left="3515" w:hanging="1247"/>
        <w:rPr>
          <w:szCs w:val="24"/>
        </w:rPr>
      </w:pPr>
      <w:r w:rsidRPr="002C5876">
        <w:rPr>
          <w:szCs w:val="24"/>
        </w:rPr>
        <w:t>n</w:t>
      </w:r>
      <w:r w:rsidRPr="002C5876">
        <w:rPr>
          <w:szCs w:val="24"/>
          <w:vertAlign w:val="subscript"/>
        </w:rPr>
        <w:t>WLTC</w:t>
      </w:r>
      <w:r w:rsidRPr="002C5876">
        <w:rPr>
          <w:szCs w:val="24"/>
        </w:rPr>
        <w:tab/>
        <w:t>est le nombre entier de cycles d’essai WLTP applicables entièrement exécutés ;</w:t>
      </w:r>
    </w:p>
    <w:p w:rsidR="00E24DB7" w:rsidRPr="002C5876" w:rsidRDefault="00E24DB7" w:rsidP="00E24DB7">
      <w:pPr>
        <w:pStyle w:val="SingleTxtG"/>
        <w:ind w:left="3402" w:hanging="1134"/>
        <w:rPr>
          <w:szCs w:val="24"/>
        </w:rPr>
      </w:pPr>
      <w:r w:rsidRPr="002C5876">
        <w:rPr>
          <w:szCs w:val="24"/>
        </w:rPr>
        <w:t>et</w:t>
      </w:r>
    </w:p>
    <w:p w:rsidR="00E24DB7" w:rsidRPr="002C5876" w:rsidRDefault="00731CA6" w:rsidP="00E24DB7">
      <w:pPr>
        <w:ind w:left="2268" w:right="1134"/>
        <w:rPr>
          <w:b/>
        </w:rPr>
      </w:pPr>
      <m:oMathPara>
        <m:oMath>
          <m:sSub>
            <m:sSubPr>
              <m:ctrlPr>
                <w:rPr>
                  <w:rFonts w:ascii="Cambria Math" w:hAnsi="Cambria Math"/>
                  <w:b/>
                </w:rPr>
              </m:ctrlPr>
            </m:sSubPr>
            <m:e>
              <m:r>
                <m:rPr>
                  <m:sty m:val="p"/>
                </m:rPr>
                <w:rPr>
                  <w:rFonts w:ascii="Cambria Math" w:hAnsi="Cambria Math"/>
                </w:rPr>
                <m:t>K</m:t>
              </m:r>
            </m:e>
            <m:sub>
              <m:r>
                <m:rPr>
                  <m:sty m:val="p"/>
                </m:rPr>
                <w:rPr>
                  <w:rFonts w:ascii="Cambria Math" w:hAnsi="Cambria Math"/>
                </w:rPr>
                <m:t>WLTC,1</m:t>
              </m:r>
            </m:sub>
          </m:sSub>
          <m:r>
            <m:rPr>
              <m:sty m:val="p"/>
            </m:rPr>
            <w:rPr>
              <w:rFonts w:ascii="Cambria Math" w:hAnsi="Cambria Math"/>
            </w:rPr>
            <m:t>=</m:t>
          </m:r>
          <m:f>
            <m:fPr>
              <m:ctrlPr>
                <w:rPr>
                  <w:rFonts w:ascii="Cambria Math" w:hAnsi="Cambria Math"/>
                  <w:b/>
                </w:rPr>
              </m:ctrlPr>
            </m:fPr>
            <m:num>
              <m:sSub>
                <m:sSubPr>
                  <m:ctrlPr>
                    <w:rPr>
                      <w:rFonts w:ascii="Cambria Math" w:hAnsi="Cambria Math"/>
                      <w:b/>
                    </w:rPr>
                  </m:ctrlPr>
                </m:sSubPr>
                <m:e>
                  <m:r>
                    <m:rPr>
                      <m:sty m:val="p"/>
                    </m:rPr>
                    <w:rPr>
                      <w:rFonts w:ascii="Cambria Math" w:hAnsi="Cambria Math"/>
                    </w:rPr>
                    <m:t>∆E</m:t>
                  </m:r>
                </m:e>
                <m:sub>
                  <m:r>
                    <m:rPr>
                      <m:sty m:val="p"/>
                    </m:rPr>
                    <w:rPr>
                      <w:rFonts w:ascii="Cambria Math" w:hAnsi="Cambria Math"/>
                    </w:rPr>
                    <m:t>REESS,WLTC,1</m:t>
                  </m:r>
                </m:sub>
              </m:sSub>
            </m:num>
            <m:den>
              <m:sSub>
                <m:sSubPr>
                  <m:ctrlPr>
                    <w:rPr>
                      <w:rFonts w:ascii="Cambria Math" w:hAnsi="Cambria Math"/>
                      <w:b/>
                    </w:rPr>
                  </m:ctrlPr>
                </m:sSubPr>
                <m:e>
                  <m:r>
                    <m:rPr>
                      <m:sty m:val="p"/>
                    </m:rPr>
                    <w:rPr>
                      <w:rFonts w:ascii="Cambria Math" w:hAnsi="Cambria Math"/>
                    </w:rPr>
                    <m:t>UBE</m:t>
                  </m:r>
                </m:e>
                <m:sub>
                  <m:r>
                    <m:rPr>
                      <m:sty m:val="p"/>
                    </m:rPr>
                    <w:rPr>
                      <w:rFonts w:ascii="Cambria Math" w:hAnsi="Cambria Math"/>
                    </w:rPr>
                    <m:t>CCP</m:t>
                  </m:r>
                </m:sub>
              </m:sSub>
            </m:den>
          </m:f>
          <m:r>
            <m:rPr>
              <m:sty m:val="p"/>
            </m:rPr>
            <w:rPr>
              <w:rFonts w:ascii="Cambria Math" w:hAnsi="Cambria Math"/>
            </w:rPr>
            <m:t xml:space="preserve">et </m:t>
          </m:r>
          <m:sSub>
            <m:sSubPr>
              <m:ctrlPr>
                <w:rPr>
                  <w:rFonts w:ascii="Cambria Math" w:hAnsi="Cambria Math"/>
                  <w:b/>
                </w:rPr>
              </m:ctrlPr>
            </m:sSubPr>
            <m:e>
              <m:r>
                <m:rPr>
                  <m:sty m:val="p"/>
                </m:rPr>
                <w:rPr>
                  <w:rFonts w:ascii="Cambria Math" w:hAnsi="Cambria Math"/>
                </w:rPr>
                <m:t>K</m:t>
              </m:r>
            </m:e>
            <m:sub>
              <m:r>
                <m:rPr>
                  <m:sty m:val="p"/>
                </m:rPr>
                <w:rPr>
                  <w:rFonts w:ascii="Cambria Math" w:hAnsi="Cambria Math"/>
                </w:rPr>
                <m:t>WLTC,j</m:t>
              </m:r>
            </m:sub>
          </m:sSub>
          <m:r>
            <m:rPr>
              <m:sty m:val="p"/>
            </m:rPr>
            <w:rPr>
              <w:rFonts w:ascii="Cambria Math" w:hAnsi="Cambria Math"/>
            </w:rPr>
            <m:t>=</m:t>
          </m:r>
          <m:f>
            <m:fPr>
              <m:ctrlPr>
                <w:rPr>
                  <w:rFonts w:ascii="Cambria Math" w:hAnsi="Cambria Math"/>
                  <w:b/>
                </w:rPr>
              </m:ctrlPr>
            </m:fPr>
            <m:num>
              <m:r>
                <m:rPr>
                  <m:sty m:val="p"/>
                </m:rPr>
                <w:rPr>
                  <w:rFonts w:ascii="Cambria Math" w:hAnsi="Cambria Math"/>
                </w:rPr>
                <m:t>1-</m:t>
              </m:r>
              <m:sSub>
                <m:sSubPr>
                  <m:ctrlPr>
                    <w:rPr>
                      <w:rFonts w:ascii="Cambria Math" w:hAnsi="Cambria Math"/>
                      <w:b/>
                    </w:rPr>
                  </m:ctrlPr>
                </m:sSubPr>
                <m:e>
                  <m:r>
                    <m:rPr>
                      <m:sty m:val="p"/>
                    </m:rPr>
                    <w:rPr>
                      <w:rFonts w:ascii="Cambria Math" w:hAnsi="Cambria Math"/>
                    </w:rPr>
                    <m:t>K</m:t>
                  </m:r>
                </m:e>
                <m:sub>
                  <m:r>
                    <m:rPr>
                      <m:sty m:val="p"/>
                    </m:rPr>
                    <w:rPr>
                      <w:rFonts w:ascii="Cambria Math" w:hAnsi="Cambria Math"/>
                    </w:rPr>
                    <m:t>WLTC,1</m:t>
                  </m:r>
                </m:sub>
              </m:sSub>
            </m:num>
            <m:den>
              <m:sSub>
                <m:sSubPr>
                  <m:ctrlPr>
                    <w:rPr>
                      <w:rFonts w:ascii="Cambria Math" w:hAnsi="Cambria Math"/>
                      <w:b/>
                    </w:rPr>
                  </m:ctrlPr>
                </m:sSubPr>
                <m:e>
                  <m:r>
                    <m:rPr>
                      <m:sty m:val="p"/>
                    </m:rPr>
                    <w:rPr>
                      <w:rFonts w:ascii="Cambria Math" w:hAnsi="Cambria Math"/>
                    </w:rPr>
                    <m:t>n</m:t>
                  </m:r>
                </m:e>
                <m:sub>
                  <m:r>
                    <m:rPr>
                      <m:sty m:val="p"/>
                    </m:rPr>
                    <w:rPr>
                      <w:rFonts w:ascii="Cambria Math" w:hAnsi="Cambria Math"/>
                    </w:rPr>
                    <m:t>WLTC</m:t>
                  </m:r>
                </m:sub>
              </m:sSub>
              <m:r>
                <w:rPr>
                  <w:rFonts w:ascii="Cambria Math" w:hAnsi="Cambria Math"/>
                </w:rPr>
                <m:t>-</m:t>
              </m:r>
              <m:r>
                <m:rPr>
                  <m:nor/>
                </m:rPr>
                <w:rPr>
                  <w:b/>
                </w:rPr>
                <m:t>1</m:t>
              </m:r>
            </m:den>
          </m:f>
          <m:r>
            <m:rPr>
              <m:sty m:val="p"/>
            </m:rPr>
            <w:rPr>
              <w:rFonts w:ascii="Cambria Math" w:hAnsi="Cambria Math"/>
            </w:rPr>
            <m:t xml:space="preserve"> pour j=2…</m:t>
          </m:r>
          <m:sSub>
            <m:sSubPr>
              <m:ctrlPr>
                <w:rPr>
                  <w:rFonts w:ascii="Cambria Math" w:hAnsi="Cambria Math"/>
                  <w:b/>
                </w:rPr>
              </m:ctrlPr>
            </m:sSubPr>
            <m:e>
              <m:r>
                <m:rPr>
                  <m:sty m:val="p"/>
                </m:rPr>
                <w:rPr>
                  <w:rFonts w:ascii="Cambria Math" w:hAnsi="Cambria Math"/>
                </w:rPr>
                <m:t>n</m:t>
              </m:r>
            </m:e>
            <m:sub>
              <m:r>
                <m:rPr>
                  <m:sty m:val="p"/>
                </m:rPr>
                <w:rPr>
                  <w:rFonts w:ascii="Cambria Math" w:hAnsi="Cambria Math"/>
                </w:rPr>
                <m:t>WLTC</m:t>
              </m:r>
            </m:sub>
          </m:sSub>
          <m:r>
            <m:rPr>
              <m:nor/>
            </m:rPr>
            <w:rPr>
              <w:b/>
            </w:rPr>
            <m:t xml:space="preserve"> </m:t>
          </m:r>
        </m:oMath>
      </m:oMathPara>
    </w:p>
    <w:p w:rsidR="00E24DB7" w:rsidRPr="002C5876" w:rsidRDefault="00E24DB7" w:rsidP="00E24DB7">
      <w:pPr>
        <w:pStyle w:val="SingleTxtG"/>
        <w:ind w:left="3402" w:hanging="1134"/>
        <w:rPr>
          <w:szCs w:val="24"/>
        </w:rPr>
      </w:pPr>
      <w:r w:rsidRPr="002C5876">
        <w:t>où :</w:t>
      </w:r>
    </w:p>
    <w:p w:rsidR="00E24DB7" w:rsidRPr="002C5876" w:rsidRDefault="00E24DB7" w:rsidP="00E24DB7">
      <w:pPr>
        <w:pStyle w:val="SingleTxtG"/>
        <w:ind w:left="3515" w:hanging="1247"/>
        <w:rPr>
          <w:szCs w:val="24"/>
        </w:rPr>
      </w:pPr>
      <w:r w:rsidRPr="002C5876">
        <w:rPr>
          <w:spacing w:val="-2"/>
          <w:szCs w:val="24"/>
        </w:rPr>
        <w:sym w:font="Symbol" w:char="F044"/>
      </w:r>
      <w:r w:rsidRPr="002C5876">
        <w:rPr>
          <w:spacing w:val="-2"/>
          <w:szCs w:val="24"/>
        </w:rPr>
        <w:t>E</w:t>
      </w:r>
      <w:r w:rsidRPr="002C5876">
        <w:rPr>
          <w:spacing w:val="-2"/>
          <w:szCs w:val="24"/>
          <w:vertAlign w:val="subscript"/>
        </w:rPr>
        <w:t>REESS,WLTC,1</w:t>
      </w:r>
      <w:r w:rsidRPr="002C5876">
        <w:rPr>
          <w:spacing w:val="-2"/>
          <w:szCs w:val="24"/>
        </w:rPr>
        <w:tab/>
      </w:r>
      <w:r w:rsidRPr="002C5876">
        <w:rPr>
          <w:szCs w:val="24"/>
        </w:rPr>
        <w:t xml:space="preserve">est la variation d’énergie électrique de tous les SRSEE durant le premier cycle d’essai WLTP applicable de la procédure d’essai du type 1 </w:t>
      </w:r>
      <w:r w:rsidRPr="002C5876">
        <w:rPr>
          <w:color w:val="000000"/>
          <w:szCs w:val="24"/>
        </w:rPr>
        <w:t>avec cycles consécutifs</w:t>
      </w:r>
      <w:r w:rsidRPr="002C5876">
        <w:rPr>
          <w:szCs w:val="24"/>
        </w:rPr>
        <w:t>, en Wh.</w:t>
      </w:r>
    </w:p>
    <w:p w:rsidR="00E24DB7" w:rsidRPr="002C5876" w:rsidRDefault="00E24DB7" w:rsidP="00E24DB7">
      <w:pPr>
        <w:pStyle w:val="SingleTxtG"/>
        <w:ind w:left="2268" w:hanging="1134"/>
        <w:rPr>
          <w:szCs w:val="24"/>
        </w:rPr>
      </w:pPr>
      <w:r w:rsidRPr="002C5876">
        <w:rPr>
          <w:szCs w:val="24"/>
        </w:rPr>
        <w:t>4.4.2.2.2</w:t>
      </w:r>
      <w:r w:rsidRPr="002C5876">
        <w:rPr>
          <w:szCs w:val="24"/>
        </w:rPr>
        <w:tab/>
        <w:t>L’autonomie en mode électrique pur des VEP pour le cycle d’essai WLTP urbain, PER</w:t>
      </w:r>
      <w:r w:rsidRPr="002C5876">
        <w:rPr>
          <w:szCs w:val="24"/>
          <w:vertAlign w:val="subscript"/>
        </w:rPr>
        <w:t>city</w:t>
      </w:r>
      <w:r w:rsidRPr="002C5876">
        <w:rPr>
          <w:szCs w:val="24"/>
        </w:rPr>
        <w:t>, doit être calculée à partir de l’essai du type 1, tel que décrit au paragraphe 3.4.4.1 de la présente annexe, en appliquant les équations suivantes :</w:t>
      </w:r>
      <m:oMath>
        <m:r>
          <m:rPr>
            <m:sty m:val="p"/>
          </m:rPr>
          <w:rPr>
            <w:rFonts w:ascii="Cambria Math" w:hAnsi="Cambria Math" w:cstheme="majorBidi"/>
          </w:rPr>
          <w:br/>
        </m:r>
      </m:oMath>
      <m:oMathPara>
        <m:oMath>
          <m:sSub>
            <m:sSubPr>
              <m:ctrlPr>
                <w:rPr>
                  <w:rFonts w:ascii="Cambria Math" w:hAnsi="Cambria Math" w:cstheme="majorBidi"/>
                </w:rPr>
              </m:ctrlPr>
            </m:sSubPr>
            <m:e>
              <m:r>
                <m:rPr>
                  <m:sty m:val="p"/>
                </m:rPr>
                <w:rPr>
                  <w:rFonts w:ascii="Cambria Math" w:hAnsi="Cambria Math" w:cstheme="majorBidi"/>
                </w:rPr>
                <m:t>AER</m:t>
              </m:r>
            </m:e>
            <m:sub>
              <m:r>
                <m:rPr>
                  <m:sty m:val="p"/>
                </m:rPr>
                <w:rPr>
                  <w:rFonts w:ascii="Cambria Math" w:hAnsi="Cambria Math" w:cstheme="majorBidi"/>
                </w:rPr>
                <m:t>city</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UBE</m:t>
                  </m:r>
                </m:e>
                <m:sub>
                  <m:r>
                    <m:rPr>
                      <m:sty m:val="p"/>
                    </m:rPr>
                    <w:rPr>
                      <w:rFonts w:ascii="Cambria Math" w:hAnsi="Cambria Math" w:cstheme="majorBidi"/>
                    </w:rPr>
                    <m:t>city</m:t>
                  </m:r>
                </m:sub>
              </m:sSub>
            </m:num>
            <m:den>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DC,city</m:t>
                  </m:r>
                </m:sub>
              </m:sSub>
            </m:den>
          </m:f>
        </m:oMath>
      </m:oMathPara>
    </w:p>
    <w:p w:rsidR="00E24DB7" w:rsidRPr="002C5876" w:rsidRDefault="00E24DB7" w:rsidP="00E24DB7">
      <w:pPr>
        <w:pStyle w:val="SingleTxtG"/>
        <w:ind w:left="3402" w:hanging="1134"/>
        <w:rPr>
          <w:szCs w:val="24"/>
        </w:rPr>
      </w:pPr>
      <w:r w:rsidRPr="002C5876">
        <w:rPr>
          <w:szCs w:val="24"/>
        </w:rPr>
        <w:t>où :</w:t>
      </w:r>
    </w:p>
    <w:p w:rsidR="00E24DB7" w:rsidRPr="002C5876" w:rsidRDefault="00E24DB7" w:rsidP="00E24DB7">
      <w:pPr>
        <w:pStyle w:val="SingleTxtG"/>
        <w:ind w:left="3515" w:hanging="1247"/>
        <w:rPr>
          <w:szCs w:val="24"/>
        </w:rPr>
      </w:pPr>
      <w:r w:rsidRPr="002C5876">
        <w:rPr>
          <w:szCs w:val="24"/>
        </w:rPr>
        <w:t>UBE</w:t>
      </w:r>
      <w:r w:rsidRPr="002C5876">
        <w:rPr>
          <w:szCs w:val="24"/>
          <w:vertAlign w:val="subscript"/>
        </w:rPr>
        <w:t>CCP</w:t>
      </w:r>
      <w:r w:rsidRPr="002C5876">
        <w:rPr>
          <w:szCs w:val="24"/>
        </w:rPr>
        <w:tab/>
        <w:t>est l’énergie utilisable du SRSEE, conformément au paragraphe 4.4.2.2.1 de la présente annexe, en Wh ;</w:t>
      </w:r>
    </w:p>
    <w:p w:rsidR="00E24DB7" w:rsidRPr="002C5876" w:rsidRDefault="00E24DB7" w:rsidP="00E24DB7">
      <w:pPr>
        <w:pStyle w:val="SingleTxtG"/>
        <w:ind w:left="3402" w:hanging="1134"/>
        <w:rPr>
          <w:szCs w:val="24"/>
        </w:rPr>
      </w:pPr>
      <w:r w:rsidRPr="002C5876">
        <w:rPr>
          <w:szCs w:val="24"/>
        </w:rPr>
        <w:t>EC</w:t>
      </w:r>
      <w:r w:rsidRPr="002C5876">
        <w:rPr>
          <w:szCs w:val="24"/>
          <w:vertAlign w:val="subscript"/>
        </w:rPr>
        <w:t>DC,city</w:t>
      </w:r>
      <w:r w:rsidRPr="002C5876">
        <w:rPr>
          <w:szCs w:val="24"/>
        </w:rPr>
        <w:tab/>
        <w:t xml:space="preserve">est la consommation d’énergie électrique pour le cycle d’essai WLTP urbain applicable, déterminée à partir des cycles d’essai WLTP urbains applicables entièrement exécutés de la procédure d’essai du type 1 </w:t>
      </w:r>
      <w:r w:rsidRPr="002C5876">
        <w:rPr>
          <w:color w:val="000000"/>
          <w:szCs w:val="24"/>
        </w:rPr>
        <w:t>avec cycles consécutifs</w:t>
      </w:r>
      <w:r w:rsidRPr="002C5876">
        <w:rPr>
          <w:szCs w:val="24"/>
        </w:rPr>
        <w:t>, en Wh/km ;</w:t>
      </w:r>
    </w:p>
    <w:p w:rsidR="00E24DB7" w:rsidRPr="002C5876" w:rsidRDefault="00E24DB7" w:rsidP="00E24DB7">
      <w:pPr>
        <w:pStyle w:val="SingleTxtG"/>
        <w:ind w:left="3402" w:hanging="1134"/>
        <w:rPr>
          <w:szCs w:val="24"/>
        </w:rPr>
      </w:pPr>
      <w:r w:rsidRPr="002C5876">
        <w:rPr>
          <w:szCs w:val="24"/>
        </w:rPr>
        <w:t>et</w:t>
      </w:r>
    </w:p>
    <w:p w:rsidR="00E24DB7" w:rsidRPr="002C5876" w:rsidRDefault="00731CA6" w:rsidP="00E24DB7">
      <w:pPr>
        <w:pStyle w:val="SingleTxtG"/>
        <w:ind w:left="2268"/>
        <w:jc w:val="center"/>
        <w:rPr>
          <w:szCs w:val="24"/>
        </w:rPr>
      </w:pPr>
      <m:oMathPara>
        <m:oMath>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DC,city</m:t>
              </m:r>
            </m:sub>
          </m:sSub>
          <m:r>
            <m:rPr>
              <m:sty m:val="p"/>
            </m:rPr>
            <w:rPr>
              <w:rFonts w:ascii="Cambria Math" w:hAnsi="Cambria Math" w:cstheme="majorBidi"/>
            </w:rPr>
            <m:t>=</m:t>
          </m:r>
          <m:nary>
            <m:naryPr>
              <m:chr m:val="∑"/>
              <m:limLoc m:val="subSup"/>
              <m:ctrlPr>
                <w:rPr>
                  <w:rFonts w:ascii="Cambria Math" w:hAnsi="Cambria Math" w:cstheme="majorBidi"/>
                </w:rPr>
              </m:ctrlPr>
            </m:naryPr>
            <m:sub>
              <m:r>
                <m:rPr>
                  <m:sty m:val="p"/>
                </m:rPr>
                <w:rPr>
                  <w:rFonts w:ascii="Cambria Math" w:hAnsi="Cambria Math" w:cstheme="majorBidi"/>
                </w:rPr>
                <m:t>j=1</m:t>
              </m:r>
            </m:sub>
            <m:sup>
              <m:sSub>
                <m:sSubPr>
                  <m:ctrlPr>
                    <w:rPr>
                      <w:rFonts w:ascii="Cambria Math" w:hAnsi="Cambria Math" w:cstheme="majorBidi"/>
                    </w:rPr>
                  </m:ctrlPr>
                </m:sSubPr>
                <m:e>
                  <m:r>
                    <m:rPr>
                      <m:sty m:val="p"/>
                    </m:rPr>
                    <w:rPr>
                      <w:rFonts w:ascii="Cambria Math" w:hAnsi="Cambria Math" w:cstheme="majorBidi"/>
                    </w:rPr>
                    <m:t>n</m:t>
                  </m:r>
                </m:e>
                <m:sub>
                  <m:r>
                    <m:rPr>
                      <m:sty m:val="p"/>
                    </m:rPr>
                    <w:rPr>
                      <w:rFonts w:ascii="Cambria Math" w:hAnsi="Cambria Math" w:cstheme="majorBidi"/>
                    </w:rPr>
                    <m:t>city</m:t>
                  </m:r>
                </m:sub>
              </m:sSub>
            </m:sup>
            <m:e>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DC,city,j</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city,j</m:t>
                  </m:r>
                </m:sub>
              </m:sSub>
            </m:e>
          </m:nary>
        </m:oMath>
      </m:oMathPara>
    </w:p>
    <w:p w:rsidR="00E24DB7" w:rsidRPr="002C5876" w:rsidRDefault="00E24DB7" w:rsidP="00E24DB7">
      <w:pPr>
        <w:pStyle w:val="SingleTxtG"/>
        <w:ind w:left="3402" w:hanging="1134"/>
        <w:rPr>
          <w:szCs w:val="24"/>
        </w:rPr>
      </w:pPr>
      <w:r w:rsidRPr="002C5876">
        <w:t>où :</w:t>
      </w:r>
    </w:p>
    <w:p w:rsidR="00E24DB7" w:rsidRPr="002C5876" w:rsidRDefault="00E24DB7" w:rsidP="00E24DB7">
      <w:pPr>
        <w:pStyle w:val="SingleTxtG"/>
        <w:ind w:left="3402" w:hanging="1134"/>
        <w:rPr>
          <w:szCs w:val="24"/>
        </w:rPr>
      </w:pPr>
      <w:r w:rsidRPr="002C5876">
        <w:rPr>
          <w:szCs w:val="24"/>
        </w:rPr>
        <w:t>EC</w:t>
      </w:r>
      <w:r w:rsidRPr="002C5876">
        <w:rPr>
          <w:szCs w:val="24"/>
          <w:vertAlign w:val="subscript"/>
        </w:rPr>
        <w:t>DCcity,j</w:t>
      </w:r>
      <w:r w:rsidRPr="002C5876">
        <w:rPr>
          <w:szCs w:val="24"/>
        </w:rPr>
        <w:tab/>
        <w:t xml:space="preserve">est la consommation d’énergie électrique pour le cycle d’essai WLTP urbain applicable j de la procédure d’essai du type 1 </w:t>
      </w:r>
      <w:r w:rsidRPr="002C5876">
        <w:rPr>
          <w:color w:val="000000"/>
          <w:szCs w:val="24"/>
        </w:rPr>
        <w:t>avec cycles consécutifs,</w:t>
      </w:r>
      <w:r w:rsidRPr="002C5876">
        <w:rPr>
          <w:szCs w:val="24"/>
        </w:rPr>
        <w:t xml:space="preserve"> conformément au paragraphe 4.3 de la présente annexe, en Wh/km ;</w:t>
      </w:r>
    </w:p>
    <w:p w:rsidR="00E24DB7" w:rsidRPr="002C5876" w:rsidRDefault="00E24DB7" w:rsidP="00E24DB7">
      <w:pPr>
        <w:pStyle w:val="SingleTxtG"/>
        <w:ind w:left="3402" w:hanging="1134"/>
        <w:rPr>
          <w:szCs w:val="24"/>
        </w:rPr>
      </w:pPr>
      <w:r w:rsidRPr="002C5876">
        <w:rPr>
          <w:szCs w:val="24"/>
        </w:rPr>
        <w:t>K</w:t>
      </w:r>
      <w:r w:rsidRPr="002C5876">
        <w:rPr>
          <w:szCs w:val="24"/>
          <w:vertAlign w:val="subscript"/>
        </w:rPr>
        <w:t>city,j</w:t>
      </w:r>
      <w:r w:rsidRPr="002C5876">
        <w:rPr>
          <w:szCs w:val="24"/>
        </w:rPr>
        <w:tab/>
        <w:t xml:space="preserve">est le facteur de pondération pour le cycle d’essai WLTP urbain applicable j de la procédure d’essai du type 1 </w:t>
      </w:r>
      <w:r w:rsidRPr="002C5876">
        <w:rPr>
          <w:color w:val="000000"/>
          <w:szCs w:val="24"/>
        </w:rPr>
        <w:t>avec cycles consécutifs</w:t>
      </w:r>
      <w:r w:rsidRPr="002C5876">
        <w:rPr>
          <w:szCs w:val="24"/>
        </w:rPr>
        <w:t> ;</w:t>
      </w:r>
    </w:p>
    <w:p w:rsidR="00E24DB7" w:rsidRPr="002C5876" w:rsidRDefault="00E24DB7" w:rsidP="00E24DB7">
      <w:pPr>
        <w:pStyle w:val="SingleTxtG"/>
        <w:ind w:left="3402" w:hanging="1134"/>
        <w:rPr>
          <w:szCs w:val="24"/>
        </w:rPr>
      </w:pPr>
      <w:r w:rsidRPr="002C5876">
        <w:rPr>
          <w:szCs w:val="24"/>
        </w:rPr>
        <w:t>j</w:t>
      </w:r>
      <w:r w:rsidRPr="002C5876">
        <w:rPr>
          <w:szCs w:val="24"/>
        </w:rPr>
        <w:tab/>
        <w:t>est le numéro d’ordre du cycle d’essai WLTP urbain applicable ;</w:t>
      </w:r>
    </w:p>
    <w:p w:rsidR="00E24DB7" w:rsidRPr="002C5876" w:rsidRDefault="00E24DB7" w:rsidP="00E24DB7">
      <w:pPr>
        <w:pStyle w:val="SingleTxtG"/>
        <w:ind w:left="3402" w:hanging="1134"/>
        <w:rPr>
          <w:szCs w:val="24"/>
        </w:rPr>
      </w:pPr>
      <w:r w:rsidRPr="002C5876">
        <w:rPr>
          <w:szCs w:val="24"/>
        </w:rPr>
        <w:t>n</w:t>
      </w:r>
      <w:r w:rsidRPr="002C5876">
        <w:rPr>
          <w:szCs w:val="24"/>
          <w:vertAlign w:val="subscript"/>
        </w:rPr>
        <w:t>city</w:t>
      </w:r>
      <w:r w:rsidRPr="002C5876">
        <w:rPr>
          <w:szCs w:val="24"/>
        </w:rPr>
        <w:tab/>
        <w:t>est le nombre entier de cycles d’essai WLTP urbains applicables entièrement exécutés ;</w:t>
      </w:r>
    </w:p>
    <w:p w:rsidR="00E24DB7" w:rsidRPr="002C5876" w:rsidRDefault="00E24DB7" w:rsidP="00E24DB7">
      <w:pPr>
        <w:pStyle w:val="SingleTxtG"/>
        <w:ind w:left="3402" w:hanging="1134"/>
        <w:rPr>
          <w:szCs w:val="24"/>
        </w:rPr>
      </w:pPr>
      <w:r w:rsidRPr="002C5876">
        <w:rPr>
          <w:szCs w:val="24"/>
        </w:rPr>
        <w:t>et</w:t>
      </w:r>
    </w:p>
    <w:p w:rsidR="00E24DB7" w:rsidRPr="002C5876" w:rsidRDefault="00731CA6" w:rsidP="00E24DB7">
      <w:pPr>
        <w:pStyle w:val="SingleTxtG"/>
        <w:ind w:left="2268"/>
        <w:jc w:val="center"/>
        <w:rPr>
          <w:szCs w:val="24"/>
        </w:rPr>
      </w:pPr>
      <m:oMathPara>
        <m:oMath>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city,1</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REESS,city,1</m:t>
                  </m:r>
                </m:sub>
              </m:sSub>
            </m:num>
            <m:den>
              <m:sSub>
                <m:sSubPr>
                  <m:ctrlPr>
                    <w:rPr>
                      <w:rFonts w:ascii="Cambria Math" w:hAnsi="Cambria Math" w:cstheme="majorBidi"/>
                    </w:rPr>
                  </m:ctrlPr>
                </m:sSubPr>
                <m:e>
                  <m:r>
                    <m:rPr>
                      <m:sty m:val="p"/>
                    </m:rPr>
                    <w:rPr>
                      <w:rFonts w:ascii="Cambria Math" w:hAnsi="Cambria Math" w:cstheme="majorBidi"/>
                    </w:rPr>
                    <m:t>UBE</m:t>
                  </m:r>
                </m:e>
                <m:sub>
                  <m:r>
                    <m:rPr>
                      <m:sty m:val="p"/>
                    </m:rPr>
                    <w:rPr>
                      <w:rFonts w:ascii="Cambria Math" w:hAnsi="Cambria Math" w:cstheme="majorBidi"/>
                    </w:rPr>
                    <m:t>CCP</m:t>
                  </m:r>
                </m:sub>
              </m:sSub>
            </m:den>
          </m:f>
          <m:r>
            <m:rPr>
              <m:sty m:val="p"/>
            </m:rPr>
            <w:rPr>
              <w:rFonts w:ascii="Cambria Math" w:hAnsi="Cambria Math" w:cstheme="majorBidi"/>
            </w:rPr>
            <m:t xml:space="preserve"> et </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city,j</m:t>
              </m:r>
            </m:sub>
          </m:sSub>
          <m:r>
            <m:rPr>
              <m:sty m:val="p"/>
            </m:rPr>
            <w:rPr>
              <w:rFonts w:ascii="Cambria Math" w:hAnsi="Cambria Math" w:cstheme="majorBidi"/>
            </w:rPr>
            <m:t>=</m:t>
          </m:r>
          <m:f>
            <m:fPr>
              <m:ctrlPr>
                <w:rPr>
                  <w:rFonts w:ascii="Cambria Math" w:hAnsi="Cambria Math" w:cstheme="majorBidi"/>
                </w:rPr>
              </m:ctrlPr>
            </m:fPr>
            <m:num>
              <m:r>
                <m:rPr>
                  <m:sty m:val="p"/>
                </m:rPr>
                <w:rPr>
                  <w:rFonts w:ascii="Cambria Math" w:hAnsi="Cambria Math" w:cstheme="majorBidi"/>
                </w:rPr>
                <m:t>1-</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city,1</m:t>
                  </m:r>
                </m:sub>
              </m:sSub>
            </m:num>
            <m:den>
              <m:sSub>
                <m:sSubPr>
                  <m:ctrlPr>
                    <w:rPr>
                      <w:rFonts w:ascii="Cambria Math" w:hAnsi="Cambria Math" w:cstheme="majorBidi"/>
                    </w:rPr>
                  </m:ctrlPr>
                </m:sSubPr>
                <m:e>
                  <m:r>
                    <m:rPr>
                      <m:sty m:val="p"/>
                    </m:rPr>
                    <w:rPr>
                      <w:rFonts w:ascii="Cambria Math" w:hAnsi="Cambria Math" w:cstheme="majorBidi"/>
                    </w:rPr>
                    <m:t>n</m:t>
                  </m:r>
                </m:e>
                <m:sub>
                  <m:r>
                    <m:rPr>
                      <m:sty m:val="p"/>
                    </m:rPr>
                    <w:rPr>
                      <w:rFonts w:ascii="Cambria Math" w:hAnsi="Cambria Math" w:cstheme="majorBidi"/>
                    </w:rPr>
                    <m:t>city</m:t>
                  </m:r>
                </m:sub>
              </m:sSub>
              <m:r>
                <w:rPr>
                  <w:rFonts w:ascii="Cambria Math" w:hAnsi="Cambria Math" w:cstheme="majorBidi"/>
                </w:rPr>
                <m:t>-</m:t>
              </m:r>
              <m:r>
                <m:rPr>
                  <m:nor/>
                </m:rPr>
                <w:rPr>
                  <w:rFonts w:asciiTheme="majorBidi" w:hAnsiTheme="majorBidi" w:cstheme="majorBidi"/>
                </w:rPr>
                <m:t>1</m:t>
              </m:r>
            </m:den>
          </m:f>
          <m:r>
            <m:rPr>
              <m:sty m:val="p"/>
            </m:rPr>
            <w:rPr>
              <w:rFonts w:ascii="Cambria Math" w:hAnsi="Cambria Math" w:cstheme="majorBidi"/>
            </w:rPr>
            <m:t xml:space="preserve"> pour</m:t>
          </m:r>
          <m:r>
            <w:rPr>
              <w:rFonts w:ascii="Cambria Math" w:hAnsi="Cambria Math" w:cstheme="majorBidi"/>
            </w:rPr>
            <m:t xml:space="preserve"> </m:t>
          </m:r>
          <m:r>
            <m:rPr>
              <m:sty m:val="p"/>
            </m:rPr>
            <w:rPr>
              <w:rFonts w:ascii="Cambria Math" w:hAnsi="Cambria Math" w:cstheme="majorBidi"/>
            </w:rPr>
            <m:t>j=2…</m:t>
          </m:r>
          <m:sSub>
            <m:sSubPr>
              <m:ctrlPr>
                <w:rPr>
                  <w:rFonts w:ascii="Cambria Math" w:hAnsi="Cambria Math" w:cstheme="majorBidi"/>
                </w:rPr>
              </m:ctrlPr>
            </m:sSubPr>
            <m:e>
              <m:r>
                <m:rPr>
                  <m:sty m:val="p"/>
                </m:rPr>
                <w:rPr>
                  <w:rFonts w:ascii="Cambria Math" w:hAnsi="Cambria Math" w:cstheme="majorBidi"/>
                </w:rPr>
                <m:t>n</m:t>
              </m:r>
            </m:e>
            <m:sub>
              <m:r>
                <m:rPr>
                  <m:sty m:val="p"/>
                </m:rPr>
                <w:rPr>
                  <w:rFonts w:ascii="Cambria Math" w:hAnsi="Cambria Math" w:cstheme="majorBidi"/>
                </w:rPr>
                <m:t>city</m:t>
              </m:r>
            </m:sub>
          </m:sSub>
        </m:oMath>
      </m:oMathPara>
    </w:p>
    <w:p w:rsidR="00E24DB7" w:rsidRPr="002C5876" w:rsidRDefault="00E24DB7" w:rsidP="00E24DB7">
      <w:pPr>
        <w:pStyle w:val="SingleTxtG"/>
        <w:ind w:left="3402" w:hanging="1134"/>
        <w:rPr>
          <w:szCs w:val="24"/>
        </w:rPr>
      </w:pPr>
      <w:r w:rsidRPr="002C5876">
        <w:t>où :</w:t>
      </w:r>
    </w:p>
    <w:p w:rsidR="00E24DB7" w:rsidRPr="002C5876" w:rsidRDefault="00E24DB7" w:rsidP="00E24DB7">
      <w:pPr>
        <w:pStyle w:val="SingleTxtG"/>
        <w:ind w:left="3459" w:hanging="1191"/>
        <w:rPr>
          <w:szCs w:val="24"/>
        </w:rPr>
      </w:pPr>
      <w:r w:rsidRPr="002C5876">
        <w:rPr>
          <w:szCs w:val="24"/>
        </w:rPr>
        <w:sym w:font="Symbol" w:char="F044"/>
      </w:r>
      <w:r w:rsidRPr="002C5876">
        <w:rPr>
          <w:szCs w:val="24"/>
        </w:rPr>
        <w:t>E</w:t>
      </w:r>
      <w:r w:rsidRPr="002C5876">
        <w:rPr>
          <w:szCs w:val="24"/>
          <w:vertAlign w:val="subscript"/>
        </w:rPr>
        <w:t>REESS,city,1</w:t>
      </w:r>
      <w:r w:rsidRPr="002C5876">
        <w:rPr>
          <w:szCs w:val="24"/>
        </w:rPr>
        <w:tab/>
        <w:t xml:space="preserve">est la variation d’énergie électrique de tous les SRSEE durant le premier cycle d’essai WLTP urbain applicable de la procédure d’essai du type 1 </w:t>
      </w:r>
      <w:r w:rsidRPr="002C5876">
        <w:rPr>
          <w:color w:val="000000"/>
          <w:szCs w:val="24"/>
        </w:rPr>
        <w:t>avec cycles consécutifs</w:t>
      </w:r>
      <w:r w:rsidRPr="002C5876">
        <w:rPr>
          <w:szCs w:val="24"/>
        </w:rPr>
        <w:t>, en Wh.</w:t>
      </w:r>
    </w:p>
    <w:p w:rsidR="00E24DB7" w:rsidRPr="002C5876" w:rsidRDefault="00E24DB7" w:rsidP="00E24DB7">
      <w:pPr>
        <w:pStyle w:val="SingleTxtG"/>
        <w:ind w:left="2268" w:hanging="1134"/>
        <w:rPr>
          <w:szCs w:val="24"/>
        </w:rPr>
      </w:pPr>
      <w:r w:rsidRPr="002C5876">
        <w:rPr>
          <w:szCs w:val="24"/>
        </w:rPr>
        <w:t>4.4.2.2.3</w:t>
      </w:r>
      <w:r w:rsidRPr="002C5876">
        <w:rPr>
          <w:szCs w:val="24"/>
        </w:rPr>
        <w:tab/>
        <w:t>L’autonomie en mode électrique pur spécifique par phase pour les VEP, PER</w:t>
      </w:r>
      <w:r w:rsidRPr="002C5876">
        <w:rPr>
          <w:szCs w:val="24"/>
          <w:vertAlign w:val="subscript"/>
        </w:rPr>
        <w:t>p</w:t>
      </w:r>
      <w:r w:rsidRPr="002C5876">
        <w:rPr>
          <w:szCs w:val="24"/>
        </w:rPr>
        <w:t>, doit être calculée à partir de l’essai du type 1, tel que décrit au paragraphe 3.4.4.1 de la présente annexe, en appliquant les équations suivantes :</w:t>
      </w:r>
    </w:p>
    <w:p w:rsidR="00E24DB7" w:rsidRPr="002C5876" w:rsidRDefault="00731CA6" w:rsidP="00E24DB7">
      <w:pPr>
        <w:pStyle w:val="SingleTxtG"/>
        <w:ind w:left="2268"/>
        <w:jc w:val="center"/>
        <w:rPr>
          <w:szCs w:val="24"/>
        </w:rPr>
      </w:pPr>
      <m:oMathPara>
        <m:oMath>
          <m:sSub>
            <m:sSubPr>
              <m:ctrlPr>
                <w:rPr>
                  <w:rFonts w:ascii="Cambria Math" w:hAnsi="Cambria Math" w:cstheme="majorBidi"/>
                </w:rPr>
              </m:ctrlPr>
            </m:sSubPr>
            <m:e>
              <m:r>
                <m:rPr>
                  <m:sty m:val="p"/>
                </m:rPr>
                <w:rPr>
                  <w:rFonts w:ascii="Cambria Math" w:hAnsi="Cambria Math" w:cstheme="majorBidi"/>
                </w:rPr>
                <m:t>PER</m:t>
              </m:r>
            </m:e>
            <m:sub>
              <m:r>
                <m:rPr>
                  <m:sty m:val="p"/>
                </m:rPr>
                <w:rPr>
                  <w:rFonts w:ascii="Cambria Math" w:hAnsi="Cambria Math" w:cstheme="majorBidi"/>
                </w:rPr>
                <m:t>p</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UBE</m:t>
                  </m:r>
                </m:e>
                <m:sub>
                  <m:r>
                    <m:rPr>
                      <m:sty m:val="p"/>
                    </m:rPr>
                    <w:rPr>
                      <w:rFonts w:ascii="Cambria Math" w:hAnsi="Cambria Math" w:cstheme="majorBidi"/>
                    </w:rPr>
                    <m:t>CCP</m:t>
                  </m:r>
                </m:sub>
              </m:sSub>
            </m:num>
            <m:den>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DC,p</m:t>
                  </m:r>
                </m:sub>
              </m:sSub>
            </m:den>
          </m:f>
          <m:r>
            <w:rPr>
              <w:rFonts w:ascii="Cambria Math" w:hAnsi="Cambria Math"/>
            </w:rPr>
            <m:t xml:space="preserve"> </m:t>
          </m:r>
        </m:oMath>
      </m:oMathPara>
    </w:p>
    <w:p w:rsidR="00E24DB7" w:rsidRPr="002C5876" w:rsidRDefault="00E24DB7" w:rsidP="00E24DB7">
      <w:pPr>
        <w:pStyle w:val="SingleTxtG"/>
        <w:ind w:left="3402" w:hanging="1134"/>
        <w:rPr>
          <w:szCs w:val="24"/>
        </w:rPr>
      </w:pPr>
      <w:r w:rsidRPr="002C5876">
        <w:rPr>
          <w:szCs w:val="24"/>
        </w:rPr>
        <w:t>où :</w:t>
      </w:r>
    </w:p>
    <w:p w:rsidR="00E24DB7" w:rsidRPr="002C5876" w:rsidRDefault="00E24DB7" w:rsidP="00E24DB7">
      <w:pPr>
        <w:pStyle w:val="SingleTxtG"/>
        <w:ind w:left="3402" w:hanging="1134"/>
        <w:rPr>
          <w:szCs w:val="24"/>
        </w:rPr>
      </w:pPr>
      <w:r w:rsidRPr="002C5876">
        <w:rPr>
          <w:szCs w:val="24"/>
        </w:rPr>
        <w:lastRenderedPageBreak/>
        <w:t>UBE</w:t>
      </w:r>
      <w:r w:rsidRPr="002C5876">
        <w:rPr>
          <w:szCs w:val="24"/>
          <w:vertAlign w:val="subscript"/>
        </w:rPr>
        <w:t>CCP</w:t>
      </w:r>
      <w:r w:rsidRPr="002C5876">
        <w:rPr>
          <w:szCs w:val="24"/>
        </w:rPr>
        <w:tab/>
        <w:t>est l’énergie utilisable du SRSEE, conformément au paragraphe 4.4.2.2.1 de la présente annexe, en Wh ;</w:t>
      </w:r>
    </w:p>
    <w:p w:rsidR="00E24DB7" w:rsidRPr="002C5876" w:rsidRDefault="00E24DB7" w:rsidP="00E24DB7">
      <w:pPr>
        <w:pStyle w:val="SingleTxtG"/>
        <w:ind w:left="3402" w:hanging="1134"/>
        <w:rPr>
          <w:szCs w:val="24"/>
        </w:rPr>
      </w:pPr>
      <w:r w:rsidRPr="002C5876">
        <w:rPr>
          <w:szCs w:val="24"/>
        </w:rPr>
        <w:t>EC</w:t>
      </w:r>
      <w:r w:rsidRPr="002C5876">
        <w:rPr>
          <w:szCs w:val="24"/>
          <w:vertAlign w:val="subscript"/>
        </w:rPr>
        <w:t>DC,p</w:t>
      </w:r>
      <w:r w:rsidRPr="002C5876">
        <w:rPr>
          <w:szCs w:val="24"/>
        </w:rPr>
        <w:tab/>
        <w:t xml:space="preserve">est la consommation d’énergie électrique pour la phase p considérée, déterminée à partir des phases p entièrement exécutées de la procédure d’essai du type 1 </w:t>
      </w:r>
      <w:r w:rsidRPr="002C5876">
        <w:rPr>
          <w:color w:val="000000"/>
          <w:szCs w:val="24"/>
        </w:rPr>
        <w:t>avec cycles consécutifs</w:t>
      </w:r>
      <w:r w:rsidRPr="002C5876">
        <w:rPr>
          <w:szCs w:val="24"/>
        </w:rPr>
        <w:t>, en Wh/km ;</w:t>
      </w:r>
    </w:p>
    <w:p w:rsidR="00E24DB7" w:rsidRPr="002C5876" w:rsidRDefault="00E24DB7" w:rsidP="00E24DB7">
      <w:pPr>
        <w:pStyle w:val="SingleTxtG"/>
        <w:ind w:left="3402" w:hanging="1134"/>
        <w:rPr>
          <w:szCs w:val="24"/>
        </w:rPr>
      </w:pPr>
      <w:r w:rsidRPr="002C5876">
        <w:rPr>
          <w:szCs w:val="24"/>
        </w:rPr>
        <w:t>et</w:t>
      </w:r>
    </w:p>
    <w:p w:rsidR="00E24DB7" w:rsidRPr="002C5876" w:rsidRDefault="00731CA6" w:rsidP="00E24DB7">
      <w:pPr>
        <w:pStyle w:val="SingleTxtG"/>
        <w:spacing w:after="240"/>
        <w:ind w:left="2268"/>
        <w:jc w:val="center"/>
        <w:rPr>
          <w:szCs w:val="24"/>
        </w:rPr>
      </w:pPr>
      <m:oMathPara>
        <m:oMath>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DC,p</m:t>
              </m:r>
            </m:sub>
          </m:sSub>
          <m:r>
            <m:rPr>
              <m:sty m:val="p"/>
            </m:rPr>
            <w:rPr>
              <w:rFonts w:ascii="Cambria Math" w:hAnsi="Cambria Math" w:cstheme="majorBidi"/>
            </w:rPr>
            <m:t>=</m:t>
          </m:r>
          <m:nary>
            <m:naryPr>
              <m:chr m:val="∑"/>
              <m:limLoc m:val="subSup"/>
              <m:ctrlPr>
                <w:rPr>
                  <w:rFonts w:ascii="Cambria Math" w:hAnsi="Cambria Math" w:cstheme="majorBidi"/>
                </w:rPr>
              </m:ctrlPr>
            </m:naryPr>
            <m:sub>
              <m:r>
                <m:rPr>
                  <m:sty m:val="p"/>
                </m:rPr>
                <w:rPr>
                  <w:rFonts w:ascii="Cambria Math" w:hAnsi="Cambria Math" w:cstheme="majorBidi"/>
                </w:rPr>
                <m:t>j=1</m:t>
              </m:r>
            </m:sub>
            <m:sup>
              <m:sSub>
                <m:sSubPr>
                  <m:ctrlPr>
                    <w:rPr>
                      <w:rFonts w:ascii="Cambria Math" w:hAnsi="Cambria Math" w:cstheme="majorBidi"/>
                    </w:rPr>
                  </m:ctrlPr>
                </m:sSubPr>
                <m:e>
                  <m:r>
                    <m:rPr>
                      <m:sty m:val="p"/>
                    </m:rPr>
                    <w:rPr>
                      <w:rFonts w:ascii="Cambria Math" w:hAnsi="Cambria Math" w:cstheme="majorBidi"/>
                    </w:rPr>
                    <m:t>n</m:t>
                  </m:r>
                </m:e>
                <m:sub>
                  <m:r>
                    <m:rPr>
                      <m:sty m:val="p"/>
                    </m:rPr>
                    <w:rPr>
                      <w:rFonts w:ascii="Cambria Math" w:hAnsi="Cambria Math" w:cstheme="majorBidi"/>
                    </w:rPr>
                    <m:t>p</m:t>
                  </m:r>
                </m:sub>
              </m:sSub>
            </m:sup>
            <m:e>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DC,p,j</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p,j</m:t>
                  </m:r>
                </m:sub>
              </m:sSub>
            </m:e>
          </m:nary>
        </m:oMath>
      </m:oMathPara>
    </w:p>
    <w:p w:rsidR="00E24DB7" w:rsidRPr="002C5876" w:rsidRDefault="00E24DB7" w:rsidP="00E24DB7">
      <w:pPr>
        <w:pStyle w:val="SingleTxtG"/>
        <w:ind w:left="2268"/>
      </w:pPr>
      <w:r w:rsidRPr="002C5876">
        <w:t>où :</w:t>
      </w:r>
    </w:p>
    <w:p w:rsidR="00E24DB7" w:rsidRPr="002C5876" w:rsidRDefault="00E24DB7" w:rsidP="00E24DB7">
      <w:pPr>
        <w:pStyle w:val="SingleTxtG"/>
        <w:ind w:left="3402" w:hanging="1134"/>
        <w:rPr>
          <w:szCs w:val="24"/>
        </w:rPr>
      </w:pPr>
      <w:r w:rsidRPr="002C5876">
        <w:rPr>
          <w:szCs w:val="24"/>
        </w:rPr>
        <w:t>EC</w:t>
      </w:r>
      <w:r w:rsidRPr="002C5876">
        <w:rPr>
          <w:szCs w:val="24"/>
          <w:vertAlign w:val="subscript"/>
        </w:rPr>
        <w:t>DC,p,j</w:t>
      </w:r>
      <w:r w:rsidRPr="002C5876">
        <w:rPr>
          <w:szCs w:val="24"/>
        </w:rPr>
        <w:tab/>
        <w:t>est la j</w:t>
      </w:r>
      <w:r w:rsidRPr="002C5876">
        <w:rPr>
          <w:szCs w:val="24"/>
          <w:vertAlign w:val="superscript"/>
        </w:rPr>
        <w:t>e</w:t>
      </w:r>
      <w:r w:rsidRPr="002C5876">
        <w:rPr>
          <w:szCs w:val="24"/>
        </w:rPr>
        <w:t xml:space="preserve"> consommation d’énergie électrique pour la phase p considérée de la procédure d’essai du type 1 </w:t>
      </w:r>
      <w:r w:rsidRPr="002C5876">
        <w:rPr>
          <w:color w:val="000000"/>
          <w:szCs w:val="24"/>
        </w:rPr>
        <w:t>avec cycles consécutifs,</w:t>
      </w:r>
      <w:r w:rsidRPr="002C5876">
        <w:rPr>
          <w:szCs w:val="24"/>
        </w:rPr>
        <w:t xml:space="preserve"> conformément au paragraphe 4.3 de la présente annexe, en Wh/km ;</w:t>
      </w:r>
    </w:p>
    <w:p w:rsidR="00E24DB7" w:rsidRPr="002C5876" w:rsidRDefault="00E24DB7" w:rsidP="00E24DB7">
      <w:pPr>
        <w:pStyle w:val="SingleTxtG"/>
        <w:ind w:left="3402" w:hanging="1134"/>
        <w:rPr>
          <w:szCs w:val="24"/>
        </w:rPr>
      </w:pPr>
      <w:r w:rsidRPr="002C5876">
        <w:rPr>
          <w:szCs w:val="24"/>
        </w:rPr>
        <w:t>K</w:t>
      </w:r>
      <w:r w:rsidRPr="002C5876">
        <w:rPr>
          <w:szCs w:val="24"/>
          <w:vertAlign w:val="subscript"/>
        </w:rPr>
        <w:t>p,j</w:t>
      </w:r>
      <w:r w:rsidRPr="002C5876">
        <w:rPr>
          <w:szCs w:val="24"/>
        </w:rPr>
        <w:tab/>
        <w:t>est le j</w:t>
      </w:r>
      <w:r w:rsidRPr="002C5876">
        <w:rPr>
          <w:szCs w:val="24"/>
          <w:vertAlign w:val="superscript"/>
        </w:rPr>
        <w:t>e</w:t>
      </w:r>
      <w:r w:rsidRPr="002C5876">
        <w:rPr>
          <w:szCs w:val="24"/>
        </w:rPr>
        <w:t xml:space="preserve"> facteur de pondération pour la phase p considérée de la procédure d’essai du type 1 </w:t>
      </w:r>
      <w:r w:rsidRPr="002C5876">
        <w:rPr>
          <w:color w:val="000000"/>
          <w:szCs w:val="24"/>
        </w:rPr>
        <w:t>avec cycles consécutifs</w:t>
      </w:r>
      <w:r w:rsidRPr="002C5876">
        <w:rPr>
          <w:szCs w:val="24"/>
        </w:rPr>
        <w:t> ;</w:t>
      </w:r>
    </w:p>
    <w:p w:rsidR="00E24DB7" w:rsidRPr="002C5876" w:rsidRDefault="00E24DB7" w:rsidP="00E24DB7">
      <w:pPr>
        <w:pStyle w:val="SingleTxtG"/>
        <w:ind w:left="3402" w:hanging="1134"/>
        <w:rPr>
          <w:szCs w:val="24"/>
        </w:rPr>
      </w:pPr>
      <w:r w:rsidRPr="002C5876">
        <w:rPr>
          <w:szCs w:val="24"/>
        </w:rPr>
        <w:t>j</w:t>
      </w:r>
      <w:r w:rsidRPr="002C5876">
        <w:rPr>
          <w:szCs w:val="24"/>
        </w:rPr>
        <w:tab/>
        <w:t>est le numéro d’ordre de la phase p considérée ;</w:t>
      </w:r>
    </w:p>
    <w:p w:rsidR="00E24DB7" w:rsidRPr="002C5876" w:rsidRDefault="00E24DB7" w:rsidP="00E24DB7">
      <w:pPr>
        <w:pStyle w:val="SingleTxtG"/>
        <w:ind w:left="3402" w:hanging="1134"/>
        <w:rPr>
          <w:szCs w:val="24"/>
        </w:rPr>
      </w:pPr>
      <w:r w:rsidRPr="002C5876">
        <w:rPr>
          <w:szCs w:val="24"/>
        </w:rPr>
        <w:t>n</w:t>
      </w:r>
      <w:r w:rsidRPr="002C5876">
        <w:rPr>
          <w:szCs w:val="24"/>
          <w:vertAlign w:val="subscript"/>
        </w:rPr>
        <w:t>p</w:t>
      </w:r>
      <w:r w:rsidRPr="002C5876">
        <w:rPr>
          <w:szCs w:val="24"/>
        </w:rPr>
        <w:tab/>
        <w:t>est le nombre entier de phases p WLTC entièrement exécutées ;</w:t>
      </w:r>
    </w:p>
    <w:p w:rsidR="00E24DB7" w:rsidRPr="002C5876" w:rsidRDefault="00E24DB7" w:rsidP="00E24DB7">
      <w:pPr>
        <w:pStyle w:val="SingleTxtG"/>
        <w:ind w:left="2268"/>
        <w:rPr>
          <w:szCs w:val="24"/>
        </w:rPr>
      </w:pPr>
      <w:r w:rsidRPr="002C5876">
        <w:rPr>
          <w:szCs w:val="24"/>
        </w:rPr>
        <w:t>et</w:t>
      </w:r>
    </w:p>
    <w:p w:rsidR="00E24DB7" w:rsidRPr="002C5876" w:rsidRDefault="00731CA6" w:rsidP="00E24DB7">
      <w:pPr>
        <w:pStyle w:val="SingleTxtG"/>
        <w:ind w:left="2268"/>
        <w:jc w:val="center"/>
        <w:rPr>
          <w:szCs w:val="24"/>
        </w:rPr>
      </w:pPr>
      <m:oMathPara>
        <m:oMath>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p,1</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REESS,p,1</m:t>
                  </m:r>
                </m:sub>
              </m:sSub>
            </m:num>
            <m:den>
              <m:sSub>
                <m:sSubPr>
                  <m:ctrlPr>
                    <w:rPr>
                      <w:rFonts w:ascii="Cambria Math" w:hAnsi="Cambria Math" w:cstheme="majorBidi"/>
                    </w:rPr>
                  </m:ctrlPr>
                </m:sSubPr>
                <m:e>
                  <m:r>
                    <m:rPr>
                      <m:sty m:val="p"/>
                    </m:rPr>
                    <w:rPr>
                      <w:rFonts w:ascii="Cambria Math" w:hAnsi="Cambria Math" w:cstheme="majorBidi"/>
                    </w:rPr>
                    <m:t>UBE</m:t>
                  </m:r>
                </m:e>
                <m:sub>
                  <m:r>
                    <m:rPr>
                      <m:sty m:val="p"/>
                    </m:rPr>
                    <w:rPr>
                      <w:rFonts w:ascii="Cambria Math" w:hAnsi="Cambria Math" w:cstheme="majorBidi"/>
                    </w:rPr>
                    <m:t>CCP</m:t>
                  </m:r>
                </m:sub>
              </m:sSub>
            </m:den>
          </m:f>
          <m:r>
            <m:rPr>
              <m:sty m:val="p"/>
            </m:rPr>
            <w:rPr>
              <w:rFonts w:ascii="Cambria Math" w:hAnsi="Cambria Math" w:cstheme="majorBidi"/>
            </w:rPr>
            <m:t xml:space="preserve"> </m:t>
          </m:r>
          <m:r>
            <m:rPr>
              <m:sty m:val="p"/>
            </m:rPr>
            <w:rPr>
              <w:rFonts w:ascii="Cambria Math" w:hAnsiTheme="majorBidi" w:cstheme="majorBidi"/>
            </w:rPr>
            <m:t>et</m:t>
          </m:r>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p,j</m:t>
              </m:r>
            </m:sub>
          </m:sSub>
          <m:r>
            <m:rPr>
              <m:sty m:val="p"/>
            </m:rPr>
            <w:rPr>
              <w:rFonts w:ascii="Cambria Math" w:hAnsi="Cambria Math" w:cstheme="majorBidi"/>
            </w:rPr>
            <m:t>=</m:t>
          </m:r>
          <m:f>
            <m:fPr>
              <m:ctrlPr>
                <w:rPr>
                  <w:rFonts w:ascii="Cambria Math" w:hAnsi="Cambria Math" w:cstheme="majorBidi"/>
                </w:rPr>
              </m:ctrlPr>
            </m:fPr>
            <m:num>
              <m:r>
                <m:rPr>
                  <m:sty m:val="p"/>
                </m:rPr>
                <w:rPr>
                  <w:rFonts w:ascii="Cambria Math" w:hAnsi="Cambria Math" w:cstheme="majorBidi"/>
                </w:rPr>
                <m:t>1-</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p,1</m:t>
                  </m:r>
                </m:sub>
              </m:sSub>
            </m:num>
            <m:den>
              <m:sSub>
                <m:sSubPr>
                  <m:ctrlPr>
                    <w:rPr>
                      <w:rFonts w:ascii="Cambria Math" w:hAnsi="Cambria Math" w:cstheme="majorBidi"/>
                    </w:rPr>
                  </m:ctrlPr>
                </m:sSubPr>
                <m:e>
                  <m:r>
                    <m:rPr>
                      <m:sty m:val="p"/>
                    </m:rPr>
                    <w:rPr>
                      <w:rFonts w:ascii="Cambria Math" w:hAnsi="Cambria Math" w:cstheme="majorBidi"/>
                    </w:rPr>
                    <m:t>n</m:t>
                  </m:r>
                </m:e>
                <m:sub>
                  <m:r>
                    <m:rPr>
                      <m:sty m:val="p"/>
                    </m:rPr>
                    <w:rPr>
                      <w:rFonts w:ascii="Cambria Math" w:hAnsi="Cambria Math" w:cstheme="majorBidi"/>
                    </w:rPr>
                    <m:t>p</m:t>
                  </m:r>
                </m:sub>
              </m:sSub>
              <m:r>
                <w:rPr>
                  <w:rFonts w:ascii="Cambria Math" w:hAnsi="Cambria Math" w:cstheme="majorBidi"/>
                </w:rPr>
                <m:t>-</m:t>
              </m:r>
              <m:r>
                <m:rPr>
                  <m:nor/>
                </m:rPr>
                <w:rPr>
                  <w:rFonts w:asciiTheme="majorBidi" w:hAnsiTheme="majorBidi" w:cstheme="majorBidi"/>
                </w:rPr>
                <m:t>1</m:t>
              </m:r>
            </m:den>
          </m:f>
          <m:r>
            <m:rPr>
              <m:sty m:val="p"/>
            </m:rPr>
            <w:rPr>
              <w:rFonts w:ascii="Cambria Math" w:hAnsi="Cambria Math" w:cstheme="majorBidi"/>
            </w:rPr>
            <m:t xml:space="preserve"> pour j=2…</m:t>
          </m:r>
          <m:sSub>
            <m:sSubPr>
              <m:ctrlPr>
                <w:rPr>
                  <w:rFonts w:ascii="Cambria Math" w:hAnsi="Cambria Math" w:cstheme="majorBidi"/>
                </w:rPr>
              </m:ctrlPr>
            </m:sSubPr>
            <m:e>
              <m:r>
                <m:rPr>
                  <m:sty m:val="p"/>
                </m:rPr>
                <w:rPr>
                  <w:rFonts w:ascii="Cambria Math" w:hAnsi="Cambria Math" w:cstheme="majorBidi"/>
                </w:rPr>
                <m:t>n</m:t>
              </m:r>
            </m:e>
            <m:sub>
              <m:r>
                <m:rPr>
                  <m:sty m:val="p"/>
                </m:rPr>
                <w:rPr>
                  <w:rFonts w:ascii="Cambria Math" w:hAnsi="Cambria Math" w:cstheme="majorBidi"/>
                </w:rPr>
                <m:t>p</m:t>
              </m:r>
            </m:sub>
          </m:sSub>
        </m:oMath>
      </m:oMathPara>
    </w:p>
    <w:p w:rsidR="00E24DB7" w:rsidRPr="002C5876" w:rsidRDefault="00E24DB7" w:rsidP="00E24DB7">
      <w:pPr>
        <w:pStyle w:val="SingleTxtG"/>
        <w:ind w:left="2268"/>
        <w:rPr>
          <w:szCs w:val="24"/>
        </w:rPr>
      </w:pPr>
      <w:r w:rsidRPr="002C5876">
        <w:rPr>
          <w:szCs w:val="24"/>
        </w:rPr>
        <w:t>où :</w:t>
      </w:r>
    </w:p>
    <w:p w:rsidR="00E24DB7" w:rsidRPr="002C5876" w:rsidRDefault="00E24DB7" w:rsidP="00E24DB7">
      <w:pPr>
        <w:pStyle w:val="SingleTxtG"/>
        <w:ind w:left="3402" w:hanging="1134"/>
        <w:rPr>
          <w:szCs w:val="24"/>
        </w:rPr>
      </w:pPr>
      <w:r w:rsidRPr="002C5876">
        <w:rPr>
          <w:szCs w:val="24"/>
        </w:rPr>
        <w:sym w:font="Symbol" w:char="F044"/>
      </w:r>
      <w:r w:rsidRPr="002C5876">
        <w:rPr>
          <w:szCs w:val="24"/>
        </w:rPr>
        <w:t>E</w:t>
      </w:r>
      <w:r w:rsidRPr="002C5876">
        <w:rPr>
          <w:szCs w:val="24"/>
          <w:vertAlign w:val="subscript"/>
        </w:rPr>
        <w:t>REESS,p,1</w:t>
      </w:r>
      <w:r w:rsidRPr="002C5876">
        <w:rPr>
          <w:szCs w:val="24"/>
        </w:rPr>
        <w:tab/>
        <w:t xml:space="preserve">est la variation d’énergie électrique de tous les SRSEE durant la première phase p exécutée de la procédure d’essai du type 1 </w:t>
      </w:r>
      <w:r w:rsidRPr="002C5876">
        <w:rPr>
          <w:color w:val="000000"/>
          <w:szCs w:val="24"/>
        </w:rPr>
        <w:t>avec cycles consécutifs</w:t>
      </w:r>
      <w:r w:rsidRPr="002C5876">
        <w:rPr>
          <w:szCs w:val="24"/>
        </w:rPr>
        <w:t>, en Wh.</w:t>
      </w:r>
    </w:p>
    <w:p w:rsidR="00E24DB7" w:rsidRPr="002C5876" w:rsidRDefault="00E24DB7" w:rsidP="00E24DB7">
      <w:pPr>
        <w:pStyle w:val="SingleTxtG"/>
        <w:ind w:left="2268" w:hanging="1134"/>
        <w:jc w:val="left"/>
      </w:pPr>
      <w:r w:rsidRPr="002C5876">
        <w:t>4.4.3</w:t>
      </w:r>
      <w:r w:rsidRPr="002C5876">
        <w:tab/>
        <w:t>Autonomie en mode cycle d’épuisement de la charge pour les VHE-RE</w:t>
      </w:r>
    </w:p>
    <w:p w:rsidR="00E24DB7" w:rsidRPr="002C5876" w:rsidRDefault="00E24DB7" w:rsidP="00E24DB7">
      <w:pPr>
        <w:pStyle w:val="SingleTxtG"/>
        <w:ind w:left="2268"/>
      </w:pPr>
      <w:r w:rsidRPr="002C5876">
        <w:t>L’autonomie en mode cycle d’épuisement de la charge, R</w:t>
      </w:r>
      <w:r w:rsidRPr="002C5876">
        <w:rPr>
          <w:vertAlign w:val="subscript"/>
        </w:rPr>
        <w:t>CDC</w:t>
      </w:r>
      <w:r w:rsidRPr="002C5876">
        <w:t>, est déterminée à partir de l’essai d’épuisement de la charge du type 1, décrit au paragraphe 3.2.4.3 de la présente annexe en tant qu’essai faisant partie de la séquence d’essais de l’option 1, et mentionné au paragraphe 3.2.6.1 de la même annexe</w:t>
      </w:r>
      <w:r w:rsidRPr="002C5876" w:rsidDel="00A5601C">
        <w:t xml:space="preserve"> </w:t>
      </w:r>
      <w:r w:rsidRPr="002C5876">
        <w:t xml:space="preserve">en tant qu’essai faisant partie de la séquence d’essais de l’option 3.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CDC</m:t>
            </m:r>
          </m:sub>
        </m:sSub>
      </m:oMath>
      <w:r w:rsidRPr="002C5876">
        <w:t xml:space="preserve"> est la distance parcourue depuis le début de l’essai d’épuisement de la charge du type 1 jusqu’à la fin du cycle de transition, conformément au paragraphe 3.2.4.4 de la présente annexe.</w:t>
      </w:r>
    </w:p>
    <w:p w:rsidR="00E24DB7" w:rsidRPr="002C5876" w:rsidRDefault="00E24DB7" w:rsidP="00E24DB7">
      <w:pPr>
        <w:pStyle w:val="SingleTxtG"/>
        <w:ind w:left="2268" w:hanging="1134"/>
        <w:jc w:val="left"/>
        <w:rPr>
          <w:szCs w:val="24"/>
        </w:rPr>
      </w:pPr>
      <w:r w:rsidRPr="002C5876">
        <w:rPr>
          <w:szCs w:val="24"/>
        </w:rPr>
        <w:t>4.4.4</w:t>
      </w:r>
      <w:r w:rsidRPr="002C5876">
        <w:rPr>
          <w:szCs w:val="24"/>
        </w:rPr>
        <w:tab/>
        <w:t>Autonomie équivalente en mode électrique pur pour les VHE-RE</w:t>
      </w:r>
    </w:p>
    <w:p w:rsidR="00E24DB7" w:rsidRPr="002C5876" w:rsidRDefault="00E24DB7" w:rsidP="00E24DB7">
      <w:pPr>
        <w:pStyle w:val="SingleTxtG"/>
        <w:ind w:left="2268" w:hanging="1134"/>
        <w:jc w:val="left"/>
        <w:rPr>
          <w:szCs w:val="24"/>
        </w:rPr>
      </w:pPr>
      <w:r w:rsidRPr="002C5876">
        <w:rPr>
          <w:szCs w:val="24"/>
        </w:rPr>
        <w:t>4.4.4.1</w:t>
      </w:r>
      <w:r w:rsidRPr="002C5876">
        <w:rPr>
          <w:szCs w:val="24"/>
        </w:rPr>
        <w:tab/>
        <w:t>Détermination de l’autonomie équivalente en mode électrique pur spécifique par cycle</w:t>
      </w:r>
    </w:p>
    <w:p w:rsidR="00E24DB7" w:rsidRPr="002C5876" w:rsidRDefault="00E24DB7" w:rsidP="00E24DB7">
      <w:pPr>
        <w:pStyle w:val="SingleTxtG"/>
        <w:ind w:left="2268"/>
        <w:rPr>
          <w:bCs/>
          <w:szCs w:val="24"/>
        </w:rPr>
      </w:pPr>
      <w:r w:rsidRPr="002C5876">
        <w:rPr>
          <w:szCs w:val="24"/>
        </w:rPr>
        <w:t>L’autonomie équivalente en mode électrique pur spécifique par cycle doit être calculée au moyen de l’équation suivante </w:t>
      </w:r>
      <w:r w:rsidRPr="002C5876">
        <w:rPr>
          <w:bCs/>
          <w:szCs w:val="24"/>
        </w:rPr>
        <w:t>:</w:t>
      </w:r>
    </w:p>
    <w:p w:rsidR="00E24DB7" w:rsidRPr="002C5876" w:rsidRDefault="00E24DB7" w:rsidP="00E24DB7">
      <w:pPr>
        <w:pStyle w:val="SingleTxtG"/>
        <w:spacing w:after="240"/>
        <w:ind w:left="2268"/>
        <w:jc w:val="center"/>
        <w:rPr>
          <w:bCs/>
          <w:szCs w:val="24"/>
        </w:rPr>
      </w:pPr>
      <m:oMathPara>
        <m:oMath>
          <m:r>
            <m:rPr>
              <m:sty m:val="p"/>
            </m:rPr>
            <w:rPr>
              <w:rFonts w:ascii="Cambria Math" w:hAnsi="Cambria Math" w:cstheme="majorBidi"/>
            </w:rPr>
            <m:t>EAER=</m:t>
          </m:r>
          <m:d>
            <m:dPr>
              <m:ctrlPr>
                <w:rPr>
                  <w:rFonts w:ascii="Cambria Math" w:hAnsi="Cambria Math" w:cstheme="majorBidi"/>
                </w:rPr>
              </m:ctrlPr>
            </m:dPr>
            <m:e>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 xml:space="preserve">CO2, CS </m:t>
                      </m:r>
                    </m:sub>
                  </m:sSub>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 CD,avg</m:t>
                      </m:r>
                    </m:sub>
                  </m:sSub>
                </m:num>
                <m:den>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 CS</m:t>
                      </m:r>
                    </m:sub>
                  </m:sSub>
                </m:den>
              </m:f>
            </m:e>
          </m:d>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R</m:t>
              </m:r>
            </m:e>
            <m:sub>
              <m:r>
                <m:rPr>
                  <m:sty m:val="p"/>
                </m:rPr>
                <w:rPr>
                  <w:rFonts w:ascii="Cambria Math" w:hAnsi="Cambria Math" w:cstheme="majorBidi"/>
                </w:rPr>
                <m:t>CDC</m:t>
              </m:r>
            </m:sub>
          </m:sSub>
        </m:oMath>
      </m:oMathPara>
    </w:p>
    <w:p w:rsidR="00E24DB7" w:rsidRPr="002C5876" w:rsidRDefault="00E24DB7" w:rsidP="00E24DB7">
      <w:pPr>
        <w:pStyle w:val="SingleTxtG"/>
        <w:ind w:left="2268"/>
        <w:rPr>
          <w:szCs w:val="24"/>
        </w:rPr>
      </w:pPr>
      <w:r w:rsidRPr="002C5876">
        <w:rPr>
          <w:szCs w:val="24"/>
        </w:rPr>
        <w:t>où :</w:t>
      </w:r>
    </w:p>
    <w:p w:rsidR="00E24DB7" w:rsidRPr="002C5876" w:rsidRDefault="00E24DB7" w:rsidP="00E24DB7">
      <w:pPr>
        <w:pStyle w:val="SingleTxtG"/>
        <w:ind w:left="3402" w:hanging="1134"/>
        <w:rPr>
          <w:szCs w:val="24"/>
        </w:rPr>
      </w:pPr>
      <w:r w:rsidRPr="002C5876">
        <w:rPr>
          <w:szCs w:val="24"/>
        </w:rPr>
        <w:t>EAER</w:t>
      </w:r>
      <w:r w:rsidRPr="002C5876">
        <w:rPr>
          <w:szCs w:val="24"/>
        </w:rPr>
        <w:tab/>
        <w:t>est l’autonomie équivalente en mode électrique pur spécifique par cycle, en km ;</w:t>
      </w:r>
    </w:p>
    <w:p w:rsidR="00E24DB7" w:rsidRPr="002C5876" w:rsidRDefault="00E24DB7" w:rsidP="00E24DB7">
      <w:pPr>
        <w:pStyle w:val="SingleTxtG"/>
        <w:ind w:left="3402" w:hanging="1134"/>
        <w:rPr>
          <w:szCs w:val="24"/>
        </w:rPr>
      </w:pPr>
      <w:r w:rsidRPr="002C5876">
        <w:rPr>
          <w:szCs w:val="24"/>
        </w:rPr>
        <w:t>M</w:t>
      </w:r>
      <w:r w:rsidRPr="002C5876">
        <w:rPr>
          <w:szCs w:val="24"/>
          <w:vertAlign w:val="subscript"/>
        </w:rPr>
        <w:t>CO2,CS</w:t>
      </w:r>
      <w:r w:rsidRPr="002C5876">
        <w:rPr>
          <w:szCs w:val="24"/>
        </w:rPr>
        <w:tab/>
        <w:t>désigne les émissions massiques de CO</w:t>
      </w:r>
      <w:r w:rsidRPr="002C5876">
        <w:rPr>
          <w:szCs w:val="24"/>
          <w:vertAlign w:val="subscript"/>
        </w:rPr>
        <w:t>2</w:t>
      </w:r>
      <w:r w:rsidRPr="002C5876">
        <w:rPr>
          <w:szCs w:val="24"/>
        </w:rPr>
        <w:t xml:space="preserve"> en mode maintien de la charge conformément au tableau A8/5, étape n</w:t>
      </w:r>
      <w:r w:rsidRPr="002C5876">
        <w:rPr>
          <w:szCs w:val="24"/>
          <w:vertAlign w:val="superscript"/>
        </w:rPr>
        <w:t>o</w:t>
      </w:r>
      <w:r w:rsidRPr="002C5876">
        <w:rPr>
          <w:szCs w:val="24"/>
        </w:rPr>
        <w:t> 7, en g/km ;</w:t>
      </w:r>
    </w:p>
    <w:p w:rsidR="00E24DB7" w:rsidRPr="002C5876" w:rsidRDefault="00E24DB7" w:rsidP="00E24DB7">
      <w:pPr>
        <w:pStyle w:val="SingleTxtG"/>
        <w:ind w:left="3402" w:hanging="1134"/>
        <w:rPr>
          <w:szCs w:val="24"/>
        </w:rPr>
      </w:pPr>
      <w:r w:rsidRPr="002C5876">
        <w:rPr>
          <w:szCs w:val="24"/>
        </w:rPr>
        <w:lastRenderedPageBreak/>
        <w:t>M</w:t>
      </w:r>
      <w:r w:rsidRPr="002C5876">
        <w:rPr>
          <w:szCs w:val="24"/>
          <w:vertAlign w:val="subscript"/>
        </w:rPr>
        <w:t>CO2,CD,avg</w:t>
      </w:r>
      <w:r w:rsidRPr="002C5876">
        <w:rPr>
          <w:szCs w:val="24"/>
        </w:rPr>
        <w:tab/>
      </w:r>
      <w:r w:rsidRPr="002C5876">
        <w:rPr>
          <w:szCs w:val="24"/>
        </w:rPr>
        <w:tab/>
        <w:t>est la moyenne arithmétique des émissions massiques de CO</w:t>
      </w:r>
      <w:r w:rsidRPr="002C5876">
        <w:rPr>
          <w:szCs w:val="24"/>
          <w:vertAlign w:val="subscript"/>
        </w:rPr>
        <w:t>2</w:t>
      </w:r>
      <w:r w:rsidRPr="002C5876">
        <w:rPr>
          <w:szCs w:val="24"/>
        </w:rPr>
        <w:t xml:space="preserve"> en mode maintien de la charge, déterminée au moyen de l’équation ci-après, en g/km ;</w:t>
      </w:r>
    </w:p>
    <w:p w:rsidR="00E24DB7" w:rsidRPr="002C5876" w:rsidRDefault="00E24DB7" w:rsidP="00E24DB7">
      <w:pPr>
        <w:pStyle w:val="SingleTxtG"/>
        <w:ind w:left="3402" w:hanging="1134"/>
        <w:rPr>
          <w:szCs w:val="24"/>
        </w:rPr>
      </w:pPr>
      <w:r w:rsidRPr="002C5876">
        <w:rPr>
          <w:szCs w:val="24"/>
        </w:rPr>
        <w:t>R</w:t>
      </w:r>
      <w:r w:rsidRPr="002C5876">
        <w:rPr>
          <w:szCs w:val="24"/>
          <w:vertAlign w:val="subscript"/>
        </w:rPr>
        <w:t>CDC</w:t>
      </w:r>
      <w:r w:rsidRPr="002C5876">
        <w:rPr>
          <w:szCs w:val="24"/>
        </w:rPr>
        <w:tab/>
        <w:t>est l’</w:t>
      </w:r>
      <w:r w:rsidRPr="002C5876">
        <w:rPr>
          <w:color w:val="000000"/>
          <w:szCs w:val="24"/>
        </w:rPr>
        <w:t xml:space="preserve">autonomie en mode cycle d’épuisement de la charge conformément au </w:t>
      </w:r>
      <w:r w:rsidRPr="002C5876">
        <w:rPr>
          <w:szCs w:val="24"/>
        </w:rPr>
        <w:t>paragraphe 4.4.2 de la présente annexe, en km ;</w:t>
      </w:r>
    </w:p>
    <w:p w:rsidR="00E24DB7" w:rsidRPr="002C5876" w:rsidRDefault="00E24DB7" w:rsidP="00E24DB7">
      <w:pPr>
        <w:pStyle w:val="SingleTxtG"/>
        <w:ind w:left="2268"/>
        <w:rPr>
          <w:szCs w:val="24"/>
        </w:rPr>
      </w:pPr>
      <w:r w:rsidRPr="002C5876">
        <w:rPr>
          <w:szCs w:val="24"/>
        </w:rPr>
        <w:t>et</w:t>
      </w:r>
    </w:p>
    <w:p w:rsidR="00E24DB7" w:rsidRPr="002C5876" w:rsidRDefault="00731CA6" w:rsidP="00E24DB7">
      <w:pPr>
        <w:pStyle w:val="SingleTxtG"/>
        <w:spacing w:after="240"/>
        <w:ind w:left="2268"/>
        <w:jc w:val="center"/>
        <w:rPr>
          <w:szCs w:val="24"/>
        </w:rPr>
      </w:pPr>
      <m:oMathPara>
        <m:oMath>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 CD, avg</m:t>
              </m:r>
            </m:sub>
          </m:sSub>
          <m:r>
            <m:rPr>
              <m:sty m:val="p"/>
            </m:rPr>
            <w:rPr>
              <w:rFonts w:ascii="Cambria Math" w:hAnsi="Cambria Math" w:cstheme="majorBidi"/>
            </w:rPr>
            <m:t xml:space="preserve">= </m:t>
          </m:r>
          <m:f>
            <m:fPr>
              <m:ctrlPr>
                <w:rPr>
                  <w:rFonts w:ascii="Cambria Math" w:hAnsi="Cambria Math" w:cstheme="majorBidi"/>
                </w:rPr>
              </m:ctrlPr>
            </m:fPr>
            <m:num>
              <m:nary>
                <m:naryPr>
                  <m:chr m:val="∑"/>
                  <m:limLoc m:val="undOvr"/>
                  <m:ctrlPr>
                    <w:rPr>
                      <w:rFonts w:ascii="Cambria Math" w:hAnsi="Cambria Math" w:cstheme="majorBidi"/>
                    </w:rPr>
                  </m:ctrlPr>
                </m:naryPr>
                <m:sub>
                  <m:r>
                    <m:rPr>
                      <m:sty m:val="p"/>
                    </m:rPr>
                    <w:rPr>
                      <w:rFonts w:ascii="Cambria Math" w:hAnsi="Cambria Math" w:cstheme="majorBidi"/>
                    </w:rPr>
                    <m:t>j=1</m:t>
                  </m:r>
                </m:sub>
                <m:sup>
                  <m:r>
                    <m:rPr>
                      <m:sty m:val="p"/>
                    </m:rPr>
                    <w:rPr>
                      <w:rFonts w:ascii="Cambria Math" w:hAnsi="Cambria Math" w:cstheme="majorBidi"/>
                    </w:rPr>
                    <m:t>k</m:t>
                  </m:r>
                </m:sup>
                <m:e>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 xml:space="preserve">CO2,CD,j </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d</m:t>
                      </m:r>
                    </m:e>
                    <m:sub>
                      <m:r>
                        <m:rPr>
                          <m:sty m:val="p"/>
                        </m:rPr>
                        <w:rPr>
                          <w:rFonts w:ascii="Cambria Math" w:hAnsi="Cambria Math" w:cstheme="majorBidi"/>
                        </w:rPr>
                        <m:t>j</m:t>
                      </m:r>
                    </m:sub>
                  </m:sSub>
                  <m:r>
                    <m:rPr>
                      <m:sty m:val="p"/>
                    </m:rPr>
                    <w:rPr>
                      <w:rFonts w:ascii="Cambria Math" w:hAnsi="Cambria Math" w:cstheme="majorBidi"/>
                    </w:rPr>
                    <m:t>)</m:t>
                  </m:r>
                </m:e>
              </m:nary>
            </m:num>
            <m:den>
              <m:nary>
                <m:naryPr>
                  <m:chr m:val="∑"/>
                  <m:limLoc m:val="undOvr"/>
                  <m:ctrlPr>
                    <w:rPr>
                      <w:rFonts w:ascii="Cambria Math" w:hAnsi="Cambria Math" w:cstheme="majorBidi"/>
                    </w:rPr>
                  </m:ctrlPr>
                </m:naryPr>
                <m:sub>
                  <m:r>
                    <m:rPr>
                      <m:sty m:val="p"/>
                    </m:rPr>
                    <w:rPr>
                      <w:rFonts w:ascii="Cambria Math" w:hAnsi="Cambria Math" w:cstheme="majorBidi"/>
                    </w:rPr>
                    <m:t>j=1</m:t>
                  </m:r>
                </m:sub>
                <m:sup>
                  <m:r>
                    <m:rPr>
                      <m:sty m:val="p"/>
                    </m:rPr>
                    <w:rPr>
                      <w:rFonts w:ascii="Cambria Math" w:hAnsi="Cambria Math" w:cstheme="majorBidi"/>
                    </w:rPr>
                    <m:t>k</m:t>
                  </m:r>
                </m:sup>
                <m:e>
                  <m:sSub>
                    <m:sSubPr>
                      <m:ctrlPr>
                        <w:rPr>
                          <w:rFonts w:ascii="Cambria Math" w:hAnsi="Cambria Math" w:cstheme="majorBidi"/>
                        </w:rPr>
                      </m:ctrlPr>
                    </m:sSubPr>
                    <m:e>
                      <m:r>
                        <m:rPr>
                          <m:sty m:val="p"/>
                        </m:rPr>
                        <w:rPr>
                          <w:rFonts w:ascii="Cambria Math" w:hAnsi="Cambria Math" w:cstheme="majorBidi"/>
                        </w:rPr>
                        <m:t>d</m:t>
                      </m:r>
                    </m:e>
                    <m:sub>
                      <m:r>
                        <m:rPr>
                          <m:sty m:val="p"/>
                        </m:rPr>
                        <w:rPr>
                          <w:rFonts w:ascii="Cambria Math" w:hAnsi="Cambria Math" w:cstheme="majorBidi"/>
                        </w:rPr>
                        <m:t>j</m:t>
                      </m:r>
                    </m:sub>
                  </m:sSub>
                </m:e>
              </m:nary>
            </m:den>
          </m:f>
        </m:oMath>
      </m:oMathPara>
    </w:p>
    <w:p w:rsidR="00E24DB7" w:rsidRPr="002C5876" w:rsidRDefault="00E24DB7" w:rsidP="00E24DB7">
      <w:pPr>
        <w:pStyle w:val="SingleTxtG"/>
        <w:ind w:left="2268"/>
        <w:rPr>
          <w:szCs w:val="24"/>
        </w:rPr>
      </w:pPr>
      <w:r w:rsidRPr="002C5876">
        <w:rPr>
          <w:szCs w:val="24"/>
        </w:rPr>
        <w:t>où :</w:t>
      </w:r>
    </w:p>
    <w:p w:rsidR="00E24DB7" w:rsidRPr="002C5876" w:rsidRDefault="00E24DB7" w:rsidP="00E24DB7">
      <w:pPr>
        <w:pStyle w:val="SingleTxtG"/>
        <w:ind w:left="3402" w:hanging="1134"/>
        <w:rPr>
          <w:szCs w:val="24"/>
        </w:rPr>
      </w:pPr>
      <w:r w:rsidRPr="002C5876">
        <w:rPr>
          <w:szCs w:val="24"/>
        </w:rPr>
        <w:t>MC</w:t>
      </w:r>
      <w:r w:rsidRPr="002C5876">
        <w:rPr>
          <w:szCs w:val="24"/>
          <w:vertAlign w:val="subscript"/>
        </w:rPr>
        <w:t>O2,CD,avg</w:t>
      </w:r>
      <w:r w:rsidRPr="002C5876">
        <w:rPr>
          <w:szCs w:val="24"/>
        </w:rPr>
        <w:tab/>
        <w:t>est la moyenne arithmétique des émissions massiques de CO</w:t>
      </w:r>
      <w:r w:rsidRPr="002C5876">
        <w:rPr>
          <w:szCs w:val="24"/>
          <w:vertAlign w:val="subscript"/>
        </w:rPr>
        <w:t>2</w:t>
      </w:r>
      <w:r w:rsidRPr="002C5876">
        <w:rPr>
          <w:szCs w:val="24"/>
        </w:rPr>
        <w:t xml:space="preserve"> en mode maintien de la charge, en g/km ;</w:t>
      </w:r>
    </w:p>
    <w:p w:rsidR="00E24DB7" w:rsidRPr="002C5876" w:rsidRDefault="00E24DB7" w:rsidP="00E24DB7">
      <w:pPr>
        <w:pStyle w:val="SingleTxtG"/>
        <w:ind w:left="3402" w:hanging="1134"/>
        <w:rPr>
          <w:szCs w:val="24"/>
        </w:rPr>
      </w:pPr>
      <w:r w:rsidRPr="002C5876">
        <w:rPr>
          <w:szCs w:val="24"/>
        </w:rPr>
        <w:t>MC</w:t>
      </w:r>
      <w:r w:rsidRPr="002C5876">
        <w:rPr>
          <w:szCs w:val="24"/>
          <w:vertAlign w:val="subscript"/>
        </w:rPr>
        <w:t>O2,CD,j</w:t>
      </w:r>
      <w:r w:rsidRPr="002C5876">
        <w:rPr>
          <w:szCs w:val="24"/>
        </w:rPr>
        <w:tab/>
        <w:t>désigne les émissions massiques de CO</w:t>
      </w:r>
      <w:r w:rsidRPr="002C5876">
        <w:rPr>
          <w:szCs w:val="24"/>
          <w:vertAlign w:val="subscript"/>
        </w:rPr>
        <w:t>2</w:t>
      </w:r>
      <w:r w:rsidRPr="002C5876">
        <w:rPr>
          <w:szCs w:val="24"/>
        </w:rPr>
        <w:t>, déterminées conformément au paragraphe 3.2.1 de l’annexe 7, de la phase j de l’essai d’épuisement de la charge du type 1, en g/km ;</w:t>
      </w:r>
    </w:p>
    <w:p w:rsidR="00E24DB7" w:rsidRPr="002C5876" w:rsidRDefault="00E24DB7" w:rsidP="00E24DB7">
      <w:pPr>
        <w:pStyle w:val="SingleTxtG"/>
        <w:ind w:left="3402" w:hanging="1134"/>
        <w:rPr>
          <w:szCs w:val="24"/>
        </w:rPr>
      </w:pPr>
      <w:r w:rsidRPr="002C5876">
        <w:rPr>
          <w:szCs w:val="24"/>
        </w:rPr>
        <w:t>d</w:t>
      </w:r>
      <w:r w:rsidRPr="002C5876">
        <w:rPr>
          <w:szCs w:val="24"/>
          <w:vertAlign w:val="subscript"/>
        </w:rPr>
        <w:t>j</w:t>
      </w:r>
      <w:r w:rsidRPr="002C5876">
        <w:rPr>
          <w:szCs w:val="24"/>
        </w:rPr>
        <w:tab/>
        <w:t>est la distance parcourue durant la phase j de l’essai d’épuisement de la charge du type 1, en km ;</w:t>
      </w:r>
    </w:p>
    <w:p w:rsidR="00E24DB7" w:rsidRPr="002C5876" w:rsidRDefault="00E24DB7" w:rsidP="00E24DB7">
      <w:pPr>
        <w:pStyle w:val="SingleTxtG"/>
        <w:ind w:left="3402" w:hanging="1134"/>
        <w:rPr>
          <w:szCs w:val="24"/>
        </w:rPr>
      </w:pPr>
      <w:r w:rsidRPr="002C5876">
        <w:rPr>
          <w:szCs w:val="24"/>
        </w:rPr>
        <w:t>j</w:t>
      </w:r>
      <w:r w:rsidRPr="002C5876">
        <w:rPr>
          <w:szCs w:val="24"/>
        </w:rPr>
        <w:tab/>
      </w:r>
      <w:r w:rsidRPr="002C5876">
        <w:rPr>
          <w:szCs w:val="24"/>
        </w:rPr>
        <w:tab/>
        <w:t>est le numéro d’ordre de la phase considérée ;</w:t>
      </w:r>
      <w:r w:rsidRPr="002C5876" w:rsidDel="00CE766D">
        <w:rPr>
          <w:szCs w:val="24"/>
        </w:rPr>
        <w:t xml:space="preserve"> </w:t>
      </w:r>
    </w:p>
    <w:p w:rsidR="00E24DB7" w:rsidRPr="002C5876" w:rsidRDefault="00E24DB7" w:rsidP="00E24DB7">
      <w:pPr>
        <w:pStyle w:val="SingleTxtG"/>
        <w:ind w:left="3402" w:hanging="1134"/>
        <w:rPr>
          <w:szCs w:val="24"/>
        </w:rPr>
      </w:pPr>
      <w:r w:rsidRPr="002C5876">
        <w:rPr>
          <w:szCs w:val="24"/>
        </w:rPr>
        <w:t>k</w:t>
      </w:r>
      <w:r w:rsidRPr="002C5876">
        <w:rPr>
          <w:szCs w:val="24"/>
        </w:rPr>
        <w:tab/>
        <w:t>est le nombre de phases exécutées jusqu’à la fin du cycle de transition n, conformément au paragraphe 3.2.4.4 de la présente annexe.</w:t>
      </w:r>
    </w:p>
    <w:p w:rsidR="00E24DB7" w:rsidRPr="002C5876" w:rsidRDefault="00E24DB7" w:rsidP="00E24DB7">
      <w:pPr>
        <w:pStyle w:val="SingleTxtG"/>
        <w:keepNext/>
        <w:ind w:left="2268" w:hanging="1134"/>
        <w:jc w:val="left"/>
        <w:rPr>
          <w:szCs w:val="24"/>
        </w:rPr>
      </w:pPr>
      <w:r w:rsidRPr="002C5876">
        <w:rPr>
          <w:szCs w:val="24"/>
        </w:rPr>
        <w:t>4.4.4.2</w:t>
      </w:r>
      <w:r w:rsidRPr="002C5876">
        <w:rPr>
          <w:szCs w:val="24"/>
        </w:rPr>
        <w:tab/>
      </w:r>
      <w:r w:rsidRPr="002C5876">
        <w:rPr>
          <w:szCs w:val="24"/>
        </w:rPr>
        <w:tab/>
        <w:t>Détermination de l’autonomie équivalente en mode électrique pur spécifique par phase</w:t>
      </w:r>
    </w:p>
    <w:p w:rsidR="00E24DB7" w:rsidRPr="002C5876" w:rsidRDefault="00E24DB7" w:rsidP="00E24DB7">
      <w:pPr>
        <w:pStyle w:val="SingleTxtG"/>
        <w:keepNext/>
        <w:ind w:left="2268"/>
      </w:pPr>
      <w:r w:rsidRPr="002C5876">
        <w:t>L’autonomie équivalente en mode électrique pur spécifique par phase doit être calculée au moyen de l’équation suivante :</w:t>
      </w:r>
    </w:p>
    <w:p w:rsidR="00E24DB7" w:rsidRPr="002C5876" w:rsidRDefault="00731CA6" w:rsidP="00E24DB7">
      <w:pPr>
        <w:pStyle w:val="SingleTxtG"/>
        <w:keepNext/>
        <w:spacing w:after="240"/>
        <w:ind w:left="2268"/>
        <w:jc w:val="center"/>
      </w:pPr>
      <m:oMathPara>
        <m:oMath>
          <m:sSub>
            <m:sSubPr>
              <m:ctrlPr>
                <w:rPr>
                  <w:rFonts w:ascii="Cambria Math" w:hAnsi="Cambria Math" w:cstheme="majorBidi"/>
                </w:rPr>
              </m:ctrlPr>
            </m:sSubPr>
            <m:e>
              <m:r>
                <m:rPr>
                  <m:sty m:val="p"/>
                </m:rPr>
                <w:rPr>
                  <w:rFonts w:ascii="Cambria Math" w:hAnsi="Cambria Math" w:cstheme="majorBidi"/>
                </w:rPr>
                <m:t>EAER</m:t>
              </m:r>
            </m:e>
            <m:sub>
              <m:r>
                <m:rPr>
                  <m:sty m:val="p"/>
                </m:rPr>
                <w:rPr>
                  <w:rFonts w:ascii="Cambria Math" w:hAnsi="Cambria Math" w:cstheme="majorBidi"/>
                </w:rPr>
                <m:t>p</m:t>
              </m:r>
            </m:sub>
          </m:sSub>
          <m:r>
            <m:rPr>
              <m:sty m:val="p"/>
            </m:rPr>
            <w:rPr>
              <w:rFonts w:ascii="Cambria Math" w:hAnsi="Cambria Math" w:cstheme="majorBidi"/>
            </w:rPr>
            <m:t>=</m:t>
          </m:r>
          <m:d>
            <m:dPr>
              <m:ctrlPr>
                <w:rPr>
                  <w:rFonts w:ascii="Cambria Math" w:hAnsi="Cambria Math" w:cstheme="majorBidi"/>
                </w:rPr>
              </m:ctrlPr>
            </m:dPr>
            <m:e>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 xml:space="preserve">CO2, CS,p </m:t>
                      </m:r>
                    </m:sub>
                  </m:sSub>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 CD,avg,p</m:t>
                      </m:r>
                    </m:sub>
                  </m:sSub>
                </m:num>
                <m:den>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 CS,p</m:t>
                      </m:r>
                    </m:sub>
                  </m:sSub>
                </m:den>
              </m:f>
            </m:e>
          </m:d>
          <m:r>
            <m:rPr>
              <m:sty m:val="p"/>
            </m:rPr>
            <w:rPr>
              <w:rFonts w:ascii="Cambria Math" w:hAnsi="Cambria Math" w:cstheme="majorBidi"/>
            </w:rPr>
            <m:t xml:space="preserve">× </m:t>
          </m:r>
          <m:f>
            <m:fPr>
              <m:ctrlPr>
                <w:rPr>
                  <w:rFonts w:ascii="Cambria Math" w:hAnsi="Cambria Math" w:cstheme="majorBidi"/>
                </w:rPr>
              </m:ctrlPr>
            </m:fPr>
            <m:num>
              <m:nary>
                <m:naryPr>
                  <m:chr m:val="∑"/>
                  <m:limLoc m:val="subSup"/>
                  <m:ctrlPr>
                    <w:rPr>
                      <w:rFonts w:ascii="Cambria Math" w:hAnsi="Cambria Math" w:cstheme="majorBidi"/>
                    </w:rPr>
                  </m:ctrlPr>
                </m:naryPr>
                <m:sub>
                  <m:r>
                    <m:rPr>
                      <m:sty m:val="p"/>
                    </m:rPr>
                    <w:rPr>
                      <w:rFonts w:ascii="Cambria Math" w:hAnsi="Cambria Math" w:cstheme="majorBidi"/>
                    </w:rPr>
                    <m:t>j=1</m:t>
                  </m:r>
                </m:sub>
                <m:sup>
                  <m:r>
                    <m:rPr>
                      <m:sty m:val="p"/>
                    </m:rPr>
                    <w:rPr>
                      <w:rFonts w:ascii="Cambria Math" w:hAnsi="Cambria Math" w:cstheme="majorBidi"/>
                    </w:rPr>
                    <m:t>k</m:t>
                  </m:r>
                </m:sup>
                <m:e>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REESS,j</m:t>
                      </m:r>
                    </m:sub>
                  </m:sSub>
                </m:e>
              </m:nary>
            </m:num>
            <m:den>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DC,CD,p</m:t>
                  </m:r>
                </m:sub>
              </m:sSub>
            </m:den>
          </m:f>
        </m:oMath>
      </m:oMathPara>
    </w:p>
    <w:p w:rsidR="00E24DB7" w:rsidRPr="002C5876" w:rsidRDefault="00E24DB7" w:rsidP="00E24DB7">
      <w:pPr>
        <w:pStyle w:val="SingleTxtG"/>
        <w:ind w:left="2268"/>
        <w:rPr>
          <w:szCs w:val="24"/>
        </w:rPr>
      </w:pPr>
      <w:r w:rsidRPr="002C5876">
        <w:rPr>
          <w:szCs w:val="24"/>
        </w:rPr>
        <w:t>où :</w:t>
      </w:r>
    </w:p>
    <w:p w:rsidR="00E24DB7" w:rsidRPr="002C5876" w:rsidRDefault="00E24DB7" w:rsidP="00E24DB7">
      <w:pPr>
        <w:pStyle w:val="SingleTxtG"/>
        <w:ind w:left="3402" w:hanging="1134"/>
        <w:rPr>
          <w:szCs w:val="24"/>
        </w:rPr>
      </w:pPr>
      <w:r w:rsidRPr="002C5876">
        <w:rPr>
          <w:szCs w:val="24"/>
        </w:rPr>
        <w:t>EAER</w:t>
      </w:r>
      <w:r w:rsidRPr="002C5876">
        <w:rPr>
          <w:szCs w:val="24"/>
          <w:vertAlign w:val="subscript"/>
        </w:rPr>
        <w:t>p</w:t>
      </w:r>
      <w:r w:rsidRPr="002C5876">
        <w:rPr>
          <w:szCs w:val="24"/>
        </w:rPr>
        <w:tab/>
        <w:t>est l’autonomie équivalente en mode électrique pur spécifique par phase pour la phase p considérée, en km ;</w:t>
      </w:r>
    </w:p>
    <w:p w:rsidR="00E24DB7" w:rsidRPr="002C5876" w:rsidRDefault="00E24DB7" w:rsidP="00E24DB7">
      <w:pPr>
        <w:spacing w:after="120"/>
        <w:ind w:left="3402" w:right="1134" w:hanging="1134"/>
        <w:jc w:val="both"/>
        <w:rPr>
          <w:szCs w:val="24"/>
        </w:rPr>
      </w:pPr>
      <w:r w:rsidRPr="002C5876">
        <w:rPr>
          <w:szCs w:val="24"/>
        </w:rPr>
        <w:t>M</w:t>
      </w:r>
      <w:r w:rsidRPr="002C5876">
        <w:rPr>
          <w:szCs w:val="24"/>
          <w:vertAlign w:val="subscript"/>
        </w:rPr>
        <w:t>CO2,CS,p</w:t>
      </w:r>
      <w:r w:rsidRPr="002C5876">
        <w:rPr>
          <w:szCs w:val="24"/>
        </w:rPr>
        <w:tab/>
        <w:t>désigne les émissions massiques de CO</w:t>
      </w:r>
      <w:r w:rsidRPr="002C5876">
        <w:rPr>
          <w:szCs w:val="24"/>
          <w:vertAlign w:val="subscript"/>
        </w:rPr>
        <w:t>2</w:t>
      </w:r>
      <w:r w:rsidRPr="002C5876">
        <w:rPr>
          <w:szCs w:val="24"/>
        </w:rPr>
        <w:t xml:space="preserve"> spécifiques par phase de l’essai du type 1 en mode maintien de la charge pour la phase p considérée, conformément au tableau A8/5, étape </w:t>
      </w:r>
      <w:r w:rsidRPr="002C5876">
        <w:rPr>
          <w:rFonts w:eastAsia="MS Mincho"/>
          <w:szCs w:val="24"/>
        </w:rPr>
        <w:t>n</w:t>
      </w:r>
      <w:r w:rsidRPr="002C5876">
        <w:rPr>
          <w:rFonts w:eastAsia="MS Mincho"/>
          <w:szCs w:val="24"/>
          <w:vertAlign w:val="superscript"/>
        </w:rPr>
        <w:t>o</w:t>
      </w:r>
      <w:r w:rsidRPr="002C5876">
        <w:rPr>
          <w:rFonts w:eastAsia="MS Mincho"/>
          <w:szCs w:val="24"/>
        </w:rPr>
        <w:t> </w:t>
      </w:r>
      <w:r w:rsidRPr="002C5876">
        <w:rPr>
          <w:szCs w:val="24"/>
        </w:rPr>
        <w:t>7, en g/km ;</w:t>
      </w:r>
    </w:p>
    <w:p w:rsidR="00E24DB7" w:rsidRPr="002C5876" w:rsidRDefault="00E24DB7" w:rsidP="00E24DB7">
      <w:pPr>
        <w:pStyle w:val="SingleTxtG"/>
        <w:ind w:left="3402" w:hanging="1134"/>
        <w:rPr>
          <w:szCs w:val="24"/>
        </w:rPr>
      </w:pPr>
      <w:r w:rsidRPr="002C5876">
        <w:rPr>
          <w:szCs w:val="24"/>
        </w:rPr>
        <w:sym w:font="Symbol" w:char="F044"/>
      </w:r>
      <w:r w:rsidRPr="002C5876">
        <w:rPr>
          <w:szCs w:val="24"/>
        </w:rPr>
        <w:t>E</w:t>
      </w:r>
      <w:r w:rsidRPr="002C5876">
        <w:rPr>
          <w:szCs w:val="24"/>
          <w:vertAlign w:val="subscript"/>
        </w:rPr>
        <w:t>REESS,j</w:t>
      </w:r>
      <w:r w:rsidRPr="002C5876">
        <w:rPr>
          <w:szCs w:val="24"/>
        </w:rPr>
        <w:tab/>
        <w:t>est la variation d’énergie électrique de tous les SRSEE durant la phase j considérée, en Wh ;</w:t>
      </w:r>
    </w:p>
    <w:p w:rsidR="00E24DB7" w:rsidRPr="002C5876" w:rsidRDefault="00E24DB7" w:rsidP="00E24DB7">
      <w:pPr>
        <w:pStyle w:val="SingleTxtG"/>
        <w:ind w:left="3402" w:hanging="1134"/>
        <w:rPr>
          <w:szCs w:val="24"/>
        </w:rPr>
      </w:pPr>
      <w:r w:rsidRPr="002C5876">
        <w:rPr>
          <w:szCs w:val="24"/>
        </w:rPr>
        <w:t>EC</w:t>
      </w:r>
      <w:r w:rsidRPr="002C5876">
        <w:rPr>
          <w:szCs w:val="24"/>
          <w:vertAlign w:val="subscript"/>
        </w:rPr>
        <w:t>DC.CD,p</w:t>
      </w:r>
      <w:r w:rsidRPr="002C5876">
        <w:rPr>
          <w:szCs w:val="24"/>
        </w:rPr>
        <w:tab/>
        <w:t>est la consommation d’énergie électrique durant la phase p considérée, compte tenu de l’épuisement de la charge du SRSEE, en Wh/km ;</w:t>
      </w:r>
    </w:p>
    <w:p w:rsidR="00E24DB7" w:rsidRPr="002C5876" w:rsidRDefault="00E24DB7" w:rsidP="00E24DB7">
      <w:pPr>
        <w:pStyle w:val="SingleTxtG"/>
        <w:ind w:left="3402" w:hanging="1134"/>
        <w:rPr>
          <w:szCs w:val="24"/>
        </w:rPr>
      </w:pPr>
      <w:r w:rsidRPr="002C5876">
        <w:rPr>
          <w:szCs w:val="24"/>
        </w:rPr>
        <w:t>j</w:t>
      </w:r>
      <w:r w:rsidRPr="002C5876">
        <w:rPr>
          <w:szCs w:val="24"/>
        </w:rPr>
        <w:tab/>
      </w:r>
      <w:r w:rsidRPr="002C5876">
        <w:rPr>
          <w:szCs w:val="24"/>
        </w:rPr>
        <w:tab/>
        <w:t>est le numéro d’ordre de la phase considérée ;</w:t>
      </w:r>
    </w:p>
    <w:p w:rsidR="00E24DB7" w:rsidRPr="002C5876" w:rsidRDefault="00E24DB7" w:rsidP="00E24DB7">
      <w:pPr>
        <w:pStyle w:val="SingleTxtG"/>
        <w:ind w:left="3402" w:hanging="1134"/>
        <w:rPr>
          <w:szCs w:val="24"/>
        </w:rPr>
      </w:pPr>
      <w:r w:rsidRPr="002C5876">
        <w:rPr>
          <w:szCs w:val="24"/>
        </w:rPr>
        <w:t>k</w:t>
      </w:r>
      <w:r w:rsidRPr="002C5876">
        <w:rPr>
          <w:szCs w:val="24"/>
        </w:rPr>
        <w:tab/>
        <w:t>est le nombre de phases exécutées jusqu’à la fin du cycle de transition n, conformément au paragraphe 3.2.4.4 de la présente annexe ;</w:t>
      </w:r>
    </w:p>
    <w:p w:rsidR="00E24DB7" w:rsidRPr="002C5876" w:rsidRDefault="00E24DB7" w:rsidP="00E24DB7">
      <w:pPr>
        <w:pStyle w:val="SingleTxtG"/>
        <w:ind w:left="3402" w:hanging="1134"/>
        <w:rPr>
          <w:szCs w:val="24"/>
        </w:rPr>
      </w:pPr>
      <w:r w:rsidRPr="002C5876">
        <w:rPr>
          <w:szCs w:val="24"/>
        </w:rPr>
        <w:t>et</w:t>
      </w:r>
    </w:p>
    <w:p w:rsidR="00E24DB7" w:rsidRPr="002C5876" w:rsidRDefault="00731CA6" w:rsidP="00E24DB7">
      <w:pPr>
        <w:pStyle w:val="SingleTxtG"/>
        <w:ind w:left="2268"/>
        <w:jc w:val="center"/>
        <w:rPr>
          <w:szCs w:val="24"/>
        </w:rPr>
      </w:pPr>
      <m:oMathPara>
        <m:oMath>
          <m:sSub>
            <m:sSubPr>
              <m:ctrlPr>
                <w:rPr>
                  <w:rFonts w:ascii="Cambria Math" w:hAnsi="Cambria Math" w:cstheme="majorBidi"/>
                  <w:szCs w:val="24"/>
                </w:rPr>
              </m:ctrlPr>
            </m:sSubPr>
            <m:e>
              <m:r>
                <m:rPr>
                  <m:sty m:val="p"/>
                </m:rPr>
                <w:rPr>
                  <w:rFonts w:ascii="Cambria Math" w:hAnsi="Cambria Math" w:cstheme="majorBidi"/>
                  <w:szCs w:val="24"/>
                </w:rPr>
                <m:t>M</m:t>
              </m:r>
            </m:e>
            <m:sub>
              <m:r>
                <m:rPr>
                  <m:sty m:val="p"/>
                </m:rPr>
                <w:rPr>
                  <w:rFonts w:ascii="Cambria Math" w:hAnsi="Cambria Math" w:cstheme="majorBidi"/>
                  <w:szCs w:val="24"/>
                </w:rPr>
                <m:t>CO2, CD, avg,p</m:t>
              </m:r>
            </m:sub>
          </m:sSub>
          <m:r>
            <m:rPr>
              <m:sty m:val="p"/>
            </m:rPr>
            <w:rPr>
              <w:rFonts w:ascii="Cambria Math" w:hAnsi="Cambria Math" w:cstheme="majorBidi"/>
              <w:szCs w:val="24"/>
            </w:rPr>
            <m:t xml:space="preserve">= </m:t>
          </m:r>
          <m:f>
            <m:fPr>
              <m:ctrlPr>
                <w:rPr>
                  <w:rFonts w:ascii="Cambria Math" w:hAnsi="Cambria Math" w:cstheme="majorBidi"/>
                  <w:szCs w:val="24"/>
                </w:rPr>
              </m:ctrlPr>
            </m:fPr>
            <m:num>
              <m:nary>
                <m:naryPr>
                  <m:chr m:val="∑"/>
                  <m:limLoc m:val="undOvr"/>
                  <m:ctrlPr>
                    <w:rPr>
                      <w:rFonts w:ascii="Cambria Math" w:hAnsi="Cambria Math" w:cstheme="majorBidi"/>
                      <w:szCs w:val="24"/>
                    </w:rPr>
                  </m:ctrlPr>
                </m:naryPr>
                <m:sub>
                  <m:r>
                    <m:rPr>
                      <m:sty m:val="p"/>
                    </m:rPr>
                    <w:rPr>
                      <w:rFonts w:ascii="Cambria Math" w:hAnsi="Cambria Math" w:cstheme="majorBidi"/>
                      <w:szCs w:val="24"/>
                    </w:rPr>
                    <m:t>c=1</m:t>
                  </m:r>
                </m:sub>
                <m:sup>
                  <m:sSub>
                    <m:sSubPr>
                      <m:ctrlPr>
                        <w:rPr>
                          <w:rFonts w:ascii="Cambria Math" w:hAnsi="Cambria Math" w:cstheme="majorBidi"/>
                          <w:szCs w:val="24"/>
                        </w:rPr>
                      </m:ctrlPr>
                    </m:sSubPr>
                    <m:e>
                      <m:r>
                        <m:rPr>
                          <m:sty m:val="p"/>
                        </m:rPr>
                        <w:rPr>
                          <w:rFonts w:ascii="Cambria Math" w:hAnsi="Cambria Math" w:cstheme="majorBidi"/>
                          <w:szCs w:val="24"/>
                        </w:rPr>
                        <m:t>n</m:t>
                      </m:r>
                    </m:e>
                    <m:sub>
                      <m:r>
                        <m:rPr>
                          <m:sty m:val="p"/>
                        </m:rPr>
                        <w:rPr>
                          <w:rFonts w:ascii="Cambria Math" w:hAnsi="Cambria Math" w:cstheme="majorBidi"/>
                          <w:szCs w:val="24"/>
                        </w:rPr>
                        <m:t>c</m:t>
                      </m:r>
                    </m:sub>
                  </m:sSub>
                </m:sup>
                <m:e>
                  <m:sSub>
                    <m:sSubPr>
                      <m:ctrlPr>
                        <w:rPr>
                          <w:rFonts w:ascii="Cambria Math" w:hAnsi="Cambria Math" w:cstheme="majorBidi"/>
                          <w:szCs w:val="24"/>
                        </w:rPr>
                      </m:ctrlPr>
                    </m:sSubPr>
                    <m:e>
                      <m:r>
                        <m:rPr>
                          <m:sty m:val="p"/>
                        </m:rPr>
                        <w:rPr>
                          <w:rFonts w:ascii="Cambria Math" w:hAnsi="Cambria Math" w:cstheme="majorBidi"/>
                          <w:szCs w:val="24"/>
                        </w:rPr>
                        <m:t>(M</m:t>
                      </m:r>
                    </m:e>
                    <m:sub>
                      <m:r>
                        <m:rPr>
                          <m:sty m:val="p"/>
                        </m:rPr>
                        <w:rPr>
                          <w:rFonts w:ascii="Cambria Math" w:hAnsi="Cambria Math" w:cstheme="majorBidi"/>
                          <w:szCs w:val="24"/>
                        </w:rPr>
                        <m:t xml:space="preserve">CO2,CD,p,c </m:t>
                      </m:r>
                    </m:sub>
                  </m:sSub>
                  <m:r>
                    <m:rPr>
                      <m:sty m:val="p"/>
                    </m:rPr>
                    <w:rPr>
                      <w:rFonts w:ascii="Cambria Math" w:hAnsi="Cambria Math" w:cstheme="majorBidi"/>
                      <w:szCs w:val="24"/>
                    </w:rPr>
                    <m:t>×</m:t>
                  </m:r>
                  <m:sSub>
                    <m:sSubPr>
                      <m:ctrlPr>
                        <w:rPr>
                          <w:rFonts w:ascii="Cambria Math" w:hAnsi="Cambria Math" w:cstheme="majorBidi"/>
                          <w:szCs w:val="24"/>
                        </w:rPr>
                      </m:ctrlPr>
                    </m:sSubPr>
                    <m:e>
                      <m:r>
                        <m:rPr>
                          <m:sty m:val="p"/>
                        </m:rPr>
                        <w:rPr>
                          <w:rFonts w:ascii="Cambria Math" w:hAnsi="Cambria Math" w:cstheme="majorBidi"/>
                          <w:szCs w:val="24"/>
                        </w:rPr>
                        <m:t>d</m:t>
                      </m:r>
                    </m:e>
                    <m:sub>
                      <m:r>
                        <m:rPr>
                          <m:sty m:val="p"/>
                        </m:rPr>
                        <w:rPr>
                          <w:rFonts w:ascii="Cambria Math" w:hAnsi="Cambria Math" w:cstheme="majorBidi"/>
                          <w:szCs w:val="24"/>
                        </w:rPr>
                        <m:t>p,c</m:t>
                      </m:r>
                    </m:sub>
                  </m:sSub>
                  <m:r>
                    <m:rPr>
                      <m:sty m:val="p"/>
                    </m:rPr>
                    <w:rPr>
                      <w:rFonts w:ascii="Cambria Math" w:hAnsi="Cambria Math" w:cstheme="majorBidi"/>
                      <w:szCs w:val="24"/>
                    </w:rPr>
                    <m:t>)</m:t>
                  </m:r>
                </m:e>
              </m:nary>
            </m:num>
            <m:den>
              <m:nary>
                <m:naryPr>
                  <m:chr m:val="∑"/>
                  <m:limLoc m:val="undOvr"/>
                  <m:ctrlPr>
                    <w:rPr>
                      <w:rFonts w:ascii="Cambria Math" w:hAnsi="Cambria Math" w:cstheme="majorBidi"/>
                      <w:szCs w:val="24"/>
                    </w:rPr>
                  </m:ctrlPr>
                </m:naryPr>
                <m:sub>
                  <m:r>
                    <m:rPr>
                      <m:sty m:val="p"/>
                    </m:rPr>
                    <w:rPr>
                      <w:rFonts w:ascii="Cambria Math" w:hAnsi="Cambria Math" w:cstheme="majorBidi"/>
                      <w:szCs w:val="24"/>
                    </w:rPr>
                    <m:t>c=1</m:t>
                  </m:r>
                </m:sub>
                <m:sup>
                  <m:sSub>
                    <m:sSubPr>
                      <m:ctrlPr>
                        <w:rPr>
                          <w:rFonts w:ascii="Cambria Math" w:hAnsi="Cambria Math" w:cstheme="majorBidi"/>
                          <w:szCs w:val="24"/>
                        </w:rPr>
                      </m:ctrlPr>
                    </m:sSubPr>
                    <m:e>
                      <m:r>
                        <m:rPr>
                          <m:sty m:val="p"/>
                        </m:rPr>
                        <w:rPr>
                          <w:rFonts w:ascii="Cambria Math" w:hAnsi="Cambria Math" w:cstheme="majorBidi"/>
                          <w:szCs w:val="24"/>
                        </w:rPr>
                        <m:t>n</m:t>
                      </m:r>
                    </m:e>
                    <m:sub>
                      <m:r>
                        <m:rPr>
                          <m:sty m:val="p"/>
                        </m:rPr>
                        <w:rPr>
                          <w:rFonts w:ascii="Cambria Math" w:hAnsi="Cambria Math" w:cstheme="majorBidi"/>
                          <w:szCs w:val="24"/>
                        </w:rPr>
                        <m:t>c</m:t>
                      </m:r>
                    </m:sub>
                  </m:sSub>
                </m:sup>
                <m:e>
                  <m:sSub>
                    <m:sSubPr>
                      <m:ctrlPr>
                        <w:rPr>
                          <w:rFonts w:ascii="Cambria Math" w:hAnsi="Cambria Math" w:cstheme="majorBidi"/>
                          <w:szCs w:val="24"/>
                        </w:rPr>
                      </m:ctrlPr>
                    </m:sSubPr>
                    <m:e>
                      <m:r>
                        <m:rPr>
                          <m:sty m:val="p"/>
                        </m:rPr>
                        <w:rPr>
                          <w:rFonts w:ascii="Cambria Math" w:hAnsi="Cambria Math" w:cstheme="majorBidi"/>
                          <w:szCs w:val="24"/>
                        </w:rPr>
                        <m:t>d</m:t>
                      </m:r>
                    </m:e>
                    <m:sub>
                      <m:r>
                        <m:rPr>
                          <m:sty m:val="p"/>
                        </m:rPr>
                        <w:rPr>
                          <w:rFonts w:ascii="Cambria Math" w:hAnsi="Cambria Math" w:cstheme="majorBidi"/>
                          <w:szCs w:val="24"/>
                        </w:rPr>
                        <m:t>p,c</m:t>
                      </m:r>
                    </m:sub>
                  </m:sSub>
                </m:e>
              </m:nary>
            </m:den>
          </m:f>
          <m:r>
            <w:rPr>
              <w:rFonts w:ascii="Cambria Math" w:hAnsi="Cambria Math"/>
              <w:szCs w:val="24"/>
            </w:rPr>
            <m:t xml:space="preserve"> </m:t>
          </m:r>
        </m:oMath>
      </m:oMathPara>
    </w:p>
    <w:p w:rsidR="00E24DB7" w:rsidRPr="002C5876" w:rsidRDefault="00E24DB7" w:rsidP="00E24DB7">
      <w:pPr>
        <w:pStyle w:val="SingleTxtG"/>
        <w:ind w:left="3402" w:hanging="1134"/>
        <w:rPr>
          <w:szCs w:val="24"/>
        </w:rPr>
      </w:pPr>
      <w:r w:rsidRPr="002C5876">
        <w:rPr>
          <w:szCs w:val="24"/>
        </w:rPr>
        <w:lastRenderedPageBreak/>
        <w:t>où :</w:t>
      </w:r>
    </w:p>
    <w:p w:rsidR="00E24DB7" w:rsidRPr="002C5876" w:rsidRDefault="00E24DB7" w:rsidP="00E24DB7">
      <w:pPr>
        <w:pStyle w:val="SingleTxtG"/>
        <w:ind w:left="3402" w:hanging="1134"/>
        <w:rPr>
          <w:szCs w:val="24"/>
        </w:rPr>
      </w:pPr>
      <w:r w:rsidRPr="002C5876">
        <w:rPr>
          <w:szCs w:val="24"/>
        </w:rPr>
        <w:t>M</w:t>
      </w:r>
      <w:r w:rsidRPr="002C5876">
        <w:rPr>
          <w:szCs w:val="24"/>
          <w:vertAlign w:val="subscript"/>
        </w:rPr>
        <w:t>CO2,CD,avg,p</w:t>
      </w:r>
      <w:r w:rsidRPr="002C5876">
        <w:rPr>
          <w:szCs w:val="24"/>
        </w:rPr>
        <w:tab/>
        <w:t>est la moyenne arithmétique des émissions massiques de CO</w:t>
      </w:r>
      <w:r w:rsidRPr="002C5876">
        <w:rPr>
          <w:szCs w:val="24"/>
          <w:vertAlign w:val="subscript"/>
        </w:rPr>
        <w:t>2</w:t>
      </w:r>
      <w:r w:rsidRPr="002C5876">
        <w:rPr>
          <w:szCs w:val="24"/>
        </w:rPr>
        <w:t xml:space="preserve"> en mode maintien de la charge pour la phase p considérée, en g/km ;</w:t>
      </w:r>
    </w:p>
    <w:p w:rsidR="00E24DB7" w:rsidRPr="002C5876" w:rsidRDefault="00E24DB7" w:rsidP="00E24DB7">
      <w:pPr>
        <w:pStyle w:val="SingleTxtG"/>
        <w:ind w:left="3402" w:hanging="1134"/>
        <w:rPr>
          <w:szCs w:val="24"/>
        </w:rPr>
      </w:pPr>
      <w:r w:rsidRPr="002C5876">
        <w:rPr>
          <w:szCs w:val="24"/>
        </w:rPr>
        <w:t>M</w:t>
      </w:r>
      <w:r w:rsidRPr="002C5876">
        <w:rPr>
          <w:szCs w:val="24"/>
          <w:vertAlign w:val="subscript"/>
        </w:rPr>
        <w:t>CO2,CD,p,c</w:t>
      </w:r>
      <w:r w:rsidRPr="002C5876">
        <w:rPr>
          <w:szCs w:val="24"/>
        </w:rPr>
        <w:tab/>
        <w:t>désigne les émissions massiques de CO</w:t>
      </w:r>
      <w:r w:rsidRPr="002C5876">
        <w:rPr>
          <w:szCs w:val="24"/>
          <w:vertAlign w:val="subscript"/>
        </w:rPr>
        <w:t>2</w:t>
      </w:r>
      <w:r w:rsidRPr="002C5876">
        <w:rPr>
          <w:szCs w:val="24"/>
        </w:rPr>
        <w:t>, déterminées conformément au paragraphe 3.2.1 de l’annexe 7, de la phase p du cycle c de l’essai d’épuisement de la charge du type 1, en g/km ;</w:t>
      </w:r>
    </w:p>
    <w:p w:rsidR="00E24DB7" w:rsidRPr="002C5876" w:rsidRDefault="00E24DB7" w:rsidP="00E24DB7">
      <w:pPr>
        <w:pStyle w:val="SingleTxtG"/>
        <w:ind w:left="3402" w:hanging="1134"/>
        <w:rPr>
          <w:szCs w:val="24"/>
        </w:rPr>
      </w:pPr>
      <w:r w:rsidRPr="002C5876">
        <w:rPr>
          <w:szCs w:val="24"/>
        </w:rPr>
        <w:t>d</w:t>
      </w:r>
      <w:r w:rsidRPr="002C5876">
        <w:rPr>
          <w:szCs w:val="24"/>
          <w:vertAlign w:val="subscript"/>
        </w:rPr>
        <w:t>p,c</w:t>
      </w:r>
      <w:r w:rsidRPr="002C5876">
        <w:rPr>
          <w:szCs w:val="24"/>
        </w:rPr>
        <w:tab/>
        <w:t>est la distance parcourue durant la phase p considérée du cycle c de l’essai d’épuisement de la charge du type 1, en km ;</w:t>
      </w:r>
    </w:p>
    <w:p w:rsidR="00E24DB7" w:rsidRPr="002C5876" w:rsidRDefault="00E24DB7" w:rsidP="00E24DB7">
      <w:pPr>
        <w:pStyle w:val="SingleTxtG"/>
        <w:ind w:left="3402" w:hanging="1134"/>
        <w:rPr>
          <w:szCs w:val="24"/>
        </w:rPr>
      </w:pPr>
      <w:r w:rsidRPr="002C5876">
        <w:rPr>
          <w:szCs w:val="24"/>
        </w:rPr>
        <w:t>c</w:t>
      </w:r>
      <w:r w:rsidRPr="002C5876">
        <w:rPr>
          <w:szCs w:val="24"/>
        </w:rPr>
        <w:tab/>
      </w:r>
      <w:r w:rsidRPr="002C5876">
        <w:rPr>
          <w:szCs w:val="24"/>
        </w:rPr>
        <w:tab/>
        <w:t>est le numéro d’ordre du cycle d’essai WLTP applicable considéré ;</w:t>
      </w:r>
    </w:p>
    <w:p w:rsidR="00E24DB7" w:rsidRPr="002C5876" w:rsidRDefault="00E24DB7" w:rsidP="00E24DB7">
      <w:pPr>
        <w:pStyle w:val="SingleTxtG"/>
        <w:ind w:left="3402" w:hanging="1134"/>
        <w:rPr>
          <w:szCs w:val="24"/>
        </w:rPr>
      </w:pPr>
      <w:r w:rsidRPr="002C5876">
        <w:rPr>
          <w:szCs w:val="24"/>
        </w:rPr>
        <w:t>p</w:t>
      </w:r>
      <w:r w:rsidRPr="002C5876">
        <w:rPr>
          <w:szCs w:val="24"/>
        </w:rPr>
        <w:tab/>
        <w:t>est le numéro d’ordre de la phase individuelle du cycle d’essai WLTP applicable ;</w:t>
      </w:r>
    </w:p>
    <w:p w:rsidR="00E24DB7" w:rsidRPr="002C5876" w:rsidRDefault="00E24DB7" w:rsidP="00E24DB7">
      <w:pPr>
        <w:pStyle w:val="SingleTxtG"/>
        <w:ind w:left="3402" w:hanging="1134"/>
        <w:rPr>
          <w:szCs w:val="24"/>
        </w:rPr>
      </w:pPr>
      <w:r w:rsidRPr="002C5876">
        <w:rPr>
          <w:szCs w:val="24"/>
        </w:rPr>
        <w:t>n</w:t>
      </w:r>
      <w:r w:rsidRPr="002C5876">
        <w:rPr>
          <w:szCs w:val="24"/>
          <w:vertAlign w:val="subscript"/>
        </w:rPr>
        <w:t>c</w:t>
      </w:r>
      <w:r w:rsidRPr="002C5876">
        <w:rPr>
          <w:szCs w:val="24"/>
        </w:rPr>
        <w:tab/>
        <w:t>est le nombre de cycles d’essai WLTP applicables exécutés jusqu’à la fin du cycle de transition n, conformément au paragraphe 3.2.4.4 de la présente annexe ;</w:t>
      </w:r>
    </w:p>
    <w:p w:rsidR="00E24DB7" w:rsidRPr="002C5876" w:rsidRDefault="00E24DB7" w:rsidP="00E24DB7">
      <w:pPr>
        <w:pStyle w:val="SingleTxtG"/>
        <w:keepNext/>
        <w:ind w:left="3402" w:hanging="1134"/>
        <w:rPr>
          <w:szCs w:val="24"/>
        </w:rPr>
      </w:pPr>
      <w:r w:rsidRPr="002C5876">
        <w:rPr>
          <w:szCs w:val="24"/>
        </w:rPr>
        <w:t>et</w:t>
      </w:r>
    </w:p>
    <w:p w:rsidR="00E24DB7" w:rsidRPr="002C5876" w:rsidRDefault="00731CA6" w:rsidP="00E24DB7">
      <w:pPr>
        <w:pStyle w:val="SingleTxtG"/>
        <w:keepNext/>
        <w:ind w:left="2268"/>
        <w:jc w:val="center"/>
        <w:rPr>
          <w:szCs w:val="24"/>
        </w:rPr>
      </w:pPr>
      <m:oMathPara>
        <m:oMath>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DC,CD,p</m:t>
              </m:r>
            </m:sub>
          </m:sSub>
          <m:r>
            <m:rPr>
              <m:sty m:val="p"/>
            </m:rPr>
            <w:rPr>
              <w:rFonts w:ascii="Cambria Math" w:hAnsi="Cambria Math" w:cstheme="majorBidi"/>
            </w:rPr>
            <m:t>=</m:t>
          </m:r>
          <m:f>
            <m:fPr>
              <m:ctrlPr>
                <w:rPr>
                  <w:rFonts w:ascii="Cambria Math" w:hAnsi="Cambria Math" w:cstheme="majorBidi"/>
                </w:rPr>
              </m:ctrlPr>
            </m:fPr>
            <m:num>
              <m:nary>
                <m:naryPr>
                  <m:chr m:val="∑"/>
                  <m:limLoc m:val="subSup"/>
                  <m:ctrlPr>
                    <w:rPr>
                      <w:rFonts w:ascii="Cambria Math" w:hAnsi="Cambria Math" w:cstheme="majorBidi"/>
                    </w:rPr>
                  </m:ctrlPr>
                </m:naryPr>
                <m:sub>
                  <m:r>
                    <m:rPr>
                      <m:sty m:val="p"/>
                    </m:rPr>
                    <w:rPr>
                      <w:rFonts w:ascii="Cambria Math" w:hAnsi="Cambria Math" w:cstheme="majorBidi"/>
                    </w:rPr>
                    <m:t>c=1</m:t>
                  </m:r>
                </m:sub>
                <m:sup>
                  <m:sSub>
                    <m:sSubPr>
                      <m:ctrlPr>
                        <w:rPr>
                          <w:rFonts w:ascii="Cambria Math" w:hAnsi="Cambria Math" w:cstheme="majorBidi"/>
                        </w:rPr>
                      </m:ctrlPr>
                    </m:sSubPr>
                    <m:e>
                      <m:r>
                        <m:rPr>
                          <m:sty m:val="p"/>
                        </m:rPr>
                        <w:rPr>
                          <w:rFonts w:ascii="Cambria Math" w:hAnsi="Cambria Math" w:cstheme="majorBidi"/>
                        </w:rPr>
                        <m:t>n</m:t>
                      </m:r>
                    </m:e>
                    <m:sub>
                      <m:r>
                        <m:rPr>
                          <m:sty m:val="p"/>
                        </m:rPr>
                        <w:rPr>
                          <w:rFonts w:ascii="Cambria Math" w:hAnsi="Cambria Math" w:cstheme="majorBidi"/>
                        </w:rPr>
                        <m:t>c</m:t>
                      </m:r>
                    </m:sub>
                  </m:sSub>
                </m:sup>
                <m:e>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DC,CD,p,c</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d</m:t>
                      </m:r>
                    </m:e>
                    <m:sub>
                      <m:r>
                        <m:rPr>
                          <m:sty m:val="p"/>
                        </m:rPr>
                        <w:rPr>
                          <w:rFonts w:ascii="Cambria Math" w:hAnsi="Cambria Math" w:cstheme="majorBidi"/>
                        </w:rPr>
                        <m:t>p,c</m:t>
                      </m:r>
                    </m:sub>
                  </m:sSub>
                </m:e>
              </m:nary>
            </m:num>
            <m:den>
              <m:nary>
                <m:naryPr>
                  <m:chr m:val="∑"/>
                  <m:limLoc m:val="subSup"/>
                  <m:ctrlPr>
                    <w:rPr>
                      <w:rFonts w:ascii="Cambria Math" w:hAnsi="Cambria Math" w:cstheme="majorBidi"/>
                    </w:rPr>
                  </m:ctrlPr>
                </m:naryPr>
                <m:sub>
                  <m:r>
                    <m:rPr>
                      <m:sty m:val="p"/>
                    </m:rPr>
                    <w:rPr>
                      <w:rFonts w:ascii="Cambria Math" w:hAnsi="Cambria Math" w:cstheme="majorBidi"/>
                    </w:rPr>
                    <m:t>c=1</m:t>
                  </m:r>
                </m:sub>
                <m:sup>
                  <m:sSub>
                    <m:sSubPr>
                      <m:ctrlPr>
                        <w:rPr>
                          <w:rFonts w:ascii="Cambria Math" w:hAnsi="Cambria Math" w:cstheme="majorBidi"/>
                        </w:rPr>
                      </m:ctrlPr>
                    </m:sSubPr>
                    <m:e>
                      <m:r>
                        <m:rPr>
                          <m:sty m:val="p"/>
                        </m:rPr>
                        <w:rPr>
                          <w:rFonts w:ascii="Cambria Math" w:hAnsi="Cambria Math" w:cstheme="majorBidi"/>
                        </w:rPr>
                        <m:t>n</m:t>
                      </m:r>
                    </m:e>
                    <m:sub>
                      <m:r>
                        <m:rPr>
                          <m:sty m:val="p"/>
                        </m:rPr>
                        <w:rPr>
                          <w:rFonts w:ascii="Cambria Math" w:hAnsi="Cambria Math" w:cstheme="majorBidi"/>
                        </w:rPr>
                        <m:t>c</m:t>
                      </m:r>
                    </m:sub>
                  </m:sSub>
                </m:sup>
                <m:e>
                  <m:sSub>
                    <m:sSubPr>
                      <m:ctrlPr>
                        <w:rPr>
                          <w:rFonts w:ascii="Cambria Math" w:hAnsi="Cambria Math" w:cstheme="majorBidi"/>
                        </w:rPr>
                      </m:ctrlPr>
                    </m:sSubPr>
                    <m:e>
                      <m:r>
                        <m:rPr>
                          <m:sty m:val="p"/>
                        </m:rPr>
                        <w:rPr>
                          <w:rFonts w:ascii="Cambria Math" w:hAnsi="Cambria Math" w:cstheme="majorBidi"/>
                        </w:rPr>
                        <m:t>d</m:t>
                      </m:r>
                    </m:e>
                    <m:sub>
                      <m:r>
                        <m:rPr>
                          <m:sty m:val="p"/>
                        </m:rPr>
                        <w:rPr>
                          <w:rFonts w:ascii="Cambria Math" w:hAnsi="Cambria Math" w:cstheme="majorBidi"/>
                        </w:rPr>
                        <m:t>p,c</m:t>
                      </m:r>
                    </m:sub>
                  </m:sSub>
                </m:e>
              </m:nary>
            </m:den>
          </m:f>
          <m:r>
            <w:rPr>
              <w:rFonts w:ascii="Cambria Math" w:hAnsi="Cambria Math" w:cstheme="majorBidi"/>
            </w:rPr>
            <m:t xml:space="preserve"> </m:t>
          </m:r>
        </m:oMath>
      </m:oMathPara>
    </w:p>
    <w:p w:rsidR="00E24DB7" w:rsidRPr="002C5876" w:rsidRDefault="00E24DB7" w:rsidP="00E24DB7">
      <w:pPr>
        <w:pStyle w:val="SingleTxtG"/>
        <w:keepNext/>
        <w:keepLines/>
        <w:ind w:left="3402" w:hanging="1134"/>
        <w:rPr>
          <w:szCs w:val="24"/>
        </w:rPr>
      </w:pPr>
      <w:r w:rsidRPr="002C5876">
        <w:rPr>
          <w:szCs w:val="24"/>
        </w:rPr>
        <w:t>où :</w:t>
      </w:r>
    </w:p>
    <w:p w:rsidR="00E24DB7" w:rsidRPr="002C5876" w:rsidRDefault="00E24DB7" w:rsidP="00E24DB7">
      <w:pPr>
        <w:pStyle w:val="SingleTxtG"/>
        <w:ind w:left="3402" w:hanging="1134"/>
        <w:rPr>
          <w:szCs w:val="24"/>
        </w:rPr>
      </w:pPr>
      <w:r w:rsidRPr="002C5876">
        <w:rPr>
          <w:szCs w:val="24"/>
        </w:rPr>
        <w:t>EC</w:t>
      </w:r>
      <w:r w:rsidRPr="002C5876">
        <w:rPr>
          <w:szCs w:val="24"/>
          <w:vertAlign w:val="subscript"/>
        </w:rPr>
        <w:t>DC.CD,p</w:t>
      </w:r>
      <w:r w:rsidRPr="002C5876">
        <w:rPr>
          <w:szCs w:val="24"/>
        </w:rPr>
        <w:tab/>
        <w:t>est la consommation d’énergie électrique de la phase p considérée compte tenu de l’épuisement de la charge du SRSEE au cours de l’essai d’épuisement de la charge du type 1, en Wh/km ;</w:t>
      </w:r>
    </w:p>
    <w:p w:rsidR="00E24DB7" w:rsidRPr="002C5876" w:rsidRDefault="00E24DB7" w:rsidP="00E24DB7">
      <w:pPr>
        <w:pStyle w:val="SingleTxtG"/>
        <w:ind w:left="3402" w:hanging="1134"/>
        <w:rPr>
          <w:szCs w:val="24"/>
        </w:rPr>
      </w:pPr>
      <w:r w:rsidRPr="002C5876">
        <w:rPr>
          <w:szCs w:val="24"/>
        </w:rPr>
        <w:t>EC</w:t>
      </w:r>
      <w:r w:rsidRPr="002C5876">
        <w:rPr>
          <w:szCs w:val="24"/>
          <w:vertAlign w:val="subscript"/>
        </w:rPr>
        <w:t>DC.CD,p,c</w:t>
      </w:r>
      <w:r w:rsidRPr="002C5876">
        <w:rPr>
          <w:szCs w:val="24"/>
        </w:rPr>
        <w:tab/>
        <w:t>est la consommation d’énergie électrique de la phase p considérée du cycle c, compte tenu de l’épuisement de la charge du SRSEE au cours de l’essai d’épuisement de la charge du type 1, conformément au paragraphe 4.3 de la présente annexe, en Wh/km ;</w:t>
      </w:r>
    </w:p>
    <w:p w:rsidR="00E24DB7" w:rsidRPr="002C5876" w:rsidRDefault="00E24DB7" w:rsidP="00E24DB7">
      <w:pPr>
        <w:pStyle w:val="SingleTxtG"/>
        <w:ind w:left="3402" w:hanging="1134"/>
        <w:rPr>
          <w:szCs w:val="24"/>
        </w:rPr>
      </w:pPr>
      <w:r w:rsidRPr="002C5876">
        <w:rPr>
          <w:szCs w:val="24"/>
        </w:rPr>
        <w:t>d</w:t>
      </w:r>
      <w:r w:rsidRPr="002C5876">
        <w:rPr>
          <w:szCs w:val="24"/>
          <w:vertAlign w:val="subscript"/>
        </w:rPr>
        <w:t>p,c</w:t>
      </w:r>
      <w:r w:rsidRPr="002C5876">
        <w:rPr>
          <w:szCs w:val="24"/>
        </w:rPr>
        <w:tab/>
        <w:t>est la distance parcourue durant la phase p considérée du cycle c de l’essai d’épuisement de la charge du type 1, en km ;</w:t>
      </w:r>
    </w:p>
    <w:p w:rsidR="00E24DB7" w:rsidRPr="002C5876" w:rsidRDefault="00E24DB7" w:rsidP="00E24DB7">
      <w:pPr>
        <w:pStyle w:val="SingleTxtG"/>
        <w:ind w:left="3402" w:hanging="1134"/>
        <w:rPr>
          <w:szCs w:val="24"/>
        </w:rPr>
      </w:pPr>
      <w:r w:rsidRPr="002C5876">
        <w:rPr>
          <w:szCs w:val="24"/>
        </w:rPr>
        <w:t>c</w:t>
      </w:r>
      <w:r w:rsidRPr="002C5876">
        <w:rPr>
          <w:szCs w:val="24"/>
        </w:rPr>
        <w:tab/>
      </w:r>
      <w:r w:rsidRPr="002C5876">
        <w:rPr>
          <w:szCs w:val="24"/>
        </w:rPr>
        <w:tab/>
        <w:t>est le numéro d’ordre du cycle d’essai WLTP applicable considéré ;</w:t>
      </w:r>
    </w:p>
    <w:p w:rsidR="00E24DB7" w:rsidRPr="002C5876" w:rsidRDefault="00E24DB7" w:rsidP="00E24DB7">
      <w:pPr>
        <w:pStyle w:val="SingleTxtG"/>
        <w:ind w:left="3402" w:hanging="1134"/>
        <w:rPr>
          <w:szCs w:val="24"/>
        </w:rPr>
      </w:pPr>
      <w:r w:rsidRPr="002C5876">
        <w:rPr>
          <w:szCs w:val="24"/>
        </w:rPr>
        <w:t>p</w:t>
      </w:r>
      <w:r w:rsidRPr="002C5876">
        <w:rPr>
          <w:szCs w:val="24"/>
        </w:rPr>
        <w:tab/>
        <w:t>est le numéro d’ordre de la phase individuelle du cycle d’essai WLTP applicable ;</w:t>
      </w:r>
    </w:p>
    <w:p w:rsidR="00E24DB7" w:rsidRPr="002C5876" w:rsidRDefault="00E24DB7" w:rsidP="00E24DB7">
      <w:pPr>
        <w:pStyle w:val="SingleTxtG"/>
        <w:ind w:left="3402" w:hanging="1134"/>
        <w:rPr>
          <w:szCs w:val="24"/>
        </w:rPr>
      </w:pPr>
      <w:r w:rsidRPr="002C5876">
        <w:rPr>
          <w:szCs w:val="24"/>
        </w:rPr>
        <w:t>n</w:t>
      </w:r>
      <w:r w:rsidRPr="002C5876">
        <w:rPr>
          <w:szCs w:val="24"/>
          <w:vertAlign w:val="subscript"/>
        </w:rPr>
        <w:t>c</w:t>
      </w:r>
      <w:r w:rsidRPr="002C5876">
        <w:rPr>
          <w:szCs w:val="24"/>
        </w:rPr>
        <w:tab/>
        <w:t>est le nombre de cycles d’essai WLTP applicables exécutés jusqu’à la fin du cycle de transition n, conformément au paragraphe 3.2.4.4 de la présente annexe.</w:t>
      </w:r>
    </w:p>
    <w:p w:rsidR="00E24DB7" w:rsidRPr="002C5876" w:rsidRDefault="00E24DB7" w:rsidP="00E24DB7">
      <w:pPr>
        <w:pStyle w:val="SingleTxtG"/>
        <w:ind w:left="2268"/>
        <w:rPr>
          <w:szCs w:val="24"/>
        </w:rPr>
      </w:pPr>
      <w:r w:rsidRPr="002C5876">
        <w:rPr>
          <w:szCs w:val="24"/>
        </w:rPr>
        <w:t>Les phases considérées sont les suivantes : phase basse (low), phase moyenne (medium), phase haute (high) et phase extra-haute (extra high), et le cycle de conduite urbaine. Dans le cas où une Partie contractante demande que la phase extra-haute soit exclue, celle-ci doit être omise.</w:t>
      </w:r>
    </w:p>
    <w:p w:rsidR="00E24DB7" w:rsidRPr="002C5876" w:rsidRDefault="00E24DB7" w:rsidP="00E24DB7">
      <w:pPr>
        <w:pStyle w:val="SingleTxtG"/>
        <w:ind w:left="2268" w:hanging="1134"/>
        <w:jc w:val="left"/>
        <w:rPr>
          <w:szCs w:val="24"/>
        </w:rPr>
      </w:pPr>
      <w:r w:rsidRPr="002C5876">
        <w:rPr>
          <w:szCs w:val="24"/>
        </w:rPr>
        <w:t>4.4.5</w:t>
      </w:r>
      <w:r w:rsidRPr="002C5876">
        <w:rPr>
          <w:szCs w:val="24"/>
        </w:rPr>
        <w:tab/>
        <w:t>Autonomie réelle en mode épuisement de la charge pour les VHE-RE</w:t>
      </w:r>
    </w:p>
    <w:p w:rsidR="00E24DB7" w:rsidRPr="002C5876" w:rsidRDefault="00E24DB7" w:rsidP="00E24DB7">
      <w:pPr>
        <w:pStyle w:val="SingleTxtG"/>
        <w:ind w:left="2268"/>
        <w:rPr>
          <w:bCs/>
          <w:szCs w:val="24"/>
        </w:rPr>
      </w:pPr>
      <w:r w:rsidRPr="002C5876">
        <w:rPr>
          <w:szCs w:val="24"/>
        </w:rPr>
        <w:t>L’autonomie réelle en mode épuisement de la charge doit être calculée au moyen de l’équation suivante </w:t>
      </w:r>
      <w:r w:rsidRPr="002C5876">
        <w:rPr>
          <w:bCs/>
          <w:szCs w:val="24"/>
        </w:rPr>
        <w:t>:</w:t>
      </w:r>
    </w:p>
    <w:p w:rsidR="00E24DB7" w:rsidRPr="002C5876" w:rsidRDefault="00731CA6" w:rsidP="00E24DB7">
      <w:pPr>
        <w:pStyle w:val="SingleTxtG"/>
        <w:ind w:left="2268"/>
        <w:rPr>
          <w:bCs/>
          <w:szCs w:val="24"/>
        </w:rPr>
      </w:pPr>
      <m:oMathPara>
        <m:oMath>
          <m:sSub>
            <m:sSubPr>
              <m:ctrlPr>
                <w:rPr>
                  <w:rFonts w:ascii="Cambria Math" w:hAnsi="Cambria Math" w:cstheme="majorBidi"/>
                </w:rPr>
              </m:ctrlPr>
            </m:sSubPr>
            <m:e>
              <m:r>
                <m:rPr>
                  <m:sty m:val="p"/>
                </m:rPr>
                <w:rPr>
                  <w:rFonts w:ascii="Cambria Math" w:hAnsi="Cambria Math" w:cstheme="majorBidi"/>
                </w:rPr>
                <m:t>R</m:t>
              </m:r>
            </m:e>
            <m:sub>
              <m:r>
                <m:rPr>
                  <m:sty m:val="p"/>
                </m:rPr>
                <w:rPr>
                  <w:rFonts w:ascii="Cambria Math" w:hAnsi="Cambria Math" w:cstheme="majorBidi"/>
                </w:rPr>
                <m:t>CDA</m:t>
              </m:r>
            </m:sub>
          </m:sSub>
          <m:r>
            <m:rPr>
              <m:sty m:val="p"/>
            </m:rPr>
            <w:rPr>
              <w:rFonts w:ascii="Cambria Math" w:hAnsi="Cambria Math" w:cstheme="majorBidi"/>
            </w:rPr>
            <m:t xml:space="preserve">= </m:t>
          </m:r>
          <m:nary>
            <m:naryPr>
              <m:chr m:val="∑"/>
              <m:limLoc m:val="undOvr"/>
              <m:ctrlPr>
                <w:rPr>
                  <w:rFonts w:ascii="Cambria Math" w:hAnsi="Cambria Math" w:cstheme="majorBidi"/>
                </w:rPr>
              </m:ctrlPr>
            </m:naryPr>
            <m:sub>
              <m:r>
                <m:rPr>
                  <m:sty m:val="p"/>
                </m:rPr>
                <w:rPr>
                  <w:rFonts w:ascii="Cambria Math" w:hAnsi="Cambria Math" w:cstheme="majorBidi"/>
                </w:rPr>
                <m:t>c=1</m:t>
              </m:r>
            </m:sub>
            <m:sup>
              <m:r>
                <m:rPr>
                  <m:sty m:val="p"/>
                </m:rPr>
                <w:rPr>
                  <w:rFonts w:ascii="Cambria Math" w:hAnsi="Cambria Math" w:cstheme="majorBidi"/>
                </w:rPr>
                <m:t>n-1</m:t>
              </m:r>
            </m:sup>
            <m:e>
              <m:sSub>
                <m:sSubPr>
                  <m:ctrlPr>
                    <w:rPr>
                      <w:rFonts w:ascii="Cambria Math" w:hAnsi="Cambria Math" w:cstheme="majorBidi"/>
                    </w:rPr>
                  </m:ctrlPr>
                </m:sSubPr>
                <m:e>
                  <m:r>
                    <m:rPr>
                      <m:sty m:val="p"/>
                    </m:rPr>
                    <w:rPr>
                      <w:rFonts w:ascii="Cambria Math" w:hAnsi="Cambria Math" w:cstheme="majorBidi"/>
                    </w:rPr>
                    <m:t>d</m:t>
                  </m:r>
                </m:e>
                <m:sub>
                  <m:r>
                    <m:rPr>
                      <m:sty m:val="p"/>
                    </m:rPr>
                    <w:rPr>
                      <w:rFonts w:ascii="Cambria Math" w:hAnsi="Cambria Math" w:cstheme="majorBidi"/>
                    </w:rPr>
                    <m:t>c</m:t>
                  </m:r>
                </m:sub>
              </m:sSub>
            </m:e>
          </m:nary>
          <m:r>
            <m:rPr>
              <m:sty m:val="p"/>
            </m:rPr>
            <w:rPr>
              <w:rFonts w:ascii="Cambria Math" w:hAnsi="Cambria Math" w:cstheme="majorBidi"/>
            </w:rPr>
            <m:t xml:space="preserve">+ </m:t>
          </m:r>
          <m:d>
            <m:dPr>
              <m:ctrlPr>
                <w:rPr>
                  <w:rFonts w:ascii="Cambria Math" w:hAnsi="Cambria Math" w:cstheme="majorBidi"/>
                </w:rPr>
              </m:ctrlPr>
            </m:dPr>
            <m:e>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 CS</m:t>
                      </m:r>
                    </m:sub>
                  </m:sSub>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CO2,n,cycle</m:t>
                      </m:r>
                    </m:sub>
                  </m:sSub>
                </m:num>
                <m:den>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 CS</m:t>
                      </m:r>
                    </m:sub>
                  </m:sSub>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CO2,CD,avg, n-1</m:t>
                      </m:r>
                    </m:sub>
                  </m:sSub>
                </m:den>
              </m:f>
            </m:e>
          </m:d>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d</m:t>
              </m:r>
            </m:e>
            <m:sub>
              <m:r>
                <m:rPr>
                  <m:sty m:val="p"/>
                </m:rPr>
                <w:rPr>
                  <w:rFonts w:ascii="Cambria Math" w:hAnsi="Cambria Math" w:cstheme="majorBidi"/>
                </w:rPr>
                <m:t>n</m:t>
              </m:r>
            </m:sub>
          </m:sSub>
          <m:r>
            <m:rPr>
              <m:nor/>
            </m:rPr>
            <w:rPr>
              <w:rFonts w:asciiTheme="majorBidi" w:hAnsiTheme="majorBidi" w:cstheme="majorBidi"/>
            </w:rPr>
            <m:t xml:space="preserve"> </m:t>
          </m:r>
        </m:oMath>
      </m:oMathPara>
    </w:p>
    <w:p w:rsidR="00E24DB7" w:rsidRPr="002C5876" w:rsidRDefault="00E24DB7" w:rsidP="00E24DB7">
      <w:pPr>
        <w:spacing w:after="120"/>
        <w:ind w:left="3402" w:right="1134" w:hanging="1134"/>
        <w:jc w:val="both"/>
        <w:rPr>
          <w:szCs w:val="24"/>
        </w:rPr>
      </w:pPr>
      <w:r w:rsidRPr="002C5876">
        <w:rPr>
          <w:szCs w:val="24"/>
        </w:rPr>
        <w:lastRenderedPageBreak/>
        <w:t>où :</w:t>
      </w:r>
    </w:p>
    <w:p w:rsidR="00E24DB7" w:rsidRPr="002C5876" w:rsidRDefault="00E24DB7" w:rsidP="00E24DB7">
      <w:pPr>
        <w:pStyle w:val="SingleTxtG"/>
        <w:ind w:left="3402" w:hanging="1134"/>
        <w:rPr>
          <w:szCs w:val="24"/>
        </w:rPr>
      </w:pPr>
      <w:r w:rsidRPr="002C5876">
        <w:rPr>
          <w:szCs w:val="24"/>
        </w:rPr>
        <w:t>R</w:t>
      </w:r>
      <w:r w:rsidRPr="002C5876">
        <w:rPr>
          <w:szCs w:val="24"/>
          <w:vertAlign w:val="subscript"/>
        </w:rPr>
        <w:t>CDA</w:t>
      </w:r>
      <w:r w:rsidRPr="002C5876">
        <w:rPr>
          <w:szCs w:val="24"/>
        </w:rPr>
        <w:tab/>
        <w:t>est l’autonomie réelle en mode épuisement de la charge, en km ;</w:t>
      </w:r>
    </w:p>
    <w:p w:rsidR="00E24DB7" w:rsidRPr="002C5876" w:rsidRDefault="00E24DB7" w:rsidP="00E24DB7">
      <w:pPr>
        <w:pStyle w:val="SingleTxtG"/>
        <w:ind w:left="3402" w:hanging="1134"/>
        <w:rPr>
          <w:szCs w:val="24"/>
        </w:rPr>
      </w:pPr>
      <w:r w:rsidRPr="002C5876">
        <w:rPr>
          <w:szCs w:val="24"/>
        </w:rPr>
        <w:t>M</w:t>
      </w:r>
      <w:r w:rsidRPr="002C5876">
        <w:rPr>
          <w:szCs w:val="24"/>
          <w:vertAlign w:val="subscript"/>
        </w:rPr>
        <w:t>CO2,CS</w:t>
      </w:r>
      <w:r w:rsidRPr="002C5876">
        <w:rPr>
          <w:szCs w:val="24"/>
        </w:rPr>
        <w:tab/>
        <w:t>désigne les émissions massiques de CO</w:t>
      </w:r>
      <w:r w:rsidRPr="002C5876">
        <w:rPr>
          <w:szCs w:val="24"/>
          <w:vertAlign w:val="subscript"/>
        </w:rPr>
        <w:t>2</w:t>
      </w:r>
      <w:r w:rsidRPr="002C5876">
        <w:rPr>
          <w:szCs w:val="24"/>
        </w:rPr>
        <w:t xml:space="preserve"> en mode maintien de la charge conformément au tableau A8/5, étape </w:t>
      </w:r>
      <w:r w:rsidRPr="002C5876">
        <w:rPr>
          <w:rFonts w:eastAsia="MS Mincho"/>
          <w:szCs w:val="24"/>
        </w:rPr>
        <w:t>n</w:t>
      </w:r>
      <w:r w:rsidRPr="002C5876">
        <w:rPr>
          <w:rFonts w:eastAsia="MS Mincho"/>
          <w:szCs w:val="24"/>
          <w:vertAlign w:val="superscript"/>
        </w:rPr>
        <w:t>o</w:t>
      </w:r>
      <w:r w:rsidRPr="002C5876">
        <w:rPr>
          <w:rFonts w:eastAsia="MS Mincho"/>
          <w:szCs w:val="24"/>
        </w:rPr>
        <w:t> </w:t>
      </w:r>
      <w:r w:rsidRPr="002C5876">
        <w:rPr>
          <w:szCs w:val="24"/>
        </w:rPr>
        <w:t>7, en g/km ;</w:t>
      </w:r>
    </w:p>
    <w:p w:rsidR="00E24DB7" w:rsidRPr="002C5876" w:rsidRDefault="00E24DB7" w:rsidP="00E24DB7">
      <w:pPr>
        <w:pStyle w:val="SingleTxtG"/>
        <w:ind w:left="3402" w:hanging="1134"/>
        <w:rPr>
          <w:szCs w:val="24"/>
        </w:rPr>
      </w:pPr>
      <w:r w:rsidRPr="002C5876">
        <w:rPr>
          <w:szCs w:val="24"/>
        </w:rPr>
        <w:t>M</w:t>
      </w:r>
      <w:r w:rsidRPr="002C5876">
        <w:rPr>
          <w:szCs w:val="24"/>
          <w:vertAlign w:val="subscript"/>
        </w:rPr>
        <w:t>CO2,n,cycle</w:t>
      </w:r>
      <w:r w:rsidRPr="002C5876">
        <w:rPr>
          <w:szCs w:val="24"/>
        </w:rPr>
        <w:tab/>
        <w:t>désigne les émissions massiques de CO</w:t>
      </w:r>
      <w:r w:rsidRPr="002C5876">
        <w:rPr>
          <w:szCs w:val="24"/>
          <w:vertAlign w:val="subscript"/>
        </w:rPr>
        <w:t>2</w:t>
      </w:r>
      <w:r w:rsidRPr="002C5876">
        <w:rPr>
          <w:szCs w:val="24"/>
        </w:rPr>
        <w:t xml:space="preserve"> du cycle d’essai WLTP applicable n de l’essai d’épuisement de la charge du type 1, en g/km ;</w:t>
      </w:r>
    </w:p>
    <w:p w:rsidR="00E24DB7" w:rsidRPr="002C5876" w:rsidRDefault="00E24DB7" w:rsidP="00E24DB7">
      <w:pPr>
        <w:pStyle w:val="SingleTxtG"/>
        <w:ind w:left="3402" w:hanging="1134"/>
        <w:rPr>
          <w:szCs w:val="24"/>
        </w:rPr>
      </w:pPr>
      <w:r w:rsidRPr="002C5876">
        <w:rPr>
          <w:szCs w:val="24"/>
        </w:rPr>
        <w:t>M</w:t>
      </w:r>
      <w:r w:rsidRPr="002C5876">
        <w:rPr>
          <w:szCs w:val="24"/>
          <w:vertAlign w:val="subscript"/>
        </w:rPr>
        <w:t>CO2,CD,avg,n-1</w:t>
      </w:r>
      <w:r w:rsidRPr="002C5876">
        <w:rPr>
          <w:szCs w:val="24"/>
        </w:rPr>
        <w:tab/>
        <w:t>est la moyenne arithmétique des émissions massiques de CO</w:t>
      </w:r>
      <w:r w:rsidRPr="002C5876">
        <w:rPr>
          <w:szCs w:val="24"/>
          <w:vertAlign w:val="subscript"/>
        </w:rPr>
        <w:t>2</w:t>
      </w:r>
      <w:r w:rsidRPr="002C5876">
        <w:rPr>
          <w:szCs w:val="24"/>
        </w:rPr>
        <w:t xml:space="preserve"> de l’essai d’épuisement de la charge du type 1 depuis le début de l’essai jusqu’au cycle d’essai WLTP applicable (n-1), celui</w:t>
      </w:r>
      <w:r w:rsidRPr="002C5876">
        <w:rPr>
          <w:szCs w:val="24"/>
        </w:rPr>
        <w:noBreakHyphen/>
        <w:t>ci étant inclus, en g/km ;</w:t>
      </w:r>
    </w:p>
    <w:p w:rsidR="00E24DB7" w:rsidRPr="002C5876" w:rsidRDefault="00E24DB7" w:rsidP="00E24DB7">
      <w:pPr>
        <w:pStyle w:val="SingleTxtG"/>
        <w:ind w:left="3402" w:hanging="1134"/>
        <w:rPr>
          <w:szCs w:val="24"/>
        </w:rPr>
      </w:pPr>
      <w:r w:rsidRPr="002C5876">
        <w:rPr>
          <w:szCs w:val="24"/>
        </w:rPr>
        <w:t>d</w:t>
      </w:r>
      <w:r w:rsidRPr="002C5876">
        <w:rPr>
          <w:szCs w:val="24"/>
          <w:vertAlign w:val="subscript"/>
        </w:rPr>
        <w:t>c</w:t>
      </w:r>
      <w:r w:rsidRPr="002C5876">
        <w:rPr>
          <w:szCs w:val="24"/>
        </w:rPr>
        <w:tab/>
      </w:r>
      <w:r w:rsidRPr="002C5876">
        <w:rPr>
          <w:szCs w:val="24"/>
        </w:rPr>
        <w:tab/>
        <w:t>est la distance parcourue durant le cycle d’essai WLTP applicable c de l’essai d’épuisement de la charge du type 1, en km ;</w:t>
      </w:r>
    </w:p>
    <w:p w:rsidR="00E24DB7" w:rsidRPr="002C5876" w:rsidRDefault="00E24DB7" w:rsidP="00E24DB7">
      <w:pPr>
        <w:pStyle w:val="SingleTxtG"/>
        <w:ind w:left="3402" w:hanging="1134"/>
        <w:rPr>
          <w:szCs w:val="24"/>
        </w:rPr>
      </w:pPr>
      <w:r w:rsidRPr="002C5876">
        <w:rPr>
          <w:szCs w:val="24"/>
        </w:rPr>
        <w:t>d</w:t>
      </w:r>
      <w:r w:rsidRPr="002C5876">
        <w:rPr>
          <w:szCs w:val="24"/>
          <w:vertAlign w:val="subscript"/>
        </w:rPr>
        <w:t>n</w:t>
      </w:r>
      <w:r w:rsidRPr="002C5876">
        <w:rPr>
          <w:szCs w:val="24"/>
        </w:rPr>
        <w:tab/>
        <w:t>est la distance parcourue durant le cycle d’essai WLTP applicable n de l’essai d’épuisement de la charge du type 1, en km ;</w:t>
      </w:r>
    </w:p>
    <w:p w:rsidR="00E24DB7" w:rsidRPr="002C5876" w:rsidRDefault="00E24DB7" w:rsidP="00E24DB7">
      <w:pPr>
        <w:pStyle w:val="SingleTxtG"/>
        <w:ind w:left="3402" w:hanging="1134"/>
        <w:rPr>
          <w:szCs w:val="24"/>
        </w:rPr>
      </w:pPr>
      <w:r w:rsidRPr="002C5876">
        <w:rPr>
          <w:szCs w:val="24"/>
        </w:rPr>
        <w:t>c</w:t>
      </w:r>
      <w:r w:rsidRPr="002C5876">
        <w:rPr>
          <w:szCs w:val="24"/>
        </w:rPr>
        <w:tab/>
      </w:r>
      <w:r w:rsidRPr="002C5876">
        <w:rPr>
          <w:szCs w:val="24"/>
        </w:rPr>
        <w:tab/>
        <w:t>est le numéro d’ordre du cycle d’essai WLTP applicable considéré ;</w:t>
      </w:r>
    </w:p>
    <w:p w:rsidR="00E24DB7" w:rsidRPr="002C5876" w:rsidRDefault="00E24DB7" w:rsidP="00E24DB7">
      <w:pPr>
        <w:pStyle w:val="SingleTxtG"/>
        <w:ind w:left="3402" w:hanging="1134"/>
        <w:rPr>
          <w:szCs w:val="24"/>
        </w:rPr>
      </w:pPr>
      <w:r w:rsidRPr="002C5876">
        <w:rPr>
          <w:szCs w:val="24"/>
        </w:rPr>
        <w:t>n</w:t>
      </w:r>
      <w:r w:rsidRPr="002C5876">
        <w:rPr>
          <w:szCs w:val="24"/>
        </w:rPr>
        <w:tab/>
        <w:t>est le nombre de cycles d’essai WLTP applicables exécutés, y compris le cycle de transition, conformément au paragraphe 3.2.4.4 de la présente annexe ;</w:t>
      </w:r>
    </w:p>
    <w:p w:rsidR="00E24DB7" w:rsidRPr="002C5876" w:rsidRDefault="00E24DB7" w:rsidP="00E24DB7">
      <w:pPr>
        <w:pStyle w:val="SingleTxtG"/>
        <w:ind w:left="3402" w:hanging="1134"/>
        <w:rPr>
          <w:szCs w:val="24"/>
        </w:rPr>
      </w:pPr>
      <w:r w:rsidRPr="002C5876">
        <w:rPr>
          <w:szCs w:val="24"/>
        </w:rPr>
        <w:t>et</w:t>
      </w:r>
    </w:p>
    <w:p w:rsidR="00E24DB7" w:rsidRPr="002C5876" w:rsidRDefault="00731CA6" w:rsidP="00E24DB7">
      <w:pPr>
        <w:pStyle w:val="SingleTxtG"/>
        <w:spacing w:after="240"/>
        <w:ind w:left="2268"/>
        <w:jc w:val="center"/>
        <w:rPr>
          <w:szCs w:val="24"/>
        </w:rPr>
      </w:pPr>
      <m:oMathPara>
        <m:oMath>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CO2,CD,avg, n-1</m:t>
              </m:r>
            </m:sub>
          </m:sSub>
          <m:r>
            <m:rPr>
              <m:sty m:val="p"/>
            </m:rPr>
            <w:rPr>
              <w:rFonts w:ascii="Cambria Math" w:hAnsi="Cambria Math" w:cstheme="majorBidi"/>
            </w:rPr>
            <m:t xml:space="preserve">= </m:t>
          </m:r>
          <m:f>
            <m:fPr>
              <m:ctrlPr>
                <w:rPr>
                  <w:rFonts w:ascii="Cambria Math" w:hAnsi="Cambria Math" w:cstheme="majorBidi"/>
                </w:rPr>
              </m:ctrlPr>
            </m:fPr>
            <m:num>
              <m:nary>
                <m:naryPr>
                  <m:chr m:val="∑"/>
                  <m:limLoc m:val="undOvr"/>
                  <m:ctrlPr>
                    <w:rPr>
                      <w:rFonts w:ascii="Cambria Math" w:hAnsi="Cambria Math" w:cstheme="majorBidi"/>
                    </w:rPr>
                  </m:ctrlPr>
                </m:naryPr>
                <m:sub>
                  <m:r>
                    <m:rPr>
                      <m:sty m:val="p"/>
                    </m:rPr>
                    <w:rPr>
                      <w:rFonts w:ascii="Cambria Math" w:hAnsi="Cambria Math" w:cstheme="majorBidi"/>
                    </w:rPr>
                    <m:t>c=1</m:t>
                  </m:r>
                </m:sub>
                <m:sup>
                  <m:r>
                    <m:rPr>
                      <m:sty m:val="p"/>
                    </m:rPr>
                    <w:rPr>
                      <w:rFonts w:ascii="Cambria Math" w:hAnsi="Cambria Math" w:cstheme="majorBidi"/>
                    </w:rPr>
                    <m:t>n-1</m:t>
                  </m:r>
                </m:sup>
                <m:e>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 xml:space="preserve">CO2,CD,c </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d</m:t>
                      </m:r>
                    </m:e>
                    <m:sub>
                      <m:r>
                        <m:rPr>
                          <m:sty m:val="p"/>
                        </m:rPr>
                        <w:rPr>
                          <w:rFonts w:ascii="Cambria Math" w:hAnsi="Cambria Math" w:cstheme="majorBidi"/>
                        </w:rPr>
                        <m:t>c</m:t>
                      </m:r>
                    </m:sub>
                  </m:sSub>
                  <m:r>
                    <m:rPr>
                      <m:sty m:val="p"/>
                    </m:rPr>
                    <w:rPr>
                      <w:rFonts w:ascii="Cambria Math" w:hAnsi="Cambria Math" w:cstheme="majorBidi"/>
                    </w:rPr>
                    <m:t>)</m:t>
                  </m:r>
                </m:e>
              </m:nary>
            </m:num>
            <m:den>
              <m:nary>
                <m:naryPr>
                  <m:chr m:val="∑"/>
                  <m:limLoc m:val="undOvr"/>
                  <m:ctrlPr>
                    <w:rPr>
                      <w:rFonts w:ascii="Cambria Math" w:hAnsi="Cambria Math" w:cstheme="majorBidi"/>
                    </w:rPr>
                  </m:ctrlPr>
                </m:naryPr>
                <m:sub>
                  <m:r>
                    <m:rPr>
                      <m:sty m:val="p"/>
                    </m:rPr>
                    <w:rPr>
                      <w:rFonts w:ascii="Cambria Math" w:hAnsi="Cambria Math" w:cstheme="majorBidi"/>
                    </w:rPr>
                    <m:t>c=1</m:t>
                  </m:r>
                </m:sub>
                <m:sup>
                  <m:r>
                    <m:rPr>
                      <m:sty m:val="p"/>
                    </m:rPr>
                    <w:rPr>
                      <w:rFonts w:ascii="Cambria Math" w:hAnsi="Cambria Math" w:cstheme="majorBidi"/>
                    </w:rPr>
                    <m:t>n-1</m:t>
                  </m:r>
                </m:sup>
                <m:e>
                  <m:sSub>
                    <m:sSubPr>
                      <m:ctrlPr>
                        <w:rPr>
                          <w:rFonts w:ascii="Cambria Math" w:hAnsi="Cambria Math" w:cstheme="majorBidi"/>
                        </w:rPr>
                      </m:ctrlPr>
                    </m:sSubPr>
                    <m:e>
                      <m:r>
                        <m:rPr>
                          <m:sty m:val="p"/>
                        </m:rPr>
                        <w:rPr>
                          <w:rFonts w:ascii="Cambria Math" w:hAnsi="Cambria Math" w:cstheme="majorBidi"/>
                        </w:rPr>
                        <m:t>d</m:t>
                      </m:r>
                    </m:e>
                    <m:sub>
                      <m:r>
                        <m:rPr>
                          <m:sty m:val="p"/>
                        </m:rPr>
                        <w:rPr>
                          <w:rFonts w:ascii="Cambria Math" w:hAnsi="Cambria Math" w:cstheme="majorBidi"/>
                        </w:rPr>
                        <m:t>c</m:t>
                      </m:r>
                    </m:sub>
                  </m:sSub>
                </m:e>
              </m:nary>
            </m:den>
          </m:f>
          <m:r>
            <m:rPr>
              <m:nor/>
            </m:rPr>
            <w:rPr>
              <w:rFonts w:asciiTheme="majorBidi" w:hAnsiTheme="majorBidi" w:cstheme="majorBidi"/>
            </w:rPr>
            <m:t xml:space="preserve"> </m:t>
          </m:r>
        </m:oMath>
      </m:oMathPara>
    </w:p>
    <w:p w:rsidR="00E24DB7" w:rsidRPr="002C5876" w:rsidRDefault="00E24DB7" w:rsidP="00E24DB7">
      <w:pPr>
        <w:pStyle w:val="SingleTxtG"/>
        <w:ind w:left="3402" w:hanging="1134"/>
        <w:rPr>
          <w:szCs w:val="24"/>
        </w:rPr>
      </w:pPr>
      <w:r w:rsidRPr="002C5876">
        <w:rPr>
          <w:szCs w:val="24"/>
        </w:rPr>
        <w:t>où :</w:t>
      </w:r>
    </w:p>
    <w:p w:rsidR="00E24DB7" w:rsidRPr="002C5876" w:rsidRDefault="00E24DB7" w:rsidP="00E24DB7">
      <w:pPr>
        <w:pStyle w:val="SingleTxtG"/>
        <w:ind w:left="3402" w:hanging="1134"/>
        <w:rPr>
          <w:szCs w:val="24"/>
        </w:rPr>
      </w:pPr>
      <w:r w:rsidRPr="002C5876">
        <w:rPr>
          <w:szCs w:val="24"/>
        </w:rPr>
        <w:t>M</w:t>
      </w:r>
      <w:r w:rsidRPr="002C5876">
        <w:rPr>
          <w:szCs w:val="24"/>
          <w:vertAlign w:val="subscript"/>
        </w:rPr>
        <w:t>CO2,CD,avg,n-1</w:t>
      </w:r>
      <w:r w:rsidRPr="002C5876">
        <w:rPr>
          <w:szCs w:val="24"/>
        </w:rPr>
        <w:tab/>
        <w:t>est la moyenne arithmétique des émissions massiques de CO</w:t>
      </w:r>
      <w:r w:rsidRPr="002C5876">
        <w:rPr>
          <w:szCs w:val="24"/>
          <w:vertAlign w:val="subscript"/>
        </w:rPr>
        <w:t>2</w:t>
      </w:r>
      <w:r w:rsidRPr="002C5876">
        <w:rPr>
          <w:szCs w:val="24"/>
        </w:rPr>
        <w:t xml:space="preserve"> de l’essai d’épuisement de la charge du type 1 depuis le début de l’essai jusqu’au cycle d’essai WLTP applicable (n-1), celui</w:t>
      </w:r>
      <w:r w:rsidRPr="002C5876">
        <w:rPr>
          <w:szCs w:val="24"/>
        </w:rPr>
        <w:noBreakHyphen/>
        <w:t>ci étant inclus, en g/km ;</w:t>
      </w:r>
    </w:p>
    <w:p w:rsidR="00E24DB7" w:rsidRPr="002C5876" w:rsidRDefault="00E24DB7" w:rsidP="00E24DB7">
      <w:pPr>
        <w:pStyle w:val="SingleTxtG"/>
        <w:ind w:left="3402" w:hanging="1134"/>
        <w:rPr>
          <w:szCs w:val="24"/>
        </w:rPr>
      </w:pPr>
      <w:r w:rsidRPr="002C5876">
        <w:rPr>
          <w:szCs w:val="24"/>
        </w:rPr>
        <w:t>M</w:t>
      </w:r>
      <w:r w:rsidRPr="002C5876">
        <w:rPr>
          <w:szCs w:val="24"/>
          <w:vertAlign w:val="subscript"/>
        </w:rPr>
        <w:t>CO2,CD,c</w:t>
      </w:r>
      <w:r w:rsidRPr="002C5876">
        <w:rPr>
          <w:szCs w:val="24"/>
        </w:rPr>
        <w:tab/>
        <w:t>désigne les émissions massiques de CO</w:t>
      </w:r>
      <w:r w:rsidRPr="002C5876">
        <w:rPr>
          <w:szCs w:val="24"/>
          <w:vertAlign w:val="subscript"/>
        </w:rPr>
        <w:t>2</w:t>
      </w:r>
      <w:r w:rsidRPr="002C5876">
        <w:rPr>
          <w:szCs w:val="24"/>
        </w:rPr>
        <w:t>, déterminées conformément au paragraphe 3.2.1 de l’annexe 7, du cycle d’essai WLTP applicable c de l’essai d’épuisement de la charge du type 1, en g/km ;</w:t>
      </w:r>
    </w:p>
    <w:p w:rsidR="00E24DB7" w:rsidRPr="002C5876" w:rsidRDefault="00E24DB7" w:rsidP="00E24DB7">
      <w:pPr>
        <w:pStyle w:val="SingleTxtG"/>
        <w:ind w:left="3402" w:hanging="1134"/>
        <w:rPr>
          <w:szCs w:val="24"/>
        </w:rPr>
      </w:pPr>
      <w:r w:rsidRPr="002C5876">
        <w:rPr>
          <w:szCs w:val="24"/>
        </w:rPr>
        <w:t>d</w:t>
      </w:r>
      <w:r w:rsidRPr="002C5876">
        <w:rPr>
          <w:szCs w:val="24"/>
          <w:vertAlign w:val="subscript"/>
        </w:rPr>
        <w:t>c</w:t>
      </w:r>
      <w:r w:rsidRPr="002C5876">
        <w:rPr>
          <w:szCs w:val="24"/>
        </w:rPr>
        <w:tab/>
      </w:r>
      <w:r w:rsidRPr="002C5876">
        <w:rPr>
          <w:szCs w:val="24"/>
        </w:rPr>
        <w:tab/>
        <w:t>est la distance parcourue durant le cycle d’essai WLTP applicable c de l’essai d’épuisement de la charge du type 1, en km ;</w:t>
      </w:r>
    </w:p>
    <w:p w:rsidR="00E24DB7" w:rsidRPr="002C5876" w:rsidRDefault="00E24DB7" w:rsidP="00E24DB7">
      <w:pPr>
        <w:pStyle w:val="SingleTxtG"/>
        <w:ind w:left="3402" w:hanging="1134"/>
        <w:rPr>
          <w:szCs w:val="24"/>
        </w:rPr>
      </w:pPr>
      <w:r w:rsidRPr="002C5876">
        <w:rPr>
          <w:szCs w:val="24"/>
        </w:rPr>
        <w:t>c</w:t>
      </w:r>
      <w:r w:rsidRPr="002C5876">
        <w:rPr>
          <w:szCs w:val="24"/>
        </w:rPr>
        <w:tab/>
      </w:r>
      <w:r w:rsidRPr="002C5876">
        <w:rPr>
          <w:szCs w:val="24"/>
        </w:rPr>
        <w:tab/>
        <w:t>est le numéro d’ordre du cycle d’essai WLTP applicable considéré ;</w:t>
      </w:r>
    </w:p>
    <w:p w:rsidR="00E24DB7" w:rsidRPr="002C5876" w:rsidRDefault="00E24DB7" w:rsidP="00E24DB7">
      <w:pPr>
        <w:pStyle w:val="SingleTxtG"/>
        <w:ind w:left="3402" w:hanging="1134"/>
        <w:rPr>
          <w:szCs w:val="24"/>
        </w:rPr>
      </w:pPr>
      <w:r w:rsidRPr="002C5876">
        <w:rPr>
          <w:szCs w:val="24"/>
        </w:rPr>
        <w:t>n</w:t>
      </w:r>
      <w:r w:rsidRPr="002C5876">
        <w:rPr>
          <w:szCs w:val="24"/>
        </w:rPr>
        <w:tab/>
        <w:t>est le nombre de cycles d’essai WLTP applicables exécutés, y compris le cycle de transition, conformément au paragraphe 3.2.4.4 de la présente annexe.</w:t>
      </w:r>
    </w:p>
    <w:p w:rsidR="00E24DB7" w:rsidRPr="002C5876" w:rsidRDefault="00E24DB7" w:rsidP="00E24DB7">
      <w:pPr>
        <w:pStyle w:val="SingleTxtG"/>
        <w:ind w:left="2268" w:hanging="1134"/>
        <w:jc w:val="left"/>
      </w:pPr>
      <w:r w:rsidRPr="002C5876">
        <w:t xml:space="preserve">4.5 </w:t>
      </w:r>
      <w:r w:rsidRPr="002C5876">
        <w:tab/>
        <w:t>Interpolation de valeurs de véhicules donnés</w:t>
      </w:r>
    </w:p>
    <w:p w:rsidR="00E24DB7" w:rsidRPr="002C5876" w:rsidRDefault="00E24DB7" w:rsidP="00E24DB7">
      <w:pPr>
        <w:pStyle w:val="SingleTxtG"/>
        <w:ind w:left="2268" w:hanging="1134"/>
        <w:jc w:val="left"/>
      </w:pPr>
      <w:r w:rsidRPr="002C5876">
        <w:t>4.5.1</w:t>
      </w:r>
      <w:r w:rsidRPr="002C5876">
        <w:tab/>
        <w:t>Plage d’interpolation pour les VHE-NRE et les VHE-RE</w:t>
      </w:r>
    </w:p>
    <w:p w:rsidR="00E24DB7" w:rsidRPr="002C5876" w:rsidRDefault="00E24DB7" w:rsidP="00E24DB7">
      <w:pPr>
        <w:pStyle w:val="SingleTxtG"/>
        <w:ind w:left="2268"/>
      </w:pPr>
      <w:r w:rsidRPr="002C5876">
        <w:rPr>
          <w:szCs w:val="24"/>
        </w:rPr>
        <w:t>La méthode d’</w:t>
      </w:r>
      <w:r w:rsidRPr="002C5876">
        <w:t>interpolation ne doit être appliquée que dans le cas où la différence relative aux émissions massiques de CO</w:t>
      </w:r>
      <w:r w:rsidRPr="002C5876">
        <w:rPr>
          <w:vertAlign w:val="subscript"/>
        </w:rPr>
        <w:t>2</w:t>
      </w:r>
      <w:r w:rsidRPr="002C5876">
        <w:t xml:space="preserve"> en mode maintien de la charge, </w:t>
      </w:r>
      <w:r w:rsidRPr="002C5876">
        <w:rPr>
          <w:szCs w:val="24"/>
        </w:rPr>
        <w:t>M</w:t>
      </w:r>
      <w:r w:rsidRPr="002C5876">
        <w:rPr>
          <w:szCs w:val="24"/>
          <w:vertAlign w:val="subscript"/>
        </w:rPr>
        <w:t>CO2,CS</w:t>
      </w:r>
      <w:r w:rsidRPr="002C5876">
        <w:rPr>
          <w:szCs w:val="24"/>
        </w:rPr>
        <w:t xml:space="preserve"> conformément au tableau A8/5, étape </w:t>
      </w:r>
      <w:r w:rsidRPr="002C5876">
        <w:rPr>
          <w:rFonts w:eastAsia="MS Mincho"/>
          <w:szCs w:val="24"/>
        </w:rPr>
        <w:t>n</w:t>
      </w:r>
      <w:r w:rsidRPr="002C5876">
        <w:rPr>
          <w:rFonts w:eastAsia="MS Mincho"/>
          <w:szCs w:val="24"/>
          <w:vertAlign w:val="superscript"/>
        </w:rPr>
        <w:t>o</w:t>
      </w:r>
      <w:r w:rsidRPr="002C5876">
        <w:rPr>
          <w:rFonts w:eastAsia="MS Mincho"/>
          <w:szCs w:val="24"/>
        </w:rPr>
        <w:t> </w:t>
      </w:r>
      <w:r w:rsidRPr="002C5876">
        <w:rPr>
          <w:szCs w:val="24"/>
        </w:rPr>
        <w:t xml:space="preserve">8, entre les véhicules d’essai </w:t>
      </w:r>
      <w:r w:rsidRPr="002C5876">
        <w:t xml:space="preserve">L et H, est comprise entre la valeur minimale de 5 g/km et la valeur maximale de 20 g/km ou correspond à 20 % de </w:t>
      </w:r>
      <w:r w:rsidRPr="002C5876">
        <w:rPr>
          <w:szCs w:val="24"/>
        </w:rPr>
        <w:t>M</w:t>
      </w:r>
      <w:r w:rsidRPr="002C5876">
        <w:rPr>
          <w:szCs w:val="24"/>
          <w:vertAlign w:val="subscript"/>
        </w:rPr>
        <w:t>CO2,CS</w:t>
      </w:r>
      <w:r w:rsidRPr="002C5876">
        <w:rPr>
          <w:szCs w:val="24"/>
        </w:rPr>
        <w:t xml:space="preserve"> pour le véhicule </w:t>
      </w:r>
      <w:r w:rsidRPr="002C5876">
        <w:t xml:space="preserve">H, </w:t>
      </w:r>
      <w:r w:rsidRPr="002C5876">
        <w:rPr>
          <w:szCs w:val="24"/>
        </w:rPr>
        <w:lastRenderedPageBreak/>
        <w:t xml:space="preserve">conformément au tableau A8/5, étape </w:t>
      </w:r>
      <w:r w:rsidRPr="002C5876">
        <w:rPr>
          <w:rFonts w:eastAsia="MS Mincho"/>
          <w:szCs w:val="24"/>
        </w:rPr>
        <w:t>n</w:t>
      </w:r>
      <w:r w:rsidRPr="002C5876">
        <w:rPr>
          <w:rFonts w:eastAsia="MS Mincho"/>
          <w:szCs w:val="24"/>
          <w:vertAlign w:val="superscript"/>
        </w:rPr>
        <w:t>o</w:t>
      </w:r>
      <w:r w:rsidRPr="002C5876">
        <w:rPr>
          <w:rFonts w:eastAsia="MS Mincho"/>
          <w:szCs w:val="24"/>
        </w:rPr>
        <w:t> </w:t>
      </w:r>
      <w:r w:rsidRPr="002C5876">
        <w:rPr>
          <w:szCs w:val="24"/>
        </w:rPr>
        <w:t xml:space="preserve">8, </w:t>
      </w:r>
      <w:r w:rsidRPr="002C5876">
        <w:t>la plus petite des deux valeurs étant retenue.</w:t>
      </w:r>
    </w:p>
    <w:p w:rsidR="00E24DB7" w:rsidRPr="002C5876" w:rsidRDefault="00E24DB7" w:rsidP="00E24DB7">
      <w:pPr>
        <w:pStyle w:val="SingleTxtG"/>
        <w:ind w:left="2268"/>
        <w:rPr>
          <w:szCs w:val="24"/>
        </w:rPr>
      </w:pPr>
      <w:r w:rsidRPr="002C5876">
        <w:t>À la demande du constructeur et sous réserve de l’approbation de l’autorité compétente, l’application de la méthode d’interpolation aux valeurs de véhicules donnés au sein d’une famille de véhicules peut être étendue, à condition que l’extrapolation maximale ne soit pas supérieure à 3 g/km au</w:t>
      </w:r>
      <w:r w:rsidRPr="002C5876">
        <w:noBreakHyphen/>
        <w:t>delà des émissions massiques de CO</w:t>
      </w:r>
      <w:r w:rsidRPr="002C5876">
        <w:rPr>
          <w:vertAlign w:val="subscript"/>
        </w:rPr>
        <w:t>2</w:t>
      </w:r>
      <w:r w:rsidRPr="002C5876">
        <w:t xml:space="preserve"> en mode maintien de la charge du véhicule H et/ou ne soit pas supérieure à 3 g/km en deçà des émissions massiques de CO</w:t>
      </w:r>
      <w:r w:rsidRPr="002C5876">
        <w:rPr>
          <w:vertAlign w:val="subscript"/>
        </w:rPr>
        <w:t>2</w:t>
      </w:r>
      <w:r w:rsidRPr="002C5876">
        <w:t xml:space="preserve"> en mode maintien de la charge du véhicule L. L’extension n’est valable que dans les limites absolues de la plage d’interpolation indiquée dans le présent paragraphe.</w:t>
      </w:r>
    </w:p>
    <w:p w:rsidR="00E24DB7" w:rsidRPr="002C5876" w:rsidRDefault="00E24DB7" w:rsidP="00E24DB7">
      <w:pPr>
        <w:pStyle w:val="SingleTxtG"/>
        <w:ind w:left="2268"/>
        <w:rPr>
          <w:szCs w:val="24"/>
        </w:rPr>
      </w:pPr>
      <w:r w:rsidRPr="002C5876">
        <w:rPr>
          <w:szCs w:val="24"/>
        </w:rPr>
        <w:tab/>
        <w:t xml:space="preserve">La limite maximale absolue de </w:t>
      </w:r>
      <w:r w:rsidRPr="002C5876">
        <w:t>20 g/km de différence dans les émissions massiques de CO</w:t>
      </w:r>
      <w:r w:rsidRPr="002C5876">
        <w:rPr>
          <w:vertAlign w:val="subscript"/>
        </w:rPr>
        <w:t>2</w:t>
      </w:r>
      <w:r w:rsidRPr="002C5876">
        <w:t xml:space="preserve"> en mode maintien de la charge entre le véhicule L et le véhicule H, ou de 20 % des émissions massiques de CO</w:t>
      </w:r>
      <w:r w:rsidRPr="002C5876">
        <w:rPr>
          <w:vertAlign w:val="subscript"/>
        </w:rPr>
        <w:t>2</w:t>
      </w:r>
      <w:r w:rsidRPr="002C5876">
        <w:t xml:space="preserve"> en mode maintien de la charge du véhicule H, selon celle des deux valeurs qui est la plus petite, peut être étendue à raison de 10 g/km si l’on met à l’épreuve un véhicule M. Le véh</w:t>
      </w:r>
      <w:r w:rsidRPr="002C5876">
        <w:rPr>
          <w:szCs w:val="24"/>
        </w:rPr>
        <w:t>icule</w:t>
      </w:r>
      <w:r w:rsidR="00FE4B6F">
        <w:rPr>
          <w:szCs w:val="24"/>
        </w:rPr>
        <w:t> </w:t>
      </w:r>
      <w:r w:rsidRPr="002C5876">
        <w:rPr>
          <w:szCs w:val="24"/>
        </w:rPr>
        <w:t xml:space="preserve">M est, au sein de la famille d’interpolation, un véhicule pour lequel la demande d’énergie sur le cycle se situe à </w:t>
      </w:r>
      <w:r w:rsidRPr="002C5876">
        <w:rPr>
          <w:szCs w:val="24"/>
        </w:rPr>
        <w:sym w:font="Symbol" w:char="F0B1"/>
      </w:r>
      <w:r w:rsidRPr="002C5876">
        <w:rPr>
          <w:szCs w:val="24"/>
        </w:rPr>
        <w:t>10 % de la moyenne arithmétique pour les véhicules L et H.</w:t>
      </w:r>
    </w:p>
    <w:p w:rsidR="00E24DB7" w:rsidRPr="002C5876" w:rsidRDefault="00E24DB7" w:rsidP="00E24DB7">
      <w:pPr>
        <w:pStyle w:val="SingleTxtG"/>
        <w:ind w:left="2268"/>
      </w:pPr>
      <w:r w:rsidRPr="002C5876">
        <w:t>La linéarité des émissions massiques de CO</w:t>
      </w:r>
      <w:r w:rsidRPr="002C5876">
        <w:rPr>
          <w:vertAlign w:val="subscript"/>
        </w:rPr>
        <w:t>2</w:t>
      </w:r>
      <w:r w:rsidRPr="002C5876">
        <w:t xml:space="preserve"> en mode maintien de la charge pour le véhicule M doit être vérifiée par rapport aux émissions massiques de CO</w:t>
      </w:r>
      <w:r w:rsidRPr="002C5876">
        <w:rPr>
          <w:vertAlign w:val="subscript"/>
        </w:rPr>
        <w:t>2</w:t>
      </w:r>
      <w:r w:rsidRPr="002C5876">
        <w:t xml:space="preserve"> en mode maintien de la charge linéaires interpolées entre les véhicules L et H.</w:t>
      </w:r>
    </w:p>
    <w:p w:rsidR="00E24DB7" w:rsidRPr="002C5876" w:rsidRDefault="00E24DB7" w:rsidP="00E24DB7">
      <w:pPr>
        <w:pStyle w:val="SingleTxtG"/>
        <w:ind w:left="2268"/>
      </w:pPr>
      <w:r w:rsidRPr="002C5876">
        <w:t>Il est satisfait au critère de linéarité pour le véhicule M lorsque la différence entre les émissions massiques de CO</w:t>
      </w:r>
      <w:r w:rsidRPr="002C5876">
        <w:rPr>
          <w:vertAlign w:val="subscript"/>
        </w:rPr>
        <w:t>2</w:t>
      </w:r>
      <w:r w:rsidRPr="002C5876">
        <w:t xml:space="preserve"> en mode maintien de la charge dérivées de la mesure et les émissions massiques de CO</w:t>
      </w:r>
      <w:r w:rsidRPr="002C5876">
        <w:rPr>
          <w:vertAlign w:val="subscript"/>
        </w:rPr>
        <w:t>2</w:t>
      </w:r>
      <w:r w:rsidRPr="002C5876">
        <w:t xml:space="preserve"> en mode maintien de la charge interpolées entre les véhicules L et H est inférieure à 1 g/km. Si cette différence est supérieure, il est satisfait au critère de linéarité lorsque la différence est de 3 g/km ou de 3 % des émissions massiques de CO</w:t>
      </w:r>
      <w:r w:rsidRPr="002C5876">
        <w:rPr>
          <w:vertAlign w:val="subscript"/>
        </w:rPr>
        <w:t>2</w:t>
      </w:r>
      <w:r w:rsidRPr="002C5876">
        <w:t xml:space="preserve"> en mode maintien de la charge interpolées pour le véhicule M, la plus petite des deux valeurs étant retenue.</w:t>
      </w:r>
    </w:p>
    <w:p w:rsidR="00E24DB7" w:rsidRPr="002C5876" w:rsidRDefault="00E24DB7" w:rsidP="00E24DB7">
      <w:pPr>
        <w:pStyle w:val="SingleTxtG"/>
        <w:ind w:left="2268"/>
      </w:pPr>
      <w:r w:rsidRPr="002C5876">
        <w:t>S’il est satisfait au critère de linéarité, la méthode d’interpolation est applicable à tous les véhicules entre les véhicules L et H faisant partie de la famille d’interpolation.</w:t>
      </w:r>
    </w:p>
    <w:p w:rsidR="00E24DB7" w:rsidRPr="002C5876" w:rsidRDefault="00E24DB7" w:rsidP="00E24DB7">
      <w:pPr>
        <w:pStyle w:val="SingleTxtG"/>
        <w:ind w:left="2268"/>
      </w:pPr>
      <w:r w:rsidRPr="002C5876">
        <w:t>S’il n’est pas satisfait au critère de linéarité, la famille d’interpolation doit être subdivisée en deux sous-familles, l’une pour les véhicules dont la demande d’énergie sur le cycle se situe entre celle des véhicules L et M, et l’autre pour les véhicules dont la demande d’énergie sur le cycle se situe entre celle des véhicules M et H.</w:t>
      </w:r>
    </w:p>
    <w:p w:rsidR="00E24DB7" w:rsidRPr="002C5876" w:rsidRDefault="00E24DB7" w:rsidP="00E24DB7">
      <w:pPr>
        <w:pStyle w:val="SingleTxtG"/>
        <w:ind w:left="2268"/>
      </w:pPr>
      <w:r w:rsidRPr="002C5876">
        <w:t>Pour les véhicules dont la demande d’énergie sur le cycle se situe entre celles des véhicules L et M, chaque paramètre du véhicule H nécessaire pour l’application de la méthode d’interpolation aux valeurs VHE-RE et VHE</w:t>
      </w:r>
      <w:r w:rsidRPr="002C5876">
        <w:noBreakHyphen/>
        <w:t>NRE individuelles doit être remplacé par le paramètre correspondant du véhicule M.</w:t>
      </w:r>
    </w:p>
    <w:p w:rsidR="00E24DB7" w:rsidRPr="002C5876" w:rsidRDefault="00E24DB7" w:rsidP="00E24DB7">
      <w:pPr>
        <w:pStyle w:val="SingleTxtG"/>
        <w:ind w:left="2268"/>
      </w:pPr>
      <w:r w:rsidRPr="002C5876">
        <w:t>Pour les véhicules dont la demande d’énergie sur le cycle se situe entre celles des véhicules M et H, chaque paramètre du véhicule L qui est nécessaire pour l’application de la méthode d’interpolation aux valeurs VHE-RE et VHE</w:t>
      </w:r>
      <w:r w:rsidRPr="002C5876">
        <w:noBreakHyphen/>
        <w:t>NRE individuelles doit être remplacé par le paramètre correspondant du véhicule M.</w:t>
      </w:r>
    </w:p>
    <w:p w:rsidR="00E24DB7" w:rsidRPr="002C5876" w:rsidRDefault="00E24DB7" w:rsidP="00E24DB7">
      <w:pPr>
        <w:pStyle w:val="SingleTxtG"/>
        <w:ind w:left="2268" w:hanging="1134"/>
        <w:jc w:val="left"/>
      </w:pPr>
      <w:r w:rsidRPr="002C5876">
        <w:t>4.5.2</w:t>
      </w:r>
      <w:r w:rsidRPr="002C5876">
        <w:tab/>
        <w:t>Calcul de la demande d’énergie par période</w:t>
      </w:r>
    </w:p>
    <w:p w:rsidR="00E24DB7" w:rsidRPr="002C5876" w:rsidRDefault="00E24DB7" w:rsidP="00E24DB7">
      <w:pPr>
        <w:pStyle w:val="SingleTxtG"/>
        <w:ind w:left="2268"/>
      </w:pPr>
      <w:r w:rsidRPr="002C5876">
        <w:t>La demande d’énergie E</w:t>
      </w:r>
      <w:r w:rsidRPr="002C5876">
        <w:rPr>
          <w:vertAlign w:val="subscript"/>
        </w:rPr>
        <w:t>k,p</w:t>
      </w:r>
      <w:r w:rsidRPr="002C5876">
        <w:t xml:space="preserve"> et la distance parcourue d</w:t>
      </w:r>
      <w:r w:rsidRPr="002C5876">
        <w:rPr>
          <w:vertAlign w:val="subscript"/>
        </w:rPr>
        <w:t>c,p</w:t>
      </w:r>
      <w:r w:rsidRPr="002C5876">
        <w:t xml:space="preserve"> par période p applicable aux véhicules donnés dans la famille d’interpolation doit être calculée en suivant la procédure décrite au paragraphe 5 de l’annexe 7, pour les ensembles k de coefficients de résistance à l’avancement sur route et de masses conformément au paragraphe 3.2.3.2.3 de l’annexe 7.</w:t>
      </w:r>
    </w:p>
    <w:p w:rsidR="00E24DB7" w:rsidRPr="002C5876" w:rsidRDefault="00E24DB7" w:rsidP="00E24DB7">
      <w:pPr>
        <w:pStyle w:val="SingleTxtG"/>
        <w:ind w:left="2268" w:hanging="1134"/>
        <w:jc w:val="left"/>
      </w:pPr>
      <w:r w:rsidRPr="002C5876">
        <w:t>4.5.3</w:t>
      </w:r>
      <w:r w:rsidRPr="002C5876">
        <w:tab/>
        <w:t>Calcul du coefficient d’interpolation K</w:t>
      </w:r>
      <w:r w:rsidRPr="002C5876">
        <w:rPr>
          <w:vertAlign w:val="subscript"/>
        </w:rPr>
        <w:t>ind,p</w:t>
      </w:r>
      <w:r w:rsidRPr="002C5876">
        <w:t xml:space="preserve"> pour les véhicules donnés</w:t>
      </w:r>
    </w:p>
    <w:p w:rsidR="00E24DB7" w:rsidRPr="002C5876" w:rsidRDefault="00E24DB7" w:rsidP="00E24DB7">
      <w:pPr>
        <w:pStyle w:val="SingleTxtG"/>
        <w:ind w:left="2268"/>
      </w:pPr>
      <w:r w:rsidRPr="002C5876">
        <w:lastRenderedPageBreak/>
        <w:t>Le coefficient d’interpolation K</w:t>
      </w:r>
      <w:r w:rsidRPr="002C5876">
        <w:rPr>
          <w:vertAlign w:val="subscript"/>
        </w:rPr>
        <w:t>ind,p</w:t>
      </w:r>
      <w:r w:rsidRPr="002C5876">
        <w:t xml:space="preserve"> par période doit être calculé pour chaque période p considérée au moyen de l’équation suivante :</w:t>
      </w:r>
    </w:p>
    <w:p w:rsidR="00E24DB7" w:rsidRPr="002C5876" w:rsidRDefault="00731CA6" w:rsidP="00E24DB7">
      <w:pPr>
        <w:pStyle w:val="SingleTxtG"/>
        <w:ind w:left="2268"/>
        <w:jc w:val="center"/>
      </w:pPr>
      <m:oMathPara>
        <m:oMath>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ind,p</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3,p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1,p</m:t>
                  </m:r>
                </m:sub>
              </m:sSub>
            </m:num>
            <m:den>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2,p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1,p</m:t>
                  </m:r>
                </m:sub>
              </m:sSub>
            </m:den>
          </m:f>
          <m:r>
            <w:rPr>
              <w:rFonts w:ascii="Cambria Math" w:hAnsi="Cambria Math"/>
            </w:rPr>
            <m:t xml:space="preserve"> </m:t>
          </m:r>
        </m:oMath>
      </m:oMathPara>
    </w:p>
    <w:p w:rsidR="00E24DB7" w:rsidRPr="002C5876" w:rsidRDefault="00E24DB7" w:rsidP="00E24DB7">
      <w:pPr>
        <w:pStyle w:val="SingleTxtG"/>
        <w:ind w:left="2268"/>
      </w:pPr>
      <w:r w:rsidRPr="002C5876">
        <w:t>où :</w:t>
      </w:r>
    </w:p>
    <w:p w:rsidR="00E24DB7" w:rsidRPr="002C5876" w:rsidRDefault="00E24DB7" w:rsidP="00E24DB7">
      <w:pPr>
        <w:pStyle w:val="SingleTxtG"/>
        <w:ind w:left="3402" w:hanging="1134"/>
      </w:pPr>
      <w:r w:rsidRPr="002C5876">
        <w:t>K</w:t>
      </w:r>
      <w:r w:rsidRPr="002C5876">
        <w:rPr>
          <w:vertAlign w:val="subscript"/>
        </w:rPr>
        <w:t>ind,p</w:t>
      </w:r>
      <w:r w:rsidRPr="002C5876">
        <w:tab/>
        <w:t>est le coefficient d’interpolation pour le véhicule donné considéré pour la période p ;</w:t>
      </w:r>
    </w:p>
    <w:p w:rsidR="00E24DB7" w:rsidRPr="002C5876" w:rsidRDefault="00E24DB7" w:rsidP="00E24DB7">
      <w:pPr>
        <w:pStyle w:val="SingleTxtG"/>
        <w:ind w:left="3402" w:hanging="1134"/>
      </w:pPr>
      <w:r w:rsidRPr="002C5876">
        <w:t>E</w:t>
      </w:r>
      <w:r w:rsidRPr="002C5876">
        <w:rPr>
          <w:vertAlign w:val="subscript"/>
        </w:rPr>
        <w:t>1,p</w:t>
      </w:r>
      <w:r w:rsidRPr="002C5876">
        <w:tab/>
        <w:t>est la demande d’énergie pour la période considérée pour le véhicule L conformément au paragraphe 5 de l’annexe 7, en Ws ;</w:t>
      </w:r>
    </w:p>
    <w:p w:rsidR="00E24DB7" w:rsidRPr="002C5876" w:rsidRDefault="00E24DB7" w:rsidP="00E24DB7">
      <w:pPr>
        <w:pStyle w:val="SingleTxtG"/>
        <w:ind w:left="3402" w:hanging="1134"/>
      </w:pPr>
      <w:r w:rsidRPr="002C5876">
        <w:t>E</w:t>
      </w:r>
      <w:r w:rsidRPr="002C5876">
        <w:rPr>
          <w:vertAlign w:val="subscript"/>
        </w:rPr>
        <w:t>2,p</w:t>
      </w:r>
      <w:r w:rsidRPr="002C5876">
        <w:tab/>
        <w:t>est la demande d’énergie pour la période considérée pour le véhicule H conformément au paragraphe 5 de l’annexe 7, en Ws ;</w:t>
      </w:r>
    </w:p>
    <w:p w:rsidR="00E24DB7" w:rsidRPr="002C5876" w:rsidRDefault="00E24DB7" w:rsidP="00E24DB7">
      <w:pPr>
        <w:pStyle w:val="SingleTxtG"/>
        <w:ind w:left="3402" w:hanging="1134"/>
      </w:pPr>
      <w:r w:rsidRPr="002C5876">
        <w:t>E</w:t>
      </w:r>
      <w:r w:rsidRPr="002C5876">
        <w:rPr>
          <w:vertAlign w:val="subscript"/>
        </w:rPr>
        <w:t>3,p</w:t>
      </w:r>
      <w:r w:rsidRPr="002C5876">
        <w:tab/>
        <w:t>est la demande d’énergie pour la période considérée pour le véhicule donné conformément au paragraphe 5 de l’annexe 7, en Ws ;</w:t>
      </w:r>
    </w:p>
    <w:p w:rsidR="00E24DB7" w:rsidRPr="002C5876" w:rsidRDefault="00E24DB7" w:rsidP="00E24DB7">
      <w:pPr>
        <w:pStyle w:val="SingleTxtG"/>
        <w:ind w:left="3402" w:hanging="1134"/>
      </w:pPr>
      <w:r w:rsidRPr="002C5876">
        <w:t>p</w:t>
      </w:r>
      <w:r w:rsidRPr="002C5876">
        <w:tab/>
        <w:t xml:space="preserve">est le </w:t>
      </w:r>
      <w:r w:rsidRPr="002C5876">
        <w:rPr>
          <w:szCs w:val="24"/>
        </w:rPr>
        <w:t>numéro</w:t>
      </w:r>
      <w:r w:rsidRPr="002C5876">
        <w:t xml:space="preserve"> d’ordre de la période considérée du cycle d’essai applicable.</w:t>
      </w:r>
    </w:p>
    <w:p w:rsidR="00E24DB7" w:rsidRPr="002C5876" w:rsidRDefault="00E24DB7" w:rsidP="00E24DB7">
      <w:pPr>
        <w:spacing w:after="120"/>
        <w:ind w:left="2268" w:right="1134"/>
        <w:jc w:val="both"/>
      </w:pPr>
      <w:r w:rsidRPr="002C5876">
        <w:tab/>
        <w:t>Si la période considérée p est le cycle d’essai WLTP applicable, K</w:t>
      </w:r>
      <w:r w:rsidRPr="002C5876">
        <w:rPr>
          <w:vertAlign w:val="subscript"/>
        </w:rPr>
        <w:t>ind,p</w:t>
      </w:r>
      <w:r w:rsidRPr="002C5876">
        <w:t xml:space="preserve"> est dénommé K</w:t>
      </w:r>
      <w:r w:rsidRPr="002C5876">
        <w:rPr>
          <w:vertAlign w:val="subscript"/>
        </w:rPr>
        <w:t>ind</w:t>
      </w:r>
      <w:r w:rsidRPr="002C5876">
        <w:t>.</w:t>
      </w:r>
    </w:p>
    <w:p w:rsidR="00E24DB7" w:rsidRPr="002C5876" w:rsidRDefault="00E24DB7" w:rsidP="00E24DB7">
      <w:pPr>
        <w:pStyle w:val="SingleTxtG"/>
        <w:ind w:left="2268" w:hanging="1134"/>
        <w:jc w:val="left"/>
      </w:pPr>
      <w:r w:rsidRPr="002C5876">
        <w:t>4.5.4</w:t>
      </w:r>
      <w:r w:rsidRPr="002C5876">
        <w:tab/>
        <w:t>Interpolation des émissions massiques de CO</w:t>
      </w:r>
      <w:r w:rsidRPr="002C5876">
        <w:rPr>
          <w:vertAlign w:val="subscript"/>
        </w:rPr>
        <w:t>2</w:t>
      </w:r>
      <w:r w:rsidRPr="002C5876">
        <w:t xml:space="preserve"> pour les véhicules donnés</w:t>
      </w:r>
    </w:p>
    <w:p w:rsidR="00E24DB7" w:rsidRPr="002C5876" w:rsidRDefault="00E24DB7" w:rsidP="00E24DB7">
      <w:pPr>
        <w:pStyle w:val="SingleTxtG"/>
        <w:ind w:left="2268" w:hanging="1134"/>
        <w:jc w:val="left"/>
      </w:pPr>
      <w:r w:rsidRPr="002C5876">
        <w:t>4.5.4.1</w:t>
      </w:r>
      <w:r w:rsidRPr="002C5876">
        <w:tab/>
        <w:t>Émissions massiques de CO</w:t>
      </w:r>
      <w:r w:rsidRPr="002C5876">
        <w:rPr>
          <w:vertAlign w:val="subscript"/>
        </w:rPr>
        <w:t>2</w:t>
      </w:r>
      <w:r w:rsidRPr="002C5876">
        <w:t xml:space="preserve"> en mode maintien de la charge </w:t>
      </w:r>
      <w:r w:rsidRPr="002C5876">
        <w:br/>
        <w:t>pour les VHE</w:t>
      </w:r>
      <w:r w:rsidRPr="002C5876">
        <w:noBreakHyphen/>
        <w:t>RE et les VHE-NRE individuels</w:t>
      </w:r>
    </w:p>
    <w:p w:rsidR="00E24DB7" w:rsidRPr="002C5876" w:rsidRDefault="00E24DB7" w:rsidP="00E24DB7">
      <w:pPr>
        <w:pStyle w:val="SingleTxtG"/>
        <w:ind w:left="2268"/>
      </w:pPr>
      <w:r w:rsidRPr="002C5876">
        <w:t>Les émissions massiques de CO</w:t>
      </w:r>
      <w:r w:rsidRPr="002C5876">
        <w:rPr>
          <w:vertAlign w:val="subscript"/>
        </w:rPr>
        <w:t>2</w:t>
      </w:r>
      <w:r w:rsidRPr="002C5876">
        <w:t xml:space="preserve"> en mode maintien de la charge pour un véhicule donné doivent être calculées au moyen de l’équation suivante :</w:t>
      </w:r>
    </w:p>
    <w:p w:rsidR="00E24DB7" w:rsidRPr="002C5876" w:rsidRDefault="00731CA6" w:rsidP="00E24DB7">
      <w:pPr>
        <w:pStyle w:val="SingleTxtG"/>
        <w:ind w:left="2268"/>
        <w:jc w:val="center"/>
      </w:pPr>
      <m:oMathPara>
        <m:oMath>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CO2-int,CS,p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CO2-L,CS,p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ind,p</m:t>
              </m:r>
            </m:sub>
          </m:sSub>
          <m:r>
            <m:rPr>
              <m:sty m:val="p"/>
            </m:rPr>
            <w:rPr>
              <w:rFonts w:ascii="Cambria Math" w:hAnsi="Cambria Math" w:cstheme="majorBidi"/>
            </w:rPr>
            <m:t>×</m:t>
          </m:r>
          <m:d>
            <m:dPr>
              <m:ctrlPr>
                <w:rPr>
                  <w:rFonts w:ascii="Cambria Math" w:hAnsi="Cambria Math" w:cstheme="majorBidi"/>
                </w:rPr>
              </m:ctrlPr>
            </m:dPr>
            <m:e>
              <m:sSub>
                <m:sSubPr>
                  <m:ctrlPr>
                    <w:rPr>
                      <w:rFonts w:ascii="Cambria Math" w:hAnsi="Cambria Math" w:cstheme="majorBidi"/>
                    </w:rPr>
                  </m:ctrlPr>
                </m:sSubPr>
                <m:e>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CO2-H,CS,p</m:t>
                      </m:r>
                    </m:sub>
                  </m:sSub>
                  <m:r>
                    <m:rPr>
                      <m:sty m:val="p"/>
                    </m:rPr>
                    <w:rPr>
                      <w:rFonts w:ascii="Cambria Math" w:hAnsi="Cambria Math" w:cstheme="majorBidi"/>
                    </w:rPr>
                    <m:t>-M</m:t>
                  </m:r>
                </m:e>
                <m:sub>
                  <m:r>
                    <m:rPr>
                      <m:sty m:val="p"/>
                    </m:rPr>
                    <w:rPr>
                      <w:rFonts w:ascii="Cambria Math" w:hAnsi="Cambria Math" w:cstheme="majorBidi"/>
                    </w:rPr>
                    <m:t>CO2-L,CS,p</m:t>
                  </m:r>
                </m:sub>
              </m:sSub>
            </m:e>
          </m:d>
        </m:oMath>
      </m:oMathPara>
    </w:p>
    <w:p w:rsidR="00E24DB7" w:rsidRPr="002C5876" w:rsidRDefault="00E24DB7" w:rsidP="00E24DB7">
      <w:pPr>
        <w:pStyle w:val="SingleTxtG"/>
        <w:ind w:left="2268"/>
      </w:pPr>
      <w:r w:rsidRPr="002C5876">
        <w:t>où :</w:t>
      </w:r>
    </w:p>
    <w:p w:rsidR="00E24DB7" w:rsidRPr="002C5876" w:rsidRDefault="00E24DB7" w:rsidP="00E24DB7">
      <w:pPr>
        <w:pStyle w:val="SingleTxtG"/>
        <w:ind w:left="3402" w:hanging="1134"/>
      </w:pPr>
      <w:r w:rsidRPr="002C5876">
        <w:t>M</w:t>
      </w:r>
      <w:r w:rsidRPr="002C5876">
        <w:rPr>
          <w:vertAlign w:val="subscript"/>
        </w:rPr>
        <w:t>CO2-ind,CS,p</w:t>
      </w:r>
      <w:r w:rsidRPr="002C5876">
        <w:tab/>
        <w:t>désigne les émissions massiques de CO</w:t>
      </w:r>
      <w:r w:rsidRPr="002C5876">
        <w:rPr>
          <w:vertAlign w:val="subscript"/>
        </w:rPr>
        <w:t>2</w:t>
      </w:r>
      <w:r w:rsidRPr="002C5876">
        <w:t xml:space="preserve"> en mode maintien de la charge pour un véhicule donné sur la période p considérée conformément au tableau A8/5, étape n</w:t>
      </w:r>
      <w:r w:rsidRPr="002C5876">
        <w:rPr>
          <w:vertAlign w:val="superscript"/>
        </w:rPr>
        <w:t>o</w:t>
      </w:r>
      <w:r w:rsidRPr="002C5876">
        <w:t> 9, en g/km ;</w:t>
      </w:r>
    </w:p>
    <w:p w:rsidR="00E24DB7" w:rsidRPr="002C5876" w:rsidRDefault="00E24DB7" w:rsidP="00E24DB7">
      <w:pPr>
        <w:pStyle w:val="SingleTxtG"/>
        <w:ind w:left="3402" w:hanging="1134"/>
      </w:pPr>
      <w:r w:rsidRPr="002C5876">
        <w:t>M</w:t>
      </w:r>
      <w:r w:rsidRPr="002C5876">
        <w:rPr>
          <w:vertAlign w:val="subscript"/>
        </w:rPr>
        <w:t>CO2-L,CS,p</w:t>
      </w:r>
      <w:r w:rsidRPr="002C5876">
        <w:tab/>
        <w:t>désigne les émissions massiques de CO</w:t>
      </w:r>
      <w:r w:rsidRPr="002C5876">
        <w:rPr>
          <w:vertAlign w:val="subscript"/>
        </w:rPr>
        <w:t>2</w:t>
      </w:r>
      <w:r w:rsidRPr="002C5876">
        <w:t xml:space="preserve"> en mode maintien de la charge pour le véhicule L sur la période p considérée conformément au tableau A8/5, étape n</w:t>
      </w:r>
      <w:r w:rsidRPr="002C5876">
        <w:rPr>
          <w:vertAlign w:val="superscript"/>
        </w:rPr>
        <w:t>o</w:t>
      </w:r>
      <w:r w:rsidRPr="002C5876">
        <w:t> 8, en g/km ;</w:t>
      </w:r>
    </w:p>
    <w:p w:rsidR="00E24DB7" w:rsidRPr="002C5876" w:rsidRDefault="00E24DB7" w:rsidP="00E24DB7">
      <w:pPr>
        <w:pStyle w:val="SingleTxtG"/>
        <w:ind w:left="3402" w:hanging="1134"/>
      </w:pPr>
      <w:r w:rsidRPr="002C5876">
        <w:t>M</w:t>
      </w:r>
      <w:r w:rsidRPr="002C5876">
        <w:rPr>
          <w:vertAlign w:val="subscript"/>
        </w:rPr>
        <w:t>CO2-H,CS,p</w:t>
      </w:r>
      <w:r w:rsidRPr="002C5876">
        <w:tab/>
        <w:t>désigne les émissions massiques de CO</w:t>
      </w:r>
      <w:r w:rsidRPr="002C5876">
        <w:rPr>
          <w:vertAlign w:val="subscript"/>
        </w:rPr>
        <w:t>2</w:t>
      </w:r>
      <w:r w:rsidRPr="002C5876">
        <w:t xml:space="preserve"> en mode maintien de la charge pour le véhicule H sur la période p considérée conformément au tableau A8/5, étape n</w:t>
      </w:r>
      <w:r w:rsidRPr="002C5876">
        <w:rPr>
          <w:vertAlign w:val="superscript"/>
        </w:rPr>
        <w:t>o</w:t>
      </w:r>
      <w:r w:rsidRPr="002C5876">
        <w:t> 8, en g/km ;</w:t>
      </w:r>
    </w:p>
    <w:p w:rsidR="00E24DB7" w:rsidRPr="002C5876" w:rsidRDefault="00E24DB7" w:rsidP="00E24DB7">
      <w:pPr>
        <w:pStyle w:val="SingleTxtG"/>
        <w:ind w:left="3402" w:hanging="1134"/>
      </w:pPr>
      <w:r w:rsidRPr="002C5876">
        <w:t>K</w:t>
      </w:r>
      <w:r w:rsidRPr="002C5876">
        <w:rPr>
          <w:vertAlign w:val="subscript"/>
        </w:rPr>
        <w:t>ind,p</w:t>
      </w:r>
      <w:r w:rsidRPr="002C5876">
        <w:tab/>
        <w:t>est le coefficient d’interpolation pour le véhicule donné considéré pour la période p ;</w:t>
      </w:r>
    </w:p>
    <w:p w:rsidR="00E24DB7" w:rsidRPr="002C5876" w:rsidRDefault="00E24DB7" w:rsidP="00E24DB7">
      <w:pPr>
        <w:pStyle w:val="SingleTxtG"/>
        <w:ind w:left="3402" w:hanging="1134"/>
      </w:pPr>
      <w:r w:rsidRPr="002C5876">
        <w:t>p</w:t>
      </w:r>
      <w:r w:rsidRPr="002C5876">
        <w:tab/>
        <w:t>est le numéro d’ordre de la période considérée du cycle d’essai WLTP applicable.</w:t>
      </w:r>
    </w:p>
    <w:p w:rsidR="00E24DB7" w:rsidRPr="002C5876" w:rsidRDefault="00E24DB7" w:rsidP="00E24DB7">
      <w:pPr>
        <w:pStyle w:val="SingleTxtG"/>
        <w:ind w:left="2268"/>
      </w:pPr>
      <w:r w:rsidRPr="002C5876">
        <w:t>Les périodes considérées sont les suivantes : phase basse (low), phase moyenne (medium), phase haute (high) et phase extra-haute (extra high), et le cycle d’essai WLTP applicable. Dans le cas où une Partie contractante demande que la phase extra-haute soit exclue, celle-ci doit être omise.</w:t>
      </w:r>
    </w:p>
    <w:p w:rsidR="00E24DB7" w:rsidRPr="002C5876" w:rsidRDefault="00E24DB7" w:rsidP="00E24DB7">
      <w:pPr>
        <w:pStyle w:val="SingleTxtG"/>
        <w:ind w:left="2268" w:hanging="1134"/>
        <w:jc w:val="left"/>
        <w:rPr>
          <w:color w:val="000000"/>
          <w:szCs w:val="24"/>
        </w:rPr>
      </w:pPr>
      <w:r w:rsidRPr="002C5876">
        <w:rPr>
          <w:szCs w:val="24"/>
        </w:rPr>
        <w:t>4.5.4.2</w:t>
      </w:r>
      <w:r w:rsidRPr="002C5876">
        <w:rPr>
          <w:szCs w:val="24"/>
        </w:rPr>
        <w:tab/>
        <w:t xml:space="preserve">Émissions massiques de </w:t>
      </w:r>
      <w:r w:rsidRPr="002C5876">
        <w:rPr>
          <w:color w:val="000000"/>
          <w:szCs w:val="24"/>
        </w:rPr>
        <w:t>CO</w:t>
      </w:r>
      <w:r w:rsidRPr="002C5876">
        <w:rPr>
          <w:color w:val="000000"/>
          <w:szCs w:val="24"/>
          <w:vertAlign w:val="subscript"/>
        </w:rPr>
        <w:t>2</w:t>
      </w:r>
      <w:r w:rsidRPr="002C5876">
        <w:rPr>
          <w:color w:val="000000"/>
          <w:szCs w:val="24"/>
        </w:rPr>
        <w:t xml:space="preserve"> pondérées en fonction des facteurs d’utilisation en mode épuisement de la charge pour</w:t>
      </w:r>
      <w:r w:rsidRPr="002C5876">
        <w:rPr>
          <w:szCs w:val="24"/>
        </w:rPr>
        <w:t xml:space="preserve"> les</w:t>
      </w:r>
      <w:r w:rsidRPr="002C5876">
        <w:rPr>
          <w:color w:val="000000"/>
          <w:szCs w:val="24"/>
        </w:rPr>
        <w:t xml:space="preserve"> VHE-RE individuels</w:t>
      </w:r>
    </w:p>
    <w:p w:rsidR="00E24DB7" w:rsidRPr="002C5876" w:rsidRDefault="00E24DB7" w:rsidP="00E24DB7">
      <w:pPr>
        <w:pStyle w:val="SingleTxtG"/>
        <w:ind w:left="2268"/>
        <w:rPr>
          <w:color w:val="000000"/>
          <w:szCs w:val="24"/>
        </w:rPr>
      </w:pPr>
      <w:r w:rsidRPr="002C5876">
        <w:rPr>
          <w:color w:val="000000"/>
          <w:szCs w:val="24"/>
        </w:rPr>
        <w:lastRenderedPageBreak/>
        <w:t xml:space="preserve">Les émissions </w:t>
      </w:r>
      <w:r w:rsidRPr="002C5876">
        <w:rPr>
          <w:szCs w:val="24"/>
        </w:rPr>
        <w:t xml:space="preserve">massiques de </w:t>
      </w:r>
      <w:r w:rsidRPr="002C5876">
        <w:rPr>
          <w:color w:val="000000"/>
          <w:szCs w:val="24"/>
        </w:rPr>
        <w:t>CO</w:t>
      </w:r>
      <w:r w:rsidRPr="002C5876">
        <w:rPr>
          <w:color w:val="000000"/>
          <w:szCs w:val="24"/>
          <w:vertAlign w:val="subscript"/>
        </w:rPr>
        <w:t>2</w:t>
      </w:r>
      <w:r w:rsidRPr="002C5876">
        <w:rPr>
          <w:color w:val="000000"/>
          <w:szCs w:val="24"/>
        </w:rPr>
        <w:t xml:space="preserve"> pondérées en fonction des facteurs d’utilisation en mode épuisement de la charge pour</w:t>
      </w:r>
      <w:r w:rsidRPr="002C5876">
        <w:rPr>
          <w:szCs w:val="24"/>
        </w:rPr>
        <w:t xml:space="preserve"> un véhicule donné</w:t>
      </w:r>
      <w:r w:rsidRPr="002C5876">
        <w:rPr>
          <w:color w:val="000000"/>
          <w:szCs w:val="24"/>
        </w:rPr>
        <w:t xml:space="preserve"> doivent être calculées au moyen de l’équation suivante :</w:t>
      </w:r>
    </w:p>
    <w:p w:rsidR="00E24DB7" w:rsidRPr="002C5876" w:rsidRDefault="00731CA6" w:rsidP="00E24DB7">
      <w:pPr>
        <w:pStyle w:val="SingleTxtG"/>
        <w:ind w:left="2268"/>
        <w:jc w:val="center"/>
        <w:rPr>
          <w:color w:val="000000"/>
          <w:szCs w:val="24"/>
        </w:rPr>
      </w:pPr>
      <m:oMathPara>
        <m:oMath>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CO2-ind,CD</m:t>
              </m:r>
            </m:sub>
          </m:sSub>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CO2-L,CD</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ind</m:t>
              </m:r>
            </m:sub>
          </m:sSub>
          <m:r>
            <m:rPr>
              <m:sty m:val="p"/>
            </m:rPr>
            <w:rPr>
              <w:rFonts w:ascii="Cambria Math" w:hAnsi="Cambria Math" w:cstheme="majorBidi"/>
            </w:rPr>
            <m:t>×</m:t>
          </m:r>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CO2-H,CD</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CO2-L,CD</m:t>
                  </m:r>
                </m:sub>
              </m:sSub>
            </m:e>
          </m:d>
        </m:oMath>
      </m:oMathPara>
    </w:p>
    <w:p w:rsidR="00E24DB7" w:rsidRPr="002C5876" w:rsidRDefault="00E24DB7" w:rsidP="00E24DB7">
      <w:pPr>
        <w:pStyle w:val="SingleTxtG"/>
        <w:ind w:left="3402" w:hanging="1134"/>
        <w:rPr>
          <w:szCs w:val="24"/>
        </w:rPr>
      </w:pPr>
      <w:r w:rsidRPr="002C5876">
        <w:rPr>
          <w:szCs w:val="24"/>
        </w:rPr>
        <w:t>où :</w:t>
      </w:r>
    </w:p>
    <w:p w:rsidR="00E24DB7" w:rsidRPr="002C5876" w:rsidRDefault="00E24DB7" w:rsidP="00E24DB7">
      <w:pPr>
        <w:pStyle w:val="SingleTxtG"/>
        <w:ind w:left="3402" w:hanging="1134"/>
        <w:rPr>
          <w:szCs w:val="24"/>
        </w:rPr>
      </w:pPr>
      <w:r w:rsidRPr="002C5876">
        <w:t>M</w:t>
      </w:r>
      <w:r w:rsidRPr="002C5876">
        <w:rPr>
          <w:vertAlign w:val="subscript"/>
        </w:rPr>
        <w:t>CO2-ind,CD</w:t>
      </w:r>
      <w:r w:rsidRPr="002C5876">
        <w:rPr>
          <w:szCs w:val="24"/>
        </w:rPr>
        <w:tab/>
        <w:t xml:space="preserve">désigne les </w:t>
      </w:r>
      <w:r w:rsidRPr="002C5876">
        <w:rPr>
          <w:color w:val="000000"/>
          <w:szCs w:val="24"/>
        </w:rPr>
        <w:t xml:space="preserve">émissions </w:t>
      </w:r>
      <w:r w:rsidRPr="002C5876">
        <w:rPr>
          <w:szCs w:val="24"/>
        </w:rPr>
        <w:t xml:space="preserve">massiques de </w:t>
      </w:r>
      <w:r w:rsidRPr="002C5876">
        <w:rPr>
          <w:color w:val="000000"/>
          <w:szCs w:val="24"/>
        </w:rPr>
        <w:t>CO</w:t>
      </w:r>
      <w:r w:rsidRPr="002C5876">
        <w:rPr>
          <w:color w:val="000000"/>
          <w:szCs w:val="24"/>
          <w:vertAlign w:val="subscript"/>
        </w:rPr>
        <w:t>2</w:t>
      </w:r>
      <w:r w:rsidRPr="002C5876">
        <w:rPr>
          <w:color w:val="000000"/>
          <w:szCs w:val="24"/>
        </w:rPr>
        <w:t xml:space="preserve"> pondérées en fonction des facteurs d’utilisation en mode épuisement de la charge pour</w:t>
      </w:r>
      <w:r w:rsidRPr="002C5876">
        <w:rPr>
          <w:szCs w:val="24"/>
        </w:rPr>
        <w:t xml:space="preserve"> un véhicule donné, en g/km ;</w:t>
      </w:r>
    </w:p>
    <w:p w:rsidR="00E24DB7" w:rsidRPr="002C5876" w:rsidRDefault="00E24DB7" w:rsidP="00E24DB7">
      <w:pPr>
        <w:pStyle w:val="SingleTxtG"/>
        <w:ind w:left="3402" w:hanging="1134"/>
        <w:rPr>
          <w:szCs w:val="24"/>
        </w:rPr>
      </w:pPr>
      <w:r w:rsidRPr="002C5876">
        <w:t>M</w:t>
      </w:r>
      <w:r w:rsidRPr="002C5876">
        <w:rPr>
          <w:vertAlign w:val="subscript"/>
        </w:rPr>
        <w:t>CO2-L,CD</w:t>
      </w:r>
      <w:r w:rsidRPr="002C5876">
        <w:rPr>
          <w:szCs w:val="24"/>
        </w:rPr>
        <w:tab/>
        <w:t xml:space="preserve">désigne les </w:t>
      </w:r>
      <w:r w:rsidRPr="002C5876">
        <w:rPr>
          <w:color w:val="000000"/>
          <w:szCs w:val="24"/>
        </w:rPr>
        <w:t xml:space="preserve">émissions </w:t>
      </w:r>
      <w:r w:rsidRPr="002C5876">
        <w:rPr>
          <w:szCs w:val="24"/>
        </w:rPr>
        <w:t xml:space="preserve">massiques de </w:t>
      </w:r>
      <w:r w:rsidRPr="002C5876">
        <w:rPr>
          <w:color w:val="000000"/>
          <w:szCs w:val="24"/>
        </w:rPr>
        <w:t>CO</w:t>
      </w:r>
      <w:r w:rsidRPr="002C5876">
        <w:rPr>
          <w:color w:val="000000"/>
          <w:szCs w:val="24"/>
          <w:vertAlign w:val="subscript"/>
        </w:rPr>
        <w:t>2</w:t>
      </w:r>
      <w:r w:rsidRPr="002C5876">
        <w:rPr>
          <w:color w:val="000000"/>
          <w:szCs w:val="24"/>
        </w:rPr>
        <w:t xml:space="preserve"> pondérées en fonction des facteurs d’utilisation en mode épuisement de la charge pour</w:t>
      </w:r>
      <w:r w:rsidRPr="002C5876">
        <w:rPr>
          <w:szCs w:val="24"/>
        </w:rPr>
        <w:t xml:space="preserve"> le véhicule L, en g/km ;</w:t>
      </w:r>
    </w:p>
    <w:p w:rsidR="00E24DB7" w:rsidRPr="002C5876" w:rsidRDefault="00E24DB7" w:rsidP="00E24DB7">
      <w:pPr>
        <w:pStyle w:val="SingleTxtG"/>
        <w:ind w:left="3402" w:hanging="1134"/>
        <w:rPr>
          <w:szCs w:val="24"/>
        </w:rPr>
      </w:pPr>
      <w:r w:rsidRPr="002C5876">
        <w:t>M</w:t>
      </w:r>
      <w:r w:rsidRPr="002C5876">
        <w:rPr>
          <w:vertAlign w:val="subscript"/>
        </w:rPr>
        <w:t>CO2-H,CD</w:t>
      </w:r>
      <w:r w:rsidRPr="002C5876">
        <w:rPr>
          <w:szCs w:val="24"/>
        </w:rPr>
        <w:tab/>
        <w:t xml:space="preserve">désigne les </w:t>
      </w:r>
      <w:r w:rsidRPr="002C5876">
        <w:rPr>
          <w:color w:val="000000"/>
          <w:szCs w:val="24"/>
        </w:rPr>
        <w:t xml:space="preserve">émissions </w:t>
      </w:r>
      <w:r w:rsidRPr="002C5876">
        <w:rPr>
          <w:szCs w:val="24"/>
        </w:rPr>
        <w:t xml:space="preserve">massiques de </w:t>
      </w:r>
      <w:r w:rsidRPr="002C5876">
        <w:rPr>
          <w:color w:val="000000"/>
          <w:szCs w:val="24"/>
        </w:rPr>
        <w:t>CO</w:t>
      </w:r>
      <w:r w:rsidRPr="002C5876">
        <w:rPr>
          <w:color w:val="000000"/>
          <w:szCs w:val="24"/>
          <w:vertAlign w:val="subscript"/>
        </w:rPr>
        <w:t>2</w:t>
      </w:r>
      <w:r w:rsidRPr="002C5876">
        <w:rPr>
          <w:color w:val="000000"/>
          <w:szCs w:val="24"/>
        </w:rPr>
        <w:t xml:space="preserve"> pondérées en fonction des facteurs d’utilisation en mode épuisement de la charge pour</w:t>
      </w:r>
      <w:r w:rsidRPr="002C5876">
        <w:rPr>
          <w:szCs w:val="24"/>
        </w:rPr>
        <w:t xml:space="preserve"> le véhicule H, en g/km ;</w:t>
      </w:r>
    </w:p>
    <w:p w:rsidR="00E24DB7" w:rsidRPr="002C5876" w:rsidRDefault="00E24DB7" w:rsidP="00E24DB7">
      <w:pPr>
        <w:pStyle w:val="SingleTxtG"/>
        <w:ind w:left="3402" w:hanging="1134"/>
        <w:rPr>
          <w:szCs w:val="24"/>
        </w:rPr>
      </w:pPr>
      <w:r w:rsidRPr="002C5876">
        <w:t>K</w:t>
      </w:r>
      <w:r w:rsidRPr="002C5876">
        <w:rPr>
          <w:vertAlign w:val="subscript"/>
        </w:rPr>
        <w:t>ind</w:t>
      </w:r>
      <w:r w:rsidRPr="002C5876">
        <w:rPr>
          <w:szCs w:val="24"/>
        </w:rPr>
        <w:tab/>
        <w:t>est le coefficient d’interpolation pour le véhicule donné considéré pour le cycle d’essai WLTP applicable.</w:t>
      </w:r>
    </w:p>
    <w:p w:rsidR="00E24DB7" w:rsidRPr="002C5876" w:rsidRDefault="00E24DB7" w:rsidP="00E24DB7">
      <w:pPr>
        <w:pStyle w:val="SingleTxtG"/>
        <w:keepNext/>
        <w:keepLines/>
        <w:ind w:left="2268" w:hanging="1134"/>
        <w:jc w:val="left"/>
      </w:pPr>
      <w:r w:rsidRPr="002C5876">
        <w:t>4.5.4.3</w:t>
      </w:r>
      <w:r w:rsidRPr="002C5876">
        <w:tab/>
      </w:r>
      <w:r w:rsidRPr="002C5876">
        <w:rPr>
          <w:szCs w:val="24"/>
        </w:rPr>
        <w:t xml:space="preserve">Émissions massiques de </w:t>
      </w:r>
      <w:r w:rsidRPr="002C5876">
        <w:rPr>
          <w:color w:val="000000"/>
          <w:szCs w:val="24"/>
        </w:rPr>
        <w:t>CO</w:t>
      </w:r>
      <w:r w:rsidRPr="002C5876">
        <w:rPr>
          <w:color w:val="000000"/>
          <w:szCs w:val="24"/>
          <w:vertAlign w:val="subscript"/>
        </w:rPr>
        <w:t>2</w:t>
      </w:r>
      <w:r w:rsidRPr="002C5876">
        <w:rPr>
          <w:color w:val="000000"/>
          <w:szCs w:val="24"/>
        </w:rPr>
        <w:t xml:space="preserve"> pondérées en fonction des facteurs d’utilisation pour</w:t>
      </w:r>
      <w:r w:rsidRPr="002C5876">
        <w:rPr>
          <w:szCs w:val="24"/>
        </w:rPr>
        <w:t xml:space="preserve"> les</w:t>
      </w:r>
      <w:r w:rsidRPr="002C5876">
        <w:rPr>
          <w:color w:val="000000"/>
          <w:szCs w:val="24"/>
        </w:rPr>
        <w:t xml:space="preserve"> VHE-RE individuels</w:t>
      </w:r>
    </w:p>
    <w:p w:rsidR="00E24DB7" w:rsidRPr="002C5876" w:rsidRDefault="00E24DB7" w:rsidP="00E24DB7">
      <w:pPr>
        <w:pStyle w:val="SingleTxtG"/>
        <w:ind w:left="2268"/>
        <w:rPr>
          <w:szCs w:val="24"/>
        </w:rPr>
      </w:pPr>
      <w:r w:rsidRPr="002C5876">
        <w:rPr>
          <w:color w:val="000000"/>
          <w:szCs w:val="24"/>
        </w:rPr>
        <w:t xml:space="preserve">Les émissions </w:t>
      </w:r>
      <w:r w:rsidRPr="002C5876">
        <w:rPr>
          <w:szCs w:val="24"/>
        </w:rPr>
        <w:t xml:space="preserve">massiques de </w:t>
      </w:r>
      <w:r w:rsidRPr="002C5876">
        <w:rPr>
          <w:color w:val="000000"/>
          <w:szCs w:val="24"/>
        </w:rPr>
        <w:t>CO</w:t>
      </w:r>
      <w:r w:rsidRPr="002C5876">
        <w:rPr>
          <w:color w:val="000000"/>
          <w:szCs w:val="24"/>
          <w:vertAlign w:val="subscript"/>
        </w:rPr>
        <w:t>2</w:t>
      </w:r>
      <w:r w:rsidRPr="002C5876">
        <w:rPr>
          <w:color w:val="000000"/>
          <w:szCs w:val="24"/>
        </w:rPr>
        <w:t xml:space="preserve"> pondérées en fonction des facteurs d’utilisation pour</w:t>
      </w:r>
      <w:r w:rsidRPr="002C5876">
        <w:rPr>
          <w:szCs w:val="24"/>
        </w:rPr>
        <w:t xml:space="preserve"> un véhicule donné</w:t>
      </w:r>
      <w:r w:rsidRPr="002C5876">
        <w:rPr>
          <w:color w:val="000000"/>
          <w:szCs w:val="24"/>
        </w:rPr>
        <w:t xml:space="preserve"> doivent être calculées au moyen de l’équation suivante </w:t>
      </w:r>
      <w:r w:rsidRPr="002C5876">
        <w:rPr>
          <w:szCs w:val="24"/>
        </w:rPr>
        <w:t>:</w:t>
      </w:r>
    </w:p>
    <w:p w:rsidR="00E24DB7" w:rsidRPr="002C5876" w:rsidRDefault="00731CA6" w:rsidP="00E371A5">
      <w:pPr>
        <w:pStyle w:val="SingleTxtG"/>
        <w:jc w:val="center"/>
        <w:rPr>
          <w:szCs w:val="24"/>
        </w:rPr>
      </w:pPr>
      <m:oMathPara>
        <m:oMath>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CO2-ind,weighted</m:t>
              </m:r>
            </m:sub>
          </m:sSub>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CO2-L,weighted</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ind</m:t>
              </m:r>
            </m:sub>
          </m:sSub>
          <m:r>
            <w:rPr>
              <w:rFonts w:ascii="Cambria Math" w:hAnsi="Cambria Math" w:cstheme="majorBidi"/>
            </w:rPr>
            <m:t>×</m:t>
          </m:r>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CO2-H,weighted</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CO2-L,weighted</m:t>
                  </m:r>
                </m:sub>
              </m:sSub>
            </m:e>
          </m:d>
        </m:oMath>
      </m:oMathPara>
    </w:p>
    <w:p w:rsidR="00E24DB7" w:rsidRPr="002C5876" w:rsidRDefault="00E24DB7" w:rsidP="00E24DB7">
      <w:pPr>
        <w:pStyle w:val="SingleTxtG"/>
        <w:ind w:left="2268"/>
        <w:jc w:val="left"/>
        <w:rPr>
          <w:szCs w:val="24"/>
        </w:rPr>
      </w:pPr>
      <w:r w:rsidRPr="002C5876">
        <w:rPr>
          <w:szCs w:val="24"/>
        </w:rPr>
        <w:t>où :</w:t>
      </w:r>
    </w:p>
    <w:p w:rsidR="00E24DB7" w:rsidRPr="002C5876" w:rsidRDefault="00E24DB7" w:rsidP="00E24DB7">
      <w:pPr>
        <w:pStyle w:val="SingleTxtG"/>
        <w:ind w:left="3572" w:hanging="1304"/>
        <w:rPr>
          <w:szCs w:val="24"/>
        </w:rPr>
      </w:pPr>
      <w:r w:rsidRPr="002C5876">
        <w:t>M</w:t>
      </w:r>
      <w:r w:rsidRPr="002C5876">
        <w:rPr>
          <w:vertAlign w:val="subscript"/>
        </w:rPr>
        <w:t>CO2-ind,weighted</w:t>
      </w:r>
      <w:r w:rsidRPr="002C5876">
        <w:rPr>
          <w:szCs w:val="24"/>
        </w:rPr>
        <w:tab/>
        <w:t xml:space="preserve">désigne les </w:t>
      </w:r>
      <w:r w:rsidRPr="002C5876">
        <w:rPr>
          <w:color w:val="000000"/>
          <w:szCs w:val="24"/>
        </w:rPr>
        <w:t xml:space="preserve">émissions </w:t>
      </w:r>
      <w:r w:rsidRPr="002C5876">
        <w:rPr>
          <w:szCs w:val="24"/>
        </w:rPr>
        <w:t xml:space="preserve">massiques de </w:t>
      </w:r>
      <w:r w:rsidRPr="002C5876">
        <w:rPr>
          <w:color w:val="000000"/>
          <w:szCs w:val="24"/>
        </w:rPr>
        <w:t>CO</w:t>
      </w:r>
      <w:r w:rsidRPr="002C5876">
        <w:rPr>
          <w:color w:val="000000"/>
          <w:szCs w:val="24"/>
          <w:vertAlign w:val="subscript"/>
        </w:rPr>
        <w:t>2</w:t>
      </w:r>
      <w:r w:rsidRPr="002C5876">
        <w:rPr>
          <w:color w:val="000000"/>
          <w:szCs w:val="24"/>
        </w:rPr>
        <w:t xml:space="preserve"> pondérées en fonction des facteurs d’utilisation pour</w:t>
      </w:r>
      <w:r w:rsidRPr="002C5876">
        <w:rPr>
          <w:szCs w:val="24"/>
        </w:rPr>
        <w:t xml:space="preserve"> un véhicule donné, en g/km ;</w:t>
      </w:r>
    </w:p>
    <w:p w:rsidR="00E24DB7" w:rsidRPr="002C5876" w:rsidRDefault="00E24DB7" w:rsidP="00E24DB7">
      <w:pPr>
        <w:pStyle w:val="SingleTxtG"/>
        <w:ind w:left="3572" w:hanging="1304"/>
        <w:rPr>
          <w:szCs w:val="24"/>
        </w:rPr>
      </w:pPr>
      <w:r w:rsidRPr="002C5876">
        <w:t>M</w:t>
      </w:r>
      <w:r w:rsidRPr="002C5876">
        <w:rPr>
          <w:vertAlign w:val="subscript"/>
        </w:rPr>
        <w:t>CO2-L,weighted</w:t>
      </w:r>
      <w:r w:rsidRPr="002C5876">
        <w:rPr>
          <w:szCs w:val="24"/>
        </w:rPr>
        <w:tab/>
        <w:t xml:space="preserve">désigne les </w:t>
      </w:r>
      <w:r w:rsidRPr="002C5876">
        <w:rPr>
          <w:color w:val="000000"/>
          <w:szCs w:val="24"/>
        </w:rPr>
        <w:t xml:space="preserve">émissions </w:t>
      </w:r>
      <w:r w:rsidRPr="002C5876">
        <w:rPr>
          <w:szCs w:val="24"/>
        </w:rPr>
        <w:t xml:space="preserve">massiques de </w:t>
      </w:r>
      <w:r w:rsidRPr="002C5876">
        <w:rPr>
          <w:color w:val="000000"/>
          <w:szCs w:val="24"/>
        </w:rPr>
        <w:t>CO</w:t>
      </w:r>
      <w:r w:rsidRPr="002C5876">
        <w:rPr>
          <w:color w:val="000000"/>
          <w:szCs w:val="24"/>
          <w:vertAlign w:val="subscript"/>
        </w:rPr>
        <w:t>2</w:t>
      </w:r>
      <w:r w:rsidRPr="002C5876">
        <w:rPr>
          <w:color w:val="000000"/>
          <w:szCs w:val="24"/>
        </w:rPr>
        <w:t xml:space="preserve"> pondérées en fonction des facteurs d’utilisation pour</w:t>
      </w:r>
      <w:r w:rsidRPr="002C5876">
        <w:rPr>
          <w:szCs w:val="24"/>
        </w:rPr>
        <w:t xml:space="preserve"> le véhicule L, en g/km ;</w:t>
      </w:r>
    </w:p>
    <w:p w:rsidR="00E24DB7" w:rsidRPr="002C5876" w:rsidRDefault="00E24DB7" w:rsidP="00E24DB7">
      <w:pPr>
        <w:pStyle w:val="SingleTxtG"/>
        <w:ind w:left="3572" w:hanging="1304"/>
      </w:pPr>
      <w:r w:rsidRPr="002C5876">
        <w:t>M</w:t>
      </w:r>
      <w:r w:rsidRPr="002C5876">
        <w:rPr>
          <w:vertAlign w:val="subscript"/>
        </w:rPr>
        <w:t>CO2-H,weighted</w:t>
      </w:r>
      <w:r w:rsidRPr="002C5876">
        <w:rPr>
          <w:szCs w:val="24"/>
        </w:rPr>
        <w:tab/>
        <w:t xml:space="preserve">désigne les </w:t>
      </w:r>
      <w:r w:rsidRPr="002C5876">
        <w:rPr>
          <w:color w:val="000000"/>
          <w:szCs w:val="24"/>
        </w:rPr>
        <w:t xml:space="preserve">émissions </w:t>
      </w:r>
      <w:r w:rsidRPr="002C5876">
        <w:rPr>
          <w:szCs w:val="24"/>
        </w:rPr>
        <w:t xml:space="preserve">massiques de </w:t>
      </w:r>
      <w:r w:rsidRPr="002C5876">
        <w:rPr>
          <w:color w:val="000000"/>
          <w:szCs w:val="24"/>
        </w:rPr>
        <w:t>CO</w:t>
      </w:r>
      <w:r w:rsidRPr="002C5876">
        <w:rPr>
          <w:color w:val="000000"/>
          <w:szCs w:val="24"/>
          <w:vertAlign w:val="subscript"/>
        </w:rPr>
        <w:t>2</w:t>
      </w:r>
      <w:r w:rsidRPr="002C5876">
        <w:rPr>
          <w:color w:val="000000"/>
          <w:szCs w:val="24"/>
        </w:rPr>
        <w:t xml:space="preserve"> pondérées en fonction des facteurs d’utilisation pour</w:t>
      </w:r>
      <w:r w:rsidRPr="002C5876">
        <w:rPr>
          <w:szCs w:val="24"/>
        </w:rPr>
        <w:t xml:space="preserve"> le véhicule </w:t>
      </w:r>
      <w:r w:rsidRPr="002C5876">
        <w:rPr>
          <w:color w:val="000000"/>
          <w:szCs w:val="24"/>
        </w:rPr>
        <w:t>H</w:t>
      </w:r>
      <w:r w:rsidRPr="002C5876">
        <w:rPr>
          <w:szCs w:val="24"/>
        </w:rPr>
        <w:t>, en g/km</w:t>
      </w:r>
      <w:r w:rsidRPr="002C5876">
        <w:t> ;</w:t>
      </w:r>
    </w:p>
    <w:p w:rsidR="00E24DB7" w:rsidRPr="002C5876" w:rsidRDefault="00E24DB7" w:rsidP="00E24DB7">
      <w:pPr>
        <w:pStyle w:val="SingleTxtG"/>
        <w:ind w:left="3572" w:hanging="1304"/>
        <w:rPr>
          <w:b/>
        </w:rPr>
      </w:pPr>
      <w:r w:rsidRPr="002C5876">
        <w:t>K</w:t>
      </w:r>
      <w:r w:rsidRPr="002C5876">
        <w:rPr>
          <w:vertAlign w:val="subscript"/>
        </w:rPr>
        <w:t>ind</w:t>
      </w:r>
      <w:r w:rsidRPr="002C5876">
        <w:rPr>
          <w:szCs w:val="24"/>
        </w:rPr>
        <w:tab/>
        <w:t>est le coefficient d’interpolation pour le véhicule donné considéré pour le cycle d’essai WLTP applicable.</w:t>
      </w:r>
    </w:p>
    <w:p w:rsidR="00E24DB7" w:rsidRPr="002C5876" w:rsidRDefault="00E24DB7" w:rsidP="00E24DB7">
      <w:pPr>
        <w:pStyle w:val="SingleTxtG"/>
        <w:ind w:left="2268" w:hanging="1134"/>
        <w:jc w:val="left"/>
        <w:rPr>
          <w:szCs w:val="24"/>
        </w:rPr>
      </w:pPr>
      <w:r w:rsidRPr="002C5876">
        <w:rPr>
          <w:szCs w:val="24"/>
        </w:rPr>
        <w:t>4.5.5</w:t>
      </w:r>
      <w:r w:rsidRPr="002C5876">
        <w:rPr>
          <w:szCs w:val="24"/>
        </w:rPr>
        <w:tab/>
        <w:t>Interpolation de la consommation de carburant pour les véhicules donnés</w:t>
      </w:r>
    </w:p>
    <w:p w:rsidR="00E24DB7" w:rsidRPr="002C5876" w:rsidRDefault="00E24DB7" w:rsidP="00E24DB7">
      <w:pPr>
        <w:pStyle w:val="SingleTxtG"/>
        <w:ind w:left="2268" w:hanging="1134"/>
        <w:jc w:val="left"/>
        <w:rPr>
          <w:color w:val="000000"/>
          <w:szCs w:val="24"/>
        </w:rPr>
      </w:pPr>
      <w:r w:rsidRPr="002C5876">
        <w:t>4.5.5.1</w:t>
      </w:r>
      <w:r w:rsidRPr="002C5876">
        <w:tab/>
        <w:t xml:space="preserve">Consommation de carburant en mode maintien de la charge </w:t>
      </w:r>
      <w:r w:rsidRPr="002C5876">
        <w:br/>
        <w:t>pour les VHE</w:t>
      </w:r>
      <w:r w:rsidRPr="002C5876">
        <w:noBreakHyphen/>
        <w:t>RE et les VHE-NRE individuels</w:t>
      </w:r>
    </w:p>
    <w:p w:rsidR="00E24DB7" w:rsidRPr="002C5876" w:rsidRDefault="00E24DB7" w:rsidP="00E24DB7">
      <w:pPr>
        <w:pStyle w:val="SingleTxtG"/>
        <w:ind w:left="2268"/>
        <w:rPr>
          <w:color w:val="000000"/>
          <w:szCs w:val="24"/>
        </w:rPr>
      </w:pPr>
      <w:r w:rsidRPr="002C5876">
        <w:tab/>
        <w:t xml:space="preserve">La </w:t>
      </w:r>
      <w:r w:rsidRPr="002C5876">
        <w:rPr>
          <w:color w:val="000000"/>
          <w:szCs w:val="24"/>
        </w:rPr>
        <w:t>consommation de carburant en mode maintien de la charge pour un véhicule donné doit être calculée au moyen de l’équation suivante :</w:t>
      </w:r>
    </w:p>
    <w:p w:rsidR="00E24DB7" w:rsidRPr="002C5876" w:rsidRDefault="00731CA6" w:rsidP="00E24DB7">
      <w:pPr>
        <w:pStyle w:val="SingleTxtG"/>
        <w:ind w:left="2268"/>
        <w:jc w:val="center"/>
        <w:rPr>
          <w:color w:val="000000"/>
          <w:szCs w:val="24"/>
        </w:rPr>
      </w:pPr>
      <m:oMathPara>
        <m:oMath>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ind,CS,p</m:t>
              </m:r>
            </m:sub>
          </m:sSub>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L,CS,p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ind,p</m:t>
              </m:r>
            </m:sub>
          </m:sSub>
          <m:r>
            <m:rPr>
              <m:sty m:val="p"/>
            </m:rPr>
            <w:rPr>
              <w:rFonts w:ascii="Cambria Math" w:hAnsi="Cambria Math" w:cstheme="majorBidi"/>
            </w:rPr>
            <m:t>×</m:t>
          </m:r>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H,CS,p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L,CS,p</m:t>
                  </m:r>
                </m:sub>
              </m:sSub>
            </m:e>
          </m:d>
        </m:oMath>
      </m:oMathPara>
    </w:p>
    <w:p w:rsidR="00E24DB7" w:rsidRPr="002C5876" w:rsidRDefault="00E24DB7" w:rsidP="00E24DB7">
      <w:pPr>
        <w:pStyle w:val="SingleTxtG"/>
        <w:ind w:left="2268"/>
        <w:rPr>
          <w:szCs w:val="24"/>
        </w:rPr>
      </w:pPr>
      <w:r w:rsidRPr="002C5876">
        <w:rPr>
          <w:szCs w:val="24"/>
        </w:rPr>
        <w:t>où :</w:t>
      </w:r>
    </w:p>
    <w:p w:rsidR="00E24DB7" w:rsidRPr="002C5876" w:rsidRDefault="00E24DB7" w:rsidP="00E24DB7">
      <w:pPr>
        <w:pStyle w:val="SingleTxtG"/>
        <w:ind w:left="3402" w:hanging="1134"/>
        <w:rPr>
          <w:szCs w:val="24"/>
        </w:rPr>
      </w:pPr>
      <w:r w:rsidRPr="002C5876">
        <w:rPr>
          <w:szCs w:val="24"/>
        </w:rPr>
        <w:t>FC</w:t>
      </w:r>
      <w:r w:rsidRPr="002C5876">
        <w:rPr>
          <w:szCs w:val="24"/>
          <w:vertAlign w:val="subscript"/>
        </w:rPr>
        <w:t>ind,CS,p</w:t>
      </w:r>
      <w:r w:rsidRPr="002C5876">
        <w:rPr>
          <w:szCs w:val="24"/>
        </w:rPr>
        <w:tab/>
        <w:t>est la consommation de carburant en mode maintien de la charge pour un véhicule donné sur la période p considérée conformément au t</w:t>
      </w:r>
      <w:r w:rsidRPr="002C5876">
        <w:t xml:space="preserve">ableau A8/6, étape </w:t>
      </w:r>
      <w:r w:rsidRPr="002C5876">
        <w:rPr>
          <w:rFonts w:eastAsia="MS Mincho"/>
          <w:szCs w:val="24"/>
        </w:rPr>
        <w:t>n</w:t>
      </w:r>
      <w:r w:rsidRPr="002C5876">
        <w:rPr>
          <w:rFonts w:eastAsia="MS Mincho"/>
          <w:szCs w:val="24"/>
          <w:vertAlign w:val="superscript"/>
        </w:rPr>
        <w:t>o</w:t>
      </w:r>
      <w:r w:rsidRPr="002C5876">
        <w:rPr>
          <w:rFonts w:eastAsia="MS Mincho"/>
          <w:szCs w:val="24"/>
        </w:rPr>
        <w:t> </w:t>
      </w:r>
      <w:r w:rsidRPr="002C5876">
        <w:t>3</w:t>
      </w:r>
      <w:r w:rsidRPr="002C5876">
        <w:rPr>
          <w:szCs w:val="24"/>
        </w:rPr>
        <w:t>, en l/100 km ;</w:t>
      </w:r>
    </w:p>
    <w:p w:rsidR="00E24DB7" w:rsidRPr="002C5876" w:rsidRDefault="00E24DB7" w:rsidP="00E24DB7">
      <w:pPr>
        <w:pStyle w:val="SingleTxtG"/>
        <w:ind w:left="3402" w:hanging="1134"/>
        <w:rPr>
          <w:szCs w:val="24"/>
        </w:rPr>
      </w:pPr>
      <w:r w:rsidRPr="002C5876">
        <w:rPr>
          <w:szCs w:val="24"/>
        </w:rPr>
        <w:t>FC</w:t>
      </w:r>
      <w:r w:rsidRPr="002C5876">
        <w:rPr>
          <w:szCs w:val="24"/>
          <w:vertAlign w:val="subscript"/>
        </w:rPr>
        <w:t>L,CS,p</w:t>
      </w:r>
      <w:r w:rsidRPr="002C5876">
        <w:rPr>
          <w:szCs w:val="24"/>
        </w:rPr>
        <w:tab/>
        <w:t>est la consommation de carburant en mode maintien de la charge pour le véhicule L sur la période p considérée conformément au t</w:t>
      </w:r>
      <w:r w:rsidRPr="002C5876">
        <w:t xml:space="preserve">ableau A8/6, étape </w:t>
      </w:r>
      <w:r w:rsidRPr="002C5876">
        <w:rPr>
          <w:rFonts w:eastAsia="MS Mincho"/>
          <w:szCs w:val="24"/>
        </w:rPr>
        <w:t>n</w:t>
      </w:r>
      <w:r w:rsidRPr="002C5876">
        <w:rPr>
          <w:rFonts w:eastAsia="MS Mincho"/>
          <w:szCs w:val="24"/>
          <w:vertAlign w:val="superscript"/>
        </w:rPr>
        <w:t>o</w:t>
      </w:r>
      <w:r w:rsidRPr="002C5876">
        <w:rPr>
          <w:rFonts w:eastAsia="MS Mincho"/>
          <w:szCs w:val="24"/>
        </w:rPr>
        <w:t> </w:t>
      </w:r>
      <w:r w:rsidRPr="002C5876">
        <w:t>2</w:t>
      </w:r>
      <w:r w:rsidRPr="002C5876">
        <w:rPr>
          <w:szCs w:val="24"/>
        </w:rPr>
        <w:t>, en l/100 km ;</w:t>
      </w:r>
    </w:p>
    <w:p w:rsidR="00E24DB7" w:rsidRPr="002C5876" w:rsidRDefault="00E24DB7" w:rsidP="00E24DB7">
      <w:pPr>
        <w:pStyle w:val="SingleTxtG"/>
        <w:ind w:left="3402" w:hanging="1134"/>
        <w:rPr>
          <w:szCs w:val="24"/>
        </w:rPr>
      </w:pPr>
      <w:r w:rsidRPr="002C5876">
        <w:rPr>
          <w:szCs w:val="24"/>
        </w:rPr>
        <w:lastRenderedPageBreak/>
        <w:t>FC</w:t>
      </w:r>
      <w:r w:rsidRPr="002C5876">
        <w:rPr>
          <w:szCs w:val="24"/>
          <w:vertAlign w:val="subscript"/>
        </w:rPr>
        <w:t>H,CS,p</w:t>
      </w:r>
      <w:r w:rsidRPr="002C5876">
        <w:rPr>
          <w:szCs w:val="24"/>
        </w:rPr>
        <w:tab/>
      </w:r>
      <w:r w:rsidRPr="002C5876">
        <w:rPr>
          <w:szCs w:val="24"/>
        </w:rPr>
        <w:tab/>
        <w:t>est la consommation de carburant en mode maintien de la charge pour le véhicule H sur la période p considérée conformément au t</w:t>
      </w:r>
      <w:r w:rsidRPr="002C5876">
        <w:t xml:space="preserve">ableau A8/6, étape </w:t>
      </w:r>
      <w:r w:rsidRPr="002C5876">
        <w:rPr>
          <w:rFonts w:eastAsia="MS Mincho"/>
          <w:szCs w:val="24"/>
        </w:rPr>
        <w:t>n</w:t>
      </w:r>
      <w:r w:rsidRPr="002C5876">
        <w:rPr>
          <w:rFonts w:eastAsia="MS Mincho"/>
          <w:szCs w:val="24"/>
          <w:vertAlign w:val="superscript"/>
        </w:rPr>
        <w:t>o</w:t>
      </w:r>
      <w:r w:rsidRPr="002C5876">
        <w:rPr>
          <w:rFonts w:eastAsia="MS Mincho"/>
          <w:szCs w:val="24"/>
        </w:rPr>
        <w:t> </w:t>
      </w:r>
      <w:r w:rsidRPr="002C5876">
        <w:t>2</w:t>
      </w:r>
      <w:r w:rsidRPr="002C5876">
        <w:rPr>
          <w:szCs w:val="24"/>
        </w:rPr>
        <w:t>, en l/100 km ;</w:t>
      </w:r>
    </w:p>
    <w:p w:rsidR="00E24DB7" w:rsidRPr="002C5876" w:rsidRDefault="00E24DB7" w:rsidP="00E24DB7">
      <w:pPr>
        <w:pStyle w:val="SingleTxtG"/>
        <w:ind w:left="3402" w:hanging="1134"/>
      </w:pPr>
      <w:r w:rsidRPr="002C5876">
        <w:t>K</w:t>
      </w:r>
      <w:r w:rsidRPr="002C5876">
        <w:rPr>
          <w:vertAlign w:val="subscript"/>
        </w:rPr>
        <w:t>ind,p</w:t>
      </w:r>
      <w:r w:rsidRPr="002C5876">
        <w:tab/>
      </w:r>
      <w:r w:rsidRPr="002C5876">
        <w:rPr>
          <w:szCs w:val="24"/>
        </w:rPr>
        <w:t xml:space="preserve">est le coefficient d’interpolation pour le véhicule donné considéré sur la </w:t>
      </w:r>
      <w:r w:rsidRPr="002C5876">
        <w:t>période p ;</w:t>
      </w:r>
    </w:p>
    <w:p w:rsidR="00E24DB7" w:rsidRPr="002C5876" w:rsidRDefault="00E24DB7" w:rsidP="00E24DB7">
      <w:pPr>
        <w:pStyle w:val="SingleTxtG"/>
        <w:ind w:left="3402" w:hanging="1134"/>
        <w:rPr>
          <w:szCs w:val="24"/>
        </w:rPr>
      </w:pPr>
      <w:r w:rsidRPr="002C5876">
        <w:t>p</w:t>
      </w:r>
      <w:r w:rsidRPr="002C5876">
        <w:tab/>
        <w:t>est le numéro d’ordre de la période considérée du cycle d’essai WLTP applicable</w:t>
      </w:r>
      <w:r w:rsidRPr="002C5876">
        <w:rPr>
          <w:szCs w:val="24"/>
        </w:rPr>
        <w:t>.</w:t>
      </w:r>
    </w:p>
    <w:p w:rsidR="00E24DB7" w:rsidRPr="002C5876" w:rsidRDefault="00E24DB7" w:rsidP="00E24DB7">
      <w:pPr>
        <w:pStyle w:val="SingleTxtG"/>
        <w:ind w:left="2268"/>
      </w:pPr>
      <w:r w:rsidRPr="002C5876">
        <w:rPr>
          <w:szCs w:val="24"/>
        </w:rPr>
        <w:t>Les périodes considérées sont les suivantes : phase basse (low), phase moyenne (medium), phase haute (high) et phase extra-haute (extra high), et le cycle d’essai WLTP applicable. Dans le cas où une Partie contractante demande que la phase extra-haute soit exclue, celle-ci doit être omise</w:t>
      </w:r>
      <w:r w:rsidRPr="002C5876">
        <w:t>.</w:t>
      </w:r>
    </w:p>
    <w:p w:rsidR="00E24DB7" w:rsidRPr="002C5876" w:rsidRDefault="00E24DB7" w:rsidP="00E24DB7">
      <w:pPr>
        <w:pStyle w:val="SingleTxtG"/>
        <w:ind w:left="2268" w:hanging="1134"/>
        <w:jc w:val="left"/>
      </w:pPr>
      <w:r w:rsidRPr="002C5876">
        <w:t>4.5.5.2</w:t>
      </w:r>
      <w:r w:rsidRPr="002C5876">
        <w:tab/>
        <w:t>Consommation de carburant pondérée en fonction des facteurs d’utilisation en mode épuisement de la charge pour les VHE-RE individuels</w:t>
      </w:r>
    </w:p>
    <w:p w:rsidR="00E24DB7" w:rsidRPr="002C5876" w:rsidRDefault="00E24DB7" w:rsidP="00E24DB7">
      <w:pPr>
        <w:pStyle w:val="SingleTxtG"/>
        <w:ind w:left="2268"/>
        <w:rPr>
          <w:color w:val="000000"/>
          <w:szCs w:val="24"/>
        </w:rPr>
      </w:pPr>
      <w:r w:rsidRPr="002C5876">
        <w:t xml:space="preserve">La consommation de </w:t>
      </w:r>
      <w:r w:rsidRPr="002C5876">
        <w:rPr>
          <w:szCs w:val="24"/>
        </w:rPr>
        <w:t>carburant</w:t>
      </w:r>
      <w:r w:rsidRPr="002C5876">
        <w:rPr>
          <w:color w:val="000000"/>
          <w:szCs w:val="24"/>
        </w:rPr>
        <w:t xml:space="preserve"> pondérée en fonction des facteurs d’utilisation en mode épuisement de la charge pour</w:t>
      </w:r>
      <w:r w:rsidRPr="002C5876">
        <w:rPr>
          <w:szCs w:val="24"/>
        </w:rPr>
        <w:t xml:space="preserve"> un véhicule donné</w:t>
      </w:r>
      <w:r w:rsidRPr="002C5876">
        <w:rPr>
          <w:color w:val="000000"/>
          <w:szCs w:val="24"/>
        </w:rPr>
        <w:t xml:space="preserve"> doit être calculée au moyen de l’équation suivante :</w:t>
      </w:r>
    </w:p>
    <w:p w:rsidR="00E24DB7" w:rsidRPr="002C5876" w:rsidRDefault="00731CA6" w:rsidP="00E24DB7">
      <w:pPr>
        <w:pStyle w:val="SingleTxtG"/>
        <w:ind w:left="2268"/>
        <w:jc w:val="center"/>
        <w:rPr>
          <w:color w:val="000000"/>
          <w:szCs w:val="24"/>
        </w:rPr>
      </w:pPr>
      <m:oMathPara>
        <m:oMath>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ind,CD</m:t>
              </m:r>
            </m:sub>
          </m:sSub>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L,CD</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ind</m:t>
              </m:r>
            </m:sub>
          </m:sSub>
          <m:r>
            <m:rPr>
              <m:sty m:val="p"/>
            </m:rPr>
            <w:rPr>
              <w:rFonts w:ascii="Cambria Math" w:hAnsi="Cambria Math" w:cstheme="majorBidi"/>
            </w:rPr>
            <m:t>×</m:t>
          </m:r>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H,CD</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L,CD</m:t>
                  </m:r>
                </m:sub>
              </m:sSub>
            </m:e>
          </m:d>
        </m:oMath>
      </m:oMathPara>
    </w:p>
    <w:p w:rsidR="00E24DB7" w:rsidRPr="002C5876" w:rsidRDefault="00E24DB7" w:rsidP="00E24DB7">
      <w:pPr>
        <w:pStyle w:val="SingleTxtG"/>
        <w:ind w:left="2268"/>
        <w:rPr>
          <w:szCs w:val="24"/>
        </w:rPr>
      </w:pPr>
      <w:r w:rsidRPr="002C5876">
        <w:rPr>
          <w:szCs w:val="24"/>
        </w:rPr>
        <w:t>où :</w:t>
      </w:r>
    </w:p>
    <w:p w:rsidR="00E24DB7" w:rsidRPr="002C5876" w:rsidRDefault="00E24DB7" w:rsidP="00E24DB7">
      <w:pPr>
        <w:pStyle w:val="SingleTxtG"/>
        <w:ind w:left="3402" w:hanging="1134"/>
        <w:rPr>
          <w:szCs w:val="24"/>
        </w:rPr>
      </w:pPr>
      <w:r w:rsidRPr="002C5876">
        <w:rPr>
          <w:szCs w:val="24"/>
        </w:rPr>
        <w:t>FC</w:t>
      </w:r>
      <w:r w:rsidRPr="002C5876">
        <w:rPr>
          <w:szCs w:val="24"/>
          <w:vertAlign w:val="subscript"/>
        </w:rPr>
        <w:t>ind,CD</w:t>
      </w:r>
      <w:r w:rsidRPr="002C5876">
        <w:rPr>
          <w:szCs w:val="24"/>
        </w:rPr>
        <w:tab/>
        <w:t xml:space="preserve">est la </w:t>
      </w:r>
      <w:r w:rsidRPr="002C5876">
        <w:t xml:space="preserve">consommation de </w:t>
      </w:r>
      <w:r w:rsidRPr="002C5876">
        <w:rPr>
          <w:szCs w:val="24"/>
        </w:rPr>
        <w:t>carburant</w:t>
      </w:r>
      <w:r w:rsidRPr="002C5876">
        <w:rPr>
          <w:color w:val="000000"/>
          <w:szCs w:val="24"/>
        </w:rPr>
        <w:t xml:space="preserve"> pondérée en fonction des facteurs d’utilisation en mode épuisement de la charge pour</w:t>
      </w:r>
      <w:r w:rsidRPr="002C5876">
        <w:rPr>
          <w:szCs w:val="24"/>
        </w:rPr>
        <w:t xml:space="preserve"> un véhicule donné</w:t>
      </w:r>
      <w:r w:rsidRPr="002C5876">
        <w:rPr>
          <w:color w:val="000000"/>
          <w:szCs w:val="24"/>
        </w:rPr>
        <w:t>, en</w:t>
      </w:r>
      <w:r w:rsidRPr="002C5876">
        <w:rPr>
          <w:szCs w:val="24"/>
        </w:rPr>
        <w:t xml:space="preserve"> l/100 km ;</w:t>
      </w:r>
    </w:p>
    <w:p w:rsidR="00E24DB7" w:rsidRPr="002C5876" w:rsidRDefault="00E24DB7" w:rsidP="00E24DB7">
      <w:pPr>
        <w:pStyle w:val="SingleTxtG"/>
        <w:ind w:left="3402" w:hanging="1134"/>
        <w:rPr>
          <w:szCs w:val="24"/>
        </w:rPr>
      </w:pPr>
      <w:r w:rsidRPr="002C5876">
        <w:rPr>
          <w:szCs w:val="24"/>
        </w:rPr>
        <w:t>FC</w:t>
      </w:r>
      <w:r w:rsidRPr="002C5876">
        <w:rPr>
          <w:szCs w:val="24"/>
          <w:vertAlign w:val="subscript"/>
        </w:rPr>
        <w:t>L,CD</w:t>
      </w:r>
      <w:r w:rsidRPr="002C5876">
        <w:rPr>
          <w:szCs w:val="24"/>
        </w:rPr>
        <w:tab/>
        <w:t xml:space="preserve">est la </w:t>
      </w:r>
      <w:r w:rsidRPr="002C5876">
        <w:t xml:space="preserve">consommation de </w:t>
      </w:r>
      <w:r w:rsidRPr="002C5876">
        <w:rPr>
          <w:szCs w:val="24"/>
        </w:rPr>
        <w:t>carburant</w:t>
      </w:r>
      <w:r w:rsidRPr="002C5876">
        <w:rPr>
          <w:color w:val="000000"/>
          <w:szCs w:val="24"/>
        </w:rPr>
        <w:t xml:space="preserve"> pondérée en fonction des facteurs d’utilisation en mode épuisement de la charge pour</w:t>
      </w:r>
      <w:r w:rsidRPr="002C5876">
        <w:rPr>
          <w:szCs w:val="24"/>
        </w:rPr>
        <w:t xml:space="preserve"> le véhicule</w:t>
      </w:r>
      <w:r w:rsidRPr="002C5876">
        <w:rPr>
          <w:color w:val="000000"/>
          <w:szCs w:val="24"/>
        </w:rPr>
        <w:t xml:space="preserve"> L, en</w:t>
      </w:r>
      <w:r w:rsidRPr="002C5876">
        <w:rPr>
          <w:szCs w:val="24"/>
        </w:rPr>
        <w:t xml:space="preserve"> l/100 km ;</w:t>
      </w:r>
    </w:p>
    <w:p w:rsidR="00E24DB7" w:rsidRPr="002C5876" w:rsidRDefault="00E24DB7" w:rsidP="00E24DB7">
      <w:pPr>
        <w:pStyle w:val="SingleTxtG"/>
        <w:ind w:left="3402" w:hanging="1134"/>
        <w:rPr>
          <w:szCs w:val="24"/>
        </w:rPr>
      </w:pPr>
      <w:r w:rsidRPr="002C5876">
        <w:rPr>
          <w:szCs w:val="24"/>
        </w:rPr>
        <w:t>FC</w:t>
      </w:r>
      <w:r w:rsidRPr="002C5876">
        <w:rPr>
          <w:szCs w:val="24"/>
          <w:vertAlign w:val="subscript"/>
        </w:rPr>
        <w:t>H,CD</w:t>
      </w:r>
      <w:r w:rsidRPr="002C5876">
        <w:rPr>
          <w:szCs w:val="24"/>
        </w:rPr>
        <w:tab/>
        <w:t xml:space="preserve">est la </w:t>
      </w:r>
      <w:r w:rsidRPr="002C5876">
        <w:t xml:space="preserve">consommation de </w:t>
      </w:r>
      <w:r w:rsidRPr="002C5876">
        <w:rPr>
          <w:szCs w:val="24"/>
        </w:rPr>
        <w:t>carburant</w:t>
      </w:r>
      <w:r w:rsidRPr="002C5876">
        <w:rPr>
          <w:color w:val="000000"/>
          <w:szCs w:val="24"/>
        </w:rPr>
        <w:t xml:space="preserve"> pondérée en fonction des facteurs d’utilisation en mode épuisement de la charge pour</w:t>
      </w:r>
      <w:r w:rsidRPr="002C5876">
        <w:rPr>
          <w:szCs w:val="24"/>
        </w:rPr>
        <w:t xml:space="preserve"> le véhicule</w:t>
      </w:r>
      <w:r w:rsidRPr="002C5876">
        <w:rPr>
          <w:color w:val="000000"/>
          <w:szCs w:val="24"/>
        </w:rPr>
        <w:t xml:space="preserve"> H, en</w:t>
      </w:r>
      <w:r w:rsidRPr="002C5876">
        <w:rPr>
          <w:szCs w:val="24"/>
        </w:rPr>
        <w:t xml:space="preserve"> l/100 km ;</w:t>
      </w:r>
    </w:p>
    <w:p w:rsidR="00E24DB7" w:rsidRPr="002C5876" w:rsidRDefault="00E24DB7" w:rsidP="00E24DB7">
      <w:pPr>
        <w:pStyle w:val="SingleTxtG"/>
        <w:ind w:left="3402" w:hanging="1134"/>
        <w:rPr>
          <w:szCs w:val="24"/>
        </w:rPr>
      </w:pPr>
      <w:r w:rsidRPr="002C5876">
        <w:t>K</w:t>
      </w:r>
      <w:r w:rsidRPr="002C5876">
        <w:rPr>
          <w:vertAlign w:val="subscript"/>
        </w:rPr>
        <w:t>ind</w:t>
      </w:r>
      <w:r w:rsidRPr="002C5876">
        <w:tab/>
      </w:r>
      <w:r w:rsidRPr="002C5876">
        <w:rPr>
          <w:szCs w:val="24"/>
        </w:rPr>
        <w:t>est le coefficient d’interpolation pour le véhicule donné considéré pour le cycle d’essai WLTP applicable</w:t>
      </w:r>
      <w:r w:rsidRPr="002C5876">
        <w:t>.</w:t>
      </w:r>
    </w:p>
    <w:p w:rsidR="00E24DB7" w:rsidRPr="002C5876" w:rsidRDefault="00E24DB7" w:rsidP="00E24DB7">
      <w:pPr>
        <w:pStyle w:val="SingleTxtG"/>
        <w:ind w:left="2268" w:hanging="1134"/>
        <w:jc w:val="left"/>
        <w:rPr>
          <w:szCs w:val="24"/>
        </w:rPr>
      </w:pPr>
      <w:r w:rsidRPr="002C5876">
        <w:rPr>
          <w:szCs w:val="24"/>
        </w:rPr>
        <w:t>4.5.5.3</w:t>
      </w:r>
      <w:r w:rsidRPr="002C5876">
        <w:rPr>
          <w:szCs w:val="24"/>
        </w:rPr>
        <w:tab/>
      </w:r>
      <w:r w:rsidRPr="002C5876">
        <w:rPr>
          <w:szCs w:val="24"/>
        </w:rPr>
        <w:tab/>
        <w:t>Consommation de carburant</w:t>
      </w:r>
      <w:r w:rsidRPr="002C5876">
        <w:rPr>
          <w:color w:val="000000"/>
          <w:szCs w:val="24"/>
        </w:rPr>
        <w:t xml:space="preserve"> pondérée en fonction des facteurs d’utilisation pour</w:t>
      </w:r>
      <w:r w:rsidRPr="002C5876">
        <w:rPr>
          <w:szCs w:val="24"/>
        </w:rPr>
        <w:t xml:space="preserve"> les</w:t>
      </w:r>
      <w:r w:rsidRPr="002C5876">
        <w:rPr>
          <w:color w:val="000000"/>
          <w:szCs w:val="24"/>
        </w:rPr>
        <w:t xml:space="preserve"> VHE-RE individuels</w:t>
      </w:r>
    </w:p>
    <w:p w:rsidR="00E24DB7" w:rsidRPr="002C5876" w:rsidRDefault="00E24DB7" w:rsidP="00E24DB7">
      <w:pPr>
        <w:pStyle w:val="SingleTxtG"/>
        <w:ind w:left="2268"/>
        <w:rPr>
          <w:szCs w:val="24"/>
        </w:rPr>
      </w:pPr>
      <w:r w:rsidRPr="002C5876">
        <w:t xml:space="preserve">La consommation de </w:t>
      </w:r>
      <w:r w:rsidRPr="002C5876">
        <w:rPr>
          <w:szCs w:val="24"/>
        </w:rPr>
        <w:t>carburant</w:t>
      </w:r>
      <w:r w:rsidRPr="002C5876">
        <w:rPr>
          <w:color w:val="000000"/>
          <w:szCs w:val="24"/>
        </w:rPr>
        <w:t xml:space="preserve"> pondérée en fonction des facteurs d’utilisation pour</w:t>
      </w:r>
      <w:r w:rsidRPr="002C5876">
        <w:rPr>
          <w:szCs w:val="24"/>
        </w:rPr>
        <w:t xml:space="preserve"> un véhicule donné</w:t>
      </w:r>
      <w:r w:rsidRPr="002C5876">
        <w:rPr>
          <w:color w:val="000000"/>
          <w:szCs w:val="24"/>
        </w:rPr>
        <w:t xml:space="preserve"> doit être calculée au moyen de l’équation suivante </w:t>
      </w:r>
      <w:r w:rsidRPr="002C5876">
        <w:rPr>
          <w:szCs w:val="24"/>
        </w:rPr>
        <w:t>:</w:t>
      </w:r>
    </w:p>
    <w:p w:rsidR="00E24DB7" w:rsidRPr="002C5876" w:rsidRDefault="00731CA6" w:rsidP="00E24DB7">
      <w:pPr>
        <w:pStyle w:val="SingleTxtG"/>
        <w:ind w:left="2268"/>
        <w:jc w:val="center"/>
        <w:rPr>
          <w:szCs w:val="24"/>
        </w:rPr>
      </w:pPr>
      <m:oMathPara>
        <m:oMath>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ind,weighted</m:t>
              </m:r>
            </m:sub>
          </m:sSub>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L,weighted</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ind</m:t>
              </m:r>
            </m:sub>
          </m:sSub>
          <m:r>
            <m:rPr>
              <m:sty m:val="p"/>
            </m:rPr>
            <w:rPr>
              <w:rFonts w:ascii="Cambria Math" w:hAnsi="Cambria Math" w:cstheme="majorBidi"/>
            </w:rPr>
            <m:t>×</m:t>
          </m:r>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H,weighted</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L,weighted</m:t>
                  </m:r>
                </m:sub>
              </m:sSub>
            </m:e>
          </m:d>
        </m:oMath>
      </m:oMathPara>
    </w:p>
    <w:p w:rsidR="00E24DB7" w:rsidRPr="002C5876" w:rsidRDefault="00E24DB7" w:rsidP="00E24DB7">
      <w:pPr>
        <w:pStyle w:val="SingleTxtG"/>
        <w:ind w:left="3402" w:hanging="1134"/>
        <w:rPr>
          <w:szCs w:val="24"/>
        </w:rPr>
      </w:pPr>
      <w:r w:rsidRPr="002C5876">
        <w:rPr>
          <w:szCs w:val="24"/>
        </w:rPr>
        <w:t>où :</w:t>
      </w:r>
    </w:p>
    <w:p w:rsidR="00E24DB7" w:rsidRPr="002C5876" w:rsidRDefault="00E24DB7" w:rsidP="00E24DB7">
      <w:pPr>
        <w:pStyle w:val="SingleTxtG"/>
        <w:ind w:left="3402" w:hanging="1134"/>
        <w:rPr>
          <w:szCs w:val="24"/>
        </w:rPr>
      </w:pPr>
      <w:r w:rsidRPr="002C5876">
        <w:rPr>
          <w:szCs w:val="24"/>
        </w:rPr>
        <w:t>FC</w:t>
      </w:r>
      <w:r w:rsidRPr="002C5876">
        <w:rPr>
          <w:szCs w:val="24"/>
          <w:vertAlign w:val="subscript"/>
        </w:rPr>
        <w:t>ind,weighted</w:t>
      </w:r>
      <w:r w:rsidRPr="002C5876">
        <w:rPr>
          <w:szCs w:val="24"/>
        </w:rPr>
        <w:tab/>
        <w:t xml:space="preserve">est la </w:t>
      </w:r>
      <w:r w:rsidRPr="002C5876">
        <w:t xml:space="preserve">consommation de </w:t>
      </w:r>
      <w:r w:rsidRPr="002C5876">
        <w:rPr>
          <w:szCs w:val="24"/>
        </w:rPr>
        <w:t>carburant</w:t>
      </w:r>
      <w:r w:rsidRPr="002C5876">
        <w:rPr>
          <w:color w:val="000000"/>
          <w:szCs w:val="24"/>
        </w:rPr>
        <w:t xml:space="preserve"> pondérée en fonction des facteurs d’utilisation pour</w:t>
      </w:r>
      <w:r w:rsidRPr="002C5876">
        <w:rPr>
          <w:szCs w:val="24"/>
        </w:rPr>
        <w:t xml:space="preserve"> un véhicule donné</w:t>
      </w:r>
      <w:r w:rsidRPr="002C5876">
        <w:rPr>
          <w:color w:val="000000"/>
          <w:szCs w:val="24"/>
        </w:rPr>
        <w:t>, en</w:t>
      </w:r>
      <w:r w:rsidRPr="002C5876">
        <w:rPr>
          <w:szCs w:val="24"/>
        </w:rPr>
        <w:t xml:space="preserve"> l/100 km ;</w:t>
      </w:r>
    </w:p>
    <w:p w:rsidR="00E24DB7" w:rsidRPr="002C5876" w:rsidRDefault="00E24DB7" w:rsidP="00E24DB7">
      <w:pPr>
        <w:pStyle w:val="SingleTxtG"/>
        <w:ind w:left="3402" w:hanging="1134"/>
        <w:rPr>
          <w:szCs w:val="24"/>
        </w:rPr>
      </w:pPr>
      <w:r w:rsidRPr="002C5876">
        <w:rPr>
          <w:szCs w:val="24"/>
        </w:rPr>
        <w:t>FC</w:t>
      </w:r>
      <w:r w:rsidRPr="002C5876">
        <w:rPr>
          <w:szCs w:val="24"/>
          <w:vertAlign w:val="subscript"/>
        </w:rPr>
        <w:t>L,weighted</w:t>
      </w:r>
      <w:r w:rsidRPr="002C5876">
        <w:rPr>
          <w:szCs w:val="24"/>
        </w:rPr>
        <w:tab/>
        <w:t xml:space="preserve">est la </w:t>
      </w:r>
      <w:r w:rsidRPr="002C5876">
        <w:t xml:space="preserve">consommation de </w:t>
      </w:r>
      <w:r w:rsidRPr="002C5876">
        <w:rPr>
          <w:szCs w:val="24"/>
        </w:rPr>
        <w:t>carburant</w:t>
      </w:r>
      <w:r w:rsidRPr="002C5876">
        <w:rPr>
          <w:color w:val="000000"/>
          <w:szCs w:val="24"/>
        </w:rPr>
        <w:t xml:space="preserve"> pondérée en fonction des facteurs d’utilisation pour</w:t>
      </w:r>
      <w:r w:rsidRPr="002C5876">
        <w:rPr>
          <w:szCs w:val="24"/>
        </w:rPr>
        <w:t xml:space="preserve"> le véhicule</w:t>
      </w:r>
      <w:r w:rsidRPr="002C5876">
        <w:rPr>
          <w:color w:val="000000"/>
          <w:szCs w:val="24"/>
        </w:rPr>
        <w:t xml:space="preserve"> L, en</w:t>
      </w:r>
      <w:r w:rsidRPr="002C5876">
        <w:rPr>
          <w:szCs w:val="24"/>
        </w:rPr>
        <w:t xml:space="preserve"> l/100 km ;</w:t>
      </w:r>
    </w:p>
    <w:p w:rsidR="00E24DB7" w:rsidRPr="002C5876" w:rsidRDefault="00E24DB7" w:rsidP="00E24DB7">
      <w:pPr>
        <w:pStyle w:val="SingleTxtG"/>
        <w:ind w:left="3402" w:hanging="1134"/>
        <w:rPr>
          <w:szCs w:val="24"/>
        </w:rPr>
      </w:pPr>
      <w:r w:rsidRPr="002C5876">
        <w:rPr>
          <w:szCs w:val="24"/>
        </w:rPr>
        <w:t>FC</w:t>
      </w:r>
      <w:r w:rsidRPr="002C5876">
        <w:rPr>
          <w:szCs w:val="24"/>
          <w:vertAlign w:val="subscript"/>
        </w:rPr>
        <w:t>H,weighted</w:t>
      </w:r>
      <w:r w:rsidRPr="002C5876">
        <w:rPr>
          <w:szCs w:val="24"/>
        </w:rPr>
        <w:tab/>
        <w:t xml:space="preserve">est la </w:t>
      </w:r>
      <w:r w:rsidRPr="002C5876">
        <w:t xml:space="preserve">consommation de </w:t>
      </w:r>
      <w:r w:rsidRPr="002C5876">
        <w:rPr>
          <w:szCs w:val="24"/>
        </w:rPr>
        <w:t>carburant</w:t>
      </w:r>
      <w:r w:rsidRPr="002C5876">
        <w:rPr>
          <w:color w:val="000000"/>
          <w:szCs w:val="24"/>
        </w:rPr>
        <w:t xml:space="preserve"> pondérée en fonction des facteurs d’utilisation pour</w:t>
      </w:r>
      <w:r w:rsidRPr="002C5876">
        <w:rPr>
          <w:szCs w:val="24"/>
        </w:rPr>
        <w:t xml:space="preserve"> le véhicule</w:t>
      </w:r>
      <w:r w:rsidRPr="002C5876">
        <w:rPr>
          <w:color w:val="000000"/>
          <w:szCs w:val="24"/>
        </w:rPr>
        <w:t xml:space="preserve"> H, en</w:t>
      </w:r>
      <w:r w:rsidRPr="002C5876">
        <w:rPr>
          <w:szCs w:val="24"/>
        </w:rPr>
        <w:t xml:space="preserve"> l/100 km ;</w:t>
      </w:r>
    </w:p>
    <w:p w:rsidR="00E24DB7" w:rsidRPr="002C5876" w:rsidRDefault="00E24DB7" w:rsidP="00E24DB7">
      <w:pPr>
        <w:pStyle w:val="SingleTxtG"/>
        <w:ind w:left="3402" w:hanging="1134"/>
      </w:pPr>
      <w:r w:rsidRPr="002C5876">
        <w:t>K</w:t>
      </w:r>
      <w:r w:rsidRPr="002C5876">
        <w:rPr>
          <w:vertAlign w:val="subscript"/>
        </w:rPr>
        <w:t>ind</w:t>
      </w:r>
      <w:r w:rsidRPr="002C5876">
        <w:tab/>
      </w:r>
      <w:r w:rsidRPr="002C5876">
        <w:rPr>
          <w:szCs w:val="24"/>
        </w:rPr>
        <w:t>est le coefficient d’interpolation pour le véhicule donné considéré pour le cycle d’essai WLTP applicable</w:t>
      </w:r>
      <w:r w:rsidRPr="002C5876">
        <w:t>.</w:t>
      </w:r>
    </w:p>
    <w:p w:rsidR="00E24DB7" w:rsidRPr="002C5876" w:rsidRDefault="00E24DB7" w:rsidP="00E24DB7">
      <w:pPr>
        <w:pStyle w:val="SingleTxtG"/>
        <w:ind w:left="2268" w:hanging="1134"/>
        <w:jc w:val="left"/>
        <w:rPr>
          <w:szCs w:val="24"/>
        </w:rPr>
      </w:pPr>
      <w:r w:rsidRPr="002C5876">
        <w:rPr>
          <w:szCs w:val="24"/>
        </w:rPr>
        <w:t>4.5.6</w:t>
      </w:r>
      <w:r w:rsidRPr="002C5876">
        <w:rPr>
          <w:szCs w:val="24"/>
        </w:rPr>
        <w:tab/>
        <w:t xml:space="preserve">Interpolation de la consommation d’énergie électrique </w:t>
      </w:r>
      <w:r w:rsidRPr="002C5876">
        <w:rPr>
          <w:szCs w:val="24"/>
        </w:rPr>
        <w:br/>
        <w:t>pour les véhicules donnés</w:t>
      </w:r>
    </w:p>
    <w:p w:rsidR="00E24DB7" w:rsidRPr="002C5876" w:rsidRDefault="00E24DB7" w:rsidP="00E24DB7">
      <w:pPr>
        <w:pStyle w:val="SingleTxtG"/>
        <w:ind w:left="2268" w:hanging="1134"/>
        <w:jc w:val="left"/>
        <w:rPr>
          <w:szCs w:val="24"/>
        </w:rPr>
      </w:pPr>
      <w:r w:rsidRPr="002C5876">
        <w:rPr>
          <w:szCs w:val="24"/>
        </w:rPr>
        <w:t>4.5.6.1</w:t>
      </w:r>
      <w:r w:rsidRPr="002C5876">
        <w:rPr>
          <w:szCs w:val="24"/>
        </w:rPr>
        <w:tab/>
        <w:t xml:space="preserve">Consommation d’énergie électrique pondérée en fonction des facteurs d’utilisation en mode épuisement de la charge, basée sur l’énergie </w:t>
      </w:r>
      <w:r w:rsidRPr="002C5876">
        <w:rPr>
          <w:szCs w:val="24"/>
        </w:rPr>
        <w:br/>
        <w:t>électrique rechargée depuis le secteur, pour les VHE-RE individuels</w:t>
      </w:r>
    </w:p>
    <w:p w:rsidR="00E24DB7" w:rsidRPr="002C5876" w:rsidRDefault="00E24DB7" w:rsidP="00E24DB7">
      <w:pPr>
        <w:pStyle w:val="SingleTxtG"/>
        <w:ind w:left="2268"/>
        <w:rPr>
          <w:szCs w:val="24"/>
        </w:rPr>
      </w:pPr>
      <w:r w:rsidRPr="002C5876">
        <w:rPr>
          <w:szCs w:val="24"/>
        </w:rPr>
        <w:lastRenderedPageBreak/>
        <w:t xml:space="preserve">La consommation </w:t>
      </w:r>
      <w:r w:rsidRPr="002C5876">
        <w:rPr>
          <w:color w:val="000000"/>
          <w:szCs w:val="24"/>
        </w:rPr>
        <w:t>d’énergie électrique pondérée en fonction des facteurs d’utilisation en mode épuisement de la charge, basée sur l’énergie électrique rechargée depuis le secteur</w:t>
      </w:r>
      <w:r w:rsidRPr="002C5876">
        <w:rPr>
          <w:szCs w:val="24"/>
        </w:rPr>
        <w:t>, pour un véhicule donné, doit être calculée au moyen de l’équation suivante :</w:t>
      </w:r>
    </w:p>
    <w:p w:rsidR="00E24DB7" w:rsidRPr="002C5876" w:rsidRDefault="00731CA6" w:rsidP="00E24DB7">
      <w:pPr>
        <w:pStyle w:val="SingleTxtG"/>
        <w:ind w:left="2268"/>
        <w:jc w:val="center"/>
        <w:rPr>
          <w:szCs w:val="24"/>
        </w:rPr>
      </w:pPr>
      <m:oMathPara>
        <m:oMath>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AC-ind,CD</m:t>
              </m:r>
            </m:sub>
          </m:sSub>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AC-L,CD</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ind</m:t>
              </m:r>
            </m:sub>
          </m:sSub>
          <m:r>
            <m:rPr>
              <m:sty m:val="p"/>
            </m:rPr>
            <w:rPr>
              <w:rFonts w:ascii="Cambria Math" w:hAnsi="Cambria Math" w:cstheme="majorBidi"/>
            </w:rPr>
            <m:t>×</m:t>
          </m:r>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AC-H,CD</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AC-L,CD</m:t>
                  </m:r>
                </m:sub>
              </m:sSub>
            </m:e>
          </m:d>
        </m:oMath>
      </m:oMathPara>
    </w:p>
    <w:p w:rsidR="00E24DB7" w:rsidRPr="002C5876" w:rsidRDefault="00E24DB7" w:rsidP="00E24DB7">
      <w:pPr>
        <w:spacing w:after="120"/>
        <w:ind w:left="2268" w:right="1134"/>
        <w:jc w:val="both"/>
        <w:rPr>
          <w:szCs w:val="24"/>
        </w:rPr>
      </w:pPr>
      <w:r w:rsidRPr="002C5876">
        <w:rPr>
          <w:szCs w:val="24"/>
        </w:rPr>
        <w:t>où :</w:t>
      </w:r>
    </w:p>
    <w:p w:rsidR="00E24DB7" w:rsidRPr="002C5876" w:rsidRDefault="00E24DB7" w:rsidP="00E24DB7">
      <w:pPr>
        <w:pStyle w:val="SingleTxtG"/>
        <w:ind w:left="3402" w:hanging="1134"/>
        <w:rPr>
          <w:szCs w:val="24"/>
        </w:rPr>
      </w:pPr>
      <w:r w:rsidRPr="002C5876">
        <w:rPr>
          <w:szCs w:val="24"/>
        </w:rPr>
        <w:t>EC</w:t>
      </w:r>
      <w:r w:rsidRPr="002C5876">
        <w:rPr>
          <w:szCs w:val="24"/>
          <w:vertAlign w:val="subscript"/>
        </w:rPr>
        <w:t>AC-ind,CD</w:t>
      </w:r>
      <w:r w:rsidRPr="002C5876">
        <w:rPr>
          <w:szCs w:val="24"/>
        </w:rPr>
        <w:tab/>
        <w:t xml:space="preserve">est la consommation </w:t>
      </w:r>
      <w:r w:rsidRPr="002C5876">
        <w:rPr>
          <w:color w:val="000000"/>
          <w:szCs w:val="24"/>
        </w:rPr>
        <w:t>d’énergie électrique pondérée en fonction des facteurs d’utilisation en mode épuisement de la charge, basée sur l’énergie électrique rechargée depuis le secteur</w:t>
      </w:r>
      <w:r w:rsidRPr="002C5876">
        <w:rPr>
          <w:szCs w:val="24"/>
        </w:rPr>
        <w:t>, pour un véhicule donné, en Wh/km ;</w:t>
      </w:r>
    </w:p>
    <w:p w:rsidR="00E24DB7" w:rsidRPr="002C5876" w:rsidRDefault="00E24DB7" w:rsidP="00E24DB7">
      <w:pPr>
        <w:pStyle w:val="SingleTxtG"/>
        <w:ind w:left="3402" w:hanging="1134"/>
        <w:rPr>
          <w:szCs w:val="24"/>
        </w:rPr>
      </w:pPr>
      <w:r w:rsidRPr="002C5876">
        <w:rPr>
          <w:szCs w:val="24"/>
        </w:rPr>
        <w:t>EC</w:t>
      </w:r>
      <w:r w:rsidRPr="002C5876">
        <w:rPr>
          <w:szCs w:val="24"/>
          <w:vertAlign w:val="subscript"/>
        </w:rPr>
        <w:t>AC-L,CD</w:t>
      </w:r>
      <w:r w:rsidRPr="002C5876">
        <w:rPr>
          <w:szCs w:val="24"/>
        </w:rPr>
        <w:tab/>
        <w:t xml:space="preserve">est la consommation </w:t>
      </w:r>
      <w:r w:rsidRPr="002C5876">
        <w:rPr>
          <w:color w:val="000000"/>
          <w:szCs w:val="24"/>
        </w:rPr>
        <w:t>d’énergie électrique pondérée en fonction des facteurs d’utilisation en mode épuisement de la charge, basée sur l’énergie électrique rechargée depuis le secteur</w:t>
      </w:r>
      <w:r w:rsidRPr="002C5876">
        <w:rPr>
          <w:szCs w:val="24"/>
        </w:rPr>
        <w:t>, pour le véhicule L, en Wh/km ;</w:t>
      </w:r>
    </w:p>
    <w:p w:rsidR="00E24DB7" w:rsidRPr="002C5876" w:rsidRDefault="00E24DB7" w:rsidP="00E24DB7">
      <w:pPr>
        <w:pStyle w:val="SingleTxtG"/>
        <w:ind w:left="3402" w:hanging="1134"/>
        <w:rPr>
          <w:szCs w:val="24"/>
        </w:rPr>
      </w:pPr>
      <w:r w:rsidRPr="002C5876">
        <w:rPr>
          <w:szCs w:val="24"/>
        </w:rPr>
        <w:t>EC</w:t>
      </w:r>
      <w:r w:rsidRPr="002C5876">
        <w:rPr>
          <w:szCs w:val="24"/>
          <w:vertAlign w:val="subscript"/>
        </w:rPr>
        <w:t>AC-H,CD</w:t>
      </w:r>
      <w:r w:rsidRPr="002C5876">
        <w:rPr>
          <w:szCs w:val="24"/>
        </w:rPr>
        <w:tab/>
        <w:t xml:space="preserve">est la consommation </w:t>
      </w:r>
      <w:r w:rsidRPr="002C5876">
        <w:rPr>
          <w:color w:val="000000"/>
          <w:szCs w:val="24"/>
        </w:rPr>
        <w:t>d’énergie électrique pondérée en fonction des facteurs d’utilisation en mode épuisement de la charge, basée sur l’énergie électrique rechargée depuis le secteur</w:t>
      </w:r>
      <w:r w:rsidRPr="002C5876">
        <w:rPr>
          <w:szCs w:val="24"/>
        </w:rPr>
        <w:t>, pour le véhicule H, en Wh/km ;</w:t>
      </w:r>
    </w:p>
    <w:p w:rsidR="00E24DB7" w:rsidRPr="002C5876" w:rsidRDefault="00E24DB7" w:rsidP="00E24DB7">
      <w:pPr>
        <w:pStyle w:val="SingleTxtG"/>
        <w:ind w:left="3402" w:hanging="1134"/>
      </w:pPr>
      <w:r w:rsidRPr="002C5876">
        <w:t>K</w:t>
      </w:r>
      <w:r w:rsidRPr="002C5876">
        <w:rPr>
          <w:vertAlign w:val="subscript"/>
        </w:rPr>
        <w:t>ind</w:t>
      </w:r>
      <w:r w:rsidRPr="002C5876">
        <w:tab/>
      </w:r>
      <w:r w:rsidRPr="002C5876">
        <w:rPr>
          <w:szCs w:val="24"/>
        </w:rPr>
        <w:t>est le coefficient d’interpolation pour le véhicule donné considéré pour le cycle d’essai WLTP applicable</w:t>
      </w:r>
      <w:r w:rsidRPr="002C5876">
        <w:t>.</w:t>
      </w:r>
    </w:p>
    <w:p w:rsidR="00E24DB7" w:rsidRPr="002C5876" w:rsidRDefault="00E24DB7" w:rsidP="00E24DB7">
      <w:pPr>
        <w:pStyle w:val="SingleTxtG"/>
        <w:ind w:left="2268" w:hanging="1134"/>
        <w:jc w:val="left"/>
        <w:rPr>
          <w:szCs w:val="24"/>
        </w:rPr>
      </w:pPr>
      <w:r w:rsidRPr="002C5876">
        <w:rPr>
          <w:szCs w:val="24"/>
        </w:rPr>
        <w:t>4.5.6.2</w:t>
      </w:r>
      <w:r w:rsidRPr="002C5876">
        <w:rPr>
          <w:szCs w:val="24"/>
        </w:rPr>
        <w:tab/>
      </w:r>
      <w:r w:rsidRPr="002C5876">
        <w:rPr>
          <w:color w:val="000000"/>
          <w:szCs w:val="24"/>
        </w:rPr>
        <w:t>Consommation d’énergie électrique pondérée en fonction des facteurs d’utilisation, basée sur l’énergie électrique rechargée depuis le secteur</w:t>
      </w:r>
      <w:r w:rsidRPr="002C5876">
        <w:rPr>
          <w:szCs w:val="24"/>
        </w:rPr>
        <w:t>, pour les VHE-RE individuels</w:t>
      </w:r>
    </w:p>
    <w:p w:rsidR="00E24DB7" w:rsidRPr="002C5876" w:rsidRDefault="00E24DB7" w:rsidP="00E24DB7">
      <w:pPr>
        <w:pStyle w:val="SingleTxtG"/>
        <w:ind w:left="2268"/>
        <w:rPr>
          <w:szCs w:val="24"/>
        </w:rPr>
      </w:pPr>
      <w:r w:rsidRPr="002C5876">
        <w:rPr>
          <w:szCs w:val="24"/>
        </w:rPr>
        <w:t xml:space="preserve">La consommation </w:t>
      </w:r>
      <w:r w:rsidRPr="002C5876">
        <w:rPr>
          <w:color w:val="000000"/>
          <w:szCs w:val="24"/>
        </w:rPr>
        <w:t>d’énergie électrique pondérée en fonction des facteurs d’utilisation, basée sur l’énergie électrique rechargée depuis le secteur</w:t>
      </w:r>
      <w:r w:rsidRPr="002C5876">
        <w:rPr>
          <w:szCs w:val="24"/>
        </w:rPr>
        <w:t>, pour un véhicule donné, doit être calculée au moyen de l’équation suivante :</w:t>
      </w:r>
    </w:p>
    <w:p w:rsidR="00E24DB7" w:rsidRPr="002C5876" w:rsidRDefault="00731CA6" w:rsidP="00E24DB7">
      <w:pPr>
        <w:pStyle w:val="SingleTxtG"/>
        <w:spacing w:after="240"/>
        <w:ind w:left="1701"/>
        <w:jc w:val="center"/>
        <w:rPr>
          <w:szCs w:val="24"/>
        </w:rPr>
      </w:pPr>
      <m:oMathPara>
        <m:oMathParaPr>
          <m:jc m:val="right"/>
        </m:oMathParaPr>
        <m:oMath>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AC-ind,weighted</m:t>
              </m:r>
            </m:sub>
          </m:sSub>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AC-L,weighted</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ind</m:t>
              </m:r>
            </m:sub>
          </m:sSub>
          <m:r>
            <m:rPr>
              <m:sty m:val="p"/>
            </m:rPr>
            <w:rPr>
              <w:rFonts w:ascii="Cambria Math" w:hAnsi="Cambria Math" w:cstheme="majorBidi"/>
            </w:rPr>
            <m:t>×</m:t>
          </m:r>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AC-H,weighted</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AC-L,weighted</m:t>
                  </m:r>
                </m:sub>
              </m:sSub>
            </m:e>
          </m:d>
        </m:oMath>
      </m:oMathPara>
    </w:p>
    <w:p w:rsidR="00E24DB7" w:rsidRPr="002C5876" w:rsidRDefault="00E24DB7" w:rsidP="00E24DB7">
      <w:pPr>
        <w:pStyle w:val="SingleTxtG"/>
        <w:ind w:left="2268"/>
        <w:rPr>
          <w:szCs w:val="24"/>
        </w:rPr>
      </w:pPr>
      <w:r w:rsidRPr="002C5876">
        <w:rPr>
          <w:szCs w:val="24"/>
        </w:rPr>
        <w:t>où :</w:t>
      </w:r>
    </w:p>
    <w:p w:rsidR="00E24DB7" w:rsidRPr="002C5876" w:rsidRDefault="00E24DB7" w:rsidP="00E24DB7">
      <w:pPr>
        <w:pStyle w:val="SingleTxtG"/>
        <w:ind w:left="3515" w:hanging="1247"/>
        <w:rPr>
          <w:szCs w:val="24"/>
        </w:rPr>
      </w:pPr>
      <w:r w:rsidRPr="002C5876">
        <w:rPr>
          <w:szCs w:val="24"/>
        </w:rPr>
        <w:t>EC</w:t>
      </w:r>
      <w:r w:rsidRPr="002C5876">
        <w:rPr>
          <w:szCs w:val="24"/>
          <w:vertAlign w:val="subscript"/>
        </w:rPr>
        <w:t>AC-ind,weighted</w:t>
      </w:r>
      <w:r w:rsidRPr="002C5876">
        <w:rPr>
          <w:szCs w:val="24"/>
        </w:rPr>
        <w:tab/>
        <w:t xml:space="preserve">est la consommation </w:t>
      </w:r>
      <w:r w:rsidRPr="002C5876">
        <w:rPr>
          <w:color w:val="000000"/>
          <w:szCs w:val="24"/>
        </w:rPr>
        <w:t>d’énergie électrique pondérée en fonction des facteurs d’utilisation, basée sur l’énergie électrique rechargée depuis le secteur</w:t>
      </w:r>
      <w:r w:rsidRPr="002C5876">
        <w:rPr>
          <w:szCs w:val="24"/>
        </w:rPr>
        <w:t>, pour un véhicule donné, en Wh/km ;</w:t>
      </w:r>
    </w:p>
    <w:p w:rsidR="00E24DB7" w:rsidRPr="002C5876" w:rsidRDefault="00E24DB7" w:rsidP="00E24DB7">
      <w:pPr>
        <w:pStyle w:val="SingleTxtG"/>
        <w:ind w:left="3515" w:hanging="1247"/>
        <w:rPr>
          <w:szCs w:val="24"/>
        </w:rPr>
      </w:pPr>
      <w:r w:rsidRPr="002C5876">
        <w:rPr>
          <w:szCs w:val="24"/>
        </w:rPr>
        <w:t>EC</w:t>
      </w:r>
      <w:r w:rsidRPr="002C5876">
        <w:rPr>
          <w:szCs w:val="24"/>
          <w:vertAlign w:val="subscript"/>
        </w:rPr>
        <w:t>AC-L,weighted</w:t>
      </w:r>
      <w:r w:rsidRPr="002C5876">
        <w:rPr>
          <w:szCs w:val="24"/>
        </w:rPr>
        <w:tab/>
        <w:t xml:space="preserve">est la consommation </w:t>
      </w:r>
      <w:r w:rsidRPr="002C5876">
        <w:rPr>
          <w:color w:val="000000"/>
          <w:szCs w:val="24"/>
        </w:rPr>
        <w:t>d’énergie électrique pondérée en fonction des facteurs d’utilisation, basée sur l’énergie électrique rechargée depuis le secteur</w:t>
      </w:r>
      <w:r w:rsidRPr="002C5876">
        <w:rPr>
          <w:szCs w:val="24"/>
        </w:rPr>
        <w:t>, pour le véhicule L, en Wh/km ;</w:t>
      </w:r>
    </w:p>
    <w:p w:rsidR="00E24DB7" w:rsidRPr="002C5876" w:rsidRDefault="00E24DB7" w:rsidP="00E24DB7">
      <w:pPr>
        <w:pStyle w:val="SingleTxtG"/>
        <w:ind w:left="3515" w:hanging="1247"/>
        <w:rPr>
          <w:szCs w:val="24"/>
        </w:rPr>
      </w:pPr>
      <w:r w:rsidRPr="002C5876">
        <w:rPr>
          <w:szCs w:val="24"/>
        </w:rPr>
        <w:t>EC</w:t>
      </w:r>
      <w:r w:rsidRPr="002C5876">
        <w:rPr>
          <w:szCs w:val="24"/>
          <w:vertAlign w:val="subscript"/>
        </w:rPr>
        <w:t>AC-H,weighted</w:t>
      </w:r>
      <w:r w:rsidRPr="002C5876">
        <w:rPr>
          <w:szCs w:val="24"/>
        </w:rPr>
        <w:tab/>
        <w:t xml:space="preserve">est la consommation </w:t>
      </w:r>
      <w:r w:rsidRPr="002C5876">
        <w:rPr>
          <w:color w:val="000000"/>
          <w:szCs w:val="24"/>
        </w:rPr>
        <w:t>d’énergie électrique pondérée en fonction des facteurs d’utilisation, basée sur l’énergie électrique rechargée depuis le secteur</w:t>
      </w:r>
      <w:r w:rsidRPr="002C5876">
        <w:rPr>
          <w:szCs w:val="24"/>
        </w:rPr>
        <w:t>, pour le véhicule H, en Wh/km ;</w:t>
      </w:r>
    </w:p>
    <w:p w:rsidR="00E24DB7" w:rsidRPr="002C5876" w:rsidRDefault="00E24DB7" w:rsidP="00E24DB7">
      <w:pPr>
        <w:pStyle w:val="SingleTxtG"/>
        <w:ind w:left="3515" w:hanging="1247"/>
      </w:pPr>
      <w:r w:rsidRPr="002C5876">
        <w:t>K</w:t>
      </w:r>
      <w:r w:rsidRPr="002C5876">
        <w:rPr>
          <w:vertAlign w:val="subscript"/>
        </w:rPr>
        <w:t>ind</w:t>
      </w:r>
      <w:r w:rsidRPr="002C5876">
        <w:tab/>
      </w:r>
      <w:r w:rsidRPr="002C5876">
        <w:rPr>
          <w:szCs w:val="24"/>
        </w:rPr>
        <w:t>est le coefficient d’interpolation pour le véhicule donné considéré pour le cycle d’essai WLTP applicable</w:t>
      </w:r>
      <w:r w:rsidRPr="002C5876">
        <w:t>.</w:t>
      </w:r>
    </w:p>
    <w:p w:rsidR="00E24DB7" w:rsidRPr="002C5876" w:rsidRDefault="00E24DB7" w:rsidP="00E24DB7">
      <w:pPr>
        <w:pStyle w:val="SingleTxtG"/>
        <w:ind w:left="2268" w:hanging="1134"/>
        <w:jc w:val="left"/>
        <w:rPr>
          <w:szCs w:val="24"/>
        </w:rPr>
      </w:pPr>
      <w:r w:rsidRPr="002C5876">
        <w:rPr>
          <w:szCs w:val="24"/>
        </w:rPr>
        <w:t>4.5.6.3</w:t>
      </w:r>
      <w:r w:rsidRPr="002C5876">
        <w:rPr>
          <w:szCs w:val="24"/>
        </w:rPr>
        <w:tab/>
        <w:t>Consommation d’énergie électrique des VHE-RE et des VEP individuels</w:t>
      </w:r>
    </w:p>
    <w:p w:rsidR="00E24DB7" w:rsidRPr="002C5876" w:rsidRDefault="00E24DB7" w:rsidP="00E24DB7">
      <w:pPr>
        <w:pStyle w:val="SingleTxtG"/>
        <w:ind w:left="2268"/>
        <w:rPr>
          <w:szCs w:val="24"/>
        </w:rPr>
      </w:pPr>
      <w:r w:rsidRPr="002C5876">
        <w:rPr>
          <w:szCs w:val="24"/>
        </w:rPr>
        <w:t>La consommation d’énergie électrique d’un véhicule donné conformément au paragraphe 4.3.3 de la présente annexe</w:t>
      </w:r>
      <w:r w:rsidRPr="002C5876" w:rsidDel="00A5601C">
        <w:rPr>
          <w:szCs w:val="24"/>
        </w:rPr>
        <w:t xml:space="preserve"> </w:t>
      </w:r>
      <w:r w:rsidRPr="002C5876">
        <w:rPr>
          <w:szCs w:val="24"/>
        </w:rPr>
        <w:t>dans le cas des VHE-RE, ou conformément au paragraphe 4.3.4 de la présente annexe dans le cas des VEP, doit être calculée au moyen de l’équation suivante :</w:t>
      </w:r>
    </w:p>
    <w:p w:rsidR="00E24DB7" w:rsidRPr="002C5876" w:rsidRDefault="00731CA6" w:rsidP="00E24DB7">
      <w:pPr>
        <w:pStyle w:val="SingleTxtG"/>
        <w:spacing w:after="240"/>
        <w:ind w:left="2268"/>
        <w:jc w:val="center"/>
        <w:rPr>
          <w:szCs w:val="24"/>
        </w:rPr>
      </w:pPr>
      <m:oMathPara>
        <m:oMath>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ind,p</m:t>
              </m:r>
            </m:sub>
          </m:sSub>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L,p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ind,p</m:t>
              </m:r>
            </m:sub>
          </m:sSub>
          <m:r>
            <m:rPr>
              <m:sty m:val="p"/>
            </m:rPr>
            <w:rPr>
              <w:rFonts w:ascii="Cambria Math" w:hAnsi="Cambria Math" w:cstheme="majorBidi"/>
            </w:rPr>
            <m:t>×</m:t>
          </m:r>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H,p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L,p</m:t>
                  </m:r>
                </m:sub>
              </m:sSub>
            </m:e>
          </m:d>
        </m:oMath>
      </m:oMathPara>
    </w:p>
    <w:p w:rsidR="00E24DB7" w:rsidRPr="002C5876" w:rsidRDefault="00E24DB7" w:rsidP="00E24DB7">
      <w:pPr>
        <w:pStyle w:val="SingleTxtG"/>
        <w:ind w:left="2268"/>
        <w:rPr>
          <w:szCs w:val="24"/>
        </w:rPr>
      </w:pPr>
      <w:r w:rsidRPr="002C5876">
        <w:rPr>
          <w:szCs w:val="24"/>
        </w:rPr>
        <w:t>où :</w:t>
      </w:r>
    </w:p>
    <w:p w:rsidR="00E24DB7" w:rsidRPr="002C5876" w:rsidRDefault="00E24DB7" w:rsidP="00E24DB7">
      <w:pPr>
        <w:pStyle w:val="SingleTxtG"/>
        <w:ind w:left="3402" w:hanging="1134"/>
        <w:rPr>
          <w:szCs w:val="24"/>
        </w:rPr>
      </w:pPr>
      <w:r w:rsidRPr="002C5876">
        <w:rPr>
          <w:szCs w:val="24"/>
        </w:rPr>
        <w:lastRenderedPageBreak/>
        <w:t>EC</w:t>
      </w:r>
      <w:r w:rsidRPr="002C5876">
        <w:rPr>
          <w:szCs w:val="24"/>
          <w:vertAlign w:val="subscript"/>
        </w:rPr>
        <w:t>ind,p</w:t>
      </w:r>
      <w:r w:rsidRPr="002C5876">
        <w:rPr>
          <w:szCs w:val="24"/>
        </w:rPr>
        <w:tab/>
      </w:r>
      <w:r w:rsidRPr="002C5876">
        <w:rPr>
          <w:szCs w:val="24"/>
        </w:rPr>
        <w:tab/>
        <w:t>est la consommation d’énergie électrique d’un véhicule donné sur la période p considérée, en Wh/km ;</w:t>
      </w:r>
    </w:p>
    <w:p w:rsidR="00E24DB7" w:rsidRPr="002C5876" w:rsidRDefault="00E24DB7" w:rsidP="00E24DB7">
      <w:pPr>
        <w:pStyle w:val="SingleTxtG"/>
        <w:ind w:left="3402" w:hanging="1134"/>
        <w:rPr>
          <w:szCs w:val="24"/>
        </w:rPr>
      </w:pPr>
      <w:r w:rsidRPr="002C5876">
        <w:rPr>
          <w:szCs w:val="24"/>
        </w:rPr>
        <w:t>EC</w:t>
      </w:r>
      <w:r w:rsidRPr="002C5876">
        <w:rPr>
          <w:szCs w:val="24"/>
          <w:vertAlign w:val="subscript"/>
        </w:rPr>
        <w:t>L,p</w:t>
      </w:r>
      <w:r w:rsidRPr="002C5876">
        <w:rPr>
          <w:szCs w:val="24"/>
        </w:rPr>
        <w:tab/>
      </w:r>
      <w:r w:rsidRPr="002C5876">
        <w:rPr>
          <w:szCs w:val="24"/>
        </w:rPr>
        <w:tab/>
        <w:t>est la consommation d’énergie électrique du véhicule L sur la période p considérée, en Wh/km ;</w:t>
      </w:r>
    </w:p>
    <w:p w:rsidR="00E24DB7" w:rsidRPr="002C5876" w:rsidRDefault="00E24DB7" w:rsidP="00E24DB7">
      <w:pPr>
        <w:pStyle w:val="SingleTxtG"/>
        <w:ind w:left="3402" w:hanging="1134"/>
        <w:rPr>
          <w:szCs w:val="24"/>
        </w:rPr>
      </w:pPr>
      <w:r w:rsidRPr="002C5876">
        <w:rPr>
          <w:szCs w:val="24"/>
        </w:rPr>
        <w:t>EC</w:t>
      </w:r>
      <w:r w:rsidRPr="002C5876">
        <w:rPr>
          <w:szCs w:val="24"/>
          <w:vertAlign w:val="subscript"/>
        </w:rPr>
        <w:t>H,p</w:t>
      </w:r>
      <w:r w:rsidRPr="002C5876">
        <w:rPr>
          <w:szCs w:val="24"/>
        </w:rPr>
        <w:tab/>
      </w:r>
      <w:r w:rsidRPr="002C5876">
        <w:rPr>
          <w:szCs w:val="24"/>
        </w:rPr>
        <w:tab/>
        <w:t>est la consommation d’énergie électrique du véhicule H sur la période p considérée, en Wh/km ;</w:t>
      </w:r>
    </w:p>
    <w:p w:rsidR="00E24DB7" w:rsidRPr="002C5876" w:rsidRDefault="00E24DB7" w:rsidP="00E24DB7">
      <w:pPr>
        <w:pStyle w:val="SingleTxtG"/>
        <w:ind w:left="3402" w:hanging="1134"/>
        <w:rPr>
          <w:szCs w:val="24"/>
        </w:rPr>
      </w:pPr>
      <w:r w:rsidRPr="002C5876">
        <w:t>K</w:t>
      </w:r>
      <w:r w:rsidRPr="002C5876">
        <w:rPr>
          <w:vertAlign w:val="subscript"/>
        </w:rPr>
        <w:t>ind,p</w:t>
      </w:r>
      <w:r w:rsidRPr="002C5876">
        <w:rPr>
          <w:szCs w:val="24"/>
        </w:rPr>
        <w:tab/>
        <w:t xml:space="preserve">est le coefficient d’interpolation pour le véhicule donné considéré sur la </w:t>
      </w:r>
      <w:r w:rsidRPr="002C5876">
        <w:t>période p</w:t>
      </w:r>
      <w:r w:rsidRPr="002C5876">
        <w:rPr>
          <w:szCs w:val="24"/>
        </w:rPr>
        <w:t> ;</w:t>
      </w:r>
    </w:p>
    <w:p w:rsidR="00E24DB7" w:rsidRPr="002C5876" w:rsidRDefault="00E24DB7" w:rsidP="00E24DB7">
      <w:pPr>
        <w:pStyle w:val="SingleTxtG"/>
        <w:ind w:left="3402" w:hanging="1134"/>
        <w:rPr>
          <w:b/>
        </w:rPr>
      </w:pPr>
      <w:r w:rsidRPr="002C5876">
        <w:rPr>
          <w:szCs w:val="24"/>
        </w:rPr>
        <w:t>p</w:t>
      </w:r>
      <w:r w:rsidRPr="002C5876">
        <w:rPr>
          <w:szCs w:val="24"/>
        </w:rPr>
        <w:tab/>
        <w:t>est le numéro d’ordre de la période considérée du cycle d’essai applicable.</w:t>
      </w:r>
    </w:p>
    <w:p w:rsidR="00E24DB7" w:rsidRPr="002C5876" w:rsidRDefault="00E24DB7" w:rsidP="00E24DB7">
      <w:pPr>
        <w:pStyle w:val="SingleTxtG"/>
        <w:ind w:left="2268"/>
      </w:pPr>
      <w:r w:rsidRPr="002C5876">
        <w:rPr>
          <w:szCs w:val="24"/>
        </w:rPr>
        <w:t>Les périodes considérées sont les suivantes : phase basse (low), phase moyenne (medium), phase haute (high) et phase extra-haute (extra high), et le cycle d’essai WLTP applicable. Dans le cas où une Partie contractante demande que la phase extra-haute soit exclue, celle-ci doit être omise</w:t>
      </w:r>
      <w:r w:rsidRPr="002C5876">
        <w:t>.</w:t>
      </w:r>
    </w:p>
    <w:p w:rsidR="00E24DB7" w:rsidRPr="002C5876" w:rsidRDefault="00E24DB7" w:rsidP="00E24DB7">
      <w:pPr>
        <w:pStyle w:val="SingleTxtG"/>
        <w:keepNext/>
        <w:keepLines/>
        <w:ind w:left="2268" w:hanging="1134"/>
        <w:jc w:val="left"/>
        <w:rPr>
          <w:szCs w:val="24"/>
        </w:rPr>
      </w:pPr>
      <w:r w:rsidRPr="002C5876">
        <w:rPr>
          <w:szCs w:val="24"/>
        </w:rPr>
        <w:t>4.5.7</w:t>
      </w:r>
      <w:r w:rsidRPr="002C5876">
        <w:rPr>
          <w:szCs w:val="24"/>
        </w:rPr>
        <w:tab/>
        <w:t>Interpolation d’autonomies électriques pour les véhicules donnés</w:t>
      </w:r>
    </w:p>
    <w:p w:rsidR="00E24DB7" w:rsidRPr="002C5876" w:rsidRDefault="00E24DB7" w:rsidP="00643982">
      <w:pPr>
        <w:pStyle w:val="SingleTxtG"/>
        <w:keepNext/>
        <w:keepLines/>
        <w:ind w:left="2268" w:hanging="1134"/>
        <w:jc w:val="left"/>
        <w:rPr>
          <w:szCs w:val="24"/>
        </w:rPr>
      </w:pPr>
      <w:r w:rsidRPr="002C5876">
        <w:rPr>
          <w:szCs w:val="24"/>
        </w:rPr>
        <w:t>4.5.7.1</w:t>
      </w:r>
      <w:r w:rsidRPr="002C5876">
        <w:rPr>
          <w:szCs w:val="24"/>
        </w:rPr>
        <w:tab/>
        <w:t>Autonomie électrique pour les VHE-RE individuels</w:t>
      </w:r>
    </w:p>
    <w:p w:rsidR="00E24DB7" w:rsidRPr="002C5876" w:rsidRDefault="00E24DB7" w:rsidP="00E24DB7">
      <w:pPr>
        <w:pStyle w:val="SingleTxtG"/>
        <w:ind w:left="2268"/>
      </w:pPr>
      <w:r w:rsidRPr="002C5876">
        <w:t>S’il est satisfait au critère suivant :</w:t>
      </w:r>
    </w:p>
    <w:p w:rsidR="00E24DB7" w:rsidRPr="002C5876" w:rsidRDefault="00731CA6" w:rsidP="00E24DB7">
      <w:pPr>
        <w:spacing w:after="240"/>
        <w:ind w:left="2268" w:right="1134"/>
        <w:jc w:val="center"/>
      </w:pPr>
      <m:oMathPara>
        <m:oMath>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AER</m:t>
                      </m:r>
                    </m:e>
                    <m:sub>
                      <m:r>
                        <m:rPr>
                          <m:sty m:val="p"/>
                        </m:rPr>
                        <w:rPr>
                          <w:rFonts w:ascii="Cambria Math" w:hAnsi="Cambria Math"/>
                        </w:rPr>
                        <m:t>L</m:t>
                      </m:r>
                    </m:sub>
                  </m:sSub>
                </m:num>
                <m:den>
                  <m:sSub>
                    <m:sSubPr>
                      <m:ctrlPr>
                        <w:rPr>
                          <w:rFonts w:ascii="Cambria Math" w:hAnsi="Cambria Math"/>
                        </w:rPr>
                      </m:ctrlPr>
                    </m:sSubPr>
                    <m:e>
                      <m:r>
                        <m:rPr>
                          <m:sty m:val="p"/>
                        </m:rPr>
                        <w:rPr>
                          <w:rFonts w:ascii="Cambria Math" w:hAnsi="Cambria Math"/>
                        </w:rPr>
                        <m:t>R</m:t>
                      </m:r>
                    </m:e>
                    <m:sub>
                      <m:r>
                        <m:rPr>
                          <m:sty m:val="p"/>
                        </m:rPr>
                        <w:rPr>
                          <w:rFonts w:ascii="Cambria Math" w:hAnsi="Cambria Math"/>
                        </w:rPr>
                        <m:t>CDA,L</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AER</m:t>
                      </m:r>
                    </m:e>
                    <m:sub>
                      <m:r>
                        <m:rPr>
                          <m:sty m:val="p"/>
                        </m:rPr>
                        <w:rPr>
                          <w:rFonts w:ascii="Cambria Math" w:hAnsi="Cambria Math"/>
                        </w:rPr>
                        <m:t>H</m:t>
                      </m:r>
                    </m:sub>
                  </m:sSub>
                </m:num>
                <m:den>
                  <m:sSub>
                    <m:sSubPr>
                      <m:ctrlPr>
                        <w:rPr>
                          <w:rFonts w:ascii="Cambria Math" w:hAnsi="Cambria Math"/>
                        </w:rPr>
                      </m:ctrlPr>
                    </m:sSubPr>
                    <m:e>
                      <m:r>
                        <m:rPr>
                          <m:sty m:val="p"/>
                        </m:rPr>
                        <w:rPr>
                          <w:rFonts w:ascii="Cambria Math" w:hAnsi="Cambria Math"/>
                        </w:rPr>
                        <m:t>R</m:t>
                      </m:r>
                    </m:e>
                    <m:sub>
                      <m:r>
                        <m:rPr>
                          <m:sty m:val="p"/>
                        </m:rPr>
                        <w:rPr>
                          <w:rFonts w:ascii="Cambria Math" w:hAnsi="Cambria Math"/>
                        </w:rPr>
                        <m:t>CDA,H</m:t>
                      </m:r>
                    </m:sub>
                  </m:sSub>
                </m:den>
              </m:f>
            </m:e>
          </m:d>
          <m:r>
            <m:rPr>
              <m:sty m:val="p"/>
            </m:rPr>
            <w:rPr>
              <w:rFonts w:ascii="Cambria Math" w:hAnsi="Cambria Math"/>
            </w:rPr>
            <m:t>≤0</m:t>
          </m:r>
          <m:r>
            <m:rPr>
              <m:nor/>
            </m:rPr>
            <m:t>,</m:t>
          </m:r>
          <m:r>
            <m:rPr>
              <m:sty m:val="p"/>
            </m:rPr>
            <w:rPr>
              <w:rFonts w:ascii="Cambria Math" w:hAnsi="Cambria Math"/>
            </w:rPr>
            <m:t>1</m:t>
          </m:r>
        </m:oMath>
      </m:oMathPara>
    </w:p>
    <w:p w:rsidR="00E24DB7" w:rsidRPr="002C5876" w:rsidRDefault="00E24DB7" w:rsidP="00E24DB7">
      <w:pPr>
        <w:pStyle w:val="SingleTxtG"/>
        <w:ind w:left="2268"/>
      </w:pPr>
      <w:r w:rsidRPr="002C5876">
        <w:t>où :</w:t>
      </w:r>
    </w:p>
    <w:p w:rsidR="00E24DB7" w:rsidRPr="002C5876" w:rsidRDefault="00E24DB7" w:rsidP="00E24DB7">
      <w:pPr>
        <w:pStyle w:val="SingleTxtG"/>
        <w:ind w:left="3402" w:hanging="1134"/>
        <w:rPr>
          <w:szCs w:val="24"/>
        </w:rPr>
      </w:pPr>
      <w:r w:rsidRPr="002C5876">
        <w:rPr>
          <w:szCs w:val="24"/>
        </w:rPr>
        <w:t>AER</w:t>
      </w:r>
      <w:r w:rsidRPr="002C5876">
        <w:rPr>
          <w:szCs w:val="24"/>
          <w:vertAlign w:val="subscript"/>
        </w:rPr>
        <w:t>L</w:t>
      </w:r>
      <w:r w:rsidRPr="002C5876">
        <w:rPr>
          <w:szCs w:val="24"/>
        </w:rPr>
        <w:tab/>
        <w:t>est l’autonomie en mode électrique du véhicule L pour le cycle d’essai WLTP applicable, en km ;</w:t>
      </w:r>
    </w:p>
    <w:p w:rsidR="00E24DB7" w:rsidRPr="002C5876" w:rsidRDefault="00E24DB7" w:rsidP="00E24DB7">
      <w:pPr>
        <w:pStyle w:val="SingleTxtG"/>
        <w:ind w:left="3402" w:hanging="1134"/>
        <w:rPr>
          <w:szCs w:val="24"/>
        </w:rPr>
      </w:pPr>
      <w:r w:rsidRPr="002C5876">
        <w:rPr>
          <w:szCs w:val="24"/>
        </w:rPr>
        <w:t>AER</w:t>
      </w:r>
      <w:r w:rsidRPr="002C5876">
        <w:rPr>
          <w:szCs w:val="24"/>
          <w:vertAlign w:val="subscript"/>
        </w:rPr>
        <w:t>H</w:t>
      </w:r>
      <w:r w:rsidRPr="002C5876">
        <w:rPr>
          <w:szCs w:val="24"/>
        </w:rPr>
        <w:tab/>
        <w:t>est l’autonomie en mode électrique du véhicule H pour le cycle d’essai WLTP applicable, en km ;</w:t>
      </w:r>
    </w:p>
    <w:p w:rsidR="00E24DB7" w:rsidRPr="002C5876" w:rsidRDefault="00E24DB7" w:rsidP="00E24DB7">
      <w:pPr>
        <w:pStyle w:val="SingleTxtG"/>
        <w:ind w:left="3402" w:hanging="1134"/>
        <w:rPr>
          <w:szCs w:val="24"/>
        </w:rPr>
      </w:pPr>
      <w:r w:rsidRPr="002C5876">
        <w:rPr>
          <w:szCs w:val="24"/>
        </w:rPr>
        <w:t>R</w:t>
      </w:r>
      <w:r w:rsidRPr="002C5876">
        <w:rPr>
          <w:szCs w:val="24"/>
          <w:vertAlign w:val="subscript"/>
        </w:rPr>
        <w:t>CDA,L</w:t>
      </w:r>
      <w:r w:rsidRPr="002C5876">
        <w:rPr>
          <w:szCs w:val="24"/>
        </w:rPr>
        <w:tab/>
        <w:t>est l’autonomie réelle en mode épuisement de la charge du véhicule L, en km ;</w:t>
      </w:r>
    </w:p>
    <w:p w:rsidR="00E24DB7" w:rsidRPr="002C5876" w:rsidRDefault="00E24DB7" w:rsidP="00E24DB7">
      <w:pPr>
        <w:pStyle w:val="SingleTxtG"/>
        <w:ind w:left="3402" w:hanging="1134"/>
        <w:rPr>
          <w:szCs w:val="24"/>
        </w:rPr>
      </w:pPr>
      <w:r w:rsidRPr="002C5876">
        <w:rPr>
          <w:szCs w:val="24"/>
        </w:rPr>
        <w:t>R</w:t>
      </w:r>
      <w:r w:rsidRPr="002C5876">
        <w:rPr>
          <w:szCs w:val="24"/>
          <w:vertAlign w:val="subscript"/>
        </w:rPr>
        <w:t>CDA,H</w:t>
      </w:r>
      <w:r w:rsidRPr="002C5876">
        <w:rPr>
          <w:szCs w:val="24"/>
        </w:rPr>
        <w:tab/>
        <w:t>est l’autonomie réelle en mode épuisement de la charge du véhicule H, en km ;</w:t>
      </w:r>
    </w:p>
    <w:p w:rsidR="00E24DB7" w:rsidRPr="002C5876" w:rsidRDefault="00E24DB7" w:rsidP="00E24DB7">
      <w:pPr>
        <w:pStyle w:val="SingleTxtG"/>
        <w:ind w:left="2268"/>
      </w:pPr>
      <w:r w:rsidRPr="002C5876">
        <w:t>l’autonomie en mode électrique d’un véhicule donné doit être calculée au moyen de l’équation suivante :</w:t>
      </w:r>
    </w:p>
    <w:p w:rsidR="00E24DB7" w:rsidRPr="002C5876" w:rsidRDefault="00731CA6" w:rsidP="00E24DB7">
      <w:pPr>
        <w:pStyle w:val="SingleTxtG"/>
        <w:spacing w:after="240"/>
        <w:ind w:left="2268"/>
        <w:jc w:val="center"/>
      </w:pPr>
      <m:oMathPara>
        <m:oMath>
          <m:sSub>
            <m:sSubPr>
              <m:ctrlPr>
                <w:rPr>
                  <w:rFonts w:ascii="Cambria Math" w:hAnsi="Cambria Math" w:cstheme="majorBidi"/>
                </w:rPr>
              </m:ctrlPr>
            </m:sSubPr>
            <m:e>
              <m:r>
                <m:rPr>
                  <m:sty m:val="p"/>
                </m:rPr>
                <w:rPr>
                  <w:rFonts w:ascii="Cambria Math" w:hAnsi="Cambria Math" w:cstheme="majorBidi"/>
                </w:rPr>
                <m:t>AER</m:t>
              </m:r>
            </m:e>
            <m:sub>
              <m:r>
                <m:rPr>
                  <m:sty m:val="p"/>
                </m:rPr>
                <w:rPr>
                  <w:rFonts w:ascii="Cambria Math" w:hAnsi="Cambria Math" w:cstheme="majorBidi"/>
                </w:rPr>
                <m:t>ind,p</m:t>
              </m:r>
            </m:sub>
          </m:sSub>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AER</m:t>
              </m:r>
            </m:e>
            <m:sub>
              <m:r>
                <m:rPr>
                  <m:sty m:val="p"/>
                </m:rPr>
                <w:rPr>
                  <w:rFonts w:ascii="Cambria Math" w:hAnsi="Cambria Math" w:cstheme="majorBidi"/>
                </w:rPr>
                <m:t>L,p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ind,p</m:t>
              </m:r>
            </m:sub>
          </m:sSub>
          <m:r>
            <m:rPr>
              <m:sty m:val="p"/>
            </m:rPr>
            <w:rPr>
              <w:rFonts w:ascii="Cambria Math" w:hAnsi="Cambria Math" w:cstheme="majorBidi"/>
            </w:rPr>
            <m:t>×</m:t>
          </m:r>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AER</m:t>
                  </m:r>
                </m:e>
                <m:sub>
                  <m:r>
                    <m:rPr>
                      <m:sty m:val="p"/>
                    </m:rPr>
                    <w:rPr>
                      <w:rFonts w:ascii="Cambria Math" w:hAnsi="Cambria Math" w:cstheme="majorBidi"/>
                    </w:rPr>
                    <m:t>H,p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AER</m:t>
                  </m:r>
                </m:e>
                <m:sub>
                  <m:r>
                    <m:rPr>
                      <m:sty m:val="p"/>
                    </m:rPr>
                    <w:rPr>
                      <w:rFonts w:ascii="Cambria Math" w:hAnsi="Cambria Math" w:cstheme="majorBidi"/>
                    </w:rPr>
                    <m:t>L,p</m:t>
                  </m:r>
                </m:sub>
              </m:sSub>
            </m:e>
          </m:d>
        </m:oMath>
      </m:oMathPara>
    </w:p>
    <w:p w:rsidR="00E24DB7" w:rsidRPr="002C5876" w:rsidRDefault="00E24DB7" w:rsidP="00E24DB7">
      <w:pPr>
        <w:pStyle w:val="SingleTxtG"/>
        <w:ind w:left="2268"/>
        <w:rPr>
          <w:szCs w:val="24"/>
        </w:rPr>
      </w:pPr>
      <w:r w:rsidRPr="002C5876">
        <w:rPr>
          <w:szCs w:val="24"/>
        </w:rPr>
        <w:t>où :</w:t>
      </w:r>
    </w:p>
    <w:p w:rsidR="00E24DB7" w:rsidRPr="002C5876" w:rsidRDefault="00E24DB7" w:rsidP="00E24DB7">
      <w:pPr>
        <w:pStyle w:val="SingleTxtG"/>
        <w:ind w:left="3402" w:hanging="1134"/>
        <w:rPr>
          <w:szCs w:val="24"/>
        </w:rPr>
      </w:pPr>
      <w:r w:rsidRPr="002C5876">
        <w:rPr>
          <w:szCs w:val="24"/>
        </w:rPr>
        <w:t>AER</w:t>
      </w:r>
      <w:r w:rsidRPr="002C5876">
        <w:rPr>
          <w:szCs w:val="24"/>
          <w:vertAlign w:val="subscript"/>
        </w:rPr>
        <w:t>ind,p</w:t>
      </w:r>
      <w:r w:rsidRPr="002C5876">
        <w:rPr>
          <w:szCs w:val="24"/>
        </w:rPr>
        <w:tab/>
        <w:t>est l’autonomie en mode électrique d’un véhicule donné sur la période p considérée, en km ;</w:t>
      </w:r>
    </w:p>
    <w:p w:rsidR="00E24DB7" w:rsidRPr="002C5876" w:rsidRDefault="00E24DB7" w:rsidP="00E24DB7">
      <w:pPr>
        <w:pStyle w:val="SingleTxtG"/>
        <w:ind w:left="3402" w:hanging="1134"/>
        <w:rPr>
          <w:szCs w:val="24"/>
        </w:rPr>
      </w:pPr>
      <w:r w:rsidRPr="002C5876">
        <w:rPr>
          <w:szCs w:val="24"/>
        </w:rPr>
        <w:t>AER</w:t>
      </w:r>
      <w:r w:rsidRPr="002C5876">
        <w:rPr>
          <w:szCs w:val="24"/>
          <w:vertAlign w:val="subscript"/>
        </w:rPr>
        <w:t>L,p</w:t>
      </w:r>
      <w:r w:rsidRPr="002C5876">
        <w:rPr>
          <w:szCs w:val="24"/>
        </w:rPr>
        <w:tab/>
        <w:t>est l’autonomie en mode électrique du véhicule L sur la période p considérée, en km ;</w:t>
      </w:r>
    </w:p>
    <w:p w:rsidR="00E24DB7" w:rsidRPr="002C5876" w:rsidRDefault="00E24DB7" w:rsidP="00E24DB7">
      <w:pPr>
        <w:pStyle w:val="SingleTxtG"/>
        <w:ind w:left="3402" w:hanging="1134"/>
        <w:rPr>
          <w:b/>
        </w:rPr>
      </w:pPr>
      <w:r w:rsidRPr="002C5876">
        <w:rPr>
          <w:szCs w:val="24"/>
        </w:rPr>
        <w:t>AER</w:t>
      </w:r>
      <w:r w:rsidRPr="002C5876">
        <w:rPr>
          <w:szCs w:val="24"/>
          <w:vertAlign w:val="subscript"/>
        </w:rPr>
        <w:t>H,p</w:t>
      </w:r>
      <w:r w:rsidRPr="002C5876">
        <w:rPr>
          <w:szCs w:val="24"/>
        </w:rPr>
        <w:tab/>
        <w:t>est l’autonomie en mode électrique du véhicule H sur la période p considérée, en km ;</w:t>
      </w:r>
    </w:p>
    <w:p w:rsidR="00E24DB7" w:rsidRPr="002C5876" w:rsidRDefault="00E24DB7" w:rsidP="00E24DB7">
      <w:pPr>
        <w:pStyle w:val="SingleTxtG"/>
        <w:ind w:left="3402" w:hanging="1134"/>
        <w:rPr>
          <w:szCs w:val="24"/>
        </w:rPr>
      </w:pPr>
      <w:r w:rsidRPr="002C5876">
        <w:t>K</w:t>
      </w:r>
      <w:r w:rsidRPr="002C5876">
        <w:rPr>
          <w:vertAlign w:val="subscript"/>
        </w:rPr>
        <w:t>ind,p</w:t>
      </w:r>
      <w:r w:rsidRPr="002C5876">
        <w:rPr>
          <w:szCs w:val="24"/>
        </w:rPr>
        <w:tab/>
        <w:t>est le coefficient d’interpolation pour le véhicule donné considéré pour la période p ;</w:t>
      </w:r>
    </w:p>
    <w:p w:rsidR="00E24DB7" w:rsidRPr="002C5876" w:rsidRDefault="00E24DB7" w:rsidP="00E24DB7">
      <w:pPr>
        <w:pStyle w:val="SingleTxtG"/>
        <w:ind w:left="3402" w:hanging="1134"/>
        <w:rPr>
          <w:szCs w:val="24"/>
        </w:rPr>
      </w:pPr>
      <w:r w:rsidRPr="002C5876">
        <w:rPr>
          <w:szCs w:val="24"/>
        </w:rPr>
        <w:t>p</w:t>
      </w:r>
      <w:r w:rsidRPr="002C5876">
        <w:rPr>
          <w:szCs w:val="24"/>
        </w:rPr>
        <w:tab/>
        <w:t>est le numéro d’ordre de la période considérée du cycle d’essai applicable.</w:t>
      </w:r>
    </w:p>
    <w:p w:rsidR="00E24DB7" w:rsidRPr="002C5876" w:rsidRDefault="00E24DB7" w:rsidP="00E24DB7">
      <w:pPr>
        <w:pStyle w:val="SingleTxtG"/>
        <w:ind w:left="2268"/>
      </w:pPr>
      <w:r w:rsidRPr="002C5876">
        <w:t xml:space="preserve">Les périodes considérées sont le cycle d’essai WLTP urbain applicable et le cycle d’essai WLTP applicable. </w:t>
      </w:r>
      <w:r w:rsidRPr="002C5876">
        <w:rPr>
          <w:szCs w:val="24"/>
        </w:rPr>
        <w:t>Dans le cas où une Partie contractante demande que la phase extra-haute soit exclue, celle-ci doit être omise</w:t>
      </w:r>
      <w:r w:rsidRPr="002C5876">
        <w:t>.</w:t>
      </w:r>
    </w:p>
    <w:p w:rsidR="00E24DB7" w:rsidRPr="002C5876" w:rsidRDefault="00E24DB7" w:rsidP="00E24DB7">
      <w:pPr>
        <w:pStyle w:val="SingleTxtG"/>
        <w:ind w:left="2268"/>
      </w:pPr>
      <w:r w:rsidRPr="002C5876">
        <w:lastRenderedPageBreak/>
        <w:t xml:space="preserve">S’il n’est pas satisfait au critère ci-dessus, </w:t>
      </w:r>
      <w:r w:rsidRPr="002C5876">
        <w:rPr>
          <w:szCs w:val="24"/>
        </w:rPr>
        <w:t xml:space="preserve">l’autonomie en mode électrique déterminée pour le véhicule </w:t>
      </w:r>
      <w:r w:rsidRPr="002C5876">
        <w:t>H est applicable à tous les véhicules faisant partie de la famille d’interpolation.</w:t>
      </w:r>
    </w:p>
    <w:p w:rsidR="00E24DB7" w:rsidRPr="002C5876" w:rsidRDefault="00E24DB7" w:rsidP="00E24DB7">
      <w:pPr>
        <w:pStyle w:val="SingleTxtG"/>
        <w:keepNext/>
        <w:keepLines/>
        <w:ind w:left="2268" w:hanging="1134"/>
        <w:jc w:val="left"/>
      </w:pPr>
      <w:r w:rsidRPr="002C5876">
        <w:t>4.5.7.2</w:t>
      </w:r>
      <w:r w:rsidRPr="002C5876">
        <w:tab/>
        <w:t>Autonomie en mode électrique pur pour les VEP individuels</w:t>
      </w:r>
    </w:p>
    <w:p w:rsidR="00E24DB7" w:rsidRPr="002C5876" w:rsidRDefault="00E24DB7" w:rsidP="00E24DB7">
      <w:pPr>
        <w:pStyle w:val="SingleTxtG"/>
        <w:ind w:left="2268"/>
        <w:rPr>
          <w:szCs w:val="24"/>
        </w:rPr>
      </w:pPr>
      <w:r w:rsidRPr="002C5876">
        <w:rPr>
          <w:szCs w:val="24"/>
        </w:rPr>
        <w:t xml:space="preserve">L’autonomie </w:t>
      </w:r>
      <w:r w:rsidRPr="002C5876">
        <w:t xml:space="preserve">en mode électrique pur d’un véhicule donné </w:t>
      </w:r>
      <w:r w:rsidRPr="002C5876">
        <w:rPr>
          <w:szCs w:val="24"/>
        </w:rPr>
        <w:t>doit être calculée au moyen de l’équation suivante :</w:t>
      </w:r>
    </w:p>
    <w:p w:rsidR="00E24DB7" w:rsidRPr="002C5876" w:rsidRDefault="00731CA6" w:rsidP="00E24DB7">
      <w:pPr>
        <w:pStyle w:val="SingleTxtG"/>
        <w:spacing w:after="240"/>
        <w:ind w:left="2268"/>
        <w:rPr>
          <w:szCs w:val="24"/>
        </w:rPr>
      </w:pPr>
      <m:oMathPara>
        <m:oMath>
          <m:sSub>
            <m:sSubPr>
              <m:ctrlPr>
                <w:rPr>
                  <w:rFonts w:ascii="Cambria Math" w:hAnsi="Cambria Math" w:cstheme="majorBidi"/>
                </w:rPr>
              </m:ctrlPr>
            </m:sSubPr>
            <m:e>
              <m:r>
                <m:rPr>
                  <m:sty m:val="p"/>
                </m:rPr>
                <w:rPr>
                  <w:rFonts w:ascii="Cambria Math" w:hAnsi="Cambria Math" w:cstheme="majorBidi"/>
                </w:rPr>
                <m:t>PER</m:t>
              </m:r>
            </m:e>
            <m:sub>
              <m:r>
                <m:rPr>
                  <m:sty m:val="p"/>
                </m:rPr>
                <w:rPr>
                  <w:rFonts w:ascii="Cambria Math" w:hAnsi="Cambria Math" w:cstheme="majorBidi"/>
                </w:rPr>
                <m:t>ind,p</m:t>
              </m:r>
            </m:sub>
          </m:sSub>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PER</m:t>
              </m:r>
            </m:e>
            <m:sub>
              <m:r>
                <m:rPr>
                  <m:sty m:val="p"/>
                </m:rPr>
                <w:rPr>
                  <w:rFonts w:ascii="Cambria Math" w:hAnsi="Cambria Math" w:cstheme="majorBidi"/>
                </w:rPr>
                <m:t>L,p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ind,p</m:t>
              </m:r>
            </m:sub>
          </m:sSub>
          <m:r>
            <m:rPr>
              <m:sty m:val="p"/>
            </m:rPr>
            <w:rPr>
              <w:rFonts w:ascii="Cambria Math" w:hAnsi="Cambria Math" w:cstheme="majorBidi"/>
            </w:rPr>
            <m:t>×</m:t>
          </m:r>
          <m:d>
            <m:dPr>
              <m:ctrlPr>
                <w:rPr>
                  <w:rFonts w:ascii="Cambria Math" w:hAnsi="Cambria Math" w:cstheme="majorBidi"/>
                </w:rPr>
              </m:ctrlPr>
            </m:dPr>
            <m:e>
              <m:r>
                <m:rPr>
                  <m:sty m:val="p"/>
                </m:rPr>
                <w:rPr>
                  <w:rFonts w:ascii="Cambria Math" w:hAnsi="Cambria Math" w:cstheme="majorBidi"/>
                </w:rPr>
                <m:t>P</m:t>
              </m:r>
              <m:sSub>
                <m:sSubPr>
                  <m:ctrlPr>
                    <w:rPr>
                      <w:rFonts w:ascii="Cambria Math" w:hAnsi="Cambria Math" w:cstheme="majorBidi"/>
                    </w:rPr>
                  </m:ctrlPr>
                </m:sSubPr>
                <m:e>
                  <m:r>
                    <m:rPr>
                      <m:sty m:val="p"/>
                    </m:rPr>
                    <w:rPr>
                      <w:rFonts w:ascii="Cambria Math" w:hAnsi="Cambria Math" w:cstheme="majorBidi"/>
                    </w:rPr>
                    <m:t>ER</m:t>
                  </m:r>
                </m:e>
                <m:sub>
                  <m:r>
                    <m:rPr>
                      <m:sty m:val="p"/>
                    </m:rPr>
                    <w:rPr>
                      <w:rFonts w:ascii="Cambria Math" w:hAnsi="Cambria Math" w:cstheme="majorBidi"/>
                    </w:rPr>
                    <m:t>H,p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PER</m:t>
                  </m:r>
                </m:e>
                <m:sub>
                  <m:r>
                    <m:rPr>
                      <m:sty m:val="p"/>
                    </m:rPr>
                    <w:rPr>
                      <w:rFonts w:ascii="Cambria Math" w:hAnsi="Cambria Math" w:cstheme="majorBidi"/>
                    </w:rPr>
                    <m:t>L,p</m:t>
                  </m:r>
                </m:sub>
              </m:sSub>
            </m:e>
          </m:d>
        </m:oMath>
      </m:oMathPara>
    </w:p>
    <w:p w:rsidR="00E24DB7" w:rsidRPr="002C5876" w:rsidRDefault="00E24DB7" w:rsidP="00E24DB7">
      <w:pPr>
        <w:pStyle w:val="SingleTxtG"/>
        <w:keepNext/>
        <w:keepLines/>
        <w:ind w:left="2268"/>
        <w:rPr>
          <w:szCs w:val="24"/>
        </w:rPr>
      </w:pPr>
      <w:r w:rsidRPr="002C5876">
        <w:rPr>
          <w:szCs w:val="24"/>
        </w:rPr>
        <w:t>où :</w:t>
      </w:r>
    </w:p>
    <w:p w:rsidR="00E24DB7" w:rsidRPr="002C5876" w:rsidRDefault="00E24DB7" w:rsidP="00E24DB7">
      <w:pPr>
        <w:pStyle w:val="SingleTxtG"/>
        <w:keepNext/>
        <w:keepLines/>
        <w:ind w:left="3402" w:hanging="1134"/>
        <w:rPr>
          <w:szCs w:val="24"/>
        </w:rPr>
      </w:pPr>
      <w:r w:rsidRPr="002C5876">
        <w:rPr>
          <w:szCs w:val="24"/>
        </w:rPr>
        <w:t>PER</w:t>
      </w:r>
      <w:r w:rsidRPr="002C5876">
        <w:rPr>
          <w:szCs w:val="24"/>
          <w:vertAlign w:val="subscript"/>
        </w:rPr>
        <w:t>ind,p</w:t>
      </w:r>
      <w:r w:rsidRPr="002C5876">
        <w:rPr>
          <w:szCs w:val="24"/>
        </w:rPr>
        <w:tab/>
        <w:t>est l’autonomie en mode électrique pur d’un véhicule donné sur la période p considérée, en km ;</w:t>
      </w:r>
    </w:p>
    <w:p w:rsidR="00E24DB7" w:rsidRPr="002C5876" w:rsidRDefault="00E24DB7" w:rsidP="00E24DB7">
      <w:pPr>
        <w:pStyle w:val="SingleTxtG"/>
        <w:ind w:left="3402" w:hanging="1134"/>
        <w:rPr>
          <w:szCs w:val="24"/>
        </w:rPr>
      </w:pPr>
      <w:r w:rsidRPr="002C5876">
        <w:rPr>
          <w:szCs w:val="24"/>
        </w:rPr>
        <w:t>PER</w:t>
      </w:r>
      <w:r w:rsidRPr="002C5876">
        <w:rPr>
          <w:szCs w:val="24"/>
          <w:vertAlign w:val="subscript"/>
        </w:rPr>
        <w:t>L,p</w:t>
      </w:r>
      <w:r w:rsidRPr="002C5876">
        <w:rPr>
          <w:szCs w:val="24"/>
        </w:rPr>
        <w:tab/>
        <w:t>est l’autonomie en mode électrique pur du véhicule L sur la période p considérée, en km ;</w:t>
      </w:r>
    </w:p>
    <w:p w:rsidR="00E24DB7" w:rsidRPr="002C5876" w:rsidRDefault="00E24DB7" w:rsidP="00E24DB7">
      <w:pPr>
        <w:pStyle w:val="SingleTxtG"/>
        <w:ind w:left="3402" w:hanging="1134"/>
      </w:pPr>
      <w:r w:rsidRPr="002C5876">
        <w:rPr>
          <w:szCs w:val="24"/>
        </w:rPr>
        <w:t>PER</w:t>
      </w:r>
      <w:r w:rsidRPr="002C5876">
        <w:rPr>
          <w:szCs w:val="24"/>
          <w:vertAlign w:val="subscript"/>
        </w:rPr>
        <w:t>H,p</w:t>
      </w:r>
      <w:r w:rsidRPr="002C5876">
        <w:rPr>
          <w:szCs w:val="24"/>
        </w:rPr>
        <w:tab/>
        <w:t>est l’autonomie en mode électrique pur du véhicule H sur la période p considérée, en km ;</w:t>
      </w:r>
    </w:p>
    <w:p w:rsidR="00E24DB7" w:rsidRPr="002C5876" w:rsidRDefault="00E24DB7" w:rsidP="00E24DB7">
      <w:pPr>
        <w:pStyle w:val="SingleTxtG"/>
        <w:ind w:left="3402" w:hanging="1134"/>
        <w:rPr>
          <w:szCs w:val="24"/>
        </w:rPr>
      </w:pPr>
      <w:r w:rsidRPr="002C5876">
        <w:t>K</w:t>
      </w:r>
      <w:r w:rsidRPr="002C5876">
        <w:rPr>
          <w:vertAlign w:val="subscript"/>
        </w:rPr>
        <w:t>ind,p</w:t>
      </w:r>
      <w:r w:rsidRPr="002C5876">
        <w:rPr>
          <w:szCs w:val="24"/>
        </w:rPr>
        <w:tab/>
        <w:t>est le coefficient d’interpolation pour le véhicule donné considéré pour la période p ;</w:t>
      </w:r>
    </w:p>
    <w:p w:rsidR="00E24DB7" w:rsidRPr="002C5876" w:rsidRDefault="00E24DB7" w:rsidP="00E24DB7">
      <w:pPr>
        <w:pStyle w:val="SingleTxtG"/>
        <w:ind w:left="3402" w:hanging="1134"/>
      </w:pPr>
      <w:r w:rsidRPr="002C5876">
        <w:rPr>
          <w:szCs w:val="24"/>
        </w:rPr>
        <w:t>p</w:t>
      </w:r>
      <w:r w:rsidRPr="002C5876">
        <w:rPr>
          <w:szCs w:val="24"/>
        </w:rPr>
        <w:tab/>
        <w:t>est le numéro d’ordre de la période considérée du cycle d’essai applicable.</w:t>
      </w:r>
    </w:p>
    <w:p w:rsidR="00E24DB7" w:rsidRPr="002C5876" w:rsidRDefault="00E24DB7" w:rsidP="00E24DB7">
      <w:pPr>
        <w:pStyle w:val="SingleTxtG"/>
        <w:ind w:left="2268"/>
      </w:pPr>
      <w:r w:rsidRPr="002C5876">
        <w:rPr>
          <w:szCs w:val="24"/>
        </w:rPr>
        <w:t xml:space="preserve">Les phases considérées sont les suivantes : phase basse (low), phase moyenne (medium), phase haute (high) et phase extra-haute (extra high), </w:t>
      </w:r>
      <w:r w:rsidRPr="002C5876">
        <w:t xml:space="preserve">le cycle d’essai WLTP urbain applicable </w:t>
      </w:r>
      <w:r w:rsidRPr="002C5876">
        <w:rPr>
          <w:szCs w:val="24"/>
        </w:rPr>
        <w:t>et le cycle d’essai WLTP applicable. Dans le cas où une Partie contractante demande que la phase extra-haute soit exclue, celle-ci doit être omise</w:t>
      </w:r>
      <w:r w:rsidRPr="002C5876">
        <w:t>.</w:t>
      </w:r>
    </w:p>
    <w:p w:rsidR="00E24DB7" w:rsidRPr="002C5876" w:rsidRDefault="00E24DB7" w:rsidP="00E24DB7">
      <w:pPr>
        <w:pStyle w:val="SingleTxtG"/>
        <w:ind w:left="2268" w:hanging="1134"/>
        <w:jc w:val="left"/>
      </w:pPr>
      <w:r w:rsidRPr="002C5876">
        <w:t>4.5.7.3</w:t>
      </w:r>
      <w:r w:rsidRPr="002C5876">
        <w:tab/>
        <w:t>Autonomie équivalente en mode électrique pur pour les VHE-RE individuels</w:t>
      </w:r>
    </w:p>
    <w:p w:rsidR="00E24DB7" w:rsidRPr="002C5876" w:rsidRDefault="00E24DB7" w:rsidP="00E24DB7">
      <w:pPr>
        <w:pStyle w:val="SingleTxtG"/>
        <w:ind w:left="2268"/>
        <w:rPr>
          <w:szCs w:val="24"/>
        </w:rPr>
      </w:pPr>
      <w:r w:rsidRPr="002C5876">
        <w:rPr>
          <w:szCs w:val="24"/>
        </w:rPr>
        <w:t xml:space="preserve">L’autonomie </w:t>
      </w:r>
      <w:r w:rsidRPr="002C5876">
        <w:t xml:space="preserve">équivalente en mode électrique pur pour un véhicule donné </w:t>
      </w:r>
      <w:r w:rsidRPr="002C5876">
        <w:rPr>
          <w:szCs w:val="24"/>
        </w:rPr>
        <w:t>doit être calculée au moyen de l’équation suivante :</w:t>
      </w:r>
    </w:p>
    <w:p w:rsidR="00E24DB7" w:rsidRPr="002C5876" w:rsidRDefault="00731CA6" w:rsidP="00E24DB7">
      <w:pPr>
        <w:pStyle w:val="SingleTxtG"/>
        <w:spacing w:after="240"/>
        <w:ind w:left="2268"/>
        <w:jc w:val="center"/>
        <w:rPr>
          <w:szCs w:val="24"/>
        </w:rPr>
      </w:pPr>
      <m:oMathPara>
        <m:oMath>
          <m:sSub>
            <m:sSubPr>
              <m:ctrlPr>
                <w:rPr>
                  <w:rFonts w:ascii="Cambria Math" w:hAnsi="Cambria Math" w:cstheme="majorBidi"/>
                </w:rPr>
              </m:ctrlPr>
            </m:sSubPr>
            <m:e>
              <m:r>
                <m:rPr>
                  <m:sty m:val="p"/>
                </m:rPr>
                <w:rPr>
                  <w:rFonts w:ascii="Cambria Math" w:hAnsi="Cambria Math" w:cstheme="majorBidi"/>
                </w:rPr>
                <m:t>EAER</m:t>
              </m:r>
            </m:e>
            <m:sub>
              <m:r>
                <m:rPr>
                  <m:sty m:val="p"/>
                </m:rPr>
                <w:rPr>
                  <w:rFonts w:ascii="Cambria Math" w:hAnsi="Cambria Math" w:cstheme="majorBidi"/>
                </w:rPr>
                <m:t>ind,p</m:t>
              </m:r>
            </m:sub>
          </m:sSub>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EAER</m:t>
              </m:r>
            </m:e>
            <m:sub>
              <m:r>
                <m:rPr>
                  <m:sty m:val="p"/>
                </m:rPr>
                <w:rPr>
                  <w:rFonts w:ascii="Cambria Math" w:hAnsi="Cambria Math" w:cstheme="majorBidi"/>
                </w:rPr>
                <m:t>L,p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ind,p</m:t>
              </m:r>
            </m:sub>
          </m:sSub>
          <m:r>
            <m:rPr>
              <m:sty m:val="p"/>
            </m:rPr>
            <w:rPr>
              <w:rFonts w:ascii="Cambria Math" w:hAnsi="Cambria Math" w:cstheme="majorBidi"/>
            </w:rPr>
            <m:t>×</m:t>
          </m:r>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EAER</m:t>
                  </m:r>
                </m:e>
                <m:sub>
                  <m:r>
                    <m:rPr>
                      <m:sty m:val="p"/>
                    </m:rPr>
                    <w:rPr>
                      <w:rFonts w:ascii="Cambria Math" w:hAnsi="Cambria Math" w:cstheme="majorBidi"/>
                    </w:rPr>
                    <m:t>H,p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EAER</m:t>
                  </m:r>
                </m:e>
                <m:sub>
                  <m:r>
                    <m:rPr>
                      <m:sty m:val="p"/>
                    </m:rPr>
                    <w:rPr>
                      <w:rFonts w:ascii="Cambria Math" w:hAnsi="Cambria Math" w:cstheme="majorBidi"/>
                    </w:rPr>
                    <m:t>L,p</m:t>
                  </m:r>
                </m:sub>
              </m:sSub>
            </m:e>
          </m:d>
        </m:oMath>
      </m:oMathPara>
    </w:p>
    <w:p w:rsidR="00E24DB7" w:rsidRPr="002C5876" w:rsidRDefault="00E24DB7" w:rsidP="00E24DB7">
      <w:pPr>
        <w:pStyle w:val="SingleTxtG"/>
        <w:ind w:left="2268"/>
        <w:rPr>
          <w:szCs w:val="24"/>
        </w:rPr>
      </w:pPr>
      <w:r w:rsidRPr="002C5876">
        <w:rPr>
          <w:szCs w:val="24"/>
        </w:rPr>
        <w:t>où :</w:t>
      </w:r>
    </w:p>
    <w:p w:rsidR="00E24DB7" w:rsidRPr="002C5876" w:rsidRDefault="00E24DB7" w:rsidP="00E24DB7">
      <w:pPr>
        <w:pStyle w:val="SingleTxtG"/>
        <w:ind w:left="3402" w:hanging="1134"/>
        <w:rPr>
          <w:szCs w:val="24"/>
        </w:rPr>
      </w:pPr>
      <w:r w:rsidRPr="002C5876">
        <w:rPr>
          <w:szCs w:val="24"/>
        </w:rPr>
        <w:t>EAER</w:t>
      </w:r>
      <w:r w:rsidRPr="002C5876">
        <w:rPr>
          <w:szCs w:val="24"/>
          <w:vertAlign w:val="subscript"/>
        </w:rPr>
        <w:t>ind,p</w:t>
      </w:r>
      <w:r w:rsidRPr="002C5876">
        <w:rPr>
          <w:szCs w:val="24"/>
        </w:rPr>
        <w:tab/>
        <w:t xml:space="preserve">est l’autonomie </w:t>
      </w:r>
      <w:r w:rsidRPr="002C5876">
        <w:t xml:space="preserve">équivalente en mode électrique pur pour un véhicule donné sur la période p considérée, en </w:t>
      </w:r>
      <w:r w:rsidRPr="002C5876">
        <w:rPr>
          <w:szCs w:val="24"/>
        </w:rPr>
        <w:t>km ;</w:t>
      </w:r>
    </w:p>
    <w:p w:rsidR="00E24DB7" w:rsidRPr="002C5876" w:rsidRDefault="00E24DB7" w:rsidP="00E24DB7">
      <w:pPr>
        <w:pStyle w:val="SingleTxtG"/>
        <w:ind w:left="3402" w:hanging="1134"/>
        <w:rPr>
          <w:szCs w:val="24"/>
        </w:rPr>
      </w:pPr>
      <w:r w:rsidRPr="002C5876">
        <w:rPr>
          <w:szCs w:val="24"/>
        </w:rPr>
        <w:t>EAER</w:t>
      </w:r>
      <w:r w:rsidRPr="002C5876">
        <w:rPr>
          <w:szCs w:val="24"/>
          <w:vertAlign w:val="subscript"/>
        </w:rPr>
        <w:t>L,p</w:t>
      </w:r>
      <w:r w:rsidRPr="002C5876">
        <w:rPr>
          <w:szCs w:val="24"/>
        </w:rPr>
        <w:tab/>
        <w:t xml:space="preserve">est l’autonomie </w:t>
      </w:r>
      <w:r w:rsidRPr="002C5876">
        <w:t xml:space="preserve">équivalente en mode électrique pur pour le véhicule L sur la période p considérée, en </w:t>
      </w:r>
      <w:r w:rsidRPr="002C5876">
        <w:rPr>
          <w:szCs w:val="24"/>
        </w:rPr>
        <w:t>km ;</w:t>
      </w:r>
    </w:p>
    <w:p w:rsidR="00E24DB7" w:rsidRPr="002C5876" w:rsidRDefault="00E24DB7" w:rsidP="00E24DB7">
      <w:pPr>
        <w:pStyle w:val="SingleTxtG"/>
        <w:ind w:left="3402" w:hanging="1134"/>
      </w:pPr>
      <w:r w:rsidRPr="002C5876">
        <w:rPr>
          <w:szCs w:val="24"/>
        </w:rPr>
        <w:t>EAER</w:t>
      </w:r>
      <w:r w:rsidRPr="002C5876">
        <w:rPr>
          <w:szCs w:val="24"/>
          <w:vertAlign w:val="subscript"/>
        </w:rPr>
        <w:t>H,p</w:t>
      </w:r>
      <w:r w:rsidRPr="002C5876">
        <w:rPr>
          <w:szCs w:val="24"/>
        </w:rPr>
        <w:tab/>
        <w:t xml:space="preserve">est l’autonomie </w:t>
      </w:r>
      <w:r w:rsidRPr="002C5876">
        <w:t xml:space="preserve">équivalente en mode électrique pur pour le véhicule H sur la période p considérée, en </w:t>
      </w:r>
      <w:r w:rsidRPr="002C5876">
        <w:rPr>
          <w:szCs w:val="24"/>
        </w:rPr>
        <w:t>km ;</w:t>
      </w:r>
    </w:p>
    <w:p w:rsidR="00E24DB7" w:rsidRPr="002C5876" w:rsidRDefault="00E24DB7" w:rsidP="00E24DB7">
      <w:pPr>
        <w:pStyle w:val="SingleTxtG"/>
        <w:ind w:left="3402" w:hanging="1134"/>
        <w:rPr>
          <w:szCs w:val="24"/>
        </w:rPr>
      </w:pPr>
      <w:r w:rsidRPr="002C5876">
        <w:t>K</w:t>
      </w:r>
      <w:r w:rsidRPr="002C5876">
        <w:rPr>
          <w:vertAlign w:val="subscript"/>
        </w:rPr>
        <w:t>ind,p</w:t>
      </w:r>
      <w:r w:rsidRPr="002C5876">
        <w:rPr>
          <w:szCs w:val="24"/>
        </w:rPr>
        <w:tab/>
        <w:t>est le coefficient d’interpolation pour le véhicule donné considéré pour la période p ;</w:t>
      </w:r>
    </w:p>
    <w:p w:rsidR="00E24DB7" w:rsidRPr="002C5876" w:rsidRDefault="00E24DB7" w:rsidP="00E24DB7">
      <w:pPr>
        <w:pStyle w:val="SingleTxtG"/>
        <w:ind w:left="3402" w:hanging="1134"/>
      </w:pPr>
      <w:r w:rsidRPr="002C5876">
        <w:rPr>
          <w:szCs w:val="24"/>
        </w:rPr>
        <w:t>p</w:t>
      </w:r>
      <w:r w:rsidRPr="002C5876">
        <w:rPr>
          <w:szCs w:val="24"/>
        </w:rPr>
        <w:tab/>
        <w:t>est le numéro d’ordre de la période considérée du cycle d’essai applicable.</w:t>
      </w:r>
    </w:p>
    <w:p w:rsidR="00E24DB7" w:rsidRPr="002C5876" w:rsidRDefault="00E24DB7" w:rsidP="00E24DB7">
      <w:pPr>
        <w:pStyle w:val="SingleTxtG"/>
        <w:ind w:left="2268"/>
      </w:pPr>
      <w:r w:rsidRPr="002C5876">
        <w:rPr>
          <w:szCs w:val="24"/>
        </w:rPr>
        <w:t xml:space="preserve">Les phases considérées sont les suivantes : phase basse (low), phase moyenne (medium), phase haute (high) et phase extra-haute (extra high), </w:t>
      </w:r>
      <w:r w:rsidRPr="002C5876">
        <w:t xml:space="preserve">le cycle d’essai WLTP urbain applicable </w:t>
      </w:r>
      <w:r w:rsidRPr="002C5876">
        <w:rPr>
          <w:szCs w:val="24"/>
        </w:rPr>
        <w:t>et le cycle d’essai WLTP applicable. Dans le cas où une Partie contractante demande que la phase extra-haute soit exclue, celle-ci doit être omise</w:t>
      </w:r>
      <w:r w:rsidRPr="002C5876">
        <w:t>.</w:t>
      </w:r>
    </w:p>
    <w:p w:rsidR="00E24DB7" w:rsidRPr="002C5876" w:rsidRDefault="00E24DB7" w:rsidP="00E24DB7">
      <w:pPr>
        <w:pStyle w:val="SingleTxtG"/>
        <w:ind w:left="2268" w:hanging="1134"/>
        <w:jc w:val="left"/>
      </w:pPr>
      <w:r w:rsidRPr="002C5876">
        <w:t>4.6</w:t>
      </w:r>
      <w:r w:rsidRPr="002C5876">
        <w:tab/>
        <w:t xml:space="preserve">Procédure par étapes pour le calcul des résultats d’essai finals </w:t>
      </w:r>
      <w:r w:rsidRPr="002C5876">
        <w:br/>
        <w:t>pour les VHE-RE</w:t>
      </w:r>
    </w:p>
    <w:p w:rsidR="00E24DB7" w:rsidRPr="002C5876" w:rsidRDefault="00E24DB7" w:rsidP="00E24DB7">
      <w:pPr>
        <w:pStyle w:val="SingleTxtG"/>
        <w:ind w:left="2268"/>
      </w:pPr>
      <w:r w:rsidRPr="002C5876">
        <w:t xml:space="preserve">En sus de la procédure par étapes pour le calcul des résultats finals de l’essai de maintien de charge pour les émissions de composés gazeux conformément </w:t>
      </w:r>
      <w:r w:rsidRPr="002C5876">
        <w:lastRenderedPageBreak/>
        <w:t xml:space="preserve">au paragraphe 4.1.1.1 de la présente annexe et pour la consommation de carburant conformément au paragraphe 4.2.1.1 de ladite annexe, les paragraphes 4.6.1 et 4.6.2 ci-après décrivent la procédure par étapes pour le calcul des résultats finals de l’essai d’épuisement de la charge et des résultats finals pondérés en mode maintien de charge et en mode épuisement de la charge. </w:t>
      </w:r>
    </w:p>
    <w:p w:rsidR="00E24DB7" w:rsidRPr="002C5876" w:rsidRDefault="00E24DB7" w:rsidP="00E24DB7">
      <w:pPr>
        <w:pStyle w:val="SingleTxtG"/>
        <w:keepNext/>
        <w:ind w:left="2268" w:hanging="1134"/>
        <w:jc w:val="left"/>
      </w:pPr>
      <w:r w:rsidRPr="002C5876">
        <w:t>4.6.1</w:t>
      </w:r>
      <w:r w:rsidRPr="002C5876">
        <w:tab/>
        <w:t>Procédure par étapes pour le calcul des résultats finals de l’essai d’épuisement de la charge du type 1 pour les VHE-RE</w:t>
      </w:r>
    </w:p>
    <w:p w:rsidR="00E24DB7" w:rsidRPr="002C5876" w:rsidRDefault="00E24DB7" w:rsidP="00E24DB7">
      <w:pPr>
        <w:pStyle w:val="SingleTxtG"/>
        <w:ind w:left="2268"/>
      </w:pPr>
      <w:r w:rsidRPr="002C5876">
        <w:t>Les résultats doivent être calculés dans l’ordre indiqué au tableau A8/8. Tous les résultats applicables dans la colonne « Données de sortie » doivent être enregistrés. La colonne « Processus » indique les paragraphes à appliquer pour les calculs ou contient des calculs additionnels.</w:t>
      </w:r>
    </w:p>
    <w:p w:rsidR="00E24DB7" w:rsidRPr="002C5876" w:rsidRDefault="00E24DB7" w:rsidP="00E24DB7">
      <w:pPr>
        <w:pStyle w:val="SingleTxtG"/>
        <w:ind w:left="2268"/>
      </w:pPr>
      <w:r w:rsidRPr="002C5876">
        <w:t>Dans ce même tableau, la nomenclature suivante est utilisée dans les équations et les résultats :</w:t>
      </w:r>
    </w:p>
    <w:p w:rsidR="00E24DB7" w:rsidRPr="002C5876" w:rsidRDefault="00E24DB7" w:rsidP="00E24DB7">
      <w:pPr>
        <w:pStyle w:val="SingleTxtG"/>
        <w:ind w:left="2835" w:hanging="567"/>
        <w:rPr>
          <w:szCs w:val="24"/>
        </w:rPr>
      </w:pPr>
      <w:r w:rsidRPr="002C5876">
        <w:rPr>
          <w:szCs w:val="24"/>
        </w:rPr>
        <w:t>c</w:t>
      </w:r>
      <w:r w:rsidRPr="002C5876">
        <w:rPr>
          <w:szCs w:val="24"/>
        </w:rPr>
        <w:tab/>
        <w:t>cycle d’essai applicable complet ;</w:t>
      </w:r>
    </w:p>
    <w:p w:rsidR="00E24DB7" w:rsidRPr="002C5876" w:rsidRDefault="00E24DB7" w:rsidP="00E24DB7">
      <w:pPr>
        <w:pStyle w:val="SingleTxtG"/>
        <w:ind w:left="2835" w:hanging="567"/>
        <w:rPr>
          <w:szCs w:val="24"/>
        </w:rPr>
      </w:pPr>
      <w:r w:rsidRPr="002C5876">
        <w:rPr>
          <w:szCs w:val="24"/>
        </w:rPr>
        <w:t>p</w:t>
      </w:r>
      <w:r w:rsidRPr="002C5876">
        <w:rPr>
          <w:szCs w:val="24"/>
        </w:rPr>
        <w:tab/>
        <w:t>toute phase de cycle applicable ;</w:t>
      </w:r>
    </w:p>
    <w:p w:rsidR="00E24DB7" w:rsidRPr="002C5876" w:rsidRDefault="00E24DB7" w:rsidP="00E24DB7">
      <w:pPr>
        <w:pStyle w:val="SingleTxtG"/>
        <w:ind w:left="2835" w:hanging="567"/>
        <w:rPr>
          <w:szCs w:val="24"/>
        </w:rPr>
      </w:pPr>
      <w:r w:rsidRPr="002C5876">
        <w:rPr>
          <w:szCs w:val="24"/>
        </w:rPr>
        <w:t>i</w:t>
      </w:r>
      <w:r w:rsidRPr="002C5876">
        <w:rPr>
          <w:szCs w:val="24"/>
        </w:rPr>
        <w:tab/>
        <w:t>constituants d’émissions critères applicables ;</w:t>
      </w:r>
    </w:p>
    <w:p w:rsidR="00E24DB7" w:rsidRPr="002C5876" w:rsidRDefault="00E24DB7" w:rsidP="00E24DB7">
      <w:pPr>
        <w:pStyle w:val="SingleTxtG"/>
        <w:ind w:left="2835" w:hanging="567"/>
        <w:rPr>
          <w:szCs w:val="24"/>
        </w:rPr>
      </w:pPr>
      <w:r w:rsidRPr="002C5876">
        <w:rPr>
          <w:szCs w:val="24"/>
        </w:rPr>
        <w:t>CS</w:t>
      </w:r>
      <w:r w:rsidRPr="002C5876">
        <w:rPr>
          <w:szCs w:val="24"/>
        </w:rPr>
        <w:tab/>
        <w:t>mode maintien de la charge ;</w:t>
      </w:r>
    </w:p>
    <w:p w:rsidR="00E24DB7" w:rsidRPr="002C5876" w:rsidRDefault="00E24DB7" w:rsidP="00E24DB7">
      <w:pPr>
        <w:pStyle w:val="SingleTxtG"/>
        <w:ind w:left="2835" w:hanging="567"/>
        <w:rPr>
          <w:szCs w:val="24"/>
        </w:rPr>
      </w:pPr>
      <w:r w:rsidRPr="002C5876">
        <w:rPr>
          <w:szCs w:val="24"/>
        </w:rPr>
        <w:t>CO</w:t>
      </w:r>
      <w:r w:rsidRPr="002C5876">
        <w:rPr>
          <w:szCs w:val="24"/>
          <w:vertAlign w:val="subscript"/>
        </w:rPr>
        <w:t>2</w:t>
      </w:r>
      <w:r w:rsidRPr="002C5876">
        <w:rPr>
          <w:szCs w:val="24"/>
        </w:rPr>
        <w:tab/>
        <w:t>émissions massiques de CO</w:t>
      </w:r>
      <w:r w:rsidRPr="002C5876">
        <w:rPr>
          <w:szCs w:val="24"/>
          <w:vertAlign w:val="subscript"/>
        </w:rPr>
        <w:t>2</w:t>
      </w:r>
      <w:r w:rsidRPr="002C5876">
        <w:rPr>
          <w:szCs w:val="24"/>
        </w:rPr>
        <w:t>.</w:t>
      </w:r>
    </w:p>
    <w:p w:rsidR="00E24DB7" w:rsidRPr="002C5876" w:rsidRDefault="00E24DB7" w:rsidP="00E24DB7">
      <w:pPr>
        <w:pStyle w:val="H23G"/>
        <w:ind w:left="0" w:right="0" w:firstLine="0"/>
      </w:pPr>
      <w:r w:rsidRPr="002C5876">
        <w:rPr>
          <w:szCs w:val="24"/>
        </w:rPr>
        <w:br w:type="page"/>
      </w:r>
      <w:r w:rsidRPr="002C5876">
        <w:rPr>
          <w:b w:val="0"/>
        </w:rPr>
        <w:lastRenderedPageBreak/>
        <w:t>Tableau A8/8</w:t>
      </w:r>
      <w:r w:rsidRPr="002C5876">
        <w:rPr>
          <w:lang w:eastAsia="de-DE"/>
        </w:rPr>
        <w:br/>
        <w:t>Calcul des valeurs finales en mode épuisement de la charge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1"/>
        <w:gridCol w:w="2117"/>
        <w:gridCol w:w="3145"/>
        <w:gridCol w:w="2381"/>
        <w:gridCol w:w="735"/>
      </w:tblGrid>
      <w:tr w:rsidR="00E24DB7" w:rsidRPr="002C5876" w:rsidTr="00E24DB7">
        <w:trPr>
          <w:tblHeader/>
          <w:jc w:val="center"/>
        </w:trPr>
        <w:tc>
          <w:tcPr>
            <w:tcW w:w="1261" w:type="dxa"/>
            <w:tcBorders>
              <w:bottom w:val="single" w:sz="12" w:space="0" w:color="auto"/>
            </w:tcBorders>
            <w:shd w:val="clear" w:color="auto" w:fill="auto"/>
            <w:vAlign w:val="bottom"/>
          </w:tcPr>
          <w:p w:rsidR="00E24DB7" w:rsidRPr="002C5876" w:rsidRDefault="00E24DB7" w:rsidP="00E24DB7">
            <w:pPr>
              <w:spacing w:before="80" w:after="80" w:line="200" w:lineRule="exact"/>
              <w:ind w:left="57" w:right="57"/>
              <w:rPr>
                <w:i/>
                <w:sz w:val="18"/>
                <w:szCs w:val="18"/>
              </w:rPr>
            </w:pPr>
            <w:r w:rsidRPr="002C5876">
              <w:rPr>
                <w:i/>
                <w:sz w:val="18"/>
                <w:szCs w:val="18"/>
              </w:rPr>
              <w:t>Source</w:t>
            </w:r>
          </w:p>
        </w:tc>
        <w:tc>
          <w:tcPr>
            <w:tcW w:w="2117" w:type="dxa"/>
            <w:tcBorders>
              <w:bottom w:val="single" w:sz="12" w:space="0" w:color="auto"/>
            </w:tcBorders>
            <w:shd w:val="clear" w:color="auto" w:fill="auto"/>
            <w:vAlign w:val="bottom"/>
          </w:tcPr>
          <w:p w:rsidR="00E24DB7" w:rsidRPr="002C5876" w:rsidRDefault="00E24DB7" w:rsidP="00E24DB7">
            <w:pPr>
              <w:spacing w:before="80" w:after="80" w:line="200" w:lineRule="exact"/>
              <w:ind w:left="57" w:right="57"/>
              <w:rPr>
                <w:i/>
                <w:sz w:val="18"/>
                <w:szCs w:val="18"/>
              </w:rPr>
            </w:pPr>
            <w:r w:rsidRPr="002C5876">
              <w:rPr>
                <w:i/>
                <w:sz w:val="18"/>
                <w:szCs w:val="18"/>
              </w:rPr>
              <w:t>Données d’entrée</w:t>
            </w:r>
          </w:p>
        </w:tc>
        <w:tc>
          <w:tcPr>
            <w:tcW w:w="3145" w:type="dxa"/>
            <w:tcBorders>
              <w:bottom w:val="single" w:sz="12" w:space="0" w:color="auto"/>
            </w:tcBorders>
            <w:shd w:val="clear" w:color="auto" w:fill="auto"/>
            <w:vAlign w:val="bottom"/>
          </w:tcPr>
          <w:p w:rsidR="00E24DB7" w:rsidRPr="002C5876" w:rsidRDefault="00E24DB7" w:rsidP="00E24DB7">
            <w:pPr>
              <w:spacing w:before="80" w:after="80" w:line="200" w:lineRule="exact"/>
              <w:ind w:left="57" w:right="57"/>
              <w:rPr>
                <w:i/>
                <w:sz w:val="18"/>
                <w:szCs w:val="18"/>
              </w:rPr>
            </w:pPr>
            <w:r w:rsidRPr="002C5876">
              <w:rPr>
                <w:i/>
                <w:sz w:val="18"/>
                <w:szCs w:val="18"/>
              </w:rPr>
              <w:t>Processus</w:t>
            </w:r>
          </w:p>
        </w:tc>
        <w:tc>
          <w:tcPr>
            <w:tcW w:w="2381" w:type="dxa"/>
            <w:tcBorders>
              <w:bottom w:val="single" w:sz="12" w:space="0" w:color="auto"/>
            </w:tcBorders>
            <w:shd w:val="clear" w:color="auto" w:fill="auto"/>
            <w:vAlign w:val="bottom"/>
          </w:tcPr>
          <w:p w:rsidR="00E24DB7" w:rsidRPr="002C5876" w:rsidRDefault="00E24DB7" w:rsidP="00E24DB7">
            <w:pPr>
              <w:spacing w:before="80" w:after="80" w:line="200" w:lineRule="exact"/>
              <w:ind w:left="57" w:right="57"/>
              <w:rPr>
                <w:i/>
                <w:sz w:val="18"/>
                <w:szCs w:val="18"/>
              </w:rPr>
            </w:pPr>
            <w:r w:rsidRPr="002C5876">
              <w:rPr>
                <w:i/>
                <w:sz w:val="18"/>
                <w:szCs w:val="18"/>
              </w:rPr>
              <w:t>Données de sortie</w:t>
            </w:r>
          </w:p>
        </w:tc>
        <w:tc>
          <w:tcPr>
            <w:tcW w:w="735" w:type="dxa"/>
            <w:tcBorders>
              <w:bottom w:val="single" w:sz="12" w:space="0" w:color="auto"/>
            </w:tcBorders>
            <w:shd w:val="clear" w:color="auto" w:fill="auto"/>
            <w:vAlign w:val="bottom"/>
          </w:tcPr>
          <w:p w:rsidR="00E24DB7" w:rsidRPr="002C5876" w:rsidRDefault="00E24DB7" w:rsidP="00E24DB7">
            <w:pPr>
              <w:spacing w:before="80" w:after="80" w:line="200" w:lineRule="exact"/>
              <w:ind w:left="57" w:right="57"/>
              <w:rPr>
                <w:i/>
                <w:sz w:val="18"/>
                <w:szCs w:val="18"/>
              </w:rPr>
            </w:pPr>
            <w:r w:rsidRPr="002C5876">
              <w:rPr>
                <w:i/>
                <w:sz w:val="18"/>
                <w:szCs w:val="18"/>
              </w:rPr>
              <w:t>Étape n</w:t>
            </w:r>
            <w:r w:rsidRPr="002C5876">
              <w:rPr>
                <w:i/>
                <w:sz w:val="18"/>
                <w:szCs w:val="18"/>
                <w:vertAlign w:val="superscript"/>
              </w:rPr>
              <w:t>o</w:t>
            </w:r>
            <w:r w:rsidRPr="002C5876">
              <w:rPr>
                <w:i/>
                <w:sz w:val="18"/>
                <w:szCs w:val="18"/>
              </w:rPr>
              <w:t> </w:t>
            </w:r>
          </w:p>
        </w:tc>
      </w:tr>
      <w:tr w:rsidR="00E24DB7" w:rsidRPr="002C5876" w:rsidTr="00E24DB7">
        <w:trPr>
          <w:jc w:val="center"/>
        </w:trPr>
        <w:tc>
          <w:tcPr>
            <w:tcW w:w="1261" w:type="dxa"/>
            <w:tcBorders>
              <w:top w:val="single" w:sz="12" w:space="0" w:color="auto"/>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Annexe 8</w:t>
            </w:r>
          </w:p>
        </w:tc>
        <w:tc>
          <w:tcPr>
            <w:tcW w:w="2117" w:type="dxa"/>
            <w:tcBorders>
              <w:top w:val="single" w:sz="12" w:space="0" w:color="auto"/>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Résultats de l’essai d’épuisement de la charge</w:t>
            </w:r>
          </w:p>
        </w:tc>
        <w:tc>
          <w:tcPr>
            <w:tcW w:w="3145" w:type="dxa"/>
            <w:tcBorders>
              <w:top w:val="single" w:sz="12" w:space="0" w:color="auto"/>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Résultats mesurés conformément à l’appendice 3 de la présente annexe, calculs préliminaires effectués conformément au paragraphe 4.3 de la présente annexe.</w:t>
            </w:r>
          </w:p>
        </w:tc>
        <w:tc>
          <w:tcPr>
            <w:tcW w:w="2381" w:type="dxa"/>
            <w:tcBorders>
              <w:top w:val="single" w:sz="12" w:space="0" w:color="auto"/>
              <w:bottom w:val="nil"/>
            </w:tcBorders>
            <w:shd w:val="clear" w:color="auto" w:fill="auto"/>
          </w:tcPr>
          <w:p w:rsidR="00E24DB7" w:rsidRPr="00D53F39" w:rsidRDefault="00E24DB7" w:rsidP="00E24DB7">
            <w:pPr>
              <w:spacing w:before="60" w:after="60" w:line="220" w:lineRule="atLeast"/>
              <w:ind w:left="766" w:right="57" w:hanging="709"/>
              <w:rPr>
                <w:sz w:val="18"/>
                <w:szCs w:val="18"/>
                <w:lang w:val="en-US"/>
              </w:rPr>
            </w:pPr>
            <w:r w:rsidRPr="002C5876">
              <w:rPr>
                <w:sz w:val="18"/>
                <w:szCs w:val="18"/>
              </w:rPr>
              <w:t>Δ</w:t>
            </w:r>
            <w:r w:rsidRPr="00D53F39">
              <w:rPr>
                <w:sz w:val="18"/>
                <w:szCs w:val="18"/>
                <w:lang w:val="en-US"/>
              </w:rPr>
              <w:t>E</w:t>
            </w:r>
            <w:r w:rsidRPr="00D53F39">
              <w:rPr>
                <w:sz w:val="18"/>
                <w:szCs w:val="18"/>
                <w:vertAlign w:val="subscript"/>
                <w:lang w:val="en-US"/>
              </w:rPr>
              <w:t>REESS,j</w:t>
            </w:r>
            <w:r w:rsidRPr="00D53F39">
              <w:rPr>
                <w:sz w:val="18"/>
                <w:szCs w:val="18"/>
                <w:lang w:val="en-US"/>
              </w:rPr>
              <w:t>, Wh</w:t>
            </w:r>
          </w:p>
          <w:p w:rsidR="00E24DB7" w:rsidRPr="00D53F39" w:rsidRDefault="00E24DB7" w:rsidP="00E24DB7">
            <w:pPr>
              <w:spacing w:before="60" w:after="60" w:line="220" w:lineRule="atLeast"/>
              <w:ind w:left="766" w:right="57" w:hanging="709"/>
              <w:rPr>
                <w:sz w:val="18"/>
                <w:szCs w:val="18"/>
                <w:lang w:val="en-US"/>
              </w:rPr>
            </w:pPr>
            <w:r w:rsidRPr="00D53F39">
              <w:rPr>
                <w:sz w:val="18"/>
                <w:szCs w:val="18"/>
                <w:lang w:val="en-US"/>
              </w:rPr>
              <w:t>d</w:t>
            </w:r>
            <w:r w:rsidRPr="00D53F39">
              <w:rPr>
                <w:sz w:val="18"/>
                <w:szCs w:val="18"/>
                <w:vertAlign w:val="subscript"/>
                <w:lang w:val="en-US"/>
              </w:rPr>
              <w:t>j</w:t>
            </w:r>
            <w:r w:rsidRPr="00D53F39">
              <w:rPr>
                <w:sz w:val="18"/>
                <w:szCs w:val="18"/>
                <w:lang w:val="en-US"/>
              </w:rPr>
              <w:t>, km</w:t>
            </w:r>
          </w:p>
          <w:p w:rsidR="00E24DB7" w:rsidRPr="00D53F39" w:rsidRDefault="00E24DB7" w:rsidP="00E24DB7">
            <w:pPr>
              <w:spacing w:before="60" w:after="60" w:line="220" w:lineRule="atLeast"/>
              <w:ind w:left="567" w:right="57" w:hanging="1416"/>
              <w:rPr>
                <w:sz w:val="18"/>
                <w:szCs w:val="18"/>
                <w:lang w:val="en-US"/>
              </w:rPr>
            </w:pPr>
            <w:r w:rsidRPr="00D53F39">
              <w:rPr>
                <w:sz w:val="18"/>
                <w:szCs w:val="18"/>
                <w:lang w:val="en-US"/>
              </w:rPr>
              <w:t>d</w:t>
            </w:r>
            <w:r w:rsidRPr="00D53F39">
              <w:rPr>
                <w:sz w:val="18"/>
                <w:szCs w:val="18"/>
                <w:vertAlign w:val="subscript"/>
                <w:lang w:val="en-US"/>
              </w:rPr>
              <w:t>j</w:t>
            </w:r>
            <w:r w:rsidRPr="00D53F39">
              <w:rPr>
                <w:sz w:val="18"/>
                <w:szCs w:val="18"/>
                <w:lang w:val="en-US"/>
              </w:rPr>
              <w:t>, km</w:t>
            </w:r>
          </w:p>
        </w:tc>
        <w:tc>
          <w:tcPr>
            <w:tcW w:w="735" w:type="dxa"/>
            <w:vMerge w:val="restart"/>
            <w:tcBorders>
              <w:top w:val="single" w:sz="12" w:space="0" w:color="auto"/>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1</w:t>
            </w:r>
          </w:p>
        </w:tc>
      </w:tr>
      <w:tr w:rsidR="00E24DB7" w:rsidRPr="002C5876" w:rsidTr="00E24DB7">
        <w:trPr>
          <w:jc w:val="center"/>
        </w:trPr>
        <w:tc>
          <w:tcPr>
            <w:tcW w:w="1261"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p>
        </w:tc>
        <w:tc>
          <w:tcPr>
            <w:tcW w:w="2117"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p>
        </w:tc>
        <w:tc>
          <w:tcPr>
            <w:tcW w:w="3145"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Énergie utilisable de la batterie conformément au paragraphe 4.4.1.2.2 de la présente annexe.</w:t>
            </w:r>
          </w:p>
        </w:tc>
        <w:tc>
          <w:tcPr>
            <w:tcW w:w="2381"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UBE</w:t>
            </w:r>
            <w:r w:rsidRPr="002C5876">
              <w:rPr>
                <w:sz w:val="18"/>
                <w:szCs w:val="18"/>
                <w:vertAlign w:val="subscript"/>
              </w:rPr>
              <w:t>city</w:t>
            </w:r>
            <w:r w:rsidRPr="002C5876">
              <w:rPr>
                <w:sz w:val="18"/>
                <w:szCs w:val="18"/>
              </w:rPr>
              <w:t>, Wh</w:t>
            </w:r>
          </w:p>
        </w:tc>
        <w:tc>
          <w:tcPr>
            <w:tcW w:w="735" w:type="dxa"/>
            <w:vMerge/>
            <w:tcBorders>
              <w:bottom w:val="nil"/>
            </w:tcBorders>
            <w:shd w:val="clear" w:color="auto" w:fill="auto"/>
          </w:tcPr>
          <w:p w:rsidR="00E24DB7" w:rsidRPr="002C5876" w:rsidRDefault="00E24DB7" w:rsidP="00E24DB7">
            <w:pPr>
              <w:spacing w:before="60" w:after="60" w:line="220" w:lineRule="atLeast"/>
              <w:ind w:left="57" w:right="57"/>
              <w:rPr>
                <w:sz w:val="18"/>
                <w:szCs w:val="18"/>
              </w:rPr>
            </w:pPr>
          </w:p>
        </w:tc>
      </w:tr>
      <w:tr w:rsidR="00E24DB7" w:rsidRPr="002C5876" w:rsidTr="00E24DB7">
        <w:trPr>
          <w:jc w:val="center"/>
        </w:trPr>
        <w:tc>
          <w:tcPr>
            <w:tcW w:w="1261"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p>
        </w:tc>
        <w:tc>
          <w:tcPr>
            <w:tcW w:w="2117"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p>
        </w:tc>
        <w:tc>
          <w:tcPr>
            <w:tcW w:w="3145"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 xml:space="preserve">Énergie électrique rechargée conformément au paragraphe 3.2.4.6 </w:t>
            </w:r>
            <w:r w:rsidRPr="002C5876">
              <w:rPr>
                <w:sz w:val="18"/>
                <w:szCs w:val="18"/>
              </w:rPr>
              <w:br/>
              <w:t>de la présente annexe.</w:t>
            </w:r>
          </w:p>
        </w:tc>
        <w:tc>
          <w:tcPr>
            <w:tcW w:w="2381"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E</w:t>
            </w:r>
            <w:r w:rsidRPr="002C5876">
              <w:rPr>
                <w:sz w:val="18"/>
                <w:szCs w:val="18"/>
                <w:vertAlign w:val="subscript"/>
              </w:rPr>
              <w:t>AC</w:t>
            </w:r>
            <w:r w:rsidRPr="002C5876">
              <w:rPr>
                <w:sz w:val="18"/>
                <w:szCs w:val="18"/>
              </w:rPr>
              <w:t>, Wh</w:t>
            </w:r>
          </w:p>
        </w:tc>
        <w:tc>
          <w:tcPr>
            <w:tcW w:w="735" w:type="dxa"/>
            <w:vMerge/>
            <w:tcBorders>
              <w:bottom w:val="nil"/>
            </w:tcBorders>
            <w:shd w:val="clear" w:color="auto" w:fill="auto"/>
          </w:tcPr>
          <w:p w:rsidR="00E24DB7" w:rsidRPr="002C5876" w:rsidRDefault="00E24DB7" w:rsidP="00E24DB7">
            <w:pPr>
              <w:spacing w:before="60" w:after="60" w:line="220" w:lineRule="atLeast"/>
              <w:ind w:left="57" w:right="57"/>
              <w:rPr>
                <w:sz w:val="18"/>
                <w:szCs w:val="18"/>
              </w:rPr>
            </w:pPr>
          </w:p>
        </w:tc>
      </w:tr>
      <w:tr w:rsidR="00E24DB7" w:rsidRPr="002C5876" w:rsidTr="00E24DB7">
        <w:trPr>
          <w:jc w:val="center"/>
        </w:trPr>
        <w:tc>
          <w:tcPr>
            <w:tcW w:w="1261"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p>
        </w:tc>
        <w:tc>
          <w:tcPr>
            <w:tcW w:w="2117"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p>
        </w:tc>
        <w:tc>
          <w:tcPr>
            <w:tcW w:w="3145"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Demande d’énergie sur le cycle conformément au paragraphe 5 de l’annexe 7.</w:t>
            </w:r>
          </w:p>
        </w:tc>
        <w:tc>
          <w:tcPr>
            <w:tcW w:w="2381"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E</w:t>
            </w:r>
            <w:r w:rsidRPr="002C5876">
              <w:rPr>
                <w:sz w:val="18"/>
                <w:szCs w:val="18"/>
                <w:vertAlign w:val="subscript"/>
              </w:rPr>
              <w:t>cycle</w:t>
            </w:r>
            <w:r w:rsidRPr="002C5876">
              <w:rPr>
                <w:sz w:val="18"/>
                <w:szCs w:val="18"/>
              </w:rPr>
              <w:t>, Ws</w:t>
            </w:r>
          </w:p>
        </w:tc>
        <w:tc>
          <w:tcPr>
            <w:tcW w:w="735" w:type="dxa"/>
            <w:vMerge/>
            <w:tcBorders>
              <w:bottom w:val="nil"/>
            </w:tcBorders>
            <w:shd w:val="clear" w:color="auto" w:fill="auto"/>
          </w:tcPr>
          <w:p w:rsidR="00E24DB7" w:rsidRPr="002C5876" w:rsidRDefault="00E24DB7" w:rsidP="00E24DB7">
            <w:pPr>
              <w:spacing w:before="60" w:after="60" w:line="220" w:lineRule="atLeast"/>
              <w:ind w:left="57" w:right="57"/>
              <w:rPr>
                <w:sz w:val="18"/>
                <w:szCs w:val="18"/>
              </w:rPr>
            </w:pPr>
          </w:p>
        </w:tc>
      </w:tr>
      <w:tr w:rsidR="00E24DB7" w:rsidRPr="002C5876" w:rsidTr="00E24DB7">
        <w:trPr>
          <w:jc w:val="center"/>
        </w:trPr>
        <w:tc>
          <w:tcPr>
            <w:tcW w:w="1261"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p>
        </w:tc>
        <w:tc>
          <w:tcPr>
            <w:tcW w:w="2117"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p>
        </w:tc>
        <w:tc>
          <w:tcPr>
            <w:tcW w:w="3145"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Émissions massiques de CO</w:t>
            </w:r>
            <w:r w:rsidRPr="002C5876">
              <w:rPr>
                <w:sz w:val="18"/>
                <w:szCs w:val="18"/>
                <w:vertAlign w:val="subscript"/>
              </w:rPr>
              <w:t>2</w:t>
            </w:r>
            <w:r w:rsidRPr="002C5876">
              <w:rPr>
                <w:sz w:val="18"/>
                <w:szCs w:val="18"/>
              </w:rPr>
              <w:t xml:space="preserve"> conformément au paragraphe 3.2.1 de l’annexe 7.</w:t>
            </w:r>
          </w:p>
        </w:tc>
        <w:tc>
          <w:tcPr>
            <w:tcW w:w="2381"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M</w:t>
            </w:r>
            <w:r w:rsidRPr="002C5876">
              <w:rPr>
                <w:sz w:val="18"/>
                <w:szCs w:val="18"/>
                <w:vertAlign w:val="subscript"/>
              </w:rPr>
              <w:t>CO2,CD,j</w:t>
            </w:r>
            <w:r w:rsidRPr="002C5876">
              <w:rPr>
                <w:sz w:val="18"/>
                <w:szCs w:val="18"/>
              </w:rPr>
              <w:t>, g/km</w:t>
            </w:r>
          </w:p>
        </w:tc>
        <w:tc>
          <w:tcPr>
            <w:tcW w:w="735" w:type="dxa"/>
            <w:vMerge/>
            <w:tcBorders>
              <w:bottom w:val="nil"/>
            </w:tcBorders>
            <w:shd w:val="clear" w:color="auto" w:fill="auto"/>
          </w:tcPr>
          <w:p w:rsidR="00E24DB7" w:rsidRPr="002C5876" w:rsidRDefault="00E24DB7" w:rsidP="00E24DB7">
            <w:pPr>
              <w:spacing w:before="60" w:after="60" w:line="220" w:lineRule="atLeast"/>
              <w:ind w:left="57" w:right="57"/>
              <w:rPr>
                <w:sz w:val="18"/>
                <w:szCs w:val="18"/>
              </w:rPr>
            </w:pPr>
          </w:p>
        </w:tc>
      </w:tr>
      <w:tr w:rsidR="00E24DB7" w:rsidRPr="002C5876" w:rsidTr="00E24DB7">
        <w:trPr>
          <w:jc w:val="center"/>
        </w:trPr>
        <w:tc>
          <w:tcPr>
            <w:tcW w:w="1261"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p>
        </w:tc>
        <w:tc>
          <w:tcPr>
            <w:tcW w:w="2117"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p>
        </w:tc>
        <w:tc>
          <w:tcPr>
            <w:tcW w:w="3145"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Émissions massiques du composé gazeux i conformément au paragraphe 3.2.1 de l’annexe 7.</w:t>
            </w:r>
          </w:p>
        </w:tc>
        <w:tc>
          <w:tcPr>
            <w:tcW w:w="2381"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M</w:t>
            </w:r>
            <w:r w:rsidRPr="002C5876">
              <w:rPr>
                <w:sz w:val="18"/>
                <w:szCs w:val="18"/>
                <w:vertAlign w:val="subscript"/>
              </w:rPr>
              <w:t>i,CD,j</w:t>
            </w:r>
            <w:r w:rsidRPr="002C5876">
              <w:rPr>
                <w:sz w:val="18"/>
                <w:szCs w:val="18"/>
              </w:rPr>
              <w:t>, g/km</w:t>
            </w:r>
          </w:p>
        </w:tc>
        <w:tc>
          <w:tcPr>
            <w:tcW w:w="735" w:type="dxa"/>
            <w:vMerge/>
            <w:tcBorders>
              <w:bottom w:val="nil"/>
            </w:tcBorders>
            <w:shd w:val="clear" w:color="auto" w:fill="auto"/>
          </w:tcPr>
          <w:p w:rsidR="00E24DB7" w:rsidRPr="002C5876" w:rsidRDefault="00E24DB7" w:rsidP="00E24DB7">
            <w:pPr>
              <w:spacing w:before="60" w:after="60" w:line="220" w:lineRule="atLeast"/>
              <w:ind w:left="57" w:right="57"/>
              <w:rPr>
                <w:sz w:val="18"/>
                <w:szCs w:val="18"/>
              </w:rPr>
            </w:pPr>
          </w:p>
        </w:tc>
      </w:tr>
      <w:tr w:rsidR="00E24DB7" w:rsidRPr="002C5876" w:rsidTr="00E24DB7">
        <w:trPr>
          <w:jc w:val="center"/>
        </w:trPr>
        <w:tc>
          <w:tcPr>
            <w:tcW w:w="1261"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p>
        </w:tc>
        <w:tc>
          <w:tcPr>
            <w:tcW w:w="2117"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p>
        </w:tc>
        <w:tc>
          <w:tcPr>
            <w:tcW w:w="3145"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Émissions en nombre de particules (le cas échéant) conformément au paragraphe 4 de l’annexe 7.</w:t>
            </w:r>
          </w:p>
        </w:tc>
        <w:tc>
          <w:tcPr>
            <w:tcW w:w="2381"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PN</w:t>
            </w:r>
            <w:r w:rsidRPr="002C5876">
              <w:rPr>
                <w:sz w:val="18"/>
                <w:szCs w:val="18"/>
                <w:vertAlign w:val="subscript"/>
              </w:rPr>
              <w:t>CD,j</w:t>
            </w:r>
            <w:r w:rsidRPr="002C5876">
              <w:rPr>
                <w:sz w:val="18"/>
                <w:szCs w:val="18"/>
              </w:rPr>
              <w:t>, particules par km</w:t>
            </w:r>
          </w:p>
        </w:tc>
        <w:tc>
          <w:tcPr>
            <w:tcW w:w="735" w:type="dxa"/>
            <w:vMerge/>
            <w:tcBorders>
              <w:bottom w:val="nil"/>
            </w:tcBorders>
            <w:shd w:val="clear" w:color="auto" w:fill="auto"/>
          </w:tcPr>
          <w:p w:rsidR="00E24DB7" w:rsidRPr="002C5876" w:rsidRDefault="00E24DB7" w:rsidP="00E24DB7">
            <w:pPr>
              <w:spacing w:before="60" w:after="60" w:line="220" w:lineRule="atLeast"/>
              <w:ind w:left="57" w:right="57"/>
              <w:rPr>
                <w:sz w:val="18"/>
                <w:szCs w:val="18"/>
              </w:rPr>
            </w:pPr>
          </w:p>
        </w:tc>
      </w:tr>
      <w:tr w:rsidR="00E24DB7" w:rsidRPr="002C5876" w:rsidTr="00E24DB7">
        <w:trPr>
          <w:jc w:val="center"/>
        </w:trPr>
        <w:tc>
          <w:tcPr>
            <w:tcW w:w="1261"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p>
        </w:tc>
        <w:tc>
          <w:tcPr>
            <w:tcW w:w="2117"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p>
        </w:tc>
        <w:tc>
          <w:tcPr>
            <w:tcW w:w="3145"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Masse de matières particulaires conformément au paragraphe 3.3 de l’annexe 7.</w:t>
            </w:r>
          </w:p>
        </w:tc>
        <w:tc>
          <w:tcPr>
            <w:tcW w:w="2381"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PM</w:t>
            </w:r>
            <w:r w:rsidRPr="002C5876">
              <w:rPr>
                <w:sz w:val="18"/>
                <w:szCs w:val="18"/>
                <w:vertAlign w:val="subscript"/>
              </w:rPr>
              <w:t>CD,c</w:t>
            </w:r>
            <w:r w:rsidRPr="002C5876">
              <w:rPr>
                <w:sz w:val="18"/>
                <w:szCs w:val="18"/>
              </w:rPr>
              <w:t>, mg/km</w:t>
            </w:r>
          </w:p>
        </w:tc>
        <w:tc>
          <w:tcPr>
            <w:tcW w:w="735" w:type="dxa"/>
            <w:vMerge/>
            <w:tcBorders>
              <w:bottom w:val="nil"/>
            </w:tcBorders>
            <w:shd w:val="clear" w:color="auto" w:fill="auto"/>
          </w:tcPr>
          <w:p w:rsidR="00E24DB7" w:rsidRPr="002C5876" w:rsidRDefault="00E24DB7" w:rsidP="00E24DB7">
            <w:pPr>
              <w:spacing w:before="60" w:after="60" w:line="220" w:lineRule="atLeast"/>
              <w:ind w:left="57" w:right="57"/>
              <w:rPr>
                <w:sz w:val="18"/>
                <w:szCs w:val="18"/>
              </w:rPr>
            </w:pPr>
          </w:p>
        </w:tc>
      </w:tr>
      <w:tr w:rsidR="00E24DB7" w:rsidRPr="002C5876" w:rsidTr="00E24DB7">
        <w:trPr>
          <w:jc w:val="center"/>
        </w:trPr>
        <w:tc>
          <w:tcPr>
            <w:tcW w:w="1261"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p>
        </w:tc>
        <w:tc>
          <w:tcPr>
            <w:tcW w:w="2117"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p>
        </w:tc>
        <w:tc>
          <w:tcPr>
            <w:tcW w:w="3145"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Autonomie en mode électrique pur déterminé conformément au paragraphe 4.4.1.1 de la présente annexe.</w:t>
            </w:r>
          </w:p>
        </w:tc>
        <w:tc>
          <w:tcPr>
            <w:tcW w:w="2381"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AER, km</w:t>
            </w:r>
          </w:p>
        </w:tc>
        <w:tc>
          <w:tcPr>
            <w:tcW w:w="735" w:type="dxa"/>
            <w:vMerge/>
            <w:tcBorders>
              <w:bottom w:val="nil"/>
            </w:tcBorders>
            <w:shd w:val="clear" w:color="auto" w:fill="auto"/>
          </w:tcPr>
          <w:p w:rsidR="00E24DB7" w:rsidRPr="002C5876" w:rsidRDefault="00E24DB7" w:rsidP="00E24DB7">
            <w:pPr>
              <w:spacing w:before="60" w:after="60" w:line="220" w:lineRule="atLeast"/>
              <w:ind w:left="57" w:right="57"/>
              <w:rPr>
                <w:sz w:val="18"/>
                <w:szCs w:val="18"/>
              </w:rPr>
            </w:pPr>
          </w:p>
        </w:tc>
      </w:tr>
      <w:tr w:rsidR="00E24DB7" w:rsidRPr="002C5876" w:rsidTr="00E24DB7">
        <w:trPr>
          <w:jc w:val="center"/>
        </w:trPr>
        <w:tc>
          <w:tcPr>
            <w:tcW w:w="1261"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p>
        </w:tc>
        <w:tc>
          <w:tcPr>
            <w:tcW w:w="2117"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p>
        </w:tc>
        <w:tc>
          <w:tcPr>
            <w:tcW w:w="3145"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Si le cycle WLTC urbain applicable a été exécuté : autonomie en mode électrique urbain conformément au paragraphe 4.4.1.2.1 de la présente annexe.</w:t>
            </w:r>
          </w:p>
        </w:tc>
        <w:tc>
          <w:tcPr>
            <w:tcW w:w="2381"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AER</w:t>
            </w:r>
            <w:r w:rsidRPr="002C5876">
              <w:rPr>
                <w:sz w:val="18"/>
                <w:szCs w:val="18"/>
                <w:vertAlign w:val="subscript"/>
              </w:rPr>
              <w:t>city</w:t>
            </w:r>
            <w:r w:rsidRPr="002C5876">
              <w:rPr>
                <w:sz w:val="18"/>
                <w:szCs w:val="18"/>
              </w:rPr>
              <w:t>, km</w:t>
            </w:r>
          </w:p>
        </w:tc>
        <w:tc>
          <w:tcPr>
            <w:tcW w:w="735" w:type="dxa"/>
            <w:vMerge/>
            <w:tcBorders>
              <w:bottom w:val="nil"/>
            </w:tcBorders>
            <w:shd w:val="clear" w:color="auto" w:fill="auto"/>
          </w:tcPr>
          <w:p w:rsidR="00E24DB7" w:rsidRPr="002C5876" w:rsidRDefault="00E24DB7" w:rsidP="00E24DB7">
            <w:pPr>
              <w:spacing w:before="60" w:after="60" w:line="220" w:lineRule="atLeast"/>
              <w:ind w:left="57" w:right="57"/>
              <w:rPr>
                <w:sz w:val="18"/>
                <w:szCs w:val="18"/>
              </w:rPr>
            </w:pPr>
          </w:p>
        </w:tc>
      </w:tr>
      <w:tr w:rsidR="00E24DB7" w:rsidRPr="00D53F39" w:rsidTr="00E24DB7">
        <w:trPr>
          <w:jc w:val="center"/>
        </w:trPr>
        <w:tc>
          <w:tcPr>
            <w:tcW w:w="1261"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p>
        </w:tc>
        <w:tc>
          <w:tcPr>
            <w:tcW w:w="2117"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p>
        </w:tc>
        <w:tc>
          <w:tcPr>
            <w:tcW w:w="3145"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Un coefficient de correction des émissions massiques de CO</w:t>
            </w:r>
            <w:r w:rsidRPr="002C5876">
              <w:rPr>
                <w:sz w:val="18"/>
                <w:szCs w:val="18"/>
                <w:vertAlign w:val="subscript"/>
              </w:rPr>
              <w:t>2</w:t>
            </w:r>
            <w:r w:rsidRPr="002C5876">
              <w:rPr>
                <w:sz w:val="18"/>
                <w:szCs w:val="18"/>
              </w:rPr>
              <w:t xml:space="preserve"> (K</w:t>
            </w:r>
            <w:r w:rsidRPr="002C5876">
              <w:rPr>
                <w:sz w:val="18"/>
                <w:szCs w:val="18"/>
                <w:vertAlign w:val="subscript"/>
              </w:rPr>
              <w:t>CO2</w:t>
            </w:r>
            <w:r w:rsidRPr="002C5876">
              <w:rPr>
                <w:sz w:val="18"/>
                <w:szCs w:val="18"/>
              </w:rPr>
              <w:t>)</w:t>
            </w:r>
            <w:r w:rsidRPr="002C5876">
              <w:rPr>
                <w:sz w:val="18"/>
                <w:szCs w:val="18"/>
                <w:vertAlign w:val="subscript"/>
              </w:rPr>
              <w:t xml:space="preserve"> </w:t>
            </w:r>
            <w:r w:rsidRPr="002C5876">
              <w:rPr>
                <w:spacing w:val="-3"/>
                <w:sz w:val="18"/>
                <w:szCs w:val="18"/>
              </w:rPr>
              <w:t>peut être nécessaire conformément</w:t>
            </w:r>
            <w:r w:rsidRPr="002C5876">
              <w:rPr>
                <w:sz w:val="18"/>
                <w:szCs w:val="18"/>
              </w:rPr>
              <w:t xml:space="preserve"> à l’appendice 2 de la présente annexe. </w:t>
            </w:r>
          </w:p>
        </w:tc>
        <w:tc>
          <w:tcPr>
            <w:tcW w:w="2381" w:type="dxa"/>
            <w:tcBorders>
              <w:top w:val="nil"/>
              <w:bottom w:val="nil"/>
            </w:tcBorders>
            <w:shd w:val="clear" w:color="auto" w:fill="auto"/>
          </w:tcPr>
          <w:p w:rsidR="00E24DB7" w:rsidRPr="00D53F39" w:rsidRDefault="00E24DB7" w:rsidP="00E24DB7">
            <w:pPr>
              <w:spacing w:before="60" w:after="60" w:line="220" w:lineRule="atLeast"/>
              <w:ind w:left="57" w:right="57"/>
              <w:rPr>
                <w:sz w:val="18"/>
                <w:szCs w:val="18"/>
                <w:lang w:val="en-US"/>
              </w:rPr>
            </w:pPr>
            <w:r w:rsidRPr="00D53F39">
              <w:rPr>
                <w:sz w:val="18"/>
                <w:szCs w:val="18"/>
                <w:lang w:val="en-US"/>
              </w:rPr>
              <w:t>K</w:t>
            </w:r>
            <w:r w:rsidRPr="00D53F39">
              <w:rPr>
                <w:sz w:val="18"/>
                <w:szCs w:val="18"/>
                <w:vertAlign w:val="subscript"/>
                <w:lang w:val="en-US"/>
              </w:rPr>
              <w:t>CO2</w:t>
            </w:r>
            <w:r w:rsidRPr="00D53F39">
              <w:rPr>
                <w:sz w:val="18"/>
                <w:szCs w:val="18"/>
                <w:lang w:val="en-US"/>
              </w:rPr>
              <w:t>,</w:t>
            </w:r>
            <w:r w:rsidRPr="00D53F39">
              <w:rPr>
                <w:sz w:val="18"/>
                <w:szCs w:val="18"/>
                <w:lang w:val="en-US"/>
              </w:rPr>
              <w:br/>
              <w:t>(g/km)/(Wh/km)</w:t>
            </w:r>
          </w:p>
        </w:tc>
        <w:tc>
          <w:tcPr>
            <w:tcW w:w="735" w:type="dxa"/>
            <w:vMerge/>
            <w:tcBorders>
              <w:top w:val="nil"/>
              <w:bottom w:val="nil"/>
            </w:tcBorders>
            <w:shd w:val="clear" w:color="auto" w:fill="auto"/>
          </w:tcPr>
          <w:p w:rsidR="00E24DB7" w:rsidRPr="00D53F39" w:rsidRDefault="00E24DB7" w:rsidP="00E24DB7">
            <w:pPr>
              <w:spacing w:before="60" w:after="60" w:line="220" w:lineRule="atLeast"/>
              <w:ind w:left="57" w:right="57"/>
              <w:rPr>
                <w:sz w:val="18"/>
                <w:szCs w:val="18"/>
                <w:lang w:val="en-US"/>
              </w:rPr>
            </w:pPr>
          </w:p>
        </w:tc>
      </w:tr>
      <w:tr w:rsidR="00E24DB7" w:rsidRPr="002C5876" w:rsidTr="00E24DB7">
        <w:trPr>
          <w:jc w:val="center"/>
        </w:trPr>
        <w:tc>
          <w:tcPr>
            <w:tcW w:w="1261" w:type="dxa"/>
            <w:tcBorders>
              <w:top w:val="nil"/>
              <w:bottom w:val="single" w:sz="4" w:space="0" w:color="auto"/>
            </w:tcBorders>
            <w:shd w:val="clear" w:color="auto" w:fill="auto"/>
          </w:tcPr>
          <w:p w:rsidR="00E24DB7" w:rsidRPr="00D53F39" w:rsidRDefault="00E24DB7" w:rsidP="00E24DB7">
            <w:pPr>
              <w:spacing w:before="60" w:after="60" w:line="220" w:lineRule="atLeast"/>
              <w:ind w:left="57" w:right="57"/>
              <w:rPr>
                <w:sz w:val="18"/>
                <w:szCs w:val="18"/>
                <w:lang w:val="en-US"/>
              </w:rPr>
            </w:pPr>
          </w:p>
        </w:tc>
        <w:tc>
          <w:tcPr>
            <w:tcW w:w="2117" w:type="dxa"/>
            <w:tcBorders>
              <w:top w:val="nil"/>
              <w:bottom w:val="single" w:sz="4" w:space="0" w:color="auto"/>
            </w:tcBorders>
            <w:shd w:val="clear" w:color="auto" w:fill="auto"/>
          </w:tcPr>
          <w:p w:rsidR="00E24DB7" w:rsidRPr="00D53F39" w:rsidRDefault="00E24DB7" w:rsidP="00E24DB7">
            <w:pPr>
              <w:spacing w:before="60" w:after="60" w:line="220" w:lineRule="atLeast"/>
              <w:ind w:left="57" w:right="57"/>
              <w:rPr>
                <w:sz w:val="18"/>
                <w:szCs w:val="18"/>
                <w:lang w:val="en-US"/>
              </w:rPr>
            </w:pPr>
          </w:p>
        </w:tc>
        <w:tc>
          <w:tcPr>
            <w:tcW w:w="3145" w:type="dxa"/>
            <w:tcBorders>
              <w:top w:val="nil"/>
              <w:bottom w:val="single" w:sz="4" w:space="0" w:color="auto"/>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Données de sortie disponibles pour chaque essai.</w:t>
            </w:r>
          </w:p>
          <w:p w:rsidR="00E24DB7" w:rsidRPr="002C5876" w:rsidRDefault="00E24DB7" w:rsidP="00E24DB7">
            <w:pPr>
              <w:spacing w:before="60" w:after="60" w:line="220" w:lineRule="atLeast"/>
              <w:ind w:left="57" w:right="57"/>
              <w:rPr>
                <w:sz w:val="18"/>
                <w:szCs w:val="18"/>
              </w:rPr>
            </w:pPr>
            <w:r w:rsidRPr="002C5876">
              <w:rPr>
                <w:sz w:val="18"/>
                <w:szCs w:val="18"/>
              </w:rPr>
              <w:t>Si la méthode d’interpolation est appliquée, les données de sortie (à l’exception de K</w:t>
            </w:r>
            <w:r w:rsidRPr="002C5876">
              <w:rPr>
                <w:sz w:val="18"/>
                <w:szCs w:val="18"/>
                <w:vertAlign w:val="subscript"/>
              </w:rPr>
              <w:t>CO2</w:t>
            </w:r>
            <w:r w:rsidRPr="002C5876">
              <w:rPr>
                <w:sz w:val="18"/>
                <w:szCs w:val="18"/>
              </w:rPr>
              <w:t>) sont disponibles pour les véhicules H, L et, le cas échéant, M.</w:t>
            </w:r>
          </w:p>
        </w:tc>
        <w:tc>
          <w:tcPr>
            <w:tcW w:w="2381" w:type="dxa"/>
            <w:tcBorders>
              <w:top w:val="nil"/>
              <w:bottom w:val="single" w:sz="4" w:space="0" w:color="auto"/>
            </w:tcBorders>
            <w:shd w:val="clear" w:color="auto" w:fill="auto"/>
          </w:tcPr>
          <w:p w:rsidR="00E24DB7" w:rsidRPr="002C5876" w:rsidRDefault="00E24DB7" w:rsidP="00E24DB7">
            <w:pPr>
              <w:spacing w:before="60" w:after="60" w:line="220" w:lineRule="atLeast"/>
              <w:ind w:left="57" w:right="57"/>
              <w:rPr>
                <w:sz w:val="18"/>
                <w:szCs w:val="18"/>
              </w:rPr>
            </w:pPr>
          </w:p>
        </w:tc>
        <w:tc>
          <w:tcPr>
            <w:tcW w:w="735" w:type="dxa"/>
            <w:tcBorders>
              <w:top w:val="nil"/>
              <w:bottom w:val="single" w:sz="4" w:space="0" w:color="auto"/>
            </w:tcBorders>
            <w:shd w:val="clear" w:color="auto" w:fill="auto"/>
          </w:tcPr>
          <w:p w:rsidR="00E24DB7" w:rsidRPr="002C5876" w:rsidRDefault="00E24DB7" w:rsidP="00E24DB7">
            <w:pPr>
              <w:spacing w:before="60" w:after="60" w:line="220" w:lineRule="atLeast"/>
              <w:ind w:left="57" w:right="57"/>
              <w:rPr>
                <w:sz w:val="18"/>
                <w:szCs w:val="18"/>
              </w:rPr>
            </w:pPr>
          </w:p>
        </w:tc>
      </w:tr>
      <w:tr w:rsidR="00E24DB7" w:rsidRPr="002C5876" w:rsidTr="00E24DB7">
        <w:trPr>
          <w:jc w:val="center"/>
        </w:trPr>
        <w:tc>
          <w:tcPr>
            <w:tcW w:w="1261" w:type="dxa"/>
            <w:tcBorders>
              <w:top w:val="single" w:sz="4" w:space="0" w:color="auto"/>
              <w:bottom w:val="nil"/>
            </w:tcBorders>
            <w:shd w:val="clear" w:color="auto" w:fill="auto"/>
          </w:tcPr>
          <w:p w:rsidR="00E24DB7" w:rsidRPr="002C5876" w:rsidRDefault="00E24DB7" w:rsidP="00E24DB7">
            <w:pPr>
              <w:keepNext/>
              <w:spacing w:before="60" w:after="60" w:line="220" w:lineRule="atLeast"/>
              <w:ind w:left="57" w:right="57"/>
              <w:rPr>
                <w:sz w:val="18"/>
                <w:szCs w:val="18"/>
              </w:rPr>
            </w:pPr>
            <w:r w:rsidRPr="002C5876">
              <w:rPr>
                <w:sz w:val="18"/>
                <w:szCs w:val="18"/>
              </w:rPr>
              <w:lastRenderedPageBreak/>
              <w:t xml:space="preserve">Sortie </w:t>
            </w:r>
            <w:r w:rsidRPr="002C5876">
              <w:rPr>
                <w:sz w:val="18"/>
                <w:szCs w:val="18"/>
              </w:rPr>
              <w:br/>
              <w:t>de l’étape 1</w:t>
            </w:r>
          </w:p>
        </w:tc>
        <w:tc>
          <w:tcPr>
            <w:tcW w:w="2117" w:type="dxa"/>
            <w:tcBorders>
              <w:top w:val="single" w:sz="4" w:space="0" w:color="auto"/>
              <w:bottom w:val="nil"/>
            </w:tcBorders>
            <w:shd w:val="clear" w:color="auto" w:fill="auto"/>
          </w:tcPr>
          <w:p w:rsidR="00E24DB7" w:rsidRPr="00D53F39" w:rsidRDefault="00E24DB7" w:rsidP="00E24DB7">
            <w:pPr>
              <w:keepNext/>
              <w:spacing w:before="60" w:after="60" w:line="220" w:lineRule="atLeast"/>
              <w:ind w:left="57" w:right="57"/>
              <w:rPr>
                <w:sz w:val="18"/>
                <w:szCs w:val="18"/>
                <w:lang w:val="en-US"/>
              </w:rPr>
            </w:pPr>
            <w:r w:rsidRPr="002C5876">
              <w:rPr>
                <w:sz w:val="18"/>
                <w:szCs w:val="18"/>
              </w:rPr>
              <w:t>Δ</w:t>
            </w:r>
            <w:r w:rsidRPr="00D53F39">
              <w:rPr>
                <w:sz w:val="18"/>
                <w:szCs w:val="18"/>
                <w:lang w:val="en-US"/>
              </w:rPr>
              <w:t>E</w:t>
            </w:r>
            <w:r w:rsidRPr="00D53F39">
              <w:rPr>
                <w:sz w:val="18"/>
                <w:szCs w:val="18"/>
                <w:vertAlign w:val="subscript"/>
                <w:lang w:val="en-US"/>
              </w:rPr>
              <w:t>REESS,j</w:t>
            </w:r>
            <w:r w:rsidRPr="00D53F39">
              <w:rPr>
                <w:sz w:val="18"/>
                <w:szCs w:val="18"/>
                <w:lang w:val="en-US"/>
              </w:rPr>
              <w:t>, Wh</w:t>
            </w:r>
            <w:r w:rsidRPr="00D53F39">
              <w:rPr>
                <w:sz w:val="18"/>
                <w:szCs w:val="18"/>
                <w:lang w:val="en-US"/>
              </w:rPr>
              <w:br/>
              <w:t>E</w:t>
            </w:r>
            <w:r w:rsidRPr="00D53F39">
              <w:rPr>
                <w:sz w:val="18"/>
                <w:szCs w:val="18"/>
                <w:vertAlign w:val="subscript"/>
                <w:lang w:val="en-US"/>
              </w:rPr>
              <w:t>cycle</w:t>
            </w:r>
            <w:r w:rsidRPr="00D53F39">
              <w:rPr>
                <w:sz w:val="18"/>
                <w:szCs w:val="18"/>
                <w:lang w:val="en-US"/>
              </w:rPr>
              <w:t>, Ws</w:t>
            </w:r>
          </w:p>
        </w:tc>
        <w:tc>
          <w:tcPr>
            <w:tcW w:w="3145" w:type="dxa"/>
            <w:tcBorders>
              <w:top w:val="single" w:sz="4" w:space="0" w:color="auto"/>
              <w:bottom w:val="nil"/>
            </w:tcBorders>
            <w:shd w:val="clear" w:color="auto" w:fill="auto"/>
          </w:tcPr>
          <w:p w:rsidR="00E24DB7" w:rsidRPr="002C5876" w:rsidRDefault="00E24DB7" w:rsidP="00E24DB7">
            <w:pPr>
              <w:keepNext/>
              <w:spacing w:before="60" w:after="60" w:line="220" w:lineRule="atLeast"/>
              <w:ind w:left="57" w:right="57"/>
              <w:rPr>
                <w:sz w:val="18"/>
                <w:szCs w:val="18"/>
              </w:rPr>
            </w:pPr>
            <w:r w:rsidRPr="002C5876">
              <w:rPr>
                <w:sz w:val="18"/>
                <w:szCs w:val="18"/>
              </w:rPr>
              <w:t xml:space="preserve">Calcul de la variation énergétique électrique relative pour chaque cycle conformément au paragraphe 3.2.4.5.2 de la présente annexe. </w:t>
            </w:r>
          </w:p>
        </w:tc>
        <w:tc>
          <w:tcPr>
            <w:tcW w:w="2381" w:type="dxa"/>
            <w:tcBorders>
              <w:top w:val="single" w:sz="4" w:space="0" w:color="auto"/>
              <w:bottom w:val="nil"/>
            </w:tcBorders>
            <w:shd w:val="clear" w:color="auto" w:fill="auto"/>
          </w:tcPr>
          <w:p w:rsidR="00E24DB7" w:rsidRPr="002C5876" w:rsidRDefault="00E24DB7" w:rsidP="00E24DB7">
            <w:pPr>
              <w:keepNext/>
              <w:spacing w:before="60" w:after="60" w:line="220" w:lineRule="atLeast"/>
              <w:ind w:left="57" w:right="57"/>
              <w:rPr>
                <w:sz w:val="18"/>
                <w:szCs w:val="18"/>
              </w:rPr>
            </w:pPr>
            <w:r w:rsidRPr="002C5876">
              <w:rPr>
                <w:sz w:val="18"/>
                <w:szCs w:val="18"/>
              </w:rPr>
              <w:t>REEC</w:t>
            </w:r>
            <w:r w:rsidRPr="002C5876">
              <w:rPr>
                <w:sz w:val="18"/>
                <w:szCs w:val="18"/>
                <w:vertAlign w:val="subscript"/>
              </w:rPr>
              <w:t>i</w:t>
            </w:r>
          </w:p>
        </w:tc>
        <w:tc>
          <w:tcPr>
            <w:tcW w:w="735" w:type="dxa"/>
            <w:tcBorders>
              <w:top w:val="single" w:sz="4" w:space="0" w:color="auto"/>
              <w:bottom w:val="nil"/>
            </w:tcBorders>
            <w:shd w:val="clear" w:color="auto" w:fill="auto"/>
          </w:tcPr>
          <w:p w:rsidR="00E24DB7" w:rsidRPr="002C5876" w:rsidRDefault="00E24DB7" w:rsidP="00E24DB7">
            <w:pPr>
              <w:keepNext/>
              <w:spacing w:before="60" w:after="60" w:line="220" w:lineRule="atLeast"/>
              <w:ind w:left="57" w:right="57"/>
              <w:rPr>
                <w:sz w:val="18"/>
                <w:szCs w:val="18"/>
              </w:rPr>
            </w:pPr>
            <w:r w:rsidRPr="002C5876">
              <w:rPr>
                <w:sz w:val="18"/>
                <w:szCs w:val="18"/>
              </w:rPr>
              <w:t>2</w:t>
            </w:r>
          </w:p>
        </w:tc>
      </w:tr>
      <w:tr w:rsidR="00E24DB7" w:rsidRPr="002C5876" w:rsidTr="00E24DB7">
        <w:trPr>
          <w:jc w:val="center"/>
        </w:trPr>
        <w:tc>
          <w:tcPr>
            <w:tcW w:w="1261" w:type="dxa"/>
            <w:tcBorders>
              <w:top w:val="nil"/>
              <w:bottom w:val="single" w:sz="4" w:space="0" w:color="auto"/>
            </w:tcBorders>
            <w:shd w:val="clear" w:color="auto" w:fill="auto"/>
          </w:tcPr>
          <w:p w:rsidR="00E24DB7" w:rsidRPr="002C5876" w:rsidRDefault="00E24DB7" w:rsidP="00E24DB7">
            <w:pPr>
              <w:keepNext/>
              <w:spacing w:before="60" w:after="60" w:line="220" w:lineRule="atLeast"/>
              <w:ind w:left="57" w:right="57"/>
              <w:rPr>
                <w:sz w:val="18"/>
                <w:szCs w:val="18"/>
              </w:rPr>
            </w:pPr>
          </w:p>
        </w:tc>
        <w:tc>
          <w:tcPr>
            <w:tcW w:w="2117" w:type="dxa"/>
            <w:tcBorders>
              <w:top w:val="nil"/>
              <w:bottom w:val="single" w:sz="4" w:space="0" w:color="auto"/>
            </w:tcBorders>
            <w:shd w:val="clear" w:color="auto" w:fill="auto"/>
          </w:tcPr>
          <w:p w:rsidR="00E24DB7" w:rsidRPr="002C5876" w:rsidRDefault="00E24DB7" w:rsidP="00E24DB7">
            <w:pPr>
              <w:keepNext/>
              <w:spacing w:before="60" w:after="60" w:line="220" w:lineRule="atLeast"/>
              <w:ind w:left="57" w:right="57"/>
              <w:rPr>
                <w:sz w:val="18"/>
                <w:szCs w:val="18"/>
              </w:rPr>
            </w:pPr>
          </w:p>
        </w:tc>
        <w:tc>
          <w:tcPr>
            <w:tcW w:w="3145" w:type="dxa"/>
            <w:tcBorders>
              <w:top w:val="nil"/>
              <w:bottom w:val="single" w:sz="4" w:space="0" w:color="auto"/>
            </w:tcBorders>
            <w:shd w:val="clear" w:color="auto" w:fill="auto"/>
          </w:tcPr>
          <w:p w:rsidR="00E24DB7" w:rsidRPr="002C5876" w:rsidRDefault="00E24DB7" w:rsidP="00E24DB7">
            <w:pPr>
              <w:keepNext/>
              <w:spacing w:before="60" w:after="60" w:line="220" w:lineRule="atLeast"/>
              <w:ind w:left="57" w:right="57"/>
              <w:rPr>
                <w:sz w:val="18"/>
                <w:szCs w:val="18"/>
              </w:rPr>
            </w:pPr>
            <w:r w:rsidRPr="002C5876">
              <w:rPr>
                <w:sz w:val="18"/>
                <w:szCs w:val="18"/>
              </w:rPr>
              <w:t>Données de sortie disponibles pour chaque essai et chaque cycle WLTP applicable.</w:t>
            </w:r>
          </w:p>
          <w:p w:rsidR="00E24DB7" w:rsidRPr="002C5876" w:rsidRDefault="00E24DB7" w:rsidP="00E24DB7">
            <w:pPr>
              <w:keepNext/>
              <w:spacing w:before="60" w:after="60" w:line="220" w:lineRule="atLeast"/>
              <w:ind w:left="57" w:right="57"/>
              <w:rPr>
                <w:sz w:val="18"/>
                <w:szCs w:val="18"/>
              </w:rPr>
            </w:pPr>
            <w:r w:rsidRPr="002C5876">
              <w:rPr>
                <w:sz w:val="18"/>
                <w:szCs w:val="18"/>
              </w:rPr>
              <w:t>Si la méthode d’interpolation est appliquée, les données de sortie sont disponibles pour les véhicules H, L et, le cas échéant, M.</w:t>
            </w:r>
          </w:p>
        </w:tc>
        <w:tc>
          <w:tcPr>
            <w:tcW w:w="2381" w:type="dxa"/>
            <w:tcBorders>
              <w:top w:val="nil"/>
              <w:bottom w:val="single" w:sz="4" w:space="0" w:color="auto"/>
            </w:tcBorders>
            <w:shd w:val="clear" w:color="auto" w:fill="auto"/>
          </w:tcPr>
          <w:p w:rsidR="00E24DB7" w:rsidRPr="002C5876" w:rsidRDefault="00E24DB7" w:rsidP="00E24DB7">
            <w:pPr>
              <w:keepNext/>
              <w:spacing w:before="60" w:after="60" w:line="220" w:lineRule="atLeast"/>
              <w:ind w:left="57" w:right="57"/>
              <w:rPr>
                <w:sz w:val="18"/>
                <w:szCs w:val="18"/>
              </w:rPr>
            </w:pPr>
          </w:p>
        </w:tc>
        <w:tc>
          <w:tcPr>
            <w:tcW w:w="735" w:type="dxa"/>
            <w:tcBorders>
              <w:top w:val="nil"/>
              <w:bottom w:val="single" w:sz="4" w:space="0" w:color="auto"/>
            </w:tcBorders>
            <w:shd w:val="clear" w:color="auto" w:fill="auto"/>
          </w:tcPr>
          <w:p w:rsidR="00E24DB7" w:rsidRPr="002C5876" w:rsidRDefault="00E24DB7" w:rsidP="00E24DB7">
            <w:pPr>
              <w:keepNext/>
              <w:spacing w:before="60" w:after="60" w:line="220" w:lineRule="atLeast"/>
              <w:ind w:left="57" w:right="57"/>
              <w:rPr>
                <w:sz w:val="18"/>
                <w:szCs w:val="18"/>
              </w:rPr>
            </w:pPr>
          </w:p>
        </w:tc>
      </w:tr>
      <w:tr w:rsidR="00E24DB7" w:rsidRPr="002C5876" w:rsidTr="00E24DB7">
        <w:trPr>
          <w:jc w:val="center"/>
        </w:trPr>
        <w:tc>
          <w:tcPr>
            <w:tcW w:w="1261" w:type="dxa"/>
            <w:tcBorders>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 xml:space="preserve">Sortie </w:t>
            </w:r>
            <w:r w:rsidRPr="002C5876">
              <w:rPr>
                <w:sz w:val="18"/>
                <w:szCs w:val="18"/>
              </w:rPr>
              <w:br/>
              <w:t>de l’étape 2</w:t>
            </w:r>
          </w:p>
        </w:tc>
        <w:tc>
          <w:tcPr>
            <w:tcW w:w="2117" w:type="dxa"/>
            <w:tcBorders>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REEC</w:t>
            </w:r>
            <w:r w:rsidRPr="002C5876">
              <w:rPr>
                <w:sz w:val="18"/>
                <w:szCs w:val="18"/>
                <w:vertAlign w:val="subscript"/>
              </w:rPr>
              <w:t>i</w:t>
            </w:r>
          </w:p>
        </w:tc>
        <w:tc>
          <w:tcPr>
            <w:tcW w:w="3145" w:type="dxa"/>
            <w:tcBorders>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 xml:space="preserve">Détermination du cycle de transition et du cycle de confirmation conformément au paragraphe 3.2.4.4 de la présente annexe. </w:t>
            </w:r>
          </w:p>
          <w:p w:rsidR="00E24DB7" w:rsidRPr="002C5876" w:rsidRDefault="00E24DB7" w:rsidP="00E24DB7">
            <w:pPr>
              <w:spacing w:before="60" w:after="60" w:line="220" w:lineRule="atLeast"/>
              <w:ind w:left="57" w:right="57"/>
              <w:rPr>
                <w:sz w:val="18"/>
                <w:szCs w:val="18"/>
              </w:rPr>
            </w:pPr>
            <w:r w:rsidRPr="002C5876">
              <w:rPr>
                <w:sz w:val="18"/>
                <w:szCs w:val="18"/>
              </w:rPr>
              <w:t>Si plusieurs essais en mode épuisement de la charge sont réalisés pour un véhicule donné, aux fins du calcul de la moyenne, chaque essai doit avoir le même nombre de cycles de transition n</w:t>
            </w:r>
            <w:r w:rsidRPr="002C5876">
              <w:rPr>
                <w:sz w:val="18"/>
                <w:szCs w:val="18"/>
                <w:vertAlign w:val="subscript"/>
              </w:rPr>
              <w:t>veh</w:t>
            </w:r>
            <w:r w:rsidRPr="002C5876">
              <w:rPr>
                <w:sz w:val="18"/>
                <w:szCs w:val="18"/>
              </w:rPr>
              <w:t>.</w:t>
            </w:r>
          </w:p>
        </w:tc>
        <w:tc>
          <w:tcPr>
            <w:tcW w:w="2381" w:type="dxa"/>
            <w:tcBorders>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n</w:t>
            </w:r>
            <w:r w:rsidRPr="002C5876">
              <w:rPr>
                <w:sz w:val="18"/>
                <w:szCs w:val="18"/>
                <w:vertAlign w:val="subscript"/>
              </w:rPr>
              <w:t>veh</w:t>
            </w:r>
          </w:p>
        </w:tc>
        <w:tc>
          <w:tcPr>
            <w:tcW w:w="735" w:type="dxa"/>
            <w:tcBorders>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3</w:t>
            </w:r>
          </w:p>
        </w:tc>
      </w:tr>
      <w:tr w:rsidR="00E24DB7" w:rsidRPr="002C5876" w:rsidTr="00E24DB7">
        <w:trPr>
          <w:jc w:val="center"/>
        </w:trPr>
        <w:tc>
          <w:tcPr>
            <w:tcW w:w="1261" w:type="dxa"/>
            <w:tcBorders>
              <w:top w:val="nil"/>
              <w:bottom w:val="single" w:sz="4" w:space="0" w:color="auto"/>
            </w:tcBorders>
            <w:shd w:val="clear" w:color="auto" w:fill="auto"/>
          </w:tcPr>
          <w:p w:rsidR="00E24DB7" w:rsidRPr="002C5876" w:rsidRDefault="00E24DB7" w:rsidP="00E24DB7">
            <w:pPr>
              <w:spacing w:before="60" w:after="60" w:line="220" w:lineRule="atLeast"/>
              <w:ind w:left="57" w:right="57"/>
              <w:rPr>
                <w:sz w:val="18"/>
                <w:szCs w:val="18"/>
              </w:rPr>
            </w:pPr>
          </w:p>
        </w:tc>
        <w:tc>
          <w:tcPr>
            <w:tcW w:w="2117" w:type="dxa"/>
            <w:tcBorders>
              <w:top w:val="nil"/>
              <w:bottom w:val="single" w:sz="4" w:space="0" w:color="auto"/>
            </w:tcBorders>
            <w:shd w:val="clear" w:color="auto" w:fill="auto"/>
          </w:tcPr>
          <w:p w:rsidR="00E24DB7" w:rsidRPr="002C5876" w:rsidRDefault="00E24DB7" w:rsidP="00E24DB7">
            <w:pPr>
              <w:spacing w:before="60" w:after="60" w:line="220" w:lineRule="atLeast"/>
              <w:ind w:left="57" w:right="57"/>
              <w:rPr>
                <w:sz w:val="18"/>
                <w:szCs w:val="18"/>
              </w:rPr>
            </w:pPr>
          </w:p>
        </w:tc>
        <w:tc>
          <w:tcPr>
            <w:tcW w:w="3145" w:type="dxa"/>
            <w:tcBorders>
              <w:top w:val="nil"/>
              <w:bottom w:val="single" w:sz="4" w:space="0" w:color="auto"/>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Détermination de l’autonomie en mode cycle d’épuisement de la charge conformément au paragraphe 4.4.3 de la présente annexe.</w:t>
            </w:r>
          </w:p>
          <w:p w:rsidR="00E24DB7" w:rsidRPr="002C5876" w:rsidRDefault="00E24DB7" w:rsidP="00E24DB7">
            <w:pPr>
              <w:spacing w:before="60" w:after="60" w:line="220" w:lineRule="atLeast"/>
              <w:ind w:left="57" w:right="57"/>
              <w:rPr>
                <w:sz w:val="18"/>
                <w:szCs w:val="18"/>
              </w:rPr>
            </w:pPr>
            <w:r w:rsidRPr="002C5876">
              <w:rPr>
                <w:sz w:val="18"/>
                <w:szCs w:val="18"/>
              </w:rPr>
              <w:t>Données de sortie disponibles pour chaque essai.</w:t>
            </w:r>
          </w:p>
          <w:p w:rsidR="00E24DB7" w:rsidRPr="002C5876" w:rsidRDefault="00E24DB7" w:rsidP="00E24DB7">
            <w:pPr>
              <w:spacing w:before="60" w:after="60" w:line="220" w:lineRule="atLeast"/>
              <w:ind w:left="57" w:right="57"/>
              <w:rPr>
                <w:sz w:val="18"/>
                <w:szCs w:val="18"/>
              </w:rPr>
            </w:pPr>
            <w:r w:rsidRPr="002C5876">
              <w:rPr>
                <w:sz w:val="18"/>
                <w:szCs w:val="18"/>
              </w:rPr>
              <w:t>Si la méthode d’interpolation est appliquée, les données de sortie sont disponibles pour les véhicules H, L et, le cas échéant, M.</w:t>
            </w:r>
          </w:p>
        </w:tc>
        <w:tc>
          <w:tcPr>
            <w:tcW w:w="2381" w:type="dxa"/>
            <w:tcBorders>
              <w:top w:val="nil"/>
              <w:bottom w:val="single" w:sz="4" w:space="0" w:color="auto"/>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R</w:t>
            </w:r>
            <w:r w:rsidRPr="002C5876">
              <w:rPr>
                <w:sz w:val="18"/>
                <w:szCs w:val="18"/>
                <w:vertAlign w:val="subscript"/>
              </w:rPr>
              <w:t>CDC </w:t>
            </w:r>
            <w:r w:rsidRPr="002C5876">
              <w:rPr>
                <w:sz w:val="18"/>
                <w:szCs w:val="18"/>
              </w:rPr>
              <w:t>; km</w:t>
            </w:r>
          </w:p>
        </w:tc>
        <w:tc>
          <w:tcPr>
            <w:tcW w:w="735" w:type="dxa"/>
            <w:tcBorders>
              <w:top w:val="nil"/>
              <w:bottom w:val="single" w:sz="4" w:space="0" w:color="auto"/>
            </w:tcBorders>
            <w:shd w:val="clear" w:color="auto" w:fill="auto"/>
          </w:tcPr>
          <w:p w:rsidR="00E24DB7" w:rsidRPr="002C5876" w:rsidRDefault="00E24DB7" w:rsidP="00E24DB7">
            <w:pPr>
              <w:spacing w:before="60" w:after="60" w:line="220" w:lineRule="atLeast"/>
              <w:ind w:left="57" w:right="57"/>
              <w:rPr>
                <w:sz w:val="18"/>
                <w:szCs w:val="18"/>
              </w:rPr>
            </w:pPr>
          </w:p>
        </w:tc>
      </w:tr>
      <w:tr w:rsidR="00E24DB7" w:rsidRPr="002C5876" w:rsidTr="00E24DB7">
        <w:trPr>
          <w:jc w:val="center"/>
        </w:trPr>
        <w:tc>
          <w:tcPr>
            <w:tcW w:w="1261" w:type="dxa"/>
            <w:tcBorders>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 xml:space="preserve">Sortie </w:t>
            </w:r>
            <w:r w:rsidRPr="002C5876">
              <w:rPr>
                <w:sz w:val="18"/>
                <w:szCs w:val="18"/>
              </w:rPr>
              <w:br/>
              <w:t>de l’étape 3</w:t>
            </w:r>
          </w:p>
        </w:tc>
        <w:tc>
          <w:tcPr>
            <w:tcW w:w="2117" w:type="dxa"/>
            <w:tcBorders>
              <w:bottom w:val="nil"/>
            </w:tcBorders>
            <w:shd w:val="clear" w:color="auto" w:fill="auto"/>
          </w:tcPr>
          <w:p w:rsidR="00E24DB7" w:rsidRPr="002C5876" w:rsidRDefault="00E24DB7" w:rsidP="00E24DB7">
            <w:pPr>
              <w:spacing w:before="60" w:after="60" w:line="220" w:lineRule="atLeast"/>
              <w:ind w:left="57" w:right="57" w:hanging="708"/>
              <w:rPr>
                <w:sz w:val="18"/>
                <w:szCs w:val="18"/>
              </w:rPr>
            </w:pPr>
            <w:r w:rsidRPr="002C5876">
              <w:rPr>
                <w:sz w:val="18"/>
                <w:szCs w:val="18"/>
              </w:rPr>
              <w:t>n</w:t>
            </w:r>
            <w:r w:rsidRPr="002C5876">
              <w:rPr>
                <w:sz w:val="18"/>
                <w:szCs w:val="18"/>
                <w:vertAlign w:val="subscript"/>
              </w:rPr>
              <w:t>veh</w:t>
            </w:r>
            <w:r w:rsidRPr="002C5876">
              <w:rPr>
                <w:sz w:val="18"/>
                <w:szCs w:val="18"/>
              </w:rPr>
              <w:t>.</w:t>
            </w:r>
          </w:p>
        </w:tc>
        <w:tc>
          <w:tcPr>
            <w:tcW w:w="3145" w:type="dxa"/>
            <w:tcBorders>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Si la méthode d’interpolation doit être utilisée, le cycle de transition doit être déterminé pour les véhicules H, L et, le cas échéant, M.</w:t>
            </w:r>
          </w:p>
        </w:tc>
        <w:tc>
          <w:tcPr>
            <w:tcW w:w="2381" w:type="dxa"/>
            <w:tcBorders>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n</w:t>
            </w:r>
            <w:r w:rsidRPr="002C5876">
              <w:rPr>
                <w:sz w:val="18"/>
                <w:szCs w:val="18"/>
                <w:vertAlign w:val="subscript"/>
              </w:rPr>
              <w:t>veh,L</w:t>
            </w:r>
            <w:r w:rsidRPr="002C5876">
              <w:rPr>
                <w:sz w:val="18"/>
                <w:szCs w:val="18"/>
                <w:vertAlign w:val="subscript"/>
              </w:rPr>
              <w:br/>
            </w:r>
            <w:r w:rsidRPr="002C5876">
              <w:rPr>
                <w:sz w:val="18"/>
                <w:szCs w:val="18"/>
              </w:rPr>
              <w:t>n</w:t>
            </w:r>
            <w:r w:rsidRPr="002C5876">
              <w:rPr>
                <w:sz w:val="18"/>
                <w:szCs w:val="18"/>
                <w:vertAlign w:val="subscript"/>
              </w:rPr>
              <w:t>veh,H</w:t>
            </w:r>
          </w:p>
        </w:tc>
        <w:tc>
          <w:tcPr>
            <w:tcW w:w="735" w:type="dxa"/>
            <w:tcBorders>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4</w:t>
            </w:r>
          </w:p>
        </w:tc>
      </w:tr>
      <w:tr w:rsidR="00E24DB7" w:rsidRPr="002C5876" w:rsidTr="00E24DB7">
        <w:trPr>
          <w:trHeight w:val="831"/>
          <w:jc w:val="center"/>
        </w:trPr>
        <w:tc>
          <w:tcPr>
            <w:tcW w:w="1261" w:type="dxa"/>
            <w:tcBorders>
              <w:top w:val="nil"/>
            </w:tcBorders>
            <w:shd w:val="clear" w:color="auto" w:fill="auto"/>
          </w:tcPr>
          <w:p w:rsidR="00E24DB7" w:rsidRPr="002C5876" w:rsidRDefault="00E24DB7" w:rsidP="00E24DB7">
            <w:pPr>
              <w:spacing w:before="60" w:after="60" w:line="220" w:lineRule="atLeast"/>
              <w:ind w:left="57" w:right="57"/>
              <w:rPr>
                <w:sz w:val="18"/>
                <w:szCs w:val="18"/>
              </w:rPr>
            </w:pPr>
          </w:p>
        </w:tc>
        <w:tc>
          <w:tcPr>
            <w:tcW w:w="2117" w:type="dxa"/>
            <w:tcBorders>
              <w:top w:val="nil"/>
            </w:tcBorders>
            <w:shd w:val="clear" w:color="auto" w:fill="auto"/>
          </w:tcPr>
          <w:p w:rsidR="00E24DB7" w:rsidRPr="002C5876" w:rsidRDefault="00E24DB7" w:rsidP="00E24DB7">
            <w:pPr>
              <w:spacing w:before="60" w:after="60" w:line="220" w:lineRule="atLeast"/>
              <w:ind w:left="57" w:right="57" w:hanging="708"/>
              <w:rPr>
                <w:sz w:val="18"/>
                <w:szCs w:val="18"/>
              </w:rPr>
            </w:pPr>
          </w:p>
        </w:tc>
        <w:tc>
          <w:tcPr>
            <w:tcW w:w="3145" w:type="dxa"/>
            <w:tcBorders>
              <w:top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Vérifier si le critère d’interpolation visé à l’alinéa d) du paragraphe 5.6.2 du présent RTM ONU est respecté.</w:t>
            </w:r>
          </w:p>
        </w:tc>
        <w:tc>
          <w:tcPr>
            <w:tcW w:w="2381" w:type="dxa"/>
            <w:tcBorders>
              <w:top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Le cas échéant</w:t>
            </w:r>
            <w:r w:rsidRPr="002C5876">
              <w:rPr>
                <w:sz w:val="18"/>
                <w:szCs w:val="18"/>
              </w:rPr>
              <w:br/>
              <w:t>n</w:t>
            </w:r>
            <w:r w:rsidRPr="002C5876">
              <w:rPr>
                <w:sz w:val="18"/>
                <w:szCs w:val="18"/>
                <w:vertAlign w:val="subscript"/>
              </w:rPr>
              <w:t>veh,M.</w:t>
            </w:r>
          </w:p>
        </w:tc>
        <w:tc>
          <w:tcPr>
            <w:tcW w:w="735" w:type="dxa"/>
            <w:tcBorders>
              <w:top w:val="nil"/>
            </w:tcBorders>
            <w:shd w:val="clear" w:color="auto" w:fill="auto"/>
          </w:tcPr>
          <w:p w:rsidR="00E24DB7" w:rsidRPr="002C5876" w:rsidRDefault="00E24DB7" w:rsidP="00E24DB7">
            <w:pPr>
              <w:spacing w:before="60" w:after="60" w:line="220" w:lineRule="atLeast"/>
              <w:ind w:left="57" w:right="57"/>
              <w:rPr>
                <w:sz w:val="18"/>
                <w:szCs w:val="18"/>
              </w:rPr>
            </w:pPr>
          </w:p>
        </w:tc>
      </w:tr>
      <w:tr w:rsidR="00E24DB7" w:rsidRPr="002C5876" w:rsidTr="00E24DB7">
        <w:trPr>
          <w:jc w:val="center"/>
        </w:trPr>
        <w:tc>
          <w:tcPr>
            <w:tcW w:w="1261" w:type="dxa"/>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 xml:space="preserve">Sortie </w:t>
            </w:r>
            <w:r w:rsidRPr="002C5876">
              <w:rPr>
                <w:sz w:val="18"/>
                <w:szCs w:val="18"/>
              </w:rPr>
              <w:br/>
              <w:t>de l’étape 1</w:t>
            </w:r>
          </w:p>
        </w:tc>
        <w:tc>
          <w:tcPr>
            <w:tcW w:w="2117" w:type="dxa"/>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M</w:t>
            </w:r>
            <w:r w:rsidRPr="002C5876">
              <w:rPr>
                <w:sz w:val="18"/>
                <w:szCs w:val="18"/>
                <w:vertAlign w:val="subscript"/>
              </w:rPr>
              <w:t>i,CD,j</w:t>
            </w:r>
            <w:r w:rsidRPr="002C5876">
              <w:rPr>
                <w:sz w:val="18"/>
                <w:szCs w:val="18"/>
              </w:rPr>
              <w:t>, g/km</w:t>
            </w:r>
            <w:r w:rsidRPr="002C5876">
              <w:rPr>
                <w:sz w:val="18"/>
                <w:szCs w:val="18"/>
              </w:rPr>
              <w:br/>
              <w:t>PM</w:t>
            </w:r>
            <w:r w:rsidRPr="002C5876">
              <w:rPr>
                <w:sz w:val="18"/>
                <w:szCs w:val="18"/>
                <w:vertAlign w:val="subscript"/>
              </w:rPr>
              <w:t>CD,c</w:t>
            </w:r>
            <w:r w:rsidRPr="002C5876">
              <w:rPr>
                <w:sz w:val="18"/>
                <w:szCs w:val="18"/>
              </w:rPr>
              <w:t>, mg/km</w:t>
            </w:r>
            <w:r w:rsidRPr="002C5876">
              <w:rPr>
                <w:sz w:val="18"/>
                <w:szCs w:val="18"/>
              </w:rPr>
              <w:br/>
              <w:t>PN</w:t>
            </w:r>
            <w:r w:rsidRPr="002C5876">
              <w:rPr>
                <w:sz w:val="18"/>
                <w:szCs w:val="18"/>
                <w:vertAlign w:val="subscript"/>
              </w:rPr>
              <w:t>CD,j</w:t>
            </w:r>
            <w:r w:rsidRPr="002C5876">
              <w:rPr>
                <w:sz w:val="18"/>
                <w:szCs w:val="18"/>
              </w:rPr>
              <w:t>, particules par km</w:t>
            </w:r>
          </w:p>
        </w:tc>
        <w:tc>
          <w:tcPr>
            <w:tcW w:w="3145" w:type="dxa"/>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Calcul des valeurs combinées des émissions pour n</w:t>
            </w:r>
            <w:r w:rsidRPr="002C5876">
              <w:rPr>
                <w:sz w:val="18"/>
                <w:szCs w:val="18"/>
                <w:vertAlign w:val="subscript"/>
              </w:rPr>
              <w:t>veh</w:t>
            </w:r>
            <w:r w:rsidRPr="002C5876">
              <w:rPr>
                <w:sz w:val="18"/>
                <w:szCs w:val="18"/>
              </w:rPr>
              <w:t xml:space="preserve"> cycles ; si la méthode d’interpolation est appliquée, n</w:t>
            </w:r>
            <w:r w:rsidRPr="002C5876">
              <w:rPr>
                <w:sz w:val="18"/>
                <w:szCs w:val="18"/>
                <w:vertAlign w:val="subscript"/>
              </w:rPr>
              <w:t>veh,L</w:t>
            </w:r>
            <w:r w:rsidRPr="002C5876">
              <w:rPr>
                <w:sz w:val="18"/>
                <w:szCs w:val="18"/>
              </w:rPr>
              <w:t xml:space="preserve"> cycles doivent être exécutés pour chaque véhicule.</w:t>
            </w:r>
          </w:p>
          <w:p w:rsidR="00E24DB7" w:rsidRPr="002C5876" w:rsidRDefault="00E24DB7" w:rsidP="00E24DB7">
            <w:pPr>
              <w:spacing w:before="60" w:after="60" w:line="220" w:lineRule="atLeast"/>
              <w:ind w:left="57" w:right="57"/>
              <w:rPr>
                <w:sz w:val="18"/>
                <w:szCs w:val="18"/>
              </w:rPr>
            </w:pPr>
            <w:r w:rsidRPr="002C5876">
              <w:rPr>
                <w:sz w:val="18"/>
                <w:szCs w:val="18"/>
              </w:rPr>
              <w:t>Données de sortie disponibles pour chaque essai.</w:t>
            </w:r>
          </w:p>
          <w:p w:rsidR="00E24DB7" w:rsidRPr="002C5876" w:rsidRDefault="00E24DB7" w:rsidP="00E24DB7">
            <w:pPr>
              <w:spacing w:before="60" w:after="60" w:line="220" w:lineRule="atLeast"/>
              <w:ind w:left="57" w:right="57"/>
              <w:rPr>
                <w:sz w:val="18"/>
                <w:szCs w:val="18"/>
              </w:rPr>
            </w:pPr>
            <w:r w:rsidRPr="002C5876">
              <w:rPr>
                <w:sz w:val="18"/>
                <w:szCs w:val="18"/>
              </w:rPr>
              <w:t>Si la méthode d’interpolation est appliquée, les données de sortie sont disponibles pour les véhicules H, L et, le cas échéant, M.</w:t>
            </w:r>
          </w:p>
        </w:tc>
        <w:tc>
          <w:tcPr>
            <w:tcW w:w="2381" w:type="dxa"/>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M</w:t>
            </w:r>
            <w:r w:rsidRPr="002C5876">
              <w:rPr>
                <w:sz w:val="18"/>
                <w:szCs w:val="18"/>
                <w:vertAlign w:val="subscript"/>
              </w:rPr>
              <w:t>i,CD,c</w:t>
            </w:r>
            <w:r w:rsidRPr="002C5876">
              <w:rPr>
                <w:sz w:val="18"/>
                <w:szCs w:val="18"/>
              </w:rPr>
              <w:t>, g/km</w:t>
            </w:r>
            <w:r w:rsidRPr="002C5876">
              <w:rPr>
                <w:sz w:val="18"/>
                <w:szCs w:val="18"/>
              </w:rPr>
              <w:br/>
              <w:t>PM</w:t>
            </w:r>
            <w:r w:rsidRPr="002C5876">
              <w:rPr>
                <w:sz w:val="18"/>
                <w:szCs w:val="18"/>
                <w:vertAlign w:val="subscript"/>
              </w:rPr>
              <w:t>CD,c</w:t>
            </w:r>
            <w:r w:rsidRPr="002C5876">
              <w:rPr>
                <w:sz w:val="18"/>
                <w:szCs w:val="18"/>
              </w:rPr>
              <w:t>, mg/km</w:t>
            </w:r>
            <w:r w:rsidRPr="002C5876">
              <w:rPr>
                <w:sz w:val="18"/>
                <w:szCs w:val="18"/>
              </w:rPr>
              <w:br/>
              <w:t>PN</w:t>
            </w:r>
            <w:r w:rsidRPr="002C5876">
              <w:rPr>
                <w:sz w:val="18"/>
                <w:szCs w:val="18"/>
                <w:vertAlign w:val="subscript"/>
              </w:rPr>
              <w:t>CD,c</w:t>
            </w:r>
            <w:r w:rsidRPr="002C5876">
              <w:rPr>
                <w:sz w:val="18"/>
                <w:szCs w:val="18"/>
              </w:rPr>
              <w:t>, particules par km</w:t>
            </w:r>
          </w:p>
        </w:tc>
        <w:tc>
          <w:tcPr>
            <w:tcW w:w="735" w:type="dxa"/>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5</w:t>
            </w:r>
          </w:p>
        </w:tc>
      </w:tr>
      <w:tr w:rsidR="00E24DB7" w:rsidRPr="002C5876" w:rsidTr="00E24DB7">
        <w:trPr>
          <w:jc w:val="center"/>
        </w:trPr>
        <w:tc>
          <w:tcPr>
            <w:tcW w:w="1261" w:type="dxa"/>
            <w:shd w:val="clear" w:color="auto" w:fill="auto"/>
          </w:tcPr>
          <w:p w:rsidR="00E24DB7" w:rsidRPr="002C5876" w:rsidRDefault="00E24DB7" w:rsidP="00E24DB7">
            <w:pPr>
              <w:keepNext/>
              <w:keepLines/>
              <w:spacing w:before="60" w:after="60" w:line="220" w:lineRule="atLeast"/>
              <w:ind w:left="57" w:right="57"/>
              <w:rPr>
                <w:sz w:val="18"/>
                <w:szCs w:val="18"/>
              </w:rPr>
            </w:pPr>
            <w:r w:rsidRPr="002C5876">
              <w:rPr>
                <w:sz w:val="18"/>
                <w:szCs w:val="18"/>
              </w:rPr>
              <w:lastRenderedPageBreak/>
              <w:t xml:space="preserve">Sortie </w:t>
            </w:r>
            <w:r w:rsidRPr="002C5876">
              <w:rPr>
                <w:sz w:val="18"/>
                <w:szCs w:val="18"/>
              </w:rPr>
              <w:br/>
              <w:t>de l’étape 5</w:t>
            </w:r>
          </w:p>
        </w:tc>
        <w:tc>
          <w:tcPr>
            <w:tcW w:w="2117" w:type="dxa"/>
            <w:shd w:val="clear" w:color="auto" w:fill="auto"/>
          </w:tcPr>
          <w:p w:rsidR="00E24DB7" w:rsidRPr="002C5876" w:rsidRDefault="00E24DB7" w:rsidP="00E24DB7">
            <w:pPr>
              <w:keepNext/>
              <w:keepLines/>
              <w:spacing w:before="60" w:after="60" w:line="220" w:lineRule="atLeast"/>
              <w:ind w:left="57" w:right="57"/>
              <w:rPr>
                <w:sz w:val="18"/>
                <w:szCs w:val="18"/>
              </w:rPr>
            </w:pPr>
            <w:r w:rsidRPr="002C5876">
              <w:rPr>
                <w:sz w:val="18"/>
                <w:szCs w:val="18"/>
              </w:rPr>
              <w:t>M</w:t>
            </w:r>
            <w:r w:rsidRPr="002C5876">
              <w:rPr>
                <w:sz w:val="18"/>
                <w:szCs w:val="18"/>
                <w:vertAlign w:val="subscript"/>
              </w:rPr>
              <w:t>i,CD,c</w:t>
            </w:r>
            <w:r w:rsidRPr="002C5876">
              <w:rPr>
                <w:sz w:val="18"/>
                <w:szCs w:val="18"/>
              </w:rPr>
              <w:t xml:space="preserve">, g/km </w:t>
            </w:r>
            <w:r w:rsidRPr="002C5876">
              <w:rPr>
                <w:sz w:val="18"/>
                <w:szCs w:val="18"/>
              </w:rPr>
              <w:br/>
              <w:t>PM</w:t>
            </w:r>
            <w:r w:rsidRPr="002C5876">
              <w:rPr>
                <w:sz w:val="18"/>
                <w:szCs w:val="18"/>
                <w:vertAlign w:val="subscript"/>
              </w:rPr>
              <w:t>CD,c</w:t>
            </w:r>
            <w:r w:rsidRPr="002C5876">
              <w:rPr>
                <w:sz w:val="18"/>
                <w:szCs w:val="18"/>
              </w:rPr>
              <w:t xml:space="preserve">, mg/km  </w:t>
            </w:r>
            <w:r w:rsidRPr="002C5876">
              <w:rPr>
                <w:sz w:val="18"/>
                <w:szCs w:val="18"/>
              </w:rPr>
              <w:br/>
              <w:t>PN</w:t>
            </w:r>
            <w:r w:rsidRPr="002C5876">
              <w:rPr>
                <w:sz w:val="18"/>
                <w:szCs w:val="18"/>
                <w:vertAlign w:val="subscript"/>
              </w:rPr>
              <w:t>CD,c</w:t>
            </w:r>
            <w:r w:rsidRPr="002C5876">
              <w:rPr>
                <w:sz w:val="18"/>
                <w:szCs w:val="18"/>
              </w:rPr>
              <w:t>, particules par km</w:t>
            </w:r>
          </w:p>
        </w:tc>
        <w:tc>
          <w:tcPr>
            <w:tcW w:w="3145" w:type="dxa"/>
            <w:shd w:val="clear" w:color="auto" w:fill="auto"/>
          </w:tcPr>
          <w:p w:rsidR="00E24DB7" w:rsidRPr="002C5876" w:rsidRDefault="00E24DB7" w:rsidP="00E24DB7">
            <w:pPr>
              <w:keepNext/>
              <w:keepLines/>
              <w:spacing w:before="60" w:after="60" w:line="220" w:lineRule="atLeast"/>
              <w:ind w:left="57" w:right="57"/>
              <w:rPr>
                <w:sz w:val="18"/>
                <w:szCs w:val="18"/>
              </w:rPr>
            </w:pPr>
            <w:r w:rsidRPr="002C5876">
              <w:rPr>
                <w:sz w:val="18"/>
                <w:szCs w:val="18"/>
              </w:rPr>
              <w:t>Moyenne des émissions pour chaque cycle d’essai WLTP applicable dans le cadre de l’essai d’épuisement de charge de type 1 et vérification au regard des limites visées au tableau A6/2 de l’annexe 6.</w:t>
            </w:r>
          </w:p>
        </w:tc>
        <w:tc>
          <w:tcPr>
            <w:tcW w:w="2381" w:type="dxa"/>
            <w:shd w:val="clear" w:color="auto" w:fill="auto"/>
          </w:tcPr>
          <w:p w:rsidR="00E24DB7" w:rsidRPr="002C5876" w:rsidRDefault="00E24DB7" w:rsidP="00E24DB7">
            <w:pPr>
              <w:keepNext/>
              <w:keepLines/>
              <w:spacing w:before="60" w:after="60" w:line="220" w:lineRule="atLeast"/>
              <w:ind w:left="57" w:right="57"/>
              <w:rPr>
                <w:sz w:val="18"/>
                <w:szCs w:val="18"/>
              </w:rPr>
            </w:pPr>
            <w:r w:rsidRPr="002C5876">
              <w:rPr>
                <w:sz w:val="18"/>
                <w:szCs w:val="18"/>
              </w:rPr>
              <w:t>M</w:t>
            </w:r>
            <w:r w:rsidRPr="002C5876">
              <w:rPr>
                <w:sz w:val="18"/>
                <w:szCs w:val="18"/>
                <w:vertAlign w:val="subscript"/>
              </w:rPr>
              <w:t>i,CD,c,ave</w:t>
            </w:r>
            <w:r w:rsidRPr="002C5876">
              <w:rPr>
                <w:sz w:val="18"/>
                <w:szCs w:val="18"/>
              </w:rPr>
              <w:t>, g/km</w:t>
            </w:r>
            <w:r w:rsidRPr="002C5876">
              <w:rPr>
                <w:sz w:val="18"/>
                <w:szCs w:val="18"/>
              </w:rPr>
              <w:br/>
              <w:t>PM</w:t>
            </w:r>
            <w:r w:rsidRPr="002C5876">
              <w:rPr>
                <w:sz w:val="18"/>
                <w:szCs w:val="18"/>
                <w:vertAlign w:val="subscript"/>
              </w:rPr>
              <w:t>CD,c,ave</w:t>
            </w:r>
            <w:r w:rsidRPr="002C5876">
              <w:rPr>
                <w:sz w:val="18"/>
                <w:szCs w:val="18"/>
              </w:rPr>
              <w:t>, mg/km</w:t>
            </w:r>
            <w:r w:rsidRPr="002C5876">
              <w:rPr>
                <w:sz w:val="18"/>
                <w:szCs w:val="18"/>
              </w:rPr>
              <w:br/>
              <w:t>PN</w:t>
            </w:r>
            <w:r w:rsidRPr="002C5876">
              <w:rPr>
                <w:sz w:val="18"/>
                <w:szCs w:val="18"/>
                <w:vertAlign w:val="subscript"/>
              </w:rPr>
              <w:t>CD,c,ave</w:t>
            </w:r>
            <w:r w:rsidRPr="002C5876">
              <w:rPr>
                <w:sz w:val="18"/>
                <w:szCs w:val="18"/>
              </w:rPr>
              <w:t>, particules par km</w:t>
            </w:r>
          </w:p>
        </w:tc>
        <w:tc>
          <w:tcPr>
            <w:tcW w:w="735" w:type="dxa"/>
            <w:shd w:val="clear" w:color="auto" w:fill="auto"/>
          </w:tcPr>
          <w:p w:rsidR="00E24DB7" w:rsidRPr="002C5876" w:rsidRDefault="00E24DB7" w:rsidP="00E24DB7">
            <w:pPr>
              <w:keepNext/>
              <w:keepLines/>
              <w:spacing w:before="60" w:after="60" w:line="220" w:lineRule="atLeast"/>
              <w:ind w:left="57" w:right="57"/>
              <w:rPr>
                <w:sz w:val="18"/>
                <w:szCs w:val="18"/>
              </w:rPr>
            </w:pPr>
            <w:r w:rsidRPr="002C5876">
              <w:rPr>
                <w:sz w:val="18"/>
                <w:szCs w:val="18"/>
              </w:rPr>
              <w:t>6</w:t>
            </w:r>
          </w:p>
        </w:tc>
      </w:tr>
      <w:tr w:rsidR="00E24DB7" w:rsidRPr="002C5876" w:rsidTr="00E24DB7">
        <w:trPr>
          <w:jc w:val="center"/>
        </w:trPr>
        <w:tc>
          <w:tcPr>
            <w:tcW w:w="1261" w:type="dxa"/>
            <w:tcBorders>
              <w:bottom w:val="single" w:sz="4" w:space="0" w:color="auto"/>
            </w:tcBorders>
            <w:shd w:val="clear" w:color="auto" w:fill="auto"/>
          </w:tcPr>
          <w:p w:rsidR="00E24DB7" w:rsidRPr="002C5876" w:rsidRDefault="00E24DB7" w:rsidP="00E24DB7">
            <w:pPr>
              <w:keepNext/>
              <w:keepLines/>
              <w:spacing w:before="60" w:after="60" w:line="220" w:lineRule="atLeast"/>
              <w:ind w:left="57" w:right="57"/>
              <w:rPr>
                <w:sz w:val="18"/>
                <w:szCs w:val="18"/>
              </w:rPr>
            </w:pPr>
            <w:r w:rsidRPr="002C5876">
              <w:rPr>
                <w:sz w:val="18"/>
                <w:szCs w:val="18"/>
              </w:rPr>
              <w:t xml:space="preserve">Sortie </w:t>
            </w:r>
            <w:r w:rsidRPr="002C5876">
              <w:rPr>
                <w:sz w:val="18"/>
                <w:szCs w:val="18"/>
              </w:rPr>
              <w:br/>
              <w:t>de l’étape 1</w:t>
            </w:r>
          </w:p>
        </w:tc>
        <w:tc>
          <w:tcPr>
            <w:tcW w:w="2117" w:type="dxa"/>
            <w:tcBorders>
              <w:bottom w:val="single" w:sz="4" w:space="0" w:color="auto"/>
            </w:tcBorders>
            <w:shd w:val="clear" w:color="auto" w:fill="auto"/>
          </w:tcPr>
          <w:p w:rsidR="00E24DB7" w:rsidRPr="00D53F39" w:rsidRDefault="00E24DB7" w:rsidP="00E24DB7">
            <w:pPr>
              <w:keepNext/>
              <w:keepLines/>
              <w:spacing w:before="60" w:after="60" w:line="220" w:lineRule="atLeast"/>
              <w:ind w:left="57" w:right="57"/>
              <w:rPr>
                <w:sz w:val="18"/>
                <w:szCs w:val="18"/>
                <w:lang w:val="en-US"/>
              </w:rPr>
            </w:pPr>
            <w:r w:rsidRPr="002C5876">
              <w:rPr>
                <w:sz w:val="18"/>
                <w:szCs w:val="18"/>
              </w:rPr>
              <w:t>Δ</w:t>
            </w:r>
            <w:r w:rsidRPr="00D53F39">
              <w:rPr>
                <w:sz w:val="18"/>
                <w:szCs w:val="18"/>
                <w:lang w:val="en-US"/>
              </w:rPr>
              <w:t>E</w:t>
            </w:r>
            <w:r w:rsidRPr="00D53F39">
              <w:rPr>
                <w:sz w:val="18"/>
                <w:szCs w:val="18"/>
                <w:vertAlign w:val="subscript"/>
                <w:lang w:val="en-US"/>
              </w:rPr>
              <w:t>REESS,j</w:t>
            </w:r>
            <w:r w:rsidRPr="00D53F39">
              <w:rPr>
                <w:sz w:val="18"/>
                <w:szCs w:val="18"/>
                <w:lang w:val="en-US"/>
              </w:rPr>
              <w:t>, Wh </w:t>
            </w:r>
            <w:r w:rsidRPr="00D53F39">
              <w:rPr>
                <w:sz w:val="18"/>
                <w:szCs w:val="18"/>
                <w:lang w:val="en-US"/>
              </w:rPr>
              <w:br/>
              <w:t>d</w:t>
            </w:r>
            <w:r w:rsidRPr="00D53F39">
              <w:rPr>
                <w:sz w:val="18"/>
                <w:szCs w:val="18"/>
                <w:vertAlign w:val="subscript"/>
                <w:lang w:val="en-US"/>
              </w:rPr>
              <w:t>j</w:t>
            </w:r>
            <w:r w:rsidRPr="00D53F39">
              <w:rPr>
                <w:sz w:val="18"/>
                <w:szCs w:val="18"/>
                <w:lang w:val="en-US"/>
              </w:rPr>
              <w:t>, km </w:t>
            </w:r>
            <w:r w:rsidRPr="00D53F39">
              <w:rPr>
                <w:sz w:val="18"/>
                <w:szCs w:val="18"/>
                <w:lang w:val="en-US"/>
              </w:rPr>
              <w:br/>
              <w:t>UBE</w:t>
            </w:r>
            <w:r w:rsidRPr="00D53F39">
              <w:rPr>
                <w:sz w:val="18"/>
                <w:szCs w:val="18"/>
                <w:vertAlign w:val="subscript"/>
                <w:lang w:val="en-US"/>
              </w:rPr>
              <w:t>city</w:t>
            </w:r>
            <w:r w:rsidRPr="00D53F39">
              <w:rPr>
                <w:sz w:val="18"/>
                <w:szCs w:val="18"/>
                <w:lang w:val="en-US"/>
              </w:rPr>
              <w:t>, Wh</w:t>
            </w:r>
          </w:p>
        </w:tc>
        <w:tc>
          <w:tcPr>
            <w:tcW w:w="3145" w:type="dxa"/>
            <w:tcBorders>
              <w:bottom w:val="single" w:sz="4" w:space="0" w:color="auto"/>
            </w:tcBorders>
            <w:shd w:val="clear" w:color="auto" w:fill="auto"/>
          </w:tcPr>
          <w:p w:rsidR="00E24DB7" w:rsidRPr="002C5876" w:rsidRDefault="00E24DB7" w:rsidP="00E24DB7">
            <w:pPr>
              <w:keepNext/>
              <w:keepLines/>
              <w:spacing w:before="60" w:after="60" w:line="220" w:lineRule="atLeast"/>
              <w:ind w:left="57" w:right="57"/>
              <w:rPr>
                <w:sz w:val="18"/>
                <w:szCs w:val="18"/>
              </w:rPr>
            </w:pPr>
            <w:r w:rsidRPr="002C5876">
              <w:rPr>
                <w:sz w:val="18"/>
                <w:szCs w:val="18"/>
              </w:rPr>
              <w:t>Si AER</w:t>
            </w:r>
            <w:r w:rsidRPr="002C5876">
              <w:rPr>
                <w:sz w:val="18"/>
                <w:szCs w:val="18"/>
                <w:vertAlign w:val="subscript"/>
              </w:rPr>
              <w:t>city</w:t>
            </w:r>
            <w:r w:rsidRPr="002C5876">
              <w:rPr>
                <w:sz w:val="18"/>
                <w:szCs w:val="18"/>
              </w:rPr>
              <w:t xml:space="preserve"> est dérivé de l’essai de type 1 en exécutant les cycles d’essai WLTP applicables, la valeur doit être calculée conformément au paragraphe 4.4.1.2.2 de la présente annexe. </w:t>
            </w:r>
          </w:p>
          <w:p w:rsidR="00E24DB7" w:rsidRPr="002C5876" w:rsidRDefault="00E24DB7" w:rsidP="00E24DB7">
            <w:pPr>
              <w:keepNext/>
              <w:keepLines/>
              <w:spacing w:before="60" w:after="60" w:line="220" w:lineRule="atLeast"/>
              <w:ind w:left="57" w:right="57"/>
              <w:rPr>
                <w:sz w:val="18"/>
                <w:szCs w:val="18"/>
              </w:rPr>
            </w:pPr>
            <w:r w:rsidRPr="002C5876">
              <w:rPr>
                <w:sz w:val="18"/>
                <w:szCs w:val="18"/>
              </w:rPr>
              <w:t>Si plusieurs essais sont réalisés, n</w:t>
            </w:r>
            <w:r w:rsidRPr="002C5876">
              <w:rPr>
                <w:sz w:val="18"/>
                <w:szCs w:val="18"/>
                <w:vertAlign w:val="subscript"/>
              </w:rPr>
              <w:t>city,pe</w:t>
            </w:r>
            <w:r w:rsidRPr="002C5876">
              <w:rPr>
                <w:sz w:val="18"/>
                <w:szCs w:val="18"/>
              </w:rPr>
              <w:t xml:space="preserve"> doit être identique pour chaque essai.</w:t>
            </w:r>
          </w:p>
          <w:p w:rsidR="00E24DB7" w:rsidRPr="002C5876" w:rsidRDefault="00E24DB7" w:rsidP="00E24DB7">
            <w:pPr>
              <w:keepNext/>
              <w:keepLines/>
              <w:spacing w:before="60" w:after="60" w:line="220" w:lineRule="atLeast"/>
              <w:ind w:left="57" w:right="57"/>
              <w:rPr>
                <w:sz w:val="18"/>
                <w:szCs w:val="18"/>
              </w:rPr>
            </w:pPr>
            <w:r w:rsidRPr="002C5876">
              <w:rPr>
                <w:sz w:val="18"/>
                <w:szCs w:val="18"/>
              </w:rPr>
              <w:t>Données de sortie disponibles pour chaque essai.</w:t>
            </w:r>
          </w:p>
          <w:p w:rsidR="00E24DB7" w:rsidRPr="002C5876" w:rsidRDefault="00E24DB7" w:rsidP="00E24DB7">
            <w:pPr>
              <w:keepNext/>
              <w:keepLines/>
              <w:spacing w:before="60" w:after="60" w:line="220" w:lineRule="atLeast"/>
              <w:ind w:left="57" w:right="57"/>
              <w:rPr>
                <w:sz w:val="18"/>
                <w:szCs w:val="18"/>
              </w:rPr>
            </w:pPr>
            <w:r w:rsidRPr="002C5876">
              <w:rPr>
                <w:sz w:val="18"/>
                <w:szCs w:val="18"/>
              </w:rPr>
              <w:t>Calcul de la moyenne d’AER</w:t>
            </w:r>
            <w:r w:rsidRPr="002C5876">
              <w:rPr>
                <w:sz w:val="18"/>
                <w:szCs w:val="18"/>
                <w:vertAlign w:val="subscript"/>
              </w:rPr>
              <w:t>city</w:t>
            </w:r>
            <w:r w:rsidRPr="002C5876">
              <w:rPr>
                <w:sz w:val="18"/>
                <w:szCs w:val="18"/>
              </w:rPr>
              <w:t>.</w:t>
            </w:r>
          </w:p>
          <w:p w:rsidR="00E24DB7" w:rsidRPr="002C5876" w:rsidRDefault="00E24DB7" w:rsidP="00E24DB7">
            <w:pPr>
              <w:keepNext/>
              <w:keepLines/>
              <w:spacing w:before="60" w:after="60" w:line="220" w:lineRule="atLeast"/>
              <w:ind w:left="57" w:right="57"/>
              <w:rPr>
                <w:sz w:val="18"/>
                <w:szCs w:val="18"/>
              </w:rPr>
            </w:pPr>
            <w:r w:rsidRPr="002C5876">
              <w:rPr>
                <w:sz w:val="18"/>
                <w:szCs w:val="18"/>
              </w:rPr>
              <w:t>Si la méthode d’interpolation est appliquée, les données de sortie sont disponibles pour les véhicules H, L et, le cas échéant, M.</w:t>
            </w:r>
          </w:p>
        </w:tc>
        <w:tc>
          <w:tcPr>
            <w:tcW w:w="2381" w:type="dxa"/>
            <w:tcBorders>
              <w:bottom w:val="single" w:sz="4" w:space="0" w:color="auto"/>
            </w:tcBorders>
            <w:shd w:val="clear" w:color="auto" w:fill="auto"/>
          </w:tcPr>
          <w:p w:rsidR="00E24DB7" w:rsidRPr="00D53F39" w:rsidRDefault="00E24DB7" w:rsidP="00E24DB7">
            <w:pPr>
              <w:keepNext/>
              <w:keepLines/>
              <w:spacing w:before="60" w:after="60" w:line="220" w:lineRule="atLeast"/>
              <w:ind w:left="57" w:right="57"/>
              <w:rPr>
                <w:sz w:val="18"/>
                <w:szCs w:val="18"/>
                <w:lang w:val="en-US"/>
              </w:rPr>
            </w:pPr>
            <w:r w:rsidRPr="00D53F39">
              <w:rPr>
                <w:sz w:val="18"/>
                <w:szCs w:val="18"/>
                <w:lang w:val="en-US"/>
              </w:rPr>
              <w:t>AER</w:t>
            </w:r>
            <w:r w:rsidRPr="00D53F39">
              <w:rPr>
                <w:sz w:val="18"/>
                <w:szCs w:val="18"/>
                <w:vertAlign w:val="subscript"/>
                <w:lang w:val="en-US"/>
              </w:rPr>
              <w:t>city</w:t>
            </w:r>
            <w:r w:rsidRPr="00D53F39">
              <w:rPr>
                <w:sz w:val="18"/>
                <w:szCs w:val="18"/>
                <w:lang w:val="en-US"/>
              </w:rPr>
              <w:t>, km</w:t>
            </w:r>
            <w:r w:rsidRPr="00D53F39">
              <w:rPr>
                <w:sz w:val="18"/>
                <w:szCs w:val="18"/>
                <w:lang w:val="en-US"/>
              </w:rPr>
              <w:br/>
              <w:t>AER</w:t>
            </w:r>
            <w:r w:rsidRPr="00D53F39">
              <w:rPr>
                <w:sz w:val="18"/>
                <w:szCs w:val="18"/>
                <w:vertAlign w:val="subscript"/>
                <w:lang w:val="en-US"/>
              </w:rPr>
              <w:t>city,ave</w:t>
            </w:r>
            <w:r w:rsidRPr="00D53F39">
              <w:rPr>
                <w:sz w:val="18"/>
                <w:szCs w:val="18"/>
                <w:lang w:val="en-US"/>
              </w:rPr>
              <w:t>, km</w:t>
            </w:r>
          </w:p>
        </w:tc>
        <w:tc>
          <w:tcPr>
            <w:tcW w:w="735" w:type="dxa"/>
            <w:tcBorders>
              <w:bottom w:val="single" w:sz="4" w:space="0" w:color="auto"/>
            </w:tcBorders>
            <w:shd w:val="clear" w:color="auto" w:fill="auto"/>
          </w:tcPr>
          <w:p w:rsidR="00E24DB7" w:rsidRPr="002C5876" w:rsidDel="000166EA" w:rsidRDefault="00E24DB7" w:rsidP="00E24DB7">
            <w:pPr>
              <w:keepNext/>
              <w:keepLines/>
              <w:spacing w:before="60" w:after="60" w:line="220" w:lineRule="atLeast"/>
              <w:ind w:left="57" w:right="57"/>
              <w:rPr>
                <w:sz w:val="18"/>
                <w:szCs w:val="18"/>
              </w:rPr>
            </w:pPr>
            <w:r w:rsidRPr="002C5876">
              <w:rPr>
                <w:sz w:val="18"/>
                <w:szCs w:val="18"/>
              </w:rPr>
              <w:t>7</w:t>
            </w:r>
          </w:p>
        </w:tc>
      </w:tr>
      <w:tr w:rsidR="00E24DB7" w:rsidRPr="002C5876" w:rsidTr="00E24DB7">
        <w:trPr>
          <w:jc w:val="center"/>
        </w:trPr>
        <w:tc>
          <w:tcPr>
            <w:tcW w:w="1261" w:type="dxa"/>
            <w:tcBorders>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 xml:space="preserve">Sortie </w:t>
            </w:r>
            <w:r w:rsidRPr="002C5876">
              <w:rPr>
                <w:sz w:val="18"/>
                <w:szCs w:val="18"/>
              </w:rPr>
              <w:br/>
              <w:t>de l’étape 1</w:t>
            </w:r>
          </w:p>
        </w:tc>
        <w:tc>
          <w:tcPr>
            <w:tcW w:w="2117" w:type="dxa"/>
            <w:tcBorders>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d</w:t>
            </w:r>
            <w:r w:rsidRPr="002C5876">
              <w:rPr>
                <w:sz w:val="18"/>
                <w:szCs w:val="18"/>
                <w:vertAlign w:val="subscript"/>
              </w:rPr>
              <w:t>j</w:t>
            </w:r>
            <w:r w:rsidRPr="002C5876">
              <w:rPr>
                <w:sz w:val="18"/>
                <w:szCs w:val="18"/>
              </w:rPr>
              <w:t>, km</w:t>
            </w:r>
          </w:p>
        </w:tc>
        <w:tc>
          <w:tcPr>
            <w:tcW w:w="3145" w:type="dxa"/>
            <w:vMerge w:val="restart"/>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Calcul d’UF pour chaque phase et chaque cycle.</w:t>
            </w:r>
          </w:p>
          <w:p w:rsidR="00E24DB7" w:rsidRPr="002C5876" w:rsidRDefault="00E24DB7" w:rsidP="00E24DB7">
            <w:pPr>
              <w:spacing w:before="60" w:after="60" w:line="220" w:lineRule="atLeast"/>
              <w:ind w:left="57" w:right="57"/>
              <w:rPr>
                <w:sz w:val="18"/>
                <w:szCs w:val="18"/>
              </w:rPr>
            </w:pPr>
            <w:r w:rsidRPr="002C5876">
              <w:rPr>
                <w:sz w:val="18"/>
                <w:szCs w:val="18"/>
              </w:rPr>
              <w:t>Données de sortie disponibles pour chaque essai.</w:t>
            </w:r>
          </w:p>
          <w:p w:rsidR="00E24DB7" w:rsidRPr="002C5876" w:rsidRDefault="00E24DB7" w:rsidP="00E24DB7">
            <w:pPr>
              <w:spacing w:before="60" w:after="60" w:line="220" w:lineRule="atLeast"/>
              <w:ind w:left="57" w:right="57"/>
              <w:rPr>
                <w:sz w:val="18"/>
                <w:szCs w:val="18"/>
              </w:rPr>
            </w:pPr>
            <w:r w:rsidRPr="002C5876">
              <w:rPr>
                <w:sz w:val="18"/>
                <w:szCs w:val="18"/>
              </w:rPr>
              <w:t>Si la méthode d’interpolation est appliquée, les données de sortie sont disponibles pour les véhicules H, L et, le cas échéant, M.</w:t>
            </w:r>
          </w:p>
        </w:tc>
        <w:tc>
          <w:tcPr>
            <w:tcW w:w="2381" w:type="dxa"/>
            <w:tcBorders>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UF</w:t>
            </w:r>
            <w:r w:rsidRPr="002C5876">
              <w:rPr>
                <w:sz w:val="18"/>
                <w:szCs w:val="18"/>
                <w:vertAlign w:val="subscript"/>
              </w:rPr>
              <w:t>phase,j</w:t>
            </w:r>
            <w:r w:rsidRPr="002C5876">
              <w:rPr>
                <w:sz w:val="18"/>
                <w:szCs w:val="18"/>
              </w:rPr>
              <w:br/>
              <w:t>UF</w:t>
            </w:r>
            <w:r w:rsidRPr="002C5876">
              <w:rPr>
                <w:sz w:val="18"/>
                <w:szCs w:val="18"/>
                <w:vertAlign w:val="subscript"/>
              </w:rPr>
              <w:t>cycle,c</w:t>
            </w:r>
          </w:p>
        </w:tc>
        <w:tc>
          <w:tcPr>
            <w:tcW w:w="735" w:type="dxa"/>
            <w:vMerge w:val="restart"/>
            <w:tcBorders>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8</w:t>
            </w:r>
          </w:p>
        </w:tc>
      </w:tr>
      <w:tr w:rsidR="00E24DB7" w:rsidRPr="002C5876" w:rsidTr="00E24DB7">
        <w:trPr>
          <w:jc w:val="center"/>
        </w:trPr>
        <w:tc>
          <w:tcPr>
            <w:tcW w:w="1261"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 xml:space="preserve">Sortie </w:t>
            </w:r>
            <w:r w:rsidRPr="002C5876">
              <w:rPr>
                <w:sz w:val="18"/>
                <w:szCs w:val="18"/>
              </w:rPr>
              <w:br/>
              <w:t>de l’étape 3</w:t>
            </w:r>
          </w:p>
        </w:tc>
        <w:tc>
          <w:tcPr>
            <w:tcW w:w="2117"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n</w:t>
            </w:r>
            <w:r w:rsidRPr="002C5876">
              <w:rPr>
                <w:sz w:val="18"/>
                <w:szCs w:val="18"/>
                <w:vertAlign w:val="subscript"/>
              </w:rPr>
              <w:t>veh</w:t>
            </w:r>
          </w:p>
        </w:tc>
        <w:tc>
          <w:tcPr>
            <w:tcW w:w="3145" w:type="dxa"/>
            <w:vMerge/>
            <w:shd w:val="clear" w:color="auto" w:fill="auto"/>
          </w:tcPr>
          <w:p w:rsidR="00E24DB7" w:rsidRPr="002C5876" w:rsidRDefault="00E24DB7" w:rsidP="00E24DB7">
            <w:pPr>
              <w:spacing w:before="60" w:after="60" w:line="220" w:lineRule="atLeast"/>
              <w:ind w:left="57" w:right="57"/>
              <w:rPr>
                <w:sz w:val="18"/>
                <w:szCs w:val="18"/>
              </w:rPr>
            </w:pPr>
          </w:p>
        </w:tc>
        <w:tc>
          <w:tcPr>
            <w:tcW w:w="2381"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p>
        </w:tc>
        <w:tc>
          <w:tcPr>
            <w:tcW w:w="735" w:type="dxa"/>
            <w:vMerge/>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p>
        </w:tc>
      </w:tr>
      <w:tr w:rsidR="00E24DB7" w:rsidRPr="002C5876" w:rsidTr="00E24DB7">
        <w:trPr>
          <w:jc w:val="center"/>
        </w:trPr>
        <w:tc>
          <w:tcPr>
            <w:tcW w:w="1261" w:type="dxa"/>
            <w:tcBorders>
              <w:top w:val="nil"/>
              <w:bottom w:val="single" w:sz="4" w:space="0" w:color="auto"/>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 xml:space="preserve">Sortie </w:t>
            </w:r>
            <w:r w:rsidRPr="002C5876">
              <w:rPr>
                <w:sz w:val="18"/>
                <w:szCs w:val="18"/>
              </w:rPr>
              <w:br/>
              <w:t>de l’étape 4</w:t>
            </w:r>
          </w:p>
        </w:tc>
        <w:tc>
          <w:tcPr>
            <w:tcW w:w="2117" w:type="dxa"/>
            <w:tcBorders>
              <w:top w:val="nil"/>
              <w:bottom w:val="single" w:sz="4" w:space="0" w:color="auto"/>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n</w:t>
            </w:r>
            <w:r w:rsidRPr="002C5876">
              <w:rPr>
                <w:sz w:val="18"/>
                <w:szCs w:val="18"/>
                <w:vertAlign w:val="subscript"/>
              </w:rPr>
              <w:t>veh,L</w:t>
            </w:r>
          </w:p>
        </w:tc>
        <w:tc>
          <w:tcPr>
            <w:tcW w:w="3145" w:type="dxa"/>
            <w:vMerge/>
            <w:tcBorders>
              <w:bottom w:val="single" w:sz="4" w:space="0" w:color="auto"/>
            </w:tcBorders>
            <w:shd w:val="clear" w:color="auto" w:fill="auto"/>
          </w:tcPr>
          <w:p w:rsidR="00E24DB7" w:rsidRPr="002C5876" w:rsidRDefault="00E24DB7" w:rsidP="00E24DB7">
            <w:pPr>
              <w:spacing w:before="60" w:after="60" w:line="220" w:lineRule="atLeast"/>
              <w:ind w:left="57" w:right="57"/>
              <w:rPr>
                <w:sz w:val="18"/>
                <w:szCs w:val="18"/>
              </w:rPr>
            </w:pPr>
          </w:p>
        </w:tc>
        <w:tc>
          <w:tcPr>
            <w:tcW w:w="2381" w:type="dxa"/>
            <w:tcBorders>
              <w:top w:val="nil"/>
            </w:tcBorders>
            <w:shd w:val="clear" w:color="auto" w:fill="auto"/>
          </w:tcPr>
          <w:p w:rsidR="00E24DB7" w:rsidRPr="002C5876" w:rsidRDefault="00E24DB7" w:rsidP="00E24DB7">
            <w:pPr>
              <w:spacing w:before="60" w:after="60" w:line="220" w:lineRule="atLeast"/>
              <w:ind w:left="57" w:right="57"/>
              <w:rPr>
                <w:sz w:val="18"/>
                <w:szCs w:val="18"/>
              </w:rPr>
            </w:pPr>
          </w:p>
        </w:tc>
        <w:tc>
          <w:tcPr>
            <w:tcW w:w="735" w:type="dxa"/>
            <w:vMerge/>
            <w:tcBorders>
              <w:top w:val="nil"/>
            </w:tcBorders>
            <w:shd w:val="clear" w:color="auto" w:fill="auto"/>
          </w:tcPr>
          <w:p w:rsidR="00E24DB7" w:rsidRPr="002C5876" w:rsidRDefault="00E24DB7" w:rsidP="00E24DB7">
            <w:pPr>
              <w:spacing w:before="60" w:after="60" w:line="220" w:lineRule="atLeast"/>
              <w:ind w:left="57" w:right="57"/>
              <w:rPr>
                <w:sz w:val="18"/>
                <w:szCs w:val="18"/>
              </w:rPr>
            </w:pPr>
          </w:p>
        </w:tc>
      </w:tr>
      <w:tr w:rsidR="00E24DB7" w:rsidRPr="002C5876" w:rsidTr="00E24DB7">
        <w:trPr>
          <w:trHeight w:val="905"/>
          <w:jc w:val="center"/>
        </w:trPr>
        <w:tc>
          <w:tcPr>
            <w:tcW w:w="1261" w:type="dxa"/>
            <w:tcBorders>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Sortie</w:t>
            </w:r>
            <w:r w:rsidRPr="002C5876">
              <w:rPr>
                <w:sz w:val="18"/>
                <w:szCs w:val="18"/>
              </w:rPr>
              <w:br/>
              <w:t>de l’étape 1</w:t>
            </w:r>
          </w:p>
        </w:tc>
        <w:tc>
          <w:tcPr>
            <w:tcW w:w="2117" w:type="dxa"/>
            <w:tcBorders>
              <w:bottom w:val="nil"/>
            </w:tcBorders>
            <w:shd w:val="clear" w:color="auto" w:fill="auto"/>
          </w:tcPr>
          <w:p w:rsidR="00E24DB7" w:rsidRPr="00D53F39" w:rsidRDefault="00E24DB7" w:rsidP="00E24DB7">
            <w:pPr>
              <w:spacing w:before="60" w:after="60" w:line="220" w:lineRule="atLeast"/>
              <w:ind w:left="57" w:right="57"/>
              <w:rPr>
                <w:sz w:val="18"/>
                <w:szCs w:val="18"/>
                <w:lang w:val="en-US"/>
              </w:rPr>
            </w:pPr>
            <w:r w:rsidRPr="002C5876">
              <w:rPr>
                <w:sz w:val="18"/>
                <w:szCs w:val="18"/>
              </w:rPr>
              <w:t>Δ</w:t>
            </w:r>
            <w:r w:rsidRPr="00D53F39">
              <w:rPr>
                <w:sz w:val="18"/>
                <w:szCs w:val="18"/>
                <w:lang w:val="en-US"/>
              </w:rPr>
              <w:t>E</w:t>
            </w:r>
            <w:r w:rsidRPr="00D53F39">
              <w:rPr>
                <w:sz w:val="18"/>
                <w:szCs w:val="18"/>
                <w:vertAlign w:val="subscript"/>
                <w:lang w:val="en-US"/>
              </w:rPr>
              <w:t>REESS,j</w:t>
            </w:r>
            <w:r w:rsidRPr="00D53F39">
              <w:rPr>
                <w:sz w:val="18"/>
                <w:szCs w:val="18"/>
                <w:lang w:val="en-US"/>
              </w:rPr>
              <w:t>, Wh</w:t>
            </w:r>
            <w:r w:rsidRPr="00D53F39">
              <w:rPr>
                <w:sz w:val="18"/>
                <w:szCs w:val="18"/>
                <w:lang w:val="en-US"/>
              </w:rPr>
              <w:br/>
              <w:t>d</w:t>
            </w:r>
            <w:r w:rsidRPr="00D53F39">
              <w:rPr>
                <w:sz w:val="18"/>
                <w:szCs w:val="18"/>
                <w:vertAlign w:val="subscript"/>
                <w:lang w:val="en-US"/>
              </w:rPr>
              <w:t>j</w:t>
            </w:r>
            <w:r w:rsidRPr="00D53F39">
              <w:rPr>
                <w:sz w:val="18"/>
                <w:szCs w:val="18"/>
                <w:lang w:val="en-US"/>
              </w:rPr>
              <w:t>, km</w:t>
            </w:r>
            <w:r w:rsidRPr="00D53F39">
              <w:rPr>
                <w:sz w:val="18"/>
                <w:szCs w:val="18"/>
                <w:lang w:val="en-US"/>
              </w:rPr>
              <w:br/>
              <w:t>E</w:t>
            </w:r>
            <w:r w:rsidRPr="00D53F39">
              <w:rPr>
                <w:sz w:val="18"/>
                <w:szCs w:val="18"/>
                <w:vertAlign w:val="subscript"/>
                <w:lang w:val="en-US"/>
              </w:rPr>
              <w:t>AC</w:t>
            </w:r>
            <w:r w:rsidRPr="00D53F39">
              <w:rPr>
                <w:sz w:val="18"/>
                <w:szCs w:val="18"/>
                <w:lang w:val="en-US"/>
              </w:rPr>
              <w:t>, Wh</w:t>
            </w:r>
          </w:p>
        </w:tc>
        <w:tc>
          <w:tcPr>
            <w:tcW w:w="3145" w:type="dxa"/>
            <w:tcBorders>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Calcul de la consommation d’énergie électrique en se fondant sur l’énergie rechargée conformément aux paragraphes 4.3.1 et 4.3.2 de la présente annexe.</w:t>
            </w:r>
          </w:p>
        </w:tc>
        <w:tc>
          <w:tcPr>
            <w:tcW w:w="2381" w:type="dxa"/>
            <w:vMerge w:val="restart"/>
            <w:shd w:val="clear" w:color="auto" w:fill="auto"/>
          </w:tcPr>
          <w:p w:rsidR="00E24DB7" w:rsidRPr="00D53F39" w:rsidRDefault="00E24DB7" w:rsidP="00E24DB7">
            <w:pPr>
              <w:spacing w:before="60" w:after="60" w:line="220" w:lineRule="atLeast"/>
              <w:ind w:left="57" w:right="57"/>
              <w:rPr>
                <w:sz w:val="18"/>
                <w:szCs w:val="18"/>
                <w:lang w:val="en-US"/>
              </w:rPr>
            </w:pPr>
            <w:r w:rsidRPr="00D53F39">
              <w:rPr>
                <w:sz w:val="18"/>
                <w:szCs w:val="18"/>
                <w:lang w:val="en-US"/>
              </w:rPr>
              <w:t>EC</w:t>
            </w:r>
            <w:r w:rsidRPr="00D53F39">
              <w:rPr>
                <w:sz w:val="18"/>
                <w:szCs w:val="18"/>
                <w:vertAlign w:val="subscript"/>
                <w:lang w:val="en-US"/>
              </w:rPr>
              <w:t>AC,weighted</w:t>
            </w:r>
            <w:r w:rsidRPr="00D53F39">
              <w:rPr>
                <w:sz w:val="18"/>
                <w:szCs w:val="18"/>
                <w:lang w:val="en-US"/>
              </w:rPr>
              <w:t>, Wh/km</w:t>
            </w:r>
            <w:r w:rsidRPr="00D53F39">
              <w:rPr>
                <w:sz w:val="18"/>
                <w:szCs w:val="18"/>
                <w:lang w:val="en-US"/>
              </w:rPr>
              <w:br/>
              <w:t>EC</w:t>
            </w:r>
            <w:r w:rsidRPr="00D53F39">
              <w:rPr>
                <w:sz w:val="18"/>
                <w:szCs w:val="18"/>
                <w:vertAlign w:val="subscript"/>
                <w:lang w:val="en-US"/>
              </w:rPr>
              <w:t>AC,CD</w:t>
            </w:r>
            <w:r w:rsidRPr="00D53F39">
              <w:rPr>
                <w:sz w:val="18"/>
                <w:szCs w:val="18"/>
                <w:lang w:val="en-US"/>
              </w:rPr>
              <w:t>, Wh/km</w:t>
            </w:r>
          </w:p>
        </w:tc>
        <w:tc>
          <w:tcPr>
            <w:tcW w:w="735" w:type="dxa"/>
            <w:vMerge w:val="restart"/>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9</w:t>
            </w:r>
          </w:p>
        </w:tc>
      </w:tr>
      <w:tr w:rsidR="00E24DB7" w:rsidRPr="002C5876" w:rsidTr="00E24DB7">
        <w:trPr>
          <w:jc w:val="center"/>
        </w:trPr>
        <w:tc>
          <w:tcPr>
            <w:tcW w:w="1261"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 xml:space="preserve">Sortie </w:t>
            </w:r>
            <w:r w:rsidRPr="002C5876">
              <w:rPr>
                <w:sz w:val="18"/>
                <w:szCs w:val="18"/>
              </w:rPr>
              <w:br/>
              <w:t>de l’étape 3</w:t>
            </w:r>
          </w:p>
        </w:tc>
        <w:tc>
          <w:tcPr>
            <w:tcW w:w="2117"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n</w:t>
            </w:r>
            <w:r w:rsidRPr="002C5876">
              <w:rPr>
                <w:sz w:val="18"/>
                <w:szCs w:val="18"/>
                <w:vertAlign w:val="subscript"/>
              </w:rPr>
              <w:t>veh</w:t>
            </w:r>
          </w:p>
        </w:tc>
        <w:tc>
          <w:tcPr>
            <w:tcW w:w="3145" w:type="dxa"/>
            <w:vMerge w:val="restart"/>
            <w:tcBorders>
              <w:top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Si la méthode d’interpolation est appliquée, n</w:t>
            </w:r>
            <w:r w:rsidRPr="002C5876">
              <w:rPr>
                <w:sz w:val="18"/>
                <w:szCs w:val="18"/>
                <w:vertAlign w:val="subscript"/>
              </w:rPr>
              <w:t>veh,L</w:t>
            </w:r>
            <w:r w:rsidRPr="002C5876">
              <w:rPr>
                <w:sz w:val="18"/>
                <w:szCs w:val="18"/>
              </w:rPr>
              <w:t xml:space="preserve"> cycles doivent être exécutés. Par conséquent, en raison de la correction qui doit être apportée aux émissions massiques de CO</w:t>
            </w:r>
            <w:r w:rsidRPr="002C5876">
              <w:rPr>
                <w:sz w:val="18"/>
                <w:szCs w:val="18"/>
                <w:vertAlign w:val="subscript"/>
              </w:rPr>
              <w:t>2</w:t>
            </w:r>
            <w:r w:rsidRPr="002C5876">
              <w:rPr>
                <w:sz w:val="18"/>
                <w:szCs w:val="18"/>
              </w:rPr>
              <w:t>, la consommation d’énergie électrique du cycle de confirmation et de ses phases doit être réglée sur zéro.</w:t>
            </w:r>
          </w:p>
          <w:p w:rsidR="00E24DB7" w:rsidRPr="002C5876" w:rsidRDefault="00E24DB7" w:rsidP="00E24DB7">
            <w:pPr>
              <w:spacing w:before="60" w:after="60" w:line="220" w:lineRule="atLeast"/>
              <w:ind w:left="57" w:right="57"/>
              <w:rPr>
                <w:sz w:val="18"/>
                <w:szCs w:val="18"/>
              </w:rPr>
            </w:pPr>
            <w:r w:rsidRPr="002C5876">
              <w:rPr>
                <w:sz w:val="18"/>
                <w:szCs w:val="18"/>
              </w:rPr>
              <w:t>Données de sortie disponibles pour chaque essai.</w:t>
            </w:r>
          </w:p>
          <w:p w:rsidR="00E24DB7" w:rsidRPr="002C5876" w:rsidRDefault="00E24DB7" w:rsidP="00E24DB7">
            <w:pPr>
              <w:spacing w:before="60" w:after="60" w:line="220" w:lineRule="atLeast"/>
              <w:ind w:left="57" w:right="57"/>
              <w:rPr>
                <w:sz w:val="18"/>
                <w:szCs w:val="18"/>
              </w:rPr>
            </w:pPr>
            <w:r w:rsidRPr="002C5876">
              <w:rPr>
                <w:sz w:val="18"/>
                <w:szCs w:val="18"/>
              </w:rPr>
              <w:t>Si la méthode d’interpolation est appliquée, les données de sortie sont disponibles pour les véhicules H, L et, le cas échéant, M.</w:t>
            </w:r>
          </w:p>
        </w:tc>
        <w:tc>
          <w:tcPr>
            <w:tcW w:w="2381" w:type="dxa"/>
            <w:vMerge/>
            <w:shd w:val="clear" w:color="auto" w:fill="auto"/>
          </w:tcPr>
          <w:p w:rsidR="00E24DB7" w:rsidRPr="002C5876" w:rsidRDefault="00E24DB7" w:rsidP="00E24DB7">
            <w:pPr>
              <w:spacing w:before="60" w:after="60" w:line="220" w:lineRule="atLeast"/>
              <w:ind w:left="57" w:right="57"/>
              <w:rPr>
                <w:sz w:val="18"/>
                <w:szCs w:val="18"/>
              </w:rPr>
            </w:pPr>
          </w:p>
        </w:tc>
        <w:tc>
          <w:tcPr>
            <w:tcW w:w="735" w:type="dxa"/>
            <w:vMerge/>
            <w:shd w:val="clear" w:color="auto" w:fill="auto"/>
          </w:tcPr>
          <w:p w:rsidR="00E24DB7" w:rsidRPr="002C5876" w:rsidRDefault="00E24DB7" w:rsidP="00E24DB7">
            <w:pPr>
              <w:spacing w:before="60" w:after="60" w:line="220" w:lineRule="atLeast"/>
              <w:ind w:left="57" w:right="57"/>
              <w:rPr>
                <w:sz w:val="18"/>
                <w:szCs w:val="18"/>
              </w:rPr>
            </w:pPr>
          </w:p>
        </w:tc>
      </w:tr>
      <w:tr w:rsidR="00E24DB7" w:rsidRPr="002C5876" w:rsidTr="00E24DB7">
        <w:trPr>
          <w:jc w:val="center"/>
        </w:trPr>
        <w:tc>
          <w:tcPr>
            <w:tcW w:w="1261"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 xml:space="preserve">Sortie </w:t>
            </w:r>
            <w:r w:rsidRPr="002C5876">
              <w:rPr>
                <w:sz w:val="18"/>
                <w:szCs w:val="18"/>
              </w:rPr>
              <w:br/>
              <w:t>de l’étape 4</w:t>
            </w:r>
          </w:p>
        </w:tc>
        <w:tc>
          <w:tcPr>
            <w:tcW w:w="2117"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n</w:t>
            </w:r>
            <w:r w:rsidRPr="002C5876">
              <w:rPr>
                <w:sz w:val="18"/>
                <w:szCs w:val="18"/>
                <w:vertAlign w:val="subscript"/>
              </w:rPr>
              <w:t>veh,L</w:t>
            </w:r>
          </w:p>
        </w:tc>
        <w:tc>
          <w:tcPr>
            <w:tcW w:w="3145" w:type="dxa"/>
            <w:vMerge/>
            <w:tcBorders>
              <w:top w:val="nil"/>
            </w:tcBorders>
            <w:shd w:val="clear" w:color="auto" w:fill="auto"/>
          </w:tcPr>
          <w:p w:rsidR="00E24DB7" w:rsidRPr="002C5876" w:rsidRDefault="00E24DB7" w:rsidP="00E24DB7">
            <w:pPr>
              <w:spacing w:before="60" w:after="60" w:line="220" w:lineRule="atLeast"/>
              <w:ind w:left="57" w:right="57"/>
              <w:rPr>
                <w:sz w:val="18"/>
                <w:szCs w:val="18"/>
              </w:rPr>
            </w:pPr>
          </w:p>
        </w:tc>
        <w:tc>
          <w:tcPr>
            <w:tcW w:w="2381" w:type="dxa"/>
            <w:vMerge/>
            <w:shd w:val="clear" w:color="auto" w:fill="auto"/>
          </w:tcPr>
          <w:p w:rsidR="00E24DB7" w:rsidRPr="002C5876" w:rsidRDefault="00E24DB7" w:rsidP="00E24DB7">
            <w:pPr>
              <w:spacing w:before="60" w:after="60" w:line="220" w:lineRule="atLeast"/>
              <w:ind w:left="57" w:right="57"/>
              <w:rPr>
                <w:sz w:val="18"/>
                <w:szCs w:val="18"/>
              </w:rPr>
            </w:pPr>
          </w:p>
        </w:tc>
        <w:tc>
          <w:tcPr>
            <w:tcW w:w="735" w:type="dxa"/>
            <w:vMerge/>
            <w:shd w:val="clear" w:color="auto" w:fill="auto"/>
          </w:tcPr>
          <w:p w:rsidR="00E24DB7" w:rsidRPr="002C5876" w:rsidRDefault="00E24DB7" w:rsidP="00E24DB7">
            <w:pPr>
              <w:spacing w:before="60" w:after="60" w:line="220" w:lineRule="atLeast"/>
              <w:ind w:left="57" w:right="57"/>
              <w:rPr>
                <w:sz w:val="18"/>
                <w:szCs w:val="18"/>
              </w:rPr>
            </w:pPr>
          </w:p>
        </w:tc>
      </w:tr>
      <w:tr w:rsidR="00E24DB7" w:rsidRPr="002C5876" w:rsidTr="00E24DB7">
        <w:trPr>
          <w:jc w:val="center"/>
        </w:trPr>
        <w:tc>
          <w:tcPr>
            <w:tcW w:w="1261" w:type="dxa"/>
            <w:tcBorders>
              <w:top w:val="nil"/>
              <w:bottom w:val="single" w:sz="4" w:space="0" w:color="auto"/>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 xml:space="preserve">Sortie </w:t>
            </w:r>
            <w:r w:rsidRPr="002C5876">
              <w:rPr>
                <w:sz w:val="18"/>
                <w:szCs w:val="18"/>
              </w:rPr>
              <w:br/>
              <w:t>de l’étape 8</w:t>
            </w:r>
          </w:p>
        </w:tc>
        <w:tc>
          <w:tcPr>
            <w:tcW w:w="2117" w:type="dxa"/>
            <w:tcBorders>
              <w:top w:val="nil"/>
              <w:bottom w:val="single" w:sz="4" w:space="0" w:color="auto"/>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UF</w:t>
            </w:r>
            <w:r w:rsidRPr="002C5876">
              <w:rPr>
                <w:sz w:val="18"/>
                <w:szCs w:val="18"/>
                <w:vertAlign w:val="subscript"/>
              </w:rPr>
              <w:t>phase,j</w:t>
            </w:r>
          </w:p>
        </w:tc>
        <w:tc>
          <w:tcPr>
            <w:tcW w:w="3145" w:type="dxa"/>
            <w:vMerge/>
            <w:tcBorders>
              <w:top w:val="nil"/>
              <w:bottom w:val="single" w:sz="4" w:space="0" w:color="auto"/>
            </w:tcBorders>
            <w:shd w:val="clear" w:color="auto" w:fill="auto"/>
          </w:tcPr>
          <w:p w:rsidR="00E24DB7" w:rsidRPr="002C5876" w:rsidRDefault="00E24DB7" w:rsidP="00E24DB7">
            <w:pPr>
              <w:spacing w:before="60" w:after="60" w:line="220" w:lineRule="atLeast"/>
              <w:ind w:left="57" w:right="57"/>
              <w:rPr>
                <w:sz w:val="18"/>
                <w:szCs w:val="18"/>
              </w:rPr>
            </w:pPr>
          </w:p>
        </w:tc>
        <w:tc>
          <w:tcPr>
            <w:tcW w:w="2381" w:type="dxa"/>
            <w:vMerge/>
            <w:tcBorders>
              <w:bottom w:val="single" w:sz="4" w:space="0" w:color="auto"/>
            </w:tcBorders>
            <w:shd w:val="clear" w:color="auto" w:fill="auto"/>
          </w:tcPr>
          <w:p w:rsidR="00E24DB7" w:rsidRPr="002C5876" w:rsidRDefault="00E24DB7" w:rsidP="00E24DB7">
            <w:pPr>
              <w:spacing w:before="60" w:after="60" w:line="220" w:lineRule="atLeast"/>
              <w:ind w:left="57" w:right="57"/>
              <w:rPr>
                <w:sz w:val="18"/>
                <w:szCs w:val="18"/>
              </w:rPr>
            </w:pPr>
          </w:p>
        </w:tc>
        <w:tc>
          <w:tcPr>
            <w:tcW w:w="735" w:type="dxa"/>
            <w:vMerge/>
            <w:tcBorders>
              <w:bottom w:val="single" w:sz="4" w:space="0" w:color="auto"/>
            </w:tcBorders>
            <w:shd w:val="clear" w:color="auto" w:fill="auto"/>
          </w:tcPr>
          <w:p w:rsidR="00E24DB7" w:rsidRPr="002C5876" w:rsidRDefault="00E24DB7" w:rsidP="00E24DB7">
            <w:pPr>
              <w:spacing w:before="60" w:after="60" w:line="220" w:lineRule="atLeast"/>
              <w:ind w:left="57" w:right="57"/>
              <w:rPr>
                <w:sz w:val="18"/>
                <w:szCs w:val="18"/>
              </w:rPr>
            </w:pPr>
          </w:p>
        </w:tc>
      </w:tr>
      <w:tr w:rsidR="00E24DB7" w:rsidRPr="002C5876" w:rsidTr="00E24DB7">
        <w:trPr>
          <w:trHeight w:val="997"/>
          <w:jc w:val="center"/>
        </w:trPr>
        <w:tc>
          <w:tcPr>
            <w:tcW w:w="1261" w:type="dxa"/>
            <w:tcBorders>
              <w:bottom w:val="single" w:sz="4" w:space="0" w:color="auto"/>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 xml:space="preserve">Sortie </w:t>
            </w:r>
            <w:r w:rsidRPr="002C5876">
              <w:rPr>
                <w:sz w:val="18"/>
                <w:szCs w:val="18"/>
              </w:rPr>
              <w:br/>
              <w:t>de l’étape 1</w:t>
            </w:r>
          </w:p>
        </w:tc>
        <w:tc>
          <w:tcPr>
            <w:tcW w:w="2117" w:type="dxa"/>
            <w:tcBorders>
              <w:bottom w:val="single" w:sz="4" w:space="0" w:color="auto"/>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M</w:t>
            </w:r>
            <w:r w:rsidRPr="002C5876">
              <w:rPr>
                <w:sz w:val="18"/>
                <w:szCs w:val="18"/>
                <w:vertAlign w:val="subscript"/>
              </w:rPr>
              <w:t>CO2,CD,j</w:t>
            </w:r>
            <w:r w:rsidRPr="002C5876">
              <w:rPr>
                <w:sz w:val="18"/>
                <w:szCs w:val="18"/>
              </w:rPr>
              <w:t>, g/km</w:t>
            </w:r>
            <w:r w:rsidRPr="002C5876">
              <w:rPr>
                <w:sz w:val="18"/>
                <w:szCs w:val="18"/>
              </w:rPr>
              <w:br/>
              <w:t>K</w:t>
            </w:r>
            <w:r w:rsidRPr="002C5876">
              <w:rPr>
                <w:sz w:val="18"/>
                <w:szCs w:val="18"/>
                <w:vertAlign w:val="subscript"/>
              </w:rPr>
              <w:t>CO2</w:t>
            </w:r>
            <w:r w:rsidRPr="002C5876">
              <w:rPr>
                <w:sz w:val="18"/>
                <w:szCs w:val="18"/>
              </w:rPr>
              <w:t>, (g/km)/(Wh/km)</w:t>
            </w:r>
            <w:r w:rsidRPr="002C5876">
              <w:rPr>
                <w:sz w:val="18"/>
                <w:szCs w:val="18"/>
              </w:rPr>
              <w:br/>
              <w:t>ΔE</w:t>
            </w:r>
            <w:r w:rsidRPr="002C5876">
              <w:rPr>
                <w:sz w:val="18"/>
                <w:szCs w:val="18"/>
                <w:vertAlign w:val="subscript"/>
              </w:rPr>
              <w:t>REESS,j</w:t>
            </w:r>
            <w:r w:rsidRPr="002C5876">
              <w:rPr>
                <w:sz w:val="18"/>
                <w:szCs w:val="18"/>
              </w:rPr>
              <w:t>, Wh</w:t>
            </w:r>
            <w:r w:rsidRPr="002C5876">
              <w:rPr>
                <w:sz w:val="18"/>
                <w:szCs w:val="18"/>
              </w:rPr>
              <w:br/>
              <w:t>d</w:t>
            </w:r>
            <w:r w:rsidRPr="002C5876">
              <w:rPr>
                <w:sz w:val="18"/>
                <w:szCs w:val="18"/>
                <w:vertAlign w:val="subscript"/>
              </w:rPr>
              <w:t>j</w:t>
            </w:r>
            <w:r w:rsidRPr="002C5876">
              <w:rPr>
                <w:sz w:val="18"/>
                <w:szCs w:val="18"/>
              </w:rPr>
              <w:t>, km</w:t>
            </w:r>
          </w:p>
        </w:tc>
        <w:tc>
          <w:tcPr>
            <w:tcW w:w="3145" w:type="dxa"/>
            <w:tcBorders>
              <w:bottom w:val="single" w:sz="4" w:space="0" w:color="auto"/>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Calcul des émissions massiques de CO</w:t>
            </w:r>
            <w:r w:rsidRPr="002C5876">
              <w:rPr>
                <w:sz w:val="18"/>
                <w:szCs w:val="18"/>
                <w:vertAlign w:val="subscript"/>
              </w:rPr>
              <w:t>2</w:t>
            </w:r>
            <w:r w:rsidRPr="002C5876">
              <w:rPr>
                <w:sz w:val="18"/>
                <w:szCs w:val="18"/>
              </w:rPr>
              <w:t xml:space="preserve"> en mode épuisement de la charge conformément au paragraphe 4.1.2 de la présente annexe. </w:t>
            </w:r>
          </w:p>
        </w:tc>
        <w:tc>
          <w:tcPr>
            <w:tcW w:w="2381" w:type="dxa"/>
            <w:tcBorders>
              <w:bottom w:val="single" w:sz="4" w:space="0" w:color="auto"/>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M</w:t>
            </w:r>
            <w:r w:rsidRPr="002C5876">
              <w:rPr>
                <w:sz w:val="18"/>
                <w:szCs w:val="18"/>
                <w:vertAlign w:val="subscript"/>
              </w:rPr>
              <w:t>CO2,CD</w:t>
            </w:r>
            <w:r w:rsidRPr="002C5876">
              <w:rPr>
                <w:sz w:val="18"/>
                <w:szCs w:val="18"/>
              </w:rPr>
              <w:t>, g/km</w:t>
            </w:r>
          </w:p>
        </w:tc>
        <w:tc>
          <w:tcPr>
            <w:tcW w:w="735" w:type="dxa"/>
            <w:tcBorders>
              <w:bottom w:val="single" w:sz="4" w:space="0" w:color="auto"/>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10</w:t>
            </w:r>
          </w:p>
        </w:tc>
      </w:tr>
      <w:tr w:rsidR="00E24DB7" w:rsidRPr="002C5876" w:rsidTr="00E24DB7">
        <w:trPr>
          <w:jc w:val="center"/>
        </w:trPr>
        <w:tc>
          <w:tcPr>
            <w:tcW w:w="1261" w:type="dxa"/>
            <w:tcBorders>
              <w:top w:val="single" w:sz="4" w:space="0" w:color="auto"/>
              <w:bottom w:val="nil"/>
            </w:tcBorders>
            <w:shd w:val="clear" w:color="auto" w:fill="auto"/>
          </w:tcPr>
          <w:p w:rsidR="00E24DB7" w:rsidRPr="002C5876" w:rsidRDefault="00E24DB7" w:rsidP="00E24DB7">
            <w:pPr>
              <w:keepNext/>
              <w:keepLines/>
              <w:spacing w:before="60" w:after="60" w:line="220" w:lineRule="atLeast"/>
              <w:ind w:left="57" w:right="57"/>
              <w:rPr>
                <w:sz w:val="18"/>
                <w:szCs w:val="18"/>
              </w:rPr>
            </w:pPr>
            <w:r w:rsidRPr="002C5876">
              <w:rPr>
                <w:sz w:val="18"/>
                <w:szCs w:val="18"/>
              </w:rPr>
              <w:lastRenderedPageBreak/>
              <w:t xml:space="preserve">Sortie </w:t>
            </w:r>
            <w:r w:rsidRPr="002C5876">
              <w:rPr>
                <w:sz w:val="18"/>
                <w:szCs w:val="18"/>
              </w:rPr>
              <w:br/>
              <w:t>de l’étape 3</w:t>
            </w:r>
          </w:p>
        </w:tc>
        <w:tc>
          <w:tcPr>
            <w:tcW w:w="2117" w:type="dxa"/>
            <w:tcBorders>
              <w:top w:val="single" w:sz="4" w:space="0" w:color="auto"/>
              <w:bottom w:val="nil"/>
            </w:tcBorders>
            <w:shd w:val="clear" w:color="auto" w:fill="auto"/>
          </w:tcPr>
          <w:p w:rsidR="00E24DB7" w:rsidRPr="002C5876" w:rsidRDefault="00E24DB7" w:rsidP="00E24DB7">
            <w:pPr>
              <w:keepNext/>
              <w:keepLines/>
              <w:spacing w:before="60" w:after="60" w:line="220" w:lineRule="atLeast"/>
              <w:ind w:left="57" w:right="57"/>
              <w:rPr>
                <w:sz w:val="18"/>
                <w:szCs w:val="18"/>
              </w:rPr>
            </w:pPr>
            <w:r w:rsidRPr="002C5876">
              <w:rPr>
                <w:sz w:val="18"/>
                <w:szCs w:val="18"/>
              </w:rPr>
              <w:t>n</w:t>
            </w:r>
            <w:r w:rsidRPr="002C5876">
              <w:rPr>
                <w:sz w:val="18"/>
                <w:szCs w:val="18"/>
                <w:vertAlign w:val="subscript"/>
              </w:rPr>
              <w:t>veh</w:t>
            </w:r>
          </w:p>
        </w:tc>
        <w:tc>
          <w:tcPr>
            <w:tcW w:w="3145" w:type="dxa"/>
            <w:vMerge w:val="restart"/>
            <w:tcBorders>
              <w:top w:val="single" w:sz="4" w:space="0" w:color="auto"/>
            </w:tcBorders>
            <w:shd w:val="clear" w:color="auto" w:fill="auto"/>
          </w:tcPr>
          <w:p w:rsidR="00E24DB7" w:rsidRPr="002C5876" w:rsidRDefault="00E24DB7" w:rsidP="00E24DB7">
            <w:pPr>
              <w:keepNext/>
              <w:keepLines/>
              <w:spacing w:before="60" w:after="60" w:line="220" w:lineRule="atLeast"/>
              <w:ind w:left="57" w:right="57"/>
              <w:rPr>
                <w:sz w:val="18"/>
                <w:szCs w:val="18"/>
              </w:rPr>
            </w:pPr>
            <w:r w:rsidRPr="002C5876">
              <w:rPr>
                <w:sz w:val="18"/>
                <w:szCs w:val="18"/>
              </w:rPr>
              <w:t>Si la méthode d’interpolation est appliquée, n</w:t>
            </w:r>
            <w:r w:rsidRPr="002C5876">
              <w:rPr>
                <w:sz w:val="18"/>
                <w:szCs w:val="18"/>
                <w:vertAlign w:val="subscript"/>
              </w:rPr>
              <w:t>veh,L</w:t>
            </w:r>
            <w:r w:rsidRPr="002C5876">
              <w:rPr>
                <w:sz w:val="18"/>
                <w:szCs w:val="18"/>
              </w:rPr>
              <w:t xml:space="preserve"> cycles doivent être exécutés. Ainsi qu’il est prévu au paragraphe 4.1.2 de la présente annexe, il convient de corriger le cycle de confirmation conformément à l’appendice 2 de la présente annexe.</w:t>
            </w:r>
          </w:p>
        </w:tc>
        <w:tc>
          <w:tcPr>
            <w:tcW w:w="2381" w:type="dxa"/>
            <w:vMerge w:val="restart"/>
            <w:tcBorders>
              <w:top w:val="single" w:sz="4" w:space="0" w:color="auto"/>
            </w:tcBorders>
            <w:shd w:val="clear" w:color="auto" w:fill="auto"/>
          </w:tcPr>
          <w:p w:rsidR="00E24DB7" w:rsidRPr="002C5876" w:rsidRDefault="00E24DB7" w:rsidP="00E24DB7">
            <w:pPr>
              <w:keepNext/>
              <w:keepLines/>
              <w:spacing w:before="60" w:after="60" w:line="220" w:lineRule="atLeast"/>
              <w:ind w:left="57" w:right="57"/>
              <w:rPr>
                <w:sz w:val="18"/>
                <w:szCs w:val="18"/>
              </w:rPr>
            </w:pPr>
          </w:p>
        </w:tc>
        <w:tc>
          <w:tcPr>
            <w:tcW w:w="735" w:type="dxa"/>
            <w:vMerge w:val="restart"/>
            <w:tcBorders>
              <w:top w:val="single" w:sz="4" w:space="0" w:color="auto"/>
            </w:tcBorders>
            <w:shd w:val="clear" w:color="auto" w:fill="auto"/>
          </w:tcPr>
          <w:p w:rsidR="00E24DB7" w:rsidRPr="002C5876" w:rsidRDefault="00E24DB7" w:rsidP="00E24DB7">
            <w:pPr>
              <w:keepNext/>
              <w:keepLines/>
              <w:spacing w:before="60" w:after="60" w:line="220" w:lineRule="atLeast"/>
              <w:ind w:left="57" w:right="57"/>
              <w:rPr>
                <w:sz w:val="18"/>
                <w:szCs w:val="18"/>
              </w:rPr>
            </w:pPr>
          </w:p>
        </w:tc>
      </w:tr>
      <w:tr w:rsidR="00E24DB7" w:rsidRPr="002C5876" w:rsidTr="00E24DB7">
        <w:trPr>
          <w:jc w:val="center"/>
        </w:trPr>
        <w:tc>
          <w:tcPr>
            <w:tcW w:w="1261" w:type="dxa"/>
            <w:tcBorders>
              <w:top w:val="nil"/>
              <w:bottom w:val="nil"/>
            </w:tcBorders>
            <w:shd w:val="clear" w:color="auto" w:fill="auto"/>
          </w:tcPr>
          <w:p w:rsidR="00E24DB7" w:rsidRPr="002C5876" w:rsidRDefault="00E24DB7" w:rsidP="00E24DB7">
            <w:pPr>
              <w:keepNext/>
              <w:keepLines/>
              <w:spacing w:before="60" w:after="60" w:line="220" w:lineRule="atLeast"/>
              <w:ind w:left="57" w:right="57"/>
              <w:rPr>
                <w:sz w:val="18"/>
                <w:szCs w:val="18"/>
              </w:rPr>
            </w:pPr>
            <w:r w:rsidRPr="002C5876">
              <w:rPr>
                <w:sz w:val="18"/>
                <w:szCs w:val="18"/>
              </w:rPr>
              <w:t xml:space="preserve">Sortie </w:t>
            </w:r>
            <w:r w:rsidRPr="002C5876">
              <w:rPr>
                <w:sz w:val="18"/>
                <w:szCs w:val="18"/>
              </w:rPr>
              <w:br/>
              <w:t>de l’étape 4</w:t>
            </w:r>
          </w:p>
        </w:tc>
        <w:tc>
          <w:tcPr>
            <w:tcW w:w="2117" w:type="dxa"/>
            <w:tcBorders>
              <w:top w:val="nil"/>
              <w:bottom w:val="nil"/>
            </w:tcBorders>
            <w:shd w:val="clear" w:color="auto" w:fill="auto"/>
          </w:tcPr>
          <w:p w:rsidR="00E24DB7" w:rsidRPr="002C5876" w:rsidRDefault="00E24DB7" w:rsidP="00E24DB7">
            <w:pPr>
              <w:keepNext/>
              <w:keepLines/>
              <w:spacing w:before="60" w:after="60" w:line="220" w:lineRule="atLeast"/>
              <w:ind w:left="57" w:right="57"/>
              <w:rPr>
                <w:sz w:val="18"/>
                <w:szCs w:val="18"/>
              </w:rPr>
            </w:pPr>
            <w:r w:rsidRPr="002C5876">
              <w:rPr>
                <w:sz w:val="18"/>
                <w:szCs w:val="18"/>
              </w:rPr>
              <w:t>n</w:t>
            </w:r>
            <w:r w:rsidRPr="002C5876">
              <w:rPr>
                <w:sz w:val="18"/>
                <w:szCs w:val="18"/>
                <w:vertAlign w:val="subscript"/>
              </w:rPr>
              <w:t>veh,L</w:t>
            </w:r>
          </w:p>
        </w:tc>
        <w:tc>
          <w:tcPr>
            <w:tcW w:w="3145" w:type="dxa"/>
            <w:vMerge/>
            <w:tcBorders>
              <w:top w:val="nil"/>
            </w:tcBorders>
            <w:shd w:val="clear" w:color="auto" w:fill="auto"/>
          </w:tcPr>
          <w:p w:rsidR="00E24DB7" w:rsidRPr="002C5876" w:rsidRDefault="00E24DB7" w:rsidP="00E24DB7">
            <w:pPr>
              <w:keepNext/>
              <w:keepLines/>
              <w:spacing w:before="60" w:after="60" w:line="220" w:lineRule="atLeast"/>
              <w:ind w:left="57" w:right="57"/>
              <w:rPr>
                <w:sz w:val="18"/>
                <w:szCs w:val="18"/>
              </w:rPr>
            </w:pPr>
          </w:p>
        </w:tc>
        <w:tc>
          <w:tcPr>
            <w:tcW w:w="2381" w:type="dxa"/>
            <w:vMerge/>
            <w:tcBorders>
              <w:top w:val="nil"/>
            </w:tcBorders>
            <w:shd w:val="clear" w:color="auto" w:fill="auto"/>
          </w:tcPr>
          <w:p w:rsidR="00E24DB7" w:rsidRPr="002C5876" w:rsidRDefault="00E24DB7" w:rsidP="00E24DB7">
            <w:pPr>
              <w:keepNext/>
              <w:keepLines/>
              <w:spacing w:before="60" w:after="60" w:line="220" w:lineRule="atLeast"/>
              <w:ind w:left="57" w:right="57"/>
              <w:rPr>
                <w:sz w:val="18"/>
                <w:szCs w:val="18"/>
              </w:rPr>
            </w:pPr>
          </w:p>
        </w:tc>
        <w:tc>
          <w:tcPr>
            <w:tcW w:w="735" w:type="dxa"/>
            <w:vMerge/>
            <w:tcBorders>
              <w:top w:val="nil"/>
            </w:tcBorders>
            <w:shd w:val="clear" w:color="auto" w:fill="auto"/>
          </w:tcPr>
          <w:p w:rsidR="00E24DB7" w:rsidRPr="002C5876" w:rsidRDefault="00E24DB7" w:rsidP="00E24DB7">
            <w:pPr>
              <w:keepNext/>
              <w:keepLines/>
              <w:spacing w:before="60" w:after="60" w:line="220" w:lineRule="atLeast"/>
              <w:ind w:left="57" w:right="57"/>
              <w:rPr>
                <w:sz w:val="18"/>
                <w:szCs w:val="18"/>
              </w:rPr>
            </w:pPr>
          </w:p>
        </w:tc>
      </w:tr>
      <w:tr w:rsidR="00E24DB7" w:rsidRPr="002C5876" w:rsidTr="00E24DB7">
        <w:trPr>
          <w:jc w:val="center"/>
        </w:trPr>
        <w:tc>
          <w:tcPr>
            <w:tcW w:w="1261"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 xml:space="preserve">Sortie </w:t>
            </w:r>
            <w:r w:rsidRPr="002C5876">
              <w:rPr>
                <w:sz w:val="18"/>
                <w:szCs w:val="18"/>
              </w:rPr>
              <w:br/>
              <w:t>de l’étape 8</w:t>
            </w:r>
          </w:p>
        </w:tc>
        <w:tc>
          <w:tcPr>
            <w:tcW w:w="2117"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UF</w:t>
            </w:r>
            <w:r w:rsidRPr="002C5876">
              <w:rPr>
                <w:sz w:val="18"/>
                <w:szCs w:val="18"/>
                <w:vertAlign w:val="subscript"/>
              </w:rPr>
              <w:t>phase,j</w:t>
            </w:r>
          </w:p>
        </w:tc>
        <w:tc>
          <w:tcPr>
            <w:tcW w:w="3145" w:type="dxa"/>
            <w:vMerge/>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p>
        </w:tc>
        <w:tc>
          <w:tcPr>
            <w:tcW w:w="2381" w:type="dxa"/>
            <w:vMerge/>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p>
        </w:tc>
        <w:tc>
          <w:tcPr>
            <w:tcW w:w="735" w:type="dxa"/>
            <w:vMerge/>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p>
        </w:tc>
      </w:tr>
      <w:tr w:rsidR="00E24DB7" w:rsidRPr="002C5876" w:rsidTr="00E24DB7">
        <w:trPr>
          <w:trHeight w:val="20"/>
          <w:jc w:val="center"/>
        </w:trPr>
        <w:tc>
          <w:tcPr>
            <w:tcW w:w="1261" w:type="dxa"/>
            <w:tcBorders>
              <w:top w:val="nil"/>
              <w:bottom w:val="nil"/>
            </w:tcBorders>
            <w:shd w:val="clear" w:color="auto" w:fill="auto"/>
          </w:tcPr>
          <w:p w:rsidR="00E24DB7" w:rsidRPr="002C5876" w:rsidRDefault="00E24DB7" w:rsidP="00E24DB7">
            <w:pPr>
              <w:keepNext/>
              <w:spacing w:before="60" w:after="60" w:line="220" w:lineRule="atLeast"/>
              <w:ind w:left="57" w:right="57"/>
              <w:rPr>
                <w:sz w:val="18"/>
                <w:szCs w:val="18"/>
              </w:rPr>
            </w:pPr>
          </w:p>
        </w:tc>
        <w:tc>
          <w:tcPr>
            <w:tcW w:w="2117" w:type="dxa"/>
            <w:tcBorders>
              <w:top w:val="nil"/>
              <w:bottom w:val="nil"/>
            </w:tcBorders>
            <w:shd w:val="clear" w:color="auto" w:fill="auto"/>
          </w:tcPr>
          <w:p w:rsidR="00E24DB7" w:rsidRPr="002C5876" w:rsidRDefault="00E24DB7" w:rsidP="00E24DB7">
            <w:pPr>
              <w:keepNext/>
              <w:spacing w:before="60" w:after="60" w:line="220" w:lineRule="atLeast"/>
              <w:ind w:left="57" w:right="57"/>
              <w:rPr>
                <w:sz w:val="18"/>
                <w:szCs w:val="18"/>
              </w:rPr>
            </w:pPr>
          </w:p>
        </w:tc>
        <w:tc>
          <w:tcPr>
            <w:tcW w:w="3145" w:type="dxa"/>
            <w:tcBorders>
              <w:top w:val="nil"/>
              <w:bottom w:val="nil"/>
            </w:tcBorders>
            <w:shd w:val="clear" w:color="auto" w:fill="auto"/>
          </w:tcPr>
          <w:p w:rsidR="00E24DB7" w:rsidRPr="002C5876" w:rsidRDefault="00E24DB7" w:rsidP="00E24DB7">
            <w:pPr>
              <w:keepNext/>
              <w:spacing w:before="60" w:after="60" w:line="220" w:lineRule="atLeast"/>
              <w:ind w:left="57" w:right="57"/>
              <w:rPr>
                <w:sz w:val="18"/>
                <w:szCs w:val="18"/>
              </w:rPr>
            </w:pPr>
            <w:r w:rsidRPr="002C5876">
              <w:rPr>
                <w:sz w:val="18"/>
                <w:szCs w:val="18"/>
              </w:rPr>
              <w:t>Données de sortie disponibles pour chaque essai.</w:t>
            </w:r>
          </w:p>
        </w:tc>
        <w:tc>
          <w:tcPr>
            <w:tcW w:w="2381" w:type="dxa"/>
            <w:tcBorders>
              <w:top w:val="nil"/>
              <w:bottom w:val="nil"/>
            </w:tcBorders>
            <w:shd w:val="clear" w:color="auto" w:fill="auto"/>
          </w:tcPr>
          <w:p w:rsidR="00E24DB7" w:rsidRPr="002C5876" w:rsidRDefault="00E24DB7" w:rsidP="00E24DB7">
            <w:pPr>
              <w:keepNext/>
              <w:spacing w:before="60" w:after="60" w:line="220" w:lineRule="atLeast"/>
              <w:ind w:left="57" w:right="57"/>
              <w:rPr>
                <w:sz w:val="18"/>
                <w:szCs w:val="18"/>
              </w:rPr>
            </w:pPr>
          </w:p>
        </w:tc>
        <w:tc>
          <w:tcPr>
            <w:tcW w:w="735" w:type="dxa"/>
            <w:tcBorders>
              <w:top w:val="nil"/>
              <w:bottom w:val="nil"/>
            </w:tcBorders>
            <w:shd w:val="clear" w:color="auto" w:fill="auto"/>
          </w:tcPr>
          <w:p w:rsidR="00E24DB7" w:rsidRPr="002C5876" w:rsidRDefault="00E24DB7" w:rsidP="00E24DB7">
            <w:pPr>
              <w:keepNext/>
              <w:spacing w:before="60" w:after="60" w:line="220" w:lineRule="atLeast"/>
              <w:ind w:left="57" w:right="57"/>
              <w:rPr>
                <w:sz w:val="18"/>
                <w:szCs w:val="18"/>
              </w:rPr>
            </w:pPr>
          </w:p>
        </w:tc>
      </w:tr>
      <w:tr w:rsidR="00E24DB7" w:rsidRPr="002C5876" w:rsidTr="00E24DB7">
        <w:trPr>
          <w:trHeight w:val="20"/>
          <w:jc w:val="center"/>
        </w:trPr>
        <w:tc>
          <w:tcPr>
            <w:tcW w:w="1261" w:type="dxa"/>
            <w:tcBorders>
              <w:top w:val="nil"/>
              <w:bottom w:val="single" w:sz="4" w:space="0" w:color="auto"/>
            </w:tcBorders>
            <w:shd w:val="clear" w:color="auto" w:fill="auto"/>
          </w:tcPr>
          <w:p w:rsidR="00E24DB7" w:rsidRPr="002C5876" w:rsidRDefault="00E24DB7" w:rsidP="00E24DB7">
            <w:pPr>
              <w:spacing w:before="60" w:after="60" w:line="220" w:lineRule="atLeast"/>
              <w:ind w:left="57" w:right="57"/>
              <w:rPr>
                <w:sz w:val="18"/>
                <w:szCs w:val="18"/>
              </w:rPr>
            </w:pPr>
          </w:p>
        </w:tc>
        <w:tc>
          <w:tcPr>
            <w:tcW w:w="2117" w:type="dxa"/>
            <w:tcBorders>
              <w:top w:val="nil"/>
              <w:bottom w:val="single" w:sz="4" w:space="0" w:color="auto"/>
            </w:tcBorders>
            <w:shd w:val="clear" w:color="auto" w:fill="auto"/>
          </w:tcPr>
          <w:p w:rsidR="00E24DB7" w:rsidRPr="002C5876" w:rsidRDefault="00E24DB7" w:rsidP="00E24DB7">
            <w:pPr>
              <w:spacing w:before="60" w:after="60" w:line="220" w:lineRule="atLeast"/>
              <w:ind w:left="57" w:right="57"/>
              <w:rPr>
                <w:sz w:val="18"/>
                <w:szCs w:val="18"/>
              </w:rPr>
            </w:pPr>
          </w:p>
        </w:tc>
        <w:tc>
          <w:tcPr>
            <w:tcW w:w="3145" w:type="dxa"/>
            <w:tcBorders>
              <w:top w:val="nil"/>
              <w:bottom w:val="single" w:sz="4" w:space="0" w:color="auto"/>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Si la méthode d’interpolation est appliquée, les données de sortie sont disponibles pour les véhicules H, L et, le cas échéant, M.</w:t>
            </w:r>
          </w:p>
        </w:tc>
        <w:tc>
          <w:tcPr>
            <w:tcW w:w="2381" w:type="dxa"/>
            <w:tcBorders>
              <w:top w:val="nil"/>
              <w:bottom w:val="single" w:sz="4" w:space="0" w:color="auto"/>
            </w:tcBorders>
            <w:shd w:val="clear" w:color="auto" w:fill="auto"/>
          </w:tcPr>
          <w:p w:rsidR="00E24DB7" w:rsidRPr="002C5876" w:rsidRDefault="00E24DB7" w:rsidP="00E24DB7">
            <w:pPr>
              <w:spacing w:before="60" w:after="60" w:line="220" w:lineRule="atLeast"/>
              <w:ind w:left="57" w:right="57"/>
              <w:rPr>
                <w:sz w:val="18"/>
                <w:szCs w:val="18"/>
              </w:rPr>
            </w:pPr>
          </w:p>
        </w:tc>
        <w:tc>
          <w:tcPr>
            <w:tcW w:w="735" w:type="dxa"/>
            <w:tcBorders>
              <w:top w:val="nil"/>
              <w:bottom w:val="single" w:sz="4" w:space="0" w:color="auto"/>
            </w:tcBorders>
            <w:shd w:val="clear" w:color="auto" w:fill="auto"/>
          </w:tcPr>
          <w:p w:rsidR="00E24DB7" w:rsidRPr="002C5876" w:rsidRDefault="00E24DB7" w:rsidP="00E24DB7">
            <w:pPr>
              <w:spacing w:before="60" w:after="60" w:line="220" w:lineRule="atLeast"/>
              <w:ind w:left="57" w:right="57"/>
              <w:rPr>
                <w:sz w:val="18"/>
                <w:szCs w:val="18"/>
              </w:rPr>
            </w:pPr>
          </w:p>
        </w:tc>
      </w:tr>
      <w:tr w:rsidR="00E24DB7" w:rsidRPr="002C5876" w:rsidTr="00E24DB7">
        <w:trPr>
          <w:jc w:val="center"/>
        </w:trPr>
        <w:tc>
          <w:tcPr>
            <w:tcW w:w="1261" w:type="dxa"/>
            <w:tcBorders>
              <w:top w:val="single" w:sz="4" w:space="0" w:color="auto"/>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 xml:space="preserve">Sortie </w:t>
            </w:r>
            <w:r w:rsidRPr="002C5876">
              <w:rPr>
                <w:sz w:val="18"/>
                <w:szCs w:val="18"/>
              </w:rPr>
              <w:br/>
              <w:t>de l’étape 1</w:t>
            </w:r>
          </w:p>
        </w:tc>
        <w:tc>
          <w:tcPr>
            <w:tcW w:w="2117" w:type="dxa"/>
            <w:tcBorders>
              <w:top w:val="single" w:sz="4" w:space="0" w:color="auto"/>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M</w:t>
            </w:r>
            <w:r w:rsidRPr="002C5876">
              <w:rPr>
                <w:sz w:val="18"/>
                <w:szCs w:val="18"/>
                <w:vertAlign w:val="subscript"/>
              </w:rPr>
              <w:t>CO2,CD,j</w:t>
            </w:r>
            <w:r w:rsidRPr="002C5876">
              <w:rPr>
                <w:sz w:val="18"/>
                <w:szCs w:val="18"/>
              </w:rPr>
              <w:t>, g/km</w:t>
            </w:r>
            <w:r w:rsidRPr="002C5876">
              <w:rPr>
                <w:sz w:val="18"/>
                <w:szCs w:val="18"/>
              </w:rPr>
              <w:br/>
              <w:t>M</w:t>
            </w:r>
            <w:r w:rsidRPr="002C5876">
              <w:rPr>
                <w:sz w:val="18"/>
                <w:szCs w:val="18"/>
                <w:vertAlign w:val="subscript"/>
              </w:rPr>
              <w:t>i,CD,j</w:t>
            </w:r>
            <w:r w:rsidRPr="002C5876">
              <w:rPr>
                <w:sz w:val="18"/>
                <w:szCs w:val="18"/>
              </w:rPr>
              <w:t>, g/km</w:t>
            </w:r>
            <w:r w:rsidRPr="002C5876">
              <w:rPr>
                <w:sz w:val="18"/>
                <w:szCs w:val="18"/>
              </w:rPr>
              <w:br/>
              <w:t>K</w:t>
            </w:r>
            <w:r w:rsidRPr="002C5876">
              <w:rPr>
                <w:sz w:val="18"/>
                <w:szCs w:val="18"/>
                <w:vertAlign w:val="subscript"/>
              </w:rPr>
              <w:t>CO2</w:t>
            </w:r>
            <w:r w:rsidRPr="002C5876">
              <w:rPr>
                <w:sz w:val="18"/>
                <w:szCs w:val="18"/>
              </w:rPr>
              <w:t>, (g/km)/(Wh/km)</w:t>
            </w:r>
          </w:p>
        </w:tc>
        <w:tc>
          <w:tcPr>
            <w:tcW w:w="3145" w:type="dxa"/>
            <w:tcBorders>
              <w:top w:val="single" w:sz="4" w:space="0" w:color="auto"/>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Calcul de la consommation de carburant en mode épuisement de la charge conformément au paragraphe 4.2.2 de la présente annexe.</w:t>
            </w:r>
          </w:p>
        </w:tc>
        <w:tc>
          <w:tcPr>
            <w:tcW w:w="2381" w:type="dxa"/>
            <w:tcBorders>
              <w:top w:val="single" w:sz="4" w:space="0" w:color="auto"/>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FC</w:t>
            </w:r>
            <w:r w:rsidRPr="002C5876">
              <w:rPr>
                <w:sz w:val="18"/>
                <w:szCs w:val="18"/>
                <w:vertAlign w:val="subscript"/>
              </w:rPr>
              <w:t>CD,j</w:t>
            </w:r>
            <w:r w:rsidRPr="002C5876">
              <w:rPr>
                <w:sz w:val="18"/>
                <w:szCs w:val="18"/>
              </w:rPr>
              <w:t>, l/100 km</w:t>
            </w:r>
            <w:r w:rsidRPr="002C5876">
              <w:rPr>
                <w:sz w:val="18"/>
                <w:szCs w:val="18"/>
              </w:rPr>
              <w:br/>
              <w:t>FC</w:t>
            </w:r>
            <w:r w:rsidRPr="002C5876">
              <w:rPr>
                <w:sz w:val="18"/>
                <w:szCs w:val="18"/>
                <w:vertAlign w:val="subscript"/>
              </w:rPr>
              <w:t>CD</w:t>
            </w:r>
            <w:r w:rsidRPr="002C5876">
              <w:rPr>
                <w:sz w:val="18"/>
                <w:szCs w:val="18"/>
              </w:rPr>
              <w:t>, l/100 km</w:t>
            </w:r>
          </w:p>
        </w:tc>
        <w:tc>
          <w:tcPr>
            <w:tcW w:w="735" w:type="dxa"/>
            <w:tcBorders>
              <w:top w:val="single" w:sz="4" w:space="0" w:color="auto"/>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11</w:t>
            </w:r>
          </w:p>
        </w:tc>
      </w:tr>
      <w:tr w:rsidR="00E24DB7" w:rsidRPr="002C5876" w:rsidTr="00E24DB7">
        <w:trPr>
          <w:jc w:val="center"/>
        </w:trPr>
        <w:tc>
          <w:tcPr>
            <w:tcW w:w="1261"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 xml:space="preserve">Sortie </w:t>
            </w:r>
            <w:r w:rsidRPr="002C5876">
              <w:rPr>
                <w:sz w:val="18"/>
                <w:szCs w:val="18"/>
              </w:rPr>
              <w:br/>
              <w:t>de l’étape 3</w:t>
            </w:r>
          </w:p>
        </w:tc>
        <w:tc>
          <w:tcPr>
            <w:tcW w:w="2117"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n</w:t>
            </w:r>
            <w:r w:rsidRPr="002C5876">
              <w:rPr>
                <w:sz w:val="18"/>
                <w:szCs w:val="18"/>
                <w:vertAlign w:val="subscript"/>
              </w:rPr>
              <w:t>veh</w:t>
            </w:r>
          </w:p>
        </w:tc>
        <w:tc>
          <w:tcPr>
            <w:tcW w:w="3145" w:type="dxa"/>
            <w:vMerge w:val="restart"/>
            <w:tcBorders>
              <w:top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Si la méthode d’interpolation est appliquée, n</w:t>
            </w:r>
            <w:r w:rsidRPr="002C5876">
              <w:rPr>
                <w:sz w:val="18"/>
                <w:szCs w:val="18"/>
                <w:vertAlign w:val="subscript"/>
              </w:rPr>
              <w:t>veh,L</w:t>
            </w:r>
            <w:r w:rsidRPr="002C5876">
              <w:rPr>
                <w:sz w:val="18"/>
                <w:szCs w:val="18"/>
              </w:rPr>
              <w:t xml:space="preserve"> cycles doivent être exécutés. Ainsi qu’il est prévu au paragraphe 4.1.2 de la présente annexe, il convient de corriger M</w:t>
            </w:r>
            <w:r w:rsidRPr="002C5876">
              <w:rPr>
                <w:sz w:val="18"/>
                <w:szCs w:val="18"/>
                <w:vertAlign w:val="subscript"/>
              </w:rPr>
              <w:t>CO2,CD,j</w:t>
            </w:r>
            <w:r w:rsidRPr="002C5876">
              <w:rPr>
                <w:sz w:val="18"/>
                <w:szCs w:val="18"/>
              </w:rPr>
              <w:t xml:space="preserve"> pour le cycle de confirmation conformément à l’appendice 2 de la présente annexe. La consommation de carburant propre à chaque phase FC</w:t>
            </w:r>
            <w:r w:rsidRPr="002C5876">
              <w:rPr>
                <w:sz w:val="18"/>
                <w:szCs w:val="18"/>
                <w:vertAlign w:val="subscript"/>
              </w:rPr>
              <w:t>CD,j</w:t>
            </w:r>
            <w:r w:rsidRPr="002C5876">
              <w:rPr>
                <w:sz w:val="18"/>
                <w:szCs w:val="18"/>
              </w:rPr>
              <w:t xml:space="preserve"> doit être calculée avec les émissions massiques corrigées de CO</w:t>
            </w:r>
            <w:r w:rsidRPr="002C5876">
              <w:rPr>
                <w:sz w:val="18"/>
                <w:szCs w:val="18"/>
                <w:vertAlign w:val="subscript"/>
              </w:rPr>
              <w:t>2</w:t>
            </w:r>
            <w:r w:rsidRPr="002C5876">
              <w:rPr>
                <w:sz w:val="18"/>
                <w:szCs w:val="18"/>
              </w:rPr>
              <w:t xml:space="preserve"> conformément au paragraphe 6 de l’annexe 7.</w:t>
            </w:r>
          </w:p>
          <w:p w:rsidR="00E24DB7" w:rsidRPr="002C5876" w:rsidRDefault="00E24DB7" w:rsidP="00E24DB7">
            <w:pPr>
              <w:spacing w:before="60" w:after="60" w:line="220" w:lineRule="atLeast"/>
              <w:ind w:left="57" w:right="57"/>
              <w:rPr>
                <w:sz w:val="18"/>
                <w:szCs w:val="18"/>
              </w:rPr>
            </w:pPr>
            <w:r w:rsidRPr="002C5876">
              <w:rPr>
                <w:sz w:val="18"/>
                <w:szCs w:val="18"/>
              </w:rPr>
              <w:t>Données de sortie disponibles pour chaque essai.</w:t>
            </w:r>
          </w:p>
          <w:p w:rsidR="00E24DB7" w:rsidRPr="002C5876" w:rsidRDefault="00E24DB7" w:rsidP="00E24DB7">
            <w:pPr>
              <w:spacing w:before="60" w:after="60" w:line="220" w:lineRule="atLeast"/>
              <w:ind w:left="57" w:right="57"/>
              <w:rPr>
                <w:sz w:val="18"/>
                <w:szCs w:val="18"/>
              </w:rPr>
            </w:pPr>
            <w:r w:rsidRPr="002C5876">
              <w:rPr>
                <w:sz w:val="18"/>
                <w:szCs w:val="18"/>
              </w:rPr>
              <w:t>Si la méthode d’interpolation est appliquée, les données de sortie sont disponibles pour les véhicules H, L et, le cas échéant, M.</w:t>
            </w:r>
          </w:p>
        </w:tc>
        <w:tc>
          <w:tcPr>
            <w:tcW w:w="2381" w:type="dxa"/>
            <w:vMerge w:val="restart"/>
            <w:tcBorders>
              <w:top w:val="nil"/>
            </w:tcBorders>
            <w:shd w:val="clear" w:color="auto" w:fill="auto"/>
          </w:tcPr>
          <w:p w:rsidR="00E24DB7" w:rsidRPr="002C5876" w:rsidRDefault="00E24DB7" w:rsidP="00E24DB7">
            <w:pPr>
              <w:spacing w:before="60" w:after="60" w:line="220" w:lineRule="atLeast"/>
              <w:ind w:left="57" w:right="57"/>
              <w:rPr>
                <w:sz w:val="18"/>
                <w:szCs w:val="18"/>
              </w:rPr>
            </w:pPr>
          </w:p>
        </w:tc>
        <w:tc>
          <w:tcPr>
            <w:tcW w:w="735" w:type="dxa"/>
            <w:vMerge w:val="restart"/>
            <w:tcBorders>
              <w:top w:val="nil"/>
            </w:tcBorders>
            <w:shd w:val="clear" w:color="auto" w:fill="auto"/>
          </w:tcPr>
          <w:p w:rsidR="00E24DB7" w:rsidRPr="002C5876" w:rsidRDefault="00E24DB7" w:rsidP="00E24DB7">
            <w:pPr>
              <w:spacing w:before="60" w:after="60" w:line="220" w:lineRule="atLeast"/>
              <w:ind w:left="57" w:right="57"/>
              <w:rPr>
                <w:sz w:val="18"/>
                <w:szCs w:val="18"/>
              </w:rPr>
            </w:pPr>
          </w:p>
        </w:tc>
      </w:tr>
      <w:tr w:rsidR="00E24DB7" w:rsidRPr="002C5876" w:rsidTr="00E24DB7">
        <w:trPr>
          <w:jc w:val="center"/>
        </w:trPr>
        <w:tc>
          <w:tcPr>
            <w:tcW w:w="1261"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 xml:space="preserve">Sortie </w:t>
            </w:r>
            <w:r w:rsidRPr="002C5876">
              <w:rPr>
                <w:sz w:val="18"/>
                <w:szCs w:val="18"/>
              </w:rPr>
              <w:br/>
              <w:t>de l’étape 4</w:t>
            </w:r>
          </w:p>
        </w:tc>
        <w:tc>
          <w:tcPr>
            <w:tcW w:w="2117" w:type="dxa"/>
            <w:tcBorders>
              <w:top w:val="nil"/>
              <w:bottom w:val="nil"/>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n</w:t>
            </w:r>
            <w:r w:rsidRPr="002C5876">
              <w:rPr>
                <w:sz w:val="18"/>
                <w:szCs w:val="18"/>
                <w:vertAlign w:val="subscript"/>
              </w:rPr>
              <w:t>veh,L</w:t>
            </w:r>
          </w:p>
        </w:tc>
        <w:tc>
          <w:tcPr>
            <w:tcW w:w="3145" w:type="dxa"/>
            <w:vMerge/>
            <w:shd w:val="clear" w:color="auto" w:fill="auto"/>
          </w:tcPr>
          <w:p w:rsidR="00E24DB7" w:rsidRPr="002C5876" w:rsidRDefault="00E24DB7" w:rsidP="00E24DB7">
            <w:pPr>
              <w:spacing w:before="60" w:after="60" w:line="220" w:lineRule="atLeast"/>
              <w:ind w:left="57" w:right="57"/>
              <w:rPr>
                <w:sz w:val="18"/>
                <w:szCs w:val="18"/>
              </w:rPr>
            </w:pPr>
          </w:p>
        </w:tc>
        <w:tc>
          <w:tcPr>
            <w:tcW w:w="2381" w:type="dxa"/>
            <w:vMerge/>
            <w:shd w:val="clear" w:color="auto" w:fill="auto"/>
          </w:tcPr>
          <w:p w:rsidR="00E24DB7" w:rsidRPr="002C5876" w:rsidRDefault="00E24DB7" w:rsidP="00E24DB7">
            <w:pPr>
              <w:spacing w:before="60" w:after="60" w:line="220" w:lineRule="atLeast"/>
              <w:ind w:left="57" w:right="57"/>
              <w:rPr>
                <w:sz w:val="18"/>
                <w:szCs w:val="18"/>
              </w:rPr>
            </w:pPr>
          </w:p>
        </w:tc>
        <w:tc>
          <w:tcPr>
            <w:tcW w:w="735" w:type="dxa"/>
            <w:vMerge/>
            <w:shd w:val="clear" w:color="auto" w:fill="auto"/>
          </w:tcPr>
          <w:p w:rsidR="00E24DB7" w:rsidRPr="002C5876" w:rsidRDefault="00E24DB7" w:rsidP="00E24DB7">
            <w:pPr>
              <w:spacing w:before="60" w:after="60" w:line="220" w:lineRule="atLeast"/>
              <w:ind w:left="57" w:right="57"/>
              <w:rPr>
                <w:sz w:val="18"/>
                <w:szCs w:val="18"/>
              </w:rPr>
            </w:pPr>
          </w:p>
        </w:tc>
      </w:tr>
      <w:tr w:rsidR="00E24DB7" w:rsidRPr="002C5876" w:rsidTr="00E24DB7">
        <w:trPr>
          <w:jc w:val="center"/>
        </w:trPr>
        <w:tc>
          <w:tcPr>
            <w:tcW w:w="1261" w:type="dxa"/>
            <w:tcBorders>
              <w:top w:val="nil"/>
              <w:bottom w:val="single" w:sz="4" w:space="0" w:color="auto"/>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Sortie</w:t>
            </w:r>
            <w:r w:rsidRPr="002C5876">
              <w:rPr>
                <w:sz w:val="18"/>
                <w:szCs w:val="18"/>
              </w:rPr>
              <w:br/>
              <w:t>de l’étape 8</w:t>
            </w:r>
          </w:p>
        </w:tc>
        <w:tc>
          <w:tcPr>
            <w:tcW w:w="2117" w:type="dxa"/>
            <w:tcBorders>
              <w:top w:val="nil"/>
              <w:bottom w:val="single" w:sz="4" w:space="0" w:color="auto"/>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UF</w:t>
            </w:r>
            <w:r w:rsidRPr="002C5876">
              <w:rPr>
                <w:sz w:val="18"/>
                <w:szCs w:val="18"/>
                <w:vertAlign w:val="subscript"/>
              </w:rPr>
              <w:t>phase,j</w:t>
            </w:r>
          </w:p>
        </w:tc>
        <w:tc>
          <w:tcPr>
            <w:tcW w:w="3145" w:type="dxa"/>
            <w:vMerge/>
            <w:shd w:val="clear" w:color="auto" w:fill="auto"/>
          </w:tcPr>
          <w:p w:rsidR="00E24DB7" w:rsidRPr="002C5876" w:rsidRDefault="00E24DB7" w:rsidP="00E24DB7">
            <w:pPr>
              <w:spacing w:before="60" w:after="60" w:line="220" w:lineRule="atLeast"/>
              <w:ind w:left="57" w:right="57"/>
              <w:rPr>
                <w:sz w:val="18"/>
                <w:szCs w:val="18"/>
              </w:rPr>
            </w:pPr>
          </w:p>
        </w:tc>
        <w:tc>
          <w:tcPr>
            <w:tcW w:w="2381" w:type="dxa"/>
            <w:vMerge/>
            <w:shd w:val="clear" w:color="auto" w:fill="auto"/>
          </w:tcPr>
          <w:p w:rsidR="00E24DB7" w:rsidRPr="002C5876" w:rsidRDefault="00E24DB7" w:rsidP="00E24DB7">
            <w:pPr>
              <w:spacing w:before="60" w:after="60" w:line="220" w:lineRule="atLeast"/>
              <w:ind w:left="57" w:right="57"/>
              <w:rPr>
                <w:sz w:val="18"/>
                <w:szCs w:val="18"/>
              </w:rPr>
            </w:pPr>
          </w:p>
        </w:tc>
        <w:tc>
          <w:tcPr>
            <w:tcW w:w="735" w:type="dxa"/>
            <w:vMerge/>
            <w:shd w:val="clear" w:color="auto" w:fill="auto"/>
          </w:tcPr>
          <w:p w:rsidR="00E24DB7" w:rsidRPr="002C5876" w:rsidRDefault="00E24DB7" w:rsidP="00E24DB7">
            <w:pPr>
              <w:spacing w:before="60" w:after="60" w:line="220" w:lineRule="atLeast"/>
              <w:ind w:left="57" w:right="57"/>
              <w:rPr>
                <w:sz w:val="18"/>
                <w:szCs w:val="18"/>
              </w:rPr>
            </w:pPr>
          </w:p>
        </w:tc>
      </w:tr>
      <w:tr w:rsidR="00E24DB7" w:rsidRPr="002C5876" w:rsidTr="00E24DB7">
        <w:trPr>
          <w:jc w:val="center"/>
        </w:trPr>
        <w:tc>
          <w:tcPr>
            <w:tcW w:w="1261" w:type="dxa"/>
            <w:tcBorders>
              <w:top w:val="single" w:sz="4" w:space="0" w:color="auto"/>
              <w:bottom w:val="single" w:sz="4" w:space="0" w:color="auto"/>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Sortie</w:t>
            </w:r>
            <w:r w:rsidRPr="002C5876">
              <w:rPr>
                <w:sz w:val="18"/>
                <w:szCs w:val="18"/>
              </w:rPr>
              <w:br/>
              <w:t>de l’étape 1</w:t>
            </w:r>
          </w:p>
        </w:tc>
        <w:tc>
          <w:tcPr>
            <w:tcW w:w="2117" w:type="dxa"/>
            <w:tcBorders>
              <w:top w:val="single" w:sz="4" w:space="0" w:color="auto"/>
              <w:bottom w:val="single" w:sz="4" w:space="0" w:color="auto"/>
            </w:tcBorders>
            <w:shd w:val="clear" w:color="auto" w:fill="auto"/>
          </w:tcPr>
          <w:p w:rsidR="00E24DB7" w:rsidRPr="00D53F39" w:rsidRDefault="00E24DB7" w:rsidP="00E24DB7">
            <w:pPr>
              <w:spacing w:before="60" w:after="60" w:line="220" w:lineRule="atLeast"/>
              <w:ind w:left="57" w:right="57"/>
              <w:rPr>
                <w:sz w:val="18"/>
                <w:szCs w:val="18"/>
                <w:lang w:val="en-US"/>
              </w:rPr>
            </w:pPr>
            <w:r w:rsidRPr="002C5876">
              <w:rPr>
                <w:sz w:val="18"/>
                <w:szCs w:val="18"/>
              </w:rPr>
              <w:t>Δ</w:t>
            </w:r>
            <w:r w:rsidRPr="00D53F39">
              <w:rPr>
                <w:sz w:val="18"/>
                <w:szCs w:val="18"/>
                <w:lang w:val="en-US"/>
              </w:rPr>
              <w:t>E</w:t>
            </w:r>
            <w:r w:rsidRPr="00D53F39">
              <w:rPr>
                <w:sz w:val="18"/>
                <w:szCs w:val="18"/>
                <w:vertAlign w:val="subscript"/>
                <w:lang w:val="en-US"/>
              </w:rPr>
              <w:t>REESS,j</w:t>
            </w:r>
            <w:r w:rsidRPr="00D53F39">
              <w:rPr>
                <w:sz w:val="18"/>
                <w:szCs w:val="18"/>
                <w:lang w:val="en-US"/>
              </w:rPr>
              <w:t>, Wh</w:t>
            </w:r>
            <w:r w:rsidRPr="00D53F39">
              <w:rPr>
                <w:sz w:val="18"/>
                <w:szCs w:val="18"/>
                <w:lang w:val="en-US"/>
              </w:rPr>
              <w:br/>
              <w:t>d</w:t>
            </w:r>
            <w:r w:rsidRPr="00D53F39">
              <w:rPr>
                <w:sz w:val="18"/>
                <w:szCs w:val="18"/>
                <w:vertAlign w:val="subscript"/>
                <w:lang w:val="en-US"/>
              </w:rPr>
              <w:t>j</w:t>
            </w:r>
            <w:r w:rsidRPr="00D53F39">
              <w:rPr>
                <w:sz w:val="18"/>
                <w:szCs w:val="18"/>
                <w:lang w:val="en-US"/>
              </w:rPr>
              <w:t>, km</w:t>
            </w:r>
          </w:p>
        </w:tc>
        <w:tc>
          <w:tcPr>
            <w:tcW w:w="3145" w:type="dxa"/>
            <w:tcBorders>
              <w:bottom w:val="single" w:sz="4" w:space="0" w:color="auto"/>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Option régionale :</w:t>
            </w:r>
          </w:p>
          <w:p w:rsidR="00E24DB7" w:rsidRPr="002C5876" w:rsidRDefault="00E24DB7" w:rsidP="00E24DB7">
            <w:pPr>
              <w:spacing w:before="60" w:after="60" w:line="220" w:lineRule="atLeast"/>
              <w:ind w:left="57" w:right="57"/>
              <w:rPr>
                <w:sz w:val="18"/>
                <w:szCs w:val="18"/>
              </w:rPr>
            </w:pPr>
            <w:r w:rsidRPr="002C5876">
              <w:rPr>
                <w:sz w:val="18"/>
                <w:szCs w:val="18"/>
              </w:rPr>
              <w:t>Calcul de la consommation d’énergie électrique à partir du premier cycle d’essai WLTP applicable.</w:t>
            </w:r>
          </w:p>
          <w:p w:rsidR="00E24DB7" w:rsidRPr="002C5876" w:rsidRDefault="00E24DB7" w:rsidP="00E24DB7">
            <w:pPr>
              <w:spacing w:before="60" w:after="60" w:line="220" w:lineRule="atLeast"/>
              <w:ind w:left="57" w:right="57"/>
              <w:rPr>
                <w:sz w:val="18"/>
                <w:szCs w:val="18"/>
              </w:rPr>
            </w:pPr>
            <w:r w:rsidRPr="002C5876">
              <w:rPr>
                <w:sz w:val="18"/>
                <w:szCs w:val="18"/>
              </w:rPr>
              <w:t>Données de sortie disponibles pour chaque essai.</w:t>
            </w:r>
          </w:p>
          <w:p w:rsidR="00E24DB7" w:rsidRPr="002C5876" w:rsidRDefault="00E24DB7" w:rsidP="00E24DB7">
            <w:pPr>
              <w:spacing w:before="60" w:after="60" w:line="220" w:lineRule="atLeast"/>
              <w:ind w:left="57" w:right="57"/>
              <w:rPr>
                <w:sz w:val="18"/>
                <w:szCs w:val="18"/>
              </w:rPr>
            </w:pPr>
            <w:r w:rsidRPr="002C5876">
              <w:rPr>
                <w:sz w:val="18"/>
                <w:szCs w:val="18"/>
              </w:rPr>
              <w:t>Si la méthode d’interpolation est appliquée, les données de sortie sont disponibles pour les véhicules H, L et, le cas échéant, M.</w:t>
            </w:r>
          </w:p>
        </w:tc>
        <w:tc>
          <w:tcPr>
            <w:tcW w:w="2381" w:type="dxa"/>
            <w:tcBorders>
              <w:bottom w:val="single" w:sz="4" w:space="0" w:color="auto"/>
            </w:tcBorders>
            <w:shd w:val="clear" w:color="auto" w:fill="auto"/>
          </w:tcPr>
          <w:p w:rsidR="00E24DB7" w:rsidRPr="00D53F39" w:rsidRDefault="00E24DB7" w:rsidP="00E24DB7">
            <w:pPr>
              <w:spacing w:before="60" w:after="60" w:line="220" w:lineRule="atLeast"/>
              <w:ind w:left="57" w:right="57"/>
              <w:rPr>
                <w:sz w:val="18"/>
                <w:szCs w:val="18"/>
                <w:lang w:val="en-US"/>
              </w:rPr>
            </w:pPr>
            <w:r w:rsidRPr="00D53F39">
              <w:rPr>
                <w:sz w:val="18"/>
                <w:szCs w:val="18"/>
                <w:lang w:val="en-US"/>
              </w:rPr>
              <w:t>EC</w:t>
            </w:r>
            <w:r w:rsidRPr="00D53F39">
              <w:rPr>
                <w:sz w:val="18"/>
                <w:szCs w:val="18"/>
                <w:vertAlign w:val="subscript"/>
                <w:lang w:val="en-US"/>
              </w:rPr>
              <w:t>DC,CD,first</w:t>
            </w:r>
            <w:r w:rsidRPr="00D53F39">
              <w:rPr>
                <w:sz w:val="18"/>
                <w:szCs w:val="18"/>
                <w:lang w:val="en-US"/>
              </w:rPr>
              <w:t>, Wh/km</w:t>
            </w:r>
          </w:p>
        </w:tc>
        <w:tc>
          <w:tcPr>
            <w:tcW w:w="735" w:type="dxa"/>
            <w:tcBorders>
              <w:bottom w:val="single" w:sz="4" w:space="0" w:color="auto"/>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12</w:t>
            </w:r>
          </w:p>
        </w:tc>
      </w:tr>
      <w:tr w:rsidR="00E24DB7" w:rsidRPr="002C5876" w:rsidTr="00E24DB7">
        <w:trPr>
          <w:jc w:val="center"/>
        </w:trPr>
        <w:tc>
          <w:tcPr>
            <w:tcW w:w="1261" w:type="dxa"/>
            <w:tcBorders>
              <w:bottom w:val="nil"/>
            </w:tcBorders>
            <w:shd w:val="clear" w:color="auto" w:fill="auto"/>
          </w:tcPr>
          <w:p w:rsidR="00E24DB7" w:rsidRPr="002C5876" w:rsidRDefault="00E24DB7" w:rsidP="00E24DB7">
            <w:pPr>
              <w:keepNext/>
              <w:keepLines/>
              <w:spacing w:before="60" w:after="60" w:line="220" w:lineRule="atLeast"/>
              <w:ind w:left="57" w:right="57"/>
              <w:rPr>
                <w:sz w:val="18"/>
                <w:szCs w:val="18"/>
              </w:rPr>
            </w:pPr>
            <w:r w:rsidRPr="002C5876">
              <w:rPr>
                <w:sz w:val="18"/>
                <w:szCs w:val="18"/>
              </w:rPr>
              <w:t xml:space="preserve">Sortie </w:t>
            </w:r>
            <w:r w:rsidRPr="002C5876">
              <w:rPr>
                <w:sz w:val="18"/>
                <w:szCs w:val="18"/>
              </w:rPr>
              <w:br/>
              <w:t>de l’étape 9</w:t>
            </w:r>
          </w:p>
        </w:tc>
        <w:tc>
          <w:tcPr>
            <w:tcW w:w="2117" w:type="dxa"/>
            <w:tcBorders>
              <w:bottom w:val="nil"/>
            </w:tcBorders>
            <w:shd w:val="clear" w:color="auto" w:fill="auto"/>
          </w:tcPr>
          <w:p w:rsidR="00E24DB7" w:rsidRPr="00D53F39" w:rsidRDefault="00E24DB7" w:rsidP="00E24DB7">
            <w:pPr>
              <w:keepNext/>
              <w:keepLines/>
              <w:spacing w:before="60" w:after="60" w:line="220" w:lineRule="atLeast"/>
              <w:ind w:left="57" w:right="57"/>
              <w:rPr>
                <w:sz w:val="18"/>
                <w:szCs w:val="18"/>
                <w:lang w:val="en-US"/>
              </w:rPr>
            </w:pPr>
            <w:r w:rsidRPr="00D53F39">
              <w:rPr>
                <w:sz w:val="18"/>
                <w:szCs w:val="18"/>
                <w:lang w:val="en-US"/>
              </w:rPr>
              <w:t>EC</w:t>
            </w:r>
            <w:r w:rsidRPr="00D53F39">
              <w:rPr>
                <w:sz w:val="18"/>
                <w:szCs w:val="18"/>
                <w:vertAlign w:val="subscript"/>
                <w:lang w:val="en-US"/>
              </w:rPr>
              <w:t>AC,weighted</w:t>
            </w:r>
            <w:r w:rsidRPr="00D53F39">
              <w:rPr>
                <w:sz w:val="18"/>
                <w:szCs w:val="18"/>
                <w:lang w:val="en-US"/>
              </w:rPr>
              <w:t>, Wh/km</w:t>
            </w:r>
            <w:r w:rsidRPr="00D53F39">
              <w:rPr>
                <w:sz w:val="18"/>
                <w:szCs w:val="18"/>
                <w:lang w:val="en-US"/>
              </w:rPr>
              <w:br/>
              <w:t>EC</w:t>
            </w:r>
            <w:r w:rsidRPr="00D53F39">
              <w:rPr>
                <w:sz w:val="18"/>
                <w:szCs w:val="18"/>
                <w:vertAlign w:val="subscript"/>
                <w:lang w:val="en-US"/>
              </w:rPr>
              <w:t>AC,CD</w:t>
            </w:r>
            <w:r w:rsidRPr="00D53F39">
              <w:rPr>
                <w:sz w:val="18"/>
                <w:szCs w:val="18"/>
                <w:lang w:val="en-US"/>
              </w:rPr>
              <w:t>, Wh/km</w:t>
            </w:r>
          </w:p>
        </w:tc>
        <w:tc>
          <w:tcPr>
            <w:tcW w:w="3145" w:type="dxa"/>
            <w:vMerge w:val="restart"/>
            <w:shd w:val="clear" w:color="auto" w:fill="auto"/>
          </w:tcPr>
          <w:p w:rsidR="00E24DB7" w:rsidRPr="002C5876" w:rsidRDefault="00E24DB7" w:rsidP="00E24DB7">
            <w:pPr>
              <w:keepNext/>
              <w:keepLines/>
              <w:spacing w:before="60" w:after="60" w:line="220" w:lineRule="atLeast"/>
              <w:ind w:left="57" w:right="57"/>
              <w:rPr>
                <w:sz w:val="18"/>
                <w:szCs w:val="18"/>
              </w:rPr>
            </w:pPr>
            <w:r w:rsidRPr="002C5876">
              <w:rPr>
                <w:sz w:val="18"/>
                <w:szCs w:val="18"/>
              </w:rPr>
              <w:t>Calcul de la moyenne des essais pour chaque véhicule.</w:t>
            </w:r>
          </w:p>
          <w:p w:rsidR="00E24DB7" w:rsidRPr="002C5876" w:rsidRDefault="00E24DB7" w:rsidP="00E24DB7">
            <w:pPr>
              <w:keepNext/>
              <w:keepLines/>
              <w:spacing w:before="60" w:after="60" w:line="220" w:lineRule="atLeast"/>
              <w:ind w:left="57" w:right="57"/>
              <w:rPr>
                <w:sz w:val="18"/>
                <w:szCs w:val="18"/>
              </w:rPr>
            </w:pPr>
            <w:r w:rsidRPr="002C5876">
              <w:rPr>
                <w:sz w:val="18"/>
                <w:szCs w:val="18"/>
              </w:rPr>
              <w:t>Si la méthode d’interpolation est appliquée, les données de sortie sont disponibles pour chaque véhicule H, L et, le cas échéant, M.</w:t>
            </w:r>
          </w:p>
        </w:tc>
        <w:tc>
          <w:tcPr>
            <w:tcW w:w="2381" w:type="dxa"/>
            <w:tcBorders>
              <w:bottom w:val="nil"/>
            </w:tcBorders>
            <w:shd w:val="clear" w:color="auto" w:fill="auto"/>
          </w:tcPr>
          <w:p w:rsidR="00E24DB7" w:rsidRPr="00D53F39" w:rsidRDefault="00E24DB7" w:rsidP="00E24DB7">
            <w:pPr>
              <w:keepNext/>
              <w:keepLines/>
              <w:spacing w:before="60" w:after="60" w:line="220" w:lineRule="atLeast"/>
              <w:ind w:left="57" w:right="57"/>
              <w:rPr>
                <w:sz w:val="18"/>
                <w:szCs w:val="18"/>
                <w:lang w:val="en-US"/>
              </w:rPr>
            </w:pPr>
            <w:r w:rsidRPr="00D53F39">
              <w:rPr>
                <w:sz w:val="18"/>
                <w:szCs w:val="18"/>
                <w:lang w:val="en-US"/>
              </w:rPr>
              <w:t>EC</w:t>
            </w:r>
            <w:r w:rsidRPr="00D53F39">
              <w:rPr>
                <w:sz w:val="18"/>
                <w:szCs w:val="18"/>
                <w:vertAlign w:val="subscript"/>
                <w:lang w:val="en-US"/>
              </w:rPr>
              <w:t>AC,weighted,ave</w:t>
            </w:r>
            <w:r w:rsidRPr="00D53F39">
              <w:rPr>
                <w:sz w:val="18"/>
                <w:szCs w:val="18"/>
                <w:lang w:val="en-US"/>
              </w:rPr>
              <w:t>, Wh/km</w:t>
            </w:r>
            <w:r w:rsidRPr="00D53F39">
              <w:rPr>
                <w:sz w:val="18"/>
                <w:szCs w:val="18"/>
                <w:lang w:val="en-US"/>
              </w:rPr>
              <w:br/>
              <w:t>EC</w:t>
            </w:r>
            <w:r w:rsidRPr="00D53F39">
              <w:rPr>
                <w:sz w:val="18"/>
                <w:szCs w:val="18"/>
                <w:vertAlign w:val="subscript"/>
                <w:lang w:val="en-US"/>
              </w:rPr>
              <w:t>AC,CD,ave</w:t>
            </w:r>
            <w:r w:rsidRPr="00D53F39">
              <w:rPr>
                <w:sz w:val="18"/>
                <w:szCs w:val="18"/>
                <w:lang w:val="en-US"/>
              </w:rPr>
              <w:t>, Wh/km</w:t>
            </w:r>
          </w:p>
        </w:tc>
        <w:tc>
          <w:tcPr>
            <w:tcW w:w="735" w:type="dxa"/>
            <w:tcBorders>
              <w:bottom w:val="nil"/>
            </w:tcBorders>
            <w:shd w:val="clear" w:color="auto" w:fill="auto"/>
          </w:tcPr>
          <w:p w:rsidR="00E24DB7" w:rsidRPr="002C5876" w:rsidRDefault="00E24DB7" w:rsidP="00E24DB7">
            <w:pPr>
              <w:keepNext/>
              <w:keepLines/>
              <w:spacing w:before="60" w:after="60" w:line="220" w:lineRule="atLeast"/>
              <w:ind w:left="57" w:right="57"/>
              <w:rPr>
                <w:sz w:val="18"/>
                <w:szCs w:val="18"/>
              </w:rPr>
            </w:pPr>
            <w:r w:rsidRPr="002C5876">
              <w:rPr>
                <w:sz w:val="18"/>
                <w:szCs w:val="18"/>
              </w:rPr>
              <w:t>13</w:t>
            </w:r>
          </w:p>
        </w:tc>
      </w:tr>
      <w:tr w:rsidR="00E24DB7" w:rsidRPr="00D53F39" w:rsidTr="00E24DB7">
        <w:trPr>
          <w:jc w:val="center"/>
        </w:trPr>
        <w:tc>
          <w:tcPr>
            <w:tcW w:w="1261" w:type="dxa"/>
            <w:tcBorders>
              <w:top w:val="nil"/>
              <w:bottom w:val="nil"/>
            </w:tcBorders>
            <w:shd w:val="clear" w:color="auto" w:fill="auto"/>
          </w:tcPr>
          <w:p w:rsidR="00E24DB7" w:rsidRPr="002C5876" w:rsidRDefault="00E24DB7" w:rsidP="00E24DB7">
            <w:pPr>
              <w:keepNext/>
              <w:keepLines/>
              <w:spacing w:before="60" w:after="60" w:line="220" w:lineRule="atLeast"/>
              <w:ind w:left="57" w:right="57"/>
              <w:rPr>
                <w:sz w:val="18"/>
                <w:szCs w:val="18"/>
              </w:rPr>
            </w:pPr>
            <w:r w:rsidRPr="002C5876">
              <w:rPr>
                <w:sz w:val="18"/>
                <w:szCs w:val="18"/>
              </w:rPr>
              <w:t xml:space="preserve">Sortie </w:t>
            </w:r>
            <w:r w:rsidRPr="002C5876">
              <w:rPr>
                <w:sz w:val="18"/>
                <w:szCs w:val="18"/>
              </w:rPr>
              <w:br/>
              <w:t>de l’étape 10</w:t>
            </w:r>
          </w:p>
        </w:tc>
        <w:tc>
          <w:tcPr>
            <w:tcW w:w="2117" w:type="dxa"/>
            <w:tcBorders>
              <w:top w:val="nil"/>
              <w:bottom w:val="nil"/>
            </w:tcBorders>
            <w:shd w:val="clear" w:color="auto" w:fill="auto"/>
          </w:tcPr>
          <w:p w:rsidR="00E24DB7" w:rsidRPr="002C5876" w:rsidRDefault="00E24DB7" w:rsidP="00E24DB7">
            <w:pPr>
              <w:keepNext/>
              <w:keepLines/>
              <w:spacing w:before="60" w:after="60" w:line="220" w:lineRule="atLeast"/>
              <w:ind w:left="57" w:right="57"/>
              <w:rPr>
                <w:sz w:val="18"/>
                <w:szCs w:val="18"/>
              </w:rPr>
            </w:pPr>
            <w:r w:rsidRPr="002C5876">
              <w:rPr>
                <w:sz w:val="18"/>
                <w:szCs w:val="18"/>
              </w:rPr>
              <w:t>M</w:t>
            </w:r>
            <w:r w:rsidRPr="002C5876">
              <w:rPr>
                <w:sz w:val="18"/>
                <w:szCs w:val="18"/>
                <w:vertAlign w:val="subscript"/>
              </w:rPr>
              <w:t>CO2,CD</w:t>
            </w:r>
            <w:r w:rsidRPr="002C5876">
              <w:rPr>
                <w:sz w:val="18"/>
                <w:szCs w:val="18"/>
              </w:rPr>
              <w:t>, g/km</w:t>
            </w:r>
          </w:p>
        </w:tc>
        <w:tc>
          <w:tcPr>
            <w:tcW w:w="3145" w:type="dxa"/>
            <w:vMerge/>
            <w:shd w:val="clear" w:color="auto" w:fill="auto"/>
          </w:tcPr>
          <w:p w:rsidR="00E24DB7" w:rsidRPr="002C5876" w:rsidRDefault="00E24DB7" w:rsidP="00E24DB7">
            <w:pPr>
              <w:keepNext/>
              <w:keepLines/>
              <w:spacing w:before="60" w:after="60" w:line="220" w:lineRule="atLeast"/>
              <w:ind w:left="57" w:right="57"/>
              <w:rPr>
                <w:sz w:val="18"/>
                <w:szCs w:val="18"/>
              </w:rPr>
            </w:pPr>
          </w:p>
        </w:tc>
        <w:tc>
          <w:tcPr>
            <w:tcW w:w="2381" w:type="dxa"/>
            <w:tcBorders>
              <w:top w:val="nil"/>
              <w:bottom w:val="nil"/>
            </w:tcBorders>
            <w:shd w:val="clear" w:color="auto" w:fill="auto"/>
          </w:tcPr>
          <w:p w:rsidR="00E24DB7" w:rsidRPr="00D53F39" w:rsidRDefault="00E24DB7" w:rsidP="00E24DB7">
            <w:pPr>
              <w:keepNext/>
              <w:keepLines/>
              <w:spacing w:before="60" w:after="60" w:line="220" w:lineRule="atLeast"/>
              <w:ind w:left="57" w:right="57"/>
              <w:rPr>
                <w:sz w:val="18"/>
                <w:szCs w:val="18"/>
                <w:lang w:val="en-US"/>
              </w:rPr>
            </w:pPr>
            <w:r w:rsidRPr="00D53F39">
              <w:rPr>
                <w:sz w:val="18"/>
                <w:szCs w:val="18"/>
                <w:lang w:val="en-US"/>
              </w:rPr>
              <w:t>M</w:t>
            </w:r>
            <w:r w:rsidRPr="00D53F39">
              <w:rPr>
                <w:sz w:val="18"/>
                <w:szCs w:val="18"/>
                <w:vertAlign w:val="subscript"/>
                <w:lang w:val="en-US"/>
              </w:rPr>
              <w:t>CO2,CD,ave</w:t>
            </w:r>
            <w:r w:rsidRPr="00D53F39">
              <w:rPr>
                <w:sz w:val="18"/>
                <w:szCs w:val="18"/>
                <w:lang w:val="en-US"/>
              </w:rPr>
              <w:t>, g/km</w:t>
            </w:r>
          </w:p>
        </w:tc>
        <w:tc>
          <w:tcPr>
            <w:tcW w:w="735" w:type="dxa"/>
            <w:tcBorders>
              <w:top w:val="nil"/>
              <w:bottom w:val="nil"/>
            </w:tcBorders>
            <w:shd w:val="clear" w:color="auto" w:fill="auto"/>
          </w:tcPr>
          <w:p w:rsidR="00E24DB7" w:rsidRPr="00D53F39" w:rsidRDefault="00E24DB7" w:rsidP="00E24DB7">
            <w:pPr>
              <w:keepNext/>
              <w:keepLines/>
              <w:spacing w:before="60" w:after="60" w:line="220" w:lineRule="atLeast"/>
              <w:ind w:left="57" w:right="57"/>
              <w:rPr>
                <w:sz w:val="18"/>
                <w:szCs w:val="18"/>
                <w:lang w:val="en-US"/>
              </w:rPr>
            </w:pPr>
          </w:p>
        </w:tc>
      </w:tr>
      <w:tr w:rsidR="00E24DB7" w:rsidRPr="002C5876" w:rsidTr="00E24DB7">
        <w:trPr>
          <w:jc w:val="center"/>
        </w:trPr>
        <w:tc>
          <w:tcPr>
            <w:tcW w:w="1261" w:type="dxa"/>
            <w:tcBorders>
              <w:top w:val="nil"/>
              <w:bottom w:val="nil"/>
            </w:tcBorders>
            <w:shd w:val="clear" w:color="auto" w:fill="auto"/>
          </w:tcPr>
          <w:p w:rsidR="00E24DB7" w:rsidRPr="002C5876" w:rsidRDefault="00E24DB7" w:rsidP="00E24DB7">
            <w:pPr>
              <w:keepNext/>
              <w:keepLines/>
              <w:spacing w:before="60" w:after="60" w:line="220" w:lineRule="atLeast"/>
              <w:ind w:left="57" w:right="57"/>
              <w:rPr>
                <w:sz w:val="18"/>
                <w:szCs w:val="18"/>
              </w:rPr>
            </w:pPr>
            <w:r w:rsidRPr="002C5876">
              <w:rPr>
                <w:sz w:val="18"/>
                <w:szCs w:val="18"/>
              </w:rPr>
              <w:t xml:space="preserve">Sortie </w:t>
            </w:r>
            <w:r w:rsidRPr="002C5876">
              <w:rPr>
                <w:sz w:val="18"/>
                <w:szCs w:val="18"/>
              </w:rPr>
              <w:br/>
              <w:t>de l’étape 11</w:t>
            </w:r>
          </w:p>
        </w:tc>
        <w:tc>
          <w:tcPr>
            <w:tcW w:w="2117" w:type="dxa"/>
            <w:tcBorders>
              <w:top w:val="nil"/>
              <w:bottom w:val="nil"/>
            </w:tcBorders>
            <w:shd w:val="clear" w:color="auto" w:fill="auto"/>
          </w:tcPr>
          <w:p w:rsidR="00E24DB7" w:rsidRPr="002C5876" w:rsidRDefault="00E24DB7" w:rsidP="00E24DB7">
            <w:pPr>
              <w:keepNext/>
              <w:keepLines/>
              <w:spacing w:before="60" w:after="60" w:line="220" w:lineRule="atLeast"/>
              <w:ind w:left="57" w:right="57"/>
              <w:rPr>
                <w:sz w:val="18"/>
                <w:szCs w:val="18"/>
              </w:rPr>
            </w:pPr>
            <w:r w:rsidRPr="002C5876">
              <w:rPr>
                <w:sz w:val="18"/>
                <w:szCs w:val="18"/>
              </w:rPr>
              <w:t>FC</w:t>
            </w:r>
            <w:r w:rsidRPr="002C5876">
              <w:rPr>
                <w:sz w:val="18"/>
                <w:szCs w:val="18"/>
                <w:vertAlign w:val="subscript"/>
              </w:rPr>
              <w:t>CD</w:t>
            </w:r>
            <w:r w:rsidRPr="002C5876">
              <w:rPr>
                <w:sz w:val="18"/>
                <w:szCs w:val="18"/>
              </w:rPr>
              <w:t>, l/100 km</w:t>
            </w:r>
          </w:p>
        </w:tc>
        <w:tc>
          <w:tcPr>
            <w:tcW w:w="3145" w:type="dxa"/>
            <w:vMerge/>
            <w:shd w:val="clear" w:color="auto" w:fill="auto"/>
          </w:tcPr>
          <w:p w:rsidR="00E24DB7" w:rsidRPr="002C5876" w:rsidRDefault="00E24DB7" w:rsidP="00E24DB7">
            <w:pPr>
              <w:keepNext/>
              <w:keepLines/>
              <w:spacing w:before="60" w:after="60" w:line="220" w:lineRule="atLeast"/>
              <w:ind w:left="57" w:right="57"/>
              <w:rPr>
                <w:sz w:val="18"/>
                <w:szCs w:val="18"/>
              </w:rPr>
            </w:pPr>
          </w:p>
        </w:tc>
        <w:tc>
          <w:tcPr>
            <w:tcW w:w="2381" w:type="dxa"/>
            <w:tcBorders>
              <w:top w:val="nil"/>
              <w:bottom w:val="nil"/>
            </w:tcBorders>
            <w:shd w:val="clear" w:color="auto" w:fill="auto"/>
          </w:tcPr>
          <w:p w:rsidR="00E24DB7" w:rsidRPr="002C5876" w:rsidRDefault="00E24DB7" w:rsidP="00E24DB7">
            <w:pPr>
              <w:keepNext/>
              <w:keepLines/>
              <w:spacing w:before="60" w:after="60" w:line="220" w:lineRule="atLeast"/>
              <w:ind w:left="57" w:right="57"/>
              <w:rPr>
                <w:sz w:val="18"/>
                <w:szCs w:val="18"/>
              </w:rPr>
            </w:pPr>
            <w:r w:rsidRPr="002C5876">
              <w:rPr>
                <w:sz w:val="18"/>
                <w:szCs w:val="18"/>
              </w:rPr>
              <w:t>FC</w:t>
            </w:r>
            <w:r w:rsidRPr="002C5876">
              <w:rPr>
                <w:sz w:val="18"/>
                <w:szCs w:val="18"/>
                <w:vertAlign w:val="subscript"/>
              </w:rPr>
              <w:t>CD,ave</w:t>
            </w:r>
            <w:r w:rsidRPr="002C5876">
              <w:rPr>
                <w:sz w:val="18"/>
                <w:szCs w:val="18"/>
              </w:rPr>
              <w:t>, l/100 km</w:t>
            </w:r>
          </w:p>
        </w:tc>
        <w:tc>
          <w:tcPr>
            <w:tcW w:w="735" w:type="dxa"/>
            <w:tcBorders>
              <w:top w:val="nil"/>
              <w:bottom w:val="nil"/>
            </w:tcBorders>
            <w:shd w:val="clear" w:color="auto" w:fill="auto"/>
          </w:tcPr>
          <w:p w:rsidR="00E24DB7" w:rsidRPr="002C5876" w:rsidRDefault="00E24DB7" w:rsidP="00E24DB7">
            <w:pPr>
              <w:keepNext/>
              <w:keepLines/>
              <w:spacing w:before="60" w:after="60" w:line="220" w:lineRule="atLeast"/>
              <w:ind w:left="57" w:right="57"/>
              <w:rPr>
                <w:sz w:val="18"/>
                <w:szCs w:val="18"/>
              </w:rPr>
            </w:pPr>
          </w:p>
        </w:tc>
      </w:tr>
      <w:tr w:rsidR="00E24DB7" w:rsidRPr="00D53F39" w:rsidTr="00E24DB7">
        <w:trPr>
          <w:jc w:val="center"/>
        </w:trPr>
        <w:tc>
          <w:tcPr>
            <w:tcW w:w="1261" w:type="dxa"/>
            <w:tcBorders>
              <w:top w:val="nil"/>
              <w:bottom w:val="single" w:sz="4" w:space="0" w:color="auto"/>
            </w:tcBorders>
            <w:shd w:val="clear" w:color="auto" w:fill="auto"/>
          </w:tcPr>
          <w:p w:rsidR="00E24DB7" w:rsidRPr="002C5876" w:rsidRDefault="00E24DB7" w:rsidP="00E24DB7">
            <w:pPr>
              <w:spacing w:before="60" w:after="60" w:line="220" w:lineRule="atLeast"/>
              <w:ind w:left="57" w:right="57"/>
              <w:rPr>
                <w:sz w:val="18"/>
                <w:szCs w:val="18"/>
              </w:rPr>
            </w:pPr>
            <w:r w:rsidRPr="002C5876">
              <w:rPr>
                <w:sz w:val="18"/>
                <w:szCs w:val="18"/>
              </w:rPr>
              <w:t xml:space="preserve">Sortie </w:t>
            </w:r>
            <w:r w:rsidRPr="002C5876">
              <w:rPr>
                <w:sz w:val="18"/>
                <w:szCs w:val="18"/>
              </w:rPr>
              <w:br/>
              <w:t>de l’étape 12</w:t>
            </w:r>
          </w:p>
        </w:tc>
        <w:tc>
          <w:tcPr>
            <w:tcW w:w="2117" w:type="dxa"/>
            <w:tcBorders>
              <w:top w:val="nil"/>
              <w:bottom w:val="single" w:sz="4" w:space="0" w:color="auto"/>
            </w:tcBorders>
            <w:shd w:val="clear" w:color="auto" w:fill="auto"/>
          </w:tcPr>
          <w:p w:rsidR="00E24DB7" w:rsidRPr="00D53F39" w:rsidRDefault="00E24DB7" w:rsidP="00E24DB7">
            <w:pPr>
              <w:spacing w:before="60" w:after="60" w:line="220" w:lineRule="atLeast"/>
              <w:ind w:left="57" w:right="57"/>
              <w:rPr>
                <w:sz w:val="18"/>
                <w:szCs w:val="18"/>
                <w:lang w:val="en-US"/>
              </w:rPr>
            </w:pPr>
            <w:r w:rsidRPr="00D53F39">
              <w:rPr>
                <w:sz w:val="18"/>
                <w:szCs w:val="18"/>
                <w:lang w:val="en-US"/>
              </w:rPr>
              <w:t>EC</w:t>
            </w:r>
            <w:r w:rsidRPr="00D53F39">
              <w:rPr>
                <w:sz w:val="18"/>
                <w:szCs w:val="18"/>
                <w:vertAlign w:val="subscript"/>
                <w:lang w:val="en-US"/>
              </w:rPr>
              <w:t>DC,CD,first</w:t>
            </w:r>
            <w:r w:rsidRPr="00D53F39">
              <w:rPr>
                <w:sz w:val="18"/>
                <w:szCs w:val="18"/>
                <w:lang w:val="en-US"/>
              </w:rPr>
              <w:t>, Wh/km</w:t>
            </w:r>
          </w:p>
        </w:tc>
        <w:tc>
          <w:tcPr>
            <w:tcW w:w="3145" w:type="dxa"/>
            <w:vMerge/>
            <w:tcBorders>
              <w:bottom w:val="single" w:sz="4" w:space="0" w:color="auto"/>
            </w:tcBorders>
            <w:shd w:val="clear" w:color="auto" w:fill="auto"/>
          </w:tcPr>
          <w:p w:rsidR="00E24DB7" w:rsidRPr="00D53F39" w:rsidRDefault="00E24DB7" w:rsidP="00E24DB7">
            <w:pPr>
              <w:spacing w:before="60" w:after="60" w:line="220" w:lineRule="atLeast"/>
              <w:ind w:left="57" w:right="57"/>
              <w:rPr>
                <w:sz w:val="18"/>
                <w:szCs w:val="18"/>
                <w:lang w:val="en-US"/>
              </w:rPr>
            </w:pPr>
          </w:p>
        </w:tc>
        <w:tc>
          <w:tcPr>
            <w:tcW w:w="2381" w:type="dxa"/>
            <w:tcBorders>
              <w:top w:val="nil"/>
              <w:bottom w:val="single" w:sz="4" w:space="0" w:color="auto"/>
            </w:tcBorders>
            <w:shd w:val="clear" w:color="auto" w:fill="auto"/>
          </w:tcPr>
          <w:p w:rsidR="00E24DB7" w:rsidRPr="00D53F39" w:rsidRDefault="00E24DB7" w:rsidP="00E24DB7">
            <w:pPr>
              <w:spacing w:before="60" w:after="60" w:line="220" w:lineRule="atLeast"/>
              <w:ind w:left="57" w:right="57"/>
              <w:rPr>
                <w:sz w:val="18"/>
                <w:szCs w:val="18"/>
                <w:lang w:val="en-US"/>
              </w:rPr>
            </w:pPr>
            <w:r w:rsidRPr="00D53F39">
              <w:rPr>
                <w:sz w:val="18"/>
                <w:szCs w:val="18"/>
                <w:lang w:val="en-US"/>
              </w:rPr>
              <w:t>EC</w:t>
            </w:r>
            <w:r w:rsidRPr="00D53F39">
              <w:rPr>
                <w:sz w:val="18"/>
                <w:szCs w:val="18"/>
                <w:vertAlign w:val="subscript"/>
                <w:lang w:val="en-US"/>
              </w:rPr>
              <w:t>DC,CD,first,ave</w:t>
            </w:r>
            <w:r w:rsidRPr="00D53F39">
              <w:rPr>
                <w:sz w:val="18"/>
                <w:szCs w:val="18"/>
                <w:lang w:val="en-US"/>
              </w:rPr>
              <w:t>, Wh/km</w:t>
            </w:r>
          </w:p>
        </w:tc>
        <w:tc>
          <w:tcPr>
            <w:tcW w:w="735" w:type="dxa"/>
            <w:tcBorders>
              <w:top w:val="nil"/>
              <w:bottom w:val="single" w:sz="4" w:space="0" w:color="auto"/>
            </w:tcBorders>
            <w:shd w:val="clear" w:color="auto" w:fill="auto"/>
          </w:tcPr>
          <w:p w:rsidR="00E24DB7" w:rsidRPr="00D53F39" w:rsidRDefault="00E24DB7" w:rsidP="00E24DB7">
            <w:pPr>
              <w:spacing w:before="60" w:after="60" w:line="220" w:lineRule="atLeast"/>
              <w:ind w:left="57" w:right="57"/>
              <w:rPr>
                <w:sz w:val="18"/>
                <w:szCs w:val="18"/>
                <w:lang w:val="en-US"/>
              </w:rPr>
            </w:pPr>
          </w:p>
        </w:tc>
      </w:tr>
      <w:tr w:rsidR="00E24DB7" w:rsidRPr="002C5876" w:rsidTr="00E24DB7">
        <w:trPr>
          <w:jc w:val="center"/>
        </w:trPr>
        <w:tc>
          <w:tcPr>
            <w:tcW w:w="1261" w:type="dxa"/>
            <w:tcBorders>
              <w:bottom w:val="nil"/>
            </w:tcBorders>
            <w:shd w:val="clear" w:color="auto" w:fill="auto"/>
          </w:tcPr>
          <w:p w:rsidR="00E24DB7" w:rsidRPr="002C5876" w:rsidRDefault="00E24DB7" w:rsidP="00E24DB7">
            <w:pPr>
              <w:keepNext/>
              <w:spacing w:before="60" w:after="60" w:line="220" w:lineRule="atLeast"/>
              <w:ind w:left="57" w:right="57"/>
              <w:rPr>
                <w:sz w:val="18"/>
                <w:szCs w:val="18"/>
              </w:rPr>
            </w:pPr>
            <w:r w:rsidRPr="002C5876">
              <w:rPr>
                <w:sz w:val="18"/>
                <w:szCs w:val="18"/>
              </w:rPr>
              <w:lastRenderedPageBreak/>
              <w:t xml:space="preserve">Sortie </w:t>
            </w:r>
            <w:r w:rsidRPr="002C5876">
              <w:rPr>
                <w:sz w:val="18"/>
                <w:szCs w:val="18"/>
              </w:rPr>
              <w:br/>
              <w:t>de l’étape 13</w:t>
            </w:r>
          </w:p>
        </w:tc>
        <w:tc>
          <w:tcPr>
            <w:tcW w:w="2117" w:type="dxa"/>
            <w:tcBorders>
              <w:bottom w:val="nil"/>
            </w:tcBorders>
            <w:shd w:val="clear" w:color="auto" w:fill="auto"/>
          </w:tcPr>
          <w:p w:rsidR="00E24DB7" w:rsidRPr="00D53F39" w:rsidRDefault="00E24DB7" w:rsidP="00E24DB7">
            <w:pPr>
              <w:keepNext/>
              <w:spacing w:before="60" w:after="60" w:line="220" w:lineRule="atLeast"/>
              <w:ind w:left="57" w:right="57"/>
              <w:rPr>
                <w:sz w:val="18"/>
                <w:szCs w:val="18"/>
                <w:lang w:val="en-US"/>
              </w:rPr>
            </w:pPr>
            <w:r w:rsidRPr="00D53F39">
              <w:rPr>
                <w:sz w:val="18"/>
                <w:szCs w:val="18"/>
                <w:lang w:val="en-US"/>
              </w:rPr>
              <w:t>EC</w:t>
            </w:r>
            <w:r w:rsidRPr="00D53F39">
              <w:rPr>
                <w:sz w:val="18"/>
                <w:szCs w:val="18"/>
                <w:vertAlign w:val="subscript"/>
                <w:lang w:val="en-US"/>
              </w:rPr>
              <w:t>AC,CD,ave</w:t>
            </w:r>
            <w:r w:rsidRPr="00D53F39">
              <w:rPr>
                <w:sz w:val="18"/>
                <w:szCs w:val="18"/>
                <w:lang w:val="en-US"/>
              </w:rPr>
              <w:t>, Wh/km </w:t>
            </w:r>
            <w:r w:rsidRPr="00D53F39">
              <w:rPr>
                <w:sz w:val="18"/>
                <w:szCs w:val="18"/>
                <w:lang w:val="en-US"/>
              </w:rPr>
              <w:br/>
              <w:t>M</w:t>
            </w:r>
            <w:r w:rsidRPr="00D53F39">
              <w:rPr>
                <w:sz w:val="18"/>
                <w:szCs w:val="18"/>
                <w:vertAlign w:val="subscript"/>
                <w:lang w:val="en-US"/>
              </w:rPr>
              <w:t>CO2,CD,ave</w:t>
            </w:r>
            <w:r w:rsidRPr="00D53F39">
              <w:rPr>
                <w:sz w:val="18"/>
                <w:szCs w:val="18"/>
                <w:lang w:val="en-US"/>
              </w:rPr>
              <w:t>, g/km</w:t>
            </w:r>
          </w:p>
        </w:tc>
        <w:tc>
          <w:tcPr>
            <w:tcW w:w="3145" w:type="dxa"/>
            <w:tcBorders>
              <w:bottom w:val="nil"/>
            </w:tcBorders>
            <w:shd w:val="clear" w:color="auto" w:fill="auto"/>
          </w:tcPr>
          <w:p w:rsidR="00E24DB7" w:rsidRPr="002C5876" w:rsidRDefault="00E24DB7" w:rsidP="00E24DB7">
            <w:pPr>
              <w:keepNext/>
              <w:spacing w:before="60" w:after="60" w:line="220" w:lineRule="atLeast"/>
              <w:ind w:left="57" w:right="57"/>
              <w:rPr>
                <w:sz w:val="18"/>
                <w:szCs w:val="18"/>
              </w:rPr>
            </w:pPr>
            <w:r w:rsidRPr="002C5876">
              <w:rPr>
                <w:sz w:val="18"/>
                <w:szCs w:val="18"/>
              </w:rPr>
              <w:t>Déclaration de la consommation d’énergie électrique et des émissions massiques de CO</w:t>
            </w:r>
            <w:r w:rsidRPr="002C5876">
              <w:rPr>
                <w:sz w:val="18"/>
                <w:szCs w:val="18"/>
                <w:vertAlign w:val="subscript"/>
              </w:rPr>
              <w:t>2</w:t>
            </w:r>
            <w:r w:rsidRPr="002C5876">
              <w:rPr>
                <w:sz w:val="18"/>
                <w:szCs w:val="18"/>
              </w:rPr>
              <w:t xml:space="preserve"> en mode épuisement de la charge pour chaque véhicule.</w:t>
            </w:r>
          </w:p>
        </w:tc>
        <w:tc>
          <w:tcPr>
            <w:tcW w:w="2381" w:type="dxa"/>
            <w:tcBorders>
              <w:bottom w:val="nil"/>
            </w:tcBorders>
            <w:shd w:val="clear" w:color="auto" w:fill="auto"/>
          </w:tcPr>
          <w:p w:rsidR="00E24DB7" w:rsidRPr="00D53F39" w:rsidRDefault="00E24DB7" w:rsidP="00E24DB7">
            <w:pPr>
              <w:keepNext/>
              <w:spacing w:before="60" w:after="60" w:line="220" w:lineRule="atLeast"/>
              <w:ind w:left="57" w:right="57"/>
              <w:rPr>
                <w:sz w:val="18"/>
                <w:szCs w:val="18"/>
                <w:lang w:val="en-US"/>
              </w:rPr>
            </w:pPr>
            <w:r w:rsidRPr="00D53F39">
              <w:rPr>
                <w:sz w:val="18"/>
                <w:szCs w:val="18"/>
                <w:lang w:val="en-US"/>
              </w:rPr>
              <w:t>EC</w:t>
            </w:r>
            <w:r w:rsidRPr="00D53F39">
              <w:rPr>
                <w:sz w:val="18"/>
                <w:szCs w:val="18"/>
                <w:vertAlign w:val="subscript"/>
                <w:lang w:val="en-US"/>
              </w:rPr>
              <w:t>AC,CD,dec</w:t>
            </w:r>
            <w:r w:rsidRPr="00D53F39">
              <w:rPr>
                <w:sz w:val="18"/>
                <w:szCs w:val="18"/>
                <w:lang w:val="en-US"/>
              </w:rPr>
              <w:t>, Wh/km</w:t>
            </w:r>
            <w:r w:rsidRPr="00D53F39">
              <w:rPr>
                <w:sz w:val="18"/>
                <w:szCs w:val="18"/>
                <w:lang w:val="en-US"/>
              </w:rPr>
              <w:br/>
              <w:t>M</w:t>
            </w:r>
            <w:r w:rsidRPr="00D53F39">
              <w:rPr>
                <w:sz w:val="18"/>
                <w:szCs w:val="18"/>
                <w:vertAlign w:val="subscript"/>
                <w:lang w:val="en-US"/>
              </w:rPr>
              <w:t>CO2,CD,dec</w:t>
            </w:r>
            <w:r w:rsidRPr="00D53F39">
              <w:rPr>
                <w:sz w:val="18"/>
                <w:szCs w:val="18"/>
                <w:lang w:val="en-US"/>
              </w:rPr>
              <w:t>, g/km</w:t>
            </w:r>
          </w:p>
        </w:tc>
        <w:tc>
          <w:tcPr>
            <w:tcW w:w="735" w:type="dxa"/>
            <w:tcBorders>
              <w:bottom w:val="nil"/>
            </w:tcBorders>
            <w:shd w:val="clear" w:color="auto" w:fill="auto"/>
          </w:tcPr>
          <w:p w:rsidR="00E24DB7" w:rsidRPr="002C5876" w:rsidRDefault="00E24DB7" w:rsidP="00E24DB7">
            <w:pPr>
              <w:keepNext/>
              <w:spacing w:before="60" w:after="60" w:line="220" w:lineRule="atLeast"/>
              <w:ind w:left="57" w:right="57"/>
              <w:rPr>
                <w:sz w:val="18"/>
                <w:szCs w:val="18"/>
              </w:rPr>
            </w:pPr>
            <w:r w:rsidRPr="002C5876">
              <w:rPr>
                <w:sz w:val="18"/>
                <w:szCs w:val="18"/>
              </w:rPr>
              <w:t>14</w:t>
            </w:r>
          </w:p>
        </w:tc>
      </w:tr>
      <w:tr w:rsidR="00E24DB7" w:rsidRPr="002C5876" w:rsidTr="00E24DB7">
        <w:trPr>
          <w:trHeight w:val="332"/>
          <w:jc w:val="center"/>
        </w:trPr>
        <w:tc>
          <w:tcPr>
            <w:tcW w:w="1261" w:type="dxa"/>
            <w:tcBorders>
              <w:top w:val="nil"/>
              <w:bottom w:val="single" w:sz="4" w:space="0" w:color="auto"/>
            </w:tcBorders>
            <w:shd w:val="clear" w:color="auto" w:fill="auto"/>
          </w:tcPr>
          <w:p w:rsidR="00E24DB7" w:rsidRPr="002C5876" w:rsidRDefault="00E24DB7" w:rsidP="00E24DB7">
            <w:pPr>
              <w:keepNext/>
              <w:spacing w:before="60" w:after="60" w:line="220" w:lineRule="atLeast"/>
              <w:ind w:left="57" w:right="57"/>
              <w:rPr>
                <w:sz w:val="18"/>
                <w:szCs w:val="18"/>
              </w:rPr>
            </w:pPr>
          </w:p>
        </w:tc>
        <w:tc>
          <w:tcPr>
            <w:tcW w:w="2117" w:type="dxa"/>
            <w:tcBorders>
              <w:top w:val="nil"/>
              <w:bottom w:val="single" w:sz="4" w:space="0" w:color="auto"/>
            </w:tcBorders>
            <w:shd w:val="clear" w:color="auto" w:fill="auto"/>
          </w:tcPr>
          <w:p w:rsidR="00E24DB7" w:rsidRPr="002C5876" w:rsidRDefault="00E24DB7" w:rsidP="00E24DB7">
            <w:pPr>
              <w:keepNext/>
              <w:spacing w:before="60" w:after="60" w:line="220" w:lineRule="atLeast"/>
              <w:ind w:left="57" w:right="57"/>
              <w:rPr>
                <w:sz w:val="18"/>
                <w:szCs w:val="18"/>
              </w:rPr>
            </w:pPr>
          </w:p>
        </w:tc>
        <w:tc>
          <w:tcPr>
            <w:tcW w:w="3145" w:type="dxa"/>
            <w:tcBorders>
              <w:top w:val="nil"/>
            </w:tcBorders>
            <w:shd w:val="clear" w:color="auto" w:fill="auto"/>
          </w:tcPr>
          <w:p w:rsidR="00E24DB7" w:rsidRPr="002C5876" w:rsidRDefault="00E24DB7" w:rsidP="00E24DB7">
            <w:pPr>
              <w:keepNext/>
              <w:spacing w:before="60" w:after="60" w:line="220" w:lineRule="atLeast"/>
              <w:ind w:left="57" w:right="57"/>
              <w:rPr>
                <w:sz w:val="18"/>
                <w:szCs w:val="18"/>
              </w:rPr>
            </w:pPr>
            <w:r w:rsidRPr="002C5876">
              <w:rPr>
                <w:sz w:val="18"/>
                <w:szCs w:val="18"/>
              </w:rPr>
              <w:t>Si la méthode d’interpolation est appliquée, les données de sortie sont disponibles pour chaque véhicule H, L et, le cas échéant, M.</w:t>
            </w:r>
          </w:p>
        </w:tc>
        <w:tc>
          <w:tcPr>
            <w:tcW w:w="2381" w:type="dxa"/>
            <w:tcBorders>
              <w:top w:val="nil"/>
            </w:tcBorders>
            <w:shd w:val="clear" w:color="auto" w:fill="auto"/>
          </w:tcPr>
          <w:p w:rsidR="00E24DB7" w:rsidRPr="002C5876" w:rsidRDefault="00E24DB7" w:rsidP="00E24DB7">
            <w:pPr>
              <w:keepNext/>
              <w:spacing w:before="60" w:after="60" w:line="220" w:lineRule="atLeast"/>
              <w:ind w:left="57" w:right="57"/>
              <w:rPr>
                <w:sz w:val="18"/>
                <w:szCs w:val="18"/>
              </w:rPr>
            </w:pPr>
          </w:p>
        </w:tc>
        <w:tc>
          <w:tcPr>
            <w:tcW w:w="735" w:type="dxa"/>
            <w:tcBorders>
              <w:top w:val="nil"/>
            </w:tcBorders>
            <w:shd w:val="clear" w:color="auto" w:fill="auto"/>
          </w:tcPr>
          <w:p w:rsidR="00E24DB7" w:rsidRPr="002C5876" w:rsidRDefault="00E24DB7" w:rsidP="00E24DB7">
            <w:pPr>
              <w:keepNext/>
              <w:spacing w:before="60" w:after="60" w:line="220" w:lineRule="atLeast"/>
              <w:ind w:left="57" w:right="57"/>
              <w:rPr>
                <w:sz w:val="18"/>
                <w:szCs w:val="18"/>
              </w:rPr>
            </w:pPr>
          </w:p>
        </w:tc>
      </w:tr>
      <w:tr w:rsidR="00E24DB7" w:rsidRPr="002C5876" w:rsidTr="00E24DB7">
        <w:trPr>
          <w:jc w:val="center"/>
        </w:trPr>
        <w:tc>
          <w:tcPr>
            <w:tcW w:w="1261" w:type="dxa"/>
            <w:tcBorders>
              <w:bottom w:val="nil"/>
            </w:tcBorders>
            <w:shd w:val="clear" w:color="auto" w:fill="auto"/>
          </w:tcPr>
          <w:p w:rsidR="00E24DB7" w:rsidRPr="002C5876" w:rsidRDefault="00E24DB7" w:rsidP="00E24DB7">
            <w:pPr>
              <w:keepNext/>
              <w:spacing w:before="60" w:after="60" w:line="220" w:lineRule="atLeast"/>
              <w:ind w:left="57" w:right="57"/>
              <w:rPr>
                <w:sz w:val="18"/>
                <w:szCs w:val="18"/>
              </w:rPr>
            </w:pPr>
            <w:r w:rsidRPr="002C5876">
              <w:rPr>
                <w:sz w:val="18"/>
                <w:szCs w:val="18"/>
              </w:rPr>
              <w:t xml:space="preserve">Sortie </w:t>
            </w:r>
            <w:r w:rsidRPr="002C5876">
              <w:rPr>
                <w:sz w:val="18"/>
                <w:szCs w:val="18"/>
              </w:rPr>
              <w:br/>
              <w:t>de l’étape 12</w:t>
            </w:r>
          </w:p>
        </w:tc>
        <w:tc>
          <w:tcPr>
            <w:tcW w:w="2117" w:type="dxa"/>
            <w:tcBorders>
              <w:bottom w:val="nil"/>
            </w:tcBorders>
            <w:shd w:val="clear" w:color="auto" w:fill="auto"/>
          </w:tcPr>
          <w:p w:rsidR="00E24DB7" w:rsidRPr="00D53F39" w:rsidRDefault="00E24DB7" w:rsidP="00E24DB7">
            <w:pPr>
              <w:keepNext/>
              <w:spacing w:before="60" w:after="60" w:line="220" w:lineRule="atLeast"/>
              <w:ind w:left="57" w:right="57"/>
              <w:rPr>
                <w:sz w:val="18"/>
                <w:szCs w:val="18"/>
                <w:lang w:val="en-US"/>
              </w:rPr>
            </w:pPr>
            <w:r w:rsidRPr="00D53F39">
              <w:rPr>
                <w:sz w:val="18"/>
                <w:szCs w:val="18"/>
                <w:lang w:val="en-US"/>
              </w:rPr>
              <w:t>EC</w:t>
            </w:r>
            <w:r w:rsidRPr="00D53F39">
              <w:rPr>
                <w:sz w:val="18"/>
                <w:szCs w:val="18"/>
                <w:vertAlign w:val="subscript"/>
                <w:lang w:val="en-US"/>
              </w:rPr>
              <w:t>DC,CD,first</w:t>
            </w:r>
            <w:r w:rsidRPr="00D53F39">
              <w:rPr>
                <w:sz w:val="18"/>
                <w:szCs w:val="18"/>
                <w:lang w:val="en-US"/>
              </w:rPr>
              <w:t>, Wh/km</w:t>
            </w:r>
          </w:p>
        </w:tc>
        <w:tc>
          <w:tcPr>
            <w:tcW w:w="3145" w:type="dxa"/>
            <w:vMerge w:val="restart"/>
            <w:shd w:val="clear" w:color="auto" w:fill="auto"/>
          </w:tcPr>
          <w:p w:rsidR="00E24DB7" w:rsidRPr="002C5876" w:rsidRDefault="00E24DB7" w:rsidP="00E24DB7">
            <w:pPr>
              <w:keepNext/>
              <w:spacing w:before="60" w:after="60" w:line="220" w:lineRule="atLeast"/>
              <w:ind w:left="57" w:right="57"/>
              <w:rPr>
                <w:sz w:val="18"/>
                <w:szCs w:val="18"/>
              </w:rPr>
            </w:pPr>
            <w:r w:rsidRPr="002C5876">
              <w:rPr>
                <w:sz w:val="18"/>
                <w:szCs w:val="18"/>
              </w:rPr>
              <w:t>Option régionale :</w:t>
            </w:r>
          </w:p>
          <w:p w:rsidR="00E24DB7" w:rsidRPr="002C5876" w:rsidRDefault="00E24DB7" w:rsidP="00E24DB7">
            <w:pPr>
              <w:keepNext/>
              <w:spacing w:before="60" w:after="60" w:line="220" w:lineRule="atLeast"/>
              <w:ind w:left="57" w:right="57"/>
              <w:rPr>
                <w:sz w:val="18"/>
                <w:szCs w:val="18"/>
              </w:rPr>
            </w:pPr>
            <w:r w:rsidRPr="002C5876">
              <w:rPr>
                <w:sz w:val="18"/>
                <w:szCs w:val="18"/>
              </w:rPr>
              <w:t>Ajustement de la consommation d’énergie électrique à des fins de conformité de production.</w:t>
            </w:r>
          </w:p>
          <w:p w:rsidR="00E24DB7" w:rsidRPr="002C5876" w:rsidRDefault="00E24DB7" w:rsidP="00E24DB7">
            <w:pPr>
              <w:keepNext/>
              <w:spacing w:before="60" w:after="60" w:line="220" w:lineRule="atLeast"/>
              <w:ind w:left="57" w:right="57"/>
              <w:rPr>
                <w:sz w:val="18"/>
                <w:szCs w:val="18"/>
              </w:rPr>
            </w:pPr>
            <w:r w:rsidRPr="002C5876">
              <w:rPr>
                <w:sz w:val="18"/>
                <w:szCs w:val="18"/>
              </w:rPr>
              <w:t>Si la méthode d’interpolation est appliquée, les données de sortie sont disponibles pour chaque véhicule H, L et, le cas échéant, M.</w:t>
            </w:r>
          </w:p>
        </w:tc>
        <w:tc>
          <w:tcPr>
            <w:tcW w:w="2381" w:type="dxa"/>
            <w:vMerge w:val="restart"/>
            <w:shd w:val="clear" w:color="auto" w:fill="auto"/>
          </w:tcPr>
          <w:p w:rsidR="00E24DB7" w:rsidRPr="00D53F39" w:rsidRDefault="00E24DB7" w:rsidP="00E24DB7">
            <w:pPr>
              <w:keepNext/>
              <w:spacing w:before="60" w:after="60" w:line="220" w:lineRule="atLeast"/>
              <w:ind w:left="57" w:right="57"/>
              <w:rPr>
                <w:sz w:val="18"/>
                <w:szCs w:val="18"/>
                <w:lang w:val="en-US"/>
              </w:rPr>
            </w:pPr>
            <w:r w:rsidRPr="00D53F39">
              <w:rPr>
                <w:sz w:val="18"/>
                <w:szCs w:val="18"/>
                <w:lang w:val="en-US"/>
              </w:rPr>
              <w:t>EC</w:t>
            </w:r>
            <w:r w:rsidRPr="00D53F39">
              <w:rPr>
                <w:sz w:val="18"/>
                <w:szCs w:val="18"/>
                <w:vertAlign w:val="subscript"/>
                <w:lang w:val="en-US"/>
              </w:rPr>
              <w:t>DC,CD,COP</w:t>
            </w:r>
            <w:r w:rsidRPr="00D53F39">
              <w:rPr>
                <w:sz w:val="18"/>
                <w:szCs w:val="18"/>
                <w:lang w:val="en-US"/>
              </w:rPr>
              <w:t>, Wh/km</w:t>
            </w:r>
          </w:p>
        </w:tc>
        <w:tc>
          <w:tcPr>
            <w:tcW w:w="735" w:type="dxa"/>
            <w:vMerge w:val="restart"/>
            <w:shd w:val="clear" w:color="auto" w:fill="auto"/>
          </w:tcPr>
          <w:p w:rsidR="00E24DB7" w:rsidRPr="002C5876" w:rsidRDefault="00E24DB7" w:rsidP="00E24DB7">
            <w:pPr>
              <w:keepNext/>
              <w:spacing w:before="60" w:after="60" w:line="220" w:lineRule="atLeast"/>
              <w:ind w:left="57" w:right="57"/>
              <w:rPr>
                <w:sz w:val="18"/>
                <w:szCs w:val="18"/>
              </w:rPr>
            </w:pPr>
            <w:r w:rsidRPr="002C5876">
              <w:rPr>
                <w:sz w:val="18"/>
                <w:szCs w:val="18"/>
              </w:rPr>
              <w:t>15</w:t>
            </w:r>
          </w:p>
        </w:tc>
      </w:tr>
      <w:tr w:rsidR="00E24DB7" w:rsidRPr="00D53F39" w:rsidTr="00E24DB7">
        <w:trPr>
          <w:jc w:val="center"/>
        </w:trPr>
        <w:tc>
          <w:tcPr>
            <w:tcW w:w="1261" w:type="dxa"/>
            <w:tcBorders>
              <w:top w:val="nil"/>
              <w:bottom w:val="nil"/>
            </w:tcBorders>
            <w:shd w:val="clear" w:color="auto" w:fill="auto"/>
          </w:tcPr>
          <w:p w:rsidR="00E24DB7" w:rsidRPr="002C5876" w:rsidRDefault="00E24DB7" w:rsidP="00E24DB7">
            <w:pPr>
              <w:keepNext/>
              <w:spacing w:before="60" w:after="60" w:line="220" w:lineRule="atLeast"/>
              <w:ind w:left="57" w:right="57"/>
              <w:rPr>
                <w:sz w:val="18"/>
                <w:szCs w:val="18"/>
              </w:rPr>
            </w:pPr>
            <w:r w:rsidRPr="002C5876">
              <w:rPr>
                <w:sz w:val="18"/>
                <w:szCs w:val="18"/>
              </w:rPr>
              <w:t>Sortie</w:t>
            </w:r>
            <w:r w:rsidRPr="002C5876">
              <w:rPr>
                <w:sz w:val="18"/>
                <w:szCs w:val="18"/>
              </w:rPr>
              <w:br/>
              <w:t>de l’étape 13</w:t>
            </w:r>
          </w:p>
        </w:tc>
        <w:tc>
          <w:tcPr>
            <w:tcW w:w="2117" w:type="dxa"/>
            <w:tcBorders>
              <w:top w:val="nil"/>
              <w:bottom w:val="nil"/>
            </w:tcBorders>
            <w:shd w:val="clear" w:color="auto" w:fill="auto"/>
          </w:tcPr>
          <w:p w:rsidR="00E24DB7" w:rsidRPr="00D53F39" w:rsidRDefault="00E24DB7" w:rsidP="00E24DB7">
            <w:pPr>
              <w:keepNext/>
              <w:spacing w:before="60" w:after="60" w:line="220" w:lineRule="atLeast"/>
              <w:ind w:left="57" w:right="57"/>
              <w:rPr>
                <w:sz w:val="18"/>
                <w:szCs w:val="18"/>
                <w:lang w:val="en-US"/>
              </w:rPr>
            </w:pPr>
            <w:r w:rsidRPr="00D53F39">
              <w:rPr>
                <w:sz w:val="18"/>
                <w:szCs w:val="18"/>
                <w:lang w:val="en-US"/>
              </w:rPr>
              <w:t>EC</w:t>
            </w:r>
            <w:r w:rsidRPr="00D53F39">
              <w:rPr>
                <w:sz w:val="18"/>
                <w:szCs w:val="18"/>
                <w:vertAlign w:val="subscript"/>
                <w:lang w:val="en-US"/>
              </w:rPr>
              <w:t>AC,CD,ave</w:t>
            </w:r>
            <w:r w:rsidRPr="00D53F39">
              <w:rPr>
                <w:sz w:val="18"/>
                <w:szCs w:val="18"/>
                <w:lang w:val="en-US"/>
              </w:rPr>
              <w:t>, Wh/km</w:t>
            </w:r>
          </w:p>
        </w:tc>
        <w:tc>
          <w:tcPr>
            <w:tcW w:w="3145" w:type="dxa"/>
            <w:vMerge/>
            <w:shd w:val="clear" w:color="auto" w:fill="auto"/>
          </w:tcPr>
          <w:p w:rsidR="00E24DB7" w:rsidRPr="00D53F39" w:rsidRDefault="00E24DB7" w:rsidP="00E24DB7">
            <w:pPr>
              <w:keepNext/>
              <w:spacing w:before="60" w:after="60" w:line="220" w:lineRule="atLeast"/>
              <w:ind w:left="57" w:right="57"/>
              <w:rPr>
                <w:sz w:val="18"/>
                <w:szCs w:val="18"/>
                <w:lang w:val="en-US"/>
              </w:rPr>
            </w:pPr>
          </w:p>
        </w:tc>
        <w:tc>
          <w:tcPr>
            <w:tcW w:w="2381" w:type="dxa"/>
            <w:vMerge/>
            <w:shd w:val="clear" w:color="auto" w:fill="auto"/>
          </w:tcPr>
          <w:p w:rsidR="00E24DB7" w:rsidRPr="00D53F39" w:rsidRDefault="00E24DB7" w:rsidP="00E24DB7">
            <w:pPr>
              <w:keepNext/>
              <w:spacing w:before="60" w:after="60" w:line="220" w:lineRule="atLeast"/>
              <w:ind w:left="57" w:right="57"/>
              <w:rPr>
                <w:sz w:val="18"/>
                <w:szCs w:val="18"/>
                <w:lang w:val="en-US"/>
              </w:rPr>
            </w:pPr>
          </w:p>
        </w:tc>
        <w:tc>
          <w:tcPr>
            <w:tcW w:w="735" w:type="dxa"/>
            <w:vMerge/>
            <w:shd w:val="clear" w:color="auto" w:fill="auto"/>
          </w:tcPr>
          <w:p w:rsidR="00E24DB7" w:rsidRPr="00D53F39" w:rsidRDefault="00E24DB7" w:rsidP="00E24DB7">
            <w:pPr>
              <w:keepNext/>
              <w:spacing w:before="60" w:after="60" w:line="220" w:lineRule="atLeast"/>
              <w:ind w:left="57" w:right="57"/>
              <w:rPr>
                <w:sz w:val="18"/>
                <w:szCs w:val="18"/>
                <w:lang w:val="en-US"/>
              </w:rPr>
            </w:pPr>
          </w:p>
        </w:tc>
      </w:tr>
      <w:tr w:rsidR="00E24DB7" w:rsidRPr="00D53F39" w:rsidTr="00E24DB7">
        <w:trPr>
          <w:jc w:val="center"/>
        </w:trPr>
        <w:tc>
          <w:tcPr>
            <w:tcW w:w="1261" w:type="dxa"/>
            <w:tcBorders>
              <w:top w:val="nil"/>
              <w:bottom w:val="single" w:sz="4" w:space="0" w:color="auto"/>
            </w:tcBorders>
            <w:shd w:val="clear" w:color="auto" w:fill="auto"/>
          </w:tcPr>
          <w:p w:rsidR="00E24DB7" w:rsidRPr="002C5876" w:rsidRDefault="00E24DB7" w:rsidP="00E24DB7">
            <w:pPr>
              <w:keepNext/>
              <w:spacing w:before="60" w:after="60" w:line="220" w:lineRule="atLeast"/>
              <w:ind w:left="57" w:right="57"/>
              <w:rPr>
                <w:sz w:val="18"/>
                <w:szCs w:val="18"/>
              </w:rPr>
            </w:pPr>
            <w:r w:rsidRPr="002C5876">
              <w:rPr>
                <w:sz w:val="18"/>
                <w:szCs w:val="18"/>
              </w:rPr>
              <w:t xml:space="preserve">Sortie </w:t>
            </w:r>
            <w:r w:rsidRPr="002C5876">
              <w:rPr>
                <w:sz w:val="18"/>
                <w:szCs w:val="18"/>
              </w:rPr>
              <w:br/>
              <w:t>de l’étape 14</w:t>
            </w:r>
          </w:p>
        </w:tc>
        <w:tc>
          <w:tcPr>
            <w:tcW w:w="2117" w:type="dxa"/>
            <w:tcBorders>
              <w:top w:val="nil"/>
              <w:bottom w:val="single" w:sz="4" w:space="0" w:color="auto"/>
            </w:tcBorders>
            <w:shd w:val="clear" w:color="auto" w:fill="auto"/>
          </w:tcPr>
          <w:p w:rsidR="00E24DB7" w:rsidRPr="00D53F39" w:rsidRDefault="00E24DB7" w:rsidP="00E24DB7">
            <w:pPr>
              <w:keepNext/>
              <w:spacing w:before="60" w:after="60" w:line="220" w:lineRule="atLeast"/>
              <w:ind w:left="57" w:right="57"/>
              <w:rPr>
                <w:sz w:val="18"/>
                <w:szCs w:val="18"/>
                <w:lang w:val="en-US"/>
              </w:rPr>
            </w:pPr>
            <w:r w:rsidRPr="00D53F39">
              <w:rPr>
                <w:sz w:val="18"/>
                <w:szCs w:val="18"/>
                <w:lang w:val="en-US"/>
              </w:rPr>
              <w:t>EC</w:t>
            </w:r>
            <w:r w:rsidRPr="00D53F39">
              <w:rPr>
                <w:sz w:val="18"/>
                <w:szCs w:val="18"/>
                <w:vertAlign w:val="subscript"/>
                <w:lang w:val="en-US"/>
              </w:rPr>
              <w:t>AC,CD,dec</w:t>
            </w:r>
            <w:r w:rsidRPr="00D53F39">
              <w:rPr>
                <w:sz w:val="18"/>
                <w:szCs w:val="18"/>
                <w:lang w:val="en-US"/>
              </w:rPr>
              <w:t>, Wh/km</w:t>
            </w:r>
          </w:p>
        </w:tc>
        <w:tc>
          <w:tcPr>
            <w:tcW w:w="3145" w:type="dxa"/>
            <w:vMerge/>
            <w:shd w:val="clear" w:color="auto" w:fill="auto"/>
          </w:tcPr>
          <w:p w:rsidR="00E24DB7" w:rsidRPr="00D53F39" w:rsidRDefault="00E24DB7" w:rsidP="00E24DB7">
            <w:pPr>
              <w:keepNext/>
              <w:spacing w:before="60" w:after="60" w:line="220" w:lineRule="atLeast"/>
              <w:ind w:left="57" w:right="57"/>
              <w:rPr>
                <w:sz w:val="18"/>
                <w:szCs w:val="18"/>
                <w:lang w:val="en-US"/>
              </w:rPr>
            </w:pPr>
          </w:p>
        </w:tc>
        <w:tc>
          <w:tcPr>
            <w:tcW w:w="2381" w:type="dxa"/>
            <w:vMerge/>
            <w:shd w:val="clear" w:color="auto" w:fill="auto"/>
          </w:tcPr>
          <w:p w:rsidR="00E24DB7" w:rsidRPr="00D53F39" w:rsidRDefault="00E24DB7" w:rsidP="00E24DB7">
            <w:pPr>
              <w:keepNext/>
              <w:spacing w:before="60" w:after="60" w:line="220" w:lineRule="atLeast"/>
              <w:ind w:left="57" w:right="57"/>
              <w:rPr>
                <w:sz w:val="18"/>
                <w:szCs w:val="18"/>
                <w:lang w:val="en-US"/>
              </w:rPr>
            </w:pPr>
          </w:p>
        </w:tc>
        <w:tc>
          <w:tcPr>
            <w:tcW w:w="735" w:type="dxa"/>
            <w:vMerge/>
            <w:shd w:val="clear" w:color="auto" w:fill="auto"/>
          </w:tcPr>
          <w:p w:rsidR="00E24DB7" w:rsidRPr="00D53F39" w:rsidRDefault="00E24DB7" w:rsidP="00E24DB7">
            <w:pPr>
              <w:keepNext/>
              <w:spacing w:before="60" w:after="60" w:line="220" w:lineRule="atLeast"/>
              <w:ind w:left="57" w:right="57"/>
              <w:rPr>
                <w:sz w:val="18"/>
                <w:szCs w:val="18"/>
                <w:lang w:val="en-US"/>
              </w:rPr>
            </w:pPr>
          </w:p>
        </w:tc>
      </w:tr>
      <w:tr w:rsidR="00E24DB7" w:rsidRPr="002C5876" w:rsidTr="00E24DB7">
        <w:trPr>
          <w:jc w:val="center"/>
        </w:trPr>
        <w:tc>
          <w:tcPr>
            <w:tcW w:w="1261" w:type="dxa"/>
            <w:tcBorders>
              <w:bottom w:val="nil"/>
            </w:tcBorders>
            <w:shd w:val="clear" w:color="auto" w:fill="auto"/>
          </w:tcPr>
          <w:p w:rsidR="00E24DB7" w:rsidRPr="002C5876" w:rsidRDefault="00E24DB7" w:rsidP="00E24DB7">
            <w:pPr>
              <w:keepNext/>
              <w:keepLines/>
              <w:spacing w:before="60" w:after="60" w:line="220" w:lineRule="atLeast"/>
              <w:ind w:left="57" w:right="57"/>
              <w:rPr>
                <w:sz w:val="18"/>
                <w:szCs w:val="18"/>
              </w:rPr>
            </w:pPr>
            <w:r w:rsidRPr="002C5876">
              <w:rPr>
                <w:sz w:val="18"/>
                <w:szCs w:val="18"/>
              </w:rPr>
              <w:t xml:space="preserve">Sortie </w:t>
            </w:r>
            <w:r w:rsidRPr="002C5876">
              <w:rPr>
                <w:sz w:val="18"/>
                <w:szCs w:val="18"/>
              </w:rPr>
              <w:br/>
              <w:t>de l’étape 15</w:t>
            </w:r>
          </w:p>
        </w:tc>
        <w:tc>
          <w:tcPr>
            <w:tcW w:w="2117" w:type="dxa"/>
            <w:tcBorders>
              <w:bottom w:val="nil"/>
            </w:tcBorders>
            <w:shd w:val="clear" w:color="auto" w:fill="auto"/>
          </w:tcPr>
          <w:p w:rsidR="00E24DB7" w:rsidRPr="00D53F39" w:rsidRDefault="00E24DB7" w:rsidP="00E24DB7">
            <w:pPr>
              <w:keepNext/>
              <w:keepLines/>
              <w:spacing w:before="60" w:after="60" w:line="220" w:lineRule="atLeast"/>
              <w:ind w:left="57" w:right="57"/>
              <w:rPr>
                <w:sz w:val="18"/>
                <w:szCs w:val="18"/>
                <w:lang w:val="en-US"/>
              </w:rPr>
            </w:pPr>
            <w:r w:rsidRPr="00D53F39">
              <w:rPr>
                <w:sz w:val="18"/>
                <w:szCs w:val="18"/>
                <w:lang w:val="en-US"/>
              </w:rPr>
              <w:t>EC</w:t>
            </w:r>
            <w:r w:rsidRPr="00D53F39">
              <w:rPr>
                <w:sz w:val="18"/>
                <w:szCs w:val="18"/>
                <w:vertAlign w:val="subscript"/>
                <w:lang w:val="en-US"/>
              </w:rPr>
              <w:t>DC,CD,COP</w:t>
            </w:r>
            <w:r w:rsidRPr="00D53F39">
              <w:rPr>
                <w:sz w:val="18"/>
                <w:szCs w:val="18"/>
                <w:lang w:val="en-US"/>
              </w:rPr>
              <w:t>, Wh/km</w:t>
            </w:r>
          </w:p>
        </w:tc>
        <w:tc>
          <w:tcPr>
            <w:tcW w:w="3145" w:type="dxa"/>
            <w:vMerge w:val="restart"/>
            <w:shd w:val="clear" w:color="auto" w:fill="auto"/>
          </w:tcPr>
          <w:p w:rsidR="00E24DB7" w:rsidRPr="002C5876" w:rsidRDefault="00E24DB7" w:rsidP="00E24DB7">
            <w:pPr>
              <w:keepNext/>
              <w:keepLines/>
              <w:spacing w:before="60" w:after="60" w:line="220" w:lineRule="atLeast"/>
              <w:ind w:left="57" w:right="57"/>
              <w:rPr>
                <w:sz w:val="18"/>
                <w:szCs w:val="18"/>
              </w:rPr>
            </w:pPr>
            <w:r w:rsidRPr="002C5876">
              <w:rPr>
                <w:sz w:val="18"/>
                <w:szCs w:val="18"/>
              </w:rPr>
              <w:t>Arrondi intermédiaire.</w:t>
            </w:r>
          </w:p>
          <w:p w:rsidR="00E24DB7" w:rsidRPr="002C5876" w:rsidRDefault="00E24DB7" w:rsidP="00E24DB7">
            <w:pPr>
              <w:keepNext/>
              <w:keepLines/>
              <w:spacing w:before="60" w:after="60" w:line="220" w:lineRule="atLeast"/>
              <w:ind w:left="57" w:right="57"/>
              <w:rPr>
                <w:sz w:val="18"/>
                <w:szCs w:val="18"/>
              </w:rPr>
            </w:pPr>
            <w:r w:rsidRPr="002C5876">
              <w:rPr>
                <w:sz w:val="18"/>
                <w:szCs w:val="18"/>
              </w:rPr>
              <w:t>Si la méthode d’interpolation est appliquée, les données de sortie sont disponibles pour chaque véhicule H, L et, le cas échéant, M.</w:t>
            </w:r>
          </w:p>
        </w:tc>
        <w:tc>
          <w:tcPr>
            <w:tcW w:w="2381" w:type="dxa"/>
            <w:vMerge w:val="restart"/>
            <w:shd w:val="clear" w:color="auto" w:fill="auto"/>
          </w:tcPr>
          <w:p w:rsidR="00E24DB7" w:rsidRPr="00D53F39" w:rsidRDefault="00E24DB7" w:rsidP="00E24DB7">
            <w:pPr>
              <w:keepNext/>
              <w:keepLines/>
              <w:spacing w:before="60" w:after="60" w:line="220" w:lineRule="atLeast"/>
              <w:ind w:left="57" w:right="57"/>
              <w:rPr>
                <w:sz w:val="18"/>
                <w:szCs w:val="18"/>
                <w:lang w:val="en-US"/>
              </w:rPr>
            </w:pPr>
            <w:r w:rsidRPr="00D53F39">
              <w:rPr>
                <w:sz w:val="18"/>
                <w:szCs w:val="18"/>
                <w:lang w:val="en-US"/>
              </w:rPr>
              <w:t>EC</w:t>
            </w:r>
            <w:r w:rsidRPr="00D53F39">
              <w:rPr>
                <w:sz w:val="18"/>
                <w:szCs w:val="18"/>
                <w:vertAlign w:val="subscript"/>
                <w:lang w:val="en-US"/>
              </w:rPr>
              <w:t>DC,CD,COP,final</w:t>
            </w:r>
            <w:r w:rsidRPr="00D53F39">
              <w:rPr>
                <w:sz w:val="18"/>
                <w:szCs w:val="18"/>
                <w:lang w:val="en-US"/>
              </w:rPr>
              <w:t>, Wh/km</w:t>
            </w:r>
            <w:r w:rsidRPr="00D53F39">
              <w:rPr>
                <w:sz w:val="18"/>
                <w:szCs w:val="18"/>
                <w:lang w:val="en-US"/>
              </w:rPr>
              <w:br/>
              <w:t>EC</w:t>
            </w:r>
            <w:r w:rsidRPr="00D53F39">
              <w:rPr>
                <w:sz w:val="18"/>
                <w:szCs w:val="18"/>
                <w:vertAlign w:val="subscript"/>
                <w:lang w:val="en-US"/>
              </w:rPr>
              <w:t>AC,CD,final</w:t>
            </w:r>
            <w:r w:rsidRPr="00D53F39">
              <w:rPr>
                <w:sz w:val="18"/>
                <w:szCs w:val="18"/>
                <w:lang w:val="en-US"/>
              </w:rPr>
              <w:t>, Wh/km</w:t>
            </w:r>
            <w:r w:rsidRPr="00D53F39">
              <w:rPr>
                <w:sz w:val="18"/>
                <w:szCs w:val="18"/>
                <w:lang w:val="en-US"/>
              </w:rPr>
              <w:br/>
              <w:t>M</w:t>
            </w:r>
            <w:r w:rsidRPr="00D53F39">
              <w:rPr>
                <w:sz w:val="18"/>
                <w:szCs w:val="18"/>
                <w:vertAlign w:val="subscript"/>
                <w:lang w:val="en-US"/>
              </w:rPr>
              <w:t>CO2,CD,final</w:t>
            </w:r>
            <w:r w:rsidRPr="00D53F39">
              <w:rPr>
                <w:sz w:val="18"/>
                <w:szCs w:val="18"/>
                <w:lang w:val="en-US"/>
              </w:rPr>
              <w:t>, g/km</w:t>
            </w:r>
            <w:r w:rsidRPr="00D53F39">
              <w:rPr>
                <w:sz w:val="18"/>
                <w:szCs w:val="18"/>
                <w:lang w:val="en-US"/>
              </w:rPr>
              <w:br/>
              <w:t>EC</w:t>
            </w:r>
            <w:r w:rsidRPr="00D53F39">
              <w:rPr>
                <w:sz w:val="18"/>
                <w:szCs w:val="18"/>
                <w:vertAlign w:val="subscript"/>
                <w:lang w:val="en-US"/>
              </w:rPr>
              <w:t>AC,weighted,final</w:t>
            </w:r>
            <w:r w:rsidRPr="00D53F39">
              <w:rPr>
                <w:sz w:val="18"/>
                <w:szCs w:val="18"/>
                <w:lang w:val="en-US"/>
              </w:rPr>
              <w:t>, Wh/km</w:t>
            </w:r>
            <w:r w:rsidRPr="00D53F39">
              <w:rPr>
                <w:sz w:val="18"/>
                <w:szCs w:val="18"/>
                <w:lang w:val="en-US"/>
              </w:rPr>
              <w:br/>
              <w:t>FC</w:t>
            </w:r>
            <w:r w:rsidRPr="00D53F39">
              <w:rPr>
                <w:sz w:val="18"/>
                <w:szCs w:val="18"/>
                <w:vertAlign w:val="subscript"/>
                <w:lang w:val="en-US"/>
              </w:rPr>
              <w:t>CD,final</w:t>
            </w:r>
            <w:r w:rsidRPr="00D53F39">
              <w:rPr>
                <w:sz w:val="18"/>
                <w:szCs w:val="18"/>
                <w:lang w:val="en-US"/>
              </w:rPr>
              <w:t>, l/100 km</w:t>
            </w:r>
          </w:p>
        </w:tc>
        <w:tc>
          <w:tcPr>
            <w:tcW w:w="735" w:type="dxa"/>
            <w:vMerge w:val="restart"/>
            <w:shd w:val="clear" w:color="auto" w:fill="auto"/>
          </w:tcPr>
          <w:p w:rsidR="00E24DB7" w:rsidRPr="002C5876" w:rsidRDefault="00E24DB7" w:rsidP="00E24DB7">
            <w:pPr>
              <w:keepNext/>
              <w:keepLines/>
              <w:spacing w:before="60" w:after="60" w:line="220" w:lineRule="atLeast"/>
              <w:ind w:left="57" w:right="57"/>
              <w:rPr>
                <w:sz w:val="18"/>
                <w:szCs w:val="18"/>
              </w:rPr>
            </w:pPr>
            <w:r w:rsidRPr="002C5876">
              <w:rPr>
                <w:sz w:val="18"/>
                <w:szCs w:val="18"/>
              </w:rPr>
              <w:t>16</w:t>
            </w:r>
          </w:p>
        </w:tc>
      </w:tr>
      <w:tr w:rsidR="00E24DB7" w:rsidRPr="00D53F39" w:rsidTr="00E24DB7">
        <w:trPr>
          <w:jc w:val="center"/>
        </w:trPr>
        <w:tc>
          <w:tcPr>
            <w:tcW w:w="1261" w:type="dxa"/>
            <w:tcBorders>
              <w:top w:val="nil"/>
              <w:bottom w:val="nil"/>
            </w:tcBorders>
            <w:shd w:val="clear" w:color="auto" w:fill="auto"/>
          </w:tcPr>
          <w:p w:rsidR="00E24DB7" w:rsidRPr="002C5876" w:rsidRDefault="00E24DB7" w:rsidP="00E24DB7">
            <w:pPr>
              <w:keepNext/>
              <w:keepLines/>
              <w:spacing w:before="60" w:after="60" w:line="220" w:lineRule="atLeast"/>
              <w:ind w:left="57" w:right="57"/>
              <w:rPr>
                <w:sz w:val="18"/>
                <w:szCs w:val="18"/>
              </w:rPr>
            </w:pPr>
            <w:r w:rsidRPr="002C5876">
              <w:rPr>
                <w:sz w:val="18"/>
                <w:szCs w:val="18"/>
              </w:rPr>
              <w:t xml:space="preserve">Sortie </w:t>
            </w:r>
            <w:r w:rsidRPr="002C5876">
              <w:rPr>
                <w:sz w:val="18"/>
                <w:szCs w:val="18"/>
              </w:rPr>
              <w:br/>
              <w:t>de l’étape 14</w:t>
            </w:r>
          </w:p>
        </w:tc>
        <w:tc>
          <w:tcPr>
            <w:tcW w:w="2117" w:type="dxa"/>
            <w:tcBorders>
              <w:top w:val="nil"/>
              <w:bottom w:val="nil"/>
            </w:tcBorders>
            <w:shd w:val="clear" w:color="auto" w:fill="auto"/>
          </w:tcPr>
          <w:p w:rsidR="00E24DB7" w:rsidRPr="00D53F39" w:rsidRDefault="00E24DB7" w:rsidP="00E24DB7">
            <w:pPr>
              <w:keepNext/>
              <w:keepLines/>
              <w:spacing w:before="60" w:after="60" w:line="220" w:lineRule="atLeast"/>
              <w:ind w:left="57" w:right="57"/>
              <w:rPr>
                <w:sz w:val="18"/>
                <w:szCs w:val="18"/>
                <w:lang w:val="en-US"/>
              </w:rPr>
            </w:pPr>
            <w:r w:rsidRPr="00D53F39">
              <w:rPr>
                <w:sz w:val="18"/>
                <w:szCs w:val="18"/>
                <w:lang w:val="en-US"/>
              </w:rPr>
              <w:t>EC</w:t>
            </w:r>
            <w:r w:rsidRPr="00D53F39">
              <w:rPr>
                <w:sz w:val="18"/>
                <w:szCs w:val="18"/>
                <w:vertAlign w:val="subscript"/>
                <w:lang w:val="en-US"/>
              </w:rPr>
              <w:t>AC,CD,dec</w:t>
            </w:r>
            <w:r w:rsidRPr="00D53F39">
              <w:rPr>
                <w:sz w:val="18"/>
                <w:szCs w:val="18"/>
                <w:lang w:val="en-US"/>
              </w:rPr>
              <w:t>, Wh/km</w:t>
            </w:r>
            <w:r w:rsidRPr="00D53F39">
              <w:rPr>
                <w:sz w:val="18"/>
                <w:szCs w:val="18"/>
                <w:lang w:val="en-US"/>
              </w:rPr>
              <w:br/>
              <w:t>M</w:t>
            </w:r>
            <w:r w:rsidRPr="00D53F39">
              <w:rPr>
                <w:sz w:val="18"/>
                <w:szCs w:val="18"/>
                <w:vertAlign w:val="subscript"/>
                <w:lang w:val="en-US"/>
              </w:rPr>
              <w:t>CO2,CD,dec</w:t>
            </w:r>
            <w:r w:rsidRPr="00D53F39">
              <w:rPr>
                <w:sz w:val="18"/>
                <w:szCs w:val="18"/>
                <w:lang w:val="en-US"/>
              </w:rPr>
              <w:t>, g/km</w:t>
            </w:r>
          </w:p>
        </w:tc>
        <w:tc>
          <w:tcPr>
            <w:tcW w:w="3145" w:type="dxa"/>
            <w:vMerge/>
            <w:shd w:val="clear" w:color="auto" w:fill="auto"/>
          </w:tcPr>
          <w:p w:rsidR="00E24DB7" w:rsidRPr="00D53F39" w:rsidRDefault="00E24DB7" w:rsidP="00E24DB7">
            <w:pPr>
              <w:keepNext/>
              <w:keepLines/>
              <w:spacing w:before="60" w:after="60" w:line="220" w:lineRule="atLeast"/>
              <w:ind w:left="57" w:right="57"/>
              <w:rPr>
                <w:sz w:val="18"/>
                <w:szCs w:val="18"/>
                <w:lang w:val="en-US"/>
              </w:rPr>
            </w:pPr>
          </w:p>
        </w:tc>
        <w:tc>
          <w:tcPr>
            <w:tcW w:w="2381" w:type="dxa"/>
            <w:vMerge/>
            <w:shd w:val="clear" w:color="auto" w:fill="auto"/>
          </w:tcPr>
          <w:p w:rsidR="00E24DB7" w:rsidRPr="00D53F39" w:rsidRDefault="00E24DB7" w:rsidP="00E24DB7">
            <w:pPr>
              <w:keepNext/>
              <w:keepLines/>
              <w:spacing w:before="60" w:after="60" w:line="220" w:lineRule="atLeast"/>
              <w:ind w:left="57" w:right="57"/>
              <w:rPr>
                <w:sz w:val="18"/>
                <w:szCs w:val="18"/>
                <w:lang w:val="en-US"/>
              </w:rPr>
            </w:pPr>
          </w:p>
        </w:tc>
        <w:tc>
          <w:tcPr>
            <w:tcW w:w="735" w:type="dxa"/>
            <w:vMerge/>
            <w:shd w:val="clear" w:color="auto" w:fill="auto"/>
          </w:tcPr>
          <w:p w:rsidR="00E24DB7" w:rsidRPr="00D53F39" w:rsidRDefault="00E24DB7" w:rsidP="00E24DB7">
            <w:pPr>
              <w:keepNext/>
              <w:keepLines/>
              <w:spacing w:before="60" w:after="60" w:line="220" w:lineRule="atLeast"/>
              <w:ind w:left="57" w:right="57"/>
              <w:rPr>
                <w:sz w:val="18"/>
                <w:szCs w:val="18"/>
                <w:lang w:val="en-US"/>
              </w:rPr>
            </w:pPr>
          </w:p>
        </w:tc>
      </w:tr>
      <w:tr w:rsidR="00E24DB7" w:rsidRPr="00D53F39" w:rsidTr="00E24DB7">
        <w:trPr>
          <w:jc w:val="center"/>
        </w:trPr>
        <w:tc>
          <w:tcPr>
            <w:tcW w:w="1261" w:type="dxa"/>
            <w:tcBorders>
              <w:top w:val="nil"/>
              <w:bottom w:val="single" w:sz="4" w:space="0" w:color="auto"/>
            </w:tcBorders>
            <w:shd w:val="clear" w:color="auto" w:fill="auto"/>
          </w:tcPr>
          <w:p w:rsidR="00E24DB7" w:rsidRPr="002C5876" w:rsidRDefault="00E24DB7" w:rsidP="00E24DB7">
            <w:pPr>
              <w:keepNext/>
              <w:keepLines/>
              <w:spacing w:before="60" w:after="60" w:line="220" w:lineRule="atLeast"/>
              <w:ind w:left="57" w:right="57"/>
              <w:rPr>
                <w:sz w:val="18"/>
                <w:szCs w:val="18"/>
              </w:rPr>
            </w:pPr>
            <w:r w:rsidRPr="002C5876">
              <w:rPr>
                <w:sz w:val="18"/>
                <w:szCs w:val="18"/>
              </w:rPr>
              <w:t xml:space="preserve">Sortie </w:t>
            </w:r>
            <w:r w:rsidRPr="002C5876">
              <w:rPr>
                <w:sz w:val="18"/>
                <w:szCs w:val="18"/>
              </w:rPr>
              <w:br/>
              <w:t>de l’étape 13</w:t>
            </w:r>
          </w:p>
        </w:tc>
        <w:tc>
          <w:tcPr>
            <w:tcW w:w="2117" w:type="dxa"/>
            <w:tcBorders>
              <w:top w:val="nil"/>
              <w:bottom w:val="single" w:sz="4" w:space="0" w:color="auto"/>
            </w:tcBorders>
            <w:shd w:val="clear" w:color="auto" w:fill="auto"/>
          </w:tcPr>
          <w:p w:rsidR="00E24DB7" w:rsidRPr="00D53F39" w:rsidRDefault="00E24DB7" w:rsidP="00E24DB7">
            <w:pPr>
              <w:keepNext/>
              <w:keepLines/>
              <w:spacing w:before="60" w:after="60" w:line="220" w:lineRule="atLeast"/>
              <w:ind w:left="57" w:right="57"/>
              <w:rPr>
                <w:sz w:val="18"/>
                <w:szCs w:val="18"/>
                <w:lang w:val="en-US"/>
              </w:rPr>
            </w:pPr>
            <w:r w:rsidRPr="00D53F39">
              <w:rPr>
                <w:sz w:val="18"/>
                <w:szCs w:val="18"/>
                <w:lang w:val="en-US"/>
              </w:rPr>
              <w:t>EC</w:t>
            </w:r>
            <w:r w:rsidRPr="00D53F39">
              <w:rPr>
                <w:sz w:val="18"/>
                <w:szCs w:val="18"/>
                <w:vertAlign w:val="subscript"/>
                <w:lang w:val="en-US"/>
              </w:rPr>
              <w:t>AC,weighted,ave</w:t>
            </w:r>
            <w:r w:rsidRPr="00D53F39">
              <w:rPr>
                <w:sz w:val="18"/>
                <w:szCs w:val="18"/>
                <w:lang w:val="en-US"/>
              </w:rPr>
              <w:t>, Wh/km</w:t>
            </w:r>
            <w:r w:rsidRPr="00D53F39">
              <w:rPr>
                <w:sz w:val="18"/>
                <w:szCs w:val="18"/>
                <w:lang w:val="en-US"/>
              </w:rPr>
              <w:br/>
              <w:t>FC</w:t>
            </w:r>
            <w:r w:rsidRPr="00D53F39">
              <w:rPr>
                <w:sz w:val="18"/>
                <w:szCs w:val="18"/>
                <w:vertAlign w:val="subscript"/>
                <w:lang w:val="en-US"/>
              </w:rPr>
              <w:t>CD,ave</w:t>
            </w:r>
            <w:r w:rsidRPr="00D53F39">
              <w:rPr>
                <w:sz w:val="18"/>
                <w:szCs w:val="18"/>
                <w:lang w:val="en-US"/>
              </w:rPr>
              <w:t>, l/100 km</w:t>
            </w:r>
          </w:p>
        </w:tc>
        <w:tc>
          <w:tcPr>
            <w:tcW w:w="3145" w:type="dxa"/>
            <w:vMerge/>
            <w:tcBorders>
              <w:bottom w:val="single" w:sz="4" w:space="0" w:color="auto"/>
            </w:tcBorders>
            <w:shd w:val="clear" w:color="auto" w:fill="auto"/>
          </w:tcPr>
          <w:p w:rsidR="00E24DB7" w:rsidRPr="00D53F39" w:rsidRDefault="00E24DB7" w:rsidP="00E24DB7">
            <w:pPr>
              <w:keepNext/>
              <w:keepLines/>
              <w:spacing w:before="60" w:after="60" w:line="220" w:lineRule="atLeast"/>
              <w:ind w:left="57" w:right="57"/>
              <w:rPr>
                <w:sz w:val="18"/>
                <w:szCs w:val="18"/>
                <w:lang w:val="en-US"/>
              </w:rPr>
            </w:pPr>
          </w:p>
        </w:tc>
        <w:tc>
          <w:tcPr>
            <w:tcW w:w="2381" w:type="dxa"/>
            <w:vMerge/>
            <w:tcBorders>
              <w:bottom w:val="single" w:sz="4" w:space="0" w:color="auto"/>
            </w:tcBorders>
            <w:shd w:val="clear" w:color="auto" w:fill="auto"/>
          </w:tcPr>
          <w:p w:rsidR="00E24DB7" w:rsidRPr="00D53F39" w:rsidRDefault="00E24DB7" w:rsidP="00E24DB7">
            <w:pPr>
              <w:keepNext/>
              <w:keepLines/>
              <w:spacing w:before="60" w:after="60" w:line="220" w:lineRule="atLeast"/>
              <w:ind w:left="57" w:right="57"/>
              <w:rPr>
                <w:sz w:val="18"/>
                <w:szCs w:val="18"/>
                <w:lang w:val="en-US"/>
              </w:rPr>
            </w:pPr>
          </w:p>
        </w:tc>
        <w:tc>
          <w:tcPr>
            <w:tcW w:w="735" w:type="dxa"/>
            <w:vMerge/>
            <w:tcBorders>
              <w:bottom w:val="single" w:sz="4" w:space="0" w:color="auto"/>
            </w:tcBorders>
            <w:shd w:val="clear" w:color="auto" w:fill="auto"/>
          </w:tcPr>
          <w:p w:rsidR="00E24DB7" w:rsidRPr="00D53F39" w:rsidRDefault="00E24DB7" w:rsidP="00E24DB7">
            <w:pPr>
              <w:keepNext/>
              <w:keepLines/>
              <w:spacing w:before="60" w:after="60" w:line="220" w:lineRule="atLeast"/>
              <w:ind w:left="57" w:right="57"/>
              <w:rPr>
                <w:sz w:val="18"/>
                <w:szCs w:val="18"/>
                <w:lang w:val="en-US"/>
              </w:rPr>
            </w:pPr>
          </w:p>
        </w:tc>
      </w:tr>
      <w:tr w:rsidR="00E24DB7" w:rsidRPr="002C5876" w:rsidTr="00E24DB7">
        <w:trPr>
          <w:jc w:val="center"/>
        </w:trPr>
        <w:tc>
          <w:tcPr>
            <w:tcW w:w="1261" w:type="dxa"/>
            <w:tcBorders>
              <w:bottom w:val="single" w:sz="12" w:space="0" w:color="auto"/>
            </w:tcBorders>
            <w:shd w:val="clear" w:color="auto" w:fill="auto"/>
          </w:tcPr>
          <w:p w:rsidR="00E24DB7" w:rsidRPr="002C5876" w:rsidRDefault="00E24DB7" w:rsidP="00E24DB7">
            <w:pPr>
              <w:keepNext/>
              <w:keepLines/>
              <w:spacing w:before="60" w:after="60" w:line="220" w:lineRule="atLeast"/>
              <w:ind w:left="57" w:right="57"/>
              <w:rPr>
                <w:sz w:val="18"/>
                <w:szCs w:val="18"/>
              </w:rPr>
            </w:pPr>
            <w:r w:rsidRPr="002C5876">
              <w:rPr>
                <w:sz w:val="18"/>
                <w:szCs w:val="18"/>
              </w:rPr>
              <w:t xml:space="preserve">Sortie </w:t>
            </w:r>
            <w:r w:rsidRPr="002C5876">
              <w:rPr>
                <w:sz w:val="18"/>
                <w:szCs w:val="18"/>
              </w:rPr>
              <w:br/>
              <w:t>de l’étape 16</w:t>
            </w:r>
          </w:p>
        </w:tc>
        <w:tc>
          <w:tcPr>
            <w:tcW w:w="2117" w:type="dxa"/>
            <w:tcBorders>
              <w:bottom w:val="single" w:sz="12" w:space="0" w:color="auto"/>
            </w:tcBorders>
            <w:shd w:val="clear" w:color="auto" w:fill="auto"/>
          </w:tcPr>
          <w:p w:rsidR="00E24DB7" w:rsidRPr="00D53F39" w:rsidRDefault="00E24DB7" w:rsidP="00E24DB7">
            <w:pPr>
              <w:keepNext/>
              <w:keepLines/>
              <w:spacing w:before="60" w:after="60" w:line="220" w:lineRule="atLeast"/>
              <w:ind w:left="57" w:right="57"/>
              <w:rPr>
                <w:sz w:val="18"/>
                <w:szCs w:val="18"/>
                <w:lang w:val="en-US"/>
              </w:rPr>
            </w:pPr>
            <w:r w:rsidRPr="00D53F39">
              <w:rPr>
                <w:sz w:val="18"/>
                <w:szCs w:val="18"/>
                <w:lang w:val="en-US"/>
              </w:rPr>
              <w:t>EC</w:t>
            </w:r>
            <w:r w:rsidRPr="00D53F39">
              <w:rPr>
                <w:sz w:val="18"/>
                <w:szCs w:val="18"/>
                <w:vertAlign w:val="subscript"/>
                <w:lang w:val="en-US"/>
              </w:rPr>
              <w:t>DC,CD,COP,final</w:t>
            </w:r>
            <w:r w:rsidRPr="00D53F39">
              <w:rPr>
                <w:sz w:val="18"/>
                <w:szCs w:val="18"/>
                <w:lang w:val="en-US"/>
              </w:rPr>
              <w:t>, Wh/km </w:t>
            </w:r>
            <w:r w:rsidRPr="00D53F39">
              <w:rPr>
                <w:sz w:val="18"/>
                <w:szCs w:val="18"/>
                <w:lang w:val="en-US"/>
              </w:rPr>
              <w:br/>
              <w:t>EC</w:t>
            </w:r>
            <w:r w:rsidRPr="00D53F39">
              <w:rPr>
                <w:sz w:val="18"/>
                <w:szCs w:val="18"/>
                <w:vertAlign w:val="subscript"/>
                <w:lang w:val="en-US"/>
              </w:rPr>
              <w:t>AC,CD,final</w:t>
            </w:r>
            <w:r w:rsidRPr="00D53F39">
              <w:rPr>
                <w:sz w:val="18"/>
                <w:szCs w:val="18"/>
                <w:lang w:val="en-US"/>
              </w:rPr>
              <w:t>, Wh/km</w:t>
            </w:r>
            <w:r w:rsidRPr="00D53F39">
              <w:rPr>
                <w:sz w:val="18"/>
                <w:szCs w:val="18"/>
                <w:lang w:val="en-US"/>
              </w:rPr>
              <w:br/>
              <w:t>M</w:t>
            </w:r>
            <w:r w:rsidRPr="00D53F39">
              <w:rPr>
                <w:sz w:val="18"/>
                <w:szCs w:val="18"/>
                <w:vertAlign w:val="subscript"/>
                <w:lang w:val="en-US"/>
              </w:rPr>
              <w:t>CO2,CD,final</w:t>
            </w:r>
            <w:r w:rsidRPr="00D53F39">
              <w:rPr>
                <w:sz w:val="18"/>
                <w:szCs w:val="18"/>
                <w:lang w:val="en-US"/>
              </w:rPr>
              <w:t>, g/km</w:t>
            </w:r>
            <w:r w:rsidRPr="00D53F39">
              <w:rPr>
                <w:sz w:val="18"/>
                <w:szCs w:val="18"/>
                <w:lang w:val="en-US"/>
              </w:rPr>
              <w:br/>
              <w:t>EC</w:t>
            </w:r>
            <w:r w:rsidRPr="00D53F39">
              <w:rPr>
                <w:sz w:val="18"/>
                <w:szCs w:val="18"/>
                <w:vertAlign w:val="subscript"/>
                <w:lang w:val="en-US"/>
              </w:rPr>
              <w:t>AC,weighted,final</w:t>
            </w:r>
            <w:r w:rsidRPr="00D53F39">
              <w:rPr>
                <w:sz w:val="18"/>
                <w:szCs w:val="18"/>
                <w:lang w:val="en-US"/>
              </w:rPr>
              <w:t>, Wh/km</w:t>
            </w:r>
            <w:r w:rsidRPr="00D53F39">
              <w:rPr>
                <w:sz w:val="18"/>
                <w:szCs w:val="18"/>
                <w:lang w:val="en-US"/>
              </w:rPr>
              <w:br/>
              <w:t>FC</w:t>
            </w:r>
            <w:r w:rsidRPr="00D53F39">
              <w:rPr>
                <w:sz w:val="18"/>
                <w:szCs w:val="18"/>
                <w:vertAlign w:val="subscript"/>
                <w:lang w:val="en-US"/>
              </w:rPr>
              <w:t>CD,final</w:t>
            </w:r>
            <w:r w:rsidRPr="00D53F39">
              <w:rPr>
                <w:sz w:val="18"/>
                <w:szCs w:val="18"/>
                <w:lang w:val="en-US"/>
              </w:rPr>
              <w:t>, l/100 km</w:t>
            </w:r>
          </w:p>
        </w:tc>
        <w:tc>
          <w:tcPr>
            <w:tcW w:w="3145" w:type="dxa"/>
            <w:tcBorders>
              <w:bottom w:val="single" w:sz="12" w:space="0" w:color="auto"/>
            </w:tcBorders>
            <w:shd w:val="clear" w:color="auto" w:fill="auto"/>
          </w:tcPr>
          <w:p w:rsidR="00E24DB7" w:rsidRPr="002C5876" w:rsidRDefault="00E24DB7" w:rsidP="00E24DB7">
            <w:pPr>
              <w:keepNext/>
              <w:keepLines/>
              <w:spacing w:before="60" w:after="60" w:line="220" w:lineRule="atLeast"/>
              <w:ind w:left="57" w:right="57"/>
              <w:rPr>
                <w:sz w:val="18"/>
                <w:szCs w:val="18"/>
              </w:rPr>
            </w:pPr>
            <w:r w:rsidRPr="002C5876">
              <w:rPr>
                <w:sz w:val="18"/>
                <w:szCs w:val="18"/>
              </w:rPr>
              <w:t>Interpolation des valeurs individuelles en fonction des valeurs pour les véhicules L, M et H et arrondi final.</w:t>
            </w:r>
          </w:p>
          <w:p w:rsidR="00E24DB7" w:rsidRPr="002C5876" w:rsidRDefault="00E24DB7" w:rsidP="00E24DB7">
            <w:pPr>
              <w:keepNext/>
              <w:keepLines/>
              <w:spacing w:before="60" w:after="60" w:line="220" w:lineRule="atLeast"/>
              <w:ind w:left="57" w:right="57"/>
              <w:rPr>
                <w:sz w:val="18"/>
                <w:szCs w:val="18"/>
              </w:rPr>
            </w:pPr>
            <w:r w:rsidRPr="002C5876">
              <w:rPr>
                <w:sz w:val="18"/>
                <w:szCs w:val="18"/>
              </w:rPr>
              <w:t>Données de sortie disponibles pour des véhicules donnés.</w:t>
            </w:r>
          </w:p>
        </w:tc>
        <w:tc>
          <w:tcPr>
            <w:tcW w:w="2381" w:type="dxa"/>
            <w:tcBorders>
              <w:bottom w:val="single" w:sz="12" w:space="0" w:color="auto"/>
            </w:tcBorders>
            <w:shd w:val="clear" w:color="auto" w:fill="auto"/>
          </w:tcPr>
          <w:p w:rsidR="00E24DB7" w:rsidRPr="00D53F39" w:rsidRDefault="00E24DB7" w:rsidP="00E24DB7">
            <w:pPr>
              <w:keepNext/>
              <w:keepLines/>
              <w:spacing w:before="60" w:after="60" w:line="220" w:lineRule="atLeast"/>
              <w:ind w:left="57" w:right="57"/>
              <w:rPr>
                <w:sz w:val="18"/>
                <w:szCs w:val="18"/>
                <w:lang w:val="en-US"/>
              </w:rPr>
            </w:pPr>
            <w:r w:rsidRPr="00D53F39">
              <w:rPr>
                <w:sz w:val="18"/>
                <w:szCs w:val="18"/>
                <w:lang w:val="en-US"/>
              </w:rPr>
              <w:t>EC</w:t>
            </w:r>
            <w:r w:rsidRPr="00D53F39">
              <w:rPr>
                <w:sz w:val="18"/>
                <w:szCs w:val="18"/>
                <w:vertAlign w:val="subscript"/>
                <w:lang w:val="en-US"/>
              </w:rPr>
              <w:t>DC,CD,COP,ind</w:t>
            </w:r>
            <w:r w:rsidRPr="00D53F39">
              <w:rPr>
                <w:sz w:val="18"/>
                <w:szCs w:val="18"/>
                <w:lang w:val="en-US"/>
              </w:rPr>
              <w:t>, Wh/km</w:t>
            </w:r>
            <w:r w:rsidRPr="00D53F39">
              <w:rPr>
                <w:sz w:val="18"/>
                <w:szCs w:val="18"/>
                <w:lang w:val="en-US"/>
              </w:rPr>
              <w:br/>
              <w:t>EC</w:t>
            </w:r>
            <w:r w:rsidRPr="00D53F39">
              <w:rPr>
                <w:sz w:val="18"/>
                <w:szCs w:val="18"/>
                <w:vertAlign w:val="subscript"/>
                <w:lang w:val="en-US"/>
              </w:rPr>
              <w:t>AC,CD,ind</w:t>
            </w:r>
            <w:r w:rsidRPr="00D53F39">
              <w:rPr>
                <w:sz w:val="18"/>
                <w:szCs w:val="18"/>
                <w:lang w:val="en-US"/>
              </w:rPr>
              <w:t>, Wh/km</w:t>
            </w:r>
            <w:r w:rsidRPr="00D53F39">
              <w:rPr>
                <w:sz w:val="18"/>
                <w:szCs w:val="18"/>
                <w:lang w:val="en-US"/>
              </w:rPr>
              <w:br/>
              <w:t>M</w:t>
            </w:r>
            <w:r w:rsidRPr="00D53F39">
              <w:rPr>
                <w:sz w:val="18"/>
                <w:szCs w:val="18"/>
                <w:vertAlign w:val="subscript"/>
                <w:lang w:val="en-US"/>
              </w:rPr>
              <w:t>CO2,CD,ind</w:t>
            </w:r>
            <w:r w:rsidRPr="00D53F39">
              <w:rPr>
                <w:sz w:val="18"/>
                <w:szCs w:val="18"/>
                <w:lang w:val="en-US"/>
              </w:rPr>
              <w:t>, g/km</w:t>
            </w:r>
            <w:r w:rsidRPr="00D53F39">
              <w:rPr>
                <w:sz w:val="18"/>
                <w:szCs w:val="18"/>
                <w:lang w:val="en-US"/>
              </w:rPr>
              <w:br/>
              <w:t>EC</w:t>
            </w:r>
            <w:r w:rsidRPr="00D53F39">
              <w:rPr>
                <w:sz w:val="18"/>
                <w:szCs w:val="18"/>
                <w:vertAlign w:val="subscript"/>
                <w:lang w:val="en-US"/>
              </w:rPr>
              <w:t>AC,weighted,ind</w:t>
            </w:r>
            <w:r w:rsidRPr="00D53F39">
              <w:rPr>
                <w:sz w:val="18"/>
                <w:szCs w:val="18"/>
                <w:lang w:val="en-US"/>
              </w:rPr>
              <w:t>, Wh/km</w:t>
            </w:r>
            <w:r w:rsidRPr="00D53F39">
              <w:rPr>
                <w:sz w:val="18"/>
                <w:szCs w:val="18"/>
                <w:lang w:val="en-US"/>
              </w:rPr>
              <w:br/>
              <w:t>FC</w:t>
            </w:r>
            <w:r w:rsidRPr="00D53F39">
              <w:rPr>
                <w:sz w:val="18"/>
                <w:szCs w:val="18"/>
                <w:vertAlign w:val="subscript"/>
                <w:lang w:val="en-US"/>
              </w:rPr>
              <w:t>CD,ind</w:t>
            </w:r>
            <w:r w:rsidRPr="00D53F39">
              <w:rPr>
                <w:sz w:val="18"/>
                <w:szCs w:val="18"/>
                <w:lang w:val="en-US"/>
              </w:rPr>
              <w:t>, l/100 km</w:t>
            </w:r>
          </w:p>
        </w:tc>
        <w:tc>
          <w:tcPr>
            <w:tcW w:w="735" w:type="dxa"/>
            <w:tcBorders>
              <w:bottom w:val="single" w:sz="12" w:space="0" w:color="auto"/>
            </w:tcBorders>
            <w:shd w:val="clear" w:color="auto" w:fill="auto"/>
          </w:tcPr>
          <w:p w:rsidR="00E24DB7" w:rsidRPr="002C5876" w:rsidRDefault="00E24DB7" w:rsidP="00E24DB7">
            <w:pPr>
              <w:keepNext/>
              <w:keepLines/>
              <w:spacing w:before="60" w:after="60" w:line="220" w:lineRule="atLeast"/>
              <w:ind w:left="57" w:right="57"/>
              <w:rPr>
                <w:sz w:val="18"/>
                <w:szCs w:val="18"/>
              </w:rPr>
            </w:pPr>
            <w:r w:rsidRPr="002C5876">
              <w:rPr>
                <w:sz w:val="18"/>
                <w:szCs w:val="18"/>
              </w:rPr>
              <w:t>17</w:t>
            </w:r>
          </w:p>
        </w:tc>
      </w:tr>
    </w:tbl>
    <w:p w:rsidR="00E24DB7" w:rsidRPr="002C5876" w:rsidRDefault="00E24DB7" w:rsidP="00E24DB7">
      <w:pPr>
        <w:pStyle w:val="SingleTxtG"/>
        <w:keepNext/>
        <w:spacing w:before="240"/>
        <w:ind w:left="2268" w:hanging="1134"/>
        <w:rPr>
          <w:color w:val="000000"/>
        </w:rPr>
      </w:pPr>
      <w:r w:rsidRPr="002C5876">
        <w:t>4.6.2</w:t>
      </w:r>
      <w:r w:rsidRPr="002C5876">
        <w:tab/>
        <w:t>Procédure par étapes pour le calcul des résultats finals pondérés en mode maintien de la charge et en mode épuisement de la charge de l’essai de t</w:t>
      </w:r>
      <w:r w:rsidRPr="002C5876">
        <w:rPr>
          <w:color w:val="000000"/>
        </w:rPr>
        <w:t>ype 1</w:t>
      </w:r>
    </w:p>
    <w:p w:rsidR="00E24DB7" w:rsidRPr="002C5876" w:rsidRDefault="00E24DB7" w:rsidP="00E24DB7">
      <w:pPr>
        <w:pStyle w:val="SingleTxtG"/>
        <w:ind w:left="2268"/>
      </w:pPr>
      <w:r w:rsidRPr="002C5876">
        <w:t>Les résultats doivent être calculés dans l’ordre indiqué au tableau A8/9. Tous les résultats applicables dans la colonne « Données de sortie » doivent être enregistrés. La colonne « Processus » indique les paragraphes à appliquer pour les calculs ou contient des calculs additionnels.</w:t>
      </w:r>
    </w:p>
    <w:p w:rsidR="00E24DB7" w:rsidRPr="002C5876" w:rsidRDefault="00E24DB7" w:rsidP="00E24DB7">
      <w:pPr>
        <w:pStyle w:val="SingleTxtG"/>
        <w:keepNext/>
        <w:ind w:left="2268"/>
      </w:pPr>
      <w:r w:rsidRPr="002C5876">
        <w:t>Dans ce même tableau, la nomenclature suivante est utilisée dans les équations et les résultats :</w:t>
      </w:r>
    </w:p>
    <w:p w:rsidR="00E24DB7" w:rsidRPr="002C5876" w:rsidRDefault="00E24DB7" w:rsidP="00E24DB7">
      <w:pPr>
        <w:pStyle w:val="SingleTxtG"/>
        <w:ind w:left="3119" w:hanging="851"/>
      </w:pPr>
      <m:oMath>
        <m:r>
          <m:rPr>
            <m:sty m:val="p"/>
          </m:rPr>
          <w:rPr>
            <w:rFonts w:ascii="Cambria Math" w:hAnsi="Cambria Math"/>
          </w:rPr>
          <m:t>c</m:t>
        </m:r>
      </m:oMath>
      <w:r w:rsidRPr="002C5876">
        <w:tab/>
        <w:t>la période considérée est le cycle d’essai applicable complet ;</w:t>
      </w:r>
    </w:p>
    <w:p w:rsidR="00E24DB7" w:rsidRPr="002C5876" w:rsidRDefault="00E24DB7" w:rsidP="00E24DB7">
      <w:pPr>
        <w:pStyle w:val="SingleTxtG"/>
        <w:ind w:left="3119" w:hanging="851"/>
      </w:pPr>
      <m:oMath>
        <m:r>
          <m:rPr>
            <m:sty m:val="p"/>
          </m:rPr>
          <w:rPr>
            <w:rFonts w:ascii="Cambria Math" w:hAnsi="Cambria Math"/>
          </w:rPr>
          <m:t>p</m:t>
        </m:r>
      </m:oMath>
      <w:r w:rsidRPr="002C5876">
        <w:tab/>
        <w:t>la période considérée est la phase de cycle applicable ;</w:t>
      </w:r>
    </w:p>
    <w:p w:rsidR="00E24DB7" w:rsidRPr="002C5876" w:rsidRDefault="00E24DB7" w:rsidP="00E24DB7">
      <w:pPr>
        <w:pStyle w:val="SingleTxtG"/>
        <w:ind w:left="3119" w:hanging="851"/>
      </w:pPr>
      <m:oMath>
        <m:r>
          <m:rPr>
            <m:sty m:val="p"/>
          </m:rPr>
          <w:rPr>
            <w:rFonts w:ascii="Cambria Math" w:hAnsi="Cambria Math"/>
          </w:rPr>
          <m:t>i</m:t>
        </m:r>
      </m:oMath>
      <w:r w:rsidRPr="002C5876">
        <w:tab/>
        <w:t>constituants d’émissions critères applicables (sauf CO</w:t>
      </w:r>
      <w:r w:rsidRPr="002C5876">
        <w:rPr>
          <w:vertAlign w:val="subscript"/>
        </w:rPr>
        <w:t>2</w:t>
      </w:r>
      <w:r w:rsidRPr="002C5876">
        <w:t>) ;</w:t>
      </w:r>
    </w:p>
    <w:p w:rsidR="00E24DB7" w:rsidRPr="002C5876" w:rsidRDefault="00E24DB7" w:rsidP="00E24DB7">
      <w:pPr>
        <w:pStyle w:val="SingleTxtG"/>
        <w:ind w:left="3119" w:hanging="851"/>
      </w:pPr>
      <w:r w:rsidRPr="002C5876">
        <w:t>j</w:t>
      </w:r>
      <w:r w:rsidRPr="002C5876">
        <w:tab/>
        <w:t>indice pour la période considérée ;</w:t>
      </w:r>
    </w:p>
    <w:p w:rsidR="00E24DB7" w:rsidRPr="002C5876" w:rsidRDefault="00E24DB7" w:rsidP="00E24DB7">
      <w:pPr>
        <w:pStyle w:val="SingleTxtG"/>
        <w:ind w:left="3119" w:hanging="851"/>
      </w:pPr>
      <w:r w:rsidRPr="002C5876">
        <w:t>CS</w:t>
      </w:r>
      <w:r w:rsidRPr="002C5876">
        <w:tab/>
        <w:t>mode maintien de la charge ;</w:t>
      </w:r>
    </w:p>
    <w:p w:rsidR="00E24DB7" w:rsidRPr="002C5876" w:rsidRDefault="00E24DB7" w:rsidP="00E24DB7">
      <w:pPr>
        <w:pStyle w:val="SingleTxtG"/>
        <w:ind w:left="3119" w:hanging="851"/>
      </w:pPr>
      <w:r w:rsidRPr="002C5876">
        <w:t>CD</w:t>
      </w:r>
      <w:r w:rsidRPr="002C5876">
        <w:tab/>
        <w:t>mode épuisement de la charge ;</w:t>
      </w:r>
    </w:p>
    <w:p w:rsidR="00E24DB7" w:rsidRPr="002C5876" w:rsidRDefault="00E24DB7" w:rsidP="00E24DB7">
      <w:pPr>
        <w:pStyle w:val="SingleTxtG"/>
        <w:ind w:left="3119" w:hanging="851"/>
      </w:pPr>
      <w:r w:rsidRPr="002C5876">
        <w:t>CO</w:t>
      </w:r>
      <w:r w:rsidRPr="002C5876">
        <w:rPr>
          <w:vertAlign w:val="subscript"/>
        </w:rPr>
        <w:t>2</w:t>
      </w:r>
      <w:r w:rsidRPr="002C5876">
        <w:rPr>
          <w:vertAlign w:val="subscript"/>
        </w:rPr>
        <w:tab/>
      </w:r>
      <w:r w:rsidRPr="002C5876">
        <w:t>émissions massiques de CO</w:t>
      </w:r>
      <w:r w:rsidRPr="002C5876">
        <w:rPr>
          <w:vertAlign w:val="subscript"/>
        </w:rPr>
        <w:t>2</w:t>
      </w:r>
      <w:r w:rsidRPr="002C5876">
        <w:t xml:space="preserve"> ;</w:t>
      </w:r>
    </w:p>
    <w:p w:rsidR="00E24DB7" w:rsidRPr="002C5876" w:rsidRDefault="00E24DB7" w:rsidP="00E24DB7">
      <w:pPr>
        <w:pStyle w:val="SingleTxtG"/>
        <w:ind w:left="3119" w:hanging="851"/>
      </w:pPr>
      <w:r w:rsidRPr="002C5876">
        <w:t>REESS</w:t>
      </w:r>
      <w:r w:rsidRPr="002C5876">
        <w:tab/>
        <w:t>système rechargeable de stockage de l’énergie électrique.</w:t>
      </w:r>
    </w:p>
    <w:p w:rsidR="00E24DB7" w:rsidRPr="002C5876" w:rsidRDefault="00E24DB7" w:rsidP="00E24DB7">
      <w:pPr>
        <w:pStyle w:val="H23G"/>
        <w:ind w:left="0" w:firstLine="0"/>
      </w:pPr>
      <w:r w:rsidRPr="002C5876">
        <w:rPr>
          <w:color w:val="000000"/>
          <w:szCs w:val="24"/>
        </w:rPr>
        <w:br w:type="page"/>
      </w:r>
      <w:r w:rsidRPr="002C5876">
        <w:rPr>
          <w:b w:val="0"/>
        </w:rPr>
        <w:lastRenderedPageBreak/>
        <w:t>Tableau A8/9</w:t>
      </w:r>
      <w:r w:rsidRPr="002C5876">
        <w:br/>
      </w:r>
      <w:r w:rsidRPr="002C5876">
        <w:rPr>
          <w:lang w:eastAsia="de-DE"/>
        </w:rPr>
        <w:t xml:space="preserve">Calcul des résultats finals pondérés en mode maintien de la charge et en mode épuisement </w:t>
      </w:r>
      <w:r w:rsidRPr="002C5876">
        <w:rPr>
          <w:lang w:eastAsia="de-DE"/>
        </w:rPr>
        <w:br/>
        <w:t xml:space="preserve">de la charge </w:t>
      </w:r>
    </w:p>
    <w:tbl>
      <w:tblPr>
        <w:tblW w:w="9639"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5"/>
        <w:gridCol w:w="2138"/>
        <w:gridCol w:w="3261"/>
        <w:gridCol w:w="2235"/>
        <w:gridCol w:w="740"/>
      </w:tblGrid>
      <w:tr w:rsidR="00E24DB7" w:rsidRPr="002C5876" w:rsidTr="00E24DB7">
        <w:trPr>
          <w:trHeight w:val="20"/>
          <w:tblHeader/>
          <w:jc w:val="center"/>
        </w:trPr>
        <w:tc>
          <w:tcPr>
            <w:tcW w:w="1265" w:type="dxa"/>
            <w:tcBorders>
              <w:top w:val="single" w:sz="4" w:space="0" w:color="auto"/>
              <w:bottom w:val="single" w:sz="12" w:space="0" w:color="auto"/>
            </w:tcBorders>
          </w:tcPr>
          <w:p w:rsidR="00E24DB7" w:rsidRPr="002C5876" w:rsidRDefault="00E24DB7" w:rsidP="00E24DB7">
            <w:pPr>
              <w:spacing w:before="80" w:after="80" w:line="200" w:lineRule="exact"/>
              <w:ind w:left="57" w:right="57"/>
              <w:rPr>
                <w:i/>
                <w:sz w:val="16"/>
                <w:szCs w:val="16"/>
              </w:rPr>
            </w:pPr>
            <w:r w:rsidRPr="002C5876">
              <w:rPr>
                <w:i/>
                <w:sz w:val="16"/>
                <w:szCs w:val="16"/>
              </w:rPr>
              <w:t>Source</w:t>
            </w:r>
          </w:p>
        </w:tc>
        <w:tc>
          <w:tcPr>
            <w:tcW w:w="2138" w:type="dxa"/>
            <w:tcBorders>
              <w:top w:val="single" w:sz="4" w:space="0" w:color="auto"/>
              <w:bottom w:val="single" w:sz="12" w:space="0" w:color="auto"/>
            </w:tcBorders>
          </w:tcPr>
          <w:p w:rsidR="00E24DB7" w:rsidRPr="002C5876" w:rsidRDefault="00E24DB7" w:rsidP="00E24DB7">
            <w:pPr>
              <w:spacing w:before="80" w:after="80" w:line="200" w:lineRule="exact"/>
              <w:ind w:left="57" w:right="57"/>
              <w:rPr>
                <w:i/>
                <w:sz w:val="16"/>
                <w:szCs w:val="16"/>
              </w:rPr>
            </w:pPr>
            <w:r w:rsidRPr="002C5876">
              <w:rPr>
                <w:i/>
                <w:sz w:val="16"/>
                <w:szCs w:val="16"/>
              </w:rPr>
              <w:t>Données d’entrée</w:t>
            </w:r>
          </w:p>
        </w:tc>
        <w:tc>
          <w:tcPr>
            <w:tcW w:w="3261" w:type="dxa"/>
            <w:tcBorders>
              <w:top w:val="single" w:sz="4" w:space="0" w:color="auto"/>
              <w:bottom w:val="single" w:sz="12" w:space="0" w:color="auto"/>
            </w:tcBorders>
          </w:tcPr>
          <w:p w:rsidR="00E24DB7" w:rsidRPr="002C5876" w:rsidRDefault="00E24DB7" w:rsidP="00E24DB7">
            <w:pPr>
              <w:spacing w:before="80" w:after="80" w:line="200" w:lineRule="exact"/>
              <w:ind w:left="57" w:right="57"/>
              <w:rPr>
                <w:i/>
                <w:sz w:val="16"/>
                <w:szCs w:val="16"/>
              </w:rPr>
            </w:pPr>
            <w:r w:rsidRPr="002C5876">
              <w:rPr>
                <w:i/>
                <w:sz w:val="16"/>
                <w:szCs w:val="16"/>
              </w:rPr>
              <w:t>Processus</w:t>
            </w:r>
          </w:p>
        </w:tc>
        <w:tc>
          <w:tcPr>
            <w:tcW w:w="2235" w:type="dxa"/>
            <w:tcBorders>
              <w:top w:val="single" w:sz="4" w:space="0" w:color="auto"/>
              <w:bottom w:val="single" w:sz="12" w:space="0" w:color="auto"/>
            </w:tcBorders>
          </w:tcPr>
          <w:p w:rsidR="00E24DB7" w:rsidRPr="002C5876" w:rsidRDefault="00E24DB7" w:rsidP="00E24DB7">
            <w:pPr>
              <w:spacing w:before="80" w:after="80" w:line="200" w:lineRule="exact"/>
              <w:ind w:left="57" w:right="57"/>
              <w:rPr>
                <w:i/>
                <w:sz w:val="16"/>
                <w:szCs w:val="16"/>
              </w:rPr>
            </w:pPr>
            <w:r w:rsidRPr="002C5876">
              <w:rPr>
                <w:i/>
                <w:sz w:val="16"/>
                <w:szCs w:val="16"/>
              </w:rPr>
              <w:t>Données de sortie</w:t>
            </w:r>
          </w:p>
        </w:tc>
        <w:tc>
          <w:tcPr>
            <w:tcW w:w="740" w:type="dxa"/>
            <w:tcBorders>
              <w:top w:val="single" w:sz="4" w:space="0" w:color="auto"/>
              <w:bottom w:val="single" w:sz="12" w:space="0" w:color="auto"/>
            </w:tcBorders>
          </w:tcPr>
          <w:p w:rsidR="00E24DB7" w:rsidRPr="002C5876" w:rsidRDefault="00E24DB7" w:rsidP="00E24DB7">
            <w:pPr>
              <w:spacing w:before="80" w:after="80" w:line="200" w:lineRule="exact"/>
              <w:ind w:left="57" w:right="57"/>
              <w:rPr>
                <w:i/>
                <w:sz w:val="16"/>
                <w:szCs w:val="16"/>
              </w:rPr>
            </w:pPr>
            <w:r w:rsidRPr="002C5876">
              <w:rPr>
                <w:i/>
                <w:sz w:val="16"/>
                <w:szCs w:val="16"/>
              </w:rPr>
              <w:t>Étape n</w:t>
            </w:r>
            <w:r w:rsidRPr="002C5876">
              <w:rPr>
                <w:i/>
                <w:sz w:val="16"/>
                <w:szCs w:val="16"/>
                <w:vertAlign w:val="superscript"/>
              </w:rPr>
              <w:t>o</w:t>
            </w:r>
            <w:r w:rsidRPr="002C5876">
              <w:rPr>
                <w:i/>
                <w:sz w:val="16"/>
                <w:szCs w:val="16"/>
              </w:rPr>
              <w:t> </w:t>
            </w:r>
          </w:p>
        </w:tc>
      </w:tr>
      <w:tr w:rsidR="00E24DB7" w:rsidRPr="002C5876" w:rsidTr="00E24DB7">
        <w:trPr>
          <w:trHeight w:val="20"/>
          <w:jc w:val="center"/>
        </w:trPr>
        <w:tc>
          <w:tcPr>
            <w:tcW w:w="1265" w:type="dxa"/>
            <w:tcBorders>
              <w:top w:val="single" w:sz="12" w:space="0" w:color="auto"/>
              <w:bottom w:val="nil"/>
            </w:tcBorders>
          </w:tcPr>
          <w:p w:rsidR="00E24DB7" w:rsidRPr="002C5876" w:rsidRDefault="00E24DB7" w:rsidP="00E24DB7">
            <w:pPr>
              <w:spacing w:before="60" w:after="60" w:line="220" w:lineRule="atLeast"/>
              <w:ind w:left="57" w:right="57"/>
              <w:rPr>
                <w:sz w:val="18"/>
                <w:szCs w:val="18"/>
              </w:rPr>
            </w:pPr>
            <w:r w:rsidRPr="002C5876">
              <w:rPr>
                <w:sz w:val="18"/>
                <w:szCs w:val="18"/>
              </w:rPr>
              <w:t>Sortie</w:t>
            </w:r>
            <w:r w:rsidRPr="002C5876">
              <w:rPr>
                <w:sz w:val="18"/>
                <w:szCs w:val="18"/>
              </w:rPr>
              <w:br/>
              <w:t>de l’étape 1, tableau A8/8</w:t>
            </w:r>
          </w:p>
        </w:tc>
        <w:tc>
          <w:tcPr>
            <w:tcW w:w="2138" w:type="dxa"/>
            <w:tcBorders>
              <w:top w:val="single" w:sz="12" w:space="0" w:color="auto"/>
              <w:bottom w:val="nil"/>
            </w:tcBorders>
          </w:tcPr>
          <w:p w:rsidR="00E24DB7" w:rsidRPr="002C5876" w:rsidRDefault="00E24DB7" w:rsidP="00E24DB7">
            <w:pPr>
              <w:spacing w:before="60" w:after="60" w:line="220" w:lineRule="atLeast"/>
              <w:ind w:left="57" w:right="57"/>
              <w:rPr>
                <w:sz w:val="18"/>
                <w:szCs w:val="18"/>
              </w:rPr>
            </w:pPr>
            <w:r w:rsidRPr="002C5876">
              <w:rPr>
                <w:sz w:val="18"/>
                <w:szCs w:val="18"/>
              </w:rPr>
              <w:t>M</w:t>
            </w:r>
            <w:r w:rsidRPr="002C5876">
              <w:rPr>
                <w:sz w:val="18"/>
                <w:szCs w:val="18"/>
                <w:vertAlign w:val="subscript"/>
              </w:rPr>
              <w:t>i,CD,j</w:t>
            </w:r>
            <w:r w:rsidRPr="002C5876">
              <w:rPr>
                <w:sz w:val="18"/>
                <w:szCs w:val="18"/>
              </w:rPr>
              <w:t xml:space="preserve">, g/km </w:t>
            </w:r>
            <w:r w:rsidRPr="002C5876">
              <w:rPr>
                <w:sz w:val="18"/>
                <w:szCs w:val="18"/>
              </w:rPr>
              <w:br/>
              <w:t>PN</w:t>
            </w:r>
            <w:r w:rsidRPr="002C5876">
              <w:rPr>
                <w:sz w:val="18"/>
                <w:szCs w:val="18"/>
                <w:vertAlign w:val="subscript"/>
              </w:rPr>
              <w:t>CD,j</w:t>
            </w:r>
            <w:r w:rsidRPr="002C5876">
              <w:rPr>
                <w:sz w:val="18"/>
                <w:szCs w:val="18"/>
              </w:rPr>
              <w:t xml:space="preserve">, particules par km </w:t>
            </w:r>
            <w:r w:rsidRPr="002C5876">
              <w:rPr>
                <w:sz w:val="18"/>
                <w:szCs w:val="18"/>
              </w:rPr>
              <w:br/>
              <w:t>PM</w:t>
            </w:r>
            <w:r w:rsidRPr="002C5876">
              <w:rPr>
                <w:sz w:val="18"/>
                <w:szCs w:val="18"/>
                <w:vertAlign w:val="subscript"/>
              </w:rPr>
              <w:t>CD,c</w:t>
            </w:r>
            <w:r w:rsidRPr="002C5876">
              <w:rPr>
                <w:sz w:val="18"/>
                <w:szCs w:val="18"/>
              </w:rPr>
              <w:t xml:space="preserve">, mg/km </w:t>
            </w:r>
            <w:r w:rsidRPr="002C5876">
              <w:rPr>
                <w:sz w:val="18"/>
                <w:szCs w:val="18"/>
              </w:rPr>
              <w:br/>
              <w:t>M</w:t>
            </w:r>
            <w:r w:rsidRPr="002C5876">
              <w:rPr>
                <w:sz w:val="18"/>
                <w:szCs w:val="18"/>
                <w:vertAlign w:val="subscript"/>
              </w:rPr>
              <w:t>CO2,CD,j</w:t>
            </w:r>
            <w:r w:rsidRPr="002C5876">
              <w:rPr>
                <w:sz w:val="18"/>
                <w:szCs w:val="18"/>
              </w:rPr>
              <w:t xml:space="preserve">, g/km </w:t>
            </w:r>
            <w:r w:rsidRPr="002C5876">
              <w:rPr>
                <w:sz w:val="18"/>
                <w:szCs w:val="18"/>
              </w:rPr>
              <w:br/>
              <w:t>ΔE</w:t>
            </w:r>
            <w:r w:rsidRPr="002C5876">
              <w:rPr>
                <w:sz w:val="18"/>
                <w:szCs w:val="18"/>
                <w:vertAlign w:val="subscript"/>
              </w:rPr>
              <w:t>REESS,j</w:t>
            </w:r>
            <w:r w:rsidRPr="002C5876">
              <w:rPr>
                <w:sz w:val="18"/>
                <w:szCs w:val="18"/>
              </w:rPr>
              <w:t xml:space="preserve">, Wh </w:t>
            </w:r>
            <w:r w:rsidRPr="002C5876">
              <w:rPr>
                <w:sz w:val="18"/>
                <w:szCs w:val="18"/>
              </w:rPr>
              <w:br/>
              <w:t>d</w:t>
            </w:r>
            <w:r w:rsidRPr="002C5876">
              <w:rPr>
                <w:sz w:val="18"/>
                <w:szCs w:val="18"/>
                <w:vertAlign w:val="subscript"/>
              </w:rPr>
              <w:t>j</w:t>
            </w:r>
            <w:r w:rsidRPr="002C5876">
              <w:rPr>
                <w:sz w:val="18"/>
                <w:szCs w:val="18"/>
              </w:rPr>
              <w:t xml:space="preserve">, km </w:t>
            </w:r>
            <w:r w:rsidRPr="002C5876">
              <w:rPr>
                <w:sz w:val="18"/>
                <w:szCs w:val="18"/>
              </w:rPr>
              <w:br/>
              <w:t xml:space="preserve">AER, km </w:t>
            </w:r>
            <w:r w:rsidRPr="002C5876">
              <w:rPr>
                <w:sz w:val="18"/>
                <w:szCs w:val="18"/>
              </w:rPr>
              <w:br/>
              <w:t>E</w:t>
            </w:r>
            <w:r w:rsidRPr="002C5876">
              <w:rPr>
                <w:sz w:val="18"/>
                <w:szCs w:val="18"/>
                <w:vertAlign w:val="subscript"/>
              </w:rPr>
              <w:t>AC</w:t>
            </w:r>
            <w:r w:rsidRPr="002C5876">
              <w:rPr>
                <w:sz w:val="18"/>
                <w:szCs w:val="18"/>
              </w:rPr>
              <w:t>, Wh</w:t>
            </w:r>
          </w:p>
        </w:tc>
        <w:tc>
          <w:tcPr>
            <w:tcW w:w="3261" w:type="dxa"/>
            <w:vMerge w:val="restart"/>
            <w:tcBorders>
              <w:top w:val="single" w:sz="12" w:space="0" w:color="auto"/>
            </w:tcBorders>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Données d’entrées tirées du traitement aval des résultats des essais en mode maintien et épuisement de la charge.</w:t>
            </w:r>
          </w:p>
        </w:tc>
        <w:tc>
          <w:tcPr>
            <w:tcW w:w="2235" w:type="dxa"/>
            <w:vMerge w:val="restart"/>
            <w:tcBorders>
              <w:top w:val="single" w:sz="12"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M</w:t>
            </w:r>
            <w:r w:rsidRPr="002C5876">
              <w:rPr>
                <w:sz w:val="18"/>
                <w:szCs w:val="18"/>
                <w:vertAlign w:val="subscript"/>
              </w:rPr>
              <w:t>i,CD,j</w:t>
            </w:r>
            <w:r w:rsidRPr="002C5876">
              <w:rPr>
                <w:sz w:val="18"/>
                <w:szCs w:val="18"/>
              </w:rPr>
              <w:t xml:space="preserve">, g/km </w:t>
            </w:r>
            <w:r w:rsidRPr="002C5876">
              <w:rPr>
                <w:sz w:val="18"/>
                <w:szCs w:val="18"/>
              </w:rPr>
              <w:br/>
              <w:t>PN</w:t>
            </w:r>
            <w:r w:rsidRPr="002C5876">
              <w:rPr>
                <w:sz w:val="18"/>
                <w:szCs w:val="18"/>
                <w:vertAlign w:val="subscript"/>
              </w:rPr>
              <w:t>CD,j</w:t>
            </w:r>
            <w:r w:rsidRPr="002C5876">
              <w:rPr>
                <w:sz w:val="18"/>
                <w:szCs w:val="18"/>
              </w:rPr>
              <w:t xml:space="preserve">, particules par km </w:t>
            </w:r>
            <w:r w:rsidRPr="002C5876">
              <w:rPr>
                <w:sz w:val="18"/>
                <w:szCs w:val="18"/>
              </w:rPr>
              <w:br/>
              <w:t>PM</w:t>
            </w:r>
            <w:r w:rsidRPr="002C5876">
              <w:rPr>
                <w:sz w:val="18"/>
                <w:szCs w:val="18"/>
                <w:vertAlign w:val="subscript"/>
              </w:rPr>
              <w:t>CD,c</w:t>
            </w:r>
            <w:r w:rsidRPr="002C5876">
              <w:rPr>
                <w:sz w:val="18"/>
                <w:szCs w:val="18"/>
              </w:rPr>
              <w:t xml:space="preserve">, mg/km </w:t>
            </w:r>
            <w:r w:rsidRPr="002C5876">
              <w:rPr>
                <w:sz w:val="18"/>
                <w:szCs w:val="18"/>
              </w:rPr>
              <w:br/>
              <w:t>M</w:t>
            </w:r>
            <w:r w:rsidRPr="002C5876">
              <w:rPr>
                <w:sz w:val="18"/>
                <w:szCs w:val="18"/>
                <w:vertAlign w:val="subscript"/>
              </w:rPr>
              <w:t>CO2,CD,j</w:t>
            </w:r>
            <w:r w:rsidRPr="002C5876">
              <w:rPr>
                <w:sz w:val="18"/>
                <w:szCs w:val="18"/>
              </w:rPr>
              <w:t xml:space="preserve">, g/km </w:t>
            </w:r>
            <w:r w:rsidRPr="002C5876">
              <w:rPr>
                <w:sz w:val="18"/>
                <w:szCs w:val="18"/>
              </w:rPr>
              <w:br/>
              <w:t>ΔE</w:t>
            </w:r>
            <w:r w:rsidRPr="002C5876">
              <w:rPr>
                <w:sz w:val="18"/>
                <w:szCs w:val="18"/>
                <w:vertAlign w:val="subscript"/>
              </w:rPr>
              <w:t>REESS,j</w:t>
            </w:r>
            <w:r w:rsidRPr="002C5876">
              <w:rPr>
                <w:sz w:val="18"/>
                <w:szCs w:val="18"/>
              </w:rPr>
              <w:t xml:space="preserve">, Wh </w:t>
            </w:r>
            <w:r w:rsidRPr="002C5876">
              <w:rPr>
                <w:sz w:val="18"/>
                <w:szCs w:val="18"/>
              </w:rPr>
              <w:br/>
              <w:t>d</w:t>
            </w:r>
            <w:r w:rsidRPr="002C5876">
              <w:rPr>
                <w:sz w:val="18"/>
                <w:szCs w:val="18"/>
                <w:vertAlign w:val="subscript"/>
              </w:rPr>
              <w:t>j</w:t>
            </w:r>
            <w:r w:rsidRPr="002C5876">
              <w:rPr>
                <w:sz w:val="18"/>
                <w:szCs w:val="18"/>
              </w:rPr>
              <w:t xml:space="preserve">, km </w:t>
            </w:r>
            <w:r w:rsidRPr="002C5876">
              <w:rPr>
                <w:sz w:val="18"/>
                <w:szCs w:val="18"/>
              </w:rPr>
              <w:br/>
              <w:t xml:space="preserve">AER, km </w:t>
            </w:r>
            <w:r w:rsidRPr="002C5876">
              <w:rPr>
                <w:sz w:val="18"/>
                <w:szCs w:val="18"/>
              </w:rPr>
              <w:br/>
              <w:t>E</w:t>
            </w:r>
            <w:r w:rsidRPr="002C5876">
              <w:rPr>
                <w:sz w:val="18"/>
                <w:szCs w:val="18"/>
                <w:vertAlign w:val="subscript"/>
              </w:rPr>
              <w:t>AC</w:t>
            </w:r>
            <w:r w:rsidRPr="002C5876">
              <w:rPr>
                <w:sz w:val="18"/>
                <w:szCs w:val="18"/>
              </w:rPr>
              <w:t xml:space="preserve">, Wh </w:t>
            </w:r>
            <w:r w:rsidRPr="002C5876">
              <w:rPr>
                <w:sz w:val="18"/>
                <w:szCs w:val="18"/>
              </w:rPr>
              <w:br/>
              <w:t>AER</w:t>
            </w:r>
            <w:r w:rsidRPr="002C5876">
              <w:rPr>
                <w:sz w:val="18"/>
                <w:szCs w:val="18"/>
                <w:vertAlign w:val="subscript"/>
              </w:rPr>
              <w:t>city,ave</w:t>
            </w:r>
            <w:r w:rsidRPr="002C5876">
              <w:rPr>
                <w:sz w:val="18"/>
                <w:szCs w:val="18"/>
              </w:rPr>
              <w:t xml:space="preserve">, km </w:t>
            </w:r>
            <w:r w:rsidRPr="002C5876">
              <w:rPr>
                <w:sz w:val="18"/>
                <w:szCs w:val="18"/>
              </w:rPr>
              <w:br/>
              <w:t>n</w:t>
            </w:r>
            <w:r w:rsidRPr="002C5876">
              <w:rPr>
                <w:sz w:val="18"/>
                <w:szCs w:val="18"/>
                <w:vertAlign w:val="subscript"/>
              </w:rPr>
              <w:t xml:space="preserve">veh </w:t>
            </w:r>
            <w:r w:rsidRPr="002C5876">
              <w:rPr>
                <w:sz w:val="18"/>
                <w:szCs w:val="18"/>
              </w:rPr>
              <w:br/>
              <w:t>R</w:t>
            </w:r>
            <w:r w:rsidRPr="002C5876">
              <w:rPr>
                <w:sz w:val="18"/>
                <w:szCs w:val="18"/>
                <w:vertAlign w:val="subscript"/>
              </w:rPr>
              <w:t>CDC</w:t>
            </w:r>
            <w:r w:rsidRPr="002C5876">
              <w:rPr>
                <w:sz w:val="18"/>
                <w:szCs w:val="18"/>
              </w:rPr>
              <w:t xml:space="preserve">, km </w:t>
            </w:r>
            <w:r w:rsidRPr="002C5876">
              <w:rPr>
                <w:sz w:val="18"/>
                <w:szCs w:val="18"/>
              </w:rPr>
              <w:br/>
              <w:t>n</w:t>
            </w:r>
            <w:r w:rsidRPr="002C5876">
              <w:rPr>
                <w:sz w:val="18"/>
                <w:szCs w:val="18"/>
                <w:vertAlign w:val="subscript"/>
              </w:rPr>
              <w:t xml:space="preserve">veh,L </w:t>
            </w:r>
            <w:r w:rsidRPr="002C5876">
              <w:rPr>
                <w:sz w:val="18"/>
                <w:szCs w:val="18"/>
              </w:rPr>
              <w:br/>
              <w:t>n</w:t>
            </w:r>
            <w:r w:rsidRPr="002C5876">
              <w:rPr>
                <w:sz w:val="18"/>
                <w:szCs w:val="18"/>
                <w:vertAlign w:val="subscript"/>
              </w:rPr>
              <w:t xml:space="preserve">veh,H </w:t>
            </w:r>
            <w:r w:rsidRPr="002C5876">
              <w:rPr>
                <w:sz w:val="18"/>
                <w:szCs w:val="18"/>
              </w:rPr>
              <w:br/>
              <w:t>UF</w:t>
            </w:r>
            <w:r w:rsidRPr="002C5876">
              <w:rPr>
                <w:sz w:val="18"/>
                <w:szCs w:val="18"/>
                <w:vertAlign w:val="subscript"/>
              </w:rPr>
              <w:t xml:space="preserve">phase,j </w:t>
            </w:r>
            <w:r w:rsidRPr="002C5876">
              <w:rPr>
                <w:sz w:val="18"/>
                <w:szCs w:val="18"/>
              </w:rPr>
              <w:br/>
              <w:t>UF</w:t>
            </w:r>
            <w:r w:rsidRPr="002C5876">
              <w:rPr>
                <w:sz w:val="18"/>
                <w:szCs w:val="18"/>
                <w:vertAlign w:val="subscript"/>
              </w:rPr>
              <w:t xml:space="preserve">cycle,c </w:t>
            </w:r>
            <w:r w:rsidRPr="002C5876">
              <w:rPr>
                <w:sz w:val="18"/>
                <w:szCs w:val="18"/>
              </w:rPr>
              <w:br/>
              <w:t>M</w:t>
            </w:r>
            <w:r w:rsidRPr="002C5876">
              <w:rPr>
                <w:sz w:val="18"/>
                <w:szCs w:val="18"/>
                <w:vertAlign w:val="subscript"/>
              </w:rPr>
              <w:t>i,CS,c,6</w:t>
            </w:r>
            <w:r w:rsidRPr="002C5876">
              <w:rPr>
                <w:sz w:val="18"/>
                <w:szCs w:val="18"/>
              </w:rPr>
              <w:t xml:space="preserve">, g/km </w:t>
            </w:r>
            <w:r w:rsidRPr="002C5876">
              <w:rPr>
                <w:sz w:val="18"/>
                <w:szCs w:val="18"/>
              </w:rPr>
              <w:br/>
              <w:t>M</w:t>
            </w:r>
            <w:r w:rsidRPr="002C5876">
              <w:rPr>
                <w:sz w:val="18"/>
                <w:szCs w:val="18"/>
                <w:vertAlign w:val="subscript"/>
              </w:rPr>
              <w:t>CO2,CS</w:t>
            </w:r>
            <w:r w:rsidRPr="002C5876">
              <w:rPr>
                <w:sz w:val="18"/>
                <w:szCs w:val="18"/>
              </w:rPr>
              <w:t>, g/km</w:t>
            </w:r>
          </w:p>
        </w:tc>
        <w:tc>
          <w:tcPr>
            <w:tcW w:w="740" w:type="dxa"/>
            <w:vMerge w:val="restart"/>
            <w:tcBorders>
              <w:top w:val="single" w:sz="12" w:space="0" w:color="auto"/>
              <w:bottom w:val="single" w:sz="4"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1</w:t>
            </w:r>
          </w:p>
        </w:tc>
      </w:tr>
      <w:tr w:rsidR="00E24DB7" w:rsidRPr="002C5876" w:rsidTr="00E24DB7">
        <w:trPr>
          <w:trHeight w:val="20"/>
          <w:jc w:val="center"/>
        </w:trPr>
        <w:tc>
          <w:tcPr>
            <w:tcW w:w="1265" w:type="dxa"/>
            <w:tcBorders>
              <w:top w:val="nil"/>
              <w:bottom w:val="nil"/>
            </w:tcBorders>
          </w:tcPr>
          <w:p w:rsidR="00E24DB7" w:rsidRPr="002C5876" w:rsidRDefault="00E24DB7" w:rsidP="00E24DB7">
            <w:pPr>
              <w:spacing w:before="60" w:after="60" w:line="220" w:lineRule="atLeast"/>
              <w:ind w:left="57" w:right="57"/>
              <w:rPr>
                <w:sz w:val="18"/>
                <w:szCs w:val="18"/>
              </w:rPr>
            </w:pPr>
            <w:r w:rsidRPr="002C5876">
              <w:rPr>
                <w:sz w:val="18"/>
                <w:szCs w:val="18"/>
              </w:rPr>
              <w:t xml:space="preserve">Sortie </w:t>
            </w:r>
            <w:r w:rsidRPr="002C5876">
              <w:rPr>
                <w:sz w:val="18"/>
                <w:szCs w:val="18"/>
              </w:rPr>
              <w:br/>
              <w:t>de l’étape 7, tableau A8/8</w:t>
            </w:r>
          </w:p>
        </w:tc>
        <w:tc>
          <w:tcPr>
            <w:tcW w:w="2138" w:type="dxa"/>
            <w:tcBorders>
              <w:top w:val="nil"/>
              <w:bottom w:val="nil"/>
            </w:tcBorders>
          </w:tcPr>
          <w:p w:rsidR="00E24DB7" w:rsidRPr="002C5876" w:rsidRDefault="00E24DB7" w:rsidP="00E24DB7">
            <w:pPr>
              <w:spacing w:before="60" w:after="60" w:line="220" w:lineRule="atLeast"/>
              <w:ind w:left="57" w:right="57"/>
              <w:rPr>
                <w:sz w:val="18"/>
                <w:szCs w:val="18"/>
              </w:rPr>
            </w:pPr>
            <w:r w:rsidRPr="002C5876">
              <w:rPr>
                <w:sz w:val="18"/>
                <w:szCs w:val="18"/>
              </w:rPr>
              <w:t>AER</w:t>
            </w:r>
            <w:r w:rsidRPr="002C5876">
              <w:rPr>
                <w:sz w:val="18"/>
                <w:szCs w:val="18"/>
                <w:vertAlign w:val="subscript"/>
              </w:rPr>
              <w:t>city,ave</w:t>
            </w:r>
            <w:r w:rsidRPr="002C5876">
              <w:rPr>
                <w:sz w:val="18"/>
                <w:szCs w:val="18"/>
              </w:rPr>
              <w:t>, km</w:t>
            </w:r>
          </w:p>
        </w:tc>
        <w:tc>
          <w:tcPr>
            <w:tcW w:w="3261" w:type="dxa"/>
            <w:vMerge/>
          </w:tcPr>
          <w:p w:rsidR="00E24DB7" w:rsidRPr="002C5876" w:rsidRDefault="00E24DB7" w:rsidP="00E24DB7">
            <w:pPr>
              <w:suppressAutoHyphens w:val="0"/>
              <w:spacing w:before="60" w:after="60" w:line="220" w:lineRule="atLeast"/>
              <w:ind w:left="57" w:right="57"/>
              <w:rPr>
                <w:sz w:val="18"/>
                <w:szCs w:val="18"/>
              </w:rPr>
            </w:pPr>
          </w:p>
        </w:tc>
        <w:tc>
          <w:tcPr>
            <w:tcW w:w="2235" w:type="dxa"/>
            <w:vMerge/>
          </w:tcPr>
          <w:p w:rsidR="00E24DB7" w:rsidRPr="002C5876" w:rsidRDefault="00E24DB7" w:rsidP="00E24DB7">
            <w:pPr>
              <w:spacing w:before="60" w:after="60" w:line="220" w:lineRule="atLeast"/>
              <w:ind w:left="57" w:right="57"/>
              <w:rPr>
                <w:sz w:val="18"/>
                <w:szCs w:val="18"/>
              </w:rPr>
            </w:pPr>
          </w:p>
        </w:tc>
        <w:tc>
          <w:tcPr>
            <w:tcW w:w="740" w:type="dxa"/>
            <w:vMerge/>
            <w:tcBorders>
              <w:top w:val="single" w:sz="4" w:space="0" w:color="auto"/>
              <w:bottom w:val="single" w:sz="4" w:space="0" w:color="auto"/>
            </w:tcBorders>
          </w:tcPr>
          <w:p w:rsidR="00E24DB7" w:rsidRPr="002C5876" w:rsidRDefault="00E24DB7" w:rsidP="00E24DB7">
            <w:pPr>
              <w:spacing w:before="60" w:after="60" w:line="220" w:lineRule="atLeast"/>
              <w:ind w:left="57" w:right="57"/>
              <w:rPr>
                <w:sz w:val="18"/>
                <w:szCs w:val="18"/>
              </w:rPr>
            </w:pPr>
          </w:p>
        </w:tc>
      </w:tr>
      <w:tr w:rsidR="00E24DB7" w:rsidRPr="002C5876" w:rsidTr="00E24DB7">
        <w:trPr>
          <w:trHeight w:val="20"/>
          <w:jc w:val="center"/>
        </w:trPr>
        <w:tc>
          <w:tcPr>
            <w:tcW w:w="1265" w:type="dxa"/>
            <w:tcBorders>
              <w:top w:val="nil"/>
              <w:bottom w:val="nil"/>
            </w:tcBorders>
          </w:tcPr>
          <w:p w:rsidR="00E24DB7" w:rsidRPr="002C5876" w:rsidRDefault="00E24DB7" w:rsidP="00E24DB7">
            <w:pPr>
              <w:spacing w:before="60" w:after="60" w:line="220" w:lineRule="atLeast"/>
              <w:ind w:left="57" w:right="57"/>
              <w:rPr>
                <w:sz w:val="18"/>
                <w:szCs w:val="18"/>
              </w:rPr>
            </w:pPr>
            <w:r w:rsidRPr="002C5876">
              <w:rPr>
                <w:sz w:val="18"/>
                <w:szCs w:val="18"/>
              </w:rPr>
              <w:t xml:space="preserve">Sortie </w:t>
            </w:r>
            <w:r w:rsidRPr="002C5876">
              <w:rPr>
                <w:sz w:val="18"/>
                <w:szCs w:val="18"/>
              </w:rPr>
              <w:br/>
              <w:t>de l’étape 3, tableau A8/8</w:t>
            </w:r>
          </w:p>
        </w:tc>
        <w:tc>
          <w:tcPr>
            <w:tcW w:w="2138" w:type="dxa"/>
            <w:tcBorders>
              <w:top w:val="nil"/>
              <w:bottom w:val="nil"/>
            </w:tcBorders>
          </w:tcPr>
          <w:p w:rsidR="00E24DB7" w:rsidRPr="002C5876" w:rsidRDefault="00E24DB7" w:rsidP="00E24DB7">
            <w:pPr>
              <w:spacing w:before="60" w:after="60" w:line="220" w:lineRule="atLeast"/>
              <w:ind w:left="57" w:right="57"/>
              <w:rPr>
                <w:sz w:val="18"/>
                <w:szCs w:val="18"/>
              </w:rPr>
            </w:pPr>
            <w:r w:rsidRPr="002C5876">
              <w:rPr>
                <w:sz w:val="18"/>
                <w:szCs w:val="18"/>
              </w:rPr>
              <w:t>n</w:t>
            </w:r>
            <w:r w:rsidRPr="002C5876">
              <w:rPr>
                <w:sz w:val="18"/>
                <w:szCs w:val="18"/>
                <w:vertAlign w:val="subscript"/>
              </w:rPr>
              <w:t>veh</w:t>
            </w:r>
            <w:r w:rsidRPr="002C5876">
              <w:rPr>
                <w:sz w:val="18"/>
                <w:szCs w:val="18"/>
              </w:rPr>
              <w:br/>
              <w:t>R</w:t>
            </w:r>
            <w:r w:rsidRPr="002C5876">
              <w:rPr>
                <w:sz w:val="18"/>
                <w:szCs w:val="18"/>
                <w:vertAlign w:val="subscript"/>
              </w:rPr>
              <w:t>CDC</w:t>
            </w:r>
            <w:r w:rsidRPr="002C5876">
              <w:rPr>
                <w:sz w:val="18"/>
                <w:szCs w:val="18"/>
              </w:rPr>
              <w:t>, km</w:t>
            </w:r>
          </w:p>
        </w:tc>
        <w:tc>
          <w:tcPr>
            <w:tcW w:w="3261" w:type="dxa"/>
            <w:vMerge/>
          </w:tcPr>
          <w:p w:rsidR="00E24DB7" w:rsidRPr="002C5876" w:rsidRDefault="00E24DB7" w:rsidP="00E24DB7">
            <w:pPr>
              <w:suppressAutoHyphens w:val="0"/>
              <w:spacing w:before="60" w:after="60" w:line="220" w:lineRule="atLeast"/>
              <w:ind w:left="57" w:right="57"/>
              <w:rPr>
                <w:sz w:val="18"/>
                <w:szCs w:val="18"/>
              </w:rPr>
            </w:pPr>
          </w:p>
        </w:tc>
        <w:tc>
          <w:tcPr>
            <w:tcW w:w="2235" w:type="dxa"/>
            <w:vMerge/>
          </w:tcPr>
          <w:p w:rsidR="00E24DB7" w:rsidRPr="002C5876" w:rsidRDefault="00E24DB7" w:rsidP="00E24DB7">
            <w:pPr>
              <w:spacing w:before="60" w:after="60" w:line="220" w:lineRule="atLeast"/>
              <w:ind w:left="57" w:right="57"/>
              <w:rPr>
                <w:sz w:val="18"/>
                <w:szCs w:val="18"/>
              </w:rPr>
            </w:pPr>
          </w:p>
        </w:tc>
        <w:tc>
          <w:tcPr>
            <w:tcW w:w="740" w:type="dxa"/>
            <w:vMerge/>
            <w:tcBorders>
              <w:top w:val="single" w:sz="4" w:space="0" w:color="auto"/>
              <w:bottom w:val="single" w:sz="4" w:space="0" w:color="auto"/>
            </w:tcBorders>
          </w:tcPr>
          <w:p w:rsidR="00E24DB7" w:rsidRPr="002C5876" w:rsidRDefault="00E24DB7" w:rsidP="00E24DB7">
            <w:pPr>
              <w:spacing w:before="60" w:after="60" w:line="220" w:lineRule="atLeast"/>
              <w:ind w:left="57" w:right="57"/>
              <w:rPr>
                <w:sz w:val="18"/>
                <w:szCs w:val="18"/>
              </w:rPr>
            </w:pPr>
          </w:p>
        </w:tc>
      </w:tr>
      <w:tr w:rsidR="00E24DB7" w:rsidRPr="002C5876" w:rsidTr="00E24DB7">
        <w:trPr>
          <w:trHeight w:val="20"/>
          <w:jc w:val="center"/>
        </w:trPr>
        <w:tc>
          <w:tcPr>
            <w:tcW w:w="1265" w:type="dxa"/>
            <w:tcBorders>
              <w:top w:val="nil"/>
              <w:bottom w:val="nil"/>
            </w:tcBorders>
          </w:tcPr>
          <w:p w:rsidR="00E24DB7" w:rsidRPr="002C5876" w:rsidRDefault="00E24DB7" w:rsidP="00E24DB7">
            <w:pPr>
              <w:spacing w:before="60" w:after="60" w:line="220" w:lineRule="atLeast"/>
              <w:ind w:left="57" w:right="57"/>
              <w:rPr>
                <w:sz w:val="18"/>
                <w:szCs w:val="18"/>
              </w:rPr>
            </w:pPr>
            <w:r w:rsidRPr="002C5876">
              <w:rPr>
                <w:sz w:val="18"/>
                <w:szCs w:val="18"/>
              </w:rPr>
              <w:t>Sortie</w:t>
            </w:r>
            <w:r w:rsidRPr="002C5876">
              <w:rPr>
                <w:sz w:val="18"/>
                <w:szCs w:val="18"/>
              </w:rPr>
              <w:br/>
              <w:t>de l’étape 4, tableau A8/8</w:t>
            </w:r>
          </w:p>
        </w:tc>
        <w:tc>
          <w:tcPr>
            <w:tcW w:w="2138" w:type="dxa"/>
            <w:tcBorders>
              <w:top w:val="nil"/>
              <w:bottom w:val="nil"/>
            </w:tcBorders>
          </w:tcPr>
          <w:p w:rsidR="00E24DB7" w:rsidRPr="002C5876" w:rsidRDefault="00E24DB7" w:rsidP="00E24DB7">
            <w:pPr>
              <w:spacing w:before="60" w:after="60" w:line="220" w:lineRule="atLeast"/>
              <w:ind w:left="57" w:right="57"/>
              <w:rPr>
                <w:sz w:val="18"/>
                <w:szCs w:val="18"/>
              </w:rPr>
            </w:pPr>
            <w:r w:rsidRPr="002C5876">
              <w:rPr>
                <w:sz w:val="18"/>
                <w:szCs w:val="18"/>
              </w:rPr>
              <w:t>n</w:t>
            </w:r>
            <w:r w:rsidRPr="002C5876">
              <w:rPr>
                <w:sz w:val="18"/>
                <w:szCs w:val="18"/>
                <w:vertAlign w:val="subscript"/>
              </w:rPr>
              <w:t>veh,L</w:t>
            </w:r>
            <w:r w:rsidRPr="002C5876">
              <w:rPr>
                <w:sz w:val="18"/>
                <w:szCs w:val="18"/>
              </w:rPr>
              <w:br/>
              <w:t>n</w:t>
            </w:r>
            <w:r w:rsidRPr="002C5876">
              <w:rPr>
                <w:sz w:val="18"/>
                <w:szCs w:val="18"/>
                <w:vertAlign w:val="subscript"/>
              </w:rPr>
              <w:t>veh,H</w:t>
            </w:r>
          </w:p>
        </w:tc>
        <w:tc>
          <w:tcPr>
            <w:tcW w:w="3261" w:type="dxa"/>
            <w:vMerge/>
          </w:tcPr>
          <w:p w:rsidR="00E24DB7" w:rsidRPr="002C5876" w:rsidRDefault="00E24DB7" w:rsidP="00E24DB7">
            <w:pPr>
              <w:suppressAutoHyphens w:val="0"/>
              <w:spacing w:before="60" w:after="60" w:line="220" w:lineRule="atLeast"/>
              <w:ind w:left="57" w:right="57"/>
              <w:rPr>
                <w:sz w:val="18"/>
                <w:szCs w:val="18"/>
              </w:rPr>
            </w:pPr>
          </w:p>
        </w:tc>
        <w:tc>
          <w:tcPr>
            <w:tcW w:w="2235" w:type="dxa"/>
            <w:vMerge/>
          </w:tcPr>
          <w:p w:rsidR="00E24DB7" w:rsidRPr="002C5876" w:rsidRDefault="00E24DB7" w:rsidP="00E24DB7">
            <w:pPr>
              <w:spacing w:before="60" w:after="60" w:line="220" w:lineRule="atLeast"/>
              <w:ind w:left="57" w:right="57"/>
              <w:rPr>
                <w:sz w:val="18"/>
                <w:szCs w:val="18"/>
              </w:rPr>
            </w:pPr>
          </w:p>
        </w:tc>
        <w:tc>
          <w:tcPr>
            <w:tcW w:w="740" w:type="dxa"/>
            <w:vMerge/>
            <w:tcBorders>
              <w:top w:val="single" w:sz="4" w:space="0" w:color="auto"/>
              <w:bottom w:val="single" w:sz="4" w:space="0" w:color="auto"/>
            </w:tcBorders>
          </w:tcPr>
          <w:p w:rsidR="00E24DB7" w:rsidRPr="002C5876" w:rsidRDefault="00E24DB7" w:rsidP="00E24DB7">
            <w:pPr>
              <w:spacing w:before="60" w:after="60" w:line="220" w:lineRule="atLeast"/>
              <w:ind w:left="57" w:right="57"/>
              <w:rPr>
                <w:sz w:val="18"/>
                <w:szCs w:val="18"/>
              </w:rPr>
            </w:pPr>
          </w:p>
        </w:tc>
      </w:tr>
      <w:tr w:rsidR="00E24DB7" w:rsidRPr="002C5876" w:rsidTr="00E24DB7">
        <w:trPr>
          <w:trHeight w:val="20"/>
          <w:jc w:val="center"/>
        </w:trPr>
        <w:tc>
          <w:tcPr>
            <w:tcW w:w="1265" w:type="dxa"/>
            <w:tcBorders>
              <w:top w:val="nil"/>
              <w:bottom w:val="nil"/>
            </w:tcBorders>
          </w:tcPr>
          <w:p w:rsidR="00E24DB7" w:rsidRPr="002C5876" w:rsidRDefault="00E24DB7" w:rsidP="00E24DB7">
            <w:pPr>
              <w:spacing w:before="60" w:after="60" w:line="220" w:lineRule="atLeast"/>
              <w:ind w:left="57" w:right="57"/>
              <w:rPr>
                <w:sz w:val="18"/>
                <w:szCs w:val="18"/>
              </w:rPr>
            </w:pPr>
            <w:r w:rsidRPr="002C5876">
              <w:rPr>
                <w:sz w:val="18"/>
                <w:szCs w:val="18"/>
              </w:rPr>
              <w:t>Sortie</w:t>
            </w:r>
            <w:r w:rsidRPr="002C5876">
              <w:rPr>
                <w:sz w:val="18"/>
                <w:szCs w:val="18"/>
              </w:rPr>
              <w:br/>
              <w:t>de l’étape 8, tableau A8/8</w:t>
            </w:r>
          </w:p>
        </w:tc>
        <w:tc>
          <w:tcPr>
            <w:tcW w:w="2138" w:type="dxa"/>
            <w:tcBorders>
              <w:top w:val="nil"/>
              <w:bottom w:val="nil"/>
            </w:tcBorders>
          </w:tcPr>
          <w:p w:rsidR="00E24DB7" w:rsidRPr="002C5876" w:rsidRDefault="00E24DB7" w:rsidP="00E24DB7">
            <w:pPr>
              <w:spacing w:before="60" w:after="60" w:line="220" w:lineRule="atLeast"/>
              <w:ind w:left="57" w:right="57"/>
              <w:rPr>
                <w:sz w:val="18"/>
                <w:szCs w:val="18"/>
              </w:rPr>
            </w:pPr>
            <w:r w:rsidRPr="002C5876">
              <w:rPr>
                <w:sz w:val="18"/>
                <w:szCs w:val="18"/>
              </w:rPr>
              <w:t>UF</w:t>
            </w:r>
            <w:r w:rsidRPr="002C5876">
              <w:rPr>
                <w:sz w:val="18"/>
                <w:szCs w:val="18"/>
                <w:vertAlign w:val="subscript"/>
              </w:rPr>
              <w:t>phase,j</w:t>
            </w:r>
          </w:p>
          <w:p w:rsidR="00E24DB7" w:rsidRPr="002C5876" w:rsidRDefault="00E24DB7" w:rsidP="00E24DB7">
            <w:pPr>
              <w:spacing w:before="60" w:after="60" w:line="220" w:lineRule="atLeast"/>
              <w:ind w:left="57" w:right="57"/>
              <w:rPr>
                <w:sz w:val="18"/>
                <w:szCs w:val="18"/>
              </w:rPr>
            </w:pPr>
            <w:r w:rsidRPr="002C5876">
              <w:rPr>
                <w:sz w:val="18"/>
                <w:szCs w:val="18"/>
              </w:rPr>
              <w:t>UF</w:t>
            </w:r>
            <w:r w:rsidRPr="002C5876">
              <w:rPr>
                <w:sz w:val="18"/>
                <w:szCs w:val="18"/>
                <w:vertAlign w:val="subscript"/>
              </w:rPr>
              <w:t>cycle,c</w:t>
            </w:r>
          </w:p>
        </w:tc>
        <w:tc>
          <w:tcPr>
            <w:tcW w:w="3261" w:type="dxa"/>
            <w:vMerge/>
          </w:tcPr>
          <w:p w:rsidR="00E24DB7" w:rsidRPr="002C5876" w:rsidRDefault="00E24DB7" w:rsidP="00E24DB7">
            <w:pPr>
              <w:suppressAutoHyphens w:val="0"/>
              <w:spacing w:before="60" w:after="60" w:line="220" w:lineRule="atLeast"/>
              <w:ind w:left="57" w:right="57"/>
              <w:rPr>
                <w:sz w:val="18"/>
                <w:szCs w:val="18"/>
              </w:rPr>
            </w:pPr>
          </w:p>
        </w:tc>
        <w:tc>
          <w:tcPr>
            <w:tcW w:w="2235" w:type="dxa"/>
            <w:vMerge/>
          </w:tcPr>
          <w:p w:rsidR="00E24DB7" w:rsidRPr="002C5876" w:rsidRDefault="00E24DB7" w:rsidP="00E24DB7">
            <w:pPr>
              <w:spacing w:before="60" w:after="60" w:line="220" w:lineRule="atLeast"/>
              <w:ind w:left="57" w:right="57"/>
              <w:rPr>
                <w:sz w:val="18"/>
                <w:szCs w:val="18"/>
              </w:rPr>
            </w:pPr>
          </w:p>
        </w:tc>
        <w:tc>
          <w:tcPr>
            <w:tcW w:w="740" w:type="dxa"/>
            <w:vMerge/>
            <w:tcBorders>
              <w:top w:val="single" w:sz="4" w:space="0" w:color="auto"/>
              <w:bottom w:val="single" w:sz="4" w:space="0" w:color="auto"/>
            </w:tcBorders>
          </w:tcPr>
          <w:p w:rsidR="00E24DB7" w:rsidRPr="002C5876" w:rsidRDefault="00E24DB7" w:rsidP="00E24DB7">
            <w:pPr>
              <w:spacing w:before="60" w:after="60" w:line="220" w:lineRule="atLeast"/>
              <w:ind w:left="57" w:right="57"/>
              <w:rPr>
                <w:sz w:val="18"/>
                <w:szCs w:val="18"/>
              </w:rPr>
            </w:pPr>
          </w:p>
        </w:tc>
      </w:tr>
      <w:tr w:rsidR="00E24DB7" w:rsidRPr="002C5876" w:rsidTr="00E24DB7">
        <w:trPr>
          <w:trHeight w:val="20"/>
          <w:jc w:val="center"/>
        </w:trPr>
        <w:tc>
          <w:tcPr>
            <w:tcW w:w="1265" w:type="dxa"/>
            <w:tcBorders>
              <w:top w:val="nil"/>
              <w:bottom w:val="nil"/>
            </w:tcBorders>
          </w:tcPr>
          <w:p w:rsidR="00E24DB7" w:rsidRPr="002C5876" w:rsidRDefault="00E24DB7" w:rsidP="00E24DB7">
            <w:pPr>
              <w:spacing w:before="60" w:after="60" w:line="220" w:lineRule="atLeast"/>
              <w:ind w:left="57" w:right="57"/>
              <w:rPr>
                <w:sz w:val="18"/>
                <w:szCs w:val="18"/>
              </w:rPr>
            </w:pPr>
            <w:r w:rsidRPr="002C5876">
              <w:rPr>
                <w:sz w:val="18"/>
                <w:szCs w:val="18"/>
              </w:rPr>
              <w:t>Sortie</w:t>
            </w:r>
            <w:r w:rsidRPr="002C5876">
              <w:rPr>
                <w:sz w:val="18"/>
                <w:szCs w:val="18"/>
              </w:rPr>
              <w:br/>
              <w:t>de l’étape 6, tableau A8/5</w:t>
            </w:r>
          </w:p>
        </w:tc>
        <w:tc>
          <w:tcPr>
            <w:tcW w:w="2138" w:type="dxa"/>
            <w:tcBorders>
              <w:top w:val="nil"/>
              <w:bottom w:val="nil"/>
            </w:tcBorders>
          </w:tcPr>
          <w:p w:rsidR="00E24DB7" w:rsidRPr="002C5876" w:rsidRDefault="00E24DB7" w:rsidP="00E24DB7">
            <w:pPr>
              <w:spacing w:before="60" w:after="60" w:line="220" w:lineRule="atLeast"/>
              <w:ind w:left="57" w:right="57"/>
              <w:rPr>
                <w:sz w:val="18"/>
                <w:szCs w:val="18"/>
              </w:rPr>
            </w:pPr>
            <w:r w:rsidRPr="002C5876">
              <w:rPr>
                <w:sz w:val="18"/>
                <w:szCs w:val="18"/>
              </w:rPr>
              <w:t>M</w:t>
            </w:r>
            <w:r w:rsidRPr="002C5876">
              <w:rPr>
                <w:sz w:val="18"/>
                <w:szCs w:val="18"/>
                <w:vertAlign w:val="subscript"/>
              </w:rPr>
              <w:t>i,CS,c,6</w:t>
            </w:r>
            <w:r w:rsidRPr="002C5876">
              <w:rPr>
                <w:sz w:val="18"/>
                <w:szCs w:val="18"/>
              </w:rPr>
              <w:t>, g/km</w:t>
            </w:r>
          </w:p>
        </w:tc>
        <w:tc>
          <w:tcPr>
            <w:tcW w:w="3261" w:type="dxa"/>
            <w:vMerge/>
          </w:tcPr>
          <w:p w:rsidR="00E24DB7" w:rsidRPr="002C5876" w:rsidRDefault="00E24DB7" w:rsidP="00E24DB7">
            <w:pPr>
              <w:suppressAutoHyphens w:val="0"/>
              <w:spacing w:before="60" w:after="60" w:line="220" w:lineRule="atLeast"/>
              <w:ind w:left="57" w:right="57"/>
              <w:rPr>
                <w:sz w:val="18"/>
                <w:szCs w:val="18"/>
              </w:rPr>
            </w:pPr>
          </w:p>
        </w:tc>
        <w:tc>
          <w:tcPr>
            <w:tcW w:w="2235" w:type="dxa"/>
            <w:vMerge/>
          </w:tcPr>
          <w:p w:rsidR="00E24DB7" w:rsidRPr="002C5876" w:rsidRDefault="00E24DB7" w:rsidP="00E24DB7">
            <w:pPr>
              <w:spacing w:before="60" w:after="60" w:line="220" w:lineRule="atLeast"/>
              <w:ind w:left="57" w:right="57"/>
              <w:rPr>
                <w:sz w:val="18"/>
                <w:szCs w:val="18"/>
              </w:rPr>
            </w:pPr>
          </w:p>
        </w:tc>
        <w:tc>
          <w:tcPr>
            <w:tcW w:w="740" w:type="dxa"/>
            <w:vMerge/>
            <w:tcBorders>
              <w:top w:val="single" w:sz="4" w:space="0" w:color="auto"/>
              <w:bottom w:val="single" w:sz="4" w:space="0" w:color="auto"/>
            </w:tcBorders>
          </w:tcPr>
          <w:p w:rsidR="00E24DB7" w:rsidRPr="002C5876" w:rsidRDefault="00E24DB7" w:rsidP="00E24DB7">
            <w:pPr>
              <w:spacing w:before="60" w:after="60" w:line="220" w:lineRule="atLeast"/>
              <w:ind w:left="57" w:right="57"/>
              <w:rPr>
                <w:sz w:val="18"/>
                <w:szCs w:val="18"/>
              </w:rPr>
            </w:pPr>
          </w:p>
        </w:tc>
      </w:tr>
      <w:tr w:rsidR="00E24DB7" w:rsidRPr="002C5876" w:rsidTr="00E24DB7">
        <w:trPr>
          <w:trHeight w:val="20"/>
          <w:jc w:val="center"/>
        </w:trPr>
        <w:tc>
          <w:tcPr>
            <w:tcW w:w="1265" w:type="dxa"/>
            <w:tcBorders>
              <w:top w:val="nil"/>
              <w:bottom w:val="nil"/>
            </w:tcBorders>
          </w:tcPr>
          <w:p w:rsidR="00E24DB7" w:rsidRPr="002C5876" w:rsidRDefault="00E24DB7" w:rsidP="00E24DB7">
            <w:pPr>
              <w:spacing w:before="60" w:after="60" w:line="220" w:lineRule="atLeast"/>
              <w:ind w:left="57" w:right="57"/>
              <w:rPr>
                <w:sz w:val="18"/>
                <w:szCs w:val="18"/>
              </w:rPr>
            </w:pPr>
            <w:r w:rsidRPr="002C5876">
              <w:rPr>
                <w:sz w:val="18"/>
                <w:szCs w:val="18"/>
              </w:rPr>
              <w:t>Sortie</w:t>
            </w:r>
            <w:r w:rsidRPr="002C5876">
              <w:rPr>
                <w:sz w:val="18"/>
                <w:szCs w:val="18"/>
              </w:rPr>
              <w:br/>
              <w:t>de l’étape 7, tableau A8/5</w:t>
            </w:r>
          </w:p>
        </w:tc>
        <w:tc>
          <w:tcPr>
            <w:tcW w:w="2138" w:type="dxa"/>
            <w:tcBorders>
              <w:top w:val="nil"/>
              <w:bottom w:val="nil"/>
            </w:tcBorders>
          </w:tcPr>
          <w:p w:rsidR="00E24DB7" w:rsidRPr="002C5876" w:rsidRDefault="00E24DB7" w:rsidP="00E24DB7">
            <w:pPr>
              <w:spacing w:before="60" w:after="60" w:line="220" w:lineRule="atLeast"/>
              <w:ind w:left="57" w:right="57"/>
              <w:rPr>
                <w:sz w:val="18"/>
                <w:szCs w:val="18"/>
              </w:rPr>
            </w:pPr>
            <w:r w:rsidRPr="002C5876">
              <w:rPr>
                <w:sz w:val="18"/>
                <w:szCs w:val="18"/>
              </w:rPr>
              <w:t>M</w:t>
            </w:r>
            <w:r w:rsidRPr="002C5876">
              <w:rPr>
                <w:sz w:val="18"/>
                <w:szCs w:val="18"/>
                <w:vertAlign w:val="subscript"/>
              </w:rPr>
              <w:t>CO2,CS</w:t>
            </w:r>
            <w:r w:rsidRPr="002C5876">
              <w:rPr>
                <w:sz w:val="18"/>
                <w:szCs w:val="18"/>
              </w:rPr>
              <w:t>, g/km</w:t>
            </w:r>
          </w:p>
        </w:tc>
        <w:tc>
          <w:tcPr>
            <w:tcW w:w="3261" w:type="dxa"/>
            <w:vMerge/>
            <w:tcBorders>
              <w:bottom w:val="nil"/>
            </w:tcBorders>
          </w:tcPr>
          <w:p w:rsidR="00E24DB7" w:rsidRPr="002C5876" w:rsidRDefault="00E24DB7" w:rsidP="00E24DB7">
            <w:pPr>
              <w:suppressAutoHyphens w:val="0"/>
              <w:spacing w:before="60" w:after="60" w:line="220" w:lineRule="atLeast"/>
              <w:ind w:left="57" w:right="57"/>
              <w:rPr>
                <w:sz w:val="18"/>
                <w:szCs w:val="18"/>
              </w:rPr>
            </w:pPr>
          </w:p>
        </w:tc>
        <w:tc>
          <w:tcPr>
            <w:tcW w:w="2235" w:type="dxa"/>
            <w:vMerge/>
            <w:tcBorders>
              <w:bottom w:val="nil"/>
            </w:tcBorders>
          </w:tcPr>
          <w:p w:rsidR="00E24DB7" w:rsidRPr="002C5876" w:rsidRDefault="00E24DB7" w:rsidP="00E24DB7">
            <w:pPr>
              <w:spacing w:before="60" w:after="60" w:line="220" w:lineRule="atLeast"/>
              <w:ind w:left="57" w:right="57"/>
              <w:rPr>
                <w:sz w:val="18"/>
                <w:szCs w:val="18"/>
              </w:rPr>
            </w:pPr>
          </w:p>
        </w:tc>
        <w:tc>
          <w:tcPr>
            <w:tcW w:w="740" w:type="dxa"/>
            <w:vMerge/>
            <w:tcBorders>
              <w:top w:val="single" w:sz="4" w:space="0" w:color="auto"/>
              <w:bottom w:val="nil"/>
            </w:tcBorders>
          </w:tcPr>
          <w:p w:rsidR="00E24DB7" w:rsidRPr="002C5876" w:rsidRDefault="00E24DB7" w:rsidP="00E24DB7">
            <w:pPr>
              <w:spacing w:before="60" w:after="60" w:line="220" w:lineRule="atLeast"/>
              <w:ind w:left="57" w:right="57"/>
              <w:rPr>
                <w:sz w:val="18"/>
                <w:szCs w:val="18"/>
              </w:rPr>
            </w:pPr>
          </w:p>
        </w:tc>
      </w:tr>
      <w:tr w:rsidR="00E24DB7" w:rsidRPr="002C5876" w:rsidTr="00E24DB7">
        <w:trPr>
          <w:trHeight w:val="20"/>
          <w:jc w:val="center"/>
        </w:trPr>
        <w:tc>
          <w:tcPr>
            <w:tcW w:w="1265" w:type="dxa"/>
            <w:tcBorders>
              <w:top w:val="nil"/>
              <w:bottom w:val="nil"/>
            </w:tcBorders>
          </w:tcPr>
          <w:p w:rsidR="00E24DB7" w:rsidRPr="002C5876" w:rsidRDefault="00E24DB7" w:rsidP="00E24DB7">
            <w:pPr>
              <w:spacing w:before="60" w:after="60" w:line="220" w:lineRule="atLeast"/>
              <w:ind w:left="57" w:right="57"/>
              <w:rPr>
                <w:sz w:val="18"/>
                <w:szCs w:val="18"/>
              </w:rPr>
            </w:pPr>
          </w:p>
        </w:tc>
        <w:tc>
          <w:tcPr>
            <w:tcW w:w="2138" w:type="dxa"/>
            <w:tcBorders>
              <w:top w:val="nil"/>
              <w:bottom w:val="nil"/>
            </w:tcBorders>
          </w:tcPr>
          <w:p w:rsidR="00E24DB7" w:rsidRPr="002C5876" w:rsidRDefault="00E24DB7" w:rsidP="00E24DB7">
            <w:pPr>
              <w:spacing w:before="60" w:after="60" w:line="220" w:lineRule="atLeast"/>
              <w:ind w:left="57" w:right="57"/>
              <w:rPr>
                <w:sz w:val="18"/>
                <w:szCs w:val="18"/>
              </w:rPr>
            </w:pPr>
          </w:p>
        </w:tc>
        <w:tc>
          <w:tcPr>
            <w:tcW w:w="3261" w:type="dxa"/>
            <w:tcBorders>
              <w:top w:val="nil"/>
              <w:bottom w:val="nil"/>
            </w:tcBorders>
          </w:tcPr>
          <w:p w:rsidR="00E24DB7" w:rsidRPr="002C5876" w:rsidRDefault="00E24DB7" w:rsidP="00E24DB7">
            <w:pPr>
              <w:spacing w:before="60" w:after="60" w:line="220" w:lineRule="atLeast"/>
              <w:ind w:left="57" w:right="57"/>
              <w:rPr>
                <w:sz w:val="18"/>
                <w:szCs w:val="18"/>
              </w:rPr>
            </w:pPr>
            <w:r w:rsidRPr="002C5876">
              <w:rPr>
                <w:sz w:val="18"/>
                <w:szCs w:val="18"/>
              </w:rPr>
              <w:t>Les données de sortie pour le mode épuisement sont disponibles pour chaque essai d’épuisement de la charge. Les données de sortie pour le mode maintien sont disponibles une seule fois car c’est la moyenne des résultats des essais en mode maintien de la charge qui est retenue.</w:t>
            </w:r>
          </w:p>
          <w:p w:rsidR="00E24DB7" w:rsidRPr="002C5876" w:rsidRDefault="00E24DB7" w:rsidP="00E24DB7">
            <w:pPr>
              <w:spacing w:before="60" w:after="60" w:line="220" w:lineRule="atLeast"/>
              <w:ind w:left="57" w:right="57"/>
              <w:rPr>
                <w:sz w:val="18"/>
                <w:szCs w:val="18"/>
              </w:rPr>
            </w:pPr>
            <w:r w:rsidRPr="002C5876">
              <w:rPr>
                <w:sz w:val="18"/>
                <w:szCs w:val="18"/>
              </w:rPr>
              <w:t>Si la méthode d’interpolation est appliquée, les données de sortie (sauf K</w:t>
            </w:r>
            <w:r w:rsidRPr="002C5876">
              <w:rPr>
                <w:sz w:val="18"/>
                <w:szCs w:val="18"/>
                <w:vertAlign w:val="subscript"/>
              </w:rPr>
              <w:t>CO2</w:t>
            </w:r>
            <w:r w:rsidRPr="002C5876">
              <w:rPr>
                <w:sz w:val="18"/>
                <w:szCs w:val="18"/>
              </w:rPr>
              <w:t xml:space="preserve">) sont disponibles pour le véhicule H, L et, le cas échéant, M. </w:t>
            </w:r>
          </w:p>
        </w:tc>
        <w:tc>
          <w:tcPr>
            <w:tcW w:w="2235" w:type="dxa"/>
            <w:tcBorders>
              <w:top w:val="nil"/>
              <w:bottom w:val="nil"/>
            </w:tcBorders>
          </w:tcPr>
          <w:p w:rsidR="00E24DB7" w:rsidRPr="002C5876" w:rsidRDefault="00E24DB7" w:rsidP="00E24DB7">
            <w:pPr>
              <w:spacing w:before="60" w:after="60" w:line="220" w:lineRule="atLeast"/>
              <w:ind w:left="57" w:right="57"/>
              <w:rPr>
                <w:sz w:val="18"/>
                <w:szCs w:val="18"/>
              </w:rPr>
            </w:pPr>
          </w:p>
        </w:tc>
        <w:tc>
          <w:tcPr>
            <w:tcW w:w="740" w:type="dxa"/>
            <w:vMerge/>
            <w:tcBorders>
              <w:top w:val="nil"/>
              <w:bottom w:val="single" w:sz="4" w:space="0" w:color="auto"/>
            </w:tcBorders>
          </w:tcPr>
          <w:p w:rsidR="00E24DB7" w:rsidRPr="002C5876" w:rsidRDefault="00E24DB7" w:rsidP="00E24DB7">
            <w:pPr>
              <w:spacing w:before="60" w:after="60" w:line="220" w:lineRule="atLeast"/>
              <w:ind w:left="57" w:right="57"/>
              <w:rPr>
                <w:sz w:val="18"/>
                <w:szCs w:val="18"/>
              </w:rPr>
            </w:pPr>
          </w:p>
        </w:tc>
      </w:tr>
      <w:tr w:rsidR="00E24DB7" w:rsidRPr="00D53F39" w:rsidTr="00E24DB7">
        <w:trPr>
          <w:trHeight w:val="20"/>
          <w:jc w:val="center"/>
        </w:trPr>
        <w:tc>
          <w:tcPr>
            <w:tcW w:w="1265" w:type="dxa"/>
            <w:tcBorders>
              <w:top w:val="nil"/>
              <w:bottom w:val="single" w:sz="4" w:space="0" w:color="auto"/>
            </w:tcBorders>
          </w:tcPr>
          <w:p w:rsidR="00E24DB7" w:rsidRPr="002C5876" w:rsidRDefault="00E24DB7" w:rsidP="00E24DB7">
            <w:pPr>
              <w:spacing w:before="60" w:after="60" w:line="220" w:lineRule="atLeast"/>
              <w:ind w:left="57" w:right="57"/>
              <w:rPr>
                <w:sz w:val="18"/>
                <w:szCs w:val="18"/>
              </w:rPr>
            </w:pPr>
          </w:p>
        </w:tc>
        <w:tc>
          <w:tcPr>
            <w:tcW w:w="2138" w:type="dxa"/>
            <w:tcBorders>
              <w:top w:val="nil"/>
              <w:bottom w:val="single" w:sz="4" w:space="0" w:color="auto"/>
            </w:tcBorders>
          </w:tcPr>
          <w:p w:rsidR="00E24DB7" w:rsidRPr="00D53F39" w:rsidRDefault="00E24DB7" w:rsidP="00E24DB7">
            <w:pPr>
              <w:spacing w:before="60" w:after="60" w:line="220" w:lineRule="atLeast"/>
              <w:ind w:left="57" w:right="57"/>
              <w:rPr>
                <w:sz w:val="18"/>
                <w:szCs w:val="18"/>
                <w:lang w:val="en-US"/>
              </w:rPr>
            </w:pPr>
            <w:r w:rsidRPr="00D53F39">
              <w:rPr>
                <w:sz w:val="18"/>
                <w:szCs w:val="18"/>
                <w:lang w:val="en-US"/>
              </w:rPr>
              <w:t>K</w:t>
            </w:r>
            <w:r w:rsidRPr="00D53F39">
              <w:rPr>
                <w:sz w:val="18"/>
                <w:szCs w:val="18"/>
                <w:vertAlign w:val="subscript"/>
                <w:lang w:val="en-US"/>
              </w:rPr>
              <w:t xml:space="preserve">CO2, </w:t>
            </w:r>
            <w:r w:rsidRPr="00D53F39">
              <w:rPr>
                <w:sz w:val="18"/>
                <w:szCs w:val="18"/>
                <w:lang w:val="en-US"/>
              </w:rPr>
              <w:br/>
              <w:t>(g/km)/(Wh/km)</w:t>
            </w:r>
          </w:p>
        </w:tc>
        <w:tc>
          <w:tcPr>
            <w:tcW w:w="3261" w:type="dxa"/>
            <w:tcBorders>
              <w:top w:val="nil"/>
              <w:bottom w:val="single" w:sz="4"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Un coefficient de correction des émissions massiques de CO</w:t>
            </w:r>
            <w:r w:rsidRPr="002C5876">
              <w:rPr>
                <w:sz w:val="18"/>
                <w:szCs w:val="18"/>
                <w:vertAlign w:val="subscript"/>
              </w:rPr>
              <w:t>2</w:t>
            </w:r>
            <w:r w:rsidRPr="002C5876">
              <w:rPr>
                <w:sz w:val="18"/>
                <w:szCs w:val="18"/>
              </w:rPr>
              <w:t xml:space="preserve"> (K</w:t>
            </w:r>
            <w:r w:rsidRPr="002C5876">
              <w:rPr>
                <w:sz w:val="18"/>
                <w:szCs w:val="18"/>
                <w:vertAlign w:val="subscript"/>
              </w:rPr>
              <w:t>CO2</w:t>
            </w:r>
            <w:r w:rsidRPr="002C5876">
              <w:rPr>
                <w:sz w:val="18"/>
                <w:szCs w:val="18"/>
              </w:rPr>
              <w:t xml:space="preserve">) peut être nécessaire conformément à l’appendice 2 de la présente annexe. </w:t>
            </w:r>
          </w:p>
        </w:tc>
        <w:tc>
          <w:tcPr>
            <w:tcW w:w="2235" w:type="dxa"/>
            <w:tcBorders>
              <w:top w:val="nil"/>
              <w:bottom w:val="single" w:sz="4" w:space="0" w:color="auto"/>
            </w:tcBorders>
          </w:tcPr>
          <w:p w:rsidR="00E24DB7" w:rsidRPr="00D53F39" w:rsidRDefault="00E24DB7" w:rsidP="00E24DB7">
            <w:pPr>
              <w:spacing w:before="60" w:after="60" w:line="220" w:lineRule="atLeast"/>
              <w:ind w:left="57" w:right="57"/>
              <w:rPr>
                <w:sz w:val="18"/>
                <w:szCs w:val="18"/>
                <w:lang w:val="en-US"/>
              </w:rPr>
            </w:pPr>
            <w:r w:rsidRPr="00D53F39">
              <w:rPr>
                <w:sz w:val="18"/>
                <w:szCs w:val="18"/>
                <w:lang w:val="en-US"/>
              </w:rPr>
              <w:t>K</w:t>
            </w:r>
            <w:r w:rsidRPr="00D53F39">
              <w:rPr>
                <w:sz w:val="18"/>
                <w:szCs w:val="18"/>
                <w:vertAlign w:val="subscript"/>
                <w:lang w:val="en-US"/>
              </w:rPr>
              <w:t xml:space="preserve">CO2, </w:t>
            </w:r>
            <w:r w:rsidRPr="00D53F39">
              <w:rPr>
                <w:sz w:val="18"/>
                <w:szCs w:val="18"/>
                <w:lang w:val="en-US"/>
              </w:rPr>
              <w:br/>
              <w:t>(g/km)/(Wh/km)</w:t>
            </w:r>
          </w:p>
        </w:tc>
        <w:tc>
          <w:tcPr>
            <w:tcW w:w="740" w:type="dxa"/>
            <w:vMerge/>
            <w:tcBorders>
              <w:top w:val="single" w:sz="4" w:space="0" w:color="auto"/>
              <w:bottom w:val="single" w:sz="4" w:space="0" w:color="auto"/>
            </w:tcBorders>
          </w:tcPr>
          <w:p w:rsidR="00E24DB7" w:rsidRPr="00D53F39" w:rsidRDefault="00E24DB7" w:rsidP="00E24DB7">
            <w:pPr>
              <w:spacing w:before="60" w:after="60" w:line="220" w:lineRule="atLeast"/>
              <w:ind w:left="57" w:right="57"/>
              <w:rPr>
                <w:sz w:val="18"/>
                <w:szCs w:val="18"/>
                <w:lang w:val="en-US"/>
              </w:rPr>
            </w:pPr>
          </w:p>
        </w:tc>
      </w:tr>
      <w:tr w:rsidR="00E24DB7" w:rsidRPr="002C5876" w:rsidTr="00E24DB7">
        <w:trPr>
          <w:trHeight w:val="20"/>
          <w:jc w:val="center"/>
        </w:trPr>
        <w:tc>
          <w:tcPr>
            <w:tcW w:w="1265" w:type="dxa"/>
            <w:tcBorders>
              <w:top w:val="single" w:sz="4" w:space="0" w:color="auto"/>
              <w:bottom w:val="nil"/>
            </w:tcBorders>
          </w:tcPr>
          <w:p w:rsidR="00E24DB7" w:rsidRPr="002C5876" w:rsidRDefault="00E24DB7" w:rsidP="00E24DB7">
            <w:pPr>
              <w:keepNext/>
              <w:spacing w:before="60" w:after="60" w:line="220" w:lineRule="atLeast"/>
              <w:ind w:left="57" w:right="57"/>
              <w:rPr>
                <w:sz w:val="18"/>
                <w:szCs w:val="18"/>
              </w:rPr>
            </w:pPr>
            <w:r w:rsidRPr="002C5876">
              <w:rPr>
                <w:sz w:val="18"/>
                <w:szCs w:val="18"/>
              </w:rPr>
              <w:lastRenderedPageBreak/>
              <w:t>Sortie</w:t>
            </w:r>
            <w:r w:rsidRPr="002C5876">
              <w:rPr>
                <w:sz w:val="18"/>
                <w:szCs w:val="18"/>
              </w:rPr>
              <w:br/>
              <w:t xml:space="preserve">de l’étape 1 </w:t>
            </w:r>
          </w:p>
        </w:tc>
        <w:tc>
          <w:tcPr>
            <w:tcW w:w="2138" w:type="dxa"/>
            <w:tcBorders>
              <w:top w:val="single" w:sz="4" w:space="0" w:color="auto"/>
              <w:bottom w:val="nil"/>
            </w:tcBorders>
          </w:tcPr>
          <w:p w:rsidR="00E24DB7" w:rsidRPr="002C5876" w:rsidRDefault="00E24DB7" w:rsidP="00E24DB7">
            <w:pPr>
              <w:keepNext/>
              <w:spacing w:before="60" w:after="60" w:line="220" w:lineRule="atLeast"/>
              <w:ind w:left="57" w:right="57"/>
              <w:rPr>
                <w:sz w:val="18"/>
                <w:szCs w:val="18"/>
              </w:rPr>
            </w:pPr>
            <w:r w:rsidRPr="002C5876">
              <w:rPr>
                <w:sz w:val="18"/>
                <w:szCs w:val="18"/>
              </w:rPr>
              <w:t>M</w:t>
            </w:r>
            <w:r w:rsidRPr="002C5876">
              <w:rPr>
                <w:sz w:val="18"/>
                <w:szCs w:val="18"/>
                <w:vertAlign w:val="subscript"/>
              </w:rPr>
              <w:t>i,CD,j</w:t>
            </w:r>
            <w:r w:rsidRPr="002C5876">
              <w:rPr>
                <w:sz w:val="18"/>
                <w:szCs w:val="18"/>
              </w:rPr>
              <w:t xml:space="preserve">, g/km </w:t>
            </w:r>
            <w:r w:rsidRPr="002C5876">
              <w:rPr>
                <w:sz w:val="18"/>
                <w:szCs w:val="18"/>
              </w:rPr>
              <w:br/>
              <w:t>PN</w:t>
            </w:r>
            <w:r w:rsidRPr="002C5876">
              <w:rPr>
                <w:sz w:val="18"/>
                <w:szCs w:val="18"/>
                <w:vertAlign w:val="subscript"/>
              </w:rPr>
              <w:t>CD,j</w:t>
            </w:r>
            <w:r w:rsidRPr="002C5876">
              <w:rPr>
                <w:sz w:val="18"/>
                <w:szCs w:val="18"/>
              </w:rPr>
              <w:t xml:space="preserve">, particules par km </w:t>
            </w:r>
            <w:r w:rsidRPr="002C5876">
              <w:rPr>
                <w:sz w:val="18"/>
                <w:szCs w:val="18"/>
              </w:rPr>
              <w:br/>
              <w:t>PM</w:t>
            </w:r>
            <w:r w:rsidRPr="002C5876">
              <w:rPr>
                <w:sz w:val="18"/>
                <w:szCs w:val="18"/>
                <w:vertAlign w:val="subscript"/>
              </w:rPr>
              <w:t>CD,c</w:t>
            </w:r>
            <w:r w:rsidRPr="002C5876">
              <w:rPr>
                <w:sz w:val="18"/>
                <w:szCs w:val="18"/>
              </w:rPr>
              <w:t xml:space="preserve">, mg/km </w:t>
            </w:r>
            <w:r w:rsidRPr="002C5876">
              <w:rPr>
                <w:sz w:val="18"/>
                <w:szCs w:val="18"/>
              </w:rPr>
              <w:br/>
              <w:t>n</w:t>
            </w:r>
            <w:r w:rsidRPr="002C5876">
              <w:rPr>
                <w:sz w:val="18"/>
                <w:szCs w:val="18"/>
                <w:vertAlign w:val="subscript"/>
              </w:rPr>
              <w:t xml:space="preserve">veh </w:t>
            </w:r>
            <w:r w:rsidRPr="002C5876">
              <w:rPr>
                <w:sz w:val="18"/>
                <w:szCs w:val="18"/>
              </w:rPr>
              <w:br/>
              <w:t>n</w:t>
            </w:r>
            <w:r w:rsidRPr="002C5876">
              <w:rPr>
                <w:sz w:val="18"/>
                <w:szCs w:val="18"/>
                <w:vertAlign w:val="subscript"/>
              </w:rPr>
              <w:t xml:space="preserve">veh,L </w:t>
            </w:r>
            <w:r w:rsidRPr="002C5876">
              <w:rPr>
                <w:sz w:val="18"/>
                <w:szCs w:val="18"/>
              </w:rPr>
              <w:br/>
              <w:t>UF</w:t>
            </w:r>
            <w:r w:rsidRPr="002C5876">
              <w:rPr>
                <w:sz w:val="18"/>
                <w:szCs w:val="18"/>
                <w:vertAlign w:val="subscript"/>
              </w:rPr>
              <w:t xml:space="preserve">phase,j </w:t>
            </w:r>
            <w:r w:rsidRPr="002C5876">
              <w:rPr>
                <w:sz w:val="18"/>
                <w:szCs w:val="18"/>
              </w:rPr>
              <w:br/>
              <w:t>UF</w:t>
            </w:r>
            <w:r w:rsidRPr="002C5876">
              <w:rPr>
                <w:sz w:val="18"/>
                <w:szCs w:val="18"/>
                <w:vertAlign w:val="subscript"/>
              </w:rPr>
              <w:t xml:space="preserve">cycle,c </w:t>
            </w:r>
            <w:r w:rsidRPr="002C5876">
              <w:rPr>
                <w:sz w:val="18"/>
                <w:szCs w:val="18"/>
              </w:rPr>
              <w:br/>
              <w:t>M</w:t>
            </w:r>
            <w:r w:rsidRPr="002C5876">
              <w:rPr>
                <w:sz w:val="18"/>
                <w:szCs w:val="18"/>
                <w:vertAlign w:val="subscript"/>
              </w:rPr>
              <w:t>i,CS,c,6</w:t>
            </w:r>
            <w:r w:rsidRPr="002C5876">
              <w:rPr>
                <w:sz w:val="18"/>
                <w:szCs w:val="18"/>
              </w:rPr>
              <w:t>, g/km</w:t>
            </w:r>
          </w:p>
        </w:tc>
        <w:tc>
          <w:tcPr>
            <w:tcW w:w="3261" w:type="dxa"/>
            <w:tcBorders>
              <w:top w:val="single" w:sz="4" w:space="0" w:color="auto"/>
              <w:bottom w:val="nil"/>
            </w:tcBorders>
          </w:tcPr>
          <w:p w:rsidR="00E24DB7" w:rsidRPr="002C5876" w:rsidRDefault="00E24DB7" w:rsidP="00E24DB7">
            <w:pPr>
              <w:keepNext/>
              <w:spacing w:before="60" w:after="60" w:line="220" w:lineRule="atLeast"/>
              <w:ind w:left="57" w:right="57"/>
              <w:rPr>
                <w:sz w:val="18"/>
                <w:szCs w:val="18"/>
              </w:rPr>
            </w:pPr>
            <w:r w:rsidRPr="002C5876">
              <w:rPr>
                <w:sz w:val="18"/>
                <w:szCs w:val="18"/>
              </w:rPr>
              <w:t xml:space="preserve">Calcul des émissions pondérées </w:t>
            </w:r>
            <w:r w:rsidRPr="002C5876">
              <w:rPr>
                <w:sz w:val="18"/>
                <w:szCs w:val="18"/>
              </w:rPr>
              <w:br/>
              <w:t>(sauf M</w:t>
            </w:r>
            <w:r w:rsidRPr="002C5876">
              <w:rPr>
                <w:sz w:val="18"/>
                <w:szCs w:val="18"/>
                <w:vertAlign w:val="subscript"/>
              </w:rPr>
              <w:t>CO2,weighted</w:t>
            </w:r>
            <w:r w:rsidRPr="002C5876">
              <w:rPr>
                <w:sz w:val="18"/>
                <w:szCs w:val="18"/>
              </w:rPr>
              <w:t>) conformément aux paragraphes 4.1.3.1 à 4.1.3.3 de la présente annexe.</w:t>
            </w:r>
          </w:p>
          <w:p w:rsidR="00E24DB7" w:rsidRPr="002C5876" w:rsidRDefault="00E24DB7" w:rsidP="00E24DB7">
            <w:pPr>
              <w:keepNext/>
              <w:spacing w:before="60" w:after="60" w:line="220" w:lineRule="atLeast"/>
              <w:ind w:left="57" w:right="57"/>
              <w:rPr>
                <w:sz w:val="18"/>
                <w:szCs w:val="18"/>
              </w:rPr>
            </w:pPr>
            <w:r w:rsidRPr="002C5876">
              <w:rPr>
                <w:sz w:val="18"/>
                <w:szCs w:val="18"/>
              </w:rPr>
              <w:t xml:space="preserve">Remarque : </w:t>
            </w:r>
            <w:r w:rsidRPr="002C5876">
              <w:rPr>
                <w:sz w:val="18"/>
                <w:szCs w:val="18"/>
              </w:rPr>
              <w:br/>
              <w:t>M</w:t>
            </w:r>
            <w:r w:rsidRPr="002C5876">
              <w:rPr>
                <w:sz w:val="18"/>
                <w:szCs w:val="18"/>
                <w:vertAlign w:val="subscript"/>
              </w:rPr>
              <w:t>i,CS,c,6</w:t>
            </w:r>
            <w:r w:rsidRPr="002C5876">
              <w:rPr>
                <w:sz w:val="18"/>
                <w:szCs w:val="18"/>
              </w:rPr>
              <w:t xml:space="preserve"> inclut PN</w:t>
            </w:r>
            <w:r w:rsidRPr="002C5876">
              <w:rPr>
                <w:sz w:val="18"/>
                <w:szCs w:val="18"/>
                <w:vertAlign w:val="subscript"/>
              </w:rPr>
              <w:t>CS,c</w:t>
            </w:r>
            <w:r w:rsidRPr="002C5876">
              <w:rPr>
                <w:sz w:val="18"/>
                <w:szCs w:val="18"/>
              </w:rPr>
              <w:t xml:space="preserve"> et PM</w:t>
            </w:r>
            <w:r w:rsidRPr="002C5876">
              <w:rPr>
                <w:sz w:val="18"/>
                <w:szCs w:val="18"/>
                <w:vertAlign w:val="subscript"/>
              </w:rPr>
              <w:t>CS,c.</w:t>
            </w:r>
          </w:p>
        </w:tc>
        <w:tc>
          <w:tcPr>
            <w:tcW w:w="2235" w:type="dxa"/>
            <w:tcBorders>
              <w:top w:val="single" w:sz="4" w:space="0" w:color="auto"/>
              <w:bottom w:val="nil"/>
            </w:tcBorders>
          </w:tcPr>
          <w:p w:rsidR="00E24DB7" w:rsidRPr="00D53F39" w:rsidRDefault="00E24DB7" w:rsidP="00E24DB7">
            <w:pPr>
              <w:keepNext/>
              <w:spacing w:before="60" w:after="60" w:line="220" w:lineRule="atLeast"/>
              <w:ind w:left="57" w:right="57"/>
              <w:rPr>
                <w:sz w:val="18"/>
                <w:szCs w:val="18"/>
                <w:lang w:val="en-US"/>
              </w:rPr>
            </w:pPr>
            <w:r w:rsidRPr="00D53F39">
              <w:rPr>
                <w:sz w:val="18"/>
                <w:szCs w:val="18"/>
                <w:lang w:val="en-US"/>
              </w:rPr>
              <w:t>M</w:t>
            </w:r>
            <w:r w:rsidRPr="00D53F39">
              <w:rPr>
                <w:sz w:val="18"/>
                <w:szCs w:val="18"/>
                <w:vertAlign w:val="subscript"/>
                <w:lang w:val="en-US"/>
              </w:rPr>
              <w:t>i,weighted</w:t>
            </w:r>
            <w:r w:rsidRPr="00D53F39">
              <w:rPr>
                <w:sz w:val="18"/>
                <w:szCs w:val="18"/>
                <w:lang w:val="en-US"/>
              </w:rPr>
              <w:t>, g/km </w:t>
            </w:r>
            <w:r w:rsidRPr="00D53F39">
              <w:rPr>
                <w:sz w:val="18"/>
                <w:szCs w:val="18"/>
                <w:lang w:val="en-US"/>
              </w:rPr>
              <w:br/>
              <w:t>PN</w:t>
            </w:r>
            <w:r w:rsidRPr="00D53F39">
              <w:rPr>
                <w:sz w:val="18"/>
                <w:szCs w:val="18"/>
                <w:vertAlign w:val="subscript"/>
                <w:lang w:val="en-US"/>
              </w:rPr>
              <w:t>weighted</w:t>
            </w:r>
            <w:r w:rsidRPr="00D53F39">
              <w:rPr>
                <w:sz w:val="18"/>
                <w:szCs w:val="18"/>
                <w:lang w:val="en-US"/>
              </w:rPr>
              <w:t xml:space="preserve">, particules par km </w:t>
            </w:r>
            <w:r w:rsidRPr="00D53F39">
              <w:rPr>
                <w:sz w:val="18"/>
                <w:szCs w:val="18"/>
                <w:lang w:val="en-US"/>
              </w:rPr>
              <w:br/>
              <w:t>PM</w:t>
            </w:r>
            <w:r w:rsidRPr="00D53F39">
              <w:rPr>
                <w:sz w:val="18"/>
                <w:szCs w:val="18"/>
                <w:vertAlign w:val="subscript"/>
                <w:lang w:val="en-US"/>
              </w:rPr>
              <w:t>weighted</w:t>
            </w:r>
            <w:r w:rsidRPr="00D53F39">
              <w:rPr>
                <w:sz w:val="18"/>
                <w:szCs w:val="18"/>
                <w:lang w:val="en-US"/>
              </w:rPr>
              <w:t>, mg/km</w:t>
            </w:r>
          </w:p>
        </w:tc>
        <w:tc>
          <w:tcPr>
            <w:tcW w:w="740" w:type="dxa"/>
            <w:tcBorders>
              <w:top w:val="single" w:sz="4" w:space="0" w:color="auto"/>
              <w:bottom w:val="nil"/>
            </w:tcBorders>
          </w:tcPr>
          <w:p w:rsidR="00E24DB7" w:rsidRPr="002C5876" w:rsidRDefault="00E24DB7" w:rsidP="00E24DB7">
            <w:pPr>
              <w:keepNext/>
              <w:spacing w:before="60" w:after="60" w:line="220" w:lineRule="atLeast"/>
              <w:ind w:left="57" w:right="57"/>
              <w:rPr>
                <w:sz w:val="18"/>
                <w:szCs w:val="18"/>
              </w:rPr>
            </w:pPr>
            <w:r w:rsidRPr="002C5876">
              <w:rPr>
                <w:sz w:val="18"/>
                <w:szCs w:val="18"/>
              </w:rPr>
              <w:t>2</w:t>
            </w:r>
          </w:p>
        </w:tc>
      </w:tr>
      <w:tr w:rsidR="00E24DB7" w:rsidRPr="002C5876" w:rsidTr="00E24DB7">
        <w:trPr>
          <w:trHeight w:val="20"/>
          <w:jc w:val="center"/>
        </w:trPr>
        <w:tc>
          <w:tcPr>
            <w:tcW w:w="1265" w:type="dxa"/>
            <w:tcBorders>
              <w:top w:val="nil"/>
              <w:bottom w:val="single" w:sz="4" w:space="0" w:color="auto"/>
            </w:tcBorders>
          </w:tcPr>
          <w:p w:rsidR="00E24DB7" w:rsidRPr="002C5876" w:rsidRDefault="00E24DB7" w:rsidP="00E24DB7">
            <w:pPr>
              <w:keepNext/>
              <w:spacing w:before="60" w:after="60" w:line="220" w:lineRule="atLeast"/>
              <w:ind w:left="57" w:right="57"/>
              <w:rPr>
                <w:sz w:val="18"/>
                <w:szCs w:val="18"/>
              </w:rPr>
            </w:pPr>
          </w:p>
        </w:tc>
        <w:tc>
          <w:tcPr>
            <w:tcW w:w="2138" w:type="dxa"/>
            <w:tcBorders>
              <w:top w:val="nil"/>
              <w:bottom w:val="single" w:sz="4" w:space="0" w:color="auto"/>
            </w:tcBorders>
          </w:tcPr>
          <w:p w:rsidR="00E24DB7" w:rsidRPr="002C5876" w:rsidRDefault="00E24DB7" w:rsidP="00E24DB7">
            <w:pPr>
              <w:keepNext/>
              <w:spacing w:before="60" w:after="60" w:line="220" w:lineRule="atLeast"/>
              <w:ind w:left="57" w:right="57"/>
              <w:rPr>
                <w:sz w:val="18"/>
                <w:szCs w:val="18"/>
              </w:rPr>
            </w:pPr>
          </w:p>
        </w:tc>
        <w:tc>
          <w:tcPr>
            <w:tcW w:w="3261" w:type="dxa"/>
            <w:tcBorders>
              <w:top w:val="nil"/>
              <w:bottom w:val="single" w:sz="4" w:space="0" w:color="auto"/>
            </w:tcBorders>
          </w:tcPr>
          <w:p w:rsidR="00E24DB7" w:rsidRPr="002C5876" w:rsidRDefault="00E24DB7" w:rsidP="00E24DB7">
            <w:pPr>
              <w:keepNext/>
              <w:spacing w:before="60" w:after="60" w:line="220" w:lineRule="atLeast"/>
              <w:ind w:left="57" w:right="57"/>
              <w:rPr>
                <w:sz w:val="18"/>
                <w:szCs w:val="18"/>
              </w:rPr>
            </w:pPr>
            <w:r w:rsidRPr="002C5876">
              <w:rPr>
                <w:sz w:val="18"/>
                <w:szCs w:val="18"/>
              </w:rPr>
              <w:t>Données de sorties disponibles pour chaque essai d’épuisement de la charge.</w:t>
            </w:r>
          </w:p>
          <w:p w:rsidR="00E24DB7" w:rsidRPr="002C5876" w:rsidRDefault="00E24DB7" w:rsidP="00E24DB7">
            <w:pPr>
              <w:keepNext/>
              <w:spacing w:before="60" w:after="60" w:line="220" w:lineRule="atLeast"/>
              <w:ind w:left="57" w:right="57"/>
              <w:rPr>
                <w:sz w:val="18"/>
                <w:szCs w:val="18"/>
              </w:rPr>
            </w:pPr>
            <w:r w:rsidRPr="002C5876">
              <w:rPr>
                <w:sz w:val="18"/>
                <w:szCs w:val="18"/>
              </w:rPr>
              <w:t>Si la méthode d’interpolation est appliquée, les données de sortie sont disponibles pour chaque véhicule L, H et, le cas échéant, M.</w:t>
            </w:r>
          </w:p>
        </w:tc>
        <w:tc>
          <w:tcPr>
            <w:tcW w:w="2235" w:type="dxa"/>
            <w:tcBorders>
              <w:top w:val="nil"/>
              <w:bottom w:val="single" w:sz="4" w:space="0" w:color="auto"/>
            </w:tcBorders>
          </w:tcPr>
          <w:p w:rsidR="00E24DB7" w:rsidRPr="002C5876" w:rsidRDefault="00E24DB7" w:rsidP="00E24DB7">
            <w:pPr>
              <w:keepNext/>
              <w:spacing w:before="60" w:after="60" w:line="220" w:lineRule="atLeast"/>
              <w:ind w:left="57" w:right="57"/>
              <w:rPr>
                <w:sz w:val="18"/>
                <w:szCs w:val="18"/>
              </w:rPr>
            </w:pPr>
          </w:p>
        </w:tc>
        <w:tc>
          <w:tcPr>
            <w:tcW w:w="740" w:type="dxa"/>
            <w:tcBorders>
              <w:top w:val="nil"/>
              <w:bottom w:val="single" w:sz="4" w:space="0" w:color="auto"/>
            </w:tcBorders>
          </w:tcPr>
          <w:p w:rsidR="00E24DB7" w:rsidRPr="002C5876" w:rsidRDefault="00E24DB7" w:rsidP="00E24DB7">
            <w:pPr>
              <w:keepNext/>
              <w:spacing w:before="60" w:after="60" w:line="220" w:lineRule="atLeast"/>
              <w:ind w:left="57" w:right="57"/>
              <w:rPr>
                <w:sz w:val="18"/>
                <w:szCs w:val="18"/>
              </w:rPr>
            </w:pPr>
          </w:p>
        </w:tc>
      </w:tr>
      <w:tr w:rsidR="00E24DB7" w:rsidRPr="002C5876" w:rsidTr="00E24DB7">
        <w:trPr>
          <w:trHeight w:val="20"/>
          <w:jc w:val="center"/>
        </w:trPr>
        <w:tc>
          <w:tcPr>
            <w:tcW w:w="1265" w:type="dxa"/>
            <w:tcBorders>
              <w:top w:val="single" w:sz="4" w:space="0" w:color="auto"/>
              <w:bottom w:val="single" w:sz="4"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Sortie</w:t>
            </w:r>
            <w:r w:rsidRPr="002C5876">
              <w:rPr>
                <w:sz w:val="18"/>
                <w:szCs w:val="18"/>
              </w:rPr>
              <w:br/>
              <w:t xml:space="preserve">de l’étape 1 </w:t>
            </w:r>
          </w:p>
        </w:tc>
        <w:tc>
          <w:tcPr>
            <w:tcW w:w="2138" w:type="dxa"/>
            <w:tcBorders>
              <w:top w:val="single" w:sz="4" w:space="0" w:color="auto"/>
              <w:bottom w:val="single" w:sz="4"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M</w:t>
            </w:r>
            <w:r w:rsidRPr="002C5876">
              <w:rPr>
                <w:sz w:val="18"/>
                <w:szCs w:val="18"/>
                <w:vertAlign w:val="subscript"/>
              </w:rPr>
              <w:t>CO2,CD,j</w:t>
            </w:r>
            <w:r w:rsidRPr="002C5876">
              <w:rPr>
                <w:sz w:val="18"/>
                <w:szCs w:val="18"/>
              </w:rPr>
              <w:t xml:space="preserve">, g/km </w:t>
            </w:r>
            <w:r w:rsidRPr="002C5876">
              <w:rPr>
                <w:sz w:val="18"/>
                <w:szCs w:val="18"/>
              </w:rPr>
              <w:br/>
              <w:t>ΔE</w:t>
            </w:r>
            <w:r w:rsidRPr="002C5876">
              <w:rPr>
                <w:sz w:val="18"/>
                <w:szCs w:val="18"/>
                <w:vertAlign w:val="subscript"/>
              </w:rPr>
              <w:t>REESS,j</w:t>
            </w:r>
            <w:r w:rsidRPr="002C5876">
              <w:rPr>
                <w:sz w:val="18"/>
                <w:szCs w:val="18"/>
              </w:rPr>
              <w:t xml:space="preserve">, Wh </w:t>
            </w:r>
            <w:r w:rsidRPr="002C5876">
              <w:rPr>
                <w:sz w:val="18"/>
                <w:szCs w:val="18"/>
              </w:rPr>
              <w:br/>
              <w:t>d</w:t>
            </w:r>
            <w:r w:rsidRPr="002C5876">
              <w:rPr>
                <w:sz w:val="18"/>
                <w:szCs w:val="18"/>
                <w:vertAlign w:val="subscript"/>
              </w:rPr>
              <w:t>j</w:t>
            </w:r>
            <w:r w:rsidRPr="002C5876">
              <w:rPr>
                <w:sz w:val="18"/>
                <w:szCs w:val="18"/>
              </w:rPr>
              <w:t xml:space="preserve">, km </w:t>
            </w:r>
            <w:r w:rsidRPr="002C5876">
              <w:rPr>
                <w:sz w:val="18"/>
                <w:szCs w:val="18"/>
              </w:rPr>
              <w:br/>
              <w:t>n</w:t>
            </w:r>
            <w:r w:rsidRPr="002C5876">
              <w:rPr>
                <w:sz w:val="18"/>
                <w:szCs w:val="18"/>
                <w:vertAlign w:val="subscript"/>
              </w:rPr>
              <w:t xml:space="preserve">veh </w:t>
            </w:r>
            <w:r w:rsidRPr="002C5876">
              <w:rPr>
                <w:sz w:val="18"/>
                <w:szCs w:val="18"/>
              </w:rPr>
              <w:br/>
              <w:t>R</w:t>
            </w:r>
            <w:r w:rsidRPr="002C5876">
              <w:rPr>
                <w:sz w:val="18"/>
                <w:szCs w:val="18"/>
                <w:vertAlign w:val="subscript"/>
              </w:rPr>
              <w:t>CDC</w:t>
            </w:r>
            <w:r w:rsidRPr="002C5876">
              <w:rPr>
                <w:sz w:val="18"/>
                <w:szCs w:val="18"/>
              </w:rPr>
              <w:t xml:space="preserve">, km </w:t>
            </w:r>
            <w:r w:rsidRPr="002C5876">
              <w:rPr>
                <w:sz w:val="18"/>
                <w:szCs w:val="18"/>
              </w:rPr>
              <w:br/>
              <w:t>M</w:t>
            </w:r>
            <w:r w:rsidRPr="002C5876">
              <w:rPr>
                <w:sz w:val="18"/>
                <w:szCs w:val="18"/>
                <w:vertAlign w:val="subscript"/>
              </w:rPr>
              <w:t>CO2,CS</w:t>
            </w:r>
            <w:r w:rsidRPr="002C5876">
              <w:rPr>
                <w:sz w:val="18"/>
                <w:szCs w:val="18"/>
              </w:rPr>
              <w:t>, g/km</w:t>
            </w:r>
          </w:p>
        </w:tc>
        <w:tc>
          <w:tcPr>
            <w:tcW w:w="3261" w:type="dxa"/>
            <w:tcBorders>
              <w:top w:val="single" w:sz="4" w:space="0" w:color="auto"/>
              <w:bottom w:val="single" w:sz="4"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Calcul de l’l’autonomie équivalente en mode électrique pur conformément aux paragraphes 4.4.4.1 et 4.4.4.2 de la présente annexe, et de l’autonomie réelle en mode épuisement de la charge conformément au paragraphe 4.4.5 de la présente annexe.</w:t>
            </w:r>
          </w:p>
          <w:p w:rsidR="00E24DB7" w:rsidRPr="002C5876" w:rsidRDefault="00E24DB7" w:rsidP="00E24DB7">
            <w:pPr>
              <w:spacing w:before="60" w:after="60" w:line="220" w:lineRule="atLeast"/>
              <w:ind w:left="57" w:right="57"/>
              <w:rPr>
                <w:sz w:val="18"/>
                <w:szCs w:val="18"/>
              </w:rPr>
            </w:pPr>
            <w:r w:rsidRPr="002C5876">
              <w:rPr>
                <w:sz w:val="18"/>
                <w:szCs w:val="18"/>
              </w:rPr>
              <w:t>Données de sorties disponibles pour chaque essai d’épuisement de la charge.</w:t>
            </w:r>
          </w:p>
          <w:p w:rsidR="00E24DB7" w:rsidRPr="002C5876" w:rsidRDefault="00E24DB7" w:rsidP="00E24DB7">
            <w:pPr>
              <w:spacing w:before="60" w:after="60" w:line="220" w:lineRule="atLeast"/>
              <w:ind w:left="57" w:right="57"/>
              <w:rPr>
                <w:sz w:val="18"/>
                <w:szCs w:val="18"/>
              </w:rPr>
            </w:pPr>
            <w:r w:rsidRPr="002C5876">
              <w:rPr>
                <w:sz w:val="18"/>
                <w:szCs w:val="18"/>
              </w:rPr>
              <w:t>Si la méthode d’interpolation est appliquée, les données de sortie sont disponibles pour chaque véhicule L, H et, le cas échéant, M.</w:t>
            </w:r>
          </w:p>
        </w:tc>
        <w:tc>
          <w:tcPr>
            <w:tcW w:w="2235" w:type="dxa"/>
            <w:tcBorders>
              <w:top w:val="single" w:sz="4" w:space="0" w:color="auto"/>
              <w:bottom w:val="single" w:sz="4" w:space="0" w:color="auto"/>
            </w:tcBorders>
          </w:tcPr>
          <w:p w:rsidR="00E24DB7" w:rsidRPr="00D53F39" w:rsidRDefault="00E24DB7" w:rsidP="00E24DB7">
            <w:pPr>
              <w:spacing w:before="60" w:after="60" w:line="220" w:lineRule="atLeast"/>
              <w:ind w:left="57" w:right="57"/>
              <w:rPr>
                <w:sz w:val="18"/>
                <w:szCs w:val="18"/>
                <w:lang w:val="en-US"/>
              </w:rPr>
            </w:pPr>
            <w:r w:rsidRPr="00D53F39">
              <w:rPr>
                <w:sz w:val="18"/>
                <w:szCs w:val="18"/>
                <w:lang w:val="en-US"/>
              </w:rPr>
              <w:t xml:space="preserve">EAER, km </w:t>
            </w:r>
            <w:r w:rsidRPr="00D53F39">
              <w:rPr>
                <w:sz w:val="18"/>
                <w:szCs w:val="18"/>
                <w:lang w:val="en-US"/>
              </w:rPr>
              <w:br/>
              <w:t>EAER</w:t>
            </w:r>
            <w:r w:rsidRPr="00D53F39">
              <w:rPr>
                <w:sz w:val="18"/>
                <w:szCs w:val="18"/>
                <w:vertAlign w:val="subscript"/>
                <w:lang w:val="en-US"/>
              </w:rPr>
              <w:t>p</w:t>
            </w:r>
            <w:r w:rsidRPr="00D53F39">
              <w:rPr>
                <w:sz w:val="18"/>
                <w:szCs w:val="18"/>
                <w:lang w:val="en-US"/>
              </w:rPr>
              <w:t xml:space="preserve">, km </w:t>
            </w:r>
            <w:r w:rsidRPr="00D53F39">
              <w:rPr>
                <w:sz w:val="18"/>
                <w:szCs w:val="18"/>
                <w:lang w:val="en-US"/>
              </w:rPr>
              <w:br/>
              <w:t>R</w:t>
            </w:r>
            <w:r w:rsidRPr="00D53F39">
              <w:rPr>
                <w:sz w:val="18"/>
                <w:szCs w:val="18"/>
                <w:vertAlign w:val="subscript"/>
                <w:lang w:val="en-US"/>
              </w:rPr>
              <w:t>CDA</w:t>
            </w:r>
            <w:r w:rsidRPr="00D53F39">
              <w:rPr>
                <w:sz w:val="18"/>
                <w:szCs w:val="18"/>
                <w:lang w:val="en-US"/>
              </w:rPr>
              <w:t>, km</w:t>
            </w:r>
          </w:p>
        </w:tc>
        <w:tc>
          <w:tcPr>
            <w:tcW w:w="740" w:type="dxa"/>
            <w:tcBorders>
              <w:top w:val="single" w:sz="4" w:space="0" w:color="auto"/>
              <w:bottom w:val="single" w:sz="4"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3</w:t>
            </w:r>
          </w:p>
        </w:tc>
      </w:tr>
      <w:tr w:rsidR="00E24DB7" w:rsidRPr="002C5876" w:rsidTr="00E24DB7">
        <w:trPr>
          <w:trHeight w:val="20"/>
          <w:jc w:val="center"/>
        </w:trPr>
        <w:tc>
          <w:tcPr>
            <w:tcW w:w="1265" w:type="dxa"/>
            <w:tcBorders>
              <w:top w:val="single" w:sz="4" w:space="0" w:color="auto"/>
              <w:bottom w:val="nil"/>
            </w:tcBorders>
          </w:tcPr>
          <w:p w:rsidR="00E24DB7" w:rsidRPr="002C5876" w:rsidRDefault="00E24DB7" w:rsidP="00E24DB7">
            <w:pPr>
              <w:spacing w:before="60" w:after="60" w:line="220" w:lineRule="atLeast"/>
              <w:ind w:left="57" w:right="57"/>
              <w:rPr>
                <w:sz w:val="18"/>
                <w:szCs w:val="18"/>
              </w:rPr>
            </w:pPr>
            <w:r w:rsidRPr="002C5876">
              <w:rPr>
                <w:sz w:val="18"/>
                <w:szCs w:val="18"/>
              </w:rPr>
              <w:t>Sortie</w:t>
            </w:r>
            <w:r w:rsidRPr="002C5876">
              <w:rPr>
                <w:sz w:val="18"/>
                <w:szCs w:val="18"/>
              </w:rPr>
              <w:br/>
              <w:t>de l’étape 1</w:t>
            </w:r>
          </w:p>
        </w:tc>
        <w:tc>
          <w:tcPr>
            <w:tcW w:w="2138" w:type="dxa"/>
            <w:tcBorders>
              <w:top w:val="single" w:sz="4" w:space="0" w:color="auto"/>
              <w:bottom w:val="nil"/>
            </w:tcBorders>
          </w:tcPr>
          <w:p w:rsidR="00E24DB7" w:rsidRPr="002C5876" w:rsidRDefault="00E24DB7" w:rsidP="00E24DB7">
            <w:pPr>
              <w:spacing w:before="60" w:after="60" w:line="220" w:lineRule="atLeast"/>
              <w:ind w:left="766" w:right="57" w:hanging="709"/>
              <w:rPr>
                <w:sz w:val="18"/>
                <w:szCs w:val="18"/>
              </w:rPr>
            </w:pPr>
            <w:r w:rsidRPr="002C5876">
              <w:rPr>
                <w:sz w:val="18"/>
                <w:szCs w:val="18"/>
              </w:rPr>
              <w:t>AER, km</w:t>
            </w:r>
          </w:p>
        </w:tc>
        <w:tc>
          <w:tcPr>
            <w:tcW w:w="3261" w:type="dxa"/>
            <w:tcBorders>
              <w:top w:val="single" w:sz="4" w:space="0" w:color="auto"/>
              <w:bottom w:val="nil"/>
            </w:tcBorders>
          </w:tcPr>
          <w:p w:rsidR="00E24DB7" w:rsidRPr="002C5876" w:rsidRDefault="00E24DB7" w:rsidP="00E24DB7">
            <w:pPr>
              <w:spacing w:before="60" w:after="60" w:line="220" w:lineRule="atLeast"/>
              <w:ind w:left="57" w:right="57"/>
              <w:rPr>
                <w:sz w:val="18"/>
                <w:szCs w:val="18"/>
              </w:rPr>
            </w:pPr>
            <w:r w:rsidRPr="002C5876">
              <w:rPr>
                <w:sz w:val="18"/>
                <w:szCs w:val="18"/>
              </w:rPr>
              <w:t>Données de sorties disponibles pour chaque essai d’épuisement de la charge.</w:t>
            </w:r>
          </w:p>
        </w:tc>
        <w:tc>
          <w:tcPr>
            <w:tcW w:w="2235" w:type="dxa"/>
            <w:tcBorders>
              <w:top w:val="single" w:sz="4" w:space="0" w:color="auto"/>
              <w:bottom w:val="nil"/>
            </w:tcBorders>
          </w:tcPr>
          <w:p w:rsidR="00E24DB7" w:rsidRPr="002C5876" w:rsidRDefault="00E24DB7" w:rsidP="00E24DB7">
            <w:pPr>
              <w:spacing w:before="60" w:after="60" w:line="220" w:lineRule="atLeast"/>
              <w:ind w:left="57" w:right="57"/>
              <w:rPr>
                <w:sz w:val="18"/>
                <w:szCs w:val="18"/>
              </w:rPr>
            </w:pPr>
            <w:r w:rsidRPr="002C5876">
              <w:rPr>
                <w:sz w:val="18"/>
                <w:szCs w:val="18"/>
              </w:rPr>
              <w:t>Possibilité d’interpolation d’AER.</w:t>
            </w:r>
          </w:p>
        </w:tc>
        <w:tc>
          <w:tcPr>
            <w:tcW w:w="740" w:type="dxa"/>
            <w:tcBorders>
              <w:top w:val="single" w:sz="4" w:space="0" w:color="auto"/>
              <w:bottom w:val="nil"/>
            </w:tcBorders>
          </w:tcPr>
          <w:p w:rsidR="00E24DB7" w:rsidRPr="002C5876" w:rsidRDefault="00E24DB7" w:rsidP="00E24DB7">
            <w:pPr>
              <w:spacing w:before="60" w:after="60" w:line="220" w:lineRule="atLeast"/>
              <w:ind w:left="57" w:right="57"/>
              <w:rPr>
                <w:sz w:val="18"/>
                <w:szCs w:val="18"/>
              </w:rPr>
            </w:pPr>
            <w:r w:rsidRPr="002C5876">
              <w:rPr>
                <w:sz w:val="18"/>
                <w:szCs w:val="18"/>
              </w:rPr>
              <w:t>4</w:t>
            </w:r>
          </w:p>
        </w:tc>
      </w:tr>
      <w:tr w:rsidR="00E24DB7" w:rsidRPr="002C5876" w:rsidTr="00E24DB7">
        <w:trPr>
          <w:trHeight w:val="20"/>
          <w:jc w:val="center"/>
        </w:trPr>
        <w:tc>
          <w:tcPr>
            <w:tcW w:w="1265" w:type="dxa"/>
            <w:tcBorders>
              <w:top w:val="nil"/>
              <w:bottom w:val="single" w:sz="4"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Sortie</w:t>
            </w:r>
            <w:r w:rsidRPr="002C5876">
              <w:rPr>
                <w:sz w:val="18"/>
                <w:szCs w:val="18"/>
              </w:rPr>
              <w:br/>
              <w:t>de l’étape 3</w:t>
            </w:r>
          </w:p>
        </w:tc>
        <w:tc>
          <w:tcPr>
            <w:tcW w:w="2138" w:type="dxa"/>
            <w:tcBorders>
              <w:top w:val="nil"/>
              <w:bottom w:val="single" w:sz="4" w:space="0" w:color="auto"/>
            </w:tcBorders>
          </w:tcPr>
          <w:p w:rsidR="00E24DB7" w:rsidRPr="002C5876" w:rsidRDefault="00E24DB7" w:rsidP="00E24DB7">
            <w:pPr>
              <w:spacing w:before="60" w:after="60" w:line="220" w:lineRule="atLeast"/>
              <w:ind w:left="766" w:right="57" w:hanging="709"/>
              <w:rPr>
                <w:sz w:val="18"/>
                <w:szCs w:val="18"/>
              </w:rPr>
            </w:pPr>
            <w:r w:rsidRPr="002C5876">
              <w:rPr>
                <w:sz w:val="18"/>
                <w:szCs w:val="18"/>
              </w:rPr>
              <w:t>R</w:t>
            </w:r>
            <w:r w:rsidRPr="002C5876">
              <w:rPr>
                <w:sz w:val="18"/>
                <w:szCs w:val="18"/>
                <w:vertAlign w:val="subscript"/>
              </w:rPr>
              <w:t>CDA</w:t>
            </w:r>
            <w:r w:rsidRPr="002C5876">
              <w:rPr>
                <w:sz w:val="18"/>
                <w:szCs w:val="18"/>
              </w:rPr>
              <w:t>, km</w:t>
            </w:r>
          </w:p>
        </w:tc>
        <w:tc>
          <w:tcPr>
            <w:tcW w:w="3261" w:type="dxa"/>
            <w:tcBorders>
              <w:top w:val="nil"/>
              <w:bottom w:val="single" w:sz="4" w:space="0" w:color="auto"/>
            </w:tcBorders>
          </w:tcPr>
          <w:p w:rsidR="00E24DB7" w:rsidRPr="002C5876" w:rsidRDefault="00E24DB7" w:rsidP="00E24DB7">
            <w:pPr>
              <w:spacing w:before="60" w:after="60" w:line="220" w:lineRule="atLeast"/>
              <w:ind w:left="57" w:right="57"/>
              <w:rPr>
                <w:spacing w:val="-2"/>
                <w:sz w:val="18"/>
                <w:szCs w:val="18"/>
              </w:rPr>
            </w:pPr>
            <w:r w:rsidRPr="002C5876">
              <w:rPr>
                <w:spacing w:val="-2"/>
                <w:sz w:val="18"/>
                <w:szCs w:val="18"/>
              </w:rPr>
              <w:t xml:space="preserve">Si la méthode d’interpolation est appliquée, vérifier s’il est possible de procéder à l’interpolation de l’autonomie en mode électrique (AER) entre les véhicules H, L et, le cas échéant, M conformément au paragraphe 4.5.7.1 de la présente annexe. </w:t>
            </w:r>
          </w:p>
          <w:p w:rsidR="00E24DB7" w:rsidRPr="002C5876" w:rsidRDefault="00E24DB7" w:rsidP="00E24DB7">
            <w:pPr>
              <w:spacing w:before="60" w:after="60" w:line="220" w:lineRule="atLeast"/>
              <w:ind w:left="57" w:right="57"/>
              <w:rPr>
                <w:sz w:val="18"/>
                <w:szCs w:val="18"/>
              </w:rPr>
            </w:pPr>
            <w:r w:rsidRPr="002C5876">
              <w:rPr>
                <w:spacing w:val="-2"/>
                <w:sz w:val="18"/>
                <w:szCs w:val="18"/>
              </w:rPr>
              <w:t>Si la méthode d’interpolation est appliquée, chaque essai doit satisfaire aux critères.</w:t>
            </w:r>
          </w:p>
        </w:tc>
        <w:tc>
          <w:tcPr>
            <w:tcW w:w="2235" w:type="dxa"/>
            <w:tcBorders>
              <w:top w:val="nil"/>
              <w:bottom w:val="single" w:sz="4" w:space="0" w:color="auto"/>
            </w:tcBorders>
          </w:tcPr>
          <w:p w:rsidR="00E24DB7" w:rsidRPr="002C5876" w:rsidRDefault="00E24DB7" w:rsidP="00E24DB7">
            <w:pPr>
              <w:spacing w:before="60" w:after="60" w:line="220" w:lineRule="atLeast"/>
              <w:ind w:left="57" w:right="57"/>
              <w:rPr>
                <w:sz w:val="18"/>
                <w:szCs w:val="18"/>
              </w:rPr>
            </w:pPr>
          </w:p>
        </w:tc>
        <w:tc>
          <w:tcPr>
            <w:tcW w:w="740" w:type="dxa"/>
            <w:tcBorders>
              <w:top w:val="nil"/>
              <w:bottom w:val="single" w:sz="4" w:space="0" w:color="auto"/>
            </w:tcBorders>
          </w:tcPr>
          <w:p w:rsidR="00E24DB7" w:rsidRPr="002C5876" w:rsidRDefault="00E24DB7" w:rsidP="00E24DB7">
            <w:pPr>
              <w:spacing w:before="60" w:after="60" w:line="220" w:lineRule="atLeast"/>
              <w:ind w:left="57" w:right="57"/>
              <w:rPr>
                <w:sz w:val="18"/>
                <w:szCs w:val="18"/>
              </w:rPr>
            </w:pPr>
          </w:p>
        </w:tc>
      </w:tr>
      <w:tr w:rsidR="00E24DB7" w:rsidRPr="002C5876" w:rsidTr="00E24DB7">
        <w:trPr>
          <w:trHeight w:val="20"/>
          <w:jc w:val="center"/>
        </w:trPr>
        <w:tc>
          <w:tcPr>
            <w:tcW w:w="1265" w:type="dxa"/>
            <w:tcBorders>
              <w:top w:val="single" w:sz="4" w:space="0" w:color="auto"/>
              <w:bottom w:val="single" w:sz="4"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Sortie</w:t>
            </w:r>
            <w:r w:rsidRPr="002C5876">
              <w:rPr>
                <w:sz w:val="18"/>
                <w:szCs w:val="18"/>
              </w:rPr>
              <w:br/>
              <w:t>de l’étape 1</w:t>
            </w:r>
          </w:p>
        </w:tc>
        <w:tc>
          <w:tcPr>
            <w:tcW w:w="2138" w:type="dxa"/>
            <w:tcBorders>
              <w:top w:val="single" w:sz="4" w:space="0" w:color="auto"/>
              <w:bottom w:val="single" w:sz="4" w:space="0" w:color="auto"/>
            </w:tcBorders>
          </w:tcPr>
          <w:p w:rsidR="00E24DB7" w:rsidRPr="002C5876" w:rsidRDefault="00E24DB7" w:rsidP="00E24DB7">
            <w:pPr>
              <w:spacing w:before="60" w:after="60" w:line="220" w:lineRule="atLeast"/>
              <w:ind w:left="766" w:right="57" w:hanging="709"/>
              <w:rPr>
                <w:sz w:val="18"/>
                <w:szCs w:val="18"/>
              </w:rPr>
            </w:pPr>
            <w:r w:rsidRPr="002C5876">
              <w:rPr>
                <w:sz w:val="18"/>
                <w:szCs w:val="18"/>
              </w:rPr>
              <w:t>AER, km</w:t>
            </w:r>
          </w:p>
        </w:tc>
        <w:tc>
          <w:tcPr>
            <w:tcW w:w="3261" w:type="dxa"/>
            <w:tcBorders>
              <w:top w:val="single" w:sz="4" w:space="0" w:color="auto"/>
              <w:bottom w:val="single" w:sz="4"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Calcul de la moyenne d’AER et déclaration d’AER.</w:t>
            </w:r>
          </w:p>
          <w:p w:rsidR="00E24DB7" w:rsidRPr="002C5876" w:rsidRDefault="00E24DB7" w:rsidP="00E24DB7">
            <w:pPr>
              <w:spacing w:before="60" w:after="60" w:line="220" w:lineRule="atLeast"/>
              <w:ind w:left="57" w:right="57"/>
              <w:rPr>
                <w:spacing w:val="-2"/>
                <w:sz w:val="18"/>
                <w:szCs w:val="18"/>
              </w:rPr>
            </w:pPr>
            <w:r w:rsidRPr="002C5876">
              <w:rPr>
                <w:spacing w:val="-2"/>
                <w:sz w:val="18"/>
                <w:szCs w:val="18"/>
              </w:rPr>
              <w:t>Si la méthode d’interpolation est appliquée et que les critères pour l’interpolation d’AER sont satisfaits, les données de sorties sont disponibles pour chaque véhicule L, H et, le cas échéant, M.</w:t>
            </w:r>
          </w:p>
          <w:p w:rsidR="00E24DB7" w:rsidRPr="002C5876" w:rsidRDefault="00E24DB7" w:rsidP="00E24DB7">
            <w:pPr>
              <w:spacing w:before="60" w:after="60" w:line="220" w:lineRule="atLeast"/>
              <w:ind w:left="57" w:right="57"/>
              <w:rPr>
                <w:sz w:val="18"/>
                <w:szCs w:val="18"/>
              </w:rPr>
            </w:pPr>
            <w:r w:rsidRPr="002C5876">
              <w:rPr>
                <w:sz w:val="18"/>
                <w:szCs w:val="18"/>
              </w:rPr>
              <w:t>Si les critères ne sont pas satisfaits, l’AER du véhicule H doit être appliquée à l’ensemble de la famille d’interpolation.</w:t>
            </w:r>
          </w:p>
        </w:tc>
        <w:tc>
          <w:tcPr>
            <w:tcW w:w="2235" w:type="dxa"/>
            <w:tcBorders>
              <w:top w:val="single" w:sz="4" w:space="0" w:color="auto"/>
              <w:bottom w:val="single" w:sz="4"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AER</w:t>
            </w:r>
            <w:r w:rsidRPr="002C5876">
              <w:rPr>
                <w:sz w:val="18"/>
                <w:szCs w:val="18"/>
                <w:vertAlign w:val="subscript"/>
              </w:rPr>
              <w:t>ave</w:t>
            </w:r>
            <w:r w:rsidRPr="002C5876">
              <w:rPr>
                <w:sz w:val="18"/>
                <w:szCs w:val="18"/>
              </w:rPr>
              <w:t xml:space="preserve">, km </w:t>
            </w:r>
            <w:r w:rsidRPr="002C5876">
              <w:rPr>
                <w:sz w:val="18"/>
                <w:szCs w:val="18"/>
              </w:rPr>
              <w:br/>
              <w:t>AER</w:t>
            </w:r>
            <w:r w:rsidRPr="002C5876">
              <w:rPr>
                <w:sz w:val="18"/>
                <w:szCs w:val="18"/>
                <w:vertAlign w:val="subscript"/>
              </w:rPr>
              <w:t>dec</w:t>
            </w:r>
            <w:r w:rsidRPr="002C5876">
              <w:rPr>
                <w:sz w:val="18"/>
                <w:szCs w:val="18"/>
              </w:rPr>
              <w:t>, km</w:t>
            </w:r>
          </w:p>
        </w:tc>
        <w:tc>
          <w:tcPr>
            <w:tcW w:w="740" w:type="dxa"/>
            <w:tcBorders>
              <w:top w:val="single" w:sz="4" w:space="0" w:color="auto"/>
              <w:bottom w:val="single" w:sz="4"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5</w:t>
            </w:r>
          </w:p>
        </w:tc>
      </w:tr>
      <w:tr w:rsidR="00E24DB7" w:rsidRPr="002C5876" w:rsidTr="00CB0320">
        <w:trPr>
          <w:trHeight w:val="20"/>
          <w:jc w:val="center"/>
        </w:trPr>
        <w:tc>
          <w:tcPr>
            <w:tcW w:w="1265" w:type="dxa"/>
            <w:tcBorders>
              <w:top w:val="single" w:sz="4" w:space="0" w:color="auto"/>
              <w:bottom w:val="single" w:sz="4"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Sortie</w:t>
            </w:r>
            <w:r w:rsidRPr="002C5876">
              <w:rPr>
                <w:sz w:val="18"/>
                <w:szCs w:val="18"/>
              </w:rPr>
              <w:br/>
              <w:t>de l’étape 1</w:t>
            </w:r>
          </w:p>
        </w:tc>
        <w:tc>
          <w:tcPr>
            <w:tcW w:w="2138" w:type="dxa"/>
            <w:tcBorders>
              <w:top w:val="single" w:sz="4" w:space="0" w:color="auto"/>
              <w:bottom w:val="single" w:sz="4"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M</w:t>
            </w:r>
            <w:r w:rsidRPr="002C5876">
              <w:rPr>
                <w:sz w:val="18"/>
                <w:szCs w:val="18"/>
                <w:vertAlign w:val="subscript"/>
              </w:rPr>
              <w:t>i,CD,j</w:t>
            </w:r>
            <w:r w:rsidRPr="002C5876">
              <w:rPr>
                <w:sz w:val="18"/>
                <w:szCs w:val="18"/>
              </w:rPr>
              <w:t xml:space="preserve">, g/km </w:t>
            </w:r>
            <w:r w:rsidRPr="002C5876">
              <w:rPr>
                <w:sz w:val="18"/>
                <w:szCs w:val="18"/>
              </w:rPr>
              <w:br/>
              <w:t>M</w:t>
            </w:r>
            <w:r w:rsidRPr="002C5876">
              <w:rPr>
                <w:sz w:val="18"/>
                <w:szCs w:val="18"/>
                <w:vertAlign w:val="subscript"/>
              </w:rPr>
              <w:t>CO2,CD,j</w:t>
            </w:r>
            <w:r w:rsidRPr="002C5876">
              <w:rPr>
                <w:sz w:val="18"/>
                <w:szCs w:val="18"/>
              </w:rPr>
              <w:t xml:space="preserve">, g/km </w:t>
            </w:r>
            <w:r w:rsidRPr="002C5876">
              <w:rPr>
                <w:sz w:val="18"/>
                <w:szCs w:val="18"/>
              </w:rPr>
              <w:br/>
              <w:t>n</w:t>
            </w:r>
            <w:r w:rsidRPr="002C5876">
              <w:rPr>
                <w:sz w:val="18"/>
                <w:szCs w:val="18"/>
                <w:vertAlign w:val="subscript"/>
              </w:rPr>
              <w:t xml:space="preserve">veh </w:t>
            </w:r>
            <w:r w:rsidRPr="002C5876">
              <w:rPr>
                <w:sz w:val="18"/>
                <w:szCs w:val="18"/>
              </w:rPr>
              <w:br/>
              <w:t>n</w:t>
            </w:r>
            <w:r w:rsidRPr="002C5876">
              <w:rPr>
                <w:sz w:val="18"/>
                <w:szCs w:val="18"/>
                <w:vertAlign w:val="subscript"/>
              </w:rPr>
              <w:t xml:space="preserve">veh,L </w:t>
            </w:r>
            <w:r w:rsidRPr="002C5876">
              <w:rPr>
                <w:sz w:val="18"/>
                <w:szCs w:val="18"/>
              </w:rPr>
              <w:br/>
              <w:t>UF</w:t>
            </w:r>
            <w:r w:rsidRPr="002C5876">
              <w:rPr>
                <w:sz w:val="18"/>
                <w:szCs w:val="18"/>
                <w:vertAlign w:val="subscript"/>
              </w:rPr>
              <w:t xml:space="preserve">phase,j </w:t>
            </w:r>
            <w:r w:rsidRPr="002C5876">
              <w:rPr>
                <w:sz w:val="18"/>
                <w:szCs w:val="18"/>
              </w:rPr>
              <w:br/>
              <w:t>M</w:t>
            </w:r>
            <w:r w:rsidRPr="002C5876">
              <w:rPr>
                <w:sz w:val="18"/>
                <w:szCs w:val="18"/>
                <w:vertAlign w:val="subscript"/>
              </w:rPr>
              <w:t>i,CS,c,6</w:t>
            </w:r>
            <w:r w:rsidRPr="002C5876">
              <w:rPr>
                <w:sz w:val="18"/>
                <w:szCs w:val="18"/>
              </w:rPr>
              <w:t xml:space="preserve">, g/km </w:t>
            </w:r>
            <w:r w:rsidRPr="002C5876">
              <w:rPr>
                <w:sz w:val="18"/>
                <w:szCs w:val="18"/>
              </w:rPr>
              <w:br/>
              <w:t>M</w:t>
            </w:r>
            <w:r w:rsidRPr="002C5876">
              <w:rPr>
                <w:sz w:val="18"/>
                <w:szCs w:val="18"/>
                <w:vertAlign w:val="subscript"/>
              </w:rPr>
              <w:t>CO2,CS</w:t>
            </w:r>
            <w:r w:rsidRPr="002C5876">
              <w:rPr>
                <w:sz w:val="18"/>
                <w:szCs w:val="18"/>
              </w:rPr>
              <w:t>, g/km</w:t>
            </w:r>
          </w:p>
        </w:tc>
        <w:tc>
          <w:tcPr>
            <w:tcW w:w="3261" w:type="dxa"/>
            <w:tcBorders>
              <w:top w:val="single" w:sz="4" w:space="0" w:color="auto"/>
              <w:bottom w:val="single" w:sz="4"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Calcul des valeurs pondérées des émissions massiques de CO</w:t>
            </w:r>
            <w:r w:rsidRPr="002C5876">
              <w:rPr>
                <w:sz w:val="18"/>
                <w:szCs w:val="18"/>
                <w:vertAlign w:val="subscript"/>
              </w:rPr>
              <w:t>2</w:t>
            </w:r>
            <w:r w:rsidRPr="002C5876">
              <w:rPr>
                <w:sz w:val="18"/>
                <w:szCs w:val="18"/>
              </w:rPr>
              <w:t xml:space="preserve"> et de la consommation de carburant conformément aux paragraphes 4.1.3.1 et 4.2.3 de la présente annexe.</w:t>
            </w:r>
          </w:p>
          <w:p w:rsidR="00E24DB7" w:rsidRPr="002C5876" w:rsidRDefault="00E24DB7" w:rsidP="00E24DB7">
            <w:pPr>
              <w:spacing w:before="60" w:after="60" w:line="220" w:lineRule="atLeast"/>
              <w:ind w:left="57" w:right="57"/>
              <w:rPr>
                <w:sz w:val="18"/>
                <w:szCs w:val="18"/>
              </w:rPr>
            </w:pPr>
            <w:r w:rsidRPr="002C5876">
              <w:rPr>
                <w:sz w:val="18"/>
                <w:szCs w:val="18"/>
              </w:rPr>
              <w:t>Données de sorties disponibles pour chaque essai d’épuisement de la charge.</w:t>
            </w:r>
          </w:p>
        </w:tc>
        <w:tc>
          <w:tcPr>
            <w:tcW w:w="2235" w:type="dxa"/>
            <w:tcBorders>
              <w:top w:val="single" w:sz="4" w:space="0" w:color="auto"/>
              <w:bottom w:val="single" w:sz="4" w:space="0" w:color="auto"/>
            </w:tcBorders>
          </w:tcPr>
          <w:p w:rsidR="00E24DB7" w:rsidRPr="00D53F39" w:rsidRDefault="00E24DB7" w:rsidP="00E24DB7">
            <w:pPr>
              <w:spacing w:before="60" w:after="60" w:line="220" w:lineRule="atLeast"/>
              <w:ind w:left="57" w:right="57"/>
              <w:rPr>
                <w:sz w:val="18"/>
                <w:szCs w:val="18"/>
                <w:lang w:val="en-US"/>
              </w:rPr>
            </w:pPr>
            <w:r w:rsidRPr="00D53F39">
              <w:rPr>
                <w:sz w:val="18"/>
                <w:szCs w:val="18"/>
                <w:lang w:val="en-US"/>
              </w:rPr>
              <w:t>M</w:t>
            </w:r>
            <w:r w:rsidRPr="00D53F39">
              <w:rPr>
                <w:sz w:val="18"/>
                <w:szCs w:val="18"/>
                <w:vertAlign w:val="subscript"/>
                <w:lang w:val="en-US"/>
              </w:rPr>
              <w:t>CO2,weighted</w:t>
            </w:r>
            <w:r w:rsidRPr="00D53F39">
              <w:rPr>
                <w:sz w:val="18"/>
                <w:szCs w:val="18"/>
                <w:lang w:val="en-US"/>
              </w:rPr>
              <w:t xml:space="preserve">, g/km </w:t>
            </w:r>
            <w:r w:rsidRPr="00D53F39">
              <w:rPr>
                <w:sz w:val="18"/>
                <w:szCs w:val="18"/>
                <w:lang w:val="en-US"/>
              </w:rPr>
              <w:br/>
              <w:t>FC</w:t>
            </w:r>
            <w:r w:rsidRPr="00D53F39">
              <w:rPr>
                <w:sz w:val="18"/>
                <w:szCs w:val="18"/>
                <w:vertAlign w:val="subscript"/>
                <w:lang w:val="en-US"/>
              </w:rPr>
              <w:t>weighted</w:t>
            </w:r>
            <w:r w:rsidRPr="00D53F39">
              <w:rPr>
                <w:sz w:val="18"/>
                <w:szCs w:val="18"/>
                <w:lang w:val="en-US"/>
              </w:rPr>
              <w:t>, l/100 km</w:t>
            </w:r>
          </w:p>
        </w:tc>
        <w:tc>
          <w:tcPr>
            <w:tcW w:w="740" w:type="dxa"/>
            <w:tcBorders>
              <w:top w:val="single" w:sz="4" w:space="0" w:color="auto"/>
              <w:bottom w:val="single" w:sz="4"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6</w:t>
            </w:r>
          </w:p>
        </w:tc>
      </w:tr>
      <w:tr w:rsidR="00E24DB7" w:rsidRPr="002C5876" w:rsidTr="00CB0320">
        <w:trPr>
          <w:trHeight w:val="20"/>
          <w:jc w:val="center"/>
        </w:trPr>
        <w:tc>
          <w:tcPr>
            <w:tcW w:w="1265" w:type="dxa"/>
            <w:tcBorders>
              <w:top w:val="single" w:sz="4" w:space="0" w:color="auto"/>
              <w:bottom w:val="single" w:sz="4" w:space="0" w:color="auto"/>
            </w:tcBorders>
          </w:tcPr>
          <w:p w:rsidR="00E24DB7" w:rsidRPr="002C5876" w:rsidRDefault="00E24DB7" w:rsidP="00E24DB7">
            <w:pPr>
              <w:keepNext/>
              <w:spacing w:before="60" w:after="60" w:line="220" w:lineRule="atLeast"/>
              <w:ind w:left="57" w:right="57"/>
              <w:rPr>
                <w:sz w:val="18"/>
                <w:szCs w:val="18"/>
              </w:rPr>
            </w:pPr>
          </w:p>
        </w:tc>
        <w:tc>
          <w:tcPr>
            <w:tcW w:w="2138" w:type="dxa"/>
            <w:tcBorders>
              <w:top w:val="single" w:sz="4" w:space="0" w:color="auto"/>
              <w:bottom w:val="single" w:sz="4" w:space="0" w:color="auto"/>
            </w:tcBorders>
          </w:tcPr>
          <w:p w:rsidR="00E24DB7" w:rsidRPr="002C5876" w:rsidRDefault="00E24DB7" w:rsidP="00E24DB7">
            <w:pPr>
              <w:keepNext/>
              <w:spacing w:before="60" w:after="60" w:line="220" w:lineRule="atLeast"/>
              <w:ind w:left="57" w:right="57"/>
              <w:rPr>
                <w:sz w:val="18"/>
                <w:szCs w:val="18"/>
              </w:rPr>
            </w:pPr>
          </w:p>
        </w:tc>
        <w:tc>
          <w:tcPr>
            <w:tcW w:w="3261" w:type="dxa"/>
            <w:tcBorders>
              <w:top w:val="single" w:sz="4" w:space="0" w:color="auto"/>
              <w:bottom w:val="single" w:sz="4" w:space="0" w:color="auto"/>
            </w:tcBorders>
          </w:tcPr>
          <w:p w:rsidR="00E24DB7" w:rsidRPr="002C5876" w:rsidRDefault="00E24DB7" w:rsidP="00E24DB7">
            <w:pPr>
              <w:keepNext/>
              <w:spacing w:before="60" w:after="60" w:line="220" w:lineRule="atLeast"/>
              <w:ind w:left="57" w:right="57"/>
              <w:rPr>
                <w:sz w:val="18"/>
                <w:szCs w:val="18"/>
              </w:rPr>
            </w:pPr>
            <w:r w:rsidRPr="002C5876">
              <w:rPr>
                <w:sz w:val="18"/>
                <w:szCs w:val="18"/>
              </w:rPr>
              <w:t>Si la méthode d’interpolation est appliquée, n</w:t>
            </w:r>
            <w:r w:rsidRPr="002C5876">
              <w:rPr>
                <w:sz w:val="18"/>
                <w:szCs w:val="18"/>
                <w:vertAlign w:val="subscript"/>
              </w:rPr>
              <w:t>veh,L</w:t>
            </w:r>
            <w:r w:rsidRPr="002C5876">
              <w:rPr>
                <w:sz w:val="18"/>
                <w:szCs w:val="18"/>
              </w:rPr>
              <w:t xml:space="preserve"> cycles doivent être exécutés. Par conséquent, compte tenu de l’explication fournie au paragraphe 4.1.2 de l’annexe 8, il est nécessaire de corriger M</w:t>
            </w:r>
            <w:r w:rsidRPr="002C5876">
              <w:rPr>
                <w:sz w:val="18"/>
                <w:szCs w:val="18"/>
                <w:vertAlign w:val="subscript"/>
              </w:rPr>
              <w:t xml:space="preserve">CO2,CD,j </w:t>
            </w:r>
            <w:r w:rsidRPr="002C5876">
              <w:rPr>
                <w:sz w:val="18"/>
                <w:szCs w:val="18"/>
              </w:rPr>
              <w:t>pour le cycle de confirmation conformément à l’appendice 2 de l’annexe 8.</w:t>
            </w:r>
          </w:p>
          <w:p w:rsidR="00E24DB7" w:rsidRPr="002C5876" w:rsidRDefault="00E24DB7" w:rsidP="00E24DB7">
            <w:pPr>
              <w:keepNext/>
              <w:spacing w:before="60" w:after="60" w:line="220" w:lineRule="atLeast"/>
              <w:ind w:left="57" w:right="57"/>
              <w:rPr>
                <w:sz w:val="18"/>
                <w:szCs w:val="18"/>
              </w:rPr>
            </w:pPr>
            <w:r w:rsidRPr="002C5876">
              <w:rPr>
                <w:sz w:val="18"/>
                <w:szCs w:val="18"/>
              </w:rPr>
              <w:t>Si la méthode d’interpolation est appliquée, les données de sortie sont disponibles pour chaque véhicule L, H et, le cas échéant, M.</w:t>
            </w:r>
          </w:p>
        </w:tc>
        <w:tc>
          <w:tcPr>
            <w:tcW w:w="2235" w:type="dxa"/>
            <w:tcBorders>
              <w:top w:val="single" w:sz="4" w:space="0" w:color="auto"/>
              <w:bottom w:val="single" w:sz="4" w:space="0" w:color="auto"/>
            </w:tcBorders>
          </w:tcPr>
          <w:p w:rsidR="00E24DB7" w:rsidRPr="002C5876" w:rsidRDefault="00E24DB7" w:rsidP="00E24DB7">
            <w:pPr>
              <w:keepNext/>
              <w:spacing w:before="60" w:after="60" w:line="220" w:lineRule="atLeast"/>
              <w:ind w:left="57" w:right="57"/>
              <w:rPr>
                <w:sz w:val="18"/>
                <w:szCs w:val="18"/>
              </w:rPr>
            </w:pPr>
          </w:p>
        </w:tc>
        <w:tc>
          <w:tcPr>
            <w:tcW w:w="740" w:type="dxa"/>
            <w:tcBorders>
              <w:top w:val="single" w:sz="4" w:space="0" w:color="auto"/>
              <w:bottom w:val="single" w:sz="4" w:space="0" w:color="auto"/>
            </w:tcBorders>
          </w:tcPr>
          <w:p w:rsidR="00E24DB7" w:rsidRPr="002C5876" w:rsidRDefault="00E24DB7" w:rsidP="00E24DB7">
            <w:pPr>
              <w:keepNext/>
              <w:spacing w:before="60" w:after="60" w:line="220" w:lineRule="atLeast"/>
              <w:ind w:left="57" w:right="57"/>
              <w:rPr>
                <w:sz w:val="18"/>
                <w:szCs w:val="18"/>
              </w:rPr>
            </w:pPr>
          </w:p>
        </w:tc>
      </w:tr>
      <w:tr w:rsidR="00E24DB7" w:rsidRPr="002C5876" w:rsidTr="00CB0320">
        <w:trPr>
          <w:trHeight w:val="20"/>
          <w:jc w:val="center"/>
        </w:trPr>
        <w:tc>
          <w:tcPr>
            <w:tcW w:w="1265" w:type="dxa"/>
            <w:tcBorders>
              <w:top w:val="single" w:sz="4" w:space="0" w:color="auto"/>
              <w:bottom w:val="nil"/>
            </w:tcBorders>
          </w:tcPr>
          <w:p w:rsidR="00E24DB7" w:rsidRPr="002C5876" w:rsidRDefault="00E24DB7" w:rsidP="00E24DB7">
            <w:pPr>
              <w:keepNext/>
              <w:spacing w:before="60" w:line="220" w:lineRule="atLeast"/>
              <w:ind w:left="57" w:right="57"/>
              <w:rPr>
                <w:sz w:val="18"/>
                <w:szCs w:val="18"/>
              </w:rPr>
            </w:pPr>
            <w:r w:rsidRPr="002C5876">
              <w:rPr>
                <w:sz w:val="18"/>
                <w:szCs w:val="18"/>
              </w:rPr>
              <w:t>Sortie</w:t>
            </w:r>
            <w:r w:rsidRPr="002C5876">
              <w:rPr>
                <w:sz w:val="18"/>
                <w:szCs w:val="18"/>
              </w:rPr>
              <w:br/>
              <w:t>de l’étape 1</w:t>
            </w:r>
          </w:p>
        </w:tc>
        <w:tc>
          <w:tcPr>
            <w:tcW w:w="2138" w:type="dxa"/>
            <w:tcBorders>
              <w:top w:val="single" w:sz="4" w:space="0" w:color="auto"/>
              <w:bottom w:val="nil"/>
            </w:tcBorders>
          </w:tcPr>
          <w:p w:rsidR="00E24DB7" w:rsidRPr="002C5876" w:rsidRDefault="00E24DB7" w:rsidP="00E24DB7">
            <w:pPr>
              <w:keepNext/>
              <w:spacing w:before="60" w:line="220" w:lineRule="atLeast"/>
              <w:ind w:left="57" w:right="57"/>
              <w:rPr>
                <w:sz w:val="18"/>
                <w:szCs w:val="18"/>
              </w:rPr>
            </w:pPr>
            <w:r w:rsidRPr="002C5876">
              <w:rPr>
                <w:sz w:val="18"/>
                <w:szCs w:val="18"/>
              </w:rPr>
              <w:t>E</w:t>
            </w:r>
            <w:r w:rsidRPr="002C5876">
              <w:rPr>
                <w:sz w:val="18"/>
                <w:szCs w:val="18"/>
                <w:vertAlign w:val="subscript"/>
              </w:rPr>
              <w:t>AC</w:t>
            </w:r>
            <w:r w:rsidRPr="002C5876">
              <w:rPr>
                <w:sz w:val="18"/>
                <w:szCs w:val="18"/>
              </w:rPr>
              <w:t>, Wh </w:t>
            </w:r>
          </w:p>
        </w:tc>
        <w:tc>
          <w:tcPr>
            <w:tcW w:w="3261" w:type="dxa"/>
            <w:vMerge w:val="restart"/>
            <w:tcBorders>
              <w:top w:val="single" w:sz="4" w:space="0" w:color="auto"/>
            </w:tcBorders>
          </w:tcPr>
          <w:p w:rsidR="00E24DB7" w:rsidRPr="002C5876" w:rsidRDefault="00E24DB7" w:rsidP="00E24DB7">
            <w:pPr>
              <w:keepNext/>
              <w:spacing w:before="60" w:after="60" w:line="220" w:lineRule="atLeast"/>
              <w:ind w:left="57" w:right="57"/>
              <w:rPr>
                <w:sz w:val="18"/>
                <w:szCs w:val="18"/>
              </w:rPr>
            </w:pPr>
            <w:r w:rsidRPr="002C5876">
              <w:rPr>
                <w:sz w:val="18"/>
                <w:szCs w:val="18"/>
              </w:rPr>
              <w:t xml:space="preserve">Calcul de la consommation d’énergie électrique en fonction de l’autonomie équivalente en mode électrique pur conformément aux paragraphes 4.3.3.1 et 4.3.3.2 de la présente annexe. </w:t>
            </w:r>
          </w:p>
          <w:p w:rsidR="00E24DB7" w:rsidRPr="002C5876" w:rsidRDefault="00E24DB7" w:rsidP="00E24DB7">
            <w:pPr>
              <w:keepNext/>
              <w:spacing w:before="60" w:after="60" w:line="220" w:lineRule="atLeast"/>
              <w:ind w:left="57" w:right="57"/>
              <w:rPr>
                <w:sz w:val="18"/>
                <w:szCs w:val="18"/>
              </w:rPr>
            </w:pPr>
            <w:r w:rsidRPr="002C5876">
              <w:rPr>
                <w:sz w:val="18"/>
                <w:szCs w:val="18"/>
              </w:rPr>
              <w:t>Données de sorties disponibles pour chaque essai d’épuisement de la charge.</w:t>
            </w:r>
          </w:p>
          <w:p w:rsidR="00E24DB7" w:rsidRPr="002C5876" w:rsidRDefault="00E24DB7" w:rsidP="00E24DB7">
            <w:pPr>
              <w:keepNext/>
              <w:spacing w:before="60" w:after="60" w:line="220" w:lineRule="atLeast"/>
              <w:ind w:left="57" w:right="57"/>
              <w:rPr>
                <w:sz w:val="18"/>
                <w:szCs w:val="18"/>
              </w:rPr>
            </w:pPr>
            <w:r w:rsidRPr="002C5876">
              <w:rPr>
                <w:sz w:val="18"/>
                <w:szCs w:val="18"/>
              </w:rPr>
              <w:t>Si la méthode d’interpolation est appliquée, les données de sortie sont disponibles pour chaque véhicule L, H et, le cas échéant, M.</w:t>
            </w:r>
          </w:p>
        </w:tc>
        <w:tc>
          <w:tcPr>
            <w:tcW w:w="2235" w:type="dxa"/>
            <w:tcBorders>
              <w:top w:val="single" w:sz="4" w:space="0" w:color="auto"/>
              <w:bottom w:val="nil"/>
            </w:tcBorders>
          </w:tcPr>
          <w:p w:rsidR="00E24DB7" w:rsidRPr="002C5876" w:rsidRDefault="00E24DB7" w:rsidP="00E24DB7">
            <w:pPr>
              <w:keepNext/>
              <w:spacing w:before="60" w:after="60" w:line="220" w:lineRule="atLeast"/>
              <w:ind w:left="57" w:right="57"/>
              <w:rPr>
                <w:sz w:val="18"/>
                <w:szCs w:val="18"/>
              </w:rPr>
            </w:pPr>
            <w:r w:rsidRPr="002C5876">
              <w:rPr>
                <w:sz w:val="18"/>
                <w:szCs w:val="18"/>
              </w:rPr>
              <w:t>EC, Wh/km</w:t>
            </w:r>
          </w:p>
        </w:tc>
        <w:tc>
          <w:tcPr>
            <w:tcW w:w="740" w:type="dxa"/>
            <w:vMerge w:val="restart"/>
            <w:tcBorders>
              <w:top w:val="single" w:sz="4" w:space="0" w:color="auto"/>
            </w:tcBorders>
          </w:tcPr>
          <w:p w:rsidR="00E24DB7" w:rsidRPr="002C5876" w:rsidRDefault="00E24DB7" w:rsidP="00E24DB7">
            <w:pPr>
              <w:keepNext/>
              <w:spacing w:before="60" w:after="60" w:line="220" w:lineRule="atLeast"/>
              <w:ind w:left="57" w:right="57"/>
              <w:rPr>
                <w:sz w:val="18"/>
                <w:szCs w:val="18"/>
              </w:rPr>
            </w:pPr>
            <w:r w:rsidRPr="002C5876">
              <w:rPr>
                <w:sz w:val="18"/>
                <w:szCs w:val="18"/>
              </w:rPr>
              <w:t>7</w:t>
            </w:r>
          </w:p>
        </w:tc>
      </w:tr>
      <w:tr w:rsidR="00E24DB7" w:rsidRPr="002C5876" w:rsidTr="00E24DB7">
        <w:trPr>
          <w:trHeight w:val="20"/>
          <w:jc w:val="center"/>
        </w:trPr>
        <w:tc>
          <w:tcPr>
            <w:tcW w:w="1265" w:type="dxa"/>
            <w:tcBorders>
              <w:top w:val="nil"/>
              <w:bottom w:val="single" w:sz="4" w:space="0" w:color="auto"/>
            </w:tcBorders>
          </w:tcPr>
          <w:p w:rsidR="00E24DB7" w:rsidRPr="002C5876" w:rsidRDefault="00E24DB7" w:rsidP="00E24DB7">
            <w:pPr>
              <w:spacing w:after="60" w:line="220" w:lineRule="atLeast"/>
              <w:ind w:left="57" w:right="57"/>
              <w:rPr>
                <w:sz w:val="18"/>
                <w:szCs w:val="18"/>
              </w:rPr>
            </w:pPr>
            <w:r w:rsidRPr="002C5876">
              <w:rPr>
                <w:sz w:val="18"/>
                <w:szCs w:val="18"/>
              </w:rPr>
              <w:t>Sortie</w:t>
            </w:r>
            <w:r w:rsidRPr="002C5876">
              <w:rPr>
                <w:sz w:val="18"/>
                <w:szCs w:val="18"/>
              </w:rPr>
              <w:br/>
              <w:t>de l’étape 3</w:t>
            </w:r>
          </w:p>
        </w:tc>
        <w:tc>
          <w:tcPr>
            <w:tcW w:w="2138" w:type="dxa"/>
            <w:tcBorders>
              <w:top w:val="nil"/>
              <w:bottom w:val="single" w:sz="4" w:space="0" w:color="auto"/>
            </w:tcBorders>
          </w:tcPr>
          <w:p w:rsidR="00E24DB7" w:rsidRPr="002C5876" w:rsidRDefault="00E24DB7" w:rsidP="00E24DB7">
            <w:pPr>
              <w:spacing w:after="60" w:line="220" w:lineRule="atLeast"/>
              <w:ind w:left="57" w:right="57"/>
              <w:rPr>
                <w:sz w:val="18"/>
                <w:szCs w:val="18"/>
              </w:rPr>
            </w:pPr>
            <w:r w:rsidRPr="002C5876">
              <w:rPr>
                <w:sz w:val="18"/>
                <w:szCs w:val="18"/>
              </w:rPr>
              <w:t xml:space="preserve">EAER, km </w:t>
            </w:r>
            <w:r w:rsidRPr="002C5876">
              <w:rPr>
                <w:sz w:val="18"/>
                <w:szCs w:val="18"/>
              </w:rPr>
              <w:br/>
              <w:t>EAER</w:t>
            </w:r>
            <w:r w:rsidRPr="002C5876">
              <w:rPr>
                <w:sz w:val="18"/>
                <w:szCs w:val="18"/>
                <w:vertAlign w:val="subscript"/>
              </w:rPr>
              <w:t>p</w:t>
            </w:r>
            <w:r w:rsidRPr="002C5876">
              <w:rPr>
                <w:sz w:val="18"/>
                <w:szCs w:val="18"/>
              </w:rPr>
              <w:t>, km</w:t>
            </w:r>
          </w:p>
        </w:tc>
        <w:tc>
          <w:tcPr>
            <w:tcW w:w="3261" w:type="dxa"/>
            <w:vMerge/>
            <w:tcBorders>
              <w:bottom w:val="single" w:sz="4" w:space="0" w:color="auto"/>
            </w:tcBorders>
          </w:tcPr>
          <w:p w:rsidR="00E24DB7" w:rsidRPr="002C5876" w:rsidRDefault="00E24DB7" w:rsidP="00E24DB7">
            <w:pPr>
              <w:spacing w:before="60" w:after="60" w:line="220" w:lineRule="atLeast"/>
              <w:ind w:left="57" w:right="57"/>
              <w:rPr>
                <w:sz w:val="18"/>
                <w:szCs w:val="18"/>
              </w:rPr>
            </w:pPr>
          </w:p>
        </w:tc>
        <w:tc>
          <w:tcPr>
            <w:tcW w:w="2235" w:type="dxa"/>
            <w:tcBorders>
              <w:top w:val="nil"/>
              <w:bottom w:val="single" w:sz="4"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EC</w:t>
            </w:r>
            <w:r w:rsidRPr="002C5876">
              <w:rPr>
                <w:sz w:val="18"/>
                <w:szCs w:val="18"/>
                <w:vertAlign w:val="subscript"/>
              </w:rPr>
              <w:t>p</w:t>
            </w:r>
            <w:r w:rsidRPr="002C5876">
              <w:rPr>
                <w:sz w:val="18"/>
                <w:szCs w:val="18"/>
              </w:rPr>
              <w:t>, Wh/km</w:t>
            </w:r>
          </w:p>
        </w:tc>
        <w:tc>
          <w:tcPr>
            <w:tcW w:w="740" w:type="dxa"/>
            <w:vMerge/>
            <w:tcBorders>
              <w:bottom w:val="single" w:sz="4" w:space="0" w:color="auto"/>
            </w:tcBorders>
          </w:tcPr>
          <w:p w:rsidR="00E24DB7" w:rsidRPr="002C5876" w:rsidRDefault="00E24DB7" w:rsidP="00E24DB7">
            <w:pPr>
              <w:spacing w:before="60" w:after="60" w:line="220" w:lineRule="atLeast"/>
              <w:ind w:left="57" w:right="57"/>
              <w:rPr>
                <w:sz w:val="18"/>
                <w:szCs w:val="18"/>
              </w:rPr>
            </w:pPr>
          </w:p>
        </w:tc>
      </w:tr>
      <w:tr w:rsidR="00E24DB7" w:rsidRPr="002C5876" w:rsidTr="00E24DB7">
        <w:trPr>
          <w:trHeight w:val="20"/>
          <w:jc w:val="center"/>
        </w:trPr>
        <w:tc>
          <w:tcPr>
            <w:tcW w:w="1265" w:type="dxa"/>
            <w:tcBorders>
              <w:top w:val="single" w:sz="4" w:space="0" w:color="auto"/>
              <w:bottom w:val="nil"/>
            </w:tcBorders>
          </w:tcPr>
          <w:p w:rsidR="00E24DB7" w:rsidRPr="002C5876" w:rsidRDefault="00E24DB7" w:rsidP="00E24DB7">
            <w:pPr>
              <w:spacing w:before="60" w:line="220" w:lineRule="atLeast"/>
              <w:ind w:left="57" w:right="57"/>
              <w:rPr>
                <w:sz w:val="18"/>
                <w:szCs w:val="18"/>
              </w:rPr>
            </w:pPr>
            <w:r w:rsidRPr="002C5876">
              <w:rPr>
                <w:sz w:val="18"/>
                <w:szCs w:val="18"/>
              </w:rPr>
              <w:t>Sortie</w:t>
            </w:r>
            <w:r w:rsidRPr="002C5876">
              <w:rPr>
                <w:sz w:val="18"/>
                <w:szCs w:val="18"/>
              </w:rPr>
              <w:br/>
              <w:t>de l’étape 1</w:t>
            </w:r>
          </w:p>
        </w:tc>
        <w:tc>
          <w:tcPr>
            <w:tcW w:w="2138" w:type="dxa"/>
            <w:tcBorders>
              <w:top w:val="single" w:sz="4" w:space="0" w:color="auto"/>
              <w:bottom w:val="nil"/>
            </w:tcBorders>
          </w:tcPr>
          <w:p w:rsidR="00E24DB7" w:rsidRPr="002C5876" w:rsidRDefault="00E24DB7" w:rsidP="00E24DB7">
            <w:pPr>
              <w:spacing w:before="60" w:line="220" w:lineRule="atLeast"/>
              <w:ind w:left="57" w:right="57"/>
              <w:rPr>
                <w:sz w:val="18"/>
                <w:szCs w:val="18"/>
              </w:rPr>
            </w:pPr>
            <w:r w:rsidRPr="002C5876">
              <w:rPr>
                <w:sz w:val="18"/>
                <w:szCs w:val="18"/>
              </w:rPr>
              <w:t>AER</w:t>
            </w:r>
            <w:r w:rsidRPr="002C5876">
              <w:rPr>
                <w:sz w:val="18"/>
                <w:szCs w:val="18"/>
                <w:vertAlign w:val="subscript"/>
              </w:rPr>
              <w:t>city, ave</w:t>
            </w:r>
            <w:r w:rsidRPr="002C5876">
              <w:rPr>
                <w:sz w:val="18"/>
                <w:szCs w:val="18"/>
              </w:rPr>
              <w:t>, km</w:t>
            </w:r>
          </w:p>
        </w:tc>
        <w:tc>
          <w:tcPr>
            <w:tcW w:w="3261" w:type="dxa"/>
            <w:tcBorders>
              <w:top w:val="single" w:sz="4" w:space="0" w:color="auto"/>
              <w:bottom w:val="nil"/>
            </w:tcBorders>
          </w:tcPr>
          <w:p w:rsidR="00E24DB7" w:rsidRPr="002C5876" w:rsidRDefault="00E24DB7" w:rsidP="00E24DB7">
            <w:pPr>
              <w:spacing w:before="60" w:line="220" w:lineRule="atLeast"/>
              <w:ind w:left="57" w:right="57"/>
              <w:rPr>
                <w:sz w:val="18"/>
                <w:szCs w:val="18"/>
              </w:rPr>
            </w:pPr>
            <w:r w:rsidRPr="002C5876">
              <w:rPr>
                <w:sz w:val="18"/>
                <w:szCs w:val="18"/>
              </w:rPr>
              <w:t>Calcul de la moyenne et arrondi intermédiaire.</w:t>
            </w:r>
          </w:p>
        </w:tc>
        <w:tc>
          <w:tcPr>
            <w:tcW w:w="2235" w:type="dxa"/>
            <w:tcBorders>
              <w:top w:val="single" w:sz="4" w:space="0" w:color="auto"/>
              <w:bottom w:val="nil"/>
            </w:tcBorders>
          </w:tcPr>
          <w:p w:rsidR="00E24DB7" w:rsidRPr="002C5876" w:rsidRDefault="00E24DB7" w:rsidP="00E24DB7">
            <w:pPr>
              <w:spacing w:before="60" w:line="220" w:lineRule="atLeast"/>
              <w:ind w:left="57" w:right="57"/>
              <w:rPr>
                <w:sz w:val="18"/>
                <w:szCs w:val="18"/>
              </w:rPr>
            </w:pPr>
            <w:r w:rsidRPr="002C5876">
              <w:rPr>
                <w:sz w:val="18"/>
                <w:szCs w:val="18"/>
              </w:rPr>
              <w:t>AER</w:t>
            </w:r>
            <w:r w:rsidRPr="002C5876">
              <w:rPr>
                <w:sz w:val="18"/>
                <w:szCs w:val="18"/>
                <w:vertAlign w:val="subscript"/>
              </w:rPr>
              <w:t>city,final</w:t>
            </w:r>
            <w:r w:rsidRPr="002C5876">
              <w:rPr>
                <w:sz w:val="18"/>
                <w:szCs w:val="18"/>
              </w:rPr>
              <w:t>, km</w:t>
            </w:r>
          </w:p>
        </w:tc>
        <w:tc>
          <w:tcPr>
            <w:tcW w:w="740" w:type="dxa"/>
            <w:vMerge w:val="restart"/>
            <w:tcBorders>
              <w:top w:val="single" w:sz="4" w:space="0" w:color="auto"/>
            </w:tcBorders>
          </w:tcPr>
          <w:p w:rsidR="00E24DB7" w:rsidRPr="002C5876" w:rsidDel="000166EA" w:rsidRDefault="00E24DB7" w:rsidP="00E24DB7">
            <w:pPr>
              <w:spacing w:before="60" w:line="220" w:lineRule="atLeast"/>
              <w:ind w:left="57" w:right="57"/>
              <w:rPr>
                <w:sz w:val="18"/>
                <w:szCs w:val="18"/>
              </w:rPr>
            </w:pPr>
            <w:r w:rsidRPr="002C5876">
              <w:rPr>
                <w:sz w:val="18"/>
                <w:szCs w:val="18"/>
              </w:rPr>
              <w:t>8</w:t>
            </w:r>
          </w:p>
        </w:tc>
      </w:tr>
      <w:tr w:rsidR="00E24DB7" w:rsidRPr="002C5876" w:rsidTr="00E24DB7">
        <w:trPr>
          <w:trHeight w:val="20"/>
          <w:jc w:val="center"/>
        </w:trPr>
        <w:tc>
          <w:tcPr>
            <w:tcW w:w="1265" w:type="dxa"/>
            <w:tcBorders>
              <w:top w:val="nil"/>
              <w:bottom w:val="nil"/>
            </w:tcBorders>
          </w:tcPr>
          <w:p w:rsidR="00E24DB7" w:rsidRPr="002C5876" w:rsidRDefault="00E24DB7" w:rsidP="00E24DB7">
            <w:pPr>
              <w:spacing w:line="220" w:lineRule="atLeast"/>
              <w:ind w:left="57" w:right="57"/>
              <w:rPr>
                <w:sz w:val="18"/>
                <w:szCs w:val="18"/>
              </w:rPr>
            </w:pPr>
            <w:r w:rsidRPr="002C5876">
              <w:rPr>
                <w:sz w:val="18"/>
                <w:szCs w:val="18"/>
              </w:rPr>
              <w:t>Sortie</w:t>
            </w:r>
            <w:r w:rsidRPr="002C5876">
              <w:rPr>
                <w:sz w:val="18"/>
                <w:szCs w:val="18"/>
              </w:rPr>
              <w:br/>
              <w:t>de l’étape 5</w:t>
            </w:r>
          </w:p>
        </w:tc>
        <w:tc>
          <w:tcPr>
            <w:tcW w:w="2138" w:type="dxa"/>
            <w:tcBorders>
              <w:top w:val="nil"/>
              <w:bottom w:val="nil"/>
            </w:tcBorders>
          </w:tcPr>
          <w:p w:rsidR="00E24DB7" w:rsidRPr="002C5876" w:rsidRDefault="00E24DB7" w:rsidP="00E24DB7">
            <w:pPr>
              <w:spacing w:line="220" w:lineRule="atLeast"/>
              <w:ind w:left="57" w:right="57"/>
              <w:rPr>
                <w:sz w:val="18"/>
                <w:szCs w:val="18"/>
              </w:rPr>
            </w:pPr>
            <w:r w:rsidRPr="002C5876">
              <w:rPr>
                <w:sz w:val="18"/>
                <w:szCs w:val="18"/>
              </w:rPr>
              <w:t>AER</w:t>
            </w:r>
            <w:r w:rsidRPr="002C5876">
              <w:rPr>
                <w:sz w:val="18"/>
                <w:szCs w:val="18"/>
                <w:vertAlign w:val="subscript"/>
              </w:rPr>
              <w:t>dec</w:t>
            </w:r>
            <w:r w:rsidRPr="002C5876">
              <w:rPr>
                <w:sz w:val="18"/>
                <w:szCs w:val="18"/>
              </w:rPr>
              <w:t>, km</w:t>
            </w:r>
          </w:p>
        </w:tc>
        <w:tc>
          <w:tcPr>
            <w:tcW w:w="3261" w:type="dxa"/>
            <w:tcBorders>
              <w:top w:val="nil"/>
              <w:bottom w:val="nil"/>
            </w:tcBorders>
          </w:tcPr>
          <w:p w:rsidR="00E24DB7" w:rsidRPr="002C5876" w:rsidRDefault="00E24DB7" w:rsidP="00E24DB7">
            <w:pPr>
              <w:spacing w:line="220" w:lineRule="atLeast"/>
              <w:ind w:left="57" w:right="57"/>
              <w:rPr>
                <w:sz w:val="18"/>
                <w:szCs w:val="18"/>
              </w:rPr>
            </w:pPr>
          </w:p>
        </w:tc>
        <w:tc>
          <w:tcPr>
            <w:tcW w:w="2235" w:type="dxa"/>
            <w:tcBorders>
              <w:top w:val="nil"/>
              <w:bottom w:val="nil"/>
            </w:tcBorders>
          </w:tcPr>
          <w:p w:rsidR="00E24DB7" w:rsidRPr="002C5876" w:rsidRDefault="00E24DB7" w:rsidP="00E24DB7">
            <w:pPr>
              <w:spacing w:line="220" w:lineRule="atLeast"/>
              <w:ind w:left="57" w:right="57"/>
              <w:rPr>
                <w:sz w:val="18"/>
                <w:szCs w:val="18"/>
              </w:rPr>
            </w:pPr>
            <w:r w:rsidRPr="002C5876">
              <w:rPr>
                <w:sz w:val="18"/>
                <w:szCs w:val="18"/>
              </w:rPr>
              <w:t>AER</w:t>
            </w:r>
            <w:r w:rsidRPr="002C5876">
              <w:rPr>
                <w:sz w:val="18"/>
                <w:szCs w:val="18"/>
                <w:vertAlign w:val="subscript"/>
              </w:rPr>
              <w:t>final</w:t>
            </w:r>
            <w:r w:rsidRPr="002C5876">
              <w:rPr>
                <w:sz w:val="18"/>
                <w:szCs w:val="18"/>
              </w:rPr>
              <w:t>, km</w:t>
            </w:r>
          </w:p>
        </w:tc>
        <w:tc>
          <w:tcPr>
            <w:tcW w:w="740" w:type="dxa"/>
            <w:vMerge/>
          </w:tcPr>
          <w:p w:rsidR="00E24DB7" w:rsidRPr="002C5876" w:rsidRDefault="00E24DB7" w:rsidP="00E24DB7">
            <w:pPr>
              <w:spacing w:before="60" w:line="220" w:lineRule="atLeast"/>
              <w:ind w:left="57" w:right="57"/>
              <w:rPr>
                <w:sz w:val="18"/>
                <w:szCs w:val="18"/>
              </w:rPr>
            </w:pPr>
          </w:p>
        </w:tc>
      </w:tr>
      <w:tr w:rsidR="00E24DB7" w:rsidRPr="00D53F39" w:rsidTr="00E24DB7">
        <w:trPr>
          <w:trHeight w:val="20"/>
          <w:jc w:val="center"/>
        </w:trPr>
        <w:tc>
          <w:tcPr>
            <w:tcW w:w="1265" w:type="dxa"/>
            <w:tcBorders>
              <w:top w:val="nil"/>
              <w:bottom w:val="nil"/>
              <w:right w:val="single" w:sz="4" w:space="0" w:color="auto"/>
            </w:tcBorders>
          </w:tcPr>
          <w:p w:rsidR="00E24DB7" w:rsidRPr="002C5876" w:rsidRDefault="00E24DB7" w:rsidP="00E24DB7">
            <w:pPr>
              <w:spacing w:line="220" w:lineRule="atLeast"/>
              <w:ind w:left="57" w:right="57"/>
              <w:rPr>
                <w:sz w:val="18"/>
                <w:szCs w:val="18"/>
              </w:rPr>
            </w:pPr>
            <w:r w:rsidRPr="002C5876">
              <w:rPr>
                <w:sz w:val="18"/>
                <w:szCs w:val="18"/>
              </w:rPr>
              <w:t>Sortie</w:t>
            </w:r>
            <w:r w:rsidRPr="002C5876">
              <w:rPr>
                <w:sz w:val="18"/>
                <w:szCs w:val="18"/>
              </w:rPr>
              <w:br/>
              <w:t>de l’étape 6</w:t>
            </w:r>
          </w:p>
        </w:tc>
        <w:tc>
          <w:tcPr>
            <w:tcW w:w="2138" w:type="dxa"/>
            <w:tcBorders>
              <w:top w:val="nil"/>
              <w:left w:val="single" w:sz="4" w:space="0" w:color="auto"/>
              <w:bottom w:val="nil"/>
            </w:tcBorders>
          </w:tcPr>
          <w:p w:rsidR="00E24DB7" w:rsidRPr="00D53F39" w:rsidRDefault="00E24DB7" w:rsidP="00E24DB7">
            <w:pPr>
              <w:spacing w:line="220" w:lineRule="atLeast"/>
              <w:ind w:left="57" w:right="57"/>
              <w:rPr>
                <w:sz w:val="18"/>
                <w:szCs w:val="18"/>
                <w:lang w:val="en-US"/>
              </w:rPr>
            </w:pPr>
            <w:r w:rsidRPr="00D53F39">
              <w:rPr>
                <w:sz w:val="18"/>
                <w:szCs w:val="18"/>
                <w:lang w:val="en-US"/>
              </w:rPr>
              <w:t>M</w:t>
            </w:r>
            <w:r w:rsidRPr="00D53F39">
              <w:rPr>
                <w:sz w:val="18"/>
                <w:szCs w:val="18"/>
                <w:vertAlign w:val="subscript"/>
                <w:lang w:val="en-US"/>
              </w:rPr>
              <w:t>CO2,weighted</w:t>
            </w:r>
            <w:r w:rsidRPr="00D53F39">
              <w:rPr>
                <w:sz w:val="18"/>
                <w:szCs w:val="18"/>
                <w:lang w:val="en-US"/>
              </w:rPr>
              <w:t xml:space="preserve">, g/km </w:t>
            </w:r>
            <w:r w:rsidRPr="00D53F39">
              <w:rPr>
                <w:sz w:val="18"/>
                <w:szCs w:val="18"/>
                <w:lang w:val="en-US"/>
              </w:rPr>
              <w:br/>
              <w:t>FC</w:t>
            </w:r>
            <w:r w:rsidRPr="00D53F39">
              <w:rPr>
                <w:sz w:val="18"/>
                <w:szCs w:val="18"/>
                <w:vertAlign w:val="subscript"/>
                <w:lang w:val="en-US"/>
              </w:rPr>
              <w:t>weighted</w:t>
            </w:r>
            <w:r w:rsidRPr="00D53F39">
              <w:rPr>
                <w:sz w:val="18"/>
                <w:szCs w:val="18"/>
                <w:lang w:val="en-US"/>
              </w:rPr>
              <w:t>, l/100 km</w:t>
            </w:r>
          </w:p>
        </w:tc>
        <w:tc>
          <w:tcPr>
            <w:tcW w:w="3261" w:type="dxa"/>
            <w:vMerge w:val="restart"/>
            <w:tcBorders>
              <w:top w:val="nil"/>
            </w:tcBorders>
          </w:tcPr>
          <w:p w:rsidR="00E24DB7" w:rsidRPr="002C5876" w:rsidRDefault="00E24DB7" w:rsidP="00E24DB7">
            <w:pPr>
              <w:spacing w:before="60" w:after="60" w:line="220" w:lineRule="atLeast"/>
              <w:ind w:left="57" w:right="57"/>
              <w:rPr>
                <w:sz w:val="18"/>
                <w:szCs w:val="18"/>
              </w:rPr>
            </w:pPr>
            <w:r w:rsidRPr="002C5876">
              <w:rPr>
                <w:sz w:val="18"/>
                <w:szCs w:val="18"/>
              </w:rPr>
              <w:t>Si la méthode d’interpolation est appliquée, les données de sortie sont disponibles pour chaque véhicule L, H et, le cas échéant, M.</w:t>
            </w:r>
          </w:p>
        </w:tc>
        <w:tc>
          <w:tcPr>
            <w:tcW w:w="2235" w:type="dxa"/>
            <w:tcBorders>
              <w:top w:val="nil"/>
              <w:bottom w:val="nil"/>
            </w:tcBorders>
          </w:tcPr>
          <w:p w:rsidR="00E24DB7" w:rsidRPr="00D53F39" w:rsidRDefault="00E24DB7" w:rsidP="00E24DB7">
            <w:pPr>
              <w:spacing w:line="220" w:lineRule="atLeast"/>
              <w:ind w:left="57" w:right="57"/>
              <w:rPr>
                <w:sz w:val="18"/>
                <w:szCs w:val="18"/>
                <w:lang w:val="en-US"/>
              </w:rPr>
            </w:pPr>
            <w:r w:rsidRPr="00D53F39">
              <w:rPr>
                <w:sz w:val="18"/>
                <w:szCs w:val="18"/>
                <w:lang w:val="en-US"/>
              </w:rPr>
              <w:t>M</w:t>
            </w:r>
            <w:r w:rsidRPr="00D53F39">
              <w:rPr>
                <w:sz w:val="18"/>
                <w:szCs w:val="18"/>
                <w:vertAlign w:val="subscript"/>
                <w:lang w:val="en-US"/>
              </w:rPr>
              <w:t>CO2,weighted,final</w:t>
            </w:r>
            <w:r w:rsidRPr="00D53F39">
              <w:rPr>
                <w:sz w:val="18"/>
                <w:szCs w:val="18"/>
                <w:lang w:val="en-US"/>
              </w:rPr>
              <w:t xml:space="preserve">, g/km </w:t>
            </w:r>
            <w:r w:rsidRPr="00D53F39">
              <w:rPr>
                <w:sz w:val="18"/>
                <w:szCs w:val="18"/>
                <w:lang w:val="en-US"/>
              </w:rPr>
              <w:br/>
              <w:t>FC</w:t>
            </w:r>
            <w:r w:rsidRPr="00D53F39">
              <w:rPr>
                <w:sz w:val="18"/>
                <w:szCs w:val="18"/>
                <w:vertAlign w:val="subscript"/>
                <w:lang w:val="en-US"/>
              </w:rPr>
              <w:t>weighted,final</w:t>
            </w:r>
            <w:r w:rsidRPr="00D53F39">
              <w:rPr>
                <w:sz w:val="18"/>
                <w:szCs w:val="18"/>
                <w:lang w:val="en-US"/>
              </w:rPr>
              <w:t>, l/100 km</w:t>
            </w:r>
          </w:p>
        </w:tc>
        <w:tc>
          <w:tcPr>
            <w:tcW w:w="740" w:type="dxa"/>
            <w:vMerge/>
          </w:tcPr>
          <w:p w:rsidR="00E24DB7" w:rsidRPr="00D53F39" w:rsidRDefault="00E24DB7" w:rsidP="00E24DB7">
            <w:pPr>
              <w:spacing w:before="60" w:after="60" w:line="220" w:lineRule="atLeast"/>
              <w:ind w:left="57" w:right="57"/>
              <w:rPr>
                <w:sz w:val="18"/>
                <w:szCs w:val="18"/>
                <w:lang w:val="en-US"/>
              </w:rPr>
            </w:pPr>
          </w:p>
        </w:tc>
      </w:tr>
      <w:tr w:rsidR="00E24DB7" w:rsidRPr="00D53F39" w:rsidTr="00E24DB7">
        <w:trPr>
          <w:trHeight w:val="20"/>
          <w:jc w:val="center"/>
        </w:trPr>
        <w:tc>
          <w:tcPr>
            <w:tcW w:w="1265" w:type="dxa"/>
            <w:tcBorders>
              <w:top w:val="nil"/>
              <w:bottom w:val="nil"/>
            </w:tcBorders>
          </w:tcPr>
          <w:p w:rsidR="00E24DB7" w:rsidRPr="002C5876" w:rsidRDefault="00E24DB7" w:rsidP="00E24DB7">
            <w:pPr>
              <w:spacing w:line="220" w:lineRule="atLeast"/>
              <w:ind w:left="57" w:right="57"/>
              <w:rPr>
                <w:sz w:val="18"/>
                <w:szCs w:val="18"/>
              </w:rPr>
            </w:pPr>
            <w:r w:rsidRPr="002C5876">
              <w:rPr>
                <w:sz w:val="18"/>
                <w:szCs w:val="18"/>
              </w:rPr>
              <w:t>Sortie</w:t>
            </w:r>
            <w:r w:rsidRPr="002C5876">
              <w:rPr>
                <w:sz w:val="18"/>
                <w:szCs w:val="18"/>
              </w:rPr>
              <w:br/>
              <w:t>de l’étape 7</w:t>
            </w:r>
          </w:p>
        </w:tc>
        <w:tc>
          <w:tcPr>
            <w:tcW w:w="2138" w:type="dxa"/>
            <w:tcBorders>
              <w:top w:val="nil"/>
              <w:bottom w:val="nil"/>
            </w:tcBorders>
          </w:tcPr>
          <w:p w:rsidR="00E24DB7" w:rsidRPr="00D53F39" w:rsidRDefault="00E24DB7" w:rsidP="00E24DB7">
            <w:pPr>
              <w:spacing w:line="220" w:lineRule="atLeast"/>
              <w:ind w:left="57" w:right="57"/>
              <w:rPr>
                <w:sz w:val="18"/>
                <w:szCs w:val="18"/>
                <w:lang w:val="en-US"/>
              </w:rPr>
            </w:pPr>
            <w:r w:rsidRPr="00D53F39">
              <w:rPr>
                <w:sz w:val="18"/>
                <w:szCs w:val="18"/>
                <w:lang w:val="en-US"/>
              </w:rPr>
              <w:t xml:space="preserve">EC, Wh/km </w:t>
            </w:r>
            <w:r w:rsidRPr="00D53F39">
              <w:rPr>
                <w:sz w:val="18"/>
                <w:szCs w:val="18"/>
                <w:lang w:val="en-US"/>
              </w:rPr>
              <w:br/>
              <w:t>EC</w:t>
            </w:r>
            <w:r w:rsidRPr="00D53F39">
              <w:rPr>
                <w:sz w:val="18"/>
                <w:szCs w:val="18"/>
                <w:vertAlign w:val="subscript"/>
                <w:lang w:val="en-US"/>
              </w:rPr>
              <w:t>p</w:t>
            </w:r>
            <w:r w:rsidRPr="00D53F39">
              <w:rPr>
                <w:sz w:val="18"/>
                <w:szCs w:val="18"/>
                <w:lang w:val="en-US"/>
              </w:rPr>
              <w:t>, Wh/km</w:t>
            </w:r>
          </w:p>
        </w:tc>
        <w:tc>
          <w:tcPr>
            <w:tcW w:w="3261" w:type="dxa"/>
            <w:vMerge/>
            <w:tcBorders>
              <w:bottom w:val="nil"/>
            </w:tcBorders>
          </w:tcPr>
          <w:p w:rsidR="00E24DB7" w:rsidRPr="00D53F39" w:rsidRDefault="00E24DB7" w:rsidP="00E24DB7">
            <w:pPr>
              <w:spacing w:before="60" w:after="60" w:line="220" w:lineRule="atLeast"/>
              <w:ind w:left="57" w:right="57"/>
              <w:rPr>
                <w:sz w:val="18"/>
                <w:szCs w:val="18"/>
                <w:lang w:val="en-US"/>
              </w:rPr>
            </w:pPr>
          </w:p>
        </w:tc>
        <w:tc>
          <w:tcPr>
            <w:tcW w:w="2235" w:type="dxa"/>
            <w:tcBorders>
              <w:top w:val="nil"/>
              <w:bottom w:val="nil"/>
            </w:tcBorders>
          </w:tcPr>
          <w:p w:rsidR="00E24DB7" w:rsidRPr="00D53F39" w:rsidRDefault="00E24DB7" w:rsidP="00E24DB7">
            <w:pPr>
              <w:spacing w:line="220" w:lineRule="atLeast"/>
              <w:ind w:left="57" w:right="57"/>
              <w:rPr>
                <w:sz w:val="18"/>
                <w:szCs w:val="18"/>
                <w:lang w:val="en-US"/>
              </w:rPr>
            </w:pPr>
            <w:r w:rsidRPr="00D53F39">
              <w:rPr>
                <w:sz w:val="18"/>
                <w:szCs w:val="18"/>
                <w:lang w:val="en-US"/>
              </w:rPr>
              <w:t>EC</w:t>
            </w:r>
            <w:r w:rsidRPr="00D53F39">
              <w:rPr>
                <w:sz w:val="18"/>
                <w:szCs w:val="18"/>
                <w:vertAlign w:val="subscript"/>
                <w:lang w:val="en-US"/>
              </w:rPr>
              <w:t>final</w:t>
            </w:r>
            <w:r w:rsidRPr="00D53F39">
              <w:rPr>
                <w:sz w:val="18"/>
                <w:szCs w:val="18"/>
                <w:lang w:val="en-US"/>
              </w:rPr>
              <w:t xml:space="preserve">, Wh/km </w:t>
            </w:r>
            <w:r w:rsidRPr="00D53F39">
              <w:rPr>
                <w:sz w:val="18"/>
                <w:szCs w:val="18"/>
                <w:lang w:val="en-US"/>
              </w:rPr>
              <w:br/>
              <w:t>EC</w:t>
            </w:r>
            <w:r w:rsidRPr="00D53F39">
              <w:rPr>
                <w:sz w:val="18"/>
                <w:szCs w:val="18"/>
                <w:vertAlign w:val="subscript"/>
                <w:lang w:val="en-US"/>
              </w:rPr>
              <w:t>p,final</w:t>
            </w:r>
            <w:r w:rsidRPr="00D53F39">
              <w:rPr>
                <w:sz w:val="18"/>
                <w:szCs w:val="18"/>
                <w:lang w:val="en-US"/>
              </w:rPr>
              <w:t>, Wh/km</w:t>
            </w:r>
          </w:p>
        </w:tc>
        <w:tc>
          <w:tcPr>
            <w:tcW w:w="740" w:type="dxa"/>
            <w:vMerge/>
            <w:tcBorders>
              <w:bottom w:val="nil"/>
            </w:tcBorders>
          </w:tcPr>
          <w:p w:rsidR="00E24DB7" w:rsidRPr="00D53F39" w:rsidRDefault="00E24DB7" w:rsidP="00E24DB7">
            <w:pPr>
              <w:spacing w:before="60" w:after="60" w:line="220" w:lineRule="atLeast"/>
              <w:ind w:left="57" w:right="57"/>
              <w:rPr>
                <w:sz w:val="18"/>
                <w:szCs w:val="18"/>
                <w:lang w:val="en-US"/>
              </w:rPr>
            </w:pPr>
          </w:p>
        </w:tc>
      </w:tr>
      <w:tr w:rsidR="00E24DB7" w:rsidRPr="00D53F39" w:rsidTr="00E24DB7">
        <w:trPr>
          <w:trHeight w:val="20"/>
          <w:jc w:val="center"/>
        </w:trPr>
        <w:tc>
          <w:tcPr>
            <w:tcW w:w="1265" w:type="dxa"/>
            <w:tcBorders>
              <w:top w:val="nil"/>
              <w:bottom w:val="single" w:sz="4" w:space="0" w:color="auto"/>
            </w:tcBorders>
          </w:tcPr>
          <w:p w:rsidR="00E24DB7" w:rsidRPr="002C5876" w:rsidRDefault="00E24DB7" w:rsidP="00E24DB7">
            <w:pPr>
              <w:spacing w:after="60" w:line="220" w:lineRule="atLeast"/>
              <w:ind w:left="57" w:right="57"/>
              <w:rPr>
                <w:sz w:val="18"/>
                <w:szCs w:val="18"/>
              </w:rPr>
            </w:pPr>
            <w:r w:rsidRPr="002C5876">
              <w:rPr>
                <w:sz w:val="18"/>
                <w:szCs w:val="18"/>
              </w:rPr>
              <w:t>Sortie</w:t>
            </w:r>
            <w:r w:rsidRPr="002C5876">
              <w:rPr>
                <w:sz w:val="18"/>
                <w:szCs w:val="18"/>
              </w:rPr>
              <w:br/>
              <w:t>de l’étape 3</w:t>
            </w:r>
          </w:p>
        </w:tc>
        <w:tc>
          <w:tcPr>
            <w:tcW w:w="2138" w:type="dxa"/>
            <w:tcBorders>
              <w:top w:val="nil"/>
              <w:bottom w:val="single" w:sz="4" w:space="0" w:color="auto"/>
            </w:tcBorders>
          </w:tcPr>
          <w:p w:rsidR="00E24DB7" w:rsidRPr="002C5876" w:rsidRDefault="00E24DB7" w:rsidP="00E24DB7">
            <w:pPr>
              <w:spacing w:after="60" w:line="220" w:lineRule="atLeast"/>
              <w:ind w:left="57" w:right="57"/>
              <w:rPr>
                <w:sz w:val="18"/>
                <w:szCs w:val="18"/>
              </w:rPr>
            </w:pPr>
            <w:r w:rsidRPr="002C5876">
              <w:rPr>
                <w:sz w:val="18"/>
                <w:szCs w:val="18"/>
              </w:rPr>
              <w:t xml:space="preserve">EAER, km </w:t>
            </w:r>
            <w:r w:rsidRPr="002C5876">
              <w:rPr>
                <w:sz w:val="18"/>
                <w:szCs w:val="18"/>
              </w:rPr>
              <w:br/>
              <w:t>EAER</w:t>
            </w:r>
            <w:r w:rsidRPr="002C5876">
              <w:rPr>
                <w:sz w:val="18"/>
                <w:szCs w:val="18"/>
                <w:vertAlign w:val="subscript"/>
              </w:rPr>
              <w:t>p</w:t>
            </w:r>
            <w:r w:rsidRPr="002C5876">
              <w:rPr>
                <w:sz w:val="18"/>
                <w:szCs w:val="18"/>
              </w:rPr>
              <w:t>, km</w:t>
            </w:r>
          </w:p>
        </w:tc>
        <w:tc>
          <w:tcPr>
            <w:tcW w:w="3261" w:type="dxa"/>
            <w:vMerge/>
            <w:tcBorders>
              <w:top w:val="nil"/>
              <w:bottom w:val="single" w:sz="4" w:space="0" w:color="auto"/>
            </w:tcBorders>
          </w:tcPr>
          <w:p w:rsidR="00E24DB7" w:rsidRPr="002C5876" w:rsidRDefault="00E24DB7" w:rsidP="00E24DB7">
            <w:pPr>
              <w:spacing w:before="60" w:after="60" w:line="220" w:lineRule="atLeast"/>
              <w:ind w:left="57" w:right="57"/>
              <w:rPr>
                <w:sz w:val="18"/>
                <w:szCs w:val="18"/>
              </w:rPr>
            </w:pPr>
          </w:p>
        </w:tc>
        <w:tc>
          <w:tcPr>
            <w:tcW w:w="2235" w:type="dxa"/>
            <w:tcBorders>
              <w:top w:val="nil"/>
              <w:bottom w:val="single" w:sz="4" w:space="0" w:color="auto"/>
            </w:tcBorders>
          </w:tcPr>
          <w:p w:rsidR="00E24DB7" w:rsidRPr="00D53F39" w:rsidRDefault="00E24DB7" w:rsidP="00E24DB7">
            <w:pPr>
              <w:spacing w:after="60" w:line="220" w:lineRule="atLeast"/>
              <w:ind w:left="57" w:right="57"/>
              <w:rPr>
                <w:sz w:val="18"/>
                <w:szCs w:val="18"/>
                <w:lang w:val="en-US"/>
              </w:rPr>
            </w:pPr>
            <w:r w:rsidRPr="00D53F39">
              <w:rPr>
                <w:sz w:val="18"/>
                <w:szCs w:val="18"/>
                <w:lang w:val="en-US"/>
              </w:rPr>
              <w:t>EAER</w:t>
            </w:r>
            <w:r w:rsidRPr="00D53F39">
              <w:rPr>
                <w:sz w:val="18"/>
                <w:szCs w:val="18"/>
                <w:vertAlign w:val="subscript"/>
                <w:lang w:val="en-US"/>
              </w:rPr>
              <w:t>final</w:t>
            </w:r>
            <w:r w:rsidRPr="00D53F39">
              <w:rPr>
                <w:sz w:val="18"/>
                <w:szCs w:val="18"/>
                <w:lang w:val="en-US"/>
              </w:rPr>
              <w:t xml:space="preserve">, km </w:t>
            </w:r>
            <w:r w:rsidRPr="00D53F39">
              <w:rPr>
                <w:sz w:val="18"/>
                <w:szCs w:val="18"/>
                <w:lang w:val="en-US"/>
              </w:rPr>
              <w:br/>
              <w:t>EAER</w:t>
            </w:r>
            <w:r w:rsidRPr="00D53F39">
              <w:rPr>
                <w:sz w:val="18"/>
                <w:szCs w:val="18"/>
                <w:vertAlign w:val="subscript"/>
                <w:lang w:val="en-US"/>
              </w:rPr>
              <w:t>p,final</w:t>
            </w:r>
            <w:r w:rsidRPr="00D53F39">
              <w:rPr>
                <w:sz w:val="18"/>
                <w:szCs w:val="18"/>
                <w:lang w:val="en-US"/>
              </w:rPr>
              <w:t>, km</w:t>
            </w:r>
          </w:p>
        </w:tc>
        <w:tc>
          <w:tcPr>
            <w:tcW w:w="740" w:type="dxa"/>
            <w:vMerge/>
            <w:tcBorders>
              <w:top w:val="nil"/>
              <w:bottom w:val="single" w:sz="4" w:space="0" w:color="auto"/>
            </w:tcBorders>
          </w:tcPr>
          <w:p w:rsidR="00E24DB7" w:rsidRPr="00D53F39" w:rsidRDefault="00E24DB7" w:rsidP="00E24DB7">
            <w:pPr>
              <w:spacing w:before="60" w:after="60" w:line="220" w:lineRule="atLeast"/>
              <w:ind w:left="57" w:right="57"/>
              <w:rPr>
                <w:sz w:val="18"/>
                <w:szCs w:val="18"/>
                <w:lang w:val="en-US"/>
              </w:rPr>
            </w:pPr>
          </w:p>
        </w:tc>
      </w:tr>
      <w:tr w:rsidR="00E24DB7" w:rsidRPr="002C5876" w:rsidTr="00E24DB7">
        <w:trPr>
          <w:trHeight w:val="20"/>
          <w:jc w:val="center"/>
        </w:trPr>
        <w:tc>
          <w:tcPr>
            <w:tcW w:w="1265" w:type="dxa"/>
            <w:tcBorders>
              <w:top w:val="single" w:sz="4" w:space="0" w:color="auto"/>
              <w:bottom w:val="nil"/>
            </w:tcBorders>
          </w:tcPr>
          <w:p w:rsidR="00E24DB7" w:rsidRPr="002C5876" w:rsidRDefault="00E24DB7" w:rsidP="00E24DB7">
            <w:pPr>
              <w:spacing w:before="60" w:line="220" w:lineRule="atLeast"/>
              <w:ind w:left="57" w:right="57"/>
              <w:rPr>
                <w:sz w:val="18"/>
                <w:szCs w:val="18"/>
              </w:rPr>
            </w:pPr>
            <w:r w:rsidRPr="002C5876">
              <w:rPr>
                <w:sz w:val="18"/>
                <w:szCs w:val="18"/>
              </w:rPr>
              <w:t>Sortie</w:t>
            </w:r>
            <w:r w:rsidRPr="002C5876">
              <w:rPr>
                <w:sz w:val="18"/>
                <w:szCs w:val="18"/>
              </w:rPr>
              <w:br/>
              <w:t>de l’étape 8</w:t>
            </w:r>
          </w:p>
        </w:tc>
        <w:tc>
          <w:tcPr>
            <w:tcW w:w="2138" w:type="dxa"/>
            <w:tcBorders>
              <w:top w:val="single" w:sz="4" w:space="0" w:color="auto"/>
              <w:bottom w:val="nil"/>
            </w:tcBorders>
          </w:tcPr>
          <w:p w:rsidR="00E24DB7" w:rsidRPr="002C5876" w:rsidRDefault="00E24DB7" w:rsidP="00E24DB7">
            <w:pPr>
              <w:spacing w:before="60" w:line="220" w:lineRule="atLeast"/>
              <w:ind w:left="57" w:right="57"/>
              <w:rPr>
                <w:sz w:val="18"/>
                <w:szCs w:val="18"/>
              </w:rPr>
            </w:pPr>
            <w:r w:rsidRPr="002C5876">
              <w:rPr>
                <w:sz w:val="18"/>
                <w:szCs w:val="18"/>
              </w:rPr>
              <w:t>AER</w:t>
            </w:r>
            <w:r w:rsidRPr="002C5876">
              <w:rPr>
                <w:sz w:val="18"/>
                <w:szCs w:val="18"/>
                <w:vertAlign w:val="subscript"/>
              </w:rPr>
              <w:t>city,final</w:t>
            </w:r>
            <w:r w:rsidRPr="002C5876">
              <w:rPr>
                <w:sz w:val="18"/>
                <w:szCs w:val="18"/>
              </w:rPr>
              <w:t xml:space="preserve">, km </w:t>
            </w:r>
            <w:r w:rsidRPr="002C5876">
              <w:rPr>
                <w:sz w:val="18"/>
                <w:szCs w:val="18"/>
              </w:rPr>
              <w:br/>
              <w:t>AER</w:t>
            </w:r>
            <w:r w:rsidRPr="002C5876">
              <w:rPr>
                <w:sz w:val="18"/>
                <w:szCs w:val="18"/>
                <w:vertAlign w:val="subscript"/>
              </w:rPr>
              <w:t>final</w:t>
            </w:r>
            <w:r w:rsidRPr="002C5876">
              <w:rPr>
                <w:sz w:val="18"/>
                <w:szCs w:val="18"/>
              </w:rPr>
              <w:t>, km</w:t>
            </w:r>
            <w:r w:rsidRPr="002C5876">
              <w:rPr>
                <w:sz w:val="18"/>
                <w:szCs w:val="18"/>
              </w:rPr>
              <w:br/>
              <w:t>M</w:t>
            </w:r>
            <w:r w:rsidRPr="002C5876">
              <w:rPr>
                <w:sz w:val="18"/>
                <w:szCs w:val="18"/>
                <w:vertAlign w:val="subscript"/>
              </w:rPr>
              <w:t>CO2,weighted,final</w:t>
            </w:r>
            <w:r w:rsidRPr="002C5876">
              <w:rPr>
                <w:sz w:val="18"/>
                <w:szCs w:val="18"/>
              </w:rPr>
              <w:t xml:space="preserve">, g/km </w:t>
            </w:r>
            <w:r w:rsidRPr="002C5876">
              <w:rPr>
                <w:sz w:val="18"/>
                <w:szCs w:val="18"/>
              </w:rPr>
              <w:br/>
              <w:t>FC</w:t>
            </w:r>
            <w:r w:rsidRPr="002C5876">
              <w:rPr>
                <w:sz w:val="18"/>
                <w:szCs w:val="18"/>
                <w:vertAlign w:val="subscript"/>
              </w:rPr>
              <w:t>weighted,final</w:t>
            </w:r>
            <w:r w:rsidRPr="002C5876">
              <w:rPr>
                <w:sz w:val="18"/>
                <w:szCs w:val="18"/>
              </w:rPr>
              <w:t xml:space="preserve">, l/100 km </w:t>
            </w:r>
            <w:r w:rsidRPr="002C5876">
              <w:rPr>
                <w:sz w:val="18"/>
                <w:szCs w:val="18"/>
              </w:rPr>
              <w:br/>
              <w:t>EC</w:t>
            </w:r>
            <w:r w:rsidRPr="002C5876">
              <w:rPr>
                <w:sz w:val="18"/>
                <w:szCs w:val="18"/>
                <w:vertAlign w:val="subscript"/>
              </w:rPr>
              <w:t>final</w:t>
            </w:r>
            <w:r w:rsidRPr="002C5876">
              <w:rPr>
                <w:sz w:val="18"/>
                <w:szCs w:val="18"/>
              </w:rPr>
              <w:t xml:space="preserve">, Wh/km </w:t>
            </w:r>
            <w:r w:rsidRPr="002C5876">
              <w:rPr>
                <w:sz w:val="18"/>
                <w:szCs w:val="18"/>
              </w:rPr>
              <w:br/>
              <w:t>EC</w:t>
            </w:r>
            <w:r w:rsidRPr="002C5876">
              <w:rPr>
                <w:sz w:val="18"/>
                <w:szCs w:val="18"/>
                <w:vertAlign w:val="subscript"/>
              </w:rPr>
              <w:t>p,final</w:t>
            </w:r>
            <w:r w:rsidRPr="002C5876">
              <w:rPr>
                <w:sz w:val="18"/>
                <w:szCs w:val="18"/>
              </w:rPr>
              <w:t xml:space="preserve">, Wh/km </w:t>
            </w:r>
            <w:r w:rsidRPr="002C5876">
              <w:rPr>
                <w:sz w:val="18"/>
                <w:szCs w:val="18"/>
              </w:rPr>
              <w:br/>
              <w:t>EAER</w:t>
            </w:r>
            <w:r w:rsidRPr="002C5876">
              <w:rPr>
                <w:sz w:val="18"/>
                <w:szCs w:val="18"/>
                <w:vertAlign w:val="subscript"/>
              </w:rPr>
              <w:t>final</w:t>
            </w:r>
            <w:r w:rsidRPr="002C5876">
              <w:rPr>
                <w:sz w:val="18"/>
                <w:szCs w:val="18"/>
              </w:rPr>
              <w:t>, km</w:t>
            </w:r>
          </w:p>
        </w:tc>
        <w:tc>
          <w:tcPr>
            <w:tcW w:w="3261" w:type="dxa"/>
            <w:tcBorders>
              <w:top w:val="single" w:sz="4" w:space="0" w:color="auto"/>
              <w:bottom w:val="nil"/>
            </w:tcBorders>
          </w:tcPr>
          <w:p w:rsidR="00E24DB7" w:rsidRPr="002C5876" w:rsidRDefault="00E24DB7" w:rsidP="00E24DB7">
            <w:pPr>
              <w:spacing w:before="60" w:line="220" w:lineRule="atLeast"/>
              <w:ind w:left="57" w:right="57"/>
              <w:rPr>
                <w:sz w:val="18"/>
                <w:szCs w:val="18"/>
              </w:rPr>
            </w:pPr>
            <w:r w:rsidRPr="002C5876">
              <w:rPr>
                <w:sz w:val="18"/>
                <w:szCs w:val="18"/>
              </w:rPr>
              <w:t>Interpolation des valeurs individuelles en fonction des valeurs pour les véhicules L, M et H conformément au paragraphe 4.5 de la présente annexe, et arrondi final.</w:t>
            </w:r>
          </w:p>
          <w:p w:rsidR="00E24DB7" w:rsidRPr="002C5876" w:rsidRDefault="00E24DB7" w:rsidP="00E24DB7">
            <w:pPr>
              <w:spacing w:before="60" w:line="220" w:lineRule="atLeast"/>
              <w:ind w:left="57" w:right="57"/>
              <w:rPr>
                <w:sz w:val="18"/>
                <w:szCs w:val="18"/>
              </w:rPr>
            </w:pPr>
            <w:r w:rsidRPr="002C5876">
              <w:rPr>
                <w:sz w:val="18"/>
                <w:szCs w:val="18"/>
              </w:rPr>
              <w:t>Données de sortie disponibles pour des véhicules donnés.</w:t>
            </w:r>
          </w:p>
        </w:tc>
        <w:tc>
          <w:tcPr>
            <w:tcW w:w="2235" w:type="dxa"/>
            <w:tcBorders>
              <w:top w:val="single" w:sz="4" w:space="0" w:color="auto"/>
              <w:bottom w:val="nil"/>
            </w:tcBorders>
          </w:tcPr>
          <w:p w:rsidR="00E24DB7" w:rsidRPr="00D53F39" w:rsidRDefault="00E24DB7" w:rsidP="00E24DB7">
            <w:pPr>
              <w:spacing w:before="60" w:line="220" w:lineRule="atLeast"/>
              <w:ind w:left="57" w:right="57"/>
              <w:rPr>
                <w:sz w:val="18"/>
                <w:szCs w:val="18"/>
                <w:lang w:val="en-US"/>
              </w:rPr>
            </w:pPr>
            <w:r w:rsidRPr="00D53F39">
              <w:rPr>
                <w:sz w:val="18"/>
                <w:szCs w:val="18"/>
                <w:lang w:val="en-US"/>
              </w:rPr>
              <w:t>AER</w:t>
            </w:r>
            <w:r w:rsidRPr="00D53F39">
              <w:rPr>
                <w:sz w:val="18"/>
                <w:szCs w:val="18"/>
                <w:vertAlign w:val="subscript"/>
                <w:lang w:val="en-US"/>
              </w:rPr>
              <w:t>city,ind</w:t>
            </w:r>
            <w:r w:rsidRPr="00D53F39">
              <w:rPr>
                <w:sz w:val="18"/>
                <w:szCs w:val="18"/>
                <w:lang w:val="en-US"/>
              </w:rPr>
              <w:t xml:space="preserve">, km </w:t>
            </w:r>
            <w:r w:rsidRPr="00D53F39">
              <w:rPr>
                <w:sz w:val="18"/>
                <w:szCs w:val="18"/>
                <w:lang w:val="en-US"/>
              </w:rPr>
              <w:br/>
              <w:t>AER</w:t>
            </w:r>
            <w:r w:rsidRPr="00D53F39">
              <w:rPr>
                <w:sz w:val="18"/>
                <w:szCs w:val="18"/>
                <w:vertAlign w:val="subscript"/>
                <w:lang w:val="en-US"/>
              </w:rPr>
              <w:t>ind</w:t>
            </w:r>
            <w:r w:rsidRPr="00D53F39">
              <w:rPr>
                <w:sz w:val="18"/>
                <w:szCs w:val="18"/>
                <w:lang w:val="en-US"/>
              </w:rPr>
              <w:t xml:space="preserve">, km </w:t>
            </w:r>
            <w:r w:rsidRPr="00D53F39">
              <w:rPr>
                <w:sz w:val="18"/>
                <w:szCs w:val="18"/>
                <w:lang w:val="en-US"/>
              </w:rPr>
              <w:br/>
              <w:t>M</w:t>
            </w:r>
            <w:r w:rsidRPr="00D53F39">
              <w:rPr>
                <w:sz w:val="18"/>
                <w:szCs w:val="18"/>
                <w:vertAlign w:val="subscript"/>
                <w:lang w:val="en-US"/>
              </w:rPr>
              <w:t>CO2,weighted,ind</w:t>
            </w:r>
            <w:r w:rsidRPr="00D53F39">
              <w:rPr>
                <w:sz w:val="18"/>
                <w:szCs w:val="18"/>
                <w:lang w:val="en-US"/>
              </w:rPr>
              <w:t xml:space="preserve">, g/km </w:t>
            </w:r>
            <w:r w:rsidRPr="00D53F39">
              <w:rPr>
                <w:sz w:val="18"/>
                <w:szCs w:val="18"/>
                <w:lang w:val="en-US"/>
              </w:rPr>
              <w:br/>
              <w:t>FC</w:t>
            </w:r>
            <w:r w:rsidRPr="00D53F39">
              <w:rPr>
                <w:sz w:val="18"/>
                <w:szCs w:val="18"/>
                <w:vertAlign w:val="subscript"/>
                <w:lang w:val="en-US"/>
              </w:rPr>
              <w:t>weighted,ind</w:t>
            </w:r>
            <w:r w:rsidRPr="00D53F39">
              <w:rPr>
                <w:sz w:val="18"/>
                <w:szCs w:val="18"/>
                <w:lang w:val="en-US"/>
              </w:rPr>
              <w:t xml:space="preserve">, l/100 km </w:t>
            </w:r>
            <w:r w:rsidRPr="00D53F39">
              <w:rPr>
                <w:sz w:val="18"/>
                <w:szCs w:val="18"/>
                <w:lang w:val="en-US"/>
              </w:rPr>
              <w:br/>
              <w:t>EC</w:t>
            </w:r>
            <w:r w:rsidRPr="00D53F39">
              <w:rPr>
                <w:sz w:val="18"/>
                <w:szCs w:val="18"/>
                <w:vertAlign w:val="subscript"/>
                <w:lang w:val="en-US"/>
              </w:rPr>
              <w:t>ind</w:t>
            </w:r>
            <w:r w:rsidRPr="00D53F39">
              <w:rPr>
                <w:sz w:val="18"/>
                <w:szCs w:val="18"/>
                <w:lang w:val="en-US"/>
              </w:rPr>
              <w:t xml:space="preserve">, Wh/km </w:t>
            </w:r>
            <w:r w:rsidRPr="00D53F39">
              <w:rPr>
                <w:sz w:val="18"/>
                <w:szCs w:val="18"/>
                <w:lang w:val="en-US"/>
              </w:rPr>
              <w:br/>
              <w:t>EC</w:t>
            </w:r>
            <w:r w:rsidRPr="00D53F39">
              <w:rPr>
                <w:sz w:val="18"/>
                <w:szCs w:val="18"/>
                <w:vertAlign w:val="subscript"/>
                <w:lang w:val="en-US"/>
              </w:rPr>
              <w:t>p,ind</w:t>
            </w:r>
            <w:r w:rsidRPr="00D53F39">
              <w:rPr>
                <w:sz w:val="18"/>
                <w:szCs w:val="18"/>
                <w:lang w:val="en-US"/>
              </w:rPr>
              <w:t xml:space="preserve">, Wh/km </w:t>
            </w:r>
            <w:r w:rsidRPr="00D53F39">
              <w:rPr>
                <w:sz w:val="18"/>
                <w:szCs w:val="18"/>
                <w:lang w:val="en-US"/>
              </w:rPr>
              <w:br/>
              <w:t>EAER</w:t>
            </w:r>
            <w:r w:rsidRPr="00D53F39">
              <w:rPr>
                <w:sz w:val="18"/>
                <w:szCs w:val="18"/>
                <w:vertAlign w:val="subscript"/>
                <w:lang w:val="en-US"/>
              </w:rPr>
              <w:t>ind</w:t>
            </w:r>
            <w:r w:rsidRPr="00D53F39">
              <w:rPr>
                <w:sz w:val="18"/>
                <w:szCs w:val="18"/>
                <w:lang w:val="en-US"/>
              </w:rPr>
              <w:t xml:space="preserve">, km </w:t>
            </w:r>
            <w:r w:rsidRPr="00D53F39">
              <w:rPr>
                <w:sz w:val="18"/>
                <w:szCs w:val="18"/>
                <w:lang w:val="en-US"/>
              </w:rPr>
              <w:br/>
              <w:t>EAER</w:t>
            </w:r>
            <w:r w:rsidRPr="00D53F39">
              <w:rPr>
                <w:sz w:val="18"/>
                <w:szCs w:val="18"/>
                <w:vertAlign w:val="subscript"/>
                <w:lang w:val="en-US"/>
              </w:rPr>
              <w:t>p,ind</w:t>
            </w:r>
            <w:r w:rsidRPr="00D53F39">
              <w:rPr>
                <w:sz w:val="18"/>
                <w:szCs w:val="18"/>
                <w:lang w:val="en-US"/>
              </w:rPr>
              <w:t>, km</w:t>
            </w:r>
          </w:p>
        </w:tc>
        <w:tc>
          <w:tcPr>
            <w:tcW w:w="740" w:type="dxa"/>
            <w:vMerge w:val="restart"/>
            <w:tcBorders>
              <w:top w:val="single" w:sz="4" w:space="0" w:color="auto"/>
              <w:bottom w:val="nil"/>
            </w:tcBorders>
          </w:tcPr>
          <w:p w:rsidR="00E24DB7" w:rsidRPr="002C5876" w:rsidRDefault="00E24DB7" w:rsidP="00E24DB7">
            <w:pPr>
              <w:spacing w:before="60" w:line="220" w:lineRule="atLeast"/>
              <w:ind w:left="57" w:right="57"/>
              <w:rPr>
                <w:sz w:val="18"/>
                <w:szCs w:val="18"/>
              </w:rPr>
            </w:pPr>
            <w:r w:rsidRPr="002C5876">
              <w:rPr>
                <w:sz w:val="18"/>
                <w:szCs w:val="18"/>
              </w:rPr>
              <w:t>9</w:t>
            </w:r>
          </w:p>
        </w:tc>
      </w:tr>
      <w:tr w:rsidR="00E24DB7" w:rsidRPr="002C5876" w:rsidTr="00E24DB7">
        <w:trPr>
          <w:trHeight w:val="20"/>
          <w:jc w:val="center"/>
        </w:trPr>
        <w:tc>
          <w:tcPr>
            <w:tcW w:w="1265" w:type="dxa"/>
            <w:tcBorders>
              <w:top w:val="nil"/>
              <w:bottom w:val="single" w:sz="12"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Sortie</w:t>
            </w:r>
            <w:r w:rsidRPr="002C5876">
              <w:rPr>
                <w:sz w:val="18"/>
                <w:szCs w:val="18"/>
              </w:rPr>
              <w:br/>
              <w:t>de l’étape 4</w:t>
            </w:r>
          </w:p>
        </w:tc>
        <w:tc>
          <w:tcPr>
            <w:tcW w:w="2138" w:type="dxa"/>
            <w:tcBorders>
              <w:top w:val="nil"/>
              <w:bottom w:val="single" w:sz="12"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EAER</w:t>
            </w:r>
            <w:r w:rsidRPr="002C5876">
              <w:rPr>
                <w:sz w:val="18"/>
                <w:szCs w:val="18"/>
                <w:vertAlign w:val="subscript"/>
              </w:rPr>
              <w:t>p,final</w:t>
            </w:r>
            <w:r w:rsidRPr="002C5876">
              <w:rPr>
                <w:sz w:val="18"/>
                <w:szCs w:val="18"/>
              </w:rPr>
              <w:t xml:space="preserve">, km </w:t>
            </w:r>
            <w:r w:rsidRPr="002C5876">
              <w:rPr>
                <w:sz w:val="18"/>
                <w:szCs w:val="18"/>
              </w:rPr>
              <w:br/>
              <w:t>Possibilité d’interpolation d’AER</w:t>
            </w:r>
          </w:p>
        </w:tc>
        <w:tc>
          <w:tcPr>
            <w:tcW w:w="3261" w:type="dxa"/>
            <w:tcBorders>
              <w:top w:val="nil"/>
              <w:bottom w:val="single" w:sz="12" w:space="0" w:color="auto"/>
            </w:tcBorders>
          </w:tcPr>
          <w:p w:rsidR="00E24DB7" w:rsidRPr="002C5876" w:rsidRDefault="00E24DB7" w:rsidP="00E24DB7">
            <w:pPr>
              <w:spacing w:before="60" w:after="60" w:line="220" w:lineRule="atLeast"/>
              <w:ind w:left="57" w:right="57"/>
              <w:rPr>
                <w:sz w:val="18"/>
                <w:szCs w:val="18"/>
              </w:rPr>
            </w:pPr>
          </w:p>
        </w:tc>
        <w:tc>
          <w:tcPr>
            <w:tcW w:w="2235" w:type="dxa"/>
            <w:tcBorders>
              <w:top w:val="nil"/>
              <w:bottom w:val="single" w:sz="12" w:space="0" w:color="auto"/>
            </w:tcBorders>
          </w:tcPr>
          <w:p w:rsidR="00E24DB7" w:rsidRPr="002C5876" w:rsidRDefault="00E24DB7" w:rsidP="00E24DB7">
            <w:pPr>
              <w:spacing w:before="60" w:after="60" w:line="220" w:lineRule="atLeast"/>
              <w:ind w:left="57" w:right="57"/>
              <w:rPr>
                <w:sz w:val="18"/>
                <w:szCs w:val="18"/>
              </w:rPr>
            </w:pPr>
          </w:p>
        </w:tc>
        <w:tc>
          <w:tcPr>
            <w:tcW w:w="740" w:type="dxa"/>
            <w:vMerge/>
            <w:tcBorders>
              <w:top w:val="nil"/>
              <w:bottom w:val="single" w:sz="12" w:space="0" w:color="auto"/>
            </w:tcBorders>
          </w:tcPr>
          <w:p w:rsidR="00E24DB7" w:rsidRPr="002C5876" w:rsidRDefault="00E24DB7" w:rsidP="00E24DB7">
            <w:pPr>
              <w:spacing w:before="60" w:after="60" w:line="220" w:lineRule="atLeast"/>
              <w:ind w:left="57" w:right="57"/>
              <w:rPr>
                <w:sz w:val="18"/>
                <w:szCs w:val="18"/>
              </w:rPr>
            </w:pPr>
          </w:p>
        </w:tc>
      </w:tr>
    </w:tbl>
    <w:p w:rsidR="00E24DB7" w:rsidRPr="002C5876" w:rsidRDefault="00E24DB7" w:rsidP="00E24DB7">
      <w:pPr>
        <w:pStyle w:val="SingleTxtG"/>
        <w:spacing w:before="240" w:line="220" w:lineRule="exact"/>
        <w:ind w:left="2268" w:hanging="1134"/>
      </w:pPr>
      <w:r w:rsidRPr="002C5876">
        <w:t>4.7</w:t>
      </w:r>
      <w:r w:rsidRPr="002C5876">
        <w:tab/>
        <w:t>P</w:t>
      </w:r>
      <w:r w:rsidRPr="002C5876">
        <w:rPr>
          <w:bCs/>
        </w:rPr>
        <w:t>rocédure par étapes pour le c</w:t>
      </w:r>
      <w:r w:rsidRPr="002C5876">
        <w:t xml:space="preserve">alcul des résultats d’essai finals des VEP </w:t>
      </w:r>
    </w:p>
    <w:p w:rsidR="00E24DB7" w:rsidRPr="002C5876" w:rsidRDefault="00E24DB7" w:rsidP="00E24DB7">
      <w:pPr>
        <w:pStyle w:val="SingleTxtG"/>
        <w:spacing w:line="220" w:lineRule="exact"/>
        <w:ind w:left="2268"/>
      </w:pPr>
      <w:r w:rsidRPr="002C5876">
        <w:tab/>
        <w:t>Les résultats doivent être calculés dans l’ordre indiqué au tableau A8/10 dans le cas de la procédure avec cycles consécutifs et dans l’ordre indiqué au tableau A8/11 dans le cas de la procédure d’essai abrégée. Tous les résultats applicables dans la colonne « Données de sortie » doivent être enregistrés. La colonne « Processus » indique les paragraphes à appliquer pour les calculs ou contient des calculs additionnels.</w:t>
      </w:r>
    </w:p>
    <w:p w:rsidR="00E24DB7" w:rsidRPr="002C5876" w:rsidRDefault="00E24DB7" w:rsidP="00E24DB7">
      <w:pPr>
        <w:pStyle w:val="SingleTxtG"/>
        <w:spacing w:line="220" w:lineRule="exact"/>
        <w:ind w:left="2268" w:hanging="1134"/>
        <w:rPr>
          <w:color w:val="000000"/>
          <w:szCs w:val="24"/>
        </w:rPr>
      </w:pPr>
      <w:r w:rsidRPr="002C5876">
        <w:rPr>
          <w:color w:val="000000"/>
          <w:szCs w:val="24"/>
        </w:rPr>
        <w:t>4.7.1</w:t>
      </w:r>
      <w:r w:rsidRPr="002C5876">
        <w:rPr>
          <w:color w:val="000000"/>
          <w:szCs w:val="24"/>
        </w:rPr>
        <w:tab/>
      </w:r>
      <w:r w:rsidRPr="002C5876">
        <w:rPr>
          <w:szCs w:val="24"/>
        </w:rPr>
        <w:t>P</w:t>
      </w:r>
      <w:r w:rsidRPr="002C5876">
        <w:rPr>
          <w:bCs/>
          <w:szCs w:val="24"/>
        </w:rPr>
        <w:t>rocédure par étapes pour le c</w:t>
      </w:r>
      <w:r w:rsidRPr="002C5876">
        <w:rPr>
          <w:color w:val="000000"/>
          <w:szCs w:val="24"/>
        </w:rPr>
        <w:t>alcul des résultats d’essai finals des VEP dans le cas de la procédure avec cycles consécutifs</w:t>
      </w:r>
    </w:p>
    <w:p w:rsidR="00E24DB7" w:rsidRPr="002C5876" w:rsidRDefault="00E24DB7" w:rsidP="00E24DB7">
      <w:pPr>
        <w:pStyle w:val="SingleTxtG"/>
        <w:keepLines/>
        <w:spacing w:line="220" w:lineRule="exact"/>
        <w:ind w:left="2268"/>
        <w:rPr>
          <w:color w:val="000000"/>
          <w:szCs w:val="24"/>
        </w:rPr>
      </w:pPr>
      <w:r w:rsidRPr="002C5876">
        <w:rPr>
          <w:color w:val="000000"/>
          <w:szCs w:val="24"/>
        </w:rPr>
        <w:t>Dans le tableau ci-après, la nomenclature suivante est utilisée dans les équations et les résultats :</w:t>
      </w:r>
    </w:p>
    <w:p w:rsidR="00E24DB7" w:rsidRPr="002C5876" w:rsidRDefault="00E24DB7" w:rsidP="00E24DB7">
      <w:pPr>
        <w:pStyle w:val="SingleTxtG"/>
        <w:spacing w:line="220" w:lineRule="exact"/>
        <w:ind w:left="2268"/>
        <w:rPr>
          <w:color w:val="000000"/>
          <w:szCs w:val="24"/>
        </w:rPr>
      </w:pPr>
      <w:r w:rsidRPr="002C5876">
        <w:rPr>
          <w:color w:val="000000"/>
          <w:szCs w:val="24"/>
        </w:rPr>
        <w:t>j</w:t>
      </w:r>
      <w:r w:rsidRPr="002C5876">
        <w:rPr>
          <w:color w:val="000000"/>
          <w:szCs w:val="24"/>
        </w:rPr>
        <w:tab/>
        <w:t>indice pour la période considérée.</w:t>
      </w:r>
    </w:p>
    <w:p w:rsidR="00E24DB7" w:rsidRPr="002C5876" w:rsidRDefault="00E24DB7" w:rsidP="00E24DB7">
      <w:pPr>
        <w:pStyle w:val="H23G"/>
        <w:ind w:left="0" w:firstLine="0"/>
      </w:pPr>
      <w:r w:rsidRPr="002C5876">
        <w:br w:type="page"/>
      </w:r>
      <w:r w:rsidRPr="002C5876">
        <w:rPr>
          <w:b w:val="0"/>
        </w:rPr>
        <w:lastRenderedPageBreak/>
        <w:t xml:space="preserve">Tableau A8/10 </w:t>
      </w:r>
      <w:r w:rsidRPr="002C5876">
        <w:br/>
      </w:r>
      <w:r w:rsidRPr="002C5876">
        <w:rPr>
          <w:lang w:eastAsia="de-DE"/>
        </w:rPr>
        <w:t xml:space="preserve">Calcul des résultats d’essai finals des VEP obtenus en suivant la procédure d’essai du type 1 </w:t>
      </w:r>
      <w:r w:rsidRPr="002C5876">
        <w:rPr>
          <w:lang w:eastAsia="de-DE"/>
        </w:rPr>
        <w:br/>
        <w:t>avec cycles consécutifs</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59"/>
        <w:gridCol w:w="2115"/>
        <w:gridCol w:w="3147"/>
        <w:gridCol w:w="2381"/>
        <w:gridCol w:w="737"/>
      </w:tblGrid>
      <w:tr w:rsidR="00E24DB7" w:rsidRPr="002C5876" w:rsidTr="00E24DB7">
        <w:trPr>
          <w:trHeight w:val="20"/>
          <w:tblHeader/>
          <w:jc w:val="center"/>
        </w:trPr>
        <w:tc>
          <w:tcPr>
            <w:tcW w:w="1259" w:type="dxa"/>
            <w:tcBorders>
              <w:top w:val="single" w:sz="4" w:space="0" w:color="auto"/>
              <w:bottom w:val="single" w:sz="12" w:space="0" w:color="auto"/>
            </w:tcBorders>
          </w:tcPr>
          <w:p w:rsidR="00E24DB7" w:rsidRPr="002C5876" w:rsidRDefault="00E24DB7" w:rsidP="00E24DB7">
            <w:pPr>
              <w:spacing w:before="80" w:after="80" w:line="200" w:lineRule="exact"/>
              <w:ind w:left="57" w:right="57"/>
              <w:rPr>
                <w:i/>
                <w:sz w:val="16"/>
                <w:szCs w:val="16"/>
              </w:rPr>
            </w:pPr>
            <w:r w:rsidRPr="002C5876">
              <w:rPr>
                <w:i/>
                <w:sz w:val="16"/>
                <w:szCs w:val="16"/>
              </w:rPr>
              <w:t>Source</w:t>
            </w:r>
          </w:p>
        </w:tc>
        <w:tc>
          <w:tcPr>
            <w:tcW w:w="2115" w:type="dxa"/>
            <w:tcBorders>
              <w:top w:val="single" w:sz="4" w:space="0" w:color="auto"/>
              <w:bottom w:val="single" w:sz="12" w:space="0" w:color="auto"/>
            </w:tcBorders>
          </w:tcPr>
          <w:p w:rsidR="00E24DB7" w:rsidRPr="002C5876" w:rsidRDefault="00E24DB7" w:rsidP="00E24DB7">
            <w:pPr>
              <w:spacing w:before="80" w:after="80" w:line="200" w:lineRule="exact"/>
              <w:ind w:left="57" w:right="57"/>
              <w:rPr>
                <w:i/>
                <w:sz w:val="16"/>
                <w:szCs w:val="16"/>
              </w:rPr>
            </w:pPr>
            <w:r w:rsidRPr="002C5876">
              <w:rPr>
                <w:i/>
                <w:sz w:val="16"/>
                <w:szCs w:val="16"/>
              </w:rPr>
              <w:t>Données d’entrée</w:t>
            </w:r>
          </w:p>
        </w:tc>
        <w:tc>
          <w:tcPr>
            <w:tcW w:w="3147" w:type="dxa"/>
            <w:tcBorders>
              <w:top w:val="single" w:sz="4" w:space="0" w:color="auto"/>
              <w:bottom w:val="single" w:sz="12" w:space="0" w:color="auto"/>
            </w:tcBorders>
          </w:tcPr>
          <w:p w:rsidR="00E24DB7" w:rsidRPr="002C5876" w:rsidRDefault="00E24DB7" w:rsidP="00E24DB7">
            <w:pPr>
              <w:spacing w:before="80" w:after="80" w:line="200" w:lineRule="exact"/>
              <w:ind w:left="57" w:right="57"/>
              <w:rPr>
                <w:i/>
                <w:sz w:val="16"/>
                <w:szCs w:val="16"/>
              </w:rPr>
            </w:pPr>
            <w:r w:rsidRPr="002C5876">
              <w:rPr>
                <w:i/>
                <w:sz w:val="16"/>
                <w:szCs w:val="16"/>
              </w:rPr>
              <w:t>Processus</w:t>
            </w:r>
          </w:p>
        </w:tc>
        <w:tc>
          <w:tcPr>
            <w:tcW w:w="2381" w:type="dxa"/>
            <w:tcBorders>
              <w:top w:val="single" w:sz="4" w:space="0" w:color="auto"/>
              <w:bottom w:val="single" w:sz="12" w:space="0" w:color="auto"/>
            </w:tcBorders>
          </w:tcPr>
          <w:p w:rsidR="00E24DB7" w:rsidRPr="002C5876" w:rsidRDefault="00E24DB7" w:rsidP="00E24DB7">
            <w:pPr>
              <w:spacing w:before="80" w:after="80" w:line="200" w:lineRule="exact"/>
              <w:ind w:left="57" w:right="57"/>
              <w:rPr>
                <w:i/>
                <w:sz w:val="16"/>
                <w:szCs w:val="16"/>
              </w:rPr>
            </w:pPr>
            <w:r w:rsidRPr="002C5876">
              <w:rPr>
                <w:i/>
                <w:sz w:val="16"/>
                <w:szCs w:val="16"/>
              </w:rPr>
              <w:t>Données de sortie</w:t>
            </w:r>
          </w:p>
        </w:tc>
        <w:tc>
          <w:tcPr>
            <w:tcW w:w="737" w:type="dxa"/>
            <w:tcBorders>
              <w:top w:val="single" w:sz="4" w:space="0" w:color="auto"/>
              <w:bottom w:val="single" w:sz="12" w:space="0" w:color="auto"/>
            </w:tcBorders>
          </w:tcPr>
          <w:p w:rsidR="00E24DB7" w:rsidRPr="002C5876" w:rsidRDefault="00E24DB7" w:rsidP="00E24DB7">
            <w:pPr>
              <w:spacing w:before="80" w:after="80" w:line="200" w:lineRule="exact"/>
              <w:ind w:left="57" w:right="57"/>
              <w:rPr>
                <w:i/>
                <w:sz w:val="16"/>
                <w:szCs w:val="16"/>
              </w:rPr>
            </w:pPr>
            <w:r w:rsidRPr="002C5876">
              <w:rPr>
                <w:i/>
                <w:sz w:val="16"/>
                <w:szCs w:val="16"/>
              </w:rPr>
              <w:t>Étape n</w:t>
            </w:r>
            <w:r w:rsidRPr="002C5876">
              <w:rPr>
                <w:i/>
                <w:sz w:val="16"/>
                <w:szCs w:val="16"/>
                <w:vertAlign w:val="superscript"/>
              </w:rPr>
              <w:t>o</w:t>
            </w:r>
          </w:p>
        </w:tc>
      </w:tr>
      <w:tr w:rsidR="00E24DB7" w:rsidRPr="002C5876" w:rsidTr="00E24DB7">
        <w:trPr>
          <w:trHeight w:val="20"/>
          <w:jc w:val="center"/>
        </w:trPr>
        <w:tc>
          <w:tcPr>
            <w:tcW w:w="1259" w:type="dxa"/>
            <w:vMerge w:val="restart"/>
            <w:tcBorders>
              <w:top w:val="single" w:sz="12"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Annexe 8</w:t>
            </w:r>
          </w:p>
        </w:tc>
        <w:tc>
          <w:tcPr>
            <w:tcW w:w="2115" w:type="dxa"/>
            <w:vMerge w:val="restart"/>
            <w:tcBorders>
              <w:top w:val="single" w:sz="12"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Résultats d’essai</w:t>
            </w:r>
          </w:p>
        </w:tc>
        <w:tc>
          <w:tcPr>
            <w:tcW w:w="3147" w:type="dxa"/>
            <w:tcBorders>
              <w:top w:val="single" w:sz="12" w:space="0" w:color="auto"/>
              <w:bottom w:val="nil"/>
            </w:tcBorders>
          </w:tcPr>
          <w:p w:rsidR="00E24DB7" w:rsidRPr="002C5876" w:rsidRDefault="00E24DB7" w:rsidP="00E24DB7">
            <w:pPr>
              <w:spacing w:before="60" w:line="220" w:lineRule="atLeast"/>
              <w:ind w:left="57" w:right="57"/>
              <w:rPr>
                <w:sz w:val="18"/>
                <w:szCs w:val="18"/>
              </w:rPr>
            </w:pPr>
            <w:r w:rsidRPr="002C5876">
              <w:rPr>
                <w:sz w:val="18"/>
                <w:szCs w:val="18"/>
              </w:rPr>
              <w:t>Résultats mesurés conformément à l’appendice 3 de la présente annexe, calculs préliminaires effectués conformément au paragraphe 4.3 de la présente annexe.</w:t>
            </w:r>
          </w:p>
        </w:tc>
        <w:tc>
          <w:tcPr>
            <w:tcW w:w="2381" w:type="dxa"/>
            <w:tcBorders>
              <w:top w:val="single" w:sz="12" w:space="0" w:color="auto"/>
              <w:bottom w:val="nil"/>
            </w:tcBorders>
          </w:tcPr>
          <w:p w:rsidR="00E24DB7" w:rsidRPr="00D53F39" w:rsidRDefault="00E24DB7" w:rsidP="00E24DB7">
            <w:pPr>
              <w:spacing w:before="60" w:after="60" w:line="220" w:lineRule="atLeast"/>
              <w:ind w:left="57" w:right="57"/>
              <w:rPr>
                <w:sz w:val="18"/>
                <w:szCs w:val="18"/>
                <w:lang w:val="en-US"/>
              </w:rPr>
            </w:pPr>
            <w:r w:rsidRPr="002C5876">
              <w:rPr>
                <w:sz w:val="18"/>
                <w:szCs w:val="18"/>
              </w:rPr>
              <w:t>Δ</w:t>
            </w:r>
            <w:r w:rsidRPr="00D53F39">
              <w:rPr>
                <w:sz w:val="18"/>
                <w:szCs w:val="18"/>
                <w:lang w:val="en-US"/>
              </w:rPr>
              <w:t>E</w:t>
            </w:r>
            <w:r w:rsidRPr="00D53F39">
              <w:rPr>
                <w:sz w:val="18"/>
                <w:szCs w:val="18"/>
                <w:vertAlign w:val="subscript"/>
                <w:lang w:val="en-US"/>
              </w:rPr>
              <w:t>REESS,j</w:t>
            </w:r>
            <w:r w:rsidRPr="00D53F39">
              <w:rPr>
                <w:sz w:val="18"/>
                <w:szCs w:val="18"/>
                <w:lang w:val="en-US"/>
              </w:rPr>
              <w:t>, Wh</w:t>
            </w:r>
            <w:r w:rsidRPr="00D53F39">
              <w:rPr>
                <w:sz w:val="18"/>
                <w:szCs w:val="18"/>
                <w:lang w:val="en-US"/>
              </w:rPr>
              <w:br/>
              <w:t>d</w:t>
            </w:r>
            <w:r w:rsidRPr="00D53F39">
              <w:rPr>
                <w:sz w:val="18"/>
                <w:szCs w:val="18"/>
                <w:vertAlign w:val="subscript"/>
                <w:lang w:val="en-US"/>
              </w:rPr>
              <w:t>j</w:t>
            </w:r>
            <w:r w:rsidRPr="00D53F39">
              <w:rPr>
                <w:sz w:val="18"/>
                <w:szCs w:val="18"/>
                <w:lang w:val="en-US"/>
              </w:rPr>
              <w:t>, km</w:t>
            </w:r>
          </w:p>
        </w:tc>
        <w:tc>
          <w:tcPr>
            <w:tcW w:w="737" w:type="dxa"/>
            <w:vMerge w:val="restart"/>
            <w:tcBorders>
              <w:top w:val="single" w:sz="12"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1</w:t>
            </w:r>
          </w:p>
        </w:tc>
      </w:tr>
      <w:tr w:rsidR="00E24DB7" w:rsidRPr="002C5876" w:rsidTr="00E24DB7">
        <w:trPr>
          <w:trHeight w:val="20"/>
          <w:jc w:val="center"/>
        </w:trPr>
        <w:tc>
          <w:tcPr>
            <w:tcW w:w="1259" w:type="dxa"/>
            <w:vMerge/>
          </w:tcPr>
          <w:p w:rsidR="00E24DB7" w:rsidRPr="002C5876" w:rsidRDefault="00E24DB7" w:rsidP="00E24DB7">
            <w:pPr>
              <w:spacing w:before="60" w:after="60" w:line="220" w:lineRule="atLeast"/>
              <w:ind w:left="57" w:right="57"/>
              <w:rPr>
                <w:sz w:val="18"/>
                <w:szCs w:val="18"/>
              </w:rPr>
            </w:pPr>
          </w:p>
        </w:tc>
        <w:tc>
          <w:tcPr>
            <w:tcW w:w="2115" w:type="dxa"/>
            <w:vMerge/>
          </w:tcPr>
          <w:p w:rsidR="00E24DB7" w:rsidRPr="002C5876" w:rsidRDefault="00E24DB7" w:rsidP="00E24DB7">
            <w:pPr>
              <w:spacing w:before="60" w:after="60" w:line="220" w:lineRule="atLeast"/>
              <w:ind w:left="57" w:right="57"/>
              <w:rPr>
                <w:sz w:val="18"/>
                <w:szCs w:val="18"/>
              </w:rPr>
            </w:pPr>
          </w:p>
        </w:tc>
        <w:tc>
          <w:tcPr>
            <w:tcW w:w="3147" w:type="dxa"/>
            <w:tcBorders>
              <w:top w:val="nil"/>
              <w:bottom w:val="nil"/>
            </w:tcBorders>
          </w:tcPr>
          <w:p w:rsidR="00E24DB7" w:rsidRPr="002C5876" w:rsidRDefault="00E24DB7" w:rsidP="00E24DB7">
            <w:pPr>
              <w:spacing w:before="60" w:line="220" w:lineRule="atLeast"/>
              <w:ind w:left="57" w:right="57"/>
              <w:rPr>
                <w:sz w:val="18"/>
                <w:szCs w:val="18"/>
              </w:rPr>
            </w:pPr>
            <w:r w:rsidRPr="002C5876">
              <w:rPr>
                <w:sz w:val="18"/>
                <w:szCs w:val="18"/>
              </w:rPr>
              <w:t>Énergie utilisable de la batterie conformément au paragraphe 4.4.2.2.1 de la présente annexe.</w:t>
            </w:r>
          </w:p>
        </w:tc>
        <w:tc>
          <w:tcPr>
            <w:tcW w:w="2381" w:type="dxa"/>
            <w:tcBorders>
              <w:top w:val="nil"/>
              <w:bottom w:val="nil"/>
            </w:tcBorders>
          </w:tcPr>
          <w:p w:rsidR="00E24DB7" w:rsidRPr="002C5876" w:rsidRDefault="00E24DB7" w:rsidP="00E24DB7">
            <w:pPr>
              <w:spacing w:before="60" w:after="60" w:line="220" w:lineRule="atLeast"/>
              <w:ind w:left="57" w:right="57"/>
              <w:rPr>
                <w:sz w:val="18"/>
                <w:szCs w:val="18"/>
              </w:rPr>
            </w:pPr>
            <w:r w:rsidRPr="002C5876">
              <w:rPr>
                <w:sz w:val="18"/>
                <w:szCs w:val="18"/>
              </w:rPr>
              <w:t>UBE</w:t>
            </w:r>
            <w:r w:rsidRPr="002C5876">
              <w:rPr>
                <w:sz w:val="18"/>
                <w:szCs w:val="18"/>
                <w:vertAlign w:val="subscript"/>
              </w:rPr>
              <w:t>CCP</w:t>
            </w:r>
            <w:r w:rsidRPr="002C5876">
              <w:rPr>
                <w:sz w:val="18"/>
                <w:szCs w:val="18"/>
              </w:rPr>
              <w:t>, Wh</w:t>
            </w:r>
          </w:p>
        </w:tc>
        <w:tc>
          <w:tcPr>
            <w:tcW w:w="737" w:type="dxa"/>
            <w:vMerge/>
          </w:tcPr>
          <w:p w:rsidR="00E24DB7" w:rsidRPr="002C5876" w:rsidRDefault="00E24DB7" w:rsidP="00E24DB7">
            <w:pPr>
              <w:spacing w:before="60" w:after="60" w:line="220" w:lineRule="atLeast"/>
              <w:ind w:left="57" w:right="57"/>
              <w:rPr>
                <w:sz w:val="18"/>
                <w:szCs w:val="18"/>
              </w:rPr>
            </w:pPr>
          </w:p>
        </w:tc>
      </w:tr>
      <w:tr w:rsidR="00E24DB7" w:rsidRPr="002C5876" w:rsidTr="00E24DB7">
        <w:trPr>
          <w:trHeight w:val="20"/>
          <w:jc w:val="center"/>
        </w:trPr>
        <w:tc>
          <w:tcPr>
            <w:tcW w:w="1259" w:type="dxa"/>
            <w:vMerge/>
            <w:tcBorders>
              <w:bottom w:val="single" w:sz="4" w:space="0" w:color="auto"/>
            </w:tcBorders>
          </w:tcPr>
          <w:p w:rsidR="00E24DB7" w:rsidRPr="002C5876" w:rsidRDefault="00E24DB7" w:rsidP="00E24DB7">
            <w:pPr>
              <w:spacing w:before="60" w:after="60" w:line="220" w:lineRule="atLeast"/>
              <w:ind w:left="57" w:right="57"/>
              <w:rPr>
                <w:sz w:val="18"/>
                <w:szCs w:val="18"/>
              </w:rPr>
            </w:pPr>
          </w:p>
        </w:tc>
        <w:tc>
          <w:tcPr>
            <w:tcW w:w="2115" w:type="dxa"/>
            <w:vMerge/>
            <w:tcBorders>
              <w:bottom w:val="single" w:sz="4" w:space="0" w:color="auto"/>
            </w:tcBorders>
          </w:tcPr>
          <w:p w:rsidR="00E24DB7" w:rsidRPr="002C5876" w:rsidRDefault="00E24DB7" w:rsidP="00E24DB7">
            <w:pPr>
              <w:spacing w:before="60" w:after="60" w:line="220" w:lineRule="atLeast"/>
              <w:ind w:left="57" w:right="57"/>
              <w:rPr>
                <w:sz w:val="18"/>
                <w:szCs w:val="18"/>
              </w:rPr>
            </w:pPr>
          </w:p>
        </w:tc>
        <w:tc>
          <w:tcPr>
            <w:tcW w:w="3147" w:type="dxa"/>
            <w:tcBorders>
              <w:top w:val="nil"/>
              <w:bottom w:val="single" w:sz="4"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Énergie électrique rechargée conformément au paragraphe 3.4.4.3 de l’annexe 8.</w:t>
            </w:r>
          </w:p>
          <w:p w:rsidR="00E24DB7" w:rsidRPr="002C5876" w:rsidRDefault="00E24DB7" w:rsidP="00E24DB7">
            <w:pPr>
              <w:spacing w:before="60" w:after="60" w:line="220" w:lineRule="atLeast"/>
              <w:ind w:left="57" w:right="57"/>
              <w:rPr>
                <w:sz w:val="18"/>
                <w:szCs w:val="18"/>
              </w:rPr>
            </w:pPr>
            <w:r w:rsidRPr="002C5876">
              <w:rPr>
                <w:sz w:val="18"/>
                <w:szCs w:val="18"/>
              </w:rPr>
              <w:t>Données de sortie disponibles pour chaque essai.</w:t>
            </w:r>
          </w:p>
          <w:p w:rsidR="00E24DB7" w:rsidRPr="002C5876" w:rsidRDefault="00E24DB7" w:rsidP="00E24DB7">
            <w:pPr>
              <w:spacing w:before="60" w:after="60" w:line="220" w:lineRule="atLeast"/>
              <w:ind w:left="57" w:right="57"/>
              <w:rPr>
                <w:sz w:val="18"/>
                <w:szCs w:val="18"/>
              </w:rPr>
            </w:pPr>
            <w:r w:rsidRPr="002C5876">
              <w:rPr>
                <w:sz w:val="18"/>
                <w:szCs w:val="18"/>
              </w:rPr>
              <w:t>Si la méthode d’interpolation est appliquée, les données de sortie sont disponibles pour les véhicules H et L.</w:t>
            </w:r>
          </w:p>
        </w:tc>
        <w:tc>
          <w:tcPr>
            <w:tcW w:w="2381" w:type="dxa"/>
            <w:tcBorders>
              <w:top w:val="nil"/>
              <w:bottom w:val="single" w:sz="4"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E</w:t>
            </w:r>
            <w:r w:rsidRPr="002C5876">
              <w:rPr>
                <w:sz w:val="18"/>
                <w:szCs w:val="18"/>
                <w:vertAlign w:val="subscript"/>
              </w:rPr>
              <w:t>AC</w:t>
            </w:r>
            <w:r w:rsidRPr="002C5876">
              <w:rPr>
                <w:sz w:val="18"/>
                <w:szCs w:val="18"/>
              </w:rPr>
              <w:t>, Wh</w:t>
            </w:r>
          </w:p>
        </w:tc>
        <w:tc>
          <w:tcPr>
            <w:tcW w:w="737" w:type="dxa"/>
            <w:vMerge/>
            <w:tcBorders>
              <w:bottom w:val="single" w:sz="4" w:space="0" w:color="auto"/>
            </w:tcBorders>
          </w:tcPr>
          <w:p w:rsidR="00E24DB7" w:rsidRPr="002C5876" w:rsidRDefault="00E24DB7" w:rsidP="00E24DB7">
            <w:pPr>
              <w:spacing w:before="60" w:after="60" w:line="220" w:lineRule="atLeast"/>
              <w:ind w:left="57" w:right="57"/>
              <w:rPr>
                <w:sz w:val="18"/>
                <w:szCs w:val="18"/>
              </w:rPr>
            </w:pPr>
          </w:p>
        </w:tc>
      </w:tr>
      <w:tr w:rsidR="00E24DB7" w:rsidRPr="002C5876" w:rsidTr="00E24DB7">
        <w:trPr>
          <w:trHeight w:val="20"/>
          <w:jc w:val="center"/>
        </w:trPr>
        <w:tc>
          <w:tcPr>
            <w:tcW w:w="1259" w:type="dxa"/>
            <w:tcBorders>
              <w:top w:val="single" w:sz="4" w:space="0" w:color="auto"/>
              <w:bottom w:val="single" w:sz="4"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 xml:space="preserve">Sortie </w:t>
            </w:r>
            <w:r w:rsidRPr="002C5876">
              <w:rPr>
                <w:sz w:val="18"/>
                <w:szCs w:val="18"/>
              </w:rPr>
              <w:br/>
              <w:t>de l’étape 1</w:t>
            </w:r>
          </w:p>
        </w:tc>
        <w:tc>
          <w:tcPr>
            <w:tcW w:w="2115" w:type="dxa"/>
            <w:tcBorders>
              <w:top w:val="single" w:sz="4" w:space="0" w:color="auto"/>
              <w:bottom w:val="single" w:sz="4" w:space="0" w:color="auto"/>
            </w:tcBorders>
          </w:tcPr>
          <w:p w:rsidR="00E24DB7" w:rsidRPr="00D53F39" w:rsidRDefault="00E24DB7" w:rsidP="00E24DB7">
            <w:pPr>
              <w:spacing w:before="60" w:after="60" w:line="220" w:lineRule="atLeast"/>
              <w:ind w:left="57" w:right="57"/>
              <w:rPr>
                <w:sz w:val="18"/>
                <w:szCs w:val="18"/>
                <w:lang w:val="en-US"/>
              </w:rPr>
            </w:pPr>
            <w:r w:rsidRPr="002C5876">
              <w:rPr>
                <w:sz w:val="18"/>
                <w:szCs w:val="18"/>
              </w:rPr>
              <w:t>Δ</w:t>
            </w:r>
            <w:r w:rsidRPr="00D53F39">
              <w:rPr>
                <w:sz w:val="18"/>
                <w:szCs w:val="18"/>
                <w:lang w:val="en-US"/>
              </w:rPr>
              <w:t>E</w:t>
            </w:r>
            <w:r w:rsidRPr="00D53F39">
              <w:rPr>
                <w:sz w:val="18"/>
                <w:szCs w:val="18"/>
                <w:vertAlign w:val="subscript"/>
                <w:lang w:val="en-US"/>
              </w:rPr>
              <w:t>REESS,j</w:t>
            </w:r>
            <w:r w:rsidRPr="00D53F39">
              <w:rPr>
                <w:sz w:val="18"/>
                <w:szCs w:val="18"/>
                <w:lang w:val="en-US"/>
              </w:rPr>
              <w:t>, Wh </w:t>
            </w:r>
            <w:r w:rsidRPr="00D53F39">
              <w:rPr>
                <w:sz w:val="18"/>
                <w:szCs w:val="18"/>
                <w:lang w:val="en-US"/>
              </w:rPr>
              <w:br/>
              <w:t>UBE</w:t>
            </w:r>
            <w:r w:rsidRPr="00D53F39">
              <w:rPr>
                <w:sz w:val="18"/>
                <w:szCs w:val="18"/>
                <w:vertAlign w:val="subscript"/>
                <w:lang w:val="en-US"/>
              </w:rPr>
              <w:t>CCP</w:t>
            </w:r>
            <w:r w:rsidRPr="00D53F39">
              <w:rPr>
                <w:sz w:val="18"/>
                <w:szCs w:val="18"/>
                <w:lang w:val="en-US"/>
              </w:rPr>
              <w:t>, Wh</w:t>
            </w:r>
          </w:p>
        </w:tc>
        <w:tc>
          <w:tcPr>
            <w:tcW w:w="3147" w:type="dxa"/>
            <w:tcBorders>
              <w:top w:val="single" w:sz="4" w:space="0" w:color="auto"/>
              <w:bottom w:val="single" w:sz="4"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Détermination du nombre de phases et de cycles WLTC applicables entièrement exécutés conformément au paragraphe 4.4.2.2 de la présente annexe.</w:t>
            </w:r>
          </w:p>
          <w:p w:rsidR="00E24DB7" w:rsidRPr="002C5876" w:rsidRDefault="00E24DB7" w:rsidP="00E24DB7">
            <w:pPr>
              <w:spacing w:before="60" w:after="60" w:line="220" w:lineRule="atLeast"/>
              <w:ind w:left="57" w:right="57"/>
              <w:rPr>
                <w:sz w:val="18"/>
                <w:szCs w:val="18"/>
              </w:rPr>
            </w:pPr>
            <w:r w:rsidRPr="002C5876">
              <w:rPr>
                <w:sz w:val="18"/>
                <w:szCs w:val="18"/>
              </w:rPr>
              <w:t>Données de sortie disponibles pour chaque essai.</w:t>
            </w:r>
          </w:p>
          <w:p w:rsidR="00E24DB7" w:rsidRPr="002C5876" w:rsidRDefault="00E24DB7" w:rsidP="00E24DB7">
            <w:pPr>
              <w:spacing w:before="60" w:after="60" w:line="220" w:lineRule="atLeast"/>
              <w:ind w:left="57" w:right="57"/>
              <w:rPr>
                <w:sz w:val="18"/>
                <w:szCs w:val="18"/>
              </w:rPr>
            </w:pPr>
            <w:r w:rsidRPr="002C5876">
              <w:rPr>
                <w:sz w:val="18"/>
                <w:szCs w:val="18"/>
              </w:rPr>
              <w:t>Si la méthode d’interpolation est appliquée, les données de sortie sont disponibles pour les véhicules H et L.</w:t>
            </w:r>
          </w:p>
        </w:tc>
        <w:tc>
          <w:tcPr>
            <w:tcW w:w="2381" w:type="dxa"/>
            <w:tcBorders>
              <w:top w:val="single" w:sz="4" w:space="0" w:color="auto"/>
              <w:bottom w:val="single" w:sz="4" w:space="0" w:color="auto"/>
            </w:tcBorders>
          </w:tcPr>
          <w:p w:rsidR="00E24DB7" w:rsidRPr="00D53F39" w:rsidRDefault="00E24DB7" w:rsidP="00E24DB7">
            <w:pPr>
              <w:spacing w:before="60" w:after="60" w:line="220" w:lineRule="atLeast"/>
              <w:ind w:left="57" w:right="57"/>
              <w:rPr>
                <w:sz w:val="18"/>
                <w:szCs w:val="18"/>
                <w:lang w:val="en-US"/>
              </w:rPr>
            </w:pPr>
            <w:r w:rsidRPr="00D53F39">
              <w:rPr>
                <w:sz w:val="18"/>
                <w:szCs w:val="18"/>
                <w:lang w:val="en-US"/>
              </w:rPr>
              <w:t>n</w:t>
            </w:r>
            <w:r w:rsidRPr="00D53F39">
              <w:rPr>
                <w:sz w:val="18"/>
                <w:szCs w:val="18"/>
                <w:vertAlign w:val="subscript"/>
                <w:lang w:val="en-US"/>
              </w:rPr>
              <w:t>WLTC</w:t>
            </w:r>
            <w:r w:rsidRPr="00D53F39">
              <w:rPr>
                <w:sz w:val="18"/>
                <w:szCs w:val="18"/>
                <w:lang w:val="en-US"/>
              </w:rPr>
              <w:br/>
              <w:t>n</w:t>
            </w:r>
            <w:r w:rsidRPr="00D53F39">
              <w:rPr>
                <w:sz w:val="18"/>
                <w:szCs w:val="18"/>
                <w:vertAlign w:val="subscript"/>
                <w:lang w:val="en-US"/>
              </w:rPr>
              <w:t>city</w:t>
            </w:r>
            <w:r w:rsidRPr="00D53F39">
              <w:rPr>
                <w:sz w:val="18"/>
                <w:szCs w:val="18"/>
                <w:lang w:val="en-US"/>
              </w:rPr>
              <w:br/>
              <w:t>n</w:t>
            </w:r>
            <w:r w:rsidRPr="00D53F39">
              <w:rPr>
                <w:sz w:val="18"/>
                <w:szCs w:val="18"/>
                <w:vertAlign w:val="subscript"/>
                <w:lang w:val="en-US"/>
              </w:rPr>
              <w:t>low</w:t>
            </w:r>
            <w:r w:rsidRPr="00D53F39">
              <w:rPr>
                <w:sz w:val="18"/>
                <w:szCs w:val="18"/>
                <w:lang w:val="en-US"/>
              </w:rPr>
              <w:br/>
            </w:r>
            <w:r w:rsidRPr="00D53F39">
              <w:rPr>
                <w:sz w:val="18"/>
                <w:lang w:val="en-US"/>
              </w:rPr>
              <w:t>n</w:t>
            </w:r>
            <w:r w:rsidRPr="00D53F39">
              <w:rPr>
                <w:sz w:val="18"/>
                <w:vertAlign w:val="subscript"/>
                <w:lang w:val="en-US"/>
              </w:rPr>
              <w:t>med</w:t>
            </w:r>
            <w:r w:rsidRPr="00D53F39">
              <w:rPr>
                <w:sz w:val="18"/>
                <w:szCs w:val="18"/>
                <w:lang w:val="en-US"/>
              </w:rPr>
              <w:br/>
              <w:t>n</w:t>
            </w:r>
            <w:r w:rsidRPr="00D53F39">
              <w:rPr>
                <w:sz w:val="18"/>
                <w:szCs w:val="18"/>
                <w:vertAlign w:val="subscript"/>
                <w:lang w:val="en-US"/>
              </w:rPr>
              <w:t>high</w:t>
            </w:r>
            <w:r w:rsidRPr="00D53F39">
              <w:rPr>
                <w:sz w:val="18"/>
                <w:szCs w:val="18"/>
                <w:lang w:val="en-US"/>
              </w:rPr>
              <w:br/>
              <w:t>n</w:t>
            </w:r>
            <w:r w:rsidRPr="00D53F39">
              <w:rPr>
                <w:sz w:val="18"/>
                <w:szCs w:val="18"/>
                <w:vertAlign w:val="subscript"/>
                <w:lang w:val="en-US"/>
              </w:rPr>
              <w:t>exHigh</w:t>
            </w:r>
          </w:p>
        </w:tc>
        <w:tc>
          <w:tcPr>
            <w:tcW w:w="737" w:type="dxa"/>
            <w:tcBorders>
              <w:top w:val="single" w:sz="4" w:space="0" w:color="auto"/>
              <w:bottom w:val="single" w:sz="4"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2</w:t>
            </w:r>
          </w:p>
        </w:tc>
      </w:tr>
      <w:tr w:rsidR="00E24DB7" w:rsidRPr="002C5876" w:rsidTr="00E24DB7">
        <w:trPr>
          <w:trHeight w:val="20"/>
          <w:jc w:val="center"/>
        </w:trPr>
        <w:tc>
          <w:tcPr>
            <w:tcW w:w="1259" w:type="dxa"/>
            <w:tcBorders>
              <w:top w:val="single" w:sz="4" w:space="0" w:color="auto"/>
              <w:bottom w:val="nil"/>
            </w:tcBorders>
          </w:tcPr>
          <w:p w:rsidR="00E24DB7" w:rsidRPr="002C5876" w:rsidRDefault="00E24DB7" w:rsidP="00E24DB7">
            <w:pPr>
              <w:spacing w:before="60" w:line="220" w:lineRule="atLeast"/>
              <w:ind w:left="57" w:right="57"/>
              <w:rPr>
                <w:sz w:val="18"/>
                <w:szCs w:val="18"/>
              </w:rPr>
            </w:pPr>
            <w:r w:rsidRPr="002C5876">
              <w:rPr>
                <w:sz w:val="18"/>
                <w:szCs w:val="18"/>
              </w:rPr>
              <w:t xml:space="preserve">Sortie </w:t>
            </w:r>
            <w:r w:rsidRPr="002C5876">
              <w:rPr>
                <w:sz w:val="18"/>
                <w:szCs w:val="18"/>
              </w:rPr>
              <w:br/>
              <w:t>de l’étape 1</w:t>
            </w:r>
          </w:p>
        </w:tc>
        <w:tc>
          <w:tcPr>
            <w:tcW w:w="2115" w:type="dxa"/>
            <w:tcBorders>
              <w:top w:val="single" w:sz="4" w:space="0" w:color="auto"/>
              <w:bottom w:val="nil"/>
            </w:tcBorders>
          </w:tcPr>
          <w:p w:rsidR="00E24DB7" w:rsidRPr="00D53F39" w:rsidRDefault="00E24DB7" w:rsidP="00E24DB7">
            <w:pPr>
              <w:spacing w:before="60" w:line="220" w:lineRule="atLeast"/>
              <w:ind w:left="57" w:right="57"/>
              <w:rPr>
                <w:sz w:val="18"/>
                <w:szCs w:val="18"/>
                <w:lang w:val="en-US"/>
              </w:rPr>
            </w:pPr>
            <w:r w:rsidRPr="002C5876">
              <w:rPr>
                <w:sz w:val="18"/>
                <w:szCs w:val="18"/>
              </w:rPr>
              <w:t>Δ</w:t>
            </w:r>
            <w:r w:rsidRPr="00D53F39">
              <w:rPr>
                <w:sz w:val="18"/>
                <w:szCs w:val="18"/>
                <w:lang w:val="en-US"/>
              </w:rPr>
              <w:t>E</w:t>
            </w:r>
            <w:r w:rsidRPr="00D53F39">
              <w:rPr>
                <w:sz w:val="18"/>
                <w:szCs w:val="18"/>
                <w:vertAlign w:val="subscript"/>
                <w:lang w:val="en-US"/>
              </w:rPr>
              <w:t>REESS,j</w:t>
            </w:r>
            <w:r w:rsidRPr="00D53F39">
              <w:rPr>
                <w:sz w:val="18"/>
                <w:szCs w:val="18"/>
                <w:lang w:val="en-US"/>
              </w:rPr>
              <w:t>, Wh </w:t>
            </w:r>
            <w:r w:rsidRPr="00D53F39">
              <w:rPr>
                <w:sz w:val="18"/>
                <w:szCs w:val="18"/>
                <w:lang w:val="en-US"/>
              </w:rPr>
              <w:br/>
              <w:t>UBE</w:t>
            </w:r>
            <w:r w:rsidRPr="00D53F39">
              <w:rPr>
                <w:sz w:val="18"/>
                <w:szCs w:val="18"/>
                <w:vertAlign w:val="subscript"/>
                <w:lang w:val="en-US"/>
              </w:rPr>
              <w:t>CCP</w:t>
            </w:r>
            <w:r w:rsidRPr="00D53F39">
              <w:rPr>
                <w:sz w:val="18"/>
                <w:szCs w:val="18"/>
                <w:lang w:val="en-US"/>
              </w:rPr>
              <w:t>, Wh</w:t>
            </w:r>
          </w:p>
        </w:tc>
        <w:tc>
          <w:tcPr>
            <w:tcW w:w="3147" w:type="dxa"/>
            <w:vMerge w:val="restart"/>
            <w:tcBorders>
              <w:top w:val="single" w:sz="4" w:space="0" w:color="auto"/>
              <w:bottom w:val="nil"/>
            </w:tcBorders>
          </w:tcPr>
          <w:p w:rsidR="00E24DB7" w:rsidRPr="002C5876" w:rsidRDefault="00E24DB7" w:rsidP="00E24DB7">
            <w:pPr>
              <w:spacing w:before="60" w:line="220" w:lineRule="atLeast"/>
              <w:ind w:left="57" w:right="57"/>
              <w:rPr>
                <w:sz w:val="18"/>
                <w:szCs w:val="18"/>
              </w:rPr>
            </w:pPr>
            <w:r w:rsidRPr="002C5876">
              <w:rPr>
                <w:sz w:val="18"/>
                <w:szCs w:val="18"/>
              </w:rPr>
              <w:t>Calcul des facteurs de pondération conformément au paragraphe 4.4.2.2 de la présente annexe.</w:t>
            </w:r>
          </w:p>
          <w:p w:rsidR="00E24DB7" w:rsidRPr="002C5876" w:rsidRDefault="00E24DB7" w:rsidP="00E24DB7">
            <w:pPr>
              <w:spacing w:before="60" w:line="220" w:lineRule="atLeast"/>
              <w:ind w:left="57" w:right="57"/>
              <w:rPr>
                <w:sz w:val="18"/>
                <w:szCs w:val="18"/>
              </w:rPr>
            </w:pPr>
            <w:r w:rsidRPr="002C5876">
              <w:rPr>
                <w:i/>
                <w:sz w:val="18"/>
                <w:szCs w:val="18"/>
              </w:rPr>
              <w:t>Note</w:t>
            </w:r>
            <w:r w:rsidRPr="002C5876">
              <w:rPr>
                <w:sz w:val="18"/>
                <w:szCs w:val="18"/>
              </w:rPr>
              <w:t> : Le nombre de facteurs de pondération dépend du cycle applicable utilisé (WLTC à 3 ou 4 phases). Dans le cas d’un cycle WLTC à 4 phases, les données de sortie entre parenthèses peuvent également être nécessaires.</w:t>
            </w:r>
          </w:p>
        </w:tc>
        <w:tc>
          <w:tcPr>
            <w:tcW w:w="2381" w:type="dxa"/>
            <w:vMerge w:val="restart"/>
            <w:tcBorders>
              <w:top w:val="single" w:sz="4" w:space="0" w:color="auto"/>
              <w:bottom w:val="nil"/>
            </w:tcBorders>
          </w:tcPr>
          <w:p w:rsidR="00E24DB7" w:rsidRPr="002C5876" w:rsidRDefault="00E24DB7" w:rsidP="00E24DB7">
            <w:pPr>
              <w:spacing w:before="60" w:line="220" w:lineRule="atLeast"/>
              <w:ind w:left="57" w:right="57"/>
              <w:rPr>
                <w:sz w:val="18"/>
                <w:szCs w:val="18"/>
              </w:rPr>
            </w:pPr>
            <w:r w:rsidRPr="002C5876">
              <w:rPr>
                <w:sz w:val="18"/>
                <w:szCs w:val="18"/>
              </w:rPr>
              <w:t>K</w:t>
            </w:r>
            <w:r w:rsidRPr="002C5876">
              <w:rPr>
                <w:sz w:val="18"/>
                <w:szCs w:val="18"/>
                <w:vertAlign w:val="subscript"/>
              </w:rPr>
              <w:t>WLTC,1</w:t>
            </w:r>
            <w:r w:rsidRPr="002C5876">
              <w:rPr>
                <w:sz w:val="18"/>
                <w:szCs w:val="18"/>
              </w:rPr>
              <w:t> </w:t>
            </w:r>
            <w:r w:rsidRPr="002C5876">
              <w:rPr>
                <w:sz w:val="18"/>
                <w:szCs w:val="18"/>
              </w:rPr>
              <w:br/>
              <w:t>K</w:t>
            </w:r>
            <w:r w:rsidRPr="002C5876">
              <w:rPr>
                <w:sz w:val="18"/>
                <w:szCs w:val="18"/>
                <w:vertAlign w:val="subscript"/>
              </w:rPr>
              <w:t>WLTC,2</w:t>
            </w:r>
            <w:r w:rsidRPr="002C5876">
              <w:rPr>
                <w:sz w:val="18"/>
                <w:szCs w:val="18"/>
              </w:rPr>
              <w:t> </w:t>
            </w:r>
            <w:r w:rsidRPr="002C5876">
              <w:rPr>
                <w:sz w:val="18"/>
                <w:szCs w:val="18"/>
              </w:rPr>
              <w:br/>
              <w:t>K</w:t>
            </w:r>
            <w:r w:rsidRPr="002C5876">
              <w:rPr>
                <w:sz w:val="18"/>
                <w:szCs w:val="18"/>
                <w:vertAlign w:val="subscript"/>
              </w:rPr>
              <w:t>WLTC,3</w:t>
            </w:r>
            <w:r w:rsidRPr="002C5876">
              <w:rPr>
                <w:sz w:val="18"/>
                <w:szCs w:val="18"/>
              </w:rPr>
              <w:t> </w:t>
            </w:r>
            <w:r w:rsidRPr="002C5876">
              <w:rPr>
                <w:sz w:val="18"/>
                <w:szCs w:val="18"/>
              </w:rPr>
              <w:br/>
              <w:t>(K</w:t>
            </w:r>
            <w:r w:rsidRPr="002C5876">
              <w:rPr>
                <w:sz w:val="18"/>
                <w:szCs w:val="18"/>
                <w:vertAlign w:val="subscript"/>
              </w:rPr>
              <w:t>WLTC,4</w:t>
            </w:r>
            <w:r w:rsidRPr="002C5876">
              <w:rPr>
                <w:sz w:val="18"/>
                <w:szCs w:val="18"/>
              </w:rPr>
              <w:t>) </w:t>
            </w:r>
            <w:r w:rsidRPr="002C5876">
              <w:rPr>
                <w:sz w:val="18"/>
                <w:szCs w:val="18"/>
              </w:rPr>
              <w:br/>
              <w:t>K</w:t>
            </w:r>
            <w:r w:rsidRPr="002C5876">
              <w:rPr>
                <w:sz w:val="18"/>
                <w:szCs w:val="18"/>
                <w:vertAlign w:val="subscript"/>
              </w:rPr>
              <w:t>city,1</w:t>
            </w:r>
            <w:r w:rsidRPr="002C5876">
              <w:rPr>
                <w:sz w:val="18"/>
                <w:szCs w:val="18"/>
              </w:rPr>
              <w:t> </w:t>
            </w:r>
            <w:r w:rsidRPr="002C5876">
              <w:rPr>
                <w:sz w:val="18"/>
                <w:szCs w:val="18"/>
              </w:rPr>
              <w:br/>
              <w:t>K</w:t>
            </w:r>
            <w:r w:rsidRPr="002C5876">
              <w:rPr>
                <w:sz w:val="18"/>
                <w:szCs w:val="18"/>
                <w:vertAlign w:val="subscript"/>
              </w:rPr>
              <w:t>city,2</w:t>
            </w:r>
            <w:r w:rsidRPr="002C5876">
              <w:rPr>
                <w:sz w:val="18"/>
                <w:szCs w:val="18"/>
              </w:rPr>
              <w:t> </w:t>
            </w:r>
            <w:r w:rsidRPr="002C5876">
              <w:rPr>
                <w:sz w:val="18"/>
                <w:szCs w:val="18"/>
              </w:rPr>
              <w:br/>
              <w:t>K</w:t>
            </w:r>
            <w:r w:rsidRPr="002C5876">
              <w:rPr>
                <w:sz w:val="18"/>
                <w:szCs w:val="18"/>
                <w:vertAlign w:val="subscript"/>
              </w:rPr>
              <w:t>city,3</w:t>
            </w:r>
            <w:r w:rsidRPr="002C5876">
              <w:rPr>
                <w:sz w:val="18"/>
                <w:szCs w:val="18"/>
              </w:rPr>
              <w:t> </w:t>
            </w:r>
            <w:r w:rsidRPr="002C5876">
              <w:rPr>
                <w:sz w:val="18"/>
                <w:szCs w:val="18"/>
              </w:rPr>
              <w:br/>
              <w:t>(K</w:t>
            </w:r>
            <w:r w:rsidRPr="002C5876">
              <w:rPr>
                <w:sz w:val="18"/>
                <w:szCs w:val="18"/>
                <w:vertAlign w:val="subscript"/>
              </w:rPr>
              <w:t>city,4</w:t>
            </w:r>
            <w:r w:rsidRPr="002C5876">
              <w:rPr>
                <w:sz w:val="18"/>
                <w:szCs w:val="18"/>
              </w:rPr>
              <w:t>) </w:t>
            </w:r>
            <w:r w:rsidRPr="002C5876">
              <w:rPr>
                <w:sz w:val="18"/>
                <w:szCs w:val="18"/>
              </w:rPr>
              <w:br/>
              <w:t>K</w:t>
            </w:r>
            <w:r w:rsidRPr="002C5876">
              <w:rPr>
                <w:sz w:val="18"/>
                <w:szCs w:val="18"/>
                <w:vertAlign w:val="subscript"/>
              </w:rPr>
              <w:t>low,1 </w:t>
            </w:r>
            <w:r w:rsidRPr="002C5876">
              <w:rPr>
                <w:sz w:val="18"/>
                <w:szCs w:val="18"/>
              </w:rPr>
              <w:br/>
              <w:t>K</w:t>
            </w:r>
            <w:r w:rsidRPr="002C5876">
              <w:rPr>
                <w:sz w:val="18"/>
                <w:szCs w:val="18"/>
                <w:vertAlign w:val="subscript"/>
              </w:rPr>
              <w:t>low,2 </w:t>
            </w:r>
          </w:p>
        </w:tc>
        <w:tc>
          <w:tcPr>
            <w:tcW w:w="737" w:type="dxa"/>
            <w:vMerge w:val="restart"/>
            <w:tcBorders>
              <w:top w:val="single" w:sz="4" w:space="0" w:color="auto"/>
              <w:bottom w:val="nil"/>
            </w:tcBorders>
          </w:tcPr>
          <w:p w:rsidR="00E24DB7" w:rsidRPr="002C5876" w:rsidRDefault="00E24DB7" w:rsidP="00E24DB7">
            <w:pPr>
              <w:spacing w:before="60" w:after="60" w:line="220" w:lineRule="atLeast"/>
              <w:ind w:left="57" w:right="57"/>
              <w:rPr>
                <w:sz w:val="18"/>
                <w:szCs w:val="18"/>
              </w:rPr>
            </w:pPr>
            <w:r w:rsidRPr="002C5876">
              <w:rPr>
                <w:sz w:val="18"/>
                <w:szCs w:val="18"/>
              </w:rPr>
              <w:t>3</w:t>
            </w:r>
          </w:p>
        </w:tc>
      </w:tr>
      <w:tr w:rsidR="00E24DB7" w:rsidRPr="00D53F39" w:rsidTr="00E24DB7">
        <w:trPr>
          <w:trHeight w:val="20"/>
          <w:jc w:val="center"/>
        </w:trPr>
        <w:tc>
          <w:tcPr>
            <w:tcW w:w="1259" w:type="dxa"/>
            <w:tcBorders>
              <w:top w:val="nil"/>
              <w:bottom w:val="nil"/>
            </w:tcBorders>
          </w:tcPr>
          <w:p w:rsidR="00E24DB7" w:rsidRPr="002C5876" w:rsidRDefault="00E24DB7" w:rsidP="00E24DB7">
            <w:pPr>
              <w:spacing w:line="220" w:lineRule="atLeast"/>
              <w:ind w:left="57" w:right="57"/>
              <w:rPr>
                <w:sz w:val="18"/>
                <w:szCs w:val="18"/>
              </w:rPr>
            </w:pPr>
            <w:r w:rsidRPr="002C5876">
              <w:rPr>
                <w:sz w:val="18"/>
                <w:szCs w:val="18"/>
              </w:rPr>
              <w:t xml:space="preserve">Sortie </w:t>
            </w:r>
            <w:r w:rsidRPr="002C5876">
              <w:rPr>
                <w:sz w:val="18"/>
                <w:szCs w:val="18"/>
              </w:rPr>
              <w:br/>
              <w:t>de l’étape 2</w:t>
            </w:r>
          </w:p>
        </w:tc>
        <w:tc>
          <w:tcPr>
            <w:tcW w:w="2115" w:type="dxa"/>
            <w:tcBorders>
              <w:top w:val="nil"/>
              <w:bottom w:val="nil"/>
            </w:tcBorders>
          </w:tcPr>
          <w:p w:rsidR="00E24DB7" w:rsidRPr="00D53F39" w:rsidRDefault="00E24DB7" w:rsidP="00E24DB7">
            <w:pPr>
              <w:spacing w:line="220" w:lineRule="atLeast"/>
              <w:ind w:left="57" w:right="57"/>
              <w:rPr>
                <w:sz w:val="18"/>
                <w:szCs w:val="18"/>
                <w:lang w:val="en-US"/>
              </w:rPr>
            </w:pPr>
            <w:r w:rsidRPr="00D53F39">
              <w:rPr>
                <w:sz w:val="18"/>
                <w:szCs w:val="18"/>
                <w:lang w:val="en-US"/>
              </w:rPr>
              <w:t>n</w:t>
            </w:r>
            <w:r w:rsidRPr="00D53F39">
              <w:rPr>
                <w:sz w:val="18"/>
                <w:szCs w:val="18"/>
                <w:vertAlign w:val="subscript"/>
                <w:lang w:val="en-US"/>
              </w:rPr>
              <w:t>WLTC</w:t>
            </w:r>
            <w:r w:rsidRPr="00D53F39">
              <w:rPr>
                <w:sz w:val="18"/>
                <w:szCs w:val="18"/>
                <w:lang w:val="en-US"/>
              </w:rPr>
              <w:t> </w:t>
            </w:r>
            <w:r w:rsidRPr="00D53F39">
              <w:rPr>
                <w:sz w:val="18"/>
                <w:szCs w:val="18"/>
                <w:lang w:val="en-US"/>
              </w:rPr>
              <w:br/>
              <w:t>n</w:t>
            </w:r>
            <w:r w:rsidRPr="00D53F39">
              <w:rPr>
                <w:sz w:val="18"/>
                <w:szCs w:val="18"/>
                <w:vertAlign w:val="subscript"/>
                <w:lang w:val="en-US"/>
              </w:rPr>
              <w:t>city</w:t>
            </w:r>
            <w:r w:rsidRPr="00D53F39">
              <w:rPr>
                <w:sz w:val="18"/>
                <w:szCs w:val="18"/>
                <w:lang w:val="en-US"/>
              </w:rPr>
              <w:t> </w:t>
            </w:r>
            <w:r w:rsidRPr="00D53F39">
              <w:rPr>
                <w:sz w:val="18"/>
                <w:szCs w:val="18"/>
                <w:lang w:val="en-US"/>
              </w:rPr>
              <w:br/>
              <w:t>n</w:t>
            </w:r>
            <w:r w:rsidRPr="00D53F39">
              <w:rPr>
                <w:sz w:val="18"/>
                <w:szCs w:val="18"/>
                <w:vertAlign w:val="subscript"/>
                <w:lang w:val="en-US"/>
              </w:rPr>
              <w:t>low</w:t>
            </w:r>
            <w:r w:rsidRPr="00D53F39">
              <w:rPr>
                <w:sz w:val="18"/>
                <w:szCs w:val="18"/>
                <w:lang w:val="en-US"/>
              </w:rPr>
              <w:t> </w:t>
            </w:r>
            <w:r w:rsidRPr="00D53F39">
              <w:rPr>
                <w:sz w:val="18"/>
                <w:szCs w:val="18"/>
                <w:lang w:val="en-US"/>
              </w:rPr>
              <w:br/>
            </w:r>
            <w:r w:rsidRPr="00D53F39">
              <w:rPr>
                <w:lang w:val="en-US"/>
              </w:rPr>
              <w:t>n</w:t>
            </w:r>
            <w:r w:rsidRPr="00D53F39">
              <w:rPr>
                <w:vertAlign w:val="subscript"/>
                <w:lang w:val="en-US"/>
              </w:rPr>
              <w:t>med</w:t>
            </w:r>
            <w:r w:rsidRPr="00D53F39">
              <w:rPr>
                <w:sz w:val="18"/>
                <w:szCs w:val="18"/>
                <w:lang w:val="en-US"/>
              </w:rPr>
              <w:t> </w:t>
            </w:r>
            <w:r w:rsidRPr="00D53F39">
              <w:rPr>
                <w:sz w:val="18"/>
                <w:szCs w:val="18"/>
                <w:lang w:val="en-US"/>
              </w:rPr>
              <w:br/>
              <w:t>n</w:t>
            </w:r>
            <w:r w:rsidRPr="00D53F39">
              <w:rPr>
                <w:sz w:val="18"/>
                <w:szCs w:val="18"/>
                <w:vertAlign w:val="subscript"/>
                <w:lang w:val="en-US"/>
              </w:rPr>
              <w:t>high</w:t>
            </w:r>
            <w:r w:rsidRPr="00D53F39">
              <w:rPr>
                <w:sz w:val="18"/>
                <w:szCs w:val="18"/>
                <w:lang w:val="en-US"/>
              </w:rPr>
              <w:t> </w:t>
            </w:r>
            <w:r w:rsidRPr="00D53F39">
              <w:rPr>
                <w:sz w:val="18"/>
                <w:szCs w:val="18"/>
                <w:lang w:val="en-US"/>
              </w:rPr>
              <w:br/>
              <w:t>n</w:t>
            </w:r>
            <w:r w:rsidRPr="00D53F39">
              <w:rPr>
                <w:sz w:val="18"/>
                <w:szCs w:val="18"/>
                <w:vertAlign w:val="subscript"/>
                <w:lang w:val="en-US"/>
              </w:rPr>
              <w:t>exHigh</w:t>
            </w:r>
          </w:p>
        </w:tc>
        <w:tc>
          <w:tcPr>
            <w:tcW w:w="3147" w:type="dxa"/>
            <w:vMerge/>
            <w:tcBorders>
              <w:top w:val="nil"/>
              <w:bottom w:val="nil"/>
            </w:tcBorders>
          </w:tcPr>
          <w:p w:rsidR="00E24DB7" w:rsidRPr="00D53F39" w:rsidRDefault="00E24DB7" w:rsidP="00E24DB7">
            <w:pPr>
              <w:spacing w:before="60" w:line="220" w:lineRule="atLeast"/>
              <w:ind w:left="57" w:right="57"/>
              <w:rPr>
                <w:sz w:val="18"/>
                <w:szCs w:val="18"/>
                <w:lang w:val="en-US"/>
              </w:rPr>
            </w:pPr>
          </w:p>
        </w:tc>
        <w:tc>
          <w:tcPr>
            <w:tcW w:w="2381" w:type="dxa"/>
            <w:vMerge/>
            <w:tcBorders>
              <w:top w:val="nil"/>
              <w:bottom w:val="nil"/>
            </w:tcBorders>
          </w:tcPr>
          <w:p w:rsidR="00E24DB7" w:rsidRPr="00D53F39" w:rsidRDefault="00E24DB7" w:rsidP="00E24DB7">
            <w:pPr>
              <w:spacing w:before="60" w:line="220" w:lineRule="atLeast"/>
              <w:ind w:left="57" w:right="57"/>
              <w:rPr>
                <w:sz w:val="18"/>
                <w:szCs w:val="18"/>
                <w:lang w:val="en-US"/>
              </w:rPr>
            </w:pPr>
          </w:p>
        </w:tc>
        <w:tc>
          <w:tcPr>
            <w:tcW w:w="737" w:type="dxa"/>
            <w:vMerge/>
            <w:tcBorders>
              <w:top w:val="nil"/>
              <w:bottom w:val="nil"/>
            </w:tcBorders>
          </w:tcPr>
          <w:p w:rsidR="00E24DB7" w:rsidRPr="00D53F39" w:rsidRDefault="00E24DB7" w:rsidP="00E24DB7">
            <w:pPr>
              <w:spacing w:before="60" w:after="60" w:line="220" w:lineRule="atLeast"/>
              <w:ind w:left="57" w:right="57"/>
              <w:rPr>
                <w:sz w:val="18"/>
                <w:szCs w:val="18"/>
                <w:lang w:val="en-US"/>
              </w:rPr>
            </w:pPr>
          </w:p>
        </w:tc>
      </w:tr>
      <w:tr w:rsidR="00E24DB7" w:rsidRPr="002C5876" w:rsidTr="00E24DB7">
        <w:trPr>
          <w:trHeight w:val="20"/>
          <w:jc w:val="center"/>
        </w:trPr>
        <w:tc>
          <w:tcPr>
            <w:tcW w:w="1259" w:type="dxa"/>
            <w:tcBorders>
              <w:top w:val="nil"/>
              <w:bottom w:val="nil"/>
            </w:tcBorders>
          </w:tcPr>
          <w:p w:rsidR="00E24DB7" w:rsidRPr="00D53F39" w:rsidRDefault="00E24DB7" w:rsidP="00E24DB7">
            <w:pPr>
              <w:spacing w:after="60" w:line="220" w:lineRule="atLeast"/>
              <w:ind w:left="57" w:right="57"/>
              <w:rPr>
                <w:sz w:val="18"/>
                <w:szCs w:val="18"/>
                <w:lang w:val="en-US"/>
              </w:rPr>
            </w:pPr>
          </w:p>
        </w:tc>
        <w:tc>
          <w:tcPr>
            <w:tcW w:w="2115" w:type="dxa"/>
            <w:tcBorders>
              <w:top w:val="nil"/>
              <w:bottom w:val="nil"/>
            </w:tcBorders>
          </w:tcPr>
          <w:p w:rsidR="00E24DB7" w:rsidRPr="00D53F39" w:rsidRDefault="00E24DB7" w:rsidP="00E24DB7">
            <w:pPr>
              <w:spacing w:after="60" w:line="220" w:lineRule="atLeast"/>
              <w:ind w:left="57" w:right="57"/>
              <w:rPr>
                <w:sz w:val="18"/>
                <w:szCs w:val="18"/>
                <w:lang w:val="en-US"/>
              </w:rPr>
            </w:pPr>
          </w:p>
        </w:tc>
        <w:tc>
          <w:tcPr>
            <w:tcW w:w="3147" w:type="dxa"/>
            <w:tcBorders>
              <w:top w:val="nil"/>
              <w:bottom w:val="nil"/>
            </w:tcBorders>
          </w:tcPr>
          <w:p w:rsidR="00E24DB7" w:rsidRPr="002C5876" w:rsidRDefault="00E24DB7" w:rsidP="00E24DB7">
            <w:pPr>
              <w:spacing w:after="60" w:line="220" w:lineRule="atLeast"/>
              <w:ind w:left="57" w:right="57"/>
              <w:rPr>
                <w:sz w:val="18"/>
                <w:szCs w:val="18"/>
              </w:rPr>
            </w:pPr>
            <w:r w:rsidRPr="002C5876">
              <w:rPr>
                <w:sz w:val="18"/>
                <w:szCs w:val="18"/>
              </w:rPr>
              <w:t>Données de sortie disponibles pour chaque essai.</w:t>
            </w:r>
          </w:p>
        </w:tc>
        <w:tc>
          <w:tcPr>
            <w:tcW w:w="2381" w:type="dxa"/>
            <w:tcBorders>
              <w:top w:val="nil"/>
              <w:bottom w:val="nil"/>
            </w:tcBorders>
          </w:tcPr>
          <w:p w:rsidR="00E24DB7" w:rsidRPr="002C5876" w:rsidRDefault="00E24DB7" w:rsidP="00E24DB7">
            <w:pPr>
              <w:spacing w:after="60" w:line="220" w:lineRule="atLeast"/>
              <w:ind w:left="57" w:right="57"/>
              <w:rPr>
                <w:sz w:val="18"/>
                <w:szCs w:val="18"/>
              </w:rPr>
            </w:pPr>
            <w:r w:rsidRPr="002C5876">
              <w:rPr>
                <w:sz w:val="18"/>
                <w:szCs w:val="18"/>
              </w:rPr>
              <w:t>K</w:t>
            </w:r>
            <w:r w:rsidRPr="002C5876">
              <w:rPr>
                <w:sz w:val="18"/>
                <w:szCs w:val="18"/>
                <w:vertAlign w:val="subscript"/>
              </w:rPr>
              <w:t>low,3 </w:t>
            </w:r>
            <w:r w:rsidRPr="002C5876">
              <w:rPr>
                <w:sz w:val="18"/>
                <w:szCs w:val="18"/>
                <w:vertAlign w:val="subscript"/>
              </w:rPr>
              <w:br/>
            </w:r>
            <w:r w:rsidRPr="002C5876">
              <w:rPr>
                <w:sz w:val="18"/>
                <w:szCs w:val="18"/>
              </w:rPr>
              <w:t>(K</w:t>
            </w:r>
            <w:r w:rsidRPr="002C5876">
              <w:rPr>
                <w:sz w:val="18"/>
                <w:szCs w:val="18"/>
                <w:vertAlign w:val="subscript"/>
              </w:rPr>
              <w:t>low,4</w:t>
            </w:r>
            <w:r w:rsidRPr="002C5876">
              <w:rPr>
                <w:sz w:val="18"/>
                <w:szCs w:val="18"/>
              </w:rPr>
              <w:t>) </w:t>
            </w:r>
          </w:p>
        </w:tc>
        <w:tc>
          <w:tcPr>
            <w:tcW w:w="737" w:type="dxa"/>
            <w:vMerge w:val="restart"/>
            <w:tcBorders>
              <w:top w:val="nil"/>
            </w:tcBorders>
          </w:tcPr>
          <w:p w:rsidR="00E24DB7" w:rsidRPr="002C5876" w:rsidRDefault="00E24DB7" w:rsidP="00E24DB7">
            <w:pPr>
              <w:spacing w:after="60" w:line="220" w:lineRule="atLeast"/>
              <w:ind w:left="57" w:right="57"/>
              <w:rPr>
                <w:sz w:val="18"/>
                <w:szCs w:val="18"/>
              </w:rPr>
            </w:pPr>
          </w:p>
        </w:tc>
      </w:tr>
      <w:tr w:rsidR="00E24DB7" w:rsidRPr="00D53F39" w:rsidTr="00E24DB7">
        <w:trPr>
          <w:trHeight w:val="20"/>
          <w:jc w:val="center"/>
        </w:trPr>
        <w:tc>
          <w:tcPr>
            <w:tcW w:w="1259" w:type="dxa"/>
            <w:tcBorders>
              <w:top w:val="nil"/>
              <w:bottom w:val="single" w:sz="4" w:space="0" w:color="auto"/>
            </w:tcBorders>
          </w:tcPr>
          <w:p w:rsidR="00E24DB7" w:rsidRPr="002C5876" w:rsidRDefault="00E24DB7" w:rsidP="00E24DB7">
            <w:pPr>
              <w:spacing w:before="60" w:after="60" w:line="220" w:lineRule="atLeast"/>
              <w:ind w:left="57" w:right="57"/>
              <w:rPr>
                <w:sz w:val="18"/>
                <w:szCs w:val="18"/>
              </w:rPr>
            </w:pPr>
          </w:p>
        </w:tc>
        <w:tc>
          <w:tcPr>
            <w:tcW w:w="2115" w:type="dxa"/>
            <w:tcBorders>
              <w:top w:val="nil"/>
              <w:bottom w:val="single" w:sz="4" w:space="0" w:color="auto"/>
            </w:tcBorders>
          </w:tcPr>
          <w:p w:rsidR="00E24DB7" w:rsidRPr="002C5876" w:rsidRDefault="00E24DB7" w:rsidP="00E24DB7">
            <w:pPr>
              <w:spacing w:before="60" w:after="60" w:line="220" w:lineRule="atLeast"/>
              <w:ind w:left="57" w:right="57"/>
              <w:rPr>
                <w:sz w:val="18"/>
                <w:szCs w:val="18"/>
              </w:rPr>
            </w:pPr>
          </w:p>
        </w:tc>
        <w:tc>
          <w:tcPr>
            <w:tcW w:w="3147" w:type="dxa"/>
            <w:tcBorders>
              <w:top w:val="nil"/>
              <w:bottom w:val="single" w:sz="4"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Si la méthode d’interpolation est appliquée, les données de sortie sont disponibles pour les véhicules H et L.</w:t>
            </w:r>
          </w:p>
        </w:tc>
        <w:tc>
          <w:tcPr>
            <w:tcW w:w="2381" w:type="dxa"/>
            <w:tcBorders>
              <w:top w:val="nil"/>
              <w:bottom w:val="single" w:sz="4" w:space="0" w:color="auto"/>
            </w:tcBorders>
          </w:tcPr>
          <w:p w:rsidR="00E24DB7" w:rsidRPr="00D53F39" w:rsidRDefault="00E24DB7" w:rsidP="00E24DB7">
            <w:pPr>
              <w:spacing w:before="60" w:after="60" w:line="220" w:lineRule="atLeast"/>
              <w:ind w:left="57" w:right="57"/>
              <w:rPr>
                <w:sz w:val="18"/>
                <w:szCs w:val="18"/>
                <w:lang w:val="en-US"/>
              </w:rPr>
            </w:pPr>
            <w:r w:rsidRPr="00D53F39">
              <w:rPr>
                <w:sz w:val="18"/>
                <w:szCs w:val="18"/>
                <w:lang w:val="en-US"/>
              </w:rPr>
              <w:t>K</w:t>
            </w:r>
            <w:r w:rsidRPr="00D53F39">
              <w:rPr>
                <w:sz w:val="18"/>
                <w:szCs w:val="18"/>
                <w:vertAlign w:val="subscript"/>
                <w:lang w:val="en-US"/>
              </w:rPr>
              <w:t>med,1</w:t>
            </w:r>
            <w:r w:rsidRPr="00D53F39">
              <w:rPr>
                <w:sz w:val="18"/>
                <w:szCs w:val="18"/>
                <w:lang w:val="en-US"/>
              </w:rPr>
              <w:t> </w:t>
            </w:r>
            <w:r w:rsidRPr="00D53F39">
              <w:rPr>
                <w:sz w:val="18"/>
                <w:szCs w:val="18"/>
                <w:lang w:val="en-US"/>
              </w:rPr>
              <w:br/>
              <w:t>K</w:t>
            </w:r>
            <w:r w:rsidRPr="00D53F39">
              <w:rPr>
                <w:sz w:val="18"/>
                <w:szCs w:val="18"/>
                <w:vertAlign w:val="subscript"/>
                <w:lang w:val="en-US"/>
              </w:rPr>
              <w:t>med,2</w:t>
            </w:r>
            <w:r w:rsidRPr="00D53F39">
              <w:rPr>
                <w:sz w:val="18"/>
                <w:szCs w:val="18"/>
                <w:lang w:val="en-US"/>
              </w:rPr>
              <w:t> </w:t>
            </w:r>
            <w:r w:rsidRPr="00D53F39">
              <w:rPr>
                <w:sz w:val="18"/>
                <w:szCs w:val="18"/>
                <w:lang w:val="en-US"/>
              </w:rPr>
              <w:br/>
              <w:t>K</w:t>
            </w:r>
            <w:r w:rsidRPr="00D53F39">
              <w:rPr>
                <w:sz w:val="18"/>
                <w:szCs w:val="18"/>
                <w:vertAlign w:val="subscript"/>
                <w:lang w:val="en-US"/>
              </w:rPr>
              <w:t>med,3</w:t>
            </w:r>
            <w:r w:rsidRPr="00D53F39">
              <w:rPr>
                <w:sz w:val="18"/>
                <w:szCs w:val="18"/>
                <w:lang w:val="en-US"/>
              </w:rPr>
              <w:t> </w:t>
            </w:r>
            <w:r w:rsidRPr="00D53F39">
              <w:rPr>
                <w:sz w:val="18"/>
                <w:szCs w:val="18"/>
                <w:lang w:val="en-US"/>
              </w:rPr>
              <w:br/>
              <w:t>(K</w:t>
            </w:r>
            <w:r w:rsidRPr="00D53F39">
              <w:rPr>
                <w:sz w:val="18"/>
                <w:szCs w:val="18"/>
                <w:vertAlign w:val="subscript"/>
                <w:lang w:val="en-US"/>
              </w:rPr>
              <w:t>med,4</w:t>
            </w:r>
            <w:r w:rsidRPr="00D53F39">
              <w:rPr>
                <w:sz w:val="18"/>
                <w:szCs w:val="18"/>
                <w:lang w:val="en-US"/>
              </w:rPr>
              <w:t>) </w:t>
            </w:r>
            <w:r w:rsidRPr="00D53F39">
              <w:rPr>
                <w:sz w:val="18"/>
                <w:szCs w:val="18"/>
                <w:lang w:val="en-US"/>
              </w:rPr>
              <w:br/>
              <w:t>K</w:t>
            </w:r>
            <w:r w:rsidRPr="00D53F39">
              <w:rPr>
                <w:sz w:val="18"/>
                <w:szCs w:val="18"/>
                <w:vertAlign w:val="subscript"/>
                <w:lang w:val="en-US"/>
              </w:rPr>
              <w:t>high,1</w:t>
            </w:r>
            <w:r w:rsidRPr="00D53F39">
              <w:rPr>
                <w:sz w:val="18"/>
                <w:szCs w:val="18"/>
                <w:lang w:val="en-US"/>
              </w:rPr>
              <w:t> </w:t>
            </w:r>
            <w:r w:rsidRPr="00D53F39">
              <w:rPr>
                <w:sz w:val="18"/>
                <w:szCs w:val="18"/>
                <w:lang w:val="en-US"/>
              </w:rPr>
              <w:br/>
              <w:t>K</w:t>
            </w:r>
            <w:r w:rsidRPr="00D53F39">
              <w:rPr>
                <w:sz w:val="18"/>
                <w:szCs w:val="18"/>
                <w:vertAlign w:val="subscript"/>
                <w:lang w:val="en-US"/>
              </w:rPr>
              <w:t>high,2</w:t>
            </w:r>
            <w:r w:rsidRPr="00D53F39">
              <w:rPr>
                <w:sz w:val="18"/>
                <w:szCs w:val="18"/>
                <w:lang w:val="en-US"/>
              </w:rPr>
              <w:t> </w:t>
            </w:r>
            <w:r w:rsidRPr="00D53F39">
              <w:rPr>
                <w:sz w:val="18"/>
                <w:szCs w:val="18"/>
                <w:lang w:val="en-US"/>
              </w:rPr>
              <w:br/>
              <w:t>K</w:t>
            </w:r>
            <w:r w:rsidRPr="00D53F39">
              <w:rPr>
                <w:sz w:val="18"/>
                <w:szCs w:val="18"/>
                <w:vertAlign w:val="subscript"/>
                <w:lang w:val="en-US"/>
              </w:rPr>
              <w:t>high,3</w:t>
            </w:r>
            <w:r w:rsidRPr="00D53F39">
              <w:rPr>
                <w:sz w:val="18"/>
                <w:szCs w:val="18"/>
                <w:lang w:val="en-US"/>
              </w:rPr>
              <w:t> </w:t>
            </w:r>
            <w:r w:rsidRPr="00D53F39">
              <w:rPr>
                <w:sz w:val="18"/>
                <w:szCs w:val="18"/>
                <w:lang w:val="en-US"/>
              </w:rPr>
              <w:br/>
              <w:t>(K</w:t>
            </w:r>
            <w:r w:rsidRPr="00D53F39">
              <w:rPr>
                <w:sz w:val="18"/>
                <w:szCs w:val="18"/>
                <w:vertAlign w:val="subscript"/>
                <w:lang w:val="en-US"/>
              </w:rPr>
              <w:t>high,4</w:t>
            </w:r>
            <w:r w:rsidRPr="00D53F39">
              <w:rPr>
                <w:sz w:val="18"/>
                <w:szCs w:val="18"/>
                <w:lang w:val="en-US"/>
              </w:rPr>
              <w:t>) </w:t>
            </w:r>
            <w:r w:rsidRPr="00D53F39">
              <w:rPr>
                <w:sz w:val="18"/>
                <w:szCs w:val="18"/>
                <w:lang w:val="en-US"/>
              </w:rPr>
              <w:br/>
              <w:t>K</w:t>
            </w:r>
            <w:r w:rsidRPr="00D53F39">
              <w:rPr>
                <w:sz w:val="18"/>
                <w:szCs w:val="18"/>
                <w:vertAlign w:val="subscript"/>
                <w:lang w:val="en-US"/>
              </w:rPr>
              <w:t>exHigh,1</w:t>
            </w:r>
            <w:r w:rsidRPr="00D53F39">
              <w:rPr>
                <w:sz w:val="18"/>
                <w:szCs w:val="18"/>
                <w:lang w:val="en-US"/>
              </w:rPr>
              <w:t> </w:t>
            </w:r>
            <w:r w:rsidRPr="00D53F39">
              <w:rPr>
                <w:sz w:val="18"/>
                <w:szCs w:val="18"/>
                <w:lang w:val="en-US"/>
              </w:rPr>
              <w:br/>
              <w:t>K</w:t>
            </w:r>
            <w:r w:rsidRPr="00D53F39">
              <w:rPr>
                <w:sz w:val="18"/>
                <w:szCs w:val="18"/>
                <w:vertAlign w:val="subscript"/>
                <w:lang w:val="en-US"/>
              </w:rPr>
              <w:t>exHigh,2</w:t>
            </w:r>
            <w:r w:rsidRPr="00D53F39">
              <w:rPr>
                <w:sz w:val="18"/>
                <w:szCs w:val="18"/>
                <w:lang w:val="en-US"/>
              </w:rPr>
              <w:t> </w:t>
            </w:r>
            <w:r w:rsidRPr="00D53F39">
              <w:rPr>
                <w:sz w:val="18"/>
                <w:szCs w:val="18"/>
                <w:lang w:val="en-US"/>
              </w:rPr>
              <w:br/>
              <w:t>K</w:t>
            </w:r>
            <w:r w:rsidRPr="00D53F39">
              <w:rPr>
                <w:sz w:val="18"/>
                <w:szCs w:val="18"/>
                <w:vertAlign w:val="subscript"/>
                <w:lang w:val="en-US"/>
              </w:rPr>
              <w:t>exHigh,3</w:t>
            </w:r>
            <w:r w:rsidRPr="00D53F39">
              <w:rPr>
                <w:sz w:val="18"/>
                <w:szCs w:val="18"/>
                <w:lang w:val="en-US"/>
              </w:rPr>
              <w:t> </w:t>
            </w:r>
            <w:r w:rsidRPr="00D53F39">
              <w:rPr>
                <w:sz w:val="18"/>
                <w:szCs w:val="18"/>
                <w:lang w:val="en-US"/>
              </w:rPr>
              <w:br/>
              <w:t>(K</w:t>
            </w:r>
            <w:r w:rsidRPr="00D53F39">
              <w:rPr>
                <w:sz w:val="18"/>
                <w:szCs w:val="18"/>
                <w:vertAlign w:val="subscript"/>
                <w:lang w:val="en-US"/>
              </w:rPr>
              <w:t>exHigh,4</w:t>
            </w:r>
            <w:r w:rsidRPr="00D53F39">
              <w:rPr>
                <w:sz w:val="18"/>
                <w:szCs w:val="18"/>
                <w:lang w:val="en-US"/>
              </w:rPr>
              <w:t>)</w:t>
            </w:r>
          </w:p>
        </w:tc>
        <w:tc>
          <w:tcPr>
            <w:tcW w:w="737" w:type="dxa"/>
            <w:vMerge/>
            <w:tcBorders>
              <w:bottom w:val="single" w:sz="4" w:space="0" w:color="auto"/>
            </w:tcBorders>
          </w:tcPr>
          <w:p w:rsidR="00E24DB7" w:rsidRPr="00D53F39" w:rsidRDefault="00E24DB7" w:rsidP="00E24DB7">
            <w:pPr>
              <w:spacing w:before="60" w:after="60" w:line="220" w:lineRule="atLeast"/>
              <w:ind w:left="57" w:right="57"/>
              <w:rPr>
                <w:sz w:val="18"/>
                <w:szCs w:val="18"/>
                <w:lang w:val="en-US"/>
              </w:rPr>
            </w:pPr>
          </w:p>
        </w:tc>
      </w:tr>
      <w:tr w:rsidR="00E24DB7" w:rsidRPr="002C5876" w:rsidTr="00E24DB7">
        <w:trPr>
          <w:trHeight w:val="20"/>
          <w:jc w:val="center"/>
        </w:trPr>
        <w:tc>
          <w:tcPr>
            <w:tcW w:w="1259" w:type="dxa"/>
            <w:tcBorders>
              <w:top w:val="single" w:sz="4" w:space="0" w:color="auto"/>
              <w:bottom w:val="nil"/>
            </w:tcBorders>
          </w:tcPr>
          <w:p w:rsidR="00E24DB7" w:rsidRPr="002C5876" w:rsidRDefault="00E24DB7" w:rsidP="00E24DB7">
            <w:pPr>
              <w:keepNext/>
              <w:keepLines/>
              <w:spacing w:before="60" w:after="60" w:line="220" w:lineRule="atLeast"/>
              <w:ind w:left="57" w:right="57"/>
              <w:rPr>
                <w:sz w:val="18"/>
                <w:szCs w:val="18"/>
              </w:rPr>
            </w:pPr>
            <w:r w:rsidRPr="002C5876">
              <w:rPr>
                <w:sz w:val="18"/>
                <w:szCs w:val="18"/>
              </w:rPr>
              <w:lastRenderedPageBreak/>
              <w:t xml:space="preserve">Sortie </w:t>
            </w:r>
            <w:r w:rsidRPr="002C5876">
              <w:rPr>
                <w:sz w:val="18"/>
                <w:szCs w:val="18"/>
              </w:rPr>
              <w:br/>
              <w:t>de l’étape 1</w:t>
            </w:r>
          </w:p>
        </w:tc>
        <w:tc>
          <w:tcPr>
            <w:tcW w:w="2115" w:type="dxa"/>
            <w:tcBorders>
              <w:top w:val="single" w:sz="4" w:space="0" w:color="auto"/>
              <w:bottom w:val="nil"/>
            </w:tcBorders>
          </w:tcPr>
          <w:p w:rsidR="00E24DB7" w:rsidRPr="002C5876" w:rsidRDefault="00E24DB7" w:rsidP="00E24DB7">
            <w:pPr>
              <w:keepNext/>
              <w:keepLines/>
              <w:spacing w:before="60" w:after="60" w:line="220" w:lineRule="atLeast"/>
              <w:ind w:left="57" w:right="57"/>
              <w:rPr>
                <w:sz w:val="18"/>
                <w:szCs w:val="18"/>
              </w:rPr>
            </w:pPr>
            <w:r w:rsidRPr="002C5876">
              <w:rPr>
                <w:sz w:val="18"/>
                <w:szCs w:val="18"/>
              </w:rPr>
              <w:t>ΔE</w:t>
            </w:r>
            <w:r w:rsidRPr="002C5876">
              <w:rPr>
                <w:sz w:val="18"/>
                <w:szCs w:val="18"/>
                <w:vertAlign w:val="subscript"/>
              </w:rPr>
              <w:t>REESS,j</w:t>
            </w:r>
            <w:r w:rsidRPr="002C5876">
              <w:rPr>
                <w:sz w:val="18"/>
                <w:szCs w:val="18"/>
              </w:rPr>
              <w:t>, Wh </w:t>
            </w:r>
            <w:r w:rsidRPr="002C5876">
              <w:rPr>
                <w:sz w:val="18"/>
                <w:szCs w:val="18"/>
              </w:rPr>
              <w:br/>
              <w:t>d</w:t>
            </w:r>
            <w:r w:rsidRPr="002C5876">
              <w:rPr>
                <w:sz w:val="18"/>
                <w:szCs w:val="18"/>
                <w:vertAlign w:val="subscript"/>
              </w:rPr>
              <w:t>j</w:t>
            </w:r>
            <w:r w:rsidRPr="002C5876">
              <w:rPr>
                <w:sz w:val="18"/>
                <w:szCs w:val="18"/>
              </w:rPr>
              <w:t>, km </w:t>
            </w:r>
            <w:r w:rsidRPr="002C5876">
              <w:rPr>
                <w:sz w:val="18"/>
                <w:szCs w:val="18"/>
              </w:rPr>
              <w:br/>
              <w:t>UBE</w:t>
            </w:r>
            <w:r w:rsidRPr="002C5876">
              <w:rPr>
                <w:sz w:val="18"/>
                <w:szCs w:val="18"/>
                <w:vertAlign w:val="subscript"/>
              </w:rPr>
              <w:t>CCP</w:t>
            </w:r>
            <w:r w:rsidRPr="002C5876">
              <w:rPr>
                <w:sz w:val="18"/>
                <w:szCs w:val="18"/>
              </w:rPr>
              <w:t>, Wh </w:t>
            </w:r>
          </w:p>
        </w:tc>
        <w:tc>
          <w:tcPr>
            <w:tcW w:w="3147" w:type="dxa"/>
            <w:tcBorders>
              <w:top w:val="single" w:sz="4" w:space="0" w:color="auto"/>
              <w:bottom w:val="nil"/>
            </w:tcBorders>
          </w:tcPr>
          <w:p w:rsidR="00E24DB7" w:rsidRPr="002C5876" w:rsidRDefault="00E24DB7" w:rsidP="00E24DB7">
            <w:pPr>
              <w:keepNext/>
              <w:keepLines/>
              <w:spacing w:before="60" w:after="60" w:line="220" w:lineRule="atLeast"/>
              <w:ind w:left="57" w:right="57"/>
              <w:rPr>
                <w:sz w:val="18"/>
                <w:szCs w:val="18"/>
              </w:rPr>
            </w:pPr>
            <w:r w:rsidRPr="002C5876">
              <w:rPr>
                <w:sz w:val="18"/>
                <w:szCs w:val="18"/>
              </w:rPr>
              <w:t>Calcul de la consommation d’énergie électrique des SRSEE conformément au paragraphe 4.4.2.2 de la présente annexe.</w:t>
            </w:r>
          </w:p>
        </w:tc>
        <w:tc>
          <w:tcPr>
            <w:tcW w:w="2381" w:type="dxa"/>
            <w:vMerge w:val="restart"/>
            <w:tcBorders>
              <w:top w:val="single" w:sz="4" w:space="0" w:color="auto"/>
            </w:tcBorders>
          </w:tcPr>
          <w:p w:rsidR="00E24DB7" w:rsidRPr="002C5876" w:rsidRDefault="00E24DB7" w:rsidP="00E24DB7">
            <w:pPr>
              <w:keepNext/>
              <w:keepLines/>
              <w:spacing w:before="60" w:after="60" w:line="220" w:lineRule="atLeast"/>
              <w:ind w:left="57" w:right="57"/>
              <w:rPr>
                <w:sz w:val="18"/>
                <w:szCs w:val="18"/>
              </w:rPr>
            </w:pPr>
            <w:r w:rsidRPr="002C5876">
              <w:rPr>
                <w:sz w:val="18"/>
                <w:szCs w:val="18"/>
              </w:rPr>
              <w:t>EC</w:t>
            </w:r>
            <w:r w:rsidRPr="002C5876">
              <w:rPr>
                <w:sz w:val="18"/>
                <w:szCs w:val="18"/>
                <w:vertAlign w:val="subscript"/>
              </w:rPr>
              <w:t>DC,WLTC</w:t>
            </w:r>
            <w:r w:rsidRPr="002C5876">
              <w:rPr>
                <w:sz w:val="18"/>
                <w:szCs w:val="18"/>
              </w:rPr>
              <w:t>, Wh/km </w:t>
            </w:r>
            <w:r w:rsidRPr="002C5876">
              <w:rPr>
                <w:sz w:val="18"/>
                <w:szCs w:val="18"/>
              </w:rPr>
              <w:br/>
              <w:t>EC</w:t>
            </w:r>
            <w:r w:rsidRPr="002C5876">
              <w:rPr>
                <w:sz w:val="18"/>
                <w:szCs w:val="18"/>
                <w:vertAlign w:val="subscript"/>
              </w:rPr>
              <w:t>DC,city</w:t>
            </w:r>
            <w:r w:rsidRPr="002C5876">
              <w:rPr>
                <w:sz w:val="18"/>
                <w:szCs w:val="18"/>
              </w:rPr>
              <w:t>, Wh/km </w:t>
            </w:r>
            <w:r w:rsidRPr="002C5876">
              <w:rPr>
                <w:sz w:val="18"/>
                <w:szCs w:val="18"/>
              </w:rPr>
              <w:br/>
              <w:t>EC</w:t>
            </w:r>
            <w:r w:rsidRPr="002C5876">
              <w:rPr>
                <w:sz w:val="18"/>
                <w:szCs w:val="18"/>
                <w:vertAlign w:val="subscript"/>
              </w:rPr>
              <w:t>DC,low</w:t>
            </w:r>
            <w:r w:rsidRPr="002C5876">
              <w:rPr>
                <w:sz w:val="18"/>
                <w:szCs w:val="18"/>
              </w:rPr>
              <w:t>, Wh/km </w:t>
            </w:r>
            <w:r w:rsidRPr="002C5876">
              <w:rPr>
                <w:sz w:val="18"/>
                <w:szCs w:val="18"/>
              </w:rPr>
              <w:br/>
              <w:t>EC</w:t>
            </w:r>
            <w:r w:rsidRPr="002C5876">
              <w:rPr>
                <w:sz w:val="18"/>
                <w:szCs w:val="18"/>
                <w:vertAlign w:val="subscript"/>
              </w:rPr>
              <w:t>DC,med</w:t>
            </w:r>
            <w:r w:rsidRPr="002C5876">
              <w:rPr>
                <w:sz w:val="18"/>
                <w:szCs w:val="18"/>
              </w:rPr>
              <w:t>, Wh/km </w:t>
            </w:r>
            <w:r w:rsidRPr="002C5876">
              <w:rPr>
                <w:sz w:val="18"/>
                <w:szCs w:val="18"/>
              </w:rPr>
              <w:br/>
              <w:t>EC</w:t>
            </w:r>
            <w:r w:rsidRPr="002C5876">
              <w:rPr>
                <w:sz w:val="18"/>
                <w:szCs w:val="18"/>
                <w:vertAlign w:val="subscript"/>
              </w:rPr>
              <w:t>DC,high</w:t>
            </w:r>
            <w:r w:rsidRPr="002C5876">
              <w:rPr>
                <w:sz w:val="18"/>
                <w:szCs w:val="18"/>
              </w:rPr>
              <w:t>, Wh/km </w:t>
            </w:r>
            <w:r w:rsidRPr="002C5876">
              <w:rPr>
                <w:sz w:val="18"/>
                <w:szCs w:val="18"/>
              </w:rPr>
              <w:br/>
              <w:t>EC</w:t>
            </w:r>
            <w:r w:rsidRPr="002C5876">
              <w:rPr>
                <w:sz w:val="18"/>
                <w:szCs w:val="18"/>
                <w:vertAlign w:val="subscript"/>
              </w:rPr>
              <w:t>DC,exHigh</w:t>
            </w:r>
            <w:r w:rsidRPr="002C5876">
              <w:rPr>
                <w:sz w:val="18"/>
                <w:szCs w:val="18"/>
              </w:rPr>
              <w:t>, Wh/km </w:t>
            </w:r>
            <w:r w:rsidRPr="002C5876">
              <w:rPr>
                <w:sz w:val="18"/>
                <w:szCs w:val="18"/>
              </w:rPr>
              <w:br/>
              <w:t>EC</w:t>
            </w:r>
            <w:r w:rsidRPr="002C5876">
              <w:rPr>
                <w:sz w:val="18"/>
                <w:szCs w:val="18"/>
                <w:vertAlign w:val="subscript"/>
              </w:rPr>
              <w:t>DC,COP,1</w:t>
            </w:r>
            <w:r w:rsidRPr="002C5876">
              <w:rPr>
                <w:sz w:val="18"/>
                <w:szCs w:val="18"/>
              </w:rPr>
              <w:t>, Wh/km</w:t>
            </w:r>
          </w:p>
        </w:tc>
        <w:tc>
          <w:tcPr>
            <w:tcW w:w="737" w:type="dxa"/>
            <w:vMerge w:val="restart"/>
            <w:tcBorders>
              <w:top w:val="single" w:sz="4" w:space="0" w:color="auto"/>
            </w:tcBorders>
          </w:tcPr>
          <w:p w:rsidR="00E24DB7" w:rsidRPr="002C5876" w:rsidRDefault="00E24DB7" w:rsidP="00E24DB7">
            <w:pPr>
              <w:keepNext/>
              <w:keepLines/>
              <w:spacing w:before="60" w:after="60" w:line="220" w:lineRule="atLeast"/>
              <w:ind w:left="57" w:right="57"/>
              <w:rPr>
                <w:sz w:val="18"/>
                <w:szCs w:val="18"/>
              </w:rPr>
            </w:pPr>
            <w:r w:rsidRPr="002C5876">
              <w:rPr>
                <w:sz w:val="18"/>
                <w:szCs w:val="18"/>
              </w:rPr>
              <w:t>4</w:t>
            </w:r>
          </w:p>
        </w:tc>
      </w:tr>
      <w:tr w:rsidR="00E24DB7" w:rsidRPr="002C5876" w:rsidTr="00E24DB7">
        <w:trPr>
          <w:trHeight w:val="20"/>
          <w:jc w:val="center"/>
        </w:trPr>
        <w:tc>
          <w:tcPr>
            <w:tcW w:w="1259" w:type="dxa"/>
            <w:tcBorders>
              <w:top w:val="nil"/>
              <w:bottom w:val="nil"/>
            </w:tcBorders>
          </w:tcPr>
          <w:p w:rsidR="00E24DB7" w:rsidRPr="002C5876" w:rsidRDefault="00E24DB7" w:rsidP="00E24DB7">
            <w:pPr>
              <w:keepNext/>
              <w:keepLines/>
              <w:spacing w:before="60" w:after="60" w:line="220" w:lineRule="atLeast"/>
              <w:ind w:left="57" w:right="57"/>
              <w:rPr>
                <w:sz w:val="18"/>
                <w:szCs w:val="18"/>
              </w:rPr>
            </w:pPr>
            <w:r w:rsidRPr="002C5876">
              <w:rPr>
                <w:sz w:val="18"/>
                <w:szCs w:val="18"/>
              </w:rPr>
              <w:t xml:space="preserve">Sortie </w:t>
            </w:r>
            <w:r w:rsidRPr="002C5876">
              <w:rPr>
                <w:sz w:val="18"/>
                <w:szCs w:val="18"/>
              </w:rPr>
              <w:br/>
              <w:t>de l’étape 2</w:t>
            </w:r>
          </w:p>
        </w:tc>
        <w:tc>
          <w:tcPr>
            <w:tcW w:w="2115" w:type="dxa"/>
            <w:tcBorders>
              <w:top w:val="nil"/>
              <w:bottom w:val="nil"/>
            </w:tcBorders>
          </w:tcPr>
          <w:p w:rsidR="00E24DB7" w:rsidRPr="00D53F39" w:rsidRDefault="00E24DB7" w:rsidP="00E24DB7">
            <w:pPr>
              <w:keepNext/>
              <w:keepLines/>
              <w:spacing w:before="60" w:after="60" w:line="220" w:lineRule="atLeast"/>
              <w:ind w:left="57" w:right="57"/>
              <w:rPr>
                <w:sz w:val="18"/>
                <w:szCs w:val="18"/>
                <w:lang w:val="en-US"/>
              </w:rPr>
            </w:pPr>
            <w:r w:rsidRPr="00D53F39">
              <w:rPr>
                <w:sz w:val="18"/>
                <w:szCs w:val="18"/>
                <w:lang w:val="en-US"/>
              </w:rPr>
              <w:t>n</w:t>
            </w:r>
            <w:r w:rsidRPr="00D53F39">
              <w:rPr>
                <w:sz w:val="18"/>
                <w:szCs w:val="18"/>
                <w:vertAlign w:val="subscript"/>
                <w:lang w:val="en-US"/>
              </w:rPr>
              <w:t>WLTC</w:t>
            </w:r>
            <w:r w:rsidRPr="00D53F39">
              <w:rPr>
                <w:sz w:val="18"/>
                <w:szCs w:val="18"/>
                <w:lang w:val="en-US"/>
              </w:rPr>
              <w:t> </w:t>
            </w:r>
            <w:r w:rsidRPr="00D53F39">
              <w:rPr>
                <w:sz w:val="18"/>
                <w:szCs w:val="18"/>
                <w:lang w:val="en-US"/>
              </w:rPr>
              <w:br/>
              <w:t>n</w:t>
            </w:r>
            <w:r w:rsidRPr="00D53F39">
              <w:rPr>
                <w:sz w:val="18"/>
                <w:szCs w:val="18"/>
                <w:vertAlign w:val="subscript"/>
                <w:lang w:val="en-US"/>
              </w:rPr>
              <w:t>city</w:t>
            </w:r>
            <w:r w:rsidRPr="00D53F39">
              <w:rPr>
                <w:sz w:val="18"/>
                <w:szCs w:val="18"/>
                <w:lang w:val="en-US"/>
              </w:rPr>
              <w:t> </w:t>
            </w:r>
            <w:r w:rsidRPr="00D53F39">
              <w:rPr>
                <w:sz w:val="18"/>
                <w:szCs w:val="18"/>
                <w:lang w:val="en-US"/>
              </w:rPr>
              <w:br/>
              <w:t>n</w:t>
            </w:r>
            <w:r w:rsidRPr="00D53F39">
              <w:rPr>
                <w:sz w:val="18"/>
                <w:szCs w:val="18"/>
                <w:vertAlign w:val="subscript"/>
                <w:lang w:val="en-US"/>
              </w:rPr>
              <w:t>low</w:t>
            </w:r>
            <w:r w:rsidRPr="00D53F39">
              <w:rPr>
                <w:sz w:val="18"/>
                <w:szCs w:val="18"/>
                <w:lang w:val="en-US"/>
              </w:rPr>
              <w:t> </w:t>
            </w:r>
            <w:r w:rsidRPr="00D53F39">
              <w:rPr>
                <w:sz w:val="18"/>
                <w:szCs w:val="18"/>
                <w:lang w:val="en-US"/>
              </w:rPr>
              <w:br/>
              <w:t>n</w:t>
            </w:r>
            <w:r w:rsidRPr="00D53F39">
              <w:rPr>
                <w:sz w:val="18"/>
                <w:szCs w:val="18"/>
                <w:vertAlign w:val="subscript"/>
                <w:lang w:val="en-US"/>
              </w:rPr>
              <w:t>med</w:t>
            </w:r>
            <w:r w:rsidRPr="00D53F39">
              <w:rPr>
                <w:sz w:val="18"/>
                <w:szCs w:val="18"/>
                <w:lang w:val="en-US"/>
              </w:rPr>
              <w:t> </w:t>
            </w:r>
            <w:r w:rsidRPr="00D53F39">
              <w:rPr>
                <w:sz w:val="18"/>
                <w:szCs w:val="18"/>
                <w:lang w:val="en-US"/>
              </w:rPr>
              <w:br/>
              <w:t>n</w:t>
            </w:r>
            <w:r w:rsidRPr="00D53F39">
              <w:rPr>
                <w:sz w:val="18"/>
                <w:szCs w:val="18"/>
                <w:vertAlign w:val="subscript"/>
                <w:lang w:val="en-US"/>
              </w:rPr>
              <w:t>high</w:t>
            </w:r>
            <w:r w:rsidRPr="00D53F39">
              <w:rPr>
                <w:sz w:val="18"/>
                <w:szCs w:val="18"/>
                <w:lang w:val="en-US"/>
              </w:rPr>
              <w:t> </w:t>
            </w:r>
            <w:r w:rsidRPr="00D53F39">
              <w:rPr>
                <w:sz w:val="18"/>
                <w:szCs w:val="18"/>
                <w:lang w:val="en-US"/>
              </w:rPr>
              <w:br/>
              <w:t>n</w:t>
            </w:r>
            <w:r w:rsidRPr="00D53F39">
              <w:rPr>
                <w:sz w:val="18"/>
                <w:szCs w:val="18"/>
                <w:vertAlign w:val="subscript"/>
                <w:lang w:val="en-US"/>
              </w:rPr>
              <w:t>exHigh</w:t>
            </w:r>
          </w:p>
        </w:tc>
        <w:tc>
          <w:tcPr>
            <w:tcW w:w="3147" w:type="dxa"/>
            <w:tcBorders>
              <w:top w:val="nil"/>
              <w:bottom w:val="nil"/>
            </w:tcBorders>
          </w:tcPr>
          <w:p w:rsidR="00E24DB7" w:rsidRPr="002C5876" w:rsidRDefault="00E24DB7" w:rsidP="00E24DB7">
            <w:pPr>
              <w:keepNext/>
              <w:keepLines/>
              <w:spacing w:before="60" w:after="60" w:line="220" w:lineRule="atLeast"/>
              <w:ind w:left="57" w:right="57"/>
              <w:rPr>
                <w:sz w:val="18"/>
                <w:szCs w:val="18"/>
              </w:rPr>
            </w:pPr>
            <w:r w:rsidRPr="002C5876">
              <w:rPr>
                <w:sz w:val="18"/>
                <w:szCs w:val="18"/>
              </w:rPr>
              <w:t>Option régionale :</w:t>
            </w:r>
            <w:r w:rsidRPr="002C5876">
              <w:rPr>
                <w:sz w:val="18"/>
                <w:szCs w:val="18"/>
              </w:rPr>
              <w:br/>
              <w:t>EC</w:t>
            </w:r>
            <w:r w:rsidRPr="002C5876">
              <w:rPr>
                <w:sz w:val="18"/>
                <w:szCs w:val="18"/>
                <w:vertAlign w:val="subscript"/>
              </w:rPr>
              <w:t>DC,COP,1</w:t>
            </w:r>
          </w:p>
          <w:p w:rsidR="00E24DB7" w:rsidRPr="002C5876" w:rsidRDefault="00E24DB7" w:rsidP="00E24DB7">
            <w:pPr>
              <w:keepNext/>
              <w:keepLines/>
              <w:spacing w:before="120" w:after="60" w:line="220" w:lineRule="atLeast"/>
              <w:ind w:left="57" w:right="57"/>
              <w:rPr>
                <w:sz w:val="18"/>
                <w:szCs w:val="18"/>
              </w:rPr>
            </w:pPr>
            <w:r w:rsidRPr="002C5876">
              <w:rPr>
                <w:sz w:val="18"/>
                <w:szCs w:val="18"/>
              </w:rPr>
              <w:t>Données de sortie disponibles pour chaque essai.</w:t>
            </w:r>
          </w:p>
        </w:tc>
        <w:tc>
          <w:tcPr>
            <w:tcW w:w="2381" w:type="dxa"/>
            <w:vMerge/>
          </w:tcPr>
          <w:p w:rsidR="00E24DB7" w:rsidRPr="002C5876" w:rsidRDefault="00E24DB7" w:rsidP="00E24DB7">
            <w:pPr>
              <w:keepNext/>
              <w:keepLines/>
              <w:spacing w:before="60" w:after="60" w:line="220" w:lineRule="atLeast"/>
              <w:ind w:left="57" w:right="57"/>
              <w:rPr>
                <w:sz w:val="18"/>
                <w:szCs w:val="18"/>
              </w:rPr>
            </w:pPr>
          </w:p>
        </w:tc>
        <w:tc>
          <w:tcPr>
            <w:tcW w:w="737" w:type="dxa"/>
            <w:vMerge/>
          </w:tcPr>
          <w:p w:rsidR="00E24DB7" w:rsidRPr="002C5876" w:rsidRDefault="00E24DB7" w:rsidP="00E24DB7">
            <w:pPr>
              <w:keepNext/>
              <w:keepLines/>
              <w:spacing w:before="60" w:after="60" w:line="220" w:lineRule="atLeast"/>
              <w:ind w:left="57" w:right="57"/>
              <w:rPr>
                <w:sz w:val="18"/>
                <w:szCs w:val="18"/>
              </w:rPr>
            </w:pPr>
          </w:p>
        </w:tc>
      </w:tr>
      <w:tr w:rsidR="00E24DB7" w:rsidRPr="002C5876" w:rsidTr="00E24DB7">
        <w:trPr>
          <w:trHeight w:val="20"/>
          <w:jc w:val="center"/>
        </w:trPr>
        <w:tc>
          <w:tcPr>
            <w:tcW w:w="1259" w:type="dxa"/>
            <w:tcBorders>
              <w:top w:val="nil"/>
              <w:bottom w:val="single" w:sz="4" w:space="0" w:color="auto"/>
            </w:tcBorders>
          </w:tcPr>
          <w:p w:rsidR="00E24DB7" w:rsidRPr="002C5876" w:rsidRDefault="00E24DB7" w:rsidP="00E24DB7">
            <w:pPr>
              <w:keepNext/>
              <w:keepLines/>
              <w:spacing w:before="60" w:after="60" w:line="220" w:lineRule="atLeast"/>
              <w:ind w:left="57" w:right="57"/>
              <w:rPr>
                <w:sz w:val="18"/>
                <w:szCs w:val="18"/>
              </w:rPr>
            </w:pPr>
            <w:r w:rsidRPr="002C5876">
              <w:rPr>
                <w:sz w:val="18"/>
                <w:szCs w:val="18"/>
              </w:rPr>
              <w:t xml:space="preserve">Sortie </w:t>
            </w:r>
            <w:r w:rsidRPr="002C5876">
              <w:rPr>
                <w:sz w:val="18"/>
                <w:szCs w:val="18"/>
              </w:rPr>
              <w:br/>
              <w:t>de l’étape 3</w:t>
            </w:r>
          </w:p>
        </w:tc>
        <w:tc>
          <w:tcPr>
            <w:tcW w:w="2115" w:type="dxa"/>
            <w:tcBorders>
              <w:top w:val="nil"/>
              <w:bottom w:val="single" w:sz="4" w:space="0" w:color="auto"/>
            </w:tcBorders>
          </w:tcPr>
          <w:p w:rsidR="00E24DB7" w:rsidRPr="002C5876" w:rsidRDefault="00E24DB7" w:rsidP="00E24DB7">
            <w:pPr>
              <w:keepNext/>
              <w:keepLines/>
              <w:spacing w:before="60" w:after="60" w:line="220" w:lineRule="atLeast"/>
              <w:ind w:left="57" w:right="57"/>
              <w:rPr>
                <w:sz w:val="18"/>
                <w:szCs w:val="18"/>
              </w:rPr>
            </w:pPr>
            <w:r w:rsidRPr="002C5876">
              <w:rPr>
                <w:sz w:val="18"/>
                <w:szCs w:val="18"/>
              </w:rPr>
              <w:t>Tous les facteurs de pondération</w:t>
            </w:r>
          </w:p>
        </w:tc>
        <w:tc>
          <w:tcPr>
            <w:tcW w:w="3147" w:type="dxa"/>
            <w:tcBorders>
              <w:top w:val="nil"/>
              <w:bottom w:val="single" w:sz="4" w:space="0" w:color="auto"/>
            </w:tcBorders>
          </w:tcPr>
          <w:p w:rsidR="00E24DB7" w:rsidRPr="002C5876" w:rsidRDefault="00E24DB7" w:rsidP="00E24DB7">
            <w:pPr>
              <w:keepNext/>
              <w:keepLines/>
              <w:spacing w:before="60" w:after="60" w:line="220" w:lineRule="atLeast"/>
              <w:ind w:left="57" w:right="57"/>
              <w:rPr>
                <w:sz w:val="18"/>
                <w:szCs w:val="18"/>
              </w:rPr>
            </w:pPr>
            <w:r w:rsidRPr="002C5876">
              <w:rPr>
                <w:sz w:val="18"/>
                <w:szCs w:val="18"/>
              </w:rPr>
              <w:t>Si la méthode d’interpolation est appliquée, les données de sortie sont disponibles pour les véhicules H et L.</w:t>
            </w:r>
          </w:p>
        </w:tc>
        <w:tc>
          <w:tcPr>
            <w:tcW w:w="2381" w:type="dxa"/>
            <w:vMerge/>
            <w:tcBorders>
              <w:bottom w:val="single" w:sz="4" w:space="0" w:color="auto"/>
            </w:tcBorders>
          </w:tcPr>
          <w:p w:rsidR="00E24DB7" w:rsidRPr="002C5876" w:rsidRDefault="00E24DB7" w:rsidP="00E24DB7">
            <w:pPr>
              <w:keepNext/>
              <w:keepLines/>
              <w:spacing w:before="60" w:after="60" w:line="220" w:lineRule="atLeast"/>
              <w:ind w:left="57" w:right="57"/>
              <w:rPr>
                <w:sz w:val="18"/>
                <w:szCs w:val="18"/>
              </w:rPr>
            </w:pPr>
          </w:p>
        </w:tc>
        <w:tc>
          <w:tcPr>
            <w:tcW w:w="737" w:type="dxa"/>
            <w:vMerge/>
            <w:tcBorders>
              <w:bottom w:val="single" w:sz="4" w:space="0" w:color="auto"/>
            </w:tcBorders>
          </w:tcPr>
          <w:p w:rsidR="00E24DB7" w:rsidRPr="002C5876" w:rsidRDefault="00E24DB7" w:rsidP="00E24DB7">
            <w:pPr>
              <w:keepNext/>
              <w:keepLines/>
              <w:spacing w:before="60" w:after="60" w:line="220" w:lineRule="atLeast"/>
              <w:ind w:left="57" w:right="57"/>
              <w:rPr>
                <w:sz w:val="18"/>
                <w:szCs w:val="18"/>
              </w:rPr>
            </w:pPr>
          </w:p>
        </w:tc>
      </w:tr>
      <w:tr w:rsidR="00E24DB7" w:rsidRPr="002C5876" w:rsidTr="00E24DB7">
        <w:trPr>
          <w:trHeight w:val="20"/>
          <w:jc w:val="center"/>
        </w:trPr>
        <w:tc>
          <w:tcPr>
            <w:tcW w:w="1259" w:type="dxa"/>
            <w:tcBorders>
              <w:top w:val="single" w:sz="4" w:space="0" w:color="auto"/>
              <w:bottom w:val="nil"/>
            </w:tcBorders>
          </w:tcPr>
          <w:p w:rsidR="00E24DB7" w:rsidRPr="002C5876" w:rsidRDefault="00E24DB7" w:rsidP="00E24DB7">
            <w:pPr>
              <w:keepNext/>
              <w:keepLines/>
              <w:spacing w:before="60" w:after="60" w:line="220" w:lineRule="atLeast"/>
              <w:ind w:left="57" w:right="57"/>
              <w:rPr>
                <w:sz w:val="18"/>
                <w:szCs w:val="18"/>
              </w:rPr>
            </w:pPr>
            <w:r w:rsidRPr="002C5876">
              <w:rPr>
                <w:sz w:val="18"/>
                <w:szCs w:val="18"/>
              </w:rPr>
              <w:t xml:space="preserve">Sortie </w:t>
            </w:r>
            <w:r w:rsidRPr="002C5876">
              <w:rPr>
                <w:sz w:val="18"/>
                <w:szCs w:val="18"/>
              </w:rPr>
              <w:br/>
              <w:t>de l’étape 1</w:t>
            </w:r>
          </w:p>
        </w:tc>
        <w:tc>
          <w:tcPr>
            <w:tcW w:w="2115" w:type="dxa"/>
            <w:tcBorders>
              <w:top w:val="single" w:sz="4" w:space="0" w:color="auto"/>
              <w:bottom w:val="nil"/>
            </w:tcBorders>
          </w:tcPr>
          <w:p w:rsidR="00E24DB7" w:rsidRPr="002C5876" w:rsidRDefault="00E24DB7" w:rsidP="00E24DB7">
            <w:pPr>
              <w:keepNext/>
              <w:keepLines/>
              <w:spacing w:before="60" w:after="60" w:line="220" w:lineRule="atLeast"/>
              <w:ind w:left="57" w:right="57"/>
              <w:rPr>
                <w:sz w:val="18"/>
                <w:szCs w:val="18"/>
              </w:rPr>
            </w:pPr>
            <w:r w:rsidRPr="002C5876">
              <w:rPr>
                <w:sz w:val="18"/>
                <w:szCs w:val="18"/>
              </w:rPr>
              <w:t>UBE</w:t>
            </w:r>
            <w:r w:rsidRPr="002C5876">
              <w:rPr>
                <w:sz w:val="18"/>
                <w:szCs w:val="18"/>
                <w:vertAlign w:val="subscript"/>
              </w:rPr>
              <w:t>CCP</w:t>
            </w:r>
            <w:r w:rsidRPr="002C5876">
              <w:rPr>
                <w:sz w:val="18"/>
                <w:szCs w:val="18"/>
              </w:rPr>
              <w:t>, Wh </w:t>
            </w:r>
          </w:p>
        </w:tc>
        <w:tc>
          <w:tcPr>
            <w:tcW w:w="3147" w:type="dxa"/>
            <w:tcBorders>
              <w:top w:val="single" w:sz="4" w:space="0" w:color="auto"/>
              <w:bottom w:val="nil"/>
            </w:tcBorders>
          </w:tcPr>
          <w:p w:rsidR="00E24DB7" w:rsidRPr="002C5876" w:rsidRDefault="00E24DB7" w:rsidP="00E24DB7">
            <w:pPr>
              <w:keepNext/>
              <w:keepLines/>
              <w:spacing w:before="60" w:line="220" w:lineRule="atLeast"/>
              <w:ind w:left="57" w:right="57"/>
              <w:rPr>
                <w:sz w:val="18"/>
                <w:szCs w:val="18"/>
              </w:rPr>
            </w:pPr>
            <w:r w:rsidRPr="002C5876">
              <w:rPr>
                <w:sz w:val="18"/>
                <w:szCs w:val="18"/>
              </w:rPr>
              <w:t xml:space="preserve">Calcul de l’autonomie en mode électrique pur conformément au paragraphe 4.4.2.2 de la présente annexe. </w:t>
            </w:r>
          </w:p>
        </w:tc>
        <w:tc>
          <w:tcPr>
            <w:tcW w:w="2381" w:type="dxa"/>
            <w:vMerge w:val="restart"/>
            <w:tcBorders>
              <w:top w:val="single" w:sz="4" w:space="0" w:color="auto"/>
            </w:tcBorders>
          </w:tcPr>
          <w:p w:rsidR="00E24DB7" w:rsidRPr="00D53F39" w:rsidRDefault="00E24DB7" w:rsidP="00E24DB7">
            <w:pPr>
              <w:keepNext/>
              <w:keepLines/>
              <w:spacing w:before="60" w:after="60" w:line="220" w:lineRule="atLeast"/>
              <w:ind w:left="57" w:right="57"/>
              <w:rPr>
                <w:sz w:val="18"/>
                <w:szCs w:val="18"/>
                <w:lang w:val="en-US"/>
              </w:rPr>
            </w:pPr>
            <w:r w:rsidRPr="00D53F39">
              <w:rPr>
                <w:sz w:val="18"/>
                <w:szCs w:val="18"/>
                <w:lang w:val="en-US"/>
              </w:rPr>
              <w:t>PER</w:t>
            </w:r>
            <w:r w:rsidRPr="00D53F39">
              <w:rPr>
                <w:sz w:val="18"/>
                <w:szCs w:val="18"/>
                <w:vertAlign w:val="subscript"/>
                <w:lang w:val="en-US"/>
              </w:rPr>
              <w:t>WLTC</w:t>
            </w:r>
            <w:r w:rsidRPr="00D53F39">
              <w:rPr>
                <w:sz w:val="18"/>
                <w:szCs w:val="18"/>
                <w:lang w:val="en-US"/>
              </w:rPr>
              <w:t>, km </w:t>
            </w:r>
            <w:r w:rsidRPr="00D53F39">
              <w:rPr>
                <w:sz w:val="18"/>
                <w:szCs w:val="18"/>
                <w:lang w:val="en-US"/>
              </w:rPr>
              <w:br/>
              <w:t>PER</w:t>
            </w:r>
            <w:r w:rsidRPr="00D53F39">
              <w:rPr>
                <w:sz w:val="18"/>
                <w:szCs w:val="18"/>
                <w:vertAlign w:val="subscript"/>
                <w:lang w:val="en-US"/>
              </w:rPr>
              <w:t>city</w:t>
            </w:r>
            <w:r w:rsidRPr="00D53F39">
              <w:rPr>
                <w:sz w:val="18"/>
                <w:szCs w:val="18"/>
                <w:lang w:val="en-US"/>
              </w:rPr>
              <w:t>, km </w:t>
            </w:r>
            <w:r w:rsidRPr="00D53F39">
              <w:rPr>
                <w:sz w:val="18"/>
                <w:szCs w:val="18"/>
                <w:lang w:val="en-US"/>
              </w:rPr>
              <w:br/>
              <w:t>PER</w:t>
            </w:r>
            <w:r w:rsidRPr="00D53F39">
              <w:rPr>
                <w:sz w:val="18"/>
                <w:szCs w:val="18"/>
                <w:vertAlign w:val="subscript"/>
                <w:lang w:val="en-US"/>
              </w:rPr>
              <w:t>low</w:t>
            </w:r>
            <w:r w:rsidRPr="00D53F39">
              <w:rPr>
                <w:sz w:val="18"/>
                <w:szCs w:val="18"/>
                <w:lang w:val="en-US"/>
              </w:rPr>
              <w:t>, km </w:t>
            </w:r>
            <w:r w:rsidRPr="00D53F39">
              <w:rPr>
                <w:sz w:val="18"/>
                <w:szCs w:val="18"/>
                <w:lang w:val="en-US"/>
              </w:rPr>
              <w:br/>
              <w:t>PER</w:t>
            </w:r>
            <w:r w:rsidRPr="00D53F39">
              <w:rPr>
                <w:sz w:val="18"/>
                <w:szCs w:val="18"/>
                <w:vertAlign w:val="subscript"/>
                <w:lang w:val="en-US"/>
              </w:rPr>
              <w:t>med</w:t>
            </w:r>
            <w:r w:rsidRPr="00D53F39">
              <w:rPr>
                <w:sz w:val="18"/>
                <w:szCs w:val="18"/>
                <w:lang w:val="en-US"/>
              </w:rPr>
              <w:t>, km </w:t>
            </w:r>
            <w:r w:rsidRPr="00D53F39">
              <w:rPr>
                <w:sz w:val="18"/>
                <w:szCs w:val="18"/>
                <w:lang w:val="en-US"/>
              </w:rPr>
              <w:br/>
              <w:t>PER</w:t>
            </w:r>
            <w:r w:rsidRPr="00D53F39">
              <w:rPr>
                <w:sz w:val="18"/>
                <w:szCs w:val="18"/>
                <w:vertAlign w:val="subscript"/>
                <w:lang w:val="en-US"/>
              </w:rPr>
              <w:t>high</w:t>
            </w:r>
            <w:r w:rsidRPr="00D53F39">
              <w:rPr>
                <w:sz w:val="18"/>
                <w:szCs w:val="18"/>
                <w:lang w:val="en-US"/>
              </w:rPr>
              <w:t>, km </w:t>
            </w:r>
            <w:r w:rsidRPr="00D53F39">
              <w:rPr>
                <w:sz w:val="18"/>
                <w:szCs w:val="18"/>
                <w:lang w:val="en-US"/>
              </w:rPr>
              <w:br/>
              <w:t>PER</w:t>
            </w:r>
            <w:r w:rsidRPr="00D53F39">
              <w:rPr>
                <w:sz w:val="18"/>
                <w:szCs w:val="18"/>
                <w:vertAlign w:val="subscript"/>
                <w:lang w:val="en-US"/>
              </w:rPr>
              <w:t>exHigh</w:t>
            </w:r>
            <w:r w:rsidRPr="00D53F39">
              <w:rPr>
                <w:sz w:val="18"/>
                <w:szCs w:val="18"/>
                <w:lang w:val="en-US"/>
              </w:rPr>
              <w:t>, km</w:t>
            </w:r>
          </w:p>
        </w:tc>
        <w:tc>
          <w:tcPr>
            <w:tcW w:w="737" w:type="dxa"/>
            <w:vMerge w:val="restart"/>
            <w:tcBorders>
              <w:top w:val="single" w:sz="4" w:space="0" w:color="auto"/>
            </w:tcBorders>
          </w:tcPr>
          <w:p w:rsidR="00E24DB7" w:rsidRPr="002C5876" w:rsidRDefault="00E24DB7" w:rsidP="00E24DB7">
            <w:pPr>
              <w:keepNext/>
              <w:keepLines/>
              <w:spacing w:before="60" w:after="60" w:line="220" w:lineRule="atLeast"/>
              <w:ind w:left="57" w:right="57"/>
              <w:rPr>
                <w:sz w:val="18"/>
                <w:szCs w:val="18"/>
              </w:rPr>
            </w:pPr>
            <w:r w:rsidRPr="002C5876">
              <w:rPr>
                <w:sz w:val="18"/>
                <w:szCs w:val="18"/>
              </w:rPr>
              <w:t>5</w:t>
            </w:r>
          </w:p>
        </w:tc>
      </w:tr>
      <w:tr w:rsidR="00E24DB7" w:rsidRPr="002C5876" w:rsidTr="00E24DB7">
        <w:trPr>
          <w:trHeight w:val="20"/>
          <w:jc w:val="center"/>
        </w:trPr>
        <w:tc>
          <w:tcPr>
            <w:tcW w:w="1259" w:type="dxa"/>
            <w:tcBorders>
              <w:top w:val="nil"/>
              <w:bottom w:val="single" w:sz="4"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 xml:space="preserve">Sortie </w:t>
            </w:r>
            <w:r w:rsidRPr="002C5876">
              <w:rPr>
                <w:sz w:val="18"/>
                <w:szCs w:val="18"/>
              </w:rPr>
              <w:br/>
              <w:t>de l’étape 4</w:t>
            </w:r>
          </w:p>
        </w:tc>
        <w:tc>
          <w:tcPr>
            <w:tcW w:w="2115" w:type="dxa"/>
            <w:tcBorders>
              <w:top w:val="nil"/>
              <w:bottom w:val="single" w:sz="4"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EC</w:t>
            </w:r>
            <w:r w:rsidRPr="002C5876">
              <w:rPr>
                <w:sz w:val="18"/>
                <w:szCs w:val="18"/>
                <w:vertAlign w:val="subscript"/>
              </w:rPr>
              <w:t>DC,WLTC</w:t>
            </w:r>
            <w:r w:rsidRPr="002C5876">
              <w:rPr>
                <w:sz w:val="18"/>
                <w:szCs w:val="18"/>
              </w:rPr>
              <w:t>, Wh/km </w:t>
            </w:r>
            <w:r w:rsidRPr="002C5876">
              <w:rPr>
                <w:sz w:val="18"/>
                <w:szCs w:val="18"/>
              </w:rPr>
              <w:br/>
              <w:t>EC</w:t>
            </w:r>
            <w:r w:rsidRPr="002C5876">
              <w:rPr>
                <w:sz w:val="18"/>
                <w:szCs w:val="18"/>
                <w:vertAlign w:val="subscript"/>
              </w:rPr>
              <w:t>DC,city</w:t>
            </w:r>
            <w:r w:rsidRPr="002C5876">
              <w:rPr>
                <w:sz w:val="18"/>
                <w:szCs w:val="18"/>
              </w:rPr>
              <w:t>, Wh/km </w:t>
            </w:r>
            <w:r w:rsidRPr="002C5876">
              <w:rPr>
                <w:sz w:val="18"/>
                <w:szCs w:val="18"/>
              </w:rPr>
              <w:br/>
              <w:t>EC</w:t>
            </w:r>
            <w:r w:rsidRPr="002C5876">
              <w:rPr>
                <w:sz w:val="18"/>
                <w:szCs w:val="18"/>
                <w:vertAlign w:val="subscript"/>
              </w:rPr>
              <w:t>DC,low</w:t>
            </w:r>
            <w:r w:rsidRPr="002C5876">
              <w:rPr>
                <w:sz w:val="18"/>
                <w:szCs w:val="18"/>
              </w:rPr>
              <w:t>, Wh/km </w:t>
            </w:r>
            <w:r w:rsidRPr="002C5876">
              <w:rPr>
                <w:sz w:val="18"/>
                <w:szCs w:val="18"/>
              </w:rPr>
              <w:br/>
              <w:t>EC</w:t>
            </w:r>
            <w:r w:rsidRPr="002C5876">
              <w:rPr>
                <w:sz w:val="18"/>
                <w:szCs w:val="18"/>
                <w:vertAlign w:val="subscript"/>
              </w:rPr>
              <w:t>DC,med</w:t>
            </w:r>
            <w:r w:rsidRPr="002C5876">
              <w:rPr>
                <w:sz w:val="18"/>
                <w:szCs w:val="18"/>
              </w:rPr>
              <w:t>, Wh/km </w:t>
            </w:r>
            <w:r w:rsidRPr="002C5876">
              <w:rPr>
                <w:sz w:val="18"/>
                <w:szCs w:val="18"/>
              </w:rPr>
              <w:br/>
              <w:t>EC</w:t>
            </w:r>
            <w:r w:rsidRPr="002C5876">
              <w:rPr>
                <w:sz w:val="18"/>
                <w:szCs w:val="18"/>
                <w:vertAlign w:val="subscript"/>
              </w:rPr>
              <w:t>DC,high</w:t>
            </w:r>
            <w:r w:rsidRPr="002C5876">
              <w:rPr>
                <w:sz w:val="18"/>
                <w:szCs w:val="18"/>
              </w:rPr>
              <w:t>, Wh/km </w:t>
            </w:r>
            <w:r w:rsidRPr="002C5876">
              <w:rPr>
                <w:sz w:val="18"/>
                <w:szCs w:val="18"/>
              </w:rPr>
              <w:br/>
              <w:t>EC</w:t>
            </w:r>
            <w:r w:rsidRPr="002C5876">
              <w:rPr>
                <w:sz w:val="18"/>
                <w:szCs w:val="18"/>
                <w:vertAlign w:val="subscript"/>
              </w:rPr>
              <w:t>DC,exHigh</w:t>
            </w:r>
            <w:r w:rsidRPr="002C5876">
              <w:rPr>
                <w:sz w:val="18"/>
                <w:szCs w:val="18"/>
              </w:rPr>
              <w:t>, Wh/km</w:t>
            </w:r>
          </w:p>
        </w:tc>
        <w:tc>
          <w:tcPr>
            <w:tcW w:w="3147" w:type="dxa"/>
            <w:tcBorders>
              <w:top w:val="nil"/>
              <w:bottom w:val="single" w:sz="4"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Données de sortie disponibles pour chaque essai.</w:t>
            </w:r>
          </w:p>
          <w:p w:rsidR="00E24DB7" w:rsidRPr="002C5876" w:rsidRDefault="00E24DB7" w:rsidP="00E24DB7">
            <w:pPr>
              <w:spacing w:before="60" w:after="60" w:line="220" w:lineRule="atLeast"/>
              <w:ind w:left="57" w:right="57"/>
              <w:rPr>
                <w:sz w:val="18"/>
                <w:szCs w:val="18"/>
              </w:rPr>
            </w:pPr>
            <w:r w:rsidRPr="002C5876">
              <w:rPr>
                <w:sz w:val="18"/>
                <w:szCs w:val="18"/>
              </w:rPr>
              <w:t>Si la méthode d’interpolation est appliquée, les données de sortie sont disponibles pour les véhicules H et L.</w:t>
            </w:r>
          </w:p>
        </w:tc>
        <w:tc>
          <w:tcPr>
            <w:tcW w:w="2381" w:type="dxa"/>
            <w:vMerge/>
            <w:tcBorders>
              <w:bottom w:val="single" w:sz="4" w:space="0" w:color="auto"/>
            </w:tcBorders>
          </w:tcPr>
          <w:p w:rsidR="00E24DB7" w:rsidRPr="002C5876" w:rsidRDefault="00E24DB7" w:rsidP="00E24DB7">
            <w:pPr>
              <w:spacing w:before="60" w:after="60" w:line="220" w:lineRule="atLeast"/>
              <w:ind w:left="57" w:right="57"/>
              <w:rPr>
                <w:sz w:val="18"/>
                <w:szCs w:val="18"/>
              </w:rPr>
            </w:pPr>
          </w:p>
        </w:tc>
        <w:tc>
          <w:tcPr>
            <w:tcW w:w="737" w:type="dxa"/>
            <w:vMerge/>
            <w:tcBorders>
              <w:bottom w:val="single" w:sz="4" w:space="0" w:color="auto"/>
            </w:tcBorders>
          </w:tcPr>
          <w:p w:rsidR="00E24DB7" w:rsidRPr="002C5876" w:rsidRDefault="00E24DB7" w:rsidP="00E24DB7">
            <w:pPr>
              <w:spacing w:before="60" w:after="60" w:line="220" w:lineRule="atLeast"/>
              <w:ind w:left="57" w:right="57"/>
              <w:rPr>
                <w:sz w:val="18"/>
                <w:szCs w:val="18"/>
              </w:rPr>
            </w:pPr>
          </w:p>
        </w:tc>
      </w:tr>
      <w:tr w:rsidR="00E24DB7" w:rsidRPr="002C5876" w:rsidTr="00E24DB7">
        <w:trPr>
          <w:trHeight w:val="20"/>
          <w:jc w:val="center"/>
        </w:trPr>
        <w:tc>
          <w:tcPr>
            <w:tcW w:w="1259" w:type="dxa"/>
            <w:tcBorders>
              <w:top w:val="single" w:sz="4" w:space="0" w:color="auto"/>
              <w:bottom w:val="nil"/>
            </w:tcBorders>
          </w:tcPr>
          <w:p w:rsidR="00E24DB7" w:rsidRPr="002C5876" w:rsidRDefault="00E24DB7" w:rsidP="00E24DB7">
            <w:pPr>
              <w:spacing w:before="60" w:line="220" w:lineRule="atLeast"/>
              <w:ind w:left="57" w:right="57"/>
              <w:rPr>
                <w:sz w:val="18"/>
                <w:szCs w:val="18"/>
              </w:rPr>
            </w:pPr>
            <w:r w:rsidRPr="002C5876">
              <w:rPr>
                <w:sz w:val="18"/>
                <w:szCs w:val="18"/>
              </w:rPr>
              <w:t xml:space="preserve">Sortie </w:t>
            </w:r>
            <w:r w:rsidRPr="002C5876">
              <w:rPr>
                <w:sz w:val="18"/>
                <w:szCs w:val="18"/>
              </w:rPr>
              <w:br/>
              <w:t>de l’étape 1</w:t>
            </w:r>
          </w:p>
        </w:tc>
        <w:tc>
          <w:tcPr>
            <w:tcW w:w="2115" w:type="dxa"/>
            <w:tcBorders>
              <w:top w:val="single" w:sz="4" w:space="0" w:color="auto"/>
              <w:bottom w:val="nil"/>
            </w:tcBorders>
          </w:tcPr>
          <w:p w:rsidR="00E24DB7" w:rsidRPr="002C5876" w:rsidRDefault="00E24DB7" w:rsidP="00E24DB7">
            <w:pPr>
              <w:spacing w:before="60" w:line="220" w:lineRule="atLeast"/>
              <w:ind w:left="57" w:right="57"/>
              <w:rPr>
                <w:sz w:val="18"/>
                <w:szCs w:val="18"/>
              </w:rPr>
            </w:pPr>
            <w:r w:rsidRPr="002C5876">
              <w:rPr>
                <w:sz w:val="18"/>
                <w:szCs w:val="18"/>
              </w:rPr>
              <w:t>E</w:t>
            </w:r>
            <w:r w:rsidRPr="002C5876">
              <w:rPr>
                <w:sz w:val="18"/>
                <w:szCs w:val="18"/>
                <w:vertAlign w:val="subscript"/>
              </w:rPr>
              <w:t>AC</w:t>
            </w:r>
            <w:r w:rsidRPr="002C5876">
              <w:rPr>
                <w:sz w:val="18"/>
                <w:szCs w:val="18"/>
              </w:rPr>
              <w:t>, Wh </w:t>
            </w:r>
          </w:p>
        </w:tc>
        <w:tc>
          <w:tcPr>
            <w:tcW w:w="3147" w:type="dxa"/>
            <w:tcBorders>
              <w:top w:val="single" w:sz="4" w:space="0" w:color="auto"/>
              <w:bottom w:val="nil"/>
            </w:tcBorders>
          </w:tcPr>
          <w:p w:rsidR="00E24DB7" w:rsidRPr="002C5876" w:rsidRDefault="00E24DB7" w:rsidP="00E24DB7">
            <w:pPr>
              <w:spacing w:before="60" w:line="220" w:lineRule="atLeast"/>
              <w:ind w:left="57" w:right="57"/>
              <w:rPr>
                <w:sz w:val="18"/>
                <w:szCs w:val="18"/>
              </w:rPr>
            </w:pPr>
            <w:r w:rsidRPr="002C5876">
              <w:rPr>
                <w:sz w:val="18"/>
                <w:szCs w:val="18"/>
              </w:rPr>
              <w:t xml:space="preserve">Calcul de la consommation d’énergie électrique au niveau du secteur conformément au paragraphe 4.3.4 de la présente annexe. </w:t>
            </w:r>
          </w:p>
        </w:tc>
        <w:tc>
          <w:tcPr>
            <w:tcW w:w="2381" w:type="dxa"/>
            <w:vMerge w:val="restart"/>
            <w:tcBorders>
              <w:top w:val="single" w:sz="4"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EC</w:t>
            </w:r>
            <w:r w:rsidRPr="002C5876">
              <w:rPr>
                <w:sz w:val="18"/>
                <w:szCs w:val="18"/>
                <w:vertAlign w:val="subscript"/>
              </w:rPr>
              <w:t>WLTC</w:t>
            </w:r>
            <w:r w:rsidRPr="002C5876">
              <w:rPr>
                <w:sz w:val="18"/>
                <w:szCs w:val="18"/>
              </w:rPr>
              <w:t>, Wh/km </w:t>
            </w:r>
            <w:r w:rsidRPr="002C5876">
              <w:rPr>
                <w:sz w:val="18"/>
                <w:szCs w:val="18"/>
              </w:rPr>
              <w:br/>
              <w:t>EC</w:t>
            </w:r>
            <w:r w:rsidRPr="002C5876">
              <w:rPr>
                <w:sz w:val="18"/>
                <w:szCs w:val="18"/>
                <w:vertAlign w:val="subscript"/>
              </w:rPr>
              <w:t>city</w:t>
            </w:r>
            <w:r w:rsidRPr="002C5876">
              <w:rPr>
                <w:sz w:val="18"/>
                <w:szCs w:val="18"/>
              </w:rPr>
              <w:t>, Wh/km </w:t>
            </w:r>
            <w:r w:rsidRPr="002C5876">
              <w:rPr>
                <w:sz w:val="18"/>
                <w:szCs w:val="18"/>
              </w:rPr>
              <w:br/>
              <w:t>EC</w:t>
            </w:r>
            <w:r w:rsidRPr="002C5876">
              <w:rPr>
                <w:sz w:val="18"/>
                <w:szCs w:val="18"/>
                <w:vertAlign w:val="subscript"/>
              </w:rPr>
              <w:t>low</w:t>
            </w:r>
            <w:r w:rsidRPr="002C5876">
              <w:rPr>
                <w:sz w:val="18"/>
                <w:szCs w:val="18"/>
              </w:rPr>
              <w:t>, Wh/km </w:t>
            </w:r>
            <w:r w:rsidRPr="002C5876">
              <w:rPr>
                <w:sz w:val="18"/>
                <w:szCs w:val="18"/>
              </w:rPr>
              <w:br/>
              <w:t>EC</w:t>
            </w:r>
            <w:r w:rsidRPr="002C5876">
              <w:rPr>
                <w:sz w:val="18"/>
                <w:szCs w:val="18"/>
                <w:vertAlign w:val="subscript"/>
              </w:rPr>
              <w:t>med</w:t>
            </w:r>
            <w:r w:rsidRPr="002C5876">
              <w:rPr>
                <w:sz w:val="18"/>
                <w:szCs w:val="18"/>
              </w:rPr>
              <w:t>, Wh/km </w:t>
            </w:r>
            <w:r w:rsidRPr="002C5876">
              <w:rPr>
                <w:sz w:val="18"/>
                <w:szCs w:val="18"/>
              </w:rPr>
              <w:br/>
              <w:t>EC</w:t>
            </w:r>
            <w:r w:rsidRPr="002C5876">
              <w:rPr>
                <w:sz w:val="18"/>
                <w:szCs w:val="18"/>
                <w:vertAlign w:val="subscript"/>
              </w:rPr>
              <w:t>high</w:t>
            </w:r>
            <w:r w:rsidRPr="002C5876">
              <w:rPr>
                <w:sz w:val="18"/>
                <w:szCs w:val="18"/>
              </w:rPr>
              <w:t>, Wh/km </w:t>
            </w:r>
            <w:r w:rsidRPr="002C5876">
              <w:rPr>
                <w:sz w:val="18"/>
                <w:szCs w:val="18"/>
              </w:rPr>
              <w:br/>
              <w:t>EC</w:t>
            </w:r>
            <w:r w:rsidRPr="002C5876">
              <w:rPr>
                <w:sz w:val="18"/>
                <w:szCs w:val="18"/>
                <w:vertAlign w:val="subscript"/>
              </w:rPr>
              <w:t>exHigh</w:t>
            </w:r>
            <w:r w:rsidRPr="002C5876">
              <w:rPr>
                <w:sz w:val="18"/>
                <w:szCs w:val="18"/>
              </w:rPr>
              <w:t>, Wh/km</w:t>
            </w:r>
          </w:p>
        </w:tc>
        <w:tc>
          <w:tcPr>
            <w:tcW w:w="737" w:type="dxa"/>
            <w:vMerge w:val="restart"/>
            <w:tcBorders>
              <w:top w:val="single" w:sz="4" w:space="0" w:color="auto"/>
            </w:tcBorders>
          </w:tcPr>
          <w:p w:rsidR="00E24DB7" w:rsidRPr="002C5876" w:rsidDel="000166EA" w:rsidRDefault="00E24DB7" w:rsidP="00E24DB7">
            <w:pPr>
              <w:spacing w:before="60" w:after="60" w:line="220" w:lineRule="atLeast"/>
              <w:ind w:left="57" w:right="57"/>
              <w:rPr>
                <w:sz w:val="18"/>
                <w:szCs w:val="18"/>
              </w:rPr>
            </w:pPr>
            <w:r w:rsidRPr="002C5876">
              <w:rPr>
                <w:sz w:val="18"/>
                <w:szCs w:val="18"/>
              </w:rPr>
              <w:t>6</w:t>
            </w:r>
          </w:p>
        </w:tc>
      </w:tr>
      <w:tr w:rsidR="00E24DB7" w:rsidRPr="002C5876" w:rsidTr="00E24DB7">
        <w:trPr>
          <w:trHeight w:val="20"/>
          <w:jc w:val="center"/>
        </w:trPr>
        <w:tc>
          <w:tcPr>
            <w:tcW w:w="1259" w:type="dxa"/>
            <w:tcBorders>
              <w:top w:val="nil"/>
              <w:bottom w:val="single" w:sz="4"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 xml:space="preserve">Sortie </w:t>
            </w:r>
            <w:r w:rsidRPr="002C5876">
              <w:rPr>
                <w:sz w:val="18"/>
                <w:szCs w:val="18"/>
              </w:rPr>
              <w:br/>
              <w:t>de l’étape 5</w:t>
            </w:r>
          </w:p>
        </w:tc>
        <w:tc>
          <w:tcPr>
            <w:tcW w:w="2115" w:type="dxa"/>
            <w:tcBorders>
              <w:top w:val="nil"/>
              <w:bottom w:val="single" w:sz="4" w:space="0" w:color="auto"/>
            </w:tcBorders>
          </w:tcPr>
          <w:p w:rsidR="00E24DB7" w:rsidRPr="00D53F39" w:rsidRDefault="00E24DB7" w:rsidP="00E24DB7">
            <w:pPr>
              <w:spacing w:before="60" w:after="60" w:line="220" w:lineRule="atLeast"/>
              <w:ind w:left="57" w:right="57"/>
              <w:rPr>
                <w:sz w:val="18"/>
                <w:szCs w:val="18"/>
                <w:lang w:val="en-US"/>
              </w:rPr>
            </w:pPr>
            <w:r w:rsidRPr="00D53F39">
              <w:rPr>
                <w:sz w:val="18"/>
                <w:szCs w:val="18"/>
                <w:lang w:val="en-US"/>
              </w:rPr>
              <w:t>PER</w:t>
            </w:r>
            <w:r w:rsidRPr="00D53F39">
              <w:rPr>
                <w:sz w:val="18"/>
                <w:szCs w:val="18"/>
                <w:vertAlign w:val="subscript"/>
                <w:lang w:val="en-US"/>
              </w:rPr>
              <w:t>WLTC</w:t>
            </w:r>
            <w:r w:rsidRPr="00D53F39">
              <w:rPr>
                <w:sz w:val="18"/>
                <w:szCs w:val="18"/>
                <w:lang w:val="en-US"/>
              </w:rPr>
              <w:t>, km </w:t>
            </w:r>
            <w:r w:rsidRPr="00D53F39">
              <w:rPr>
                <w:sz w:val="18"/>
                <w:szCs w:val="18"/>
                <w:lang w:val="en-US"/>
              </w:rPr>
              <w:br/>
              <w:t>PER</w:t>
            </w:r>
            <w:r w:rsidRPr="00D53F39">
              <w:rPr>
                <w:sz w:val="18"/>
                <w:szCs w:val="18"/>
                <w:vertAlign w:val="subscript"/>
                <w:lang w:val="en-US"/>
              </w:rPr>
              <w:t>city</w:t>
            </w:r>
            <w:r w:rsidRPr="00D53F39">
              <w:rPr>
                <w:sz w:val="18"/>
                <w:szCs w:val="18"/>
                <w:lang w:val="en-US"/>
              </w:rPr>
              <w:t>, km </w:t>
            </w:r>
            <w:r w:rsidRPr="00D53F39">
              <w:rPr>
                <w:sz w:val="18"/>
                <w:szCs w:val="18"/>
                <w:lang w:val="en-US"/>
              </w:rPr>
              <w:br/>
              <w:t>PER</w:t>
            </w:r>
            <w:r w:rsidRPr="00D53F39">
              <w:rPr>
                <w:sz w:val="18"/>
                <w:szCs w:val="18"/>
                <w:vertAlign w:val="subscript"/>
                <w:lang w:val="en-US"/>
              </w:rPr>
              <w:t>low</w:t>
            </w:r>
            <w:r w:rsidRPr="00D53F39">
              <w:rPr>
                <w:sz w:val="18"/>
                <w:szCs w:val="18"/>
                <w:lang w:val="en-US"/>
              </w:rPr>
              <w:t>, km </w:t>
            </w:r>
            <w:r w:rsidRPr="00D53F39">
              <w:rPr>
                <w:sz w:val="18"/>
                <w:szCs w:val="18"/>
                <w:lang w:val="en-US"/>
              </w:rPr>
              <w:br/>
              <w:t>PER</w:t>
            </w:r>
            <w:r w:rsidRPr="00D53F39">
              <w:rPr>
                <w:sz w:val="18"/>
                <w:szCs w:val="18"/>
                <w:vertAlign w:val="subscript"/>
                <w:lang w:val="en-US"/>
              </w:rPr>
              <w:t>med</w:t>
            </w:r>
            <w:r w:rsidRPr="00D53F39">
              <w:rPr>
                <w:sz w:val="18"/>
                <w:szCs w:val="18"/>
                <w:lang w:val="en-US"/>
              </w:rPr>
              <w:t>, km </w:t>
            </w:r>
            <w:r w:rsidRPr="00D53F39">
              <w:rPr>
                <w:sz w:val="18"/>
                <w:szCs w:val="18"/>
                <w:lang w:val="en-US"/>
              </w:rPr>
              <w:br/>
              <w:t>PER</w:t>
            </w:r>
            <w:r w:rsidRPr="00D53F39">
              <w:rPr>
                <w:sz w:val="18"/>
                <w:szCs w:val="18"/>
                <w:vertAlign w:val="subscript"/>
                <w:lang w:val="en-US"/>
              </w:rPr>
              <w:t>high</w:t>
            </w:r>
            <w:r w:rsidRPr="00D53F39">
              <w:rPr>
                <w:sz w:val="18"/>
                <w:szCs w:val="18"/>
                <w:lang w:val="en-US"/>
              </w:rPr>
              <w:t>, km </w:t>
            </w:r>
            <w:r w:rsidRPr="00D53F39">
              <w:rPr>
                <w:sz w:val="18"/>
                <w:szCs w:val="18"/>
                <w:lang w:val="en-US"/>
              </w:rPr>
              <w:br/>
              <w:t>PER</w:t>
            </w:r>
            <w:r w:rsidRPr="00D53F39">
              <w:rPr>
                <w:sz w:val="18"/>
                <w:szCs w:val="18"/>
                <w:vertAlign w:val="subscript"/>
                <w:lang w:val="en-US"/>
              </w:rPr>
              <w:t>exHigh</w:t>
            </w:r>
            <w:r w:rsidRPr="00D53F39">
              <w:rPr>
                <w:sz w:val="18"/>
                <w:szCs w:val="18"/>
                <w:lang w:val="en-US"/>
              </w:rPr>
              <w:t>, km</w:t>
            </w:r>
          </w:p>
        </w:tc>
        <w:tc>
          <w:tcPr>
            <w:tcW w:w="3147" w:type="dxa"/>
            <w:tcBorders>
              <w:top w:val="nil"/>
              <w:bottom w:val="single" w:sz="4"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Données de sortie disponibles pour chaque essai.</w:t>
            </w:r>
          </w:p>
          <w:p w:rsidR="00E24DB7" w:rsidRPr="002C5876" w:rsidRDefault="00E24DB7" w:rsidP="00E24DB7">
            <w:pPr>
              <w:spacing w:before="60" w:after="60" w:line="220" w:lineRule="atLeast"/>
              <w:ind w:left="57" w:right="57"/>
              <w:rPr>
                <w:sz w:val="18"/>
                <w:szCs w:val="18"/>
              </w:rPr>
            </w:pPr>
            <w:r w:rsidRPr="002C5876">
              <w:rPr>
                <w:sz w:val="18"/>
                <w:szCs w:val="18"/>
              </w:rPr>
              <w:t>Si la méthode d’interpolation est appliquée, les données de sortie sont disponibles pour les véhicules H et L.</w:t>
            </w:r>
          </w:p>
        </w:tc>
        <w:tc>
          <w:tcPr>
            <w:tcW w:w="2381" w:type="dxa"/>
            <w:vMerge/>
            <w:tcBorders>
              <w:bottom w:val="single" w:sz="4" w:space="0" w:color="auto"/>
            </w:tcBorders>
          </w:tcPr>
          <w:p w:rsidR="00E24DB7" w:rsidRPr="002C5876" w:rsidRDefault="00E24DB7" w:rsidP="00E24DB7">
            <w:pPr>
              <w:spacing w:before="60" w:after="60" w:line="220" w:lineRule="atLeast"/>
              <w:ind w:left="57" w:right="57"/>
              <w:rPr>
                <w:sz w:val="18"/>
                <w:szCs w:val="18"/>
              </w:rPr>
            </w:pPr>
          </w:p>
        </w:tc>
        <w:tc>
          <w:tcPr>
            <w:tcW w:w="737" w:type="dxa"/>
            <w:vMerge/>
            <w:tcBorders>
              <w:bottom w:val="single" w:sz="4" w:space="0" w:color="auto"/>
            </w:tcBorders>
          </w:tcPr>
          <w:p w:rsidR="00E24DB7" w:rsidRPr="002C5876" w:rsidRDefault="00E24DB7" w:rsidP="00E24DB7">
            <w:pPr>
              <w:spacing w:before="60" w:after="60" w:line="220" w:lineRule="atLeast"/>
              <w:ind w:left="57" w:right="57"/>
              <w:rPr>
                <w:sz w:val="18"/>
                <w:szCs w:val="18"/>
              </w:rPr>
            </w:pPr>
          </w:p>
        </w:tc>
      </w:tr>
      <w:tr w:rsidR="00E24DB7" w:rsidRPr="002C5876" w:rsidTr="00E24DB7">
        <w:trPr>
          <w:trHeight w:val="20"/>
          <w:jc w:val="center"/>
        </w:trPr>
        <w:tc>
          <w:tcPr>
            <w:tcW w:w="1259" w:type="dxa"/>
            <w:tcBorders>
              <w:top w:val="single" w:sz="4" w:space="0" w:color="auto"/>
              <w:bottom w:val="nil"/>
            </w:tcBorders>
          </w:tcPr>
          <w:p w:rsidR="00E24DB7" w:rsidRPr="002C5876" w:rsidRDefault="00E24DB7" w:rsidP="00E24DB7">
            <w:pPr>
              <w:spacing w:before="60" w:after="60" w:line="220" w:lineRule="atLeast"/>
              <w:ind w:left="57" w:right="57"/>
              <w:rPr>
                <w:sz w:val="18"/>
                <w:szCs w:val="18"/>
              </w:rPr>
            </w:pPr>
            <w:r w:rsidRPr="002C5876">
              <w:rPr>
                <w:sz w:val="18"/>
                <w:szCs w:val="18"/>
              </w:rPr>
              <w:t xml:space="preserve">Sortie </w:t>
            </w:r>
            <w:r w:rsidRPr="002C5876">
              <w:rPr>
                <w:sz w:val="18"/>
                <w:szCs w:val="18"/>
              </w:rPr>
              <w:br/>
              <w:t>de l’étape 5</w:t>
            </w:r>
          </w:p>
        </w:tc>
        <w:tc>
          <w:tcPr>
            <w:tcW w:w="2115" w:type="dxa"/>
            <w:tcBorders>
              <w:top w:val="single" w:sz="4" w:space="0" w:color="auto"/>
              <w:bottom w:val="nil"/>
            </w:tcBorders>
          </w:tcPr>
          <w:p w:rsidR="00E24DB7" w:rsidRPr="00D53F39" w:rsidRDefault="00E24DB7" w:rsidP="00E24DB7">
            <w:pPr>
              <w:spacing w:before="60" w:after="60" w:line="220" w:lineRule="atLeast"/>
              <w:ind w:left="57" w:right="57"/>
              <w:rPr>
                <w:sz w:val="18"/>
                <w:szCs w:val="18"/>
                <w:lang w:val="en-US"/>
              </w:rPr>
            </w:pPr>
            <w:r w:rsidRPr="00D53F39">
              <w:rPr>
                <w:sz w:val="18"/>
                <w:szCs w:val="18"/>
                <w:lang w:val="en-US"/>
              </w:rPr>
              <w:t>PER</w:t>
            </w:r>
            <w:r w:rsidRPr="00D53F39">
              <w:rPr>
                <w:sz w:val="18"/>
                <w:szCs w:val="18"/>
                <w:vertAlign w:val="subscript"/>
                <w:lang w:val="en-US"/>
              </w:rPr>
              <w:t>WLTC</w:t>
            </w:r>
            <w:r w:rsidRPr="00D53F39">
              <w:rPr>
                <w:sz w:val="18"/>
                <w:szCs w:val="18"/>
                <w:lang w:val="en-US"/>
              </w:rPr>
              <w:t>, km </w:t>
            </w:r>
            <w:r w:rsidRPr="00D53F39">
              <w:rPr>
                <w:sz w:val="18"/>
                <w:szCs w:val="18"/>
                <w:lang w:val="en-US"/>
              </w:rPr>
              <w:br/>
              <w:t>PER</w:t>
            </w:r>
            <w:r w:rsidRPr="00D53F39">
              <w:rPr>
                <w:sz w:val="18"/>
                <w:szCs w:val="18"/>
                <w:vertAlign w:val="subscript"/>
                <w:lang w:val="en-US"/>
              </w:rPr>
              <w:t>city</w:t>
            </w:r>
            <w:r w:rsidRPr="00D53F39">
              <w:rPr>
                <w:sz w:val="18"/>
                <w:szCs w:val="18"/>
                <w:lang w:val="en-US"/>
              </w:rPr>
              <w:t>, km </w:t>
            </w:r>
            <w:r w:rsidRPr="00D53F39">
              <w:rPr>
                <w:sz w:val="18"/>
                <w:szCs w:val="18"/>
                <w:lang w:val="en-US"/>
              </w:rPr>
              <w:br/>
              <w:t>PER</w:t>
            </w:r>
            <w:r w:rsidRPr="00D53F39">
              <w:rPr>
                <w:sz w:val="18"/>
                <w:szCs w:val="18"/>
                <w:vertAlign w:val="subscript"/>
                <w:lang w:val="en-US"/>
              </w:rPr>
              <w:t>low</w:t>
            </w:r>
            <w:r w:rsidRPr="00D53F39">
              <w:rPr>
                <w:sz w:val="18"/>
                <w:szCs w:val="18"/>
                <w:lang w:val="en-US"/>
              </w:rPr>
              <w:t>, km </w:t>
            </w:r>
            <w:r w:rsidRPr="00D53F39">
              <w:rPr>
                <w:sz w:val="18"/>
                <w:szCs w:val="18"/>
                <w:lang w:val="en-US"/>
              </w:rPr>
              <w:br/>
              <w:t>PER</w:t>
            </w:r>
            <w:r w:rsidRPr="00D53F39">
              <w:rPr>
                <w:sz w:val="18"/>
                <w:szCs w:val="18"/>
                <w:vertAlign w:val="subscript"/>
                <w:lang w:val="en-US"/>
              </w:rPr>
              <w:t>med</w:t>
            </w:r>
            <w:r w:rsidRPr="00D53F39">
              <w:rPr>
                <w:sz w:val="18"/>
                <w:szCs w:val="18"/>
                <w:lang w:val="en-US"/>
              </w:rPr>
              <w:t xml:space="preserve">, km </w:t>
            </w:r>
            <w:r w:rsidRPr="00D53F39">
              <w:rPr>
                <w:sz w:val="18"/>
                <w:szCs w:val="18"/>
                <w:lang w:val="en-US"/>
              </w:rPr>
              <w:br/>
              <w:t>PER</w:t>
            </w:r>
            <w:r w:rsidRPr="00D53F39">
              <w:rPr>
                <w:sz w:val="18"/>
                <w:szCs w:val="18"/>
                <w:vertAlign w:val="subscript"/>
                <w:lang w:val="en-US"/>
              </w:rPr>
              <w:t>high</w:t>
            </w:r>
            <w:r w:rsidRPr="00D53F39">
              <w:rPr>
                <w:sz w:val="18"/>
                <w:szCs w:val="18"/>
                <w:lang w:val="en-US"/>
              </w:rPr>
              <w:t>, km </w:t>
            </w:r>
            <w:r w:rsidRPr="00D53F39">
              <w:rPr>
                <w:sz w:val="18"/>
                <w:szCs w:val="18"/>
                <w:lang w:val="en-US"/>
              </w:rPr>
              <w:br/>
              <w:t>PER</w:t>
            </w:r>
            <w:r w:rsidRPr="00D53F39">
              <w:rPr>
                <w:sz w:val="18"/>
                <w:szCs w:val="18"/>
                <w:vertAlign w:val="subscript"/>
                <w:lang w:val="en-US"/>
              </w:rPr>
              <w:t>exHigh</w:t>
            </w:r>
            <w:r w:rsidRPr="00D53F39">
              <w:rPr>
                <w:sz w:val="18"/>
                <w:szCs w:val="18"/>
                <w:lang w:val="en-US"/>
              </w:rPr>
              <w:t>, km </w:t>
            </w:r>
          </w:p>
        </w:tc>
        <w:tc>
          <w:tcPr>
            <w:tcW w:w="3147" w:type="dxa"/>
            <w:vMerge w:val="restart"/>
            <w:tcBorders>
              <w:top w:val="single" w:sz="4"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Calcul de la moyenne des essais pour toutes les valeurs d’entrée.</w:t>
            </w:r>
          </w:p>
          <w:p w:rsidR="00E24DB7" w:rsidRPr="002C5876" w:rsidRDefault="00E24DB7" w:rsidP="00E24DB7">
            <w:pPr>
              <w:spacing w:before="60" w:after="60" w:line="220" w:lineRule="atLeast"/>
              <w:ind w:left="57" w:right="57"/>
              <w:rPr>
                <w:sz w:val="18"/>
                <w:szCs w:val="18"/>
                <w:vertAlign w:val="subscript"/>
              </w:rPr>
            </w:pPr>
            <w:r w:rsidRPr="002C5876">
              <w:rPr>
                <w:sz w:val="18"/>
                <w:szCs w:val="18"/>
              </w:rPr>
              <w:t>Option régionale :</w:t>
            </w:r>
            <w:r w:rsidRPr="002C5876">
              <w:rPr>
                <w:sz w:val="18"/>
                <w:szCs w:val="18"/>
              </w:rPr>
              <w:br/>
              <w:t>EC</w:t>
            </w:r>
            <w:r w:rsidRPr="002C5876">
              <w:rPr>
                <w:sz w:val="18"/>
                <w:szCs w:val="18"/>
                <w:vertAlign w:val="subscript"/>
              </w:rPr>
              <w:t>DC,COP,ave</w:t>
            </w:r>
          </w:p>
          <w:p w:rsidR="00E24DB7" w:rsidRPr="002C5876" w:rsidRDefault="00E24DB7" w:rsidP="00E24DB7">
            <w:pPr>
              <w:spacing w:before="60" w:after="60" w:line="220" w:lineRule="atLeast"/>
              <w:ind w:left="57" w:right="57"/>
              <w:rPr>
                <w:sz w:val="18"/>
                <w:szCs w:val="18"/>
              </w:rPr>
            </w:pPr>
            <w:r w:rsidRPr="002C5876">
              <w:rPr>
                <w:sz w:val="18"/>
                <w:szCs w:val="18"/>
              </w:rPr>
              <w:t>Déclaration de PER</w:t>
            </w:r>
            <w:r w:rsidRPr="002C5876">
              <w:rPr>
                <w:sz w:val="18"/>
                <w:szCs w:val="18"/>
                <w:vertAlign w:val="subscript"/>
              </w:rPr>
              <w:t>WLTC,dec</w:t>
            </w:r>
            <w:r w:rsidRPr="002C5876">
              <w:rPr>
                <w:sz w:val="18"/>
                <w:szCs w:val="18"/>
              </w:rPr>
              <w:t xml:space="preserve"> et d’EC</w:t>
            </w:r>
            <w:r w:rsidRPr="002C5876">
              <w:rPr>
                <w:sz w:val="18"/>
                <w:szCs w:val="18"/>
                <w:vertAlign w:val="subscript"/>
              </w:rPr>
              <w:t>WLTC,dec</w:t>
            </w:r>
            <w:r w:rsidRPr="002C5876">
              <w:rPr>
                <w:sz w:val="18"/>
                <w:szCs w:val="18"/>
              </w:rPr>
              <w:t xml:space="preserve"> sur la base de PER</w:t>
            </w:r>
            <w:r w:rsidRPr="002C5876">
              <w:rPr>
                <w:sz w:val="18"/>
                <w:szCs w:val="18"/>
                <w:vertAlign w:val="subscript"/>
              </w:rPr>
              <w:t>WLTC,ave</w:t>
            </w:r>
            <w:r w:rsidRPr="002C5876">
              <w:rPr>
                <w:sz w:val="18"/>
                <w:szCs w:val="18"/>
              </w:rPr>
              <w:t xml:space="preserve"> et d’EC</w:t>
            </w:r>
            <w:r w:rsidRPr="002C5876">
              <w:rPr>
                <w:sz w:val="18"/>
                <w:szCs w:val="18"/>
                <w:vertAlign w:val="subscript"/>
              </w:rPr>
              <w:t>WLTC,ave</w:t>
            </w:r>
            <w:r w:rsidRPr="002C5876">
              <w:rPr>
                <w:sz w:val="18"/>
                <w:szCs w:val="18"/>
              </w:rPr>
              <w:t>.</w:t>
            </w:r>
          </w:p>
          <w:p w:rsidR="00E24DB7" w:rsidRPr="002C5876" w:rsidRDefault="00E24DB7" w:rsidP="00E24DB7">
            <w:pPr>
              <w:spacing w:before="60" w:after="60" w:line="220" w:lineRule="atLeast"/>
              <w:ind w:left="57" w:right="57"/>
              <w:rPr>
                <w:sz w:val="18"/>
                <w:szCs w:val="18"/>
              </w:rPr>
            </w:pPr>
            <w:r w:rsidRPr="002C5876">
              <w:rPr>
                <w:sz w:val="18"/>
                <w:szCs w:val="18"/>
              </w:rPr>
              <w:t>Si la méthode d’interpolation est appliquée, les données de sortie sont disponibles pour les véhicules H et L.</w:t>
            </w:r>
          </w:p>
        </w:tc>
        <w:tc>
          <w:tcPr>
            <w:tcW w:w="2381" w:type="dxa"/>
            <w:vMerge w:val="restart"/>
            <w:tcBorders>
              <w:top w:val="single" w:sz="4" w:space="0" w:color="auto"/>
            </w:tcBorders>
          </w:tcPr>
          <w:p w:rsidR="00E24DB7" w:rsidRPr="00D53F39" w:rsidRDefault="00E24DB7" w:rsidP="00E24DB7">
            <w:pPr>
              <w:spacing w:before="60" w:after="60" w:line="220" w:lineRule="atLeast"/>
              <w:ind w:left="57" w:right="57"/>
              <w:rPr>
                <w:sz w:val="18"/>
                <w:szCs w:val="18"/>
                <w:lang w:val="en-US"/>
              </w:rPr>
            </w:pPr>
            <w:r w:rsidRPr="00D53F39">
              <w:rPr>
                <w:sz w:val="18"/>
                <w:szCs w:val="18"/>
                <w:lang w:val="en-US"/>
              </w:rPr>
              <w:t>PER</w:t>
            </w:r>
            <w:r w:rsidRPr="00D53F39">
              <w:rPr>
                <w:sz w:val="18"/>
                <w:szCs w:val="18"/>
                <w:vertAlign w:val="subscript"/>
                <w:lang w:val="en-US"/>
              </w:rPr>
              <w:t>WLTC,dec</w:t>
            </w:r>
            <w:r w:rsidRPr="00D53F39">
              <w:rPr>
                <w:sz w:val="18"/>
                <w:szCs w:val="18"/>
                <w:lang w:val="en-US"/>
              </w:rPr>
              <w:t>, km </w:t>
            </w:r>
            <w:r w:rsidRPr="00D53F39">
              <w:rPr>
                <w:sz w:val="18"/>
                <w:szCs w:val="18"/>
                <w:lang w:val="en-US"/>
              </w:rPr>
              <w:br/>
              <w:t>PER</w:t>
            </w:r>
            <w:r w:rsidRPr="00D53F39">
              <w:rPr>
                <w:sz w:val="18"/>
                <w:szCs w:val="18"/>
                <w:vertAlign w:val="subscript"/>
                <w:lang w:val="en-US"/>
              </w:rPr>
              <w:t>WLTC,ave</w:t>
            </w:r>
            <w:r w:rsidRPr="00D53F39">
              <w:rPr>
                <w:sz w:val="18"/>
                <w:szCs w:val="18"/>
                <w:lang w:val="en-US"/>
              </w:rPr>
              <w:t>, km </w:t>
            </w:r>
            <w:r w:rsidRPr="00D53F39">
              <w:rPr>
                <w:sz w:val="18"/>
                <w:szCs w:val="18"/>
                <w:lang w:val="en-US"/>
              </w:rPr>
              <w:br/>
              <w:t>PER</w:t>
            </w:r>
            <w:r w:rsidRPr="00D53F39">
              <w:rPr>
                <w:sz w:val="18"/>
                <w:szCs w:val="18"/>
                <w:vertAlign w:val="subscript"/>
                <w:lang w:val="en-US"/>
              </w:rPr>
              <w:t>city,ave</w:t>
            </w:r>
            <w:r w:rsidRPr="00D53F39">
              <w:rPr>
                <w:sz w:val="18"/>
                <w:szCs w:val="18"/>
                <w:lang w:val="en-US"/>
              </w:rPr>
              <w:t>, km </w:t>
            </w:r>
            <w:r w:rsidRPr="00D53F39">
              <w:rPr>
                <w:sz w:val="18"/>
                <w:szCs w:val="18"/>
                <w:lang w:val="en-US"/>
              </w:rPr>
              <w:br/>
              <w:t>PER</w:t>
            </w:r>
            <w:r w:rsidRPr="00D53F39">
              <w:rPr>
                <w:sz w:val="18"/>
                <w:szCs w:val="18"/>
                <w:vertAlign w:val="subscript"/>
                <w:lang w:val="en-US"/>
              </w:rPr>
              <w:t>low,ave</w:t>
            </w:r>
            <w:r w:rsidRPr="00D53F39">
              <w:rPr>
                <w:sz w:val="18"/>
                <w:szCs w:val="18"/>
                <w:lang w:val="en-US"/>
              </w:rPr>
              <w:t>, km </w:t>
            </w:r>
            <w:r w:rsidRPr="00D53F39">
              <w:rPr>
                <w:sz w:val="18"/>
                <w:szCs w:val="18"/>
                <w:lang w:val="en-US"/>
              </w:rPr>
              <w:br/>
              <w:t>PER</w:t>
            </w:r>
            <w:r w:rsidRPr="00D53F39">
              <w:rPr>
                <w:sz w:val="18"/>
                <w:szCs w:val="18"/>
                <w:vertAlign w:val="subscript"/>
                <w:lang w:val="en-US"/>
              </w:rPr>
              <w:t>med,ave</w:t>
            </w:r>
            <w:r w:rsidRPr="00D53F39">
              <w:rPr>
                <w:sz w:val="18"/>
                <w:szCs w:val="18"/>
                <w:lang w:val="en-US"/>
              </w:rPr>
              <w:t>, km </w:t>
            </w:r>
            <w:r w:rsidRPr="00D53F39">
              <w:rPr>
                <w:sz w:val="18"/>
                <w:szCs w:val="18"/>
                <w:lang w:val="en-US"/>
              </w:rPr>
              <w:br/>
              <w:t>PER</w:t>
            </w:r>
            <w:r w:rsidRPr="00D53F39">
              <w:rPr>
                <w:sz w:val="18"/>
                <w:szCs w:val="18"/>
                <w:vertAlign w:val="subscript"/>
                <w:lang w:val="en-US"/>
              </w:rPr>
              <w:t>high,ave</w:t>
            </w:r>
            <w:r w:rsidRPr="00D53F39">
              <w:rPr>
                <w:sz w:val="18"/>
                <w:szCs w:val="18"/>
                <w:lang w:val="en-US"/>
              </w:rPr>
              <w:t>, km </w:t>
            </w:r>
            <w:r w:rsidRPr="00D53F39">
              <w:rPr>
                <w:sz w:val="18"/>
                <w:szCs w:val="18"/>
                <w:lang w:val="en-US"/>
              </w:rPr>
              <w:br/>
              <w:t>PER</w:t>
            </w:r>
            <w:r w:rsidRPr="00D53F39">
              <w:rPr>
                <w:sz w:val="18"/>
                <w:szCs w:val="18"/>
                <w:vertAlign w:val="subscript"/>
                <w:lang w:val="en-US"/>
              </w:rPr>
              <w:t>exHigh,ave</w:t>
            </w:r>
            <w:r w:rsidRPr="00D53F39">
              <w:rPr>
                <w:sz w:val="18"/>
                <w:szCs w:val="18"/>
                <w:lang w:val="en-US"/>
              </w:rPr>
              <w:t>, km </w:t>
            </w:r>
          </w:p>
          <w:p w:rsidR="00E24DB7" w:rsidRPr="00D53F39" w:rsidRDefault="00E24DB7" w:rsidP="00E24DB7">
            <w:pPr>
              <w:spacing w:before="60" w:after="60" w:line="220" w:lineRule="atLeast"/>
              <w:ind w:left="57" w:right="57"/>
              <w:rPr>
                <w:sz w:val="18"/>
                <w:szCs w:val="18"/>
                <w:lang w:val="en-US"/>
              </w:rPr>
            </w:pPr>
            <w:r w:rsidRPr="00D53F39">
              <w:rPr>
                <w:sz w:val="18"/>
                <w:szCs w:val="18"/>
                <w:lang w:val="en-US"/>
              </w:rPr>
              <w:t>EC</w:t>
            </w:r>
            <w:r w:rsidRPr="00D53F39">
              <w:rPr>
                <w:sz w:val="18"/>
                <w:szCs w:val="18"/>
                <w:vertAlign w:val="subscript"/>
                <w:lang w:val="en-US"/>
              </w:rPr>
              <w:t>WLTC,dec</w:t>
            </w:r>
            <w:r w:rsidRPr="00D53F39">
              <w:rPr>
                <w:sz w:val="18"/>
                <w:szCs w:val="18"/>
                <w:lang w:val="en-US"/>
              </w:rPr>
              <w:t>, Wh/km </w:t>
            </w:r>
            <w:r w:rsidRPr="00D53F39">
              <w:rPr>
                <w:sz w:val="18"/>
                <w:szCs w:val="18"/>
                <w:lang w:val="en-US"/>
              </w:rPr>
              <w:br/>
              <w:t>EC</w:t>
            </w:r>
            <w:r w:rsidRPr="00D53F39">
              <w:rPr>
                <w:sz w:val="18"/>
                <w:szCs w:val="18"/>
                <w:vertAlign w:val="subscript"/>
                <w:lang w:val="en-US"/>
              </w:rPr>
              <w:t>WLTC,ave</w:t>
            </w:r>
            <w:r w:rsidRPr="00D53F39">
              <w:rPr>
                <w:sz w:val="18"/>
                <w:szCs w:val="18"/>
                <w:lang w:val="en-US"/>
              </w:rPr>
              <w:t>, Wh/km </w:t>
            </w:r>
            <w:r w:rsidRPr="00D53F39">
              <w:rPr>
                <w:sz w:val="18"/>
                <w:szCs w:val="18"/>
                <w:lang w:val="en-US"/>
              </w:rPr>
              <w:br/>
              <w:t>EC</w:t>
            </w:r>
            <w:r w:rsidRPr="00D53F39">
              <w:rPr>
                <w:sz w:val="18"/>
                <w:szCs w:val="18"/>
                <w:vertAlign w:val="subscript"/>
                <w:lang w:val="en-US"/>
              </w:rPr>
              <w:t>city,ave</w:t>
            </w:r>
            <w:r w:rsidRPr="00D53F39">
              <w:rPr>
                <w:sz w:val="18"/>
                <w:szCs w:val="18"/>
                <w:lang w:val="en-US"/>
              </w:rPr>
              <w:t>, Wh/km </w:t>
            </w:r>
            <w:r w:rsidRPr="00D53F39">
              <w:rPr>
                <w:sz w:val="18"/>
                <w:szCs w:val="18"/>
                <w:lang w:val="en-US"/>
              </w:rPr>
              <w:br/>
              <w:t>EC</w:t>
            </w:r>
            <w:r w:rsidRPr="00D53F39">
              <w:rPr>
                <w:sz w:val="18"/>
                <w:szCs w:val="18"/>
                <w:vertAlign w:val="subscript"/>
                <w:lang w:val="en-US"/>
              </w:rPr>
              <w:t>low,ave</w:t>
            </w:r>
            <w:r w:rsidRPr="00D53F39">
              <w:rPr>
                <w:sz w:val="18"/>
                <w:szCs w:val="18"/>
                <w:lang w:val="en-US"/>
              </w:rPr>
              <w:t>, Wh/km </w:t>
            </w:r>
            <w:r w:rsidRPr="00D53F39">
              <w:rPr>
                <w:sz w:val="18"/>
                <w:szCs w:val="18"/>
                <w:lang w:val="en-US"/>
              </w:rPr>
              <w:br/>
              <w:t>EC</w:t>
            </w:r>
            <w:r w:rsidRPr="00D53F39">
              <w:rPr>
                <w:sz w:val="18"/>
                <w:szCs w:val="18"/>
                <w:vertAlign w:val="subscript"/>
                <w:lang w:val="en-US"/>
              </w:rPr>
              <w:t>med,ave</w:t>
            </w:r>
            <w:r w:rsidRPr="00D53F39">
              <w:rPr>
                <w:sz w:val="18"/>
                <w:szCs w:val="18"/>
                <w:lang w:val="en-US"/>
              </w:rPr>
              <w:t>, Wh/km </w:t>
            </w:r>
            <w:r w:rsidRPr="00D53F39">
              <w:rPr>
                <w:sz w:val="18"/>
                <w:szCs w:val="18"/>
                <w:lang w:val="en-US"/>
              </w:rPr>
              <w:br/>
              <w:t>EC</w:t>
            </w:r>
            <w:r w:rsidRPr="00D53F39">
              <w:rPr>
                <w:sz w:val="18"/>
                <w:szCs w:val="18"/>
                <w:vertAlign w:val="subscript"/>
                <w:lang w:val="en-US"/>
              </w:rPr>
              <w:t>high,ave</w:t>
            </w:r>
            <w:r w:rsidRPr="00D53F39">
              <w:rPr>
                <w:sz w:val="18"/>
                <w:szCs w:val="18"/>
                <w:lang w:val="en-US"/>
              </w:rPr>
              <w:t>, Wh/km </w:t>
            </w:r>
            <w:r w:rsidRPr="00D53F39">
              <w:rPr>
                <w:sz w:val="18"/>
                <w:szCs w:val="18"/>
                <w:lang w:val="en-US"/>
              </w:rPr>
              <w:br/>
              <w:t>EC</w:t>
            </w:r>
            <w:r w:rsidRPr="00D53F39">
              <w:rPr>
                <w:sz w:val="18"/>
                <w:szCs w:val="18"/>
                <w:vertAlign w:val="subscript"/>
                <w:lang w:val="en-US"/>
              </w:rPr>
              <w:t>exHigh,ave</w:t>
            </w:r>
            <w:r w:rsidRPr="00D53F39">
              <w:rPr>
                <w:sz w:val="18"/>
                <w:szCs w:val="18"/>
                <w:lang w:val="en-US"/>
              </w:rPr>
              <w:t>, Wh/km </w:t>
            </w:r>
            <w:r w:rsidRPr="00D53F39">
              <w:rPr>
                <w:sz w:val="18"/>
                <w:szCs w:val="18"/>
                <w:lang w:val="en-US"/>
              </w:rPr>
              <w:br/>
              <w:t>EC</w:t>
            </w:r>
            <w:r w:rsidRPr="00D53F39">
              <w:rPr>
                <w:sz w:val="18"/>
                <w:szCs w:val="18"/>
                <w:vertAlign w:val="subscript"/>
                <w:lang w:val="en-US"/>
              </w:rPr>
              <w:t>DC,COP,ave</w:t>
            </w:r>
            <w:r w:rsidRPr="00D53F39">
              <w:rPr>
                <w:sz w:val="18"/>
                <w:szCs w:val="18"/>
                <w:lang w:val="en-US"/>
              </w:rPr>
              <w:t>, Wh/km</w:t>
            </w:r>
          </w:p>
        </w:tc>
        <w:tc>
          <w:tcPr>
            <w:tcW w:w="737" w:type="dxa"/>
            <w:vMerge w:val="restart"/>
            <w:tcBorders>
              <w:top w:val="single" w:sz="4"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7</w:t>
            </w:r>
          </w:p>
        </w:tc>
      </w:tr>
      <w:tr w:rsidR="00E24DB7" w:rsidRPr="002C5876" w:rsidTr="00E24DB7">
        <w:trPr>
          <w:trHeight w:val="20"/>
          <w:jc w:val="center"/>
        </w:trPr>
        <w:tc>
          <w:tcPr>
            <w:tcW w:w="1259" w:type="dxa"/>
            <w:tcBorders>
              <w:top w:val="nil"/>
              <w:bottom w:val="nil"/>
            </w:tcBorders>
          </w:tcPr>
          <w:p w:rsidR="00E24DB7" w:rsidRPr="002C5876" w:rsidRDefault="00E24DB7" w:rsidP="00E24DB7">
            <w:pPr>
              <w:spacing w:before="60" w:after="60" w:line="220" w:lineRule="atLeast"/>
              <w:ind w:left="57" w:right="57"/>
              <w:rPr>
                <w:sz w:val="18"/>
                <w:szCs w:val="18"/>
              </w:rPr>
            </w:pPr>
            <w:r w:rsidRPr="002C5876">
              <w:rPr>
                <w:sz w:val="18"/>
                <w:szCs w:val="18"/>
              </w:rPr>
              <w:t xml:space="preserve">Sortie </w:t>
            </w:r>
            <w:r w:rsidRPr="002C5876">
              <w:rPr>
                <w:sz w:val="18"/>
                <w:szCs w:val="18"/>
              </w:rPr>
              <w:br/>
              <w:t>de l’étape 6</w:t>
            </w:r>
          </w:p>
        </w:tc>
        <w:tc>
          <w:tcPr>
            <w:tcW w:w="2115" w:type="dxa"/>
            <w:tcBorders>
              <w:top w:val="nil"/>
              <w:bottom w:val="nil"/>
            </w:tcBorders>
          </w:tcPr>
          <w:p w:rsidR="00E24DB7" w:rsidRPr="002C5876" w:rsidRDefault="00E24DB7" w:rsidP="00E24DB7">
            <w:pPr>
              <w:spacing w:before="60" w:after="60" w:line="220" w:lineRule="atLeast"/>
              <w:ind w:left="57" w:right="57"/>
              <w:rPr>
                <w:sz w:val="18"/>
                <w:szCs w:val="18"/>
              </w:rPr>
            </w:pPr>
            <w:r w:rsidRPr="002C5876">
              <w:rPr>
                <w:sz w:val="18"/>
                <w:szCs w:val="18"/>
              </w:rPr>
              <w:t>EC</w:t>
            </w:r>
            <w:r w:rsidRPr="002C5876">
              <w:rPr>
                <w:sz w:val="18"/>
                <w:szCs w:val="18"/>
                <w:vertAlign w:val="subscript"/>
              </w:rPr>
              <w:t>WLTC</w:t>
            </w:r>
            <w:r w:rsidRPr="002C5876">
              <w:rPr>
                <w:sz w:val="18"/>
                <w:szCs w:val="18"/>
              </w:rPr>
              <w:t>, Wh/km </w:t>
            </w:r>
            <w:r w:rsidRPr="002C5876">
              <w:rPr>
                <w:sz w:val="18"/>
                <w:szCs w:val="18"/>
              </w:rPr>
              <w:br/>
              <w:t>EC</w:t>
            </w:r>
            <w:r w:rsidRPr="002C5876">
              <w:rPr>
                <w:sz w:val="18"/>
                <w:szCs w:val="18"/>
                <w:vertAlign w:val="subscript"/>
              </w:rPr>
              <w:t>city</w:t>
            </w:r>
            <w:r w:rsidRPr="002C5876">
              <w:rPr>
                <w:sz w:val="18"/>
                <w:szCs w:val="18"/>
              </w:rPr>
              <w:t>, Wh/km </w:t>
            </w:r>
            <w:r w:rsidRPr="002C5876">
              <w:rPr>
                <w:sz w:val="18"/>
                <w:szCs w:val="18"/>
              </w:rPr>
              <w:br/>
              <w:t>EC</w:t>
            </w:r>
            <w:r w:rsidRPr="002C5876">
              <w:rPr>
                <w:sz w:val="18"/>
                <w:szCs w:val="18"/>
                <w:vertAlign w:val="subscript"/>
              </w:rPr>
              <w:t>low</w:t>
            </w:r>
            <w:r w:rsidRPr="002C5876">
              <w:rPr>
                <w:sz w:val="18"/>
                <w:szCs w:val="18"/>
              </w:rPr>
              <w:t>, Wh/km </w:t>
            </w:r>
            <w:r w:rsidRPr="002C5876">
              <w:rPr>
                <w:sz w:val="18"/>
                <w:szCs w:val="18"/>
              </w:rPr>
              <w:br/>
              <w:t>EC</w:t>
            </w:r>
            <w:r w:rsidRPr="002C5876">
              <w:rPr>
                <w:sz w:val="18"/>
                <w:szCs w:val="18"/>
                <w:vertAlign w:val="subscript"/>
              </w:rPr>
              <w:t>med</w:t>
            </w:r>
            <w:r w:rsidRPr="002C5876">
              <w:rPr>
                <w:sz w:val="18"/>
                <w:szCs w:val="18"/>
              </w:rPr>
              <w:t>, Wh/km </w:t>
            </w:r>
            <w:r w:rsidRPr="002C5876">
              <w:rPr>
                <w:sz w:val="18"/>
                <w:szCs w:val="18"/>
              </w:rPr>
              <w:br/>
              <w:t>EC</w:t>
            </w:r>
            <w:r w:rsidRPr="002C5876">
              <w:rPr>
                <w:sz w:val="18"/>
                <w:szCs w:val="18"/>
                <w:vertAlign w:val="subscript"/>
              </w:rPr>
              <w:t>high</w:t>
            </w:r>
            <w:r w:rsidRPr="002C5876">
              <w:rPr>
                <w:sz w:val="18"/>
                <w:szCs w:val="18"/>
              </w:rPr>
              <w:t>, Wh/km </w:t>
            </w:r>
            <w:r w:rsidRPr="002C5876">
              <w:rPr>
                <w:sz w:val="18"/>
                <w:szCs w:val="18"/>
              </w:rPr>
              <w:br/>
              <w:t>EC</w:t>
            </w:r>
            <w:r w:rsidRPr="002C5876">
              <w:rPr>
                <w:sz w:val="18"/>
                <w:szCs w:val="18"/>
                <w:vertAlign w:val="subscript"/>
              </w:rPr>
              <w:t>exHigh</w:t>
            </w:r>
            <w:r w:rsidRPr="002C5876">
              <w:rPr>
                <w:sz w:val="18"/>
                <w:szCs w:val="18"/>
              </w:rPr>
              <w:t>, Wh/km </w:t>
            </w:r>
          </w:p>
        </w:tc>
        <w:tc>
          <w:tcPr>
            <w:tcW w:w="3147" w:type="dxa"/>
            <w:vMerge/>
          </w:tcPr>
          <w:p w:rsidR="00E24DB7" w:rsidRPr="002C5876" w:rsidRDefault="00E24DB7" w:rsidP="00E24DB7">
            <w:pPr>
              <w:spacing w:before="60" w:after="60" w:line="220" w:lineRule="atLeast"/>
              <w:ind w:left="57" w:right="57"/>
              <w:rPr>
                <w:sz w:val="18"/>
                <w:szCs w:val="18"/>
              </w:rPr>
            </w:pPr>
          </w:p>
        </w:tc>
        <w:tc>
          <w:tcPr>
            <w:tcW w:w="2381" w:type="dxa"/>
            <w:vMerge/>
          </w:tcPr>
          <w:p w:rsidR="00E24DB7" w:rsidRPr="002C5876" w:rsidRDefault="00E24DB7" w:rsidP="00E24DB7">
            <w:pPr>
              <w:spacing w:before="60" w:after="60" w:line="220" w:lineRule="atLeast"/>
              <w:ind w:left="57" w:right="57"/>
              <w:rPr>
                <w:sz w:val="18"/>
                <w:szCs w:val="18"/>
              </w:rPr>
            </w:pPr>
          </w:p>
        </w:tc>
        <w:tc>
          <w:tcPr>
            <w:tcW w:w="737" w:type="dxa"/>
            <w:vMerge/>
          </w:tcPr>
          <w:p w:rsidR="00E24DB7" w:rsidRPr="002C5876" w:rsidRDefault="00E24DB7" w:rsidP="00E24DB7">
            <w:pPr>
              <w:spacing w:before="60" w:after="60" w:line="220" w:lineRule="atLeast"/>
              <w:ind w:left="57" w:right="57"/>
              <w:rPr>
                <w:sz w:val="18"/>
                <w:szCs w:val="18"/>
              </w:rPr>
            </w:pPr>
          </w:p>
        </w:tc>
      </w:tr>
      <w:tr w:rsidR="00E24DB7" w:rsidRPr="002C5876" w:rsidTr="00E24DB7">
        <w:trPr>
          <w:trHeight w:val="20"/>
          <w:jc w:val="center"/>
        </w:trPr>
        <w:tc>
          <w:tcPr>
            <w:tcW w:w="1259" w:type="dxa"/>
            <w:tcBorders>
              <w:top w:val="nil"/>
              <w:bottom w:val="single" w:sz="4"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 xml:space="preserve">Sortie </w:t>
            </w:r>
            <w:r w:rsidRPr="002C5876">
              <w:rPr>
                <w:sz w:val="18"/>
                <w:szCs w:val="18"/>
              </w:rPr>
              <w:br/>
              <w:t>de l’étape 4</w:t>
            </w:r>
          </w:p>
        </w:tc>
        <w:tc>
          <w:tcPr>
            <w:tcW w:w="2115" w:type="dxa"/>
            <w:tcBorders>
              <w:top w:val="nil"/>
              <w:bottom w:val="single" w:sz="4"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EC</w:t>
            </w:r>
            <w:r w:rsidRPr="002C5876">
              <w:rPr>
                <w:sz w:val="18"/>
                <w:szCs w:val="18"/>
                <w:vertAlign w:val="subscript"/>
              </w:rPr>
              <w:t>DC,COP,1</w:t>
            </w:r>
            <w:r w:rsidRPr="002C5876">
              <w:rPr>
                <w:sz w:val="18"/>
                <w:szCs w:val="18"/>
              </w:rPr>
              <w:t>, Wh/km</w:t>
            </w:r>
          </w:p>
        </w:tc>
        <w:tc>
          <w:tcPr>
            <w:tcW w:w="3147" w:type="dxa"/>
            <w:vMerge/>
            <w:tcBorders>
              <w:bottom w:val="single" w:sz="4" w:space="0" w:color="auto"/>
            </w:tcBorders>
          </w:tcPr>
          <w:p w:rsidR="00E24DB7" w:rsidRPr="002C5876" w:rsidRDefault="00E24DB7" w:rsidP="00E24DB7">
            <w:pPr>
              <w:spacing w:before="60" w:after="60" w:line="220" w:lineRule="atLeast"/>
              <w:ind w:left="57" w:right="57"/>
              <w:rPr>
                <w:sz w:val="18"/>
                <w:szCs w:val="18"/>
              </w:rPr>
            </w:pPr>
          </w:p>
        </w:tc>
        <w:tc>
          <w:tcPr>
            <w:tcW w:w="2381" w:type="dxa"/>
            <w:vMerge/>
            <w:tcBorders>
              <w:bottom w:val="single" w:sz="4" w:space="0" w:color="auto"/>
            </w:tcBorders>
          </w:tcPr>
          <w:p w:rsidR="00E24DB7" w:rsidRPr="002C5876" w:rsidRDefault="00E24DB7" w:rsidP="00E24DB7">
            <w:pPr>
              <w:spacing w:before="60" w:after="60" w:line="220" w:lineRule="atLeast"/>
              <w:ind w:left="57" w:right="57"/>
              <w:rPr>
                <w:sz w:val="18"/>
                <w:szCs w:val="18"/>
              </w:rPr>
            </w:pPr>
          </w:p>
        </w:tc>
        <w:tc>
          <w:tcPr>
            <w:tcW w:w="737" w:type="dxa"/>
            <w:vMerge/>
            <w:tcBorders>
              <w:bottom w:val="single" w:sz="4" w:space="0" w:color="auto"/>
            </w:tcBorders>
          </w:tcPr>
          <w:p w:rsidR="00E24DB7" w:rsidRPr="002C5876" w:rsidRDefault="00E24DB7" w:rsidP="00E24DB7">
            <w:pPr>
              <w:spacing w:before="60" w:after="60" w:line="220" w:lineRule="atLeast"/>
              <w:ind w:left="57" w:right="57"/>
              <w:rPr>
                <w:sz w:val="18"/>
                <w:szCs w:val="18"/>
              </w:rPr>
            </w:pPr>
          </w:p>
        </w:tc>
      </w:tr>
      <w:tr w:rsidR="00E24DB7" w:rsidRPr="002C5876" w:rsidTr="00E24DB7">
        <w:trPr>
          <w:trHeight w:val="20"/>
          <w:jc w:val="center"/>
        </w:trPr>
        <w:tc>
          <w:tcPr>
            <w:tcW w:w="1259" w:type="dxa"/>
            <w:tcBorders>
              <w:top w:val="single" w:sz="4" w:space="0" w:color="auto"/>
              <w:bottom w:val="single" w:sz="4"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 xml:space="preserve">Sortie </w:t>
            </w:r>
            <w:r w:rsidRPr="002C5876">
              <w:rPr>
                <w:sz w:val="18"/>
                <w:szCs w:val="18"/>
              </w:rPr>
              <w:br/>
              <w:t>de l’étape 7</w:t>
            </w:r>
          </w:p>
        </w:tc>
        <w:tc>
          <w:tcPr>
            <w:tcW w:w="2115" w:type="dxa"/>
            <w:tcBorders>
              <w:top w:val="single" w:sz="4" w:space="0" w:color="auto"/>
              <w:bottom w:val="single" w:sz="4" w:space="0" w:color="auto"/>
            </w:tcBorders>
          </w:tcPr>
          <w:p w:rsidR="00E24DB7" w:rsidRPr="00D53F39" w:rsidRDefault="00E24DB7" w:rsidP="00E24DB7">
            <w:pPr>
              <w:spacing w:before="60" w:after="60" w:line="220" w:lineRule="atLeast"/>
              <w:ind w:left="57" w:right="57"/>
              <w:rPr>
                <w:sz w:val="18"/>
                <w:szCs w:val="18"/>
                <w:lang w:val="en-US"/>
              </w:rPr>
            </w:pPr>
            <w:r w:rsidRPr="00D53F39">
              <w:rPr>
                <w:sz w:val="18"/>
                <w:szCs w:val="18"/>
                <w:lang w:val="en-US"/>
              </w:rPr>
              <w:t>EC</w:t>
            </w:r>
            <w:r w:rsidRPr="00D53F39">
              <w:rPr>
                <w:sz w:val="18"/>
                <w:szCs w:val="18"/>
                <w:vertAlign w:val="subscript"/>
                <w:lang w:val="en-US"/>
              </w:rPr>
              <w:t>WLTC,dec</w:t>
            </w:r>
            <w:r w:rsidRPr="00D53F39">
              <w:rPr>
                <w:sz w:val="18"/>
                <w:szCs w:val="18"/>
                <w:lang w:val="en-US"/>
              </w:rPr>
              <w:t>, Wh/km </w:t>
            </w:r>
            <w:r w:rsidRPr="00D53F39">
              <w:rPr>
                <w:sz w:val="18"/>
                <w:szCs w:val="18"/>
                <w:lang w:val="en-US"/>
              </w:rPr>
              <w:br/>
              <w:t>EC</w:t>
            </w:r>
            <w:r w:rsidRPr="00D53F39">
              <w:rPr>
                <w:sz w:val="18"/>
                <w:szCs w:val="18"/>
                <w:vertAlign w:val="subscript"/>
                <w:lang w:val="en-US"/>
              </w:rPr>
              <w:t>WLTC,ave</w:t>
            </w:r>
            <w:r w:rsidRPr="00D53F39">
              <w:rPr>
                <w:sz w:val="18"/>
                <w:szCs w:val="18"/>
                <w:lang w:val="en-US"/>
              </w:rPr>
              <w:t>, Wh/km </w:t>
            </w:r>
            <w:r w:rsidRPr="00D53F39">
              <w:rPr>
                <w:sz w:val="18"/>
                <w:szCs w:val="18"/>
                <w:lang w:val="en-US"/>
              </w:rPr>
              <w:br/>
              <w:t>EC</w:t>
            </w:r>
            <w:r w:rsidRPr="00D53F39">
              <w:rPr>
                <w:sz w:val="18"/>
                <w:szCs w:val="18"/>
                <w:vertAlign w:val="subscript"/>
                <w:lang w:val="en-US"/>
              </w:rPr>
              <w:t>DC,COP,ave</w:t>
            </w:r>
            <w:r w:rsidRPr="00D53F39">
              <w:rPr>
                <w:sz w:val="18"/>
                <w:szCs w:val="18"/>
                <w:lang w:val="en-US"/>
              </w:rPr>
              <w:t>, Wh/km</w:t>
            </w:r>
          </w:p>
        </w:tc>
        <w:tc>
          <w:tcPr>
            <w:tcW w:w="3147" w:type="dxa"/>
            <w:tcBorders>
              <w:top w:val="single" w:sz="4" w:space="0" w:color="auto"/>
              <w:bottom w:val="single" w:sz="4"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Option régionale :</w:t>
            </w:r>
          </w:p>
          <w:p w:rsidR="00E24DB7" w:rsidRPr="002C5876" w:rsidRDefault="00E24DB7" w:rsidP="00E24DB7">
            <w:pPr>
              <w:spacing w:before="60" w:after="60" w:line="220" w:lineRule="atLeast"/>
              <w:ind w:left="57" w:right="57"/>
              <w:rPr>
                <w:sz w:val="18"/>
                <w:szCs w:val="18"/>
              </w:rPr>
            </w:pPr>
            <w:r w:rsidRPr="002C5876">
              <w:rPr>
                <w:sz w:val="18"/>
                <w:szCs w:val="18"/>
              </w:rPr>
              <w:t>Détermination du facteur d’ajustement et application à EC</w:t>
            </w:r>
            <w:r w:rsidRPr="002C5876">
              <w:rPr>
                <w:sz w:val="18"/>
                <w:szCs w:val="18"/>
                <w:vertAlign w:val="subscript"/>
              </w:rPr>
              <w:t>DC,COP,ave</w:t>
            </w:r>
            <w:r w:rsidRPr="002C5876">
              <w:rPr>
                <w:sz w:val="18"/>
                <w:szCs w:val="18"/>
              </w:rPr>
              <w:t>.</w:t>
            </w:r>
          </w:p>
          <w:p w:rsidR="00E24DB7" w:rsidRPr="002C5876" w:rsidRDefault="00E24DB7" w:rsidP="00E24DB7">
            <w:pPr>
              <w:spacing w:before="60" w:after="60" w:line="220" w:lineRule="atLeast"/>
              <w:ind w:left="57" w:right="57"/>
              <w:rPr>
                <w:sz w:val="18"/>
                <w:szCs w:val="18"/>
              </w:rPr>
            </w:pPr>
            <w:r w:rsidRPr="002C5876">
              <w:rPr>
                <w:sz w:val="18"/>
                <w:szCs w:val="18"/>
              </w:rPr>
              <w:t>Par exemple :</w:t>
            </w:r>
          </w:p>
          <w:p w:rsidR="00E24DB7" w:rsidRPr="002C5876" w:rsidRDefault="00E24DB7" w:rsidP="00E24DB7">
            <w:pPr>
              <w:spacing w:before="60" w:after="60" w:line="220" w:lineRule="atLeast"/>
              <w:ind w:left="57" w:right="57"/>
              <w:rPr>
                <w:rFonts w:eastAsiaTheme="minorEastAsia"/>
              </w:rPr>
            </w:pPr>
            <m:oMathPara>
              <m:oMathParaPr>
                <m:jc m:val="left"/>
              </m:oMathParaPr>
              <m:oMath>
                <m:r>
                  <m:rPr>
                    <m:sty m:val="p"/>
                  </m:rPr>
                  <w:rPr>
                    <w:rFonts w:ascii="Cambria Math" w:hAnsi="Cambria Math" w:cstheme="majorBidi"/>
                  </w:rPr>
                  <m:t>AF=</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WLTC,dec</m:t>
                        </m:r>
                      </m:sub>
                    </m:sSub>
                  </m:num>
                  <m:den>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WLTC,ave</m:t>
                        </m:r>
                      </m:sub>
                    </m:sSub>
                  </m:den>
                </m:f>
              </m:oMath>
            </m:oMathPara>
          </w:p>
          <w:p w:rsidR="00E24DB7" w:rsidRPr="002C5876" w:rsidRDefault="00731CA6" w:rsidP="00E24DB7">
            <w:pPr>
              <w:spacing w:before="60" w:after="60" w:line="220" w:lineRule="atLeast"/>
              <w:ind w:left="57" w:right="57"/>
              <w:rPr>
                <w:sz w:val="18"/>
                <w:szCs w:val="18"/>
              </w:rPr>
            </w:pPr>
            <m:oMathPara>
              <m:oMathParaPr>
                <m:jc m:val="left"/>
              </m:oMathParaPr>
              <m:oMath>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DC,COP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DC,COP,ave</m:t>
                    </m:r>
                  </m:sub>
                </m:sSub>
                <m:r>
                  <m:rPr>
                    <m:sty m:val="p"/>
                  </m:rPr>
                  <w:rPr>
                    <w:rFonts w:ascii="Cambria Math" w:hAnsi="Cambria Math" w:cstheme="majorBidi"/>
                  </w:rPr>
                  <m:t>×AF</m:t>
                </m:r>
              </m:oMath>
            </m:oMathPara>
          </w:p>
          <w:p w:rsidR="00E24DB7" w:rsidRPr="002C5876" w:rsidRDefault="00E24DB7" w:rsidP="00E24DB7">
            <w:pPr>
              <w:spacing w:before="60" w:after="60" w:line="220" w:lineRule="atLeast"/>
              <w:ind w:left="57" w:right="57"/>
              <w:rPr>
                <w:sz w:val="18"/>
                <w:szCs w:val="18"/>
              </w:rPr>
            </w:pPr>
            <w:r w:rsidRPr="002C5876">
              <w:rPr>
                <w:sz w:val="18"/>
                <w:szCs w:val="18"/>
              </w:rPr>
              <w:t>Si la méthode d’interpolation est appliquée, les données de sortie sont disponibles pour les véhicules H et L.</w:t>
            </w:r>
          </w:p>
        </w:tc>
        <w:tc>
          <w:tcPr>
            <w:tcW w:w="2381" w:type="dxa"/>
            <w:tcBorders>
              <w:top w:val="single" w:sz="4" w:space="0" w:color="auto"/>
              <w:bottom w:val="single" w:sz="4"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EC</w:t>
            </w:r>
            <w:r w:rsidRPr="002C5876">
              <w:rPr>
                <w:sz w:val="18"/>
                <w:szCs w:val="18"/>
                <w:vertAlign w:val="subscript"/>
              </w:rPr>
              <w:t>DC,COP</w:t>
            </w:r>
            <w:r w:rsidRPr="002C5876">
              <w:rPr>
                <w:sz w:val="18"/>
                <w:szCs w:val="18"/>
              </w:rPr>
              <w:t>, Wh/km</w:t>
            </w:r>
          </w:p>
        </w:tc>
        <w:tc>
          <w:tcPr>
            <w:tcW w:w="737" w:type="dxa"/>
            <w:tcBorders>
              <w:top w:val="single" w:sz="4" w:space="0" w:color="auto"/>
              <w:bottom w:val="single" w:sz="4"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8</w:t>
            </w:r>
          </w:p>
        </w:tc>
      </w:tr>
      <w:tr w:rsidR="00E24DB7" w:rsidRPr="002C5876" w:rsidTr="00E24DB7">
        <w:trPr>
          <w:trHeight w:val="20"/>
          <w:jc w:val="center"/>
        </w:trPr>
        <w:tc>
          <w:tcPr>
            <w:tcW w:w="1259" w:type="dxa"/>
            <w:tcBorders>
              <w:top w:val="single" w:sz="4" w:space="0" w:color="auto"/>
              <w:bottom w:val="nil"/>
            </w:tcBorders>
          </w:tcPr>
          <w:p w:rsidR="00E24DB7" w:rsidRPr="002C5876" w:rsidRDefault="00E24DB7" w:rsidP="00E24DB7">
            <w:pPr>
              <w:keepNext/>
              <w:spacing w:before="60" w:after="60" w:line="220" w:lineRule="atLeast"/>
              <w:ind w:left="57" w:right="57"/>
              <w:rPr>
                <w:sz w:val="18"/>
                <w:szCs w:val="18"/>
              </w:rPr>
            </w:pPr>
            <w:r w:rsidRPr="002C5876">
              <w:rPr>
                <w:sz w:val="18"/>
                <w:szCs w:val="18"/>
              </w:rPr>
              <w:lastRenderedPageBreak/>
              <w:t xml:space="preserve">Sortie </w:t>
            </w:r>
            <w:r w:rsidRPr="002C5876">
              <w:rPr>
                <w:sz w:val="18"/>
                <w:szCs w:val="18"/>
              </w:rPr>
              <w:br/>
              <w:t>de l’étape 7</w:t>
            </w:r>
          </w:p>
        </w:tc>
        <w:tc>
          <w:tcPr>
            <w:tcW w:w="2115" w:type="dxa"/>
            <w:tcBorders>
              <w:top w:val="single" w:sz="4" w:space="0" w:color="auto"/>
              <w:bottom w:val="nil"/>
            </w:tcBorders>
          </w:tcPr>
          <w:p w:rsidR="00E24DB7" w:rsidRPr="00D53F39" w:rsidRDefault="00E24DB7" w:rsidP="00E24DB7">
            <w:pPr>
              <w:keepNext/>
              <w:spacing w:before="60" w:after="60" w:line="220" w:lineRule="atLeast"/>
              <w:ind w:left="57" w:right="57"/>
              <w:rPr>
                <w:sz w:val="18"/>
                <w:szCs w:val="18"/>
                <w:lang w:val="en-US"/>
              </w:rPr>
            </w:pPr>
            <w:r w:rsidRPr="00D53F39">
              <w:rPr>
                <w:sz w:val="18"/>
                <w:szCs w:val="18"/>
                <w:lang w:val="en-US"/>
              </w:rPr>
              <w:t>PER</w:t>
            </w:r>
            <w:r w:rsidRPr="00D53F39">
              <w:rPr>
                <w:sz w:val="18"/>
                <w:szCs w:val="18"/>
                <w:vertAlign w:val="subscript"/>
                <w:lang w:val="en-US"/>
              </w:rPr>
              <w:t>WLTC,dec</w:t>
            </w:r>
            <w:r w:rsidRPr="00D53F39">
              <w:rPr>
                <w:sz w:val="18"/>
                <w:szCs w:val="18"/>
                <w:lang w:val="en-US"/>
              </w:rPr>
              <w:t>, km </w:t>
            </w:r>
            <w:r w:rsidRPr="00D53F39">
              <w:rPr>
                <w:sz w:val="18"/>
                <w:szCs w:val="18"/>
                <w:lang w:val="en-US"/>
              </w:rPr>
              <w:br/>
              <w:t>PER</w:t>
            </w:r>
            <w:r w:rsidRPr="00D53F39">
              <w:rPr>
                <w:sz w:val="18"/>
                <w:szCs w:val="18"/>
                <w:vertAlign w:val="subscript"/>
                <w:lang w:val="en-US"/>
              </w:rPr>
              <w:t>city,ave</w:t>
            </w:r>
            <w:r w:rsidRPr="00D53F39">
              <w:rPr>
                <w:sz w:val="18"/>
                <w:szCs w:val="18"/>
                <w:lang w:val="en-US"/>
              </w:rPr>
              <w:t>, km </w:t>
            </w:r>
            <w:r w:rsidRPr="00D53F39">
              <w:rPr>
                <w:sz w:val="18"/>
                <w:szCs w:val="18"/>
                <w:lang w:val="en-US"/>
              </w:rPr>
              <w:br/>
              <w:t>PER</w:t>
            </w:r>
            <w:r w:rsidRPr="00D53F39">
              <w:rPr>
                <w:sz w:val="18"/>
                <w:szCs w:val="18"/>
                <w:vertAlign w:val="subscript"/>
                <w:lang w:val="en-US"/>
              </w:rPr>
              <w:t>low,ave</w:t>
            </w:r>
            <w:r w:rsidRPr="00D53F39">
              <w:rPr>
                <w:sz w:val="18"/>
                <w:szCs w:val="18"/>
                <w:lang w:val="en-US"/>
              </w:rPr>
              <w:t>, km </w:t>
            </w:r>
            <w:r w:rsidRPr="00D53F39">
              <w:rPr>
                <w:sz w:val="18"/>
                <w:szCs w:val="18"/>
                <w:lang w:val="en-US"/>
              </w:rPr>
              <w:br/>
              <w:t>PER</w:t>
            </w:r>
            <w:r w:rsidRPr="00D53F39">
              <w:rPr>
                <w:sz w:val="18"/>
                <w:szCs w:val="18"/>
                <w:vertAlign w:val="subscript"/>
                <w:lang w:val="en-US"/>
              </w:rPr>
              <w:t>med,ave</w:t>
            </w:r>
            <w:r w:rsidRPr="00D53F39">
              <w:rPr>
                <w:sz w:val="18"/>
                <w:szCs w:val="18"/>
                <w:lang w:val="en-US"/>
              </w:rPr>
              <w:t>, km </w:t>
            </w:r>
            <w:r w:rsidRPr="00D53F39">
              <w:rPr>
                <w:sz w:val="18"/>
                <w:szCs w:val="18"/>
                <w:lang w:val="en-US"/>
              </w:rPr>
              <w:br/>
              <w:t>PER</w:t>
            </w:r>
            <w:r w:rsidRPr="00D53F39">
              <w:rPr>
                <w:sz w:val="18"/>
                <w:szCs w:val="18"/>
                <w:vertAlign w:val="subscript"/>
                <w:lang w:val="en-US"/>
              </w:rPr>
              <w:t>high,ave</w:t>
            </w:r>
            <w:r w:rsidRPr="00D53F39">
              <w:rPr>
                <w:sz w:val="18"/>
                <w:szCs w:val="18"/>
                <w:lang w:val="en-US"/>
              </w:rPr>
              <w:t>, km </w:t>
            </w:r>
            <w:r w:rsidRPr="00D53F39">
              <w:rPr>
                <w:sz w:val="18"/>
                <w:szCs w:val="18"/>
                <w:lang w:val="en-US"/>
              </w:rPr>
              <w:br/>
              <w:t>PER</w:t>
            </w:r>
            <w:r w:rsidRPr="00D53F39">
              <w:rPr>
                <w:sz w:val="18"/>
                <w:szCs w:val="18"/>
                <w:vertAlign w:val="subscript"/>
                <w:lang w:val="en-US"/>
              </w:rPr>
              <w:t>exHigh,ave</w:t>
            </w:r>
            <w:r w:rsidRPr="00D53F39">
              <w:rPr>
                <w:sz w:val="18"/>
                <w:szCs w:val="18"/>
                <w:lang w:val="en-US"/>
              </w:rPr>
              <w:t>, km </w:t>
            </w:r>
          </w:p>
          <w:p w:rsidR="00E24DB7" w:rsidRPr="00D53F39" w:rsidRDefault="00E24DB7" w:rsidP="00E24DB7">
            <w:pPr>
              <w:keepNext/>
              <w:spacing w:before="60" w:after="60" w:line="220" w:lineRule="atLeast"/>
              <w:ind w:left="57" w:right="57"/>
              <w:rPr>
                <w:sz w:val="18"/>
                <w:szCs w:val="18"/>
                <w:lang w:val="en-US"/>
              </w:rPr>
            </w:pPr>
            <w:r w:rsidRPr="00D53F39">
              <w:rPr>
                <w:sz w:val="18"/>
                <w:szCs w:val="18"/>
                <w:lang w:val="en-US"/>
              </w:rPr>
              <w:t>EC</w:t>
            </w:r>
            <w:r w:rsidRPr="00D53F39">
              <w:rPr>
                <w:sz w:val="18"/>
                <w:szCs w:val="18"/>
                <w:vertAlign w:val="subscript"/>
                <w:lang w:val="en-US"/>
              </w:rPr>
              <w:t>WLTC,dec</w:t>
            </w:r>
            <w:r w:rsidRPr="00D53F39">
              <w:rPr>
                <w:sz w:val="18"/>
                <w:szCs w:val="18"/>
                <w:lang w:val="en-US"/>
              </w:rPr>
              <w:t>, Wh/km </w:t>
            </w:r>
            <w:r w:rsidRPr="00D53F39">
              <w:rPr>
                <w:sz w:val="18"/>
                <w:szCs w:val="18"/>
                <w:lang w:val="en-US"/>
              </w:rPr>
              <w:br/>
              <w:t>EC</w:t>
            </w:r>
            <w:r w:rsidRPr="00D53F39">
              <w:rPr>
                <w:sz w:val="18"/>
                <w:szCs w:val="18"/>
                <w:vertAlign w:val="subscript"/>
                <w:lang w:val="en-US"/>
              </w:rPr>
              <w:t>city,ave</w:t>
            </w:r>
            <w:r w:rsidRPr="00D53F39">
              <w:rPr>
                <w:sz w:val="18"/>
                <w:szCs w:val="18"/>
                <w:lang w:val="en-US"/>
              </w:rPr>
              <w:t>, Wh/km </w:t>
            </w:r>
            <w:r w:rsidRPr="00D53F39">
              <w:rPr>
                <w:sz w:val="18"/>
                <w:szCs w:val="18"/>
                <w:lang w:val="en-US"/>
              </w:rPr>
              <w:br/>
              <w:t>EC</w:t>
            </w:r>
            <w:r w:rsidRPr="00D53F39">
              <w:rPr>
                <w:sz w:val="18"/>
                <w:szCs w:val="18"/>
                <w:vertAlign w:val="subscript"/>
                <w:lang w:val="en-US"/>
              </w:rPr>
              <w:t>low,ave</w:t>
            </w:r>
            <w:r w:rsidRPr="00D53F39">
              <w:rPr>
                <w:sz w:val="18"/>
                <w:szCs w:val="18"/>
                <w:lang w:val="en-US"/>
              </w:rPr>
              <w:t>, Wh/km </w:t>
            </w:r>
            <w:r w:rsidRPr="00D53F39">
              <w:rPr>
                <w:sz w:val="18"/>
                <w:szCs w:val="18"/>
                <w:lang w:val="en-US"/>
              </w:rPr>
              <w:br/>
              <w:t>EC</w:t>
            </w:r>
            <w:r w:rsidRPr="00D53F39">
              <w:rPr>
                <w:sz w:val="18"/>
                <w:szCs w:val="18"/>
                <w:vertAlign w:val="subscript"/>
                <w:lang w:val="en-US"/>
              </w:rPr>
              <w:t>med,ave</w:t>
            </w:r>
            <w:r w:rsidRPr="00D53F39">
              <w:rPr>
                <w:sz w:val="18"/>
                <w:szCs w:val="18"/>
                <w:lang w:val="en-US"/>
              </w:rPr>
              <w:t>, Wh/km </w:t>
            </w:r>
            <w:r w:rsidRPr="00D53F39">
              <w:rPr>
                <w:sz w:val="18"/>
                <w:szCs w:val="18"/>
                <w:lang w:val="en-US"/>
              </w:rPr>
              <w:br/>
              <w:t>EC</w:t>
            </w:r>
            <w:r w:rsidRPr="00D53F39">
              <w:rPr>
                <w:sz w:val="18"/>
                <w:szCs w:val="18"/>
                <w:vertAlign w:val="subscript"/>
                <w:lang w:val="en-US"/>
              </w:rPr>
              <w:t>high,ave</w:t>
            </w:r>
            <w:r w:rsidRPr="00D53F39">
              <w:rPr>
                <w:sz w:val="18"/>
                <w:szCs w:val="18"/>
                <w:lang w:val="en-US"/>
              </w:rPr>
              <w:t>, Wh/km </w:t>
            </w:r>
            <w:r w:rsidRPr="00D53F39">
              <w:rPr>
                <w:sz w:val="18"/>
                <w:szCs w:val="18"/>
                <w:lang w:val="en-US"/>
              </w:rPr>
              <w:br/>
              <w:t>EC</w:t>
            </w:r>
            <w:r w:rsidRPr="00D53F39">
              <w:rPr>
                <w:sz w:val="18"/>
                <w:szCs w:val="18"/>
                <w:vertAlign w:val="subscript"/>
                <w:lang w:val="en-US"/>
              </w:rPr>
              <w:t>exHigh,ave</w:t>
            </w:r>
            <w:r w:rsidRPr="00D53F39">
              <w:rPr>
                <w:sz w:val="18"/>
                <w:szCs w:val="18"/>
                <w:lang w:val="en-US"/>
              </w:rPr>
              <w:t>, Wh/km</w:t>
            </w:r>
          </w:p>
        </w:tc>
        <w:tc>
          <w:tcPr>
            <w:tcW w:w="3147" w:type="dxa"/>
            <w:tcBorders>
              <w:top w:val="single" w:sz="4" w:space="0" w:color="auto"/>
              <w:bottom w:val="nil"/>
            </w:tcBorders>
          </w:tcPr>
          <w:p w:rsidR="00E24DB7" w:rsidRPr="002C5876" w:rsidRDefault="00E24DB7" w:rsidP="00E24DB7">
            <w:pPr>
              <w:keepNext/>
              <w:spacing w:before="60" w:after="60" w:line="220" w:lineRule="atLeast"/>
              <w:ind w:left="57" w:right="57"/>
              <w:rPr>
                <w:sz w:val="18"/>
                <w:szCs w:val="18"/>
              </w:rPr>
            </w:pPr>
            <w:r w:rsidRPr="002C5876">
              <w:rPr>
                <w:sz w:val="18"/>
                <w:szCs w:val="18"/>
              </w:rPr>
              <w:t>Arrondi intermédiaire.</w:t>
            </w:r>
          </w:p>
          <w:p w:rsidR="00E24DB7" w:rsidRPr="002C5876" w:rsidRDefault="00E24DB7" w:rsidP="00E24DB7">
            <w:pPr>
              <w:keepNext/>
              <w:spacing w:before="60" w:after="120" w:line="220" w:lineRule="atLeast"/>
              <w:ind w:left="57" w:right="57"/>
              <w:rPr>
                <w:sz w:val="18"/>
                <w:szCs w:val="18"/>
              </w:rPr>
            </w:pPr>
            <w:r w:rsidRPr="002C5876">
              <w:rPr>
                <w:sz w:val="18"/>
                <w:szCs w:val="18"/>
              </w:rPr>
              <w:t>Option régionale :</w:t>
            </w:r>
            <w:r w:rsidRPr="002C5876">
              <w:rPr>
                <w:sz w:val="18"/>
                <w:szCs w:val="18"/>
              </w:rPr>
              <w:br/>
              <w:t>EC</w:t>
            </w:r>
            <w:r w:rsidRPr="002C5876">
              <w:rPr>
                <w:sz w:val="18"/>
                <w:szCs w:val="18"/>
                <w:vertAlign w:val="subscript"/>
              </w:rPr>
              <w:t>DC,COP,final</w:t>
            </w:r>
            <w:r w:rsidRPr="002C5876">
              <w:rPr>
                <w:sz w:val="18"/>
                <w:szCs w:val="18"/>
              </w:rPr>
              <w:t xml:space="preserve"> </w:t>
            </w:r>
          </w:p>
          <w:p w:rsidR="00E24DB7" w:rsidRPr="002C5876" w:rsidRDefault="00E24DB7" w:rsidP="00E24DB7">
            <w:pPr>
              <w:keepNext/>
              <w:spacing w:before="60" w:after="60" w:line="220" w:lineRule="atLeast"/>
              <w:ind w:left="57" w:right="57"/>
              <w:rPr>
                <w:sz w:val="18"/>
                <w:szCs w:val="18"/>
              </w:rPr>
            </w:pPr>
            <w:r w:rsidRPr="002C5876">
              <w:rPr>
                <w:sz w:val="18"/>
                <w:szCs w:val="18"/>
              </w:rPr>
              <w:t>Si la méthode d’interpolation est appliquée, les données de sortie sont disponibles pour les véhicules H et L.</w:t>
            </w:r>
          </w:p>
        </w:tc>
        <w:tc>
          <w:tcPr>
            <w:tcW w:w="2381" w:type="dxa"/>
            <w:tcBorders>
              <w:top w:val="single" w:sz="4" w:space="0" w:color="auto"/>
              <w:bottom w:val="nil"/>
            </w:tcBorders>
          </w:tcPr>
          <w:p w:rsidR="00E24DB7" w:rsidRPr="00D53F39" w:rsidRDefault="00E24DB7" w:rsidP="00E24DB7">
            <w:pPr>
              <w:keepNext/>
              <w:spacing w:before="60" w:after="60" w:line="220" w:lineRule="atLeast"/>
              <w:ind w:left="57" w:right="57"/>
              <w:rPr>
                <w:sz w:val="18"/>
                <w:szCs w:val="18"/>
                <w:lang w:val="en-US"/>
              </w:rPr>
            </w:pPr>
            <w:r w:rsidRPr="00D53F39">
              <w:rPr>
                <w:sz w:val="18"/>
                <w:szCs w:val="18"/>
                <w:lang w:val="en-US"/>
              </w:rPr>
              <w:t>PER</w:t>
            </w:r>
            <w:r w:rsidRPr="00D53F39">
              <w:rPr>
                <w:sz w:val="18"/>
                <w:szCs w:val="18"/>
                <w:vertAlign w:val="subscript"/>
                <w:lang w:val="en-US"/>
              </w:rPr>
              <w:t>WLTC,final</w:t>
            </w:r>
            <w:r w:rsidRPr="00D53F39">
              <w:rPr>
                <w:sz w:val="18"/>
                <w:szCs w:val="18"/>
                <w:lang w:val="en-US"/>
              </w:rPr>
              <w:t>, km </w:t>
            </w:r>
            <w:r w:rsidRPr="00D53F39">
              <w:rPr>
                <w:sz w:val="18"/>
                <w:szCs w:val="18"/>
                <w:lang w:val="en-US"/>
              </w:rPr>
              <w:br/>
              <w:t>PER</w:t>
            </w:r>
            <w:r w:rsidRPr="00D53F39">
              <w:rPr>
                <w:sz w:val="18"/>
                <w:szCs w:val="18"/>
                <w:vertAlign w:val="subscript"/>
                <w:lang w:val="en-US"/>
              </w:rPr>
              <w:t>city,final</w:t>
            </w:r>
            <w:r w:rsidRPr="00D53F39">
              <w:rPr>
                <w:sz w:val="18"/>
                <w:szCs w:val="18"/>
                <w:lang w:val="en-US"/>
              </w:rPr>
              <w:t>, km </w:t>
            </w:r>
            <w:r w:rsidRPr="00D53F39">
              <w:rPr>
                <w:sz w:val="18"/>
                <w:szCs w:val="18"/>
                <w:lang w:val="en-US"/>
              </w:rPr>
              <w:br/>
              <w:t>PER</w:t>
            </w:r>
            <w:r w:rsidRPr="00D53F39">
              <w:rPr>
                <w:sz w:val="18"/>
                <w:szCs w:val="18"/>
                <w:vertAlign w:val="subscript"/>
                <w:lang w:val="en-US"/>
              </w:rPr>
              <w:t>low,final</w:t>
            </w:r>
            <w:r w:rsidRPr="00D53F39">
              <w:rPr>
                <w:sz w:val="18"/>
                <w:szCs w:val="18"/>
                <w:lang w:val="en-US"/>
              </w:rPr>
              <w:t>, km </w:t>
            </w:r>
            <w:r w:rsidRPr="00D53F39">
              <w:rPr>
                <w:sz w:val="18"/>
                <w:szCs w:val="18"/>
                <w:lang w:val="en-US"/>
              </w:rPr>
              <w:br/>
              <w:t>PER</w:t>
            </w:r>
            <w:r w:rsidRPr="00D53F39">
              <w:rPr>
                <w:sz w:val="18"/>
                <w:szCs w:val="18"/>
                <w:vertAlign w:val="subscript"/>
                <w:lang w:val="en-US"/>
              </w:rPr>
              <w:t>med,final</w:t>
            </w:r>
            <w:r w:rsidRPr="00D53F39">
              <w:rPr>
                <w:sz w:val="18"/>
                <w:szCs w:val="18"/>
                <w:lang w:val="en-US"/>
              </w:rPr>
              <w:t>, km </w:t>
            </w:r>
            <w:r w:rsidRPr="00D53F39">
              <w:rPr>
                <w:sz w:val="18"/>
                <w:szCs w:val="18"/>
                <w:lang w:val="en-US"/>
              </w:rPr>
              <w:br/>
              <w:t>PER</w:t>
            </w:r>
            <w:r w:rsidRPr="00D53F39">
              <w:rPr>
                <w:sz w:val="18"/>
                <w:szCs w:val="18"/>
                <w:vertAlign w:val="subscript"/>
                <w:lang w:val="en-US"/>
              </w:rPr>
              <w:t>high,final</w:t>
            </w:r>
            <w:r w:rsidRPr="00D53F39">
              <w:rPr>
                <w:sz w:val="18"/>
                <w:szCs w:val="18"/>
                <w:lang w:val="en-US"/>
              </w:rPr>
              <w:t>, km </w:t>
            </w:r>
            <w:r w:rsidRPr="00D53F39">
              <w:rPr>
                <w:sz w:val="18"/>
                <w:szCs w:val="18"/>
                <w:lang w:val="en-US"/>
              </w:rPr>
              <w:br/>
              <w:t>PER</w:t>
            </w:r>
            <w:r w:rsidRPr="00D53F39">
              <w:rPr>
                <w:sz w:val="18"/>
                <w:szCs w:val="18"/>
                <w:vertAlign w:val="subscript"/>
                <w:lang w:val="en-US"/>
              </w:rPr>
              <w:t>exHigh,final</w:t>
            </w:r>
            <w:r w:rsidRPr="00D53F39">
              <w:rPr>
                <w:sz w:val="18"/>
                <w:szCs w:val="18"/>
                <w:lang w:val="en-US"/>
              </w:rPr>
              <w:t>, km </w:t>
            </w:r>
          </w:p>
          <w:p w:rsidR="00E24DB7" w:rsidRPr="00D53F39" w:rsidRDefault="00E24DB7" w:rsidP="00E24DB7">
            <w:pPr>
              <w:keepNext/>
              <w:spacing w:before="60" w:after="60" w:line="220" w:lineRule="atLeast"/>
              <w:ind w:left="57" w:right="57"/>
              <w:rPr>
                <w:sz w:val="18"/>
                <w:szCs w:val="18"/>
                <w:lang w:val="en-US"/>
              </w:rPr>
            </w:pPr>
            <w:r w:rsidRPr="00D53F39">
              <w:rPr>
                <w:sz w:val="18"/>
                <w:szCs w:val="18"/>
                <w:lang w:val="en-US"/>
              </w:rPr>
              <w:t>EC</w:t>
            </w:r>
            <w:r w:rsidRPr="00D53F39">
              <w:rPr>
                <w:sz w:val="18"/>
                <w:szCs w:val="18"/>
                <w:vertAlign w:val="subscript"/>
                <w:lang w:val="en-US"/>
              </w:rPr>
              <w:t>WLTC,final</w:t>
            </w:r>
            <w:r w:rsidRPr="00D53F39">
              <w:rPr>
                <w:sz w:val="18"/>
                <w:szCs w:val="18"/>
                <w:lang w:val="en-US"/>
              </w:rPr>
              <w:t>, Wh/km </w:t>
            </w:r>
            <w:r w:rsidRPr="00D53F39">
              <w:rPr>
                <w:sz w:val="18"/>
                <w:szCs w:val="18"/>
                <w:lang w:val="en-US"/>
              </w:rPr>
              <w:br/>
              <w:t>EC</w:t>
            </w:r>
            <w:r w:rsidRPr="00D53F39">
              <w:rPr>
                <w:sz w:val="18"/>
                <w:szCs w:val="18"/>
                <w:vertAlign w:val="subscript"/>
                <w:lang w:val="en-US"/>
              </w:rPr>
              <w:t>city,final</w:t>
            </w:r>
            <w:r w:rsidRPr="00D53F39">
              <w:rPr>
                <w:sz w:val="18"/>
                <w:szCs w:val="18"/>
                <w:lang w:val="en-US"/>
              </w:rPr>
              <w:t>, Wh/km </w:t>
            </w:r>
            <w:r w:rsidRPr="00D53F39">
              <w:rPr>
                <w:sz w:val="18"/>
                <w:szCs w:val="18"/>
                <w:lang w:val="en-US"/>
              </w:rPr>
              <w:br/>
              <w:t>EC</w:t>
            </w:r>
            <w:r w:rsidRPr="00D53F39">
              <w:rPr>
                <w:sz w:val="18"/>
                <w:szCs w:val="18"/>
                <w:vertAlign w:val="subscript"/>
                <w:lang w:val="en-US"/>
              </w:rPr>
              <w:t>low,final</w:t>
            </w:r>
            <w:r w:rsidRPr="00D53F39">
              <w:rPr>
                <w:sz w:val="18"/>
                <w:szCs w:val="18"/>
                <w:lang w:val="en-US"/>
              </w:rPr>
              <w:t>, Wh/km </w:t>
            </w:r>
            <w:r w:rsidRPr="00D53F39">
              <w:rPr>
                <w:sz w:val="18"/>
                <w:szCs w:val="18"/>
                <w:lang w:val="en-US"/>
              </w:rPr>
              <w:br/>
              <w:t>EC</w:t>
            </w:r>
            <w:r w:rsidRPr="00D53F39">
              <w:rPr>
                <w:sz w:val="18"/>
                <w:szCs w:val="18"/>
                <w:vertAlign w:val="subscript"/>
                <w:lang w:val="en-US"/>
              </w:rPr>
              <w:t>med,final</w:t>
            </w:r>
            <w:r w:rsidRPr="00D53F39">
              <w:rPr>
                <w:sz w:val="18"/>
                <w:szCs w:val="18"/>
                <w:lang w:val="en-US"/>
              </w:rPr>
              <w:t>, Wh/km </w:t>
            </w:r>
            <w:r w:rsidRPr="00D53F39">
              <w:rPr>
                <w:sz w:val="18"/>
                <w:szCs w:val="18"/>
                <w:lang w:val="en-US"/>
              </w:rPr>
              <w:br/>
              <w:t>EC</w:t>
            </w:r>
            <w:r w:rsidRPr="00D53F39">
              <w:rPr>
                <w:sz w:val="18"/>
                <w:szCs w:val="18"/>
                <w:vertAlign w:val="subscript"/>
                <w:lang w:val="en-US"/>
              </w:rPr>
              <w:t>high,final</w:t>
            </w:r>
            <w:r w:rsidRPr="00D53F39">
              <w:rPr>
                <w:sz w:val="18"/>
                <w:szCs w:val="18"/>
                <w:lang w:val="en-US"/>
              </w:rPr>
              <w:t>, Wh/km </w:t>
            </w:r>
            <w:r w:rsidRPr="00D53F39">
              <w:rPr>
                <w:sz w:val="18"/>
                <w:szCs w:val="18"/>
                <w:lang w:val="en-US"/>
              </w:rPr>
              <w:br/>
              <w:t>EC</w:t>
            </w:r>
            <w:r w:rsidRPr="00D53F39">
              <w:rPr>
                <w:sz w:val="18"/>
                <w:szCs w:val="18"/>
                <w:vertAlign w:val="subscript"/>
                <w:lang w:val="en-US"/>
              </w:rPr>
              <w:t>exHigh,final</w:t>
            </w:r>
            <w:r w:rsidRPr="00D53F39">
              <w:rPr>
                <w:sz w:val="18"/>
                <w:szCs w:val="18"/>
                <w:lang w:val="en-US"/>
              </w:rPr>
              <w:t>, Wh/km</w:t>
            </w:r>
          </w:p>
        </w:tc>
        <w:tc>
          <w:tcPr>
            <w:tcW w:w="737" w:type="dxa"/>
            <w:vMerge w:val="restart"/>
            <w:tcBorders>
              <w:top w:val="single" w:sz="4" w:space="0" w:color="auto"/>
            </w:tcBorders>
          </w:tcPr>
          <w:p w:rsidR="00E24DB7" w:rsidRPr="002C5876" w:rsidRDefault="00E24DB7" w:rsidP="00E24DB7">
            <w:pPr>
              <w:keepNext/>
              <w:spacing w:before="60" w:after="60" w:line="220" w:lineRule="atLeast"/>
              <w:ind w:left="57" w:right="57"/>
              <w:rPr>
                <w:sz w:val="18"/>
                <w:szCs w:val="18"/>
              </w:rPr>
            </w:pPr>
            <w:r w:rsidRPr="002C5876">
              <w:rPr>
                <w:sz w:val="18"/>
                <w:szCs w:val="18"/>
              </w:rPr>
              <w:t>9</w:t>
            </w:r>
          </w:p>
        </w:tc>
      </w:tr>
      <w:tr w:rsidR="00E24DB7" w:rsidRPr="00D53F39" w:rsidTr="00E24DB7">
        <w:trPr>
          <w:trHeight w:val="20"/>
          <w:jc w:val="center"/>
        </w:trPr>
        <w:tc>
          <w:tcPr>
            <w:tcW w:w="1259" w:type="dxa"/>
            <w:tcBorders>
              <w:top w:val="nil"/>
              <w:bottom w:val="single" w:sz="4"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 xml:space="preserve">Sortie </w:t>
            </w:r>
            <w:r w:rsidRPr="002C5876">
              <w:rPr>
                <w:sz w:val="18"/>
                <w:szCs w:val="18"/>
              </w:rPr>
              <w:br/>
              <w:t>de l’étape 8</w:t>
            </w:r>
          </w:p>
        </w:tc>
        <w:tc>
          <w:tcPr>
            <w:tcW w:w="2115" w:type="dxa"/>
            <w:tcBorders>
              <w:top w:val="nil"/>
              <w:bottom w:val="single" w:sz="4"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EC</w:t>
            </w:r>
            <w:r w:rsidRPr="002C5876">
              <w:rPr>
                <w:sz w:val="18"/>
                <w:szCs w:val="18"/>
                <w:vertAlign w:val="subscript"/>
              </w:rPr>
              <w:t>DC,COP</w:t>
            </w:r>
            <w:r w:rsidRPr="002C5876">
              <w:rPr>
                <w:sz w:val="18"/>
                <w:szCs w:val="18"/>
              </w:rPr>
              <w:t>, Wh/km</w:t>
            </w:r>
          </w:p>
        </w:tc>
        <w:tc>
          <w:tcPr>
            <w:tcW w:w="3147" w:type="dxa"/>
            <w:tcBorders>
              <w:top w:val="nil"/>
              <w:bottom w:val="single" w:sz="4" w:space="0" w:color="auto"/>
            </w:tcBorders>
          </w:tcPr>
          <w:p w:rsidR="00E24DB7" w:rsidRPr="002C5876" w:rsidRDefault="00E24DB7" w:rsidP="00E24DB7">
            <w:pPr>
              <w:spacing w:before="60" w:after="60" w:line="220" w:lineRule="atLeast"/>
              <w:ind w:left="57" w:right="57"/>
              <w:rPr>
                <w:sz w:val="18"/>
                <w:szCs w:val="18"/>
              </w:rPr>
            </w:pPr>
          </w:p>
        </w:tc>
        <w:tc>
          <w:tcPr>
            <w:tcW w:w="2381" w:type="dxa"/>
            <w:tcBorders>
              <w:top w:val="nil"/>
              <w:bottom w:val="single" w:sz="4" w:space="0" w:color="auto"/>
            </w:tcBorders>
          </w:tcPr>
          <w:p w:rsidR="00E24DB7" w:rsidRPr="00D53F39" w:rsidRDefault="00E24DB7" w:rsidP="00E24DB7">
            <w:pPr>
              <w:spacing w:before="60" w:after="60" w:line="220" w:lineRule="atLeast"/>
              <w:ind w:left="57" w:right="57"/>
              <w:rPr>
                <w:sz w:val="18"/>
                <w:szCs w:val="18"/>
                <w:lang w:val="en-US"/>
              </w:rPr>
            </w:pPr>
            <w:r w:rsidRPr="00D53F39">
              <w:rPr>
                <w:sz w:val="18"/>
                <w:szCs w:val="18"/>
                <w:lang w:val="en-US"/>
              </w:rPr>
              <w:t>EC</w:t>
            </w:r>
            <w:r w:rsidRPr="00D53F39">
              <w:rPr>
                <w:sz w:val="18"/>
                <w:szCs w:val="18"/>
                <w:vertAlign w:val="subscript"/>
                <w:lang w:val="en-US"/>
              </w:rPr>
              <w:t>DC,COP,final</w:t>
            </w:r>
            <w:r w:rsidRPr="00D53F39">
              <w:rPr>
                <w:sz w:val="18"/>
                <w:szCs w:val="18"/>
                <w:lang w:val="en-US"/>
              </w:rPr>
              <w:t>, Wh/km</w:t>
            </w:r>
          </w:p>
        </w:tc>
        <w:tc>
          <w:tcPr>
            <w:tcW w:w="737" w:type="dxa"/>
            <w:vMerge/>
            <w:tcBorders>
              <w:bottom w:val="single" w:sz="4" w:space="0" w:color="auto"/>
            </w:tcBorders>
          </w:tcPr>
          <w:p w:rsidR="00E24DB7" w:rsidRPr="00D53F39" w:rsidRDefault="00E24DB7" w:rsidP="00E24DB7">
            <w:pPr>
              <w:spacing w:before="60" w:after="60" w:line="220" w:lineRule="atLeast"/>
              <w:ind w:left="57" w:right="57"/>
              <w:rPr>
                <w:sz w:val="18"/>
                <w:szCs w:val="18"/>
                <w:lang w:val="en-US"/>
              </w:rPr>
            </w:pPr>
          </w:p>
        </w:tc>
      </w:tr>
      <w:tr w:rsidR="00E24DB7" w:rsidRPr="002C5876" w:rsidTr="00E24DB7">
        <w:trPr>
          <w:trHeight w:val="20"/>
          <w:jc w:val="center"/>
        </w:trPr>
        <w:tc>
          <w:tcPr>
            <w:tcW w:w="1259" w:type="dxa"/>
            <w:tcBorders>
              <w:top w:val="single" w:sz="4" w:space="0" w:color="auto"/>
              <w:bottom w:val="single" w:sz="12"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 xml:space="preserve">Sortie </w:t>
            </w:r>
            <w:r w:rsidRPr="002C5876">
              <w:rPr>
                <w:sz w:val="18"/>
                <w:szCs w:val="18"/>
              </w:rPr>
              <w:br/>
              <w:t>de l’étape 9</w:t>
            </w:r>
          </w:p>
        </w:tc>
        <w:tc>
          <w:tcPr>
            <w:tcW w:w="2115" w:type="dxa"/>
            <w:tcBorders>
              <w:top w:val="single" w:sz="4" w:space="0" w:color="auto"/>
              <w:bottom w:val="single" w:sz="12" w:space="0" w:color="auto"/>
            </w:tcBorders>
          </w:tcPr>
          <w:p w:rsidR="00E24DB7" w:rsidRPr="00D53F39" w:rsidRDefault="00E24DB7" w:rsidP="00E24DB7">
            <w:pPr>
              <w:spacing w:before="60" w:after="120" w:line="220" w:lineRule="atLeast"/>
              <w:ind w:left="57" w:right="57"/>
              <w:rPr>
                <w:sz w:val="18"/>
                <w:szCs w:val="18"/>
                <w:lang w:val="en-US"/>
              </w:rPr>
            </w:pPr>
            <w:r w:rsidRPr="00D53F39">
              <w:rPr>
                <w:sz w:val="18"/>
                <w:szCs w:val="18"/>
                <w:lang w:val="en-US"/>
              </w:rPr>
              <w:t>PER</w:t>
            </w:r>
            <w:r w:rsidRPr="00D53F39">
              <w:rPr>
                <w:sz w:val="18"/>
                <w:szCs w:val="18"/>
                <w:vertAlign w:val="subscript"/>
                <w:lang w:val="en-US"/>
              </w:rPr>
              <w:t>WLTC,final</w:t>
            </w:r>
            <w:r w:rsidRPr="00D53F39">
              <w:rPr>
                <w:sz w:val="18"/>
                <w:szCs w:val="18"/>
                <w:lang w:val="en-US"/>
              </w:rPr>
              <w:t>, km </w:t>
            </w:r>
            <w:r w:rsidRPr="00D53F39">
              <w:rPr>
                <w:sz w:val="18"/>
                <w:szCs w:val="18"/>
                <w:lang w:val="en-US"/>
              </w:rPr>
              <w:br/>
              <w:t>PER</w:t>
            </w:r>
            <w:r w:rsidRPr="00D53F39">
              <w:rPr>
                <w:sz w:val="18"/>
                <w:szCs w:val="18"/>
                <w:vertAlign w:val="subscript"/>
                <w:lang w:val="en-US"/>
              </w:rPr>
              <w:t>city,final</w:t>
            </w:r>
            <w:r w:rsidRPr="00D53F39">
              <w:rPr>
                <w:sz w:val="18"/>
                <w:szCs w:val="18"/>
                <w:lang w:val="en-US"/>
              </w:rPr>
              <w:t>, km </w:t>
            </w:r>
            <w:r w:rsidRPr="00D53F39">
              <w:rPr>
                <w:sz w:val="18"/>
                <w:szCs w:val="18"/>
                <w:lang w:val="en-US"/>
              </w:rPr>
              <w:br/>
              <w:t>PER</w:t>
            </w:r>
            <w:r w:rsidRPr="00D53F39">
              <w:rPr>
                <w:sz w:val="18"/>
                <w:szCs w:val="18"/>
                <w:vertAlign w:val="subscript"/>
                <w:lang w:val="en-US"/>
              </w:rPr>
              <w:t>low,final</w:t>
            </w:r>
            <w:r w:rsidRPr="00D53F39">
              <w:rPr>
                <w:sz w:val="18"/>
                <w:szCs w:val="18"/>
                <w:lang w:val="en-US"/>
              </w:rPr>
              <w:t>, km </w:t>
            </w:r>
            <w:r w:rsidRPr="00D53F39">
              <w:rPr>
                <w:sz w:val="18"/>
                <w:szCs w:val="18"/>
                <w:lang w:val="en-US"/>
              </w:rPr>
              <w:br/>
              <w:t>PER</w:t>
            </w:r>
            <w:r w:rsidRPr="00D53F39">
              <w:rPr>
                <w:sz w:val="18"/>
                <w:szCs w:val="18"/>
                <w:vertAlign w:val="subscript"/>
                <w:lang w:val="en-US"/>
              </w:rPr>
              <w:t>med,final</w:t>
            </w:r>
            <w:r w:rsidRPr="00D53F39">
              <w:rPr>
                <w:sz w:val="18"/>
                <w:szCs w:val="18"/>
                <w:lang w:val="en-US"/>
              </w:rPr>
              <w:t>, km </w:t>
            </w:r>
            <w:r w:rsidRPr="00D53F39">
              <w:rPr>
                <w:sz w:val="18"/>
                <w:szCs w:val="18"/>
                <w:lang w:val="en-US"/>
              </w:rPr>
              <w:br/>
              <w:t>PER</w:t>
            </w:r>
            <w:r w:rsidRPr="00D53F39">
              <w:rPr>
                <w:sz w:val="18"/>
                <w:szCs w:val="18"/>
                <w:vertAlign w:val="subscript"/>
                <w:lang w:val="en-US"/>
              </w:rPr>
              <w:t>high,final</w:t>
            </w:r>
            <w:r w:rsidRPr="00D53F39">
              <w:rPr>
                <w:sz w:val="18"/>
                <w:szCs w:val="18"/>
                <w:lang w:val="en-US"/>
              </w:rPr>
              <w:t>, km </w:t>
            </w:r>
            <w:r w:rsidRPr="00D53F39">
              <w:rPr>
                <w:sz w:val="18"/>
                <w:szCs w:val="18"/>
                <w:lang w:val="en-US"/>
              </w:rPr>
              <w:br/>
              <w:t>PER</w:t>
            </w:r>
            <w:r w:rsidRPr="00D53F39">
              <w:rPr>
                <w:sz w:val="18"/>
                <w:szCs w:val="18"/>
                <w:vertAlign w:val="subscript"/>
                <w:lang w:val="en-US"/>
              </w:rPr>
              <w:t>exHigh,final</w:t>
            </w:r>
            <w:r w:rsidRPr="00D53F39">
              <w:rPr>
                <w:sz w:val="18"/>
                <w:szCs w:val="18"/>
                <w:lang w:val="en-US"/>
              </w:rPr>
              <w:t>, km </w:t>
            </w:r>
          </w:p>
          <w:p w:rsidR="00E24DB7" w:rsidRPr="00D53F39" w:rsidRDefault="00E24DB7" w:rsidP="00E24DB7">
            <w:pPr>
              <w:spacing w:before="60" w:after="180" w:line="220" w:lineRule="atLeast"/>
              <w:ind w:left="57" w:right="57"/>
              <w:rPr>
                <w:sz w:val="18"/>
                <w:szCs w:val="18"/>
                <w:lang w:val="en-US"/>
              </w:rPr>
            </w:pPr>
            <w:r w:rsidRPr="00D53F39">
              <w:rPr>
                <w:sz w:val="18"/>
                <w:szCs w:val="18"/>
                <w:lang w:val="en-US"/>
              </w:rPr>
              <w:t>EC</w:t>
            </w:r>
            <w:r w:rsidRPr="00D53F39">
              <w:rPr>
                <w:sz w:val="18"/>
                <w:szCs w:val="18"/>
                <w:vertAlign w:val="subscript"/>
                <w:lang w:val="en-US"/>
              </w:rPr>
              <w:t>WLTC,final</w:t>
            </w:r>
            <w:r w:rsidRPr="00D53F39">
              <w:rPr>
                <w:sz w:val="18"/>
                <w:szCs w:val="18"/>
                <w:lang w:val="en-US"/>
              </w:rPr>
              <w:t>, Wh/km </w:t>
            </w:r>
            <w:r w:rsidRPr="00D53F39">
              <w:rPr>
                <w:sz w:val="18"/>
                <w:szCs w:val="18"/>
                <w:lang w:val="en-US"/>
              </w:rPr>
              <w:br/>
              <w:t>EC</w:t>
            </w:r>
            <w:r w:rsidRPr="00D53F39">
              <w:rPr>
                <w:sz w:val="18"/>
                <w:szCs w:val="18"/>
                <w:vertAlign w:val="subscript"/>
                <w:lang w:val="en-US"/>
              </w:rPr>
              <w:t>city,final</w:t>
            </w:r>
            <w:r w:rsidRPr="00D53F39">
              <w:rPr>
                <w:sz w:val="18"/>
                <w:szCs w:val="18"/>
                <w:lang w:val="en-US"/>
              </w:rPr>
              <w:t>, Wh/km </w:t>
            </w:r>
            <w:r w:rsidRPr="00D53F39">
              <w:rPr>
                <w:sz w:val="18"/>
                <w:szCs w:val="18"/>
                <w:lang w:val="en-US"/>
              </w:rPr>
              <w:br/>
              <w:t>EC</w:t>
            </w:r>
            <w:r w:rsidRPr="00D53F39">
              <w:rPr>
                <w:sz w:val="18"/>
                <w:szCs w:val="18"/>
                <w:vertAlign w:val="subscript"/>
                <w:lang w:val="en-US"/>
              </w:rPr>
              <w:t>low,final</w:t>
            </w:r>
            <w:r w:rsidRPr="00D53F39">
              <w:rPr>
                <w:sz w:val="18"/>
                <w:szCs w:val="18"/>
                <w:lang w:val="en-US"/>
              </w:rPr>
              <w:t>, Wh/km </w:t>
            </w:r>
            <w:r w:rsidRPr="00D53F39">
              <w:rPr>
                <w:sz w:val="18"/>
                <w:szCs w:val="18"/>
                <w:lang w:val="en-US"/>
              </w:rPr>
              <w:br/>
              <w:t>EC</w:t>
            </w:r>
            <w:r w:rsidRPr="00D53F39">
              <w:rPr>
                <w:sz w:val="18"/>
                <w:szCs w:val="18"/>
                <w:vertAlign w:val="subscript"/>
                <w:lang w:val="en-US"/>
              </w:rPr>
              <w:t>med,final</w:t>
            </w:r>
            <w:r w:rsidRPr="00D53F39">
              <w:rPr>
                <w:sz w:val="18"/>
                <w:szCs w:val="18"/>
                <w:lang w:val="en-US"/>
              </w:rPr>
              <w:t>, Wh/km </w:t>
            </w:r>
            <w:r w:rsidRPr="00D53F39">
              <w:rPr>
                <w:sz w:val="18"/>
                <w:szCs w:val="18"/>
                <w:lang w:val="en-US"/>
              </w:rPr>
              <w:br/>
              <w:t>EC</w:t>
            </w:r>
            <w:r w:rsidRPr="00D53F39">
              <w:rPr>
                <w:sz w:val="18"/>
                <w:szCs w:val="18"/>
                <w:vertAlign w:val="subscript"/>
                <w:lang w:val="en-US"/>
              </w:rPr>
              <w:t>high,final</w:t>
            </w:r>
            <w:r w:rsidRPr="00D53F39">
              <w:rPr>
                <w:sz w:val="18"/>
                <w:szCs w:val="18"/>
                <w:lang w:val="en-US"/>
              </w:rPr>
              <w:t>, Wh/km </w:t>
            </w:r>
            <w:r w:rsidRPr="00D53F39">
              <w:rPr>
                <w:sz w:val="18"/>
                <w:szCs w:val="18"/>
                <w:lang w:val="en-US"/>
              </w:rPr>
              <w:br/>
              <w:t>EC</w:t>
            </w:r>
            <w:r w:rsidRPr="00D53F39">
              <w:rPr>
                <w:sz w:val="18"/>
                <w:szCs w:val="18"/>
                <w:vertAlign w:val="subscript"/>
                <w:lang w:val="en-US"/>
              </w:rPr>
              <w:t>exHigh,final</w:t>
            </w:r>
            <w:r w:rsidRPr="00D53F39">
              <w:rPr>
                <w:sz w:val="18"/>
                <w:szCs w:val="18"/>
                <w:lang w:val="en-US"/>
              </w:rPr>
              <w:t>, Wh/km </w:t>
            </w:r>
          </w:p>
          <w:p w:rsidR="00E24DB7" w:rsidRPr="00D53F39" w:rsidRDefault="00E24DB7" w:rsidP="00E24DB7">
            <w:pPr>
              <w:spacing w:before="60" w:after="60" w:line="220" w:lineRule="atLeast"/>
              <w:ind w:left="57" w:right="57"/>
              <w:rPr>
                <w:sz w:val="18"/>
                <w:szCs w:val="18"/>
                <w:lang w:val="en-US"/>
              </w:rPr>
            </w:pPr>
            <w:r w:rsidRPr="00D53F39">
              <w:rPr>
                <w:sz w:val="18"/>
                <w:szCs w:val="18"/>
                <w:lang w:val="en-US"/>
              </w:rPr>
              <w:t>EC</w:t>
            </w:r>
            <w:r w:rsidRPr="00D53F39">
              <w:rPr>
                <w:sz w:val="18"/>
                <w:szCs w:val="18"/>
                <w:vertAlign w:val="subscript"/>
                <w:lang w:val="en-US"/>
              </w:rPr>
              <w:t>DC,COP,final</w:t>
            </w:r>
            <w:r w:rsidRPr="00D53F39">
              <w:rPr>
                <w:sz w:val="18"/>
                <w:szCs w:val="18"/>
                <w:lang w:val="en-US"/>
              </w:rPr>
              <w:t>, Wh/km</w:t>
            </w:r>
          </w:p>
        </w:tc>
        <w:tc>
          <w:tcPr>
            <w:tcW w:w="3147" w:type="dxa"/>
            <w:tcBorders>
              <w:top w:val="single" w:sz="4" w:space="0" w:color="auto"/>
              <w:bottom w:val="single" w:sz="12"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Interpolation conformément au paragraphe 4.5 de la présente annexe,et arrondi final.</w:t>
            </w:r>
          </w:p>
          <w:p w:rsidR="00E24DB7" w:rsidRPr="002C5876" w:rsidRDefault="00E24DB7" w:rsidP="00E24DB7">
            <w:pPr>
              <w:spacing w:before="60" w:after="120" w:line="220" w:lineRule="atLeast"/>
              <w:ind w:left="57" w:right="57"/>
              <w:rPr>
                <w:sz w:val="18"/>
                <w:szCs w:val="18"/>
                <w:vertAlign w:val="subscript"/>
              </w:rPr>
            </w:pPr>
            <w:r w:rsidRPr="002C5876">
              <w:rPr>
                <w:sz w:val="18"/>
                <w:szCs w:val="18"/>
              </w:rPr>
              <w:t>Option régionale :</w:t>
            </w:r>
            <w:r w:rsidRPr="002C5876">
              <w:rPr>
                <w:sz w:val="18"/>
                <w:szCs w:val="18"/>
              </w:rPr>
              <w:br/>
              <w:t>EC</w:t>
            </w:r>
            <w:r w:rsidRPr="002C5876">
              <w:rPr>
                <w:sz w:val="18"/>
                <w:szCs w:val="18"/>
                <w:vertAlign w:val="subscript"/>
              </w:rPr>
              <w:t>DC,COP,ind</w:t>
            </w:r>
          </w:p>
          <w:p w:rsidR="00E24DB7" w:rsidRPr="002C5876" w:rsidRDefault="00E24DB7" w:rsidP="00E24DB7">
            <w:pPr>
              <w:spacing w:before="60" w:after="60" w:line="220" w:lineRule="atLeast"/>
              <w:ind w:left="57" w:right="57"/>
              <w:rPr>
                <w:sz w:val="18"/>
                <w:szCs w:val="18"/>
              </w:rPr>
            </w:pPr>
            <w:r w:rsidRPr="002C5876">
              <w:rPr>
                <w:sz w:val="18"/>
                <w:szCs w:val="18"/>
              </w:rPr>
              <w:t>Si la méthode d’interpolation est appliquée, les données de sortie sont disponibles pour chaque véhicule donné.</w:t>
            </w:r>
          </w:p>
        </w:tc>
        <w:tc>
          <w:tcPr>
            <w:tcW w:w="2381" w:type="dxa"/>
            <w:tcBorders>
              <w:top w:val="single" w:sz="4" w:space="0" w:color="auto"/>
              <w:bottom w:val="single" w:sz="12" w:space="0" w:color="auto"/>
            </w:tcBorders>
          </w:tcPr>
          <w:p w:rsidR="00E24DB7" w:rsidRPr="00D53F39" w:rsidRDefault="00E24DB7" w:rsidP="00E24DB7">
            <w:pPr>
              <w:spacing w:before="60" w:after="120" w:line="220" w:lineRule="atLeast"/>
              <w:ind w:left="57" w:right="57"/>
              <w:rPr>
                <w:sz w:val="18"/>
                <w:szCs w:val="18"/>
                <w:lang w:val="en-US"/>
              </w:rPr>
            </w:pPr>
            <w:r w:rsidRPr="00D53F39">
              <w:rPr>
                <w:sz w:val="18"/>
                <w:szCs w:val="18"/>
                <w:lang w:val="en-US"/>
              </w:rPr>
              <w:t>PER</w:t>
            </w:r>
            <w:r w:rsidRPr="00D53F39">
              <w:rPr>
                <w:sz w:val="18"/>
                <w:szCs w:val="18"/>
                <w:vertAlign w:val="subscript"/>
                <w:lang w:val="en-US"/>
              </w:rPr>
              <w:t>WLTC,ind</w:t>
            </w:r>
            <w:r w:rsidRPr="00D53F39">
              <w:rPr>
                <w:sz w:val="18"/>
                <w:szCs w:val="18"/>
                <w:lang w:val="en-US"/>
              </w:rPr>
              <w:t>, km </w:t>
            </w:r>
            <w:r w:rsidRPr="00D53F39">
              <w:rPr>
                <w:sz w:val="18"/>
                <w:szCs w:val="18"/>
                <w:lang w:val="en-US"/>
              </w:rPr>
              <w:br/>
              <w:t>PER</w:t>
            </w:r>
            <w:r w:rsidRPr="00D53F39">
              <w:rPr>
                <w:sz w:val="18"/>
                <w:szCs w:val="18"/>
                <w:vertAlign w:val="subscript"/>
                <w:lang w:val="en-US"/>
              </w:rPr>
              <w:t>city,ind</w:t>
            </w:r>
            <w:r w:rsidRPr="00D53F39">
              <w:rPr>
                <w:sz w:val="18"/>
                <w:szCs w:val="18"/>
                <w:lang w:val="en-US"/>
              </w:rPr>
              <w:t>, km </w:t>
            </w:r>
            <w:r w:rsidRPr="00D53F39">
              <w:rPr>
                <w:sz w:val="18"/>
                <w:szCs w:val="18"/>
                <w:lang w:val="en-US"/>
              </w:rPr>
              <w:br/>
              <w:t>PER</w:t>
            </w:r>
            <w:r w:rsidRPr="00D53F39">
              <w:rPr>
                <w:sz w:val="18"/>
                <w:szCs w:val="18"/>
                <w:vertAlign w:val="subscript"/>
                <w:lang w:val="en-US"/>
              </w:rPr>
              <w:t>low,ind</w:t>
            </w:r>
            <w:r w:rsidRPr="00D53F39">
              <w:rPr>
                <w:sz w:val="18"/>
                <w:szCs w:val="18"/>
                <w:lang w:val="en-US"/>
              </w:rPr>
              <w:t>, km </w:t>
            </w:r>
            <w:r w:rsidRPr="00D53F39">
              <w:rPr>
                <w:sz w:val="18"/>
                <w:szCs w:val="18"/>
                <w:lang w:val="en-US"/>
              </w:rPr>
              <w:br/>
              <w:t>PER</w:t>
            </w:r>
            <w:r w:rsidRPr="00D53F39">
              <w:rPr>
                <w:sz w:val="18"/>
                <w:szCs w:val="18"/>
                <w:vertAlign w:val="subscript"/>
                <w:lang w:val="en-US"/>
              </w:rPr>
              <w:t>med,ind</w:t>
            </w:r>
            <w:r w:rsidRPr="00D53F39">
              <w:rPr>
                <w:sz w:val="18"/>
                <w:szCs w:val="18"/>
                <w:lang w:val="en-US"/>
              </w:rPr>
              <w:t>, km </w:t>
            </w:r>
            <w:r w:rsidRPr="00D53F39">
              <w:rPr>
                <w:sz w:val="18"/>
                <w:szCs w:val="18"/>
                <w:lang w:val="en-US"/>
              </w:rPr>
              <w:br/>
              <w:t>PER</w:t>
            </w:r>
            <w:r w:rsidRPr="00D53F39">
              <w:rPr>
                <w:sz w:val="18"/>
                <w:szCs w:val="18"/>
                <w:vertAlign w:val="subscript"/>
                <w:lang w:val="en-US"/>
              </w:rPr>
              <w:t>high,ind</w:t>
            </w:r>
            <w:r w:rsidRPr="00D53F39">
              <w:rPr>
                <w:sz w:val="18"/>
                <w:szCs w:val="18"/>
                <w:lang w:val="en-US"/>
              </w:rPr>
              <w:t>, km </w:t>
            </w:r>
            <w:r w:rsidRPr="00D53F39">
              <w:rPr>
                <w:sz w:val="18"/>
                <w:szCs w:val="18"/>
                <w:lang w:val="en-US"/>
              </w:rPr>
              <w:br/>
              <w:t>PER</w:t>
            </w:r>
            <w:r w:rsidRPr="00D53F39">
              <w:rPr>
                <w:sz w:val="18"/>
                <w:szCs w:val="18"/>
                <w:vertAlign w:val="subscript"/>
                <w:lang w:val="en-US"/>
              </w:rPr>
              <w:t>exHigh,ind</w:t>
            </w:r>
            <w:r w:rsidRPr="00D53F39">
              <w:rPr>
                <w:sz w:val="18"/>
                <w:szCs w:val="18"/>
                <w:lang w:val="en-US"/>
              </w:rPr>
              <w:t>, km </w:t>
            </w:r>
          </w:p>
          <w:p w:rsidR="00E24DB7" w:rsidRPr="00D53F39" w:rsidRDefault="00E24DB7" w:rsidP="00E24DB7">
            <w:pPr>
              <w:spacing w:before="60" w:after="180" w:line="220" w:lineRule="atLeast"/>
              <w:ind w:left="57" w:right="57"/>
              <w:rPr>
                <w:sz w:val="18"/>
                <w:szCs w:val="18"/>
                <w:lang w:val="en-US"/>
              </w:rPr>
            </w:pPr>
            <w:r w:rsidRPr="00D53F39">
              <w:rPr>
                <w:sz w:val="18"/>
                <w:szCs w:val="18"/>
                <w:lang w:val="en-US"/>
              </w:rPr>
              <w:t>EC</w:t>
            </w:r>
            <w:r w:rsidRPr="00D53F39">
              <w:rPr>
                <w:sz w:val="18"/>
                <w:szCs w:val="18"/>
                <w:vertAlign w:val="subscript"/>
                <w:lang w:val="en-US"/>
              </w:rPr>
              <w:t>WLTC,ind</w:t>
            </w:r>
            <w:r w:rsidRPr="00D53F39">
              <w:rPr>
                <w:sz w:val="18"/>
                <w:szCs w:val="18"/>
                <w:lang w:val="en-US"/>
              </w:rPr>
              <w:t>, Wh/km </w:t>
            </w:r>
            <w:r w:rsidRPr="00D53F39">
              <w:rPr>
                <w:sz w:val="18"/>
                <w:szCs w:val="18"/>
                <w:lang w:val="en-US"/>
              </w:rPr>
              <w:br/>
              <w:t>EC</w:t>
            </w:r>
            <w:r w:rsidRPr="00D53F39">
              <w:rPr>
                <w:sz w:val="18"/>
                <w:szCs w:val="18"/>
                <w:vertAlign w:val="subscript"/>
                <w:lang w:val="en-US"/>
              </w:rPr>
              <w:t>city,ind</w:t>
            </w:r>
            <w:r w:rsidRPr="00D53F39">
              <w:rPr>
                <w:sz w:val="18"/>
                <w:szCs w:val="18"/>
                <w:lang w:val="en-US"/>
              </w:rPr>
              <w:t>, Wh/km </w:t>
            </w:r>
            <w:r w:rsidRPr="00D53F39">
              <w:rPr>
                <w:sz w:val="18"/>
                <w:szCs w:val="18"/>
                <w:lang w:val="en-US"/>
              </w:rPr>
              <w:br/>
              <w:t>EC</w:t>
            </w:r>
            <w:r w:rsidRPr="00D53F39">
              <w:rPr>
                <w:sz w:val="18"/>
                <w:szCs w:val="18"/>
                <w:vertAlign w:val="subscript"/>
                <w:lang w:val="en-US"/>
              </w:rPr>
              <w:t>low,ind</w:t>
            </w:r>
            <w:r w:rsidRPr="00D53F39">
              <w:rPr>
                <w:sz w:val="18"/>
                <w:szCs w:val="18"/>
                <w:lang w:val="en-US"/>
              </w:rPr>
              <w:t>, Wh/km </w:t>
            </w:r>
            <w:r w:rsidRPr="00D53F39">
              <w:rPr>
                <w:sz w:val="18"/>
                <w:szCs w:val="18"/>
                <w:lang w:val="en-US"/>
              </w:rPr>
              <w:br/>
              <w:t>EC</w:t>
            </w:r>
            <w:r w:rsidRPr="00D53F39">
              <w:rPr>
                <w:sz w:val="18"/>
                <w:szCs w:val="18"/>
                <w:vertAlign w:val="subscript"/>
                <w:lang w:val="en-US"/>
              </w:rPr>
              <w:t>med,ind</w:t>
            </w:r>
            <w:r w:rsidRPr="00D53F39">
              <w:rPr>
                <w:sz w:val="18"/>
                <w:szCs w:val="18"/>
                <w:lang w:val="en-US"/>
              </w:rPr>
              <w:t>, Wh/km </w:t>
            </w:r>
            <w:r w:rsidRPr="00D53F39">
              <w:rPr>
                <w:sz w:val="18"/>
                <w:szCs w:val="18"/>
                <w:lang w:val="en-US"/>
              </w:rPr>
              <w:br/>
              <w:t>EC</w:t>
            </w:r>
            <w:r w:rsidRPr="00D53F39">
              <w:rPr>
                <w:sz w:val="18"/>
                <w:szCs w:val="18"/>
                <w:vertAlign w:val="subscript"/>
                <w:lang w:val="en-US"/>
              </w:rPr>
              <w:t>high,ind</w:t>
            </w:r>
            <w:r w:rsidRPr="00D53F39">
              <w:rPr>
                <w:sz w:val="18"/>
                <w:szCs w:val="18"/>
                <w:lang w:val="en-US"/>
              </w:rPr>
              <w:t>, Wh/km </w:t>
            </w:r>
            <w:r w:rsidRPr="00D53F39">
              <w:rPr>
                <w:sz w:val="18"/>
                <w:szCs w:val="18"/>
                <w:lang w:val="en-US"/>
              </w:rPr>
              <w:br/>
              <w:t>EC</w:t>
            </w:r>
            <w:r w:rsidRPr="00D53F39">
              <w:rPr>
                <w:sz w:val="18"/>
                <w:szCs w:val="18"/>
                <w:vertAlign w:val="subscript"/>
                <w:lang w:val="en-US"/>
              </w:rPr>
              <w:t>exHigh,ind</w:t>
            </w:r>
            <w:r w:rsidRPr="00D53F39">
              <w:rPr>
                <w:sz w:val="18"/>
                <w:szCs w:val="18"/>
                <w:lang w:val="en-US"/>
              </w:rPr>
              <w:t>, Wh/km </w:t>
            </w:r>
          </w:p>
          <w:p w:rsidR="00E24DB7" w:rsidRPr="00D53F39" w:rsidRDefault="00E24DB7" w:rsidP="00E24DB7">
            <w:pPr>
              <w:spacing w:before="60" w:after="60" w:line="220" w:lineRule="atLeast"/>
              <w:ind w:left="57" w:right="57"/>
              <w:rPr>
                <w:sz w:val="18"/>
                <w:szCs w:val="18"/>
                <w:lang w:val="en-US"/>
              </w:rPr>
            </w:pPr>
            <w:r w:rsidRPr="00D53F39">
              <w:rPr>
                <w:sz w:val="18"/>
                <w:szCs w:val="18"/>
                <w:lang w:val="en-US"/>
              </w:rPr>
              <w:t>EC</w:t>
            </w:r>
            <w:r w:rsidRPr="00D53F39">
              <w:rPr>
                <w:sz w:val="18"/>
                <w:szCs w:val="18"/>
                <w:vertAlign w:val="subscript"/>
                <w:lang w:val="en-US"/>
              </w:rPr>
              <w:t>DC,COP,ind</w:t>
            </w:r>
            <w:r w:rsidRPr="00D53F39">
              <w:rPr>
                <w:sz w:val="18"/>
                <w:szCs w:val="18"/>
                <w:lang w:val="en-US"/>
              </w:rPr>
              <w:t>, Wh/km</w:t>
            </w:r>
          </w:p>
        </w:tc>
        <w:tc>
          <w:tcPr>
            <w:tcW w:w="737" w:type="dxa"/>
            <w:tcBorders>
              <w:top w:val="single" w:sz="4" w:space="0" w:color="auto"/>
              <w:bottom w:val="single" w:sz="12"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10</w:t>
            </w:r>
          </w:p>
        </w:tc>
      </w:tr>
    </w:tbl>
    <w:p w:rsidR="00E24DB7" w:rsidRPr="002C5876" w:rsidRDefault="00E24DB7" w:rsidP="00E24DB7">
      <w:pPr>
        <w:pStyle w:val="SingleTxtG"/>
        <w:keepNext/>
        <w:spacing w:before="240"/>
        <w:ind w:left="2268" w:hanging="1134"/>
      </w:pPr>
      <w:r w:rsidRPr="002C5876">
        <w:t>4.7.2.</w:t>
      </w:r>
      <w:r w:rsidRPr="002C5876">
        <w:tab/>
        <w:t>Procédure par étapes pour le calcul des résultats d’essai finals des VEP dans le cas de la procédure d’essai abrégée</w:t>
      </w:r>
    </w:p>
    <w:p w:rsidR="00E24DB7" w:rsidRPr="002C5876" w:rsidRDefault="00E24DB7" w:rsidP="00E24DB7">
      <w:pPr>
        <w:pStyle w:val="SingleTxtG"/>
        <w:keepNext/>
        <w:ind w:left="2268"/>
      </w:pPr>
      <w:r w:rsidRPr="002C5876">
        <w:t>Dans le tableau ci-après, la nomenclature suivante est utilisée dans les équations et les résultats :</w:t>
      </w:r>
    </w:p>
    <w:p w:rsidR="00E24DB7" w:rsidRPr="002C5876" w:rsidRDefault="00E24DB7" w:rsidP="00E24DB7">
      <w:pPr>
        <w:pStyle w:val="SingleTxtG"/>
        <w:ind w:left="2268"/>
        <w:rPr>
          <w:color w:val="000000"/>
          <w:szCs w:val="24"/>
        </w:rPr>
      </w:pPr>
      <w:r w:rsidRPr="002C5876">
        <w:rPr>
          <w:color w:val="000000"/>
          <w:szCs w:val="24"/>
        </w:rPr>
        <w:t>j</w:t>
      </w:r>
      <w:r w:rsidRPr="002C5876">
        <w:rPr>
          <w:color w:val="000000"/>
          <w:szCs w:val="24"/>
        </w:rPr>
        <w:tab/>
        <w:t>indice pour la période considérée.</w:t>
      </w:r>
    </w:p>
    <w:p w:rsidR="00E24DB7" w:rsidRPr="002C5876" w:rsidRDefault="00E24DB7" w:rsidP="00E24DB7">
      <w:pPr>
        <w:pStyle w:val="H23G"/>
        <w:ind w:left="0" w:firstLine="0"/>
      </w:pPr>
      <w:r w:rsidRPr="002C5876">
        <w:rPr>
          <w:b w:val="0"/>
        </w:rPr>
        <w:br w:type="page"/>
      </w:r>
      <w:r w:rsidRPr="002C5876">
        <w:rPr>
          <w:b w:val="0"/>
        </w:rPr>
        <w:lastRenderedPageBreak/>
        <w:t>Tableau A8/11</w:t>
      </w:r>
      <w:r w:rsidRPr="002C5876">
        <w:t xml:space="preserve"> </w:t>
      </w:r>
      <w:r w:rsidRPr="002C5876">
        <w:br/>
      </w:r>
      <w:r w:rsidRPr="002C5876">
        <w:rPr>
          <w:lang w:eastAsia="de-DE"/>
        </w:rPr>
        <w:t xml:space="preserve">Calcul des résultats d’essai finals des VEP obtenus en suivant la procédure d’essai </w:t>
      </w:r>
      <w:r w:rsidRPr="002C5876">
        <w:rPr>
          <w:lang w:eastAsia="de-DE"/>
        </w:rPr>
        <w:br/>
        <w:t>du type 1 abrégée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59"/>
        <w:gridCol w:w="2115"/>
        <w:gridCol w:w="3147"/>
        <w:gridCol w:w="2381"/>
        <w:gridCol w:w="737"/>
      </w:tblGrid>
      <w:tr w:rsidR="00E24DB7" w:rsidRPr="002C5876" w:rsidTr="00E24DB7">
        <w:trPr>
          <w:trHeight w:val="20"/>
          <w:tblHeader/>
          <w:jc w:val="center"/>
        </w:trPr>
        <w:tc>
          <w:tcPr>
            <w:tcW w:w="1259" w:type="dxa"/>
            <w:tcBorders>
              <w:bottom w:val="single" w:sz="12" w:space="0" w:color="auto"/>
            </w:tcBorders>
          </w:tcPr>
          <w:p w:rsidR="00E24DB7" w:rsidRPr="002C5876" w:rsidRDefault="00E24DB7" w:rsidP="00E24DB7">
            <w:pPr>
              <w:spacing w:before="80" w:after="80" w:line="200" w:lineRule="exact"/>
              <w:ind w:left="57" w:right="57"/>
              <w:rPr>
                <w:i/>
                <w:sz w:val="16"/>
                <w:szCs w:val="16"/>
              </w:rPr>
            </w:pPr>
            <w:r w:rsidRPr="002C5876">
              <w:rPr>
                <w:i/>
                <w:sz w:val="16"/>
                <w:szCs w:val="16"/>
              </w:rPr>
              <w:t>Source</w:t>
            </w:r>
          </w:p>
        </w:tc>
        <w:tc>
          <w:tcPr>
            <w:tcW w:w="2115" w:type="dxa"/>
            <w:tcBorders>
              <w:bottom w:val="single" w:sz="12" w:space="0" w:color="auto"/>
            </w:tcBorders>
          </w:tcPr>
          <w:p w:rsidR="00E24DB7" w:rsidRPr="002C5876" w:rsidRDefault="00E24DB7" w:rsidP="00E24DB7">
            <w:pPr>
              <w:spacing w:before="80" w:after="80" w:line="200" w:lineRule="exact"/>
              <w:ind w:left="57" w:right="57"/>
              <w:rPr>
                <w:i/>
                <w:sz w:val="16"/>
                <w:szCs w:val="16"/>
              </w:rPr>
            </w:pPr>
            <w:r w:rsidRPr="002C5876">
              <w:rPr>
                <w:i/>
                <w:sz w:val="16"/>
                <w:szCs w:val="16"/>
              </w:rPr>
              <w:t>Données d’entrée</w:t>
            </w:r>
          </w:p>
        </w:tc>
        <w:tc>
          <w:tcPr>
            <w:tcW w:w="3147" w:type="dxa"/>
            <w:tcBorders>
              <w:bottom w:val="single" w:sz="12" w:space="0" w:color="auto"/>
            </w:tcBorders>
          </w:tcPr>
          <w:p w:rsidR="00E24DB7" w:rsidRPr="002C5876" w:rsidRDefault="00E24DB7" w:rsidP="00E24DB7">
            <w:pPr>
              <w:spacing w:before="80" w:after="80" w:line="200" w:lineRule="exact"/>
              <w:ind w:left="57" w:right="57"/>
              <w:rPr>
                <w:i/>
                <w:sz w:val="16"/>
                <w:szCs w:val="16"/>
              </w:rPr>
            </w:pPr>
            <w:r w:rsidRPr="002C5876">
              <w:rPr>
                <w:i/>
                <w:sz w:val="16"/>
                <w:szCs w:val="16"/>
              </w:rPr>
              <w:t>Processus</w:t>
            </w:r>
          </w:p>
        </w:tc>
        <w:tc>
          <w:tcPr>
            <w:tcW w:w="2381" w:type="dxa"/>
            <w:tcBorders>
              <w:bottom w:val="single" w:sz="12" w:space="0" w:color="auto"/>
            </w:tcBorders>
          </w:tcPr>
          <w:p w:rsidR="00E24DB7" w:rsidRPr="002C5876" w:rsidRDefault="00E24DB7" w:rsidP="00E24DB7">
            <w:pPr>
              <w:spacing w:before="80" w:after="80" w:line="200" w:lineRule="exact"/>
              <w:ind w:left="57" w:right="57"/>
              <w:rPr>
                <w:i/>
                <w:sz w:val="16"/>
                <w:szCs w:val="16"/>
              </w:rPr>
            </w:pPr>
            <w:r w:rsidRPr="002C5876">
              <w:rPr>
                <w:i/>
                <w:sz w:val="16"/>
                <w:szCs w:val="16"/>
              </w:rPr>
              <w:t>Données de sortie</w:t>
            </w:r>
          </w:p>
        </w:tc>
        <w:tc>
          <w:tcPr>
            <w:tcW w:w="737" w:type="dxa"/>
            <w:tcBorders>
              <w:bottom w:val="single" w:sz="12" w:space="0" w:color="auto"/>
            </w:tcBorders>
          </w:tcPr>
          <w:p w:rsidR="00E24DB7" w:rsidRPr="002C5876" w:rsidRDefault="00E24DB7" w:rsidP="00E24DB7">
            <w:pPr>
              <w:spacing w:before="80" w:after="80" w:line="200" w:lineRule="exact"/>
              <w:ind w:left="57" w:right="57"/>
              <w:rPr>
                <w:i/>
                <w:sz w:val="16"/>
                <w:szCs w:val="16"/>
              </w:rPr>
            </w:pPr>
            <w:r w:rsidRPr="002C5876">
              <w:rPr>
                <w:i/>
                <w:sz w:val="16"/>
                <w:szCs w:val="16"/>
              </w:rPr>
              <w:t>Étape n</w:t>
            </w:r>
            <w:r w:rsidRPr="002C5876">
              <w:rPr>
                <w:i/>
                <w:sz w:val="16"/>
                <w:szCs w:val="16"/>
                <w:vertAlign w:val="superscript"/>
              </w:rPr>
              <w:t>o</w:t>
            </w:r>
            <w:r w:rsidRPr="002C5876">
              <w:rPr>
                <w:i/>
                <w:sz w:val="16"/>
                <w:szCs w:val="16"/>
              </w:rPr>
              <w:t> </w:t>
            </w:r>
          </w:p>
        </w:tc>
      </w:tr>
      <w:tr w:rsidR="00E24DB7" w:rsidRPr="002C5876" w:rsidTr="00E24DB7">
        <w:trPr>
          <w:trHeight w:val="20"/>
          <w:jc w:val="center"/>
        </w:trPr>
        <w:tc>
          <w:tcPr>
            <w:tcW w:w="1259" w:type="dxa"/>
            <w:vMerge w:val="restart"/>
            <w:tcBorders>
              <w:top w:val="single" w:sz="12"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Annexe 8</w:t>
            </w:r>
          </w:p>
        </w:tc>
        <w:tc>
          <w:tcPr>
            <w:tcW w:w="2115" w:type="dxa"/>
            <w:vMerge w:val="restart"/>
            <w:tcBorders>
              <w:top w:val="single" w:sz="12"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Résultats d’essai</w:t>
            </w:r>
          </w:p>
        </w:tc>
        <w:tc>
          <w:tcPr>
            <w:tcW w:w="3147" w:type="dxa"/>
            <w:tcBorders>
              <w:top w:val="single" w:sz="12" w:space="0" w:color="auto"/>
              <w:bottom w:val="nil"/>
            </w:tcBorders>
          </w:tcPr>
          <w:p w:rsidR="00E24DB7" w:rsidRPr="002C5876" w:rsidRDefault="00E24DB7" w:rsidP="00E24DB7">
            <w:pPr>
              <w:spacing w:before="60" w:after="60" w:line="220" w:lineRule="atLeast"/>
              <w:ind w:left="57" w:right="57"/>
              <w:rPr>
                <w:sz w:val="18"/>
                <w:szCs w:val="18"/>
              </w:rPr>
            </w:pPr>
            <w:r w:rsidRPr="002C5876">
              <w:rPr>
                <w:sz w:val="18"/>
                <w:szCs w:val="18"/>
              </w:rPr>
              <w:t>Résultats mesurés conformément à l’appendice 3 de la présente annexe, calculs préliminaires effectués conformément au paragraphe 4.3 de la présente annexe.</w:t>
            </w:r>
          </w:p>
        </w:tc>
        <w:tc>
          <w:tcPr>
            <w:tcW w:w="2381" w:type="dxa"/>
            <w:tcBorders>
              <w:top w:val="single" w:sz="12" w:space="0" w:color="auto"/>
              <w:bottom w:val="nil"/>
            </w:tcBorders>
          </w:tcPr>
          <w:p w:rsidR="00E24DB7" w:rsidRPr="00D53F39" w:rsidRDefault="00E24DB7" w:rsidP="00E24DB7">
            <w:pPr>
              <w:spacing w:before="60" w:after="60" w:line="220" w:lineRule="atLeast"/>
              <w:ind w:left="57" w:right="57"/>
              <w:rPr>
                <w:sz w:val="18"/>
                <w:szCs w:val="18"/>
                <w:lang w:val="en-US"/>
              </w:rPr>
            </w:pPr>
            <w:r w:rsidRPr="002C5876">
              <w:rPr>
                <w:sz w:val="18"/>
                <w:szCs w:val="18"/>
              </w:rPr>
              <w:t>Δ</w:t>
            </w:r>
            <w:r w:rsidRPr="00D53F39">
              <w:rPr>
                <w:sz w:val="18"/>
                <w:szCs w:val="18"/>
                <w:lang w:val="en-US"/>
              </w:rPr>
              <w:t>E</w:t>
            </w:r>
            <w:r w:rsidRPr="00D53F39">
              <w:rPr>
                <w:sz w:val="18"/>
                <w:szCs w:val="18"/>
                <w:vertAlign w:val="subscript"/>
                <w:lang w:val="en-US"/>
              </w:rPr>
              <w:t>REESS,j</w:t>
            </w:r>
            <w:r w:rsidRPr="00D53F39">
              <w:rPr>
                <w:sz w:val="18"/>
                <w:szCs w:val="18"/>
                <w:lang w:val="en-US"/>
              </w:rPr>
              <w:t>, Wh </w:t>
            </w:r>
            <w:r w:rsidRPr="00D53F39">
              <w:rPr>
                <w:sz w:val="18"/>
                <w:szCs w:val="18"/>
                <w:lang w:val="en-US"/>
              </w:rPr>
              <w:br/>
              <w:t>d</w:t>
            </w:r>
            <w:r w:rsidRPr="00D53F39">
              <w:rPr>
                <w:sz w:val="18"/>
                <w:szCs w:val="18"/>
                <w:vertAlign w:val="subscript"/>
                <w:lang w:val="en-US"/>
              </w:rPr>
              <w:t>j</w:t>
            </w:r>
            <w:r w:rsidRPr="00D53F39">
              <w:rPr>
                <w:sz w:val="18"/>
                <w:szCs w:val="18"/>
                <w:lang w:val="en-US"/>
              </w:rPr>
              <w:t>, km</w:t>
            </w:r>
          </w:p>
        </w:tc>
        <w:tc>
          <w:tcPr>
            <w:tcW w:w="737" w:type="dxa"/>
            <w:vMerge w:val="restart"/>
            <w:tcBorders>
              <w:top w:val="single" w:sz="12"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1</w:t>
            </w:r>
          </w:p>
        </w:tc>
      </w:tr>
      <w:tr w:rsidR="00E24DB7" w:rsidRPr="002C5876" w:rsidTr="00E24DB7">
        <w:trPr>
          <w:trHeight w:val="20"/>
          <w:jc w:val="center"/>
        </w:trPr>
        <w:tc>
          <w:tcPr>
            <w:tcW w:w="1259" w:type="dxa"/>
            <w:vMerge/>
          </w:tcPr>
          <w:p w:rsidR="00E24DB7" w:rsidRPr="002C5876" w:rsidRDefault="00E24DB7" w:rsidP="00E24DB7">
            <w:pPr>
              <w:spacing w:before="60" w:after="60" w:line="220" w:lineRule="atLeast"/>
              <w:ind w:left="57" w:right="57"/>
              <w:rPr>
                <w:sz w:val="18"/>
                <w:szCs w:val="18"/>
              </w:rPr>
            </w:pPr>
          </w:p>
        </w:tc>
        <w:tc>
          <w:tcPr>
            <w:tcW w:w="2115" w:type="dxa"/>
            <w:vMerge/>
          </w:tcPr>
          <w:p w:rsidR="00E24DB7" w:rsidRPr="002C5876" w:rsidRDefault="00E24DB7" w:rsidP="00E24DB7">
            <w:pPr>
              <w:spacing w:before="60" w:after="60" w:line="220" w:lineRule="atLeast"/>
              <w:ind w:left="57" w:right="57"/>
              <w:rPr>
                <w:sz w:val="18"/>
                <w:szCs w:val="18"/>
              </w:rPr>
            </w:pPr>
          </w:p>
        </w:tc>
        <w:tc>
          <w:tcPr>
            <w:tcW w:w="3147" w:type="dxa"/>
            <w:tcBorders>
              <w:top w:val="nil"/>
              <w:bottom w:val="nil"/>
            </w:tcBorders>
          </w:tcPr>
          <w:p w:rsidR="00E24DB7" w:rsidRPr="002C5876" w:rsidRDefault="00E24DB7" w:rsidP="00E24DB7">
            <w:pPr>
              <w:spacing w:before="60" w:line="220" w:lineRule="atLeast"/>
              <w:ind w:left="57" w:right="57"/>
              <w:rPr>
                <w:sz w:val="18"/>
                <w:szCs w:val="18"/>
              </w:rPr>
            </w:pPr>
            <w:r w:rsidRPr="002C5876">
              <w:rPr>
                <w:sz w:val="18"/>
                <w:szCs w:val="18"/>
              </w:rPr>
              <w:t xml:space="preserve">Énergie utilisable de la batterie conformément au paragraphe 4.4.2.1.1 de la présente annexe. </w:t>
            </w:r>
          </w:p>
        </w:tc>
        <w:tc>
          <w:tcPr>
            <w:tcW w:w="2381" w:type="dxa"/>
            <w:tcBorders>
              <w:top w:val="nil"/>
              <w:bottom w:val="nil"/>
            </w:tcBorders>
          </w:tcPr>
          <w:p w:rsidR="00E24DB7" w:rsidRPr="002C5876" w:rsidRDefault="00E24DB7" w:rsidP="00E24DB7">
            <w:pPr>
              <w:spacing w:before="60" w:after="60" w:line="220" w:lineRule="atLeast"/>
              <w:ind w:left="57" w:right="57"/>
              <w:rPr>
                <w:sz w:val="18"/>
                <w:szCs w:val="18"/>
              </w:rPr>
            </w:pPr>
            <w:r w:rsidRPr="002C5876">
              <w:rPr>
                <w:sz w:val="18"/>
                <w:szCs w:val="18"/>
              </w:rPr>
              <w:t>UBE</w:t>
            </w:r>
            <w:r w:rsidRPr="002C5876">
              <w:rPr>
                <w:sz w:val="18"/>
                <w:szCs w:val="18"/>
                <w:vertAlign w:val="subscript"/>
              </w:rPr>
              <w:t>STP</w:t>
            </w:r>
            <w:r w:rsidRPr="002C5876">
              <w:rPr>
                <w:sz w:val="18"/>
                <w:szCs w:val="18"/>
              </w:rPr>
              <w:t>, Wh </w:t>
            </w:r>
          </w:p>
        </w:tc>
        <w:tc>
          <w:tcPr>
            <w:tcW w:w="737" w:type="dxa"/>
            <w:vMerge/>
          </w:tcPr>
          <w:p w:rsidR="00E24DB7" w:rsidRPr="002C5876" w:rsidRDefault="00E24DB7" w:rsidP="00E24DB7">
            <w:pPr>
              <w:spacing w:before="60" w:after="60" w:line="220" w:lineRule="atLeast"/>
              <w:ind w:left="57" w:right="57"/>
              <w:rPr>
                <w:sz w:val="18"/>
                <w:szCs w:val="18"/>
              </w:rPr>
            </w:pPr>
          </w:p>
        </w:tc>
      </w:tr>
      <w:tr w:rsidR="00E24DB7" w:rsidRPr="002C5876" w:rsidTr="00E24DB7">
        <w:trPr>
          <w:trHeight w:val="20"/>
          <w:jc w:val="center"/>
        </w:trPr>
        <w:tc>
          <w:tcPr>
            <w:tcW w:w="1259" w:type="dxa"/>
            <w:vMerge/>
          </w:tcPr>
          <w:p w:rsidR="00E24DB7" w:rsidRPr="002C5876" w:rsidRDefault="00E24DB7" w:rsidP="00E24DB7">
            <w:pPr>
              <w:spacing w:before="60" w:after="60" w:line="220" w:lineRule="atLeast"/>
              <w:ind w:left="57" w:right="57"/>
              <w:rPr>
                <w:sz w:val="18"/>
                <w:szCs w:val="18"/>
              </w:rPr>
            </w:pPr>
          </w:p>
        </w:tc>
        <w:tc>
          <w:tcPr>
            <w:tcW w:w="2115" w:type="dxa"/>
            <w:vMerge/>
          </w:tcPr>
          <w:p w:rsidR="00E24DB7" w:rsidRPr="002C5876" w:rsidRDefault="00E24DB7" w:rsidP="00E24DB7">
            <w:pPr>
              <w:spacing w:before="60" w:after="60" w:line="220" w:lineRule="atLeast"/>
              <w:ind w:left="57" w:right="57"/>
              <w:rPr>
                <w:sz w:val="18"/>
                <w:szCs w:val="18"/>
              </w:rPr>
            </w:pPr>
          </w:p>
        </w:tc>
        <w:tc>
          <w:tcPr>
            <w:tcW w:w="3147" w:type="dxa"/>
            <w:tcBorders>
              <w:top w:val="nil"/>
            </w:tcBorders>
          </w:tcPr>
          <w:p w:rsidR="00E24DB7" w:rsidRPr="002C5876" w:rsidRDefault="00E24DB7" w:rsidP="00E24DB7">
            <w:pPr>
              <w:spacing w:before="60" w:after="60" w:line="220" w:lineRule="atLeast"/>
              <w:ind w:left="57" w:right="57"/>
              <w:rPr>
                <w:sz w:val="18"/>
                <w:szCs w:val="18"/>
              </w:rPr>
            </w:pPr>
            <w:r w:rsidRPr="002C5876">
              <w:rPr>
                <w:sz w:val="18"/>
                <w:szCs w:val="18"/>
              </w:rPr>
              <w:t>Énergie électrique rechargée conformément au paragraphe 3.4.4.3 de la présente annexe.</w:t>
            </w:r>
          </w:p>
          <w:p w:rsidR="00E24DB7" w:rsidRPr="002C5876" w:rsidRDefault="00E24DB7" w:rsidP="00E24DB7">
            <w:pPr>
              <w:spacing w:before="60" w:after="60" w:line="220" w:lineRule="atLeast"/>
              <w:ind w:left="57" w:right="57"/>
              <w:rPr>
                <w:sz w:val="18"/>
                <w:szCs w:val="18"/>
              </w:rPr>
            </w:pPr>
            <w:r w:rsidRPr="002C5876">
              <w:rPr>
                <w:sz w:val="18"/>
                <w:szCs w:val="18"/>
              </w:rPr>
              <w:t>Données de sortie disponibles pour chaque essai.</w:t>
            </w:r>
          </w:p>
          <w:p w:rsidR="00E24DB7" w:rsidRPr="002C5876" w:rsidRDefault="00E24DB7" w:rsidP="00E24DB7">
            <w:pPr>
              <w:spacing w:before="60" w:after="60" w:line="220" w:lineRule="atLeast"/>
              <w:ind w:left="57" w:right="57"/>
              <w:rPr>
                <w:sz w:val="18"/>
                <w:szCs w:val="18"/>
              </w:rPr>
            </w:pPr>
            <w:r w:rsidRPr="002C5876">
              <w:rPr>
                <w:sz w:val="18"/>
                <w:szCs w:val="18"/>
              </w:rPr>
              <w:t>Si la méthode d’interpolation est appliquée, les données de sortie sont disponibles pour les véhicules L et H.</w:t>
            </w:r>
          </w:p>
        </w:tc>
        <w:tc>
          <w:tcPr>
            <w:tcW w:w="2381" w:type="dxa"/>
            <w:tcBorders>
              <w:top w:val="nil"/>
            </w:tcBorders>
          </w:tcPr>
          <w:p w:rsidR="00E24DB7" w:rsidRPr="002C5876" w:rsidRDefault="00E24DB7" w:rsidP="00E24DB7">
            <w:pPr>
              <w:spacing w:before="60" w:after="60" w:line="220" w:lineRule="atLeast"/>
              <w:ind w:left="57" w:right="57"/>
              <w:rPr>
                <w:sz w:val="18"/>
                <w:szCs w:val="18"/>
              </w:rPr>
            </w:pPr>
            <w:r w:rsidRPr="002C5876">
              <w:rPr>
                <w:sz w:val="18"/>
                <w:szCs w:val="18"/>
              </w:rPr>
              <w:t>E</w:t>
            </w:r>
            <w:r w:rsidRPr="002C5876">
              <w:rPr>
                <w:sz w:val="18"/>
                <w:szCs w:val="18"/>
                <w:vertAlign w:val="subscript"/>
              </w:rPr>
              <w:t>AC</w:t>
            </w:r>
            <w:r w:rsidRPr="002C5876">
              <w:rPr>
                <w:sz w:val="18"/>
                <w:szCs w:val="18"/>
              </w:rPr>
              <w:t>, Wh</w:t>
            </w:r>
          </w:p>
        </w:tc>
        <w:tc>
          <w:tcPr>
            <w:tcW w:w="737" w:type="dxa"/>
            <w:vMerge/>
          </w:tcPr>
          <w:p w:rsidR="00E24DB7" w:rsidRPr="002C5876" w:rsidRDefault="00E24DB7" w:rsidP="00E24DB7">
            <w:pPr>
              <w:spacing w:before="60" w:after="60" w:line="220" w:lineRule="atLeast"/>
              <w:ind w:left="57" w:right="57"/>
              <w:rPr>
                <w:sz w:val="18"/>
                <w:szCs w:val="18"/>
              </w:rPr>
            </w:pPr>
          </w:p>
        </w:tc>
      </w:tr>
      <w:tr w:rsidR="00E24DB7" w:rsidRPr="002C5876" w:rsidTr="00E24DB7">
        <w:trPr>
          <w:trHeight w:val="20"/>
          <w:jc w:val="center"/>
        </w:trPr>
        <w:tc>
          <w:tcPr>
            <w:tcW w:w="1259" w:type="dxa"/>
            <w:tcBorders>
              <w:bottom w:val="single" w:sz="4" w:space="0" w:color="auto"/>
            </w:tcBorders>
          </w:tcPr>
          <w:p w:rsidR="00E24DB7" w:rsidRPr="002C5876" w:rsidRDefault="00E24DB7" w:rsidP="00E24DB7">
            <w:pPr>
              <w:keepNext/>
              <w:keepLines/>
              <w:spacing w:before="60" w:after="60" w:line="220" w:lineRule="atLeast"/>
              <w:ind w:left="57" w:right="57"/>
              <w:rPr>
                <w:sz w:val="18"/>
                <w:szCs w:val="18"/>
              </w:rPr>
            </w:pPr>
            <w:r w:rsidRPr="002C5876">
              <w:rPr>
                <w:sz w:val="18"/>
                <w:szCs w:val="18"/>
              </w:rPr>
              <w:t xml:space="preserve">Sortie </w:t>
            </w:r>
            <w:r w:rsidRPr="002C5876">
              <w:rPr>
                <w:sz w:val="18"/>
                <w:szCs w:val="18"/>
              </w:rPr>
              <w:br/>
              <w:t>de l’étape 1</w:t>
            </w:r>
          </w:p>
        </w:tc>
        <w:tc>
          <w:tcPr>
            <w:tcW w:w="2115" w:type="dxa"/>
            <w:tcBorders>
              <w:bottom w:val="single" w:sz="4" w:space="0" w:color="auto"/>
            </w:tcBorders>
          </w:tcPr>
          <w:p w:rsidR="00E24DB7" w:rsidRPr="00D53F39" w:rsidRDefault="00E24DB7" w:rsidP="00E24DB7">
            <w:pPr>
              <w:keepNext/>
              <w:keepLines/>
              <w:spacing w:before="60" w:after="60" w:line="220" w:lineRule="atLeast"/>
              <w:ind w:left="57" w:right="57"/>
              <w:rPr>
                <w:sz w:val="18"/>
                <w:szCs w:val="18"/>
                <w:lang w:val="en-US"/>
              </w:rPr>
            </w:pPr>
            <w:r w:rsidRPr="002C5876">
              <w:rPr>
                <w:sz w:val="18"/>
                <w:szCs w:val="18"/>
              </w:rPr>
              <w:t>Δ</w:t>
            </w:r>
            <w:r w:rsidRPr="00D53F39">
              <w:rPr>
                <w:sz w:val="18"/>
                <w:szCs w:val="18"/>
                <w:lang w:val="en-US"/>
              </w:rPr>
              <w:t>E</w:t>
            </w:r>
            <w:r w:rsidRPr="00D53F39">
              <w:rPr>
                <w:sz w:val="18"/>
                <w:szCs w:val="18"/>
                <w:vertAlign w:val="subscript"/>
                <w:lang w:val="en-US"/>
              </w:rPr>
              <w:t>REESS,j</w:t>
            </w:r>
            <w:r w:rsidRPr="00D53F39">
              <w:rPr>
                <w:sz w:val="18"/>
                <w:szCs w:val="18"/>
                <w:lang w:val="en-US"/>
              </w:rPr>
              <w:t>, Wh </w:t>
            </w:r>
            <w:r w:rsidRPr="00D53F39">
              <w:rPr>
                <w:sz w:val="18"/>
                <w:szCs w:val="18"/>
                <w:lang w:val="en-US"/>
              </w:rPr>
              <w:br/>
              <w:t>UBE</w:t>
            </w:r>
            <w:r w:rsidRPr="00D53F39">
              <w:rPr>
                <w:sz w:val="18"/>
                <w:szCs w:val="18"/>
                <w:vertAlign w:val="subscript"/>
                <w:lang w:val="en-US"/>
              </w:rPr>
              <w:t>STP</w:t>
            </w:r>
            <w:r w:rsidRPr="00D53F39">
              <w:rPr>
                <w:sz w:val="18"/>
                <w:szCs w:val="18"/>
                <w:lang w:val="en-US"/>
              </w:rPr>
              <w:t>, Wh</w:t>
            </w:r>
          </w:p>
        </w:tc>
        <w:tc>
          <w:tcPr>
            <w:tcW w:w="3147" w:type="dxa"/>
            <w:tcBorders>
              <w:bottom w:val="single" w:sz="4" w:space="0" w:color="auto"/>
            </w:tcBorders>
          </w:tcPr>
          <w:p w:rsidR="00E24DB7" w:rsidRPr="002C5876" w:rsidRDefault="00E24DB7" w:rsidP="00E24DB7">
            <w:pPr>
              <w:keepNext/>
              <w:keepLines/>
              <w:spacing w:before="60" w:after="60" w:line="220" w:lineRule="atLeast"/>
              <w:ind w:left="57" w:right="57"/>
              <w:rPr>
                <w:sz w:val="18"/>
                <w:szCs w:val="18"/>
              </w:rPr>
            </w:pPr>
            <w:r w:rsidRPr="002C5876">
              <w:rPr>
                <w:sz w:val="18"/>
                <w:szCs w:val="18"/>
              </w:rPr>
              <w:t>Calcul des facteurs de pondération conformément au paragraphe 4.4.2.1 de la présente annexe.</w:t>
            </w:r>
          </w:p>
          <w:p w:rsidR="00E24DB7" w:rsidRPr="002C5876" w:rsidRDefault="00E24DB7" w:rsidP="00E24DB7">
            <w:pPr>
              <w:keepNext/>
              <w:keepLines/>
              <w:spacing w:before="60" w:after="60" w:line="220" w:lineRule="atLeast"/>
              <w:ind w:left="57" w:right="57"/>
              <w:rPr>
                <w:sz w:val="18"/>
                <w:szCs w:val="18"/>
              </w:rPr>
            </w:pPr>
            <w:r w:rsidRPr="002C5876">
              <w:rPr>
                <w:sz w:val="18"/>
                <w:szCs w:val="18"/>
              </w:rPr>
              <w:t>Données de sortie disponibles pour chaque essai.</w:t>
            </w:r>
          </w:p>
          <w:p w:rsidR="00E24DB7" w:rsidRPr="002C5876" w:rsidRDefault="00E24DB7" w:rsidP="00E24DB7">
            <w:pPr>
              <w:keepNext/>
              <w:keepLines/>
              <w:spacing w:before="60" w:after="60" w:line="220" w:lineRule="atLeast"/>
              <w:ind w:left="57" w:right="57"/>
              <w:rPr>
                <w:sz w:val="18"/>
                <w:szCs w:val="18"/>
              </w:rPr>
            </w:pPr>
            <w:r w:rsidRPr="002C5876">
              <w:rPr>
                <w:sz w:val="18"/>
                <w:szCs w:val="18"/>
              </w:rPr>
              <w:t>Si la méthode d’interpolation est appliquée, les données de sortie sont disponibles pour les véhicules L et H.</w:t>
            </w:r>
          </w:p>
        </w:tc>
        <w:tc>
          <w:tcPr>
            <w:tcW w:w="2381" w:type="dxa"/>
          </w:tcPr>
          <w:p w:rsidR="00E24DB7" w:rsidRPr="002C5876" w:rsidRDefault="00E24DB7" w:rsidP="00E24DB7">
            <w:pPr>
              <w:keepNext/>
              <w:keepLines/>
              <w:spacing w:before="60" w:after="60" w:line="220" w:lineRule="atLeast"/>
              <w:ind w:left="57" w:right="57"/>
              <w:rPr>
                <w:sz w:val="18"/>
                <w:szCs w:val="18"/>
              </w:rPr>
            </w:pPr>
            <w:r w:rsidRPr="002C5876">
              <w:rPr>
                <w:sz w:val="18"/>
                <w:szCs w:val="18"/>
              </w:rPr>
              <w:t>K</w:t>
            </w:r>
            <w:r w:rsidRPr="002C5876">
              <w:rPr>
                <w:sz w:val="18"/>
                <w:szCs w:val="18"/>
                <w:vertAlign w:val="subscript"/>
              </w:rPr>
              <w:t>WLTC,1</w:t>
            </w:r>
            <w:r w:rsidRPr="002C5876">
              <w:rPr>
                <w:sz w:val="18"/>
                <w:szCs w:val="18"/>
              </w:rPr>
              <w:t> </w:t>
            </w:r>
            <w:r w:rsidRPr="002C5876">
              <w:rPr>
                <w:sz w:val="18"/>
                <w:szCs w:val="18"/>
              </w:rPr>
              <w:br/>
              <w:t>K</w:t>
            </w:r>
            <w:r w:rsidRPr="002C5876">
              <w:rPr>
                <w:sz w:val="18"/>
                <w:szCs w:val="18"/>
                <w:vertAlign w:val="subscript"/>
              </w:rPr>
              <w:t>WLTC,2</w:t>
            </w:r>
            <w:r w:rsidRPr="002C5876">
              <w:rPr>
                <w:sz w:val="18"/>
                <w:szCs w:val="18"/>
              </w:rPr>
              <w:t> </w:t>
            </w:r>
            <w:r w:rsidRPr="002C5876">
              <w:rPr>
                <w:sz w:val="18"/>
                <w:szCs w:val="18"/>
              </w:rPr>
              <w:br/>
              <w:t>K</w:t>
            </w:r>
            <w:r w:rsidRPr="002C5876">
              <w:rPr>
                <w:sz w:val="18"/>
                <w:szCs w:val="18"/>
                <w:vertAlign w:val="subscript"/>
              </w:rPr>
              <w:t>city,1</w:t>
            </w:r>
            <w:r w:rsidRPr="002C5876">
              <w:rPr>
                <w:sz w:val="18"/>
                <w:szCs w:val="18"/>
              </w:rPr>
              <w:t> </w:t>
            </w:r>
            <w:r w:rsidRPr="002C5876">
              <w:rPr>
                <w:sz w:val="18"/>
                <w:szCs w:val="18"/>
              </w:rPr>
              <w:br/>
              <w:t>K</w:t>
            </w:r>
            <w:r w:rsidRPr="002C5876">
              <w:rPr>
                <w:sz w:val="18"/>
                <w:szCs w:val="18"/>
                <w:vertAlign w:val="subscript"/>
              </w:rPr>
              <w:t>city,2</w:t>
            </w:r>
            <w:r w:rsidRPr="002C5876">
              <w:rPr>
                <w:sz w:val="18"/>
                <w:szCs w:val="18"/>
              </w:rPr>
              <w:t> </w:t>
            </w:r>
            <w:r w:rsidRPr="002C5876">
              <w:rPr>
                <w:sz w:val="18"/>
                <w:szCs w:val="18"/>
              </w:rPr>
              <w:br/>
              <w:t>K</w:t>
            </w:r>
            <w:r w:rsidRPr="002C5876">
              <w:rPr>
                <w:sz w:val="18"/>
                <w:szCs w:val="18"/>
                <w:vertAlign w:val="subscript"/>
              </w:rPr>
              <w:t>city,3</w:t>
            </w:r>
            <w:r w:rsidRPr="002C5876">
              <w:rPr>
                <w:sz w:val="18"/>
                <w:szCs w:val="18"/>
              </w:rPr>
              <w:t> </w:t>
            </w:r>
            <w:r w:rsidRPr="002C5876">
              <w:rPr>
                <w:sz w:val="18"/>
                <w:szCs w:val="18"/>
              </w:rPr>
              <w:br/>
              <w:t>K</w:t>
            </w:r>
            <w:r w:rsidRPr="002C5876">
              <w:rPr>
                <w:sz w:val="18"/>
                <w:szCs w:val="18"/>
                <w:vertAlign w:val="subscript"/>
              </w:rPr>
              <w:t>city,4</w:t>
            </w:r>
            <w:r w:rsidRPr="002C5876">
              <w:rPr>
                <w:sz w:val="18"/>
                <w:szCs w:val="18"/>
              </w:rPr>
              <w:t> </w:t>
            </w:r>
            <w:r w:rsidRPr="002C5876">
              <w:rPr>
                <w:sz w:val="18"/>
                <w:szCs w:val="18"/>
              </w:rPr>
              <w:br/>
              <w:t>K</w:t>
            </w:r>
            <w:r w:rsidRPr="002C5876">
              <w:rPr>
                <w:sz w:val="18"/>
                <w:szCs w:val="18"/>
                <w:vertAlign w:val="subscript"/>
              </w:rPr>
              <w:t>low,1</w:t>
            </w:r>
            <w:r w:rsidRPr="002C5876">
              <w:rPr>
                <w:sz w:val="18"/>
                <w:szCs w:val="18"/>
              </w:rPr>
              <w:t> </w:t>
            </w:r>
            <w:r w:rsidRPr="002C5876">
              <w:rPr>
                <w:sz w:val="18"/>
                <w:szCs w:val="18"/>
              </w:rPr>
              <w:br/>
              <w:t>K</w:t>
            </w:r>
            <w:r w:rsidRPr="002C5876">
              <w:rPr>
                <w:sz w:val="18"/>
                <w:szCs w:val="18"/>
                <w:vertAlign w:val="subscript"/>
              </w:rPr>
              <w:t>low,2</w:t>
            </w:r>
            <w:r w:rsidRPr="002C5876">
              <w:rPr>
                <w:sz w:val="18"/>
                <w:szCs w:val="18"/>
              </w:rPr>
              <w:t> </w:t>
            </w:r>
            <w:r w:rsidRPr="002C5876">
              <w:rPr>
                <w:sz w:val="18"/>
                <w:szCs w:val="18"/>
              </w:rPr>
              <w:br/>
              <w:t>K</w:t>
            </w:r>
            <w:r w:rsidRPr="002C5876">
              <w:rPr>
                <w:sz w:val="18"/>
                <w:szCs w:val="18"/>
                <w:vertAlign w:val="subscript"/>
              </w:rPr>
              <w:t>low,3</w:t>
            </w:r>
            <w:r w:rsidRPr="002C5876">
              <w:rPr>
                <w:sz w:val="18"/>
                <w:szCs w:val="18"/>
              </w:rPr>
              <w:t> </w:t>
            </w:r>
            <w:r w:rsidRPr="002C5876">
              <w:rPr>
                <w:sz w:val="18"/>
                <w:szCs w:val="18"/>
              </w:rPr>
              <w:br/>
              <w:t>K</w:t>
            </w:r>
            <w:r w:rsidRPr="002C5876">
              <w:rPr>
                <w:sz w:val="18"/>
                <w:szCs w:val="18"/>
                <w:vertAlign w:val="subscript"/>
              </w:rPr>
              <w:t>low,4</w:t>
            </w:r>
            <w:r w:rsidRPr="002C5876">
              <w:rPr>
                <w:sz w:val="18"/>
                <w:szCs w:val="18"/>
              </w:rPr>
              <w:t> </w:t>
            </w:r>
            <w:r w:rsidRPr="002C5876">
              <w:rPr>
                <w:sz w:val="18"/>
                <w:szCs w:val="18"/>
              </w:rPr>
              <w:br/>
              <w:t>K</w:t>
            </w:r>
            <w:r w:rsidRPr="002C5876">
              <w:rPr>
                <w:sz w:val="18"/>
                <w:szCs w:val="18"/>
                <w:vertAlign w:val="subscript"/>
              </w:rPr>
              <w:t>med,1</w:t>
            </w:r>
            <w:r w:rsidRPr="002C5876">
              <w:rPr>
                <w:sz w:val="18"/>
                <w:szCs w:val="18"/>
              </w:rPr>
              <w:t> </w:t>
            </w:r>
            <w:r w:rsidRPr="002C5876">
              <w:rPr>
                <w:sz w:val="18"/>
                <w:szCs w:val="18"/>
              </w:rPr>
              <w:br/>
              <w:t>K</w:t>
            </w:r>
            <w:r w:rsidRPr="002C5876">
              <w:rPr>
                <w:sz w:val="18"/>
                <w:szCs w:val="18"/>
                <w:vertAlign w:val="subscript"/>
              </w:rPr>
              <w:t>med,2</w:t>
            </w:r>
            <w:r w:rsidRPr="002C5876">
              <w:rPr>
                <w:sz w:val="18"/>
                <w:szCs w:val="18"/>
              </w:rPr>
              <w:t> </w:t>
            </w:r>
            <w:r w:rsidRPr="002C5876">
              <w:rPr>
                <w:sz w:val="18"/>
                <w:szCs w:val="18"/>
              </w:rPr>
              <w:br/>
              <w:t>K</w:t>
            </w:r>
            <w:r w:rsidRPr="002C5876">
              <w:rPr>
                <w:sz w:val="18"/>
                <w:szCs w:val="18"/>
                <w:vertAlign w:val="subscript"/>
              </w:rPr>
              <w:t>med,3</w:t>
            </w:r>
            <w:r w:rsidRPr="002C5876">
              <w:rPr>
                <w:sz w:val="18"/>
                <w:szCs w:val="18"/>
              </w:rPr>
              <w:t> </w:t>
            </w:r>
            <w:r w:rsidRPr="002C5876">
              <w:rPr>
                <w:sz w:val="18"/>
                <w:szCs w:val="18"/>
              </w:rPr>
              <w:br/>
              <w:t>K</w:t>
            </w:r>
            <w:r w:rsidRPr="002C5876">
              <w:rPr>
                <w:sz w:val="18"/>
                <w:szCs w:val="18"/>
                <w:vertAlign w:val="subscript"/>
              </w:rPr>
              <w:t>med,4</w:t>
            </w:r>
            <w:r w:rsidRPr="002C5876">
              <w:rPr>
                <w:sz w:val="18"/>
                <w:szCs w:val="18"/>
              </w:rPr>
              <w:t> </w:t>
            </w:r>
            <w:r w:rsidRPr="002C5876">
              <w:rPr>
                <w:sz w:val="18"/>
                <w:szCs w:val="18"/>
              </w:rPr>
              <w:br/>
              <w:t>K</w:t>
            </w:r>
            <w:r w:rsidRPr="002C5876">
              <w:rPr>
                <w:sz w:val="18"/>
                <w:szCs w:val="18"/>
                <w:vertAlign w:val="subscript"/>
              </w:rPr>
              <w:t>high,1</w:t>
            </w:r>
            <w:r w:rsidRPr="002C5876">
              <w:rPr>
                <w:sz w:val="18"/>
                <w:szCs w:val="18"/>
              </w:rPr>
              <w:t> </w:t>
            </w:r>
            <w:r w:rsidRPr="002C5876">
              <w:rPr>
                <w:sz w:val="18"/>
                <w:szCs w:val="18"/>
              </w:rPr>
              <w:br/>
              <w:t>K</w:t>
            </w:r>
            <w:r w:rsidRPr="002C5876">
              <w:rPr>
                <w:sz w:val="18"/>
                <w:szCs w:val="18"/>
                <w:vertAlign w:val="subscript"/>
              </w:rPr>
              <w:t>high,2</w:t>
            </w:r>
            <w:r w:rsidRPr="002C5876">
              <w:rPr>
                <w:sz w:val="18"/>
                <w:szCs w:val="18"/>
              </w:rPr>
              <w:t> </w:t>
            </w:r>
            <w:r w:rsidRPr="002C5876">
              <w:rPr>
                <w:sz w:val="18"/>
                <w:szCs w:val="18"/>
              </w:rPr>
              <w:br/>
              <w:t>K</w:t>
            </w:r>
            <w:r w:rsidRPr="002C5876">
              <w:rPr>
                <w:sz w:val="18"/>
                <w:szCs w:val="18"/>
                <w:vertAlign w:val="subscript"/>
              </w:rPr>
              <w:t>exHigh,1</w:t>
            </w:r>
            <w:r w:rsidRPr="002C5876">
              <w:rPr>
                <w:sz w:val="18"/>
                <w:szCs w:val="18"/>
              </w:rPr>
              <w:t> </w:t>
            </w:r>
            <w:r w:rsidRPr="002C5876">
              <w:rPr>
                <w:sz w:val="18"/>
                <w:szCs w:val="18"/>
              </w:rPr>
              <w:br/>
              <w:t>K</w:t>
            </w:r>
            <w:r w:rsidRPr="002C5876">
              <w:rPr>
                <w:sz w:val="18"/>
                <w:szCs w:val="18"/>
                <w:vertAlign w:val="subscript"/>
              </w:rPr>
              <w:t>exHigh,2</w:t>
            </w:r>
          </w:p>
        </w:tc>
        <w:tc>
          <w:tcPr>
            <w:tcW w:w="737" w:type="dxa"/>
          </w:tcPr>
          <w:p w:rsidR="00E24DB7" w:rsidRPr="002C5876" w:rsidRDefault="00E24DB7" w:rsidP="00E24DB7">
            <w:pPr>
              <w:keepNext/>
              <w:keepLines/>
              <w:spacing w:before="60" w:after="60" w:line="220" w:lineRule="atLeast"/>
              <w:ind w:left="57" w:right="57"/>
              <w:rPr>
                <w:sz w:val="18"/>
                <w:szCs w:val="18"/>
              </w:rPr>
            </w:pPr>
            <w:r w:rsidRPr="002C5876">
              <w:rPr>
                <w:sz w:val="18"/>
                <w:szCs w:val="18"/>
              </w:rPr>
              <w:t>2</w:t>
            </w:r>
          </w:p>
        </w:tc>
      </w:tr>
      <w:tr w:rsidR="00E24DB7" w:rsidRPr="002C5876" w:rsidTr="00E24DB7">
        <w:trPr>
          <w:trHeight w:val="20"/>
          <w:jc w:val="center"/>
        </w:trPr>
        <w:tc>
          <w:tcPr>
            <w:tcW w:w="1259" w:type="dxa"/>
            <w:vMerge w:val="restart"/>
          </w:tcPr>
          <w:p w:rsidR="00E24DB7" w:rsidRPr="002C5876" w:rsidRDefault="00E24DB7" w:rsidP="00E24DB7">
            <w:pPr>
              <w:keepNext/>
              <w:keepLines/>
              <w:spacing w:before="60" w:line="220" w:lineRule="atLeast"/>
              <w:ind w:left="57" w:right="57"/>
              <w:rPr>
                <w:sz w:val="18"/>
                <w:szCs w:val="18"/>
              </w:rPr>
            </w:pPr>
            <w:r w:rsidRPr="002C5876">
              <w:rPr>
                <w:sz w:val="18"/>
                <w:szCs w:val="18"/>
              </w:rPr>
              <w:t xml:space="preserve">Sortie </w:t>
            </w:r>
            <w:r w:rsidRPr="002C5876">
              <w:rPr>
                <w:sz w:val="18"/>
                <w:szCs w:val="18"/>
              </w:rPr>
              <w:br/>
              <w:t>de l’étape 1</w:t>
            </w:r>
          </w:p>
          <w:p w:rsidR="00E24DB7" w:rsidRPr="002C5876" w:rsidRDefault="00E24DB7" w:rsidP="00E24DB7">
            <w:pPr>
              <w:spacing w:before="60" w:after="60" w:line="220" w:lineRule="atLeast"/>
              <w:ind w:left="57" w:right="57"/>
              <w:rPr>
                <w:sz w:val="18"/>
                <w:szCs w:val="18"/>
              </w:rPr>
            </w:pPr>
            <w:r w:rsidRPr="002C5876">
              <w:rPr>
                <w:sz w:val="18"/>
                <w:szCs w:val="18"/>
              </w:rPr>
              <w:t xml:space="preserve">Sortie </w:t>
            </w:r>
            <w:r w:rsidRPr="002C5876">
              <w:rPr>
                <w:sz w:val="18"/>
                <w:szCs w:val="18"/>
              </w:rPr>
              <w:br/>
              <w:t>de l’étape 2</w:t>
            </w:r>
          </w:p>
        </w:tc>
        <w:tc>
          <w:tcPr>
            <w:tcW w:w="2115" w:type="dxa"/>
            <w:vMerge w:val="restart"/>
          </w:tcPr>
          <w:p w:rsidR="00E24DB7" w:rsidRPr="00D53F39" w:rsidRDefault="00E24DB7" w:rsidP="00E24DB7">
            <w:pPr>
              <w:keepNext/>
              <w:keepLines/>
              <w:spacing w:before="60" w:line="220" w:lineRule="atLeast"/>
              <w:ind w:left="57" w:right="57"/>
              <w:rPr>
                <w:sz w:val="18"/>
                <w:szCs w:val="18"/>
                <w:lang w:val="en-US"/>
              </w:rPr>
            </w:pPr>
            <w:r w:rsidRPr="002C5876">
              <w:rPr>
                <w:sz w:val="18"/>
                <w:szCs w:val="18"/>
              </w:rPr>
              <w:t>Δ</w:t>
            </w:r>
            <w:r w:rsidRPr="00D53F39">
              <w:rPr>
                <w:sz w:val="18"/>
                <w:szCs w:val="18"/>
                <w:lang w:val="en-US"/>
              </w:rPr>
              <w:t>E</w:t>
            </w:r>
            <w:r w:rsidRPr="00D53F39">
              <w:rPr>
                <w:sz w:val="18"/>
                <w:szCs w:val="18"/>
                <w:vertAlign w:val="subscript"/>
                <w:lang w:val="en-US"/>
              </w:rPr>
              <w:t>REESS,j</w:t>
            </w:r>
            <w:r w:rsidRPr="00D53F39">
              <w:rPr>
                <w:sz w:val="18"/>
                <w:szCs w:val="18"/>
                <w:lang w:val="en-US"/>
              </w:rPr>
              <w:t>, Wh </w:t>
            </w:r>
            <w:r w:rsidRPr="00D53F39">
              <w:rPr>
                <w:sz w:val="18"/>
                <w:szCs w:val="18"/>
                <w:lang w:val="en-US"/>
              </w:rPr>
              <w:br/>
              <w:t>d</w:t>
            </w:r>
            <w:r w:rsidRPr="00D53F39">
              <w:rPr>
                <w:sz w:val="18"/>
                <w:szCs w:val="18"/>
                <w:vertAlign w:val="subscript"/>
                <w:lang w:val="en-US"/>
              </w:rPr>
              <w:t>j</w:t>
            </w:r>
            <w:r w:rsidRPr="00D53F39">
              <w:rPr>
                <w:sz w:val="18"/>
                <w:szCs w:val="18"/>
                <w:lang w:val="en-US"/>
              </w:rPr>
              <w:t>, km </w:t>
            </w:r>
            <w:r w:rsidRPr="00D53F39">
              <w:rPr>
                <w:sz w:val="18"/>
                <w:szCs w:val="18"/>
                <w:lang w:val="en-US"/>
              </w:rPr>
              <w:br/>
              <w:t>UBE</w:t>
            </w:r>
            <w:r w:rsidRPr="00D53F39">
              <w:rPr>
                <w:sz w:val="18"/>
                <w:szCs w:val="18"/>
                <w:vertAlign w:val="subscript"/>
                <w:lang w:val="en-US"/>
              </w:rPr>
              <w:t>STP</w:t>
            </w:r>
            <w:r w:rsidRPr="00D53F39">
              <w:rPr>
                <w:sz w:val="18"/>
                <w:szCs w:val="18"/>
                <w:lang w:val="en-US"/>
              </w:rPr>
              <w:t>, Wh</w:t>
            </w:r>
          </w:p>
          <w:p w:rsidR="00E24DB7" w:rsidRPr="002C5876" w:rsidRDefault="00E24DB7" w:rsidP="00E24DB7">
            <w:pPr>
              <w:spacing w:before="60" w:after="60" w:line="220" w:lineRule="atLeast"/>
              <w:ind w:left="57" w:right="57"/>
              <w:rPr>
                <w:sz w:val="18"/>
                <w:szCs w:val="18"/>
              </w:rPr>
            </w:pPr>
            <w:r w:rsidRPr="002C5876">
              <w:rPr>
                <w:sz w:val="18"/>
                <w:szCs w:val="18"/>
              </w:rPr>
              <w:t>Tous les facteurs de pondération</w:t>
            </w:r>
          </w:p>
        </w:tc>
        <w:tc>
          <w:tcPr>
            <w:tcW w:w="3147" w:type="dxa"/>
            <w:tcBorders>
              <w:bottom w:val="nil"/>
            </w:tcBorders>
          </w:tcPr>
          <w:p w:rsidR="00E24DB7" w:rsidRPr="002C5876" w:rsidRDefault="00E24DB7" w:rsidP="00E24DB7">
            <w:pPr>
              <w:keepNext/>
              <w:keepLines/>
              <w:spacing w:before="60" w:line="220" w:lineRule="atLeast"/>
              <w:ind w:left="57" w:right="57"/>
              <w:rPr>
                <w:sz w:val="18"/>
                <w:szCs w:val="18"/>
              </w:rPr>
            </w:pPr>
            <w:r w:rsidRPr="002C5876">
              <w:rPr>
                <w:sz w:val="18"/>
                <w:szCs w:val="18"/>
              </w:rPr>
              <w:t xml:space="preserve">Calcul de la consommation d’énergie électrique des SRSEE conformément au paragraphe 4.4.2.1 de la présente annexe. </w:t>
            </w:r>
          </w:p>
        </w:tc>
        <w:tc>
          <w:tcPr>
            <w:tcW w:w="2381" w:type="dxa"/>
            <w:vMerge w:val="restart"/>
          </w:tcPr>
          <w:p w:rsidR="00E24DB7" w:rsidRPr="002C5876" w:rsidRDefault="00E24DB7" w:rsidP="00E24DB7">
            <w:pPr>
              <w:keepNext/>
              <w:keepLines/>
              <w:spacing w:before="60" w:after="60" w:line="220" w:lineRule="atLeast"/>
              <w:ind w:left="57" w:right="57"/>
              <w:rPr>
                <w:sz w:val="18"/>
                <w:szCs w:val="18"/>
              </w:rPr>
            </w:pPr>
            <w:r w:rsidRPr="002C5876">
              <w:rPr>
                <w:sz w:val="18"/>
                <w:szCs w:val="18"/>
              </w:rPr>
              <w:t>EC</w:t>
            </w:r>
            <w:r w:rsidRPr="002C5876">
              <w:rPr>
                <w:sz w:val="18"/>
                <w:szCs w:val="18"/>
                <w:vertAlign w:val="subscript"/>
              </w:rPr>
              <w:t>DC,WLTC</w:t>
            </w:r>
            <w:r w:rsidRPr="002C5876">
              <w:rPr>
                <w:sz w:val="18"/>
                <w:szCs w:val="18"/>
              </w:rPr>
              <w:t>, Wh/km </w:t>
            </w:r>
            <w:r w:rsidRPr="002C5876">
              <w:rPr>
                <w:sz w:val="18"/>
                <w:szCs w:val="18"/>
              </w:rPr>
              <w:br/>
              <w:t>EC</w:t>
            </w:r>
            <w:r w:rsidRPr="002C5876">
              <w:rPr>
                <w:sz w:val="18"/>
                <w:szCs w:val="18"/>
                <w:vertAlign w:val="subscript"/>
              </w:rPr>
              <w:t>DC,city</w:t>
            </w:r>
            <w:r w:rsidRPr="002C5876">
              <w:rPr>
                <w:sz w:val="18"/>
                <w:szCs w:val="18"/>
              </w:rPr>
              <w:t>, Wh/km </w:t>
            </w:r>
            <w:r w:rsidRPr="002C5876">
              <w:rPr>
                <w:sz w:val="18"/>
                <w:szCs w:val="18"/>
              </w:rPr>
              <w:br/>
              <w:t>EC</w:t>
            </w:r>
            <w:r w:rsidRPr="002C5876">
              <w:rPr>
                <w:sz w:val="18"/>
                <w:szCs w:val="18"/>
                <w:vertAlign w:val="subscript"/>
              </w:rPr>
              <w:t>DC,low</w:t>
            </w:r>
            <w:r w:rsidRPr="002C5876">
              <w:rPr>
                <w:sz w:val="18"/>
                <w:szCs w:val="18"/>
              </w:rPr>
              <w:t>, Wh/km </w:t>
            </w:r>
            <w:r w:rsidRPr="002C5876">
              <w:rPr>
                <w:sz w:val="18"/>
                <w:szCs w:val="18"/>
              </w:rPr>
              <w:br/>
              <w:t>EC</w:t>
            </w:r>
            <w:r w:rsidRPr="002C5876">
              <w:rPr>
                <w:sz w:val="18"/>
                <w:szCs w:val="18"/>
                <w:vertAlign w:val="subscript"/>
              </w:rPr>
              <w:t>DC,med</w:t>
            </w:r>
            <w:r w:rsidRPr="002C5876">
              <w:rPr>
                <w:sz w:val="18"/>
                <w:szCs w:val="18"/>
              </w:rPr>
              <w:t>, Wh/km </w:t>
            </w:r>
            <w:r w:rsidRPr="002C5876">
              <w:rPr>
                <w:sz w:val="18"/>
                <w:szCs w:val="18"/>
              </w:rPr>
              <w:br/>
              <w:t>EC</w:t>
            </w:r>
            <w:r w:rsidRPr="002C5876">
              <w:rPr>
                <w:sz w:val="18"/>
                <w:szCs w:val="18"/>
                <w:vertAlign w:val="subscript"/>
              </w:rPr>
              <w:t>DC,high</w:t>
            </w:r>
            <w:r w:rsidRPr="002C5876">
              <w:rPr>
                <w:sz w:val="18"/>
                <w:szCs w:val="18"/>
              </w:rPr>
              <w:t>, Wh/km </w:t>
            </w:r>
            <w:r w:rsidRPr="002C5876">
              <w:rPr>
                <w:sz w:val="18"/>
                <w:szCs w:val="18"/>
              </w:rPr>
              <w:br/>
              <w:t>EC</w:t>
            </w:r>
            <w:r w:rsidRPr="002C5876">
              <w:rPr>
                <w:sz w:val="18"/>
                <w:szCs w:val="18"/>
                <w:vertAlign w:val="subscript"/>
              </w:rPr>
              <w:t>DC,exHigh</w:t>
            </w:r>
            <w:r w:rsidRPr="002C5876">
              <w:rPr>
                <w:sz w:val="18"/>
                <w:szCs w:val="18"/>
              </w:rPr>
              <w:t>, Wh/km </w:t>
            </w:r>
            <w:r w:rsidRPr="002C5876">
              <w:rPr>
                <w:sz w:val="18"/>
                <w:szCs w:val="18"/>
              </w:rPr>
              <w:br/>
              <w:t>EC</w:t>
            </w:r>
            <w:r w:rsidRPr="002C5876">
              <w:rPr>
                <w:sz w:val="18"/>
                <w:szCs w:val="18"/>
                <w:vertAlign w:val="subscript"/>
              </w:rPr>
              <w:t>DC,COP,1</w:t>
            </w:r>
            <w:r w:rsidRPr="002C5876">
              <w:rPr>
                <w:sz w:val="18"/>
                <w:szCs w:val="18"/>
              </w:rPr>
              <w:t>, Wh/km</w:t>
            </w:r>
          </w:p>
        </w:tc>
        <w:tc>
          <w:tcPr>
            <w:tcW w:w="737" w:type="dxa"/>
            <w:vMerge w:val="restart"/>
          </w:tcPr>
          <w:p w:rsidR="00E24DB7" w:rsidRPr="002C5876" w:rsidRDefault="00E24DB7" w:rsidP="00E24DB7">
            <w:pPr>
              <w:keepNext/>
              <w:keepLines/>
              <w:spacing w:before="60" w:after="60" w:line="220" w:lineRule="atLeast"/>
              <w:ind w:left="57" w:right="57"/>
              <w:rPr>
                <w:sz w:val="18"/>
                <w:szCs w:val="18"/>
              </w:rPr>
            </w:pPr>
            <w:r w:rsidRPr="002C5876">
              <w:rPr>
                <w:sz w:val="18"/>
                <w:szCs w:val="18"/>
              </w:rPr>
              <w:t>3</w:t>
            </w:r>
          </w:p>
        </w:tc>
      </w:tr>
      <w:tr w:rsidR="00E24DB7" w:rsidRPr="002C5876" w:rsidTr="00E24DB7">
        <w:trPr>
          <w:trHeight w:val="20"/>
          <w:jc w:val="center"/>
        </w:trPr>
        <w:tc>
          <w:tcPr>
            <w:tcW w:w="1259" w:type="dxa"/>
            <w:vMerge/>
            <w:tcBorders>
              <w:bottom w:val="single" w:sz="4" w:space="0" w:color="auto"/>
            </w:tcBorders>
          </w:tcPr>
          <w:p w:rsidR="00E24DB7" w:rsidRPr="002C5876" w:rsidRDefault="00E24DB7" w:rsidP="00E24DB7">
            <w:pPr>
              <w:spacing w:before="60" w:after="60" w:line="220" w:lineRule="atLeast"/>
              <w:ind w:left="57" w:right="57"/>
              <w:rPr>
                <w:sz w:val="18"/>
                <w:szCs w:val="18"/>
              </w:rPr>
            </w:pPr>
          </w:p>
        </w:tc>
        <w:tc>
          <w:tcPr>
            <w:tcW w:w="2115" w:type="dxa"/>
            <w:vMerge/>
            <w:tcBorders>
              <w:bottom w:val="single" w:sz="4" w:space="0" w:color="auto"/>
            </w:tcBorders>
          </w:tcPr>
          <w:p w:rsidR="00E24DB7" w:rsidRPr="002C5876" w:rsidRDefault="00E24DB7" w:rsidP="00E24DB7">
            <w:pPr>
              <w:spacing w:before="60" w:after="60" w:line="220" w:lineRule="atLeast"/>
              <w:ind w:left="57" w:right="57"/>
              <w:rPr>
                <w:sz w:val="18"/>
                <w:szCs w:val="18"/>
              </w:rPr>
            </w:pPr>
          </w:p>
        </w:tc>
        <w:tc>
          <w:tcPr>
            <w:tcW w:w="3147" w:type="dxa"/>
            <w:tcBorders>
              <w:top w:val="nil"/>
              <w:bottom w:val="single" w:sz="4" w:space="0" w:color="auto"/>
            </w:tcBorders>
          </w:tcPr>
          <w:p w:rsidR="00E24DB7" w:rsidRPr="002C5876" w:rsidRDefault="00E24DB7" w:rsidP="00E24DB7">
            <w:pPr>
              <w:spacing w:before="60" w:after="120" w:line="220" w:lineRule="atLeast"/>
              <w:ind w:left="57" w:right="57"/>
              <w:rPr>
                <w:sz w:val="18"/>
                <w:szCs w:val="18"/>
                <w:vertAlign w:val="subscript"/>
              </w:rPr>
            </w:pPr>
            <w:r w:rsidRPr="002C5876">
              <w:rPr>
                <w:sz w:val="18"/>
                <w:szCs w:val="18"/>
              </w:rPr>
              <w:t>Option régionale :</w:t>
            </w:r>
            <w:r w:rsidRPr="002C5876">
              <w:rPr>
                <w:sz w:val="18"/>
                <w:szCs w:val="18"/>
              </w:rPr>
              <w:br/>
              <w:t>EC</w:t>
            </w:r>
            <w:r w:rsidRPr="002C5876">
              <w:rPr>
                <w:sz w:val="18"/>
                <w:szCs w:val="18"/>
                <w:vertAlign w:val="subscript"/>
              </w:rPr>
              <w:t>DC,COP,1</w:t>
            </w:r>
          </w:p>
          <w:p w:rsidR="00E24DB7" w:rsidRPr="002C5876" w:rsidRDefault="00E24DB7" w:rsidP="00E24DB7">
            <w:pPr>
              <w:spacing w:before="60" w:after="60" w:line="220" w:lineRule="atLeast"/>
              <w:ind w:left="57" w:right="57"/>
              <w:rPr>
                <w:sz w:val="18"/>
                <w:szCs w:val="18"/>
              </w:rPr>
            </w:pPr>
            <w:r w:rsidRPr="002C5876">
              <w:rPr>
                <w:sz w:val="18"/>
                <w:szCs w:val="18"/>
              </w:rPr>
              <w:t>Données de sortie disponibles pour chaque essai.</w:t>
            </w:r>
          </w:p>
          <w:p w:rsidR="00E24DB7" w:rsidRPr="002C5876" w:rsidRDefault="00E24DB7" w:rsidP="00E24DB7">
            <w:pPr>
              <w:spacing w:before="60" w:after="60" w:line="220" w:lineRule="atLeast"/>
              <w:ind w:left="57" w:right="57"/>
              <w:rPr>
                <w:sz w:val="18"/>
                <w:szCs w:val="18"/>
              </w:rPr>
            </w:pPr>
            <w:r w:rsidRPr="002C5876">
              <w:rPr>
                <w:sz w:val="18"/>
                <w:szCs w:val="18"/>
              </w:rPr>
              <w:t>Si la méthode d’interpolation est appliquée, les données de sortie sont disponibles pour les véhicules L et H.</w:t>
            </w:r>
          </w:p>
        </w:tc>
        <w:tc>
          <w:tcPr>
            <w:tcW w:w="2381" w:type="dxa"/>
            <w:vMerge/>
          </w:tcPr>
          <w:p w:rsidR="00E24DB7" w:rsidRPr="002C5876" w:rsidRDefault="00E24DB7" w:rsidP="00E24DB7">
            <w:pPr>
              <w:spacing w:before="60" w:after="60" w:line="220" w:lineRule="atLeast"/>
              <w:ind w:left="57" w:right="57"/>
              <w:rPr>
                <w:sz w:val="18"/>
                <w:szCs w:val="18"/>
              </w:rPr>
            </w:pPr>
          </w:p>
        </w:tc>
        <w:tc>
          <w:tcPr>
            <w:tcW w:w="737" w:type="dxa"/>
            <w:vMerge/>
          </w:tcPr>
          <w:p w:rsidR="00E24DB7" w:rsidRPr="002C5876" w:rsidRDefault="00E24DB7" w:rsidP="00E24DB7">
            <w:pPr>
              <w:spacing w:before="60" w:after="60" w:line="220" w:lineRule="atLeast"/>
              <w:ind w:left="57" w:right="57"/>
              <w:rPr>
                <w:sz w:val="18"/>
                <w:szCs w:val="18"/>
              </w:rPr>
            </w:pPr>
          </w:p>
        </w:tc>
      </w:tr>
      <w:tr w:rsidR="00E24DB7" w:rsidRPr="002C5876" w:rsidTr="00E24DB7">
        <w:trPr>
          <w:trHeight w:val="20"/>
          <w:jc w:val="center"/>
        </w:trPr>
        <w:tc>
          <w:tcPr>
            <w:tcW w:w="1259" w:type="dxa"/>
            <w:vMerge w:val="restart"/>
          </w:tcPr>
          <w:p w:rsidR="00E24DB7" w:rsidRPr="002C5876" w:rsidRDefault="00E24DB7" w:rsidP="00E24DB7">
            <w:pPr>
              <w:spacing w:before="60" w:line="220" w:lineRule="atLeast"/>
              <w:ind w:left="57" w:right="57"/>
              <w:rPr>
                <w:sz w:val="18"/>
                <w:szCs w:val="18"/>
              </w:rPr>
            </w:pPr>
            <w:r w:rsidRPr="002C5876">
              <w:rPr>
                <w:sz w:val="18"/>
                <w:szCs w:val="18"/>
              </w:rPr>
              <w:t>Sortie</w:t>
            </w:r>
            <w:r w:rsidRPr="002C5876">
              <w:rPr>
                <w:sz w:val="18"/>
                <w:szCs w:val="18"/>
              </w:rPr>
              <w:br/>
              <w:t>de l’étape 1</w:t>
            </w:r>
          </w:p>
          <w:p w:rsidR="00E24DB7" w:rsidRPr="002C5876" w:rsidRDefault="00E24DB7" w:rsidP="00E24DB7">
            <w:pPr>
              <w:spacing w:before="60" w:after="60" w:line="220" w:lineRule="atLeast"/>
              <w:ind w:left="57" w:right="57"/>
              <w:rPr>
                <w:sz w:val="18"/>
                <w:szCs w:val="18"/>
              </w:rPr>
            </w:pPr>
            <w:r w:rsidRPr="002C5876">
              <w:rPr>
                <w:sz w:val="18"/>
                <w:szCs w:val="18"/>
              </w:rPr>
              <w:t xml:space="preserve">Sortie </w:t>
            </w:r>
            <w:r w:rsidRPr="002C5876">
              <w:rPr>
                <w:sz w:val="18"/>
                <w:szCs w:val="18"/>
              </w:rPr>
              <w:br/>
              <w:t>de l’étape 3</w:t>
            </w:r>
          </w:p>
        </w:tc>
        <w:tc>
          <w:tcPr>
            <w:tcW w:w="2115" w:type="dxa"/>
            <w:vMerge w:val="restart"/>
          </w:tcPr>
          <w:p w:rsidR="00E24DB7" w:rsidRPr="002C5876" w:rsidRDefault="00E24DB7" w:rsidP="00E24DB7">
            <w:pPr>
              <w:spacing w:before="60" w:line="220" w:lineRule="atLeast"/>
              <w:ind w:left="57" w:right="57"/>
              <w:rPr>
                <w:sz w:val="18"/>
                <w:szCs w:val="18"/>
              </w:rPr>
            </w:pPr>
            <w:r w:rsidRPr="002C5876">
              <w:rPr>
                <w:sz w:val="18"/>
                <w:szCs w:val="18"/>
              </w:rPr>
              <w:t>UBE</w:t>
            </w:r>
            <w:r w:rsidRPr="002C5876">
              <w:rPr>
                <w:sz w:val="18"/>
                <w:szCs w:val="18"/>
                <w:vertAlign w:val="subscript"/>
              </w:rPr>
              <w:t>STP</w:t>
            </w:r>
            <w:r w:rsidRPr="002C5876">
              <w:rPr>
                <w:sz w:val="18"/>
                <w:szCs w:val="18"/>
              </w:rPr>
              <w:t>, Wh</w:t>
            </w:r>
          </w:p>
          <w:p w:rsidR="00E24DB7" w:rsidRPr="002C5876" w:rsidRDefault="00E24DB7" w:rsidP="00E24DB7">
            <w:pPr>
              <w:spacing w:before="60" w:after="60" w:line="220" w:lineRule="atLeast"/>
              <w:ind w:left="57" w:right="57"/>
              <w:rPr>
                <w:sz w:val="18"/>
                <w:szCs w:val="18"/>
              </w:rPr>
            </w:pPr>
            <w:r w:rsidRPr="002C5876">
              <w:rPr>
                <w:sz w:val="18"/>
                <w:szCs w:val="18"/>
              </w:rPr>
              <w:t>EC</w:t>
            </w:r>
            <w:r w:rsidRPr="002C5876">
              <w:rPr>
                <w:sz w:val="18"/>
                <w:szCs w:val="18"/>
                <w:vertAlign w:val="subscript"/>
              </w:rPr>
              <w:t>DC,WLTC</w:t>
            </w:r>
            <w:r w:rsidRPr="002C5876">
              <w:rPr>
                <w:sz w:val="18"/>
                <w:szCs w:val="18"/>
              </w:rPr>
              <w:t>, Wh/km </w:t>
            </w:r>
            <w:r w:rsidRPr="002C5876">
              <w:rPr>
                <w:sz w:val="18"/>
                <w:szCs w:val="18"/>
              </w:rPr>
              <w:br/>
              <w:t>EC</w:t>
            </w:r>
            <w:r w:rsidRPr="002C5876">
              <w:rPr>
                <w:sz w:val="18"/>
                <w:szCs w:val="18"/>
                <w:vertAlign w:val="subscript"/>
              </w:rPr>
              <w:t>DC,city</w:t>
            </w:r>
            <w:r w:rsidRPr="002C5876">
              <w:rPr>
                <w:sz w:val="18"/>
                <w:szCs w:val="18"/>
              </w:rPr>
              <w:t>, Wh/km </w:t>
            </w:r>
            <w:r w:rsidRPr="002C5876">
              <w:rPr>
                <w:sz w:val="18"/>
                <w:szCs w:val="18"/>
              </w:rPr>
              <w:br/>
              <w:t>EC</w:t>
            </w:r>
            <w:r w:rsidRPr="002C5876">
              <w:rPr>
                <w:sz w:val="18"/>
                <w:szCs w:val="18"/>
                <w:vertAlign w:val="subscript"/>
              </w:rPr>
              <w:t>DC,low</w:t>
            </w:r>
            <w:r w:rsidRPr="002C5876">
              <w:rPr>
                <w:sz w:val="18"/>
                <w:szCs w:val="18"/>
              </w:rPr>
              <w:t>, Wh/km </w:t>
            </w:r>
            <w:r w:rsidRPr="002C5876">
              <w:rPr>
                <w:sz w:val="18"/>
                <w:szCs w:val="18"/>
              </w:rPr>
              <w:br/>
              <w:t>EC</w:t>
            </w:r>
            <w:r w:rsidRPr="002C5876">
              <w:rPr>
                <w:sz w:val="18"/>
                <w:szCs w:val="18"/>
                <w:vertAlign w:val="subscript"/>
              </w:rPr>
              <w:t>DC,med</w:t>
            </w:r>
            <w:r w:rsidRPr="002C5876">
              <w:rPr>
                <w:sz w:val="18"/>
                <w:szCs w:val="18"/>
              </w:rPr>
              <w:t>, Wh/km </w:t>
            </w:r>
            <w:r w:rsidRPr="002C5876">
              <w:rPr>
                <w:sz w:val="18"/>
                <w:szCs w:val="18"/>
              </w:rPr>
              <w:br/>
              <w:t>EC</w:t>
            </w:r>
            <w:r w:rsidRPr="002C5876">
              <w:rPr>
                <w:sz w:val="18"/>
                <w:szCs w:val="18"/>
                <w:vertAlign w:val="subscript"/>
              </w:rPr>
              <w:t>DC,high</w:t>
            </w:r>
            <w:r w:rsidRPr="002C5876">
              <w:rPr>
                <w:sz w:val="18"/>
                <w:szCs w:val="18"/>
              </w:rPr>
              <w:t>, Wh/km </w:t>
            </w:r>
            <w:r w:rsidRPr="002C5876">
              <w:rPr>
                <w:sz w:val="18"/>
                <w:szCs w:val="18"/>
              </w:rPr>
              <w:br/>
              <w:t>EC</w:t>
            </w:r>
            <w:r w:rsidRPr="002C5876">
              <w:rPr>
                <w:sz w:val="18"/>
                <w:szCs w:val="18"/>
                <w:vertAlign w:val="subscript"/>
              </w:rPr>
              <w:t>DC,exHigh</w:t>
            </w:r>
            <w:r w:rsidRPr="002C5876">
              <w:rPr>
                <w:sz w:val="18"/>
                <w:szCs w:val="18"/>
              </w:rPr>
              <w:t>, Wh/km</w:t>
            </w:r>
          </w:p>
        </w:tc>
        <w:tc>
          <w:tcPr>
            <w:tcW w:w="3147" w:type="dxa"/>
            <w:tcBorders>
              <w:bottom w:val="nil"/>
            </w:tcBorders>
          </w:tcPr>
          <w:p w:rsidR="00E24DB7" w:rsidRPr="002C5876" w:rsidRDefault="00E24DB7" w:rsidP="00E24DB7">
            <w:pPr>
              <w:spacing w:before="60" w:line="220" w:lineRule="atLeast"/>
              <w:ind w:left="57" w:right="57"/>
              <w:rPr>
                <w:sz w:val="18"/>
                <w:szCs w:val="18"/>
              </w:rPr>
            </w:pPr>
            <w:r w:rsidRPr="002C5876">
              <w:rPr>
                <w:sz w:val="18"/>
                <w:szCs w:val="18"/>
              </w:rPr>
              <w:t xml:space="preserve">Calcul de l’autonomie en mode électrique pur conformément au paragraphe 4.4.2.1 de la présente annexe. </w:t>
            </w:r>
          </w:p>
        </w:tc>
        <w:tc>
          <w:tcPr>
            <w:tcW w:w="2381" w:type="dxa"/>
            <w:vMerge w:val="restart"/>
          </w:tcPr>
          <w:p w:rsidR="00E24DB7" w:rsidRPr="00D53F39" w:rsidRDefault="00E24DB7" w:rsidP="00E24DB7">
            <w:pPr>
              <w:spacing w:before="60" w:after="60" w:line="220" w:lineRule="atLeast"/>
              <w:ind w:left="57" w:right="57"/>
              <w:rPr>
                <w:sz w:val="18"/>
                <w:szCs w:val="18"/>
                <w:lang w:val="en-US"/>
              </w:rPr>
            </w:pPr>
            <w:r w:rsidRPr="00D53F39">
              <w:rPr>
                <w:sz w:val="18"/>
                <w:szCs w:val="18"/>
                <w:lang w:val="en-US"/>
              </w:rPr>
              <w:t>PER</w:t>
            </w:r>
            <w:r w:rsidRPr="00D53F39">
              <w:rPr>
                <w:sz w:val="18"/>
                <w:szCs w:val="18"/>
                <w:vertAlign w:val="subscript"/>
                <w:lang w:val="en-US"/>
              </w:rPr>
              <w:t>WLTC</w:t>
            </w:r>
            <w:r w:rsidRPr="00D53F39">
              <w:rPr>
                <w:sz w:val="18"/>
                <w:szCs w:val="18"/>
                <w:lang w:val="en-US"/>
              </w:rPr>
              <w:t>, km </w:t>
            </w:r>
            <w:r w:rsidRPr="00D53F39">
              <w:rPr>
                <w:sz w:val="18"/>
                <w:szCs w:val="18"/>
                <w:lang w:val="en-US"/>
              </w:rPr>
              <w:br/>
              <w:t>PER</w:t>
            </w:r>
            <w:r w:rsidRPr="00D53F39">
              <w:rPr>
                <w:sz w:val="18"/>
                <w:szCs w:val="18"/>
                <w:vertAlign w:val="subscript"/>
                <w:lang w:val="en-US"/>
              </w:rPr>
              <w:t>city</w:t>
            </w:r>
            <w:r w:rsidRPr="00D53F39">
              <w:rPr>
                <w:sz w:val="18"/>
                <w:szCs w:val="18"/>
                <w:lang w:val="en-US"/>
              </w:rPr>
              <w:t>, km </w:t>
            </w:r>
            <w:r w:rsidRPr="00D53F39">
              <w:rPr>
                <w:sz w:val="18"/>
                <w:szCs w:val="18"/>
                <w:lang w:val="en-US"/>
              </w:rPr>
              <w:br/>
              <w:t>PER</w:t>
            </w:r>
            <w:r w:rsidRPr="00D53F39">
              <w:rPr>
                <w:sz w:val="18"/>
                <w:szCs w:val="18"/>
                <w:vertAlign w:val="subscript"/>
                <w:lang w:val="en-US"/>
              </w:rPr>
              <w:t>low</w:t>
            </w:r>
            <w:r w:rsidRPr="00D53F39">
              <w:rPr>
                <w:sz w:val="18"/>
                <w:szCs w:val="18"/>
                <w:lang w:val="en-US"/>
              </w:rPr>
              <w:t>, km </w:t>
            </w:r>
            <w:r w:rsidRPr="00D53F39">
              <w:rPr>
                <w:sz w:val="18"/>
                <w:szCs w:val="18"/>
                <w:lang w:val="en-US"/>
              </w:rPr>
              <w:br/>
              <w:t>PER</w:t>
            </w:r>
            <w:r w:rsidRPr="00D53F39">
              <w:rPr>
                <w:sz w:val="18"/>
                <w:szCs w:val="18"/>
                <w:vertAlign w:val="subscript"/>
                <w:lang w:val="en-US"/>
              </w:rPr>
              <w:t>med</w:t>
            </w:r>
            <w:r w:rsidRPr="00D53F39">
              <w:rPr>
                <w:sz w:val="18"/>
                <w:szCs w:val="18"/>
                <w:lang w:val="en-US"/>
              </w:rPr>
              <w:t>, km </w:t>
            </w:r>
            <w:r w:rsidRPr="00D53F39">
              <w:rPr>
                <w:sz w:val="18"/>
                <w:szCs w:val="18"/>
                <w:lang w:val="en-US"/>
              </w:rPr>
              <w:br/>
              <w:t>PER</w:t>
            </w:r>
            <w:r w:rsidRPr="00D53F39">
              <w:rPr>
                <w:sz w:val="18"/>
                <w:szCs w:val="18"/>
                <w:vertAlign w:val="subscript"/>
                <w:lang w:val="en-US"/>
              </w:rPr>
              <w:t>high</w:t>
            </w:r>
            <w:r w:rsidRPr="00D53F39">
              <w:rPr>
                <w:sz w:val="18"/>
                <w:szCs w:val="18"/>
                <w:lang w:val="en-US"/>
              </w:rPr>
              <w:t>, km </w:t>
            </w:r>
            <w:r w:rsidRPr="00D53F39">
              <w:rPr>
                <w:sz w:val="18"/>
                <w:szCs w:val="18"/>
                <w:lang w:val="en-US"/>
              </w:rPr>
              <w:br/>
              <w:t>PER</w:t>
            </w:r>
            <w:r w:rsidRPr="00D53F39">
              <w:rPr>
                <w:sz w:val="18"/>
                <w:szCs w:val="18"/>
                <w:vertAlign w:val="subscript"/>
                <w:lang w:val="en-US"/>
              </w:rPr>
              <w:t>exHigh</w:t>
            </w:r>
            <w:r w:rsidRPr="00D53F39">
              <w:rPr>
                <w:sz w:val="18"/>
                <w:szCs w:val="18"/>
                <w:lang w:val="en-US"/>
              </w:rPr>
              <w:t>, km</w:t>
            </w:r>
          </w:p>
        </w:tc>
        <w:tc>
          <w:tcPr>
            <w:tcW w:w="737" w:type="dxa"/>
            <w:vMerge w:val="restart"/>
          </w:tcPr>
          <w:p w:rsidR="00E24DB7" w:rsidRPr="002C5876" w:rsidRDefault="00E24DB7" w:rsidP="00E24DB7">
            <w:pPr>
              <w:spacing w:before="60" w:after="60" w:line="220" w:lineRule="atLeast"/>
              <w:ind w:left="57" w:right="57"/>
              <w:rPr>
                <w:sz w:val="18"/>
                <w:szCs w:val="18"/>
              </w:rPr>
            </w:pPr>
            <w:r w:rsidRPr="002C5876">
              <w:rPr>
                <w:sz w:val="18"/>
                <w:szCs w:val="18"/>
              </w:rPr>
              <w:t>4</w:t>
            </w:r>
          </w:p>
        </w:tc>
      </w:tr>
      <w:tr w:rsidR="00E24DB7" w:rsidRPr="002C5876" w:rsidTr="00E24DB7">
        <w:trPr>
          <w:trHeight w:val="20"/>
          <w:jc w:val="center"/>
        </w:trPr>
        <w:tc>
          <w:tcPr>
            <w:tcW w:w="1259" w:type="dxa"/>
            <w:vMerge/>
            <w:tcBorders>
              <w:bottom w:val="single" w:sz="4" w:space="0" w:color="auto"/>
            </w:tcBorders>
          </w:tcPr>
          <w:p w:rsidR="00E24DB7" w:rsidRPr="002C5876" w:rsidRDefault="00E24DB7" w:rsidP="00E24DB7">
            <w:pPr>
              <w:spacing w:before="60" w:after="60" w:line="220" w:lineRule="atLeast"/>
              <w:ind w:left="57" w:right="57"/>
              <w:rPr>
                <w:sz w:val="18"/>
                <w:szCs w:val="18"/>
              </w:rPr>
            </w:pPr>
          </w:p>
        </w:tc>
        <w:tc>
          <w:tcPr>
            <w:tcW w:w="2115" w:type="dxa"/>
            <w:vMerge/>
            <w:tcBorders>
              <w:bottom w:val="single" w:sz="4" w:space="0" w:color="auto"/>
            </w:tcBorders>
          </w:tcPr>
          <w:p w:rsidR="00E24DB7" w:rsidRPr="002C5876" w:rsidRDefault="00E24DB7" w:rsidP="00E24DB7">
            <w:pPr>
              <w:spacing w:before="60" w:after="60" w:line="220" w:lineRule="atLeast"/>
              <w:ind w:left="57" w:right="57"/>
              <w:rPr>
                <w:sz w:val="18"/>
                <w:szCs w:val="18"/>
              </w:rPr>
            </w:pPr>
          </w:p>
        </w:tc>
        <w:tc>
          <w:tcPr>
            <w:tcW w:w="3147" w:type="dxa"/>
            <w:tcBorders>
              <w:top w:val="nil"/>
              <w:bottom w:val="single" w:sz="4"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Données de sortie disponibles pour chaque essai.</w:t>
            </w:r>
          </w:p>
          <w:p w:rsidR="00E24DB7" w:rsidRPr="002C5876" w:rsidRDefault="00E24DB7" w:rsidP="00E24DB7">
            <w:pPr>
              <w:spacing w:before="60" w:after="60" w:line="220" w:lineRule="atLeast"/>
              <w:ind w:left="57" w:right="57"/>
              <w:rPr>
                <w:sz w:val="18"/>
                <w:szCs w:val="18"/>
              </w:rPr>
            </w:pPr>
            <w:r w:rsidRPr="002C5876">
              <w:rPr>
                <w:sz w:val="18"/>
                <w:szCs w:val="18"/>
              </w:rPr>
              <w:t>Si la méthode d’interpolation est appliquée, les données de sortie sont disponibles pour les véhicules L et H.</w:t>
            </w:r>
          </w:p>
        </w:tc>
        <w:tc>
          <w:tcPr>
            <w:tcW w:w="2381" w:type="dxa"/>
            <w:vMerge/>
          </w:tcPr>
          <w:p w:rsidR="00E24DB7" w:rsidRPr="002C5876" w:rsidRDefault="00E24DB7" w:rsidP="00E24DB7">
            <w:pPr>
              <w:spacing w:before="60" w:after="60" w:line="220" w:lineRule="atLeast"/>
              <w:ind w:left="57" w:right="57"/>
              <w:rPr>
                <w:sz w:val="18"/>
                <w:szCs w:val="18"/>
              </w:rPr>
            </w:pPr>
          </w:p>
        </w:tc>
        <w:tc>
          <w:tcPr>
            <w:tcW w:w="737" w:type="dxa"/>
            <w:vMerge/>
          </w:tcPr>
          <w:p w:rsidR="00E24DB7" w:rsidRPr="002C5876" w:rsidRDefault="00E24DB7" w:rsidP="00E24DB7">
            <w:pPr>
              <w:spacing w:before="60" w:after="60" w:line="220" w:lineRule="atLeast"/>
              <w:ind w:left="57" w:right="57"/>
              <w:rPr>
                <w:sz w:val="18"/>
                <w:szCs w:val="18"/>
              </w:rPr>
            </w:pPr>
          </w:p>
        </w:tc>
      </w:tr>
      <w:tr w:rsidR="00E24DB7" w:rsidRPr="002C5876" w:rsidTr="00E24DB7">
        <w:trPr>
          <w:trHeight w:val="20"/>
          <w:jc w:val="center"/>
        </w:trPr>
        <w:tc>
          <w:tcPr>
            <w:tcW w:w="1259" w:type="dxa"/>
            <w:tcBorders>
              <w:bottom w:val="nil"/>
            </w:tcBorders>
          </w:tcPr>
          <w:p w:rsidR="00E24DB7" w:rsidRPr="002C5876" w:rsidRDefault="00E24DB7" w:rsidP="00E24DB7">
            <w:pPr>
              <w:spacing w:before="60" w:after="60" w:line="220" w:lineRule="atLeast"/>
              <w:ind w:left="57" w:right="57"/>
              <w:rPr>
                <w:sz w:val="18"/>
                <w:szCs w:val="18"/>
              </w:rPr>
            </w:pPr>
            <w:r w:rsidRPr="002C5876">
              <w:rPr>
                <w:sz w:val="18"/>
                <w:szCs w:val="18"/>
              </w:rPr>
              <w:lastRenderedPageBreak/>
              <w:t xml:space="preserve">Sortie </w:t>
            </w:r>
            <w:r w:rsidRPr="002C5876">
              <w:rPr>
                <w:sz w:val="18"/>
                <w:szCs w:val="18"/>
              </w:rPr>
              <w:br/>
              <w:t>de l’étape 1</w:t>
            </w:r>
          </w:p>
        </w:tc>
        <w:tc>
          <w:tcPr>
            <w:tcW w:w="2115" w:type="dxa"/>
            <w:tcBorders>
              <w:bottom w:val="nil"/>
            </w:tcBorders>
          </w:tcPr>
          <w:p w:rsidR="00E24DB7" w:rsidRPr="002C5876" w:rsidRDefault="00E24DB7" w:rsidP="00E24DB7">
            <w:pPr>
              <w:spacing w:before="60" w:after="60" w:line="220" w:lineRule="atLeast"/>
              <w:ind w:left="57" w:right="57"/>
              <w:rPr>
                <w:sz w:val="18"/>
                <w:szCs w:val="18"/>
              </w:rPr>
            </w:pPr>
            <w:r w:rsidRPr="002C5876">
              <w:rPr>
                <w:sz w:val="18"/>
                <w:szCs w:val="18"/>
              </w:rPr>
              <w:t>E</w:t>
            </w:r>
            <w:r w:rsidRPr="002C5876">
              <w:rPr>
                <w:sz w:val="18"/>
                <w:szCs w:val="18"/>
                <w:vertAlign w:val="subscript"/>
              </w:rPr>
              <w:t>AC</w:t>
            </w:r>
            <w:r w:rsidRPr="002C5876">
              <w:rPr>
                <w:sz w:val="18"/>
                <w:szCs w:val="18"/>
              </w:rPr>
              <w:t>, Wh </w:t>
            </w:r>
          </w:p>
        </w:tc>
        <w:tc>
          <w:tcPr>
            <w:tcW w:w="3147" w:type="dxa"/>
            <w:vMerge w:val="restart"/>
          </w:tcPr>
          <w:p w:rsidR="00E24DB7" w:rsidRPr="002C5876" w:rsidRDefault="00E24DB7" w:rsidP="00E24DB7">
            <w:pPr>
              <w:spacing w:before="60" w:after="60" w:line="220" w:lineRule="atLeast"/>
              <w:ind w:left="57" w:right="57"/>
              <w:rPr>
                <w:sz w:val="18"/>
                <w:szCs w:val="18"/>
              </w:rPr>
            </w:pPr>
            <w:r w:rsidRPr="002C5876">
              <w:rPr>
                <w:sz w:val="18"/>
                <w:szCs w:val="18"/>
              </w:rPr>
              <w:t>Calcul de la consommation d’énergie électrique au niveau du secteur conformément au paragraphe 4.3.4 de la présente annexe.</w:t>
            </w:r>
          </w:p>
          <w:p w:rsidR="00E24DB7" w:rsidRPr="002C5876" w:rsidRDefault="00E24DB7" w:rsidP="00E24DB7">
            <w:pPr>
              <w:spacing w:before="60" w:after="60" w:line="220" w:lineRule="atLeast"/>
              <w:ind w:left="57" w:right="57"/>
              <w:rPr>
                <w:sz w:val="18"/>
                <w:szCs w:val="18"/>
              </w:rPr>
            </w:pPr>
            <w:r w:rsidRPr="002C5876">
              <w:rPr>
                <w:sz w:val="18"/>
                <w:szCs w:val="18"/>
              </w:rPr>
              <w:t>Données de sortie disponibles pour chaque essai.</w:t>
            </w:r>
          </w:p>
          <w:p w:rsidR="00E24DB7" w:rsidRPr="002C5876" w:rsidRDefault="00E24DB7" w:rsidP="00E24DB7">
            <w:pPr>
              <w:spacing w:before="60" w:after="60" w:line="220" w:lineRule="atLeast"/>
              <w:ind w:left="57" w:right="57"/>
              <w:rPr>
                <w:sz w:val="18"/>
                <w:szCs w:val="18"/>
              </w:rPr>
            </w:pPr>
            <w:r w:rsidRPr="002C5876">
              <w:rPr>
                <w:sz w:val="18"/>
                <w:szCs w:val="18"/>
              </w:rPr>
              <w:t>Si la méthode d’interpolation est appliquée, les données de sortie sont disponibles pour les véhicules L et H.</w:t>
            </w:r>
          </w:p>
        </w:tc>
        <w:tc>
          <w:tcPr>
            <w:tcW w:w="2381" w:type="dxa"/>
            <w:vMerge w:val="restart"/>
          </w:tcPr>
          <w:p w:rsidR="00E24DB7" w:rsidRPr="002C5876" w:rsidRDefault="00E24DB7" w:rsidP="00E24DB7">
            <w:pPr>
              <w:spacing w:before="60" w:after="60" w:line="220" w:lineRule="atLeast"/>
              <w:ind w:left="57" w:right="57"/>
              <w:rPr>
                <w:sz w:val="18"/>
                <w:szCs w:val="18"/>
              </w:rPr>
            </w:pPr>
            <w:r w:rsidRPr="002C5876">
              <w:rPr>
                <w:sz w:val="18"/>
                <w:szCs w:val="18"/>
              </w:rPr>
              <w:t>EC</w:t>
            </w:r>
            <w:r w:rsidRPr="002C5876">
              <w:rPr>
                <w:sz w:val="18"/>
                <w:szCs w:val="18"/>
                <w:vertAlign w:val="subscript"/>
              </w:rPr>
              <w:t>WLTC</w:t>
            </w:r>
            <w:r w:rsidRPr="002C5876">
              <w:rPr>
                <w:sz w:val="18"/>
                <w:szCs w:val="18"/>
              </w:rPr>
              <w:t>, Wh/km </w:t>
            </w:r>
            <w:r w:rsidRPr="002C5876">
              <w:rPr>
                <w:sz w:val="18"/>
                <w:szCs w:val="18"/>
              </w:rPr>
              <w:br/>
              <w:t>EC</w:t>
            </w:r>
            <w:r w:rsidRPr="002C5876">
              <w:rPr>
                <w:sz w:val="18"/>
                <w:szCs w:val="18"/>
                <w:vertAlign w:val="subscript"/>
              </w:rPr>
              <w:t>city</w:t>
            </w:r>
            <w:r w:rsidRPr="002C5876">
              <w:rPr>
                <w:sz w:val="18"/>
                <w:szCs w:val="18"/>
              </w:rPr>
              <w:t>, Wh/km </w:t>
            </w:r>
            <w:r w:rsidRPr="002C5876">
              <w:rPr>
                <w:sz w:val="18"/>
                <w:szCs w:val="18"/>
              </w:rPr>
              <w:br/>
              <w:t>EC</w:t>
            </w:r>
            <w:r w:rsidRPr="002C5876">
              <w:rPr>
                <w:sz w:val="18"/>
                <w:szCs w:val="18"/>
                <w:vertAlign w:val="subscript"/>
              </w:rPr>
              <w:t>low</w:t>
            </w:r>
            <w:r w:rsidRPr="002C5876">
              <w:rPr>
                <w:sz w:val="18"/>
                <w:szCs w:val="18"/>
              </w:rPr>
              <w:t>, Wh/km </w:t>
            </w:r>
            <w:r w:rsidRPr="002C5876">
              <w:rPr>
                <w:sz w:val="18"/>
                <w:szCs w:val="18"/>
              </w:rPr>
              <w:br/>
              <w:t>EC</w:t>
            </w:r>
            <w:r w:rsidRPr="002C5876">
              <w:rPr>
                <w:sz w:val="18"/>
                <w:szCs w:val="18"/>
                <w:vertAlign w:val="subscript"/>
              </w:rPr>
              <w:t>med</w:t>
            </w:r>
            <w:r w:rsidRPr="002C5876">
              <w:rPr>
                <w:sz w:val="18"/>
                <w:szCs w:val="18"/>
              </w:rPr>
              <w:t>, Wh/km </w:t>
            </w:r>
            <w:r w:rsidRPr="002C5876">
              <w:rPr>
                <w:sz w:val="18"/>
                <w:szCs w:val="18"/>
              </w:rPr>
              <w:br/>
              <w:t>EC</w:t>
            </w:r>
            <w:r w:rsidRPr="002C5876">
              <w:rPr>
                <w:sz w:val="18"/>
                <w:szCs w:val="18"/>
                <w:vertAlign w:val="subscript"/>
              </w:rPr>
              <w:t>high</w:t>
            </w:r>
            <w:r w:rsidRPr="002C5876">
              <w:rPr>
                <w:sz w:val="18"/>
                <w:szCs w:val="18"/>
              </w:rPr>
              <w:t>, Wh/km </w:t>
            </w:r>
            <w:r w:rsidRPr="002C5876">
              <w:rPr>
                <w:sz w:val="18"/>
                <w:szCs w:val="18"/>
              </w:rPr>
              <w:br/>
              <w:t>EC</w:t>
            </w:r>
            <w:r w:rsidRPr="002C5876">
              <w:rPr>
                <w:sz w:val="18"/>
                <w:szCs w:val="18"/>
                <w:vertAlign w:val="subscript"/>
              </w:rPr>
              <w:t>exHigh</w:t>
            </w:r>
            <w:r w:rsidRPr="002C5876">
              <w:rPr>
                <w:sz w:val="18"/>
                <w:szCs w:val="18"/>
              </w:rPr>
              <w:t>, Wh/km</w:t>
            </w:r>
          </w:p>
        </w:tc>
        <w:tc>
          <w:tcPr>
            <w:tcW w:w="737" w:type="dxa"/>
            <w:vMerge w:val="restart"/>
          </w:tcPr>
          <w:p w:rsidR="00E24DB7" w:rsidRPr="002C5876" w:rsidDel="000166EA" w:rsidRDefault="00E24DB7" w:rsidP="00E24DB7">
            <w:pPr>
              <w:spacing w:before="60" w:after="60" w:line="220" w:lineRule="atLeast"/>
              <w:ind w:left="57" w:right="57"/>
              <w:rPr>
                <w:sz w:val="18"/>
                <w:szCs w:val="18"/>
              </w:rPr>
            </w:pPr>
            <w:r w:rsidRPr="002C5876">
              <w:rPr>
                <w:sz w:val="18"/>
                <w:szCs w:val="18"/>
              </w:rPr>
              <w:t>5</w:t>
            </w:r>
          </w:p>
        </w:tc>
      </w:tr>
      <w:tr w:rsidR="00E24DB7" w:rsidRPr="00D53F39" w:rsidTr="00E24DB7">
        <w:trPr>
          <w:trHeight w:val="20"/>
          <w:jc w:val="center"/>
        </w:trPr>
        <w:tc>
          <w:tcPr>
            <w:tcW w:w="1259" w:type="dxa"/>
            <w:tcBorders>
              <w:top w:val="nil"/>
            </w:tcBorders>
          </w:tcPr>
          <w:p w:rsidR="00E24DB7" w:rsidRPr="002C5876" w:rsidRDefault="00E24DB7" w:rsidP="00E24DB7">
            <w:pPr>
              <w:spacing w:before="60" w:after="60" w:line="220" w:lineRule="atLeast"/>
              <w:ind w:left="57" w:right="57"/>
              <w:rPr>
                <w:sz w:val="18"/>
                <w:szCs w:val="18"/>
              </w:rPr>
            </w:pPr>
            <w:r w:rsidRPr="002C5876">
              <w:rPr>
                <w:sz w:val="18"/>
                <w:szCs w:val="18"/>
              </w:rPr>
              <w:t xml:space="preserve">Sortie </w:t>
            </w:r>
            <w:r w:rsidRPr="002C5876">
              <w:rPr>
                <w:sz w:val="18"/>
                <w:szCs w:val="18"/>
              </w:rPr>
              <w:br/>
              <w:t>de l’étape 4</w:t>
            </w:r>
          </w:p>
        </w:tc>
        <w:tc>
          <w:tcPr>
            <w:tcW w:w="2115" w:type="dxa"/>
            <w:tcBorders>
              <w:top w:val="nil"/>
            </w:tcBorders>
          </w:tcPr>
          <w:p w:rsidR="00E24DB7" w:rsidRPr="00D53F39" w:rsidRDefault="00E24DB7" w:rsidP="00E24DB7">
            <w:pPr>
              <w:spacing w:before="60" w:after="60" w:line="220" w:lineRule="atLeast"/>
              <w:ind w:left="57" w:right="57"/>
              <w:rPr>
                <w:sz w:val="18"/>
                <w:szCs w:val="18"/>
                <w:lang w:val="en-US"/>
              </w:rPr>
            </w:pPr>
            <w:r w:rsidRPr="00D53F39">
              <w:rPr>
                <w:sz w:val="18"/>
                <w:szCs w:val="18"/>
                <w:lang w:val="en-US"/>
              </w:rPr>
              <w:t>PER</w:t>
            </w:r>
            <w:r w:rsidRPr="00D53F39">
              <w:rPr>
                <w:sz w:val="18"/>
                <w:szCs w:val="18"/>
                <w:vertAlign w:val="subscript"/>
                <w:lang w:val="en-US"/>
              </w:rPr>
              <w:t>WLTC</w:t>
            </w:r>
            <w:r w:rsidRPr="00D53F39">
              <w:rPr>
                <w:sz w:val="18"/>
                <w:szCs w:val="18"/>
                <w:lang w:val="en-US"/>
              </w:rPr>
              <w:t>, km </w:t>
            </w:r>
            <w:r w:rsidRPr="00D53F39">
              <w:rPr>
                <w:sz w:val="18"/>
                <w:szCs w:val="18"/>
                <w:lang w:val="en-US"/>
              </w:rPr>
              <w:br/>
              <w:t>PER</w:t>
            </w:r>
            <w:r w:rsidRPr="00D53F39">
              <w:rPr>
                <w:sz w:val="18"/>
                <w:szCs w:val="18"/>
                <w:vertAlign w:val="subscript"/>
                <w:lang w:val="en-US"/>
              </w:rPr>
              <w:t>city</w:t>
            </w:r>
            <w:r w:rsidRPr="00D53F39">
              <w:rPr>
                <w:sz w:val="18"/>
                <w:szCs w:val="18"/>
                <w:lang w:val="en-US"/>
              </w:rPr>
              <w:t>, km </w:t>
            </w:r>
            <w:r w:rsidRPr="00D53F39">
              <w:rPr>
                <w:sz w:val="18"/>
                <w:szCs w:val="18"/>
                <w:lang w:val="en-US"/>
              </w:rPr>
              <w:br/>
              <w:t>PER</w:t>
            </w:r>
            <w:r w:rsidRPr="00D53F39">
              <w:rPr>
                <w:sz w:val="18"/>
                <w:szCs w:val="18"/>
                <w:vertAlign w:val="subscript"/>
                <w:lang w:val="en-US"/>
              </w:rPr>
              <w:t>low</w:t>
            </w:r>
            <w:r w:rsidRPr="00D53F39">
              <w:rPr>
                <w:sz w:val="18"/>
                <w:szCs w:val="18"/>
                <w:lang w:val="en-US"/>
              </w:rPr>
              <w:t>, km </w:t>
            </w:r>
            <w:r w:rsidRPr="00D53F39">
              <w:rPr>
                <w:sz w:val="18"/>
                <w:szCs w:val="18"/>
                <w:lang w:val="en-US"/>
              </w:rPr>
              <w:br/>
              <w:t>PER</w:t>
            </w:r>
            <w:r w:rsidRPr="00D53F39">
              <w:rPr>
                <w:sz w:val="18"/>
                <w:szCs w:val="18"/>
                <w:vertAlign w:val="subscript"/>
                <w:lang w:val="en-US"/>
              </w:rPr>
              <w:t>med</w:t>
            </w:r>
            <w:r w:rsidRPr="00D53F39">
              <w:rPr>
                <w:sz w:val="18"/>
                <w:szCs w:val="18"/>
                <w:lang w:val="en-US"/>
              </w:rPr>
              <w:t>, km </w:t>
            </w:r>
            <w:r w:rsidRPr="00D53F39">
              <w:rPr>
                <w:sz w:val="18"/>
                <w:szCs w:val="18"/>
                <w:lang w:val="en-US"/>
              </w:rPr>
              <w:br/>
              <w:t>PER</w:t>
            </w:r>
            <w:r w:rsidRPr="00D53F39">
              <w:rPr>
                <w:sz w:val="18"/>
                <w:szCs w:val="18"/>
                <w:vertAlign w:val="subscript"/>
                <w:lang w:val="en-US"/>
              </w:rPr>
              <w:t>high</w:t>
            </w:r>
            <w:r w:rsidRPr="00D53F39">
              <w:rPr>
                <w:sz w:val="18"/>
                <w:szCs w:val="18"/>
                <w:lang w:val="en-US"/>
              </w:rPr>
              <w:t>, km </w:t>
            </w:r>
            <w:r w:rsidRPr="00D53F39">
              <w:rPr>
                <w:sz w:val="18"/>
                <w:szCs w:val="18"/>
                <w:lang w:val="en-US"/>
              </w:rPr>
              <w:br/>
              <w:t>PER</w:t>
            </w:r>
            <w:r w:rsidRPr="00D53F39">
              <w:rPr>
                <w:sz w:val="18"/>
                <w:szCs w:val="18"/>
                <w:vertAlign w:val="subscript"/>
                <w:lang w:val="en-US"/>
              </w:rPr>
              <w:t>exHigh</w:t>
            </w:r>
            <w:r w:rsidRPr="00D53F39">
              <w:rPr>
                <w:sz w:val="18"/>
                <w:szCs w:val="18"/>
                <w:lang w:val="en-US"/>
              </w:rPr>
              <w:t>, km</w:t>
            </w:r>
          </w:p>
        </w:tc>
        <w:tc>
          <w:tcPr>
            <w:tcW w:w="3147" w:type="dxa"/>
            <w:vMerge/>
            <w:tcBorders>
              <w:bottom w:val="single" w:sz="4" w:space="0" w:color="auto"/>
            </w:tcBorders>
          </w:tcPr>
          <w:p w:rsidR="00E24DB7" w:rsidRPr="00D53F39" w:rsidRDefault="00E24DB7" w:rsidP="00E24DB7">
            <w:pPr>
              <w:spacing w:before="60" w:after="60" w:line="220" w:lineRule="atLeast"/>
              <w:ind w:left="57" w:right="57"/>
              <w:rPr>
                <w:sz w:val="18"/>
                <w:szCs w:val="18"/>
                <w:lang w:val="en-US"/>
              </w:rPr>
            </w:pPr>
          </w:p>
        </w:tc>
        <w:tc>
          <w:tcPr>
            <w:tcW w:w="2381" w:type="dxa"/>
            <w:vMerge/>
            <w:tcBorders>
              <w:bottom w:val="single" w:sz="4" w:space="0" w:color="auto"/>
            </w:tcBorders>
          </w:tcPr>
          <w:p w:rsidR="00E24DB7" w:rsidRPr="00D53F39" w:rsidRDefault="00E24DB7" w:rsidP="00E24DB7">
            <w:pPr>
              <w:spacing w:before="60" w:after="60" w:line="220" w:lineRule="atLeast"/>
              <w:ind w:left="57" w:right="57"/>
              <w:rPr>
                <w:sz w:val="18"/>
                <w:szCs w:val="18"/>
                <w:lang w:val="en-US"/>
              </w:rPr>
            </w:pPr>
          </w:p>
        </w:tc>
        <w:tc>
          <w:tcPr>
            <w:tcW w:w="737" w:type="dxa"/>
            <w:vMerge/>
            <w:tcBorders>
              <w:bottom w:val="single" w:sz="4" w:space="0" w:color="auto"/>
            </w:tcBorders>
          </w:tcPr>
          <w:p w:rsidR="00E24DB7" w:rsidRPr="00D53F39" w:rsidRDefault="00E24DB7" w:rsidP="00E24DB7">
            <w:pPr>
              <w:spacing w:before="60" w:after="60" w:line="220" w:lineRule="atLeast"/>
              <w:ind w:left="57" w:right="57"/>
              <w:rPr>
                <w:sz w:val="18"/>
                <w:szCs w:val="18"/>
                <w:lang w:val="en-US"/>
              </w:rPr>
            </w:pPr>
          </w:p>
        </w:tc>
      </w:tr>
      <w:tr w:rsidR="00E24DB7" w:rsidRPr="002C5876" w:rsidTr="00E24DB7">
        <w:trPr>
          <w:trHeight w:val="20"/>
          <w:jc w:val="center"/>
        </w:trPr>
        <w:tc>
          <w:tcPr>
            <w:tcW w:w="1259" w:type="dxa"/>
            <w:tcBorders>
              <w:bottom w:val="nil"/>
            </w:tcBorders>
          </w:tcPr>
          <w:p w:rsidR="00E24DB7" w:rsidRPr="002C5876" w:rsidRDefault="00E24DB7" w:rsidP="00E24DB7">
            <w:pPr>
              <w:keepNext/>
              <w:spacing w:before="60" w:after="60" w:line="220" w:lineRule="atLeast"/>
              <w:ind w:left="57" w:right="57"/>
              <w:rPr>
                <w:sz w:val="18"/>
                <w:szCs w:val="18"/>
              </w:rPr>
            </w:pPr>
            <w:r w:rsidRPr="002C5876">
              <w:rPr>
                <w:sz w:val="18"/>
                <w:szCs w:val="18"/>
              </w:rPr>
              <w:t xml:space="preserve">Sortie </w:t>
            </w:r>
            <w:r w:rsidRPr="002C5876">
              <w:rPr>
                <w:sz w:val="18"/>
                <w:szCs w:val="18"/>
              </w:rPr>
              <w:br/>
              <w:t>de l’étape 4</w:t>
            </w:r>
          </w:p>
        </w:tc>
        <w:tc>
          <w:tcPr>
            <w:tcW w:w="2115" w:type="dxa"/>
            <w:tcBorders>
              <w:bottom w:val="nil"/>
            </w:tcBorders>
          </w:tcPr>
          <w:p w:rsidR="00E24DB7" w:rsidRPr="00D53F39" w:rsidRDefault="00E24DB7" w:rsidP="00E24DB7">
            <w:pPr>
              <w:keepNext/>
              <w:spacing w:before="60" w:after="60" w:line="220" w:lineRule="atLeast"/>
              <w:ind w:left="57" w:right="57"/>
              <w:rPr>
                <w:sz w:val="18"/>
                <w:szCs w:val="18"/>
                <w:lang w:val="en-US"/>
              </w:rPr>
            </w:pPr>
            <w:r w:rsidRPr="00D53F39">
              <w:rPr>
                <w:sz w:val="18"/>
                <w:szCs w:val="18"/>
                <w:lang w:val="en-US"/>
              </w:rPr>
              <w:t>PER</w:t>
            </w:r>
            <w:r w:rsidRPr="00D53F39">
              <w:rPr>
                <w:sz w:val="18"/>
                <w:szCs w:val="18"/>
                <w:vertAlign w:val="subscript"/>
                <w:lang w:val="en-US"/>
              </w:rPr>
              <w:t>WLTC</w:t>
            </w:r>
            <w:r w:rsidRPr="00D53F39">
              <w:rPr>
                <w:sz w:val="18"/>
                <w:szCs w:val="18"/>
                <w:lang w:val="en-US"/>
              </w:rPr>
              <w:t>, km </w:t>
            </w:r>
            <w:r w:rsidRPr="00D53F39">
              <w:rPr>
                <w:sz w:val="18"/>
                <w:szCs w:val="18"/>
                <w:lang w:val="en-US"/>
              </w:rPr>
              <w:br/>
              <w:t>PER</w:t>
            </w:r>
            <w:r w:rsidRPr="00D53F39">
              <w:rPr>
                <w:sz w:val="18"/>
                <w:szCs w:val="18"/>
                <w:vertAlign w:val="subscript"/>
                <w:lang w:val="en-US"/>
              </w:rPr>
              <w:t>city</w:t>
            </w:r>
            <w:r w:rsidRPr="00D53F39">
              <w:rPr>
                <w:sz w:val="18"/>
                <w:szCs w:val="18"/>
                <w:lang w:val="en-US"/>
              </w:rPr>
              <w:t>, km </w:t>
            </w:r>
            <w:r w:rsidRPr="00D53F39">
              <w:rPr>
                <w:sz w:val="18"/>
                <w:szCs w:val="18"/>
                <w:lang w:val="en-US"/>
              </w:rPr>
              <w:br/>
              <w:t>PER</w:t>
            </w:r>
            <w:r w:rsidRPr="00D53F39">
              <w:rPr>
                <w:sz w:val="18"/>
                <w:szCs w:val="18"/>
                <w:vertAlign w:val="subscript"/>
                <w:lang w:val="en-US"/>
              </w:rPr>
              <w:t>low</w:t>
            </w:r>
            <w:r w:rsidRPr="00D53F39">
              <w:rPr>
                <w:sz w:val="18"/>
                <w:szCs w:val="18"/>
                <w:lang w:val="en-US"/>
              </w:rPr>
              <w:t>, km </w:t>
            </w:r>
            <w:r w:rsidRPr="00D53F39">
              <w:rPr>
                <w:sz w:val="18"/>
                <w:szCs w:val="18"/>
                <w:lang w:val="en-US"/>
              </w:rPr>
              <w:br/>
              <w:t>PER</w:t>
            </w:r>
            <w:r w:rsidRPr="00D53F39">
              <w:rPr>
                <w:sz w:val="18"/>
                <w:szCs w:val="18"/>
                <w:vertAlign w:val="subscript"/>
                <w:lang w:val="en-US"/>
              </w:rPr>
              <w:t>med</w:t>
            </w:r>
            <w:r w:rsidRPr="00D53F39">
              <w:rPr>
                <w:sz w:val="18"/>
                <w:szCs w:val="18"/>
                <w:lang w:val="en-US"/>
              </w:rPr>
              <w:t>, km </w:t>
            </w:r>
            <w:r w:rsidRPr="00D53F39">
              <w:rPr>
                <w:sz w:val="18"/>
                <w:szCs w:val="18"/>
                <w:lang w:val="en-US"/>
              </w:rPr>
              <w:br/>
              <w:t>PER</w:t>
            </w:r>
            <w:r w:rsidRPr="00D53F39">
              <w:rPr>
                <w:sz w:val="18"/>
                <w:szCs w:val="18"/>
                <w:vertAlign w:val="subscript"/>
                <w:lang w:val="en-US"/>
              </w:rPr>
              <w:t>high</w:t>
            </w:r>
            <w:r w:rsidRPr="00D53F39">
              <w:rPr>
                <w:sz w:val="18"/>
                <w:szCs w:val="18"/>
                <w:lang w:val="en-US"/>
              </w:rPr>
              <w:t>, km </w:t>
            </w:r>
            <w:r w:rsidRPr="00D53F39">
              <w:rPr>
                <w:sz w:val="18"/>
                <w:szCs w:val="18"/>
                <w:lang w:val="en-US"/>
              </w:rPr>
              <w:br/>
              <w:t>PER</w:t>
            </w:r>
            <w:r w:rsidRPr="00D53F39">
              <w:rPr>
                <w:sz w:val="18"/>
                <w:szCs w:val="18"/>
                <w:vertAlign w:val="subscript"/>
                <w:lang w:val="en-US"/>
              </w:rPr>
              <w:t>exHigh</w:t>
            </w:r>
            <w:r w:rsidRPr="00D53F39">
              <w:rPr>
                <w:sz w:val="18"/>
                <w:szCs w:val="18"/>
                <w:lang w:val="en-US"/>
              </w:rPr>
              <w:t>, km </w:t>
            </w:r>
          </w:p>
        </w:tc>
        <w:tc>
          <w:tcPr>
            <w:tcW w:w="3147" w:type="dxa"/>
            <w:vMerge w:val="restart"/>
            <w:tcBorders>
              <w:bottom w:val="nil"/>
            </w:tcBorders>
          </w:tcPr>
          <w:p w:rsidR="00E24DB7" w:rsidRPr="002C5876" w:rsidRDefault="00E24DB7" w:rsidP="00E24DB7">
            <w:pPr>
              <w:keepNext/>
              <w:spacing w:before="60" w:after="120" w:line="220" w:lineRule="atLeast"/>
              <w:ind w:left="57" w:right="57"/>
              <w:rPr>
                <w:sz w:val="18"/>
                <w:szCs w:val="18"/>
              </w:rPr>
            </w:pPr>
            <w:r w:rsidRPr="002C5876">
              <w:rPr>
                <w:sz w:val="18"/>
                <w:szCs w:val="18"/>
              </w:rPr>
              <w:t>Calcul de la moyenne des essais pour toutes les valeurs d’entrée.</w:t>
            </w:r>
          </w:p>
          <w:p w:rsidR="00E24DB7" w:rsidRPr="002C5876" w:rsidRDefault="00E24DB7" w:rsidP="00E24DB7">
            <w:pPr>
              <w:keepNext/>
              <w:spacing w:before="60" w:after="120" w:line="220" w:lineRule="atLeast"/>
              <w:ind w:left="57" w:right="57"/>
              <w:rPr>
                <w:sz w:val="18"/>
                <w:szCs w:val="18"/>
                <w:vertAlign w:val="subscript"/>
              </w:rPr>
            </w:pPr>
            <w:r w:rsidRPr="002C5876">
              <w:rPr>
                <w:sz w:val="18"/>
                <w:szCs w:val="18"/>
              </w:rPr>
              <w:t>Option régionale :</w:t>
            </w:r>
            <w:r w:rsidRPr="002C5876">
              <w:rPr>
                <w:sz w:val="18"/>
                <w:szCs w:val="18"/>
              </w:rPr>
              <w:br/>
              <w:t>EC</w:t>
            </w:r>
            <w:r w:rsidRPr="002C5876">
              <w:rPr>
                <w:sz w:val="18"/>
                <w:szCs w:val="18"/>
                <w:vertAlign w:val="subscript"/>
              </w:rPr>
              <w:t>DC,COP,ave</w:t>
            </w:r>
          </w:p>
          <w:p w:rsidR="00E24DB7" w:rsidRPr="002C5876" w:rsidRDefault="00E24DB7" w:rsidP="00E24DB7">
            <w:pPr>
              <w:keepNext/>
              <w:spacing w:before="60" w:after="120" w:line="220" w:lineRule="atLeast"/>
              <w:ind w:left="57" w:right="57"/>
              <w:rPr>
                <w:sz w:val="18"/>
                <w:szCs w:val="18"/>
              </w:rPr>
            </w:pPr>
            <w:r w:rsidRPr="002C5876">
              <w:rPr>
                <w:sz w:val="18"/>
                <w:szCs w:val="18"/>
              </w:rPr>
              <w:t>Déclaration de PER</w:t>
            </w:r>
            <w:r w:rsidRPr="002C5876">
              <w:rPr>
                <w:sz w:val="18"/>
                <w:szCs w:val="18"/>
                <w:vertAlign w:val="subscript"/>
              </w:rPr>
              <w:t>WLTC,dec</w:t>
            </w:r>
            <w:r w:rsidRPr="002C5876">
              <w:rPr>
                <w:sz w:val="18"/>
                <w:szCs w:val="18"/>
              </w:rPr>
              <w:t xml:space="preserve"> et d’EC</w:t>
            </w:r>
            <w:r w:rsidRPr="002C5876">
              <w:rPr>
                <w:sz w:val="18"/>
                <w:szCs w:val="18"/>
                <w:vertAlign w:val="subscript"/>
              </w:rPr>
              <w:t>WLTC,dec</w:t>
            </w:r>
            <w:r w:rsidRPr="002C5876">
              <w:rPr>
                <w:sz w:val="18"/>
                <w:szCs w:val="18"/>
              </w:rPr>
              <w:t xml:space="preserve"> sur la base de PER</w:t>
            </w:r>
            <w:r w:rsidRPr="002C5876">
              <w:rPr>
                <w:sz w:val="18"/>
                <w:szCs w:val="18"/>
                <w:vertAlign w:val="subscript"/>
              </w:rPr>
              <w:t>WLTC,ave</w:t>
            </w:r>
            <w:r w:rsidRPr="002C5876">
              <w:rPr>
                <w:sz w:val="18"/>
                <w:szCs w:val="18"/>
              </w:rPr>
              <w:t xml:space="preserve"> </w:t>
            </w:r>
            <w:r w:rsidRPr="002C5876">
              <w:rPr>
                <w:sz w:val="18"/>
                <w:szCs w:val="18"/>
              </w:rPr>
              <w:br/>
              <w:t>et d’EC</w:t>
            </w:r>
            <w:r w:rsidRPr="002C5876">
              <w:rPr>
                <w:sz w:val="18"/>
                <w:szCs w:val="18"/>
                <w:vertAlign w:val="subscript"/>
              </w:rPr>
              <w:t>WLTC,ave</w:t>
            </w:r>
            <w:r w:rsidRPr="002C5876">
              <w:rPr>
                <w:sz w:val="18"/>
                <w:szCs w:val="18"/>
              </w:rPr>
              <w:t>.</w:t>
            </w:r>
          </w:p>
          <w:p w:rsidR="00E24DB7" w:rsidRPr="002C5876" w:rsidRDefault="00E24DB7" w:rsidP="00E24DB7">
            <w:pPr>
              <w:keepNext/>
              <w:spacing w:before="60" w:after="60" w:line="220" w:lineRule="atLeast"/>
              <w:ind w:left="57" w:right="57"/>
              <w:rPr>
                <w:sz w:val="18"/>
                <w:szCs w:val="18"/>
              </w:rPr>
            </w:pPr>
            <w:r w:rsidRPr="002C5876">
              <w:rPr>
                <w:sz w:val="18"/>
                <w:szCs w:val="18"/>
              </w:rPr>
              <w:t>Si la méthode d’interpolation est appliquée, les données de sortie sont disponibles pour les véhicules L et H.</w:t>
            </w:r>
          </w:p>
        </w:tc>
        <w:tc>
          <w:tcPr>
            <w:tcW w:w="2381" w:type="dxa"/>
            <w:vMerge w:val="restart"/>
            <w:tcBorders>
              <w:bottom w:val="nil"/>
            </w:tcBorders>
          </w:tcPr>
          <w:p w:rsidR="00E24DB7" w:rsidRPr="00D53F39" w:rsidRDefault="00E24DB7" w:rsidP="00E24DB7">
            <w:pPr>
              <w:keepNext/>
              <w:spacing w:before="60" w:after="60" w:line="220" w:lineRule="atLeast"/>
              <w:ind w:left="57" w:right="57"/>
              <w:rPr>
                <w:sz w:val="18"/>
                <w:szCs w:val="18"/>
                <w:lang w:val="en-US"/>
              </w:rPr>
            </w:pPr>
            <w:r w:rsidRPr="00D53F39">
              <w:rPr>
                <w:sz w:val="18"/>
                <w:szCs w:val="18"/>
                <w:lang w:val="en-US"/>
              </w:rPr>
              <w:t>PER</w:t>
            </w:r>
            <w:r w:rsidRPr="00D53F39">
              <w:rPr>
                <w:sz w:val="18"/>
                <w:szCs w:val="18"/>
                <w:vertAlign w:val="subscript"/>
                <w:lang w:val="en-US"/>
              </w:rPr>
              <w:t>WLTC,dec</w:t>
            </w:r>
            <w:r w:rsidRPr="00D53F39">
              <w:rPr>
                <w:sz w:val="18"/>
                <w:szCs w:val="18"/>
                <w:lang w:val="en-US"/>
              </w:rPr>
              <w:t>, km </w:t>
            </w:r>
            <w:r w:rsidRPr="00D53F39">
              <w:rPr>
                <w:sz w:val="18"/>
                <w:szCs w:val="18"/>
                <w:lang w:val="en-US"/>
              </w:rPr>
              <w:br/>
              <w:t>PER</w:t>
            </w:r>
            <w:r w:rsidRPr="00D53F39">
              <w:rPr>
                <w:sz w:val="18"/>
                <w:szCs w:val="18"/>
                <w:vertAlign w:val="subscript"/>
                <w:lang w:val="en-US"/>
              </w:rPr>
              <w:t>WLTC,ave</w:t>
            </w:r>
            <w:r w:rsidRPr="00D53F39">
              <w:rPr>
                <w:sz w:val="18"/>
                <w:szCs w:val="18"/>
                <w:lang w:val="en-US"/>
              </w:rPr>
              <w:t>, km </w:t>
            </w:r>
            <w:r w:rsidRPr="00D53F39">
              <w:rPr>
                <w:sz w:val="18"/>
                <w:szCs w:val="18"/>
                <w:lang w:val="en-US"/>
              </w:rPr>
              <w:br/>
              <w:t>PER</w:t>
            </w:r>
            <w:r w:rsidRPr="00D53F39">
              <w:rPr>
                <w:sz w:val="18"/>
                <w:szCs w:val="18"/>
                <w:vertAlign w:val="subscript"/>
                <w:lang w:val="en-US"/>
              </w:rPr>
              <w:t>city,ave</w:t>
            </w:r>
            <w:r w:rsidRPr="00D53F39">
              <w:rPr>
                <w:sz w:val="18"/>
                <w:szCs w:val="18"/>
                <w:lang w:val="en-US"/>
              </w:rPr>
              <w:t>, km </w:t>
            </w:r>
            <w:r w:rsidRPr="00D53F39">
              <w:rPr>
                <w:sz w:val="18"/>
                <w:szCs w:val="18"/>
                <w:lang w:val="en-US"/>
              </w:rPr>
              <w:br/>
              <w:t>PER</w:t>
            </w:r>
            <w:r w:rsidRPr="00D53F39">
              <w:rPr>
                <w:sz w:val="18"/>
                <w:szCs w:val="18"/>
                <w:vertAlign w:val="subscript"/>
                <w:lang w:val="en-US"/>
              </w:rPr>
              <w:t>low,ave</w:t>
            </w:r>
            <w:r w:rsidRPr="00D53F39">
              <w:rPr>
                <w:sz w:val="18"/>
                <w:szCs w:val="18"/>
                <w:lang w:val="en-US"/>
              </w:rPr>
              <w:t>, km </w:t>
            </w:r>
            <w:r w:rsidRPr="00D53F39">
              <w:rPr>
                <w:sz w:val="18"/>
                <w:szCs w:val="18"/>
                <w:lang w:val="en-US"/>
              </w:rPr>
              <w:br/>
              <w:t>PER</w:t>
            </w:r>
            <w:r w:rsidRPr="00D53F39">
              <w:rPr>
                <w:sz w:val="18"/>
                <w:szCs w:val="18"/>
                <w:vertAlign w:val="subscript"/>
                <w:lang w:val="en-US"/>
              </w:rPr>
              <w:t>med,ave</w:t>
            </w:r>
            <w:r w:rsidRPr="00D53F39">
              <w:rPr>
                <w:sz w:val="18"/>
                <w:szCs w:val="18"/>
                <w:lang w:val="en-US"/>
              </w:rPr>
              <w:t>, km </w:t>
            </w:r>
            <w:r w:rsidRPr="00D53F39">
              <w:rPr>
                <w:sz w:val="18"/>
                <w:szCs w:val="18"/>
                <w:lang w:val="en-US"/>
              </w:rPr>
              <w:br/>
              <w:t>PER</w:t>
            </w:r>
            <w:r w:rsidRPr="00D53F39">
              <w:rPr>
                <w:sz w:val="18"/>
                <w:szCs w:val="18"/>
                <w:vertAlign w:val="subscript"/>
                <w:lang w:val="en-US"/>
              </w:rPr>
              <w:t>high,ave</w:t>
            </w:r>
            <w:r w:rsidRPr="00D53F39">
              <w:rPr>
                <w:sz w:val="18"/>
                <w:szCs w:val="18"/>
                <w:lang w:val="en-US"/>
              </w:rPr>
              <w:t>, km </w:t>
            </w:r>
            <w:r w:rsidRPr="00D53F39">
              <w:rPr>
                <w:sz w:val="18"/>
                <w:szCs w:val="18"/>
                <w:lang w:val="en-US"/>
              </w:rPr>
              <w:br/>
              <w:t>PER</w:t>
            </w:r>
            <w:r w:rsidRPr="00D53F39">
              <w:rPr>
                <w:sz w:val="18"/>
                <w:szCs w:val="18"/>
                <w:vertAlign w:val="subscript"/>
                <w:lang w:val="en-US"/>
              </w:rPr>
              <w:t>exHigh,ave</w:t>
            </w:r>
            <w:r w:rsidRPr="00D53F39">
              <w:rPr>
                <w:sz w:val="18"/>
                <w:szCs w:val="18"/>
                <w:lang w:val="en-US"/>
              </w:rPr>
              <w:t>, km </w:t>
            </w:r>
            <w:r w:rsidRPr="00D53F39">
              <w:rPr>
                <w:sz w:val="18"/>
                <w:szCs w:val="18"/>
                <w:lang w:val="en-US"/>
              </w:rPr>
              <w:br/>
            </w:r>
          </w:p>
          <w:p w:rsidR="00E24DB7" w:rsidRPr="00D53F39" w:rsidRDefault="00E24DB7" w:rsidP="00E24DB7">
            <w:pPr>
              <w:keepNext/>
              <w:spacing w:before="60" w:after="60" w:line="220" w:lineRule="atLeast"/>
              <w:ind w:left="57" w:right="57"/>
              <w:rPr>
                <w:sz w:val="18"/>
                <w:szCs w:val="18"/>
                <w:lang w:val="en-US"/>
              </w:rPr>
            </w:pPr>
            <w:r w:rsidRPr="00D53F39">
              <w:rPr>
                <w:sz w:val="18"/>
                <w:szCs w:val="18"/>
                <w:lang w:val="en-US"/>
              </w:rPr>
              <w:t>EC</w:t>
            </w:r>
            <w:r w:rsidRPr="00D53F39">
              <w:rPr>
                <w:sz w:val="18"/>
                <w:szCs w:val="18"/>
                <w:vertAlign w:val="subscript"/>
                <w:lang w:val="en-US"/>
              </w:rPr>
              <w:t>WLTC,dec</w:t>
            </w:r>
            <w:r w:rsidRPr="00D53F39">
              <w:rPr>
                <w:sz w:val="18"/>
                <w:szCs w:val="18"/>
                <w:lang w:val="en-US"/>
              </w:rPr>
              <w:t>, Wh/km </w:t>
            </w:r>
            <w:r w:rsidRPr="00D53F39">
              <w:rPr>
                <w:sz w:val="18"/>
                <w:szCs w:val="18"/>
                <w:lang w:val="en-US"/>
              </w:rPr>
              <w:br/>
              <w:t>EC</w:t>
            </w:r>
            <w:r w:rsidRPr="00D53F39">
              <w:rPr>
                <w:sz w:val="18"/>
                <w:szCs w:val="18"/>
                <w:vertAlign w:val="subscript"/>
                <w:lang w:val="en-US"/>
              </w:rPr>
              <w:t>WLTC,ave</w:t>
            </w:r>
            <w:r w:rsidRPr="00D53F39">
              <w:rPr>
                <w:sz w:val="18"/>
                <w:szCs w:val="18"/>
                <w:lang w:val="en-US"/>
              </w:rPr>
              <w:t>, Wh/km </w:t>
            </w:r>
            <w:r w:rsidRPr="00D53F39">
              <w:rPr>
                <w:sz w:val="18"/>
                <w:szCs w:val="18"/>
                <w:lang w:val="en-US"/>
              </w:rPr>
              <w:br/>
              <w:t>EC</w:t>
            </w:r>
            <w:r w:rsidRPr="00D53F39">
              <w:rPr>
                <w:sz w:val="18"/>
                <w:szCs w:val="18"/>
                <w:vertAlign w:val="subscript"/>
                <w:lang w:val="en-US"/>
              </w:rPr>
              <w:t>city,ave</w:t>
            </w:r>
            <w:r w:rsidRPr="00D53F39">
              <w:rPr>
                <w:sz w:val="18"/>
                <w:szCs w:val="18"/>
                <w:lang w:val="en-US"/>
              </w:rPr>
              <w:t>, Wh/km </w:t>
            </w:r>
            <w:r w:rsidRPr="00D53F39">
              <w:rPr>
                <w:sz w:val="18"/>
                <w:szCs w:val="18"/>
                <w:lang w:val="en-US"/>
              </w:rPr>
              <w:br/>
              <w:t>EC</w:t>
            </w:r>
            <w:r w:rsidRPr="00D53F39">
              <w:rPr>
                <w:sz w:val="18"/>
                <w:szCs w:val="18"/>
                <w:vertAlign w:val="subscript"/>
                <w:lang w:val="en-US"/>
              </w:rPr>
              <w:t>low,ave</w:t>
            </w:r>
            <w:r w:rsidRPr="00D53F39">
              <w:rPr>
                <w:sz w:val="18"/>
                <w:szCs w:val="18"/>
                <w:lang w:val="en-US"/>
              </w:rPr>
              <w:t>, Wh/km </w:t>
            </w:r>
            <w:r w:rsidRPr="00D53F39">
              <w:rPr>
                <w:sz w:val="18"/>
                <w:szCs w:val="18"/>
                <w:lang w:val="en-US"/>
              </w:rPr>
              <w:br/>
              <w:t>EC</w:t>
            </w:r>
            <w:r w:rsidRPr="00D53F39">
              <w:rPr>
                <w:sz w:val="18"/>
                <w:szCs w:val="18"/>
                <w:vertAlign w:val="subscript"/>
                <w:lang w:val="en-US"/>
              </w:rPr>
              <w:t>med,ave</w:t>
            </w:r>
            <w:r w:rsidRPr="00D53F39">
              <w:rPr>
                <w:sz w:val="18"/>
                <w:szCs w:val="18"/>
                <w:lang w:val="en-US"/>
              </w:rPr>
              <w:t>, Wh/km </w:t>
            </w:r>
            <w:r w:rsidRPr="00D53F39">
              <w:rPr>
                <w:sz w:val="18"/>
                <w:szCs w:val="18"/>
                <w:lang w:val="en-US"/>
              </w:rPr>
              <w:br/>
              <w:t>EC</w:t>
            </w:r>
            <w:r w:rsidRPr="00D53F39">
              <w:rPr>
                <w:sz w:val="18"/>
                <w:szCs w:val="18"/>
                <w:vertAlign w:val="subscript"/>
                <w:lang w:val="en-US"/>
              </w:rPr>
              <w:t>high,ave</w:t>
            </w:r>
            <w:r w:rsidRPr="00D53F39">
              <w:rPr>
                <w:sz w:val="18"/>
                <w:szCs w:val="18"/>
                <w:lang w:val="en-US"/>
              </w:rPr>
              <w:t>, Wh/km </w:t>
            </w:r>
            <w:r w:rsidRPr="00D53F39">
              <w:rPr>
                <w:sz w:val="18"/>
                <w:szCs w:val="18"/>
                <w:lang w:val="en-US"/>
              </w:rPr>
              <w:br/>
              <w:t>EC</w:t>
            </w:r>
            <w:r w:rsidRPr="00D53F39">
              <w:rPr>
                <w:sz w:val="18"/>
                <w:szCs w:val="18"/>
                <w:vertAlign w:val="subscript"/>
                <w:lang w:val="en-US"/>
              </w:rPr>
              <w:t>exHigh,ave</w:t>
            </w:r>
            <w:r w:rsidRPr="00D53F39">
              <w:rPr>
                <w:sz w:val="18"/>
                <w:szCs w:val="18"/>
                <w:lang w:val="en-US"/>
              </w:rPr>
              <w:t>, Wh/km </w:t>
            </w:r>
            <w:r w:rsidRPr="00D53F39">
              <w:rPr>
                <w:sz w:val="18"/>
                <w:szCs w:val="18"/>
                <w:lang w:val="en-US"/>
              </w:rPr>
              <w:br/>
              <w:t>EC</w:t>
            </w:r>
            <w:r w:rsidRPr="00D53F39">
              <w:rPr>
                <w:sz w:val="18"/>
                <w:szCs w:val="18"/>
                <w:vertAlign w:val="subscript"/>
                <w:lang w:val="en-US"/>
              </w:rPr>
              <w:t>DC,COP,ave</w:t>
            </w:r>
            <w:r w:rsidRPr="00D53F39">
              <w:rPr>
                <w:sz w:val="18"/>
                <w:szCs w:val="18"/>
                <w:lang w:val="en-US"/>
              </w:rPr>
              <w:t>, Wh/km</w:t>
            </w:r>
          </w:p>
        </w:tc>
        <w:tc>
          <w:tcPr>
            <w:tcW w:w="737" w:type="dxa"/>
            <w:vMerge w:val="restart"/>
            <w:tcBorders>
              <w:bottom w:val="nil"/>
            </w:tcBorders>
          </w:tcPr>
          <w:p w:rsidR="00E24DB7" w:rsidRPr="002C5876" w:rsidRDefault="00E24DB7" w:rsidP="00E24DB7">
            <w:pPr>
              <w:keepNext/>
              <w:spacing w:before="60" w:after="60" w:line="220" w:lineRule="atLeast"/>
              <w:ind w:left="57" w:right="57"/>
              <w:rPr>
                <w:sz w:val="18"/>
                <w:szCs w:val="18"/>
              </w:rPr>
            </w:pPr>
            <w:r w:rsidRPr="002C5876">
              <w:rPr>
                <w:sz w:val="18"/>
                <w:szCs w:val="18"/>
              </w:rPr>
              <w:t>6</w:t>
            </w:r>
          </w:p>
        </w:tc>
      </w:tr>
      <w:tr w:rsidR="00E24DB7" w:rsidRPr="002C5876" w:rsidTr="00E24DB7">
        <w:trPr>
          <w:trHeight w:val="20"/>
          <w:jc w:val="center"/>
        </w:trPr>
        <w:tc>
          <w:tcPr>
            <w:tcW w:w="1259" w:type="dxa"/>
            <w:tcBorders>
              <w:top w:val="nil"/>
              <w:bottom w:val="nil"/>
            </w:tcBorders>
          </w:tcPr>
          <w:p w:rsidR="00E24DB7" w:rsidRPr="002C5876" w:rsidRDefault="00E24DB7" w:rsidP="00E24DB7">
            <w:pPr>
              <w:keepNext/>
              <w:spacing w:before="60" w:after="60" w:line="220" w:lineRule="atLeast"/>
              <w:ind w:left="57" w:right="57"/>
              <w:rPr>
                <w:sz w:val="18"/>
                <w:szCs w:val="18"/>
              </w:rPr>
            </w:pPr>
            <w:r w:rsidRPr="002C5876">
              <w:rPr>
                <w:sz w:val="18"/>
                <w:szCs w:val="18"/>
              </w:rPr>
              <w:t xml:space="preserve">Sortie </w:t>
            </w:r>
            <w:r w:rsidRPr="002C5876">
              <w:rPr>
                <w:sz w:val="18"/>
                <w:szCs w:val="18"/>
              </w:rPr>
              <w:br/>
              <w:t>de l’étape 5</w:t>
            </w:r>
          </w:p>
        </w:tc>
        <w:tc>
          <w:tcPr>
            <w:tcW w:w="2115" w:type="dxa"/>
            <w:tcBorders>
              <w:top w:val="nil"/>
              <w:bottom w:val="nil"/>
            </w:tcBorders>
          </w:tcPr>
          <w:p w:rsidR="00E24DB7" w:rsidRPr="002C5876" w:rsidRDefault="00E24DB7" w:rsidP="00E24DB7">
            <w:pPr>
              <w:keepNext/>
              <w:spacing w:before="60" w:after="60" w:line="220" w:lineRule="atLeast"/>
              <w:ind w:left="57" w:right="57"/>
              <w:rPr>
                <w:sz w:val="18"/>
                <w:szCs w:val="18"/>
              </w:rPr>
            </w:pPr>
            <w:r w:rsidRPr="002C5876">
              <w:rPr>
                <w:sz w:val="18"/>
                <w:szCs w:val="18"/>
              </w:rPr>
              <w:t>EC</w:t>
            </w:r>
            <w:r w:rsidRPr="002C5876">
              <w:rPr>
                <w:sz w:val="18"/>
                <w:szCs w:val="18"/>
                <w:vertAlign w:val="subscript"/>
              </w:rPr>
              <w:t>WLTC</w:t>
            </w:r>
            <w:r w:rsidRPr="002C5876">
              <w:rPr>
                <w:sz w:val="18"/>
                <w:szCs w:val="18"/>
              </w:rPr>
              <w:t>, Wh/km </w:t>
            </w:r>
            <w:r w:rsidRPr="002C5876">
              <w:rPr>
                <w:sz w:val="18"/>
                <w:szCs w:val="18"/>
              </w:rPr>
              <w:br/>
              <w:t>EC</w:t>
            </w:r>
            <w:r w:rsidRPr="002C5876">
              <w:rPr>
                <w:sz w:val="18"/>
                <w:szCs w:val="18"/>
                <w:vertAlign w:val="subscript"/>
              </w:rPr>
              <w:t>city</w:t>
            </w:r>
            <w:r w:rsidRPr="002C5876">
              <w:rPr>
                <w:sz w:val="18"/>
                <w:szCs w:val="18"/>
              </w:rPr>
              <w:t>, Wh/km </w:t>
            </w:r>
            <w:r w:rsidRPr="002C5876">
              <w:rPr>
                <w:sz w:val="18"/>
                <w:szCs w:val="18"/>
              </w:rPr>
              <w:br/>
              <w:t>EC</w:t>
            </w:r>
            <w:r w:rsidRPr="002C5876">
              <w:rPr>
                <w:sz w:val="18"/>
                <w:szCs w:val="18"/>
                <w:vertAlign w:val="subscript"/>
              </w:rPr>
              <w:t>low</w:t>
            </w:r>
            <w:r w:rsidRPr="002C5876">
              <w:rPr>
                <w:sz w:val="18"/>
                <w:szCs w:val="18"/>
              </w:rPr>
              <w:t>, Wh/km </w:t>
            </w:r>
            <w:r w:rsidRPr="002C5876">
              <w:rPr>
                <w:sz w:val="18"/>
                <w:szCs w:val="18"/>
              </w:rPr>
              <w:br/>
              <w:t>EC</w:t>
            </w:r>
            <w:r w:rsidRPr="002C5876">
              <w:rPr>
                <w:sz w:val="18"/>
                <w:szCs w:val="18"/>
                <w:vertAlign w:val="subscript"/>
              </w:rPr>
              <w:t>med</w:t>
            </w:r>
            <w:r w:rsidRPr="002C5876">
              <w:rPr>
                <w:sz w:val="18"/>
                <w:szCs w:val="18"/>
              </w:rPr>
              <w:t>, Wh/km </w:t>
            </w:r>
            <w:r w:rsidRPr="002C5876">
              <w:rPr>
                <w:sz w:val="18"/>
                <w:szCs w:val="18"/>
              </w:rPr>
              <w:br/>
              <w:t>EC</w:t>
            </w:r>
            <w:r w:rsidRPr="002C5876">
              <w:rPr>
                <w:sz w:val="18"/>
                <w:szCs w:val="18"/>
                <w:vertAlign w:val="subscript"/>
              </w:rPr>
              <w:t>high</w:t>
            </w:r>
            <w:r w:rsidRPr="002C5876">
              <w:rPr>
                <w:sz w:val="18"/>
                <w:szCs w:val="18"/>
              </w:rPr>
              <w:t>, Wh/km </w:t>
            </w:r>
            <w:r w:rsidRPr="002C5876">
              <w:rPr>
                <w:sz w:val="18"/>
                <w:szCs w:val="18"/>
              </w:rPr>
              <w:br/>
              <w:t>EC</w:t>
            </w:r>
            <w:r w:rsidRPr="002C5876">
              <w:rPr>
                <w:sz w:val="18"/>
                <w:szCs w:val="18"/>
                <w:vertAlign w:val="subscript"/>
              </w:rPr>
              <w:t>exHigh</w:t>
            </w:r>
            <w:r w:rsidRPr="002C5876">
              <w:rPr>
                <w:sz w:val="18"/>
                <w:szCs w:val="18"/>
              </w:rPr>
              <w:t>, Wh/km </w:t>
            </w:r>
          </w:p>
        </w:tc>
        <w:tc>
          <w:tcPr>
            <w:tcW w:w="3147" w:type="dxa"/>
            <w:vMerge/>
            <w:tcBorders>
              <w:bottom w:val="nil"/>
            </w:tcBorders>
          </w:tcPr>
          <w:p w:rsidR="00E24DB7" w:rsidRPr="002C5876" w:rsidRDefault="00E24DB7" w:rsidP="00E24DB7">
            <w:pPr>
              <w:keepNext/>
              <w:spacing w:before="60" w:after="60" w:line="220" w:lineRule="atLeast"/>
              <w:ind w:left="57" w:right="57"/>
              <w:rPr>
                <w:sz w:val="18"/>
                <w:szCs w:val="18"/>
              </w:rPr>
            </w:pPr>
          </w:p>
        </w:tc>
        <w:tc>
          <w:tcPr>
            <w:tcW w:w="2381" w:type="dxa"/>
            <w:vMerge/>
            <w:tcBorders>
              <w:bottom w:val="nil"/>
            </w:tcBorders>
          </w:tcPr>
          <w:p w:rsidR="00E24DB7" w:rsidRPr="002C5876" w:rsidRDefault="00E24DB7" w:rsidP="00E24DB7">
            <w:pPr>
              <w:keepNext/>
              <w:spacing w:before="60" w:after="60" w:line="220" w:lineRule="atLeast"/>
              <w:ind w:left="57" w:right="57"/>
              <w:rPr>
                <w:sz w:val="18"/>
                <w:szCs w:val="18"/>
              </w:rPr>
            </w:pPr>
          </w:p>
        </w:tc>
        <w:tc>
          <w:tcPr>
            <w:tcW w:w="737" w:type="dxa"/>
            <w:vMerge/>
            <w:tcBorders>
              <w:bottom w:val="nil"/>
            </w:tcBorders>
          </w:tcPr>
          <w:p w:rsidR="00E24DB7" w:rsidRPr="002C5876" w:rsidRDefault="00E24DB7" w:rsidP="00E24DB7">
            <w:pPr>
              <w:keepNext/>
              <w:spacing w:before="60" w:after="60" w:line="220" w:lineRule="atLeast"/>
              <w:ind w:left="57" w:right="57"/>
              <w:rPr>
                <w:sz w:val="18"/>
                <w:szCs w:val="18"/>
              </w:rPr>
            </w:pPr>
          </w:p>
        </w:tc>
      </w:tr>
      <w:tr w:rsidR="00E24DB7" w:rsidRPr="002C5876" w:rsidTr="00E24DB7">
        <w:trPr>
          <w:trHeight w:val="20"/>
          <w:jc w:val="center"/>
        </w:trPr>
        <w:tc>
          <w:tcPr>
            <w:tcW w:w="1259" w:type="dxa"/>
            <w:tcBorders>
              <w:top w:val="nil"/>
            </w:tcBorders>
          </w:tcPr>
          <w:p w:rsidR="00E24DB7" w:rsidRPr="002C5876" w:rsidRDefault="00E24DB7" w:rsidP="00E24DB7">
            <w:pPr>
              <w:keepNext/>
              <w:keepLines/>
              <w:spacing w:before="60" w:after="60" w:line="220" w:lineRule="atLeast"/>
              <w:ind w:left="57" w:right="57"/>
              <w:rPr>
                <w:sz w:val="18"/>
                <w:szCs w:val="18"/>
              </w:rPr>
            </w:pPr>
            <w:r w:rsidRPr="002C5876">
              <w:rPr>
                <w:sz w:val="18"/>
                <w:szCs w:val="18"/>
              </w:rPr>
              <w:t xml:space="preserve">Sortie </w:t>
            </w:r>
            <w:r w:rsidRPr="002C5876">
              <w:rPr>
                <w:sz w:val="18"/>
                <w:szCs w:val="18"/>
              </w:rPr>
              <w:br/>
              <w:t>de l’étape 3</w:t>
            </w:r>
          </w:p>
        </w:tc>
        <w:tc>
          <w:tcPr>
            <w:tcW w:w="2115" w:type="dxa"/>
            <w:tcBorders>
              <w:top w:val="nil"/>
            </w:tcBorders>
          </w:tcPr>
          <w:p w:rsidR="00E24DB7" w:rsidRPr="002C5876" w:rsidRDefault="00E24DB7" w:rsidP="00E24DB7">
            <w:pPr>
              <w:keepNext/>
              <w:keepLines/>
              <w:spacing w:before="60" w:after="60" w:line="220" w:lineRule="atLeast"/>
              <w:ind w:left="57" w:right="57"/>
              <w:rPr>
                <w:sz w:val="18"/>
                <w:szCs w:val="18"/>
              </w:rPr>
            </w:pPr>
            <w:r w:rsidRPr="002C5876">
              <w:rPr>
                <w:sz w:val="18"/>
                <w:szCs w:val="18"/>
              </w:rPr>
              <w:t>EC</w:t>
            </w:r>
            <w:r w:rsidRPr="002C5876">
              <w:rPr>
                <w:sz w:val="18"/>
                <w:szCs w:val="18"/>
                <w:vertAlign w:val="subscript"/>
              </w:rPr>
              <w:t>DC,COP,1</w:t>
            </w:r>
            <w:r w:rsidRPr="002C5876">
              <w:rPr>
                <w:sz w:val="18"/>
                <w:szCs w:val="18"/>
              </w:rPr>
              <w:t>, Wh/km</w:t>
            </w:r>
          </w:p>
        </w:tc>
        <w:tc>
          <w:tcPr>
            <w:tcW w:w="3147" w:type="dxa"/>
            <w:vMerge/>
            <w:tcBorders>
              <w:bottom w:val="single" w:sz="4" w:space="0" w:color="auto"/>
            </w:tcBorders>
          </w:tcPr>
          <w:p w:rsidR="00E24DB7" w:rsidRPr="002C5876" w:rsidRDefault="00E24DB7" w:rsidP="00E24DB7">
            <w:pPr>
              <w:keepNext/>
              <w:keepLines/>
              <w:spacing w:before="60" w:after="60" w:line="220" w:lineRule="atLeast"/>
              <w:ind w:left="57" w:right="57"/>
              <w:rPr>
                <w:sz w:val="18"/>
                <w:szCs w:val="18"/>
              </w:rPr>
            </w:pPr>
          </w:p>
        </w:tc>
        <w:tc>
          <w:tcPr>
            <w:tcW w:w="2381" w:type="dxa"/>
            <w:vMerge/>
            <w:tcBorders>
              <w:bottom w:val="single" w:sz="4" w:space="0" w:color="auto"/>
            </w:tcBorders>
          </w:tcPr>
          <w:p w:rsidR="00E24DB7" w:rsidRPr="002C5876" w:rsidRDefault="00E24DB7" w:rsidP="00E24DB7">
            <w:pPr>
              <w:keepNext/>
              <w:keepLines/>
              <w:spacing w:before="60" w:after="60" w:line="220" w:lineRule="atLeast"/>
              <w:ind w:left="57" w:right="57"/>
              <w:rPr>
                <w:sz w:val="18"/>
                <w:szCs w:val="18"/>
              </w:rPr>
            </w:pPr>
          </w:p>
        </w:tc>
        <w:tc>
          <w:tcPr>
            <w:tcW w:w="737" w:type="dxa"/>
            <w:vMerge/>
            <w:tcBorders>
              <w:bottom w:val="single" w:sz="4" w:space="0" w:color="auto"/>
            </w:tcBorders>
          </w:tcPr>
          <w:p w:rsidR="00E24DB7" w:rsidRPr="002C5876" w:rsidRDefault="00E24DB7" w:rsidP="00E24DB7">
            <w:pPr>
              <w:keepNext/>
              <w:keepLines/>
              <w:spacing w:before="60" w:after="60" w:line="220" w:lineRule="atLeast"/>
              <w:ind w:left="57" w:right="57"/>
              <w:rPr>
                <w:sz w:val="18"/>
                <w:szCs w:val="18"/>
              </w:rPr>
            </w:pPr>
          </w:p>
        </w:tc>
      </w:tr>
      <w:tr w:rsidR="00E24DB7" w:rsidRPr="002C5876" w:rsidTr="00E24DB7">
        <w:trPr>
          <w:trHeight w:val="20"/>
          <w:jc w:val="center"/>
        </w:trPr>
        <w:tc>
          <w:tcPr>
            <w:tcW w:w="1259" w:type="dxa"/>
            <w:tcBorders>
              <w:bottom w:val="single" w:sz="4" w:space="0" w:color="auto"/>
            </w:tcBorders>
          </w:tcPr>
          <w:p w:rsidR="00E24DB7" w:rsidRPr="002C5876" w:rsidRDefault="00E24DB7" w:rsidP="00E24DB7">
            <w:pPr>
              <w:keepNext/>
              <w:keepLines/>
              <w:spacing w:before="60" w:after="60" w:line="220" w:lineRule="atLeast"/>
              <w:ind w:left="57" w:right="57"/>
              <w:rPr>
                <w:sz w:val="18"/>
                <w:szCs w:val="18"/>
              </w:rPr>
            </w:pPr>
            <w:r w:rsidRPr="002C5876">
              <w:rPr>
                <w:sz w:val="18"/>
                <w:szCs w:val="18"/>
              </w:rPr>
              <w:t xml:space="preserve">Sortie </w:t>
            </w:r>
            <w:r w:rsidRPr="002C5876">
              <w:rPr>
                <w:sz w:val="18"/>
                <w:szCs w:val="18"/>
              </w:rPr>
              <w:br/>
              <w:t>de l’étape 6</w:t>
            </w:r>
          </w:p>
        </w:tc>
        <w:tc>
          <w:tcPr>
            <w:tcW w:w="2115" w:type="dxa"/>
            <w:tcBorders>
              <w:bottom w:val="single" w:sz="4" w:space="0" w:color="auto"/>
            </w:tcBorders>
          </w:tcPr>
          <w:p w:rsidR="00E24DB7" w:rsidRPr="00D53F39" w:rsidRDefault="00E24DB7" w:rsidP="00E24DB7">
            <w:pPr>
              <w:keepNext/>
              <w:keepLines/>
              <w:spacing w:before="60" w:after="60" w:line="220" w:lineRule="atLeast"/>
              <w:ind w:left="57" w:right="57"/>
              <w:rPr>
                <w:sz w:val="18"/>
                <w:szCs w:val="18"/>
                <w:lang w:val="en-US"/>
              </w:rPr>
            </w:pPr>
            <w:r w:rsidRPr="00D53F39">
              <w:rPr>
                <w:sz w:val="18"/>
                <w:szCs w:val="18"/>
                <w:lang w:val="en-US"/>
              </w:rPr>
              <w:t>EC</w:t>
            </w:r>
            <w:r w:rsidRPr="00D53F39">
              <w:rPr>
                <w:sz w:val="18"/>
                <w:szCs w:val="18"/>
                <w:vertAlign w:val="subscript"/>
                <w:lang w:val="en-US"/>
              </w:rPr>
              <w:t>WLTC,dec</w:t>
            </w:r>
            <w:r w:rsidRPr="00D53F39">
              <w:rPr>
                <w:sz w:val="18"/>
                <w:szCs w:val="18"/>
                <w:lang w:val="en-US"/>
              </w:rPr>
              <w:t>, Wh/km </w:t>
            </w:r>
            <w:r w:rsidRPr="00D53F39">
              <w:rPr>
                <w:sz w:val="18"/>
                <w:szCs w:val="18"/>
                <w:lang w:val="en-US"/>
              </w:rPr>
              <w:br/>
              <w:t>EC</w:t>
            </w:r>
            <w:r w:rsidRPr="00D53F39">
              <w:rPr>
                <w:sz w:val="18"/>
                <w:szCs w:val="18"/>
                <w:vertAlign w:val="subscript"/>
                <w:lang w:val="en-US"/>
              </w:rPr>
              <w:t>WLTC,ave</w:t>
            </w:r>
            <w:r w:rsidRPr="00D53F39">
              <w:rPr>
                <w:sz w:val="18"/>
                <w:szCs w:val="18"/>
                <w:lang w:val="en-US"/>
              </w:rPr>
              <w:t>, Wh/km </w:t>
            </w:r>
            <w:r w:rsidRPr="00D53F39">
              <w:rPr>
                <w:sz w:val="18"/>
                <w:szCs w:val="18"/>
                <w:lang w:val="en-US"/>
              </w:rPr>
              <w:br/>
              <w:t>EC</w:t>
            </w:r>
            <w:r w:rsidRPr="00D53F39">
              <w:rPr>
                <w:sz w:val="18"/>
                <w:szCs w:val="18"/>
                <w:vertAlign w:val="subscript"/>
                <w:lang w:val="en-US"/>
              </w:rPr>
              <w:t>DC,COP,ave</w:t>
            </w:r>
            <w:r w:rsidRPr="00D53F39">
              <w:rPr>
                <w:sz w:val="18"/>
                <w:szCs w:val="18"/>
                <w:lang w:val="en-US"/>
              </w:rPr>
              <w:t>, Wh/km</w:t>
            </w:r>
          </w:p>
        </w:tc>
        <w:tc>
          <w:tcPr>
            <w:tcW w:w="3147" w:type="dxa"/>
            <w:tcBorders>
              <w:top w:val="single" w:sz="4" w:space="0" w:color="auto"/>
              <w:bottom w:val="single" w:sz="4" w:space="0" w:color="auto"/>
            </w:tcBorders>
          </w:tcPr>
          <w:p w:rsidR="00E24DB7" w:rsidRPr="002C5876" w:rsidRDefault="00E24DB7" w:rsidP="00E24DB7">
            <w:pPr>
              <w:keepNext/>
              <w:keepLines/>
              <w:spacing w:before="60" w:after="60" w:line="220" w:lineRule="atLeast"/>
              <w:ind w:left="57" w:right="57"/>
              <w:rPr>
                <w:sz w:val="18"/>
                <w:szCs w:val="18"/>
              </w:rPr>
            </w:pPr>
            <w:r w:rsidRPr="002C5876">
              <w:rPr>
                <w:sz w:val="18"/>
                <w:szCs w:val="18"/>
              </w:rPr>
              <w:t>Option régionale :</w:t>
            </w:r>
          </w:p>
          <w:p w:rsidR="00E24DB7" w:rsidRPr="002C5876" w:rsidRDefault="00E24DB7" w:rsidP="00E24DB7">
            <w:pPr>
              <w:keepNext/>
              <w:keepLines/>
              <w:spacing w:before="60" w:after="60" w:line="220" w:lineRule="atLeast"/>
              <w:ind w:left="57" w:right="57"/>
              <w:rPr>
                <w:sz w:val="18"/>
                <w:szCs w:val="18"/>
              </w:rPr>
            </w:pPr>
            <w:r w:rsidRPr="002C5876">
              <w:rPr>
                <w:sz w:val="18"/>
                <w:szCs w:val="18"/>
              </w:rPr>
              <w:t>Détermination du facteur d’ajustement et application à EC</w:t>
            </w:r>
            <w:r w:rsidRPr="002C5876">
              <w:rPr>
                <w:sz w:val="18"/>
                <w:szCs w:val="18"/>
                <w:vertAlign w:val="subscript"/>
              </w:rPr>
              <w:t>DC,COP,ave</w:t>
            </w:r>
            <w:r w:rsidRPr="002C5876">
              <w:rPr>
                <w:sz w:val="18"/>
                <w:szCs w:val="18"/>
              </w:rPr>
              <w:t>.</w:t>
            </w:r>
          </w:p>
          <w:p w:rsidR="00E24DB7" w:rsidRPr="002C5876" w:rsidRDefault="00E24DB7" w:rsidP="00E24DB7">
            <w:pPr>
              <w:keepNext/>
              <w:keepLines/>
              <w:spacing w:before="60" w:after="60" w:line="220" w:lineRule="atLeast"/>
              <w:ind w:left="57" w:right="57"/>
              <w:rPr>
                <w:sz w:val="18"/>
                <w:szCs w:val="18"/>
              </w:rPr>
            </w:pPr>
            <w:r w:rsidRPr="002C5876">
              <w:rPr>
                <w:sz w:val="18"/>
                <w:szCs w:val="18"/>
              </w:rPr>
              <w:t>Par exemple :</w:t>
            </w:r>
          </w:p>
          <w:p w:rsidR="00E24DB7" w:rsidRPr="002C5876" w:rsidRDefault="00E24DB7" w:rsidP="00E24DB7">
            <w:pPr>
              <w:keepNext/>
              <w:keepLines/>
              <w:spacing w:before="60" w:after="60" w:line="220" w:lineRule="atLeast"/>
              <w:ind w:left="57" w:right="57"/>
              <w:rPr>
                <w:sz w:val="18"/>
                <w:szCs w:val="18"/>
              </w:rPr>
            </w:pPr>
            <m:oMathPara>
              <m:oMathParaPr>
                <m:jc m:val="left"/>
              </m:oMathParaPr>
              <m:oMath>
                <m:r>
                  <m:rPr>
                    <m:sty m:val="p"/>
                  </m:rPr>
                  <w:rPr>
                    <w:rFonts w:ascii="Cambria Math" w:hAnsi="Cambria Math" w:cstheme="majorBidi"/>
                  </w:rPr>
                  <m:t>AF=</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WLTC,dec</m:t>
                        </m:r>
                      </m:sub>
                    </m:sSub>
                  </m:num>
                  <m:den>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WLTC,ave</m:t>
                        </m:r>
                      </m:sub>
                    </m:sSub>
                  </m:den>
                </m:f>
              </m:oMath>
            </m:oMathPara>
          </w:p>
          <w:p w:rsidR="00E24DB7" w:rsidRPr="002C5876" w:rsidRDefault="00731CA6" w:rsidP="00E24DB7">
            <w:pPr>
              <w:keepNext/>
              <w:keepLines/>
              <w:spacing w:before="60" w:after="60" w:line="220" w:lineRule="atLeast"/>
              <w:ind w:left="57" w:right="57"/>
              <w:rPr>
                <w:sz w:val="18"/>
                <w:szCs w:val="18"/>
              </w:rPr>
            </w:pPr>
            <m:oMathPara>
              <m:oMathParaPr>
                <m:jc m:val="left"/>
              </m:oMathParaPr>
              <m:oMath>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DC,COP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DC,COP,ave</m:t>
                    </m:r>
                  </m:sub>
                </m:sSub>
                <m:r>
                  <m:rPr>
                    <m:sty m:val="p"/>
                  </m:rPr>
                  <w:rPr>
                    <w:rFonts w:ascii="Cambria Math" w:hAnsi="Cambria Math" w:cstheme="majorBidi"/>
                  </w:rPr>
                  <m:t>×AF</m:t>
                </m:r>
              </m:oMath>
            </m:oMathPara>
          </w:p>
          <w:p w:rsidR="00E24DB7" w:rsidRPr="002C5876" w:rsidRDefault="00E24DB7" w:rsidP="00E24DB7">
            <w:pPr>
              <w:keepNext/>
              <w:keepLines/>
              <w:spacing w:before="60" w:after="60" w:line="220" w:lineRule="atLeast"/>
              <w:ind w:left="57" w:right="57"/>
              <w:rPr>
                <w:sz w:val="18"/>
                <w:szCs w:val="18"/>
              </w:rPr>
            </w:pPr>
            <w:r w:rsidRPr="002C5876">
              <w:rPr>
                <w:sz w:val="18"/>
                <w:szCs w:val="18"/>
              </w:rPr>
              <w:t>Si la méthode d’interpolation est appliquée, les données de sortie sont disponibles pour les véhicules L et H.</w:t>
            </w:r>
          </w:p>
        </w:tc>
        <w:tc>
          <w:tcPr>
            <w:tcW w:w="2381" w:type="dxa"/>
            <w:tcBorders>
              <w:top w:val="single" w:sz="4" w:space="0" w:color="auto"/>
              <w:bottom w:val="single" w:sz="4" w:space="0" w:color="auto"/>
            </w:tcBorders>
          </w:tcPr>
          <w:p w:rsidR="00E24DB7" w:rsidRPr="002C5876" w:rsidRDefault="00E24DB7" w:rsidP="00E24DB7">
            <w:pPr>
              <w:keepNext/>
              <w:keepLines/>
              <w:spacing w:before="60" w:after="60" w:line="220" w:lineRule="atLeast"/>
              <w:ind w:left="57" w:right="57"/>
              <w:rPr>
                <w:sz w:val="18"/>
                <w:szCs w:val="18"/>
              </w:rPr>
            </w:pPr>
            <w:r w:rsidRPr="002C5876">
              <w:rPr>
                <w:sz w:val="18"/>
                <w:szCs w:val="18"/>
              </w:rPr>
              <w:t>EC</w:t>
            </w:r>
            <w:r w:rsidRPr="002C5876">
              <w:rPr>
                <w:sz w:val="18"/>
                <w:szCs w:val="18"/>
                <w:vertAlign w:val="subscript"/>
              </w:rPr>
              <w:t>DC,COP</w:t>
            </w:r>
            <w:r w:rsidRPr="002C5876">
              <w:rPr>
                <w:sz w:val="18"/>
                <w:szCs w:val="18"/>
              </w:rPr>
              <w:t>, Wh/km</w:t>
            </w:r>
          </w:p>
        </w:tc>
        <w:tc>
          <w:tcPr>
            <w:tcW w:w="737" w:type="dxa"/>
            <w:tcBorders>
              <w:top w:val="single" w:sz="4" w:space="0" w:color="auto"/>
            </w:tcBorders>
          </w:tcPr>
          <w:p w:rsidR="00E24DB7" w:rsidRPr="002C5876" w:rsidRDefault="00E24DB7" w:rsidP="00E24DB7">
            <w:pPr>
              <w:keepNext/>
              <w:keepLines/>
              <w:spacing w:before="60" w:after="60" w:line="220" w:lineRule="atLeast"/>
              <w:ind w:left="57" w:right="57"/>
              <w:rPr>
                <w:sz w:val="18"/>
                <w:szCs w:val="18"/>
              </w:rPr>
            </w:pPr>
            <w:r w:rsidRPr="002C5876">
              <w:rPr>
                <w:sz w:val="18"/>
                <w:szCs w:val="18"/>
              </w:rPr>
              <w:t>7</w:t>
            </w:r>
          </w:p>
        </w:tc>
      </w:tr>
      <w:tr w:rsidR="00E24DB7" w:rsidRPr="002C5876" w:rsidTr="00E24DB7">
        <w:trPr>
          <w:trHeight w:val="20"/>
          <w:jc w:val="center"/>
        </w:trPr>
        <w:tc>
          <w:tcPr>
            <w:tcW w:w="1259" w:type="dxa"/>
            <w:tcBorders>
              <w:bottom w:val="nil"/>
            </w:tcBorders>
          </w:tcPr>
          <w:p w:rsidR="00E24DB7" w:rsidRPr="002C5876" w:rsidRDefault="00E24DB7" w:rsidP="00E24DB7">
            <w:pPr>
              <w:spacing w:before="60" w:after="60" w:line="220" w:lineRule="atLeast"/>
              <w:ind w:left="57" w:right="57"/>
              <w:rPr>
                <w:sz w:val="18"/>
                <w:szCs w:val="18"/>
              </w:rPr>
            </w:pPr>
            <w:r w:rsidRPr="002C5876">
              <w:rPr>
                <w:sz w:val="18"/>
                <w:szCs w:val="18"/>
              </w:rPr>
              <w:t xml:space="preserve">Sortie </w:t>
            </w:r>
            <w:r w:rsidRPr="002C5876">
              <w:rPr>
                <w:sz w:val="18"/>
                <w:szCs w:val="18"/>
              </w:rPr>
              <w:br/>
              <w:t>de l’étape 6</w:t>
            </w:r>
          </w:p>
        </w:tc>
        <w:tc>
          <w:tcPr>
            <w:tcW w:w="2115" w:type="dxa"/>
            <w:tcBorders>
              <w:bottom w:val="nil"/>
            </w:tcBorders>
          </w:tcPr>
          <w:p w:rsidR="00E24DB7" w:rsidRPr="00D53F39" w:rsidRDefault="00E24DB7" w:rsidP="00E24DB7">
            <w:pPr>
              <w:spacing w:before="60" w:after="60" w:line="220" w:lineRule="atLeast"/>
              <w:ind w:left="57" w:right="57"/>
              <w:rPr>
                <w:sz w:val="18"/>
                <w:szCs w:val="18"/>
                <w:lang w:val="en-US"/>
              </w:rPr>
            </w:pPr>
            <w:r w:rsidRPr="00D53F39">
              <w:rPr>
                <w:sz w:val="18"/>
                <w:szCs w:val="18"/>
                <w:lang w:val="en-US"/>
              </w:rPr>
              <w:t>PER</w:t>
            </w:r>
            <w:r w:rsidRPr="00D53F39">
              <w:rPr>
                <w:sz w:val="18"/>
                <w:szCs w:val="18"/>
                <w:vertAlign w:val="subscript"/>
                <w:lang w:val="en-US"/>
              </w:rPr>
              <w:t>WLTC,dec</w:t>
            </w:r>
            <w:r w:rsidRPr="00D53F39">
              <w:rPr>
                <w:sz w:val="18"/>
                <w:szCs w:val="18"/>
                <w:lang w:val="en-US"/>
              </w:rPr>
              <w:t>, km </w:t>
            </w:r>
            <w:r w:rsidRPr="00D53F39">
              <w:rPr>
                <w:sz w:val="18"/>
                <w:szCs w:val="18"/>
                <w:lang w:val="en-US"/>
              </w:rPr>
              <w:br/>
              <w:t>PER</w:t>
            </w:r>
            <w:r w:rsidRPr="00D53F39">
              <w:rPr>
                <w:sz w:val="18"/>
                <w:szCs w:val="18"/>
                <w:vertAlign w:val="subscript"/>
                <w:lang w:val="en-US"/>
              </w:rPr>
              <w:t>city,ave</w:t>
            </w:r>
            <w:r w:rsidRPr="00D53F39">
              <w:rPr>
                <w:sz w:val="18"/>
                <w:szCs w:val="18"/>
                <w:lang w:val="en-US"/>
              </w:rPr>
              <w:t>, km </w:t>
            </w:r>
            <w:r w:rsidRPr="00D53F39">
              <w:rPr>
                <w:sz w:val="18"/>
                <w:szCs w:val="18"/>
                <w:lang w:val="en-US"/>
              </w:rPr>
              <w:br/>
              <w:t>PER</w:t>
            </w:r>
            <w:r w:rsidRPr="00D53F39">
              <w:rPr>
                <w:sz w:val="18"/>
                <w:szCs w:val="18"/>
                <w:vertAlign w:val="subscript"/>
                <w:lang w:val="en-US"/>
              </w:rPr>
              <w:t>low,ave</w:t>
            </w:r>
            <w:r w:rsidRPr="00D53F39">
              <w:rPr>
                <w:sz w:val="18"/>
                <w:szCs w:val="18"/>
                <w:lang w:val="en-US"/>
              </w:rPr>
              <w:t>, km </w:t>
            </w:r>
            <w:r w:rsidRPr="00D53F39">
              <w:rPr>
                <w:sz w:val="18"/>
                <w:szCs w:val="18"/>
                <w:lang w:val="en-US"/>
              </w:rPr>
              <w:br/>
              <w:t>PER</w:t>
            </w:r>
            <w:r w:rsidRPr="00D53F39">
              <w:rPr>
                <w:sz w:val="18"/>
                <w:szCs w:val="18"/>
                <w:vertAlign w:val="subscript"/>
                <w:lang w:val="en-US"/>
              </w:rPr>
              <w:t>med,ave</w:t>
            </w:r>
            <w:r w:rsidRPr="00D53F39">
              <w:rPr>
                <w:sz w:val="18"/>
                <w:szCs w:val="18"/>
                <w:lang w:val="en-US"/>
              </w:rPr>
              <w:t>, km </w:t>
            </w:r>
            <w:r w:rsidRPr="00D53F39">
              <w:rPr>
                <w:sz w:val="18"/>
                <w:szCs w:val="18"/>
                <w:lang w:val="en-US"/>
              </w:rPr>
              <w:br/>
              <w:t>PER</w:t>
            </w:r>
            <w:r w:rsidRPr="00D53F39">
              <w:rPr>
                <w:sz w:val="18"/>
                <w:szCs w:val="18"/>
                <w:vertAlign w:val="subscript"/>
                <w:lang w:val="en-US"/>
              </w:rPr>
              <w:t>high,ave</w:t>
            </w:r>
            <w:r w:rsidRPr="00D53F39">
              <w:rPr>
                <w:sz w:val="18"/>
                <w:szCs w:val="18"/>
                <w:lang w:val="en-US"/>
              </w:rPr>
              <w:t>, km </w:t>
            </w:r>
            <w:r w:rsidRPr="00D53F39">
              <w:rPr>
                <w:sz w:val="18"/>
                <w:szCs w:val="18"/>
                <w:lang w:val="en-US"/>
              </w:rPr>
              <w:br/>
              <w:t>PER</w:t>
            </w:r>
            <w:r w:rsidRPr="00D53F39">
              <w:rPr>
                <w:sz w:val="18"/>
                <w:szCs w:val="18"/>
                <w:vertAlign w:val="subscript"/>
                <w:lang w:val="en-US"/>
              </w:rPr>
              <w:t>exHigh,ave</w:t>
            </w:r>
            <w:r w:rsidRPr="00D53F39">
              <w:rPr>
                <w:sz w:val="18"/>
                <w:szCs w:val="18"/>
                <w:lang w:val="en-US"/>
              </w:rPr>
              <w:t>, km</w:t>
            </w:r>
          </w:p>
        </w:tc>
        <w:tc>
          <w:tcPr>
            <w:tcW w:w="3147" w:type="dxa"/>
            <w:vMerge w:val="restart"/>
          </w:tcPr>
          <w:p w:rsidR="00E24DB7" w:rsidRPr="002C5876" w:rsidRDefault="00E24DB7" w:rsidP="00E24DB7">
            <w:pPr>
              <w:spacing w:before="60" w:after="120" w:line="220" w:lineRule="atLeast"/>
              <w:ind w:left="57" w:right="57"/>
              <w:rPr>
                <w:sz w:val="18"/>
                <w:szCs w:val="18"/>
              </w:rPr>
            </w:pPr>
            <w:r w:rsidRPr="002C5876">
              <w:rPr>
                <w:sz w:val="18"/>
                <w:szCs w:val="18"/>
              </w:rPr>
              <w:t>Arrondi intermédiaire.</w:t>
            </w:r>
          </w:p>
          <w:p w:rsidR="00E24DB7" w:rsidRPr="002C5876" w:rsidRDefault="00E24DB7" w:rsidP="00E24DB7">
            <w:pPr>
              <w:spacing w:before="60" w:after="120" w:line="220" w:lineRule="atLeast"/>
              <w:ind w:left="57" w:right="57"/>
              <w:rPr>
                <w:sz w:val="18"/>
                <w:szCs w:val="18"/>
              </w:rPr>
            </w:pPr>
            <w:r w:rsidRPr="002C5876">
              <w:rPr>
                <w:sz w:val="18"/>
                <w:szCs w:val="18"/>
              </w:rPr>
              <w:t>Option régionale :</w:t>
            </w:r>
            <w:r w:rsidRPr="002C5876">
              <w:rPr>
                <w:sz w:val="18"/>
                <w:szCs w:val="18"/>
              </w:rPr>
              <w:br/>
              <w:t>EC</w:t>
            </w:r>
            <w:r w:rsidRPr="002C5876">
              <w:rPr>
                <w:sz w:val="18"/>
                <w:szCs w:val="18"/>
                <w:vertAlign w:val="subscript"/>
              </w:rPr>
              <w:t>DC,COP,final</w:t>
            </w:r>
            <w:r w:rsidRPr="002C5876">
              <w:rPr>
                <w:sz w:val="18"/>
                <w:szCs w:val="18"/>
              </w:rPr>
              <w:t xml:space="preserve"> </w:t>
            </w:r>
          </w:p>
          <w:p w:rsidR="00E24DB7" w:rsidRPr="002C5876" w:rsidRDefault="00E24DB7" w:rsidP="00E24DB7">
            <w:pPr>
              <w:spacing w:before="60" w:after="60" w:line="220" w:lineRule="atLeast"/>
              <w:ind w:left="57" w:right="57"/>
              <w:rPr>
                <w:sz w:val="18"/>
                <w:szCs w:val="18"/>
              </w:rPr>
            </w:pPr>
            <w:r w:rsidRPr="002C5876">
              <w:rPr>
                <w:sz w:val="18"/>
                <w:szCs w:val="18"/>
              </w:rPr>
              <w:t>Si la méthode d’interpolation est appliquée, les données de sortie sont disponibles pour les véhicules L et H.</w:t>
            </w:r>
          </w:p>
        </w:tc>
        <w:tc>
          <w:tcPr>
            <w:tcW w:w="2381" w:type="dxa"/>
            <w:tcBorders>
              <w:bottom w:val="nil"/>
            </w:tcBorders>
          </w:tcPr>
          <w:p w:rsidR="00E24DB7" w:rsidRPr="00D53F39" w:rsidRDefault="00E24DB7" w:rsidP="00E24DB7">
            <w:pPr>
              <w:spacing w:before="60" w:after="60" w:line="220" w:lineRule="atLeast"/>
              <w:ind w:left="57" w:right="57"/>
              <w:rPr>
                <w:sz w:val="18"/>
                <w:szCs w:val="18"/>
                <w:lang w:val="en-US"/>
              </w:rPr>
            </w:pPr>
            <w:r w:rsidRPr="00D53F39">
              <w:rPr>
                <w:sz w:val="18"/>
                <w:szCs w:val="18"/>
                <w:lang w:val="en-US"/>
              </w:rPr>
              <w:t>PER</w:t>
            </w:r>
            <w:r w:rsidRPr="00D53F39">
              <w:rPr>
                <w:sz w:val="18"/>
                <w:szCs w:val="18"/>
                <w:vertAlign w:val="subscript"/>
                <w:lang w:val="en-US"/>
              </w:rPr>
              <w:t>WLTC,final</w:t>
            </w:r>
            <w:r w:rsidRPr="00D53F39">
              <w:rPr>
                <w:sz w:val="18"/>
                <w:szCs w:val="18"/>
                <w:lang w:val="en-US"/>
              </w:rPr>
              <w:t>, km </w:t>
            </w:r>
            <w:r w:rsidRPr="00D53F39">
              <w:rPr>
                <w:sz w:val="18"/>
                <w:szCs w:val="18"/>
                <w:lang w:val="en-US"/>
              </w:rPr>
              <w:br/>
              <w:t>PER</w:t>
            </w:r>
            <w:r w:rsidRPr="00D53F39">
              <w:rPr>
                <w:sz w:val="18"/>
                <w:szCs w:val="18"/>
                <w:vertAlign w:val="subscript"/>
                <w:lang w:val="en-US"/>
              </w:rPr>
              <w:t>city,final</w:t>
            </w:r>
            <w:r w:rsidRPr="00D53F39">
              <w:rPr>
                <w:sz w:val="18"/>
                <w:szCs w:val="18"/>
                <w:lang w:val="en-US"/>
              </w:rPr>
              <w:t>, km </w:t>
            </w:r>
            <w:r w:rsidRPr="00D53F39">
              <w:rPr>
                <w:sz w:val="18"/>
                <w:szCs w:val="18"/>
                <w:lang w:val="en-US"/>
              </w:rPr>
              <w:br/>
              <w:t>PER</w:t>
            </w:r>
            <w:r w:rsidRPr="00D53F39">
              <w:rPr>
                <w:sz w:val="18"/>
                <w:szCs w:val="18"/>
                <w:vertAlign w:val="subscript"/>
                <w:lang w:val="en-US"/>
              </w:rPr>
              <w:t>low,final</w:t>
            </w:r>
            <w:r w:rsidRPr="00D53F39">
              <w:rPr>
                <w:sz w:val="18"/>
                <w:szCs w:val="18"/>
                <w:lang w:val="en-US"/>
              </w:rPr>
              <w:t>, km </w:t>
            </w:r>
            <w:r w:rsidRPr="00D53F39">
              <w:rPr>
                <w:sz w:val="18"/>
                <w:szCs w:val="18"/>
                <w:lang w:val="en-US"/>
              </w:rPr>
              <w:br/>
              <w:t>PER</w:t>
            </w:r>
            <w:r w:rsidRPr="00D53F39">
              <w:rPr>
                <w:sz w:val="18"/>
                <w:szCs w:val="18"/>
                <w:vertAlign w:val="subscript"/>
                <w:lang w:val="en-US"/>
              </w:rPr>
              <w:t>med,final</w:t>
            </w:r>
            <w:r w:rsidRPr="00D53F39">
              <w:rPr>
                <w:sz w:val="18"/>
                <w:szCs w:val="18"/>
                <w:lang w:val="en-US"/>
              </w:rPr>
              <w:t>, km </w:t>
            </w:r>
            <w:r w:rsidRPr="00D53F39">
              <w:rPr>
                <w:sz w:val="18"/>
                <w:szCs w:val="18"/>
                <w:lang w:val="en-US"/>
              </w:rPr>
              <w:br/>
              <w:t>PER</w:t>
            </w:r>
            <w:r w:rsidRPr="00D53F39">
              <w:rPr>
                <w:sz w:val="18"/>
                <w:szCs w:val="18"/>
                <w:vertAlign w:val="subscript"/>
                <w:lang w:val="en-US"/>
              </w:rPr>
              <w:t>high,final</w:t>
            </w:r>
            <w:r w:rsidRPr="00D53F39">
              <w:rPr>
                <w:sz w:val="18"/>
                <w:szCs w:val="18"/>
                <w:lang w:val="en-US"/>
              </w:rPr>
              <w:t>, km </w:t>
            </w:r>
            <w:r w:rsidRPr="00D53F39">
              <w:rPr>
                <w:sz w:val="18"/>
                <w:szCs w:val="18"/>
                <w:lang w:val="en-US"/>
              </w:rPr>
              <w:br/>
              <w:t>PER</w:t>
            </w:r>
            <w:r w:rsidRPr="00D53F39">
              <w:rPr>
                <w:sz w:val="18"/>
                <w:szCs w:val="18"/>
                <w:vertAlign w:val="subscript"/>
                <w:lang w:val="en-US"/>
              </w:rPr>
              <w:t>exHigh,final</w:t>
            </w:r>
            <w:r w:rsidRPr="00D53F39">
              <w:rPr>
                <w:sz w:val="18"/>
                <w:szCs w:val="18"/>
                <w:lang w:val="en-US"/>
              </w:rPr>
              <w:t>, km</w:t>
            </w:r>
          </w:p>
        </w:tc>
        <w:tc>
          <w:tcPr>
            <w:tcW w:w="737" w:type="dxa"/>
            <w:vMerge w:val="restart"/>
          </w:tcPr>
          <w:p w:rsidR="00E24DB7" w:rsidRPr="002C5876" w:rsidRDefault="00E24DB7" w:rsidP="00E24DB7">
            <w:pPr>
              <w:spacing w:before="60" w:after="60" w:line="220" w:lineRule="atLeast"/>
              <w:ind w:left="57" w:right="57"/>
              <w:rPr>
                <w:sz w:val="18"/>
                <w:szCs w:val="18"/>
              </w:rPr>
            </w:pPr>
            <w:r w:rsidRPr="002C5876">
              <w:rPr>
                <w:sz w:val="18"/>
                <w:szCs w:val="18"/>
              </w:rPr>
              <w:t>8</w:t>
            </w:r>
          </w:p>
        </w:tc>
      </w:tr>
      <w:tr w:rsidR="00E24DB7" w:rsidRPr="00D53F39" w:rsidTr="00E24DB7">
        <w:trPr>
          <w:trHeight w:val="20"/>
          <w:jc w:val="center"/>
        </w:trPr>
        <w:tc>
          <w:tcPr>
            <w:tcW w:w="1259" w:type="dxa"/>
            <w:tcBorders>
              <w:top w:val="nil"/>
              <w:bottom w:val="single" w:sz="12" w:space="0" w:color="auto"/>
            </w:tcBorders>
          </w:tcPr>
          <w:p w:rsidR="00E24DB7" w:rsidRPr="002C5876" w:rsidRDefault="00E24DB7" w:rsidP="00E24DB7">
            <w:pPr>
              <w:spacing w:before="60" w:after="60" w:line="220" w:lineRule="atLeast"/>
              <w:ind w:left="57" w:right="57"/>
              <w:rPr>
                <w:sz w:val="18"/>
                <w:szCs w:val="18"/>
              </w:rPr>
            </w:pPr>
            <w:r w:rsidRPr="002C5876">
              <w:rPr>
                <w:sz w:val="18"/>
                <w:szCs w:val="18"/>
              </w:rPr>
              <w:t xml:space="preserve">Sortie </w:t>
            </w:r>
            <w:r w:rsidRPr="002C5876">
              <w:rPr>
                <w:sz w:val="18"/>
                <w:szCs w:val="18"/>
              </w:rPr>
              <w:br/>
              <w:t>de l’étape 7</w:t>
            </w:r>
          </w:p>
        </w:tc>
        <w:tc>
          <w:tcPr>
            <w:tcW w:w="2115" w:type="dxa"/>
            <w:tcBorders>
              <w:top w:val="nil"/>
              <w:bottom w:val="single" w:sz="12" w:space="0" w:color="auto"/>
            </w:tcBorders>
          </w:tcPr>
          <w:p w:rsidR="00E24DB7" w:rsidRPr="00D53F39" w:rsidRDefault="00E24DB7" w:rsidP="00E24DB7">
            <w:pPr>
              <w:spacing w:before="60" w:after="120" w:line="220" w:lineRule="atLeast"/>
              <w:ind w:left="57" w:right="57"/>
              <w:rPr>
                <w:sz w:val="18"/>
                <w:szCs w:val="18"/>
                <w:lang w:val="en-US"/>
              </w:rPr>
            </w:pPr>
            <w:r w:rsidRPr="00D53F39">
              <w:rPr>
                <w:sz w:val="18"/>
                <w:szCs w:val="18"/>
                <w:lang w:val="en-US"/>
              </w:rPr>
              <w:t>EC</w:t>
            </w:r>
            <w:r w:rsidRPr="00D53F39">
              <w:rPr>
                <w:sz w:val="18"/>
                <w:szCs w:val="18"/>
                <w:vertAlign w:val="subscript"/>
                <w:lang w:val="en-US"/>
              </w:rPr>
              <w:t>WLTC,dec</w:t>
            </w:r>
            <w:r w:rsidRPr="00D53F39">
              <w:rPr>
                <w:sz w:val="18"/>
                <w:szCs w:val="18"/>
                <w:lang w:val="en-US"/>
              </w:rPr>
              <w:t>, Wh/km </w:t>
            </w:r>
            <w:r w:rsidRPr="00D53F39">
              <w:rPr>
                <w:sz w:val="18"/>
                <w:szCs w:val="18"/>
                <w:lang w:val="en-US"/>
              </w:rPr>
              <w:br/>
              <w:t>EC</w:t>
            </w:r>
            <w:r w:rsidRPr="00D53F39">
              <w:rPr>
                <w:sz w:val="18"/>
                <w:szCs w:val="18"/>
                <w:vertAlign w:val="subscript"/>
                <w:lang w:val="en-US"/>
              </w:rPr>
              <w:t>city,ave</w:t>
            </w:r>
            <w:r w:rsidRPr="00D53F39">
              <w:rPr>
                <w:sz w:val="18"/>
                <w:szCs w:val="18"/>
                <w:lang w:val="en-US"/>
              </w:rPr>
              <w:t>, Wh/km </w:t>
            </w:r>
            <w:r w:rsidRPr="00D53F39">
              <w:rPr>
                <w:sz w:val="18"/>
                <w:szCs w:val="18"/>
                <w:lang w:val="en-US"/>
              </w:rPr>
              <w:br/>
              <w:t>EC</w:t>
            </w:r>
            <w:r w:rsidRPr="00D53F39">
              <w:rPr>
                <w:sz w:val="18"/>
                <w:szCs w:val="18"/>
                <w:vertAlign w:val="subscript"/>
                <w:lang w:val="en-US"/>
              </w:rPr>
              <w:t>low,ave</w:t>
            </w:r>
            <w:r w:rsidRPr="00D53F39">
              <w:rPr>
                <w:sz w:val="18"/>
                <w:szCs w:val="18"/>
                <w:lang w:val="en-US"/>
              </w:rPr>
              <w:t>, Wh/km </w:t>
            </w:r>
            <w:r w:rsidRPr="00D53F39">
              <w:rPr>
                <w:sz w:val="18"/>
                <w:szCs w:val="18"/>
                <w:lang w:val="en-US"/>
              </w:rPr>
              <w:br/>
              <w:t>EC</w:t>
            </w:r>
            <w:r w:rsidRPr="00D53F39">
              <w:rPr>
                <w:sz w:val="18"/>
                <w:szCs w:val="18"/>
                <w:vertAlign w:val="subscript"/>
                <w:lang w:val="en-US"/>
              </w:rPr>
              <w:t>med,ave</w:t>
            </w:r>
            <w:r w:rsidRPr="00D53F39">
              <w:rPr>
                <w:sz w:val="18"/>
                <w:szCs w:val="18"/>
                <w:lang w:val="en-US"/>
              </w:rPr>
              <w:t>, Wh/km </w:t>
            </w:r>
            <w:r w:rsidRPr="00D53F39">
              <w:rPr>
                <w:sz w:val="18"/>
                <w:szCs w:val="18"/>
                <w:lang w:val="en-US"/>
              </w:rPr>
              <w:br/>
              <w:t>EC</w:t>
            </w:r>
            <w:r w:rsidRPr="00D53F39">
              <w:rPr>
                <w:sz w:val="18"/>
                <w:szCs w:val="18"/>
                <w:vertAlign w:val="subscript"/>
                <w:lang w:val="en-US"/>
              </w:rPr>
              <w:t>high,ave</w:t>
            </w:r>
            <w:r w:rsidRPr="00D53F39">
              <w:rPr>
                <w:sz w:val="18"/>
                <w:szCs w:val="18"/>
                <w:lang w:val="en-US"/>
              </w:rPr>
              <w:t>, Wh/km </w:t>
            </w:r>
            <w:r w:rsidRPr="00D53F39">
              <w:rPr>
                <w:sz w:val="18"/>
                <w:szCs w:val="18"/>
                <w:lang w:val="en-US"/>
              </w:rPr>
              <w:br/>
              <w:t>EC</w:t>
            </w:r>
            <w:r w:rsidRPr="00D53F39">
              <w:rPr>
                <w:sz w:val="18"/>
                <w:szCs w:val="18"/>
                <w:vertAlign w:val="subscript"/>
                <w:lang w:val="en-US"/>
              </w:rPr>
              <w:t>exHigh,ave</w:t>
            </w:r>
            <w:r w:rsidRPr="00D53F39">
              <w:rPr>
                <w:sz w:val="18"/>
                <w:szCs w:val="18"/>
                <w:lang w:val="en-US"/>
              </w:rPr>
              <w:t>, Wh/km </w:t>
            </w:r>
          </w:p>
          <w:p w:rsidR="00E24DB7" w:rsidRPr="002C5876" w:rsidRDefault="00E24DB7" w:rsidP="00E24DB7">
            <w:pPr>
              <w:spacing w:before="60" w:after="60" w:line="220" w:lineRule="atLeast"/>
              <w:ind w:left="57" w:right="57"/>
              <w:rPr>
                <w:sz w:val="18"/>
                <w:szCs w:val="18"/>
              </w:rPr>
            </w:pPr>
            <w:r w:rsidRPr="002C5876">
              <w:rPr>
                <w:sz w:val="18"/>
                <w:szCs w:val="18"/>
              </w:rPr>
              <w:t>EC</w:t>
            </w:r>
            <w:r w:rsidRPr="002C5876">
              <w:rPr>
                <w:sz w:val="18"/>
                <w:szCs w:val="18"/>
                <w:vertAlign w:val="subscript"/>
              </w:rPr>
              <w:t>DC,COP</w:t>
            </w:r>
            <w:r w:rsidRPr="002C5876">
              <w:rPr>
                <w:sz w:val="18"/>
                <w:szCs w:val="18"/>
              </w:rPr>
              <w:t>, Wh/km</w:t>
            </w:r>
          </w:p>
        </w:tc>
        <w:tc>
          <w:tcPr>
            <w:tcW w:w="3147" w:type="dxa"/>
            <w:vMerge/>
            <w:tcBorders>
              <w:bottom w:val="single" w:sz="12" w:space="0" w:color="auto"/>
            </w:tcBorders>
          </w:tcPr>
          <w:p w:rsidR="00E24DB7" w:rsidRPr="002C5876" w:rsidRDefault="00E24DB7" w:rsidP="00E24DB7">
            <w:pPr>
              <w:spacing w:before="60" w:after="60" w:line="220" w:lineRule="atLeast"/>
              <w:ind w:left="57" w:right="57"/>
              <w:rPr>
                <w:sz w:val="18"/>
                <w:szCs w:val="18"/>
              </w:rPr>
            </w:pPr>
          </w:p>
        </w:tc>
        <w:tc>
          <w:tcPr>
            <w:tcW w:w="2381" w:type="dxa"/>
            <w:tcBorders>
              <w:top w:val="nil"/>
              <w:bottom w:val="single" w:sz="12" w:space="0" w:color="auto"/>
            </w:tcBorders>
          </w:tcPr>
          <w:p w:rsidR="00E24DB7" w:rsidRPr="00D53F39" w:rsidRDefault="00E24DB7" w:rsidP="00E24DB7">
            <w:pPr>
              <w:spacing w:before="60" w:after="120" w:line="220" w:lineRule="atLeast"/>
              <w:ind w:left="57" w:right="57"/>
              <w:rPr>
                <w:sz w:val="18"/>
                <w:szCs w:val="18"/>
                <w:lang w:val="en-US"/>
              </w:rPr>
            </w:pPr>
            <w:r w:rsidRPr="00D53F39">
              <w:rPr>
                <w:sz w:val="18"/>
                <w:szCs w:val="18"/>
                <w:lang w:val="en-US"/>
              </w:rPr>
              <w:t>EC</w:t>
            </w:r>
            <w:r w:rsidRPr="00D53F39">
              <w:rPr>
                <w:sz w:val="18"/>
                <w:szCs w:val="18"/>
                <w:vertAlign w:val="subscript"/>
                <w:lang w:val="en-US"/>
              </w:rPr>
              <w:t>WLTC,final</w:t>
            </w:r>
            <w:r w:rsidRPr="00D53F39">
              <w:rPr>
                <w:sz w:val="18"/>
                <w:szCs w:val="18"/>
                <w:lang w:val="en-US"/>
              </w:rPr>
              <w:t>, Wh/km </w:t>
            </w:r>
            <w:r w:rsidRPr="00D53F39">
              <w:rPr>
                <w:sz w:val="18"/>
                <w:szCs w:val="18"/>
                <w:lang w:val="en-US"/>
              </w:rPr>
              <w:br/>
              <w:t>EC</w:t>
            </w:r>
            <w:r w:rsidRPr="00D53F39">
              <w:rPr>
                <w:sz w:val="18"/>
                <w:szCs w:val="18"/>
                <w:vertAlign w:val="subscript"/>
                <w:lang w:val="en-US"/>
              </w:rPr>
              <w:t>city,final</w:t>
            </w:r>
            <w:r w:rsidRPr="00D53F39">
              <w:rPr>
                <w:sz w:val="18"/>
                <w:szCs w:val="18"/>
                <w:lang w:val="en-US"/>
              </w:rPr>
              <w:t>, Wh/km </w:t>
            </w:r>
            <w:r w:rsidRPr="00D53F39">
              <w:rPr>
                <w:sz w:val="18"/>
                <w:szCs w:val="18"/>
                <w:lang w:val="en-US"/>
              </w:rPr>
              <w:br/>
              <w:t>EC</w:t>
            </w:r>
            <w:r w:rsidRPr="00D53F39">
              <w:rPr>
                <w:sz w:val="18"/>
                <w:szCs w:val="18"/>
                <w:vertAlign w:val="subscript"/>
                <w:lang w:val="en-US"/>
              </w:rPr>
              <w:t>low,final</w:t>
            </w:r>
            <w:r w:rsidRPr="00D53F39">
              <w:rPr>
                <w:sz w:val="18"/>
                <w:szCs w:val="18"/>
                <w:lang w:val="en-US"/>
              </w:rPr>
              <w:t>, Wh/km </w:t>
            </w:r>
            <w:r w:rsidRPr="00D53F39">
              <w:rPr>
                <w:sz w:val="18"/>
                <w:szCs w:val="18"/>
                <w:lang w:val="en-US"/>
              </w:rPr>
              <w:br/>
              <w:t>EC</w:t>
            </w:r>
            <w:r w:rsidRPr="00D53F39">
              <w:rPr>
                <w:sz w:val="18"/>
                <w:szCs w:val="18"/>
                <w:vertAlign w:val="subscript"/>
                <w:lang w:val="en-US"/>
              </w:rPr>
              <w:t>med,final</w:t>
            </w:r>
            <w:r w:rsidRPr="00D53F39">
              <w:rPr>
                <w:sz w:val="18"/>
                <w:szCs w:val="18"/>
                <w:lang w:val="en-US"/>
              </w:rPr>
              <w:t>, Wh/km </w:t>
            </w:r>
            <w:r w:rsidRPr="00D53F39">
              <w:rPr>
                <w:sz w:val="18"/>
                <w:szCs w:val="18"/>
                <w:lang w:val="en-US"/>
              </w:rPr>
              <w:br/>
              <w:t>EC</w:t>
            </w:r>
            <w:r w:rsidRPr="00D53F39">
              <w:rPr>
                <w:sz w:val="18"/>
                <w:szCs w:val="18"/>
                <w:vertAlign w:val="subscript"/>
                <w:lang w:val="en-US"/>
              </w:rPr>
              <w:t>high,final</w:t>
            </w:r>
            <w:r w:rsidRPr="00D53F39">
              <w:rPr>
                <w:sz w:val="18"/>
                <w:szCs w:val="18"/>
                <w:lang w:val="en-US"/>
              </w:rPr>
              <w:t>, Wh/km </w:t>
            </w:r>
            <w:r w:rsidRPr="00D53F39">
              <w:rPr>
                <w:sz w:val="18"/>
                <w:szCs w:val="18"/>
                <w:lang w:val="en-US"/>
              </w:rPr>
              <w:br/>
              <w:t>EC</w:t>
            </w:r>
            <w:r w:rsidRPr="00D53F39">
              <w:rPr>
                <w:sz w:val="18"/>
                <w:szCs w:val="18"/>
                <w:vertAlign w:val="subscript"/>
                <w:lang w:val="en-US"/>
              </w:rPr>
              <w:t>exHigh,final</w:t>
            </w:r>
            <w:r w:rsidRPr="00D53F39">
              <w:rPr>
                <w:sz w:val="18"/>
                <w:szCs w:val="18"/>
                <w:lang w:val="en-US"/>
              </w:rPr>
              <w:t>, Wh/km </w:t>
            </w:r>
          </w:p>
          <w:p w:rsidR="00E24DB7" w:rsidRPr="00D53F39" w:rsidRDefault="00E24DB7" w:rsidP="00E24DB7">
            <w:pPr>
              <w:spacing w:before="60" w:after="120" w:line="220" w:lineRule="atLeast"/>
              <w:ind w:left="57" w:right="57"/>
              <w:rPr>
                <w:sz w:val="18"/>
                <w:szCs w:val="18"/>
                <w:lang w:val="en-US"/>
              </w:rPr>
            </w:pPr>
            <w:r w:rsidRPr="00D53F39">
              <w:rPr>
                <w:sz w:val="18"/>
                <w:szCs w:val="18"/>
                <w:lang w:val="en-US"/>
              </w:rPr>
              <w:t>EC</w:t>
            </w:r>
            <w:r w:rsidRPr="00D53F39">
              <w:rPr>
                <w:sz w:val="18"/>
                <w:szCs w:val="18"/>
                <w:vertAlign w:val="subscript"/>
                <w:lang w:val="en-US"/>
              </w:rPr>
              <w:t>DC,COP,final</w:t>
            </w:r>
            <w:r w:rsidRPr="00D53F39">
              <w:rPr>
                <w:sz w:val="18"/>
                <w:szCs w:val="18"/>
                <w:lang w:val="en-US"/>
              </w:rPr>
              <w:t>, Wh/km</w:t>
            </w:r>
          </w:p>
        </w:tc>
        <w:tc>
          <w:tcPr>
            <w:tcW w:w="737" w:type="dxa"/>
            <w:vMerge/>
            <w:tcBorders>
              <w:bottom w:val="single" w:sz="12" w:space="0" w:color="auto"/>
            </w:tcBorders>
          </w:tcPr>
          <w:p w:rsidR="00E24DB7" w:rsidRPr="00D53F39" w:rsidRDefault="00E24DB7" w:rsidP="00E24DB7">
            <w:pPr>
              <w:spacing w:before="60" w:after="60" w:line="220" w:lineRule="atLeast"/>
              <w:ind w:left="57" w:right="57"/>
              <w:rPr>
                <w:sz w:val="18"/>
                <w:szCs w:val="18"/>
                <w:lang w:val="en-US"/>
              </w:rPr>
            </w:pPr>
          </w:p>
        </w:tc>
      </w:tr>
      <w:tr w:rsidR="00E24DB7" w:rsidRPr="002C5876" w:rsidTr="00E24DB7">
        <w:trPr>
          <w:trHeight w:val="20"/>
          <w:jc w:val="center"/>
        </w:trPr>
        <w:tc>
          <w:tcPr>
            <w:tcW w:w="1259" w:type="dxa"/>
            <w:vMerge w:val="restart"/>
            <w:tcBorders>
              <w:top w:val="single" w:sz="12" w:space="0" w:color="auto"/>
              <w:bottom w:val="single" w:sz="12" w:space="0" w:color="auto"/>
            </w:tcBorders>
          </w:tcPr>
          <w:p w:rsidR="00E24DB7" w:rsidRPr="002C5876" w:rsidRDefault="00E24DB7" w:rsidP="00E24DB7">
            <w:pPr>
              <w:keepNext/>
              <w:keepLines/>
              <w:spacing w:before="60" w:after="60" w:line="220" w:lineRule="atLeast"/>
              <w:ind w:left="57" w:right="57"/>
              <w:rPr>
                <w:sz w:val="18"/>
                <w:szCs w:val="18"/>
              </w:rPr>
            </w:pPr>
            <w:r w:rsidRPr="002C5876">
              <w:rPr>
                <w:sz w:val="18"/>
                <w:szCs w:val="18"/>
              </w:rPr>
              <w:lastRenderedPageBreak/>
              <w:t xml:space="preserve">Sortie </w:t>
            </w:r>
            <w:r w:rsidRPr="002C5876">
              <w:rPr>
                <w:sz w:val="18"/>
                <w:szCs w:val="18"/>
              </w:rPr>
              <w:br/>
              <w:t>de l’étape 8</w:t>
            </w:r>
          </w:p>
        </w:tc>
        <w:tc>
          <w:tcPr>
            <w:tcW w:w="2115" w:type="dxa"/>
            <w:vMerge w:val="restart"/>
            <w:tcBorders>
              <w:top w:val="single" w:sz="12" w:space="0" w:color="auto"/>
              <w:bottom w:val="single" w:sz="12" w:space="0" w:color="auto"/>
            </w:tcBorders>
          </w:tcPr>
          <w:p w:rsidR="00E24DB7" w:rsidRPr="00D53F39" w:rsidRDefault="00E24DB7" w:rsidP="00E24DB7">
            <w:pPr>
              <w:keepNext/>
              <w:keepLines/>
              <w:spacing w:before="60" w:after="120" w:line="220" w:lineRule="atLeast"/>
              <w:ind w:left="57" w:right="57"/>
              <w:rPr>
                <w:sz w:val="18"/>
                <w:szCs w:val="18"/>
                <w:lang w:val="en-US"/>
              </w:rPr>
            </w:pPr>
            <w:r w:rsidRPr="00D53F39">
              <w:rPr>
                <w:sz w:val="18"/>
                <w:szCs w:val="18"/>
                <w:lang w:val="en-US"/>
              </w:rPr>
              <w:t>PER</w:t>
            </w:r>
            <w:r w:rsidRPr="00D53F39">
              <w:rPr>
                <w:sz w:val="18"/>
                <w:szCs w:val="18"/>
                <w:vertAlign w:val="subscript"/>
                <w:lang w:val="en-US"/>
              </w:rPr>
              <w:t>WLTC,final</w:t>
            </w:r>
            <w:r w:rsidRPr="00D53F39">
              <w:rPr>
                <w:sz w:val="18"/>
                <w:szCs w:val="18"/>
                <w:lang w:val="en-US"/>
              </w:rPr>
              <w:t>, km </w:t>
            </w:r>
            <w:r w:rsidRPr="00D53F39">
              <w:rPr>
                <w:sz w:val="18"/>
                <w:szCs w:val="18"/>
                <w:lang w:val="en-US"/>
              </w:rPr>
              <w:br/>
              <w:t>PER</w:t>
            </w:r>
            <w:r w:rsidRPr="00D53F39">
              <w:rPr>
                <w:sz w:val="18"/>
                <w:szCs w:val="18"/>
                <w:vertAlign w:val="subscript"/>
                <w:lang w:val="en-US"/>
              </w:rPr>
              <w:t>city,final</w:t>
            </w:r>
            <w:r w:rsidRPr="00D53F39">
              <w:rPr>
                <w:sz w:val="18"/>
                <w:szCs w:val="18"/>
                <w:lang w:val="en-US"/>
              </w:rPr>
              <w:t>, km </w:t>
            </w:r>
            <w:r w:rsidRPr="00D53F39">
              <w:rPr>
                <w:sz w:val="18"/>
                <w:szCs w:val="18"/>
                <w:lang w:val="en-US"/>
              </w:rPr>
              <w:br/>
              <w:t>PER</w:t>
            </w:r>
            <w:r w:rsidRPr="00D53F39">
              <w:rPr>
                <w:sz w:val="18"/>
                <w:szCs w:val="18"/>
                <w:vertAlign w:val="subscript"/>
                <w:lang w:val="en-US"/>
              </w:rPr>
              <w:t>low,final</w:t>
            </w:r>
            <w:r w:rsidRPr="00D53F39">
              <w:rPr>
                <w:sz w:val="18"/>
                <w:szCs w:val="18"/>
                <w:lang w:val="en-US"/>
              </w:rPr>
              <w:t>, km </w:t>
            </w:r>
            <w:r w:rsidRPr="00D53F39">
              <w:rPr>
                <w:sz w:val="18"/>
                <w:szCs w:val="18"/>
                <w:lang w:val="en-US"/>
              </w:rPr>
              <w:br/>
              <w:t>PER</w:t>
            </w:r>
            <w:r w:rsidRPr="00D53F39">
              <w:rPr>
                <w:sz w:val="18"/>
                <w:szCs w:val="18"/>
                <w:vertAlign w:val="subscript"/>
                <w:lang w:val="en-US"/>
              </w:rPr>
              <w:t>med,final</w:t>
            </w:r>
            <w:r w:rsidRPr="00D53F39">
              <w:rPr>
                <w:sz w:val="18"/>
                <w:szCs w:val="18"/>
                <w:lang w:val="en-US"/>
              </w:rPr>
              <w:t>, km </w:t>
            </w:r>
            <w:r w:rsidRPr="00D53F39">
              <w:rPr>
                <w:sz w:val="18"/>
                <w:szCs w:val="18"/>
                <w:lang w:val="en-US"/>
              </w:rPr>
              <w:br/>
              <w:t>PER</w:t>
            </w:r>
            <w:r w:rsidRPr="00D53F39">
              <w:rPr>
                <w:sz w:val="18"/>
                <w:szCs w:val="18"/>
                <w:vertAlign w:val="subscript"/>
                <w:lang w:val="en-US"/>
              </w:rPr>
              <w:t>high,final</w:t>
            </w:r>
            <w:r w:rsidRPr="00D53F39">
              <w:rPr>
                <w:sz w:val="18"/>
                <w:szCs w:val="18"/>
                <w:lang w:val="en-US"/>
              </w:rPr>
              <w:t>, km </w:t>
            </w:r>
            <w:r w:rsidRPr="00D53F39">
              <w:rPr>
                <w:sz w:val="18"/>
                <w:szCs w:val="18"/>
                <w:lang w:val="en-US"/>
              </w:rPr>
              <w:br/>
              <w:t>PER</w:t>
            </w:r>
            <w:r w:rsidRPr="00D53F39">
              <w:rPr>
                <w:sz w:val="18"/>
                <w:szCs w:val="18"/>
                <w:vertAlign w:val="subscript"/>
                <w:lang w:val="en-US"/>
              </w:rPr>
              <w:t>exHigh,final</w:t>
            </w:r>
            <w:r w:rsidRPr="00D53F39">
              <w:rPr>
                <w:sz w:val="18"/>
                <w:szCs w:val="18"/>
                <w:lang w:val="en-US"/>
              </w:rPr>
              <w:t>, km </w:t>
            </w:r>
          </w:p>
          <w:p w:rsidR="00E24DB7" w:rsidRPr="00D53F39" w:rsidRDefault="00E24DB7" w:rsidP="00E24DB7">
            <w:pPr>
              <w:keepNext/>
              <w:keepLines/>
              <w:spacing w:before="60" w:after="120" w:line="220" w:lineRule="atLeast"/>
              <w:ind w:left="57" w:right="57"/>
              <w:rPr>
                <w:sz w:val="18"/>
                <w:szCs w:val="18"/>
                <w:lang w:val="en-US"/>
              </w:rPr>
            </w:pPr>
            <w:r w:rsidRPr="00D53F39">
              <w:rPr>
                <w:sz w:val="18"/>
                <w:szCs w:val="18"/>
                <w:lang w:val="en-US"/>
              </w:rPr>
              <w:t>EC</w:t>
            </w:r>
            <w:r w:rsidRPr="00D53F39">
              <w:rPr>
                <w:sz w:val="18"/>
                <w:szCs w:val="18"/>
                <w:vertAlign w:val="subscript"/>
                <w:lang w:val="en-US"/>
              </w:rPr>
              <w:t>WLTC,final</w:t>
            </w:r>
            <w:r w:rsidRPr="00D53F39">
              <w:rPr>
                <w:sz w:val="18"/>
                <w:szCs w:val="18"/>
                <w:lang w:val="en-US"/>
              </w:rPr>
              <w:t>, Wh/km </w:t>
            </w:r>
            <w:r w:rsidRPr="00D53F39">
              <w:rPr>
                <w:sz w:val="18"/>
                <w:szCs w:val="18"/>
                <w:lang w:val="en-US"/>
              </w:rPr>
              <w:br/>
              <w:t>EC</w:t>
            </w:r>
            <w:r w:rsidRPr="00D53F39">
              <w:rPr>
                <w:sz w:val="18"/>
                <w:szCs w:val="18"/>
                <w:vertAlign w:val="subscript"/>
                <w:lang w:val="en-US"/>
              </w:rPr>
              <w:t>city,final</w:t>
            </w:r>
            <w:r w:rsidRPr="00D53F39">
              <w:rPr>
                <w:sz w:val="18"/>
                <w:szCs w:val="18"/>
                <w:lang w:val="en-US"/>
              </w:rPr>
              <w:t>, Wh/km </w:t>
            </w:r>
            <w:r w:rsidRPr="00D53F39">
              <w:rPr>
                <w:sz w:val="18"/>
                <w:szCs w:val="18"/>
                <w:lang w:val="en-US"/>
              </w:rPr>
              <w:br/>
              <w:t>EC</w:t>
            </w:r>
            <w:r w:rsidRPr="00D53F39">
              <w:rPr>
                <w:sz w:val="18"/>
                <w:szCs w:val="18"/>
                <w:vertAlign w:val="subscript"/>
                <w:lang w:val="en-US"/>
              </w:rPr>
              <w:t>low,final</w:t>
            </w:r>
            <w:r w:rsidRPr="00D53F39">
              <w:rPr>
                <w:sz w:val="18"/>
                <w:szCs w:val="18"/>
                <w:lang w:val="en-US"/>
              </w:rPr>
              <w:t>, Wh/km </w:t>
            </w:r>
            <w:r w:rsidRPr="00D53F39">
              <w:rPr>
                <w:sz w:val="18"/>
                <w:szCs w:val="18"/>
                <w:lang w:val="en-US"/>
              </w:rPr>
              <w:br/>
              <w:t>EC</w:t>
            </w:r>
            <w:r w:rsidRPr="00D53F39">
              <w:rPr>
                <w:sz w:val="18"/>
                <w:szCs w:val="18"/>
                <w:vertAlign w:val="subscript"/>
                <w:lang w:val="en-US"/>
              </w:rPr>
              <w:t>med,final</w:t>
            </w:r>
            <w:r w:rsidRPr="00D53F39">
              <w:rPr>
                <w:sz w:val="18"/>
                <w:szCs w:val="18"/>
                <w:lang w:val="en-US"/>
              </w:rPr>
              <w:t>, Wh/km </w:t>
            </w:r>
            <w:r w:rsidRPr="00D53F39">
              <w:rPr>
                <w:sz w:val="18"/>
                <w:szCs w:val="18"/>
                <w:lang w:val="en-US"/>
              </w:rPr>
              <w:br/>
              <w:t>EC</w:t>
            </w:r>
            <w:r w:rsidRPr="00D53F39">
              <w:rPr>
                <w:sz w:val="18"/>
                <w:szCs w:val="18"/>
                <w:vertAlign w:val="subscript"/>
                <w:lang w:val="en-US"/>
              </w:rPr>
              <w:t>high,final</w:t>
            </w:r>
            <w:r w:rsidRPr="00D53F39">
              <w:rPr>
                <w:sz w:val="18"/>
                <w:szCs w:val="18"/>
                <w:lang w:val="en-US"/>
              </w:rPr>
              <w:t>, Wh/km </w:t>
            </w:r>
            <w:r w:rsidRPr="00D53F39">
              <w:rPr>
                <w:sz w:val="18"/>
                <w:szCs w:val="18"/>
                <w:lang w:val="en-US"/>
              </w:rPr>
              <w:br/>
              <w:t>EC</w:t>
            </w:r>
            <w:r w:rsidRPr="00D53F39">
              <w:rPr>
                <w:sz w:val="18"/>
                <w:szCs w:val="18"/>
                <w:vertAlign w:val="subscript"/>
                <w:lang w:val="en-US"/>
              </w:rPr>
              <w:t>exHigh,final</w:t>
            </w:r>
            <w:r w:rsidRPr="00D53F39">
              <w:rPr>
                <w:sz w:val="18"/>
                <w:szCs w:val="18"/>
                <w:lang w:val="en-US"/>
              </w:rPr>
              <w:t>, Wh/km </w:t>
            </w:r>
          </w:p>
          <w:p w:rsidR="00E24DB7" w:rsidRPr="00D53F39" w:rsidRDefault="00E24DB7" w:rsidP="00E24DB7">
            <w:pPr>
              <w:keepNext/>
              <w:keepLines/>
              <w:spacing w:before="60" w:after="60" w:line="220" w:lineRule="atLeast"/>
              <w:ind w:left="57" w:right="57"/>
              <w:rPr>
                <w:sz w:val="18"/>
                <w:szCs w:val="18"/>
                <w:lang w:val="en-US"/>
              </w:rPr>
            </w:pPr>
            <w:r w:rsidRPr="00D53F39">
              <w:rPr>
                <w:sz w:val="18"/>
                <w:szCs w:val="18"/>
                <w:lang w:val="en-US"/>
              </w:rPr>
              <w:t>EC</w:t>
            </w:r>
            <w:r w:rsidRPr="00D53F39">
              <w:rPr>
                <w:sz w:val="18"/>
                <w:szCs w:val="18"/>
                <w:vertAlign w:val="subscript"/>
                <w:lang w:val="en-US"/>
              </w:rPr>
              <w:t>DC,COP,final</w:t>
            </w:r>
            <w:r w:rsidRPr="00D53F39">
              <w:rPr>
                <w:sz w:val="18"/>
                <w:szCs w:val="18"/>
                <w:lang w:val="en-US"/>
              </w:rPr>
              <w:t>, Wh/km</w:t>
            </w:r>
          </w:p>
        </w:tc>
        <w:tc>
          <w:tcPr>
            <w:tcW w:w="3147" w:type="dxa"/>
            <w:vMerge w:val="restart"/>
            <w:tcBorders>
              <w:top w:val="single" w:sz="12" w:space="0" w:color="auto"/>
              <w:bottom w:val="single" w:sz="12" w:space="0" w:color="auto"/>
            </w:tcBorders>
          </w:tcPr>
          <w:p w:rsidR="00E24DB7" w:rsidRPr="002C5876" w:rsidRDefault="00E24DB7" w:rsidP="00E24DB7">
            <w:pPr>
              <w:keepNext/>
              <w:keepLines/>
              <w:spacing w:before="60" w:after="60" w:line="220" w:lineRule="atLeast"/>
              <w:ind w:left="57" w:right="57"/>
              <w:rPr>
                <w:sz w:val="18"/>
                <w:szCs w:val="18"/>
              </w:rPr>
            </w:pPr>
            <w:r w:rsidRPr="002C5876">
              <w:rPr>
                <w:sz w:val="18"/>
                <w:szCs w:val="18"/>
              </w:rPr>
              <w:t xml:space="preserve">Interpolation conformément au paragraphe 4.5 de la présente annexe, </w:t>
            </w:r>
            <w:r w:rsidRPr="002C5876">
              <w:rPr>
                <w:sz w:val="18"/>
                <w:szCs w:val="18"/>
              </w:rPr>
              <w:br/>
              <w:t>et arrondi final.</w:t>
            </w:r>
          </w:p>
          <w:p w:rsidR="00E24DB7" w:rsidRPr="002C5876" w:rsidRDefault="00E24DB7" w:rsidP="00E24DB7">
            <w:pPr>
              <w:keepNext/>
              <w:keepLines/>
              <w:spacing w:before="60" w:after="60" w:line="220" w:lineRule="atLeast"/>
              <w:ind w:left="57" w:right="57"/>
              <w:rPr>
                <w:sz w:val="18"/>
                <w:szCs w:val="18"/>
                <w:vertAlign w:val="subscript"/>
              </w:rPr>
            </w:pPr>
            <w:r w:rsidRPr="002C5876">
              <w:rPr>
                <w:sz w:val="18"/>
                <w:szCs w:val="18"/>
              </w:rPr>
              <w:t>Option régionale :</w:t>
            </w:r>
            <w:r w:rsidRPr="002C5876">
              <w:rPr>
                <w:sz w:val="18"/>
                <w:szCs w:val="18"/>
              </w:rPr>
              <w:br/>
              <w:t>EC</w:t>
            </w:r>
            <w:r w:rsidRPr="002C5876">
              <w:rPr>
                <w:sz w:val="18"/>
                <w:szCs w:val="18"/>
                <w:vertAlign w:val="subscript"/>
              </w:rPr>
              <w:t>DC,COP,ind</w:t>
            </w:r>
          </w:p>
          <w:p w:rsidR="00E24DB7" w:rsidRPr="002C5876" w:rsidRDefault="00E24DB7" w:rsidP="00E24DB7">
            <w:pPr>
              <w:keepNext/>
              <w:keepLines/>
              <w:spacing w:before="60" w:after="60" w:line="220" w:lineRule="atLeast"/>
              <w:ind w:left="57" w:right="57"/>
              <w:rPr>
                <w:sz w:val="18"/>
                <w:szCs w:val="18"/>
              </w:rPr>
            </w:pPr>
            <w:r w:rsidRPr="002C5876">
              <w:rPr>
                <w:sz w:val="18"/>
                <w:szCs w:val="18"/>
              </w:rPr>
              <w:t>Données de sortie disponibles pour chaque véhicule donné.</w:t>
            </w:r>
          </w:p>
        </w:tc>
        <w:tc>
          <w:tcPr>
            <w:tcW w:w="2381" w:type="dxa"/>
            <w:vMerge w:val="restart"/>
            <w:tcBorders>
              <w:top w:val="single" w:sz="12" w:space="0" w:color="auto"/>
              <w:bottom w:val="single" w:sz="12" w:space="0" w:color="auto"/>
            </w:tcBorders>
          </w:tcPr>
          <w:p w:rsidR="00E24DB7" w:rsidRPr="00D53F39" w:rsidRDefault="00E24DB7" w:rsidP="00E24DB7">
            <w:pPr>
              <w:keepNext/>
              <w:keepLines/>
              <w:spacing w:before="60" w:after="120" w:line="220" w:lineRule="atLeast"/>
              <w:ind w:left="57" w:right="57"/>
              <w:rPr>
                <w:sz w:val="18"/>
                <w:szCs w:val="18"/>
                <w:lang w:val="en-US"/>
              </w:rPr>
            </w:pPr>
            <w:r w:rsidRPr="00D53F39">
              <w:rPr>
                <w:sz w:val="18"/>
                <w:szCs w:val="18"/>
                <w:lang w:val="en-US"/>
              </w:rPr>
              <w:t>PER</w:t>
            </w:r>
            <w:r w:rsidRPr="00D53F39">
              <w:rPr>
                <w:sz w:val="18"/>
                <w:szCs w:val="18"/>
                <w:vertAlign w:val="subscript"/>
                <w:lang w:val="en-US"/>
              </w:rPr>
              <w:t>WLTC,ind</w:t>
            </w:r>
            <w:r w:rsidRPr="00D53F39">
              <w:rPr>
                <w:sz w:val="18"/>
                <w:szCs w:val="18"/>
                <w:lang w:val="en-US"/>
              </w:rPr>
              <w:t>, km </w:t>
            </w:r>
            <w:r w:rsidRPr="00D53F39">
              <w:rPr>
                <w:sz w:val="18"/>
                <w:szCs w:val="18"/>
                <w:lang w:val="en-US"/>
              </w:rPr>
              <w:br/>
              <w:t>PER</w:t>
            </w:r>
            <w:r w:rsidRPr="00D53F39">
              <w:rPr>
                <w:sz w:val="18"/>
                <w:szCs w:val="18"/>
                <w:vertAlign w:val="subscript"/>
                <w:lang w:val="en-US"/>
              </w:rPr>
              <w:t>city,ind</w:t>
            </w:r>
            <w:r w:rsidRPr="00D53F39">
              <w:rPr>
                <w:sz w:val="18"/>
                <w:szCs w:val="18"/>
                <w:lang w:val="en-US"/>
              </w:rPr>
              <w:t>, km </w:t>
            </w:r>
            <w:r w:rsidRPr="00D53F39">
              <w:rPr>
                <w:sz w:val="18"/>
                <w:szCs w:val="18"/>
                <w:lang w:val="en-US"/>
              </w:rPr>
              <w:br/>
              <w:t>PER</w:t>
            </w:r>
            <w:r w:rsidRPr="00D53F39">
              <w:rPr>
                <w:sz w:val="18"/>
                <w:szCs w:val="18"/>
                <w:vertAlign w:val="subscript"/>
                <w:lang w:val="en-US"/>
              </w:rPr>
              <w:t>low,ind</w:t>
            </w:r>
            <w:r w:rsidRPr="00D53F39">
              <w:rPr>
                <w:sz w:val="18"/>
                <w:szCs w:val="18"/>
                <w:lang w:val="en-US"/>
              </w:rPr>
              <w:t>, km </w:t>
            </w:r>
            <w:r w:rsidRPr="00D53F39">
              <w:rPr>
                <w:sz w:val="18"/>
                <w:szCs w:val="18"/>
                <w:lang w:val="en-US"/>
              </w:rPr>
              <w:br/>
              <w:t>PER</w:t>
            </w:r>
            <w:r w:rsidRPr="00D53F39">
              <w:rPr>
                <w:sz w:val="18"/>
                <w:szCs w:val="18"/>
                <w:vertAlign w:val="subscript"/>
                <w:lang w:val="en-US"/>
              </w:rPr>
              <w:t>med,ind</w:t>
            </w:r>
            <w:r w:rsidRPr="00D53F39">
              <w:rPr>
                <w:sz w:val="18"/>
                <w:szCs w:val="18"/>
                <w:lang w:val="en-US"/>
              </w:rPr>
              <w:t>, km </w:t>
            </w:r>
            <w:r w:rsidRPr="00D53F39">
              <w:rPr>
                <w:sz w:val="18"/>
                <w:szCs w:val="18"/>
                <w:lang w:val="en-US"/>
              </w:rPr>
              <w:br/>
              <w:t>PER</w:t>
            </w:r>
            <w:r w:rsidRPr="00D53F39">
              <w:rPr>
                <w:sz w:val="18"/>
                <w:szCs w:val="18"/>
                <w:vertAlign w:val="subscript"/>
                <w:lang w:val="en-US"/>
              </w:rPr>
              <w:t>high,ind</w:t>
            </w:r>
            <w:r w:rsidRPr="00D53F39">
              <w:rPr>
                <w:sz w:val="18"/>
                <w:szCs w:val="18"/>
                <w:lang w:val="en-US"/>
              </w:rPr>
              <w:t>, km </w:t>
            </w:r>
            <w:r w:rsidRPr="00D53F39">
              <w:rPr>
                <w:sz w:val="18"/>
                <w:szCs w:val="18"/>
                <w:lang w:val="en-US"/>
              </w:rPr>
              <w:br/>
              <w:t>PER</w:t>
            </w:r>
            <w:r w:rsidRPr="00D53F39">
              <w:rPr>
                <w:sz w:val="18"/>
                <w:szCs w:val="18"/>
                <w:vertAlign w:val="subscript"/>
                <w:lang w:val="en-US"/>
              </w:rPr>
              <w:t>exHigh,ind</w:t>
            </w:r>
            <w:r w:rsidRPr="00D53F39">
              <w:rPr>
                <w:sz w:val="18"/>
                <w:szCs w:val="18"/>
                <w:lang w:val="en-US"/>
              </w:rPr>
              <w:t>, km </w:t>
            </w:r>
          </w:p>
          <w:p w:rsidR="00E24DB7" w:rsidRPr="00D53F39" w:rsidRDefault="00E24DB7" w:rsidP="00E24DB7">
            <w:pPr>
              <w:keepNext/>
              <w:keepLines/>
              <w:spacing w:before="60" w:after="120" w:line="220" w:lineRule="atLeast"/>
              <w:ind w:left="57" w:right="57"/>
              <w:rPr>
                <w:sz w:val="18"/>
                <w:szCs w:val="18"/>
                <w:lang w:val="en-US"/>
              </w:rPr>
            </w:pPr>
            <w:r w:rsidRPr="00D53F39">
              <w:rPr>
                <w:sz w:val="18"/>
                <w:szCs w:val="18"/>
                <w:lang w:val="en-US"/>
              </w:rPr>
              <w:t>EC</w:t>
            </w:r>
            <w:r w:rsidRPr="00D53F39">
              <w:rPr>
                <w:sz w:val="18"/>
                <w:szCs w:val="18"/>
                <w:vertAlign w:val="subscript"/>
                <w:lang w:val="en-US"/>
              </w:rPr>
              <w:t>WLTC,ind</w:t>
            </w:r>
            <w:r w:rsidRPr="00D53F39">
              <w:rPr>
                <w:sz w:val="18"/>
                <w:szCs w:val="18"/>
                <w:lang w:val="en-US"/>
              </w:rPr>
              <w:t>, Wh/km </w:t>
            </w:r>
            <w:r w:rsidRPr="00D53F39">
              <w:rPr>
                <w:sz w:val="18"/>
                <w:szCs w:val="18"/>
                <w:lang w:val="en-US"/>
              </w:rPr>
              <w:br/>
              <w:t>EC</w:t>
            </w:r>
            <w:r w:rsidRPr="00D53F39">
              <w:rPr>
                <w:sz w:val="18"/>
                <w:szCs w:val="18"/>
                <w:vertAlign w:val="subscript"/>
                <w:lang w:val="en-US"/>
              </w:rPr>
              <w:t>city,ind</w:t>
            </w:r>
            <w:r w:rsidRPr="00D53F39">
              <w:rPr>
                <w:sz w:val="18"/>
                <w:szCs w:val="18"/>
                <w:lang w:val="en-US"/>
              </w:rPr>
              <w:t>, Wh/km </w:t>
            </w:r>
            <w:r w:rsidRPr="00D53F39">
              <w:rPr>
                <w:sz w:val="18"/>
                <w:szCs w:val="18"/>
                <w:lang w:val="en-US"/>
              </w:rPr>
              <w:br/>
              <w:t>EC</w:t>
            </w:r>
            <w:r w:rsidRPr="00D53F39">
              <w:rPr>
                <w:sz w:val="18"/>
                <w:szCs w:val="18"/>
                <w:vertAlign w:val="subscript"/>
                <w:lang w:val="en-US"/>
              </w:rPr>
              <w:t>low,ind</w:t>
            </w:r>
            <w:r w:rsidRPr="00D53F39">
              <w:rPr>
                <w:sz w:val="18"/>
                <w:szCs w:val="18"/>
                <w:lang w:val="en-US"/>
              </w:rPr>
              <w:t>, Wh/km </w:t>
            </w:r>
            <w:r w:rsidRPr="00D53F39">
              <w:rPr>
                <w:sz w:val="18"/>
                <w:szCs w:val="18"/>
                <w:lang w:val="en-US"/>
              </w:rPr>
              <w:br/>
              <w:t>EC</w:t>
            </w:r>
            <w:r w:rsidRPr="00D53F39">
              <w:rPr>
                <w:sz w:val="18"/>
                <w:szCs w:val="18"/>
                <w:vertAlign w:val="subscript"/>
                <w:lang w:val="en-US"/>
              </w:rPr>
              <w:t>med,ind</w:t>
            </w:r>
            <w:r w:rsidRPr="00D53F39">
              <w:rPr>
                <w:sz w:val="18"/>
                <w:szCs w:val="18"/>
                <w:lang w:val="en-US"/>
              </w:rPr>
              <w:t>, Wh/km </w:t>
            </w:r>
            <w:r w:rsidRPr="00D53F39">
              <w:rPr>
                <w:sz w:val="18"/>
                <w:szCs w:val="18"/>
                <w:lang w:val="en-US"/>
              </w:rPr>
              <w:br/>
              <w:t>EC</w:t>
            </w:r>
            <w:r w:rsidRPr="00D53F39">
              <w:rPr>
                <w:sz w:val="18"/>
                <w:szCs w:val="18"/>
                <w:vertAlign w:val="subscript"/>
                <w:lang w:val="en-US"/>
              </w:rPr>
              <w:t>high,ind</w:t>
            </w:r>
            <w:r w:rsidRPr="00D53F39">
              <w:rPr>
                <w:sz w:val="18"/>
                <w:szCs w:val="18"/>
                <w:lang w:val="en-US"/>
              </w:rPr>
              <w:t>, Wh/km </w:t>
            </w:r>
            <w:r w:rsidRPr="00D53F39">
              <w:rPr>
                <w:sz w:val="18"/>
                <w:szCs w:val="18"/>
                <w:lang w:val="en-US"/>
              </w:rPr>
              <w:br/>
              <w:t>EC</w:t>
            </w:r>
            <w:r w:rsidRPr="00D53F39">
              <w:rPr>
                <w:sz w:val="18"/>
                <w:szCs w:val="18"/>
                <w:vertAlign w:val="subscript"/>
                <w:lang w:val="en-US"/>
              </w:rPr>
              <w:t>exHigh,ind</w:t>
            </w:r>
            <w:r w:rsidRPr="00D53F39">
              <w:rPr>
                <w:sz w:val="18"/>
                <w:szCs w:val="18"/>
                <w:lang w:val="en-US"/>
              </w:rPr>
              <w:t>, Wh/km </w:t>
            </w:r>
          </w:p>
          <w:p w:rsidR="00E24DB7" w:rsidRPr="00D53F39" w:rsidRDefault="00E24DB7" w:rsidP="00E24DB7">
            <w:pPr>
              <w:keepNext/>
              <w:keepLines/>
              <w:spacing w:before="60" w:after="60" w:line="220" w:lineRule="atLeast"/>
              <w:ind w:left="57" w:right="57"/>
              <w:rPr>
                <w:sz w:val="18"/>
                <w:szCs w:val="18"/>
                <w:lang w:val="en-US"/>
              </w:rPr>
            </w:pPr>
            <w:r w:rsidRPr="00D53F39">
              <w:rPr>
                <w:sz w:val="18"/>
                <w:szCs w:val="18"/>
                <w:lang w:val="en-US"/>
              </w:rPr>
              <w:t>EC</w:t>
            </w:r>
            <w:r w:rsidRPr="00D53F39">
              <w:rPr>
                <w:sz w:val="18"/>
                <w:szCs w:val="18"/>
                <w:vertAlign w:val="subscript"/>
                <w:lang w:val="en-US"/>
              </w:rPr>
              <w:t>DC,COP,ind</w:t>
            </w:r>
            <w:r w:rsidRPr="00D53F39">
              <w:rPr>
                <w:sz w:val="18"/>
                <w:szCs w:val="18"/>
                <w:lang w:val="en-US"/>
              </w:rPr>
              <w:t>, Wh/km</w:t>
            </w:r>
          </w:p>
        </w:tc>
        <w:tc>
          <w:tcPr>
            <w:tcW w:w="737" w:type="dxa"/>
            <w:tcBorders>
              <w:top w:val="single" w:sz="12" w:space="0" w:color="auto"/>
              <w:bottom w:val="nil"/>
            </w:tcBorders>
          </w:tcPr>
          <w:p w:rsidR="00E24DB7" w:rsidRPr="002C5876" w:rsidRDefault="00E24DB7" w:rsidP="00E24DB7">
            <w:pPr>
              <w:keepNext/>
              <w:keepLines/>
              <w:spacing w:before="60" w:after="60" w:line="220" w:lineRule="atLeast"/>
              <w:ind w:left="57" w:right="57"/>
              <w:rPr>
                <w:sz w:val="18"/>
                <w:szCs w:val="18"/>
              </w:rPr>
            </w:pPr>
            <w:r w:rsidRPr="002C5876">
              <w:rPr>
                <w:sz w:val="18"/>
                <w:szCs w:val="18"/>
              </w:rPr>
              <w:t>9</w:t>
            </w:r>
          </w:p>
        </w:tc>
      </w:tr>
      <w:tr w:rsidR="00E24DB7" w:rsidRPr="002C5876" w:rsidTr="00E24DB7">
        <w:trPr>
          <w:trHeight w:val="20"/>
          <w:jc w:val="center"/>
        </w:trPr>
        <w:tc>
          <w:tcPr>
            <w:tcW w:w="1259" w:type="dxa"/>
            <w:vMerge/>
            <w:tcBorders>
              <w:bottom w:val="single" w:sz="12" w:space="0" w:color="auto"/>
            </w:tcBorders>
          </w:tcPr>
          <w:p w:rsidR="00E24DB7" w:rsidRPr="002C5876" w:rsidRDefault="00E24DB7" w:rsidP="00E24DB7">
            <w:pPr>
              <w:keepNext/>
              <w:keepLines/>
              <w:spacing w:before="60" w:after="60" w:line="240" w:lineRule="auto"/>
              <w:ind w:left="57" w:right="57"/>
              <w:rPr>
                <w:sz w:val="18"/>
                <w:szCs w:val="18"/>
              </w:rPr>
            </w:pPr>
          </w:p>
        </w:tc>
        <w:tc>
          <w:tcPr>
            <w:tcW w:w="2115" w:type="dxa"/>
            <w:vMerge/>
            <w:tcBorders>
              <w:bottom w:val="single" w:sz="12" w:space="0" w:color="auto"/>
            </w:tcBorders>
          </w:tcPr>
          <w:p w:rsidR="00E24DB7" w:rsidRPr="002C5876" w:rsidRDefault="00E24DB7" w:rsidP="00E24DB7">
            <w:pPr>
              <w:keepNext/>
              <w:keepLines/>
              <w:spacing w:before="60" w:after="60" w:line="240" w:lineRule="auto"/>
              <w:ind w:left="57" w:right="57"/>
              <w:rPr>
                <w:sz w:val="18"/>
                <w:szCs w:val="18"/>
              </w:rPr>
            </w:pPr>
          </w:p>
        </w:tc>
        <w:tc>
          <w:tcPr>
            <w:tcW w:w="3147" w:type="dxa"/>
            <w:vMerge/>
            <w:tcBorders>
              <w:bottom w:val="single" w:sz="12" w:space="0" w:color="auto"/>
            </w:tcBorders>
          </w:tcPr>
          <w:p w:rsidR="00E24DB7" w:rsidRPr="002C5876" w:rsidRDefault="00E24DB7" w:rsidP="00E24DB7">
            <w:pPr>
              <w:keepNext/>
              <w:keepLines/>
              <w:spacing w:before="60" w:after="60" w:line="240" w:lineRule="auto"/>
              <w:ind w:left="57" w:right="57"/>
              <w:rPr>
                <w:sz w:val="18"/>
                <w:szCs w:val="18"/>
              </w:rPr>
            </w:pPr>
          </w:p>
        </w:tc>
        <w:tc>
          <w:tcPr>
            <w:tcW w:w="2381" w:type="dxa"/>
            <w:vMerge/>
            <w:tcBorders>
              <w:bottom w:val="single" w:sz="12" w:space="0" w:color="auto"/>
            </w:tcBorders>
          </w:tcPr>
          <w:p w:rsidR="00E24DB7" w:rsidRPr="002C5876" w:rsidRDefault="00E24DB7" w:rsidP="00E24DB7">
            <w:pPr>
              <w:keepNext/>
              <w:keepLines/>
              <w:spacing w:before="60" w:after="60" w:line="240" w:lineRule="auto"/>
              <w:ind w:left="57" w:right="57"/>
              <w:rPr>
                <w:sz w:val="18"/>
                <w:szCs w:val="18"/>
              </w:rPr>
            </w:pPr>
          </w:p>
        </w:tc>
        <w:tc>
          <w:tcPr>
            <w:tcW w:w="737" w:type="dxa"/>
            <w:tcBorders>
              <w:top w:val="nil"/>
              <w:bottom w:val="single" w:sz="12" w:space="0" w:color="auto"/>
            </w:tcBorders>
          </w:tcPr>
          <w:p w:rsidR="00E24DB7" w:rsidRPr="002C5876" w:rsidRDefault="00E24DB7" w:rsidP="00E24DB7">
            <w:pPr>
              <w:keepNext/>
              <w:keepLines/>
              <w:spacing w:before="60" w:after="60" w:line="240" w:lineRule="auto"/>
              <w:ind w:left="57" w:right="57"/>
              <w:rPr>
                <w:sz w:val="18"/>
                <w:szCs w:val="18"/>
              </w:rPr>
            </w:pPr>
          </w:p>
        </w:tc>
      </w:tr>
    </w:tbl>
    <w:p w:rsidR="00E24DB7" w:rsidRPr="002C5876" w:rsidRDefault="00E24DB7" w:rsidP="00E24DB7">
      <w:pPr>
        <w:pStyle w:val="SingleTxtG"/>
      </w:pPr>
    </w:p>
    <w:p w:rsidR="00B404EC" w:rsidRDefault="00B404EC" w:rsidP="00E24DB7">
      <w:pPr>
        <w:pStyle w:val="HChG"/>
        <w:sectPr w:rsidR="00B404EC" w:rsidSect="00CE537D">
          <w:headerReference w:type="even" r:id="rId180"/>
          <w:headerReference w:type="default" r:id="rId181"/>
          <w:endnotePr>
            <w:numFmt w:val="decimal"/>
          </w:endnotePr>
          <w:pgSz w:w="11907" w:h="16840" w:code="9"/>
          <w:pgMar w:top="1418" w:right="1134" w:bottom="1134" w:left="1134" w:header="680" w:footer="567" w:gutter="0"/>
          <w:cols w:space="720"/>
          <w:docGrid w:linePitch="272"/>
        </w:sectPr>
      </w:pPr>
    </w:p>
    <w:p w:rsidR="00E24DB7" w:rsidRPr="002C5876" w:rsidRDefault="00E24DB7" w:rsidP="00E24DB7">
      <w:pPr>
        <w:pStyle w:val="HChG"/>
      </w:pPr>
      <w:r w:rsidRPr="002C5876">
        <w:lastRenderedPageBreak/>
        <w:t>Annexe 8 − Appendice 1</w:t>
      </w:r>
    </w:p>
    <w:p w:rsidR="00E24DB7" w:rsidRPr="002C5876" w:rsidRDefault="00E24DB7" w:rsidP="00E24DB7">
      <w:pPr>
        <w:pStyle w:val="HChG"/>
      </w:pPr>
      <w:r w:rsidRPr="002C5876">
        <w:tab/>
      </w:r>
      <w:r w:rsidRPr="002C5876">
        <w:tab/>
        <w:t>Profil de niveau de charge du SRSEE</w:t>
      </w:r>
    </w:p>
    <w:p w:rsidR="00E24DB7" w:rsidRPr="002C5876" w:rsidRDefault="00E24DB7" w:rsidP="00E24DB7">
      <w:pPr>
        <w:pStyle w:val="SingleTxtG"/>
        <w:ind w:left="2268" w:hanging="1134"/>
      </w:pPr>
      <w:r w:rsidRPr="002C5876">
        <w:t>1.</w:t>
      </w:r>
      <w:r w:rsidRPr="002C5876">
        <w:tab/>
        <w:t>Séquences d’essais et profils du SRSEE : VHE-RE, essai d’épuisement de la charge et essai de maintien de la charge</w:t>
      </w:r>
    </w:p>
    <w:p w:rsidR="00E24DB7" w:rsidRPr="002C5876" w:rsidRDefault="00E24DB7" w:rsidP="00E24DB7">
      <w:pPr>
        <w:pStyle w:val="SingleTxtG"/>
        <w:ind w:left="2268" w:hanging="1134"/>
        <w:jc w:val="left"/>
      </w:pPr>
      <w:r w:rsidRPr="002C5876">
        <w:t>1.1</w:t>
      </w:r>
      <w:r w:rsidRPr="002C5876">
        <w:tab/>
        <w:t>Séquence d’essais VHE-RE selon l’option 1</w:t>
      </w:r>
    </w:p>
    <w:p w:rsidR="00E24DB7" w:rsidRPr="002C5876" w:rsidRDefault="00E24DB7" w:rsidP="00E24DB7">
      <w:pPr>
        <w:pStyle w:val="SingleTxtG"/>
        <w:spacing w:after="240"/>
        <w:ind w:left="2268"/>
      </w:pPr>
      <w:r w:rsidRPr="002C5876">
        <w:t>Essai d’épuisement de la charge du type</w:t>
      </w:r>
      <w:r w:rsidR="00686ABD">
        <w:t> </w:t>
      </w:r>
      <w:r w:rsidRPr="002C5876">
        <w:t>1, non suivi d’un essai de maintien de la charge du type 1 (fig. A8.App1/1)</w:t>
      </w:r>
    </w:p>
    <w:p w:rsidR="00E24DB7" w:rsidRPr="002C5876" w:rsidRDefault="00E24DB7" w:rsidP="00E24DB7">
      <w:pPr>
        <w:pStyle w:val="H23G"/>
        <w:ind w:left="0" w:firstLine="0"/>
      </w:pPr>
      <w:r w:rsidRPr="002C5876">
        <w:rPr>
          <w:b w:val="0"/>
        </w:rPr>
        <w:t>Figure A8.App1/1</w:t>
      </w:r>
      <w:r w:rsidRPr="002C5876">
        <w:br/>
        <w:t>VHE-RE, essai d’épuisement de la charge du type 1</w:t>
      </w:r>
    </w:p>
    <w:p w:rsidR="00E24DB7" w:rsidRPr="002C5876" w:rsidRDefault="00E24DB7" w:rsidP="00E24DB7">
      <w:pPr>
        <w:spacing w:after="240"/>
      </w:pPr>
      <w:r w:rsidRPr="002C5876">
        <w:rPr>
          <w:noProof/>
          <w:lang w:val="en-GB" w:eastAsia="zh-CN"/>
        </w:rPr>
        <mc:AlternateContent>
          <mc:Choice Requires="wps">
            <w:drawing>
              <wp:anchor distT="0" distB="0" distL="114300" distR="114300" simplePos="0" relativeHeight="252298240" behindDoc="0" locked="0" layoutInCell="1" allowOverlap="1" wp14:anchorId="39BD6EA1" wp14:editId="3349F845">
                <wp:simplePos x="0" y="0"/>
                <wp:positionH relativeFrom="column">
                  <wp:posOffset>3263513</wp:posOffset>
                </wp:positionH>
                <wp:positionV relativeFrom="paragraph">
                  <wp:posOffset>2424513</wp:posOffset>
                </wp:positionV>
                <wp:extent cx="680085" cy="246490"/>
                <wp:effectExtent l="0" t="0" r="5715" b="127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246490"/>
                        </a:xfrm>
                        <a:prstGeom prst="rect">
                          <a:avLst/>
                        </a:prstGeom>
                        <a:noFill/>
                        <a:ln w="9525">
                          <a:noFill/>
                          <a:miter lim="800000"/>
                          <a:headEnd/>
                          <a:tailEnd/>
                        </a:ln>
                      </wps:spPr>
                      <wps:txbx>
                        <w:txbxContent>
                          <w:p w:rsidR="00D53F39" w:rsidRPr="0062701A" w:rsidRDefault="00D53F39" w:rsidP="00E24DB7">
                            <w:pPr>
                              <w:spacing w:line="240" w:lineRule="auto"/>
                              <w:jc w:val="center"/>
                              <w:rPr>
                                <w:b/>
                                <w:sz w:val="10"/>
                                <w:szCs w:val="10"/>
                              </w:rPr>
                            </w:pPr>
                            <w:r w:rsidRPr="0062701A">
                              <w:rPr>
                                <w:b/>
                                <w:sz w:val="10"/>
                                <w:szCs w:val="10"/>
                              </w:rPr>
                              <w:t>Cycle d’essai</w:t>
                            </w:r>
                            <w:r>
                              <w:rPr>
                                <w:b/>
                                <w:sz w:val="10"/>
                                <w:szCs w:val="10"/>
                              </w:rPr>
                              <w:br/>
                              <w:t xml:space="preserve">applicable </w:t>
                            </w:r>
                            <w:r w:rsidRPr="0062701A">
                              <w:rPr>
                                <w:b/>
                                <w:sz w:val="10"/>
                                <w:szCs w:val="10"/>
                              </w:rPr>
                              <w:t>n</w:t>
                            </w:r>
                            <w:r>
                              <w:rPr>
                                <w:b/>
                                <w:sz w:val="10"/>
                                <w:szCs w:val="10"/>
                              </w:rPr>
                              <w:br/>
                              <w:t>(cycle de transition)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D6EA1" id="_x0000_s1511" type="#_x0000_t202" style="position:absolute;margin-left:256.95pt;margin-top:190.9pt;width:53.55pt;height:19.4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" filled="f" stroked="f">
                <v:textbox inset="0,0,0,0">
                  <w:txbxContent>
                    <w:p w:rsidR="00D53F39" w:rsidRPr="0062701A" w:rsidRDefault="00D53F39" w:rsidP="00E24DB7">
                      <w:pPr>
                        <w:spacing w:line="240" w:lineRule="auto"/>
                        <w:jc w:val="center"/>
                        <w:rPr>
                          <w:b/>
                          <w:sz w:val="10"/>
                          <w:szCs w:val="10"/>
                        </w:rPr>
                      </w:pPr>
                      <w:r w:rsidRPr="0062701A">
                        <w:rPr>
                          <w:b/>
                          <w:sz w:val="10"/>
                          <w:szCs w:val="10"/>
                        </w:rPr>
                        <w:t>Cycle d’essai</w:t>
                      </w:r>
                      <w:r>
                        <w:rPr>
                          <w:b/>
                          <w:sz w:val="10"/>
                          <w:szCs w:val="10"/>
                        </w:rPr>
                        <w:br/>
                        <w:t xml:space="preserve">applicable </w:t>
                      </w:r>
                      <w:r w:rsidRPr="0062701A">
                        <w:rPr>
                          <w:b/>
                          <w:sz w:val="10"/>
                          <w:szCs w:val="10"/>
                        </w:rPr>
                        <w:t>n</w:t>
                      </w:r>
                      <w:r>
                        <w:rPr>
                          <w:b/>
                          <w:sz w:val="10"/>
                          <w:szCs w:val="10"/>
                        </w:rPr>
                        <w:br/>
                        <w:t>(cycle de transition)</w:t>
                      </w:r>
                    </w:p>
                  </w:txbxContent>
                </v:textbox>
              </v:shape>
            </w:pict>
          </mc:Fallback>
        </mc:AlternateContent>
      </w:r>
      <w:r w:rsidRPr="002C5876">
        <w:rPr>
          <w:noProof/>
          <w:lang w:val="en-GB" w:eastAsia="zh-CN"/>
        </w:rPr>
        <mc:AlternateContent>
          <mc:Choice Requires="wps">
            <w:drawing>
              <wp:anchor distT="0" distB="0" distL="114300" distR="114300" simplePos="0" relativeHeight="252295168" behindDoc="0" locked="0" layoutInCell="1" allowOverlap="1" wp14:anchorId="37C64A7B" wp14:editId="4D241B3D">
                <wp:simplePos x="0" y="0"/>
                <wp:positionH relativeFrom="column">
                  <wp:posOffset>2599525</wp:posOffset>
                </wp:positionH>
                <wp:positionV relativeFrom="paragraph">
                  <wp:posOffset>2392625</wp:posOffset>
                </wp:positionV>
                <wp:extent cx="680400" cy="142240"/>
                <wp:effectExtent l="0" t="0" r="5715" b="1016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400" cy="142240"/>
                        </a:xfrm>
                        <a:prstGeom prst="rect">
                          <a:avLst/>
                        </a:prstGeom>
                        <a:noFill/>
                        <a:ln w="9525">
                          <a:noFill/>
                          <a:miter lim="800000"/>
                          <a:headEnd/>
                          <a:tailEnd/>
                        </a:ln>
                      </wps:spPr>
                      <wps:txbx>
                        <w:txbxContent>
                          <w:p w:rsidR="00D53F39" w:rsidRPr="0062701A" w:rsidRDefault="00D53F39" w:rsidP="00E24DB7">
                            <w:pPr>
                              <w:spacing w:line="240" w:lineRule="auto"/>
                              <w:jc w:val="center"/>
                              <w:rPr>
                                <w:b/>
                                <w:sz w:val="10"/>
                                <w:szCs w:val="10"/>
                              </w:rPr>
                            </w:pPr>
                            <w:r w:rsidRPr="0062701A">
                              <w:rPr>
                                <w:b/>
                                <w:sz w:val="10"/>
                                <w:szCs w:val="10"/>
                              </w:rPr>
                              <w:t>Cycle d’essai</w:t>
                            </w:r>
                            <w:r>
                              <w:rPr>
                                <w:b/>
                                <w:sz w:val="10"/>
                                <w:szCs w:val="10"/>
                              </w:rPr>
                              <w:br/>
                              <w:t xml:space="preserve">applicable </w:t>
                            </w:r>
                            <w:r w:rsidRPr="0062701A">
                              <w:rPr>
                                <w:b/>
                                <w:sz w:val="10"/>
                                <w:szCs w:val="10"/>
                              </w:rPr>
                              <w:t>n-</w:t>
                            </w:r>
                            <w:r>
                              <w:rPr>
                                <w:b/>
                                <w:sz w:val="10"/>
                                <w:szCs w:val="10"/>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64A7B" id="Zone de texte 6" o:spid="_x0000_s1512" type="#_x0000_t202" style="position:absolute;margin-left:204.7pt;margin-top:188.4pt;width:53.55pt;height:11.2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" filled="f" stroked="f">
                <v:textbox inset="0,0,0,0">
                  <w:txbxContent>
                    <w:p w:rsidR="00D53F39" w:rsidRPr="0062701A" w:rsidRDefault="00D53F39" w:rsidP="00E24DB7">
                      <w:pPr>
                        <w:spacing w:line="240" w:lineRule="auto"/>
                        <w:jc w:val="center"/>
                        <w:rPr>
                          <w:b/>
                          <w:sz w:val="10"/>
                          <w:szCs w:val="10"/>
                        </w:rPr>
                      </w:pPr>
                      <w:r w:rsidRPr="0062701A">
                        <w:rPr>
                          <w:b/>
                          <w:sz w:val="10"/>
                          <w:szCs w:val="10"/>
                        </w:rPr>
                        <w:t>Cycle d’essai</w:t>
                      </w:r>
                      <w:r>
                        <w:rPr>
                          <w:b/>
                          <w:sz w:val="10"/>
                          <w:szCs w:val="10"/>
                        </w:rPr>
                        <w:br/>
                        <w:t xml:space="preserve">applicable </w:t>
                      </w:r>
                      <w:r w:rsidRPr="0062701A">
                        <w:rPr>
                          <w:b/>
                          <w:sz w:val="10"/>
                          <w:szCs w:val="10"/>
                        </w:rPr>
                        <w:t>n-</w:t>
                      </w:r>
                      <w:r>
                        <w:rPr>
                          <w:b/>
                          <w:sz w:val="10"/>
                          <w:szCs w:val="10"/>
                        </w:rPr>
                        <w:t>1</w:t>
                      </w:r>
                    </w:p>
                  </w:txbxContent>
                </v:textbox>
              </v:shape>
            </w:pict>
          </mc:Fallback>
        </mc:AlternateContent>
      </w:r>
      <w:r w:rsidRPr="002C5876">
        <w:rPr>
          <w:noProof/>
          <w:lang w:val="en-GB" w:eastAsia="zh-CN"/>
        </w:rPr>
        <mc:AlternateContent>
          <mc:Choice Requires="wps">
            <w:drawing>
              <wp:anchor distT="0" distB="0" distL="114300" distR="114300" simplePos="0" relativeHeight="251360256" behindDoc="0" locked="0" layoutInCell="1" allowOverlap="1" wp14:anchorId="7D35C2BB" wp14:editId="127C7C65">
                <wp:simplePos x="0" y="0"/>
                <wp:positionH relativeFrom="column">
                  <wp:posOffset>1996440</wp:posOffset>
                </wp:positionH>
                <wp:positionV relativeFrom="paragraph">
                  <wp:posOffset>944245</wp:posOffset>
                </wp:positionV>
                <wp:extent cx="1706880" cy="116840"/>
                <wp:effectExtent l="0" t="0" r="7620" b="0"/>
                <wp:wrapNone/>
                <wp:docPr id="13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116840"/>
                        </a:xfrm>
                        <a:prstGeom prst="rect">
                          <a:avLst/>
                        </a:prstGeom>
                        <a:noFill/>
                        <a:ln w="9525">
                          <a:noFill/>
                          <a:miter lim="800000"/>
                          <a:headEnd/>
                          <a:tailEnd/>
                        </a:ln>
                      </wps:spPr>
                      <wps:txbx>
                        <w:txbxContent>
                          <w:p w:rsidR="00D53F39" w:rsidRPr="00E911A4" w:rsidRDefault="00D53F39" w:rsidP="00E24DB7">
                            <w:pPr>
                              <w:spacing w:line="240" w:lineRule="auto"/>
                              <w:rPr>
                                <w:b/>
                                <w:sz w:val="12"/>
                                <w:szCs w:val="12"/>
                              </w:rPr>
                            </w:pPr>
                            <w:r w:rsidRPr="00E911A4">
                              <w:rPr>
                                <w:b/>
                                <w:sz w:val="12"/>
                                <w:szCs w:val="12"/>
                              </w:rPr>
                              <w:t>Autonomie réelle en mode épuisement de la charge R</w:t>
                            </w:r>
                            <w:r w:rsidRPr="00E911A4">
                              <w:rPr>
                                <w:b/>
                                <w:sz w:val="12"/>
                                <w:szCs w:val="12"/>
                                <w:vertAlign w:val="subscript"/>
                              </w:rPr>
                              <w:t>CDA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5C2BB" id="_x0000_s1513" type="#_x0000_t202" style="position:absolute;margin-left:157.2pt;margin-top:74.35pt;width:134.4pt;height:9.2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" filled="f" stroked="f">
                <v:textbox inset="0,0,0,0">
                  <w:txbxContent>
                    <w:p w:rsidR="00D53F39" w:rsidRPr="00E911A4" w:rsidRDefault="00D53F39" w:rsidP="00E24DB7">
                      <w:pPr>
                        <w:spacing w:line="240" w:lineRule="auto"/>
                        <w:rPr>
                          <w:b/>
                          <w:sz w:val="12"/>
                          <w:szCs w:val="12"/>
                        </w:rPr>
                      </w:pPr>
                      <w:r w:rsidRPr="00E911A4">
                        <w:rPr>
                          <w:b/>
                          <w:sz w:val="12"/>
                          <w:szCs w:val="12"/>
                        </w:rPr>
                        <w:t>Autonomie réelle en mode épuisement de la charge R</w:t>
                      </w:r>
                      <w:r w:rsidRPr="00E911A4">
                        <w:rPr>
                          <w:b/>
                          <w:sz w:val="12"/>
                          <w:szCs w:val="12"/>
                          <w:vertAlign w:val="subscript"/>
                        </w:rPr>
                        <w:t>CDA</w:t>
                      </w:r>
                    </w:p>
                  </w:txbxContent>
                </v:textbox>
              </v:shape>
            </w:pict>
          </mc:Fallback>
        </mc:AlternateContent>
      </w:r>
      <w:r w:rsidRPr="002C5876">
        <w:rPr>
          <w:noProof/>
          <w:lang w:val="en-GB" w:eastAsia="zh-CN"/>
        </w:rPr>
        <mc:AlternateContent>
          <mc:Choice Requires="wps">
            <w:drawing>
              <wp:anchor distT="0" distB="0" distL="114300" distR="114300" simplePos="0" relativeHeight="251357184" behindDoc="0" locked="0" layoutInCell="1" allowOverlap="1" wp14:anchorId="4CBCD6ED" wp14:editId="038E30B2">
                <wp:simplePos x="0" y="0"/>
                <wp:positionH relativeFrom="column">
                  <wp:posOffset>2608580</wp:posOffset>
                </wp:positionH>
                <wp:positionV relativeFrom="paragraph">
                  <wp:posOffset>2720340</wp:posOffset>
                </wp:positionV>
                <wp:extent cx="680085" cy="195580"/>
                <wp:effectExtent l="0" t="0" r="5715" b="13970"/>
                <wp:wrapNone/>
                <wp:docPr id="13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95580"/>
                        </a:xfrm>
                        <a:prstGeom prst="rect">
                          <a:avLst/>
                        </a:prstGeom>
                        <a:noFill/>
                        <a:ln w="9525">
                          <a:noFill/>
                          <a:miter lim="800000"/>
                          <a:headEnd/>
                          <a:tailEnd/>
                        </a:ln>
                      </wps:spPr>
                      <wps:txbx>
                        <w:txbxContent>
                          <w:p w:rsidR="00D53F39" w:rsidRPr="00E911A4" w:rsidRDefault="00D53F39" w:rsidP="00E24DB7">
                            <w:pPr>
                              <w:spacing w:line="240" w:lineRule="auto"/>
                              <w:jc w:val="center"/>
                              <w:rPr>
                                <w:b/>
                                <w:sz w:val="10"/>
                                <w:szCs w:val="10"/>
                              </w:rPr>
                            </w:pPr>
                            <w:r w:rsidRPr="00E911A4">
                              <w:rPr>
                                <w:b/>
                                <w:sz w:val="10"/>
                                <w:szCs w:val="10"/>
                              </w:rPr>
                              <w:t>Essai de type 1 en mode épuisement 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CD6ED" id="_x0000_s1514" type="#_x0000_t202" style="position:absolute;margin-left:205.4pt;margin-top:214.2pt;width:53.55pt;height:15.4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" filled="f" stroked="f">
                <v:textbox inset="0,0,0,0">
                  <w:txbxContent>
                    <w:p w:rsidR="00D53F39" w:rsidRPr="00E911A4" w:rsidRDefault="00D53F39" w:rsidP="00E24DB7">
                      <w:pPr>
                        <w:spacing w:line="240" w:lineRule="auto"/>
                        <w:jc w:val="center"/>
                        <w:rPr>
                          <w:b/>
                          <w:sz w:val="10"/>
                          <w:szCs w:val="10"/>
                        </w:rPr>
                      </w:pPr>
                      <w:r w:rsidRPr="00E911A4">
                        <w:rPr>
                          <w:b/>
                          <w:sz w:val="10"/>
                          <w:szCs w:val="10"/>
                        </w:rPr>
                        <w:t>Essai de type 1 en mode épuisement de la charge</w:t>
                      </w:r>
                    </w:p>
                  </w:txbxContent>
                </v:textbox>
              </v:shape>
            </w:pict>
          </mc:Fallback>
        </mc:AlternateContent>
      </w:r>
      <w:r w:rsidRPr="002C5876">
        <w:rPr>
          <w:noProof/>
          <w:lang w:val="en-GB" w:eastAsia="zh-CN"/>
        </w:rPr>
        <mc:AlternateContent>
          <mc:Choice Requires="wps">
            <w:drawing>
              <wp:anchor distT="0" distB="0" distL="114300" distR="114300" simplePos="0" relativeHeight="251341824" behindDoc="0" locked="0" layoutInCell="1" allowOverlap="1" wp14:anchorId="00EED40A" wp14:editId="65494006">
                <wp:simplePos x="0" y="0"/>
                <wp:positionH relativeFrom="column">
                  <wp:posOffset>1245870</wp:posOffset>
                </wp:positionH>
                <wp:positionV relativeFrom="paragraph">
                  <wp:posOffset>781685</wp:posOffset>
                </wp:positionV>
                <wp:extent cx="641985" cy="270510"/>
                <wp:effectExtent l="0" t="0" r="5715" b="0"/>
                <wp:wrapNone/>
                <wp:docPr id="14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270510"/>
                        </a:xfrm>
                        <a:prstGeom prst="rect">
                          <a:avLst/>
                        </a:prstGeom>
                        <a:noFill/>
                        <a:ln w="9525">
                          <a:noFill/>
                          <a:miter lim="800000"/>
                          <a:headEnd/>
                          <a:tailEnd/>
                        </a:ln>
                      </wps:spPr>
                      <wps:txbx>
                        <w:txbxContent>
                          <w:p w:rsidR="00D53F39" w:rsidRPr="00E911A4" w:rsidRDefault="00D53F39" w:rsidP="00E24DB7">
                            <w:pPr>
                              <w:spacing w:line="240" w:lineRule="auto"/>
                              <w:jc w:val="center"/>
                              <w:rPr>
                                <w:b/>
                                <w:sz w:val="10"/>
                                <w:szCs w:val="10"/>
                              </w:rPr>
                            </w:pPr>
                            <w:r w:rsidRPr="00E911A4">
                              <w:rPr>
                                <w:b/>
                                <w:sz w:val="10"/>
                                <w:szCs w:val="10"/>
                              </w:rPr>
                              <w:t>Temps de stabilisation</w:t>
                            </w:r>
                          </w:p>
                          <w:p w:rsidR="00D53F39" w:rsidRPr="00E911A4" w:rsidRDefault="00D53F39" w:rsidP="00E24DB7">
                            <w:pPr>
                              <w:spacing w:line="240" w:lineRule="auto"/>
                              <w:jc w:val="center"/>
                              <w:rPr>
                                <w:b/>
                                <w:sz w:val="10"/>
                                <w:szCs w:val="10"/>
                              </w:rPr>
                            </w:pPr>
                            <w:r w:rsidRPr="00E911A4">
                              <w:rPr>
                                <w:b/>
                                <w:sz w:val="10"/>
                                <w:szCs w:val="10"/>
                              </w:rPr>
                              <w:t>+</w:t>
                            </w:r>
                          </w:p>
                          <w:p w:rsidR="00D53F39" w:rsidRPr="00E911A4" w:rsidRDefault="00D53F39" w:rsidP="00E24DB7">
                            <w:pPr>
                              <w:spacing w:line="240" w:lineRule="auto"/>
                              <w:jc w:val="center"/>
                              <w:rPr>
                                <w:b/>
                                <w:sz w:val="10"/>
                                <w:szCs w:val="10"/>
                              </w:rPr>
                            </w:pPr>
                            <w:r w:rsidRPr="00E911A4">
                              <w:rPr>
                                <w:b/>
                                <w:sz w:val="10"/>
                                <w:szCs w:val="10"/>
                              </w:rPr>
                              <w:t>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ED40A" id="_x0000_s1515" type="#_x0000_t202" style="position:absolute;margin-left:98.1pt;margin-top:61.55pt;width:50.55pt;height:21.3pt;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" filled="f" stroked="f">
                <v:textbox inset="0,0,0,0">
                  <w:txbxContent>
                    <w:p w:rsidR="00D53F39" w:rsidRPr="00E911A4" w:rsidRDefault="00D53F39" w:rsidP="00E24DB7">
                      <w:pPr>
                        <w:spacing w:line="240" w:lineRule="auto"/>
                        <w:jc w:val="center"/>
                        <w:rPr>
                          <w:b/>
                          <w:sz w:val="10"/>
                          <w:szCs w:val="10"/>
                        </w:rPr>
                      </w:pPr>
                      <w:r w:rsidRPr="00E911A4">
                        <w:rPr>
                          <w:b/>
                          <w:sz w:val="10"/>
                          <w:szCs w:val="10"/>
                        </w:rPr>
                        <w:t>Temps de stabilisation</w:t>
                      </w:r>
                    </w:p>
                    <w:p w:rsidR="00D53F39" w:rsidRPr="00E911A4" w:rsidRDefault="00D53F39" w:rsidP="00E24DB7">
                      <w:pPr>
                        <w:spacing w:line="240" w:lineRule="auto"/>
                        <w:jc w:val="center"/>
                        <w:rPr>
                          <w:b/>
                          <w:sz w:val="10"/>
                          <w:szCs w:val="10"/>
                        </w:rPr>
                      </w:pPr>
                      <w:r w:rsidRPr="00E911A4">
                        <w:rPr>
                          <w:b/>
                          <w:sz w:val="10"/>
                          <w:szCs w:val="10"/>
                        </w:rPr>
                        <w:t>+</w:t>
                      </w:r>
                    </w:p>
                    <w:p w:rsidR="00D53F39" w:rsidRPr="00E911A4" w:rsidRDefault="00D53F39" w:rsidP="00E24DB7">
                      <w:pPr>
                        <w:spacing w:line="240" w:lineRule="auto"/>
                        <w:jc w:val="center"/>
                        <w:rPr>
                          <w:b/>
                          <w:sz w:val="10"/>
                          <w:szCs w:val="10"/>
                        </w:rPr>
                      </w:pPr>
                      <w:r w:rsidRPr="00E911A4">
                        <w:rPr>
                          <w:b/>
                          <w:sz w:val="10"/>
                          <w:szCs w:val="10"/>
                        </w:rPr>
                        <w:t>charge du SRSEE</w:t>
                      </w:r>
                    </w:p>
                  </w:txbxContent>
                </v:textbox>
              </v:shape>
            </w:pict>
          </mc:Fallback>
        </mc:AlternateContent>
      </w:r>
      <w:r w:rsidRPr="002C5876">
        <w:rPr>
          <w:noProof/>
          <w:lang w:val="en-GB" w:eastAsia="zh-CN"/>
        </w:rPr>
        <mc:AlternateContent>
          <mc:Choice Requires="wps">
            <w:drawing>
              <wp:anchor distT="0" distB="0" distL="114300" distR="114300" simplePos="0" relativeHeight="251363328" behindDoc="0" locked="0" layoutInCell="1" allowOverlap="1" wp14:anchorId="462A0F74" wp14:editId="569FC24F">
                <wp:simplePos x="0" y="0"/>
                <wp:positionH relativeFrom="column">
                  <wp:posOffset>1987550</wp:posOffset>
                </wp:positionH>
                <wp:positionV relativeFrom="paragraph">
                  <wp:posOffset>725805</wp:posOffset>
                </wp:positionV>
                <wp:extent cx="1898650" cy="167640"/>
                <wp:effectExtent l="0" t="0" r="6350" b="3810"/>
                <wp:wrapNone/>
                <wp:docPr id="13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167640"/>
                        </a:xfrm>
                        <a:prstGeom prst="rect">
                          <a:avLst/>
                        </a:prstGeom>
                        <a:noFill/>
                        <a:ln w="9525">
                          <a:noFill/>
                          <a:miter lim="800000"/>
                          <a:headEnd/>
                          <a:tailEnd/>
                        </a:ln>
                      </wps:spPr>
                      <wps:txbx>
                        <w:txbxContent>
                          <w:p w:rsidR="00D53F39" w:rsidRPr="00E911A4" w:rsidRDefault="00D53F39" w:rsidP="00E24DB7">
                            <w:pPr>
                              <w:spacing w:line="240" w:lineRule="auto"/>
                              <w:rPr>
                                <w:b/>
                                <w:sz w:val="12"/>
                                <w:szCs w:val="12"/>
                              </w:rPr>
                            </w:pPr>
                            <w:r w:rsidRPr="00E911A4">
                              <w:rPr>
                                <w:b/>
                                <w:sz w:val="12"/>
                                <w:szCs w:val="12"/>
                              </w:rPr>
                              <w:t>Autonomie en mode cycle d’épuisement de la charge R</w:t>
                            </w:r>
                            <w:r w:rsidRPr="00E911A4">
                              <w:rPr>
                                <w:b/>
                                <w:sz w:val="12"/>
                                <w:szCs w:val="12"/>
                                <w:vertAlign w:val="subscript"/>
                              </w:rPr>
                              <w:t>CDC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A0F74" id="_x0000_s1516" type="#_x0000_t202" style="position:absolute;margin-left:156.5pt;margin-top:57.15pt;width:149.5pt;height:13.2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" filled="f" stroked="f">
                <v:textbox inset="0,0,0,0">
                  <w:txbxContent>
                    <w:p w:rsidR="00D53F39" w:rsidRPr="00E911A4" w:rsidRDefault="00D53F39" w:rsidP="00E24DB7">
                      <w:pPr>
                        <w:spacing w:line="240" w:lineRule="auto"/>
                        <w:rPr>
                          <w:b/>
                          <w:sz w:val="12"/>
                          <w:szCs w:val="12"/>
                        </w:rPr>
                      </w:pPr>
                      <w:r w:rsidRPr="00E911A4">
                        <w:rPr>
                          <w:b/>
                          <w:sz w:val="12"/>
                          <w:szCs w:val="12"/>
                        </w:rPr>
                        <w:t>Autonomie en mode cycle d’épuisement de la charge R</w:t>
                      </w:r>
                      <w:r w:rsidRPr="00E911A4">
                        <w:rPr>
                          <w:b/>
                          <w:sz w:val="12"/>
                          <w:szCs w:val="12"/>
                          <w:vertAlign w:val="subscript"/>
                        </w:rPr>
                        <w:t>CDC</w:t>
                      </w:r>
                    </w:p>
                  </w:txbxContent>
                </v:textbox>
              </v:shape>
            </w:pict>
          </mc:Fallback>
        </mc:AlternateContent>
      </w:r>
      <w:r w:rsidRPr="002C5876">
        <w:rPr>
          <w:noProof/>
          <w:lang w:val="en-GB" w:eastAsia="zh-CN"/>
        </w:rPr>
        <mc:AlternateContent>
          <mc:Choice Requires="wps">
            <w:drawing>
              <wp:anchor distT="0" distB="0" distL="114300" distR="114300" simplePos="0" relativeHeight="251378688" behindDoc="0" locked="0" layoutInCell="1" allowOverlap="1" wp14:anchorId="49EE437D" wp14:editId="549FF6BD">
                <wp:simplePos x="0" y="0"/>
                <wp:positionH relativeFrom="column">
                  <wp:posOffset>1985010</wp:posOffset>
                </wp:positionH>
                <wp:positionV relativeFrom="paragraph">
                  <wp:posOffset>1693545</wp:posOffset>
                </wp:positionV>
                <wp:extent cx="616585" cy="156210"/>
                <wp:effectExtent l="0" t="0" r="12065" b="0"/>
                <wp:wrapNone/>
                <wp:docPr id="13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156210"/>
                        </a:xfrm>
                        <a:prstGeom prst="rect">
                          <a:avLst/>
                        </a:prstGeom>
                        <a:noFill/>
                        <a:ln w="9525">
                          <a:noFill/>
                          <a:miter lim="800000"/>
                          <a:headEnd/>
                          <a:tailEnd/>
                        </a:ln>
                      </wps:spPr>
                      <wps:txbx>
                        <w:txbxContent>
                          <w:p w:rsidR="00D53F39" w:rsidRPr="00A96F65" w:rsidRDefault="00D53F39" w:rsidP="00E24DB7">
                            <w:pPr>
                              <w:spacing w:line="240" w:lineRule="auto"/>
                              <w:rPr>
                                <w:b/>
                                <w:color w:val="7030A0"/>
                                <w:sz w:val="10"/>
                                <w:szCs w:val="10"/>
                              </w:rPr>
                            </w:pPr>
                            <w:r w:rsidRPr="00A96F65">
                              <w:rPr>
                                <w:b/>
                                <w:color w:val="7030A0"/>
                                <w:sz w:val="10"/>
                                <w:szCs w:val="10"/>
                              </w:rPr>
                              <w:t>Autonomie en mode électrique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E437D" id="_x0000_s1517" type="#_x0000_t202" style="position:absolute;margin-left:156.3pt;margin-top:133.35pt;width:48.55pt;height:12.3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" filled="f" stroked="f">
                <v:textbox inset="0,0,0,0">
                  <w:txbxContent>
                    <w:p w:rsidR="00D53F39" w:rsidRPr="00A96F65" w:rsidRDefault="00D53F39" w:rsidP="00E24DB7">
                      <w:pPr>
                        <w:spacing w:line="240" w:lineRule="auto"/>
                        <w:rPr>
                          <w:b/>
                          <w:color w:val="7030A0"/>
                          <w:sz w:val="10"/>
                          <w:szCs w:val="10"/>
                        </w:rPr>
                      </w:pPr>
                      <w:r w:rsidRPr="00A96F65">
                        <w:rPr>
                          <w:b/>
                          <w:color w:val="7030A0"/>
                          <w:sz w:val="10"/>
                          <w:szCs w:val="10"/>
                        </w:rPr>
                        <w:t>Autonomie en mode électrique</w:t>
                      </w:r>
                    </w:p>
                  </w:txbxContent>
                </v:textbox>
              </v:shape>
            </w:pict>
          </mc:Fallback>
        </mc:AlternateContent>
      </w:r>
      <w:r w:rsidRPr="002C5876">
        <w:rPr>
          <w:noProof/>
          <w:lang w:val="en-GB" w:eastAsia="zh-CN"/>
        </w:rPr>
        <mc:AlternateContent>
          <mc:Choice Requires="wps">
            <w:drawing>
              <wp:anchor distT="0" distB="0" distL="114300" distR="114300" simplePos="0" relativeHeight="251338752" behindDoc="0" locked="0" layoutInCell="1" allowOverlap="1" wp14:anchorId="17C992D2" wp14:editId="2B1233D1">
                <wp:simplePos x="0" y="0"/>
                <wp:positionH relativeFrom="column">
                  <wp:posOffset>597535</wp:posOffset>
                </wp:positionH>
                <wp:positionV relativeFrom="paragraph">
                  <wp:posOffset>951230</wp:posOffset>
                </wp:positionV>
                <wp:extent cx="641985" cy="147955"/>
                <wp:effectExtent l="0" t="0" r="5715" b="4445"/>
                <wp:wrapNone/>
                <wp:docPr id="2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147955"/>
                        </a:xfrm>
                        <a:prstGeom prst="rect">
                          <a:avLst/>
                        </a:prstGeom>
                        <a:noFill/>
                        <a:ln w="9525">
                          <a:noFill/>
                          <a:miter lim="800000"/>
                          <a:headEnd/>
                          <a:tailEnd/>
                        </a:ln>
                      </wps:spPr>
                      <wps:txbx>
                        <w:txbxContent>
                          <w:p w:rsidR="00D53F39" w:rsidRPr="009D55C9" w:rsidRDefault="00D53F39" w:rsidP="00E24DB7">
                            <w:pPr>
                              <w:spacing w:line="240" w:lineRule="auto"/>
                              <w:jc w:val="center"/>
                              <w:rPr>
                                <w:b/>
                                <w:sz w:val="10"/>
                                <w:szCs w:val="10"/>
                              </w:rPr>
                            </w:pPr>
                            <w:r w:rsidRPr="009D55C9">
                              <w:rPr>
                                <w:b/>
                                <w:sz w:val="10"/>
                                <w:szCs w:val="10"/>
                              </w:rPr>
                              <w:t>Préconditionnement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992D2" id="_x0000_s1518" type="#_x0000_t202" style="position:absolute;margin-left:47.05pt;margin-top:74.9pt;width:50.55pt;height:11.65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" filled="f" stroked="f">
                <v:textbox inset="0,0,0,0">
                  <w:txbxContent>
                    <w:p w:rsidR="00D53F39" w:rsidRPr="009D55C9" w:rsidRDefault="00D53F39" w:rsidP="00E24DB7">
                      <w:pPr>
                        <w:spacing w:line="240" w:lineRule="auto"/>
                        <w:jc w:val="center"/>
                        <w:rPr>
                          <w:b/>
                          <w:sz w:val="10"/>
                          <w:szCs w:val="10"/>
                        </w:rPr>
                      </w:pPr>
                      <w:r w:rsidRPr="009D55C9">
                        <w:rPr>
                          <w:b/>
                          <w:sz w:val="10"/>
                          <w:szCs w:val="10"/>
                        </w:rPr>
                        <w:t>Préconditionnement</w:t>
                      </w:r>
                    </w:p>
                  </w:txbxContent>
                </v:textbox>
              </v:shape>
            </w:pict>
          </mc:Fallback>
        </mc:AlternateContent>
      </w:r>
      <w:r w:rsidRPr="002C5876">
        <w:rPr>
          <w:noProof/>
          <w:lang w:val="en-GB" w:eastAsia="zh-CN"/>
        </w:rPr>
        <mc:AlternateContent>
          <mc:Choice Requires="wps">
            <w:drawing>
              <wp:anchor distT="0" distB="0" distL="114300" distR="114300" simplePos="0" relativeHeight="251354112" behindDoc="0" locked="0" layoutInCell="1" allowOverlap="1" wp14:anchorId="745AB53C" wp14:editId="56E7B69B">
                <wp:simplePos x="0" y="0"/>
                <wp:positionH relativeFrom="column">
                  <wp:posOffset>3978275</wp:posOffset>
                </wp:positionH>
                <wp:positionV relativeFrom="paragraph">
                  <wp:posOffset>2418921</wp:posOffset>
                </wp:positionV>
                <wp:extent cx="680085" cy="248421"/>
                <wp:effectExtent l="0" t="0" r="5715" b="0"/>
                <wp:wrapNone/>
                <wp:docPr id="13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248421"/>
                        </a:xfrm>
                        <a:prstGeom prst="rect">
                          <a:avLst/>
                        </a:prstGeom>
                        <a:noFill/>
                        <a:ln w="9525">
                          <a:noFill/>
                          <a:miter lim="800000"/>
                          <a:headEnd/>
                          <a:tailEnd/>
                        </a:ln>
                      </wps:spPr>
                      <wps:txbx>
                        <w:txbxContent>
                          <w:p w:rsidR="00D53F39" w:rsidRPr="00E911A4" w:rsidRDefault="00D53F39" w:rsidP="00E24DB7">
                            <w:pPr>
                              <w:spacing w:line="240" w:lineRule="auto"/>
                              <w:jc w:val="center"/>
                              <w:rPr>
                                <w:b/>
                                <w:sz w:val="10"/>
                                <w:szCs w:val="10"/>
                              </w:rPr>
                            </w:pPr>
                            <w:r w:rsidRPr="00E911A4">
                              <w:rPr>
                                <w:b/>
                                <w:sz w:val="10"/>
                                <w:szCs w:val="10"/>
                              </w:rPr>
                              <w:t xml:space="preserve">Cycle d’essai </w:t>
                            </w:r>
                          </w:p>
                          <w:p w:rsidR="00D53F39" w:rsidRPr="00E911A4" w:rsidRDefault="00D53F39" w:rsidP="00E24DB7">
                            <w:pPr>
                              <w:spacing w:line="240" w:lineRule="auto"/>
                              <w:jc w:val="center"/>
                              <w:rPr>
                                <w:sz w:val="10"/>
                                <w:szCs w:val="10"/>
                              </w:rPr>
                            </w:pPr>
                            <w:r w:rsidRPr="00E911A4">
                              <w:rPr>
                                <w:b/>
                                <w:sz w:val="10"/>
                                <w:szCs w:val="10"/>
                              </w:rPr>
                              <w:t xml:space="preserve">applicable n+1 </w:t>
                            </w:r>
                            <w:r w:rsidRPr="00E911A4">
                              <w:rPr>
                                <w:b/>
                                <w:sz w:val="10"/>
                                <w:szCs w:val="10"/>
                              </w:rPr>
                              <w:br/>
                              <w:t>(cycle de confirmation)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AB53C" id="_x0000_s1519" type="#_x0000_t202" style="position:absolute;margin-left:313.25pt;margin-top:190.45pt;width:53.55pt;height:19.55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" filled="f" stroked="f">
                <v:textbox inset="0,0,0,0">
                  <w:txbxContent>
                    <w:p w:rsidR="00D53F39" w:rsidRPr="00E911A4" w:rsidRDefault="00D53F39" w:rsidP="00E24DB7">
                      <w:pPr>
                        <w:spacing w:line="240" w:lineRule="auto"/>
                        <w:jc w:val="center"/>
                        <w:rPr>
                          <w:b/>
                          <w:sz w:val="10"/>
                          <w:szCs w:val="10"/>
                        </w:rPr>
                      </w:pPr>
                      <w:r w:rsidRPr="00E911A4">
                        <w:rPr>
                          <w:b/>
                          <w:sz w:val="10"/>
                          <w:szCs w:val="10"/>
                        </w:rPr>
                        <w:t xml:space="preserve">Cycle d’essai </w:t>
                      </w:r>
                    </w:p>
                    <w:p w:rsidR="00D53F39" w:rsidRPr="00E911A4" w:rsidRDefault="00D53F39" w:rsidP="00E24DB7">
                      <w:pPr>
                        <w:spacing w:line="240" w:lineRule="auto"/>
                        <w:jc w:val="center"/>
                        <w:rPr>
                          <w:sz w:val="10"/>
                          <w:szCs w:val="10"/>
                        </w:rPr>
                      </w:pPr>
                      <w:r w:rsidRPr="00E911A4">
                        <w:rPr>
                          <w:b/>
                          <w:sz w:val="10"/>
                          <w:szCs w:val="10"/>
                        </w:rPr>
                        <w:t xml:space="preserve">applicable n+1 </w:t>
                      </w:r>
                      <w:r w:rsidRPr="00E911A4">
                        <w:rPr>
                          <w:b/>
                          <w:sz w:val="10"/>
                          <w:szCs w:val="10"/>
                        </w:rPr>
                        <w:br/>
                        <w:t>(cycle de confirmation)</w:t>
                      </w:r>
                    </w:p>
                  </w:txbxContent>
                </v:textbox>
              </v:shape>
            </w:pict>
          </mc:Fallback>
        </mc:AlternateContent>
      </w:r>
      <w:r w:rsidRPr="002C5876">
        <w:rPr>
          <w:noProof/>
          <w:lang w:val="en-GB" w:eastAsia="zh-CN"/>
        </w:rPr>
        <mc:AlternateContent>
          <mc:Choice Requires="wps">
            <w:drawing>
              <wp:anchor distT="0" distB="0" distL="114300" distR="114300" simplePos="0" relativeHeight="251381760" behindDoc="0" locked="0" layoutInCell="1" allowOverlap="1" wp14:anchorId="1255433C" wp14:editId="6C010FFD">
                <wp:simplePos x="0" y="0"/>
                <wp:positionH relativeFrom="column">
                  <wp:posOffset>1917288</wp:posOffset>
                </wp:positionH>
                <wp:positionV relativeFrom="paragraph">
                  <wp:posOffset>1913255</wp:posOffset>
                </wp:positionV>
                <wp:extent cx="1337628" cy="156210"/>
                <wp:effectExtent l="0" t="0" r="0" b="0"/>
                <wp:wrapNone/>
                <wp:docPr id="13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628" cy="156210"/>
                        </a:xfrm>
                        <a:prstGeom prst="rect">
                          <a:avLst/>
                        </a:prstGeom>
                        <a:noFill/>
                        <a:ln w="9525">
                          <a:noFill/>
                          <a:miter lim="800000"/>
                          <a:headEnd/>
                          <a:tailEnd/>
                        </a:ln>
                      </wps:spPr>
                      <wps:txbx>
                        <w:txbxContent>
                          <w:p w:rsidR="00D53F39" w:rsidRPr="00E911A4" w:rsidRDefault="00D53F39" w:rsidP="00E24DB7">
                            <w:pPr>
                              <w:spacing w:line="240" w:lineRule="auto"/>
                              <w:rPr>
                                <w:b/>
                                <w:color w:val="76923C" w:themeColor="accent3" w:themeShade="BF"/>
                                <w:sz w:val="10"/>
                                <w:szCs w:val="10"/>
                              </w:rPr>
                            </w:pPr>
                            <w:r w:rsidRPr="00E911A4">
                              <w:rPr>
                                <w:b/>
                                <w:color w:val="76923C" w:themeColor="accent3" w:themeShade="BF"/>
                                <w:sz w:val="10"/>
                                <w:szCs w:val="10"/>
                              </w:rPr>
                              <w:t>Autonomie équivalente en mode électrique pur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5433C" id="_x0000_s1520" type="#_x0000_t202" style="position:absolute;margin-left:150.95pt;margin-top:150.65pt;width:105.35pt;height:12.3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" filled="f" stroked="f">
                <v:textbox inset="0,0,0,0">
                  <w:txbxContent>
                    <w:p w:rsidR="00D53F39" w:rsidRPr="00E911A4" w:rsidRDefault="00D53F39" w:rsidP="00E24DB7">
                      <w:pPr>
                        <w:spacing w:line="240" w:lineRule="auto"/>
                        <w:rPr>
                          <w:b/>
                          <w:color w:val="76923C" w:themeColor="accent3" w:themeShade="BF"/>
                          <w:sz w:val="10"/>
                          <w:szCs w:val="10"/>
                        </w:rPr>
                      </w:pPr>
                      <w:r w:rsidRPr="00E911A4">
                        <w:rPr>
                          <w:b/>
                          <w:color w:val="76923C" w:themeColor="accent3" w:themeShade="BF"/>
                          <w:sz w:val="10"/>
                          <w:szCs w:val="10"/>
                        </w:rPr>
                        <w:t>Autonomie équivalente en mode électrique pur</w:t>
                      </w:r>
                    </w:p>
                  </w:txbxContent>
                </v:textbox>
              </v:shape>
            </w:pict>
          </mc:Fallback>
        </mc:AlternateContent>
      </w:r>
      <w:r w:rsidRPr="002C5876">
        <w:rPr>
          <w:noProof/>
          <w:lang w:val="en-GB" w:eastAsia="zh-CN"/>
        </w:rPr>
        <mc:AlternateContent>
          <mc:Choice Requires="wps">
            <w:drawing>
              <wp:anchor distT="0" distB="0" distL="114300" distR="114300" simplePos="0" relativeHeight="251375616" behindDoc="0" locked="0" layoutInCell="1" allowOverlap="1" wp14:anchorId="7FCF49C7" wp14:editId="4E4E54A6">
                <wp:simplePos x="0" y="0"/>
                <wp:positionH relativeFrom="column">
                  <wp:posOffset>1915795</wp:posOffset>
                </wp:positionH>
                <wp:positionV relativeFrom="paragraph">
                  <wp:posOffset>1418590</wp:posOffset>
                </wp:positionV>
                <wp:extent cx="575945" cy="230505"/>
                <wp:effectExtent l="0" t="0" r="0" b="0"/>
                <wp:wrapNone/>
                <wp:docPr id="13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230505"/>
                        </a:xfrm>
                        <a:prstGeom prst="rect">
                          <a:avLst/>
                        </a:prstGeom>
                        <a:noFill/>
                        <a:ln w="9525">
                          <a:noFill/>
                          <a:miter lim="800000"/>
                          <a:headEnd/>
                          <a:tailEnd/>
                        </a:ln>
                      </wps:spPr>
                      <wps:txbx>
                        <w:txbxContent>
                          <w:p w:rsidR="00D53F39" w:rsidRPr="00E911A4" w:rsidRDefault="00D53F39" w:rsidP="00E24DB7">
                            <w:pPr>
                              <w:spacing w:line="240" w:lineRule="auto"/>
                              <w:jc w:val="center"/>
                              <w:rPr>
                                <w:b/>
                                <w:color w:val="00B0F0"/>
                                <w:sz w:val="10"/>
                                <w:szCs w:val="10"/>
                              </w:rPr>
                            </w:pPr>
                            <w:r w:rsidRPr="00E911A4">
                              <w:rPr>
                                <w:b/>
                                <w:color w:val="00B0F0"/>
                                <w:sz w:val="10"/>
                                <w:szCs w:val="10"/>
                              </w:rPr>
                              <w:t xml:space="preserve">Premier démarrage </w:t>
                            </w:r>
                            <w:r w:rsidRPr="00E911A4">
                              <w:rPr>
                                <w:b/>
                                <w:color w:val="00B0F0"/>
                                <w:sz w:val="10"/>
                                <w:szCs w:val="10"/>
                              </w:rPr>
                              <w:br/>
                              <w:t xml:space="preserve">du moteur à </w:t>
                            </w:r>
                            <w:r w:rsidRPr="00E911A4">
                              <w:rPr>
                                <w:b/>
                                <w:color w:val="00B0F0"/>
                                <w:sz w:val="10"/>
                                <w:szCs w:val="10"/>
                              </w:rPr>
                              <w:br/>
                              <w:t>combustion interne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F49C7" id="_x0000_s1521" type="#_x0000_t202" style="position:absolute;margin-left:150.85pt;margin-top:111.7pt;width:45.35pt;height:18.15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" filled="f" stroked="f">
                <v:textbox inset="0,0,0,0">
                  <w:txbxContent>
                    <w:p w:rsidR="00D53F39" w:rsidRPr="00E911A4" w:rsidRDefault="00D53F39" w:rsidP="00E24DB7">
                      <w:pPr>
                        <w:spacing w:line="240" w:lineRule="auto"/>
                        <w:jc w:val="center"/>
                        <w:rPr>
                          <w:b/>
                          <w:color w:val="00B0F0"/>
                          <w:sz w:val="10"/>
                          <w:szCs w:val="10"/>
                        </w:rPr>
                      </w:pPr>
                      <w:r w:rsidRPr="00E911A4">
                        <w:rPr>
                          <w:b/>
                          <w:color w:val="00B0F0"/>
                          <w:sz w:val="10"/>
                          <w:szCs w:val="10"/>
                        </w:rPr>
                        <w:t xml:space="preserve">Premier démarrage </w:t>
                      </w:r>
                      <w:r w:rsidRPr="00E911A4">
                        <w:rPr>
                          <w:b/>
                          <w:color w:val="00B0F0"/>
                          <w:sz w:val="10"/>
                          <w:szCs w:val="10"/>
                        </w:rPr>
                        <w:br/>
                        <w:t xml:space="preserve">du moteur à </w:t>
                      </w:r>
                      <w:r w:rsidRPr="00E911A4">
                        <w:rPr>
                          <w:b/>
                          <w:color w:val="00B0F0"/>
                          <w:sz w:val="10"/>
                          <w:szCs w:val="10"/>
                        </w:rPr>
                        <w:br/>
                        <w:t>combustion interne</w:t>
                      </w:r>
                    </w:p>
                  </w:txbxContent>
                </v:textbox>
              </v:shape>
            </w:pict>
          </mc:Fallback>
        </mc:AlternateContent>
      </w:r>
      <w:r w:rsidRPr="002C5876">
        <w:rPr>
          <w:noProof/>
          <w:lang w:val="en-GB" w:eastAsia="zh-CN"/>
        </w:rPr>
        <mc:AlternateContent>
          <mc:Choice Requires="wps">
            <w:drawing>
              <wp:anchor distT="0" distB="0" distL="114300" distR="114300" simplePos="0" relativeHeight="251372544" behindDoc="0" locked="0" layoutInCell="1" allowOverlap="1" wp14:anchorId="2E1239CD" wp14:editId="0C402A9E">
                <wp:simplePos x="0" y="0"/>
                <wp:positionH relativeFrom="column">
                  <wp:posOffset>5188111</wp:posOffset>
                </wp:positionH>
                <wp:positionV relativeFrom="paragraph">
                  <wp:posOffset>1421374</wp:posOffset>
                </wp:positionV>
                <wp:extent cx="926210" cy="308757"/>
                <wp:effectExtent l="3810" t="0" r="11430" b="11430"/>
                <wp:wrapNone/>
                <wp:docPr id="13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26210" cy="308757"/>
                        </a:xfrm>
                        <a:prstGeom prst="rect">
                          <a:avLst/>
                        </a:prstGeom>
                        <a:noFill/>
                        <a:ln w="9525">
                          <a:noFill/>
                          <a:miter lim="800000"/>
                          <a:headEnd/>
                          <a:tailEnd/>
                        </a:ln>
                      </wps:spPr>
                      <wps:txbx>
                        <w:txbxContent>
                          <w:p w:rsidR="00D53F39" w:rsidRPr="00E911A4" w:rsidRDefault="00D53F39" w:rsidP="00E24DB7">
                            <w:pPr>
                              <w:spacing w:line="240" w:lineRule="auto"/>
                              <w:jc w:val="center"/>
                              <w:rPr>
                                <w:b/>
                                <w:sz w:val="10"/>
                                <w:szCs w:val="10"/>
                              </w:rPr>
                            </w:pPr>
                            <w:r w:rsidRPr="00E911A4">
                              <w:rPr>
                                <w:b/>
                                <w:sz w:val="10"/>
                                <w:szCs w:val="10"/>
                              </w:rPr>
                              <w:t>E</w:t>
                            </w:r>
                            <w:r w:rsidRPr="00E911A4">
                              <w:rPr>
                                <w:b/>
                                <w:sz w:val="10"/>
                                <w:szCs w:val="10"/>
                                <w:vertAlign w:val="subscript"/>
                              </w:rPr>
                              <w:t xml:space="preserve">AC </w:t>
                            </w:r>
                            <w:r w:rsidRPr="00E911A4">
                              <w:rPr>
                                <w:b/>
                                <w:sz w:val="10"/>
                                <w:szCs w:val="10"/>
                              </w:rPr>
                              <w:br/>
                              <w:t xml:space="preserve">(recharge d’énergie </w:t>
                            </w:r>
                            <w:r w:rsidRPr="00E911A4">
                              <w:rPr>
                                <w:b/>
                                <w:sz w:val="10"/>
                                <w:szCs w:val="10"/>
                              </w:rPr>
                              <w:br/>
                              <w:t>sur le secteur)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239CD" id="_x0000_s1522" type="#_x0000_t202" style="position:absolute;margin-left:408.5pt;margin-top:111.9pt;width:72.95pt;height:24.3pt;rotation:-90;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" filled="f" stroked="f">
                <v:textbox inset="0,0,0,0">
                  <w:txbxContent>
                    <w:p w:rsidR="00D53F39" w:rsidRPr="00E911A4" w:rsidRDefault="00D53F39" w:rsidP="00E24DB7">
                      <w:pPr>
                        <w:spacing w:line="240" w:lineRule="auto"/>
                        <w:jc w:val="center"/>
                        <w:rPr>
                          <w:b/>
                          <w:sz w:val="10"/>
                          <w:szCs w:val="10"/>
                        </w:rPr>
                      </w:pPr>
                      <w:r w:rsidRPr="00E911A4">
                        <w:rPr>
                          <w:b/>
                          <w:sz w:val="10"/>
                          <w:szCs w:val="10"/>
                        </w:rPr>
                        <w:t>E</w:t>
                      </w:r>
                      <w:r w:rsidRPr="00E911A4">
                        <w:rPr>
                          <w:b/>
                          <w:sz w:val="10"/>
                          <w:szCs w:val="10"/>
                          <w:vertAlign w:val="subscript"/>
                        </w:rPr>
                        <w:t xml:space="preserve">AC </w:t>
                      </w:r>
                      <w:r w:rsidRPr="00E911A4">
                        <w:rPr>
                          <w:b/>
                          <w:sz w:val="10"/>
                          <w:szCs w:val="10"/>
                        </w:rPr>
                        <w:br/>
                        <w:t xml:space="preserve">(recharge d’énergie </w:t>
                      </w:r>
                      <w:r w:rsidRPr="00E911A4">
                        <w:rPr>
                          <w:b/>
                          <w:sz w:val="10"/>
                          <w:szCs w:val="10"/>
                        </w:rPr>
                        <w:br/>
                        <w:t>sur le secteur)</w:t>
                      </w:r>
                    </w:p>
                  </w:txbxContent>
                </v:textbox>
              </v:shape>
            </w:pict>
          </mc:Fallback>
        </mc:AlternateContent>
      </w:r>
      <w:r w:rsidRPr="002C5876">
        <w:rPr>
          <w:noProof/>
          <w:lang w:val="en-GB" w:eastAsia="zh-CN"/>
        </w:rPr>
        <mc:AlternateContent>
          <mc:Choice Requires="wps">
            <w:drawing>
              <wp:anchor distT="0" distB="0" distL="114300" distR="114300" simplePos="0" relativeHeight="251369472" behindDoc="0" locked="0" layoutInCell="1" allowOverlap="1" wp14:anchorId="14AFAB45" wp14:editId="324A2E90">
                <wp:simplePos x="0" y="0"/>
                <wp:positionH relativeFrom="column">
                  <wp:posOffset>1367155</wp:posOffset>
                </wp:positionH>
                <wp:positionV relativeFrom="paragraph">
                  <wp:posOffset>1545367</wp:posOffset>
                </wp:positionV>
                <wp:extent cx="628780" cy="100332"/>
                <wp:effectExtent l="0" t="2540" r="0" b="0"/>
                <wp:wrapNone/>
                <wp:docPr id="13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8780" cy="100332"/>
                        </a:xfrm>
                        <a:prstGeom prst="rect">
                          <a:avLst/>
                        </a:prstGeom>
                        <a:noFill/>
                        <a:ln w="9525">
                          <a:noFill/>
                          <a:miter lim="800000"/>
                          <a:headEnd/>
                          <a:tailEnd/>
                        </a:ln>
                      </wps:spPr>
                      <wps:txbx>
                        <w:txbxContent>
                          <w:p w:rsidR="00D53F39" w:rsidRPr="00213906" w:rsidRDefault="00D53F39" w:rsidP="00E24DB7">
                            <w:pPr>
                              <w:spacing w:line="240" w:lineRule="auto"/>
                              <w:rPr>
                                <w:b/>
                                <w:color w:val="FFC000"/>
                                <w:sz w:val="10"/>
                                <w:szCs w:val="10"/>
                              </w:rPr>
                            </w:pPr>
                            <w:r w:rsidRPr="00213906">
                              <w:rPr>
                                <w:b/>
                                <w:color w:val="FFC000"/>
                                <w:sz w:val="10"/>
                                <w:szCs w:val="10"/>
                              </w:rPr>
                              <w:t>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FAB45" id="_x0000_s1523" type="#_x0000_t202" style="position:absolute;margin-left:107.65pt;margin-top:121.7pt;width:49.5pt;height:7.9pt;rotation:-90;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" filled="f" stroked="f">
                <v:textbox inset="0,0,0,0">
                  <w:txbxContent>
                    <w:p w:rsidR="00D53F39" w:rsidRPr="00213906" w:rsidRDefault="00D53F39" w:rsidP="00E24DB7">
                      <w:pPr>
                        <w:spacing w:line="240" w:lineRule="auto"/>
                        <w:rPr>
                          <w:b/>
                          <w:color w:val="FFC000"/>
                          <w:sz w:val="10"/>
                          <w:szCs w:val="10"/>
                        </w:rPr>
                      </w:pPr>
                      <w:r w:rsidRPr="00213906">
                        <w:rPr>
                          <w:b/>
                          <w:color w:val="FFC000"/>
                          <w:sz w:val="10"/>
                          <w:szCs w:val="10"/>
                        </w:rPr>
                        <w:t>Complétement chargé</w:t>
                      </w:r>
                    </w:p>
                  </w:txbxContent>
                </v:textbox>
              </v:shape>
            </w:pict>
          </mc:Fallback>
        </mc:AlternateContent>
      </w:r>
      <w:r w:rsidRPr="002C5876">
        <w:rPr>
          <w:noProof/>
          <w:lang w:val="en-GB" w:eastAsia="zh-CN"/>
        </w:rPr>
        <mc:AlternateContent>
          <mc:Choice Requires="wps">
            <w:drawing>
              <wp:anchor distT="0" distB="0" distL="114300" distR="114300" simplePos="0" relativeHeight="251366400" behindDoc="0" locked="0" layoutInCell="1" allowOverlap="1" wp14:anchorId="62E92280" wp14:editId="24DD80B0">
                <wp:simplePos x="0" y="0"/>
                <wp:positionH relativeFrom="column">
                  <wp:posOffset>4683125</wp:posOffset>
                </wp:positionH>
                <wp:positionV relativeFrom="paragraph">
                  <wp:posOffset>716503</wp:posOffset>
                </wp:positionV>
                <wp:extent cx="280690" cy="201881"/>
                <wp:effectExtent l="0" t="0" r="5080" b="8255"/>
                <wp:wrapNone/>
                <wp:docPr id="13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90" cy="201881"/>
                        </a:xfrm>
                        <a:prstGeom prst="rect">
                          <a:avLst/>
                        </a:prstGeom>
                        <a:noFill/>
                        <a:ln w="9525">
                          <a:noFill/>
                          <a:miter lim="800000"/>
                          <a:headEnd/>
                          <a:tailEnd/>
                        </a:ln>
                      </wps:spPr>
                      <wps:txbx>
                        <w:txbxContent>
                          <w:p w:rsidR="00D53F39" w:rsidRPr="0062701A" w:rsidRDefault="00D53F39" w:rsidP="00E24DB7">
                            <w:pPr>
                              <w:spacing w:line="240" w:lineRule="auto"/>
                              <w:jc w:val="center"/>
                              <w:rPr>
                                <w:b/>
                                <w:sz w:val="10"/>
                                <w:szCs w:val="10"/>
                              </w:rPr>
                            </w:pPr>
                            <w:r>
                              <w:rPr>
                                <w:b/>
                                <w:sz w:val="10"/>
                                <w:szCs w:val="10"/>
                              </w:rPr>
                              <w:t>120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92280" id="_x0000_s1524" type="#_x0000_t202" style="position:absolute;margin-left:368.75pt;margin-top:56.4pt;width:22.1pt;height:15.9pt;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" filled="f" stroked="f">
                <v:textbox inset="0,0,0,0">
                  <w:txbxContent>
                    <w:p w:rsidR="00D53F39" w:rsidRPr="0062701A" w:rsidRDefault="00D53F39" w:rsidP="00E24DB7">
                      <w:pPr>
                        <w:spacing w:line="240" w:lineRule="auto"/>
                        <w:jc w:val="center"/>
                        <w:rPr>
                          <w:b/>
                          <w:sz w:val="10"/>
                          <w:szCs w:val="10"/>
                        </w:rPr>
                      </w:pPr>
                      <w:r>
                        <w:rPr>
                          <w:b/>
                          <w:sz w:val="10"/>
                          <w:szCs w:val="10"/>
                        </w:rPr>
                        <w:t>120 min max.</w:t>
                      </w:r>
                    </w:p>
                  </w:txbxContent>
                </v:textbox>
              </v:shape>
            </w:pict>
          </mc:Fallback>
        </mc:AlternateContent>
      </w:r>
      <w:r w:rsidRPr="002C5876">
        <w:rPr>
          <w:noProof/>
          <w:lang w:val="en-GB" w:eastAsia="zh-CN"/>
        </w:rPr>
        <mc:AlternateContent>
          <mc:Choice Requires="wps">
            <w:drawing>
              <wp:anchor distT="0" distB="0" distL="114300" distR="114300" simplePos="0" relativeHeight="251335680" behindDoc="0" locked="0" layoutInCell="1" allowOverlap="1" wp14:anchorId="609EA0E6" wp14:editId="408F83E7">
                <wp:simplePos x="0" y="0"/>
                <wp:positionH relativeFrom="column">
                  <wp:posOffset>2592705</wp:posOffset>
                </wp:positionH>
                <wp:positionV relativeFrom="paragraph">
                  <wp:posOffset>2965038</wp:posOffset>
                </wp:positionV>
                <wp:extent cx="1383475" cy="308758"/>
                <wp:effectExtent l="0" t="0" r="7620" b="0"/>
                <wp:wrapNone/>
                <wp:docPr id="13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475" cy="308758"/>
                        </a:xfrm>
                        <a:prstGeom prst="rect">
                          <a:avLst/>
                        </a:prstGeom>
                        <a:noFill/>
                        <a:ln w="9525">
                          <a:noFill/>
                          <a:miter lim="800000"/>
                          <a:headEnd/>
                          <a:tailEnd/>
                        </a:ln>
                      </wps:spPr>
                      <wps:txbx>
                        <w:txbxContent>
                          <w:p w:rsidR="00D53F39" w:rsidRPr="00E911A4" w:rsidRDefault="00D53F39" w:rsidP="00E24DB7">
                            <w:pPr>
                              <w:spacing w:line="240" w:lineRule="auto"/>
                              <w:jc w:val="center"/>
                              <w:rPr>
                                <w:b/>
                                <w:sz w:val="12"/>
                                <w:szCs w:val="12"/>
                              </w:rPr>
                            </w:pPr>
                            <w:r w:rsidRPr="00E911A4">
                              <w:rPr>
                                <w:b/>
                                <w:sz w:val="12"/>
                                <w:szCs w:val="12"/>
                              </w:rPr>
                              <w:t>Temps de stabilisation entre cycles d’essai durant l’essai du type 1 en mode épuisement de la charge 30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EA0E6" id="_x0000_s1525" type="#_x0000_t202" style="position:absolute;margin-left:204.15pt;margin-top:233.45pt;width:108.95pt;height:24.3pt;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" filled="f" stroked="f">
                <v:textbox inset="0,0,0,0">
                  <w:txbxContent>
                    <w:p w:rsidR="00D53F39" w:rsidRPr="00E911A4" w:rsidRDefault="00D53F39" w:rsidP="00E24DB7">
                      <w:pPr>
                        <w:spacing w:line="240" w:lineRule="auto"/>
                        <w:jc w:val="center"/>
                        <w:rPr>
                          <w:b/>
                          <w:sz w:val="12"/>
                          <w:szCs w:val="12"/>
                        </w:rPr>
                      </w:pPr>
                      <w:r w:rsidRPr="00E911A4">
                        <w:rPr>
                          <w:b/>
                          <w:sz w:val="12"/>
                          <w:szCs w:val="12"/>
                        </w:rPr>
                        <w:t>Temps de stabilisation entre cycles d’essai durant l’essai du type 1 en mode épuisement de la charge 30 min max.</w:t>
                      </w:r>
                    </w:p>
                  </w:txbxContent>
                </v:textbox>
              </v:shape>
            </w:pict>
          </mc:Fallback>
        </mc:AlternateContent>
      </w:r>
      <w:r w:rsidRPr="002C5876">
        <w:rPr>
          <w:noProof/>
          <w:lang w:val="en-GB" w:eastAsia="zh-CN"/>
        </w:rPr>
        <mc:AlternateContent>
          <mc:Choice Requires="wps">
            <w:drawing>
              <wp:anchor distT="0" distB="0" distL="114300" distR="114300" simplePos="0" relativeHeight="251351040" behindDoc="0" locked="0" layoutInCell="1" allowOverlap="1" wp14:anchorId="5CC4016B" wp14:editId="6677512B">
                <wp:simplePos x="0" y="0"/>
                <wp:positionH relativeFrom="column">
                  <wp:posOffset>1917923</wp:posOffset>
                </wp:positionH>
                <wp:positionV relativeFrom="paragraph">
                  <wp:posOffset>2392680</wp:posOffset>
                </wp:positionV>
                <wp:extent cx="680400" cy="142240"/>
                <wp:effectExtent l="0" t="0" r="5715" b="10160"/>
                <wp:wrapNone/>
                <wp:docPr id="14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400" cy="142240"/>
                        </a:xfrm>
                        <a:prstGeom prst="rect">
                          <a:avLst/>
                        </a:prstGeom>
                        <a:noFill/>
                        <a:ln w="9525">
                          <a:noFill/>
                          <a:miter lim="800000"/>
                          <a:headEnd/>
                          <a:tailEnd/>
                        </a:ln>
                      </wps:spPr>
                      <wps:txbx>
                        <w:txbxContent>
                          <w:p w:rsidR="00D53F39" w:rsidRPr="0062701A" w:rsidRDefault="00D53F39" w:rsidP="00E24DB7">
                            <w:pPr>
                              <w:spacing w:line="240" w:lineRule="auto"/>
                              <w:jc w:val="center"/>
                              <w:rPr>
                                <w:b/>
                                <w:sz w:val="10"/>
                                <w:szCs w:val="10"/>
                              </w:rPr>
                            </w:pPr>
                            <w:r w:rsidRPr="0062701A">
                              <w:rPr>
                                <w:b/>
                                <w:sz w:val="10"/>
                                <w:szCs w:val="10"/>
                              </w:rPr>
                              <w:t>Cycle d’essai</w:t>
                            </w:r>
                            <w:r>
                              <w:rPr>
                                <w:b/>
                                <w:sz w:val="10"/>
                                <w:szCs w:val="10"/>
                              </w:rPr>
                              <w:br/>
                              <w:t xml:space="preserve">applicable </w:t>
                            </w:r>
                            <w:r w:rsidRPr="0062701A">
                              <w:rPr>
                                <w:b/>
                                <w:sz w:val="10"/>
                                <w:szCs w:val="10"/>
                              </w:rPr>
                              <w:t>n-2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4016B" id="_x0000_s1526" type="#_x0000_t202" style="position:absolute;margin-left:151pt;margin-top:188.4pt;width:53.55pt;height:11.2pt;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" filled="f" stroked="f">
                <v:textbox inset="0,0,0,0">
                  <w:txbxContent>
                    <w:p w:rsidR="00D53F39" w:rsidRPr="0062701A" w:rsidRDefault="00D53F39" w:rsidP="00E24DB7">
                      <w:pPr>
                        <w:spacing w:line="240" w:lineRule="auto"/>
                        <w:jc w:val="center"/>
                        <w:rPr>
                          <w:b/>
                          <w:sz w:val="10"/>
                          <w:szCs w:val="10"/>
                        </w:rPr>
                      </w:pPr>
                      <w:r w:rsidRPr="0062701A">
                        <w:rPr>
                          <w:b/>
                          <w:sz w:val="10"/>
                          <w:szCs w:val="10"/>
                        </w:rPr>
                        <w:t>Cycle d’essai</w:t>
                      </w:r>
                      <w:r>
                        <w:rPr>
                          <w:b/>
                          <w:sz w:val="10"/>
                          <w:szCs w:val="10"/>
                        </w:rPr>
                        <w:br/>
                        <w:t xml:space="preserve">applicable </w:t>
                      </w:r>
                      <w:r w:rsidRPr="0062701A">
                        <w:rPr>
                          <w:b/>
                          <w:sz w:val="10"/>
                          <w:szCs w:val="10"/>
                        </w:rPr>
                        <w:t>n-2</w:t>
                      </w:r>
                    </w:p>
                  </w:txbxContent>
                </v:textbox>
              </v:shape>
            </w:pict>
          </mc:Fallback>
        </mc:AlternateContent>
      </w:r>
      <w:r w:rsidRPr="002C5876">
        <w:rPr>
          <w:noProof/>
          <w:lang w:val="en-GB" w:eastAsia="zh-CN"/>
        </w:rPr>
        <mc:AlternateContent>
          <mc:Choice Requires="wps">
            <w:drawing>
              <wp:anchor distT="0" distB="0" distL="114300" distR="114300" simplePos="0" relativeHeight="251347968" behindDoc="0" locked="0" layoutInCell="1" allowOverlap="1" wp14:anchorId="0A71BCA9" wp14:editId="485F514C">
                <wp:simplePos x="0" y="0"/>
                <wp:positionH relativeFrom="column">
                  <wp:posOffset>5031105</wp:posOffset>
                </wp:positionH>
                <wp:positionV relativeFrom="paragraph">
                  <wp:posOffset>2739390</wp:posOffset>
                </wp:positionV>
                <wp:extent cx="629920" cy="142240"/>
                <wp:effectExtent l="0" t="0" r="0" b="0"/>
                <wp:wrapNone/>
                <wp:docPr id="14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2240"/>
                        </a:xfrm>
                        <a:prstGeom prst="rect">
                          <a:avLst/>
                        </a:prstGeom>
                        <a:solidFill>
                          <a:srgbClr val="FFFFFF"/>
                        </a:solidFill>
                        <a:ln w="9525">
                          <a:noFill/>
                          <a:miter lim="800000"/>
                          <a:headEnd/>
                          <a:tailEnd/>
                        </a:ln>
                      </wps:spPr>
                      <wps:txbx>
                        <w:txbxContent>
                          <w:p w:rsidR="00D53F39" w:rsidRPr="009D55C9" w:rsidRDefault="00D53F39" w:rsidP="00E24DB7">
                            <w:pPr>
                              <w:spacing w:line="240" w:lineRule="auto"/>
                              <w:jc w:val="center"/>
                              <w:rPr>
                                <w:b/>
                                <w:sz w:val="12"/>
                                <w:szCs w:val="12"/>
                              </w:rPr>
                            </w:pPr>
                            <w:r>
                              <w:rPr>
                                <w:b/>
                                <w:sz w:val="12"/>
                                <w:szCs w:val="12"/>
                              </w:rPr>
                              <w:t>C</w:t>
                            </w:r>
                            <w:r w:rsidRPr="009D55C9">
                              <w:rPr>
                                <w:b/>
                                <w:sz w:val="12"/>
                                <w:szCs w:val="12"/>
                              </w:rPr>
                              <w:t xml:space="preserve">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1BCA9" id="_x0000_s1527" type="#_x0000_t202" style="position:absolute;margin-left:396.15pt;margin-top:215.7pt;width:49.6pt;height:11.2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" stroked="f">
                <v:textbox inset="0,0,0,0">
                  <w:txbxContent>
                    <w:p w:rsidR="00D53F39" w:rsidRPr="009D55C9" w:rsidRDefault="00D53F39" w:rsidP="00E24DB7">
                      <w:pPr>
                        <w:spacing w:line="240" w:lineRule="auto"/>
                        <w:jc w:val="center"/>
                        <w:rPr>
                          <w:b/>
                          <w:sz w:val="12"/>
                          <w:szCs w:val="12"/>
                        </w:rPr>
                      </w:pPr>
                      <w:r>
                        <w:rPr>
                          <w:b/>
                          <w:sz w:val="12"/>
                          <w:szCs w:val="12"/>
                        </w:rPr>
                        <w:t>C</w:t>
                      </w:r>
                      <w:r w:rsidRPr="009D55C9">
                        <w:rPr>
                          <w:b/>
                          <w:sz w:val="12"/>
                          <w:szCs w:val="12"/>
                        </w:rPr>
                        <w:t xml:space="preserve">harge </w:t>
                      </w:r>
                    </w:p>
                  </w:txbxContent>
                </v:textbox>
              </v:shape>
            </w:pict>
          </mc:Fallback>
        </mc:AlternateContent>
      </w:r>
      <w:r w:rsidRPr="002C5876">
        <w:rPr>
          <w:noProof/>
          <w:lang w:val="en-GB" w:eastAsia="zh-CN"/>
        </w:rPr>
        <mc:AlternateContent>
          <mc:Choice Requires="wps">
            <w:drawing>
              <wp:anchor distT="0" distB="0" distL="114300" distR="114300" simplePos="0" relativeHeight="251344896" behindDoc="0" locked="0" layoutInCell="1" allowOverlap="1" wp14:anchorId="0BBEA967" wp14:editId="2C759143">
                <wp:simplePos x="0" y="0"/>
                <wp:positionH relativeFrom="column">
                  <wp:posOffset>1245235</wp:posOffset>
                </wp:positionH>
                <wp:positionV relativeFrom="paragraph">
                  <wp:posOffset>2739390</wp:posOffset>
                </wp:positionV>
                <wp:extent cx="629920" cy="142240"/>
                <wp:effectExtent l="0" t="0" r="0" b="0"/>
                <wp:wrapNone/>
                <wp:docPr id="14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2240"/>
                        </a:xfrm>
                        <a:prstGeom prst="rect">
                          <a:avLst/>
                        </a:prstGeom>
                        <a:solidFill>
                          <a:srgbClr val="FFFFFF"/>
                        </a:solidFill>
                        <a:ln w="9525">
                          <a:noFill/>
                          <a:miter lim="800000"/>
                          <a:headEnd/>
                          <a:tailEnd/>
                        </a:ln>
                      </wps:spPr>
                      <wps:txbx>
                        <w:txbxContent>
                          <w:p w:rsidR="00D53F39" w:rsidRPr="009D55C9" w:rsidRDefault="00D53F39" w:rsidP="00E24DB7">
                            <w:pPr>
                              <w:spacing w:line="240" w:lineRule="auto"/>
                              <w:jc w:val="center"/>
                              <w:rPr>
                                <w:b/>
                                <w:sz w:val="12"/>
                                <w:szCs w:val="12"/>
                              </w:rPr>
                            </w:pPr>
                            <w:r>
                              <w:rPr>
                                <w:b/>
                                <w:sz w:val="12"/>
                                <w:szCs w:val="12"/>
                              </w:rPr>
                              <w:t>C</w:t>
                            </w:r>
                            <w:r w:rsidRPr="009D55C9">
                              <w:rPr>
                                <w:b/>
                                <w:sz w:val="12"/>
                                <w:szCs w:val="12"/>
                              </w:rPr>
                              <w:t xml:space="preserve">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EA967" id="_x0000_s1528" type="#_x0000_t202" style="position:absolute;margin-left:98.05pt;margin-top:215.7pt;width:49.6pt;height:11.2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" stroked="f">
                <v:textbox inset="0,0,0,0">
                  <w:txbxContent>
                    <w:p w:rsidR="00D53F39" w:rsidRPr="009D55C9" w:rsidRDefault="00D53F39" w:rsidP="00E24DB7">
                      <w:pPr>
                        <w:spacing w:line="240" w:lineRule="auto"/>
                        <w:jc w:val="center"/>
                        <w:rPr>
                          <w:b/>
                          <w:sz w:val="12"/>
                          <w:szCs w:val="12"/>
                        </w:rPr>
                      </w:pPr>
                      <w:r>
                        <w:rPr>
                          <w:b/>
                          <w:sz w:val="12"/>
                          <w:szCs w:val="12"/>
                        </w:rPr>
                        <w:t>C</w:t>
                      </w:r>
                      <w:r w:rsidRPr="009D55C9">
                        <w:rPr>
                          <w:b/>
                          <w:sz w:val="12"/>
                          <w:szCs w:val="12"/>
                        </w:rPr>
                        <w:t xml:space="preserve">harge </w:t>
                      </w:r>
                    </w:p>
                  </w:txbxContent>
                </v:textbox>
              </v:shape>
            </w:pict>
          </mc:Fallback>
        </mc:AlternateContent>
      </w:r>
      <w:r w:rsidRPr="002C5876">
        <w:rPr>
          <w:noProof/>
          <w:lang w:val="en-GB" w:eastAsia="zh-CN"/>
        </w:rPr>
        <mc:AlternateContent>
          <mc:Choice Requires="wps">
            <w:drawing>
              <wp:anchor distT="0" distB="0" distL="114300" distR="114300" simplePos="0" relativeHeight="251320320" behindDoc="0" locked="0" layoutInCell="1" allowOverlap="1" wp14:anchorId="35527DB3" wp14:editId="38AD0502">
                <wp:simplePos x="0" y="0"/>
                <wp:positionH relativeFrom="column">
                  <wp:posOffset>295275</wp:posOffset>
                </wp:positionH>
                <wp:positionV relativeFrom="paragraph">
                  <wp:posOffset>103093</wp:posOffset>
                </wp:positionV>
                <wp:extent cx="630498" cy="198641"/>
                <wp:effectExtent l="0" t="0" r="0" b="0"/>
                <wp:wrapNone/>
                <wp:docPr id="2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98" cy="198641"/>
                        </a:xfrm>
                        <a:prstGeom prst="rect">
                          <a:avLst/>
                        </a:prstGeom>
                        <a:solidFill>
                          <a:srgbClr val="FFFFFF"/>
                        </a:solidFill>
                        <a:ln w="9525">
                          <a:noFill/>
                          <a:miter lim="800000"/>
                          <a:headEnd/>
                          <a:tailEnd/>
                        </a:ln>
                      </wps:spPr>
                      <wps:txbx>
                        <w:txbxContent>
                          <w:p w:rsidR="00D53F39" w:rsidRPr="009D55C9" w:rsidRDefault="00D53F39" w:rsidP="00E24DB7">
                            <w:pPr>
                              <w:spacing w:line="240" w:lineRule="auto"/>
                              <w:jc w:val="center"/>
                              <w:rPr>
                                <w:b/>
                                <w:sz w:val="12"/>
                                <w:szCs w:val="12"/>
                              </w:rPr>
                            </w:pPr>
                            <w:r w:rsidRPr="009D55C9">
                              <w:rPr>
                                <w:b/>
                                <w:sz w:val="12"/>
                                <w:szCs w:val="12"/>
                              </w:rPr>
                              <w:t>Niveau de 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27DB3" id="_x0000_s1529" type="#_x0000_t202" style="position:absolute;margin-left:23.25pt;margin-top:8.1pt;width:49.65pt;height:15.65pt;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" stroked="f">
                <v:textbox inset="0,0,0,0">
                  <w:txbxContent>
                    <w:p w:rsidR="00D53F39" w:rsidRPr="009D55C9" w:rsidRDefault="00D53F39" w:rsidP="00E24DB7">
                      <w:pPr>
                        <w:spacing w:line="240" w:lineRule="auto"/>
                        <w:jc w:val="center"/>
                        <w:rPr>
                          <w:b/>
                          <w:sz w:val="12"/>
                          <w:szCs w:val="12"/>
                        </w:rPr>
                      </w:pPr>
                      <w:r w:rsidRPr="009D55C9">
                        <w:rPr>
                          <w:b/>
                          <w:sz w:val="12"/>
                          <w:szCs w:val="12"/>
                        </w:rPr>
                        <w:t>Niveau de charge du SRSEE</w:t>
                      </w:r>
                    </w:p>
                  </w:txbxContent>
                </v:textbox>
              </v:shape>
            </w:pict>
          </mc:Fallback>
        </mc:AlternateContent>
      </w:r>
      <w:r w:rsidRPr="002C5876">
        <w:rPr>
          <w:noProof/>
          <w:lang w:val="en-GB" w:eastAsia="zh-CN"/>
        </w:rPr>
        <mc:AlternateContent>
          <mc:Choice Requires="wps">
            <w:drawing>
              <wp:anchor distT="0" distB="0" distL="114300" distR="114300" simplePos="0" relativeHeight="251329536" behindDoc="0" locked="0" layoutInCell="1" allowOverlap="1" wp14:anchorId="60A5F46B" wp14:editId="599E8CC7">
                <wp:simplePos x="0" y="0"/>
                <wp:positionH relativeFrom="column">
                  <wp:posOffset>22118</wp:posOffset>
                </wp:positionH>
                <wp:positionV relativeFrom="paragraph">
                  <wp:posOffset>726894</wp:posOffset>
                </wp:positionV>
                <wp:extent cx="553212" cy="326571"/>
                <wp:effectExtent l="0" t="0" r="0" b="0"/>
                <wp:wrapNone/>
                <wp:docPr id="2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 cy="326571"/>
                        </a:xfrm>
                        <a:prstGeom prst="rect">
                          <a:avLst/>
                        </a:prstGeom>
                        <a:solidFill>
                          <a:srgbClr val="FFFFFF"/>
                        </a:solidFill>
                        <a:ln w="9525">
                          <a:noFill/>
                          <a:miter lim="800000"/>
                          <a:headEnd/>
                          <a:tailEnd/>
                        </a:ln>
                      </wps:spPr>
                      <wps:txbx>
                        <w:txbxContent>
                          <w:p w:rsidR="00D53F39" w:rsidRPr="009D55C9" w:rsidRDefault="00D53F39" w:rsidP="00E24DB7">
                            <w:pPr>
                              <w:spacing w:line="240" w:lineRule="auto"/>
                              <w:jc w:val="center"/>
                              <w:rPr>
                                <w:b/>
                                <w:color w:val="808080" w:themeColor="background1" w:themeShade="80"/>
                                <w:sz w:val="12"/>
                                <w:szCs w:val="12"/>
                              </w:rPr>
                            </w:pPr>
                            <w:r w:rsidRPr="009D55C9">
                              <w:rPr>
                                <w:b/>
                                <w:color w:val="808080" w:themeColor="background1" w:themeShade="80"/>
                                <w:sz w:val="12"/>
                                <w:szCs w:val="12"/>
                              </w:rPr>
                              <w:t>SRSEE 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5F46B" id="_x0000_s1530" type="#_x0000_t202" style="position:absolute;margin-left:1.75pt;margin-top:57.25pt;width:43.55pt;height:25.7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" stroked="f">
                <v:textbox inset="0,0,0,0">
                  <w:txbxContent>
                    <w:p w:rsidR="00D53F39" w:rsidRPr="009D55C9" w:rsidRDefault="00D53F39" w:rsidP="00E24DB7">
                      <w:pPr>
                        <w:spacing w:line="240" w:lineRule="auto"/>
                        <w:jc w:val="center"/>
                        <w:rPr>
                          <w:b/>
                          <w:color w:val="808080" w:themeColor="background1" w:themeShade="80"/>
                          <w:sz w:val="12"/>
                          <w:szCs w:val="12"/>
                        </w:rPr>
                      </w:pPr>
                      <w:r w:rsidRPr="009D55C9">
                        <w:rPr>
                          <w:b/>
                          <w:color w:val="808080" w:themeColor="background1" w:themeShade="80"/>
                          <w:sz w:val="12"/>
                          <w:szCs w:val="12"/>
                        </w:rPr>
                        <w:t>SRSEE complétement chargé</w:t>
                      </w:r>
                    </w:p>
                  </w:txbxContent>
                </v:textbox>
              </v:shape>
            </w:pict>
          </mc:Fallback>
        </mc:AlternateContent>
      </w:r>
      <w:r w:rsidRPr="002C5876">
        <w:rPr>
          <w:noProof/>
          <w:lang w:val="en-GB" w:eastAsia="zh-CN"/>
        </w:rPr>
        <w:drawing>
          <wp:inline distT="0" distB="0" distL="0" distR="0" wp14:anchorId="328B9B51" wp14:editId="30D230EB">
            <wp:extent cx="6116400" cy="3322800"/>
            <wp:effectExtent l="0" t="0" r="0" b="0"/>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116400" cy="3322800"/>
                    </a:xfrm>
                    <a:prstGeom prst="rect">
                      <a:avLst/>
                    </a:prstGeom>
                    <a:noFill/>
                    <a:ln>
                      <a:noFill/>
                    </a:ln>
                  </pic:spPr>
                </pic:pic>
              </a:graphicData>
            </a:graphic>
          </wp:inline>
        </w:drawing>
      </w:r>
    </w:p>
    <w:p w:rsidR="00E24DB7" w:rsidRPr="002C5876" w:rsidRDefault="00E24DB7" w:rsidP="00E24DB7">
      <w:pPr>
        <w:pStyle w:val="SingleTxtG"/>
        <w:keepNext/>
        <w:ind w:left="2268" w:hanging="1134"/>
        <w:jc w:val="left"/>
      </w:pPr>
      <w:r w:rsidRPr="002C5876">
        <w:t>1.2</w:t>
      </w:r>
      <w:r w:rsidRPr="002C5876">
        <w:tab/>
        <w:t>Séquence d’essais VHE-RE selon l’option 2</w:t>
      </w:r>
    </w:p>
    <w:p w:rsidR="00E24DB7" w:rsidRPr="002C5876" w:rsidRDefault="00E24DB7" w:rsidP="00E24DB7">
      <w:pPr>
        <w:spacing w:after="240"/>
        <w:ind w:left="2268" w:right="1134"/>
      </w:pPr>
      <w:r w:rsidRPr="002C5876">
        <w:t>Essai de maintien de la charge du type 1, non suivi d’un essai d’épuisement de la charge du type 1 (fig. A8.App1/2).</w:t>
      </w:r>
    </w:p>
    <w:p w:rsidR="00E24DB7" w:rsidRPr="002C5876" w:rsidRDefault="00E24DB7" w:rsidP="00E24DB7">
      <w:pPr>
        <w:pStyle w:val="H23G"/>
        <w:ind w:firstLine="0"/>
      </w:pPr>
      <w:r w:rsidRPr="002C5876">
        <w:rPr>
          <w:b w:val="0"/>
        </w:rPr>
        <w:lastRenderedPageBreak/>
        <w:t>Figure A8.App1/2</w:t>
      </w:r>
      <w:r w:rsidRPr="002C5876">
        <w:t xml:space="preserve"> </w:t>
      </w:r>
      <w:r w:rsidRPr="002C5876">
        <w:br/>
        <w:t>VHE-RE, essai de maintien de la charge du type 1</w:t>
      </w:r>
    </w:p>
    <w:p w:rsidR="00E24DB7" w:rsidRPr="002C5876" w:rsidRDefault="00E24DB7" w:rsidP="00E24DB7">
      <w:pPr>
        <w:spacing w:after="240"/>
        <w:ind w:left="1134"/>
      </w:pPr>
      <w:r w:rsidRPr="002C5876">
        <w:rPr>
          <w:noProof/>
          <w:lang w:val="en-GB" w:eastAsia="zh-CN"/>
        </w:rPr>
        <mc:AlternateContent>
          <mc:Choice Requires="wps">
            <w:drawing>
              <wp:anchor distT="0" distB="0" distL="114300" distR="114300" simplePos="0" relativeHeight="251384832" behindDoc="0" locked="0" layoutInCell="1" allowOverlap="1" wp14:anchorId="0AAB6D95" wp14:editId="6D97A82C">
                <wp:simplePos x="0" y="0"/>
                <wp:positionH relativeFrom="column">
                  <wp:posOffset>959896</wp:posOffset>
                </wp:positionH>
                <wp:positionV relativeFrom="paragraph">
                  <wp:posOffset>1560756</wp:posOffset>
                </wp:positionV>
                <wp:extent cx="283845" cy="207010"/>
                <wp:effectExtent l="0" t="0" r="78105" b="59690"/>
                <wp:wrapNone/>
                <wp:docPr id="305" name="Connecteur droit avec flèche 305"/>
                <wp:cNvGraphicFramePr/>
                <a:graphic xmlns:a="http://schemas.openxmlformats.org/drawingml/2006/main">
                  <a:graphicData uri="http://schemas.microsoft.com/office/word/2010/wordprocessingShape">
                    <wps:wsp>
                      <wps:cNvCnPr/>
                      <wps:spPr>
                        <a:xfrm>
                          <a:off x="0" y="0"/>
                          <a:ext cx="283845" cy="207010"/>
                        </a:xfrm>
                        <a:prstGeom prst="straightConnector1">
                          <a:avLst/>
                        </a:prstGeom>
                        <a:ln w="15875">
                          <a:solidFill>
                            <a:srgbClr val="00B0F0"/>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420DF3" id="Connecteur droit avec flèche 305" o:spid="_x0000_s1026" type="#_x0000_t32" style="position:absolute;margin-left:75.6pt;margin-top:122.9pt;width:22.35pt;height:16.3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" strokecolor="#00b0f0" strokeweight="1.25pt">
                <v:stroke endarrow="block"/>
              </v:shape>
            </w:pict>
          </mc:Fallback>
        </mc:AlternateContent>
      </w:r>
      <w:r w:rsidRPr="002C5876">
        <w:rPr>
          <w:noProof/>
          <w:lang w:val="en-GB" w:eastAsia="zh-CN"/>
        </w:rPr>
        <mc:AlternateContent>
          <mc:Choice Requires="wps">
            <w:drawing>
              <wp:anchor distT="0" distB="0" distL="114300" distR="114300" simplePos="0" relativeHeight="251437056" behindDoc="0" locked="0" layoutInCell="1" allowOverlap="1" wp14:anchorId="6E1B7EEB" wp14:editId="2FE0DC9B">
                <wp:simplePos x="0" y="0"/>
                <wp:positionH relativeFrom="column">
                  <wp:posOffset>618900</wp:posOffset>
                </wp:positionH>
                <wp:positionV relativeFrom="paragraph">
                  <wp:posOffset>1066912</wp:posOffset>
                </wp:positionV>
                <wp:extent cx="653143" cy="522514"/>
                <wp:effectExtent l="0" t="0" r="13970" b="11430"/>
                <wp:wrapNone/>
                <wp:docPr id="3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143" cy="522514"/>
                        </a:xfrm>
                        <a:prstGeom prst="rect">
                          <a:avLst/>
                        </a:prstGeom>
                        <a:noFill/>
                        <a:ln w="9525">
                          <a:noFill/>
                          <a:miter lim="800000"/>
                          <a:headEnd/>
                          <a:tailEnd/>
                        </a:ln>
                      </wps:spPr>
                      <wps:txbx>
                        <w:txbxContent>
                          <w:p w:rsidR="00D53F39" w:rsidRPr="00E911A4" w:rsidRDefault="00D53F39" w:rsidP="00E24DB7">
                            <w:pPr>
                              <w:spacing w:line="240" w:lineRule="auto"/>
                              <w:jc w:val="center"/>
                              <w:rPr>
                                <w:b/>
                                <w:color w:val="00B0F0"/>
                                <w:sz w:val="14"/>
                                <w:szCs w:val="14"/>
                              </w:rPr>
                            </w:pPr>
                            <w:r w:rsidRPr="00E911A4">
                              <w:rPr>
                                <w:b/>
                                <w:color w:val="00B0F0"/>
                                <w:sz w:val="14"/>
                                <w:szCs w:val="14"/>
                              </w:rPr>
                              <w:t xml:space="preserve">Fixation du niveau de charge à la demande </w:t>
                            </w:r>
                            <w:r w:rsidRPr="00E911A4">
                              <w:rPr>
                                <w:b/>
                                <w:color w:val="00B0F0"/>
                                <w:sz w:val="14"/>
                                <w:szCs w:val="14"/>
                              </w:rPr>
                              <w:br/>
                              <w:t>du constructeur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B7EEB" id="_x0000_s1531" type="#_x0000_t202" style="position:absolute;left:0;text-align:left;margin-left:48.75pt;margin-top:84pt;width:51.45pt;height:41.1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" filled="f" stroked="f">
                <v:textbox inset="0,0,0,0">
                  <w:txbxContent>
                    <w:p w:rsidR="00D53F39" w:rsidRPr="00E911A4" w:rsidRDefault="00D53F39" w:rsidP="00E24DB7">
                      <w:pPr>
                        <w:spacing w:line="240" w:lineRule="auto"/>
                        <w:jc w:val="center"/>
                        <w:rPr>
                          <w:b/>
                          <w:color w:val="00B0F0"/>
                          <w:sz w:val="14"/>
                          <w:szCs w:val="14"/>
                        </w:rPr>
                      </w:pPr>
                      <w:r w:rsidRPr="00E911A4">
                        <w:rPr>
                          <w:b/>
                          <w:color w:val="00B0F0"/>
                          <w:sz w:val="14"/>
                          <w:szCs w:val="14"/>
                        </w:rPr>
                        <w:t xml:space="preserve">Fixation du niveau de charge à la demande </w:t>
                      </w:r>
                      <w:r w:rsidRPr="00E911A4">
                        <w:rPr>
                          <w:b/>
                          <w:color w:val="00B0F0"/>
                          <w:sz w:val="14"/>
                          <w:szCs w:val="14"/>
                        </w:rPr>
                        <w:br/>
                        <w:t>du constructeur</w:t>
                      </w:r>
                    </w:p>
                  </w:txbxContent>
                </v:textbox>
              </v:shape>
            </w:pict>
          </mc:Fallback>
        </mc:AlternateContent>
      </w:r>
      <w:r w:rsidRPr="002C5876">
        <w:rPr>
          <w:noProof/>
          <w:lang w:val="en-GB" w:eastAsia="zh-CN"/>
        </w:rPr>
        <mc:AlternateContent>
          <mc:Choice Requires="wps">
            <w:drawing>
              <wp:anchor distT="0" distB="0" distL="114300" distR="114300" simplePos="0" relativeHeight="251430912" behindDoc="0" locked="0" layoutInCell="1" allowOverlap="1" wp14:anchorId="607BFB0D" wp14:editId="0F5B0C46">
                <wp:simplePos x="0" y="0"/>
                <wp:positionH relativeFrom="column">
                  <wp:posOffset>3167567</wp:posOffset>
                </wp:positionH>
                <wp:positionV relativeFrom="paragraph">
                  <wp:posOffset>1638562</wp:posOffset>
                </wp:positionV>
                <wp:extent cx="993140" cy="132080"/>
                <wp:effectExtent l="0" t="0" r="0" b="1270"/>
                <wp:wrapNone/>
                <wp:docPr id="3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132080"/>
                        </a:xfrm>
                        <a:prstGeom prst="rect">
                          <a:avLst/>
                        </a:prstGeom>
                        <a:solidFill>
                          <a:srgbClr val="FFFFFF"/>
                        </a:solidFill>
                        <a:ln w="9525">
                          <a:noFill/>
                          <a:miter lim="800000"/>
                          <a:headEnd/>
                          <a:tailEnd/>
                        </a:ln>
                      </wps:spPr>
                      <wps:txbx>
                        <w:txbxContent>
                          <w:p w:rsidR="00D53F39" w:rsidRPr="000B0C8B" w:rsidRDefault="00D53F39" w:rsidP="00E24DB7">
                            <w:pPr>
                              <w:spacing w:line="240" w:lineRule="auto"/>
                              <w:jc w:val="center"/>
                              <w:rPr>
                                <w:b/>
                                <w:sz w:val="14"/>
                                <w:szCs w:val="14"/>
                              </w:rPr>
                            </w:pPr>
                            <w:r w:rsidRPr="000B0C8B">
                              <w:rPr>
                                <w:b/>
                                <w:sz w:val="14"/>
                                <w:szCs w:val="14"/>
                              </w:rPr>
                              <w:t>Stabilisation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7BFB0D" id="_x0000_s1532" type="#_x0000_t202" style="position:absolute;left:0;text-align:left;margin-left:249.4pt;margin-top:129pt;width:78.2pt;height:10.4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" stroked="f">
                <v:textbox inset="0,0,0,0">
                  <w:txbxContent>
                    <w:p w:rsidR="00D53F39" w:rsidRPr="000B0C8B" w:rsidRDefault="00D53F39" w:rsidP="00E24DB7">
                      <w:pPr>
                        <w:spacing w:line="240" w:lineRule="auto"/>
                        <w:jc w:val="center"/>
                        <w:rPr>
                          <w:b/>
                          <w:sz w:val="14"/>
                          <w:szCs w:val="14"/>
                        </w:rPr>
                      </w:pPr>
                      <w:r w:rsidRPr="000B0C8B">
                        <w:rPr>
                          <w:b/>
                          <w:sz w:val="14"/>
                          <w:szCs w:val="14"/>
                        </w:rPr>
                        <w:t>Stabilisation</w:t>
                      </w:r>
                    </w:p>
                  </w:txbxContent>
                </v:textbox>
              </v:shape>
            </w:pict>
          </mc:Fallback>
        </mc:AlternateContent>
      </w:r>
      <w:r w:rsidRPr="002C5876">
        <w:rPr>
          <w:noProof/>
          <w:lang w:val="en-GB" w:eastAsia="zh-CN"/>
        </w:rPr>
        <mc:AlternateContent>
          <mc:Choice Requires="wps">
            <w:drawing>
              <wp:anchor distT="0" distB="0" distL="114300" distR="114300" simplePos="0" relativeHeight="251433984" behindDoc="0" locked="0" layoutInCell="1" allowOverlap="1" wp14:anchorId="32F29825" wp14:editId="1FC39E8E">
                <wp:simplePos x="0" y="0"/>
                <wp:positionH relativeFrom="column">
                  <wp:posOffset>4196603</wp:posOffset>
                </wp:positionH>
                <wp:positionV relativeFrom="paragraph">
                  <wp:posOffset>189379</wp:posOffset>
                </wp:positionV>
                <wp:extent cx="916828" cy="349624"/>
                <wp:effectExtent l="0" t="0" r="0" b="0"/>
                <wp:wrapNone/>
                <wp:docPr id="3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828" cy="349624"/>
                        </a:xfrm>
                        <a:prstGeom prst="rect">
                          <a:avLst/>
                        </a:prstGeom>
                        <a:solidFill>
                          <a:srgbClr val="FFFFFF"/>
                        </a:solidFill>
                        <a:ln w="9525">
                          <a:noFill/>
                          <a:miter lim="800000"/>
                          <a:headEnd/>
                          <a:tailEnd/>
                        </a:ln>
                      </wps:spPr>
                      <wps:txbx>
                        <w:txbxContent>
                          <w:p w:rsidR="00D53F39" w:rsidRPr="00E911A4" w:rsidRDefault="00D53F39" w:rsidP="00E24DB7">
                            <w:pPr>
                              <w:spacing w:line="240" w:lineRule="auto"/>
                              <w:jc w:val="center"/>
                              <w:rPr>
                                <w:b/>
                                <w:sz w:val="14"/>
                                <w:szCs w:val="14"/>
                              </w:rPr>
                            </w:pPr>
                            <w:r w:rsidRPr="00E911A4">
                              <w:rPr>
                                <w:b/>
                                <w:sz w:val="14"/>
                                <w:szCs w:val="14"/>
                              </w:rPr>
                              <w:t xml:space="preserve">Essai du type 1 </w:t>
                            </w:r>
                            <w:r>
                              <w:rPr>
                                <w:b/>
                                <w:sz w:val="14"/>
                                <w:szCs w:val="14"/>
                              </w:rPr>
                              <w:br/>
                            </w:r>
                            <w:r w:rsidRPr="00E911A4">
                              <w:rPr>
                                <w:b/>
                                <w:sz w:val="14"/>
                                <w:szCs w:val="14"/>
                              </w:rPr>
                              <w:t xml:space="preserve">en mode maintien </w:t>
                            </w:r>
                            <w:r>
                              <w:rPr>
                                <w:b/>
                                <w:sz w:val="14"/>
                                <w:szCs w:val="14"/>
                              </w:rPr>
                              <w:br/>
                            </w:r>
                            <w:r w:rsidRPr="00E911A4">
                              <w:rPr>
                                <w:b/>
                                <w:sz w:val="14"/>
                                <w:szCs w:val="14"/>
                              </w:rPr>
                              <w:t>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29825" id="_x0000_s1533" type="#_x0000_t202" style="position:absolute;left:0;text-align:left;margin-left:330.45pt;margin-top:14.9pt;width:72.2pt;height:27.5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" stroked="f">
                <v:textbox inset="0,0,0,0">
                  <w:txbxContent>
                    <w:p w:rsidR="00D53F39" w:rsidRPr="00E911A4" w:rsidRDefault="00D53F39" w:rsidP="00E24DB7">
                      <w:pPr>
                        <w:spacing w:line="240" w:lineRule="auto"/>
                        <w:jc w:val="center"/>
                        <w:rPr>
                          <w:b/>
                          <w:sz w:val="14"/>
                          <w:szCs w:val="14"/>
                        </w:rPr>
                      </w:pPr>
                      <w:r w:rsidRPr="00E911A4">
                        <w:rPr>
                          <w:b/>
                          <w:sz w:val="14"/>
                          <w:szCs w:val="14"/>
                        </w:rPr>
                        <w:t xml:space="preserve">Essai du type 1 </w:t>
                      </w:r>
                      <w:r>
                        <w:rPr>
                          <w:b/>
                          <w:sz w:val="14"/>
                          <w:szCs w:val="14"/>
                        </w:rPr>
                        <w:br/>
                      </w:r>
                      <w:r w:rsidRPr="00E911A4">
                        <w:rPr>
                          <w:b/>
                          <w:sz w:val="14"/>
                          <w:szCs w:val="14"/>
                        </w:rPr>
                        <w:t xml:space="preserve">en mode maintien </w:t>
                      </w:r>
                      <w:r>
                        <w:rPr>
                          <w:b/>
                          <w:sz w:val="14"/>
                          <w:szCs w:val="14"/>
                        </w:rPr>
                        <w:br/>
                      </w:r>
                      <w:r w:rsidRPr="00E911A4">
                        <w:rPr>
                          <w:b/>
                          <w:sz w:val="14"/>
                          <w:szCs w:val="14"/>
                        </w:rPr>
                        <w:t>de la charge</w:t>
                      </w:r>
                    </w:p>
                  </w:txbxContent>
                </v:textbox>
              </v:shape>
            </w:pict>
          </mc:Fallback>
        </mc:AlternateContent>
      </w:r>
      <w:r w:rsidRPr="002C5876">
        <w:rPr>
          <w:noProof/>
          <w:lang w:val="en-GB" w:eastAsia="zh-CN"/>
        </w:rPr>
        <mc:AlternateContent>
          <mc:Choice Requires="wps">
            <w:drawing>
              <wp:anchor distT="0" distB="0" distL="114300" distR="114300" simplePos="0" relativeHeight="251421696" behindDoc="0" locked="0" layoutInCell="1" allowOverlap="1" wp14:anchorId="2EA682A2" wp14:editId="44EE3A8C">
                <wp:simplePos x="0" y="0"/>
                <wp:positionH relativeFrom="column">
                  <wp:posOffset>1681929</wp:posOffset>
                </wp:positionH>
                <wp:positionV relativeFrom="paragraph">
                  <wp:posOffset>381598</wp:posOffset>
                </wp:positionV>
                <wp:extent cx="1105684" cy="143436"/>
                <wp:effectExtent l="0" t="0" r="0" b="9525"/>
                <wp:wrapNone/>
                <wp:docPr id="2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684" cy="143436"/>
                        </a:xfrm>
                        <a:prstGeom prst="rect">
                          <a:avLst/>
                        </a:prstGeom>
                        <a:solidFill>
                          <a:srgbClr val="FFFFFF"/>
                        </a:solidFill>
                        <a:ln w="9525">
                          <a:noFill/>
                          <a:miter lim="800000"/>
                          <a:headEnd/>
                          <a:tailEnd/>
                        </a:ln>
                      </wps:spPr>
                      <wps:txbx>
                        <w:txbxContent>
                          <w:p w:rsidR="00D53F39" w:rsidRPr="000B0C8B" w:rsidRDefault="00D53F39" w:rsidP="00E24DB7">
                            <w:pPr>
                              <w:spacing w:line="240" w:lineRule="auto"/>
                              <w:jc w:val="center"/>
                              <w:rPr>
                                <w:b/>
                                <w:sz w:val="14"/>
                                <w:szCs w:val="14"/>
                              </w:rPr>
                            </w:pPr>
                            <w:r w:rsidRPr="000B0C8B">
                              <w:rPr>
                                <w:b/>
                                <w:sz w:val="14"/>
                                <w:szCs w:val="14"/>
                              </w:rPr>
                              <w:t>Préconditionnement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682A2" id="_x0000_s1534" type="#_x0000_t202" style="position:absolute;left:0;text-align:left;margin-left:132.45pt;margin-top:30.05pt;width:87.05pt;height:11.3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" stroked="f">
                <v:textbox inset="0,0,0,0">
                  <w:txbxContent>
                    <w:p w:rsidR="00D53F39" w:rsidRPr="000B0C8B" w:rsidRDefault="00D53F39" w:rsidP="00E24DB7">
                      <w:pPr>
                        <w:spacing w:line="240" w:lineRule="auto"/>
                        <w:jc w:val="center"/>
                        <w:rPr>
                          <w:b/>
                          <w:sz w:val="14"/>
                          <w:szCs w:val="14"/>
                        </w:rPr>
                      </w:pPr>
                      <w:r w:rsidRPr="000B0C8B">
                        <w:rPr>
                          <w:b/>
                          <w:sz w:val="14"/>
                          <w:szCs w:val="14"/>
                        </w:rPr>
                        <w:t>Préconditionnement</w:t>
                      </w:r>
                    </w:p>
                  </w:txbxContent>
                </v:textbox>
              </v:shape>
            </w:pict>
          </mc:Fallback>
        </mc:AlternateContent>
      </w:r>
      <w:r w:rsidRPr="002C5876">
        <w:rPr>
          <w:noProof/>
          <w:lang w:val="en-GB" w:eastAsia="zh-CN"/>
        </w:rPr>
        <mc:AlternateContent>
          <mc:Choice Requires="wps">
            <w:drawing>
              <wp:anchor distT="0" distB="0" distL="114300" distR="114300" simplePos="0" relativeHeight="251424768" behindDoc="0" locked="0" layoutInCell="1" allowOverlap="1" wp14:anchorId="0248E175" wp14:editId="40FDFBC1">
                <wp:simplePos x="0" y="0"/>
                <wp:positionH relativeFrom="column">
                  <wp:posOffset>1332977</wp:posOffset>
                </wp:positionH>
                <wp:positionV relativeFrom="paragraph">
                  <wp:posOffset>2152052</wp:posOffset>
                </wp:positionV>
                <wp:extent cx="1849755" cy="163830"/>
                <wp:effectExtent l="0" t="0" r="0" b="7620"/>
                <wp:wrapNone/>
                <wp:docPr id="3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163830"/>
                        </a:xfrm>
                        <a:prstGeom prst="rect">
                          <a:avLst/>
                        </a:prstGeom>
                        <a:solidFill>
                          <a:srgbClr val="FFFFFF"/>
                        </a:solidFill>
                        <a:ln w="9525">
                          <a:noFill/>
                          <a:miter lim="800000"/>
                          <a:headEnd/>
                          <a:tailEnd/>
                        </a:ln>
                      </wps:spPr>
                      <wps:txbx>
                        <w:txbxContent>
                          <w:p w:rsidR="00D53F39" w:rsidRPr="000B0C8B" w:rsidRDefault="00D53F39" w:rsidP="00E24DB7">
                            <w:pPr>
                              <w:spacing w:line="240" w:lineRule="auto"/>
                              <w:jc w:val="center"/>
                              <w:rPr>
                                <w:b/>
                                <w:sz w:val="14"/>
                                <w:szCs w:val="14"/>
                              </w:rPr>
                            </w:pPr>
                            <w:r w:rsidRPr="000B0C8B">
                              <w:rPr>
                                <w:b/>
                                <w:sz w:val="14"/>
                                <w:szCs w:val="14"/>
                              </w:rPr>
                              <w:t>Au moins 1 cycle d’essai applicable</w:t>
                            </w:r>
                          </w:p>
                          <w:p w:rsidR="00D53F39" w:rsidRPr="000B0C8B" w:rsidRDefault="00D53F39" w:rsidP="00E24DB7">
                            <w:pPr>
                              <w:spacing w:line="240" w:lineRule="auto"/>
                              <w:jc w:val="center"/>
                              <w:rPr>
                                <w:b/>
                                <w:sz w:val="14"/>
                                <w:szCs w:val="1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8E175" id="_x0000_s1535" type="#_x0000_t202" style="position:absolute;left:0;text-align:left;margin-left:104.95pt;margin-top:169.45pt;width:145.65pt;height:12.9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" stroked="f">
                <v:textbox inset="0,0,0,0">
                  <w:txbxContent>
                    <w:p w:rsidR="00D53F39" w:rsidRPr="000B0C8B" w:rsidRDefault="00D53F39" w:rsidP="00E24DB7">
                      <w:pPr>
                        <w:spacing w:line="240" w:lineRule="auto"/>
                        <w:jc w:val="center"/>
                        <w:rPr>
                          <w:b/>
                          <w:sz w:val="14"/>
                          <w:szCs w:val="14"/>
                        </w:rPr>
                      </w:pPr>
                      <w:r w:rsidRPr="000B0C8B">
                        <w:rPr>
                          <w:b/>
                          <w:sz w:val="14"/>
                          <w:szCs w:val="14"/>
                        </w:rPr>
                        <w:t>Au moins 1 cycle d’essai applicable</w:t>
                      </w:r>
                    </w:p>
                    <w:p w:rsidR="00D53F39" w:rsidRPr="000B0C8B" w:rsidRDefault="00D53F39" w:rsidP="00E24DB7">
                      <w:pPr>
                        <w:spacing w:line="240" w:lineRule="auto"/>
                        <w:jc w:val="center"/>
                        <w:rPr>
                          <w:b/>
                          <w:sz w:val="14"/>
                          <w:szCs w:val="14"/>
                        </w:rPr>
                      </w:pPr>
                    </w:p>
                  </w:txbxContent>
                </v:textbox>
              </v:shape>
            </w:pict>
          </mc:Fallback>
        </mc:AlternateContent>
      </w:r>
      <w:r w:rsidRPr="002C5876">
        <w:rPr>
          <w:noProof/>
          <w:lang w:val="en-GB" w:eastAsia="zh-CN"/>
        </w:rPr>
        <mc:AlternateContent>
          <mc:Choice Requires="wps">
            <w:drawing>
              <wp:anchor distT="0" distB="0" distL="114300" distR="114300" simplePos="0" relativeHeight="251427840" behindDoc="0" locked="0" layoutInCell="1" allowOverlap="1" wp14:anchorId="6AAFE212" wp14:editId="7880BDE7">
                <wp:simplePos x="0" y="0"/>
                <wp:positionH relativeFrom="column">
                  <wp:posOffset>4179645</wp:posOffset>
                </wp:positionH>
                <wp:positionV relativeFrom="paragraph">
                  <wp:posOffset>2131658</wp:posOffset>
                </wp:positionV>
                <wp:extent cx="993140" cy="228600"/>
                <wp:effectExtent l="0" t="0" r="0" b="0"/>
                <wp:wrapNone/>
                <wp:docPr id="3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228600"/>
                        </a:xfrm>
                        <a:prstGeom prst="rect">
                          <a:avLst/>
                        </a:prstGeom>
                        <a:solidFill>
                          <a:srgbClr val="FFFFFF"/>
                        </a:solidFill>
                        <a:ln w="9525">
                          <a:noFill/>
                          <a:miter lim="800000"/>
                          <a:headEnd/>
                          <a:tailEnd/>
                        </a:ln>
                      </wps:spPr>
                      <wps:txbx>
                        <w:txbxContent>
                          <w:p w:rsidR="00D53F39" w:rsidRPr="006F5AEF" w:rsidRDefault="00D53F39" w:rsidP="00E24DB7">
                            <w:pPr>
                              <w:spacing w:line="240" w:lineRule="auto"/>
                              <w:jc w:val="center"/>
                              <w:rPr>
                                <w:b/>
                                <w:sz w:val="14"/>
                                <w:szCs w:val="14"/>
                              </w:rPr>
                            </w:pPr>
                            <w:r w:rsidRPr="006F5AEF">
                              <w:rPr>
                                <w:b/>
                                <w:sz w:val="14"/>
                                <w:szCs w:val="14"/>
                              </w:rPr>
                              <w:t xml:space="preserve">1 cycle d’essai applicable </w:t>
                            </w:r>
                            <w:r w:rsidRPr="006F5AEF">
                              <w:rPr>
                                <w:b/>
                                <w:sz w:val="14"/>
                                <w:szCs w:val="14"/>
                              </w:rPr>
                              <w:br/>
                              <w:t>(à froid)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FE212" id="_x0000_s1536" type="#_x0000_t202" style="position:absolute;left:0;text-align:left;margin-left:329.1pt;margin-top:167.85pt;width:78.2pt;height:18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" stroked="f">
                <v:textbox inset="0,0,0,0">
                  <w:txbxContent>
                    <w:p w:rsidR="00D53F39" w:rsidRPr="006F5AEF" w:rsidRDefault="00D53F39" w:rsidP="00E24DB7">
                      <w:pPr>
                        <w:spacing w:line="240" w:lineRule="auto"/>
                        <w:jc w:val="center"/>
                        <w:rPr>
                          <w:b/>
                          <w:sz w:val="14"/>
                          <w:szCs w:val="14"/>
                        </w:rPr>
                      </w:pPr>
                      <w:r w:rsidRPr="006F5AEF">
                        <w:rPr>
                          <w:b/>
                          <w:sz w:val="14"/>
                          <w:szCs w:val="14"/>
                        </w:rPr>
                        <w:t xml:space="preserve">1 cycle d’essai applicable </w:t>
                      </w:r>
                      <w:r w:rsidRPr="006F5AEF">
                        <w:rPr>
                          <w:b/>
                          <w:sz w:val="14"/>
                          <w:szCs w:val="14"/>
                        </w:rPr>
                        <w:br/>
                        <w:t>(à froid)</w:t>
                      </w:r>
                    </w:p>
                  </w:txbxContent>
                </v:textbox>
              </v:shape>
            </w:pict>
          </mc:Fallback>
        </mc:AlternateContent>
      </w:r>
      <w:r w:rsidRPr="002C5876">
        <w:rPr>
          <w:noProof/>
          <w:lang w:val="en-GB" w:eastAsia="zh-CN"/>
        </w:rPr>
        <mc:AlternateContent>
          <mc:Choice Requires="wps">
            <w:drawing>
              <wp:anchor distT="0" distB="0" distL="114300" distR="114300" simplePos="0" relativeHeight="251418624" behindDoc="0" locked="0" layoutInCell="1" allowOverlap="1" wp14:anchorId="7E02404C" wp14:editId="3769ADB4">
                <wp:simplePos x="0" y="0"/>
                <wp:positionH relativeFrom="column">
                  <wp:posOffset>1020135</wp:posOffset>
                </wp:positionH>
                <wp:positionV relativeFrom="paragraph">
                  <wp:posOffset>87172</wp:posOffset>
                </wp:positionV>
                <wp:extent cx="629920" cy="331924"/>
                <wp:effectExtent l="0" t="0" r="0" b="0"/>
                <wp:wrapNone/>
                <wp:docPr id="2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331924"/>
                        </a:xfrm>
                        <a:prstGeom prst="rect">
                          <a:avLst/>
                        </a:prstGeom>
                        <a:solidFill>
                          <a:srgbClr val="FFFFFF"/>
                        </a:solidFill>
                        <a:ln w="9525">
                          <a:noFill/>
                          <a:miter lim="800000"/>
                          <a:headEnd/>
                          <a:tailEnd/>
                        </a:ln>
                      </wps:spPr>
                      <wps:txbx>
                        <w:txbxContent>
                          <w:p w:rsidR="00D53F39" w:rsidRPr="000B0C8B" w:rsidRDefault="00D53F39" w:rsidP="00E24DB7">
                            <w:pPr>
                              <w:spacing w:line="240" w:lineRule="auto"/>
                              <w:jc w:val="center"/>
                              <w:rPr>
                                <w:b/>
                                <w:sz w:val="14"/>
                                <w:szCs w:val="14"/>
                              </w:rPr>
                            </w:pPr>
                            <w:r w:rsidRPr="000B0C8B">
                              <w:rPr>
                                <w:b/>
                                <w:sz w:val="14"/>
                                <w:szCs w:val="14"/>
                              </w:rPr>
                              <w:t xml:space="preserve">Niveau </w:t>
                            </w:r>
                            <w:r>
                              <w:rPr>
                                <w:b/>
                                <w:sz w:val="14"/>
                                <w:szCs w:val="14"/>
                              </w:rPr>
                              <w:br/>
                            </w:r>
                            <w:r w:rsidRPr="000B0C8B">
                              <w:rPr>
                                <w:b/>
                                <w:sz w:val="14"/>
                                <w:szCs w:val="14"/>
                              </w:rPr>
                              <w:t xml:space="preserve">de charge </w:t>
                            </w:r>
                            <w:r>
                              <w:rPr>
                                <w:b/>
                                <w:sz w:val="14"/>
                                <w:szCs w:val="14"/>
                              </w:rPr>
                              <w:br/>
                            </w:r>
                            <w:r w:rsidRPr="000B0C8B">
                              <w:rPr>
                                <w:b/>
                                <w:sz w:val="14"/>
                                <w:szCs w:val="14"/>
                              </w:rPr>
                              <w:t>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2404C" id="_x0000_s1537" type="#_x0000_t202" style="position:absolute;left:0;text-align:left;margin-left:80.35pt;margin-top:6.85pt;width:49.6pt;height:26.1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" stroked="f">
                <v:textbox inset="0,0,0,0">
                  <w:txbxContent>
                    <w:p w:rsidR="00D53F39" w:rsidRPr="000B0C8B" w:rsidRDefault="00D53F39" w:rsidP="00E24DB7">
                      <w:pPr>
                        <w:spacing w:line="240" w:lineRule="auto"/>
                        <w:jc w:val="center"/>
                        <w:rPr>
                          <w:b/>
                          <w:sz w:val="14"/>
                          <w:szCs w:val="14"/>
                        </w:rPr>
                      </w:pPr>
                      <w:r w:rsidRPr="000B0C8B">
                        <w:rPr>
                          <w:b/>
                          <w:sz w:val="14"/>
                          <w:szCs w:val="14"/>
                        </w:rPr>
                        <w:t xml:space="preserve">Niveau </w:t>
                      </w:r>
                      <w:r>
                        <w:rPr>
                          <w:b/>
                          <w:sz w:val="14"/>
                          <w:szCs w:val="14"/>
                        </w:rPr>
                        <w:br/>
                      </w:r>
                      <w:r w:rsidRPr="000B0C8B">
                        <w:rPr>
                          <w:b/>
                          <w:sz w:val="14"/>
                          <w:szCs w:val="14"/>
                        </w:rPr>
                        <w:t xml:space="preserve">de charge </w:t>
                      </w:r>
                      <w:r>
                        <w:rPr>
                          <w:b/>
                          <w:sz w:val="14"/>
                          <w:szCs w:val="14"/>
                        </w:rPr>
                        <w:br/>
                      </w:r>
                      <w:r w:rsidRPr="000B0C8B">
                        <w:rPr>
                          <w:b/>
                          <w:sz w:val="14"/>
                          <w:szCs w:val="14"/>
                        </w:rPr>
                        <w:t>du SRSEE</w:t>
                      </w:r>
                    </w:p>
                  </w:txbxContent>
                </v:textbox>
              </v:shape>
            </w:pict>
          </mc:Fallback>
        </mc:AlternateContent>
      </w:r>
      <w:r w:rsidRPr="002C5876">
        <w:rPr>
          <w:noProof/>
          <w:lang w:val="en-GB" w:eastAsia="zh-CN"/>
        </w:rPr>
        <w:drawing>
          <wp:inline distT="0" distB="0" distL="0" distR="0" wp14:anchorId="6C39A33C" wp14:editId="7A38349F">
            <wp:extent cx="4679315" cy="2474259"/>
            <wp:effectExtent l="0" t="0" r="6985" b="254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3">
                      <a:extLst>
                        <a:ext uri="{28A0092B-C50C-407E-A947-70E740481C1C}">
                          <a14:useLocalDpi xmlns:a14="http://schemas.microsoft.com/office/drawing/2010/main" val="0"/>
                        </a:ext>
                      </a:extLst>
                    </a:blip>
                    <a:srcRect t="7632" b="2723"/>
                    <a:stretch/>
                  </pic:blipFill>
                  <pic:spPr bwMode="auto">
                    <a:xfrm>
                      <a:off x="0" y="0"/>
                      <a:ext cx="4680000" cy="2474621"/>
                    </a:xfrm>
                    <a:prstGeom prst="rect">
                      <a:avLst/>
                    </a:prstGeom>
                    <a:noFill/>
                    <a:ln>
                      <a:noFill/>
                    </a:ln>
                    <a:extLst>
                      <a:ext uri="{53640926-AAD7-44D8-BBD7-CCE9431645EC}">
                        <a14:shadowObscured xmlns:a14="http://schemas.microsoft.com/office/drawing/2010/main"/>
                      </a:ext>
                    </a:extLst>
                  </pic:spPr>
                </pic:pic>
              </a:graphicData>
            </a:graphic>
          </wp:inline>
        </w:drawing>
      </w:r>
    </w:p>
    <w:p w:rsidR="00E24DB7" w:rsidRPr="002C5876" w:rsidRDefault="00E24DB7" w:rsidP="00E24DB7">
      <w:pPr>
        <w:pStyle w:val="SingleTxtG"/>
        <w:keepNext/>
        <w:ind w:left="2268" w:hanging="1134"/>
        <w:jc w:val="left"/>
      </w:pPr>
      <w:r w:rsidRPr="002C5876">
        <w:t>1.3</w:t>
      </w:r>
      <w:r w:rsidRPr="002C5876">
        <w:tab/>
        <w:t>Séquence d’essais VHE-RE selon l’option 3</w:t>
      </w:r>
    </w:p>
    <w:p w:rsidR="00E24DB7" w:rsidRPr="002C5876" w:rsidRDefault="00E24DB7" w:rsidP="00E24DB7">
      <w:pPr>
        <w:pStyle w:val="SingleTxtG"/>
        <w:spacing w:after="240"/>
        <w:ind w:left="2268"/>
      </w:pPr>
      <w:r w:rsidRPr="002C5876">
        <w:t>Essai d’épuisement de la charge du type 1 suivi d’un essai de maintien de la charge du type</w:t>
      </w:r>
      <w:r w:rsidR="00686ABD">
        <w:t> </w:t>
      </w:r>
      <w:r w:rsidRPr="002C5876">
        <w:t>1 (fig. A8.App1/3)</w:t>
      </w:r>
    </w:p>
    <w:p w:rsidR="00E24DB7" w:rsidRPr="002C5876" w:rsidRDefault="00E24DB7" w:rsidP="00E24DB7">
      <w:pPr>
        <w:pStyle w:val="H23G"/>
        <w:ind w:left="0" w:firstLine="0"/>
        <w:rPr>
          <w:b w:val="0"/>
        </w:rPr>
      </w:pPr>
      <w:r w:rsidRPr="002C5876">
        <w:rPr>
          <w:b w:val="0"/>
        </w:rPr>
        <w:t>Figure A8.App1/3</w:t>
      </w:r>
      <w:r w:rsidRPr="002C5876">
        <w:br/>
        <w:t>VHE-RE, essai d’épuisement de la charge du type 1 suivi d’un essai de maintien de la charge du type 1</w:t>
      </w:r>
    </w:p>
    <w:p w:rsidR="00E24DB7" w:rsidRPr="002C5876" w:rsidRDefault="00E24DB7" w:rsidP="00E24DB7">
      <w:pPr>
        <w:spacing w:after="240"/>
      </w:pPr>
      <w:r w:rsidRPr="002C5876">
        <w:rPr>
          <w:noProof/>
          <w:lang w:val="en-GB" w:eastAsia="zh-CN"/>
        </w:rPr>
        <mc:AlternateContent>
          <mc:Choice Requires="wps">
            <w:drawing>
              <wp:anchor distT="0" distB="0" distL="114300" distR="114300" simplePos="0" relativeHeight="251217920" behindDoc="0" locked="0" layoutInCell="1" allowOverlap="1" wp14:anchorId="5947B378" wp14:editId="2EBCD83D">
                <wp:simplePos x="0" y="0"/>
                <wp:positionH relativeFrom="column">
                  <wp:posOffset>2837864</wp:posOffset>
                </wp:positionH>
                <wp:positionV relativeFrom="paragraph">
                  <wp:posOffset>2033904</wp:posOffset>
                </wp:positionV>
                <wp:extent cx="680085" cy="187569"/>
                <wp:effectExtent l="0" t="0" r="5715" b="3175"/>
                <wp:wrapNone/>
                <wp:docPr id="138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87569"/>
                        </a:xfrm>
                        <a:prstGeom prst="rect">
                          <a:avLst/>
                        </a:prstGeom>
                        <a:noFill/>
                        <a:ln w="9525">
                          <a:noFill/>
                          <a:miter lim="800000"/>
                          <a:headEnd/>
                          <a:tailEnd/>
                        </a:ln>
                      </wps:spPr>
                      <wps:txbx>
                        <w:txbxContent>
                          <w:p w:rsidR="00D53F39" w:rsidRPr="00E911A4" w:rsidRDefault="00D53F39" w:rsidP="00E24DB7">
                            <w:pPr>
                              <w:spacing w:line="240" w:lineRule="auto"/>
                              <w:jc w:val="center"/>
                              <w:rPr>
                                <w:b/>
                                <w:sz w:val="10"/>
                                <w:szCs w:val="10"/>
                              </w:rPr>
                            </w:pPr>
                            <w:r w:rsidRPr="00E911A4">
                              <w:rPr>
                                <w:b/>
                                <w:sz w:val="10"/>
                                <w:szCs w:val="10"/>
                              </w:rPr>
                              <w:t>Essai de type 1 en mode épuisement 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7B378" id="_x0000_s1538" type="#_x0000_t202" style="position:absolute;margin-left:223.45pt;margin-top:160.15pt;width:53.55pt;height:14.75pt;z-index:2512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" filled="f" stroked="f">
                <v:textbox inset="0,0,0,0">
                  <w:txbxContent>
                    <w:p w:rsidR="00D53F39" w:rsidRPr="00E911A4" w:rsidRDefault="00D53F39" w:rsidP="00E24DB7">
                      <w:pPr>
                        <w:spacing w:line="240" w:lineRule="auto"/>
                        <w:jc w:val="center"/>
                        <w:rPr>
                          <w:b/>
                          <w:sz w:val="10"/>
                          <w:szCs w:val="10"/>
                        </w:rPr>
                      </w:pPr>
                      <w:r w:rsidRPr="00E911A4">
                        <w:rPr>
                          <w:b/>
                          <w:sz w:val="10"/>
                          <w:szCs w:val="10"/>
                        </w:rPr>
                        <w:t>Essai de type 1 en mode épuisement de la charge</w:t>
                      </w:r>
                    </w:p>
                  </w:txbxContent>
                </v:textbox>
              </v:shape>
            </w:pict>
          </mc:Fallback>
        </mc:AlternateContent>
      </w:r>
      <w:r w:rsidRPr="002C5876">
        <w:rPr>
          <w:noProof/>
          <w:lang w:val="en-GB" w:eastAsia="zh-CN"/>
        </w:rPr>
        <mc:AlternateContent>
          <mc:Choice Requires="wps">
            <w:drawing>
              <wp:anchor distT="0" distB="0" distL="114300" distR="114300" simplePos="0" relativeHeight="251304960" behindDoc="0" locked="0" layoutInCell="1" allowOverlap="1" wp14:anchorId="1DC0673E" wp14:editId="79456925">
                <wp:simplePos x="0" y="0"/>
                <wp:positionH relativeFrom="column">
                  <wp:posOffset>1158240</wp:posOffset>
                </wp:positionH>
                <wp:positionV relativeFrom="paragraph">
                  <wp:posOffset>3884930</wp:posOffset>
                </wp:positionV>
                <wp:extent cx="1158875" cy="91440"/>
                <wp:effectExtent l="0" t="0" r="3175" b="3810"/>
                <wp:wrapNone/>
                <wp:docPr id="138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91440"/>
                        </a:xfrm>
                        <a:prstGeom prst="rect">
                          <a:avLst/>
                        </a:prstGeom>
                        <a:noFill/>
                        <a:ln w="9525">
                          <a:noFill/>
                          <a:miter lim="800000"/>
                          <a:headEnd/>
                          <a:tailEnd/>
                        </a:ln>
                      </wps:spPr>
                      <wps:txbx>
                        <w:txbxContent>
                          <w:p w:rsidR="00D53F39" w:rsidRPr="006F5AEF" w:rsidRDefault="00D53F39" w:rsidP="00E24DB7">
                            <w:pPr>
                              <w:spacing w:line="240" w:lineRule="auto"/>
                              <w:jc w:val="center"/>
                              <w:rPr>
                                <w:b/>
                                <w:sz w:val="11"/>
                                <w:szCs w:val="11"/>
                              </w:rPr>
                            </w:pPr>
                            <w:r w:rsidRPr="006F5AEF">
                              <w:rPr>
                                <w:b/>
                                <w:sz w:val="11"/>
                                <w:szCs w:val="11"/>
                              </w:rPr>
                              <w:t>1 cycle d’essai applicable (à froid)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0673E" id="_x0000_s1539" type="#_x0000_t202" style="position:absolute;margin-left:91.2pt;margin-top:305.9pt;width:91.25pt;height:7.2pt;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" filled="f" stroked="f">
                <v:textbox inset="0,0,0,0">
                  <w:txbxContent>
                    <w:p w:rsidR="00D53F39" w:rsidRPr="006F5AEF" w:rsidRDefault="00D53F39" w:rsidP="00E24DB7">
                      <w:pPr>
                        <w:spacing w:line="240" w:lineRule="auto"/>
                        <w:jc w:val="center"/>
                        <w:rPr>
                          <w:b/>
                          <w:sz w:val="11"/>
                          <w:szCs w:val="11"/>
                        </w:rPr>
                      </w:pPr>
                      <w:r w:rsidRPr="006F5AEF">
                        <w:rPr>
                          <w:b/>
                          <w:sz w:val="11"/>
                          <w:szCs w:val="11"/>
                        </w:rPr>
                        <w:t>1 cycle d’essai applicable (à froid)</w:t>
                      </w:r>
                    </w:p>
                  </w:txbxContent>
                </v:textbox>
              </v:shape>
            </w:pict>
          </mc:Fallback>
        </mc:AlternateContent>
      </w:r>
      <w:r w:rsidRPr="002C5876">
        <w:rPr>
          <w:noProof/>
          <w:lang w:val="en-GB" w:eastAsia="zh-CN"/>
        </w:rPr>
        <mc:AlternateContent>
          <mc:Choice Requires="wps">
            <w:drawing>
              <wp:anchor distT="0" distB="0" distL="114300" distR="114300" simplePos="0" relativeHeight="251242496" behindDoc="0" locked="0" layoutInCell="1" allowOverlap="1" wp14:anchorId="76DFB669" wp14:editId="7F65D1A7">
                <wp:simplePos x="0" y="0"/>
                <wp:positionH relativeFrom="column">
                  <wp:posOffset>2073910</wp:posOffset>
                </wp:positionH>
                <wp:positionV relativeFrom="paragraph">
                  <wp:posOffset>1343025</wp:posOffset>
                </wp:positionV>
                <wp:extent cx="1093470" cy="97790"/>
                <wp:effectExtent l="0" t="0" r="11430" b="0"/>
                <wp:wrapNone/>
                <wp:docPr id="138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97790"/>
                        </a:xfrm>
                        <a:prstGeom prst="rect">
                          <a:avLst/>
                        </a:prstGeom>
                        <a:noFill/>
                        <a:ln w="9525">
                          <a:noFill/>
                          <a:miter lim="800000"/>
                          <a:headEnd/>
                          <a:tailEnd/>
                        </a:ln>
                      </wps:spPr>
                      <wps:txbx>
                        <w:txbxContent>
                          <w:p w:rsidR="00D53F39" w:rsidRPr="00B438FA" w:rsidRDefault="00D53F39" w:rsidP="00E24DB7">
                            <w:pPr>
                              <w:spacing w:line="240" w:lineRule="auto"/>
                              <w:rPr>
                                <w:b/>
                                <w:color w:val="7030A0"/>
                                <w:sz w:val="12"/>
                                <w:szCs w:val="12"/>
                              </w:rPr>
                            </w:pPr>
                            <w:r w:rsidRPr="00B438FA">
                              <w:rPr>
                                <w:b/>
                                <w:color w:val="7030A0"/>
                                <w:sz w:val="12"/>
                                <w:szCs w:val="12"/>
                              </w:rPr>
                              <w:t>Autonomie en mode électrique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FB669" id="_x0000_s1540" type="#_x0000_t202" style="position:absolute;margin-left:163.3pt;margin-top:105.75pt;width:86.1pt;height:7.7pt;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" filled="f" stroked="f">
                <v:textbox inset="0,0,0,0">
                  <w:txbxContent>
                    <w:p w:rsidR="00D53F39" w:rsidRPr="00B438FA" w:rsidRDefault="00D53F39" w:rsidP="00E24DB7">
                      <w:pPr>
                        <w:spacing w:line="240" w:lineRule="auto"/>
                        <w:rPr>
                          <w:b/>
                          <w:color w:val="7030A0"/>
                          <w:sz w:val="12"/>
                          <w:szCs w:val="12"/>
                        </w:rPr>
                      </w:pPr>
                      <w:r w:rsidRPr="00B438FA">
                        <w:rPr>
                          <w:b/>
                          <w:color w:val="7030A0"/>
                          <w:sz w:val="12"/>
                          <w:szCs w:val="12"/>
                        </w:rPr>
                        <w:t>Autonomie en mode électrique</w:t>
                      </w:r>
                    </w:p>
                  </w:txbxContent>
                </v:textbox>
              </v:shape>
            </w:pict>
          </mc:Fallback>
        </mc:AlternateContent>
      </w:r>
      <w:r w:rsidRPr="002C5876">
        <w:rPr>
          <w:noProof/>
          <w:lang w:val="en-GB" w:eastAsia="zh-CN"/>
        </w:rPr>
        <mc:AlternateContent>
          <mc:Choice Requires="wps">
            <w:drawing>
              <wp:anchor distT="0" distB="0" distL="114300" distR="114300" simplePos="0" relativeHeight="251248640" behindDoc="0" locked="0" layoutInCell="1" allowOverlap="1" wp14:anchorId="0028E916" wp14:editId="3C829662">
                <wp:simplePos x="0" y="0"/>
                <wp:positionH relativeFrom="column">
                  <wp:posOffset>2082165</wp:posOffset>
                </wp:positionH>
                <wp:positionV relativeFrom="paragraph">
                  <wp:posOffset>1453515</wp:posOffset>
                </wp:positionV>
                <wp:extent cx="1463675" cy="105410"/>
                <wp:effectExtent l="0" t="0" r="3175" b="8890"/>
                <wp:wrapNone/>
                <wp:docPr id="138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105410"/>
                        </a:xfrm>
                        <a:prstGeom prst="rect">
                          <a:avLst/>
                        </a:prstGeom>
                        <a:noFill/>
                        <a:ln w="9525">
                          <a:noFill/>
                          <a:miter lim="800000"/>
                          <a:headEnd/>
                          <a:tailEnd/>
                        </a:ln>
                      </wps:spPr>
                      <wps:txbx>
                        <w:txbxContent>
                          <w:p w:rsidR="00D53F39" w:rsidRPr="00E911A4" w:rsidRDefault="00D53F39" w:rsidP="00E24DB7">
                            <w:pPr>
                              <w:spacing w:line="240" w:lineRule="auto"/>
                              <w:rPr>
                                <w:b/>
                                <w:color w:val="76923C" w:themeColor="accent3" w:themeShade="BF"/>
                                <w:sz w:val="12"/>
                                <w:szCs w:val="12"/>
                              </w:rPr>
                            </w:pPr>
                            <w:r w:rsidRPr="00E911A4">
                              <w:rPr>
                                <w:b/>
                                <w:color w:val="76923C" w:themeColor="accent3" w:themeShade="BF"/>
                                <w:sz w:val="12"/>
                                <w:szCs w:val="12"/>
                              </w:rPr>
                              <w:t>Autonomie équivalente en mode électrique pur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8E916" id="_x0000_s1541" type="#_x0000_t202" style="position:absolute;margin-left:163.95pt;margin-top:114.45pt;width:115.25pt;height:8.3pt;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" filled="f" stroked="f">
                <v:textbox inset="0,0,0,0">
                  <w:txbxContent>
                    <w:p w:rsidR="00D53F39" w:rsidRPr="00E911A4" w:rsidRDefault="00D53F39" w:rsidP="00E24DB7">
                      <w:pPr>
                        <w:spacing w:line="240" w:lineRule="auto"/>
                        <w:rPr>
                          <w:b/>
                          <w:color w:val="76923C" w:themeColor="accent3" w:themeShade="BF"/>
                          <w:sz w:val="12"/>
                          <w:szCs w:val="12"/>
                        </w:rPr>
                      </w:pPr>
                      <w:r w:rsidRPr="00E911A4">
                        <w:rPr>
                          <w:b/>
                          <w:color w:val="76923C" w:themeColor="accent3" w:themeShade="BF"/>
                          <w:sz w:val="12"/>
                          <w:szCs w:val="12"/>
                        </w:rPr>
                        <w:t>Autonomie équivalente en mode électrique pur</w:t>
                      </w:r>
                    </w:p>
                  </w:txbxContent>
                </v:textbox>
              </v:shape>
            </w:pict>
          </mc:Fallback>
        </mc:AlternateContent>
      </w:r>
      <w:r w:rsidRPr="002C5876">
        <w:rPr>
          <w:noProof/>
          <w:lang w:val="en-GB" w:eastAsia="zh-CN"/>
        </w:rPr>
        <mc:AlternateContent>
          <mc:Choice Requires="wps">
            <w:drawing>
              <wp:anchor distT="0" distB="0" distL="114300" distR="114300" simplePos="0" relativeHeight="251196416" behindDoc="0" locked="0" layoutInCell="1" allowOverlap="1" wp14:anchorId="78CFF994" wp14:editId="5DA69208">
                <wp:simplePos x="0" y="0"/>
                <wp:positionH relativeFrom="column">
                  <wp:posOffset>670560</wp:posOffset>
                </wp:positionH>
                <wp:positionV relativeFrom="paragraph">
                  <wp:posOffset>672465</wp:posOffset>
                </wp:positionV>
                <wp:extent cx="641985" cy="171450"/>
                <wp:effectExtent l="0" t="0" r="5715" b="0"/>
                <wp:wrapNone/>
                <wp:docPr id="1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171450"/>
                        </a:xfrm>
                        <a:prstGeom prst="rect">
                          <a:avLst/>
                        </a:prstGeom>
                        <a:noFill/>
                        <a:ln w="9525">
                          <a:noFill/>
                          <a:miter lim="800000"/>
                          <a:headEnd/>
                          <a:tailEnd/>
                        </a:ln>
                      </wps:spPr>
                      <wps:txbx>
                        <w:txbxContent>
                          <w:p w:rsidR="00D53F39" w:rsidRPr="009B0805" w:rsidRDefault="00D53F39" w:rsidP="00E24DB7">
                            <w:pPr>
                              <w:spacing w:line="240" w:lineRule="auto"/>
                              <w:jc w:val="center"/>
                              <w:rPr>
                                <w:rFonts w:ascii="Times New Roman Gras" w:hAnsi="Times New Roman Gras"/>
                                <w:b/>
                                <w:spacing w:val="-3"/>
                                <w:sz w:val="12"/>
                                <w:szCs w:val="12"/>
                              </w:rPr>
                            </w:pPr>
                            <w:r w:rsidRPr="009B0805">
                              <w:rPr>
                                <w:rFonts w:ascii="Times New Roman Gras" w:hAnsi="Times New Roman Gras"/>
                                <w:b/>
                                <w:spacing w:val="-3"/>
                                <w:sz w:val="12"/>
                                <w:szCs w:val="12"/>
                              </w:rPr>
                              <w:t>Préconditionnement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FF994" id="_x0000_s1542" type="#_x0000_t202" style="position:absolute;margin-left:52.8pt;margin-top:52.95pt;width:50.55pt;height:13.5pt;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" filled="f" stroked="f">
                <v:textbox inset="0,0,0,0">
                  <w:txbxContent>
                    <w:p w:rsidR="00D53F39" w:rsidRPr="009B0805" w:rsidRDefault="00D53F39" w:rsidP="00E24DB7">
                      <w:pPr>
                        <w:spacing w:line="240" w:lineRule="auto"/>
                        <w:jc w:val="center"/>
                        <w:rPr>
                          <w:rFonts w:ascii="Times New Roman Gras" w:hAnsi="Times New Roman Gras"/>
                          <w:b/>
                          <w:spacing w:val="-3"/>
                          <w:sz w:val="12"/>
                          <w:szCs w:val="12"/>
                        </w:rPr>
                      </w:pPr>
                      <w:r w:rsidRPr="009B0805">
                        <w:rPr>
                          <w:rFonts w:ascii="Times New Roman Gras" w:hAnsi="Times New Roman Gras"/>
                          <w:b/>
                          <w:spacing w:val="-3"/>
                          <w:sz w:val="12"/>
                          <w:szCs w:val="12"/>
                        </w:rPr>
                        <w:t>Préconditionnement</w:t>
                      </w:r>
                    </w:p>
                  </w:txbxContent>
                </v:textbox>
              </v:shape>
            </w:pict>
          </mc:Fallback>
        </mc:AlternateContent>
      </w:r>
      <w:r w:rsidRPr="002C5876">
        <w:rPr>
          <w:noProof/>
          <w:lang w:val="en-GB" w:eastAsia="zh-CN"/>
        </w:rPr>
        <mc:AlternateContent>
          <mc:Choice Requires="wps">
            <w:drawing>
              <wp:anchor distT="0" distB="0" distL="114300" distR="114300" simplePos="0" relativeHeight="251264000" behindDoc="0" locked="0" layoutInCell="1" allowOverlap="1" wp14:anchorId="5A3D3311" wp14:editId="78DCFE2C">
                <wp:simplePos x="0" y="0"/>
                <wp:positionH relativeFrom="column">
                  <wp:posOffset>2458085</wp:posOffset>
                </wp:positionH>
                <wp:positionV relativeFrom="paragraph">
                  <wp:posOffset>3879487</wp:posOffset>
                </wp:positionV>
                <wp:extent cx="629920" cy="107950"/>
                <wp:effectExtent l="0" t="0" r="0" b="6350"/>
                <wp:wrapNone/>
                <wp:docPr id="138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07950"/>
                        </a:xfrm>
                        <a:prstGeom prst="rect">
                          <a:avLst/>
                        </a:prstGeom>
                        <a:noFill/>
                        <a:ln w="9525">
                          <a:noFill/>
                          <a:miter lim="800000"/>
                          <a:headEnd/>
                          <a:tailEnd/>
                        </a:ln>
                      </wps:spPr>
                      <wps:txbx>
                        <w:txbxContent>
                          <w:p w:rsidR="00D53F39" w:rsidRPr="00893786" w:rsidRDefault="00D53F39" w:rsidP="00E24DB7">
                            <w:pPr>
                              <w:spacing w:line="240" w:lineRule="auto"/>
                              <w:jc w:val="center"/>
                              <w:rPr>
                                <w:b/>
                                <w:sz w:val="12"/>
                                <w:szCs w:val="12"/>
                              </w:rPr>
                            </w:pPr>
                            <w:r w:rsidRPr="00893786">
                              <w:rPr>
                                <w:b/>
                                <w:sz w:val="12"/>
                                <w:szCs w:val="12"/>
                              </w:rPr>
                              <w:t xml:space="preserve">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D3311" id="_x0000_s1543" type="#_x0000_t202" style="position:absolute;margin-left:193.55pt;margin-top:305.45pt;width:49.6pt;height:8.5pt;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" filled="f" stroked="f">
                <v:textbox inset="0,0,0,0">
                  <w:txbxContent>
                    <w:p w:rsidR="00D53F39" w:rsidRPr="00893786" w:rsidRDefault="00D53F39" w:rsidP="00E24DB7">
                      <w:pPr>
                        <w:spacing w:line="240" w:lineRule="auto"/>
                        <w:jc w:val="center"/>
                        <w:rPr>
                          <w:b/>
                          <w:sz w:val="12"/>
                          <w:szCs w:val="12"/>
                        </w:rPr>
                      </w:pPr>
                      <w:r w:rsidRPr="00893786">
                        <w:rPr>
                          <w:b/>
                          <w:sz w:val="12"/>
                          <w:szCs w:val="12"/>
                        </w:rPr>
                        <w:t xml:space="preserve">Charge </w:t>
                      </w:r>
                    </w:p>
                  </w:txbxContent>
                </v:textbox>
              </v:shape>
            </w:pict>
          </mc:Fallback>
        </mc:AlternateContent>
      </w:r>
      <w:r w:rsidRPr="002C5876">
        <w:rPr>
          <w:noProof/>
          <w:lang w:val="en-GB" w:eastAsia="zh-CN"/>
        </w:rPr>
        <mc:AlternateContent>
          <mc:Choice Requires="wps">
            <w:drawing>
              <wp:anchor distT="0" distB="0" distL="114300" distR="114300" simplePos="0" relativeHeight="251283456" behindDoc="0" locked="0" layoutInCell="1" allowOverlap="1" wp14:anchorId="510FC682" wp14:editId="653F520D">
                <wp:simplePos x="0" y="0"/>
                <wp:positionH relativeFrom="column">
                  <wp:posOffset>2811780</wp:posOffset>
                </wp:positionH>
                <wp:positionV relativeFrom="paragraph">
                  <wp:posOffset>3161665</wp:posOffset>
                </wp:positionV>
                <wp:extent cx="655320" cy="308610"/>
                <wp:effectExtent l="1905" t="0" r="13335" b="13335"/>
                <wp:wrapNone/>
                <wp:docPr id="138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55320" cy="308610"/>
                        </a:xfrm>
                        <a:prstGeom prst="rect">
                          <a:avLst/>
                        </a:prstGeom>
                        <a:noFill/>
                        <a:ln w="9525">
                          <a:noFill/>
                          <a:miter lim="800000"/>
                          <a:headEnd/>
                          <a:tailEnd/>
                        </a:ln>
                      </wps:spPr>
                      <wps:txbx>
                        <w:txbxContent>
                          <w:p w:rsidR="00D53F39" w:rsidRPr="00E911A4" w:rsidRDefault="00D53F39" w:rsidP="00E24DB7">
                            <w:pPr>
                              <w:spacing w:line="240" w:lineRule="auto"/>
                              <w:jc w:val="center"/>
                              <w:rPr>
                                <w:b/>
                                <w:sz w:val="12"/>
                                <w:szCs w:val="12"/>
                              </w:rPr>
                            </w:pPr>
                            <w:r w:rsidRPr="00E911A4">
                              <w:rPr>
                                <w:b/>
                                <w:sz w:val="12"/>
                                <w:szCs w:val="12"/>
                              </w:rPr>
                              <w:t>E</w:t>
                            </w:r>
                            <w:r w:rsidRPr="00E911A4">
                              <w:rPr>
                                <w:b/>
                                <w:sz w:val="12"/>
                                <w:szCs w:val="12"/>
                                <w:vertAlign w:val="subscript"/>
                              </w:rPr>
                              <w:t xml:space="preserve">AC </w:t>
                            </w:r>
                            <w:r w:rsidRPr="00E911A4">
                              <w:rPr>
                                <w:b/>
                                <w:sz w:val="12"/>
                                <w:szCs w:val="12"/>
                              </w:rPr>
                              <w:br/>
                              <w:t xml:space="preserve">(recharge d’énergie </w:t>
                            </w:r>
                            <w:r w:rsidRPr="00E911A4">
                              <w:rPr>
                                <w:b/>
                                <w:sz w:val="12"/>
                                <w:szCs w:val="12"/>
                              </w:rPr>
                              <w:br/>
                              <w:t>sur le secteur)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FC682" id="_x0000_s1544" type="#_x0000_t202" style="position:absolute;margin-left:221.4pt;margin-top:248.95pt;width:51.6pt;height:24.3pt;rotation:-90;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" filled="f" stroked="f">
                <v:textbox inset="0,0,0,0">
                  <w:txbxContent>
                    <w:p w:rsidR="00D53F39" w:rsidRPr="00E911A4" w:rsidRDefault="00D53F39" w:rsidP="00E24DB7">
                      <w:pPr>
                        <w:spacing w:line="240" w:lineRule="auto"/>
                        <w:jc w:val="center"/>
                        <w:rPr>
                          <w:b/>
                          <w:sz w:val="12"/>
                          <w:szCs w:val="12"/>
                        </w:rPr>
                      </w:pPr>
                      <w:r w:rsidRPr="00E911A4">
                        <w:rPr>
                          <w:b/>
                          <w:sz w:val="12"/>
                          <w:szCs w:val="12"/>
                        </w:rPr>
                        <w:t>E</w:t>
                      </w:r>
                      <w:r w:rsidRPr="00E911A4">
                        <w:rPr>
                          <w:b/>
                          <w:sz w:val="12"/>
                          <w:szCs w:val="12"/>
                          <w:vertAlign w:val="subscript"/>
                        </w:rPr>
                        <w:t xml:space="preserve">AC </w:t>
                      </w:r>
                      <w:r w:rsidRPr="00E911A4">
                        <w:rPr>
                          <w:b/>
                          <w:sz w:val="12"/>
                          <w:szCs w:val="12"/>
                        </w:rPr>
                        <w:br/>
                        <w:t xml:space="preserve">(recharge d’énergie </w:t>
                      </w:r>
                      <w:r w:rsidRPr="00E911A4">
                        <w:rPr>
                          <w:b/>
                          <w:sz w:val="12"/>
                          <w:szCs w:val="12"/>
                        </w:rPr>
                        <w:br/>
                        <w:t>sur le secteur)</w:t>
                      </w:r>
                    </w:p>
                  </w:txbxContent>
                </v:textbox>
              </v:shape>
            </w:pict>
          </mc:Fallback>
        </mc:AlternateContent>
      </w:r>
      <w:r w:rsidRPr="002C5876">
        <w:rPr>
          <w:noProof/>
          <w:lang w:val="en-GB" w:eastAsia="zh-CN"/>
        </w:rPr>
        <mc:AlternateContent>
          <mc:Choice Requires="wps">
            <w:drawing>
              <wp:anchor distT="0" distB="0" distL="114300" distR="114300" simplePos="0" relativeHeight="251227136" behindDoc="0" locked="0" layoutInCell="1" allowOverlap="1" wp14:anchorId="493B9AFB" wp14:editId="0EB57C5C">
                <wp:simplePos x="0" y="0"/>
                <wp:positionH relativeFrom="column">
                  <wp:posOffset>2092960</wp:posOffset>
                </wp:positionH>
                <wp:positionV relativeFrom="paragraph">
                  <wp:posOffset>2725148</wp:posOffset>
                </wp:positionV>
                <wp:extent cx="280670" cy="201295"/>
                <wp:effectExtent l="0" t="0" r="5080" b="8255"/>
                <wp:wrapNone/>
                <wp:docPr id="138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01295"/>
                        </a:xfrm>
                        <a:prstGeom prst="rect">
                          <a:avLst/>
                        </a:prstGeom>
                        <a:noFill/>
                        <a:ln w="9525">
                          <a:noFill/>
                          <a:miter lim="800000"/>
                          <a:headEnd/>
                          <a:tailEnd/>
                        </a:ln>
                      </wps:spPr>
                      <wps:txbx>
                        <w:txbxContent>
                          <w:p w:rsidR="00D53F39" w:rsidRPr="00893786" w:rsidRDefault="00D53F39" w:rsidP="00E24DB7">
                            <w:pPr>
                              <w:spacing w:line="240" w:lineRule="auto"/>
                              <w:jc w:val="center"/>
                              <w:rPr>
                                <w:b/>
                                <w:sz w:val="12"/>
                                <w:szCs w:val="12"/>
                              </w:rPr>
                            </w:pPr>
                            <w:r w:rsidRPr="00893786">
                              <w:rPr>
                                <w:b/>
                                <w:sz w:val="12"/>
                                <w:szCs w:val="12"/>
                              </w:rPr>
                              <w:t>120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B9AFB" id="_x0000_s1545" type="#_x0000_t202" style="position:absolute;margin-left:164.8pt;margin-top:214.6pt;width:22.1pt;height:15.85pt;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" filled="f" stroked="f">
                <v:textbox inset="0,0,0,0">
                  <w:txbxContent>
                    <w:p w:rsidR="00D53F39" w:rsidRPr="00893786" w:rsidRDefault="00D53F39" w:rsidP="00E24DB7">
                      <w:pPr>
                        <w:spacing w:line="240" w:lineRule="auto"/>
                        <w:jc w:val="center"/>
                        <w:rPr>
                          <w:b/>
                          <w:sz w:val="12"/>
                          <w:szCs w:val="12"/>
                        </w:rPr>
                      </w:pPr>
                      <w:r w:rsidRPr="00893786">
                        <w:rPr>
                          <w:b/>
                          <w:sz w:val="12"/>
                          <w:szCs w:val="12"/>
                        </w:rPr>
                        <w:t>120 min max.</w:t>
                      </w:r>
                    </w:p>
                  </w:txbxContent>
                </v:textbox>
              </v:shape>
            </w:pict>
          </mc:Fallback>
        </mc:AlternateContent>
      </w:r>
      <w:r w:rsidRPr="002C5876">
        <w:rPr>
          <w:noProof/>
          <w:lang w:val="en-GB" w:eastAsia="zh-CN"/>
        </w:rPr>
        <mc:AlternateContent>
          <mc:Choice Requires="wps">
            <w:drawing>
              <wp:anchor distT="0" distB="0" distL="114300" distR="114300" simplePos="0" relativeHeight="251311104" behindDoc="0" locked="0" layoutInCell="1" allowOverlap="1" wp14:anchorId="63707B7C" wp14:editId="6D3E2860">
                <wp:simplePos x="0" y="0"/>
                <wp:positionH relativeFrom="column">
                  <wp:posOffset>1260475</wp:posOffset>
                </wp:positionH>
                <wp:positionV relativeFrom="paragraph">
                  <wp:posOffset>2640693</wp:posOffset>
                </wp:positionV>
                <wp:extent cx="726440" cy="292735"/>
                <wp:effectExtent l="0" t="0" r="0" b="0"/>
                <wp:wrapNone/>
                <wp:docPr id="138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292735"/>
                        </a:xfrm>
                        <a:prstGeom prst="rect">
                          <a:avLst/>
                        </a:prstGeom>
                        <a:solidFill>
                          <a:srgbClr val="FFFFFF"/>
                        </a:solidFill>
                        <a:ln w="9525">
                          <a:noFill/>
                          <a:miter lim="800000"/>
                          <a:headEnd/>
                          <a:tailEnd/>
                        </a:ln>
                      </wps:spPr>
                      <wps:txbx>
                        <w:txbxContent>
                          <w:p w:rsidR="00D53F39" w:rsidRPr="00E911A4" w:rsidRDefault="00D53F39" w:rsidP="00E24DB7">
                            <w:pPr>
                              <w:spacing w:line="240" w:lineRule="auto"/>
                              <w:jc w:val="center"/>
                              <w:rPr>
                                <w:b/>
                                <w:sz w:val="12"/>
                                <w:szCs w:val="12"/>
                              </w:rPr>
                            </w:pPr>
                            <w:r w:rsidRPr="00E911A4">
                              <w:rPr>
                                <w:b/>
                                <w:sz w:val="12"/>
                                <w:szCs w:val="12"/>
                              </w:rPr>
                              <w:t xml:space="preserve">Essai du type 1 </w:t>
                            </w:r>
                            <w:r w:rsidRPr="00E911A4">
                              <w:rPr>
                                <w:b/>
                                <w:sz w:val="12"/>
                                <w:szCs w:val="12"/>
                              </w:rPr>
                              <w:br/>
                              <w:t xml:space="preserve">en mode maintien </w:t>
                            </w:r>
                            <w:r w:rsidRPr="00E911A4">
                              <w:rPr>
                                <w:b/>
                                <w:sz w:val="12"/>
                                <w:szCs w:val="12"/>
                              </w:rPr>
                              <w:br/>
                              <w:t>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07B7C" id="_x0000_s1546" type="#_x0000_t202" style="position:absolute;margin-left:99.25pt;margin-top:207.95pt;width:57.2pt;height:23.05pt;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" stroked="f">
                <v:textbox inset="0,0,0,0">
                  <w:txbxContent>
                    <w:p w:rsidR="00D53F39" w:rsidRPr="00E911A4" w:rsidRDefault="00D53F39" w:rsidP="00E24DB7">
                      <w:pPr>
                        <w:spacing w:line="240" w:lineRule="auto"/>
                        <w:jc w:val="center"/>
                        <w:rPr>
                          <w:b/>
                          <w:sz w:val="12"/>
                          <w:szCs w:val="12"/>
                        </w:rPr>
                      </w:pPr>
                      <w:r w:rsidRPr="00E911A4">
                        <w:rPr>
                          <w:b/>
                          <w:sz w:val="12"/>
                          <w:szCs w:val="12"/>
                        </w:rPr>
                        <w:t xml:space="preserve">Essai du type 1 </w:t>
                      </w:r>
                      <w:r w:rsidRPr="00E911A4">
                        <w:rPr>
                          <w:b/>
                          <w:sz w:val="12"/>
                          <w:szCs w:val="12"/>
                        </w:rPr>
                        <w:br/>
                        <w:t xml:space="preserve">en mode maintien </w:t>
                      </w:r>
                      <w:r w:rsidRPr="00E911A4">
                        <w:rPr>
                          <w:b/>
                          <w:sz w:val="12"/>
                          <w:szCs w:val="12"/>
                        </w:rPr>
                        <w:br/>
                        <w:t>de la charge</w:t>
                      </w:r>
                    </w:p>
                  </w:txbxContent>
                </v:textbox>
              </v:shape>
            </w:pict>
          </mc:Fallback>
        </mc:AlternateContent>
      </w:r>
      <w:r w:rsidRPr="002C5876">
        <w:rPr>
          <w:noProof/>
          <w:lang w:val="en-GB" w:eastAsia="zh-CN"/>
        </w:rPr>
        <mc:AlternateContent>
          <mc:Choice Requires="wps">
            <w:drawing>
              <wp:anchor distT="0" distB="0" distL="114300" distR="114300" simplePos="0" relativeHeight="251254784" behindDoc="0" locked="0" layoutInCell="1" allowOverlap="1" wp14:anchorId="049FCD09" wp14:editId="018983F3">
                <wp:simplePos x="0" y="0"/>
                <wp:positionH relativeFrom="column">
                  <wp:posOffset>372382</wp:posOffset>
                </wp:positionH>
                <wp:positionV relativeFrom="paragraph">
                  <wp:posOffset>2415540</wp:posOffset>
                </wp:positionV>
                <wp:extent cx="629920" cy="198120"/>
                <wp:effectExtent l="0" t="0" r="0" b="0"/>
                <wp:wrapNone/>
                <wp:docPr id="138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8120"/>
                        </a:xfrm>
                        <a:prstGeom prst="rect">
                          <a:avLst/>
                        </a:prstGeom>
                        <a:solidFill>
                          <a:srgbClr val="FFFFFF"/>
                        </a:solidFill>
                        <a:ln w="9525">
                          <a:noFill/>
                          <a:miter lim="800000"/>
                          <a:headEnd/>
                          <a:tailEnd/>
                        </a:ln>
                      </wps:spPr>
                      <wps:txbx>
                        <w:txbxContent>
                          <w:p w:rsidR="00D53F39" w:rsidRPr="00893786" w:rsidRDefault="00D53F39" w:rsidP="00E24DB7">
                            <w:pPr>
                              <w:spacing w:line="240" w:lineRule="auto"/>
                              <w:jc w:val="center"/>
                              <w:rPr>
                                <w:b/>
                                <w:sz w:val="12"/>
                                <w:szCs w:val="12"/>
                              </w:rPr>
                            </w:pPr>
                            <w:r w:rsidRPr="00893786">
                              <w:rPr>
                                <w:b/>
                                <w:sz w:val="12"/>
                                <w:szCs w:val="12"/>
                              </w:rPr>
                              <w:t>Niveau de 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FCD09" id="_x0000_s1547" type="#_x0000_t202" style="position:absolute;margin-left:29.3pt;margin-top:190.2pt;width:49.6pt;height:15.6pt;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" stroked="f">
                <v:textbox inset="0,0,0,0">
                  <w:txbxContent>
                    <w:p w:rsidR="00D53F39" w:rsidRPr="00893786" w:rsidRDefault="00D53F39" w:rsidP="00E24DB7">
                      <w:pPr>
                        <w:spacing w:line="240" w:lineRule="auto"/>
                        <w:jc w:val="center"/>
                        <w:rPr>
                          <w:b/>
                          <w:sz w:val="12"/>
                          <w:szCs w:val="12"/>
                        </w:rPr>
                      </w:pPr>
                      <w:r w:rsidRPr="00893786">
                        <w:rPr>
                          <w:b/>
                          <w:sz w:val="12"/>
                          <w:szCs w:val="12"/>
                        </w:rPr>
                        <w:t>Niveau de charge du SRSEE</w:t>
                      </w:r>
                    </w:p>
                  </w:txbxContent>
                </v:textbox>
              </v:shape>
            </w:pict>
          </mc:Fallback>
        </mc:AlternateContent>
      </w:r>
      <w:r w:rsidRPr="002C5876">
        <w:rPr>
          <w:noProof/>
          <w:lang w:val="en-GB" w:eastAsia="zh-CN"/>
        </w:rPr>
        <mc:AlternateContent>
          <mc:Choice Requires="wps">
            <w:drawing>
              <wp:anchor distT="0" distB="0" distL="114300" distR="114300" simplePos="0" relativeHeight="251193344" behindDoc="0" locked="0" layoutInCell="1" allowOverlap="1" wp14:anchorId="1397C52A" wp14:editId="4073A577">
                <wp:simplePos x="0" y="0"/>
                <wp:positionH relativeFrom="column">
                  <wp:posOffset>2833007</wp:posOffset>
                </wp:positionH>
                <wp:positionV relativeFrom="paragraph">
                  <wp:posOffset>2230755</wp:posOffset>
                </wp:positionV>
                <wp:extent cx="1452880" cy="295275"/>
                <wp:effectExtent l="0" t="0" r="13970" b="9525"/>
                <wp:wrapNone/>
                <wp:docPr id="1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295275"/>
                        </a:xfrm>
                        <a:prstGeom prst="rect">
                          <a:avLst/>
                        </a:prstGeom>
                        <a:noFill/>
                        <a:ln w="9525">
                          <a:noFill/>
                          <a:miter lim="800000"/>
                          <a:headEnd/>
                          <a:tailEnd/>
                        </a:ln>
                      </wps:spPr>
                      <wps:txbx>
                        <w:txbxContent>
                          <w:p w:rsidR="00D53F39" w:rsidRPr="00E911A4" w:rsidRDefault="00D53F39" w:rsidP="00E24DB7">
                            <w:pPr>
                              <w:spacing w:line="240" w:lineRule="auto"/>
                              <w:jc w:val="center"/>
                              <w:rPr>
                                <w:b/>
                                <w:sz w:val="12"/>
                                <w:szCs w:val="12"/>
                              </w:rPr>
                            </w:pPr>
                            <w:r w:rsidRPr="00E911A4">
                              <w:rPr>
                                <w:b/>
                                <w:sz w:val="12"/>
                                <w:szCs w:val="12"/>
                              </w:rPr>
                              <w:t>Temps de stabilisation entre cycles d’essai durant l’essai du type 1 en mode épuisement de la charge 30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7C52A" id="_x0000_s1548" type="#_x0000_t202" style="position:absolute;margin-left:223.05pt;margin-top:175.65pt;width:114.4pt;height:23.25pt;z-index:2511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" filled="f" stroked="f">
                <v:textbox inset="0,0,0,0">
                  <w:txbxContent>
                    <w:p w:rsidR="00D53F39" w:rsidRPr="00E911A4" w:rsidRDefault="00D53F39" w:rsidP="00E24DB7">
                      <w:pPr>
                        <w:spacing w:line="240" w:lineRule="auto"/>
                        <w:jc w:val="center"/>
                        <w:rPr>
                          <w:b/>
                          <w:sz w:val="12"/>
                          <w:szCs w:val="12"/>
                        </w:rPr>
                      </w:pPr>
                      <w:r w:rsidRPr="00E911A4">
                        <w:rPr>
                          <w:b/>
                          <w:sz w:val="12"/>
                          <w:szCs w:val="12"/>
                        </w:rPr>
                        <w:t>Temps de stabilisation entre cycles d’essai durant l’essai du type 1 en mode épuisement de la charge 30 min max.</w:t>
                      </w:r>
                    </w:p>
                  </w:txbxContent>
                </v:textbox>
              </v:shape>
            </w:pict>
          </mc:Fallback>
        </mc:AlternateContent>
      </w:r>
      <w:r w:rsidRPr="002C5876">
        <w:rPr>
          <w:noProof/>
          <w:lang w:val="en-GB" w:eastAsia="zh-CN"/>
        </w:rPr>
        <mc:AlternateContent>
          <mc:Choice Requires="wps">
            <w:drawing>
              <wp:anchor distT="0" distB="0" distL="114300" distR="114300" simplePos="0" relativeHeight="251199488" behindDoc="0" locked="0" layoutInCell="1" allowOverlap="1" wp14:anchorId="2F9F96F8" wp14:editId="186F63E4">
                <wp:simplePos x="0" y="0"/>
                <wp:positionH relativeFrom="column">
                  <wp:posOffset>1358900</wp:posOffset>
                </wp:positionH>
                <wp:positionV relativeFrom="paragraph">
                  <wp:posOffset>450578</wp:posOffset>
                </wp:positionV>
                <wp:extent cx="668655" cy="413385"/>
                <wp:effectExtent l="0" t="0" r="0" b="5715"/>
                <wp:wrapNone/>
                <wp:docPr id="1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413385"/>
                        </a:xfrm>
                        <a:prstGeom prst="rect">
                          <a:avLst/>
                        </a:prstGeom>
                        <a:noFill/>
                        <a:ln w="9525">
                          <a:noFill/>
                          <a:miter lim="800000"/>
                          <a:headEnd/>
                          <a:tailEnd/>
                        </a:ln>
                      </wps:spPr>
                      <wps:txbx>
                        <w:txbxContent>
                          <w:p w:rsidR="00D53F39" w:rsidRPr="00E911A4" w:rsidRDefault="00D53F39" w:rsidP="00E24DB7">
                            <w:pPr>
                              <w:spacing w:line="240" w:lineRule="auto"/>
                              <w:jc w:val="center"/>
                              <w:rPr>
                                <w:b/>
                                <w:sz w:val="12"/>
                                <w:szCs w:val="12"/>
                              </w:rPr>
                            </w:pPr>
                            <w:r w:rsidRPr="00E911A4">
                              <w:rPr>
                                <w:b/>
                                <w:sz w:val="12"/>
                                <w:szCs w:val="12"/>
                              </w:rPr>
                              <w:t xml:space="preserve">Temps </w:t>
                            </w:r>
                            <w:r w:rsidRPr="00E911A4">
                              <w:rPr>
                                <w:b/>
                                <w:sz w:val="12"/>
                                <w:szCs w:val="12"/>
                              </w:rPr>
                              <w:br/>
                              <w:t>de stabilisation</w:t>
                            </w:r>
                            <w:r w:rsidRPr="00E911A4">
                              <w:rPr>
                                <w:b/>
                                <w:sz w:val="12"/>
                                <w:szCs w:val="12"/>
                              </w:rPr>
                              <w:br/>
                              <w:t>+</w:t>
                            </w:r>
                            <w:r w:rsidRPr="00E911A4">
                              <w:rPr>
                                <w:b/>
                                <w:sz w:val="12"/>
                                <w:szCs w:val="12"/>
                              </w:rPr>
                              <w:br/>
                              <w:t>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F96F8" id="_x0000_s1549" type="#_x0000_t202" style="position:absolute;margin-left:107pt;margin-top:35.5pt;width:52.65pt;height:32.55pt;z-index:2511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" filled="f" stroked="f">
                <v:textbox inset="0,0,0,0">
                  <w:txbxContent>
                    <w:p w:rsidR="00D53F39" w:rsidRPr="00E911A4" w:rsidRDefault="00D53F39" w:rsidP="00E24DB7">
                      <w:pPr>
                        <w:spacing w:line="240" w:lineRule="auto"/>
                        <w:jc w:val="center"/>
                        <w:rPr>
                          <w:b/>
                          <w:sz w:val="12"/>
                          <w:szCs w:val="12"/>
                        </w:rPr>
                      </w:pPr>
                      <w:r w:rsidRPr="00E911A4">
                        <w:rPr>
                          <w:b/>
                          <w:sz w:val="12"/>
                          <w:szCs w:val="12"/>
                        </w:rPr>
                        <w:t xml:space="preserve">Temps </w:t>
                      </w:r>
                      <w:r w:rsidRPr="00E911A4">
                        <w:rPr>
                          <w:b/>
                          <w:sz w:val="12"/>
                          <w:szCs w:val="12"/>
                        </w:rPr>
                        <w:br/>
                        <w:t>de stabilisation</w:t>
                      </w:r>
                      <w:r w:rsidRPr="00E911A4">
                        <w:rPr>
                          <w:b/>
                          <w:sz w:val="12"/>
                          <w:szCs w:val="12"/>
                        </w:rPr>
                        <w:br/>
                        <w:t>+</w:t>
                      </w:r>
                      <w:r w:rsidRPr="00E911A4">
                        <w:rPr>
                          <w:b/>
                          <w:sz w:val="12"/>
                          <w:szCs w:val="12"/>
                        </w:rPr>
                        <w:br/>
                        <w:t>charge du SRSEE</w:t>
                      </w:r>
                    </w:p>
                  </w:txbxContent>
                </v:textbox>
              </v:shape>
            </w:pict>
          </mc:Fallback>
        </mc:AlternateContent>
      </w:r>
      <w:r w:rsidRPr="002C5876">
        <w:rPr>
          <w:noProof/>
          <w:lang w:val="en-GB" w:eastAsia="zh-CN"/>
        </w:rPr>
        <mc:AlternateContent>
          <mc:Choice Requires="wps">
            <w:drawing>
              <wp:anchor distT="0" distB="0" distL="114300" distR="114300" simplePos="0" relativeHeight="251190272" behindDoc="0" locked="0" layoutInCell="1" allowOverlap="1" wp14:anchorId="0457D35C" wp14:editId="3854265F">
                <wp:simplePos x="0" y="0"/>
                <wp:positionH relativeFrom="column">
                  <wp:posOffset>25400</wp:posOffset>
                </wp:positionH>
                <wp:positionV relativeFrom="paragraph">
                  <wp:posOffset>711835</wp:posOffset>
                </wp:positionV>
                <wp:extent cx="553085" cy="312420"/>
                <wp:effectExtent l="0" t="0" r="0" b="0"/>
                <wp:wrapNone/>
                <wp:docPr id="1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312420"/>
                        </a:xfrm>
                        <a:prstGeom prst="rect">
                          <a:avLst/>
                        </a:prstGeom>
                        <a:solidFill>
                          <a:srgbClr val="FFFFFF"/>
                        </a:solidFill>
                        <a:ln w="9525">
                          <a:noFill/>
                          <a:miter lim="800000"/>
                          <a:headEnd/>
                          <a:tailEnd/>
                        </a:ln>
                      </wps:spPr>
                      <wps:txbx>
                        <w:txbxContent>
                          <w:p w:rsidR="00D53F39" w:rsidRPr="00387424" w:rsidRDefault="00D53F39" w:rsidP="00E24DB7">
                            <w:pPr>
                              <w:spacing w:line="240" w:lineRule="auto"/>
                              <w:jc w:val="center"/>
                              <w:rPr>
                                <w:sz w:val="12"/>
                                <w:szCs w:val="12"/>
                              </w:rPr>
                            </w:pPr>
                            <w:r w:rsidRPr="00387424">
                              <w:rPr>
                                <w:sz w:val="12"/>
                                <w:szCs w:val="12"/>
                              </w:rPr>
                              <w:t>SRSEE 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7D35C" id="_x0000_s1550" type="#_x0000_t202" style="position:absolute;margin-left:2pt;margin-top:56.05pt;width:43.55pt;height:24.6pt;z-index:2511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" stroked="f">
                <v:textbox inset="0,0,0,0">
                  <w:txbxContent>
                    <w:p w:rsidR="00D53F39" w:rsidRPr="00387424" w:rsidRDefault="00D53F39" w:rsidP="00E24DB7">
                      <w:pPr>
                        <w:spacing w:line="240" w:lineRule="auto"/>
                        <w:jc w:val="center"/>
                        <w:rPr>
                          <w:sz w:val="12"/>
                          <w:szCs w:val="12"/>
                        </w:rPr>
                      </w:pPr>
                      <w:r w:rsidRPr="00387424">
                        <w:rPr>
                          <w:sz w:val="12"/>
                          <w:szCs w:val="12"/>
                        </w:rPr>
                        <w:t>SRSEE complétement chargé</w:t>
                      </w:r>
                    </w:p>
                  </w:txbxContent>
                </v:textbox>
              </v:shape>
            </w:pict>
          </mc:Fallback>
        </mc:AlternateContent>
      </w:r>
      <w:r w:rsidRPr="002C5876">
        <w:rPr>
          <w:noProof/>
          <w:lang w:val="en-GB" w:eastAsia="zh-CN"/>
        </w:rPr>
        <mc:AlternateContent>
          <mc:Choice Requires="wps">
            <w:drawing>
              <wp:anchor distT="0" distB="0" distL="114300" distR="114300" simplePos="0" relativeHeight="251202560" behindDoc="0" locked="0" layoutInCell="1" allowOverlap="1" wp14:anchorId="0F50DBF6" wp14:editId="2C1330DA">
                <wp:simplePos x="0" y="0"/>
                <wp:positionH relativeFrom="column">
                  <wp:posOffset>1358900</wp:posOffset>
                </wp:positionH>
                <wp:positionV relativeFrom="paragraph">
                  <wp:posOffset>2078355</wp:posOffset>
                </wp:positionV>
                <wp:extent cx="629920" cy="135890"/>
                <wp:effectExtent l="0" t="0" r="0" b="0"/>
                <wp:wrapNone/>
                <wp:docPr id="1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35890"/>
                        </a:xfrm>
                        <a:prstGeom prst="rect">
                          <a:avLst/>
                        </a:prstGeom>
                        <a:solidFill>
                          <a:srgbClr val="FFFFFF"/>
                        </a:solidFill>
                        <a:ln w="9525">
                          <a:noFill/>
                          <a:miter lim="800000"/>
                          <a:headEnd/>
                          <a:tailEnd/>
                        </a:ln>
                      </wps:spPr>
                      <wps:txbx>
                        <w:txbxContent>
                          <w:p w:rsidR="00D53F39" w:rsidRPr="00CB7EE6" w:rsidRDefault="00D53F39" w:rsidP="00E24DB7">
                            <w:pPr>
                              <w:spacing w:line="240" w:lineRule="auto"/>
                              <w:jc w:val="center"/>
                              <w:rPr>
                                <w:b/>
                                <w:sz w:val="12"/>
                                <w:szCs w:val="12"/>
                              </w:rPr>
                            </w:pPr>
                            <w:r w:rsidRPr="00CB7EE6">
                              <w:rPr>
                                <w:b/>
                                <w:sz w:val="12"/>
                                <w:szCs w:val="12"/>
                              </w:rPr>
                              <w:t xml:space="preserve">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0DBF6" id="_x0000_s1551" type="#_x0000_t202" style="position:absolute;margin-left:107pt;margin-top:163.65pt;width:49.6pt;height:10.7pt;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" stroked="f">
                <v:textbox inset="0,0,0,0">
                  <w:txbxContent>
                    <w:p w:rsidR="00D53F39" w:rsidRPr="00CB7EE6" w:rsidRDefault="00D53F39" w:rsidP="00E24DB7">
                      <w:pPr>
                        <w:spacing w:line="240" w:lineRule="auto"/>
                        <w:jc w:val="center"/>
                        <w:rPr>
                          <w:b/>
                          <w:sz w:val="12"/>
                          <w:szCs w:val="12"/>
                        </w:rPr>
                      </w:pPr>
                      <w:r w:rsidRPr="00CB7EE6">
                        <w:rPr>
                          <w:b/>
                          <w:sz w:val="12"/>
                          <w:szCs w:val="12"/>
                        </w:rPr>
                        <w:t xml:space="preserve">Charge </w:t>
                      </w:r>
                    </w:p>
                  </w:txbxContent>
                </v:textbox>
              </v:shape>
            </w:pict>
          </mc:Fallback>
        </mc:AlternateContent>
      </w:r>
      <w:r w:rsidRPr="002C5876">
        <w:rPr>
          <w:noProof/>
          <w:lang w:val="en-GB" w:eastAsia="zh-CN"/>
        </w:rPr>
        <mc:AlternateContent>
          <mc:Choice Requires="wps">
            <w:drawing>
              <wp:anchor distT="0" distB="0" distL="114300" distR="114300" simplePos="0" relativeHeight="251187200" behindDoc="0" locked="0" layoutInCell="1" allowOverlap="1" wp14:anchorId="7745F5C8" wp14:editId="51F2EAA6">
                <wp:simplePos x="0" y="0"/>
                <wp:positionH relativeFrom="column">
                  <wp:posOffset>340995</wp:posOffset>
                </wp:positionH>
                <wp:positionV relativeFrom="paragraph">
                  <wp:posOffset>146050</wp:posOffset>
                </wp:positionV>
                <wp:extent cx="629920" cy="298450"/>
                <wp:effectExtent l="0" t="0" r="0" b="6350"/>
                <wp:wrapNone/>
                <wp:docPr id="1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298450"/>
                        </a:xfrm>
                        <a:prstGeom prst="rect">
                          <a:avLst/>
                        </a:prstGeom>
                        <a:solidFill>
                          <a:srgbClr val="FFFFFF"/>
                        </a:solidFill>
                        <a:ln w="9525">
                          <a:noFill/>
                          <a:miter lim="800000"/>
                          <a:headEnd/>
                          <a:tailEnd/>
                        </a:ln>
                      </wps:spPr>
                      <wps:txbx>
                        <w:txbxContent>
                          <w:p w:rsidR="00D53F39" w:rsidRPr="00CB7EE6" w:rsidRDefault="00D53F39" w:rsidP="00E24DB7">
                            <w:pPr>
                              <w:spacing w:line="240" w:lineRule="auto"/>
                              <w:jc w:val="center"/>
                              <w:rPr>
                                <w:b/>
                                <w:sz w:val="12"/>
                                <w:szCs w:val="12"/>
                              </w:rPr>
                            </w:pPr>
                            <w:r w:rsidRPr="00CB7EE6">
                              <w:rPr>
                                <w:b/>
                                <w:sz w:val="12"/>
                                <w:szCs w:val="12"/>
                              </w:rPr>
                              <w:t xml:space="preserve">Niveau </w:t>
                            </w:r>
                            <w:r w:rsidRPr="00CB7EE6">
                              <w:rPr>
                                <w:b/>
                                <w:sz w:val="12"/>
                                <w:szCs w:val="12"/>
                              </w:rPr>
                              <w:br/>
                              <w:t xml:space="preserve">de charge </w:t>
                            </w:r>
                            <w:r w:rsidRPr="00CB7EE6">
                              <w:rPr>
                                <w:b/>
                                <w:sz w:val="12"/>
                                <w:szCs w:val="12"/>
                              </w:rPr>
                              <w:br/>
                              <w:t>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5F5C8" id="_x0000_s1552" type="#_x0000_t202" style="position:absolute;margin-left:26.85pt;margin-top:11.5pt;width:49.6pt;height:23.5pt;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" stroked="f">
                <v:textbox inset="0,0,0,0">
                  <w:txbxContent>
                    <w:p w:rsidR="00D53F39" w:rsidRPr="00CB7EE6" w:rsidRDefault="00D53F39" w:rsidP="00E24DB7">
                      <w:pPr>
                        <w:spacing w:line="240" w:lineRule="auto"/>
                        <w:jc w:val="center"/>
                        <w:rPr>
                          <w:b/>
                          <w:sz w:val="12"/>
                          <w:szCs w:val="12"/>
                        </w:rPr>
                      </w:pPr>
                      <w:r w:rsidRPr="00CB7EE6">
                        <w:rPr>
                          <w:b/>
                          <w:sz w:val="12"/>
                          <w:szCs w:val="12"/>
                        </w:rPr>
                        <w:t xml:space="preserve">Niveau </w:t>
                      </w:r>
                      <w:r w:rsidRPr="00CB7EE6">
                        <w:rPr>
                          <w:b/>
                          <w:sz w:val="12"/>
                          <w:szCs w:val="12"/>
                        </w:rPr>
                        <w:br/>
                        <w:t xml:space="preserve">de charge </w:t>
                      </w:r>
                      <w:r w:rsidRPr="00CB7EE6">
                        <w:rPr>
                          <w:b/>
                          <w:sz w:val="12"/>
                          <w:szCs w:val="12"/>
                        </w:rPr>
                        <w:br/>
                        <w:t>du SRSEE</w:t>
                      </w:r>
                    </w:p>
                  </w:txbxContent>
                </v:textbox>
              </v:shape>
            </w:pict>
          </mc:Fallback>
        </mc:AlternateContent>
      </w:r>
      <w:r w:rsidRPr="002C5876">
        <w:rPr>
          <w:noProof/>
          <w:lang w:val="en-GB" w:eastAsia="zh-CN"/>
        </w:rPr>
        <mc:AlternateContent>
          <mc:Choice Requires="wps">
            <w:drawing>
              <wp:anchor distT="0" distB="0" distL="114300" distR="114300" simplePos="0" relativeHeight="251224064" behindDoc="0" locked="0" layoutInCell="1" allowOverlap="1" wp14:anchorId="6F20B8D8" wp14:editId="55602ECD">
                <wp:simplePos x="0" y="0"/>
                <wp:positionH relativeFrom="column">
                  <wp:posOffset>2066290</wp:posOffset>
                </wp:positionH>
                <wp:positionV relativeFrom="paragraph">
                  <wp:posOffset>630555</wp:posOffset>
                </wp:positionV>
                <wp:extent cx="2242185" cy="114300"/>
                <wp:effectExtent l="0" t="0" r="5715" b="0"/>
                <wp:wrapNone/>
                <wp:docPr id="138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14300"/>
                        </a:xfrm>
                        <a:prstGeom prst="rect">
                          <a:avLst/>
                        </a:prstGeom>
                        <a:noFill/>
                        <a:ln w="9525">
                          <a:noFill/>
                          <a:miter lim="800000"/>
                          <a:headEnd/>
                          <a:tailEnd/>
                        </a:ln>
                      </wps:spPr>
                      <wps:txbx>
                        <w:txbxContent>
                          <w:p w:rsidR="00D53F39" w:rsidRPr="00E911A4" w:rsidRDefault="00D53F39" w:rsidP="00E24DB7">
                            <w:pPr>
                              <w:spacing w:line="240" w:lineRule="auto"/>
                              <w:rPr>
                                <w:b/>
                                <w:sz w:val="12"/>
                                <w:szCs w:val="12"/>
                              </w:rPr>
                            </w:pPr>
                            <w:r w:rsidRPr="00E911A4">
                              <w:rPr>
                                <w:b/>
                                <w:sz w:val="12"/>
                                <w:szCs w:val="12"/>
                              </w:rPr>
                              <w:t>Autonomie en mode cycle d’épuisement de la charge R</w:t>
                            </w:r>
                            <w:r w:rsidRPr="00E911A4">
                              <w:rPr>
                                <w:b/>
                                <w:sz w:val="12"/>
                                <w:szCs w:val="12"/>
                                <w:vertAlign w:val="subscript"/>
                              </w:rPr>
                              <w:t>CDC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0B8D8" id="_x0000_s1553" type="#_x0000_t202" style="position:absolute;margin-left:162.7pt;margin-top:49.65pt;width:176.55pt;height:9pt;z-index:2512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" filled="f" stroked="f">
                <v:textbox inset="0,0,0,0">
                  <w:txbxContent>
                    <w:p w:rsidR="00D53F39" w:rsidRPr="00E911A4" w:rsidRDefault="00D53F39" w:rsidP="00E24DB7">
                      <w:pPr>
                        <w:spacing w:line="240" w:lineRule="auto"/>
                        <w:rPr>
                          <w:b/>
                          <w:sz w:val="12"/>
                          <w:szCs w:val="12"/>
                        </w:rPr>
                      </w:pPr>
                      <w:r w:rsidRPr="00E911A4">
                        <w:rPr>
                          <w:b/>
                          <w:sz w:val="12"/>
                          <w:szCs w:val="12"/>
                        </w:rPr>
                        <w:t>Autonomie en mode cycle d’épuisement de la charge R</w:t>
                      </w:r>
                      <w:r w:rsidRPr="00E911A4">
                        <w:rPr>
                          <w:b/>
                          <w:sz w:val="12"/>
                          <w:szCs w:val="12"/>
                          <w:vertAlign w:val="subscript"/>
                        </w:rPr>
                        <w:t>CDC</w:t>
                      </w:r>
                    </w:p>
                  </w:txbxContent>
                </v:textbox>
              </v:shape>
            </w:pict>
          </mc:Fallback>
        </mc:AlternateContent>
      </w:r>
      <w:r w:rsidRPr="002C5876">
        <w:rPr>
          <w:noProof/>
          <w:lang w:val="en-GB" w:eastAsia="zh-CN"/>
        </w:rPr>
        <mc:AlternateContent>
          <mc:Choice Requires="wps">
            <w:drawing>
              <wp:anchor distT="0" distB="0" distL="114300" distR="114300" simplePos="0" relativeHeight="251220992" behindDoc="0" locked="0" layoutInCell="1" allowOverlap="1" wp14:anchorId="65F063E2" wp14:editId="5234C724">
                <wp:simplePos x="0" y="0"/>
                <wp:positionH relativeFrom="column">
                  <wp:posOffset>2066290</wp:posOffset>
                </wp:positionH>
                <wp:positionV relativeFrom="paragraph">
                  <wp:posOffset>777240</wp:posOffset>
                </wp:positionV>
                <wp:extent cx="2192655" cy="97155"/>
                <wp:effectExtent l="0" t="0" r="0" b="0"/>
                <wp:wrapNone/>
                <wp:docPr id="138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55" cy="97155"/>
                        </a:xfrm>
                        <a:prstGeom prst="rect">
                          <a:avLst/>
                        </a:prstGeom>
                        <a:noFill/>
                        <a:ln w="9525">
                          <a:noFill/>
                          <a:miter lim="800000"/>
                          <a:headEnd/>
                          <a:tailEnd/>
                        </a:ln>
                      </wps:spPr>
                      <wps:txbx>
                        <w:txbxContent>
                          <w:p w:rsidR="00D53F39" w:rsidRPr="00E911A4" w:rsidRDefault="00D53F39" w:rsidP="00E24DB7">
                            <w:pPr>
                              <w:spacing w:line="240" w:lineRule="auto"/>
                              <w:rPr>
                                <w:b/>
                                <w:sz w:val="12"/>
                                <w:szCs w:val="12"/>
                              </w:rPr>
                            </w:pPr>
                            <w:r w:rsidRPr="00E911A4">
                              <w:rPr>
                                <w:b/>
                                <w:sz w:val="12"/>
                                <w:szCs w:val="12"/>
                              </w:rPr>
                              <w:t>Autonomie réelle en mode épuisement de la charge R</w:t>
                            </w:r>
                            <w:r w:rsidRPr="00E911A4">
                              <w:rPr>
                                <w:b/>
                                <w:sz w:val="12"/>
                                <w:szCs w:val="12"/>
                                <w:vertAlign w:val="subscript"/>
                              </w:rPr>
                              <w:t>CDA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063E2" id="_x0000_s1554" type="#_x0000_t202" style="position:absolute;margin-left:162.7pt;margin-top:61.2pt;width:172.65pt;height:7.65pt;z-index:2512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" filled="f" stroked="f">
                <v:textbox inset="0,0,0,0">
                  <w:txbxContent>
                    <w:p w:rsidR="00D53F39" w:rsidRPr="00E911A4" w:rsidRDefault="00D53F39" w:rsidP="00E24DB7">
                      <w:pPr>
                        <w:spacing w:line="240" w:lineRule="auto"/>
                        <w:rPr>
                          <w:b/>
                          <w:sz w:val="12"/>
                          <w:szCs w:val="12"/>
                        </w:rPr>
                      </w:pPr>
                      <w:r w:rsidRPr="00E911A4">
                        <w:rPr>
                          <w:b/>
                          <w:sz w:val="12"/>
                          <w:szCs w:val="12"/>
                        </w:rPr>
                        <w:t>Autonomie réelle en mode épuisement de la charge R</w:t>
                      </w:r>
                      <w:r w:rsidRPr="00E911A4">
                        <w:rPr>
                          <w:b/>
                          <w:sz w:val="12"/>
                          <w:szCs w:val="12"/>
                          <w:vertAlign w:val="subscript"/>
                        </w:rPr>
                        <w:t>CDA</w:t>
                      </w:r>
                    </w:p>
                  </w:txbxContent>
                </v:textbox>
              </v:shape>
            </w:pict>
          </mc:Fallback>
        </mc:AlternateContent>
      </w:r>
      <w:r w:rsidRPr="002C5876">
        <w:rPr>
          <w:noProof/>
          <w:lang w:val="en-GB" w:eastAsia="zh-CN"/>
        </w:rPr>
        <mc:AlternateContent>
          <mc:Choice Requires="wps">
            <w:drawing>
              <wp:anchor distT="0" distB="0" distL="114300" distR="114300" simplePos="0" relativeHeight="251214848" behindDoc="0" locked="0" layoutInCell="1" allowOverlap="1" wp14:anchorId="4DC89B73" wp14:editId="24006FC8">
                <wp:simplePos x="0" y="0"/>
                <wp:positionH relativeFrom="column">
                  <wp:posOffset>4310380</wp:posOffset>
                </wp:positionH>
                <wp:positionV relativeFrom="paragraph">
                  <wp:posOffset>1819003</wp:posOffset>
                </wp:positionV>
                <wp:extent cx="711200" cy="232410"/>
                <wp:effectExtent l="0" t="0" r="12700" b="0"/>
                <wp:wrapNone/>
                <wp:docPr id="1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32410"/>
                        </a:xfrm>
                        <a:prstGeom prst="rect">
                          <a:avLst/>
                        </a:prstGeom>
                        <a:noFill/>
                        <a:ln w="9525">
                          <a:noFill/>
                          <a:miter lim="800000"/>
                          <a:headEnd/>
                          <a:tailEnd/>
                        </a:ln>
                      </wps:spPr>
                      <wps:txbx>
                        <w:txbxContent>
                          <w:p w:rsidR="00D53F39" w:rsidRPr="00E911A4" w:rsidRDefault="00D53F39" w:rsidP="00E24DB7">
                            <w:pPr>
                              <w:spacing w:line="100" w:lineRule="exact"/>
                              <w:jc w:val="center"/>
                              <w:rPr>
                                <w:rFonts w:ascii="Times New Roman Gras" w:hAnsi="Times New Roman Gras"/>
                                <w:b/>
                                <w:sz w:val="10"/>
                                <w:szCs w:val="10"/>
                              </w:rPr>
                            </w:pPr>
                            <w:r w:rsidRPr="00E911A4">
                              <w:rPr>
                                <w:b/>
                                <w:sz w:val="10"/>
                                <w:szCs w:val="10"/>
                              </w:rPr>
                              <w:t xml:space="preserve">Cycle d’essai </w:t>
                            </w:r>
                            <w:r w:rsidRPr="00E911A4">
                              <w:rPr>
                                <w:b/>
                                <w:sz w:val="10"/>
                                <w:szCs w:val="10"/>
                              </w:rPr>
                              <w:br/>
                            </w:r>
                            <w:r w:rsidRPr="00E911A4">
                              <w:rPr>
                                <w:rFonts w:ascii="Times New Roman Gras" w:hAnsi="Times New Roman Gras"/>
                                <w:b/>
                                <w:sz w:val="10"/>
                                <w:szCs w:val="10"/>
                              </w:rPr>
                              <w:t xml:space="preserve">applicable n+1 </w:t>
                            </w:r>
                            <w:r w:rsidRPr="00E911A4">
                              <w:rPr>
                                <w:rFonts w:ascii="Times New Roman Gras" w:hAnsi="Times New Roman Gras"/>
                                <w:b/>
                                <w:sz w:val="10"/>
                                <w:szCs w:val="10"/>
                              </w:rPr>
                              <w:br/>
                              <w:t>(cycle de confirmation)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89B73" id="_x0000_s1555" type="#_x0000_t202" style="position:absolute;margin-left:339.4pt;margin-top:143.25pt;width:56pt;height:18.3pt;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" filled="f" stroked="f">
                <v:textbox inset="0,0,0,0">
                  <w:txbxContent>
                    <w:p w:rsidR="00D53F39" w:rsidRPr="00E911A4" w:rsidRDefault="00D53F39" w:rsidP="00E24DB7">
                      <w:pPr>
                        <w:spacing w:line="100" w:lineRule="exact"/>
                        <w:jc w:val="center"/>
                        <w:rPr>
                          <w:rFonts w:ascii="Times New Roman Gras" w:hAnsi="Times New Roman Gras"/>
                          <w:b/>
                          <w:sz w:val="10"/>
                          <w:szCs w:val="10"/>
                        </w:rPr>
                      </w:pPr>
                      <w:r w:rsidRPr="00E911A4">
                        <w:rPr>
                          <w:b/>
                          <w:sz w:val="10"/>
                          <w:szCs w:val="10"/>
                        </w:rPr>
                        <w:t xml:space="preserve">Cycle d’essai </w:t>
                      </w:r>
                      <w:r w:rsidRPr="00E911A4">
                        <w:rPr>
                          <w:b/>
                          <w:sz w:val="10"/>
                          <w:szCs w:val="10"/>
                        </w:rPr>
                        <w:br/>
                      </w:r>
                      <w:r w:rsidRPr="00E911A4">
                        <w:rPr>
                          <w:rFonts w:ascii="Times New Roman Gras" w:hAnsi="Times New Roman Gras"/>
                          <w:b/>
                          <w:sz w:val="10"/>
                          <w:szCs w:val="10"/>
                        </w:rPr>
                        <w:t xml:space="preserve">applicable n+1 </w:t>
                      </w:r>
                      <w:r w:rsidRPr="00E911A4">
                        <w:rPr>
                          <w:rFonts w:ascii="Times New Roman Gras" w:hAnsi="Times New Roman Gras"/>
                          <w:b/>
                          <w:sz w:val="10"/>
                          <w:szCs w:val="10"/>
                        </w:rPr>
                        <w:br/>
                        <w:t>(cycle de confirmation)</w:t>
                      </w:r>
                    </w:p>
                  </w:txbxContent>
                </v:textbox>
              </v:shape>
            </w:pict>
          </mc:Fallback>
        </mc:AlternateContent>
      </w:r>
      <w:r w:rsidRPr="002C5876">
        <w:rPr>
          <w:noProof/>
          <w:lang w:val="en-GB" w:eastAsia="zh-CN"/>
        </w:rPr>
        <mc:AlternateContent>
          <mc:Choice Requires="wps">
            <w:drawing>
              <wp:anchor distT="0" distB="0" distL="114300" distR="114300" simplePos="0" relativeHeight="251211776" behindDoc="0" locked="0" layoutInCell="1" allowOverlap="1" wp14:anchorId="3FCD1FCD" wp14:editId="3B49D4A3">
                <wp:simplePos x="0" y="0"/>
                <wp:positionH relativeFrom="column">
                  <wp:posOffset>3579495</wp:posOffset>
                </wp:positionH>
                <wp:positionV relativeFrom="paragraph">
                  <wp:posOffset>1816372</wp:posOffset>
                </wp:positionV>
                <wp:extent cx="680085" cy="212271"/>
                <wp:effectExtent l="0" t="0" r="5715" b="0"/>
                <wp:wrapNone/>
                <wp:docPr id="1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212271"/>
                        </a:xfrm>
                        <a:prstGeom prst="rect">
                          <a:avLst/>
                        </a:prstGeom>
                        <a:noFill/>
                        <a:ln w="9525">
                          <a:noFill/>
                          <a:miter lim="800000"/>
                          <a:headEnd/>
                          <a:tailEnd/>
                        </a:ln>
                      </wps:spPr>
                      <wps:txbx>
                        <w:txbxContent>
                          <w:p w:rsidR="00D53F39" w:rsidRPr="00E911A4" w:rsidRDefault="00D53F39" w:rsidP="00E24DB7">
                            <w:pPr>
                              <w:spacing w:line="100" w:lineRule="exact"/>
                              <w:jc w:val="center"/>
                              <w:rPr>
                                <w:b/>
                                <w:sz w:val="10"/>
                                <w:szCs w:val="10"/>
                              </w:rPr>
                            </w:pPr>
                            <w:r w:rsidRPr="00E911A4">
                              <w:rPr>
                                <w:b/>
                                <w:sz w:val="10"/>
                                <w:szCs w:val="10"/>
                              </w:rPr>
                              <w:t xml:space="preserve">Cycle d’essai </w:t>
                            </w:r>
                            <w:r w:rsidRPr="00E911A4">
                              <w:rPr>
                                <w:b/>
                                <w:sz w:val="10"/>
                                <w:szCs w:val="10"/>
                              </w:rPr>
                              <w:br/>
                              <w:t xml:space="preserve">applicable n </w:t>
                            </w:r>
                            <w:r w:rsidRPr="00E911A4">
                              <w:rPr>
                                <w:b/>
                                <w:sz w:val="10"/>
                                <w:szCs w:val="10"/>
                              </w:rPr>
                              <w:br/>
                              <w:t>(cycle de transition)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D1FCD" id="_x0000_s1556" type="#_x0000_t202" style="position:absolute;margin-left:281.85pt;margin-top:143pt;width:53.55pt;height:16.7pt;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" filled="f" stroked="f">
                <v:textbox inset="0,0,0,0">
                  <w:txbxContent>
                    <w:p w:rsidR="00D53F39" w:rsidRPr="00E911A4" w:rsidRDefault="00D53F39" w:rsidP="00E24DB7">
                      <w:pPr>
                        <w:spacing w:line="100" w:lineRule="exact"/>
                        <w:jc w:val="center"/>
                        <w:rPr>
                          <w:b/>
                          <w:sz w:val="10"/>
                          <w:szCs w:val="10"/>
                        </w:rPr>
                      </w:pPr>
                      <w:r w:rsidRPr="00E911A4">
                        <w:rPr>
                          <w:b/>
                          <w:sz w:val="10"/>
                          <w:szCs w:val="10"/>
                        </w:rPr>
                        <w:t xml:space="preserve">Cycle d’essai </w:t>
                      </w:r>
                      <w:r w:rsidRPr="00E911A4">
                        <w:rPr>
                          <w:b/>
                          <w:sz w:val="10"/>
                          <w:szCs w:val="10"/>
                        </w:rPr>
                        <w:br/>
                        <w:t xml:space="preserve">applicable n </w:t>
                      </w:r>
                      <w:r w:rsidRPr="00E911A4">
                        <w:rPr>
                          <w:b/>
                          <w:sz w:val="10"/>
                          <w:szCs w:val="10"/>
                        </w:rPr>
                        <w:br/>
                        <w:t>(cycle de transition)</w:t>
                      </w:r>
                    </w:p>
                  </w:txbxContent>
                </v:textbox>
              </v:shape>
            </w:pict>
          </mc:Fallback>
        </mc:AlternateContent>
      </w:r>
      <w:r w:rsidRPr="002C5876">
        <w:rPr>
          <w:noProof/>
          <w:lang w:val="en-GB" w:eastAsia="zh-CN"/>
        </w:rPr>
        <mc:AlternateContent>
          <mc:Choice Requires="wps">
            <w:drawing>
              <wp:anchor distT="0" distB="0" distL="114300" distR="114300" simplePos="0" relativeHeight="251208704" behindDoc="0" locked="0" layoutInCell="1" allowOverlap="1" wp14:anchorId="1A6F50E7" wp14:editId="3B7F5FAC">
                <wp:simplePos x="0" y="0"/>
                <wp:positionH relativeFrom="column">
                  <wp:posOffset>2836545</wp:posOffset>
                </wp:positionH>
                <wp:positionV relativeFrom="paragraph">
                  <wp:posOffset>1825262</wp:posOffset>
                </wp:positionV>
                <wp:extent cx="680085" cy="189865"/>
                <wp:effectExtent l="0" t="0" r="5715" b="635"/>
                <wp:wrapNone/>
                <wp:docPr id="1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89865"/>
                        </a:xfrm>
                        <a:prstGeom prst="rect">
                          <a:avLst/>
                        </a:prstGeom>
                        <a:noFill/>
                        <a:ln w="9525">
                          <a:noFill/>
                          <a:miter lim="800000"/>
                          <a:headEnd/>
                          <a:tailEnd/>
                        </a:ln>
                      </wps:spPr>
                      <wps:txbx>
                        <w:txbxContent>
                          <w:p w:rsidR="00D53F39" w:rsidRPr="00B438FA" w:rsidRDefault="00D53F39" w:rsidP="00E24DB7">
                            <w:pPr>
                              <w:spacing w:line="240" w:lineRule="auto"/>
                              <w:jc w:val="center"/>
                              <w:rPr>
                                <w:b/>
                                <w:sz w:val="10"/>
                                <w:szCs w:val="10"/>
                              </w:rPr>
                            </w:pPr>
                            <w:r w:rsidRPr="00B438FA">
                              <w:rPr>
                                <w:b/>
                                <w:sz w:val="10"/>
                                <w:szCs w:val="10"/>
                              </w:rPr>
                              <w:t xml:space="preserve">Cycle d’essai </w:t>
                            </w:r>
                            <w:r w:rsidRPr="00B438FA">
                              <w:rPr>
                                <w:b/>
                                <w:sz w:val="10"/>
                                <w:szCs w:val="10"/>
                              </w:rPr>
                              <w:br/>
                              <w:t>applicable n-1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F50E7" id="_x0000_s1557" type="#_x0000_t202" style="position:absolute;margin-left:223.35pt;margin-top:143.7pt;width:53.55pt;height:14.95pt;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" filled="f" stroked="f">
                <v:textbox inset="0,0,0,0">
                  <w:txbxContent>
                    <w:p w:rsidR="00D53F39" w:rsidRPr="00B438FA" w:rsidRDefault="00D53F39" w:rsidP="00E24DB7">
                      <w:pPr>
                        <w:spacing w:line="240" w:lineRule="auto"/>
                        <w:jc w:val="center"/>
                        <w:rPr>
                          <w:b/>
                          <w:sz w:val="10"/>
                          <w:szCs w:val="10"/>
                        </w:rPr>
                      </w:pPr>
                      <w:r w:rsidRPr="00B438FA">
                        <w:rPr>
                          <w:b/>
                          <w:sz w:val="10"/>
                          <w:szCs w:val="10"/>
                        </w:rPr>
                        <w:t xml:space="preserve">Cycle d’essai </w:t>
                      </w:r>
                      <w:r w:rsidRPr="00B438FA">
                        <w:rPr>
                          <w:b/>
                          <w:sz w:val="10"/>
                          <w:szCs w:val="10"/>
                        </w:rPr>
                        <w:br/>
                        <w:t>applicable n-1</w:t>
                      </w:r>
                    </w:p>
                  </w:txbxContent>
                </v:textbox>
              </v:shape>
            </w:pict>
          </mc:Fallback>
        </mc:AlternateContent>
      </w:r>
      <w:r w:rsidRPr="002C5876">
        <w:rPr>
          <w:noProof/>
          <w:lang w:val="en-GB" w:eastAsia="zh-CN"/>
        </w:rPr>
        <mc:AlternateContent>
          <mc:Choice Requires="wps">
            <w:drawing>
              <wp:anchor distT="0" distB="0" distL="114300" distR="114300" simplePos="0" relativeHeight="251205632" behindDoc="0" locked="0" layoutInCell="1" allowOverlap="1" wp14:anchorId="20861457" wp14:editId="52C712B0">
                <wp:simplePos x="0" y="0"/>
                <wp:positionH relativeFrom="column">
                  <wp:posOffset>2091690</wp:posOffset>
                </wp:positionH>
                <wp:positionV relativeFrom="paragraph">
                  <wp:posOffset>1830070</wp:posOffset>
                </wp:positionV>
                <wp:extent cx="680085" cy="189865"/>
                <wp:effectExtent l="0" t="0" r="5715" b="635"/>
                <wp:wrapNone/>
                <wp:docPr id="1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89865"/>
                        </a:xfrm>
                        <a:prstGeom prst="rect">
                          <a:avLst/>
                        </a:prstGeom>
                        <a:noFill/>
                        <a:ln w="9525">
                          <a:noFill/>
                          <a:miter lim="800000"/>
                          <a:headEnd/>
                          <a:tailEnd/>
                        </a:ln>
                      </wps:spPr>
                      <wps:txbx>
                        <w:txbxContent>
                          <w:p w:rsidR="00D53F39" w:rsidRPr="00B438FA" w:rsidRDefault="00D53F39" w:rsidP="00E24DB7">
                            <w:pPr>
                              <w:spacing w:line="240" w:lineRule="auto"/>
                              <w:jc w:val="center"/>
                              <w:rPr>
                                <w:b/>
                                <w:sz w:val="10"/>
                                <w:szCs w:val="10"/>
                              </w:rPr>
                            </w:pPr>
                            <w:r w:rsidRPr="00B438FA">
                              <w:rPr>
                                <w:b/>
                                <w:sz w:val="10"/>
                                <w:szCs w:val="10"/>
                              </w:rPr>
                              <w:t xml:space="preserve">Cycle d’essai </w:t>
                            </w:r>
                            <w:r w:rsidRPr="00B438FA">
                              <w:rPr>
                                <w:b/>
                                <w:sz w:val="10"/>
                                <w:szCs w:val="10"/>
                              </w:rPr>
                              <w:br/>
                              <w:t>applicable n-2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61457" id="_x0000_s1558" type="#_x0000_t202" style="position:absolute;margin-left:164.7pt;margin-top:144.1pt;width:53.55pt;height:14.95pt;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" filled="f" stroked="f">
                <v:textbox inset="0,0,0,0">
                  <w:txbxContent>
                    <w:p w:rsidR="00D53F39" w:rsidRPr="00B438FA" w:rsidRDefault="00D53F39" w:rsidP="00E24DB7">
                      <w:pPr>
                        <w:spacing w:line="240" w:lineRule="auto"/>
                        <w:jc w:val="center"/>
                        <w:rPr>
                          <w:b/>
                          <w:sz w:val="10"/>
                          <w:szCs w:val="10"/>
                        </w:rPr>
                      </w:pPr>
                      <w:r w:rsidRPr="00B438FA">
                        <w:rPr>
                          <w:b/>
                          <w:sz w:val="10"/>
                          <w:szCs w:val="10"/>
                        </w:rPr>
                        <w:t xml:space="preserve">Cycle d’essai </w:t>
                      </w:r>
                      <w:r w:rsidRPr="00B438FA">
                        <w:rPr>
                          <w:b/>
                          <w:sz w:val="10"/>
                          <w:szCs w:val="10"/>
                        </w:rPr>
                        <w:br/>
                        <w:t>applicable n-2</w:t>
                      </w:r>
                    </w:p>
                  </w:txbxContent>
                </v:textbox>
              </v:shape>
            </w:pict>
          </mc:Fallback>
        </mc:AlternateContent>
      </w:r>
      <w:r w:rsidRPr="002C5876">
        <w:rPr>
          <w:noProof/>
          <w:lang w:val="en-GB" w:eastAsia="zh-CN"/>
        </w:rPr>
        <mc:AlternateContent>
          <mc:Choice Requires="wps">
            <w:drawing>
              <wp:anchor distT="0" distB="0" distL="114300" distR="114300" simplePos="0" relativeHeight="251236352" behindDoc="0" locked="0" layoutInCell="1" allowOverlap="1" wp14:anchorId="3A24D5E9" wp14:editId="322F1BAB">
                <wp:simplePos x="0" y="0"/>
                <wp:positionH relativeFrom="column">
                  <wp:posOffset>2066290</wp:posOffset>
                </wp:positionH>
                <wp:positionV relativeFrom="paragraph">
                  <wp:posOffset>1091202</wp:posOffset>
                </wp:positionV>
                <wp:extent cx="706755" cy="260350"/>
                <wp:effectExtent l="0" t="0" r="0" b="6350"/>
                <wp:wrapNone/>
                <wp:docPr id="138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260350"/>
                        </a:xfrm>
                        <a:prstGeom prst="rect">
                          <a:avLst/>
                        </a:prstGeom>
                        <a:noFill/>
                        <a:ln w="9525">
                          <a:noFill/>
                          <a:miter lim="800000"/>
                          <a:headEnd/>
                          <a:tailEnd/>
                        </a:ln>
                      </wps:spPr>
                      <wps:txbx>
                        <w:txbxContent>
                          <w:p w:rsidR="00D53F39" w:rsidRPr="00E911A4" w:rsidRDefault="00D53F39" w:rsidP="00E24DB7">
                            <w:pPr>
                              <w:spacing w:line="120" w:lineRule="exact"/>
                              <w:jc w:val="center"/>
                              <w:rPr>
                                <w:b/>
                                <w:color w:val="00B0F0"/>
                                <w:sz w:val="12"/>
                                <w:szCs w:val="12"/>
                              </w:rPr>
                            </w:pPr>
                            <w:r w:rsidRPr="00E911A4">
                              <w:rPr>
                                <w:b/>
                                <w:color w:val="00B0F0"/>
                                <w:sz w:val="12"/>
                                <w:szCs w:val="12"/>
                              </w:rPr>
                              <w:t xml:space="preserve">Premier démarrage </w:t>
                            </w:r>
                            <w:r w:rsidRPr="00E911A4">
                              <w:rPr>
                                <w:b/>
                                <w:color w:val="00B0F0"/>
                                <w:sz w:val="12"/>
                                <w:szCs w:val="12"/>
                              </w:rPr>
                              <w:br/>
                              <w:t xml:space="preserve">du moteur à </w:t>
                            </w:r>
                            <w:r w:rsidRPr="00E911A4">
                              <w:rPr>
                                <w:b/>
                                <w:color w:val="00B0F0"/>
                                <w:sz w:val="12"/>
                                <w:szCs w:val="12"/>
                              </w:rPr>
                              <w:br/>
                              <w:t>combustion interne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4D5E9" id="_x0000_s1559" type="#_x0000_t202" style="position:absolute;margin-left:162.7pt;margin-top:85.9pt;width:55.65pt;height:20.5pt;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" filled="f" stroked="f">
                <v:textbox inset="0,0,0,0">
                  <w:txbxContent>
                    <w:p w:rsidR="00D53F39" w:rsidRPr="00E911A4" w:rsidRDefault="00D53F39" w:rsidP="00E24DB7">
                      <w:pPr>
                        <w:spacing w:line="120" w:lineRule="exact"/>
                        <w:jc w:val="center"/>
                        <w:rPr>
                          <w:b/>
                          <w:color w:val="00B0F0"/>
                          <w:sz w:val="12"/>
                          <w:szCs w:val="12"/>
                        </w:rPr>
                      </w:pPr>
                      <w:r w:rsidRPr="00E911A4">
                        <w:rPr>
                          <w:b/>
                          <w:color w:val="00B0F0"/>
                          <w:sz w:val="12"/>
                          <w:szCs w:val="12"/>
                        </w:rPr>
                        <w:t xml:space="preserve">Premier démarrage </w:t>
                      </w:r>
                      <w:r w:rsidRPr="00E911A4">
                        <w:rPr>
                          <w:b/>
                          <w:color w:val="00B0F0"/>
                          <w:sz w:val="12"/>
                          <w:szCs w:val="12"/>
                        </w:rPr>
                        <w:br/>
                        <w:t xml:space="preserve">du moteur à </w:t>
                      </w:r>
                      <w:r w:rsidRPr="00E911A4">
                        <w:rPr>
                          <w:b/>
                          <w:color w:val="00B0F0"/>
                          <w:sz w:val="12"/>
                          <w:szCs w:val="12"/>
                        </w:rPr>
                        <w:br/>
                        <w:t>combustion interne</w:t>
                      </w:r>
                    </w:p>
                  </w:txbxContent>
                </v:textbox>
              </v:shape>
            </w:pict>
          </mc:Fallback>
        </mc:AlternateContent>
      </w:r>
      <w:r w:rsidRPr="002C5876">
        <w:rPr>
          <w:noProof/>
          <w:lang w:val="en-GB" w:eastAsia="zh-CN"/>
        </w:rPr>
        <mc:AlternateContent>
          <mc:Choice Requires="wps">
            <w:drawing>
              <wp:anchor distT="0" distB="0" distL="114300" distR="114300" simplePos="0" relativeHeight="251233280" behindDoc="0" locked="0" layoutInCell="1" allowOverlap="1" wp14:anchorId="544548A9" wp14:editId="0101578F">
                <wp:simplePos x="0" y="0"/>
                <wp:positionH relativeFrom="column">
                  <wp:posOffset>5138214</wp:posOffset>
                </wp:positionH>
                <wp:positionV relativeFrom="paragraph">
                  <wp:posOffset>1391285</wp:posOffset>
                </wp:positionV>
                <wp:extent cx="925830" cy="210820"/>
                <wp:effectExtent l="0" t="0" r="7620" b="0"/>
                <wp:wrapNone/>
                <wp:docPr id="138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210820"/>
                        </a:xfrm>
                        <a:prstGeom prst="rect">
                          <a:avLst/>
                        </a:prstGeom>
                        <a:noFill/>
                        <a:ln w="9525">
                          <a:noFill/>
                          <a:miter lim="800000"/>
                          <a:headEnd/>
                          <a:tailEnd/>
                        </a:ln>
                      </wps:spPr>
                      <wps:txbx>
                        <w:txbxContent>
                          <w:p w:rsidR="00D53F39" w:rsidRPr="00E911A4" w:rsidRDefault="00D53F39" w:rsidP="00E24DB7">
                            <w:pPr>
                              <w:spacing w:line="240" w:lineRule="auto"/>
                              <w:jc w:val="center"/>
                              <w:rPr>
                                <w:b/>
                                <w:sz w:val="10"/>
                                <w:szCs w:val="10"/>
                              </w:rPr>
                            </w:pPr>
                            <w:r w:rsidRPr="00E911A4">
                              <w:rPr>
                                <w:b/>
                                <w:sz w:val="10"/>
                                <w:szCs w:val="10"/>
                              </w:rPr>
                              <w:t xml:space="preserve">Continuer à partir de « A » </w:t>
                            </w:r>
                            <w:r w:rsidRPr="00E911A4">
                              <w:rPr>
                                <w:b/>
                                <w:sz w:val="10"/>
                                <w:szCs w:val="10"/>
                              </w:rPr>
                              <w:br/>
                              <w:t>sur le diagramme suivant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548A9" id="_x0000_s1560" type="#_x0000_t202" style="position:absolute;margin-left:404.6pt;margin-top:109.55pt;width:72.9pt;height:16.6pt;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" filled="f" stroked="f">
                <v:textbox inset="0,0,0,0">
                  <w:txbxContent>
                    <w:p w:rsidR="00D53F39" w:rsidRPr="00E911A4" w:rsidRDefault="00D53F39" w:rsidP="00E24DB7">
                      <w:pPr>
                        <w:spacing w:line="240" w:lineRule="auto"/>
                        <w:jc w:val="center"/>
                        <w:rPr>
                          <w:b/>
                          <w:sz w:val="10"/>
                          <w:szCs w:val="10"/>
                        </w:rPr>
                      </w:pPr>
                      <w:r w:rsidRPr="00E911A4">
                        <w:rPr>
                          <w:b/>
                          <w:sz w:val="10"/>
                          <w:szCs w:val="10"/>
                        </w:rPr>
                        <w:t xml:space="preserve">Continuer à partir de « A » </w:t>
                      </w:r>
                      <w:r w:rsidRPr="00E911A4">
                        <w:rPr>
                          <w:b/>
                          <w:sz w:val="10"/>
                          <w:szCs w:val="10"/>
                        </w:rPr>
                        <w:br/>
                        <w:t>sur le diagramme suivant</w:t>
                      </w:r>
                    </w:p>
                  </w:txbxContent>
                </v:textbox>
              </v:shape>
            </w:pict>
          </mc:Fallback>
        </mc:AlternateContent>
      </w:r>
      <w:r w:rsidRPr="002C5876">
        <w:rPr>
          <w:noProof/>
          <w:lang w:val="en-GB" w:eastAsia="zh-CN"/>
        </w:rPr>
        <mc:AlternateContent>
          <mc:Choice Requires="wps">
            <w:drawing>
              <wp:anchor distT="0" distB="0" distL="114300" distR="114300" simplePos="0" relativeHeight="251298816" behindDoc="0" locked="0" layoutInCell="1" allowOverlap="1" wp14:anchorId="2B88CC76" wp14:editId="3A189798">
                <wp:simplePos x="0" y="0"/>
                <wp:positionH relativeFrom="column">
                  <wp:posOffset>697865</wp:posOffset>
                </wp:positionH>
                <wp:positionV relativeFrom="paragraph">
                  <wp:posOffset>3466465</wp:posOffset>
                </wp:positionV>
                <wp:extent cx="487680" cy="142240"/>
                <wp:effectExtent l="0" t="0" r="7620" b="10160"/>
                <wp:wrapNone/>
                <wp:docPr id="138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42240"/>
                        </a:xfrm>
                        <a:prstGeom prst="rect">
                          <a:avLst/>
                        </a:prstGeom>
                        <a:noFill/>
                        <a:ln w="9525">
                          <a:noFill/>
                          <a:miter lim="800000"/>
                          <a:headEnd/>
                          <a:tailEnd/>
                        </a:ln>
                      </wps:spPr>
                      <wps:txbx>
                        <w:txbxContent>
                          <w:p w:rsidR="00D53F39" w:rsidRPr="00893786" w:rsidRDefault="00D53F39" w:rsidP="00E24DB7">
                            <w:pPr>
                              <w:spacing w:line="240" w:lineRule="auto"/>
                              <w:jc w:val="center"/>
                              <w:rPr>
                                <w:b/>
                                <w:sz w:val="12"/>
                                <w:szCs w:val="12"/>
                              </w:rPr>
                            </w:pPr>
                            <w:r w:rsidRPr="00893786">
                              <w:rPr>
                                <w:b/>
                                <w:sz w:val="12"/>
                                <w:szCs w:val="12"/>
                              </w:rPr>
                              <w:t xml:space="preserve">Stabilisation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8CC76" id="_x0000_s1561" type="#_x0000_t202" style="position:absolute;margin-left:54.95pt;margin-top:272.95pt;width:38.4pt;height:11.2pt;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" filled="f" stroked="f">
                <v:textbox inset="0,0,0,0">
                  <w:txbxContent>
                    <w:p w:rsidR="00D53F39" w:rsidRPr="00893786" w:rsidRDefault="00D53F39" w:rsidP="00E24DB7">
                      <w:pPr>
                        <w:spacing w:line="240" w:lineRule="auto"/>
                        <w:jc w:val="center"/>
                        <w:rPr>
                          <w:b/>
                          <w:sz w:val="12"/>
                          <w:szCs w:val="12"/>
                        </w:rPr>
                      </w:pPr>
                      <w:r w:rsidRPr="00893786">
                        <w:rPr>
                          <w:b/>
                          <w:sz w:val="12"/>
                          <w:szCs w:val="12"/>
                        </w:rPr>
                        <w:t xml:space="preserve">Stabilisation </w:t>
                      </w:r>
                    </w:p>
                  </w:txbxContent>
                </v:textbox>
              </v:shape>
            </w:pict>
          </mc:Fallback>
        </mc:AlternateContent>
      </w:r>
      <w:r w:rsidRPr="002C5876">
        <w:rPr>
          <w:noProof/>
          <w:lang w:val="en-GB" w:eastAsia="zh-CN"/>
        </w:rPr>
        <mc:AlternateContent>
          <mc:Choice Requires="wps">
            <w:drawing>
              <wp:anchor distT="0" distB="0" distL="114300" distR="114300" simplePos="0" relativeHeight="251292672" behindDoc="0" locked="0" layoutInCell="1" allowOverlap="1" wp14:anchorId="5C7C878F" wp14:editId="3069594F">
                <wp:simplePos x="0" y="0"/>
                <wp:positionH relativeFrom="column">
                  <wp:posOffset>295910</wp:posOffset>
                </wp:positionH>
                <wp:positionV relativeFrom="paragraph">
                  <wp:posOffset>3780790</wp:posOffset>
                </wp:positionV>
                <wp:extent cx="280670" cy="137160"/>
                <wp:effectExtent l="0" t="0" r="5080" b="0"/>
                <wp:wrapNone/>
                <wp:docPr id="138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37160"/>
                        </a:xfrm>
                        <a:prstGeom prst="rect">
                          <a:avLst/>
                        </a:prstGeom>
                        <a:noFill/>
                        <a:ln w="9525">
                          <a:noFill/>
                          <a:miter lim="800000"/>
                          <a:headEnd/>
                          <a:tailEnd/>
                        </a:ln>
                      </wps:spPr>
                      <wps:txbx>
                        <w:txbxContent>
                          <w:p w:rsidR="00D53F39" w:rsidRPr="00893786" w:rsidRDefault="00D53F39" w:rsidP="00E24DB7">
                            <w:pPr>
                              <w:spacing w:line="240" w:lineRule="auto"/>
                              <w:jc w:val="center"/>
                              <w:rPr>
                                <w:b/>
                                <w:sz w:val="12"/>
                                <w:szCs w:val="12"/>
                              </w:rPr>
                            </w:pPr>
                            <w:r w:rsidRPr="00893786">
                              <w:rPr>
                                <w:b/>
                                <w:sz w:val="12"/>
                                <w:szCs w:val="12"/>
                              </w:rPr>
                              <w:t>« A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C878F" id="_x0000_s1562" type="#_x0000_t202" style="position:absolute;margin-left:23.3pt;margin-top:297.7pt;width:22.1pt;height:10.8pt;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" filled="f" stroked="f">
                <v:textbox inset="0,0,0,0">
                  <w:txbxContent>
                    <w:p w:rsidR="00D53F39" w:rsidRPr="00893786" w:rsidRDefault="00D53F39" w:rsidP="00E24DB7">
                      <w:pPr>
                        <w:spacing w:line="240" w:lineRule="auto"/>
                        <w:jc w:val="center"/>
                        <w:rPr>
                          <w:b/>
                          <w:sz w:val="12"/>
                          <w:szCs w:val="12"/>
                        </w:rPr>
                      </w:pPr>
                      <w:r w:rsidRPr="00893786">
                        <w:rPr>
                          <w:b/>
                          <w:sz w:val="12"/>
                          <w:szCs w:val="12"/>
                        </w:rPr>
                        <w:t>« A »</w:t>
                      </w:r>
                    </w:p>
                  </w:txbxContent>
                </v:textbox>
              </v:shape>
            </w:pict>
          </mc:Fallback>
        </mc:AlternateContent>
      </w:r>
      <w:r w:rsidRPr="002C5876">
        <w:rPr>
          <w:noProof/>
          <w:lang w:val="en-GB" w:eastAsia="zh-CN"/>
        </w:rPr>
        <mc:AlternateContent>
          <mc:Choice Requires="wps">
            <w:drawing>
              <wp:anchor distT="0" distB="0" distL="114300" distR="114300" simplePos="0" relativeHeight="251230208" behindDoc="0" locked="0" layoutInCell="1" allowOverlap="1" wp14:anchorId="5493F5CD" wp14:editId="4B49ABF6">
                <wp:simplePos x="0" y="0"/>
                <wp:positionH relativeFrom="column">
                  <wp:posOffset>1501775</wp:posOffset>
                </wp:positionH>
                <wp:positionV relativeFrom="paragraph">
                  <wp:posOffset>1239949</wp:posOffset>
                </wp:positionV>
                <wp:extent cx="628650" cy="100330"/>
                <wp:effectExtent l="0" t="2540" r="0" b="0"/>
                <wp:wrapNone/>
                <wp:docPr id="138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8650" cy="100330"/>
                        </a:xfrm>
                        <a:prstGeom prst="rect">
                          <a:avLst/>
                        </a:prstGeom>
                        <a:noFill/>
                        <a:ln w="9525">
                          <a:noFill/>
                          <a:miter lim="800000"/>
                          <a:headEnd/>
                          <a:tailEnd/>
                        </a:ln>
                      </wps:spPr>
                      <wps:txbx>
                        <w:txbxContent>
                          <w:p w:rsidR="00D53F39" w:rsidRPr="00213906" w:rsidRDefault="00D53F39" w:rsidP="00E24DB7">
                            <w:pPr>
                              <w:spacing w:line="240" w:lineRule="auto"/>
                              <w:rPr>
                                <w:b/>
                                <w:color w:val="FFC000"/>
                                <w:sz w:val="10"/>
                                <w:szCs w:val="10"/>
                              </w:rPr>
                            </w:pPr>
                            <w:r w:rsidRPr="00213906">
                              <w:rPr>
                                <w:b/>
                                <w:color w:val="FFC000"/>
                                <w:sz w:val="10"/>
                                <w:szCs w:val="10"/>
                              </w:rPr>
                              <w:t>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3F5CD" id="_x0000_s1563" type="#_x0000_t202" style="position:absolute;margin-left:118.25pt;margin-top:97.65pt;width:49.5pt;height:7.9pt;rotation:-90;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" filled="f" stroked="f">
                <v:textbox inset="0,0,0,0">
                  <w:txbxContent>
                    <w:p w:rsidR="00D53F39" w:rsidRPr="00213906" w:rsidRDefault="00D53F39" w:rsidP="00E24DB7">
                      <w:pPr>
                        <w:spacing w:line="240" w:lineRule="auto"/>
                        <w:rPr>
                          <w:b/>
                          <w:color w:val="FFC000"/>
                          <w:sz w:val="10"/>
                          <w:szCs w:val="10"/>
                        </w:rPr>
                      </w:pPr>
                      <w:r w:rsidRPr="00213906">
                        <w:rPr>
                          <w:b/>
                          <w:color w:val="FFC000"/>
                          <w:sz w:val="10"/>
                          <w:szCs w:val="10"/>
                        </w:rPr>
                        <w:t>Complétement chargé</w:t>
                      </w:r>
                    </w:p>
                  </w:txbxContent>
                </v:textbox>
              </v:shape>
            </w:pict>
          </mc:Fallback>
        </mc:AlternateContent>
      </w:r>
      <w:r w:rsidRPr="002C5876">
        <w:rPr>
          <w:noProof/>
          <w:lang w:val="en-GB" w:eastAsia="zh-CN"/>
        </w:rPr>
        <w:drawing>
          <wp:inline distT="0" distB="0" distL="0" distR="0" wp14:anchorId="6456EB2F" wp14:editId="75895CB6">
            <wp:extent cx="6116400" cy="4374000"/>
            <wp:effectExtent l="0" t="0" r="0" b="762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116400" cy="4374000"/>
                    </a:xfrm>
                    <a:prstGeom prst="rect">
                      <a:avLst/>
                    </a:prstGeom>
                    <a:noFill/>
                    <a:ln>
                      <a:noFill/>
                    </a:ln>
                  </pic:spPr>
                </pic:pic>
              </a:graphicData>
            </a:graphic>
          </wp:inline>
        </w:drawing>
      </w:r>
    </w:p>
    <w:p w:rsidR="00E24DB7" w:rsidRPr="002C5876" w:rsidRDefault="00E24DB7" w:rsidP="00E24DB7">
      <w:pPr>
        <w:pStyle w:val="SingleTxtG"/>
        <w:keepNext/>
        <w:ind w:left="2268" w:hanging="1134"/>
        <w:jc w:val="left"/>
      </w:pPr>
      <w:r w:rsidRPr="002C5876">
        <w:br w:type="page"/>
      </w:r>
      <w:r w:rsidRPr="002C5876">
        <w:lastRenderedPageBreak/>
        <w:t>1.4</w:t>
      </w:r>
      <w:r w:rsidRPr="002C5876">
        <w:tab/>
        <w:t>Séquence d’essais VHE-RE selon l’option 4</w:t>
      </w:r>
    </w:p>
    <w:p w:rsidR="00E24DB7" w:rsidRPr="002C5876" w:rsidRDefault="00E24DB7" w:rsidP="00E24DB7">
      <w:pPr>
        <w:pStyle w:val="SingleTxtG"/>
        <w:keepNext/>
        <w:ind w:left="2268"/>
      </w:pPr>
      <w:r w:rsidRPr="002C5876">
        <w:t>Essai de maintien de la charge du type 1 suivi d’un essai d’épuisement de la charge du type 1 (fig. A8.App1/4).</w:t>
      </w:r>
    </w:p>
    <w:p w:rsidR="00E24DB7" w:rsidRPr="002C5876" w:rsidRDefault="00E24DB7" w:rsidP="00E24DB7">
      <w:pPr>
        <w:pStyle w:val="H23G"/>
        <w:ind w:left="0" w:right="0" w:firstLine="0"/>
      </w:pPr>
      <w:r w:rsidRPr="002C5876">
        <w:rPr>
          <w:b w:val="0"/>
        </w:rPr>
        <w:t>Figure A8.App1/4</w:t>
      </w:r>
      <w:r w:rsidRPr="002C5876">
        <w:rPr>
          <w:b w:val="0"/>
        </w:rPr>
        <w:br/>
      </w:r>
      <w:r w:rsidRPr="002C5876">
        <w:t>VHE-RE, essai de maintien de la charge du type 1 suivi d’un essai d’épuisement de la charge du type 1</w:t>
      </w:r>
    </w:p>
    <w:p w:rsidR="00E24DB7" w:rsidRPr="002C5876" w:rsidRDefault="00E24DB7" w:rsidP="00E24DB7">
      <w:pPr>
        <w:pStyle w:val="SingleTxtG"/>
        <w:spacing w:after="240"/>
        <w:ind w:hanging="1134"/>
      </w:pPr>
      <w:r w:rsidRPr="002C5876">
        <w:rPr>
          <w:noProof/>
          <w:lang w:val="en-GB" w:eastAsia="zh-CN"/>
        </w:rPr>
        <mc:AlternateContent>
          <mc:Choice Requires="wps">
            <w:drawing>
              <wp:anchor distT="0" distB="0" distL="114300" distR="114300" simplePos="0" relativeHeight="251277312" behindDoc="0" locked="0" layoutInCell="1" allowOverlap="1" wp14:anchorId="31B6AEE0" wp14:editId="485F8B7C">
                <wp:simplePos x="0" y="0"/>
                <wp:positionH relativeFrom="column">
                  <wp:posOffset>3241040</wp:posOffset>
                </wp:positionH>
                <wp:positionV relativeFrom="paragraph">
                  <wp:posOffset>3115945</wp:posOffset>
                </wp:positionV>
                <wp:extent cx="680085" cy="200025"/>
                <wp:effectExtent l="0" t="0" r="5715" b="9525"/>
                <wp:wrapNone/>
                <wp:docPr id="138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200025"/>
                        </a:xfrm>
                        <a:prstGeom prst="rect">
                          <a:avLst/>
                        </a:prstGeom>
                        <a:noFill/>
                        <a:ln w="9525">
                          <a:noFill/>
                          <a:miter lim="800000"/>
                          <a:headEnd/>
                          <a:tailEnd/>
                        </a:ln>
                      </wps:spPr>
                      <wps:txbx>
                        <w:txbxContent>
                          <w:p w:rsidR="00D53F39" w:rsidRPr="001721A1" w:rsidRDefault="00D53F39" w:rsidP="00E24DB7">
                            <w:pPr>
                              <w:spacing w:line="100" w:lineRule="exact"/>
                              <w:jc w:val="center"/>
                              <w:rPr>
                                <w:b/>
                                <w:sz w:val="12"/>
                                <w:szCs w:val="12"/>
                              </w:rPr>
                            </w:pPr>
                            <w:r w:rsidRPr="001721A1">
                              <w:rPr>
                                <w:b/>
                                <w:sz w:val="12"/>
                                <w:szCs w:val="12"/>
                              </w:rPr>
                              <w:t xml:space="preserve">Cycle d’essai </w:t>
                            </w:r>
                            <w:r w:rsidRPr="001721A1">
                              <w:rPr>
                                <w:b/>
                                <w:sz w:val="12"/>
                                <w:szCs w:val="12"/>
                              </w:rPr>
                              <w:br/>
                              <w:t xml:space="preserve">applicable n </w:t>
                            </w:r>
                            <w:r w:rsidRPr="001721A1">
                              <w:rPr>
                                <w:b/>
                                <w:sz w:val="12"/>
                                <w:szCs w:val="12"/>
                              </w:rPr>
                              <w:br/>
                              <w:t>(cycle de transition)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6AEE0" id="_x0000_s1564" type="#_x0000_t202" style="position:absolute;left:0;text-align:left;margin-left:255.2pt;margin-top:245.35pt;width:53.55pt;height:15.75pt;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" filled="f" stroked="f">
                <v:textbox inset="0,0,0,0">
                  <w:txbxContent>
                    <w:p w:rsidR="00D53F39" w:rsidRPr="001721A1" w:rsidRDefault="00D53F39" w:rsidP="00E24DB7">
                      <w:pPr>
                        <w:spacing w:line="100" w:lineRule="exact"/>
                        <w:jc w:val="center"/>
                        <w:rPr>
                          <w:b/>
                          <w:sz w:val="12"/>
                          <w:szCs w:val="12"/>
                        </w:rPr>
                      </w:pPr>
                      <w:r w:rsidRPr="001721A1">
                        <w:rPr>
                          <w:b/>
                          <w:sz w:val="12"/>
                          <w:szCs w:val="12"/>
                        </w:rPr>
                        <w:t xml:space="preserve">Cycle d’essai </w:t>
                      </w:r>
                      <w:r w:rsidRPr="001721A1">
                        <w:rPr>
                          <w:b/>
                          <w:sz w:val="12"/>
                          <w:szCs w:val="12"/>
                        </w:rPr>
                        <w:br/>
                        <w:t xml:space="preserve">applicable n </w:t>
                      </w:r>
                      <w:r w:rsidRPr="001721A1">
                        <w:rPr>
                          <w:b/>
                          <w:sz w:val="12"/>
                          <w:szCs w:val="12"/>
                        </w:rPr>
                        <w:br/>
                        <w:t>(cycle de transition)</w:t>
                      </w:r>
                    </w:p>
                  </w:txbxContent>
                </v:textbox>
              </v:shape>
            </w:pict>
          </mc:Fallback>
        </mc:AlternateContent>
      </w:r>
      <w:r w:rsidRPr="002C5876">
        <w:rPr>
          <w:noProof/>
          <w:lang w:val="en-GB" w:eastAsia="zh-CN"/>
        </w:rPr>
        <mc:AlternateContent>
          <mc:Choice Requires="wps">
            <w:drawing>
              <wp:anchor distT="0" distB="0" distL="114300" distR="114300" simplePos="0" relativeHeight="251289600" behindDoc="0" locked="0" layoutInCell="1" allowOverlap="1" wp14:anchorId="1476F229" wp14:editId="3234C7C4">
                <wp:simplePos x="0" y="0"/>
                <wp:positionH relativeFrom="column">
                  <wp:posOffset>3937635</wp:posOffset>
                </wp:positionH>
                <wp:positionV relativeFrom="paragraph">
                  <wp:posOffset>3119900</wp:posOffset>
                </wp:positionV>
                <wp:extent cx="711200" cy="232410"/>
                <wp:effectExtent l="0" t="0" r="12700" b="0"/>
                <wp:wrapNone/>
                <wp:docPr id="138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32410"/>
                        </a:xfrm>
                        <a:prstGeom prst="rect">
                          <a:avLst/>
                        </a:prstGeom>
                        <a:noFill/>
                        <a:ln w="9525">
                          <a:noFill/>
                          <a:miter lim="800000"/>
                          <a:headEnd/>
                          <a:tailEnd/>
                        </a:ln>
                      </wps:spPr>
                      <wps:txbx>
                        <w:txbxContent>
                          <w:p w:rsidR="00D53F39" w:rsidRPr="001721A1" w:rsidRDefault="00D53F39" w:rsidP="00E24DB7">
                            <w:pPr>
                              <w:spacing w:line="100" w:lineRule="exact"/>
                              <w:jc w:val="center"/>
                              <w:rPr>
                                <w:rFonts w:ascii="Times New Roman Gras" w:hAnsi="Times New Roman Gras"/>
                                <w:b/>
                                <w:sz w:val="12"/>
                                <w:szCs w:val="12"/>
                              </w:rPr>
                            </w:pPr>
                            <w:r w:rsidRPr="001721A1">
                              <w:rPr>
                                <w:b/>
                                <w:sz w:val="12"/>
                                <w:szCs w:val="12"/>
                              </w:rPr>
                              <w:t xml:space="preserve">Cycle d’essai </w:t>
                            </w:r>
                            <w:r w:rsidRPr="001721A1">
                              <w:rPr>
                                <w:b/>
                                <w:sz w:val="12"/>
                                <w:szCs w:val="12"/>
                              </w:rPr>
                              <w:br/>
                            </w:r>
                            <w:r w:rsidRPr="001721A1">
                              <w:rPr>
                                <w:rFonts w:ascii="Times New Roman Gras" w:hAnsi="Times New Roman Gras"/>
                                <w:b/>
                                <w:sz w:val="12"/>
                                <w:szCs w:val="12"/>
                              </w:rPr>
                              <w:t>applicable n+1 (cycle de confirmation)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6F229" id="_x0000_s1565" type="#_x0000_t202" style="position:absolute;left:0;text-align:left;margin-left:310.05pt;margin-top:245.65pt;width:56pt;height:18.3pt;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" filled="f" stroked="f">
                <v:textbox inset="0,0,0,0">
                  <w:txbxContent>
                    <w:p w:rsidR="00D53F39" w:rsidRPr="001721A1" w:rsidRDefault="00D53F39" w:rsidP="00E24DB7">
                      <w:pPr>
                        <w:spacing w:line="100" w:lineRule="exact"/>
                        <w:jc w:val="center"/>
                        <w:rPr>
                          <w:rFonts w:ascii="Times New Roman Gras" w:hAnsi="Times New Roman Gras"/>
                          <w:b/>
                          <w:sz w:val="12"/>
                          <w:szCs w:val="12"/>
                        </w:rPr>
                      </w:pPr>
                      <w:r w:rsidRPr="001721A1">
                        <w:rPr>
                          <w:b/>
                          <w:sz w:val="12"/>
                          <w:szCs w:val="12"/>
                        </w:rPr>
                        <w:t xml:space="preserve">Cycle d’essai </w:t>
                      </w:r>
                      <w:r w:rsidRPr="001721A1">
                        <w:rPr>
                          <w:b/>
                          <w:sz w:val="12"/>
                          <w:szCs w:val="12"/>
                        </w:rPr>
                        <w:br/>
                      </w:r>
                      <w:r w:rsidRPr="001721A1">
                        <w:rPr>
                          <w:rFonts w:ascii="Times New Roman Gras" w:hAnsi="Times New Roman Gras"/>
                          <w:b/>
                          <w:sz w:val="12"/>
                          <w:szCs w:val="12"/>
                        </w:rPr>
                        <w:t>applicable n+1 (cycle de confirmation)</w:t>
                      </w:r>
                    </w:p>
                  </w:txbxContent>
                </v:textbox>
              </v:shape>
            </w:pict>
          </mc:Fallback>
        </mc:AlternateContent>
      </w:r>
      <w:r w:rsidRPr="002C5876">
        <w:rPr>
          <w:noProof/>
          <w:lang w:val="en-GB" w:eastAsia="zh-CN"/>
        </w:rPr>
        <mc:AlternateContent>
          <mc:Choice Requires="wps">
            <w:drawing>
              <wp:anchor distT="0" distB="0" distL="114300" distR="114300" simplePos="0" relativeHeight="251251712" behindDoc="0" locked="0" layoutInCell="1" allowOverlap="1" wp14:anchorId="2DE07EE0" wp14:editId="18701498">
                <wp:simplePos x="0" y="0"/>
                <wp:positionH relativeFrom="column">
                  <wp:posOffset>2362744</wp:posOffset>
                </wp:positionH>
                <wp:positionV relativeFrom="paragraph">
                  <wp:posOffset>3587732</wp:posOffset>
                </wp:positionV>
                <wp:extent cx="1655790" cy="266700"/>
                <wp:effectExtent l="0" t="0" r="1905" b="0"/>
                <wp:wrapNone/>
                <wp:docPr id="138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790" cy="266700"/>
                        </a:xfrm>
                        <a:prstGeom prst="rect">
                          <a:avLst/>
                        </a:prstGeom>
                        <a:noFill/>
                        <a:ln w="9525">
                          <a:noFill/>
                          <a:miter lim="800000"/>
                          <a:headEnd/>
                          <a:tailEnd/>
                        </a:ln>
                      </wps:spPr>
                      <wps:txbx>
                        <w:txbxContent>
                          <w:p w:rsidR="00D53F39" w:rsidRPr="001721A1" w:rsidRDefault="00D53F39" w:rsidP="00E24DB7">
                            <w:pPr>
                              <w:spacing w:line="240" w:lineRule="auto"/>
                              <w:jc w:val="center"/>
                              <w:rPr>
                                <w:b/>
                                <w:sz w:val="12"/>
                                <w:szCs w:val="12"/>
                              </w:rPr>
                            </w:pPr>
                            <w:r w:rsidRPr="001721A1">
                              <w:rPr>
                                <w:b/>
                                <w:sz w:val="12"/>
                                <w:szCs w:val="12"/>
                              </w:rPr>
                              <w:t xml:space="preserve">Temps de stabilisation entre cycles d’essai durant l’essai du type 1 en mode épuisement </w:t>
                            </w:r>
                            <w:r>
                              <w:rPr>
                                <w:b/>
                                <w:sz w:val="12"/>
                                <w:szCs w:val="12"/>
                              </w:rPr>
                              <w:br/>
                            </w:r>
                            <w:r w:rsidRPr="001721A1">
                              <w:rPr>
                                <w:b/>
                                <w:sz w:val="12"/>
                                <w:szCs w:val="12"/>
                              </w:rPr>
                              <w:t>de la charge 30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07EE0" id="_x0000_s1566" type="#_x0000_t202" style="position:absolute;left:0;text-align:left;margin-left:186.05pt;margin-top:282.5pt;width:130.4pt;height:21pt;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" filled="f" stroked="f">
                <v:textbox inset="0,0,0,0">
                  <w:txbxContent>
                    <w:p w:rsidR="00D53F39" w:rsidRPr="001721A1" w:rsidRDefault="00D53F39" w:rsidP="00E24DB7">
                      <w:pPr>
                        <w:spacing w:line="240" w:lineRule="auto"/>
                        <w:jc w:val="center"/>
                        <w:rPr>
                          <w:b/>
                          <w:sz w:val="12"/>
                          <w:szCs w:val="12"/>
                        </w:rPr>
                      </w:pPr>
                      <w:r w:rsidRPr="001721A1">
                        <w:rPr>
                          <w:b/>
                          <w:sz w:val="12"/>
                          <w:szCs w:val="12"/>
                        </w:rPr>
                        <w:t xml:space="preserve">Temps de stabilisation entre cycles d’essai durant l’essai du type 1 en mode épuisement </w:t>
                      </w:r>
                      <w:r>
                        <w:rPr>
                          <w:b/>
                          <w:sz w:val="12"/>
                          <w:szCs w:val="12"/>
                        </w:rPr>
                        <w:br/>
                      </w:r>
                      <w:r w:rsidRPr="001721A1">
                        <w:rPr>
                          <w:b/>
                          <w:sz w:val="12"/>
                          <w:szCs w:val="12"/>
                        </w:rPr>
                        <w:t>de la charge 30 min max.</w:t>
                      </w:r>
                    </w:p>
                  </w:txbxContent>
                </v:textbox>
              </v:shape>
            </w:pict>
          </mc:Fallback>
        </mc:AlternateContent>
      </w:r>
      <w:r w:rsidRPr="002C5876">
        <w:rPr>
          <w:noProof/>
          <w:lang w:val="en-GB" w:eastAsia="zh-CN"/>
        </w:rPr>
        <mc:AlternateContent>
          <mc:Choice Requires="wps">
            <w:drawing>
              <wp:anchor distT="0" distB="0" distL="114300" distR="114300" simplePos="0" relativeHeight="251314176" behindDoc="0" locked="0" layoutInCell="1" allowOverlap="1" wp14:anchorId="1ED2CE0F" wp14:editId="1837C9D4">
                <wp:simplePos x="0" y="0"/>
                <wp:positionH relativeFrom="column">
                  <wp:posOffset>1830070</wp:posOffset>
                </wp:positionH>
                <wp:positionV relativeFrom="paragraph">
                  <wp:posOffset>2799080</wp:posOffset>
                </wp:positionV>
                <wp:extent cx="1337310" cy="105410"/>
                <wp:effectExtent l="0" t="0" r="0" b="8890"/>
                <wp:wrapNone/>
                <wp:docPr id="138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05410"/>
                        </a:xfrm>
                        <a:prstGeom prst="rect">
                          <a:avLst/>
                        </a:prstGeom>
                        <a:noFill/>
                        <a:ln w="9525">
                          <a:noFill/>
                          <a:miter lim="800000"/>
                          <a:headEnd/>
                          <a:tailEnd/>
                        </a:ln>
                      </wps:spPr>
                      <wps:txbx>
                        <w:txbxContent>
                          <w:p w:rsidR="00D53F39" w:rsidRPr="00E911A4" w:rsidRDefault="00D53F39" w:rsidP="00E24DB7">
                            <w:pPr>
                              <w:spacing w:line="240" w:lineRule="auto"/>
                              <w:rPr>
                                <w:b/>
                                <w:color w:val="76923C" w:themeColor="accent3" w:themeShade="BF"/>
                                <w:sz w:val="10"/>
                                <w:szCs w:val="10"/>
                              </w:rPr>
                            </w:pPr>
                            <w:r w:rsidRPr="00E911A4">
                              <w:rPr>
                                <w:b/>
                                <w:color w:val="76923C" w:themeColor="accent3" w:themeShade="BF"/>
                                <w:sz w:val="10"/>
                                <w:szCs w:val="10"/>
                              </w:rPr>
                              <w:t>Autonomie équivalente en mode électrique pur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2CE0F" id="_x0000_s1567" type="#_x0000_t202" style="position:absolute;left:0;text-align:left;margin-left:144.1pt;margin-top:220.4pt;width:105.3pt;height:8.3pt;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" filled="f" stroked="f">
                <v:textbox inset="0,0,0,0">
                  <w:txbxContent>
                    <w:p w:rsidR="00D53F39" w:rsidRPr="00E911A4" w:rsidRDefault="00D53F39" w:rsidP="00E24DB7">
                      <w:pPr>
                        <w:spacing w:line="240" w:lineRule="auto"/>
                        <w:rPr>
                          <w:b/>
                          <w:color w:val="76923C" w:themeColor="accent3" w:themeShade="BF"/>
                          <w:sz w:val="10"/>
                          <w:szCs w:val="10"/>
                        </w:rPr>
                      </w:pPr>
                      <w:r w:rsidRPr="00E911A4">
                        <w:rPr>
                          <w:b/>
                          <w:color w:val="76923C" w:themeColor="accent3" w:themeShade="BF"/>
                          <w:sz w:val="10"/>
                          <w:szCs w:val="10"/>
                        </w:rPr>
                        <w:t>Autonomie équivalente en mode électrique pur</w:t>
                      </w:r>
                    </w:p>
                  </w:txbxContent>
                </v:textbox>
              </v:shape>
            </w:pict>
          </mc:Fallback>
        </mc:AlternateContent>
      </w:r>
      <w:r w:rsidRPr="002C5876">
        <w:rPr>
          <w:noProof/>
          <w:lang w:val="en-GB" w:eastAsia="zh-CN"/>
        </w:rPr>
        <mc:AlternateContent>
          <mc:Choice Requires="wps">
            <w:drawing>
              <wp:anchor distT="0" distB="0" distL="114300" distR="114300" simplePos="0" relativeHeight="251308032" behindDoc="0" locked="0" layoutInCell="1" allowOverlap="1" wp14:anchorId="2F467C38" wp14:editId="3E183EA5">
                <wp:simplePos x="0" y="0"/>
                <wp:positionH relativeFrom="column">
                  <wp:posOffset>1826260</wp:posOffset>
                </wp:positionH>
                <wp:positionV relativeFrom="paragraph">
                  <wp:posOffset>2700655</wp:posOffset>
                </wp:positionV>
                <wp:extent cx="845185" cy="89535"/>
                <wp:effectExtent l="0" t="0" r="12065" b="5715"/>
                <wp:wrapNone/>
                <wp:docPr id="138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89535"/>
                        </a:xfrm>
                        <a:prstGeom prst="rect">
                          <a:avLst/>
                        </a:prstGeom>
                        <a:noFill/>
                        <a:ln w="9525">
                          <a:noFill/>
                          <a:miter lim="800000"/>
                          <a:headEnd/>
                          <a:tailEnd/>
                        </a:ln>
                      </wps:spPr>
                      <wps:txbx>
                        <w:txbxContent>
                          <w:p w:rsidR="00D53F39" w:rsidRPr="00A96F65" w:rsidRDefault="00D53F39" w:rsidP="00E24DB7">
                            <w:pPr>
                              <w:spacing w:line="240" w:lineRule="auto"/>
                              <w:rPr>
                                <w:b/>
                                <w:color w:val="7030A0"/>
                                <w:sz w:val="10"/>
                                <w:szCs w:val="10"/>
                              </w:rPr>
                            </w:pPr>
                            <w:r w:rsidRPr="00A96F65">
                              <w:rPr>
                                <w:b/>
                                <w:color w:val="7030A0"/>
                                <w:sz w:val="10"/>
                                <w:szCs w:val="10"/>
                              </w:rPr>
                              <w:t>Autonomie en mode électrique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67C38" id="_x0000_s1568" type="#_x0000_t202" style="position:absolute;left:0;text-align:left;margin-left:143.8pt;margin-top:212.65pt;width:66.55pt;height:7.05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" filled="f" stroked="f">
                <v:textbox inset="0,0,0,0">
                  <w:txbxContent>
                    <w:p w:rsidR="00D53F39" w:rsidRPr="00A96F65" w:rsidRDefault="00D53F39" w:rsidP="00E24DB7">
                      <w:pPr>
                        <w:spacing w:line="240" w:lineRule="auto"/>
                        <w:rPr>
                          <w:b/>
                          <w:color w:val="7030A0"/>
                          <w:sz w:val="10"/>
                          <w:szCs w:val="10"/>
                        </w:rPr>
                      </w:pPr>
                      <w:r w:rsidRPr="00A96F65">
                        <w:rPr>
                          <w:b/>
                          <w:color w:val="7030A0"/>
                          <w:sz w:val="10"/>
                          <w:szCs w:val="10"/>
                        </w:rPr>
                        <w:t>Autonomie en mode électrique</w:t>
                      </w:r>
                    </w:p>
                  </w:txbxContent>
                </v:textbox>
              </v:shape>
            </w:pict>
          </mc:Fallback>
        </mc:AlternateContent>
      </w:r>
      <w:r w:rsidRPr="002C5876">
        <w:rPr>
          <w:noProof/>
          <w:lang w:val="en-GB" w:eastAsia="zh-CN"/>
        </w:rPr>
        <mc:AlternateContent>
          <mc:Choice Requires="wps">
            <w:drawing>
              <wp:anchor distT="0" distB="0" distL="114300" distR="114300" simplePos="0" relativeHeight="251295744" behindDoc="0" locked="0" layoutInCell="1" allowOverlap="1" wp14:anchorId="432812AA" wp14:editId="7360CB9C">
                <wp:simplePos x="0" y="0"/>
                <wp:positionH relativeFrom="column">
                  <wp:posOffset>1870710</wp:posOffset>
                </wp:positionH>
                <wp:positionV relativeFrom="paragraph">
                  <wp:posOffset>2209164</wp:posOffset>
                </wp:positionV>
                <wp:extent cx="2019300" cy="100511"/>
                <wp:effectExtent l="0" t="0" r="0" b="13970"/>
                <wp:wrapNone/>
                <wp:docPr id="138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00511"/>
                        </a:xfrm>
                        <a:prstGeom prst="rect">
                          <a:avLst/>
                        </a:prstGeom>
                        <a:noFill/>
                        <a:ln w="9525">
                          <a:noFill/>
                          <a:miter lim="800000"/>
                          <a:headEnd/>
                          <a:tailEnd/>
                        </a:ln>
                      </wps:spPr>
                      <wps:txbx>
                        <w:txbxContent>
                          <w:p w:rsidR="00D53F39" w:rsidRPr="00E911A4" w:rsidRDefault="00D53F39" w:rsidP="00E24DB7">
                            <w:pPr>
                              <w:spacing w:line="240" w:lineRule="auto"/>
                              <w:rPr>
                                <w:b/>
                                <w:sz w:val="12"/>
                                <w:szCs w:val="12"/>
                              </w:rPr>
                            </w:pPr>
                            <w:r w:rsidRPr="00E911A4">
                              <w:rPr>
                                <w:b/>
                                <w:sz w:val="12"/>
                                <w:szCs w:val="12"/>
                              </w:rPr>
                              <w:t>Autonomie réelle en mode épuisement de la charge R</w:t>
                            </w:r>
                            <w:r w:rsidRPr="00E911A4">
                              <w:rPr>
                                <w:b/>
                                <w:sz w:val="12"/>
                                <w:szCs w:val="12"/>
                                <w:vertAlign w:val="subscript"/>
                              </w:rPr>
                              <w:t>CDA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812AA" id="_x0000_s1569" type="#_x0000_t202" style="position:absolute;left:0;text-align:left;margin-left:147.3pt;margin-top:173.95pt;width:159pt;height:7.9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" filled="f" stroked="f">
                <v:textbox inset="0,0,0,0">
                  <w:txbxContent>
                    <w:p w:rsidR="00D53F39" w:rsidRPr="00E911A4" w:rsidRDefault="00D53F39" w:rsidP="00E24DB7">
                      <w:pPr>
                        <w:spacing w:line="240" w:lineRule="auto"/>
                        <w:rPr>
                          <w:b/>
                          <w:sz w:val="12"/>
                          <w:szCs w:val="12"/>
                        </w:rPr>
                      </w:pPr>
                      <w:r w:rsidRPr="00E911A4">
                        <w:rPr>
                          <w:b/>
                          <w:sz w:val="12"/>
                          <w:szCs w:val="12"/>
                        </w:rPr>
                        <w:t>Autonomie réelle en mode épuisement de la charge R</w:t>
                      </w:r>
                      <w:r w:rsidRPr="00E911A4">
                        <w:rPr>
                          <w:b/>
                          <w:sz w:val="12"/>
                          <w:szCs w:val="12"/>
                          <w:vertAlign w:val="subscript"/>
                        </w:rPr>
                        <w:t>CDA</w:t>
                      </w:r>
                    </w:p>
                  </w:txbxContent>
                </v:textbox>
              </v:shape>
            </w:pict>
          </mc:Fallback>
        </mc:AlternateContent>
      </w:r>
      <w:r w:rsidRPr="002C5876">
        <w:rPr>
          <w:noProof/>
          <w:lang w:val="en-GB" w:eastAsia="zh-CN"/>
        </w:rPr>
        <mc:AlternateContent>
          <mc:Choice Requires="wps">
            <w:drawing>
              <wp:anchor distT="0" distB="0" distL="114300" distR="114300" simplePos="0" relativeHeight="251301888" behindDoc="0" locked="0" layoutInCell="1" allowOverlap="1" wp14:anchorId="6370274A" wp14:editId="60A03964">
                <wp:simplePos x="0" y="0"/>
                <wp:positionH relativeFrom="column">
                  <wp:posOffset>1870075</wp:posOffset>
                </wp:positionH>
                <wp:positionV relativeFrom="paragraph">
                  <wp:posOffset>2083707</wp:posOffset>
                </wp:positionV>
                <wp:extent cx="2046605" cy="119380"/>
                <wp:effectExtent l="0" t="0" r="10795" b="13970"/>
                <wp:wrapNone/>
                <wp:docPr id="138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605" cy="119380"/>
                        </a:xfrm>
                        <a:prstGeom prst="rect">
                          <a:avLst/>
                        </a:prstGeom>
                        <a:noFill/>
                        <a:ln w="9525">
                          <a:noFill/>
                          <a:miter lim="800000"/>
                          <a:headEnd/>
                          <a:tailEnd/>
                        </a:ln>
                      </wps:spPr>
                      <wps:txbx>
                        <w:txbxContent>
                          <w:p w:rsidR="00D53F39" w:rsidRPr="00E911A4" w:rsidRDefault="00D53F39" w:rsidP="00E24DB7">
                            <w:pPr>
                              <w:spacing w:line="240" w:lineRule="auto"/>
                              <w:rPr>
                                <w:b/>
                                <w:sz w:val="12"/>
                                <w:szCs w:val="12"/>
                              </w:rPr>
                            </w:pPr>
                            <w:r w:rsidRPr="00E911A4">
                              <w:rPr>
                                <w:b/>
                                <w:sz w:val="12"/>
                                <w:szCs w:val="12"/>
                              </w:rPr>
                              <w:t>Autonomie en mode cycle d’épuisement de la charge R</w:t>
                            </w:r>
                            <w:r w:rsidRPr="00E911A4">
                              <w:rPr>
                                <w:b/>
                                <w:sz w:val="12"/>
                                <w:szCs w:val="12"/>
                                <w:vertAlign w:val="subscript"/>
                              </w:rPr>
                              <w:t>CDC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0274A" id="_x0000_s1570" type="#_x0000_t202" style="position:absolute;left:0;text-align:left;margin-left:147.25pt;margin-top:164.05pt;width:161.15pt;height:9.4pt;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" filled="f" stroked="f">
                <v:textbox inset="0,0,0,0">
                  <w:txbxContent>
                    <w:p w:rsidR="00D53F39" w:rsidRPr="00E911A4" w:rsidRDefault="00D53F39" w:rsidP="00E24DB7">
                      <w:pPr>
                        <w:spacing w:line="240" w:lineRule="auto"/>
                        <w:rPr>
                          <w:b/>
                          <w:sz w:val="12"/>
                          <w:szCs w:val="12"/>
                        </w:rPr>
                      </w:pPr>
                      <w:r w:rsidRPr="00E911A4">
                        <w:rPr>
                          <w:b/>
                          <w:sz w:val="12"/>
                          <w:szCs w:val="12"/>
                        </w:rPr>
                        <w:t>Autonomie en mode cycle d’épuisement de la charge R</w:t>
                      </w:r>
                      <w:r w:rsidRPr="00E911A4">
                        <w:rPr>
                          <w:b/>
                          <w:sz w:val="12"/>
                          <w:szCs w:val="12"/>
                          <w:vertAlign w:val="subscript"/>
                        </w:rPr>
                        <w:t>CDC</w:t>
                      </w:r>
                    </w:p>
                  </w:txbxContent>
                </v:textbox>
              </v:shape>
            </w:pict>
          </mc:Fallback>
        </mc:AlternateContent>
      </w:r>
      <w:r w:rsidRPr="002C5876">
        <w:rPr>
          <w:noProof/>
          <w:lang w:val="en-GB" w:eastAsia="zh-CN"/>
        </w:rPr>
        <mc:AlternateContent>
          <mc:Choice Requires="wps">
            <w:drawing>
              <wp:anchor distT="0" distB="0" distL="114300" distR="114300" simplePos="0" relativeHeight="251257856" behindDoc="0" locked="0" layoutInCell="1" allowOverlap="1" wp14:anchorId="7DC6A6AA" wp14:editId="48F4B2D5">
                <wp:simplePos x="0" y="0"/>
                <wp:positionH relativeFrom="column">
                  <wp:posOffset>1140732</wp:posOffset>
                </wp:positionH>
                <wp:positionV relativeFrom="paragraph">
                  <wp:posOffset>1911985</wp:posOffset>
                </wp:positionV>
                <wp:extent cx="641985" cy="375557"/>
                <wp:effectExtent l="0" t="0" r="5715" b="5715"/>
                <wp:wrapNone/>
                <wp:docPr id="138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75557"/>
                        </a:xfrm>
                        <a:prstGeom prst="rect">
                          <a:avLst/>
                        </a:prstGeom>
                        <a:noFill/>
                        <a:ln w="9525">
                          <a:noFill/>
                          <a:miter lim="800000"/>
                          <a:headEnd/>
                          <a:tailEnd/>
                        </a:ln>
                      </wps:spPr>
                      <wps:txbx>
                        <w:txbxContent>
                          <w:p w:rsidR="00D53F39" w:rsidRPr="00E911A4" w:rsidRDefault="00D53F39" w:rsidP="00E24DB7">
                            <w:pPr>
                              <w:spacing w:line="240" w:lineRule="auto"/>
                              <w:jc w:val="center"/>
                              <w:rPr>
                                <w:b/>
                                <w:sz w:val="12"/>
                                <w:szCs w:val="12"/>
                              </w:rPr>
                            </w:pPr>
                            <w:r w:rsidRPr="00E911A4">
                              <w:rPr>
                                <w:b/>
                                <w:sz w:val="12"/>
                                <w:szCs w:val="12"/>
                              </w:rPr>
                              <w:t xml:space="preserve">Temps </w:t>
                            </w:r>
                            <w:r w:rsidRPr="00E911A4">
                              <w:rPr>
                                <w:b/>
                                <w:sz w:val="12"/>
                                <w:szCs w:val="12"/>
                              </w:rPr>
                              <w:br/>
                              <w:t>de stabilisation</w:t>
                            </w:r>
                            <w:r w:rsidRPr="00E911A4">
                              <w:rPr>
                                <w:b/>
                                <w:sz w:val="12"/>
                                <w:szCs w:val="12"/>
                              </w:rPr>
                              <w:br/>
                              <w:t>+</w:t>
                            </w:r>
                            <w:r w:rsidRPr="00E911A4">
                              <w:rPr>
                                <w:b/>
                                <w:sz w:val="12"/>
                                <w:szCs w:val="12"/>
                              </w:rPr>
                              <w:br/>
                              <w:t>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6A6AA" id="_x0000_s1571" type="#_x0000_t202" style="position:absolute;left:0;text-align:left;margin-left:89.8pt;margin-top:150.55pt;width:50.55pt;height:29.55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" filled="f" stroked="f">
                <v:textbox inset="0,0,0,0">
                  <w:txbxContent>
                    <w:p w:rsidR="00D53F39" w:rsidRPr="00E911A4" w:rsidRDefault="00D53F39" w:rsidP="00E24DB7">
                      <w:pPr>
                        <w:spacing w:line="240" w:lineRule="auto"/>
                        <w:jc w:val="center"/>
                        <w:rPr>
                          <w:b/>
                          <w:sz w:val="12"/>
                          <w:szCs w:val="12"/>
                        </w:rPr>
                      </w:pPr>
                      <w:r w:rsidRPr="00E911A4">
                        <w:rPr>
                          <w:b/>
                          <w:sz w:val="12"/>
                          <w:szCs w:val="12"/>
                        </w:rPr>
                        <w:t xml:space="preserve">Temps </w:t>
                      </w:r>
                      <w:r w:rsidRPr="00E911A4">
                        <w:rPr>
                          <w:b/>
                          <w:sz w:val="12"/>
                          <w:szCs w:val="12"/>
                        </w:rPr>
                        <w:br/>
                        <w:t>de stabilisation</w:t>
                      </w:r>
                      <w:r w:rsidRPr="00E911A4">
                        <w:rPr>
                          <w:b/>
                          <w:sz w:val="12"/>
                          <w:szCs w:val="12"/>
                        </w:rPr>
                        <w:br/>
                        <w:t>+</w:t>
                      </w:r>
                      <w:r w:rsidRPr="00E911A4">
                        <w:rPr>
                          <w:b/>
                          <w:sz w:val="12"/>
                          <w:szCs w:val="12"/>
                        </w:rPr>
                        <w:br/>
                        <w:t>charge du SRSEE</w:t>
                      </w:r>
                    </w:p>
                  </w:txbxContent>
                </v:textbox>
              </v:shape>
            </w:pict>
          </mc:Fallback>
        </mc:AlternateContent>
      </w:r>
      <w:r w:rsidRPr="002C5876">
        <w:rPr>
          <w:noProof/>
          <w:lang w:val="en-GB" w:eastAsia="zh-CN"/>
        </w:rPr>
        <mc:AlternateContent>
          <mc:Choice Requires="wps">
            <w:drawing>
              <wp:anchor distT="0" distB="0" distL="114300" distR="114300" simplePos="0" relativeHeight="251317248" behindDoc="0" locked="0" layoutInCell="1" allowOverlap="1" wp14:anchorId="6E7D5E95" wp14:editId="5AA265BA">
                <wp:simplePos x="0" y="0"/>
                <wp:positionH relativeFrom="column">
                  <wp:posOffset>3002824</wp:posOffset>
                </wp:positionH>
                <wp:positionV relativeFrom="paragraph">
                  <wp:posOffset>1659436</wp:posOffset>
                </wp:positionV>
                <wp:extent cx="832757" cy="136072"/>
                <wp:effectExtent l="0" t="0" r="5715" b="0"/>
                <wp:wrapNone/>
                <wp:docPr id="138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757" cy="136072"/>
                        </a:xfrm>
                        <a:prstGeom prst="rect">
                          <a:avLst/>
                        </a:prstGeom>
                        <a:noFill/>
                        <a:ln w="9525">
                          <a:noFill/>
                          <a:miter lim="800000"/>
                          <a:headEnd/>
                          <a:tailEnd/>
                        </a:ln>
                      </wps:spPr>
                      <wps:txbx>
                        <w:txbxContent>
                          <w:p w:rsidR="00D53F39" w:rsidRPr="001B4A78" w:rsidRDefault="00D53F39" w:rsidP="00E24DB7">
                            <w:pPr>
                              <w:spacing w:line="240" w:lineRule="auto"/>
                              <w:jc w:val="center"/>
                              <w:rPr>
                                <w:b/>
                                <w:sz w:val="12"/>
                                <w:szCs w:val="12"/>
                              </w:rPr>
                            </w:pPr>
                            <w:r w:rsidRPr="001B4A78">
                              <w:rPr>
                                <w:b/>
                                <w:sz w:val="12"/>
                                <w:szCs w:val="12"/>
                              </w:rPr>
                              <w:t>1 cycle d’essai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D5E95" id="_x0000_s1572" type="#_x0000_t202" style="position:absolute;left:0;text-align:left;margin-left:236.45pt;margin-top:130.65pt;width:65.55pt;height:10.7pt;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" filled="f" stroked="f">
                <v:textbox inset="0,0,0,0">
                  <w:txbxContent>
                    <w:p w:rsidR="00D53F39" w:rsidRPr="001B4A78" w:rsidRDefault="00D53F39" w:rsidP="00E24DB7">
                      <w:pPr>
                        <w:spacing w:line="240" w:lineRule="auto"/>
                        <w:jc w:val="center"/>
                        <w:rPr>
                          <w:b/>
                          <w:sz w:val="12"/>
                          <w:szCs w:val="12"/>
                        </w:rPr>
                      </w:pPr>
                      <w:r w:rsidRPr="001B4A78">
                        <w:rPr>
                          <w:b/>
                          <w:sz w:val="12"/>
                          <w:szCs w:val="12"/>
                        </w:rPr>
                        <w:t>1 cycle d’essai applicable</w:t>
                      </w:r>
                    </w:p>
                  </w:txbxContent>
                </v:textbox>
              </v:shape>
            </w:pict>
          </mc:Fallback>
        </mc:AlternateContent>
      </w:r>
      <w:r w:rsidRPr="002C5876">
        <w:rPr>
          <w:noProof/>
          <w:lang w:val="en-GB" w:eastAsia="zh-CN"/>
        </w:rPr>
        <mc:AlternateContent>
          <mc:Choice Requires="wps">
            <w:drawing>
              <wp:anchor distT="0" distB="0" distL="114300" distR="114300" simplePos="0" relativeHeight="251332608" behindDoc="0" locked="0" layoutInCell="1" allowOverlap="1" wp14:anchorId="2325641E" wp14:editId="6C7E9AAD">
                <wp:simplePos x="0" y="0"/>
                <wp:positionH relativeFrom="column">
                  <wp:posOffset>2305685</wp:posOffset>
                </wp:positionH>
                <wp:positionV relativeFrom="paragraph">
                  <wp:posOffset>1325608</wp:posOffset>
                </wp:positionV>
                <wp:extent cx="487680" cy="108585"/>
                <wp:effectExtent l="0" t="0" r="7620" b="5715"/>
                <wp:wrapNone/>
                <wp:docPr id="138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08585"/>
                        </a:xfrm>
                        <a:prstGeom prst="rect">
                          <a:avLst/>
                        </a:prstGeom>
                        <a:noFill/>
                        <a:ln w="9525">
                          <a:noFill/>
                          <a:miter lim="800000"/>
                          <a:headEnd/>
                          <a:tailEnd/>
                        </a:ln>
                      </wps:spPr>
                      <wps:txbx>
                        <w:txbxContent>
                          <w:p w:rsidR="00D53F39" w:rsidRPr="001B4A78" w:rsidRDefault="00D53F39" w:rsidP="00E24DB7">
                            <w:pPr>
                              <w:spacing w:line="240" w:lineRule="auto"/>
                              <w:jc w:val="center"/>
                              <w:rPr>
                                <w:b/>
                                <w:sz w:val="12"/>
                                <w:szCs w:val="12"/>
                              </w:rPr>
                            </w:pPr>
                            <w:r w:rsidRPr="001B4A78">
                              <w:rPr>
                                <w:b/>
                                <w:sz w:val="12"/>
                                <w:szCs w:val="12"/>
                              </w:rPr>
                              <w:t xml:space="preserve">Stabilisation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5641E" id="_x0000_s1573" type="#_x0000_t202" style="position:absolute;left:0;text-align:left;margin-left:181.55pt;margin-top:104.4pt;width:38.4pt;height:8.55pt;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" filled="f" stroked="f">
                <v:textbox inset="0,0,0,0">
                  <w:txbxContent>
                    <w:p w:rsidR="00D53F39" w:rsidRPr="001B4A78" w:rsidRDefault="00D53F39" w:rsidP="00E24DB7">
                      <w:pPr>
                        <w:spacing w:line="240" w:lineRule="auto"/>
                        <w:jc w:val="center"/>
                        <w:rPr>
                          <w:b/>
                          <w:sz w:val="12"/>
                          <w:szCs w:val="12"/>
                        </w:rPr>
                      </w:pPr>
                      <w:r w:rsidRPr="001B4A78">
                        <w:rPr>
                          <w:b/>
                          <w:sz w:val="12"/>
                          <w:szCs w:val="12"/>
                        </w:rPr>
                        <w:t xml:space="preserve">Stabilisation </w:t>
                      </w:r>
                    </w:p>
                  </w:txbxContent>
                </v:textbox>
              </v:shape>
            </w:pict>
          </mc:Fallback>
        </mc:AlternateContent>
      </w:r>
      <w:r w:rsidRPr="002C5876">
        <w:rPr>
          <w:noProof/>
          <w:lang w:val="en-GB" w:eastAsia="zh-CN"/>
        </w:rPr>
        <mc:AlternateContent>
          <mc:Choice Requires="wps">
            <w:drawing>
              <wp:anchor distT="0" distB="0" distL="114300" distR="114300" simplePos="0" relativeHeight="251323392" behindDoc="0" locked="0" layoutInCell="1" allowOverlap="1" wp14:anchorId="5000DF80" wp14:editId="4C8B06B1">
                <wp:simplePos x="0" y="0"/>
                <wp:positionH relativeFrom="column">
                  <wp:posOffset>911588</wp:posOffset>
                </wp:positionH>
                <wp:positionV relativeFrom="paragraph">
                  <wp:posOffset>494030</wp:posOffset>
                </wp:positionV>
                <wp:extent cx="819150" cy="140335"/>
                <wp:effectExtent l="0" t="0" r="0" b="12065"/>
                <wp:wrapNone/>
                <wp:docPr id="138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40335"/>
                        </a:xfrm>
                        <a:prstGeom prst="rect">
                          <a:avLst/>
                        </a:prstGeom>
                        <a:noFill/>
                        <a:ln w="9525">
                          <a:noFill/>
                          <a:miter lim="800000"/>
                          <a:headEnd/>
                          <a:tailEnd/>
                        </a:ln>
                      </wps:spPr>
                      <wps:txbx>
                        <w:txbxContent>
                          <w:p w:rsidR="00D53F39" w:rsidRPr="001B4A78" w:rsidRDefault="00D53F39" w:rsidP="00E24DB7">
                            <w:pPr>
                              <w:spacing w:line="240" w:lineRule="auto"/>
                              <w:jc w:val="center"/>
                              <w:rPr>
                                <w:b/>
                                <w:sz w:val="12"/>
                                <w:szCs w:val="12"/>
                              </w:rPr>
                            </w:pPr>
                            <w:r w:rsidRPr="001B4A78">
                              <w:rPr>
                                <w:b/>
                                <w:sz w:val="12"/>
                                <w:szCs w:val="12"/>
                              </w:rPr>
                              <w:t>Préconditionnement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0DF80" id="_x0000_s1574" type="#_x0000_t202" style="position:absolute;left:0;text-align:left;margin-left:71.8pt;margin-top:38.9pt;width:64.5pt;height:11.05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" filled="f" stroked="f">
                <v:textbox inset="0,0,0,0">
                  <w:txbxContent>
                    <w:p w:rsidR="00D53F39" w:rsidRPr="001B4A78" w:rsidRDefault="00D53F39" w:rsidP="00E24DB7">
                      <w:pPr>
                        <w:spacing w:line="240" w:lineRule="auto"/>
                        <w:jc w:val="center"/>
                        <w:rPr>
                          <w:b/>
                          <w:sz w:val="12"/>
                          <w:szCs w:val="12"/>
                        </w:rPr>
                      </w:pPr>
                      <w:r w:rsidRPr="001B4A78">
                        <w:rPr>
                          <w:b/>
                          <w:sz w:val="12"/>
                          <w:szCs w:val="12"/>
                        </w:rPr>
                        <w:t>Préconditionnement</w:t>
                      </w:r>
                    </w:p>
                  </w:txbxContent>
                </v:textbox>
              </v:shape>
            </w:pict>
          </mc:Fallback>
        </mc:AlternateContent>
      </w:r>
      <w:r w:rsidRPr="002C5876">
        <w:rPr>
          <w:noProof/>
          <w:lang w:val="en-GB" w:eastAsia="zh-CN"/>
        </w:rPr>
        <mc:AlternateContent>
          <mc:Choice Requires="wps">
            <w:drawing>
              <wp:anchor distT="0" distB="0" distL="114300" distR="114300" simplePos="0" relativeHeight="251326464" behindDoc="0" locked="0" layoutInCell="1" allowOverlap="1" wp14:anchorId="0C8CA24D" wp14:editId="0A3B09F7">
                <wp:simplePos x="0" y="0"/>
                <wp:positionH relativeFrom="column">
                  <wp:posOffset>3073581</wp:posOffset>
                </wp:positionH>
                <wp:positionV relativeFrom="paragraph">
                  <wp:posOffset>371656</wp:posOffset>
                </wp:positionV>
                <wp:extent cx="680085" cy="277768"/>
                <wp:effectExtent l="0" t="0" r="5715" b="8255"/>
                <wp:wrapNone/>
                <wp:docPr id="138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277768"/>
                        </a:xfrm>
                        <a:prstGeom prst="rect">
                          <a:avLst/>
                        </a:prstGeom>
                        <a:noFill/>
                        <a:ln w="9525">
                          <a:noFill/>
                          <a:miter lim="800000"/>
                          <a:headEnd/>
                          <a:tailEnd/>
                        </a:ln>
                      </wps:spPr>
                      <wps:txbx>
                        <w:txbxContent>
                          <w:p w:rsidR="00D53F39" w:rsidRPr="00E911A4" w:rsidRDefault="00D53F39" w:rsidP="00E24DB7">
                            <w:pPr>
                              <w:spacing w:line="240" w:lineRule="auto"/>
                              <w:jc w:val="center"/>
                              <w:rPr>
                                <w:b/>
                                <w:sz w:val="12"/>
                                <w:szCs w:val="12"/>
                              </w:rPr>
                            </w:pPr>
                            <w:r w:rsidRPr="00E911A4">
                              <w:rPr>
                                <w:b/>
                                <w:sz w:val="12"/>
                                <w:szCs w:val="12"/>
                              </w:rPr>
                              <w:t xml:space="preserve">Essai de type 1 </w:t>
                            </w:r>
                            <w:r w:rsidRPr="00E911A4">
                              <w:rPr>
                                <w:b/>
                                <w:sz w:val="12"/>
                                <w:szCs w:val="12"/>
                              </w:rPr>
                              <w:br/>
                              <w:t>en mode épuisement 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CA24D" id="_x0000_s1575" type="#_x0000_t202" style="position:absolute;left:0;text-align:left;margin-left:242pt;margin-top:29.25pt;width:53.55pt;height:21.85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" filled="f" stroked="f">
                <v:textbox inset="0,0,0,0">
                  <w:txbxContent>
                    <w:p w:rsidR="00D53F39" w:rsidRPr="00E911A4" w:rsidRDefault="00D53F39" w:rsidP="00E24DB7">
                      <w:pPr>
                        <w:spacing w:line="240" w:lineRule="auto"/>
                        <w:jc w:val="center"/>
                        <w:rPr>
                          <w:b/>
                          <w:sz w:val="12"/>
                          <w:szCs w:val="12"/>
                        </w:rPr>
                      </w:pPr>
                      <w:r w:rsidRPr="00E911A4">
                        <w:rPr>
                          <w:b/>
                          <w:sz w:val="12"/>
                          <w:szCs w:val="12"/>
                        </w:rPr>
                        <w:t xml:space="preserve">Essai de type 1 </w:t>
                      </w:r>
                      <w:r w:rsidRPr="00E911A4">
                        <w:rPr>
                          <w:b/>
                          <w:sz w:val="12"/>
                          <w:szCs w:val="12"/>
                        </w:rPr>
                        <w:br/>
                        <w:t>en mode épuisement de la charge</w:t>
                      </w:r>
                    </w:p>
                  </w:txbxContent>
                </v:textbox>
              </v:shape>
            </w:pict>
          </mc:Fallback>
        </mc:AlternateContent>
      </w:r>
      <w:r w:rsidRPr="002C5876">
        <w:rPr>
          <w:noProof/>
          <w:lang w:val="en-GB" w:eastAsia="zh-CN"/>
        </w:rPr>
        <mc:AlternateContent>
          <mc:Choice Requires="wps">
            <w:drawing>
              <wp:anchor distT="0" distB="0" distL="114300" distR="114300" simplePos="0" relativeHeight="251239424" behindDoc="0" locked="0" layoutInCell="1" allowOverlap="1" wp14:anchorId="15F9FFBB" wp14:editId="32D468D9">
                <wp:simplePos x="0" y="0"/>
                <wp:positionH relativeFrom="column">
                  <wp:posOffset>159385</wp:posOffset>
                </wp:positionH>
                <wp:positionV relativeFrom="paragraph">
                  <wp:posOffset>1759585</wp:posOffset>
                </wp:positionV>
                <wp:extent cx="629920" cy="198120"/>
                <wp:effectExtent l="0" t="0" r="0" b="11430"/>
                <wp:wrapNone/>
                <wp:docPr id="138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8120"/>
                        </a:xfrm>
                        <a:prstGeom prst="rect">
                          <a:avLst/>
                        </a:prstGeom>
                        <a:noFill/>
                        <a:ln w="9525">
                          <a:noFill/>
                          <a:miter lim="800000"/>
                          <a:headEnd/>
                          <a:tailEnd/>
                        </a:ln>
                      </wps:spPr>
                      <wps:txbx>
                        <w:txbxContent>
                          <w:p w:rsidR="00D53F39" w:rsidRPr="001B4A78" w:rsidRDefault="00D53F39" w:rsidP="00E24DB7">
                            <w:pPr>
                              <w:spacing w:line="240" w:lineRule="auto"/>
                              <w:jc w:val="center"/>
                              <w:rPr>
                                <w:b/>
                                <w:sz w:val="12"/>
                                <w:szCs w:val="12"/>
                              </w:rPr>
                            </w:pPr>
                            <w:r w:rsidRPr="001B4A78">
                              <w:rPr>
                                <w:b/>
                                <w:sz w:val="12"/>
                                <w:szCs w:val="12"/>
                              </w:rPr>
                              <w:t>Niveau de 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9FFBB" id="_x0000_s1576" type="#_x0000_t202" style="position:absolute;left:0;text-align:left;margin-left:12.55pt;margin-top:138.55pt;width:49.6pt;height:15.6pt;z-index:2512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" filled="f" stroked="f">
                <v:textbox inset="0,0,0,0">
                  <w:txbxContent>
                    <w:p w:rsidR="00D53F39" w:rsidRPr="001B4A78" w:rsidRDefault="00D53F39" w:rsidP="00E24DB7">
                      <w:pPr>
                        <w:spacing w:line="240" w:lineRule="auto"/>
                        <w:jc w:val="center"/>
                        <w:rPr>
                          <w:b/>
                          <w:sz w:val="12"/>
                          <w:szCs w:val="12"/>
                        </w:rPr>
                      </w:pPr>
                      <w:r w:rsidRPr="001B4A78">
                        <w:rPr>
                          <w:b/>
                          <w:sz w:val="12"/>
                          <w:szCs w:val="12"/>
                        </w:rPr>
                        <w:t>Niveau de charge du SRSEE</w:t>
                      </w:r>
                    </w:p>
                  </w:txbxContent>
                </v:textbox>
              </v:shape>
            </w:pict>
          </mc:Fallback>
        </mc:AlternateContent>
      </w:r>
      <w:r w:rsidRPr="002C5876">
        <w:rPr>
          <w:noProof/>
          <w:lang w:val="en-GB" w:eastAsia="zh-CN"/>
        </w:rPr>
        <mc:AlternateContent>
          <mc:Choice Requires="wps">
            <w:drawing>
              <wp:anchor distT="0" distB="0" distL="114300" distR="114300" simplePos="0" relativeHeight="251245568" behindDoc="0" locked="0" layoutInCell="1" allowOverlap="1" wp14:anchorId="19C7245A" wp14:editId="07CA4A2B">
                <wp:simplePos x="0" y="0"/>
                <wp:positionH relativeFrom="column">
                  <wp:posOffset>1270</wp:posOffset>
                </wp:positionH>
                <wp:positionV relativeFrom="paragraph">
                  <wp:posOffset>2209165</wp:posOffset>
                </wp:positionV>
                <wp:extent cx="485140" cy="326390"/>
                <wp:effectExtent l="0" t="0" r="10160" b="0"/>
                <wp:wrapNone/>
                <wp:docPr id="138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326390"/>
                        </a:xfrm>
                        <a:prstGeom prst="rect">
                          <a:avLst/>
                        </a:prstGeom>
                        <a:noFill/>
                        <a:ln w="9525">
                          <a:noFill/>
                          <a:miter lim="800000"/>
                          <a:headEnd/>
                          <a:tailEnd/>
                        </a:ln>
                      </wps:spPr>
                      <wps:txbx>
                        <w:txbxContent>
                          <w:p w:rsidR="00D53F39" w:rsidRPr="001721A1" w:rsidRDefault="00D53F39" w:rsidP="00E24DB7">
                            <w:pPr>
                              <w:spacing w:line="240" w:lineRule="auto"/>
                              <w:jc w:val="center"/>
                              <w:rPr>
                                <w:b/>
                                <w:sz w:val="12"/>
                                <w:szCs w:val="12"/>
                              </w:rPr>
                            </w:pPr>
                            <w:r w:rsidRPr="001721A1">
                              <w:rPr>
                                <w:b/>
                                <w:sz w:val="12"/>
                                <w:szCs w:val="12"/>
                              </w:rPr>
                              <w:t>SRSEE 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7245A" id="_x0000_s1577" type="#_x0000_t202" style="position:absolute;left:0;text-align:left;margin-left:.1pt;margin-top:173.95pt;width:38.2pt;height:25.7pt;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" filled="f" stroked="f">
                <v:textbox inset="0,0,0,0">
                  <w:txbxContent>
                    <w:p w:rsidR="00D53F39" w:rsidRPr="001721A1" w:rsidRDefault="00D53F39" w:rsidP="00E24DB7">
                      <w:pPr>
                        <w:spacing w:line="240" w:lineRule="auto"/>
                        <w:jc w:val="center"/>
                        <w:rPr>
                          <w:b/>
                          <w:sz w:val="12"/>
                          <w:szCs w:val="12"/>
                        </w:rPr>
                      </w:pPr>
                      <w:r w:rsidRPr="001721A1">
                        <w:rPr>
                          <w:b/>
                          <w:sz w:val="12"/>
                          <w:szCs w:val="12"/>
                        </w:rPr>
                        <w:t>SRSEE complétement chargé</w:t>
                      </w:r>
                    </w:p>
                  </w:txbxContent>
                </v:textbox>
              </v:shape>
            </w:pict>
          </mc:Fallback>
        </mc:AlternateContent>
      </w:r>
      <w:r w:rsidRPr="002C5876">
        <w:rPr>
          <w:noProof/>
          <w:lang w:val="en-GB" w:eastAsia="zh-CN"/>
        </w:rPr>
        <mc:AlternateContent>
          <mc:Choice Requires="wps">
            <w:drawing>
              <wp:anchor distT="0" distB="0" distL="114300" distR="114300" simplePos="0" relativeHeight="251260928" behindDoc="0" locked="0" layoutInCell="1" allowOverlap="1" wp14:anchorId="768C134F" wp14:editId="76CDA6AC">
                <wp:simplePos x="0" y="0"/>
                <wp:positionH relativeFrom="column">
                  <wp:posOffset>1153160</wp:posOffset>
                </wp:positionH>
                <wp:positionV relativeFrom="paragraph">
                  <wp:posOffset>3347085</wp:posOffset>
                </wp:positionV>
                <wp:extent cx="629920" cy="142240"/>
                <wp:effectExtent l="0" t="0" r="0" b="0"/>
                <wp:wrapNone/>
                <wp:docPr id="138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2240"/>
                        </a:xfrm>
                        <a:prstGeom prst="rect">
                          <a:avLst/>
                        </a:prstGeom>
                        <a:solidFill>
                          <a:srgbClr val="FFFFFF"/>
                        </a:solidFill>
                        <a:ln w="9525">
                          <a:noFill/>
                          <a:miter lim="800000"/>
                          <a:headEnd/>
                          <a:tailEnd/>
                        </a:ln>
                      </wps:spPr>
                      <wps:txbx>
                        <w:txbxContent>
                          <w:p w:rsidR="00D53F39" w:rsidRPr="009D55C9" w:rsidRDefault="00D53F39" w:rsidP="00E24DB7">
                            <w:pPr>
                              <w:spacing w:line="240" w:lineRule="auto"/>
                              <w:jc w:val="center"/>
                              <w:rPr>
                                <w:b/>
                                <w:sz w:val="12"/>
                                <w:szCs w:val="12"/>
                              </w:rPr>
                            </w:pPr>
                            <w:r>
                              <w:rPr>
                                <w:b/>
                                <w:sz w:val="12"/>
                                <w:szCs w:val="12"/>
                              </w:rPr>
                              <w:t>C</w:t>
                            </w:r>
                            <w:r w:rsidRPr="009D55C9">
                              <w:rPr>
                                <w:b/>
                                <w:sz w:val="12"/>
                                <w:szCs w:val="12"/>
                              </w:rPr>
                              <w:t xml:space="preserve">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C134F" id="_x0000_s1578" type="#_x0000_t202" style="position:absolute;left:0;text-align:left;margin-left:90.8pt;margin-top:263.55pt;width:49.6pt;height:11.2pt;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" stroked="f">
                <v:textbox inset="0,0,0,0">
                  <w:txbxContent>
                    <w:p w:rsidR="00D53F39" w:rsidRPr="009D55C9" w:rsidRDefault="00D53F39" w:rsidP="00E24DB7">
                      <w:pPr>
                        <w:spacing w:line="240" w:lineRule="auto"/>
                        <w:jc w:val="center"/>
                        <w:rPr>
                          <w:b/>
                          <w:sz w:val="12"/>
                          <w:szCs w:val="12"/>
                        </w:rPr>
                      </w:pPr>
                      <w:r>
                        <w:rPr>
                          <w:b/>
                          <w:sz w:val="12"/>
                          <w:szCs w:val="12"/>
                        </w:rPr>
                        <w:t>C</w:t>
                      </w:r>
                      <w:r w:rsidRPr="009D55C9">
                        <w:rPr>
                          <w:b/>
                          <w:sz w:val="12"/>
                          <w:szCs w:val="12"/>
                        </w:rPr>
                        <w:t xml:space="preserve">harge </w:t>
                      </w:r>
                    </w:p>
                  </w:txbxContent>
                </v:textbox>
              </v:shape>
            </w:pict>
          </mc:Fallback>
        </mc:AlternateContent>
      </w:r>
      <w:r w:rsidRPr="002C5876">
        <w:rPr>
          <w:noProof/>
          <w:lang w:val="en-GB" w:eastAsia="zh-CN"/>
        </w:rPr>
        <mc:AlternateContent>
          <mc:Choice Requires="wps">
            <w:drawing>
              <wp:anchor distT="0" distB="0" distL="114300" distR="114300" simplePos="0" relativeHeight="251267072" behindDoc="0" locked="0" layoutInCell="1" allowOverlap="1" wp14:anchorId="4A8000C1" wp14:editId="2BA9D816">
                <wp:simplePos x="0" y="0"/>
                <wp:positionH relativeFrom="column">
                  <wp:posOffset>1827530</wp:posOffset>
                </wp:positionH>
                <wp:positionV relativeFrom="paragraph">
                  <wp:posOffset>3115310</wp:posOffset>
                </wp:positionV>
                <wp:extent cx="680085" cy="189865"/>
                <wp:effectExtent l="0" t="0" r="5715" b="635"/>
                <wp:wrapNone/>
                <wp:docPr id="138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89865"/>
                        </a:xfrm>
                        <a:prstGeom prst="rect">
                          <a:avLst/>
                        </a:prstGeom>
                        <a:noFill/>
                        <a:ln w="9525">
                          <a:noFill/>
                          <a:miter lim="800000"/>
                          <a:headEnd/>
                          <a:tailEnd/>
                        </a:ln>
                      </wps:spPr>
                      <wps:txbx>
                        <w:txbxContent>
                          <w:p w:rsidR="00D53F39" w:rsidRPr="001721A1" w:rsidRDefault="00D53F39" w:rsidP="00E24DB7">
                            <w:pPr>
                              <w:spacing w:line="240" w:lineRule="auto"/>
                              <w:jc w:val="center"/>
                              <w:rPr>
                                <w:b/>
                                <w:sz w:val="12"/>
                                <w:szCs w:val="12"/>
                              </w:rPr>
                            </w:pPr>
                            <w:r w:rsidRPr="001721A1">
                              <w:rPr>
                                <w:b/>
                                <w:sz w:val="12"/>
                                <w:szCs w:val="12"/>
                              </w:rPr>
                              <w:t xml:space="preserve">Cycle d’essai </w:t>
                            </w:r>
                            <w:r w:rsidRPr="001721A1">
                              <w:rPr>
                                <w:b/>
                                <w:sz w:val="12"/>
                                <w:szCs w:val="12"/>
                              </w:rPr>
                              <w:br/>
                              <w:t>applicable n-2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000C1" id="_x0000_s1579" type="#_x0000_t202" style="position:absolute;left:0;text-align:left;margin-left:143.9pt;margin-top:245.3pt;width:53.55pt;height:14.95pt;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" filled="f" stroked="f">
                <v:textbox inset="0,0,0,0">
                  <w:txbxContent>
                    <w:p w:rsidR="00D53F39" w:rsidRPr="001721A1" w:rsidRDefault="00D53F39" w:rsidP="00E24DB7">
                      <w:pPr>
                        <w:spacing w:line="240" w:lineRule="auto"/>
                        <w:jc w:val="center"/>
                        <w:rPr>
                          <w:b/>
                          <w:sz w:val="12"/>
                          <w:szCs w:val="12"/>
                        </w:rPr>
                      </w:pPr>
                      <w:r w:rsidRPr="001721A1">
                        <w:rPr>
                          <w:b/>
                          <w:sz w:val="12"/>
                          <w:szCs w:val="12"/>
                        </w:rPr>
                        <w:t xml:space="preserve">Cycle d’essai </w:t>
                      </w:r>
                      <w:r w:rsidRPr="001721A1">
                        <w:rPr>
                          <w:b/>
                          <w:sz w:val="12"/>
                          <w:szCs w:val="12"/>
                        </w:rPr>
                        <w:br/>
                        <w:t>applicable n-2</w:t>
                      </w:r>
                    </w:p>
                  </w:txbxContent>
                </v:textbox>
              </v:shape>
            </w:pict>
          </mc:Fallback>
        </mc:AlternateContent>
      </w:r>
      <w:r w:rsidRPr="002C5876">
        <w:rPr>
          <w:noProof/>
          <w:lang w:val="en-GB" w:eastAsia="zh-CN"/>
        </w:rPr>
        <mc:AlternateContent>
          <mc:Choice Requires="wps">
            <w:drawing>
              <wp:anchor distT="0" distB="0" distL="114300" distR="114300" simplePos="0" relativeHeight="251270144" behindDoc="0" locked="0" layoutInCell="1" allowOverlap="1" wp14:anchorId="2DD39404" wp14:editId="28E236FF">
                <wp:simplePos x="0" y="0"/>
                <wp:positionH relativeFrom="column">
                  <wp:posOffset>2540000</wp:posOffset>
                </wp:positionH>
                <wp:positionV relativeFrom="paragraph">
                  <wp:posOffset>3110230</wp:posOffset>
                </wp:positionV>
                <wp:extent cx="680085" cy="189865"/>
                <wp:effectExtent l="0" t="0" r="5715" b="635"/>
                <wp:wrapNone/>
                <wp:docPr id="138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89865"/>
                        </a:xfrm>
                        <a:prstGeom prst="rect">
                          <a:avLst/>
                        </a:prstGeom>
                        <a:noFill/>
                        <a:ln w="9525">
                          <a:noFill/>
                          <a:miter lim="800000"/>
                          <a:headEnd/>
                          <a:tailEnd/>
                        </a:ln>
                      </wps:spPr>
                      <wps:txbx>
                        <w:txbxContent>
                          <w:p w:rsidR="00D53F39" w:rsidRPr="001721A1" w:rsidRDefault="00D53F39" w:rsidP="00E24DB7">
                            <w:pPr>
                              <w:spacing w:line="240" w:lineRule="auto"/>
                              <w:jc w:val="center"/>
                              <w:rPr>
                                <w:b/>
                                <w:sz w:val="12"/>
                                <w:szCs w:val="12"/>
                              </w:rPr>
                            </w:pPr>
                            <w:r w:rsidRPr="001721A1">
                              <w:rPr>
                                <w:b/>
                                <w:sz w:val="12"/>
                                <w:szCs w:val="12"/>
                              </w:rPr>
                              <w:t xml:space="preserve">Cycle d’essai </w:t>
                            </w:r>
                            <w:r w:rsidRPr="001721A1">
                              <w:rPr>
                                <w:b/>
                                <w:sz w:val="12"/>
                                <w:szCs w:val="12"/>
                              </w:rPr>
                              <w:br/>
                              <w:t>applicable n-1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39404" id="_x0000_s1580" type="#_x0000_t202" style="position:absolute;left:0;text-align:left;margin-left:200pt;margin-top:244.9pt;width:53.55pt;height:14.95pt;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" filled="f" stroked="f">
                <v:textbox inset="0,0,0,0">
                  <w:txbxContent>
                    <w:p w:rsidR="00D53F39" w:rsidRPr="001721A1" w:rsidRDefault="00D53F39" w:rsidP="00E24DB7">
                      <w:pPr>
                        <w:spacing w:line="240" w:lineRule="auto"/>
                        <w:jc w:val="center"/>
                        <w:rPr>
                          <w:b/>
                          <w:sz w:val="12"/>
                          <w:szCs w:val="12"/>
                        </w:rPr>
                      </w:pPr>
                      <w:r w:rsidRPr="001721A1">
                        <w:rPr>
                          <w:b/>
                          <w:sz w:val="12"/>
                          <w:szCs w:val="12"/>
                        </w:rPr>
                        <w:t xml:space="preserve">Cycle d’essai </w:t>
                      </w:r>
                      <w:r w:rsidRPr="001721A1">
                        <w:rPr>
                          <w:b/>
                          <w:sz w:val="12"/>
                          <w:szCs w:val="12"/>
                        </w:rPr>
                        <w:br/>
                        <w:t>applicable n-1</w:t>
                      </w:r>
                    </w:p>
                  </w:txbxContent>
                </v:textbox>
              </v:shape>
            </w:pict>
          </mc:Fallback>
        </mc:AlternateContent>
      </w:r>
      <w:r w:rsidRPr="002C5876">
        <w:rPr>
          <w:noProof/>
          <w:lang w:val="en-GB" w:eastAsia="zh-CN"/>
        </w:rPr>
        <mc:AlternateContent>
          <mc:Choice Requires="wps">
            <w:drawing>
              <wp:anchor distT="0" distB="0" distL="114300" distR="114300" simplePos="0" relativeHeight="251387904" behindDoc="0" locked="0" layoutInCell="1" allowOverlap="1" wp14:anchorId="09648A70" wp14:editId="711FAE32">
                <wp:simplePos x="0" y="0"/>
                <wp:positionH relativeFrom="column">
                  <wp:posOffset>2552065</wp:posOffset>
                </wp:positionH>
                <wp:positionV relativeFrom="paragraph">
                  <wp:posOffset>3367405</wp:posOffset>
                </wp:positionV>
                <wp:extent cx="680085" cy="157480"/>
                <wp:effectExtent l="0" t="0" r="5715" b="13970"/>
                <wp:wrapNone/>
                <wp:docPr id="138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57480"/>
                        </a:xfrm>
                        <a:prstGeom prst="rect">
                          <a:avLst/>
                        </a:prstGeom>
                        <a:noFill/>
                        <a:ln w="9525">
                          <a:noFill/>
                          <a:miter lim="800000"/>
                          <a:headEnd/>
                          <a:tailEnd/>
                        </a:ln>
                      </wps:spPr>
                      <wps:txbx>
                        <w:txbxContent>
                          <w:p w:rsidR="00D53F39" w:rsidRPr="00E911A4" w:rsidRDefault="00D53F39" w:rsidP="00E24DB7">
                            <w:pPr>
                              <w:spacing w:line="100" w:lineRule="exact"/>
                              <w:jc w:val="center"/>
                              <w:rPr>
                                <w:b/>
                                <w:sz w:val="10"/>
                                <w:szCs w:val="10"/>
                              </w:rPr>
                            </w:pPr>
                            <w:r w:rsidRPr="00E911A4">
                              <w:rPr>
                                <w:b/>
                                <w:sz w:val="10"/>
                                <w:szCs w:val="10"/>
                              </w:rPr>
                              <w:t>Essai de type 1 en mode épuisement 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48A70" id="_x0000_s1581" type="#_x0000_t202" style="position:absolute;left:0;text-align:left;margin-left:200.95pt;margin-top:265.15pt;width:53.55pt;height:12.4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" filled="f" stroked="f">
                <v:textbox inset="0,0,0,0">
                  <w:txbxContent>
                    <w:p w:rsidR="00D53F39" w:rsidRPr="00E911A4" w:rsidRDefault="00D53F39" w:rsidP="00E24DB7">
                      <w:pPr>
                        <w:spacing w:line="100" w:lineRule="exact"/>
                        <w:jc w:val="center"/>
                        <w:rPr>
                          <w:b/>
                          <w:sz w:val="10"/>
                          <w:szCs w:val="10"/>
                        </w:rPr>
                      </w:pPr>
                      <w:r w:rsidRPr="00E911A4">
                        <w:rPr>
                          <w:b/>
                          <w:sz w:val="10"/>
                          <w:szCs w:val="10"/>
                        </w:rPr>
                        <w:t>Essai de type 1 en mode épuisement de la charge</w:t>
                      </w:r>
                    </w:p>
                  </w:txbxContent>
                </v:textbox>
              </v:shape>
            </w:pict>
          </mc:Fallback>
        </mc:AlternateContent>
      </w:r>
      <w:r w:rsidRPr="002C5876">
        <w:rPr>
          <w:noProof/>
          <w:lang w:val="en-GB" w:eastAsia="zh-CN"/>
        </w:rPr>
        <mc:AlternateContent>
          <mc:Choice Requires="wps">
            <w:drawing>
              <wp:anchor distT="0" distB="0" distL="114300" distR="114300" simplePos="0" relativeHeight="251390976" behindDoc="0" locked="0" layoutInCell="1" allowOverlap="1" wp14:anchorId="676AA740" wp14:editId="019F4275">
                <wp:simplePos x="0" y="0"/>
                <wp:positionH relativeFrom="column">
                  <wp:posOffset>1294130</wp:posOffset>
                </wp:positionH>
                <wp:positionV relativeFrom="paragraph">
                  <wp:posOffset>2576195</wp:posOffset>
                </wp:positionV>
                <wp:extent cx="628650" cy="100330"/>
                <wp:effectExtent l="0" t="2540" r="0" b="0"/>
                <wp:wrapNone/>
                <wp:docPr id="138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8650" cy="100330"/>
                        </a:xfrm>
                        <a:prstGeom prst="rect">
                          <a:avLst/>
                        </a:prstGeom>
                        <a:noFill/>
                        <a:ln w="9525">
                          <a:noFill/>
                          <a:miter lim="800000"/>
                          <a:headEnd/>
                          <a:tailEnd/>
                        </a:ln>
                      </wps:spPr>
                      <wps:txbx>
                        <w:txbxContent>
                          <w:p w:rsidR="00D53F39" w:rsidRPr="00213906" w:rsidRDefault="00D53F39" w:rsidP="00E24DB7">
                            <w:pPr>
                              <w:spacing w:line="240" w:lineRule="auto"/>
                              <w:rPr>
                                <w:b/>
                                <w:color w:val="FFC000"/>
                                <w:sz w:val="10"/>
                                <w:szCs w:val="10"/>
                              </w:rPr>
                            </w:pPr>
                            <w:r w:rsidRPr="00213906">
                              <w:rPr>
                                <w:b/>
                                <w:color w:val="FFC000"/>
                                <w:sz w:val="10"/>
                                <w:szCs w:val="10"/>
                              </w:rPr>
                              <w:t>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AA740" id="_x0000_s1582" type="#_x0000_t202" style="position:absolute;left:0;text-align:left;margin-left:101.9pt;margin-top:202.85pt;width:49.5pt;height:7.9pt;rotation:-90;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" filled="f" stroked="f">
                <v:textbox inset="0,0,0,0">
                  <w:txbxContent>
                    <w:p w:rsidR="00D53F39" w:rsidRPr="00213906" w:rsidRDefault="00D53F39" w:rsidP="00E24DB7">
                      <w:pPr>
                        <w:spacing w:line="240" w:lineRule="auto"/>
                        <w:rPr>
                          <w:b/>
                          <w:color w:val="FFC000"/>
                          <w:sz w:val="10"/>
                          <w:szCs w:val="10"/>
                        </w:rPr>
                      </w:pPr>
                      <w:r w:rsidRPr="00213906">
                        <w:rPr>
                          <w:b/>
                          <w:color w:val="FFC000"/>
                          <w:sz w:val="10"/>
                          <w:szCs w:val="10"/>
                        </w:rPr>
                        <w:t>Complétement chargé</w:t>
                      </w:r>
                    </w:p>
                  </w:txbxContent>
                </v:textbox>
              </v:shape>
            </w:pict>
          </mc:Fallback>
        </mc:AlternateContent>
      </w:r>
      <w:r w:rsidRPr="002C5876">
        <w:rPr>
          <w:noProof/>
          <w:lang w:val="en-GB" w:eastAsia="zh-CN"/>
        </w:rPr>
        <mc:AlternateContent>
          <mc:Choice Requires="wps">
            <w:drawing>
              <wp:anchor distT="0" distB="0" distL="114300" distR="114300" simplePos="0" relativeHeight="251394048" behindDoc="0" locked="0" layoutInCell="1" allowOverlap="1" wp14:anchorId="55C52DD0" wp14:editId="087B5DF5">
                <wp:simplePos x="0" y="0"/>
                <wp:positionH relativeFrom="column">
                  <wp:posOffset>1828800</wp:posOffset>
                </wp:positionH>
                <wp:positionV relativeFrom="paragraph">
                  <wp:posOffset>2489200</wp:posOffset>
                </wp:positionV>
                <wp:extent cx="628650" cy="230505"/>
                <wp:effectExtent l="0" t="0" r="0" b="0"/>
                <wp:wrapNone/>
                <wp:docPr id="138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30505"/>
                        </a:xfrm>
                        <a:prstGeom prst="rect">
                          <a:avLst/>
                        </a:prstGeom>
                        <a:noFill/>
                        <a:ln w="9525">
                          <a:noFill/>
                          <a:miter lim="800000"/>
                          <a:headEnd/>
                          <a:tailEnd/>
                        </a:ln>
                      </wps:spPr>
                      <wps:txbx>
                        <w:txbxContent>
                          <w:p w:rsidR="00D53F39" w:rsidRPr="00E911A4" w:rsidRDefault="00D53F39" w:rsidP="00E24DB7">
                            <w:pPr>
                              <w:spacing w:line="100" w:lineRule="exact"/>
                              <w:jc w:val="center"/>
                              <w:rPr>
                                <w:b/>
                                <w:color w:val="00B0F0"/>
                                <w:sz w:val="10"/>
                                <w:szCs w:val="10"/>
                              </w:rPr>
                            </w:pPr>
                            <w:r w:rsidRPr="00E911A4">
                              <w:rPr>
                                <w:b/>
                                <w:color w:val="00B0F0"/>
                                <w:sz w:val="10"/>
                                <w:szCs w:val="10"/>
                              </w:rPr>
                              <w:t xml:space="preserve">Premier démarrage </w:t>
                            </w:r>
                            <w:r w:rsidRPr="00E911A4">
                              <w:rPr>
                                <w:b/>
                                <w:color w:val="00B0F0"/>
                                <w:sz w:val="10"/>
                                <w:szCs w:val="10"/>
                              </w:rPr>
                              <w:br/>
                              <w:t xml:space="preserve">du moteur à </w:t>
                            </w:r>
                            <w:r w:rsidRPr="00E911A4">
                              <w:rPr>
                                <w:b/>
                                <w:color w:val="00B0F0"/>
                                <w:sz w:val="10"/>
                                <w:szCs w:val="10"/>
                              </w:rPr>
                              <w:br/>
                              <w:t>combustion interne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52DD0" id="_x0000_s1583" type="#_x0000_t202" style="position:absolute;left:0;text-align:left;margin-left:2in;margin-top:196pt;width:49.5pt;height:18.15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" filled="f" stroked="f">
                <v:textbox inset="0,0,0,0">
                  <w:txbxContent>
                    <w:p w:rsidR="00D53F39" w:rsidRPr="00E911A4" w:rsidRDefault="00D53F39" w:rsidP="00E24DB7">
                      <w:pPr>
                        <w:spacing w:line="100" w:lineRule="exact"/>
                        <w:jc w:val="center"/>
                        <w:rPr>
                          <w:b/>
                          <w:color w:val="00B0F0"/>
                          <w:sz w:val="10"/>
                          <w:szCs w:val="10"/>
                        </w:rPr>
                      </w:pPr>
                      <w:r w:rsidRPr="00E911A4">
                        <w:rPr>
                          <w:b/>
                          <w:color w:val="00B0F0"/>
                          <w:sz w:val="10"/>
                          <w:szCs w:val="10"/>
                        </w:rPr>
                        <w:t xml:space="preserve">Premier démarrage </w:t>
                      </w:r>
                      <w:r w:rsidRPr="00E911A4">
                        <w:rPr>
                          <w:b/>
                          <w:color w:val="00B0F0"/>
                          <w:sz w:val="10"/>
                          <w:szCs w:val="10"/>
                        </w:rPr>
                        <w:br/>
                        <w:t xml:space="preserve">du moteur à </w:t>
                      </w:r>
                      <w:r w:rsidRPr="00E911A4">
                        <w:rPr>
                          <w:b/>
                          <w:color w:val="00B0F0"/>
                          <w:sz w:val="10"/>
                          <w:szCs w:val="10"/>
                        </w:rPr>
                        <w:br/>
                        <w:t>combustion interne</w:t>
                      </w:r>
                    </w:p>
                  </w:txbxContent>
                </v:textbox>
              </v:shape>
            </w:pict>
          </mc:Fallback>
        </mc:AlternateContent>
      </w:r>
      <w:r w:rsidRPr="002C5876">
        <w:rPr>
          <w:noProof/>
          <w:lang w:val="en-GB" w:eastAsia="zh-CN"/>
        </w:rPr>
        <mc:AlternateContent>
          <mc:Choice Requires="wps">
            <w:drawing>
              <wp:anchor distT="0" distB="0" distL="114300" distR="114300" simplePos="0" relativeHeight="251397120" behindDoc="0" locked="0" layoutInCell="1" allowOverlap="1" wp14:anchorId="7FD03354" wp14:editId="714E079D">
                <wp:simplePos x="0" y="0"/>
                <wp:positionH relativeFrom="column">
                  <wp:posOffset>4957445</wp:posOffset>
                </wp:positionH>
                <wp:positionV relativeFrom="paragraph">
                  <wp:posOffset>3347085</wp:posOffset>
                </wp:positionV>
                <wp:extent cx="629920" cy="142240"/>
                <wp:effectExtent l="0" t="0" r="0" b="0"/>
                <wp:wrapNone/>
                <wp:docPr id="138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2240"/>
                        </a:xfrm>
                        <a:prstGeom prst="rect">
                          <a:avLst/>
                        </a:prstGeom>
                        <a:solidFill>
                          <a:srgbClr val="FFFFFF"/>
                        </a:solidFill>
                        <a:ln w="9525">
                          <a:noFill/>
                          <a:miter lim="800000"/>
                          <a:headEnd/>
                          <a:tailEnd/>
                        </a:ln>
                      </wps:spPr>
                      <wps:txbx>
                        <w:txbxContent>
                          <w:p w:rsidR="00D53F39" w:rsidRPr="009D55C9" w:rsidRDefault="00D53F39" w:rsidP="00E24DB7">
                            <w:pPr>
                              <w:spacing w:line="240" w:lineRule="auto"/>
                              <w:jc w:val="center"/>
                              <w:rPr>
                                <w:b/>
                                <w:sz w:val="12"/>
                                <w:szCs w:val="12"/>
                              </w:rPr>
                            </w:pPr>
                            <w:r>
                              <w:rPr>
                                <w:b/>
                                <w:sz w:val="12"/>
                                <w:szCs w:val="12"/>
                              </w:rPr>
                              <w:t>C</w:t>
                            </w:r>
                            <w:r w:rsidRPr="009D55C9">
                              <w:rPr>
                                <w:b/>
                                <w:sz w:val="12"/>
                                <w:szCs w:val="12"/>
                              </w:rPr>
                              <w:t xml:space="preserve">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03354" id="_x0000_s1584" type="#_x0000_t202" style="position:absolute;left:0;text-align:left;margin-left:390.35pt;margin-top:263.55pt;width:49.6pt;height:11.2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" stroked="f">
                <v:textbox inset="0,0,0,0">
                  <w:txbxContent>
                    <w:p w:rsidR="00D53F39" w:rsidRPr="009D55C9" w:rsidRDefault="00D53F39" w:rsidP="00E24DB7">
                      <w:pPr>
                        <w:spacing w:line="240" w:lineRule="auto"/>
                        <w:jc w:val="center"/>
                        <w:rPr>
                          <w:b/>
                          <w:sz w:val="12"/>
                          <w:szCs w:val="12"/>
                        </w:rPr>
                      </w:pPr>
                      <w:r>
                        <w:rPr>
                          <w:b/>
                          <w:sz w:val="12"/>
                          <w:szCs w:val="12"/>
                        </w:rPr>
                        <w:t>C</w:t>
                      </w:r>
                      <w:r w:rsidRPr="009D55C9">
                        <w:rPr>
                          <w:b/>
                          <w:sz w:val="12"/>
                          <w:szCs w:val="12"/>
                        </w:rPr>
                        <w:t xml:space="preserve">harge </w:t>
                      </w:r>
                    </w:p>
                  </w:txbxContent>
                </v:textbox>
              </v:shape>
            </w:pict>
          </mc:Fallback>
        </mc:AlternateContent>
      </w:r>
      <w:r w:rsidRPr="002C5876">
        <w:rPr>
          <w:noProof/>
          <w:lang w:val="en-GB" w:eastAsia="zh-CN"/>
        </w:rPr>
        <mc:AlternateContent>
          <mc:Choice Requires="wps">
            <w:drawing>
              <wp:anchor distT="0" distB="0" distL="114300" distR="114300" simplePos="0" relativeHeight="251400192" behindDoc="0" locked="0" layoutInCell="1" allowOverlap="1" wp14:anchorId="5986F3AA" wp14:editId="293EB4AC">
                <wp:simplePos x="0" y="0"/>
                <wp:positionH relativeFrom="column">
                  <wp:posOffset>4676140</wp:posOffset>
                </wp:positionH>
                <wp:positionV relativeFrom="paragraph">
                  <wp:posOffset>1960245</wp:posOffset>
                </wp:positionV>
                <wp:extent cx="280670" cy="201295"/>
                <wp:effectExtent l="0" t="0" r="5080" b="8255"/>
                <wp:wrapNone/>
                <wp:docPr id="138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01295"/>
                        </a:xfrm>
                        <a:prstGeom prst="rect">
                          <a:avLst/>
                        </a:prstGeom>
                        <a:noFill/>
                        <a:ln w="9525">
                          <a:noFill/>
                          <a:miter lim="800000"/>
                          <a:headEnd/>
                          <a:tailEnd/>
                        </a:ln>
                      </wps:spPr>
                      <wps:txbx>
                        <w:txbxContent>
                          <w:p w:rsidR="00D53F39" w:rsidRPr="001B4A78" w:rsidRDefault="00D53F39" w:rsidP="00E24DB7">
                            <w:pPr>
                              <w:spacing w:line="240" w:lineRule="auto"/>
                              <w:jc w:val="center"/>
                              <w:rPr>
                                <w:b/>
                                <w:sz w:val="12"/>
                                <w:szCs w:val="12"/>
                              </w:rPr>
                            </w:pPr>
                            <w:r w:rsidRPr="001B4A78">
                              <w:rPr>
                                <w:b/>
                                <w:sz w:val="12"/>
                                <w:szCs w:val="12"/>
                              </w:rPr>
                              <w:t>120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6F3AA" id="_x0000_s1585" type="#_x0000_t202" style="position:absolute;left:0;text-align:left;margin-left:368.2pt;margin-top:154.35pt;width:22.1pt;height:15.85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" filled="f" stroked="f">
                <v:textbox inset="0,0,0,0">
                  <w:txbxContent>
                    <w:p w:rsidR="00D53F39" w:rsidRPr="001B4A78" w:rsidRDefault="00D53F39" w:rsidP="00E24DB7">
                      <w:pPr>
                        <w:spacing w:line="240" w:lineRule="auto"/>
                        <w:jc w:val="center"/>
                        <w:rPr>
                          <w:b/>
                          <w:sz w:val="12"/>
                          <w:szCs w:val="12"/>
                        </w:rPr>
                      </w:pPr>
                      <w:r w:rsidRPr="001B4A78">
                        <w:rPr>
                          <w:b/>
                          <w:sz w:val="12"/>
                          <w:szCs w:val="12"/>
                        </w:rPr>
                        <w:t>120 min max.</w:t>
                      </w:r>
                    </w:p>
                  </w:txbxContent>
                </v:textbox>
              </v:shape>
            </w:pict>
          </mc:Fallback>
        </mc:AlternateContent>
      </w:r>
      <w:r w:rsidRPr="002C5876">
        <w:rPr>
          <w:noProof/>
          <w:lang w:val="en-GB" w:eastAsia="zh-CN"/>
        </w:rPr>
        <mc:AlternateContent>
          <mc:Choice Requires="wps">
            <w:drawing>
              <wp:anchor distT="0" distB="0" distL="114300" distR="114300" simplePos="0" relativeHeight="251403264" behindDoc="0" locked="0" layoutInCell="1" allowOverlap="1" wp14:anchorId="65A6043F" wp14:editId="2CFDD5F4">
                <wp:simplePos x="0" y="0"/>
                <wp:positionH relativeFrom="column">
                  <wp:posOffset>5358130</wp:posOffset>
                </wp:positionH>
                <wp:positionV relativeFrom="paragraph">
                  <wp:posOffset>2460625</wp:posOffset>
                </wp:positionV>
                <wp:extent cx="655320" cy="308610"/>
                <wp:effectExtent l="1905" t="0" r="13335" b="13335"/>
                <wp:wrapNone/>
                <wp:docPr id="138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55320" cy="308610"/>
                        </a:xfrm>
                        <a:prstGeom prst="rect">
                          <a:avLst/>
                        </a:prstGeom>
                        <a:noFill/>
                        <a:ln w="9525">
                          <a:noFill/>
                          <a:miter lim="800000"/>
                          <a:headEnd/>
                          <a:tailEnd/>
                        </a:ln>
                      </wps:spPr>
                      <wps:txbx>
                        <w:txbxContent>
                          <w:p w:rsidR="00D53F39" w:rsidRPr="00E911A4" w:rsidRDefault="00D53F39" w:rsidP="00E24DB7">
                            <w:pPr>
                              <w:spacing w:line="240" w:lineRule="auto"/>
                              <w:jc w:val="center"/>
                              <w:rPr>
                                <w:b/>
                                <w:sz w:val="10"/>
                                <w:szCs w:val="10"/>
                              </w:rPr>
                            </w:pPr>
                            <w:r w:rsidRPr="00E911A4">
                              <w:rPr>
                                <w:b/>
                                <w:sz w:val="10"/>
                                <w:szCs w:val="10"/>
                              </w:rPr>
                              <w:t>E</w:t>
                            </w:r>
                            <w:r w:rsidRPr="00E911A4">
                              <w:rPr>
                                <w:b/>
                                <w:sz w:val="10"/>
                                <w:szCs w:val="10"/>
                                <w:vertAlign w:val="subscript"/>
                              </w:rPr>
                              <w:t xml:space="preserve">AC </w:t>
                            </w:r>
                            <w:r w:rsidRPr="00E911A4">
                              <w:rPr>
                                <w:b/>
                                <w:sz w:val="10"/>
                                <w:szCs w:val="10"/>
                              </w:rPr>
                              <w:br/>
                              <w:t xml:space="preserve">(recharge d’énergie </w:t>
                            </w:r>
                            <w:r w:rsidRPr="00E911A4">
                              <w:rPr>
                                <w:b/>
                                <w:sz w:val="10"/>
                                <w:szCs w:val="10"/>
                              </w:rPr>
                              <w:br/>
                              <w:t>sur le secteur)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6043F" id="_x0000_s1586" type="#_x0000_t202" style="position:absolute;left:0;text-align:left;margin-left:421.9pt;margin-top:193.75pt;width:51.6pt;height:24.3pt;rotation:-90;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" filled="f" stroked="f">
                <v:textbox inset="0,0,0,0">
                  <w:txbxContent>
                    <w:p w:rsidR="00D53F39" w:rsidRPr="00E911A4" w:rsidRDefault="00D53F39" w:rsidP="00E24DB7">
                      <w:pPr>
                        <w:spacing w:line="240" w:lineRule="auto"/>
                        <w:jc w:val="center"/>
                        <w:rPr>
                          <w:b/>
                          <w:sz w:val="10"/>
                          <w:szCs w:val="10"/>
                        </w:rPr>
                      </w:pPr>
                      <w:r w:rsidRPr="00E911A4">
                        <w:rPr>
                          <w:b/>
                          <w:sz w:val="10"/>
                          <w:szCs w:val="10"/>
                        </w:rPr>
                        <w:t>E</w:t>
                      </w:r>
                      <w:r w:rsidRPr="00E911A4">
                        <w:rPr>
                          <w:b/>
                          <w:sz w:val="10"/>
                          <w:szCs w:val="10"/>
                          <w:vertAlign w:val="subscript"/>
                        </w:rPr>
                        <w:t xml:space="preserve">AC </w:t>
                      </w:r>
                      <w:r w:rsidRPr="00E911A4">
                        <w:rPr>
                          <w:b/>
                          <w:sz w:val="10"/>
                          <w:szCs w:val="10"/>
                        </w:rPr>
                        <w:br/>
                        <w:t xml:space="preserve">(recharge d’énergie </w:t>
                      </w:r>
                      <w:r w:rsidRPr="00E911A4">
                        <w:rPr>
                          <w:b/>
                          <w:sz w:val="10"/>
                          <w:szCs w:val="10"/>
                        </w:rPr>
                        <w:br/>
                        <w:t>sur le secteur)</w:t>
                      </w:r>
                    </w:p>
                  </w:txbxContent>
                </v:textbox>
              </v:shape>
            </w:pict>
          </mc:Fallback>
        </mc:AlternateContent>
      </w:r>
      <w:r w:rsidRPr="002C5876">
        <w:rPr>
          <w:noProof/>
          <w:lang w:val="en-GB" w:eastAsia="zh-CN"/>
        </w:rPr>
        <mc:AlternateContent>
          <mc:Choice Requires="wps">
            <w:drawing>
              <wp:anchor distT="0" distB="0" distL="114300" distR="114300" simplePos="0" relativeHeight="251406336" behindDoc="0" locked="0" layoutInCell="1" allowOverlap="1" wp14:anchorId="2105CF27" wp14:editId="76E8D904">
                <wp:simplePos x="0" y="0"/>
                <wp:positionH relativeFrom="column">
                  <wp:posOffset>132080</wp:posOffset>
                </wp:positionH>
                <wp:positionV relativeFrom="paragraph">
                  <wp:posOffset>3044190</wp:posOffset>
                </wp:positionV>
                <wp:extent cx="280670" cy="137160"/>
                <wp:effectExtent l="0" t="0" r="5080" b="0"/>
                <wp:wrapNone/>
                <wp:docPr id="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37160"/>
                        </a:xfrm>
                        <a:prstGeom prst="rect">
                          <a:avLst/>
                        </a:prstGeom>
                        <a:noFill/>
                        <a:ln w="9525">
                          <a:noFill/>
                          <a:miter lim="800000"/>
                          <a:headEnd/>
                          <a:tailEnd/>
                        </a:ln>
                      </wps:spPr>
                      <wps:txbx>
                        <w:txbxContent>
                          <w:p w:rsidR="00D53F39" w:rsidRPr="00B71CBD" w:rsidRDefault="00D53F39" w:rsidP="00E24DB7">
                            <w:pPr>
                              <w:spacing w:line="240" w:lineRule="auto"/>
                              <w:jc w:val="center"/>
                              <w:rPr>
                                <w:b/>
                                <w:sz w:val="12"/>
                                <w:szCs w:val="12"/>
                              </w:rPr>
                            </w:pPr>
                            <w:r w:rsidRPr="00B71CBD">
                              <w:rPr>
                                <w:b/>
                                <w:sz w:val="12"/>
                                <w:szCs w:val="12"/>
                              </w:rPr>
                              <w:t>« B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5CF27" id="_x0000_s1587" type="#_x0000_t202" style="position:absolute;left:0;text-align:left;margin-left:10.4pt;margin-top:239.7pt;width:22.1pt;height:10.8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" filled="f" stroked="f">
                <v:textbox inset="0,0,0,0">
                  <w:txbxContent>
                    <w:p w:rsidR="00D53F39" w:rsidRPr="00B71CBD" w:rsidRDefault="00D53F39" w:rsidP="00E24DB7">
                      <w:pPr>
                        <w:spacing w:line="240" w:lineRule="auto"/>
                        <w:jc w:val="center"/>
                        <w:rPr>
                          <w:b/>
                          <w:sz w:val="12"/>
                          <w:szCs w:val="12"/>
                        </w:rPr>
                      </w:pPr>
                      <w:r w:rsidRPr="00B71CBD">
                        <w:rPr>
                          <w:b/>
                          <w:sz w:val="12"/>
                          <w:szCs w:val="12"/>
                        </w:rPr>
                        <w:t>« B »</w:t>
                      </w:r>
                    </w:p>
                  </w:txbxContent>
                </v:textbox>
              </v:shape>
            </w:pict>
          </mc:Fallback>
        </mc:AlternateContent>
      </w:r>
      <w:r w:rsidRPr="002C5876">
        <w:rPr>
          <w:noProof/>
          <w:lang w:val="en-GB" w:eastAsia="zh-CN"/>
        </w:rPr>
        <mc:AlternateContent>
          <mc:Choice Requires="wps">
            <w:drawing>
              <wp:anchor distT="0" distB="0" distL="114300" distR="114300" simplePos="0" relativeHeight="251409408" behindDoc="0" locked="0" layoutInCell="1" allowOverlap="1" wp14:anchorId="5DDA6417" wp14:editId="1E3EA717">
                <wp:simplePos x="0" y="0"/>
                <wp:positionH relativeFrom="column">
                  <wp:posOffset>485775</wp:posOffset>
                </wp:positionH>
                <wp:positionV relativeFrom="paragraph">
                  <wp:posOffset>1656080</wp:posOffset>
                </wp:positionV>
                <wp:extent cx="1664335" cy="105410"/>
                <wp:effectExtent l="0" t="0" r="12065" b="8890"/>
                <wp:wrapNone/>
                <wp:docPr id="138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105410"/>
                        </a:xfrm>
                        <a:prstGeom prst="rect">
                          <a:avLst/>
                        </a:prstGeom>
                        <a:noFill/>
                        <a:ln w="9525">
                          <a:noFill/>
                          <a:miter lim="800000"/>
                          <a:headEnd/>
                          <a:tailEnd/>
                        </a:ln>
                      </wps:spPr>
                      <wps:txbx>
                        <w:txbxContent>
                          <w:p w:rsidR="00D53F39" w:rsidRPr="001B4A78" w:rsidRDefault="00D53F39" w:rsidP="00E24DB7">
                            <w:pPr>
                              <w:spacing w:line="240" w:lineRule="auto"/>
                              <w:jc w:val="center"/>
                              <w:rPr>
                                <w:b/>
                                <w:sz w:val="12"/>
                                <w:szCs w:val="12"/>
                              </w:rPr>
                            </w:pPr>
                            <w:r w:rsidRPr="001B4A78">
                              <w:rPr>
                                <w:b/>
                                <w:sz w:val="12"/>
                                <w:szCs w:val="12"/>
                              </w:rPr>
                              <w:t>Au moins 1 cycle d’essai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A6417" id="_x0000_s1588" type="#_x0000_t202" style="position:absolute;left:0;text-align:left;margin-left:38.25pt;margin-top:130.4pt;width:131.05pt;height:8.3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" filled="f" stroked="f">
                <v:textbox inset="0,0,0,0">
                  <w:txbxContent>
                    <w:p w:rsidR="00D53F39" w:rsidRPr="001B4A78" w:rsidRDefault="00D53F39" w:rsidP="00E24DB7">
                      <w:pPr>
                        <w:spacing w:line="240" w:lineRule="auto"/>
                        <w:jc w:val="center"/>
                        <w:rPr>
                          <w:b/>
                          <w:sz w:val="12"/>
                          <w:szCs w:val="12"/>
                        </w:rPr>
                      </w:pPr>
                      <w:r w:rsidRPr="001B4A78">
                        <w:rPr>
                          <w:b/>
                          <w:sz w:val="12"/>
                          <w:szCs w:val="12"/>
                        </w:rPr>
                        <w:t>Au moins 1 cycle d’essai applicable</w:t>
                      </w:r>
                    </w:p>
                  </w:txbxContent>
                </v:textbox>
              </v:shape>
            </w:pict>
          </mc:Fallback>
        </mc:AlternateContent>
      </w:r>
      <w:r w:rsidRPr="002C5876">
        <w:rPr>
          <w:noProof/>
          <w:lang w:val="en-GB" w:eastAsia="zh-CN"/>
        </w:rPr>
        <mc:AlternateContent>
          <mc:Choice Requires="wps">
            <w:drawing>
              <wp:anchor distT="0" distB="0" distL="114300" distR="114300" simplePos="0" relativeHeight="251412480" behindDoc="0" locked="0" layoutInCell="1" allowOverlap="1" wp14:anchorId="649CE3F0" wp14:editId="71E14C12">
                <wp:simplePos x="0" y="0"/>
                <wp:positionH relativeFrom="column">
                  <wp:posOffset>3937000</wp:posOffset>
                </wp:positionH>
                <wp:positionV relativeFrom="paragraph">
                  <wp:posOffset>1349375</wp:posOffset>
                </wp:positionV>
                <wp:extent cx="280670" cy="94615"/>
                <wp:effectExtent l="0" t="0" r="5080" b="635"/>
                <wp:wrapNone/>
                <wp:docPr id="138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94615"/>
                        </a:xfrm>
                        <a:prstGeom prst="rect">
                          <a:avLst/>
                        </a:prstGeom>
                        <a:noFill/>
                        <a:ln w="9525">
                          <a:noFill/>
                          <a:miter lim="800000"/>
                          <a:headEnd/>
                          <a:tailEnd/>
                        </a:ln>
                      </wps:spPr>
                      <wps:txbx>
                        <w:txbxContent>
                          <w:p w:rsidR="00D53F39" w:rsidRPr="001B4A78" w:rsidRDefault="00D53F39" w:rsidP="00E24DB7">
                            <w:pPr>
                              <w:spacing w:line="240" w:lineRule="auto"/>
                              <w:jc w:val="center"/>
                              <w:rPr>
                                <w:b/>
                                <w:sz w:val="12"/>
                                <w:szCs w:val="12"/>
                              </w:rPr>
                            </w:pPr>
                            <w:r w:rsidRPr="001B4A78">
                              <w:rPr>
                                <w:b/>
                                <w:sz w:val="12"/>
                                <w:szCs w:val="12"/>
                              </w:rPr>
                              <w:t>« B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CE3F0" id="_x0000_s1589" type="#_x0000_t202" style="position:absolute;left:0;text-align:left;margin-left:310pt;margin-top:106.25pt;width:22.1pt;height:7.45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" filled="f" stroked="f">
                <v:textbox inset="0,0,0,0">
                  <w:txbxContent>
                    <w:p w:rsidR="00D53F39" w:rsidRPr="001B4A78" w:rsidRDefault="00D53F39" w:rsidP="00E24DB7">
                      <w:pPr>
                        <w:spacing w:line="240" w:lineRule="auto"/>
                        <w:jc w:val="center"/>
                        <w:rPr>
                          <w:b/>
                          <w:sz w:val="12"/>
                          <w:szCs w:val="12"/>
                        </w:rPr>
                      </w:pPr>
                      <w:r w:rsidRPr="001B4A78">
                        <w:rPr>
                          <w:b/>
                          <w:sz w:val="12"/>
                          <w:szCs w:val="12"/>
                        </w:rPr>
                        <w:t>« B »</w:t>
                      </w:r>
                    </w:p>
                  </w:txbxContent>
                </v:textbox>
              </v:shape>
            </w:pict>
          </mc:Fallback>
        </mc:AlternateContent>
      </w:r>
      <w:r w:rsidRPr="002C5876">
        <w:rPr>
          <w:noProof/>
          <w:lang w:val="en-GB" w:eastAsia="zh-CN"/>
        </w:rPr>
        <mc:AlternateContent>
          <mc:Choice Requires="wps">
            <w:drawing>
              <wp:anchor distT="0" distB="0" distL="114300" distR="114300" simplePos="0" relativeHeight="251415552" behindDoc="0" locked="0" layoutInCell="1" allowOverlap="1" wp14:anchorId="6B303F3B" wp14:editId="34F69B77">
                <wp:simplePos x="0" y="0"/>
                <wp:positionH relativeFrom="column">
                  <wp:posOffset>131445</wp:posOffset>
                </wp:positionH>
                <wp:positionV relativeFrom="paragraph">
                  <wp:posOffset>172720</wp:posOffset>
                </wp:positionV>
                <wp:extent cx="629920" cy="198120"/>
                <wp:effectExtent l="0" t="0" r="0" b="11430"/>
                <wp:wrapNone/>
                <wp:docPr id="138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8120"/>
                        </a:xfrm>
                        <a:prstGeom prst="rect">
                          <a:avLst/>
                        </a:prstGeom>
                        <a:noFill/>
                        <a:ln w="9525">
                          <a:noFill/>
                          <a:miter lim="800000"/>
                          <a:headEnd/>
                          <a:tailEnd/>
                        </a:ln>
                      </wps:spPr>
                      <wps:txbx>
                        <w:txbxContent>
                          <w:p w:rsidR="00D53F39" w:rsidRPr="009D55C9" w:rsidRDefault="00D53F39" w:rsidP="00E24DB7">
                            <w:pPr>
                              <w:spacing w:line="240" w:lineRule="auto"/>
                              <w:jc w:val="center"/>
                              <w:rPr>
                                <w:b/>
                                <w:sz w:val="12"/>
                                <w:szCs w:val="12"/>
                              </w:rPr>
                            </w:pPr>
                            <w:r w:rsidRPr="009D55C9">
                              <w:rPr>
                                <w:b/>
                                <w:sz w:val="12"/>
                                <w:szCs w:val="12"/>
                              </w:rPr>
                              <w:t>Niveau de 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03F3B" id="_x0000_s1590" type="#_x0000_t202" style="position:absolute;left:0;text-align:left;margin-left:10.35pt;margin-top:13.6pt;width:49.6pt;height:15.6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" filled="f" stroked="f">
                <v:textbox inset="0,0,0,0">
                  <w:txbxContent>
                    <w:p w:rsidR="00D53F39" w:rsidRPr="009D55C9" w:rsidRDefault="00D53F39" w:rsidP="00E24DB7">
                      <w:pPr>
                        <w:spacing w:line="240" w:lineRule="auto"/>
                        <w:jc w:val="center"/>
                        <w:rPr>
                          <w:b/>
                          <w:sz w:val="12"/>
                          <w:szCs w:val="12"/>
                        </w:rPr>
                      </w:pPr>
                      <w:r w:rsidRPr="009D55C9">
                        <w:rPr>
                          <w:b/>
                          <w:sz w:val="12"/>
                          <w:szCs w:val="12"/>
                        </w:rPr>
                        <w:t>Niveau de charge du SRSEE</w:t>
                      </w:r>
                    </w:p>
                  </w:txbxContent>
                </v:textbox>
              </v:shape>
            </w:pict>
          </mc:Fallback>
        </mc:AlternateContent>
      </w:r>
      <w:r w:rsidRPr="002C5876">
        <w:rPr>
          <w:noProof/>
          <w:lang w:val="en-GB" w:eastAsia="zh-CN"/>
        </w:rPr>
        <w:drawing>
          <wp:inline distT="0" distB="0" distL="0" distR="0" wp14:anchorId="73B706C2" wp14:editId="4F8B3B35">
            <wp:extent cx="6099525" cy="385200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5">
                      <a:extLst>
                        <a:ext uri="{28A0092B-C50C-407E-A947-70E740481C1C}">
                          <a14:useLocalDpi xmlns:a14="http://schemas.microsoft.com/office/drawing/2010/main" val="0"/>
                        </a:ext>
                      </a:extLst>
                    </a:blip>
                    <a:srcRect t="-562" b="3031"/>
                    <a:stretch/>
                  </pic:blipFill>
                  <pic:spPr bwMode="auto">
                    <a:xfrm>
                      <a:off x="0" y="0"/>
                      <a:ext cx="6115685" cy="3862205"/>
                    </a:xfrm>
                    <a:prstGeom prst="rect">
                      <a:avLst/>
                    </a:prstGeom>
                    <a:noFill/>
                    <a:ln>
                      <a:noFill/>
                    </a:ln>
                    <a:extLst>
                      <a:ext uri="{53640926-AAD7-44D8-BBD7-CCE9431645EC}">
                        <a14:shadowObscured xmlns:a14="http://schemas.microsoft.com/office/drawing/2010/main"/>
                      </a:ext>
                    </a:extLst>
                  </pic:spPr>
                </pic:pic>
              </a:graphicData>
            </a:graphic>
          </wp:inline>
        </w:drawing>
      </w:r>
    </w:p>
    <w:p w:rsidR="00E24DB7" w:rsidRPr="002C5876" w:rsidRDefault="00E24DB7" w:rsidP="00E24DB7">
      <w:pPr>
        <w:pStyle w:val="SingleTxtG"/>
        <w:keepNext/>
        <w:ind w:left="2268" w:hanging="1134"/>
        <w:jc w:val="left"/>
        <w:rPr>
          <w:rFonts w:eastAsia="MS Gothic"/>
        </w:rPr>
      </w:pPr>
      <w:r w:rsidRPr="002C5876">
        <w:rPr>
          <w:rFonts w:eastAsia="MS Gothic"/>
        </w:rPr>
        <w:br w:type="page"/>
      </w:r>
      <w:r w:rsidRPr="002C5876">
        <w:rPr>
          <w:rFonts w:eastAsia="MS Gothic"/>
        </w:rPr>
        <w:lastRenderedPageBreak/>
        <w:t>2.</w:t>
      </w:r>
      <w:r w:rsidRPr="002C5876">
        <w:rPr>
          <w:rFonts w:eastAsia="MS Gothic"/>
        </w:rPr>
        <w:tab/>
        <w:t>Séquence d’essais VHE-NRE et VHPC-NRE</w:t>
      </w:r>
    </w:p>
    <w:p w:rsidR="00E24DB7" w:rsidRPr="002C5876" w:rsidRDefault="00E24DB7" w:rsidP="00E24DB7">
      <w:pPr>
        <w:pStyle w:val="SingleTxtG"/>
        <w:keepNext/>
        <w:ind w:left="2268"/>
        <w:jc w:val="left"/>
        <w:rPr>
          <w:rFonts w:eastAsia="MS Gothic"/>
        </w:rPr>
      </w:pPr>
      <w:r w:rsidRPr="002C5876">
        <w:rPr>
          <w:rFonts w:eastAsia="MS Gothic"/>
        </w:rPr>
        <w:t xml:space="preserve">Essai de maintien de la charge du type 1 </w:t>
      </w:r>
      <w:r w:rsidRPr="002C5876">
        <w:rPr>
          <w:rFonts w:eastAsia="MS Gothic"/>
          <w:bCs/>
          <w:szCs w:val="24"/>
        </w:rPr>
        <w:t>(fig. A8.App1/5)</w:t>
      </w:r>
    </w:p>
    <w:p w:rsidR="00E24DB7" w:rsidRPr="002C5876" w:rsidRDefault="00E24DB7" w:rsidP="00E24DB7">
      <w:pPr>
        <w:pStyle w:val="Heading1"/>
        <w:spacing w:after="120"/>
        <w:rPr>
          <w:rFonts w:eastAsia="MS Gothic"/>
          <w:b/>
          <w:bCs/>
          <w:color w:val="000000"/>
        </w:rPr>
      </w:pPr>
      <w:r w:rsidRPr="002C5876">
        <w:t>Figure A8.App1</w:t>
      </w:r>
      <w:r w:rsidRPr="002C5876">
        <w:rPr>
          <w:u w:val="single"/>
        </w:rPr>
        <w:t>/</w:t>
      </w:r>
      <w:r w:rsidRPr="002C5876">
        <w:t>5</w:t>
      </w:r>
      <w:r w:rsidRPr="002C5876">
        <w:br/>
      </w:r>
      <w:r w:rsidRPr="002C5876">
        <w:rPr>
          <w:rFonts w:eastAsia="MS Gothic"/>
          <w:b/>
          <w:bCs/>
        </w:rPr>
        <w:t>VHE-NRE et VHPC-NRE, essai de maintien de la charge du type 1</w:t>
      </w:r>
    </w:p>
    <w:p w:rsidR="00E24DB7" w:rsidRPr="002C5876" w:rsidRDefault="00E24DB7" w:rsidP="00E24DB7">
      <w:pPr>
        <w:pStyle w:val="SingleTxtG"/>
      </w:pPr>
      <w:r w:rsidRPr="002C5876">
        <w:rPr>
          <w:noProof/>
          <w:lang w:val="en-GB" w:eastAsia="zh-CN"/>
        </w:rPr>
        <mc:AlternateContent>
          <mc:Choice Requires="wpg">
            <w:drawing>
              <wp:anchor distT="0" distB="0" distL="114300" distR="114300" simplePos="0" relativeHeight="251440128" behindDoc="0" locked="0" layoutInCell="1" allowOverlap="1" wp14:anchorId="2B6B4E7A" wp14:editId="4EAE5937">
                <wp:simplePos x="0" y="0"/>
                <wp:positionH relativeFrom="column">
                  <wp:posOffset>744071</wp:posOffset>
                </wp:positionH>
                <wp:positionV relativeFrom="paragraph">
                  <wp:posOffset>307527</wp:posOffset>
                </wp:positionV>
                <wp:extent cx="4835898" cy="2629348"/>
                <wp:effectExtent l="0" t="0" r="3175" b="0"/>
                <wp:wrapNone/>
                <wp:docPr id="7" name="Groupe 7"/>
                <wp:cNvGraphicFramePr/>
                <a:graphic xmlns:a="http://schemas.openxmlformats.org/drawingml/2006/main">
                  <a:graphicData uri="http://schemas.microsoft.com/office/word/2010/wordprocessingGroup">
                    <wpg:wgp>
                      <wpg:cNvGrpSpPr/>
                      <wpg:grpSpPr>
                        <a:xfrm>
                          <a:off x="0" y="0"/>
                          <a:ext cx="4835898" cy="2629348"/>
                          <a:chOff x="0" y="0"/>
                          <a:chExt cx="4835898" cy="2629348"/>
                        </a:xfrm>
                      </wpg:grpSpPr>
                      <wps:wsp>
                        <wps:cNvPr id="8" name="Zone de texte 2"/>
                        <wps:cNvSpPr txBox="1">
                          <a:spLocks noChangeArrowheads="1"/>
                        </wps:cNvSpPr>
                        <wps:spPr bwMode="auto">
                          <a:xfrm>
                            <a:off x="0" y="134470"/>
                            <a:ext cx="829310" cy="260985"/>
                          </a:xfrm>
                          <a:prstGeom prst="rect">
                            <a:avLst/>
                          </a:prstGeom>
                          <a:noFill/>
                          <a:ln w="9525">
                            <a:noFill/>
                            <a:miter lim="800000"/>
                            <a:headEnd/>
                            <a:tailEnd/>
                          </a:ln>
                        </wps:spPr>
                        <wps:txbx>
                          <w:txbxContent>
                            <w:p w:rsidR="00D53F39" w:rsidRPr="00060FF6" w:rsidRDefault="00D53F39" w:rsidP="00E24DB7">
                              <w:pPr>
                                <w:spacing w:line="240" w:lineRule="auto"/>
                                <w:jc w:val="center"/>
                                <w:rPr>
                                  <w:b/>
                                  <w:sz w:val="14"/>
                                  <w:szCs w:val="14"/>
                                </w:rPr>
                              </w:pPr>
                              <w:r w:rsidRPr="00060FF6">
                                <w:rPr>
                                  <w:b/>
                                  <w:sz w:val="14"/>
                                  <w:szCs w:val="14"/>
                                </w:rPr>
                                <w:t xml:space="preserve">Niveau de charge </w:t>
                              </w:r>
                              <w:r>
                                <w:rPr>
                                  <w:b/>
                                  <w:sz w:val="14"/>
                                  <w:szCs w:val="14"/>
                                </w:rPr>
                                <w:br/>
                              </w:r>
                              <w:r w:rsidRPr="00060FF6">
                                <w:rPr>
                                  <w:b/>
                                  <w:sz w:val="14"/>
                                  <w:szCs w:val="14"/>
                                </w:rPr>
                                <w:t>du SRSEE</w:t>
                              </w:r>
                            </w:p>
                          </w:txbxContent>
                        </wps:txbx>
                        <wps:bodyPr rot="0" vert="horz" wrap="square" lIns="0" tIns="0" rIns="0" bIns="0" anchor="t" anchorCtr="0">
                          <a:noAutofit/>
                        </wps:bodyPr>
                      </wps:wsp>
                      <wps:wsp>
                        <wps:cNvPr id="20" name="Zone de texte 2"/>
                        <wps:cNvSpPr txBox="1">
                          <a:spLocks noChangeArrowheads="1"/>
                        </wps:cNvSpPr>
                        <wps:spPr bwMode="auto">
                          <a:xfrm>
                            <a:off x="3720353" y="0"/>
                            <a:ext cx="998855" cy="250190"/>
                          </a:xfrm>
                          <a:prstGeom prst="rect">
                            <a:avLst/>
                          </a:prstGeom>
                          <a:noFill/>
                          <a:ln w="9525">
                            <a:noFill/>
                            <a:miter lim="800000"/>
                            <a:headEnd/>
                            <a:tailEnd/>
                          </a:ln>
                        </wps:spPr>
                        <wps:txbx>
                          <w:txbxContent>
                            <w:p w:rsidR="00D53F39" w:rsidRPr="00E911A4" w:rsidRDefault="00D53F39" w:rsidP="00E24DB7">
                              <w:pPr>
                                <w:spacing w:line="240" w:lineRule="auto"/>
                                <w:jc w:val="center"/>
                                <w:rPr>
                                  <w:b/>
                                  <w:sz w:val="14"/>
                                  <w:szCs w:val="14"/>
                                </w:rPr>
                              </w:pPr>
                              <w:r w:rsidRPr="00E911A4">
                                <w:rPr>
                                  <w:b/>
                                  <w:sz w:val="14"/>
                                  <w:szCs w:val="14"/>
                                </w:rPr>
                                <w:t>Essai de type 1 en mode épuisement de la charge</w:t>
                              </w:r>
                            </w:p>
                          </w:txbxContent>
                        </wps:txbx>
                        <wps:bodyPr rot="0" vert="horz" wrap="square" lIns="0" tIns="0" rIns="0" bIns="0" anchor="t" anchorCtr="0">
                          <a:noAutofit/>
                        </wps:bodyPr>
                      </wps:wsp>
                      <wps:wsp>
                        <wps:cNvPr id="33" name="Zone de texte 2"/>
                        <wps:cNvSpPr txBox="1">
                          <a:spLocks noChangeArrowheads="1"/>
                        </wps:cNvSpPr>
                        <wps:spPr bwMode="auto">
                          <a:xfrm>
                            <a:off x="1035423" y="76200"/>
                            <a:ext cx="1120140" cy="173355"/>
                          </a:xfrm>
                          <a:prstGeom prst="rect">
                            <a:avLst/>
                          </a:prstGeom>
                          <a:noFill/>
                          <a:ln w="9525">
                            <a:noFill/>
                            <a:miter lim="800000"/>
                            <a:headEnd/>
                            <a:tailEnd/>
                          </a:ln>
                        </wps:spPr>
                        <wps:txbx>
                          <w:txbxContent>
                            <w:p w:rsidR="00D53F39" w:rsidRPr="00060FF6" w:rsidRDefault="00D53F39" w:rsidP="00E24DB7">
                              <w:pPr>
                                <w:spacing w:line="240" w:lineRule="auto"/>
                                <w:jc w:val="center"/>
                                <w:rPr>
                                  <w:b/>
                                  <w:sz w:val="14"/>
                                  <w:szCs w:val="14"/>
                                </w:rPr>
                              </w:pPr>
                              <w:r>
                                <w:rPr>
                                  <w:b/>
                                  <w:sz w:val="14"/>
                                  <w:szCs w:val="14"/>
                                </w:rPr>
                                <w:t xml:space="preserve">Préconditionnement </w:t>
                              </w:r>
                            </w:p>
                          </w:txbxContent>
                        </wps:txbx>
                        <wps:bodyPr rot="0" vert="horz" wrap="square" lIns="0" tIns="0" rIns="0" bIns="0" anchor="t" anchorCtr="0">
                          <a:noAutofit/>
                        </wps:bodyPr>
                      </wps:wsp>
                      <wps:wsp>
                        <wps:cNvPr id="34" name="Zone de texte 2"/>
                        <wps:cNvSpPr txBox="1">
                          <a:spLocks noChangeArrowheads="1"/>
                        </wps:cNvSpPr>
                        <wps:spPr bwMode="auto">
                          <a:xfrm>
                            <a:off x="2317376" y="1873623"/>
                            <a:ext cx="1136015" cy="137160"/>
                          </a:xfrm>
                          <a:prstGeom prst="rect">
                            <a:avLst/>
                          </a:prstGeom>
                          <a:noFill/>
                          <a:ln w="9525">
                            <a:noFill/>
                            <a:miter lim="800000"/>
                            <a:headEnd/>
                            <a:tailEnd/>
                          </a:ln>
                        </wps:spPr>
                        <wps:txbx>
                          <w:txbxContent>
                            <w:p w:rsidR="00D53F39" w:rsidRPr="00060FF6" w:rsidRDefault="00D53F39" w:rsidP="00E24DB7">
                              <w:pPr>
                                <w:spacing w:line="240" w:lineRule="auto"/>
                                <w:jc w:val="center"/>
                                <w:rPr>
                                  <w:b/>
                                  <w:sz w:val="14"/>
                                  <w:szCs w:val="14"/>
                                </w:rPr>
                              </w:pPr>
                              <w:r>
                                <w:rPr>
                                  <w:b/>
                                  <w:sz w:val="14"/>
                                  <w:szCs w:val="14"/>
                                </w:rPr>
                                <w:t xml:space="preserve">Stabilisation </w:t>
                              </w:r>
                            </w:p>
                          </w:txbxContent>
                        </wps:txbx>
                        <wps:bodyPr rot="0" vert="horz" wrap="square" lIns="0" tIns="0" rIns="0" bIns="0" anchor="t" anchorCtr="0">
                          <a:noAutofit/>
                        </wps:bodyPr>
                      </wps:wsp>
                      <wps:wsp>
                        <wps:cNvPr id="54" name="Zone de texte 2"/>
                        <wps:cNvSpPr txBox="1">
                          <a:spLocks noChangeArrowheads="1"/>
                        </wps:cNvSpPr>
                        <wps:spPr bwMode="auto">
                          <a:xfrm>
                            <a:off x="941294" y="2487706"/>
                            <a:ext cx="1273810" cy="135890"/>
                          </a:xfrm>
                          <a:prstGeom prst="rect">
                            <a:avLst/>
                          </a:prstGeom>
                          <a:noFill/>
                          <a:ln w="9525">
                            <a:noFill/>
                            <a:miter lim="800000"/>
                            <a:headEnd/>
                            <a:tailEnd/>
                          </a:ln>
                        </wps:spPr>
                        <wps:txbx>
                          <w:txbxContent>
                            <w:p w:rsidR="00D53F39" w:rsidRPr="00060FF6" w:rsidRDefault="00D53F39" w:rsidP="00E24DB7">
                              <w:pPr>
                                <w:spacing w:line="240" w:lineRule="auto"/>
                                <w:jc w:val="center"/>
                                <w:rPr>
                                  <w:b/>
                                  <w:sz w:val="14"/>
                                  <w:szCs w:val="14"/>
                                </w:rPr>
                              </w:pPr>
                              <w:r>
                                <w:rPr>
                                  <w:b/>
                                  <w:sz w:val="14"/>
                                  <w:szCs w:val="14"/>
                                </w:rPr>
                                <w:t>1 cycle d’essai applicable</w:t>
                              </w:r>
                            </w:p>
                          </w:txbxContent>
                        </wps:txbx>
                        <wps:bodyPr rot="0" vert="horz" wrap="square" lIns="0" tIns="0" rIns="0" bIns="0" anchor="t" anchorCtr="0">
                          <a:noAutofit/>
                        </wps:bodyPr>
                      </wps:wsp>
                      <wps:wsp>
                        <wps:cNvPr id="58" name="Zone de texte 2"/>
                        <wps:cNvSpPr txBox="1">
                          <a:spLocks noChangeArrowheads="1"/>
                        </wps:cNvSpPr>
                        <wps:spPr bwMode="auto">
                          <a:xfrm>
                            <a:off x="3626223" y="2492188"/>
                            <a:ext cx="1209675" cy="137160"/>
                          </a:xfrm>
                          <a:prstGeom prst="rect">
                            <a:avLst/>
                          </a:prstGeom>
                          <a:noFill/>
                          <a:ln w="9525">
                            <a:noFill/>
                            <a:miter lim="800000"/>
                            <a:headEnd/>
                            <a:tailEnd/>
                          </a:ln>
                        </wps:spPr>
                        <wps:txbx>
                          <w:txbxContent>
                            <w:p w:rsidR="00D53F39" w:rsidRPr="00060FF6" w:rsidRDefault="00D53F39" w:rsidP="00E24DB7">
                              <w:pPr>
                                <w:spacing w:line="240" w:lineRule="auto"/>
                                <w:jc w:val="center"/>
                                <w:rPr>
                                  <w:b/>
                                  <w:sz w:val="14"/>
                                  <w:szCs w:val="14"/>
                                </w:rPr>
                              </w:pPr>
                              <w:r>
                                <w:rPr>
                                  <w:b/>
                                  <w:sz w:val="14"/>
                                  <w:szCs w:val="14"/>
                                </w:rPr>
                                <w:t>1 cycle d’essai applicable</w:t>
                              </w:r>
                            </w:p>
                          </w:txbxContent>
                        </wps:txbx>
                        <wps:bodyPr rot="0" vert="horz" wrap="square" lIns="0" tIns="0" rIns="0" bIns="0" anchor="t" anchorCtr="0">
                          <a:noAutofit/>
                        </wps:bodyPr>
                      </wps:wsp>
                      <wps:wsp>
                        <wps:cNvPr id="196" name="Zone de texte 2"/>
                        <wps:cNvSpPr txBox="1">
                          <a:spLocks noChangeArrowheads="1"/>
                        </wps:cNvSpPr>
                        <wps:spPr bwMode="auto">
                          <a:xfrm>
                            <a:off x="31376" y="1524000"/>
                            <a:ext cx="817245" cy="408215"/>
                          </a:xfrm>
                          <a:prstGeom prst="rect">
                            <a:avLst/>
                          </a:prstGeom>
                          <a:noFill/>
                          <a:ln w="9525">
                            <a:noFill/>
                            <a:miter lim="800000"/>
                            <a:headEnd/>
                            <a:tailEnd/>
                          </a:ln>
                        </wps:spPr>
                        <wps:txbx>
                          <w:txbxContent>
                            <w:p w:rsidR="00D53F39" w:rsidRPr="00E911A4" w:rsidRDefault="00D53F39" w:rsidP="00E24DB7">
                              <w:pPr>
                                <w:spacing w:line="240" w:lineRule="auto"/>
                                <w:jc w:val="center"/>
                                <w:rPr>
                                  <w:b/>
                                  <w:color w:val="00B0F0"/>
                                  <w:sz w:val="14"/>
                                  <w:szCs w:val="14"/>
                                </w:rPr>
                              </w:pPr>
                              <w:r w:rsidRPr="00E911A4">
                                <w:rPr>
                                  <w:b/>
                                  <w:color w:val="00B0F0"/>
                                  <w:sz w:val="14"/>
                                  <w:szCs w:val="14"/>
                                </w:rPr>
                                <w:t xml:space="preserve">Fixation du niveau </w:t>
                              </w:r>
                              <w:r w:rsidRPr="00E911A4">
                                <w:rPr>
                                  <w:b/>
                                  <w:color w:val="00B0F0"/>
                                  <w:sz w:val="14"/>
                                  <w:szCs w:val="14"/>
                                </w:rPr>
                                <w:br/>
                                <w:t xml:space="preserve">de charge </w:t>
                              </w:r>
                              <w:r w:rsidRPr="00E911A4">
                                <w:rPr>
                                  <w:b/>
                                  <w:color w:val="00B0F0"/>
                                  <w:sz w:val="14"/>
                                  <w:szCs w:val="14"/>
                                </w:rPr>
                                <w:br/>
                                <w:t xml:space="preserve">à la demande </w:t>
                              </w:r>
                              <w:r w:rsidRPr="00E911A4">
                                <w:rPr>
                                  <w:b/>
                                  <w:color w:val="00B0F0"/>
                                  <w:sz w:val="14"/>
                                  <w:szCs w:val="14"/>
                                </w:rPr>
                                <w:br/>
                                <w:t>du constructeur</w:t>
                              </w:r>
                            </w:p>
                          </w:txbxContent>
                        </wps:txbx>
                        <wps:bodyPr rot="0" vert="horz" wrap="square" lIns="0" tIns="0" rIns="0" bIns="0" anchor="t" anchorCtr="0">
                          <a:noAutofit/>
                        </wps:bodyPr>
                      </wps:wsp>
                    </wpg:wgp>
                  </a:graphicData>
                </a:graphic>
              </wp:anchor>
            </w:drawing>
          </mc:Choice>
          <mc:Fallback>
            <w:pict>
              <v:group w14:anchorId="2B6B4E7A" id="Groupe 7" o:spid="_x0000_s1591" style="position:absolute;left:0;text-align:left;margin-left:58.6pt;margin-top:24.2pt;width:380.8pt;height:207.05pt;z-index:251440128;mso-position-horizontal-relative:text;mso-position-vertical-relative:text" coordsize="48358,26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">
                <v:shape id="_x0000_s1592" type="#_x0000_t202" style="position:absolute;top:1344;width:8293;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D53F39" w:rsidRPr="00060FF6" w:rsidRDefault="00D53F39" w:rsidP="00E24DB7">
                        <w:pPr>
                          <w:spacing w:line="240" w:lineRule="auto"/>
                          <w:jc w:val="center"/>
                          <w:rPr>
                            <w:b/>
                            <w:sz w:val="14"/>
                            <w:szCs w:val="14"/>
                          </w:rPr>
                        </w:pPr>
                        <w:r w:rsidRPr="00060FF6">
                          <w:rPr>
                            <w:b/>
                            <w:sz w:val="14"/>
                            <w:szCs w:val="14"/>
                          </w:rPr>
                          <w:t xml:space="preserve">Niveau de charge </w:t>
                        </w:r>
                        <w:r>
                          <w:rPr>
                            <w:b/>
                            <w:sz w:val="14"/>
                            <w:szCs w:val="14"/>
                          </w:rPr>
                          <w:br/>
                        </w:r>
                        <w:r w:rsidRPr="00060FF6">
                          <w:rPr>
                            <w:b/>
                            <w:sz w:val="14"/>
                            <w:szCs w:val="14"/>
                          </w:rPr>
                          <w:t>du SRSEE</w:t>
                        </w:r>
                      </w:p>
                    </w:txbxContent>
                  </v:textbox>
                </v:shape>
                <v:shape id="_x0000_s1593" type="#_x0000_t202" style="position:absolute;left:37203;width:9989;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D53F39" w:rsidRPr="00E911A4" w:rsidRDefault="00D53F39" w:rsidP="00E24DB7">
                        <w:pPr>
                          <w:spacing w:line="240" w:lineRule="auto"/>
                          <w:jc w:val="center"/>
                          <w:rPr>
                            <w:b/>
                            <w:sz w:val="14"/>
                            <w:szCs w:val="14"/>
                          </w:rPr>
                        </w:pPr>
                        <w:r w:rsidRPr="00E911A4">
                          <w:rPr>
                            <w:b/>
                            <w:sz w:val="14"/>
                            <w:szCs w:val="14"/>
                          </w:rPr>
                          <w:t>Essai de type 1 en mode épuisement de la charge</w:t>
                        </w:r>
                      </w:p>
                    </w:txbxContent>
                  </v:textbox>
                </v:shape>
                <v:shape id="_x0000_s1594" type="#_x0000_t202" style="position:absolute;left:10354;top:762;width:11201;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D53F39" w:rsidRPr="00060FF6" w:rsidRDefault="00D53F39" w:rsidP="00E24DB7">
                        <w:pPr>
                          <w:spacing w:line="240" w:lineRule="auto"/>
                          <w:jc w:val="center"/>
                          <w:rPr>
                            <w:b/>
                            <w:sz w:val="14"/>
                            <w:szCs w:val="14"/>
                          </w:rPr>
                        </w:pPr>
                        <w:r>
                          <w:rPr>
                            <w:b/>
                            <w:sz w:val="14"/>
                            <w:szCs w:val="14"/>
                          </w:rPr>
                          <w:t xml:space="preserve">Préconditionnement </w:t>
                        </w:r>
                      </w:p>
                    </w:txbxContent>
                  </v:textbox>
                </v:shape>
                <v:shape id="_x0000_s1595" type="#_x0000_t202" style="position:absolute;left:23173;top:18736;width:11360;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D53F39" w:rsidRPr="00060FF6" w:rsidRDefault="00D53F39" w:rsidP="00E24DB7">
                        <w:pPr>
                          <w:spacing w:line="240" w:lineRule="auto"/>
                          <w:jc w:val="center"/>
                          <w:rPr>
                            <w:b/>
                            <w:sz w:val="14"/>
                            <w:szCs w:val="14"/>
                          </w:rPr>
                        </w:pPr>
                        <w:r>
                          <w:rPr>
                            <w:b/>
                            <w:sz w:val="14"/>
                            <w:szCs w:val="14"/>
                          </w:rPr>
                          <w:t xml:space="preserve">Stabilisation </w:t>
                        </w:r>
                      </w:p>
                    </w:txbxContent>
                  </v:textbox>
                </v:shape>
                <v:shape id="_x0000_s1596" type="#_x0000_t202" style="position:absolute;left:9412;top:24877;width:12739;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D53F39" w:rsidRPr="00060FF6" w:rsidRDefault="00D53F39" w:rsidP="00E24DB7">
                        <w:pPr>
                          <w:spacing w:line="240" w:lineRule="auto"/>
                          <w:jc w:val="center"/>
                          <w:rPr>
                            <w:b/>
                            <w:sz w:val="14"/>
                            <w:szCs w:val="14"/>
                          </w:rPr>
                        </w:pPr>
                        <w:r>
                          <w:rPr>
                            <w:b/>
                            <w:sz w:val="14"/>
                            <w:szCs w:val="14"/>
                          </w:rPr>
                          <w:t>1 cycle d’essai applicable</w:t>
                        </w:r>
                      </w:p>
                    </w:txbxContent>
                  </v:textbox>
                </v:shape>
                <v:shape id="_x0000_s1597" type="#_x0000_t202" style="position:absolute;left:36262;top:24921;width:12096;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D53F39" w:rsidRPr="00060FF6" w:rsidRDefault="00D53F39" w:rsidP="00E24DB7">
                        <w:pPr>
                          <w:spacing w:line="240" w:lineRule="auto"/>
                          <w:jc w:val="center"/>
                          <w:rPr>
                            <w:b/>
                            <w:sz w:val="14"/>
                            <w:szCs w:val="14"/>
                          </w:rPr>
                        </w:pPr>
                        <w:r>
                          <w:rPr>
                            <w:b/>
                            <w:sz w:val="14"/>
                            <w:szCs w:val="14"/>
                          </w:rPr>
                          <w:t>1 cycle d’essai applicable</w:t>
                        </w:r>
                      </w:p>
                    </w:txbxContent>
                  </v:textbox>
                </v:shape>
                <v:shape id="_x0000_s1598" type="#_x0000_t202" style="position:absolute;left:313;top:15240;width:8173;height:4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rsidR="00D53F39" w:rsidRPr="00E911A4" w:rsidRDefault="00D53F39" w:rsidP="00E24DB7">
                        <w:pPr>
                          <w:spacing w:line="240" w:lineRule="auto"/>
                          <w:jc w:val="center"/>
                          <w:rPr>
                            <w:b/>
                            <w:color w:val="00B0F0"/>
                            <w:sz w:val="14"/>
                            <w:szCs w:val="14"/>
                          </w:rPr>
                        </w:pPr>
                        <w:r w:rsidRPr="00E911A4">
                          <w:rPr>
                            <w:b/>
                            <w:color w:val="00B0F0"/>
                            <w:sz w:val="14"/>
                            <w:szCs w:val="14"/>
                          </w:rPr>
                          <w:t xml:space="preserve">Fixation du niveau </w:t>
                        </w:r>
                        <w:r w:rsidRPr="00E911A4">
                          <w:rPr>
                            <w:b/>
                            <w:color w:val="00B0F0"/>
                            <w:sz w:val="14"/>
                            <w:szCs w:val="14"/>
                          </w:rPr>
                          <w:br/>
                          <w:t xml:space="preserve">de charge </w:t>
                        </w:r>
                        <w:r w:rsidRPr="00E911A4">
                          <w:rPr>
                            <w:b/>
                            <w:color w:val="00B0F0"/>
                            <w:sz w:val="14"/>
                            <w:szCs w:val="14"/>
                          </w:rPr>
                          <w:br/>
                          <w:t xml:space="preserve">à la demande </w:t>
                        </w:r>
                        <w:r w:rsidRPr="00E911A4">
                          <w:rPr>
                            <w:b/>
                            <w:color w:val="00B0F0"/>
                            <w:sz w:val="14"/>
                            <w:szCs w:val="14"/>
                          </w:rPr>
                          <w:br/>
                          <w:t>du constructeur</w:t>
                        </w:r>
                      </w:p>
                    </w:txbxContent>
                  </v:textbox>
                </v:shape>
              </v:group>
            </w:pict>
          </mc:Fallback>
        </mc:AlternateContent>
      </w:r>
      <w:r w:rsidRPr="002C5876">
        <w:rPr>
          <w:noProof/>
          <w:lang w:val="en-GB" w:eastAsia="zh-CN"/>
        </w:rPr>
        <w:drawing>
          <wp:inline distT="0" distB="0" distL="0" distR="0" wp14:anchorId="11A163FB" wp14:editId="77855538">
            <wp:extent cx="5268228" cy="2952000"/>
            <wp:effectExtent l="0" t="0" r="0" b="127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6">
                      <a:extLst>
                        <a:ext uri="{28A0092B-C50C-407E-A947-70E740481C1C}">
                          <a14:useLocalDpi xmlns:a14="http://schemas.microsoft.com/office/drawing/2010/main" val="0"/>
                        </a:ext>
                      </a:extLst>
                    </a:blip>
                    <a:srcRect t="11761" b="13547"/>
                    <a:stretch/>
                  </pic:blipFill>
                  <pic:spPr bwMode="auto">
                    <a:xfrm>
                      <a:off x="0" y="0"/>
                      <a:ext cx="5374800" cy="3011717"/>
                    </a:xfrm>
                    <a:prstGeom prst="rect">
                      <a:avLst/>
                    </a:prstGeom>
                    <a:noFill/>
                    <a:ln>
                      <a:noFill/>
                    </a:ln>
                    <a:extLst>
                      <a:ext uri="{53640926-AAD7-44D8-BBD7-CCE9431645EC}">
                        <a14:shadowObscured xmlns:a14="http://schemas.microsoft.com/office/drawing/2010/main"/>
                      </a:ext>
                    </a:extLst>
                  </pic:spPr>
                </pic:pic>
              </a:graphicData>
            </a:graphic>
          </wp:inline>
        </w:drawing>
      </w:r>
    </w:p>
    <w:p w:rsidR="00E24DB7" w:rsidRPr="002C5876" w:rsidRDefault="00E24DB7" w:rsidP="00E24DB7">
      <w:pPr>
        <w:pStyle w:val="SingleTxtG"/>
        <w:keepNext/>
        <w:spacing w:before="240"/>
        <w:ind w:left="2268" w:hanging="1134"/>
        <w:jc w:val="left"/>
      </w:pPr>
      <w:r w:rsidRPr="002C5876">
        <w:t>3.</w:t>
      </w:r>
      <w:r w:rsidRPr="002C5876">
        <w:tab/>
        <w:t xml:space="preserve">Séquences d’essais VEP </w:t>
      </w:r>
    </w:p>
    <w:p w:rsidR="00E24DB7" w:rsidRPr="002C5876" w:rsidRDefault="00E24DB7" w:rsidP="00E24DB7">
      <w:pPr>
        <w:pStyle w:val="SingleTxtG"/>
        <w:keepNext/>
        <w:ind w:left="2268" w:hanging="1134"/>
        <w:jc w:val="left"/>
      </w:pPr>
      <w:r w:rsidRPr="002C5876">
        <w:t>3.1</w:t>
      </w:r>
      <w:r w:rsidRPr="002C5876">
        <w:tab/>
        <w:t>Procédure des cycles consécutifs</w:t>
      </w:r>
      <w:r w:rsidRPr="002C5876">
        <w:rPr>
          <w:rFonts w:eastAsia="MS Gothic"/>
        </w:rPr>
        <w:t xml:space="preserve"> </w:t>
      </w:r>
      <w:r w:rsidRPr="002C5876">
        <w:rPr>
          <w:rFonts w:eastAsia="MS Gothic"/>
          <w:bCs/>
          <w:szCs w:val="24"/>
        </w:rPr>
        <w:t>(fig. A8.App1/6)</w:t>
      </w:r>
    </w:p>
    <w:p w:rsidR="00E24DB7" w:rsidRPr="002C5876" w:rsidRDefault="00E24DB7" w:rsidP="00E24DB7">
      <w:pPr>
        <w:pStyle w:val="H23G"/>
        <w:ind w:left="0" w:firstLine="0"/>
      </w:pPr>
      <w:r w:rsidRPr="002C5876">
        <w:rPr>
          <w:b w:val="0"/>
        </w:rPr>
        <w:t>Figure A8.App1/6</w:t>
      </w:r>
      <w:r w:rsidRPr="002C5876">
        <w:t xml:space="preserve"> </w:t>
      </w:r>
      <w:r w:rsidRPr="002C5876">
        <w:br/>
        <w:t>Séquence d’essais des cycles consécutifs − VEP</w:t>
      </w:r>
    </w:p>
    <w:p w:rsidR="00E24DB7" w:rsidRPr="002C5876" w:rsidRDefault="00E24DB7" w:rsidP="00E24DB7">
      <w:r w:rsidRPr="002C5876">
        <w:rPr>
          <w:noProof/>
          <w:lang w:val="en-GB" w:eastAsia="zh-CN"/>
        </w:rPr>
        <mc:AlternateContent>
          <mc:Choice Requires="wps">
            <w:drawing>
              <wp:anchor distT="0" distB="0" distL="114300" distR="114300" simplePos="0" relativeHeight="251280384" behindDoc="0" locked="0" layoutInCell="1" allowOverlap="1" wp14:anchorId="512338A8" wp14:editId="4F4173D9">
                <wp:simplePos x="0" y="0"/>
                <wp:positionH relativeFrom="column">
                  <wp:posOffset>1999664</wp:posOffset>
                </wp:positionH>
                <wp:positionV relativeFrom="paragraph">
                  <wp:posOffset>2244432</wp:posOffset>
                </wp:positionV>
                <wp:extent cx="745685" cy="158115"/>
                <wp:effectExtent l="0" t="0" r="0" b="0"/>
                <wp:wrapNone/>
                <wp:docPr id="142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685" cy="158115"/>
                        </a:xfrm>
                        <a:prstGeom prst="rect">
                          <a:avLst/>
                        </a:prstGeom>
                        <a:solidFill>
                          <a:schemeClr val="bg1"/>
                        </a:solidFill>
                        <a:ln w="9525">
                          <a:noFill/>
                          <a:miter lim="800000"/>
                          <a:headEnd/>
                          <a:tailEnd/>
                        </a:ln>
                      </wps:spPr>
                      <wps:txbx>
                        <w:txbxContent>
                          <w:p w:rsidR="00D53F39" w:rsidRPr="0062701A" w:rsidRDefault="00D53F39" w:rsidP="00E24DB7">
                            <w:pPr>
                              <w:spacing w:line="240" w:lineRule="auto"/>
                              <w:jc w:val="center"/>
                              <w:rPr>
                                <w:b/>
                                <w:sz w:val="10"/>
                                <w:szCs w:val="10"/>
                              </w:rPr>
                            </w:pPr>
                            <w:r w:rsidRPr="0062701A">
                              <w:rPr>
                                <w:b/>
                                <w:sz w:val="10"/>
                                <w:szCs w:val="10"/>
                              </w:rPr>
                              <w:t xml:space="preserve">Cycle d’essai </w:t>
                            </w:r>
                            <w:r>
                              <w:rPr>
                                <w:b/>
                                <w:sz w:val="10"/>
                                <w:szCs w:val="10"/>
                              </w:rPr>
                              <w:br/>
                              <w:t>applicable 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338A8" id="_x0000_s1599" type="#_x0000_t202" style="position:absolute;margin-left:157.45pt;margin-top:176.75pt;width:58.7pt;height:12.45pt;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" fillcolor="white [3212]" stroked="f">
                <v:textbox inset="0,0,0,0">
                  <w:txbxContent>
                    <w:p w:rsidR="00D53F39" w:rsidRPr="0062701A" w:rsidRDefault="00D53F39" w:rsidP="00E24DB7">
                      <w:pPr>
                        <w:spacing w:line="240" w:lineRule="auto"/>
                        <w:jc w:val="center"/>
                        <w:rPr>
                          <w:b/>
                          <w:sz w:val="10"/>
                          <w:szCs w:val="10"/>
                        </w:rPr>
                      </w:pPr>
                      <w:r w:rsidRPr="0062701A">
                        <w:rPr>
                          <w:b/>
                          <w:sz w:val="10"/>
                          <w:szCs w:val="10"/>
                        </w:rPr>
                        <w:t xml:space="preserve">Cycle d’essai </w:t>
                      </w:r>
                      <w:r>
                        <w:rPr>
                          <w:b/>
                          <w:sz w:val="10"/>
                          <w:szCs w:val="10"/>
                        </w:rPr>
                        <w:br/>
                        <w:t>applicable i</w:t>
                      </w:r>
                    </w:p>
                  </w:txbxContent>
                </v:textbox>
              </v:shape>
            </w:pict>
          </mc:Fallback>
        </mc:AlternateContent>
      </w:r>
      <w:r w:rsidRPr="002C5876">
        <w:rPr>
          <w:noProof/>
          <w:lang w:val="en-GB" w:eastAsia="zh-CN"/>
        </w:rPr>
        <mc:AlternateContent>
          <mc:Choice Requires="wps">
            <w:drawing>
              <wp:anchor distT="0" distB="0" distL="114300" distR="114300" simplePos="0" relativeHeight="251274240" behindDoc="0" locked="0" layoutInCell="1" allowOverlap="1" wp14:anchorId="1D063E7A" wp14:editId="13977E5A">
                <wp:simplePos x="0" y="0"/>
                <wp:positionH relativeFrom="column">
                  <wp:posOffset>1255248</wp:posOffset>
                </wp:positionH>
                <wp:positionV relativeFrom="paragraph">
                  <wp:posOffset>2241549</wp:posOffset>
                </wp:positionV>
                <wp:extent cx="680622" cy="147271"/>
                <wp:effectExtent l="0" t="0" r="5715" b="5715"/>
                <wp:wrapNone/>
                <wp:docPr id="142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622" cy="147271"/>
                        </a:xfrm>
                        <a:prstGeom prst="rect">
                          <a:avLst/>
                        </a:prstGeom>
                        <a:solidFill>
                          <a:schemeClr val="bg1"/>
                        </a:solidFill>
                        <a:ln w="9525">
                          <a:noFill/>
                          <a:miter lim="800000"/>
                          <a:headEnd/>
                          <a:tailEnd/>
                        </a:ln>
                      </wps:spPr>
                      <wps:txbx>
                        <w:txbxContent>
                          <w:p w:rsidR="00D53F39" w:rsidRPr="009D55C9" w:rsidRDefault="00D53F39" w:rsidP="00E24DB7">
                            <w:pPr>
                              <w:spacing w:line="240" w:lineRule="auto"/>
                              <w:jc w:val="center"/>
                              <w:rPr>
                                <w:b/>
                                <w:sz w:val="12"/>
                                <w:szCs w:val="12"/>
                              </w:rPr>
                            </w:pPr>
                            <w:r>
                              <w:rPr>
                                <w:b/>
                                <w:sz w:val="12"/>
                                <w:szCs w:val="12"/>
                              </w:rPr>
                              <w:t>C</w:t>
                            </w:r>
                            <w:r w:rsidRPr="009D55C9">
                              <w:rPr>
                                <w:b/>
                                <w:sz w:val="12"/>
                                <w:szCs w:val="12"/>
                              </w:rPr>
                              <w:t xml:space="preserve">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63E7A" id="_x0000_s1600" type="#_x0000_t202" style="position:absolute;margin-left:98.85pt;margin-top:176.5pt;width:53.6pt;height:11.6pt;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" fillcolor="white [3212]" stroked="f">
                <v:textbox inset="0,0,0,0">
                  <w:txbxContent>
                    <w:p w:rsidR="00D53F39" w:rsidRPr="009D55C9" w:rsidRDefault="00D53F39" w:rsidP="00E24DB7">
                      <w:pPr>
                        <w:spacing w:line="240" w:lineRule="auto"/>
                        <w:jc w:val="center"/>
                        <w:rPr>
                          <w:b/>
                          <w:sz w:val="12"/>
                          <w:szCs w:val="12"/>
                        </w:rPr>
                      </w:pPr>
                      <w:r>
                        <w:rPr>
                          <w:b/>
                          <w:sz w:val="12"/>
                          <w:szCs w:val="12"/>
                        </w:rPr>
                        <w:t>C</w:t>
                      </w:r>
                      <w:r w:rsidRPr="009D55C9">
                        <w:rPr>
                          <w:b/>
                          <w:sz w:val="12"/>
                          <w:szCs w:val="12"/>
                        </w:rPr>
                        <w:t xml:space="preserve">harge </w:t>
                      </w:r>
                    </w:p>
                  </w:txbxContent>
                </v:textbox>
              </v:shape>
            </w:pict>
          </mc:Fallback>
        </mc:AlternateContent>
      </w:r>
      <w:r w:rsidRPr="002C5876">
        <w:rPr>
          <w:noProof/>
          <w:lang w:val="en-GB" w:eastAsia="zh-CN"/>
        </w:rPr>
        <mc:AlternateContent>
          <mc:Choice Requires="wps">
            <w:drawing>
              <wp:anchor distT="0" distB="0" distL="114300" distR="114300" simplePos="0" relativeHeight="251286528" behindDoc="0" locked="0" layoutInCell="1" allowOverlap="1" wp14:anchorId="35D706BB" wp14:editId="152A0B14">
                <wp:simplePos x="0" y="0"/>
                <wp:positionH relativeFrom="column">
                  <wp:posOffset>3923030</wp:posOffset>
                </wp:positionH>
                <wp:positionV relativeFrom="paragraph">
                  <wp:posOffset>835660</wp:posOffset>
                </wp:positionV>
                <wp:extent cx="760730" cy="205740"/>
                <wp:effectExtent l="0" t="0" r="1270" b="3810"/>
                <wp:wrapNone/>
                <wp:docPr id="1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205740"/>
                        </a:xfrm>
                        <a:prstGeom prst="rect">
                          <a:avLst/>
                        </a:prstGeom>
                        <a:solidFill>
                          <a:schemeClr val="bg1"/>
                        </a:solidFill>
                        <a:ln w="9525">
                          <a:noFill/>
                          <a:miter lim="800000"/>
                          <a:headEnd/>
                          <a:tailEnd/>
                        </a:ln>
                      </wps:spPr>
                      <wps:txbx>
                        <w:txbxContent>
                          <w:p w:rsidR="00D53F39" w:rsidRPr="009D70C4" w:rsidRDefault="00D53F39" w:rsidP="00E24DB7">
                            <w:pPr>
                              <w:spacing w:line="120" w:lineRule="exact"/>
                              <w:jc w:val="center"/>
                              <w:rPr>
                                <w:b/>
                                <w:color w:val="00B0F0"/>
                                <w:sz w:val="10"/>
                                <w:szCs w:val="10"/>
                              </w:rPr>
                            </w:pPr>
                            <w:r>
                              <w:rPr>
                                <w:b/>
                                <w:color w:val="00B0F0"/>
                                <w:sz w:val="10"/>
                                <w:szCs w:val="10"/>
                              </w:rPr>
                              <w:t xml:space="preserve">Critère de déconnexion automatique atteint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706BB" id="_x0000_s1601" type="#_x0000_t202" style="position:absolute;margin-left:308.9pt;margin-top:65.8pt;width:59.9pt;height:16.2pt;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" fillcolor="white [3212]" stroked="f">
                <v:textbox inset="0,0,0,0">
                  <w:txbxContent>
                    <w:p w:rsidR="00D53F39" w:rsidRPr="009D70C4" w:rsidRDefault="00D53F39" w:rsidP="00E24DB7">
                      <w:pPr>
                        <w:spacing w:line="120" w:lineRule="exact"/>
                        <w:jc w:val="center"/>
                        <w:rPr>
                          <w:b/>
                          <w:color w:val="00B0F0"/>
                          <w:sz w:val="10"/>
                          <w:szCs w:val="10"/>
                        </w:rPr>
                      </w:pPr>
                      <w:r>
                        <w:rPr>
                          <w:b/>
                          <w:color w:val="00B0F0"/>
                          <w:sz w:val="10"/>
                          <w:szCs w:val="10"/>
                        </w:rPr>
                        <w:t xml:space="preserve">Critère de déconnexion automatique atteint </w:t>
                      </w:r>
                    </w:p>
                  </w:txbxContent>
                </v:textbox>
              </v:shape>
            </w:pict>
          </mc:Fallback>
        </mc:AlternateContent>
      </w:r>
      <w:r w:rsidRPr="002C5876">
        <w:rPr>
          <w:noProof/>
          <w:lang w:val="en-GB" w:eastAsia="zh-CN"/>
        </w:rPr>
        <mc:AlternateContent>
          <mc:Choice Requires="wps">
            <w:drawing>
              <wp:anchor distT="0" distB="0" distL="114300" distR="114300" simplePos="0" relativeHeight="251518976" behindDoc="0" locked="0" layoutInCell="1" allowOverlap="1" wp14:anchorId="08F7BB43" wp14:editId="22D7A746">
                <wp:simplePos x="0" y="0"/>
                <wp:positionH relativeFrom="column">
                  <wp:posOffset>2810510</wp:posOffset>
                </wp:positionH>
                <wp:positionV relativeFrom="paragraph">
                  <wp:posOffset>2244725</wp:posOffset>
                </wp:positionV>
                <wp:extent cx="726440" cy="180340"/>
                <wp:effectExtent l="0" t="0" r="0" b="0"/>
                <wp:wrapNone/>
                <wp:docPr id="142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180340"/>
                        </a:xfrm>
                        <a:prstGeom prst="rect">
                          <a:avLst/>
                        </a:prstGeom>
                        <a:solidFill>
                          <a:schemeClr val="bg1"/>
                        </a:solidFill>
                        <a:ln w="9525">
                          <a:noFill/>
                          <a:miter lim="800000"/>
                          <a:headEnd/>
                          <a:tailEnd/>
                        </a:ln>
                      </wps:spPr>
                      <wps:txbx>
                        <w:txbxContent>
                          <w:p w:rsidR="00D53F39" w:rsidRPr="0062701A" w:rsidRDefault="00D53F39" w:rsidP="00E24DB7">
                            <w:pPr>
                              <w:spacing w:line="240" w:lineRule="auto"/>
                              <w:jc w:val="center"/>
                              <w:rPr>
                                <w:b/>
                                <w:sz w:val="10"/>
                                <w:szCs w:val="10"/>
                              </w:rPr>
                            </w:pPr>
                            <w:r w:rsidRPr="0062701A">
                              <w:rPr>
                                <w:b/>
                                <w:sz w:val="10"/>
                                <w:szCs w:val="10"/>
                              </w:rPr>
                              <w:t xml:space="preserve">Cycle d’essai </w:t>
                            </w:r>
                            <w:r>
                              <w:rPr>
                                <w:b/>
                                <w:sz w:val="10"/>
                                <w:szCs w:val="10"/>
                              </w:rPr>
                              <w:br/>
                              <w:t>applicable i+1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7BB43" id="_x0000_s1602" type="#_x0000_t202" style="position:absolute;margin-left:221.3pt;margin-top:176.75pt;width:57.2pt;height:14.2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" fillcolor="white [3212]" stroked="f">
                <v:textbox inset="0,0,0,0">
                  <w:txbxContent>
                    <w:p w:rsidR="00D53F39" w:rsidRPr="0062701A" w:rsidRDefault="00D53F39" w:rsidP="00E24DB7">
                      <w:pPr>
                        <w:spacing w:line="240" w:lineRule="auto"/>
                        <w:jc w:val="center"/>
                        <w:rPr>
                          <w:b/>
                          <w:sz w:val="10"/>
                          <w:szCs w:val="10"/>
                        </w:rPr>
                      </w:pPr>
                      <w:r w:rsidRPr="0062701A">
                        <w:rPr>
                          <w:b/>
                          <w:sz w:val="10"/>
                          <w:szCs w:val="10"/>
                        </w:rPr>
                        <w:t xml:space="preserve">Cycle d’essai </w:t>
                      </w:r>
                      <w:r>
                        <w:rPr>
                          <w:b/>
                          <w:sz w:val="10"/>
                          <w:szCs w:val="10"/>
                        </w:rPr>
                        <w:br/>
                        <w:t>applicable i+1</w:t>
                      </w:r>
                    </w:p>
                  </w:txbxContent>
                </v:textbox>
              </v:shape>
            </w:pict>
          </mc:Fallback>
        </mc:AlternateContent>
      </w:r>
      <w:r w:rsidRPr="002C5876">
        <w:rPr>
          <w:noProof/>
          <w:lang w:val="en-GB" w:eastAsia="zh-CN"/>
        </w:rPr>
        <mc:AlternateContent>
          <mc:Choice Requires="wps">
            <w:drawing>
              <wp:anchor distT="0" distB="0" distL="114300" distR="114300" simplePos="0" relativeHeight="251522048" behindDoc="0" locked="0" layoutInCell="1" allowOverlap="1" wp14:anchorId="4638E92B" wp14:editId="1055EE11">
                <wp:simplePos x="0" y="0"/>
                <wp:positionH relativeFrom="column">
                  <wp:posOffset>3601720</wp:posOffset>
                </wp:positionH>
                <wp:positionV relativeFrom="paragraph">
                  <wp:posOffset>2244725</wp:posOffset>
                </wp:positionV>
                <wp:extent cx="680085" cy="173355"/>
                <wp:effectExtent l="0" t="0" r="5715" b="0"/>
                <wp:wrapNone/>
                <wp:docPr id="142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73355"/>
                        </a:xfrm>
                        <a:prstGeom prst="rect">
                          <a:avLst/>
                        </a:prstGeom>
                        <a:solidFill>
                          <a:schemeClr val="bg1"/>
                        </a:solidFill>
                        <a:ln w="9525">
                          <a:noFill/>
                          <a:miter lim="800000"/>
                          <a:headEnd/>
                          <a:tailEnd/>
                        </a:ln>
                      </wps:spPr>
                      <wps:txbx>
                        <w:txbxContent>
                          <w:p w:rsidR="00D53F39" w:rsidRPr="0062701A" w:rsidRDefault="00D53F39" w:rsidP="00E24DB7">
                            <w:pPr>
                              <w:spacing w:line="100" w:lineRule="exact"/>
                              <w:jc w:val="center"/>
                              <w:rPr>
                                <w:b/>
                                <w:sz w:val="10"/>
                                <w:szCs w:val="10"/>
                              </w:rPr>
                            </w:pPr>
                            <w:r w:rsidRPr="0062701A">
                              <w:rPr>
                                <w:b/>
                                <w:sz w:val="10"/>
                                <w:szCs w:val="10"/>
                              </w:rPr>
                              <w:t xml:space="preserve">Cycle d’essai </w:t>
                            </w:r>
                            <w:r>
                              <w:rPr>
                                <w:b/>
                                <w:sz w:val="10"/>
                                <w:szCs w:val="10"/>
                              </w:rPr>
                              <w:br/>
                              <w:t>applicable i+2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8E92B" id="_x0000_s1603" type="#_x0000_t202" style="position:absolute;margin-left:283.6pt;margin-top:176.75pt;width:53.55pt;height:13.6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" fillcolor="white [3212]" stroked="f">
                <v:textbox inset="0,0,0,0">
                  <w:txbxContent>
                    <w:p w:rsidR="00D53F39" w:rsidRPr="0062701A" w:rsidRDefault="00D53F39" w:rsidP="00E24DB7">
                      <w:pPr>
                        <w:spacing w:line="100" w:lineRule="exact"/>
                        <w:jc w:val="center"/>
                        <w:rPr>
                          <w:b/>
                          <w:sz w:val="10"/>
                          <w:szCs w:val="10"/>
                        </w:rPr>
                      </w:pPr>
                      <w:r w:rsidRPr="0062701A">
                        <w:rPr>
                          <w:b/>
                          <w:sz w:val="10"/>
                          <w:szCs w:val="10"/>
                        </w:rPr>
                        <w:t xml:space="preserve">Cycle d’essai </w:t>
                      </w:r>
                      <w:r>
                        <w:rPr>
                          <w:b/>
                          <w:sz w:val="10"/>
                          <w:szCs w:val="10"/>
                        </w:rPr>
                        <w:br/>
                        <w:t>applicable i+2</w:t>
                      </w:r>
                    </w:p>
                  </w:txbxContent>
                </v:textbox>
              </v:shape>
            </w:pict>
          </mc:Fallback>
        </mc:AlternateContent>
      </w:r>
      <w:r w:rsidRPr="002C5876">
        <w:rPr>
          <w:noProof/>
          <w:lang w:val="en-GB" w:eastAsia="zh-CN"/>
        </w:rPr>
        <mc:AlternateContent>
          <mc:Choice Requires="wps">
            <w:drawing>
              <wp:anchor distT="0" distB="0" distL="114300" distR="114300" simplePos="0" relativeHeight="251525120" behindDoc="0" locked="0" layoutInCell="1" allowOverlap="1" wp14:anchorId="4B9AB4AD" wp14:editId="09123B06">
                <wp:simplePos x="0" y="0"/>
                <wp:positionH relativeFrom="column">
                  <wp:posOffset>4370070</wp:posOffset>
                </wp:positionH>
                <wp:positionV relativeFrom="paragraph">
                  <wp:posOffset>2244725</wp:posOffset>
                </wp:positionV>
                <wp:extent cx="692150" cy="179070"/>
                <wp:effectExtent l="0" t="0" r="0" b="0"/>
                <wp:wrapNone/>
                <wp:docPr id="142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179070"/>
                        </a:xfrm>
                        <a:prstGeom prst="rect">
                          <a:avLst/>
                        </a:prstGeom>
                        <a:solidFill>
                          <a:schemeClr val="bg1"/>
                        </a:solidFill>
                        <a:ln w="9525">
                          <a:noFill/>
                          <a:miter lim="800000"/>
                          <a:headEnd/>
                          <a:tailEnd/>
                        </a:ln>
                      </wps:spPr>
                      <wps:txbx>
                        <w:txbxContent>
                          <w:p w:rsidR="00D53F39" w:rsidRPr="00C04547" w:rsidRDefault="00D53F39" w:rsidP="00E24DB7">
                            <w:pPr>
                              <w:spacing w:line="100" w:lineRule="exact"/>
                              <w:jc w:val="center"/>
                              <w:rPr>
                                <w:rFonts w:ascii="Times New Roman Gras" w:hAnsi="Times New Roman Gras"/>
                                <w:b/>
                                <w:sz w:val="10"/>
                                <w:szCs w:val="10"/>
                              </w:rPr>
                            </w:pPr>
                            <w:r w:rsidRPr="0062701A">
                              <w:rPr>
                                <w:b/>
                                <w:sz w:val="10"/>
                                <w:szCs w:val="10"/>
                              </w:rPr>
                              <w:t xml:space="preserve">Cycle d’essai </w:t>
                            </w:r>
                            <w:r>
                              <w:rPr>
                                <w:b/>
                                <w:sz w:val="10"/>
                                <w:szCs w:val="10"/>
                              </w:rPr>
                              <w:br/>
                              <w:t xml:space="preserve">applicable </w:t>
                            </w:r>
                            <w:r>
                              <w:rPr>
                                <w:rFonts w:ascii="Times New Roman Gras" w:hAnsi="Times New Roman Gras"/>
                                <w:b/>
                                <w:sz w:val="10"/>
                                <w:szCs w:val="10"/>
                              </w:rPr>
                              <w:t>i+3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AB4AD" id="_x0000_s1604" type="#_x0000_t202" style="position:absolute;margin-left:344.1pt;margin-top:176.75pt;width:54.5pt;height:14.1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" fillcolor="white [3212]" stroked="f">
                <v:textbox inset="0,0,0,0">
                  <w:txbxContent>
                    <w:p w:rsidR="00D53F39" w:rsidRPr="00C04547" w:rsidRDefault="00D53F39" w:rsidP="00E24DB7">
                      <w:pPr>
                        <w:spacing w:line="100" w:lineRule="exact"/>
                        <w:jc w:val="center"/>
                        <w:rPr>
                          <w:rFonts w:ascii="Times New Roman Gras" w:hAnsi="Times New Roman Gras"/>
                          <w:b/>
                          <w:sz w:val="10"/>
                          <w:szCs w:val="10"/>
                        </w:rPr>
                      </w:pPr>
                      <w:r w:rsidRPr="0062701A">
                        <w:rPr>
                          <w:b/>
                          <w:sz w:val="10"/>
                          <w:szCs w:val="10"/>
                        </w:rPr>
                        <w:t xml:space="preserve">Cycle d’essai </w:t>
                      </w:r>
                      <w:r>
                        <w:rPr>
                          <w:b/>
                          <w:sz w:val="10"/>
                          <w:szCs w:val="10"/>
                        </w:rPr>
                        <w:br/>
                        <w:t xml:space="preserve">applicable </w:t>
                      </w:r>
                      <w:r>
                        <w:rPr>
                          <w:rFonts w:ascii="Times New Roman Gras" w:hAnsi="Times New Roman Gras"/>
                          <w:b/>
                          <w:sz w:val="10"/>
                          <w:szCs w:val="10"/>
                        </w:rPr>
                        <w:t>i+3</w:t>
                      </w:r>
                    </w:p>
                  </w:txbxContent>
                </v:textbox>
              </v:shape>
            </w:pict>
          </mc:Fallback>
        </mc:AlternateContent>
      </w:r>
      <w:r w:rsidRPr="002C5876">
        <w:rPr>
          <w:noProof/>
          <w:lang w:val="en-GB" w:eastAsia="zh-CN"/>
        </w:rPr>
        <mc:AlternateContent>
          <mc:Choice Requires="wps">
            <w:drawing>
              <wp:anchor distT="0" distB="0" distL="114300" distR="114300" simplePos="0" relativeHeight="251531264" behindDoc="0" locked="0" layoutInCell="1" allowOverlap="1" wp14:anchorId="1B6F176B" wp14:editId="0FE22D3B">
                <wp:simplePos x="0" y="0"/>
                <wp:positionH relativeFrom="column">
                  <wp:posOffset>5183505</wp:posOffset>
                </wp:positionH>
                <wp:positionV relativeFrom="paragraph">
                  <wp:posOffset>2244725</wp:posOffset>
                </wp:positionV>
                <wp:extent cx="629920" cy="142240"/>
                <wp:effectExtent l="0" t="0" r="0" b="0"/>
                <wp:wrapNone/>
                <wp:docPr id="142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2240"/>
                        </a:xfrm>
                        <a:prstGeom prst="rect">
                          <a:avLst/>
                        </a:prstGeom>
                        <a:solidFill>
                          <a:schemeClr val="bg1"/>
                        </a:solidFill>
                        <a:ln w="9525">
                          <a:noFill/>
                          <a:miter lim="800000"/>
                          <a:headEnd/>
                          <a:tailEnd/>
                        </a:ln>
                      </wps:spPr>
                      <wps:txbx>
                        <w:txbxContent>
                          <w:p w:rsidR="00D53F39" w:rsidRPr="009D55C9" w:rsidRDefault="00D53F39" w:rsidP="00E24DB7">
                            <w:pPr>
                              <w:spacing w:line="240" w:lineRule="auto"/>
                              <w:jc w:val="center"/>
                              <w:rPr>
                                <w:b/>
                                <w:sz w:val="12"/>
                                <w:szCs w:val="12"/>
                              </w:rPr>
                            </w:pPr>
                            <w:r>
                              <w:rPr>
                                <w:b/>
                                <w:sz w:val="12"/>
                                <w:szCs w:val="12"/>
                              </w:rPr>
                              <w:t>C</w:t>
                            </w:r>
                            <w:r w:rsidRPr="009D55C9">
                              <w:rPr>
                                <w:b/>
                                <w:sz w:val="12"/>
                                <w:szCs w:val="12"/>
                              </w:rPr>
                              <w:t xml:space="preserve">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F176B" id="_x0000_s1605" type="#_x0000_t202" style="position:absolute;margin-left:408.15pt;margin-top:176.75pt;width:49.6pt;height:11.2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" fillcolor="white [3212]" stroked="f">
                <v:textbox inset="0,0,0,0">
                  <w:txbxContent>
                    <w:p w:rsidR="00D53F39" w:rsidRPr="009D55C9" w:rsidRDefault="00D53F39" w:rsidP="00E24DB7">
                      <w:pPr>
                        <w:spacing w:line="240" w:lineRule="auto"/>
                        <w:jc w:val="center"/>
                        <w:rPr>
                          <w:b/>
                          <w:sz w:val="12"/>
                          <w:szCs w:val="12"/>
                        </w:rPr>
                      </w:pPr>
                      <w:r>
                        <w:rPr>
                          <w:b/>
                          <w:sz w:val="12"/>
                          <w:szCs w:val="12"/>
                        </w:rPr>
                        <w:t>C</w:t>
                      </w:r>
                      <w:r w:rsidRPr="009D55C9">
                        <w:rPr>
                          <w:b/>
                          <w:sz w:val="12"/>
                          <w:szCs w:val="12"/>
                        </w:rPr>
                        <w:t xml:space="preserve">harge </w:t>
                      </w:r>
                    </w:p>
                  </w:txbxContent>
                </v:textbox>
              </v:shape>
            </w:pict>
          </mc:Fallback>
        </mc:AlternateContent>
      </w:r>
      <w:r w:rsidRPr="002C5876">
        <w:rPr>
          <w:noProof/>
          <w:lang w:val="en-GB" w:eastAsia="zh-CN"/>
        </w:rPr>
        <mc:AlternateContent>
          <mc:Choice Requires="wps">
            <w:drawing>
              <wp:anchor distT="0" distB="0" distL="114300" distR="114300" simplePos="0" relativeHeight="251537408" behindDoc="0" locked="0" layoutInCell="1" allowOverlap="1" wp14:anchorId="72EDDD3D" wp14:editId="2A4D5ED4">
                <wp:simplePos x="0" y="0"/>
                <wp:positionH relativeFrom="column">
                  <wp:posOffset>5461160</wp:posOffset>
                </wp:positionH>
                <wp:positionV relativeFrom="paragraph">
                  <wp:posOffset>1059655</wp:posOffset>
                </wp:positionV>
                <wp:extent cx="814705" cy="305120"/>
                <wp:effectExtent l="7303" t="0" r="0" b="0"/>
                <wp:wrapNone/>
                <wp:docPr id="142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4705" cy="305120"/>
                        </a:xfrm>
                        <a:prstGeom prst="rect">
                          <a:avLst/>
                        </a:prstGeom>
                        <a:solidFill>
                          <a:schemeClr val="bg1"/>
                        </a:solidFill>
                        <a:ln w="9525">
                          <a:noFill/>
                          <a:miter lim="800000"/>
                          <a:headEnd/>
                          <a:tailEnd/>
                        </a:ln>
                      </wps:spPr>
                      <wps:txbx>
                        <w:txbxContent>
                          <w:p w:rsidR="00D53F39" w:rsidRPr="00E911A4" w:rsidRDefault="00D53F39" w:rsidP="00E24DB7">
                            <w:pPr>
                              <w:spacing w:line="240" w:lineRule="auto"/>
                              <w:jc w:val="center"/>
                              <w:rPr>
                                <w:b/>
                                <w:sz w:val="12"/>
                                <w:szCs w:val="12"/>
                              </w:rPr>
                            </w:pPr>
                            <w:r w:rsidRPr="00E911A4">
                              <w:rPr>
                                <w:b/>
                                <w:sz w:val="12"/>
                                <w:szCs w:val="12"/>
                              </w:rPr>
                              <w:t>E</w:t>
                            </w:r>
                            <w:r w:rsidRPr="00E911A4">
                              <w:rPr>
                                <w:b/>
                                <w:sz w:val="12"/>
                                <w:szCs w:val="12"/>
                                <w:vertAlign w:val="subscript"/>
                              </w:rPr>
                              <w:t xml:space="preserve">AC </w:t>
                            </w:r>
                            <w:r w:rsidRPr="00E911A4">
                              <w:rPr>
                                <w:b/>
                                <w:sz w:val="12"/>
                                <w:szCs w:val="12"/>
                              </w:rPr>
                              <w:br/>
                              <w:t xml:space="preserve">(recharge d’énergie </w:t>
                            </w:r>
                            <w:r w:rsidRPr="00E911A4">
                              <w:rPr>
                                <w:b/>
                                <w:sz w:val="12"/>
                                <w:szCs w:val="12"/>
                              </w:rPr>
                              <w:br/>
                              <w:t>sur le secteur)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DDD3D" id="_x0000_s1606" type="#_x0000_t202" style="position:absolute;margin-left:430pt;margin-top:83.45pt;width:64.15pt;height:24.05pt;rotation:-90;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" fillcolor="white [3212]" stroked="f">
                <v:textbox inset="0,0,0,0">
                  <w:txbxContent>
                    <w:p w:rsidR="00D53F39" w:rsidRPr="00E911A4" w:rsidRDefault="00D53F39" w:rsidP="00E24DB7">
                      <w:pPr>
                        <w:spacing w:line="240" w:lineRule="auto"/>
                        <w:jc w:val="center"/>
                        <w:rPr>
                          <w:b/>
                          <w:sz w:val="12"/>
                          <w:szCs w:val="12"/>
                        </w:rPr>
                      </w:pPr>
                      <w:r w:rsidRPr="00E911A4">
                        <w:rPr>
                          <w:b/>
                          <w:sz w:val="12"/>
                          <w:szCs w:val="12"/>
                        </w:rPr>
                        <w:t>E</w:t>
                      </w:r>
                      <w:r w:rsidRPr="00E911A4">
                        <w:rPr>
                          <w:b/>
                          <w:sz w:val="12"/>
                          <w:szCs w:val="12"/>
                          <w:vertAlign w:val="subscript"/>
                        </w:rPr>
                        <w:t xml:space="preserve">AC </w:t>
                      </w:r>
                      <w:r w:rsidRPr="00E911A4">
                        <w:rPr>
                          <w:b/>
                          <w:sz w:val="12"/>
                          <w:szCs w:val="12"/>
                        </w:rPr>
                        <w:br/>
                        <w:t xml:space="preserve">(recharge d’énergie </w:t>
                      </w:r>
                      <w:r w:rsidRPr="00E911A4">
                        <w:rPr>
                          <w:b/>
                          <w:sz w:val="12"/>
                          <w:szCs w:val="12"/>
                        </w:rPr>
                        <w:br/>
                        <w:t>sur le secteur)</w:t>
                      </w:r>
                    </w:p>
                  </w:txbxContent>
                </v:textbox>
              </v:shape>
            </w:pict>
          </mc:Fallback>
        </mc:AlternateContent>
      </w:r>
      <w:r w:rsidRPr="002C5876">
        <w:rPr>
          <w:noProof/>
          <w:lang w:val="en-GB" w:eastAsia="zh-CN"/>
        </w:rPr>
        <mc:AlternateContent>
          <mc:Choice Requires="wps">
            <w:drawing>
              <wp:anchor distT="0" distB="0" distL="114300" distR="114300" simplePos="0" relativeHeight="251534336" behindDoc="0" locked="0" layoutInCell="1" allowOverlap="1" wp14:anchorId="753BB39E" wp14:editId="0E66B4FB">
                <wp:simplePos x="0" y="0"/>
                <wp:positionH relativeFrom="column">
                  <wp:posOffset>4780280</wp:posOffset>
                </wp:positionH>
                <wp:positionV relativeFrom="paragraph">
                  <wp:posOffset>368300</wp:posOffset>
                </wp:positionV>
                <wp:extent cx="280670" cy="201295"/>
                <wp:effectExtent l="0" t="0" r="5080" b="8255"/>
                <wp:wrapNone/>
                <wp:docPr id="142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01295"/>
                        </a:xfrm>
                        <a:prstGeom prst="rect">
                          <a:avLst/>
                        </a:prstGeom>
                        <a:solidFill>
                          <a:schemeClr val="bg1"/>
                        </a:solidFill>
                        <a:ln w="9525">
                          <a:noFill/>
                          <a:miter lim="800000"/>
                          <a:headEnd/>
                          <a:tailEnd/>
                        </a:ln>
                      </wps:spPr>
                      <wps:txbx>
                        <w:txbxContent>
                          <w:p w:rsidR="00D53F39" w:rsidRPr="0062701A" w:rsidRDefault="00D53F39" w:rsidP="00E24DB7">
                            <w:pPr>
                              <w:spacing w:line="240" w:lineRule="auto"/>
                              <w:jc w:val="center"/>
                              <w:rPr>
                                <w:b/>
                                <w:sz w:val="10"/>
                                <w:szCs w:val="10"/>
                              </w:rPr>
                            </w:pPr>
                            <w:r>
                              <w:rPr>
                                <w:b/>
                                <w:sz w:val="10"/>
                                <w:szCs w:val="10"/>
                              </w:rPr>
                              <w:t>120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BB39E" id="_x0000_s1607" type="#_x0000_t202" style="position:absolute;margin-left:376.4pt;margin-top:29pt;width:22.1pt;height:15.8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" fillcolor="white [3212]" stroked="f">
                <v:textbox inset="0,0,0,0">
                  <w:txbxContent>
                    <w:p w:rsidR="00D53F39" w:rsidRPr="0062701A" w:rsidRDefault="00D53F39" w:rsidP="00E24DB7">
                      <w:pPr>
                        <w:spacing w:line="240" w:lineRule="auto"/>
                        <w:jc w:val="center"/>
                        <w:rPr>
                          <w:b/>
                          <w:sz w:val="10"/>
                          <w:szCs w:val="10"/>
                        </w:rPr>
                      </w:pPr>
                      <w:r>
                        <w:rPr>
                          <w:b/>
                          <w:sz w:val="10"/>
                          <w:szCs w:val="10"/>
                        </w:rPr>
                        <w:t>120 min max.</w:t>
                      </w:r>
                    </w:p>
                  </w:txbxContent>
                </v:textbox>
              </v:shape>
            </w:pict>
          </mc:Fallback>
        </mc:AlternateContent>
      </w:r>
      <w:r w:rsidRPr="002C5876">
        <w:rPr>
          <w:noProof/>
          <w:lang w:val="en-GB" w:eastAsia="zh-CN"/>
        </w:rPr>
        <mc:AlternateContent>
          <mc:Choice Requires="wps">
            <w:drawing>
              <wp:anchor distT="0" distB="0" distL="114300" distR="114300" simplePos="0" relativeHeight="251528192" behindDoc="0" locked="0" layoutInCell="1" allowOverlap="1" wp14:anchorId="1539A8F9" wp14:editId="60141D3D">
                <wp:simplePos x="0" y="0"/>
                <wp:positionH relativeFrom="column">
                  <wp:posOffset>1470660</wp:posOffset>
                </wp:positionH>
                <wp:positionV relativeFrom="paragraph">
                  <wp:posOffset>1165860</wp:posOffset>
                </wp:positionV>
                <wp:extent cx="628650" cy="100330"/>
                <wp:effectExtent l="0" t="2540" r="0" b="0"/>
                <wp:wrapNone/>
                <wp:docPr id="142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8650" cy="100330"/>
                        </a:xfrm>
                        <a:prstGeom prst="rect">
                          <a:avLst/>
                        </a:prstGeom>
                        <a:solidFill>
                          <a:schemeClr val="bg1"/>
                        </a:solidFill>
                        <a:ln w="9525">
                          <a:noFill/>
                          <a:miter lim="800000"/>
                          <a:headEnd/>
                          <a:tailEnd/>
                        </a:ln>
                      </wps:spPr>
                      <wps:txbx>
                        <w:txbxContent>
                          <w:p w:rsidR="00D53F39" w:rsidRPr="00213906" w:rsidRDefault="00D53F39" w:rsidP="00E24DB7">
                            <w:pPr>
                              <w:spacing w:line="240" w:lineRule="auto"/>
                              <w:rPr>
                                <w:b/>
                                <w:color w:val="FFC000"/>
                                <w:sz w:val="10"/>
                                <w:szCs w:val="10"/>
                              </w:rPr>
                            </w:pPr>
                            <w:r w:rsidRPr="00213906">
                              <w:rPr>
                                <w:b/>
                                <w:color w:val="FFC000"/>
                                <w:sz w:val="10"/>
                                <w:szCs w:val="10"/>
                              </w:rPr>
                              <w:t>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9A8F9" id="_x0000_s1608" type="#_x0000_t202" style="position:absolute;margin-left:115.8pt;margin-top:91.8pt;width:49.5pt;height:7.9pt;rotation:-90;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" fillcolor="white [3212]" stroked="f">
                <v:textbox inset="0,0,0,0">
                  <w:txbxContent>
                    <w:p w:rsidR="00D53F39" w:rsidRPr="00213906" w:rsidRDefault="00D53F39" w:rsidP="00E24DB7">
                      <w:pPr>
                        <w:spacing w:line="240" w:lineRule="auto"/>
                        <w:rPr>
                          <w:b/>
                          <w:color w:val="FFC000"/>
                          <w:sz w:val="10"/>
                          <w:szCs w:val="10"/>
                        </w:rPr>
                      </w:pPr>
                      <w:r w:rsidRPr="00213906">
                        <w:rPr>
                          <w:b/>
                          <w:color w:val="FFC000"/>
                          <w:sz w:val="10"/>
                          <w:szCs w:val="10"/>
                        </w:rPr>
                        <w:t>Complétement chargé</w:t>
                      </w:r>
                    </w:p>
                  </w:txbxContent>
                </v:textbox>
              </v:shape>
            </w:pict>
          </mc:Fallback>
        </mc:AlternateContent>
      </w:r>
      <w:r w:rsidRPr="002C5876">
        <w:rPr>
          <w:noProof/>
          <w:lang w:val="en-GB" w:eastAsia="zh-CN"/>
        </w:rPr>
        <mc:AlternateContent>
          <mc:Choice Requires="wps">
            <w:drawing>
              <wp:anchor distT="0" distB="0" distL="114300" distR="114300" simplePos="0" relativeHeight="251543552" behindDoc="0" locked="0" layoutInCell="1" allowOverlap="1" wp14:anchorId="7EB2A39E" wp14:editId="263BEB45">
                <wp:simplePos x="0" y="0"/>
                <wp:positionH relativeFrom="column">
                  <wp:posOffset>1215390</wp:posOffset>
                </wp:positionH>
                <wp:positionV relativeFrom="paragraph">
                  <wp:posOffset>459105</wp:posOffset>
                </wp:positionV>
                <wp:extent cx="731520" cy="173990"/>
                <wp:effectExtent l="0" t="0" r="0" b="0"/>
                <wp:wrapNone/>
                <wp:docPr id="142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73990"/>
                        </a:xfrm>
                        <a:prstGeom prst="rect">
                          <a:avLst/>
                        </a:prstGeom>
                        <a:solidFill>
                          <a:schemeClr val="bg1"/>
                        </a:solidFill>
                        <a:ln w="9525">
                          <a:noFill/>
                          <a:miter lim="800000"/>
                          <a:headEnd/>
                          <a:tailEnd/>
                        </a:ln>
                      </wps:spPr>
                      <wps:txbx>
                        <w:txbxContent>
                          <w:p w:rsidR="00D53F39" w:rsidRPr="009D70C4" w:rsidRDefault="00D53F39" w:rsidP="00E24DB7">
                            <w:pPr>
                              <w:spacing w:line="120" w:lineRule="exact"/>
                              <w:jc w:val="center"/>
                              <w:rPr>
                                <w:b/>
                                <w:sz w:val="10"/>
                                <w:szCs w:val="10"/>
                              </w:rPr>
                            </w:pPr>
                            <w:r>
                              <w:rPr>
                                <w:b/>
                                <w:sz w:val="10"/>
                                <w:szCs w:val="10"/>
                              </w:rPr>
                              <w:t xml:space="preserve">Charge </w:t>
                            </w:r>
                            <w:r>
                              <w:rPr>
                                <w:b/>
                                <w:sz w:val="10"/>
                                <w:szCs w:val="10"/>
                              </w:rPr>
                              <w:br/>
                              <w:t xml:space="preserve">de la batterie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2A39E" id="_x0000_s1609" type="#_x0000_t202" style="position:absolute;margin-left:95.7pt;margin-top:36.15pt;width:57.6pt;height:13.7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" fillcolor="white [3212]" stroked="f">
                <v:textbox inset="0,0,0,0">
                  <w:txbxContent>
                    <w:p w:rsidR="00D53F39" w:rsidRPr="009D70C4" w:rsidRDefault="00D53F39" w:rsidP="00E24DB7">
                      <w:pPr>
                        <w:spacing w:line="120" w:lineRule="exact"/>
                        <w:jc w:val="center"/>
                        <w:rPr>
                          <w:b/>
                          <w:sz w:val="10"/>
                          <w:szCs w:val="10"/>
                        </w:rPr>
                      </w:pPr>
                      <w:r>
                        <w:rPr>
                          <w:b/>
                          <w:sz w:val="10"/>
                          <w:szCs w:val="10"/>
                        </w:rPr>
                        <w:t xml:space="preserve">Charge </w:t>
                      </w:r>
                      <w:r>
                        <w:rPr>
                          <w:b/>
                          <w:sz w:val="10"/>
                          <w:szCs w:val="10"/>
                        </w:rPr>
                        <w:br/>
                        <w:t xml:space="preserve">de la batterie </w:t>
                      </w:r>
                    </w:p>
                  </w:txbxContent>
                </v:textbox>
              </v:shape>
            </w:pict>
          </mc:Fallback>
        </mc:AlternateContent>
      </w:r>
      <w:r w:rsidRPr="002C5876">
        <w:rPr>
          <w:noProof/>
          <w:lang w:val="en-GB" w:eastAsia="zh-CN"/>
        </w:rPr>
        <mc:AlternateContent>
          <mc:Choice Requires="wps">
            <w:drawing>
              <wp:anchor distT="0" distB="0" distL="114300" distR="114300" simplePos="0" relativeHeight="251540480" behindDoc="0" locked="0" layoutInCell="1" allowOverlap="1" wp14:anchorId="63BD8E1B" wp14:editId="7A018C0E">
                <wp:simplePos x="0" y="0"/>
                <wp:positionH relativeFrom="column">
                  <wp:posOffset>529590</wp:posOffset>
                </wp:positionH>
                <wp:positionV relativeFrom="paragraph">
                  <wp:posOffset>459105</wp:posOffset>
                </wp:positionV>
                <wp:extent cx="636905" cy="173990"/>
                <wp:effectExtent l="0" t="0" r="0" b="0"/>
                <wp:wrapNone/>
                <wp:docPr id="13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173990"/>
                        </a:xfrm>
                        <a:prstGeom prst="rect">
                          <a:avLst/>
                        </a:prstGeom>
                        <a:solidFill>
                          <a:schemeClr val="bg1"/>
                        </a:solidFill>
                        <a:ln w="9525">
                          <a:noFill/>
                          <a:miter lim="800000"/>
                          <a:headEnd/>
                          <a:tailEnd/>
                        </a:ln>
                      </wps:spPr>
                      <wps:txbx>
                        <w:txbxContent>
                          <w:p w:rsidR="00D53F39" w:rsidRPr="009D70C4" w:rsidRDefault="00D53F39" w:rsidP="00E24DB7">
                            <w:pPr>
                              <w:spacing w:line="110" w:lineRule="exact"/>
                              <w:jc w:val="center"/>
                              <w:rPr>
                                <w:b/>
                                <w:sz w:val="10"/>
                                <w:szCs w:val="10"/>
                              </w:rPr>
                            </w:pPr>
                            <w:r>
                              <w:rPr>
                                <w:b/>
                                <w:sz w:val="10"/>
                                <w:szCs w:val="10"/>
                              </w:rPr>
                              <w:t xml:space="preserve">Décharge </w:t>
                            </w:r>
                            <w:r>
                              <w:rPr>
                                <w:b/>
                                <w:sz w:val="10"/>
                                <w:szCs w:val="10"/>
                              </w:rPr>
                              <w:br/>
                              <w:t xml:space="preserve">de la batterie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D8E1B" id="_x0000_s1610" type="#_x0000_t202" style="position:absolute;margin-left:41.7pt;margin-top:36.15pt;width:50.15pt;height:13.7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" fillcolor="white [3212]" stroked="f">
                <v:textbox inset="0,0,0,0">
                  <w:txbxContent>
                    <w:p w:rsidR="00D53F39" w:rsidRPr="009D70C4" w:rsidRDefault="00D53F39" w:rsidP="00E24DB7">
                      <w:pPr>
                        <w:spacing w:line="110" w:lineRule="exact"/>
                        <w:jc w:val="center"/>
                        <w:rPr>
                          <w:b/>
                          <w:sz w:val="10"/>
                          <w:szCs w:val="10"/>
                        </w:rPr>
                      </w:pPr>
                      <w:r>
                        <w:rPr>
                          <w:b/>
                          <w:sz w:val="10"/>
                          <w:szCs w:val="10"/>
                        </w:rPr>
                        <w:t xml:space="preserve">Décharge </w:t>
                      </w:r>
                      <w:r>
                        <w:rPr>
                          <w:b/>
                          <w:sz w:val="10"/>
                          <w:szCs w:val="10"/>
                        </w:rPr>
                        <w:br/>
                        <w:t xml:space="preserve">de la batterie </w:t>
                      </w:r>
                    </w:p>
                  </w:txbxContent>
                </v:textbox>
              </v:shape>
            </w:pict>
          </mc:Fallback>
        </mc:AlternateContent>
      </w:r>
      <w:r w:rsidRPr="002C5876">
        <w:rPr>
          <w:noProof/>
          <w:lang w:val="en-GB" w:eastAsia="zh-CN"/>
        </w:rPr>
        <mc:AlternateContent>
          <mc:Choice Requires="wps">
            <w:drawing>
              <wp:anchor distT="0" distB="0" distL="114300" distR="114300" simplePos="0" relativeHeight="251515904" behindDoc="0" locked="0" layoutInCell="1" allowOverlap="1" wp14:anchorId="2866E4A8" wp14:editId="0E5EC658">
                <wp:simplePos x="0" y="0"/>
                <wp:positionH relativeFrom="column">
                  <wp:posOffset>-2540</wp:posOffset>
                </wp:positionH>
                <wp:positionV relativeFrom="paragraph">
                  <wp:posOffset>516890</wp:posOffset>
                </wp:positionV>
                <wp:extent cx="485140" cy="326390"/>
                <wp:effectExtent l="0" t="0" r="0" b="0"/>
                <wp:wrapNone/>
                <wp:docPr id="13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326390"/>
                        </a:xfrm>
                        <a:prstGeom prst="rect">
                          <a:avLst/>
                        </a:prstGeom>
                        <a:solidFill>
                          <a:schemeClr val="bg1"/>
                        </a:solidFill>
                        <a:ln w="9525">
                          <a:noFill/>
                          <a:miter lim="800000"/>
                          <a:headEnd/>
                          <a:tailEnd/>
                        </a:ln>
                      </wps:spPr>
                      <wps:txbx>
                        <w:txbxContent>
                          <w:p w:rsidR="00D53F39" w:rsidRPr="00B30C4A" w:rsidRDefault="00D53F39" w:rsidP="00E24DB7">
                            <w:pPr>
                              <w:spacing w:line="240" w:lineRule="auto"/>
                              <w:jc w:val="center"/>
                              <w:rPr>
                                <w:sz w:val="12"/>
                                <w:szCs w:val="12"/>
                              </w:rPr>
                            </w:pPr>
                            <w:r w:rsidRPr="00B30C4A">
                              <w:rPr>
                                <w:sz w:val="12"/>
                                <w:szCs w:val="12"/>
                              </w:rPr>
                              <w:t>SRSEE 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6E4A8" id="_x0000_s1611" type="#_x0000_t202" style="position:absolute;margin-left:-.2pt;margin-top:40.7pt;width:38.2pt;height:25.7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" fillcolor="white [3212]" stroked="f">
                <v:textbox inset="0,0,0,0">
                  <w:txbxContent>
                    <w:p w:rsidR="00D53F39" w:rsidRPr="00B30C4A" w:rsidRDefault="00D53F39" w:rsidP="00E24DB7">
                      <w:pPr>
                        <w:spacing w:line="240" w:lineRule="auto"/>
                        <w:jc w:val="center"/>
                        <w:rPr>
                          <w:sz w:val="12"/>
                          <w:szCs w:val="12"/>
                        </w:rPr>
                      </w:pPr>
                      <w:r w:rsidRPr="00B30C4A">
                        <w:rPr>
                          <w:sz w:val="12"/>
                          <w:szCs w:val="12"/>
                        </w:rPr>
                        <w:t>SRSEE complétement chargé</w:t>
                      </w:r>
                    </w:p>
                  </w:txbxContent>
                </v:textbox>
              </v:shape>
            </w:pict>
          </mc:Fallback>
        </mc:AlternateContent>
      </w:r>
      <w:r w:rsidRPr="002C5876">
        <w:rPr>
          <w:noProof/>
          <w:lang w:val="en-GB" w:eastAsia="zh-CN"/>
        </w:rPr>
        <mc:AlternateContent>
          <mc:Choice Requires="wps">
            <w:drawing>
              <wp:anchor distT="0" distB="0" distL="114300" distR="114300" simplePos="0" relativeHeight="251512832" behindDoc="0" locked="0" layoutInCell="1" allowOverlap="1" wp14:anchorId="64EBD21E" wp14:editId="45E8B2EC">
                <wp:simplePos x="0" y="0"/>
                <wp:positionH relativeFrom="column">
                  <wp:posOffset>175895</wp:posOffset>
                </wp:positionH>
                <wp:positionV relativeFrom="paragraph">
                  <wp:posOffset>-2540</wp:posOffset>
                </wp:positionV>
                <wp:extent cx="629920" cy="198120"/>
                <wp:effectExtent l="0" t="0" r="0" b="0"/>
                <wp:wrapNone/>
                <wp:docPr id="13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8120"/>
                        </a:xfrm>
                        <a:prstGeom prst="rect">
                          <a:avLst/>
                        </a:prstGeom>
                        <a:solidFill>
                          <a:schemeClr val="bg1"/>
                        </a:solidFill>
                        <a:ln w="9525">
                          <a:noFill/>
                          <a:miter lim="800000"/>
                          <a:headEnd/>
                          <a:tailEnd/>
                        </a:ln>
                      </wps:spPr>
                      <wps:txbx>
                        <w:txbxContent>
                          <w:p w:rsidR="00D53F39" w:rsidRPr="009D55C9" w:rsidRDefault="00D53F39" w:rsidP="00E24DB7">
                            <w:pPr>
                              <w:spacing w:line="240" w:lineRule="auto"/>
                              <w:jc w:val="center"/>
                              <w:rPr>
                                <w:b/>
                                <w:sz w:val="12"/>
                                <w:szCs w:val="12"/>
                              </w:rPr>
                            </w:pPr>
                            <w:r w:rsidRPr="009D55C9">
                              <w:rPr>
                                <w:b/>
                                <w:sz w:val="12"/>
                                <w:szCs w:val="12"/>
                              </w:rPr>
                              <w:t>Niveau de 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BD21E" id="_x0000_s1612" type="#_x0000_t202" style="position:absolute;margin-left:13.85pt;margin-top:-.2pt;width:49.6pt;height:15.6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" fillcolor="white [3212]" stroked="f">
                <v:textbox inset="0,0,0,0">
                  <w:txbxContent>
                    <w:p w:rsidR="00D53F39" w:rsidRPr="009D55C9" w:rsidRDefault="00D53F39" w:rsidP="00E24DB7">
                      <w:pPr>
                        <w:spacing w:line="240" w:lineRule="auto"/>
                        <w:jc w:val="center"/>
                        <w:rPr>
                          <w:b/>
                          <w:sz w:val="12"/>
                          <w:szCs w:val="12"/>
                        </w:rPr>
                      </w:pPr>
                      <w:r w:rsidRPr="009D55C9">
                        <w:rPr>
                          <w:b/>
                          <w:sz w:val="12"/>
                          <w:szCs w:val="12"/>
                        </w:rPr>
                        <w:t>Niveau de charge du SRSEE</w:t>
                      </w:r>
                    </w:p>
                  </w:txbxContent>
                </v:textbox>
              </v:shape>
            </w:pict>
          </mc:Fallback>
        </mc:AlternateContent>
      </w:r>
      <w:r w:rsidRPr="002C5876">
        <w:rPr>
          <w:noProof/>
          <w:lang w:val="en-GB" w:eastAsia="zh-CN"/>
        </w:rPr>
        <w:drawing>
          <wp:inline distT="0" distB="0" distL="0" distR="0" wp14:anchorId="0B24E267" wp14:editId="210E34A7">
            <wp:extent cx="6082497" cy="2467707"/>
            <wp:effectExtent l="0" t="0" r="0" b="8890"/>
            <wp:docPr id="1356" name="Grafik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7" cstate="print">
                      <a:extLst>
                        <a:ext uri="{28A0092B-C50C-407E-A947-70E740481C1C}">
                          <a14:useLocalDpi xmlns:a14="http://schemas.microsoft.com/office/drawing/2010/main" val="0"/>
                        </a:ext>
                      </a:extLst>
                    </a:blip>
                    <a:srcRect l="-1216" r="1150"/>
                    <a:stretch/>
                  </pic:blipFill>
                  <pic:spPr bwMode="auto">
                    <a:xfrm>
                      <a:off x="0" y="0"/>
                      <a:ext cx="6095785" cy="2473098"/>
                    </a:xfrm>
                    <a:prstGeom prst="rect">
                      <a:avLst/>
                    </a:prstGeom>
                    <a:noFill/>
                    <a:ln>
                      <a:noFill/>
                    </a:ln>
                    <a:extLst>
                      <a:ext uri="{53640926-AAD7-44D8-BBD7-CCE9431645EC}">
                        <a14:shadowObscured xmlns:a14="http://schemas.microsoft.com/office/drawing/2010/main"/>
                      </a:ext>
                    </a:extLst>
                  </pic:spPr>
                </pic:pic>
              </a:graphicData>
            </a:graphic>
          </wp:inline>
        </w:drawing>
      </w:r>
    </w:p>
    <w:p w:rsidR="00E24DB7" w:rsidRPr="002C5876" w:rsidRDefault="00E24DB7" w:rsidP="00E24DB7">
      <w:pPr>
        <w:pStyle w:val="SingleTxtG"/>
        <w:ind w:left="2268" w:hanging="1134"/>
      </w:pPr>
      <w:r w:rsidRPr="002C5876">
        <w:br w:type="page"/>
      </w:r>
      <w:r w:rsidRPr="002C5876">
        <w:lastRenderedPageBreak/>
        <w:t>3.2</w:t>
      </w:r>
      <w:r w:rsidRPr="002C5876">
        <w:tab/>
        <w:t xml:space="preserve">Procédure d’essai abrégée </w:t>
      </w:r>
      <w:r w:rsidRPr="002C5876">
        <w:rPr>
          <w:bCs/>
          <w:szCs w:val="24"/>
        </w:rPr>
        <w:t>(fig. A8.App1/7)</w:t>
      </w:r>
    </w:p>
    <w:p w:rsidR="00E24DB7" w:rsidRDefault="00E24DB7" w:rsidP="004C0155">
      <w:pPr>
        <w:pStyle w:val="H23G"/>
        <w:ind w:left="0" w:firstLine="0"/>
      </w:pPr>
      <w:r w:rsidRPr="002C5876">
        <w:rPr>
          <w:b w:val="0"/>
        </w:rPr>
        <w:t>Figure A8.App1/7</w:t>
      </w:r>
      <w:r w:rsidRPr="002C5876">
        <w:br/>
        <w:t>Séquence d’essais abrégée pour les VEP</w:t>
      </w:r>
    </w:p>
    <w:p w:rsidR="006006CF" w:rsidRPr="006006CF" w:rsidRDefault="006006CF" w:rsidP="006006CF">
      <w:r>
        <w:rPr>
          <w:noProof/>
          <w:lang w:val="en-GB" w:eastAsia="zh-CN"/>
        </w:rPr>
        <w:drawing>
          <wp:inline distT="0" distB="0" distL="0" distR="0" wp14:anchorId="5F8E700C" wp14:editId="766D6961">
            <wp:extent cx="6120130" cy="2860675"/>
            <wp:effectExtent l="0" t="0" r="0" b="0"/>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extLst>
                        <a:ext uri="{28A0092B-C50C-407E-A947-70E740481C1C}">
                          <a14:useLocalDpi xmlns:a14="http://schemas.microsoft.com/office/drawing/2010/main" val="0"/>
                        </a:ext>
                      </a:extLst>
                    </a:blip>
                    <a:stretch>
                      <a:fillRect/>
                    </a:stretch>
                  </pic:blipFill>
                  <pic:spPr>
                    <a:xfrm>
                      <a:off x="0" y="0"/>
                      <a:ext cx="6120130" cy="2860675"/>
                    </a:xfrm>
                    <a:prstGeom prst="rect">
                      <a:avLst/>
                    </a:prstGeom>
                  </pic:spPr>
                </pic:pic>
              </a:graphicData>
            </a:graphic>
          </wp:inline>
        </w:drawing>
      </w:r>
    </w:p>
    <w:p w:rsidR="00681FD5" w:rsidRDefault="00681FD5" w:rsidP="00681FD5"/>
    <w:p w:rsidR="00681FD5" w:rsidRDefault="00681FD5" w:rsidP="00681FD5"/>
    <w:p w:rsidR="00681FD5" w:rsidRDefault="00681FD5" w:rsidP="00E24DB7">
      <w:pPr>
        <w:pStyle w:val="HChG"/>
        <w:sectPr w:rsidR="00681FD5" w:rsidSect="00CE537D">
          <w:headerReference w:type="even" r:id="rId189"/>
          <w:headerReference w:type="default" r:id="rId190"/>
          <w:endnotePr>
            <w:numFmt w:val="decimal"/>
          </w:endnotePr>
          <w:pgSz w:w="11907" w:h="16840" w:code="9"/>
          <w:pgMar w:top="1418" w:right="1134" w:bottom="1134" w:left="1134" w:header="680" w:footer="567" w:gutter="0"/>
          <w:cols w:space="720"/>
          <w:docGrid w:linePitch="272"/>
        </w:sectPr>
      </w:pPr>
    </w:p>
    <w:p w:rsidR="00E24DB7" w:rsidRPr="002C5876" w:rsidRDefault="00E24DB7" w:rsidP="00E24DB7">
      <w:pPr>
        <w:pStyle w:val="HChG"/>
      </w:pPr>
      <w:r w:rsidRPr="002C5876">
        <w:lastRenderedPageBreak/>
        <w:t>Annexe 8 − Appendice 2</w:t>
      </w:r>
    </w:p>
    <w:p w:rsidR="00E24DB7" w:rsidRPr="002C5876" w:rsidRDefault="00E24DB7" w:rsidP="00E24DB7">
      <w:pPr>
        <w:pStyle w:val="HChG"/>
      </w:pPr>
      <w:r w:rsidRPr="002C5876">
        <w:tab/>
      </w:r>
      <w:r w:rsidRPr="002C5876">
        <w:tab/>
        <w:t xml:space="preserve">Procédure de correction en fonction de la variation </w:t>
      </w:r>
      <w:r w:rsidRPr="002C5876">
        <w:br/>
        <w:t>d’énergie du SRSEE</w:t>
      </w:r>
    </w:p>
    <w:p w:rsidR="00E24DB7" w:rsidRPr="002C5876" w:rsidRDefault="00E24DB7" w:rsidP="00E24DB7">
      <w:pPr>
        <w:pStyle w:val="SingleTxtG"/>
      </w:pPr>
      <w:r w:rsidRPr="002C5876">
        <w:t>On trouvera dans le présent appendice la procédure de correction des émissions massiques de CO</w:t>
      </w:r>
      <w:r w:rsidRPr="002C5876">
        <w:rPr>
          <w:vertAlign w:val="subscript"/>
        </w:rPr>
        <w:t xml:space="preserve">2 </w:t>
      </w:r>
      <w:r w:rsidRPr="002C5876">
        <w:t>de l’essai du type 1 en mode maintien de la charge pour les VHE-NRE et les VHE</w:t>
      </w:r>
      <w:r w:rsidRPr="002C5876">
        <w:noBreakHyphen/>
        <w:t>RE, et de la consommation de carburant pour les VHPC-NRE, en fonction de la variation d’énergie électrique de l’ensemble des SRSEE.</w:t>
      </w:r>
    </w:p>
    <w:p w:rsidR="00E24DB7" w:rsidRPr="002C5876" w:rsidRDefault="00E24DB7" w:rsidP="00E24DB7">
      <w:pPr>
        <w:pStyle w:val="SingleTxtG"/>
        <w:keepNext/>
        <w:ind w:left="2268" w:hanging="1134"/>
        <w:jc w:val="left"/>
      </w:pPr>
      <w:r w:rsidRPr="002C5876">
        <w:t>1.</w:t>
      </w:r>
      <w:r w:rsidRPr="002C5876">
        <w:tab/>
        <w:t>Prescriptions générales</w:t>
      </w:r>
    </w:p>
    <w:p w:rsidR="00E24DB7" w:rsidRPr="002C5876" w:rsidRDefault="00E24DB7" w:rsidP="00E24DB7">
      <w:pPr>
        <w:pStyle w:val="SingleTxtG"/>
        <w:keepNext/>
        <w:ind w:left="2268" w:hanging="1134"/>
        <w:jc w:val="left"/>
      </w:pPr>
      <w:r w:rsidRPr="002C5876">
        <w:t>1.1</w:t>
      </w:r>
      <w:r w:rsidRPr="002C5876">
        <w:tab/>
        <w:t>Applicabilité des dispositions du présent appendice</w:t>
      </w:r>
    </w:p>
    <w:p w:rsidR="00E24DB7" w:rsidRPr="002C5876" w:rsidRDefault="00E24DB7" w:rsidP="00E24DB7">
      <w:pPr>
        <w:pStyle w:val="SingleTxtG"/>
        <w:ind w:left="2268" w:hanging="1134"/>
      </w:pPr>
      <w:r w:rsidRPr="002C5876">
        <w:t>1.1.1</w:t>
      </w:r>
      <w:r w:rsidRPr="002C5876">
        <w:tab/>
        <w:t>La consommation de carburant spécifique par phase pour les VHPC-NRE et les émissions massiques de CO</w:t>
      </w:r>
      <w:r w:rsidRPr="002C5876">
        <w:rPr>
          <w:vertAlign w:val="subscript"/>
        </w:rPr>
        <w:t>2</w:t>
      </w:r>
      <w:r w:rsidRPr="002C5876">
        <w:t xml:space="preserve"> pour les VHE-NRE et les VHE-RE doivent être corrigées.</w:t>
      </w:r>
    </w:p>
    <w:p w:rsidR="00E24DB7" w:rsidRPr="002C5876" w:rsidRDefault="00E24DB7" w:rsidP="00E24DB7">
      <w:pPr>
        <w:pStyle w:val="SingleTxtG"/>
        <w:ind w:left="2268" w:hanging="1134"/>
      </w:pPr>
      <w:r w:rsidRPr="002C5876">
        <w:t>1.1.2</w:t>
      </w:r>
      <w:r w:rsidRPr="002C5876">
        <w:tab/>
        <w:t>En cas d’application d’une correction de la consommation de carburant pour les VHPC-NRE, ou d’une correction des émissions massiques de CO</w:t>
      </w:r>
      <w:r w:rsidRPr="002C5876">
        <w:rPr>
          <w:vertAlign w:val="subscript"/>
        </w:rPr>
        <w:t>2</w:t>
      </w:r>
      <w:r w:rsidRPr="002C5876">
        <w:t xml:space="preserve"> pour les VHE-NRE et les VHE-RE, mesurées sur le cycle complet, dans les conditions indiquées au paragraphe 1.1.3 ou 1.1.4 du présent appendice, on doit se reporter au paragraphe 4.3 de la présente annexe pour calculer la variation d’énergie du SRSEE en mode maintien de la charge, </w:t>
      </w:r>
      <w:r w:rsidRPr="002C5876">
        <w:sym w:font="Symbol" w:char="F044"/>
      </w:r>
      <w:r w:rsidRPr="002C5876">
        <w:t>E</w:t>
      </w:r>
      <w:r w:rsidRPr="002C5876">
        <w:rPr>
          <w:vertAlign w:val="subscript"/>
        </w:rPr>
        <w:t>REESS,CS</w:t>
      </w:r>
      <w:r w:rsidRPr="002C5876">
        <w:t>, dans le cadre de l’essai du type 1 en mode maintien de la charge. La période j considérée au paragraphe 4.3 ci-dessus est définie dans l’essai du type 1 en mode maintien de la charge.</w:t>
      </w:r>
    </w:p>
    <w:p w:rsidR="00E24DB7" w:rsidRPr="002C5876" w:rsidRDefault="00E24DB7" w:rsidP="00E24DB7">
      <w:pPr>
        <w:pStyle w:val="SingleTxtG"/>
        <w:ind w:left="2268" w:hanging="1134"/>
      </w:pPr>
      <w:r w:rsidRPr="002C5876">
        <w:t>1.1.3</w:t>
      </w:r>
      <w:r w:rsidRPr="002C5876">
        <w:tab/>
        <w:t xml:space="preserve">La correction doit être appliquée dans le cas où </w:t>
      </w:r>
      <w:r w:rsidRPr="002C5876">
        <w:sym w:font="Symbol" w:char="F044"/>
      </w:r>
      <w:r w:rsidRPr="002C5876">
        <w:t>E</w:t>
      </w:r>
      <w:r w:rsidRPr="002C5876">
        <w:rPr>
          <w:vertAlign w:val="subscript"/>
        </w:rPr>
        <w:t>REESS,CS</w:t>
      </w:r>
      <w:r w:rsidRPr="002C5876">
        <w:t xml:space="preserve"> est négatif, ce qui correspond à une décharge du SRSEE, et où la valeur du critère de correction c, calculée au paragraphe 1.2 du présent appendice, est supérieure au seuil applicable, spécifié au tableau A8.App2/1.</w:t>
      </w:r>
    </w:p>
    <w:p w:rsidR="00E24DB7" w:rsidRPr="002C5876" w:rsidRDefault="00E24DB7" w:rsidP="00E24DB7">
      <w:pPr>
        <w:pStyle w:val="SingleTxtG"/>
        <w:keepNext/>
        <w:ind w:left="2268" w:hanging="1134"/>
      </w:pPr>
      <w:r w:rsidRPr="002C5876">
        <w:t>1.1.4</w:t>
      </w:r>
      <w:r w:rsidRPr="002C5876">
        <w:tab/>
        <w:t>Il est possible d’ignorer la correction et d’utiliser des valeurs non corrigées si :</w:t>
      </w:r>
    </w:p>
    <w:p w:rsidR="00E24DB7" w:rsidRPr="002C5876" w:rsidRDefault="00E24DB7" w:rsidP="00E24DB7">
      <w:pPr>
        <w:pStyle w:val="SingleTxtG"/>
        <w:ind w:left="2835" w:hanging="567"/>
      </w:pPr>
      <w:r w:rsidRPr="002C5876">
        <w:t>a)</w:t>
      </w:r>
      <w:r w:rsidRPr="002C5876">
        <w:tab/>
      </w:r>
      <w:r w:rsidRPr="002C5876">
        <w:sym w:font="Symbol" w:char="F044"/>
      </w:r>
      <w:r w:rsidRPr="002C5876">
        <w:t>E</w:t>
      </w:r>
      <w:r w:rsidRPr="002C5876">
        <w:rPr>
          <w:vertAlign w:val="subscript"/>
        </w:rPr>
        <w:t xml:space="preserve">REESS,CS </w:t>
      </w:r>
      <w:r w:rsidRPr="002C5876">
        <w:t>est positif, ce qui correspond à une charge du SRSEE, et si la valeur du critère de correction c, calculée au paragraphe 1.2 du présent appendice, est supérieure au seuil applicable, spécifié au tableau A8.App2/1 ;</w:t>
      </w:r>
    </w:p>
    <w:p w:rsidR="00E24DB7" w:rsidRPr="002C5876" w:rsidRDefault="00E24DB7" w:rsidP="00E24DB7">
      <w:pPr>
        <w:pStyle w:val="SingleTxtG"/>
        <w:ind w:left="2835" w:hanging="567"/>
      </w:pPr>
      <w:r w:rsidRPr="002C5876">
        <w:t>b)</w:t>
      </w:r>
      <w:r w:rsidRPr="002C5876">
        <w:tab/>
        <w:t>La valeur du critère de correction c, calculée au paragraphe 1.2 du présent appendice, est inférieure au seuil applicable, spécifié au tableau A8.App2/1 ;</w:t>
      </w:r>
    </w:p>
    <w:p w:rsidR="00E24DB7" w:rsidRPr="002C5876" w:rsidRDefault="00E24DB7" w:rsidP="00E24DB7">
      <w:pPr>
        <w:pStyle w:val="SingleTxtG"/>
        <w:ind w:left="2835" w:hanging="567"/>
      </w:pPr>
      <w:r w:rsidRPr="002C5876">
        <w:t>c)</w:t>
      </w:r>
      <w:r w:rsidRPr="002C5876">
        <w:tab/>
        <w:t xml:space="preserve">Le constructeur peut démontrer à l’autorité compétente, au moyen de mesures, qu’il n’existe aucune relation entre </w:t>
      </w:r>
      <w:r w:rsidRPr="002C5876">
        <w:sym w:font="Symbol" w:char="F044"/>
      </w:r>
      <w:r w:rsidRPr="002C5876">
        <w:t>E</w:t>
      </w:r>
      <w:r w:rsidRPr="002C5876">
        <w:rPr>
          <w:vertAlign w:val="subscript"/>
        </w:rPr>
        <w:t>REESS,CS</w:t>
      </w:r>
      <w:r w:rsidRPr="002C5876">
        <w:t xml:space="preserve"> et les émissions massiques de CO</w:t>
      </w:r>
      <w:r w:rsidRPr="002C5876">
        <w:rPr>
          <w:vertAlign w:val="subscript"/>
        </w:rPr>
        <w:t>2</w:t>
      </w:r>
      <w:r w:rsidRPr="002C5876">
        <w:t xml:space="preserve"> en mode maintien de la charge et </w:t>
      </w:r>
      <w:r w:rsidRPr="002C5876">
        <w:sym w:font="Symbol" w:char="F044"/>
      </w:r>
      <w:r w:rsidRPr="002C5876">
        <w:t>E</w:t>
      </w:r>
      <w:r w:rsidRPr="002C5876">
        <w:rPr>
          <w:vertAlign w:val="subscript"/>
        </w:rPr>
        <w:t>REESS,CS</w:t>
      </w:r>
      <w:r w:rsidRPr="002C5876">
        <w:t xml:space="preserve"> et la consommation de carburant, respectivement.</w:t>
      </w:r>
    </w:p>
    <w:p w:rsidR="00E24DB7" w:rsidRPr="002C5876" w:rsidRDefault="00E24DB7" w:rsidP="00E24DB7">
      <w:pPr>
        <w:pStyle w:val="SingleTxtG"/>
        <w:keepNext/>
        <w:ind w:left="2268" w:hanging="1134"/>
      </w:pPr>
      <w:r w:rsidRPr="002C5876">
        <w:t>1.2</w:t>
      </w:r>
      <w:r w:rsidRPr="002C5876">
        <w:tab/>
        <w:t xml:space="preserve">Le critère de correction c représente le rapport entre la valeur absolue de la variation d’énergie électrique du SRSEE, </w:t>
      </w:r>
      <w:r w:rsidRPr="002C5876">
        <w:sym w:font="Symbol" w:char="F044"/>
      </w:r>
      <w:r w:rsidRPr="002C5876">
        <w:t>E</w:t>
      </w:r>
      <w:r w:rsidRPr="002C5876">
        <w:rPr>
          <w:vertAlign w:val="subscript"/>
        </w:rPr>
        <w:t xml:space="preserve">REESS,CS </w:t>
      </w:r>
      <w:r w:rsidRPr="002C5876">
        <w:t>et le carburant. Il est calculé comme suit :</w:t>
      </w:r>
    </w:p>
    <w:p w:rsidR="00E24DB7" w:rsidRPr="002C5876" w:rsidRDefault="00E24DB7" w:rsidP="00E24DB7">
      <w:pPr>
        <w:pStyle w:val="SingleTxtG"/>
        <w:keepNext/>
        <w:ind w:left="2268" w:hanging="1134"/>
        <w:jc w:val="center"/>
      </w:pPr>
      <m:oMathPara>
        <m:oMath>
          <m:r>
            <m:rPr>
              <m:sty m:val="p"/>
            </m:rPr>
            <w:rPr>
              <w:rFonts w:ascii="Cambria Math" w:eastAsia="Times New Roman" w:hAnsi="Cambria Math" w:cstheme="majorBidi"/>
            </w:rPr>
            <m:t>c=</m:t>
          </m:r>
          <m:f>
            <m:fPr>
              <m:ctrlPr>
                <w:rPr>
                  <w:rFonts w:ascii="Cambria Math" w:eastAsia="Times New Roman" w:hAnsi="Cambria Math" w:cstheme="majorBidi"/>
                </w:rPr>
              </m:ctrlPr>
            </m:fPr>
            <m:num>
              <m:r>
                <m:rPr>
                  <m:sty m:val="p"/>
                </m:rPr>
                <w:rPr>
                  <w:rFonts w:ascii="Cambria Math" w:eastAsia="Times New Roman" w:hAnsi="Cambria Math" w:cstheme="majorBidi"/>
                </w:rPr>
                <m:t>|∆</m:t>
              </m:r>
              <m:sSub>
                <m:sSubPr>
                  <m:ctrlPr>
                    <w:rPr>
                      <w:rFonts w:ascii="Cambria Math" w:eastAsia="Times New Roman" w:hAnsi="Cambria Math" w:cstheme="majorBidi"/>
                    </w:rPr>
                  </m:ctrlPr>
                </m:sSubPr>
                <m:e>
                  <m:r>
                    <m:rPr>
                      <m:sty m:val="p"/>
                    </m:rPr>
                    <w:rPr>
                      <w:rFonts w:ascii="Cambria Math" w:eastAsia="Times New Roman" w:hAnsi="Cambria Math" w:cstheme="majorBidi"/>
                    </w:rPr>
                    <m:t>E</m:t>
                  </m:r>
                </m:e>
                <m:sub>
                  <m:r>
                    <m:rPr>
                      <m:sty m:val="p"/>
                    </m:rPr>
                    <w:rPr>
                      <w:rFonts w:ascii="Cambria Math" w:eastAsia="Times New Roman" w:hAnsi="Cambria Math" w:cstheme="majorBidi"/>
                    </w:rPr>
                    <m:t>REESS,CS</m:t>
                  </m:r>
                </m:sub>
              </m:sSub>
              <m:r>
                <w:rPr>
                  <w:rFonts w:ascii="Cambria Math" w:eastAsia="Times New Roman" w:hAnsi="Cambria Math" w:cstheme="majorBidi"/>
                </w:rPr>
                <m:t>|</m:t>
              </m:r>
            </m:num>
            <m:den>
              <m:sSub>
                <m:sSubPr>
                  <m:ctrlPr>
                    <w:rPr>
                      <w:rFonts w:ascii="Cambria Math" w:eastAsia="Times New Roman" w:hAnsi="Cambria Math" w:cstheme="majorBidi"/>
                    </w:rPr>
                  </m:ctrlPr>
                </m:sSubPr>
                <m:e>
                  <m:r>
                    <m:rPr>
                      <m:sty m:val="p"/>
                    </m:rPr>
                    <w:rPr>
                      <w:rFonts w:ascii="Cambria Math" w:eastAsia="Times New Roman" w:hAnsi="Cambria Math" w:cstheme="majorBidi"/>
                    </w:rPr>
                    <m:t>E</m:t>
                  </m:r>
                </m:e>
                <m:sub>
                  <m:r>
                    <m:rPr>
                      <m:sty m:val="p"/>
                    </m:rPr>
                    <w:rPr>
                      <w:rFonts w:ascii="Cambria Math" w:eastAsia="Times New Roman" w:hAnsi="Cambria Math" w:cstheme="majorBidi"/>
                    </w:rPr>
                    <m:t>fuel,CS</m:t>
                  </m:r>
                </m:sub>
              </m:sSub>
            </m:den>
          </m:f>
        </m:oMath>
      </m:oMathPara>
    </w:p>
    <w:p w:rsidR="00E24DB7" w:rsidRPr="002C5876" w:rsidRDefault="00E24DB7" w:rsidP="00E24DB7">
      <w:pPr>
        <w:pStyle w:val="SingleTxtG"/>
        <w:keepNext/>
        <w:ind w:left="2268"/>
      </w:pPr>
      <w:r w:rsidRPr="002C5876">
        <w:t>où :</w:t>
      </w:r>
    </w:p>
    <w:p w:rsidR="00E24DB7" w:rsidRPr="002C5876" w:rsidRDefault="00E24DB7" w:rsidP="00E24DB7">
      <w:pPr>
        <w:pStyle w:val="SingleTxtG"/>
        <w:ind w:left="3402" w:hanging="1134"/>
      </w:pPr>
      <w:r w:rsidRPr="002C5876">
        <w:sym w:font="Symbol" w:char="F044"/>
      </w:r>
      <w:r w:rsidRPr="002C5876">
        <w:t>E</w:t>
      </w:r>
      <w:r w:rsidRPr="002C5876">
        <w:rPr>
          <w:vertAlign w:val="subscript"/>
        </w:rPr>
        <w:t>REESS,CS</w:t>
      </w:r>
      <w:r w:rsidRPr="002C5876">
        <w:tab/>
        <w:t>est la variation d’énergie du SRSEE en mode maintien de la charge, conformément au paragraphe 1.1.2 du présent appendice, en Wh ;</w:t>
      </w:r>
    </w:p>
    <w:p w:rsidR="00E24DB7" w:rsidRPr="002C5876" w:rsidRDefault="00E24DB7" w:rsidP="00E24DB7">
      <w:pPr>
        <w:pStyle w:val="SingleTxtG"/>
        <w:ind w:left="3402" w:hanging="1134"/>
      </w:pPr>
      <w:r w:rsidRPr="002C5876">
        <w:t>E</w:t>
      </w:r>
      <w:r w:rsidRPr="002C5876">
        <w:rPr>
          <w:vertAlign w:val="subscript"/>
        </w:rPr>
        <w:t>fuel,CS</w:t>
      </w:r>
      <w:r w:rsidRPr="002C5876">
        <w:tab/>
        <w:t xml:space="preserve">est le contenu énergétique du carburant consommé en mode maintien de la charge, conformément au paragraphe 1.2.1 du </w:t>
      </w:r>
      <w:r w:rsidRPr="002C5876">
        <w:lastRenderedPageBreak/>
        <w:t>présent appendice dans le cas des VHE-NRE et des VHE-RE, et conformément au paragraphe 1.2.2 du présent appendice dans le cas des VHPC-NRE, en Wh.</w:t>
      </w:r>
    </w:p>
    <w:p w:rsidR="00E24DB7" w:rsidRPr="002C5876" w:rsidRDefault="00E24DB7" w:rsidP="00E24DB7">
      <w:pPr>
        <w:pStyle w:val="SingleTxtG"/>
        <w:keepNext/>
        <w:ind w:left="2268" w:hanging="1134"/>
        <w:jc w:val="left"/>
      </w:pPr>
      <w:r w:rsidRPr="002C5876">
        <w:t>1.2.1</w:t>
      </w:r>
      <w:r w:rsidRPr="002C5876">
        <w:tab/>
        <w:t>Contenu énergétique du carburant consommé en mode maintien de la charge pour les VHE-NRE et les VHE-RE</w:t>
      </w:r>
    </w:p>
    <w:p w:rsidR="00E24DB7" w:rsidRPr="002C5876" w:rsidRDefault="00E24DB7" w:rsidP="00E24DB7">
      <w:pPr>
        <w:pStyle w:val="SingleTxtG"/>
        <w:keepNext/>
        <w:ind w:left="2268"/>
      </w:pPr>
      <w:r w:rsidRPr="002C5876">
        <w:t xml:space="preserve">Le contenu énergétique du carburant consommé en mode maintien de la charge pour les VHE-NRE et les VHE-RE est calculé au moyen de l’équation suivante : </w:t>
      </w:r>
    </w:p>
    <w:p w:rsidR="00E24DB7" w:rsidRPr="002C5876" w:rsidRDefault="00731CA6" w:rsidP="00E24DB7">
      <w:pPr>
        <w:pStyle w:val="SingleTxtG"/>
        <w:keepNext/>
        <w:ind w:left="2268"/>
        <w:jc w:val="center"/>
      </w:pPr>
      <m:oMathPara>
        <m:oMath>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fuel,CS</m:t>
              </m:r>
            </m:sub>
          </m:sSub>
          <m:r>
            <m:rPr>
              <m:sty m:val="p"/>
            </m:rPr>
            <w:rPr>
              <w:rFonts w:ascii="Cambria Math" w:hAnsi="Cambria Math" w:cstheme="majorBidi"/>
            </w:rPr>
            <m:t>=10×HV×</m:t>
          </m:r>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CS,nb</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d</m:t>
              </m:r>
            </m:e>
            <m:sub>
              <m:r>
                <m:rPr>
                  <m:sty m:val="p"/>
                </m:rPr>
                <w:rPr>
                  <w:rFonts w:ascii="Cambria Math" w:hAnsi="Cambria Math" w:cstheme="majorBidi"/>
                </w:rPr>
                <m:t>CS</m:t>
              </m:r>
            </m:sub>
          </m:sSub>
        </m:oMath>
      </m:oMathPara>
    </w:p>
    <w:p w:rsidR="00E24DB7" w:rsidRPr="002C5876" w:rsidRDefault="00E24DB7" w:rsidP="00E24DB7">
      <w:pPr>
        <w:pStyle w:val="SingleTxtG"/>
        <w:keepNext/>
        <w:ind w:left="2268"/>
      </w:pPr>
      <w:r w:rsidRPr="002C5876">
        <w:t>où :</w:t>
      </w:r>
    </w:p>
    <w:p w:rsidR="00E24DB7" w:rsidRPr="002C5876" w:rsidRDefault="00E24DB7" w:rsidP="00E24DB7">
      <w:pPr>
        <w:pStyle w:val="SingleTxtG"/>
        <w:ind w:left="3402" w:hanging="1134"/>
      </w:pPr>
      <w:r w:rsidRPr="002C5876">
        <w:t>E</w:t>
      </w:r>
      <w:r w:rsidRPr="002C5876">
        <w:rPr>
          <w:vertAlign w:val="subscript"/>
        </w:rPr>
        <w:t>fuel,CS</w:t>
      </w:r>
      <w:r w:rsidRPr="002C5876">
        <w:tab/>
        <w:t>est le contenu énergétique du carburant consommé en mode maintien de la charge, dans le cadre du cycle d’essai WLTP applicable de l’essai du type 1 en mode maintien de la charge, en Wh ;</w:t>
      </w:r>
    </w:p>
    <w:p w:rsidR="00E24DB7" w:rsidRPr="002C5876" w:rsidRDefault="00E24DB7" w:rsidP="00E24DB7">
      <w:pPr>
        <w:pStyle w:val="SingleTxtG"/>
        <w:ind w:left="3402" w:hanging="1134"/>
      </w:pPr>
      <w:r w:rsidRPr="002C5876">
        <w:t>HV</w:t>
      </w:r>
      <w:r w:rsidRPr="002C5876">
        <w:tab/>
        <w:t>est le pouvoir calorifique, conformément au tableau A6.App2/1, en kWh/l ;</w:t>
      </w:r>
    </w:p>
    <w:p w:rsidR="00E24DB7" w:rsidRPr="002C5876" w:rsidRDefault="00E24DB7" w:rsidP="00E24DB7">
      <w:pPr>
        <w:pStyle w:val="SingleTxtG"/>
        <w:ind w:left="3402" w:hanging="1134"/>
      </w:pPr>
      <w:r w:rsidRPr="002C5876">
        <w:t>FC</w:t>
      </w:r>
      <w:r w:rsidRPr="002C5876">
        <w:rPr>
          <w:vertAlign w:val="subscript"/>
        </w:rPr>
        <w:t>CS,nb</w:t>
      </w:r>
      <w:r w:rsidRPr="002C5876">
        <w:tab/>
        <w:t>est la consommation de carburant non compensée en mode maintien de la charge pour l’essai du type 1 en mode maintien de la charge, non corrigée pour le bilan énergétique, déterminée conformément au paragraphe 6 de l’annexe 7, sur la base des valeurs d’émissions gazeuses du tableau A8/5, étape n</w:t>
      </w:r>
      <w:r w:rsidRPr="002C5876">
        <w:rPr>
          <w:vertAlign w:val="superscript"/>
        </w:rPr>
        <w:t>o</w:t>
      </w:r>
      <w:r w:rsidRPr="002C5876">
        <w:t> 2, en l/100 km ;</w:t>
      </w:r>
    </w:p>
    <w:p w:rsidR="00E24DB7" w:rsidRPr="002C5876" w:rsidRDefault="00E24DB7" w:rsidP="00E24DB7">
      <w:pPr>
        <w:pStyle w:val="SingleTxtG"/>
        <w:ind w:left="3402" w:hanging="1134"/>
      </w:pPr>
      <w:r w:rsidRPr="002C5876">
        <w:t>d</w:t>
      </w:r>
      <w:r w:rsidRPr="002C5876">
        <w:rPr>
          <w:vertAlign w:val="subscript"/>
        </w:rPr>
        <w:t>CS</w:t>
      </w:r>
      <w:r w:rsidRPr="002C5876">
        <w:tab/>
        <w:t>est la distance parcourue sur le cycle d’essai WLTP applicable correspondant, en km ;</w:t>
      </w:r>
    </w:p>
    <w:p w:rsidR="00E24DB7" w:rsidRPr="002C5876" w:rsidRDefault="00E24DB7" w:rsidP="00E24DB7">
      <w:pPr>
        <w:pStyle w:val="SingleTxtG"/>
        <w:ind w:left="3402" w:hanging="1134"/>
      </w:pPr>
      <w:r w:rsidRPr="002C5876">
        <w:t>10</w:t>
      </w:r>
      <w:r w:rsidRPr="002C5876">
        <w:tab/>
        <w:t>est le facteur de conversion en Wh.</w:t>
      </w:r>
    </w:p>
    <w:p w:rsidR="00E24DB7" w:rsidRPr="002C5876" w:rsidRDefault="00E24DB7" w:rsidP="00E24DB7">
      <w:pPr>
        <w:pStyle w:val="SingleTxtG"/>
        <w:keepNext/>
        <w:ind w:left="2268" w:hanging="1134"/>
        <w:jc w:val="left"/>
      </w:pPr>
      <w:r w:rsidRPr="002C5876">
        <w:t>1.2.2</w:t>
      </w:r>
      <w:r w:rsidRPr="002C5876">
        <w:tab/>
        <w:t>Contenu énergétique du carburant consommé en mode maintien de la charge pour les VHPC-NRE</w:t>
      </w:r>
    </w:p>
    <w:p w:rsidR="00E24DB7" w:rsidRPr="002C5876" w:rsidRDefault="00E24DB7" w:rsidP="00E24DB7">
      <w:pPr>
        <w:pStyle w:val="SingleTxtG"/>
        <w:keepNext/>
        <w:ind w:left="2268"/>
      </w:pPr>
      <w:r w:rsidRPr="002C5876">
        <w:t>Le contenu énergétique du carburant consommé en mode maintien de la charge pour les VHPC-NRE est calculé au moyen de l’équation suivante :</w:t>
      </w:r>
    </w:p>
    <w:p w:rsidR="00E24DB7" w:rsidRPr="00D53F39" w:rsidRDefault="00731CA6" w:rsidP="00E24DB7">
      <w:pPr>
        <w:pStyle w:val="SingleTxtG"/>
        <w:keepNext/>
        <w:ind w:left="2268"/>
        <w:jc w:val="center"/>
        <w:rPr>
          <w:lang w:val="es-ES"/>
        </w:rPr>
      </w:pPr>
      <m:oMathPara>
        <m:oMath>
          <m:sSub>
            <m:sSubPr>
              <m:ctrlPr>
                <w:rPr>
                  <w:rFonts w:ascii="Cambria Math" w:hAnsi="Cambria Math" w:cstheme="majorBidi"/>
                </w:rPr>
              </m:ctrlPr>
            </m:sSubPr>
            <m:e>
              <m:r>
                <m:rPr>
                  <m:nor/>
                </m:rPr>
                <w:rPr>
                  <w:rFonts w:asciiTheme="majorBidi" w:hAnsiTheme="majorBidi" w:cstheme="majorBidi"/>
                  <w:lang w:val="es-ES"/>
                </w:rPr>
                <m:t>E</m:t>
              </m:r>
            </m:e>
            <m:sub>
              <m:r>
                <m:rPr>
                  <m:nor/>
                </m:rPr>
                <w:rPr>
                  <w:rFonts w:asciiTheme="majorBidi" w:hAnsiTheme="majorBidi" w:cstheme="majorBidi"/>
                  <w:lang w:val="es-ES"/>
                </w:rPr>
                <m:t>fuel,CS</m:t>
              </m:r>
            </m:sub>
          </m:sSub>
          <m:r>
            <m:rPr>
              <m:nor/>
            </m:rPr>
            <w:rPr>
              <w:rFonts w:ascii="Cambria Math" w:hAnsiTheme="majorBidi" w:cstheme="majorBidi"/>
              <w:lang w:val="es-ES"/>
            </w:rPr>
            <m:t xml:space="preserve"> </m:t>
          </m:r>
          <m:r>
            <m:rPr>
              <m:nor/>
            </m:rPr>
            <w:rPr>
              <w:rFonts w:asciiTheme="majorBidi" w:hAnsiTheme="majorBidi" w:cstheme="majorBidi"/>
              <w:lang w:val="es-ES"/>
            </w:rPr>
            <m:t>=</m:t>
          </m:r>
          <m:r>
            <m:rPr>
              <m:nor/>
            </m:rPr>
            <w:rPr>
              <w:rFonts w:ascii="Cambria Math" w:hAnsiTheme="majorBidi" w:cstheme="majorBidi"/>
              <w:lang w:val="es-ES"/>
            </w:rPr>
            <m:t xml:space="preserve"> </m:t>
          </m:r>
          <m:f>
            <m:fPr>
              <m:ctrlPr>
                <w:rPr>
                  <w:rFonts w:ascii="Cambria Math" w:hAnsi="Cambria Math" w:cstheme="majorBidi"/>
                </w:rPr>
              </m:ctrlPr>
            </m:fPr>
            <m:num>
              <m:r>
                <m:rPr>
                  <m:nor/>
                </m:rPr>
                <w:rPr>
                  <w:rFonts w:asciiTheme="majorBidi" w:hAnsiTheme="majorBidi" w:cstheme="majorBidi"/>
                  <w:lang w:val="es-ES"/>
                </w:rPr>
                <m:t>1</m:t>
              </m:r>
            </m:num>
            <m:den>
              <m:r>
                <m:rPr>
                  <m:nor/>
                </m:rPr>
                <w:rPr>
                  <w:rFonts w:asciiTheme="majorBidi" w:hAnsiTheme="majorBidi" w:cstheme="majorBidi"/>
                  <w:lang w:val="es-ES"/>
                </w:rPr>
                <m:t>0,36</m:t>
              </m:r>
            </m:den>
          </m:f>
          <m:r>
            <m:rPr>
              <m:nor/>
            </m:rPr>
            <w:rPr>
              <w:rFonts w:ascii="Cambria Math" w:hAnsiTheme="majorBidi" w:cstheme="majorBidi"/>
              <w:lang w:val="es-ES"/>
            </w:rPr>
            <m:t xml:space="preserve"> </m:t>
          </m:r>
          <m:r>
            <m:rPr>
              <m:nor/>
            </m:rPr>
            <w:rPr>
              <w:rFonts w:asciiTheme="majorBidi" w:hAnsiTheme="majorBidi" w:cstheme="majorBidi"/>
              <w:lang w:val="es-ES"/>
            </w:rPr>
            <m:t>×</m:t>
          </m:r>
          <m:r>
            <m:rPr>
              <m:nor/>
            </m:rPr>
            <w:rPr>
              <w:rFonts w:ascii="Cambria Math" w:hAnsiTheme="majorBidi" w:cstheme="majorBidi"/>
              <w:lang w:val="es-ES"/>
            </w:rPr>
            <m:t xml:space="preserve"> </m:t>
          </m:r>
          <m:r>
            <m:rPr>
              <m:nor/>
            </m:rPr>
            <w:rPr>
              <w:rFonts w:asciiTheme="majorBidi" w:hAnsiTheme="majorBidi" w:cstheme="majorBidi"/>
              <w:lang w:val="es-ES"/>
            </w:rPr>
            <m:t>121</m:t>
          </m:r>
          <m:r>
            <m:rPr>
              <m:nor/>
            </m:rPr>
            <w:rPr>
              <w:rFonts w:ascii="Cambria Math" w:hAnsiTheme="majorBidi" w:cstheme="majorBidi"/>
              <w:lang w:val="es-ES"/>
            </w:rPr>
            <m:t xml:space="preserve"> </m:t>
          </m:r>
          <m:r>
            <m:rPr>
              <m:nor/>
            </m:rPr>
            <w:rPr>
              <w:rFonts w:asciiTheme="majorBidi" w:hAnsiTheme="majorBidi" w:cstheme="majorBidi"/>
              <w:lang w:val="es-ES"/>
            </w:rPr>
            <m:t>×</m:t>
          </m:r>
          <m:r>
            <m:rPr>
              <m:nor/>
            </m:rPr>
            <w:rPr>
              <w:rFonts w:ascii="Cambria Math" w:hAnsiTheme="majorBidi" w:cstheme="majorBidi"/>
              <w:lang w:val="es-ES"/>
            </w:rPr>
            <m:t xml:space="preserve"> </m:t>
          </m:r>
          <m:sSub>
            <m:sSubPr>
              <m:ctrlPr>
                <w:rPr>
                  <w:rFonts w:ascii="Cambria Math" w:hAnsi="Cambria Math" w:cstheme="majorBidi"/>
                </w:rPr>
              </m:ctrlPr>
            </m:sSubPr>
            <m:e>
              <m:r>
                <m:rPr>
                  <m:nor/>
                </m:rPr>
                <w:rPr>
                  <w:rFonts w:asciiTheme="majorBidi" w:hAnsiTheme="majorBidi" w:cstheme="majorBidi"/>
                  <w:lang w:val="es-ES"/>
                </w:rPr>
                <m:t>FC</m:t>
              </m:r>
            </m:e>
            <m:sub>
              <m:r>
                <m:rPr>
                  <m:nor/>
                </m:rPr>
                <w:rPr>
                  <w:rFonts w:asciiTheme="majorBidi" w:hAnsiTheme="majorBidi" w:cstheme="majorBidi"/>
                  <w:lang w:val="es-ES"/>
                </w:rPr>
                <m:t>CS,nb</m:t>
              </m:r>
            </m:sub>
          </m:sSub>
          <m:r>
            <m:rPr>
              <m:nor/>
            </m:rPr>
            <w:rPr>
              <w:rFonts w:ascii="Cambria Math" w:hAnsiTheme="majorBidi" w:cstheme="majorBidi"/>
              <w:lang w:val="es-ES"/>
            </w:rPr>
            <m:t xml:space="preserve"> </m:t>
          </m:r>
          <m:r>
            <m:rPr>
              <m:nor/>
            </m:rPr>
            <w:rPr>
              <w:rFonts w:asciiTheme="majorBidi" w:hAnsiTheme="majorBidi" w:cstheme="majorBidi"/>
              <w:lang w:val="es-ES"/>
            </w:rPr>
            <m:t>×</m:t>
          </m:r>
          <m:sSub>
            <m:sSubPr>
              <m:ctrlPr>
                <w:rPr>
                  <w:rFonts w:ascii="Cambria Math" w:hAnsi="Cambria Math" w:cstheme="majorBidi"/>
                </w:rPr>
              </m:ctrlPr>
            </m:sSubPr>
            <m:e>
              <m:r>
                <m:rPr>
                  <m:nor/>
                </m:rPr>
                <w:rPr>
                  <w:rFonts w:ascii="Cambria Math" w:hAnsiTheme="majorBidi" w:cstheme="majorBidi"/>
                  <w:lang w:val="es-ES"/>
                </w:rPr>
                <m:t xml:space="preserve"> </m:t>
              </m:r>
              <m:r>
                <m:rPr>
                  <m:nor/>
                </m:rPr>
                <w:rPr>
                  <w:rFonts w:asciiTheme="majorBidi" w:hAnsiTheme="majorBidi" w:cstheme="majorBidi"/>
                  <w:lang w:val="es-ES"/>
                </w:rPr>
                <m:t>d</m:t>
              </m:r>
            </m:e>
            <m:sub>
              <m:r>
                <m:rPr>
                  <m:nor/>
                </m:rPr>
                <w:rPr>
                  <w:rFonts w:asciiTheme="majorBidi" w:hAnsiTheme="majorBidi" w:cstheme="majorBidi"/>
                  <w:lang w:val="es-ES"/>
                </w:rPr>
                <m:t>CS</m:t>
              </m:r>
            </m:sub>
          </m:sSub>
        </m:oMath>
      </m:oMathPara>
    </w:p>
    <w:p w:rsidR="00E24DB7" w:rsidRPr="002C5876" w:rsidRDefault="00E24DB7" w:rsidP="00E24DB7">
      <w:pPr>
        <w:pStyle w:val="SingleTxtG"/>
        <w:spacing w:after="240"/>
        <w:ind w:left="3402" w:hanging="1134"/>
      </w:pPr>
      <w:r w:rsidRPr="002C5876">
        <w:t>E</w:t>
      </w:r>
      <w:r w:rsidRPr="002C5876">
        <w:rPr>
          <w:vertAlign w:val="subscript"/>
        </w:rPr>
        <w:t>fuel,CS</w:t>
      </w:r>
      <w:r w:rsidRPr="002C5876">
        <w:tab/>
        <w:t>est le contenu énergétique du carburant consommé en mode maintien de la charge, dans le cadre du cycle d’essai WLTP applicable de l’essai du type 1 en mode maintien de la charge, en Wh ;</w:t>
      </w:r>
    </w:p>
    <w:p w:rsidR="00E24DB7" w:rsidRPr="002C5876" w:rsidRDefault="00E24DB7" w:rsidP="00E24DB7">
      <w:pPr>
        <w:pStyle w:val="SingleTxtG"/>
        <w:ind w:left="3402" w:hanging="1134"/>
      </w:pPr>
      <w:r w:rsidRPr="002C5876">
        <w:t>121</w:t>
      </w:r>
      <w:r w:rsidRPr="002C5876">
        <w:tab/>
        <w:t>est le pouvoir calorifique inférieur de l’hydrogène en MJ/kg ;</w:t>
      </w:r>
    </w:p>
    <w:p w:rsidR="00E24DB7" w:rsidRPr="002C5876" w:rsidRDefault="00E24DB7" w:rsidP="00E24DB7">
      <w:pPr>
        <w:pStyle w:val="SingleTxtG"/>
        <w:keepLines/>
        <w:ind w:left="3402" w:hanging="1134"/>
      </w:pPr>
      <w:r w:rsidRPr="002C5876">
        <w:t>FC</w:t>
      </w:r>
      <w:r w:rsidRPr="002C5876">
        <w:rPr>
          <w:vertAlign w:val="subscript"/>
        </w:rPr>
        <w:t>CS,nb</w:t>
      </w:r>
      <w:r w:rsidRPr="002C5876">
        <w:tab/>
        <w:t xml:space="preserve">est la consommation de carburant non compensée en mode maintien de la charge pour l’essai du type 1 en mode maintien de la charge, non corrigée pour le bilan énergétique, déterminée conformément au tableau A8/7, étape </w:t>
      </w:r>
      <w:r w:rsidRPr="002C5876">
        <w:rPr>
          <w:rFonts w:eastAsia="MS Mincho"/>
        </w:rPr>
        <w:t>n</w:t>
      </w:r>
      <w:r w:rsidRPr="002C5876">
        <w:rPr>
          <w:rFonts w:eastAsia="MS Mincho"/>
          <w:vertAlign w:val="superscript"/>
        </w:rPr>
        <w:t>o</w:t>
      </w:r>
      <w:r w:rsidRPr="002C5876">
        <w:t> 1, en kg/100 km ;</w:t>
      </w:r>
    </w:p>
    <w:p w:rsidR="00E24DB7" w:rsidRPr="002C5876" w:rsidRDefault="00E24DB7" w:rsidP="00E24DB7">
      <w:pPr>
        <w:pStyle w:val="SingleTxtG"/>
        <w:ind w:left="3402" w:hanging="1134"/>
      </w:pPr>
      <w:r w:rsidRPr="002C5876">
        <w:t>d</w:t>
      </w:r>
      <w:r w:rsidRPr="002C5876">
        <w:rPr>
          <w:vertAlign w:val="subscript"/>
        </w:rPr>
        <w:t>CS</w:t>
      </w:r>
      <w:r w:rsidRPr="002C5876">
        <w:tab/>
        <w:t>est la distance parcourue sur le cycle d’essai WLTP applicable correspondant, en km ;</w:t>
      </w:r>
    </w:p>
    <w:p w:rsidR="00E24DB7" w:rsidRPr="002C5876" w:rsidRDefault="00E24DB7" w:rsidP="00E24DB7">
      <w:pPr>
        <w:pStyle w:val="SingleTxtG"/>
        <w:ind w:left="3402" w:hanging="1134"/>
      </w:pPr>
      <w:r w:rsidRPr="002C5876">
        <w:rPr>
          <w:noProof/>
          <w:position w:val="-24"/>
          <w:lang w:val="en-GB" w:eastAsia="zh-CN"/>
        </w:rPr>
        <w:drawing>
          <wp:inline distT="0" distB="0" distL="0" distR="0" wp14:anchorId="7F830BC1" wp14:editId="6166ECAA">
            <wp:extent cx="242969" cy="297833"/>
            <wp:effectExtent l="0" t="0" r="5080" b="6985"/>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52302" cy="309274"/>
                    </a:xfrm>
                    <a:prstGeom prst="rect">
                      <a:avLst/>
                    </a:prstGeom>
                    <a:noFill/>
                    <a:ln>
                      <a:noFill/>
                    </a:ln>
                  </pic:spPr>
                </pic:pic>
              </a:graphicData>
            </a:graphic>
          </wp:inline>
        </w:drawing>
      </w:r>
      <w:r w:rsidRPr="002C5876">
        <w:tab/>
        <w:t>est le facteur de conversion en Wh.</w:t>
      </w:r>
    </w:p>
    <w:p w:rsidR="00E24DB7" w:rsidRPr="002C5876" w:rsidRDefault="00E24DB7" w:rsidP="00E24DB7">
      <w:pPr>
        <w:pStyle w:val="H23G"/>
        <w:ind w:firstLine="0"/>
        <w:rPr>
          <w:lang w:eastAsia="de-DE"/>
        </w:rPr>
      </w:pPr>
      <w:r w:rsidRPr="002C5876">
        <w:br w:type="page"/>
      </w:r>
      <w:r w:rsidRPr="002C5876">
        <w:rPr>
          <w:b w:val="0"/>
          <w:lang w:eastAsia="de-DE"/>
        </w:rPr>
        <w:lastRenderedPageBreak/>
        <w:t>Tableau A8.App2/1</w:t>
      </w:r>
      <w:r w:rsidRPr="002C5876">
        <w:rPr>
          <w:lang w:eastAsia="de-DE"/>
        </w:rPr>
        <w:t xml:space="preserve"> </w:t>
      </w:r>
      <w:r w:rsidRPr="002C5876">
        <w:rPr>
          <w:lang w:eastAsia="de-DE"/>
        </w:rPr>
        <w:br/>
        <w:t>Seuils de correction du RCB</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2"/>
        <w:gridCol w:w="1843"/>
        <w:gridCol w:w="1843"/>
        <w:gridCol w:w="1843"/>
      </w:tblGrid>
      <w:tr w:rsidR="00E24DB7" w:rsidRPr="00D53F39" w:rsidTr="00E24DB7">
        <w:trPr>
          <w:tblHeader/>
        </w:trPr>
        <w:tc>
          <w:tcPr>
            <w:tcW w:w="1842" w:type="dxa"/>
            <w:tcBorders>
              <w:bottom w:val="single" w:sz="12" w:space="0" w:color="auto"/>
            </w:tcBorders>
            <w:shd w:val="clear" w:color="auto" w:fill="auto"/>
            <w:vAlign w:val="bottom"/>
          </w:tcPr>
          <w:p w:rsidR="00E24DB7" w:rsidRPr="002C5876" w:rsidRDefault="00E24DB7" w:rsidP="00E24DB7">
            <w:pPr>
              <w:suppressAutoHyphens w:val="0"/>
              <w:spacing w:before="80" w:after="80" w:line="200" w:lineRule="exact"/>
              <w:ind w:left="57" w:right="57"/>
              <w:rPr>
                <w:i/>
                <w:sz w:val="16"/>
                <w:szCs w:val="16"/>
              </w:rPr>
            </w:pPr>
            <w:r w:rsidRPr="002C5876">
              <w:rPr>
                <w:i/>
                <w:sz w:val="16"/>
                <w:szCs w:val="16"/>
              </w:rPr>
              <w:t>Cycle d’essai du type 1 applicable</w:t>
            </w:r>
          </w:p>
        </w:tc>
        <w:tc>
          <w:tcPr>
            <w:tcW w:w="1843" w:type="dxa"/>
            <w:tcBorders>
              <w:bottom w:val="single" w:sz="12" w:space="0" w:color="auto"/>
            </w:tcBorders>
            <w:shd w:val="clear" w:color="auto" w:fill="auto"/>
            <w:vAlign w:val="bottom"/>
          </w:tcPr>
          <w:p w:rsidR="00E24DB7" w:rsidRPr="002C5876" w:rsidRDefault="00E24DB7" w:rsidP="00E24DB7">
            <w:pPr>
              <w:suppressAutoHyphens w:val="0"/>
              <w:spacing w:before="80" w:after="80" w:line="200" w:lineRule="exact"/>
              <w:ind w:left="57" w:right="57"/>
              <w:jc w:val="right"/>
              <w:rPr>
                <w:i/>
                <w:sz w:val="16"/>
                <w:szCs w:val="16"/>
              </w:rPr>
            </w:pPr>
            <w:r w:rsidRPr="002C5876">
              <w:rPr>
                <w:i/>
                <w:sz w:val="16"/>
                <w:szCs w:val="16"/>
              </w:rPr>
              <w:t>Low + Medium</w:t>
            </w:r>
          </w:p>
        </w:tc>
        <w:tc>
          <w:tcPr>
            <w:tcW w:w="1843" w:type="dxa"/>
            <w:tcBorders>
              <w:bottom w:val="single" w:sz="12" w:space="0" w:color="auto"/>
            </w:tcBorders>
            <w:shd w:val="clear" w:color="auto" w:fill="auto"/>
            <w:vAlign w:val="bottom"/>
          </w:tcPr>
          <w:p w:rsidR="00E24DB7" w:rsidRPr="002C5876" w:rsidRDefault="00E24DB7" w:rsidP="00E24DB7">
            <w:pPr>
              <w:suppressAutoHyphens w:val="0"/>
              <w:spacing w:before="80" w:after="80" w:line="200" w:lineRule="exact"/>
              <w:ind w:left="57" w:right="57"/>
              <w:jc w:val="right"/>
              <w:rPr>
                <w:i/>
                <w:sz w:val="16"/>
                <w:szCs w:val="16"/>
              </w:rPr>
            </w:pPr>
            <w:r w:rsidRPr="002C5876">
              <w:rPr>
                <w:i/>
                <w:sz w:val="16"/>
                <w:szCs w:val="16"/>
              </w:rPr>
              <w:t>Low + Medium + High</w:t>
            </w:r>
          </w:p>
        </w:tc>
        <w:tc>
          <w:tcPr>
            <w:tcW w:w="1843" w:type="dxa"/>
            <w:tcBorders>
              <w:bottom w:val="single" w:sz="12" w:space="0" w:color="auto"/>
            </w:tcBorders>
            <w:vAlign w:val="bottom"/>
          </w:tcPr>
          <w:p w:rsidR="00E24DB7" w:rsidRPr="00D53F39" w:rsidRDefault="00E24DB7" w:rsidP="00E24DB7">
            <w:pPr>
              <w:suppressAutoHyphens w:val="0"/>
              <w:spacing w:before="80" w:after="80" w:line="200" w:lineRule="exact"/>
              <w:ind w:left="57" w:right="57"/>
              <w:jc w:val="right"/>
              <w:rPr>
                <w:i/>
                <w:sz w:val="16"/>
                <w:szCs w:val="16"/>
                <w:lang w:val="en-US"/>
              </w:rPr>
            </w:pPr>
            <w:r w:rsidRPr="00D53F39">
              <w:rPr>
                <w:i/>
                <w:sz w:val="16"/>
                <w:szCs w:val="16"/>
                <w:lang w:val="en-US"/>
              </w:rPr>
              <w:t xml:space="preserve">Low + Medium + </w:t>
            </w:r>
            <w:r w:rsidRPr="00D53F39">
              <w:rPr>
                <w:i/>
                <w:sz w:val="16"/>
                <w:szCs w:val="16"/>
                <w:lang w:val="en-US"/>
              </w:rPr>
              <w:br/>
              <w:t>High + Extra High</w:t>
            </w:r>
          </w:p>
        </w:tc>
      </w:tr>
      <w:tr w:rsidR="00E24DB7" w:rsidRPr="002C5876" w:rsidTr="00E24DB7">
        <w:trPr>
          <w:trHeight w:val="430"/>
        </w:trPr>
        <w:tc>
          <w:tcPr>
            <w:tcW w:w="1842" w:type="dxa"/>
            <w:tcBorders>
              <w:top w:val="single" w:sz="12" w:space="0" w:color="auto"/>
              <w:bottom w:val="single" w:sz="12" w:space="0" w:color="auto"/>
            </w:tcBorders>
            <w:shd w:val="clear" w:color="auto" w:fill="auto"/>
            <w:vAlign w:val="bottom"/>
          </w:tcPr>
          <w:p w:rsidR="00E24DB7" w:rsidRPr="002C5876" w:rsidRDefault="00E24DB7" w:rsidP="00E24DB7">
            <w:pPr>
              <w:suppressAutoHyphens w:val="0"/>
              <w:spacing w:before="60" w:after="60" w:line="220" w:lineRule="atLeast"/>
              <w:ind w:left="57" w:right="57"/>
              <w:rPr>
                <w:sz w:val="18"/>
                <w:szCs w:val="18"/>
              </w:rPr>
            </w:pPr>
            <w:r w:rsidRPr="002C5876">
              <w:rPr>
                <w:sz w:val="18"/>
                <w:szCs w:val="18"/>
              </w:rPr>
              <w:t>Seuil pour le critère de correction c</w:t>
            </w:r>
          </w:p>
        </w:tc>
        <w:tc>
          <w:tcPr>
            <w:tcW w:w="1843" w:type="dxa"/>
            <w:tcBorders>
              <w:top w:val="single" w:sz="12" w:space="0" w:color="auto"/>
              <w:bottom w:val="single" w:sz="12" w:space="0" w:color="auto"/>
            </w:tcBorders>
            <w:shd w:val="clear" w:color="auto" w:fill="auto"/>
            <w:vAlign w:val="bottom"/>
          </w:tcPr>
          <w:p w:rsidR="00E24DB7" w:rsidRPr="002C5876" w:rsidRDefault="00E24DB7" w:rsidP="00E24DB7">
            <w:pPr>
              <w:suppressAutoHyphens w:val="0"/>
              <w:spacing w:before="60" w:after="60" w:line="220" w:lineRule="atLeast"/>
              <w:ind w:left="57" w:right="57"/>
              <w:jc w:val="right"/>
              <w:rPr>
                <w:sz w:val="18"/>
                <w:szCs w:val="18"/>
              </w:rPr>
            </w:pPr>
            <w:r w:rsidRPr="002C5876">
              <w:rPr>
                <w:sz w:val="18"/>
                <w:szCs w:val="18"/>
              </w:rPr>
              <w:t>0,015</w:t>
            </w:r>
          </w:p>
        </w:tc>
        <w:tc>
          <w:tcPr>
            <w:tcW w:w="1843" w:type="dxa"/>
            <w:tcBorders>
              <w:top w:val="single" w:sz="12" w:space="0" w:color="auto"/>
              <w:bottom w:val="single" w:sz="12" w:space="0" w:color="auto"/>
            </w:tcBorders>
            <w:shd w:val="clear" w:color="auto" w:fill="auto"/>
            <w:vAlign w:val="bottom"/>
          </w:tcPr>
          <w:p w:rsidR="00E24DB7" w:rsidRPr="002C5876" w:rsidRDefault="00E24DB7" w:rsidP="00E24DB7">
            <w:pPr>
              <w:suppressAutoHyphens w:val="0"/>
              <w:spacing w:before="60" w:after="60" w:line="220" w:lineRule="atLeast"/>
              <w:ind w:left="57" w:right="57"/>
              <w:jc w:val="right"/>
              <w:rPr>
                <w:sz w:val="18"/>
                <w:szCs w:val="18"/>
              </w:rPr>
            </w:pPr>
            <w:r w:rsidRPr="002C5876">
              <w:rPr>
                <w:sz w:val="18"/>
                <w:szCs w:val="18"/>
              </w:rPr>
              <w:t>0,01</w:t>
            </w:r>
          </w:p>
        </w:tc>
        <w:tc>
          <w:tcPr>
            <w:tcW w:w="1843" w:type="dxa"/>
            <w:tcBorders>
              <w:top w:val="single" w:sz="12" w:space="0" w:color="auto"/>
              <w:bottom w:val="single" w:sz="12" w:space="0" w:color="auto"/>
            </w:tcBorders>
            <w:vAlign w:val="bottom"/>
          </w:tcPr>
          <w:p w:rsidR="00E24DB7" w:rsidRPr="002C5876" w:rsidRDefault="00E24DB7" w:rsidP="00E24DB7">
            <w:pPr>
              <w:suppressAutoHyphens w:val="0"/>
              <w:spacing w:before="60" w:after="60" w:line="220" w:lineRule="atLeast"/>
              <w:ind w:left="57" w:right="57"/>
              <w:jc w:val="right"/>
              <w:rPr>
                <w:sz w:val="18"/>
                <w:szCs w:val="18"/>
              </w:rPr>
            </w:pPr>
            <w:r w:rsidRPr="002C5876">
              <w:rPr>
                <w:sz w:val="18"/>
                <w:szCs w:val="18"/>
              </w:rPr>
              <w:t>0,005</w:t>
            </w:r>
          </w:p>
        </w:tc>
      </w:tr>
    </w:tbl>
    <w:p w:rsidR="00E24DB7" w:rsidRPr="002C5876" w:rsidRDefault="00E24DB7" w:rsidP="00E24DB7">
      <w:pPr>
        <w:pStyle w:val="SingleTxtG"/>
        <w:spacing w:before="240"/>
        <w:ind w:left="2268" w:hanging="1134"/>
        <w:jc w:val="left"/>
      </w:pPr>
      <w:r w:rsidRPr="002C5876">
        <w:t>2.</w:t>
      </w:r>
      <w:r w:rsidRPr="002C5876">
        <w:tab/>
        <w:t>Calcul des coefficients de correction</w:t>
      </w:r>
    </w:p>
    <w:p w:rsidR="00E24DB7" w:rsidRPr="002C5876" w:rsidRDefault="00E24DB7" w:rsidP="00E24DB7">
      <w:pPr>
        <w:pStyle w:val="SingleTxtG"/>
        <w:ind w:left="2268" w:hanging="1134"/>
      </w:pPr>
      <w:r w:rsidRPr="002C5876">
        <w:t>2.1</w:t>
      </w:r>
      <w:r w:rsidRPr="002C5876">
        <w:tab/>
        <w:t>Le coefficient de correction des émissions massiques de CO</w:t>
      </w:r>
      <w:r w:rsidRPr="002C5876">
        <w:rPr>
          <w:vertAlign w:val="subscript"/>
        </w:rPr>
        <w:t>2</w:t>
      </w:r>
      <w:r w:rsidRPr="002C5876">
        <w:t>, K</w:t>
      </w:r>
      <w:r w:rsidRPr="002C5876">
        <w:rPr>
          <w:vertAlign w:val="subscript"/>
        </w:rPr>
        <w:t>CO2</w:t>
      </w:r>
      <w:r w:rsidRPr="002C5876">
        <w:t>, le coefficient de correction de la consommation de carburant, K</w:t>
      </w:r>
      <w:r w:rsidRPr="002C5876">
        <w:rPr>
          <w:vertAlign w:val="subscript"/>
        </w:rPr>
        <w:t>fuel,FCHV</w:t>
      </w:r>
      <w:r w:rsidRPr="002C5876">
        <w:t>, et, si le constructeur le demande, les coefficients de correction spécifiques par phase, K</w:t>
      </w:r>
      <w:r w:rsidRPr="002C5876">
        <w:rPr>
          <w:vertAlign w:val="subscript"/>
        </w:rPr>
        <w:t>CO2,p</w:t>
      </w:r>
      <w:r w:rsidRPr="002C5876">
        <w:t xml:space="preserve"> et K</w:t>
      </w:r>
      <w:r w:rsidRPr="002C5876">
        <w:rPr>
          <w:vertAlign w:val="subscript"/>
        </w:rPr>
        <w:t>fuel,FCHV,p</w:t>
      </w:r>
      <w:r w:rsidRPr="002C5876">
        <w:t xml:space="preserve">, doivent être définis sur la base des cycles d’essai du type 1 en mode maintien de la charge applicables. </w:t>
      </w:r>
    </w:p>
    <w:p w:rsidR="00E24DB7" w:rsidRPr="002C5876" w:rsidRDefault="00E24DB7" w:rsidP="00E24DB7">
      <w:pPr>
        <w:pStyle w:val="SingleTxtG"/>
        <w:ind w:left="2268"/>
      </w:pPr>
      <w:r w:rsidRPr="002C5876">
        <w:t>Dans le cas où le véhicule H a été soumis à essai en vue de la définition du coefficient de correction pour les émissions massiques de CO</w:t>
      </w:r>
      <w:r w:rsidRPr="002C5876">
        <w:rPr>
          <w:vertAlign w:val="subscript"/>
        </w:rPr>
        <w:t>2</w:t>
      </w:r>
      <w:r w:rsidRPr="002C5876">
        <w:t xml:space="preserve"> des VHE-NRE et des VHE-RE, ledit coefficient peut être appliqué dans la famille d’interpolation.</w:t>
      </w:r>
    </w:p>
    <w:p w:rsidR="00E24DB7" w:rsidRPr="002C5876" w:rsidRDefault="00E24DB7" w:rsidP="00E24DB7">
      <w:pPr>
        <w:pStyle w:val="SingleTxtG"/>
        <w:ind w:left="2268" w:hanging="1134"/>
      </w:pPr>
      <w:r w:rsidRPr="002C5876">
        <w:t>2.2</w:t>
      </w:r>
      <w:r w:rsidRPr="002C5876">
        <w:tab/>
        <w:t>Les coefficients de correction doivent être déterminés à partir d’un ensemble d’essais du type 1 en mode maintien de la charge conformément au paragraphe 3 du présent appendice. Le nombre d’essais réalisé par le constructeur doit être égal ou supérieur à cinq.</w:t>
      </w:r>
    </w:p>
    <w:p w:rsidR="00E24DB7" w:rsidRPr="002C5876" w:rsidRDefault="00E24DB7" w:rsidP="00E24DB7">
      <w:pPr>
        <w:pStyle w:val="SingleTxtG"/>
        <w:ind w:left="2268"/>
      </w:pPr>
      <w:r w:rsidRPr="002C5876">
        <w:t xml:space="preserve">Le constructeur peut demander que le niveau de charge du SRSEE soit fixé avant l’essai conformément à sa recommandation et comme indiqué au paragraphe 3 du présent appendice. Cette façon de procéder ne doit être employée que pour réaliser un essai du type 1 en mode maintien de la charge avec un signe opposé pour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REESS,CS</m:t>
            </m:r>
          </m:sub>
        </m:sSub>
      </m:oMath>
      <w:r w:rsidRPr="002C5876">
        <w:t>, sous réserve de l’accord de l’autorité compétente.</w:t>
      </w:r>
    </w:p>
    <w:p w:rsidR="00E24DB7" w:rsidRPr="002C5876" w:rsidRDefault="00E24DB7" w:rsidP="00E24DB7">
      <w:pPr>
        <w:pStyle w:val="SingleTxtG"/>
        <w:keepNext/>
        <w:keepLines/>
        <w:ind w:left="2268"/>
      </w:pPr>
      <w:r w:rsidRPr="002C5876">
        <w:t>L’ensemble de mesures doit satisfaire aux critères suivants :</w:t>
      </w:r>
    </w:p>
    <w:p w:rsidR="00E24DB7" w:rsidRPr="002C5876" w:rsidRDefault="00E24DB7" w:rsidP="00E24DB7">
      <w:pPr>
        <w:pStyle w:val="SingleTxtG"/>
        <w:ind w:left="2835" w:hanging="567"/>
      </w:pPr>
      <w:r w:rsidRPr="002C5876">
        <w:t>a)</w:t>
      </w:r>
      <w:r w:rsidRPr="002C5876">
        <w:tab/>
        <w:t xml:space="preserve">Il doit comprendre au moins un essai pour lequel </w:t>
      </w:r>
      <w:r w:rsidRPr="002C5876">
        <w:sym w:font="Symbol" w:char="F044"/>
      </w:r>
      <w:r w:rsidRPr="002C5876">
        <w:t>E</w:t>
      </w:r>
      <w:r w:rsidRPr="002C5876">
        <w:rPr>
          <w:vertAlign w:val="subscript"/>
        </w:rPr>
        <w:t>REESS,CS,n </w:t>
      </w:r>
      <w:r w:rsidRPr="002C5876">
        <w:t xml:space="preserve">≤ 0 et au moins un essai pour lequel </w:t>
      </w:r>
      <w:r w:rsidRPr="002C5876">
        <w:sym w:font="Symbol" w:char="F044"/>
      </w:r>
      <w:r w:rsidRPr="002C5876">
        <w:t>E</w:t>
      </w:r>
      <w:r w:rsidRPr="002C5876">
        <w:rPr>
          <w:vertAlign w:val="subscript"/>
        </w:rPr>
        <w:t>REESS,CS,n </w:t>
      </w:r>
      <w:r w:rsidRPr="002C5876">
        <w:sym w:font="Symbol" w:char="F03E"/>
      </w:r>
      <w:r w:rsidRPr="002C5876">
        <w:t xml:space="preserve"> 0. </w:t>
      </w:r>
      <w:r w:rsidRPr="002C5876">
        <w:sym w:font="Symbol" w:char="F044"/>
      </w:r>
      <w:r w:rsidRPr="002C5876">
        <w:t>E</w:t>
      </w:r>
      <w:r w:rsidRPr="002C5876">
        <w:rPr>
          <w:vertAlign w:val="subscript"/>
        </w:rPr>
        <w:t>REESS,CS,n</w:t>
      </w:r>
      <w:r w:rsidRPr="002C5876">
        <w:t xml:space="preserve"> est la somme des variations d’énergie électrique de tous les SRSEE pour l’essai n, calculée conformément au paragraphe 4.3 de la présente annexe ;</w:t>
      </w:r>
    </w:p>
    <w:p w:rsidR="00E24DB7" w:rsidRPr="002C5876" w:rsidRDefault="00E24DB7" w:rsidP="00E24DB7">
      <w:pPr>
        <w:pStyle w:val="SingleTxtG"/>
        <w:ind w:left="2835" w:hanging="567"/>
      </w:pPr>
      <w:r w:rsidRPr="002C5876">
        <w:t>b)</w:t>
      </w:r>
      <w:r w:rsidRPr="002C5876">
        <w:tab/>
        <w:t>L’écart de valeur pour M</w:t>
      </w:r>
      <w:r w:rsidRPr="002C5876">
        <w:rPr>
          <w:vertAlign w:val="subscript"/>
        </w:rPr>
        <w:t>CO2,CS</w:t>
      </w:r>
      <w:r w:rsidRPr="002C5876">
        <w:t xml:space="preserve"> entre la variation d’énergie électrique négative la plus haute et la variation d’énergie électrique positive la plus haute doit être supérieur ou égal à 5 g/km. Ce critère n’est cependant pas applicable pour la détermination de K</w:t>
      </w:r>
      <w:r w:rsidRPr="002C5876">
        <w:rPr>
          <w:vertAlign w:val="subscript"/>
        </w:rPr>
        <w:t>fuel,FCHV</w:t>
      </w:r>
      <w:r w:rsidRPr="002C5876">
        <w:t>.</w:t>
      </w:r>
    </w:p>
    <w:p w:rsidR="00E24DB7" w:rsidRPr="002C5876" w:rsidRDefault="00E24DB7" w:rsidP="00E24DB7">
      <w:pPr>
        <w:pStyle w:val="SingleTxtG"/>
        <w:ind w:left="2835"/>
      </w:pPr>
      <w:r w:rsidRPr="002C5876">
        <w:tab/>
        <w:t>S’agissant de la détermination de K</w:t>
      </w:r>
      <w:r w:rsidRPr="002C5876">
        <w:rPr>
          <w:vertAlign w:val="subscript"/>
        </w:rPr>
        <w:t>CO2</w:t>
      </w:r>
      <w:r w:rsidRPr="002C5876">
        <w:t>, le nombre d’essais requis peut être réduit à trois s’il est satisfait aux critères ci-après en plus des critères a) et b) :</w:t>
      </w:r>
    </w:p>
    <w:p w:rsidR="00E24DB7" w:rsidRPr="002C5876" w:rsidRDefault="00E24DB7" w:rsidP="00E24DB7">
      <w:pPr>
        <w:pStyle w:val="SingleTxtG"/>
        <w:ind w:left="2835" w:hanging="567"/>
      </w:pPr>
      <w:r w:rsidRPr="002C5876">
        <w:t>c)</w:t>
      </w:r>
      <w:r w:rsidRPr="002C5876">
        <w:tab/>
        <w:t>L’écart de valeur pour M</w:t>
      </w:r>
      <w:r w:rsidRPr="002C5876">
        <w:rPr>
          <w:vertAlign w:val="subscript"/>
        </w:rPr>
        <w:t>CO2,CS</w:t>
      </w:r>
      <w:r w:rsidRPr="002C5876">
        <w:t xml:space="preserve"> entre deux mesures consécutives, en ce qui concerne la variation d’énergie électrique durant l’essai, doit être inférieur ou égal à 10 g/km ;</w:t>
      </w:r>
    </w:p>
    <w:p w:rsidR="00E24DB7" w:rsidRPr="002C5876" w:rsidRDefault="00E24DB7" w:rsidP="00E24DB7">
      <w:pPr>
        <w:pStyle w:val="SingleTxtG"/>
        <w:ind w:left="2835" w:hanging="567"/>
      </w:pPr>
      <w:r w:rsidRPr="002C5876">
        <w:t>d)</w:t>
      </w:r>
      <w:r w:rsidRPr="002C5876">
        <w:tab/>
        <w:t>Outre le critère b), l’essai pour lequel la variation d’énergie électrique négative est la plus haute et l’essai pour lequel la variation d’énergie électrique positive est la plus haute ne doivent pas produire des résultats se trouvant dans la plage définie comme suit :</w:t>
      </w:r>
    </w:p>
    <w:p w:rsidR="00E24DB7" w:rsidRPr="002C5876" w:rsidRDefault="00E24DB7" w:rsidP="00E24DB7">
      <w:pPr>
        <w:pStyle w:val="SingleTxtG"/>
        <w:ind w:left="2268"/>
      </w:pPr>
      <m:oMathPara>
        <m:oMath>
          <m:r>
            <m:rPr>
              <m:sty m:val="p"/>
            </m:rPr>
            <w:rPr>
              <w:rFonts w:ascii="Cambria Math" w:hAnsi="Cambria Math" w:cstheme="majorBidi"/>
            </w:rPr>
            <m:t>-0</m:t>
          </m:r>
          <m:r>
            <m:rPr>
              <m:nor/>
            </m:rPr>
            <w:rPr>
              <w:rFonts w:asciiTheme="majorBidi" w:hAnsiTheme="majorBidi" w:cstheme="majorBidi"/>
            </w:rPr>
            <m:t>,</m:t>
          </m:r>
          <m:r>
            <m:rPr>
              <m:sty m:val="p"/>
            </m:rPr>
            <w:rPr>
              <w:rFonts w:ascii="Cambria Math" w:hAnsi="Cambria Math" w:cstheme="majorBidi"/>
            </w:rPr>
            <m:t>01≤</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REESS</m:t>
                  </m:r>
                </m:sub>
              </m:sSub>
            </m:num>
            <m:den>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fuel</m:t>
                  </m:r>
                </m:sub>
              </m:sSub>
            </m:den>
          </m:f>
          <m:r>
            <m:rPr>
              <m:sty m:val="p"/>
            </m:rPr>
            <w:rPr>
              <w:rFonts w:ascii="Cambria Math" w:hAnsi="Cambria Math" w:cstheme="majorBidi"/>
            </w:rPr>
            <m:t>≤+0</m:t>
          </m:r>
          <m:r>
            <m:rPr>
              <m:nor/>
            </m:rPr>
            <w:rPr>
              <w:rFonts w:asciiTheme="majorBidi" w:hAnsiTheme="majorBidi" w:cstheme="majorBidi"/>
            </w:rPr>
            <m:t>,</m:t>
          </m:r>
          <m:r>
            <m:rPr>
              <m:sty m:val="p"/>
            </m:rPr>
            <w:rPr>
              <w:rFonts w:ascii="Cambria Math" w:hAnsi="Cambria Math" w:cstheme="majorBidi"/>
            </w:rPr>
            <m:t>01</m:t>
          </m:r>
        </m:oMath>
      </m:oMathPara>
    </w:p>
    <w:p w:rsidR="00E24DB7" w:rsidRPr="002C5876" w:rsidRDefault="00E24DB7" w:rsidP="00686ABD">
      <w:pPr>
        <w:pStyle w:val="SingleTxtG"/>
        <w:keepNext/>
        <w:keepLines/>
        <w:ind w:left="2835" w:hanging="567"/>
      </w:pPr>
      <w:r w:rsidRPr="002C5876">
        <w:lastRenderedPageBreak/>
        <w:t>où :</w:t>
      </w:r>
    </w:p>
    <w:p w:rsidR="00E24DB7" w:rsidRPr="002C5876" w:rsidRDefault="00E24DB7" w:rsidP="00686ABD">
      <w:pPr>
        <w:pStyle w:val="SingleTxtG"/>
        <w:keepNext/>
        <w:keepLines/>
        <w:ind w:left="2835" w:hanging="567"/>
      </w:pPr>
      <w:r w:rsidRPr="002C5876">
        <w:t>E</w:t>
      </w:r>
      <w:r w:rsidRPr="002C5876">
        <w:rPr>
          <w:vertAlign w:val="subscript"/>
        </w:rPr>
        <w:t>fuel</w:t>
      </w:r>
      <w:r w:rsidRPr="002C5876">
        <w:tab/>
        <w:t>est le contenu énergétique du carburant consommé, calculé conformément au paragraphe 1.2 du présent appendice, en Wh ;</w:t>
      </w:r>
    </w:p>
    <w:p w:rsidR="00E24DB7" w:rsidRPr="002C5876" w:rsidRDefault="00E24DB7" w:rsidP="00E24DB7">
      <w:pPr>
        <w:pStyle w:val="SingleTxtG"/>
        <w:ind w:left="2835" w:hanging="567"/>
      </w:pPr>
      <w:r w:rsidRPr="002C5876">
        <w:t>e)</w:t>
      </w:r>
      <w:r w:rsidRPr="002C5876">
        <w:tab/>
        <w:t>L’écart de valeur pour M</w:t>
      </w:r>
      <w:r w:rsidRPr="002C5876">
        <w:rPr>
          <w:vertAlign w:val="subscript"/>
        </w:rPr>
        <w:t>CO2,CS</w:t>
      </w:r>
      <w:r w:rsidRPr="002C5876">
        <w:t xml:space="preserve"> entre l’essai produisant la variation d’énergie électrique négative la plus haute et le point médian, et l’écart de valeur pour M</w:t>
      </w:r>
      <w:r w:rsidRPr="002C5876">
        <w:rPr>
          <w:vertAlign w:val="subscript"/>
        </w:rPr>
        <w:t>CO2,CS</w:t>
      </w:r>
      <w:r w:rsidRPr="002C5876">
        <w:t xml:space="preserve"> entre le point médian et l’essai produisant la variation d’énergie électrique positive la plus haute doivent être comparables et doivent figurer de préférence dans la plage spécifiée pour le critère d). S’il est impossible de respecter cette prescription, l’autorité compétente doit décider si un nouvel essai est nécessaire.</w:t>
      </w:r>
    </w:p>
    <w:p w:rsidR="00E24DB7" w:rsidRPr="002C5876" w:rsidRDefault="00E24DB7" w:rsidP="00E24DB7">
      <w:pPr>
        <w:pStyle w:val="SingleTxtG"/>
        <w:ind w:left="2268"/>
      </w:pPr>
      <w:r w:rsidRPr="002C5876">
        <w:t>Les coefficients de correction déterminés par le constructeur doivent être examinés et approuvés par l’autorité compétente avant d’être appliqués.</w:t>
      </w:r>
    </w:p>
    <w:p w:rsidR="00E24DB7" w:rsidRPr="002C5876" w:rsidRDefault="00E24DB7" w:rsidP="00E24DB7">
      <w:pPr>
        <w:pStyle w:val="SingleTxtG"/>
        <w:ind w:left="2268"/>
      </w:pPr>
      <w:r w:rsidRPr="002C5876">
        <w:t>Si un ensemble de cinq essais au moins ne satisfait pas au critère a) ou au critère b), ou à ces deux critères à la fois, le constructeur doit expliquer à l’autorité compétente pourquoi le véhicule ne peut satisfaire à l’un de ces critères ou aux deux. Si elle n’est pas satisfaite par cette explication, l’autorité compétente peut demander l’exécution d’essais supplémentaires. S’il n’est toujours pas satisfait aux critères à l’issue des essais supplémentaires, l’autorité compétente doit choisir un coefficient de correction modéré en fonction des mesures.</w:t>
      </w:r>
    </w:p>
    <w:p w:rsidR="00E24DB7" w:rsidRPr="002C5876" w:rsidRDefault="00E24DB7" w:rsidP="00E24DB7">
      <w:pPr>
        <w:pStyle w:val="SingleTxtG"/>
        <w:ind w:left="2268" w:hanging="1134"/>
        <w:jc w:val="left"/>
      </w:pPr>
      <w:r w:rsidRPr="002C5876">
        <w:t>2.3</w:t>
      </w:r>
      <w:r w:rsidRPr="002C5876">
        <w:tab/>
        <w:t>Calcul des coefficients de correction K</w:t>
      </w:r>
      <w:r w:rsidRPr="002C5876">
        <w:rPr>
          <w:vertAlign w:val="subscript"/>
        </w:rPr>
        <w:t>fuel,FCHV</w:t>
      </w:r>
      <w:r w:rsidRPr="002C5876">
        <w:t xml:space="preserve"> et K</w:t>
      </w:r>
      <w:r w:rsidRPr="002C5876">
        <w:rPr>
          <w:vertAlign w:val="subscript"/>
        </w:rPr>
        <w:t>CO2</w:t>
      </w:r>
      <w:r w:rsidRPr="002C5876">
        <w:t xml:space="preserve"> </w:t>
      </w:r>
    </w:p>
    <w:p w:rsidR="00E24DB7" w:rsidRPr="002C5876" w:rsidRDefault="00E24DB7" w:rsidP="00E24DB7">
      <w:pPr>
        <w:pStyle w:val="SingleTxtG"/>
        <w:ind w:left="2268" w:hanging="1134"/>
        <w:jc w:val="left"/>
      </w:pPr>
      <w:r w:rsidRPr="002C5876">
        <w:t>2.3.1</w:t>
      </w:r>
      <w:r w:rsidRPr="002C5876">
        <w:tab/>
      </w:r>
      <w:r w:rsidRPr="002C5876">
        <w:tab/>
        <w:t>Détermination du coefficient de correction de la consommation de carburant K</w:t>
      </w:r>
      <w:r w:rsidRPr="002C5876">
        <w:rPr>
          <w:vertAlign w:val="subscript"/>
        </w:rPr>
        <w:t>fuel,FCHV</w:t>
      </w:r>
      <w:r w:rsidRPr="002C5876">
        <w:t xml:space="preserve"> </w:t>
      </w:r>
    </w:p>
    <w:p w:rsidR="00E24DB7" w:rsidRPr="002C5876" w:rsidRDefault="00E24DB7" w:rsidP="00E24DB7">
      <w:pPr>
        <w:pStyle w:val="SingleTxtG"/>
        <w:ind w:left="2268"/>
      </w:pPr>
      <w:r w:rsidRPr="002C5876">
        <w:t xml:space="preserve">Pour les VHPC-NRE, le coefficient de correction de la consommation de carburant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fuel,FCHV</m:t>
            </m:r>
          </m:sub>
        </m:sSub>
      </m:oMath>
      <w:r w:rsidRPr="002C5876">
        <w:t>, déterminé en exécutant un ensemble d’essais du type 1 en mode maintien de la charge, s’obtient au moyen de l’équation suivante :</w:t>
      </w:r>
    </w:p>
    <w:p w:rsidR="00E24DB7" w:rsidRPr="002C5876" w:rsidRDefault="00731CA6" w:rsidP="00E24DB7">
      <w:pPr>
        <w:pStyle w:val="SingleTxtG"/>
        <w:spacing w:after="240"/>
        <w:ind w:left="2268"/>
      </w:pPr>
      <m:oMathPara>
        <m:oMath>
          <m:sSub>
            <m:sSubPr>
              <m:ctrlPr>
                <w:rPr>
                  <w:rFonts w:ascii="Cambria Math" w:hAnsi="Cambria Math" w:cstheme="majorBidi"/>
                  <w:bCs/>
                  <w:lang w:eastAsia="ja-JP"/>
                </w:rPr>
              </m:ctrlPr>
            </m:sSubPr>
            <m:e>
              <m:r>
                <m:rPr>
                  <m:sty m:val="p"/>
                </m:rPr>
                <w:rPr>
                  <w:rFonts w:ascii="Cambria Math" w:hAnsi="Cambria Math" w:cstheme="majorBidi"/>
                  <w:lang w:eastAsia="ja-JP"/>
                </w:rPr>
                <m:t>K</m:t>
              </m:r>
            </m:e>
            <m:sub>
              <m:r>
                <m:rPr>
                  <m:sty m:val="p"/>
                </m:rPr>
                <w:rPr>
                  <w:rFonts w:ascii="Cambria Math" w:hAnsi="Cambria Math" w:cstheme="majorBidi"/>
                  <w:lang w:eastAsia="ja-JP"/>
                </w:rPr>
                <m:t>fuel,FCHV</m:t>
              </m:r>
            </m:sub>
          </m:sSub>
          <m:r>
            <m:rPr>
              <m:sty m:val="p"/>
            </m:rPr>
            <w:rPr>
              <w:rFonts w:ascii="Cambria Math" w:hAnsi="Cambria Math" w:cstheme="majorBidi"/>
              <w:lang w:eastAsia="ja-JP"/>
            </w:rPr>
            <m:t>=</m:t>
          </m:r>
          <m:f>
            <m:fPr>
              <m:ctrlPr>
                <w:rPr>
                  <w:rFonts w:ascii="Cambria Math" w:hAnsi="Cambria Math" w:cstheme="majorBidi"/>
                  <w:bCs/>
                  <w:lang w:eastAsia="ja-JP"/>
                </w:rPr>
              </m:ctrlPr>
            </m:fPr>
            <m:num>
              <m:nary>
                <m:naryPr>
                  <m:chr m:val="∑"/>
                  <m:limLoc m:val="subSup"/>
                  <m:ctrlPr>
                    <w:rPr>
                      <w:rFonts w:ascii="Cambria Math" w:hAnsi="Cambria Math" w:cstheme="majorBidi"/>
                      <w:bCs/>
                      <w:lang w:eastAsia="ja-JP"/>
                    </w:rPr>
                  </m:ctrlPr>
                </m:naryPr>
                <m:sub>
                  <m:r>
                    <m:rPr>
                      <m:sty m:val="p"/>
                    </m:rPr>
                    <w:rPr>
                      <w:rFonts w:ascii="Cambria Math" w:hAnsi="Cambria Math" w:cstheme="majorBidi"/>
                      <w:lang w:eastAsia="ja-JP"/>
                    </w:rPr>
                    <m:t>n=1</m:t>
                  </m:r>
                </m:sub>
                <m:sup>
                  <m:sSub>
                    <m:sSubPr>
                      <m:ctrlPr>
                        <w:rPr>
                          <w:rFonts w:ascii="Cambria Math" w:hAnsi="Cambria Math" w:cstheme="majorBidi"/>
                          <w:bCs/>
                          <w:lang w:eastAsia="ja-JP"/>
                        </w:rPr>
                      </m:ctrlPr>
                    </m:sSubPr>
                    <m:e>
                      <m:r>
                        <m:rPr>
                          <m:sty m:val="p"/>
                        </m:rPr>
                        <w:rPr>
                          <w:rFonts w:ascii="Cambria Math" w:hAnsi="Cambria Math" w:cstheme="majorBidi"/>
                          <w:lang w:eastAsia="ja-JP"/>
                        </w:rPr>
                        <m:t>n</m:t>
                      </m:r>
                    </m:e>
                    <m:sub>
                      <m:r>
                        <m:rPr>
                          <m:sty m:val="p"/>
                        </m:rPr>
                        <w:rPr>
                          <w:rFonts w:ascii="Cambria Math" w:hAnsi="Cambria Math" w:cstheme="majorBidi"/>
                          <w:lang w:eastAsia="ja-JP"/>
                        </w:rPr>
                        <m:t>CS</m:t>
                      </m:r>
                    </m:sub>
                  </m:sSub>
                </m:sup>
                <m:e>
                  <m:d>
                    <m:dPr>
                      <m:ctrlPr>
                        <w:rPr>
                          <w:rFonts w:ascii="Cambria Math" w:hAnsi="Cambria Math" w:cstheme="majorBidi"/>
                          <w:bCs/>
                          <w:lang w:eastAsia="ja-JP"/>
                        </w:rPr>
                      </m:ctrlPr>
                    </m:dPr>
                    <m:e>
                      <m:d>
                        <m:dPr>
                          <m:ctrlPr>
                            <w:rPr>
                              <w:rFonts w:ascii="Cambria Math" w:hAnsi="Cambria Math" w:cstheme="majorBidi"/>
                              <w:bCs/>
                              <w:lang w:eastAsia="ja-JP"/>
                            </w:rPr>
                          </m:ctrlPr>
                        </m:dPr>
                        <m:e>
                          <m:sSub>
                            <m:sSubPr>
                              <m:ctrlPr>
                                <w:rPr>
                                  <w:rFonts w:ascii="Cambria Math" w:hAnsi="Cambria Math" w:cstheme="majorBidi"/>
                                  <w:bCs/>
                                  <w:lang w:eastAsia="ja-JP"/>
                                </w:rPr>
                              </m:ctrlPr>
                            </m:sSubPr>
                            <m:e>
                              <m:r>
                                <m:rPr>
                                  <m:sty m:val="p"/>
                                </m:rPr>
                                <w:rPr>
                                  <w:rFonts w:ascii="Cambria Math" w:hAnsi="Cambria Math" w:cstheme="majorBidi"/>
                                  <w:lang w:eastAsia="ja-JP"/>
                                </w:rPr>
                                <m:t>EC</m:t>
                              </m:r>
                            </m:e>
                            <m:sub>
                              <m:r>
                                <m:rPr>
                                  <m:sty m:val="p"/>
                                </m:rPr>
                                <w:rPr>
                                  <w:rFonts w:ascii="Cambria Math" w:hAnsi="Cambria Math" w:cstheme="majorBidi"/>
                                  <w:lang w:eastAsia="ja-JP"/>
                                </w:rPr>
                                <m:t>DC,CS,n</m:t>
                              </m:r>
                            </m:sub>
                          </m:sSub>
                          <m:r>
                            <m:rPr>
                              <m:sty m:val="p"/>
                            </m:rPr>
                            <w:rPr>
                              <w:rFonts w:ascii="Cambria Math" w:hAnsi="Cambria Math" w:cstheme="majorBidi"/>
                              <w:lang w:eastAsia="ja-JP"/>
                            </w:rPr>
                            <m:t xml:space="preserve">- </m:t>
                          </m:r>
                          <m:sSub>
                            <m:sSubPr>
                              <m:ctrlPr>
                                <w:rPr>
                                  <w:rFonts w:ascii="Cambria Math" w:hAnsi="Cambria Math" w:cstheme="majorBidi"/>
                                  <w:bCs/>
                                  <w:lang w:eastAsia="ja-JP"/>
                                </w:rPr>
                              </m:ctrlPr>
                            </m:sSubPr>
                            <m:e>
                              <m:r>
                                <m:rPr>
                                  <m:sty m:val="p"/>
                                </m:rPr>
                                <w:rPr>
                                  <w:rFonts w:ascii="Cambria Math" w:hAnsi="Cambria Math" w:cstheme="majorBidi"/>
                                  <w:lang w:eastAsia="ja-JP"/>
                                </w:rPr>
                                <m:t>EC</m:t>
                              </m:r>
                            </m:e>
                            <m:sub>
                              <m:r>
                                <m:rPr>
                                  <m:sty m:val="p"/>
                                </m:rPr>
                                <w:rPr>
                                  <w:rFonts w:ascii="Cambria Math" w:hAnsi="Cambria Math" w:cstheme="majorBidi"/>
                                  <w:lang w:eastAsia="ja-JP"/>
                                </w:rPr>
                                <m:t>DC,CS,avg</m:t>
                              </m:r>
                            </m:sub>
                          </m:sSub>
                        </m:e>
                      </m:d>
                      <m:r>
                        <m:rPr>
                          <m:sty m:val="p"/>
                        </m:rPr>
                        <w:rPr>
                          <w:rFonts w:ascii="Cambria Math" w:hAnsi="Cambria Math" w:cstheme="majorBidi"/>
                          <w:lang w:eastAsia="ja-JP"/>
                        </w:rPr>
                        <m:t>×</m:t>
                      </m:r>
                      <m:d>
                        <m:dPr>
                          <m:ctrlPr>
                            <w:rPr>
                              <w:rFonts w:ascii="Cambria Math" w:hAnsi="Cambria Math" w:cstheme="majorBidi"/>
                              <w:bCs/>
                              <w:lang w:eastAsia="ja-JP"/>
                            </w:rPr>
                          </m:ctrlPr>
                        </m:dPr>
                        <m:e>
                          <m:sSub>
                            <m:sSubPr>
                              <m:ctrlPr>
                                <w:rPr>
                                  <w:rFonts w:ascii="Cambria Math" w:hAnsi="Cambria Math" w:cstheme="majorBidi"/>
                                  <w:bCs/>
                                  <w:lang w:eastAsia="ja-JP"/>
                                </w:rPr>
                              </m:ctrlPr>
                            </m:sSubPr>
                            <m:e>
                              <m:r>
                                <m:rPr>
                                  <m:sty m:val="p"/>
                                </m:rPr>
                                <w:rPr>
                                  <w:rFonts w:ascii="Cambria Math" w:hAnsi="Cambria Math" w:cstheme="majorBidi"/>
                                  <w:lang w:eastAsia="ja-JP"/>
                                </w:rPr>
                                <m:t>FC</m:t>
                              </m:r>
                            </m:e>
                            <m:sub>
                              <m:r>
                                <m:rPr>
                                  <m:sty m:val="p"/>
                                </m:rPr>
                                <w:rPr>
                                  <w:rFonts w:ascii="Cambria Math" w:hAnsi="Cambria Math" w:cstheme="majorBidi"/>
                                  <w:lang w:eastAsia="ja-JP"/>
                                </w:rPr>
                                <m:t>CS,nb,n</m:t>
                              </m:r>
                            </m:sub>
                          </m:sSub>
                          <m:r>
                            <m:rPr>
                              <m:sty m:val="p"/>
                            </m:rPr>
                            <w:rPr>
                              <w:rFonts w:ascii="Cambria Math" w:hAnsi="Cambria Math" w:cstheme="majorBidi"/>
                              <w:lang w:eastAsia="ja-JP"/>
                            </w:rPr>
                            <m:t xml:space="preserve">- </m:t>
                          </m:r>
                          <m:sSub>
                            <m:sSubPr>
                              <m:ctrlPr>
                                <w:rPr>
                                  <w:rFonts w:ascii="Cambria Math" w:hAnsi="Cambria Math" w:cstheme="majorBidi"/>
                                  <w:bCs/>
                                  <w:lang w:eastAsia="ja-JP"/>
                                </w:rPr>
                              </m:ctrlPr>
                            </m:sSubPr>
                            <m:e>
                              <m:r>
                                <m:rPr>
                                  <m:sty m:val="p"/>
                                </m:rPr>
                                <w:rPr>
                                  <w:rFonts w:ascii="Cambria Math" w:hAnsi="Cambria Math" w:cstheme="majorBidi"/>
                                  <w:lang w:eastAsia="ja-JP"/>
                                </w:rPr>
                                <m:t>FC</m:t>
                              </m:r>
                            </m:e>
                            <m:sub>
                              <m:r>
                                <m:rPr>
                                  <m:sty m:val="p"/>
                                </m:rPr>
                                <w:rPr>
                                  <w:rFonts w:ascii="Cambria Math" w:hAnsi="Cambria Math" w:cstheme="majorBidi"/>
                                  <w:lang w:eastAsia="ja-JP"/>
                                </w:rPr>
                                <m:t>CS,nb,avg</m:t>
                              </m:r>
                            </m:sub>
                          </m:sSub>
                        </m:e>
                      </m:d>
                    </m:e>
                  </m:d>
                </m:e>
              </m:nary>
            </m:num>
            <m:den>
              <m:nary>
                <m:naryPr>
                  <m:chr m:val="∑"/>
                  <m:limLoc m:val="subSup"/>
                  <m:ctrlPr>
                    <w:rPr>
                      <w:rFonts w:ascii="Cambria Math" w:hAnsi="Cambria Math" w:cstheme="majorBidi"/>
                      <w:bCs/>
                      <w:lang w:eastAsia="ja-JP"/>
                    </w:rPr>
                  </m:ctrlPr>
                </m:naryPr>
                <m:sub>
                  <m:r>
                    <m:rPr>
                      <m:sty m:val="p"/>
                    </m:rPr>
                    <w:rPr>
                      <w:rFonts w:ascii="Cambria Math" w:hAnsi="Cambria Math" w:cstheme="majorBidi"/>
                      <w:lang w:eastAsia="ja-JP"/>
                    </w:rPr>
                    <m:t>n=1</m:t>
                  </m:r>
                </m:sub>
                <m:sup>
                  <m:sSub>
                    <m:sSubPr>
                      <m:ctrlPr>
                        <w:rPr>
                          <w:rFonts w:ascii="Cambria Math" w:hAnsi="Cambria Math" w:cstheme="majorBidi"/>
                          <w:bCs/>
                          <w:lang w:eastAsia="ja-JP"/>
                        </w:rPr>
                      </m:ctrlPr>
                    </m:sSubPr>
                    <m:e>
                      <m:r>
                        <m:rPr>
                          <m:sty m:val="p"/>
                        </m:rPr>
                        <w:rPr>
                          <w:rFonts w:ascii="Cambria Math" w:hAnsi="Cambria Math" w:cstheme="majorBidi"/>
                          <w:lang w:eastAsia="ja-JP"/>
                        </w:rPr>
                        <m:t>n</m:t>
                      </m:r>
                    </m:e>
                    <m:sub>
                      <m:r>
                        <m:rPr>
                          <m:sty m:val="p"/>
                        </m:rPr>
                        <w:rPr>
                          <w:rFonts w:ascii="Cambria Math" w:hAnsi="Cambria Math" w:cstheme="majorBidi"/>
                          <w:lang w:eastAsia="ja-JP"/>
                        </w:rPr>
                        <m:t>CS</m:t>
                      </m:r>
                    </m:sub>
                  </m:sSub>
                </m:sup>
                <m:e>
                  <m:sSup>
                    <m:sSupPr>
                      <m:ctrlPr>
                        <w:rPr>
                          <w:rFonts w:ascii="Cambria Math" w:hAnsi="Cambria Math" w:cstheme="majorBidi"/>
                          <w:bCs/>
                          <w:lang w:eastAsia="ja-JP"/>
                        </w:rPr>
                      </m:ctrlPr>
                    </m:sSupPr>
                    <m:e>
                      <m:r>
                        <m:rPr>
                          <m:sty m:val="p"/>
                        </m:rPr>
                        <w:rPr>
                          <w:rFonts w:ascii="Cambria Math" w:hAnsi="Cambria Math" w:cstheme="majorBidi"/>
                          <w:lang w:eastAsia="ja-JP"/>
                        </w:rPr>
                        <m:t>(</m:t>
                      </m:r>
                      <m:sSub>
                        <m:sSubPr>
                          <m:ctrlPr>
                            <w:rPr>
                              <w:rFonts w:ascii="Cambria Math" w:hAnsi="Cambria Math" w:cstheme="majorBidi"/>
                              <w:bCs/>
                              <w:lang w:eastAsia="ja-JP"/>
                            </w:rPr>
                          </m:ctrlPr>
                        </m:sSubPr>
                        <m:e>
                          <m:r>
                            <m:rPr>
                              <m:sty m:val="p"/>
                            </m:rPr>
                            <w:rPr>
                              <w:rFonts w:ascii="Cambria Math" w:hAnsi="Cambria Math" w:cstheme="majorBidi"/>
                              <w:lang w:eastAsia="ja-JP"/>
                            </w:rPr>
                            <m:t>EC</m:t>
                          </m:r>
                        </m:e>
                        <m:sub>
                          <m:r>
                            <m:rPr>
                              <m:sty m:val="p"/>
                            </m:rPr>
                            <w:rPr>
                              <w:rFonts w:ascii="Cambria Math" w:hAnsi="Cambria Math" w:cstheme="majorBidi"/>
                              <w:lang w:eastAsia="ja-JP"/>
                            </w:rPr>
                            <m:t>DC,CS,n</m:t>
                          </m:r>
                        </m:sub>
                      </m:sSub>
                      <m:r>
                        <m:rPr>
                          <m:sty m:val="p"/>
                        </m:rPr>
                        <w:rPr>
                          <w:rFonts w:ascii="Cambria Math" w:hAnsi="Cambria Math" w:cstheme="majorBidi"/>
                          <w:lang w:eastAsia="ja-JP"/>
                        </w:rPr>
                        <m:t xml:space="preserve">- </m:t>
                      </m:r>
                      <m:sSub>
                        <m:sSubPr>
                          <m:ctrlPr>
                            <w:rPr>
                              <w:rFonts w:ascii="Cambria Math" w:hAnsi="Cambria Math" w:cstheme="majorBidi"/>
                              <w:bCs/>
                              <w:lang w:eastAsia="ja-JP"/>
                            </w:rPr>
                          </m:ctrlPr>
                        </m:sSubPr>
                        <m:e>
                          <m:r>
                            <m:rPr>
                              <m:sty m:val="p"/>
                            </m:rPr>
                            <w:rPr>
                              <w:rFonts w:ascii="Cambria Math" w:hAnsi="Cambria Math" w:cstheme="majorBidi"/>
                              <w:lang w:eastAsia="ja-JP"/>
                            </w:rPr>
                            <m:t>EC</m:t>
                          </m:r>
                        </m:e>
                        <m:sub>
                          <m:r>
                            <m:rPr>
                              <m:sty m:val="p"/>
                            </m:rPr>
                            <w:rPr>
                              <w:rFonts w:ascii="Cambria Math" w:hAnsi="Cambria Math" w:cstheme="majorBidi"/>
                              <w:lang w:eastAsia="ja-JP"/>
                            </w:rPr>
                            <m:t>DC,CS,avg</m:t>
                          </m:r>
                        </m:sub>
                      </m:sSub>
                      <m:r>
                        <m:rPr>
                          <m:sty m:val="p"/>
                        </m:rPr>
                        <w:rPr>
                          <w:rFonts w:ascii="Cambria Math" w:hAnsi="Cambria Math" w:cstheme="majorBidi"/>
                          <w:lang w:eastAsia="ja-JP"/>
                        </w:rPr>
                        <m:t>)</m:t>
                      </m:r>
                    </m:e>
                    <m:sup>
                      <m:r>
                        <m:rPr>
                          <m:sty m:val="p"/>
                        </m:rPr>
                        <w:rPr>
                          <w:rFonts w:ascii="Cambria Math" w:hAnsi="Cambria Math" w:cstheme="majorBidi"/>
                          <w:lang w:eastAsia="ja-JP"/>
                        </w:rPr>
                        <m:t>2</m:t>
                      </m:r>
                    </m:sup>
                  </m:sSup>
                </m:e>
              </m:nary>
            </m:den>
          </m:f>
        </m:oMath>
      </m:oMathPara>
    </w:p>
    <w:p w:rsidR="00E24DB7" w:rsidRPr="002C5876" w:rsidRDefault="00E24DB7" w:rsidP="00E24DB7">
      <w:pPr>
        <w:pStyle w:val="SingleTxtG"/>
        <w:ind w:left="2268"/>
      </w:pPr>
      <w:r w:rsidRPr="002C5876">
        <w:t>où :</w:t>
      </w:r>
    </w:p>
    <w:p w:rsidR="00E24DB7" w:rsidRPr="002C5876" w:rsidRDefault="00E24DB7" w:rsidP="00E24DB7">
      <w:pPr>
        <w:pStyle w:val="SingleTxtG"/>
        <w:ind w:left="3402" w:hanging="1134"/>
      </w:pPr>
      <w:r w:rsidRPr="002C5876">
        <w:t>K</w:t>
      </w:r>
      <w:r w:rsidRPr="002C5876">
        <w:rPr>
          <w:vertAlign w:val="subscript"/>
        </w:rPr>
        <w:t>fuel,FCHV</w:t>
      </w:r>
      <w:r w:rsidRPr="002C5876">
        <w:rPr>
          <w:lang w:eastAsia="ja-JP"/>
        </w:rPr>
        <w:tab/>
        <w:t xml:space="preserve">est le </w:t>
      </w:r>
      <w:r w:rsidRPr="002C5876">
        <w:t>coefficient de correction de la consommation de carburant (</w:t>
      </w:r>
      <w:r w:rsidRPr="002C5876">
        <w:rPr>
          <w:lang w:eastAsia="ja-JP"/>
        </w:rPr>
        <w:t>kg</w:t>
      </w:r>
      <w:r w:rsidRPr="002C5876">
        <w:t>/100 km)/(Wh/km) ;</w:t>
      </w:r>
    </w:p>
    <w:p w:rsidR="00E24DB7" w:rsidRPr="002C5876" w:rsidRDefault="00E24DB7" w:rsidP="00E24DB7">
      <w:pPr>
        <w:pStyle w:val="SingleTxtG"/>
        <w:ind w:left="3402" w:hanging="1134"/>
      </w:pPr>
      <w:r w:rsidRPr="002C5876">
        <w:t>EC</w:t>
      </w:r>
      <w:r w:rsidRPr="002C5876">
        <w:rPr>
          <w:vertAlign w:val="subscript"/>
        </w:rPr>
        <w:t>DC,CS,n</w:t>
      </w:r>
      <w:r w:rsidRPr="002C5876">
        <w:rPr>
          <w:lang w:eastAsia="ja-JP"/>
        </w:rPr>
        <w:tab/>
        <w:t xml:space="preserve">est la consommation d’énergie électrique en mode maintien de la charge pour l’essai </w:t>
      </w:r>
      <w:r w:rsidRPr="002C5876">
        <w:t>n, sur la base de l’épuisement de la charge du SRSEE conformément à l’équation ci-après, en Wh/km ;</w:t>
      </w:r>
    </w:p>
    <w:p w:rsidR="00E24DB7" w:rsidRPr="002C5876" w:rsidRDefault="00E24DB7" w:rsidP="00E24DB7">
      <w:pPr>
        <w:pStyle w:val="SingleTxtG"/>
        <w:ind w:left="3402" w:hanging="1134"/>
      </w:pPr>
      <w:r w:rsidRPr="002C5876">
        <w:t>EC</w:t>
      </w:r>
      <w:r w:rsidRPr="002C5876">
        <w:rPr>
          <w:vertAlign w:val="subscript"/>
        </w:rPr>
        <w:t>DC,CS,avg</w:t>
      </w:r>
      <w:r w:rsidRPr="002C5876">
        <w:rPr>
          <w:lang w:eastAsia="ja-JP"/>
        </w:rPr>
        <w:tab/>
        <w:t xml:space="preserve">est la consommation d’énergie électrique moyenne en mode maintien de la charge pour les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CS</m:t>
            </m:r>
          </m:sub>
        </m:sSub>
      </m:oMath>
      <w:r w:rsidRPr="002C5876">
        <w:t xml:space="preserve"> essais, sur la base de l’épuisement de la charge du SRSEE conformément à l’équation ci-après, en Wh/km ;</w:t>
      </w:r>
    </w:p>
    <w:p w:rsidR="00E24DB7" w:rsidRPr="002C5876" w:rsidRDefault="00E24DB7" w:rsidP="00E24DB7">
      <w:pPr>
        <w:pStyle w:val="SingleTxtG"/>
        <w:ind w:left="3402" w:hanging="1134"/>
      </w:pPr>
      <w:r w:rsidRPr="002C5876">
        <w:t>FC</w:t>
      </w:r>
      <w:r w:rsidRPr="002C5876">
        <w:rPr>
          <w:vertAlign w:val="subscript"/>
        </w:rPr>
        <w:t>CS,nb,n</w:t>
      </w:r>
      <w:r w:rsidRPr="002C5876">
        <w:rPr>
          <w:lang w:eastAsia="ja-JP"/>
        </w:rPr>
        <w:tab/>
        <w:t xml:space="preserve">est la consommation de carburant en mode maintien de la charge pour l’essai </w:t>
      </w:r>
      <w:r w:rsidRPr="002C5876">
        <w:t>n, non corrigée pour le bilan énergétique, déterminée conformément au tableau A8/7, étape n</w:t>
      </w:r>
      <w:r w:rsidRPr="002C5876">
        <w:rPr>
          <w:vertAlign w:val="superscript"/>
        </w:rPr>
        <w:t>o</w:t>
      </w:r>
      <w:r w:rsidRPr="002C5876">
        <w:t> 1, en kg/100 km ;</w:t>
      </w:r>
    </w:p>
    <w:p w:rsidR="00E24DB7" w:rsidRPr="002C5876" w:rsidRDefault="00E24DB7" w:rsidP="00E24DB7">
      <w:pPr>
        <w:pStyle w:val="SingleTxtG"/>
        <w:ind w:left="3402" w:hanging="1134"/>
      </w:pPr>
      <w:r w:rsidRPr="002C5876">
        <w:t>FC</w:t>
      </w:r>
      <w:r w:rsidRPr="002C5876">
        <w:rPr>
          <w:vertAlign w:val="subscript"/>
        </w:rPr>
        <w:t>CS,nb,avg</w:t>
      </w:r>
      <w:r w:rsidRPr="002C5876">
        <w:rPr>
          <w:lang w:eastAsia="ja-JP"/>
        </w:rPr>
        <w:tab/>
        <w:t xml:space="preserve">est la moyenne </w:t>
      </w:r>
      <w:r w:rsidRPr="002C5876">
        <w:t xml:space="preserve">arithmétique des consommations de carburant en mode maintien de la charge pour les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CS</m:t>
            </m:r>
          </m:sub>
        </m:sSub>
      </m:oMath>
      <w:r w:rsidRPr="002C5876">
        <w:t xml:space="preserve"> essais fondés sur la consommation de carburant, non corrigée pour le bilan énergétique, conformément à l’équation ci-après, en </w:t>
      </w:r>
      <w:r w:rsidRPr="002C5876">
        <w:rPr>
          <w:lang w:eastAsia="ja-JP"/>
        </w:rPr>
        <w:t>kg</w:t>
      </w:r>
      <w:r w:rsidRPr="002C5876">
        <w:t>/100 km ;</w:t>
      </w:r>
    </w:p>
    <w:p w:rsidR="00E24DB7" w:rsidRPr="002C5876" w:rsidRDefault="00E24DB7" w:rsidP="00E24DB7">
      <w:pPr>
        <w:pStyle w:val="SingleTxtG"/>
        <w:ind w:left="3402" w:hanging="1134"/>
      </w:pPr>
      <w:r w:rsidRPr="002C5876">
        <w:t>n</w:t>
      </w:r>
      <w:r w:rsidRPr="002C5876">
        <w:tab/>
        <w:t>est le numéro d’ordre de l’essai considéré ;</w:t>
      </w:r>
    </w:p>
    <w:p w:rsidR="00E24DB7" w:rsidRPr="002C5876" w:rsidRDefault="00E24DB7" w:rsidP="00E24DB7">
      <w:pPr>
        <w:pStyle w:val="SingleTxtG"/>
        <w:ind w:left="3402" w:hanging="1134"/>
      </w:pPr>
      <w:r w:rsidRPr="002C5876">
        <w:t>n</w:t>
      </w:r>
      <w:r w:rsidRPr="002C5876">
        <w:rPr>
          <w:vertAlign w:val="subscript"/>
        </w:rPr>
        <w:t>CS</w:t>
      </w:r>
      <w:r w:rsidRPr="002C5876">
        <w:tab/>
        <w:t>est le nombre total d’essais ;</w:t>
      </w:r>
    </w:p>
    <w:p w:rsidR="00E24DB7" w:rsidRPr="002C5876" w:rsidRDefault="00E24DB7" w:rsidP="00E24DB7">
      <w:pPr>
        <w:pStyle w:val="SingleTxtG"/>
        <w:keepNext/>
        <w:ind w:left="2268"/>
      </w:pPr>
      <w:r w:rsidRPr="002C5876">
        <w:lastRenderedPageBreak/>
        <w:t>et :</w:t>
      </w:r>
    </w:p>
    <w:p w:rsidR="00E24DB7" w:rsidRPr="002C5876" w:rsidRDefault="00731CA6" w:rsidP="00E24DB7">
      <w:pPr>
        <w:pStyle w:val="SingleTxtG"/>
        <w:keepNext/>
        <w:ind w:left="2268"/>
        <w:jc w:val="center"/>
      </w:pPr>
      <m:oMathPara>
        <m:oMath>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DC,CS,avg</m:t>
              </m:r>
            </m:sub>
          </m:sSub>
          <m:r>
            <m:rPr>
              <m:sty m:val="p"/>
            </m:rPr>
            <w:rPr>
              <w:rFonts w:ascii="Cambria Math" w:hAnsi="Cambria Math" w:cstheme="majorBidi"/>
            </w:rPr>
            <m:t>=</m:t>
          </m:r>
          <m:f>
            <m:fPr>
              <m:ctrlPr>
                <w:rPr>
                  <w:rFonts w:ascii="Cambria Math" w:hAnsi="Cambria Math" w:cstheme="majorBidi"/>
                </w:rPr>
              </m:ctrlPr>
            </m:fPr>
            <m:num>
              <m:r>
                <m:rPr>
                  <m:sty m:val="p"/>
                </m:rPr>
                <w:rPr>
                  <w:rFonts w:ascii="Cambria Math" w:hAnsi="Cambria Math" w:cstheme="majorBidi"/>
                </w:rPr>
                <m:t>1</m:t>
              </m:r>
            </m:num>
            <m:den>
              <m:sSub>
                <m:sSubPr>
                  <m:ctrlPr>
                    <w:rPr>
                      <w:rFonts w:ascii="Cambria Math" w:hAnsi="Cambria Math" w:cstheme="majorBidi"/>
                    </w:rPr>
                  </m:ctrlPr>
                </m:sSubPr>
                <m:e>
                  <m:r>
                    <m:rPr>
                      <m:sty m:val="p"/>
                    </m:rPr>
                    <w:rPr>
                      <w:rFonts w:ascii="Cambria Math" w:hAnsi="Cambria Math" w:cstheme="majorBidi"/>
                    </w:rPr>
                    <m:t>n</m:t>
                  </m:r>
                </m:e>
                <m:sub>
                  <m:r>
                    <m:rPr>
                      <m:sty m:val="p"/>
                    </m:rPr>
                    <w:rPr>
                      <w:rFonts w:ascii="Cambria Math" w:hAnsi="Cambria Math" w:cstheme="majorBidi"/>
                    </w:rPr>
                    <m:t>CS</m:t>
                  </m:r>
                </m:sub>
              </m:sSub>
            </m:den>
          </m:f>
          <m:r>
            <w:rPr>
              <w:rFonts w:ascii="Cambria Math" w:hAnsi="Cambria Math" w:cstheme="majorBidi"/>
            </w:rPr>
            <m:t>×</m:t>
          </m:r>
          <m:nary>
            <m:naryPr>
              <m:chr m:val="∑"/>
              <m:limLoc m:val="subSup"/>
              <m:ctrlPr>
                <w:rPr>
                  <w:rFonts w:ascii="Cambria Math" w:hAnsi="Cambria Math" w:cstheme="majorBidi"/>
                  <w:i/>
                </w:rPr>
              </m:ctrlPr>
            </m:naryPr>
            <m:sub>
              <m:r>
                <m:rPr>
                  <m:sty m:val="p"/>
                </m:rPr>
                <w:rPr>
                  <w:rFonts w:ascii="Cambria Math" w:hAnsi="Cambria Math" w:cstheme="majorBidi"/>
                </w:rPr>
                <m:t>n=1</m:t>
              </m:r>
            </m:sub>
            <m:sup>
              <m:sSub>
                <m:sSubPr>
                  <m:ctrlPr>
                    <w:rPr>
                      <w:rFonts w:ascii="Cambria Math" w:hAnsi="Cambria Math" w:cstheme="majorBidi"/>
                    </w:rPr>
                  </m:ctrlPr>
                </m:sSubPr>
                <m:e>
                  <m:r>
                    <m:rPr>
                      <m:sty m:val="p"/>
                    </m:rPr>
                    <w:rPr>
                      <w:rFonts w:ascii="Cambria Math" w:hAnsi="Cambria Math" w:cstheme="majorBidi"/>
                    </w:rPr>
                    <m:t>n</m:t>
                  </m:r>
                </m:e>
                <m:sub>
                  <m:r>
                    <m:rPr>
                      <m:sty m:val="p"/>
                    </m:rPr>
                    <w:rPr>
                      <w:rFonts w:ascii="Cambria Math" w:hAnsi="Cambria Math" w:cstheme="majorBidi"/>
                    </w:rPr>
                    <m:t>CS</m:t>
                  </m:r>
                </m:sub>
              </m:sSub>
            </m:sup>
            <m:e>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DC,CS,n</m:t>
                  </m:r>
                </m:sub>
              </m:sSub>
            </m:e>
          </m:nary>
        </m:oMath>
      </m:oMathPara>
    </w:p>
    <w:p w:rsidR="00E24DB7" w:rsidRPr="002C5876" w:rsidRDefault="00E24DB7" w:rsidP="00E24DB7">
      <w:pPr>
        <w:pStyle w:val="SingleTxtG"/>
        <w:ind w:left="2268"/>
        <w:rPr>
          <w:lang w:eastAsia="ja-JP"/>
        </w:rPr>
      </w:pPr>
      <w:r w:rsidRPr="002C5876">
        <w:rPr>
          <w:lang w:eastAsia="ja-JP"/>
        </w:rPr>
        <w:t>et :</w:t>
      </w:r>
    </w:p>
    <w:p w:rsidR="00E24DB7" w:rsidRPr="002C5876" w:rsidRDefault="00731CA6" w:rsidP="00E24DB7">
      <w:pPr>
        <w:pStyle w:val="SingleTxtG"/>
        <w:ind w:left="2268"/>
        <w:jc w:val="center"/>
        <w:rPr>
          <w:lang w:eastAsia="ja-JP"/>
        </w:rPr>
      </w:pPr>
      <m:oMathPara>
        <m:oMath>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CS,nb,avg</m:t>
              </m:r>
            </m:sub>
          </m:sSub>
          <m:r>
            <m:rPr>
              <m:sty m:val="p"/>
            </m:rPr>
            <w:rPr>
              <w:rFonts w:ascii="Cambria Math" w:hAnsi="Cambria Math" w:cstheme="majorBidi"/>
            </w:rPr>
            <m:t>=</m:t>
          </m:r>
          <m:f>
            <m:fPr>
              <m:ctrlPr>
                <w:rPr>
                  <w:rFonts w:ascii="Cambria Math" w:hAnsi="Cambria Math" w:cstheme="majorBidi"/>
                </w:rPr>
              </m:ctrlPr>
            </m:fPr>
            <m:num>
              <m:r>
                <m:rPr>
                  <m:sty m:val="p"/>
                </m:rPr>
                <w:rPr>
                  <w:rFonts w:ascii="Cambria Math" w:hAnsi="Cambria Math" w:cstheme="majorBidi"/>
                </w:rPr>
                <m:t>1</m:t>
              </m:r>
            </m:num>
            <m:den>
              <m:sSub>
                <m:sSubPr>
                  <m:ctrlPr>
                    <w:rPr>
                      <w:rFonts w:ascii="Cambria Math" w:hAnsi="Cambria Math" w:cstheme="majorBidi"/>
                    </w:rPr>
                  </m:ctrlPr>
                </m:sSubPr>
                <m:e>
                  <m:r>
                    <m:rPr>
                      <m:sty m:val="p"/>
                    </m:rPr>
                    <w:rPr>
                      <w:rFonts w:ascii="Cambria Math" w:hAnsi="Cambria Math" w:cstheme="majorBidi"/>
                    </w:rPr>
                    <m:t>n</m:t>
                  </m:r>
                </m:e>
                <m:sub>
                  <m:r>
                    <m:rPr>
                      <m:sty m:val="p"/>
                    </m:rPr>
                    <w:rPr>
                      <w:rFonts w:ascii="Cambria Math" w:hAnsi="Cambria Math" w:cstheme="majorBidi"/>
                    </w:rPr>
                    <m:t>CS</m:t>
                  </m:r>
                </m:sub>
              </m:sSub>
            </m:den>
          </m:f>
          <m:r>
            <w:rPr>
              <w:rFonts w:ascii="Cambria Math" w:hAnsi="Cambria Math" w:cstheme="majorBidi"/>
            </w:rPr>
            <m:t>×</m:t>
          </m:r>
          <m:nary>
            <m:naryPr>
              <m:chr m:val="∑"/>
              <m:limLoc m:val="subSup"/>
              <m:ctrlPr>
                <w:rPr>
                  <w:rFonts w:ascii="Cambria Math" w:hAnsi="Cambria Math" w:cstheme="majorBidi"/>
                  <w:i/>
                </w:rPr>
              </m:ctrlPr>
            </m:naryPr>
            <m:sub>
              <m:r>
                <m:rPr>
                  <m:sty m:val="p"/>
                </m:rPr>
                <w:rPr>
                  <w:rFonts w:ascii="Cambria Math" w:hAnsi="Cambria Math" w:cstheme="majorBidi"/>
                </w:rPr>
                <m:t>n=1</m:t>
              </m:r>
            </m:sub>
            <m:sup>
              <m:sSub>
                <m:sSubPr>
                  <m:ctrlPr>
                    <w:rPr>
                      <w:rFonts w:ascii="Cambria Math" w:hAnsi="Cambria Math" w:cstheme="majorBidi"/>
                    </w:rPr>
                  </m:ctrlPr>
                </m:sSubPr>
                <m:e>
                  <m:r>
                    <m:rPr>
                      <m:sty m:val="p"/>
                    </m:rPr>
                    <w:rPr>
                      <w:rFonts w:ascii="Cambria Math" w:hAnsi="Cambria Math" w:cstheme="majorBidi"/>
                    </w:rPr>
                    <m:t>n</m:t>
                  </m:r>
                </m:e>
                <m:sub>
                  <m:r>
                    <m:rPr>
                      <m:sty m:val="p"/>
                    </m:rPr>
                    <w:rPr>
                      <w:rFonts w:ascii="Cambria Math" w:hAnsi="Cambria Math" w:cstheme="majorBidi"/>
                    </w:rPr>
                    <m:t>CS</m:t>
                  </m:r>
                </m:sub>
              </m:sSub>
            </m:sup>
            <m:e>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CS,nb,n</m:t>
                  </m:r>
                </m:sub>
              </m:sSub>
            </m:e>
          </m:nary>
        </m:oMath>
      </m:oMathPara>
    </w:p>
    <w:p w:rsidR="00E24DB7" w:rsidRPr="002C5876" w:rsidRDefault="00E24DB7" w:rsidP="00E24DB7">
      <w:pPr>
        <w:pStyle w:val="SingleTxtG"/>
        <w:ind w:left="2268"/>
      </w:pPr>
      <w:r w:rsidRPr="002C5876">
        <w:t>et :</w:t>
      </w:r>
    </w:p>
    <w:p w:rsidR="00E24DB7" w:rsidRPr="002C5876" w:rsidRDefault="00731CA6" w:rsidP="00E24DB7">
      <w:pPr>
        <w:pStyle w:val="SingleTxtG"/>
        <w:ind w:left="2268"/>
        <w:jc w:val="center"/>
      </w:pPr>
      <m:oMathPara>
        <m:oMath>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DC,CS,n</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REESS,CS,n</m:t>
                  </m:r>
                </m:sub>
              </m:sSub>
            </m:num>
            <m:den>
              <m:sSub>
                <m:sSubPr>
                  <m:ctrlPr>
                    <w:rPr>
                      <w:rFonts w:ascii="Cambria Math" w:hAnsi="Cambria Math" w:cstheme="majorBidi"/>
                    </w:rPr>
                  </m:ctrlPr>
                </m:sSubPr>
                <m:e>
                  <m:r>
                    <m:rPr>
                      <m:sty m:val="p"/>
                    </m:rPr>
                    <w:rPr>
                      <w:rFonts w:ascii="Cambria Math" w:hAnsi="Cambria Math" w:cstheme="majorBidi"/>
                    </w:rPr>
                    <m:t>d</m:t>
                  </m:r>
                </m:e>
                <m:sub>
                  <m:r>
                    <m:rPr>
                      <m:sty m:val="p"/>
                    </m:rPr>
                    <w:rPr>
                      <w:rFonts w:ascii="Cambria Math" w:hAnsi="Cambria Math" w:cstheme="majorBidi"/>
                    </w:rPr>
                    <m:t>CS,n</m:t>
                  </m:r>
                </m:sub>
              </m:sSub>
            </m:den>
          </m:f>
          <m:r>
            <w:rPr>
              <w:rFonts w:ascii="Cambria Math" w:hAnsi="Cambria Math" w:cstheme="majorBidi"/>
            </w:rPr>
            <m:t xml:space="preserve"> </m:t>
          </m:r>
        </m:oMath>
      </m:oMathPara>
    </w:p>
    <w:p w:rsidR="00E24DB7" w:rsidRPr="002C5876" w:rsidRDefault="00E24DB7" w:rsidP="00E24DB7">
      <w:pPr>
        <w:pStyle w:val="SingleTxtG"/>
        <w:ind w:left="2268"/>
      </w:pPr>
      <w:r w:rsidRPr="002C5876">
        <w:t>où :</w:t>
      </w:r>
    </w:p>
    <w:p w:rsidR="00E24DB7" w:rsidRPr="002C5876" w:rsidRDefault="00E24DB7" w:rsidP="00E24DB7">
      <w:pPr>
        <w:pStyle w:val="SingleTxtG"/>
        <w:ind w:left="3402" w:hanging="1134"/>
      </w:pPr>
      <w:r w:rsidRPr="002C5876">
        <w:sym w:font="Symbol" w:char="F044"/>
      </w:r>
      <w:r w:rsidRPr="002C5876">
        <w:t>E</w:t>
      </w:r>
      <w:r w:rsidRPr="002C5876">
        <w:rPr>
          <w:vertAlign w:val="subscript"/>
        </w:rPr>
        <w:t>REESS,CS,n</w:t>
      </w:r>
      <w:r w:rsidRPr="002C5876">
        <w:tab/>
        <w:t>est la variation d’énergie électrique du SRSEE en mode maintien de la charge pour l’essai n conformément au paragraphe 1.1.2 du présent appendice, en Wh ;</w:t>
      </w:r>
    </w:p>
    <w:p w:rsidR="00E24DB7" w:rsidRPr="002C5876" w:rsidRDefault="00E24DB7" w:rsidP="00E24DB7">
      <w:pPr>
        <w:pStyle w:val="SingleTxtG"/>
        <w:ind w:left="3402" w:hanging="1134"/>
      </w:pPr>
      <w:r w:rsidRPr="002C5876">
        <w:t>d</w:t>
      </w:r>
      <w:r w:rsidRPr="002C5876">
        <w:rPr>
          <w:vertAlign w:val="subscript"/>
        </w:rPr>
        <w:t>CS,n</w:t>
      </w:r>
      <w:r w:rsidRPr="002C5876">
        <w:tab/>
        <w:t>est la distance parcourue au cours de l’essai n correspondant du type 1 en mode maintien de la charge, en km.</w:t>
      </w:r>
    </w:p>
    <w:p w:rsidR="00E24DB7" w:rsidRPr="002C5876" w:rsidRDefault="00E24DB7" w:rsidP="00E24DB7">
      <w:pPr>
        <w:pStyle w:val="SingleTxtG"/>
        <w:ind w:left="2268"/>
      </w:pPr>
      <w:r w:rsidRPr="002C5876">
        <w:t xml:space="preserve">Le coefficient de correction de la consommation de carburant doit être arrondi à quatre chiffres significatifs. </w:t>
      </w:r>
      <w:r w:rsidRPr="002C5876">
        <w:rPr>
          <w:color w:val="000000"/>
        </w:rPr>
        <w:t>La signification statistique de ce coefficient doit être évaluée par</w:t>
      </w:r>
      <w:r w:rsidRPr="002C5876">
        <w:t xml:space="preserve"> l’autorité compétente.</w:t>
      </w:r>
    </w:p>
    <w:p w:rsidR="00E24DB7" w:rsidRPr="002C5876" w:rsidRDefault="00E24DB7" w:rsidP="00E24DB7">
      <w:pPr>
        <w:pStyle w:val="SingleTxtG"/>
        <w:ind w:left="2268" w:hanging="1134"/>
      </w:pPr>
      <w:r w:rsidRPr="002C5876">
        <w:rPr>
          <w:lang w:eastAsia="ja-JP"/>
        </w:rPr>
        <w:t>2.</w:t>
      </w:r>
      <w:r w:rsidRPr="002C5876">
        <w:t>3.1.1</w:t>
      </w:r>
      <w:r w:rsidRPr="002C5876">
        <w:tab/>
        <w:t>Il est permis d’utiliser le coefficient de correction de la consommation de carburant obtenu à partir des essais sur tout le cycle d’essai WLTP applicable aux fins de la correction de chaque phase.</w:t>
      </w:r>
    </w:p>
    <w:p w:rsidR="00E24DB7" w:rsidRPr="002C5876" w:rsidRDefault="00E24DB7" w:rsidP="00E24DB7">
      <w:pPr>
        <w:pStyle w:val="SingleTxtG"/>
        <w:ind w:left="2268" w:hanging="1134"/>
      </w:pPr>
      <w:r w:rsidRPr="002C5876">
        <w:rPr>
          <w:lang w:eastAsia="ja-JP"/>
        </w:rPr>
        <w:t>2</w:t>
      </w:r>
      <w:r w:rsidRPr="002C5876">
        <w:t>.</w:t>
      </w:r>
      <w:r w:rsidRPr="002C5876">
        <w:rPr>
          <w:lang w:eastAsia="ja-JP"/>
        </w:rPr>
        <w:t>3.1.2</w:t>
      </w:r>
      <w:r w:rsidRPr="002C5876">
        <w:tab/>
        <w:t>En sus des dispositions du paragraphe 2.2 du présent appendice, il est possible de calculer des coefficients de correction de la consommation de carburant distincts pour les différentes phases, K</w:t>
      </w:r>
      <w:r w:rsidRPr="002C5876">
        <w:rPr>
          <w:vertAlign w:val="subscript"/>
        </w:rPr>
        <w:t>fuel,FCHV,p</w:t>
      </w:r>
      <w:r w:rsidRPr="002C5876">
        <w:t>, à la demande du constructeur et sous réserve de l’accord de l’autorité compétente. Dans ce cas, il convient de respecter pour chaque phase les mêmes critères que ceux énoncés au paragraphe 2.2 ci-dessus et d’appliquer pour chaque phase la procédure décrite au paragraphe </w:t>
      </w:r>
      <w:r w:rsidRPr="002C5876">
        <w:rPr>
          <w:lang w:eastAsia="ja-JP"/>
        </w:rPr>
        <w:t>2.3</w:t>
      </w:r>
      <w:r w:rsidRPr="002C5876">
        <w:t>.</w:t>
      </w:r>
      <w:r w:rsidRPr="002C5876">
        <w:rPr>
          <w:lang w:eastAsia="ja-JP"/>
        </w:rPr>
        <w:t>1</w:t>
      </w:r>
      <w:r w:rsidRPr="002C5876">
        <w:t xml:space="preserve"> du présent appendice de façon à déterminer le coefficient de correction spécifique pour la phase considérée.</w:t>
      </w:r>
    </w:p>
    <w:p w:rsidR="00E24DB7" w:rsidRPr="002C5876" w:rsidRDefault="00E24DB7" w:rsidP="00E24DB7">
      <w:pPr>
        <w:pStyle w:val="SingleTxtG"/>
        <w:ind w:left="2268" w:hanging="1134"/>
        <w:jc w:val="left"/>
      </w:pPr>
      <w:r w:rsidRPr="002C5876">
        <w:t>2.3.2</w:t>
      </w:r>
      <w:r w:rsidRPr="002C5876">
        <w:tab/>
        <w:t xml:space="preserve">Détermination du coefficient de correction des émissions massiques </w:t>
      </w:r>
      <w:r w:rsidRPr="002C5876">
        <w:br/>
        <w:t>de CO</w:t>
      </w:r>
      <w:r w:rsidRPr="002C5876">
        <w:rPr>
          <w:vertAlign w:val="subscript"/>
        </w:rPr>
        <w:t>2</w:t>
      </w:r>
      <w:r w:rsidRPr="002C5876">
        <w:t xml:space="preserve"> K</w:t>
      </w:r>
      <w:r w:rsidRPr="002C5876">
        <w:rPr>
          <w:vertAlign w:val="subscript"/>
        </w:rPr>
        <w:t>CO2</w:t>
      </w:r>
    </w:p>
    <w:p w:rsidR="00E24DB7" w:rsidRPr="002C5876" w:rsidRDefault="00E24DB7" w:rsidP="00E24DB7">
      <w:pPr>
        <w:pStyle w:val="SingleTxtG"/>
        <w:ind w:left="2268"/>
      </w:pPr>
      <w:r w:rsidRPr="002C5876">
        <w:t>Pour les VHE-RE et les VHE-NRE, le coefficient de correction des émissions massiques de CO</w:t>
      </w:r>
      <w:r w:rsidRPr="002C5876">
        <w:rPr>
          <w:vertAlign w:val="subscript"/>
        </w:rPr>
        <w:t>2</w:t>
      </w:r>
      <w:r w:rsidRPr="002C5876">
        <w:t xml:space="preserve">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CO2</m:t>
            </m:r>
          </m:sub>
        </m:sSub>
      </m:oMath>
      <w:r w:rsidRPr="002C5876">
        <w:t>, déterminé en exécutant un ensemble d’essais du type 1 en mode maintien de la charge, s’obtient au moyen de l’équation suivante :</w:t>
      </w:r>
    </w:p>
    <w:p w:rsidR="00E24DB7" w:rsidRPr="002C5876" w:rsidRDefault="00731CA6" w:rsidP="00E24DB7">
      <w:pPr>
        <w:pStyle w:val="SMGR"/>
        <w:ind w:left="1701"/>
        <w:rPr>
          <w:b w:val="0"/>
          <w:sz w:val="20"/>
          <w:lang w:val="fr-CH"/>
        </w:rPr>
      </w:pPr>
      <m:oMathPara>
        <m:oMathParaPr>
          <m:jc m:val="right"/>
        </m:oMathParaPr>
        <m:oMath>
          <m:sSub>
            <m:sSubPr>
              <m:ctrlPr>
                <w:rPr>
                  <w:rFonts w:ascii="Cambria Math" w:hAnsi="Cambria Math" w:cstheme="majorBidi"/>
                  <w:b w:val="0"/>
                  <w:sz w:val="20"/>
                  <w:lang w:val="fr-CH"/>
                </w:rPr>
              </m:ctrlPr>
            </m:sSubPr>
            <m:e>
              <m:r>
                <m:rPr>
                  <m:sty m:val="b"/>
                </m:rPr>
                <w:rPr>
                  <w:rFonts w:ascii="Cambria Math" w:hAnsi="Cambria Math" w:cstheme="majorBidi"/>
                  <w:sz w:val="20"/>
                  <w:lang w:val="fr-CH"/>
                </w:rPr>
                <m:t>K</m:t>
              </m:r>
            </m:e>
            <m:sub>
              <m:r>
                <m:rPr>
                  <m:sty m:val="b"/>
                </m:rPr>
                <w:rPr>
                  <w:rFonts w:ascii="Cambria Math" w:hAnsi="Cambria Math" w:cstheme="majorBidi"/>
                  <w:sz w:val="20"/>
                  <w:lang w:val="fr-CH"/>
                </w:rPr>
                <m:t>CO2</m:t>
              </m:r>
            </m:sub>
          </m:sSub>
          <m:r>
            <m:rPr>
              <m:sty m:val="b"/>
            </m:rPr>
            <w:rPr>
              <w:rFonts w:ascii="Cambria Math" w:hAnsi="Cambria Math" w:cstheme="majorBidi"/>
              <w:sz w:val="20"/>
              <w:lang w:val="fr-CH"/>
            </w:rPr>
            <m:t>=</m:t>
          </m:r>
          <m:f>
            <m:fPr>
              <m:ctrlPr>
                <w:rPr>
                  <w:rFonts w:ascii="Cambria Math" w:hAnsi="Cambria Math" w:cstheme="majorBidi"/>
                  <w:b w:val="0"/>
                  <w:sz w:val="20"/>
                  <w:lang w:val="fr-CH"/>
                </w:rPr>
              </m:ctrlPr>
            </m:fPr>
            <m:num>
              <m:nary>
                <m:naryPr>
                  <m:chr m:val="∑"/>
                  <m:limLoc m:val="undOvr"/>
                  <m:ctrlPr>
                    <w:rPr>
                      <w:rFonts w:ascii="Cambria Math" w:hAnsi="Cambria Math" w:cstheme="majorBidi"/>
                      <w:b w:val="0"/>
                      <w:sz w:val="20"/>
                      <w:lang w:val="fr-CH"/>
                    </w:rPr>
                  </m:ctrlPr>
                </m:naryPr>
                <m:sub>
                  <m:r>
                    <m:rPr>
                      <m:sty m:val="b"/>
                    </m:rPr>
                    <w:rPr>
                      <w:rFonts w:ascii="Cambria Math" w:hAnsi="Cambria Math" w:cstheme="majorBidi"/>
                      <w:sz w:val="20"/>
                      <w:lang w:val="fr-CH"/>
                    </w:rPr>
                    <m:t>n=1</m:t>
                  </m:r>
                </m:sub>
                <m:sup>
                  <m:sSub>
                    <m:sSubPr>
                      <m:ctrlPr>
                        <w:rPr>
                          <w:rFonts w:ascii="Cambria Math" w:hAnsi="Cambria Math" w:cstheme="majorBidi"/>
                          <w:b w:val="0"/>
                          <w:sz w:val="20"/>
                          <w:lang w:val="fr-CH"/>
                        </w:rPr>
                      </m:ctrlPr>
                    </m:sSubPr>
                    <m:e>
                      <m:r>
                        <m:rPr>
                          <m:sty m:val="b"/>
                        </m:rPr>
                        <w:rPr>
                          <w:rFonts w:ascii="Cambria Math" w:hAnsi="Cambria Math" w:cstheme="majorBidi"/>
                          <w:sz w:val="20"/>
                          <w:lang w:val="fr-CH"/>
                        </w:rPr>
                        <m:t>n</m:t>
                      </m:r>
                    </m:e>
                    <m:sub>
                      <m:r>
                        <m:rPr>
                          <m:sty m:val="b"/>
                        </m:rPr>
                        <w:rPr>
                          <w:rFonts w:ascii="Cambria Math" w:hAnsi="Cambria Math" w:cstheme="majorBidi"/>
                          <w:sz w:val="20"/>
                          <w:lang w:val="fr-CH"/>
                        </w:rPr>
                        <m:t>CS</m:t>
                      </m:r>
                    </m:sub>
                  </m:sSub>
                </m:sup>
                <m:e>
                  <m:d>
                    <m:dPr>
                      <m:ctrlPr>
                        <w:rPr>
                          <w:rFonts w:ascii="Cambria Math" w:hAnsi="Cambria Math" w:cstheme="majorBidi"/>
                          <w:b w:val="0"/>
                          <w:sz w:val="20"/>
                          <w:lang w:val="fr-CH"/>
                        </w:rPr>
                      </m:ctrlPr>
                    </m:dPr>
                    <m:e>
                      <m:d>
                        <m:dPr>
                          <m:ctrlPr>
                            <w:rPr>
                              <w:rFonts w:ascii="Cambria Math" w:hAnsi="Cambria Math" w:cstheme="majorBidi"/>
                              <w:b w:val="0"/>
                              <w:sz w:val="20"/>
                              <w:lang w:val="fr-CH"/>
                            </w:rPr>
                          </m:ctrlPr>
                        </m:dPr>
                        <m:e>
                          <m:sSub>
                            <m:sSubPr>
                              <m:ctrlPr>
                                <w:rPr>
                                  <w:rFonts w:ascii="Cambria Math" w:hAnsi="Cambria Math" w:cstheme="majorBidi"/>
                                  <w:b w:val="0"/>
                                  <w:sz w:val="20"/>
                                  <w:lang w:val="fr-CH"/>
                                </w:rPr>
                              </m:ctrlPr>
                            </m:sSubPr>
                            <m:e>
                              <m:r>
                                <m:rPr>
                                  <m:sty m:val="b"/>
                                </m:rPr>
                                <w:rPr>
                                  <w:rFonts w:ascii="Cambria Math" w:hAnsi="Cambria Math" w:cstheme="majorBidi"/>
                                  <w:sz w:val="20"/>
                                  <w:lang w:val="fr-CH"/>
                                </w:rPr>
                                <m:t>EC</m:t>
                              </m:r>
                            </m:e>
                            <m:sub>
                              <m:r>
                                <m:rPr>
                                  <m:sty m:val="b"/>
                                </m:rPr>
                                <w:rPr>
                                  <w:rFonts w:ascii="Cambria Math" w:hAnsi="Cambria Math" w:cstheme="majorBidi"/>
                                  <w:sz w:val="20"/>
                                  <w:lang w:val="fr-CH"/>
                                </w:rPr>
                                <m:t>DC,CS,n</m:t>
                              </m:r>
                            </m:sub>
                          </m:sSub>
                          <m:r>
                            <m:rPr>
                              <m:sty m:val="b"/>
                            </m:rPr>
                            <w:rPr>
                              <w:rFonts w:ascii="Cambria Math" w:hAnsi="Cambria Math" w:cstheme="majorBidi"/>
                              <w:sz w:val="20"/>
                              <w:lang w:val="fr-CH"/>
                            </w:rPr>
                            <m:t>-</m:t>
                          </m:r>
                          <m:sSub>
                            <m:sSubPr>
                              <m:ctrlPr>
                                <w:rPr>
                                  <w:rFonts w:ascii="Cambria Math" w:hAnsi="Cambria Math" w:cstheme="majorBidi"/>
                                  <w:b w:val="0"/>
                                  <w:sz w:val="20"/>
                                  <w:lang w:val="fr-CH"/>
                                </w:rPr>
                              </m:ctrlPr>
                            </m:sSubPr>
                            <m:e>
                              <m:r>
                                <m:rPr>
                                  <m:sty m:val="b"/>
                                </m:rPr>
                                <w:rPr>
                                  <w:rFonts w:ascii="Cambria Math" w:hAnsi="Cambria Math" w:cstheme="majorBidi"/>
                                  <w:sz w:val="20"/>
                                  <w:lang w:val="fr-CH"/>
                                </w:rPr>
                                <m:t>EC</m:t>
                              </m:r>
                            </m:e>
                            <m:sub>
                              <m:r>
                                <m:rPr>
                                  <m:sty m:val="b"/>
                                </m:rPr>
                                <w:rPr>
                                  <w:rFonts w:ascii="Cambria Math" w:hAnsi="Cambria Math" w:cstheme="majorBidi"/>
                                  <w:sz w:val="20"/>
                                  <w:lang w:val="fr-CH"/>
                                </w:rPr>
                                <m:t>DC,CS,avg</m:t>
                              </m:r>
                            </m:sub>
                          </m:sSub>
                        </m:e>
                      </m:d>
                      <m:r>
                        <m:rPr>
                          <m:sty m:val="b"/>
                        </m:rPr>
                        <w:rPr>
                          <w:rFonts w:ascii="Cambria Math" w:hAnsi="Cambria Math" w:cstheme="majorBidi"/>
                          <w:sz w:val="20"/>
                          <w:lang w:val="fr-CH"/>
                        </w:rPr>
                        <m:t>×</m:t>
                      </m:r>
                      <m:d>
                        <m:dPr>
                          <m:ctrlPr>
                            <w:rPr>
                              <w:rFonts w:ascii="Cambria Math" w:hAnsi="Cambria Math" w:cstheme="majorBidi"/>
                              <w:b w:val="0"/>
                              <w:sz w:val="20"/>
                              <w:lang w:val="fr-CH"/>
                            </w:rPr>
                          </m:ctrlPr>
                        </m:dPr>
                        <m:e>
                          <m:sSub>
                            <m:sSubPr>
                              <m:ctrlPr>
                                <w:rPr>
                                  <w:rFonts w:ascii="Cambria Math" w:hAnsi="Cambria Math" w:cstheme="majorBidi"/>
                                  <w:b w:val="0"/>
                                  <w:sz w:val="20"/>
                                  <w:lang w:val="fr-CH"/>
                                </w:rPr>
                              </m:ctrlPr>
                            </m:sSubPr>
                            <m:e>
                              <m:r>
                                <m:rPr>
                                  <m:sty m:val="b"/>
                                </m:rPr>
                                <w:rPr>
                                  <w:rFonts w:ascii="Cambria Math" w:hAnsi="Cambria Math" w:cstheme="majorBidi"/>
                                  <w:sz w:val="20"/>
                                  <w:lang w:val="fr-CH"/>
                                </w:rPr>
                                <m:t>M</m:t>
                              </m:r>
                            </m:e>
                            <m:sub>
                              <m:r>
                                <m:rPr>
                                  <m:sty m:val="b"/>
                                </m:rPr>
                                <w:rPr>
                                  <w:rFonts w:ascii="Cambria Math" w:hAnsi="Cambria Math" w:cstheme="majorBidi"/>
                                  <w:sz w:val="20"/>
                                  <w:lang w:val="fr-CH"/>
                                </w:rPr>
                                <m:t>CO2,CS,nb,n</m:t>
                              </m:r>
                            </m:sub>
                          </m:sSub>
                          <m:r>
                            <m:rPr>
                              <m:sty m:val="b"/>
                            </m:rPr>
                            <w:rPr>
                              <w:rFonts w:ascii="Cambria Math" w:hAnsi="Cambria Math" w:cstheme="majorBidi"/>
                              <w:sz w:val="20"/>
                              <w:lang w:val="fr-CH"/>
                            </w:rPr>
                            <m:t>-</m:t>
                          </m:r>
                          <m:sSub>
                            <m:sSubPr>
                              <m:ctrlPr>
                                <w:rPr>
                                  <w:rFonts w:ascii="Cambria Math" w:hAnsi="Cambria Math" w:cstheme="majorBidi"/>
                                  <w:b w:val="0"/>
                                  <w:sz w:val="20"/>
                                  <w:lang w:val="fr-CH"/>
                                </w:rPr>
                              </m:ctrlPr>
                            </m:sSubPr>
                            <m:e>
                              <m:r>
                                <m:rPr>
                                  <m:sty m:val="b"/>
                                </m:rPr>
                                <w:rPr>
                                  <w:rFonts w:ascii="Cambria Math" w:hAnsi="Cambria Math" w:cstheme="majorBidi"/>
                                  <w:sz w:val="20"/>
                                  <w:lang w:val="fr-CH"/>
                                </w:rPr>
                                <m:t>M</m:t>
                              </m:r>
                            </m:e>
                            <m:sub>
                              <m:r>
                                <m:rPr>
                                  <m:sty m:val="b"/>
                                </m:rPr>
                                <w:rPr>
                                  <w:rFonts w:ascii="Cambria Math" w:hAnsi="Cambria Math" w:cstheme="majorBidi"/>
                                  <w:sz w:val="20"/>
                                  <w:lang w:val="fr-CH"/>
                                </w:rPr>
                                <m:t>CO2,CS,nb,avg</m:t>
                              </m:r>
                            </m:sub>
                          </m:sSub>
                        </m:e>
                      </m:d>
                    </m:e>
                  </m:d>
                </m:e>
              </m:nary>
            </m:num>
            <m:den>
              <m:nary>
                <m:naryPr>
                  <m:chr m:val="∑"/>
                  <m:limLoc m:val="undOvr"/>
                  <m:ctrlPr>
                    <w:rPr>
                      <w:rFonts w:ascii="Cambria Math" w:hAnsi="Cambria Math" w:cstheme="majorBidi"/>
                      <w:b w:val="0"/>
                      <w:sz w:val="20"/>
                      <w:lang w:val="fr-CH"/>
                    </w:rPr>
                  </m:ctrlPr>
                </m:naryPr>
                <m:sub>
                  <m:r>
                    <m:rPr>
                      <m:sty m:val="b"/>
                    </m:rPr>
                    <w:rPr>
                      <w:rFonts w:ascii="Cambria Math" w:hAnsi="Cambria Math" w:cstheme="majorBidi"/>
                      <w:sz w:val="20"/>
                      <w:lang w:val="fr-CH"/>
                    </w:rPr>
                    <m:t>n=1</m:t>
                  </m:r>
                </m:sub>
                <m:sup>
                  <m:sSub>
                    <m:sSubPr>
                      <m:ctrlPr>
                        <w:rPr>
                          <w:rFonts w:ascii="Cambria Math" w:hAnsi="Cambria Math" w:cstheme="majorBidi"/>
                          <w:b w:val="0"/>
                          <w:sz w:val="20"/>
                          <w:lang w:val="fr-CH"/>
                        </w:rPr>
                      </m:ctrlPr>
                    </m:sSubPr>
                    <m:e>
                      <m:r>
                        <m:rPr>
                          <m:sty m:val="b"/>
                        </m:rPr>
                        <w:rPr>
                          <w:rFonts w:ascii="Cambria Math" w:hAnsi="Cambria Math" w:cstheme="majorBidi"/>
                          <w:sz w:val="20"/>
                          <w:lang w:val="fr-CH"/>
                        </w:rPr>
                        <m:t>n</m:t>
                      </m:r>
                    </m:e>
                    <m:sub>
                      <m:r>
                        <m:rPr>
                          <m:sty m:val="b"/>
                        </m:rPr>
                        <w:rPr>
                          <w:rFonts w:ascii="Cambria Math" w:hAnsi="Cambria Math" w:cstheme="majorBidi"/>
                          <w:sz w:val="20"/>
                          <w:lang w:val="fr-CH"/>
                        </w:rPr>
                        <m:t>CS</m:t>
                      </m:r>
                    </m:sub>
                  </m:sSub>
                </m:sup>
                <m:e>
                  <m:sSup>
                    <m:sSupPr>
                      <m:ctrlPr>
                        <w:rPr>
                          <w:rFonts w:ascii="Cambria Math" w:hAnsi="Cambria Math" w:cstheme="majorBidi"/>
                          <w:b w:val="0"/>
                          <w:sz w:val="20"/>
                          <w:lang w:val="fr-CH"/>
                        </w:rPr>
                      </m:ctrlPr>
                    </m:sSupPr>
                    <m:e>
                      <m:d>
                        <m:dPr>
                          <m:ctrlPr>
                            <w:rPr>
                              <w:rFonts w:ascii="Cambria Math" w:hAnsi="Cambria Math" w:cstheme="majorBidi"/>
                              <w:b w:val="0"/>
                              <w:sz w:val="20"/>
                              <w:lang w:val="fr-CH"/>
                            </w:rPr>
                          </m:ctrlPr>
                        </m:dPr>
                        <m:e>
                          <m:sSub>
                            <m:sSubPr>
                              <m:ctrlPr>
                                <w:rPr>
                                  <w:rFonts w:ascii="Cambria Math" w:hAnsi="Cambria Math" w:cstheme="majorBidi"/>
                                  <w:b w:val="0"/>
                                  <w:sz w:val="20"/>
                                  <w:lang w:val="fr-CH"/>
                                </w:rPr>
                              </m:ctrlPr>
                            </m:sSubPr>
                            <m:e>
                              <m:r>
                                <m:rPr>
                                  <m:sty m:val="b"/>
                                </m:rPr>
                                <w:rPr>
                                  <w:rFonts w:ascii="Cambria Math" w:hAnsi="Cambria Math" w:cstheme="majorBidi"/>
                                  <w:sz w:val="20"/>
                                  <w:lang w:val="fr-CH"/>
                                </w:rPr>
                                <m:t>EC</m:t>
                              </m:r>
                            </m:e>
                            <m:sub>
                              <m:r>
                                <m:rPr>
                                  <m:sty m:val="b"/>
                                </m:rPr>
                                <w:rPr>
                                  <w:rFonts w:ascii="Cambria Math" w:hAnsi="Cambria Math" w:cstheme="majorBidi"/>
                                  <w:sz w:val="20"/>
                                  <w:lang w:val="fr-CH"/>
                                </w:rPr>
                                <m:t>DC,CS,n</m:t>
                              </m:r>
                            </m:sub>
                          </m:sSub>
                          <m:r>
                            <m:rPr>
                              <m:sty m:val="b"/>
                            </m:rPr>
                            <w:rPr>
                              <w:rFonts w:ascii="Cambria Math" w:hAnsi="Cambria Math" w:cstheme="majorBidi"/>
                              <w:sz w:val="20"/>
                              <w:lang w:val="fr-CH"/>
                            </w:rPr>
                            <m:t>-</m:t>
                          </m:r>
                          <m:sSub>
                            <m:sSubPr>
                              <m:ctrlPr>
                                <w:rPr>
                                  <w:rFonts w:ascii="Cambria Math" w:hAnsi="Cambria Math" w:cstheme="majorBidi"/>
                                  <w:b w:val="0"/>
                                  <w:sz w:val="20"/>
                                  <w:lang w:val="fr-CH"/>
                                </w:rPr>
                              </m:ctrlPr>
                            </m:sSubPr>
                            <m:e>
                              <m:r>
                                <m:rPr>
                                  <m:sty m:val="b"/>
                                </m:rPr>
                                <w:rPr>
                                  <w:rFonts w:ascii="Cambria Math" w:hAnsi="Cambria Math" w:cstheme="majorBidi"/>
                                  <w:sz w:val="20"/>
                                  <w:lang w:val="fr-CH"/>
                                </w:rPr>
                                <m:t>EC</m:t>
                              </m:r>
                            </m:e>
                            <m:sub>
                              <m:r>
                                <m:rPr>
                                  <m:sty m:val="b"/>
                                </m:rPr>
                                <w:rPr>
                                  <w:rFonts w:ascii="Cambria Math" w:hAnsi="Cambria Math" w:cstheme="majorBidi"/>
                                  <w:sz w:val="20"/>
                                  <w:lang w:val="fr-CH"/>
                                </w:rPr>
                                <m:t>DC,CS,avg</m:t>
                              </m:r>
                            </m:sub>
                          </m:sSub>
                        </m:e>
                      </m:d>
                    </m:e>
                    <m:sup>
                      <m:r>
                        <m:rPr>
                          <m:sty m:val="b"/>
                        </m:rPr>
                        <w:rPr>
                          <w:rFonts w:ascii="Cambria Math" w:hAnsi="Cambria Math" w:cstheme="majorBidi"/>
                          <w:sz w:val="20"/>
                          <w:lang w:val="fr-CH"/>
                        </w:rPr>
                        <m:t>2</m:t>
                      </m:r>
                    </m:sup>
                  </m:sSup>
                </m:e>
              </m:nary>
            </m:den>
          </m:f>
        </m:oMath>
      </m:oMathPara>
    </w:p>
    <w:p w:rsidR="00E24DB7" w:rsidRPr="002C5876" w:rsidRDefault="00E24DB7" w:rsidP="00E24DB7">
      <w:pPr>
        <w:pStyle w:val="SingleTxtG"/>
        <w:ind w:left="2268"/>
      </w:pPr>
      <w:r w:rsidRPr="002C5876">
        <w:tab/>
        <w:t>où :</w:t>
      </w:r>
    </w:p>
    <w:p w:rsidR="00E24DB7" w:rsidRPr="002C5876" w:rsidRDefault="00E24DB7" w:rsidP="00E24DB7">
      <w:pPr>
        <w:pStyle w:val="SingleTxtG"/>
        <w:ind w:left="3402" w:hanging="1134"/>
      </w:pPr>
      <w:r w:rsidRPr="002C5876">
        <w:t>K</w:t>
      </w:r>
      <w:r w:rsidRPr="002C5876">
        <w:rPr>
          <w:vertAlign w:val="subscript"/>
        </w:rPr>
        <w:t>CO2</w:t>
      </w:r>
      <w:r w:rsidRPr="002C5876">
        <w:tab/>
        <w:t>est le coefficient de correction des émissions massiques de CO</w:t>
      </w:r>
      <w:r w:rsidRPr="002C5876">
        <w:rPr>
          <w:vertAlign w:val="subscript"/>
        </w:rPr>
        <w:t>2</w:t>
      </w:r>
      <w:r w:rsidRPr="002C5876">
        <w:t xml:space="preserve"> (g/km)/(Wh/km) ;</w:t>
      </w:r>
    </w:p>
    <w:p w:rsidR="00E24DB7" w:rsidRPr="002C5876" w:rsidRDefault="00E24DB7" w:rsidP="00E24DB7">
      <w:pPr>
        <w:pStyle w:val="SingleTxtG"/>
        <w:ind w:left="3402" w:hanging="1134"/>
      </w:pPr>
      <w:r w:rsidRPr="002C5876">
        <w:t>EC</w:t>
      </w:r>
      <w:r w:rsidRPr="002C5876">
        <w:rPr>
          <w:vertAlign w:val="subscript"/>
        </w:rPr>
        <w:t>DC,CS,n</w:t>
      </w:r>
      <w:r w:rsidRPr="002C5876">
        <w:tab/>
      </w:r>
      <w:r w:rsidRPr="002C5876">
        <w:rPr>
          <w:lang w:eastAsia="ja-JP"/>
        </w:rPr>
        <w:t xml:space="preserve">est la consommation d’énergie électrique en mode maintien de la charge pour l’essai </w:t>
      </w:r>
      <w:r w:rsidRPr="002C5876">
        <w:t>n, sur la base de l’épuisement de la charge du SRSEE conformément au paragraphe 2.3.1 du présent appendice, en Wh/km ;</w:t>
      </w:r>
    </w:p>
    <w:p w:rsidR="00E24DB7" w:rsidRPr="002C5876" w:rsidRDefault="00E24DB7" w:rsidP="00E24DB7">
      <w:pPr>
        <w:pStyle w:val="SingleTxtG"/>
        <w:ind w:left="3402" w:hanging="1134"/>
      </w:pPr>
      <w:r w:rsidRPr="002C5876">
        <w:t>EC</w:t>
      </w:r>
      <w:r w:rsidRPr="002C5876">
        <w:rPr>
          <w:vertAlign w:val="subscript"/>
        </w:rPr>
        <w:t>DC,CS,avg</w:t>
      </w:r>
      <w:r w:rsidRPr="002C5876">
        <w:tab/>
        <w:t xml:space="preserve">est la moyenne arithmétique des consommations d’énergie électrique en mode maintien de la charge pour les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CS</m:t>
            </m:r>
          </m:sub>
        </m:sSub>
      </m:oMath>
      <w:r w:rsidRPr="002C5876">
        <w:t xml:space="preserve"> essais, sur la base de l’épuisement de la charge du SRSEE conformément au paragraphe 2.3.1 du présent appendice, en Wh/km ;</w:t>
      </w:r>
    </w:p>
    <w:p w:rsidR="00E24DB7" w:rsidRPr="002C5876" w:rsidRDefault="00E24DB7" w:rsidP="00E24DB7">
      <w:pPr>
        <w:pStyle w:val="SingleTxtG"/>
        <w:ind w:left="3402" w:hanging="1134"/>
      </w:pPr>
      <w:r w:rsidRPr="002C5876">
        <w:rPr>
          <w:rFonts w:eastAsiaTheme="minorEastAsia"/>
        </w:rPr>
        <w:lastRenderedPageBreak/>
        <w:t>M</w:t>
      </w:r>
      <w:r w:rsidRPr="002C5876">
        <w:rPr>
          <w:rFonts w:eastAsiaTheme="minorEastAsia"/>
          <w:vertAlign w:val="subscript"/>
        </w:rPr>
        <w:t>CO2,CS,nb,n</w:t>
      </w:r>
      <w:r w:rsidRPr="002C5876">
        <w:rPr>
          <w:vertAlign w:val="subscript"/>
        </w:rPr>
        <w:tab/>
      </w:r>
      <w:r w:rsidRPr="002C5876">
        <w:t>représente les émissions massiques de CO</w:t>
      </w:r>
      <w:r w:rsidRPr="002C5876">
        <w:rPr>
          <w:vertAlign w:val="subscript"/>
        </w:rPr>
        <w:t>2</w:t>
      </w:r>
      <w:r w:rsidRPr="002C5876">
        <w:t xml:space="preserve"> en mode maintien de la charge pour l’essai n, non corrigées pour le bilan énergétique, calculées conformément au tableau A8/5, étape n</w:t>
      </w:r>
      <w:r w:rsidRPr="002C5876">
        <w:rPr>
          <w:vertAlign w:val="superscript"/>
        </w:rPr>
        <w:t>o</w:t>
      </w:r>
      <w:r w:rsidRPr="002C5876">
        <w:t> 2, en g/km ;</w:t>
      </w:r>
    </w:p>
    <w:p w:rsidR="00E24DB7" w:rsidRPr="002C5876" w:rsidRDefault="00E24DB7" w:rsidP="00E24DB7">
      <w:pPr>
        <w:pStyle w:val="SingleTxtG"/>
        <w:ind w:left="3402" w:hanging="1134"/>
      </w:pPr>
      <w:r w:rsidRPr="002C5876">
        <w:rPr>
          <w:rFonts w:eastAsiaTheme="minorEastAsia"/>
        </w:rPr>
        <w:t>M</w:t>
      </w:r>
      <w:r w:rsidRPr="002C5876">
        <w:rPr>
          <w:rFonts w:eastAsiaTheme="minorEastAsia"/>
          <w:vertAlign w:val="subscript"/>
        </w:rPr>
        <w:t>CO2,CS,nb,avg</w:t>
      </w:r>
      <w:r w:rsidRPr="002C5876">
        <w:rPr>
          <w:vertAlign w:val="subscript"/>
        </w:rPr>
        <w:tab/>
      </w:r>
      <w:r w:rsidRPr="002C5876">
        <w:t>est la moyenne arithmétique des émissions massiques de CO</w:t>
      </w:r>
      <w:r w:rsidRPr="002C5876">
        <w:rPr>
          <w:vertAlign w:val="subscript"/>
        </w:rPr>
        <w:t>2</w:t>
      </w:r>
      <w:r w:rsidRPr="002C5876">
        <w:t xml:space="preserve"> en mode maintien de la charge pour les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CS</m:t>
            </m:r>
          </m:sub>
        </m:sSub>
      </m:oMath>
      <w:r w:rsidRPr="002C5876">
        <w:t xml:space="preserve"> essais fondés sur les émissions massiques de CO</w:t>
      </w:r>
      <w:r w:rsidRPr="002C5876">
        <w:rPr>
          <w:vertAlign w:val="subscript"/>
        </w:rPr>
        <w:t>2</w:t>
      </w:r>
      <w:r w:rsidRPr="002C5876">
        <w:t>, non corrigées pour le bilan énergétique, conformément à l’équation ci-après, en g/km ;</w:t>
      </w:r>
    </w:p>
    <w:p w:rsidR="00E24DB7" w:rsidRPr="002C5876" w:rsidRDefault="00E24DB7" w:rsidP="00E24DB7">
      <w:pPr>
        <w:pStyle w:val="SingleTxtG"/>
        <w:ind w:left="3402" w:hanging="1134"/>
      </w:pPr>
      <w:r w:rsidRPr="002C5876">
        <w:t>n</w:t>
      </w:r>
      <w:r w:rsidRPr="002C5876">
        <w:tab/>
        <w:t>est le numéro d’ordre de l’essai considéré ;</w:t>
      </w:r>
    </w:p>
    <w:p w:rsidR="00E24DB7" w:rsidRPr="002C5876" w:rsidRDefault="00E24DB7" w:rsidP="00E24DB7">
      <w:pPr>
        <w:pStyle w:val="SingleTxtG"/>
        <w:ind w:left="3402" w:hanging="1134"/>
      </w:pPr>
      <w:r w:rsidRPr="002C5876">
        <w:t>n</w:t>
      </w:r>
      <w:r w:rsidRPr="002C5876">
        <w:rPr>
          <w:vertAlign w:val="subscript"/>
        </w:rPr>
        <w:t>CS</w:t>
      </w:r>
      <w:r w:rsidRPr="002C5876">
        <w:tab/>
        <w:t>est le nombre total d’essais ;</w:t>
      </w:r>
    </w:p>
    <w:p w:rsidR="00E24DB7" w:rsidRPr="002C5876" w:rsidRDefault="00E24DB7" w:rsidP="00E24DB7">
      <w:pPr>
        <w:pStyle w:val="SingleTxtG"/>
        <w:ind w:left="2268"/>
      </w:pPr>
      <w:r w:rsidRPr="002C5876">
        <w:t>et :</w:t>
      </w:r>
    </w:p>
    <w:p w:rsidR="00E24DB7" w:rsidRPr="002C5876" w:rsidRDefault="00731CA6" w:rsidP="00E24DB7">
      <w:pPr>
        <w:pStyle w:val="SingleTxtG"/>
        <w:spacing w:after="240"/>
        <w:ind w:left="2268"/>
        <w:jc w:val="center"/>
      </w:pPr>
      <m:oMathPara>
        <m:oMath>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CO2,CS,nb,avg</m:t>
              </m:r>
            </m:sub>
          </m:sSub>
          <m:r>
            <m:rPr>
              <m:sty m:val="p"/>
            </m:rPr>
            <w:rPr>
              <w:rFonts w:ascii="Cambria Math" w:hAnsi="Cambria Math" w:cstheme="majorBidi"/>
            </w:rPr>
            <m:t>=</m:t>
          </m:r>
          <m:f>
            <m:fPr>
              <m:ctrlPr>
                <w:rPr>
                  <w:rFonts w:ascii="Cambria Math" w:hAnsi="Cambria Math" w:cstheme="majorBidi"/>
                </w:rPr>
              </m:ctrlPr>
            </m:fPr>
            <m:num>
              <m:r>
                <m:rPr>
                  <m:sty m:val="p"/>
                </m:rPr>
                <w:rPr>
                  <w:rFonts w:ascii="Cambria Math" w:hAnsi="Cambria Math" w:cstheme="majorBidi"/>
                </w:rPr>
                <m:t>1</m:t>
              </m:r>
            </m:num>
            <m:den>
              <m:sSub>
                <m:sSubPr>
                  <m:ctrlPr>
                    <w:rPr>
                      <w:rFonts w:ascii="Cambria Math" w:hAnsi="Cambria Math" w:cstheme="majorBidi"/>
                    </w:rPr>
                  </m:ctrlPr>
                </m:sSubPr>
                <m:e>
                  <m:r>
                    <m:rPr>
                      <m:sty m:val="p"/>
                    </m:rPr>
                    <w:rPr>
                      <w:rFonts w:ascii="Cambria Math" w:hAnsi="Cambria Math" w:cstheme="majorBidi"/>
                    </w:rPr>
                    <m:t>n</m:t>
                  </m:r>
                </m:e>
                <m:sub>
                  <m:r>
                    <m:rPr>
                      <m:sty m:val="p"/>
                    </m:rPr>
                    <w:rPr>
                      <w:rFonts w:ascii="Cambria Math" w:hAnsi="Cambria Math" w:cstheme="majorBidi"/>
                    </w:rPr>
                    <m:t>CS</m:t>
                  </m:r>
                </m:sub>
              </m:sSub>
            </m:den>
          </m:f>
          <m:r>
            <w:rPr>
              <w:rFonts w:ascii="Cambria Math" w:hAnsi="Cambria Math" w:cstheme="majorBidi"/>
            </w:rPr>
            <m:t>×</m:t>
          </m:r>
          <m:nary>
            <m:naryPr>
              <m:chr m:val="∑"/>
              <m:limLoc m:val="subSup"/>
              <m:ctrlPr>
                <w:rPr>
                  <w:rFonts w:ascii="Cambria Math" w:hAnsi="Cambria Math" w:cstheme="majorBidi"/>
                  <w:i/>
                </w:rPr>
              </m:ctrlPr>
            </m:naryPr>
            <m:sub>
              <m:r>
                <m:rPr>
                  <m:sty m:val="p"/>
                </m:rPr>
                <w:rPr>
                  <w:rFonts w:ascii="Cambria Math" w:hAnsi="Cambria Math" w:cstheme="majorBidi"/>
                </w:rPr>
                <m:t>n=1</m:t>
              </m:r>
            </m:sub>
            <m:sup>
              <m:sSub>
                <m:sSubPr>
                  <m:ctrlPr>
                    <w:rPr>
                      <w:rFonts w:ascii="Cambria Math" w:hAnsi="Cambria Math" w:cstheme="majorBidi"/>
                    </w:rPr>
                  </m:ctrlPr>
                </m:sSubPr>
                <m:e>
                  <m:r>
                    <m:rPr>
                      <m:sty m:val="p"/>
                    </m:rPr>
                    <w:rPr>
                      <w:rFonts w:ascii="Cambria Math" w:hAnsi="Cambria Math" w:cstheme="majorBidi"/>
                    </w:rPr>
                    <m:t>n</m:t>
                  </m:r>
                </m:e>
                <m:sub>
                  <m:r>
                    <m:rPr>
                      <m:sty m:val="p"/>
                    </m:rPr>
                    <w:rPr>
                      <w:rFonts w:ascii="Cambria Math" w:hAnsi="Cambria Math" w:cstheme="majorBidi"/>
                    </w:rPr>
                    <m:t>CS</m:t>
                  </m:r>
                </m:sub>
              </m:sSub>
            </m:sup>
            <m:e>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CO2,CS,nb,n</m:t>
                  </m:r>
                </m:sub>
              </m:sSub>
            </m:e>
          </m:nary>
        </m:oMath>
      </m:oMathPara>
    </w:p>
    <w:p w:rsidR="00E24DB7" w:rsidRPr="002C5876" w:rsidRDefault="00E24DB7" w:rsidP="00E24DB7">
      <w:pPr>
        <w:pStyle w:val="SingleTxtG"/>
        <w:ind w:left="2268"/>
      </w:pPr>
      <w:r w:rsidRPr="002C5876">
        <w:t>Le coefficient de correction des émissions massiques de CO</w:t>
      </w:r>
      <w:r w:rsidRPr="002C5876">
        <w:rPr>
          <w:vertAlign w:val="subscript"/>
        </w:rPr>
        <w:t>2</w:t>
      </w:r>
      <w:r w:rsidRPr="002C5876">
        <w:t xml:space="preserve"> doit être arrondi à quatre chiffres significatifs. </w:t>
      </w:r>
      <w:r w:rsidRPr="002C5876">
        <w:rPr>
          <w:color w:val="000000"/>
        </w:rPr>
        <w:t>La signification statistique de ce coefficient doit être évaluée par</w:t>
      </w:r>
      <w:r w:rsidRPr="002C5876">
        <w:t xml:space="preserve"> l’autorité compétente.</w:t>
      </w:r>
    </w:p>
    <w:p w:rsidR="00E24DB7" w:rsidRPr="002C5876" w:rsidRDefault="00E24DB7" w:rsidP="00E24DB7">
      <w:pPr>
        <w:pStyle w:val="SingleTxtG"/>
        <w:ind w:left="2268" w:hanging="1134"/>
      </w:pPr>
      <w:r w:rsidRPr="002C5876">
        <w:t>2.3.2.1</w:t>
      </w:r>
      <w:r w:rsidRPr="002C5876">
        <w:tab/>
        <w:t>Il est permis d’utiliser le coefficient de correction des émissions massiques de CO</w:t>
      </w:r>
      <w:r w:rsidRPr="002C5876">
        <w:rPr>
          <w:vertAlign w:val="subscript"/>
        </w:rPr>
        <w:t>2</w:t>
      </w:r>
      <w:r w:rsidRPr="002C5876">
        <w:t xml:space="preserve"> obtenu à partir des essais sur tout le cycle d’essai WLTP applicable aux fins de la correction de chaque phase.</w:t>
      </w:r>
    </w:p>
    <w:p w:rsidR="00E24DB7" w:rsidRPr="002C5876" w:rsidRDefault="00E24DB7" w:rsidP="00E24DB7">
      <w:pPr>
        <w:pStyle w:val="SingleTxtG"/>
        <w:ind w:left="2268" w:hanging="1134"/>
      </w:pPr>
      <w:r w:rsidRPr="002C5876">
        <w:t>2.3.2.2</w:t>
      </w:r>
      <w:r w:rsidRPr="002C5876">
        <w:tab/>
        <w:t>En sus des dispositions du paragraphe 2.2 du présent appendice, il est possible de calculer des coefficients de correction des émissions massiques de CO</w:t>
      </w:r>
      <w:r w:rsidRPr="002C5876">
        <w:rPr>
          <w:vertAlign w:val="subscript"/>
        </w:rPr>
        <w:t>2</w:t>
      </w:r>
      <w:r w:rsidRPr="002C5876">
        <w:t xml:space="preserve"> distincts pour les différentes phases, K</w:t>
      </w:r>
      <w:r w:rsidRPr="002C5876">
        <w:rPr>
          <w:vertAlign w:val="subscript"/>
        </w:rPr>
        <w:t>CO2,p</w:t>
      </w:r>
      <w:r w:rsidRPr="002C5876">
        <w:t>, à la demande du constructeur et avec l’accord de l’autorité compétente. Dans ce cas, il convient de respecter pour chaque phase les mêmes critères que ceux énoncés au paragraphe 2.2 ci-dessus et d’appliquer pour chaque phase la procédure décrite au paragraphe </w:t>
      </w:r>
      <w:r w:rsidRPr="002C5876">
        <w:rPr>
          <w:lang w:eastAsia="ja-JP"/>
        </w:rPr>
        <w:t>2.3</w:t>
      </w:r>
      <w:r w:rsidRPr="002C5876">
        <w:t>.</w:t>
      </w:r>
      <w:r w:rsidRPr="002C5876">
        <w:rPr>
          <w:lang w:eastAsia="ja-JP"/>
        </w:rPr>
        <w:t>2</w:t>
      </w:r>
      <w:r w:rsidRPr="002C5876">
        <w:t xml:space="preserve"> du présent appendice de façon à déterminer le coefficient de correction spécifique pour la phase considérée.</w:t>
      </w:r>
    </w:p>
    <w:p w:rsidR="00E24DB7" w:rsidRPr="002C5876" w:rsidRDefault="00E24DB7" w:rsidP="00E24DB7">
      <w:pPr>
        <w:pStyle w:val="SingleTxtG"/>
        <w:keepNext/>
        <w:keepLines/>
        <w:ind w:left="2268" w:hanging="1134"/>
        <w:jc w:val="left"/>
      </w:pPr>
      <w:r w:rsidRPr="002C5876">
        <w:t>3.</w:t>
      </w:r>
      <w:r w:rsidRPr="002C5876">
        <w:tab/>
        <w:t>Procédure d’essai pour la détermination des coefficients de correction</w:t>
      </w:r>
    </w:p>
    <w:p w:rsidR="00E24DB7" w:rsidRPr="002C5876" w:rsidRDefault="00E24DB7" w:rsidP="00E24DB7">
      <w:pPr>
        <w:pStyle w:val="SingleTxtG"/>
        <w:keepNext/>
        <w:keepLines/>
        <w:ind w:left="2268" w:hanging="1134"/>
        <w:jc w:val="left"/>
      </w:pPr>
      <w:r w:rsidRPr="002C5876">
        <w:t>3.1</w:t>
      </w:r>
      <w:r w:rsidRPr="002C5876">
        <w:tab/>
        <w:t>VHE-RE</w:t>
      </w:r>
    </w:p>
    <w:p w:rsidR="00E24DB7" w:rsidRPr="002C5876" w:rsidRDefault="00E24DB7" w:rsidP="00E24DB7">
      <w:pPr>
        <w:pStyle w:val="SingleTxtG"/>
        <w:ind w:left="2268"/>
      </w:pPr>
      <w:r w:rsidRPr="002C5876">
        <w:t>En ce qui concerne les VHE-RE, l’une des séquences d’essais ci-après (voir la figure A8.App2/1) doit être appliquée pour obtenir toutes les valeurs requises en vue de déterminer les coefficients de correction conformément au paragraphe 2 du présent appendice.</w:t>
      </w:r>
    </w:p>
    <w:p w:rsidR="00E24DB7" w:rsidRPr="002C5876" w:rsidRDefault="00E24DB7" w:rsidP="00E24DB7">
      <w:pPr>
        <w:pStyle w:val="H23G"/>
        <w:ind w:left="0" w:firstLine="0"/>
      </w:pPr>
      <w:r w:rsidRPr="002C5876">
        <w:rPr>
          <w:b w:val="0"/>
        </w:rPr>
        <w:lastRenderedPageBreak/>
        <w:t>Figure A8.App2/1</w:t>
      </w:r>
      <w:r w:rsidRPr="002C5876">
        <w:br/>
        <w:t>Séquences d’essais pour les VHE-RE</w:t>
      </w:r>
    </w:p>
    <w:p w:rsidR="00E24DB7" w:rsidRPr="002C5876" w:rsidRDefault="00E24DB7" w:rsidP="00E24DB7">
      <w:r w:rsidRPr="002C5876">
        <w:rPr>
          <w:noProof/>
          <w:lang w:val="en-GB" w:eastAsia="zh-CN"/>
        </w:rPr>
        <mc:AlternateContent>
          <mc:Choice Requires="wps">
            <w:drawing>
              <wp:anchor distT="0" distB="0" distL="114300" distR="114300" simplePos="0" relativeHeight="251589632" behindDoc="0" locked="0" layoutInCell="1" allowOverlap="1" wp14:anchorId="449211D8" wp14:editId="32C36E60">
                <wp:simplePos x="0" y="0"/>
                <wp:positionH relativeFrom="column">
                  <wp:posOffset>3520440</wp:posOffset>
                </wp:positionH>
                <wp:positionV relativeFrom="paragraph">
                  <wp:posOffset>3524250</wp:posOffset>
                </wp:positionV>
                <wp:extent cx="1659255" cy="200660"/>
                <wp:effectExtent l="0" t="0" r="0" b="8890"/>
                <wp:wrapNone/>
                <wp:docPr id="139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D53F39" w:rsidRPr="008500F2" w:rsidRDefault="00D53F39" w:rsidP="00E24DB7">
                            <w:pPr>
                              <w:jc w:val="center"/>
                              <w:rPr>
                                <w:sz w:val="16"/>
                                <w:szCs w:val="16"/>
                              </w:rPr>
                            </w:pPr>
                            <w:r>
                              <w:rPr>
                                <w:sz w:val="16"/>
                                <w:szCs w:val="16"/>
                              </w:rPr>
                              <w:t>Cycle d’essai WLTP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211D8" id="_x0000_s1613" type="#_x0000_t202" style="position:absolute;margin-left:277.2pt;margin-top:277.5pt;width:130.65pt;height:15.8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" filled="f" stroked="f">
                <v:textbox inset="0,0,0,0">
                  <w:txbxContent>
                    <w:p w:rsidR="00D53F39" w:rsidRPr="008500F2" w:rsidRDefault="00D53F39" w:rsidP="00E24DB7">
                      <w:pPr>
                        <w:jc w:val="center"/>
                        <w:rPr>
                          <w:sz w:val="16"/>
                          <w:szCs w:val="16"/>
                        </w:rPr>
                      </w:pPr>
                      <w:r>
                        <w:rPr>
                          <w:sz w:val="16"/>
                          <w:szCs w:val="16"/>
                        </w:rPr>
                        <w:t>Cycle d’essai WLTP applicable</w:t>
                      </w:r>
                    </w:p>
                  </w:txbxContent>
                </v:textbox>
              </v:shape>
            </w:pict>
          </mc:Fallback>
        </mc:AlternateContent>
      </w:r>
      <w:r w:rsidRPr="002C5876">
        <w:rPr>
          <w:noProof/>
          <w:lang w:val="en-GB" w:eastAsia="zh-CN"/>
        </w:rPr>
        <mc:AlternateContent>
          <mc:Choice Requires="wps">
            <w:drawing>
              <wp:anchor distT="0" distB="0" distL="114300" distR="114300" simplePos="0" relativeHeight="251584512" behindDoc="0" locked="0" layoutInCell="1" allowOverlap="1" wp14:anchorId="0E6E29BA" wp14:editId="334377AC">
                <wp:simplePos x="0" y="0"/>
                <wp:positionH relativeFrom="column">
                  <wp:posOffset>3460750</wp:posOffset>
                </wp:positionH>
                <wp:positionV relativeFrom="paragraph">
                  <wp:posOffset>2788285</wp:posOffset>
                </wp:positionV>
                <wp:extent cx="1717675" cy="295910"/>
                <wp:effectExtent l="0" t="0" r="0" b="8890"/>
                <wp:wrapNone/>
                <wp:docPr id="139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295910"/>
                        </a:xfrm>
                        <a:prstGeom prst="rect">
                          <a:avLst/>
                        </a:prstGeom>
                        <a:noFill/>
                        <a:ln w="9525">
                          <a:noFill/>
                          <a:miter lim="800000"/>
                          <a:headEnd/>
                          <a:tailEnd/>
                        </a:ln>
                      </wps:spPr>
                      <wps:txbx>
                        <w:txbxContent>
                          <w:p w:rsidR="00D53F39" w:rsidRPr="00E911A4" w:rsidRDefault="00D53F39" w:rsidP="00E24DB7">
                            <w:pPr>
                              <w:spacing w:line="200" w:lineRule="atLeast"/>
                              <w:jc w:val="center"/>
                              <w:rPr>
                                <w:sz w:val="16"/>
                                <w:szCs w:val="16"/>
                              </w:rPr>
                            </w:pPr>
                            <w:r w:rsidRPr="00E911A4">
                              <w:rPr>
                                <w:sz w:val="16"/>
                                <w:szCs w:val="16"/>
                              </w:rPr>
                              <w:t>Ajustement du SRSEE durant une pause semblable de 60 min au maximum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E29BA" id="_x0000_s1614" type="#_x0000_t202" style="position:absolute;margin-left:272.5pt;margin-top:219.55pt;width:135.25pt;height:23.3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" filled="f" stroked="f">
                <v:textbox inset="0,0,0,0">
                  <w:txbxContent>
                    <w:p w:rsidR="00D53F39" w:rsidRPr="00E911A4" w:rsidRDefault="00D53F39" w:rsidP="00E24DB7">
                      <w:pPr>
                        <w:spacing w:line="200" w:lineRule="atLeast"/>
                        <w:jc w:val="center"/>
                        <w:rPr>
                          <w:sz w:val="16"/>
                          <w:szCs w:val="16"/>
                        </w:rPr>
                      </w:pPr>
                      <w:r w:rsidRPr="00E911A4">
                        <w:rPr>
                          <w:sz w:val="16"/>
                          <w:szCs w:val="16"/>
                        </w:rPr>
                        <w:t>Ajustement du SRSEE durant une pause semblable de 60 min au maximum</w:t>
                      </w:r>
                    </w:p>
                  </w:txbxContent>
                </v:textbox>
              </v:shape>
            </w:pict>
          </mc:Fallback>
        </mc:AlternateContent>
      </w:r>
      <w:r w:rsidRPr="002C5876">
        <w:rPr>
          <w:noProof/>
          <w:lang w:val="en-GB" w:eastAsia="zh-CN"/>
        </w:rPr>
        <mc:AlternateContent>
          <mc:Choice Requires="wps">
            <w:drawing>
              <wp:anchor distT="0" distB="0" distL="114300" distR="114300" simplePos="0" relativeHeight="251579392" behindDoc="0" locked="0" layoutInCell="1" allowOverlap="1" wp14:anchorId="3E52D6AE" wp14:editId="0B0298D9">
                <wp:simplePos x="0" y="0"/>
                <wp:positionH relativeFrom="column">
                  <wp:posOffset>3460750</wp:posOffset>
                </wp:positionH>
                <wp:positionV relativeFrom="paragraph">
                  <wp:posOffset>2038350</wp:posOffset>
                </wp:positionV>
                <wp:extent cx="1717675" cy="427990"/>
                <wp:effectExtent l="0" t="0" r="0" b="10160"/>
                <wp:wrapNone/>
                <wp:docPr id="139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427990"/>
                        </a:xfrm>
                        <a:prstGeom prst="rect">
                          <a:avLst/>
                        </a:prstGeom>
                        <a:noFill/>
                        <a:ln w="9525">
                          <a:noFill/>
                          <a:miter lim="800000"/>
                          <a:headEnd/>
                          <a:tailEnd/>
                        </a:ln>
                      </wps:spPr>
                      <wps:txbx>
                        <w:txbxContent>
                          <w:p w:rsidR="00D53F39" w:rsidRPr="00E911A4" w:rsidRDefault="00D53F39" w:rsidP="00E24DB7">
                            <w:pPr>
                              <w:spacing w:line="200" w:lineRule="atLeast"/>
                              <w:jc w:val="center"/>
                              <w:rPr>
                                <w:sz w:val="16"/>
                                <w:szCs w:val="16"/>
                              </w:rPr>
                            </w:pPr>
                            <w:r w:rsidRPr="00E911A4">
                              <w:rPr>
                                <w:sz w:val="16"/>
                                <w:szCs w:val="16"/>
                              </w:rPr>
                              <w:t>Facultatif :</w:t>
                            </w:r>
                            <w:r w:rsidRPr="00E911A4">
                              <w:rPr>
                                <w:sz w:val="16"/>
                                <w:szCs w:val="16"/>
                              </w:rPr>
                              <w:br/>
                              <w:t xml:space="preserve">procédure supplémentaire </w:t>
                            </w:r>
                            <w:r w:rsidRPr="00E911A4">
                              <w:rPr>
                                <w:sz w:val="16"/>
                                <w:szCs w:val="16"/>
                              </w:rPr>
                              <w:br/>
                              <w:t>de mise en température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2D6AE" id="_x0000_s1615" type="#_x0000_t202" style="position:absolute;margin-left:272.5pt;margin-top:160.5pt;width:135.25pt;height:33.7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" filled="f" stroked="f">
                <v:textbox inset="0,0,0,0">
                  <w:txbxContent>
                    <w:p w:rsidR="00D53F39" w:rsidRPr="00E911A4" w:rsidRDefault="00D53F39" w:rsidP="00E24DB7">
                      <w:pPr>
                        <w:spacing w:line="200" w:lineRule="atLeast"/>
                        <w:jc w:val="center"/>
                        <w:rPr>
                          <w:sz w:val="16"/>
                          <w:szCs w:val="16"/>
                        </w:rPr>
                      </w:pPr>
                      <w:r w:rsidRPr="00E911A4">
                        <w:rPr>
                          <w:sz w:val="16"/>
                          <w:szCs w:val="16"/>
                        </w:rPr>
                        <w:t>Facultatif :</w:t>
                      </w:r>
                      <w:r w:rsidRPr="00E911A4">
                        <w:rPr>
                          <w:sz w:val="16"/>
                          <w:szCs w:val="16"/>
                        </w:rPr>
                        <w:br/>
                        <w:t xml:space="preserve">procédure supplémentaire </w:t>
                      </w:r>
                      <w:r w:rsidRPr="00E911A4">
                        <w:rPr>
                          <w:sz w:val="16"/>
                          <w:szCs w:val="16"/>
                        </w:rPr>
                        <w:br/>
                        <w:t>de mise en température</w:t>
                      </w:r>
                    </w:p>
                  </w:txbxContent>
                </v:textbox>
              </v:shape>
            </w:pict>
          </mc:Fallback>
        </mc:AlternateContent>
      </w:r>
      <w:r w:rsidRPr="002C5876">
        <w:rPr>
          <w:noProof/>
          <w:lang w:val="en-GB" w:eastAsia="zh-CN"/>
        </w:rPr>
        <mc:AlternateContent>
          <mc:Choice Requires="wps">
            <w:drawing>
              <wp:anchor distT="0" distB="0" distL="114300" distR="114300" simplePos="0" relativeHeight="251548672" behindDoc="0" locked="0" layoutInCell="1" allowOverlap="1" wp14:anchorId="7DAE62D1" wp14:editId="2611EFA7">
                <wp:simplePos x="0" y="0"/>
                <wp:positionH relativeFrom="column">
                  <wp:posOffset>701040</wp:posOffset>
                </wp:positionH>
                <wp:positionV relativeFrom="paragraph">
                  <wp:posOffset>404495</wp:posOffset>
                </wp:positionV>
                <wp:extent cx="1897380" cy="343535"/>
                <wp:effectExtent l="0" t="0" r="7620" b="0"/>
                <wp:wrapNone/>
                <wp:docPr id="139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343535"/>
                        </a:xfrm>
                        <a:prstGeom prst="rect">
                          <a:avLst/>
                        </a:prstGeom>
                        <a:noFill/>
                        <a:ln w="9525">
                          <a:noFill/>
                          <a:miter lim="800000"/>
                          <a:headEnd/>
                          <a:tailEnd/>
                        </a:ln>
                      </wps:spPr>
                      <wps:txbx>
                        <w:txbxContent>
                          <w:p w:rsidR="00D53F39" w:rsidRPr="00E911A4" w:rsidRDefault="00D53F39" w:rsidP="00E24DB7">
                            <w:pPr>
                              <w:jc w:val="center"/>
                              <w:rPr>
                                <w:sz w:val="16"/>
                                <w:szCs w:val="16"/>
                              </w:rPr>
                            </w:pPr>
                            <w:r w:rsidRPr="00E911A4">
                              <w:rPr>
                                <w:sz w:val="16"/>
                                <w:szCs w:val="16"/>
                              </w:rPr>
                              <w:t>Séquence d’essais correspondant à l’option 1 (par. 3.1.1 du présent appendice)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E62D1" id="_x0000_s1616" type="#_x0000_t202" style="position:absolute;margin-left:55.2pt;margin-top:31.85pt;width:149.4pt;height:27.0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" filled="f" stroked="f">
                <v:textbox inset="0,0,0,0">
                  <w:txbxContent>
                    <w:p w:rsidR="00D53F39" w:rsidRPr="00E911A4" w:rsidRDefault="00D53F39" w:rsidP="00E24DB7">
                      <w:pPr>
                        <w:jc w:val="center"/>
                        <w:rPr>
                          <w:sz w:val="16"/>
                          <w:szCs w:val="16"/>
                        </w:rPr>
                      </w:pPr>
                      <w:r w:rsidRPr="00E911A4">
                        <w:rPr>
                          <w:sz w:val="16"/>
                          <w:szCs w:val="16"/>
                        </w:rPr>
                        <w:t>Séquence d’essais correspondant à l’option 1 (par. 3.1.1 du présent appendice)</w:t>
                      </w:r>
                    </w:p>
                  </w:txbxContent>
                </v:textbox>
              </v:shape>
            </w:pict>
          </mc:Fallback>
        </mc:AlternateContent>
      </w:r>
      <w:r w:rsidRPr="002C5876">
        <w:rPr>
          <w:noProof/>
          <w:lang w:val="en-GB" w:eastAsia="zh-CN"/>
        </w:rPr>
        <mc:AlternateContent>
          <mc:Choice Requires="wps">
            <w:drawing>
              <wp:anchor distT="0" distB="0" distL="114300" distR="114300" simplePos="0" relativeHeight="251553792" behindDoc="0" locked="0" layoutInCell="1" allowOverlap="1" wp14:anchorId="192399BC" wp14:editId="05CD8064">
                <wp:simplePos x="0" y="0"/>
                <wp:positionH relativeFrom="column">
                  <wp:posOffset>3404870</wp:posOffset>
                </wp:positionH>
                <wp:positionV relativeFrom="paragraph">
                  <wp:posOffset>408305</wp:posOffset>
                </wp:positionV>
                <wp:extent cx="1897380" cy="343535"/>
                <wp:effectExtent l="0" t="0" r="7620" b="0"/>
                <wp:wrapNone/>
                <wp:docPr id="139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343535"/>
                        </a:xfrm>
                        <a:prstGeom prst="rect">
                          <a:avLst/>
                        </a:prstGeom>
                        <a:noFill/>
                        <a:ln w="9525">
                          <a:noFill/>
                          <a:miter lim="800000"/>
                          <a:headEnd/>
                          <a:tailEnd/>
                        </a:ln>
                      </wps:spPr>
                      <wps:txbx>
                        <w:txbxContent>
                          <w:p w:rsidR="00D53F39" w:rsidRPr="00E911A4" w:rsidRDefault="00D53F39" w:rsidP="00E24DB7">
                            <w:pPr>
                              <w:jc w:val="center"/>
                              <w:rPr>
                                <w:sz w:val="16"/>
                                <w:szCs w:val="16"/>
                              </w:rPr>
                            </w:pPr>
                            <w:r w:rsidRPr="00E911A4">
                              <w:rPr>
                                <w:sz w:val="16"/>
                                <w:szCs w:val="16"/>
                              </w:rPr>
                              <w:t>Séquence d’essais correspondant à l’option 2 (par. 3.1.2 du présent appendice)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399BC" id="_x0000_s1617" type="#_x0000_t202" style="position:absolute;margin-left:268.1pt;margin-top:32.15pt;width:149.4pt;height:27.0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" filled="f" stroked="f">
                <v:textbox inset="0,0,0,0">
                  <w:txbxContent>
                    <w:p w:rsidR="00D53F39" w:rsidRPr="00E911A4" w:rsidRDefault="00D53F39" w:rsidP="00E24DB7">
                      <w:pPr>
                        <w:jc w:val="center"/>
                        <w:rPr>
                          <w:sz w:val="16"/>
                          <w:szCs w:val="16"/>
                        </w:rPr>
                      </w:pPr>
                      <w:r w:rsidRPr="00E911A4">
                        <w:rPr>
                          <w:sz w:val="16"/>
                          <w:szCs w:val="16"/>
                        </w:rPr>
                        <w:t>Séquence d’essais correspondant à l’option 2 (par. 3.1.2 du présent appendice)</w:t>
                      </w:r>
                    </w:p>
                  </w:txbxContent>
                </v:textbox>
              </v:shape>
            </w:pict>
          </mc:Fallback>
        </mc:AlternateContent>
      </w:r>
      <w:r w:rsidRPr="002C5876">
        <w:rPr>
          <w:noProof/>
          <w:lang w:val="en-GB" w:eastAsia="zh-CN"/>
        </w:rPr>
        <mc:AlternateContent>
          <mc:Choice Requires="wps">
            <w:drawing>
              <wp:anchor distT="0" distB="0" distL="114300" distR="114300" simplePos="0" relativeHeight="251574272" behindDoc="0" locked="0" layoutInCell="1" allowOverlap="1" wp14:anchorId="37C32D8F" wp14:editId="55B78763">
                <wp:simplePos x="0" y="0"/>
                <wp:positionH relativeFrom="column">
                  <wp:posOffset>3493135</wp:posOffset>
                </wp:positionH>
                <wp:positionV relativeFrom="paragraph">
                  <wp:posOffset>1267460</wp:posOffset>
                </wp:positionV>
                <wp:extent cx="1659255" cy="200660"/>
                <wp:effectExtent l="0" t="0" r="0" b="8890"/>
                <wp:wrapNone/>
                <wp:docPr id="139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D53F39" w:rsidRPr="008500F2" w:rsidRDefault="00D53F39" w:rsidP="00E24DB7">
                            <w:pPr>
                              <w:jc w:val="center"/>
                              <w:rPr>
                                <w:sz w:val="16"/>
                                <w:szCs w:val="16"/>
                              </w:rPr>
                            </w:pPr>
                            <w:r>
                              <w:rPr>
                                <w:sz w:val="16"/>
                                <w:szCs w:val="16"/>
                              </w:rPr>
                              <w:t>Préconditionnement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32D8F" id="_x0000_s1618" type="#_x0000_t202" style="position:absolute;margin-left:275.05pt;margin-top:99.8pt;width:130.65pt;height:15.8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" filled="f" stroked="f">
                <v:textbox inset="0,0,0,0">
                  <w:txbxContent>
                    <w:p w:rsidR="00D53F39" w:rsidRPr="008500F2" w:rsidRDefault="00D53F39" w:rsidP="00E24DB7">
                      <w:pPr>
                        <w:jc w:val="center"/>
                        <w:rPr>
                          <w:sz w:val="16"/>
                          <w:szCs w:val="16"/>
                        </w:rPr>
                      </w:pPr>
                      <w:r>
                        <w:rPr>
                          <w:sz w:val="16"/>
                          <w:szCs w:val="16"/>
                        </w:rPr>
                        <w:t>Préconditionnement</w:t>
                      </w:r>
                    </w:p>
                  </w:txbxContent>
                </v:textbox>
              </v:shape>
            </w:pict>
          </mc:Fallback>
        </mc:AlternateContent>
      </w:r>
      <w:r w:rsidRPr="002C5876">
        <w:rPr>
          <w:noProof/>
          <w:lang w:val="en-GB" w:eastAsia="zh-CN"/>
        </w:rPr>
        <mc:AlternateContent>
          <mc:Choice Requires="wps">
            <w:drawing>
              <wp:anchor distT="0" distB="0" distL="114300" distR="114300" simplePos="0" relativeHeight="251569152" behindDoc="0" locked="0" layoutInCell="1" allowOverlap="1" wp14:anchorId="7CD1C2E5" wp14:editId="162EB48B">
                <wp:simplePos x="0" y="0"/>
                <wp:positionH relativeFrom="column">
                  <wp:posOffset>820420</wp:posOffset>
                </wp:positionH>
                <wp:positionV relativeFrom="paragraph">
                  <wp:posOffset>3525520</wp:posOffset>
                </wp:positionV>
                <wp:extent cx="1659255" cy="200660"/>
                <wp:effectExtent l="0" t="0" r="0" b="8890"/>
                <wp:wrapNone/>
                <wp:docPr id="139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D53F39" w:rsidRPr="008500F2" w:rsidRDefault="00D53F39" w:rsidP="00E24DB7">
                            <w:pPr>
                              <w:jc w:val="center"/>
                              <w:rPr>
                                <w:sz w:val="16"/>
                                <w:szCs w:val="16"/>
                              </w:rPr>
                            </w:pPr>
                            <w:r>
                              <w:rPr>
                                <w:sz w:val="16"/>
                                <w:szCs w:val="16"/>
                              </w:rPr>
                              <w:t>Cycle d’essai WLTP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1C2E5" id="_x0000_s1619" type="#_x0000_t202" style="position:absolute;margin-left:64.6pt;margin-top:277.6pt;width:130.65pt;height:15.8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" filled="f" stroked="f">
                <v:textbox inset="0,0,0,0">
                  <w:txbxContent>
                    <w:p w:rsidR="00D53F39" w:rsidRPr="008500F2" w:rsidRDefault="00D53F39" w:rsidP="00E24DB7">
                      <w:pPr>
                        <w:jc w:val="center"/>
                        <w:rPr>
                          <w:sz w:val="16"/>
                          <w:szCs w:val="16"/>
                        </w:rPr>
                      </w:pPr>
                      <w:r>
                        <w:rPr>
                          <w:sz w:val="16"/>
                          <w:szCs w:val="16"/>
                        </w:rPr>
                        <w:t>Cycle d’essai WLTP applicable</w:t>
                      </w:r>
                    </w:p>
                  </w:txbxContent>
                </v:textbox>
              </v:shape>
            </w:pict>
          </mc:Fallback>
        </mc:AlternateContent>
      </w:r>
      <w:r w:rsidRPr="002C5876">
        <w:rPr>
          <w:noProof/>
          <w:lang w:val="en-GB" w:eastAsia="zh-CN"/>
        </w:rPr>
        <mc:AlternateContent>
          <mc:Choice Requires="wps">
            <w:drawing>
              <wp:anchor distT="0" distB="0" distL="114300" distR="114300" simplePos="0" relativeHeight="251564032" behindDoc="0" locked="0" layoutInCell="1" allowOverlap="1" wp14:anchorId="18D0FAF6" wp14:editId="24386744">
                <wp:simplePos x="0" y="0"/>
                <wp:positionH relativeFrom="column">
                  <wp:posOffset>821690</wp:posOffset>
                </wp:positionH>
                <wp:positionV relativeFrom="paragraph">
                  <wp:posOffset>2427605</wp:posOffset>
                </wp:positionV>
                <wp:extent cx="1659255" cy="200660"/>
                <wp:effectExtent l="0" t="0" r="0" b="8890"/>
                <wp:wrapNone/>
                <wp:docPr id="139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D53F39" w:rsidRPr="008500F2" w:rsidRDefault="00D53F39" w:rsidP="00E24DB7">
                            <w:pPr>
                              <w:jc w:val="center"/>
                              <w:rPr>
                                <w:sz w:val="16"/>
                                <w:szCs w:val="16"/>
                              </w:rPr>
                            </w:pPr>
                            <w:r>
                              <w:rPr>
                                <w:sz w:val="16"/>
                                <w:szCs w:val="16"/>
                              </w:rPr>
                              <w:t>Ajustement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0FAF6" id="_x0000_s1620" type="#_x0000_t202" style="position:absolute;margin-left:64.7pt;margin-top:191.15pt;width:130.65pt;height:15.8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" filled="f" stroked="f">
                <v:textbox inset="0,0,0,0">
                  <w:txbxContent>
                    <w:p w:rsidR="00D53F39" w:rsidRPr="008500F2" w:rsidRDefault="00D53F39" w:rsidP="00E24DB7">
                      <w:pPr>
                        <w:jc w:val="center"/>
                        <w:rPr>
                          <w:sz w:val="16"/>
                          <w:szCs w:val="16"/>
                        </w:rPr>
                      </w:pPr>
                      <w:r>
                        <w:rPr>
                          <w:sz w:val="16"/>
                          <w:szCs w:val="16"/>
                        </w:rPr>
                        <w:t>Ajustement du SRSEE</w:t>
                      </w:r>
                    </w:p>
                  </w:txbxContent>
                </v:textbox>
              </v:shape>
            </w:pict>
          </mc:Fallback>
        </mc:AlternateContent>
      </w:r>
      <w:r w:rsidRPr="002C5876">
        <w:rPr>
          <w:noProof/>
          <w:lang w:val="en-GB" w:eastAsia="zh-CN"/>
        </w:rPr>
        <mc:AlternateContent>
          <mc:Choice Requires="wps">
            <w:drawing>
              <wp:anchor distT="0" distB="0" distL="114300" distR="114300" simplePos="0" relativeHeight="251558912" behindDoc="0" locked="0" layoutInCell="1" allowOverlap="1" wp14:anchorId="22DE6283" wp14:editId="48760804">
                <wp:simplePos x="0" y="0"/>
                <wp:positionH relativeFrom="column">
                  <wp:posOffset>822960</wp:posOffset>
                </wp:positionH>
                <wp:positionV relativeFrom="paragraph">
                  <wp:posOffset>1271270</wp:posOffset>
                </wp:positionV>
                <wp:extent cx="1659255" cy="200660"/>
                <wp:effectExtent l="0" t="0" r="0" b="8890"/>
                <wp:wrapNone/>
                <wp:docPr id="139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D53F39" w:rsidRPr="008500F2" w:rsidRDefault="00D53F39" w:rsidP="00E24DB7">
                            <w:pPr>
                              <w:jc w:val="center"/>
                              <w:rPr>
                                <w:sz w:val="16"/>
                                <w:szCs w:val="16"/>
                              </w:rPr>
                            </w:pPr>
                            <w:r>
                              <w:rPr>
                                <w:sz w:val="16"/>
                                <w:szCs w:val="16"/>
                              </w:rPr>
                              <w:t>Préconditionnement et stabilisation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E6283" id="_x0000_s1621" type="#_x0000_t202" style="position:absolute;margin-left:64.8pt;margin-top:100.1pt;width:130.65pt;height:15.8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" filled="f" stroked="f">
                <v:textbox inset="0,0,0,0">
                  <w:txbxContent>
                    <w:p w:rsidR="00D53F39" w:rsidRPr="008500F2" w:rsidRDefault="00D53F39" w:rsidP="00E24DB7">
                      <w:pPr>
                        <w:jc w:val="center"/>
                        <w:rPr>
                          <w:sz w:val="16"/>
                          <w:szCs w:val="16"/>
                        </w:rPr>
                      </w:pPr>
                      <w:r>
                        <w:rPr>
                          <w:sz w:val="16"/>
                          <w:szCs w:val="16"/>
                        </w:rPr>
                        <w:t>Préconditionnement et stabilisation</w:t>
                      </w:r>
                    </w:p>
                  </w:txbxContent>
                </v:textbox>
              </v:shape>
            </w:pict>
          </mc:Fallback>
        </mc:AlternateContent>
      </w:r>
      <w:r w:rsidRPr="002C5876">
        <w:rPr>
          <w:noProof/>
          <w:lang w:val="en-GB" w:eastAsia="zh-CN"/>
        </w:rPr>
        <w:drawing>
          <wp:inline distT="0" distB="0" distL="0" distR="0" wp14:anchorId="731E65C8" wp14:editId="70338BCF">
            <wp:extent cx="5895554" cy="4176000"/>
            <wp:effectExtent l="0" t="0" r="0" b="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2">
                      <a:extLst>
                        <a:ext uri="{28A0092B-C50C-407E-A947-70E740481C1C}">
                          <a14:useLocalDpi xmlns:a14="http://schemas.microsoft.com/office/drawing/2010/main" val="0"/>
                        </a:ext>
                      </a:extLst>
                    </a:blip>
                    <a:srcRect t="3539" b="224"/>
                    <a:stretch/>
                  </pic:blipFill>
                  <pic:spPr bwMode="auto">
                    <a:xfrm>
                      <a:off x="0" y="0"/>
                      <a:ext cx="5903595" cy="4181696"/>
                    </a:xfrm>
                    <a:prstGeom prst="rect">
                      <a:avLst/>
                    </a:prstGeom>
                    <a:noFill/>
                    <a:ln>
                      <a:noFill/>
                    </a:ln>
                    <a:extLst>
                      <a:ext uri="{53640926-AAD7-44D8-BBD7-CCE9431645EC}">
                        <a14:shadowObscured xmlns:a14="http://schemas.microsoft.com/office/drawing/2010/main"/>
                      </a:ext>
                    </a:extLst>
                  </pic:spPr>
                </pic:pic>
              </a:graphicData>
            </a:graphic>
          </wp:inline>
        </w:drawing>
      </w:r>
    </w:p>
    <w:p w:rsidR="00E24DB7" w:rsidRPr="002C5876" w:rsidRDefault="00E24DB7" w:rsidP="00E24DB7">
      <w:pPr>
        <w:pStyle w:val="SingleTxtG"/>
        <w:keepNext/>
        <w:ind w:left="2268" w:hanging="1134"/>
        <w:jc w:val="left"/>
      </w:pPr>
      <w:r w:rsidRPr="002C5876">
        <w:t>3.1.1</w:t>
      </w:r>
      <w:r w:rsidRPr="002C5876">
        <w:tab/>
        <w:t>Séquence d’essais correspondant à l’option 1</w:t>
      </w:r>
    </w:p>
    <w:p w:rsidR="00E24DB7" w:rsidRPr="002C5876" w:rsidRDefault="00E24DB7" w:rsidP="00E24DB7">
      <w:pPr>
        <w:pStyle w:val="SingleTxtG"/>
        <w:keepNext/>
        <w:ind w:left="2268" w:hanging="1134"/>
        <w:jc w:val="left"/>
      </w:pPr>
      <w:r w:rsidRPr="002C5876">
        <w:t>3.1.1.1</w:t>
      </w:r>
      <w:r w:rsidRPr="002C5876">
        <w:tab/>
        <w:t>Préconditionnement et stabilisation thermique</w:t>
      </w:r>
    </w:p>
    <w:p w:rsidR="00E24DB7" w:rsidRPr="002C5876" w:rsidRDefault="00E24DB7" w:rsidP="00E24DB7">
      <w:pPr>
        <w:pStyle w:val="SingleTxtG"/>
        <w:ind w:left="2268"/>
      </w:pPr>
      <w:r w:rsidRPr="002C5876">
        <w:t>Les véhicules doivent subir un préconditionnement et une stabilisation thermique conformément au paragraphe 2.1 de l’appendice 4 de la présente annexe.</w:t>
      </w:r>
    </w:p>
    <w:p w:rsidR="00E24DB7" w:rsidRPr="002C5876" w:rsidRDefault="00E24DB7" w:rsidP="00E24DB7">
      <w:pPr>
        <w:pStyle w:val="SingleTxtG"/>
        <w:keepNext/>
        <w:ind w:left="2268" w:hanging="1134"/>
        <w:jc w:val="left"/>
      </w:pPr>
      <w:r w:rsidRPr="002C5876">
        <w:t>3.1.1.2</w:t>
      </w:r>
      <w:r w:rsidRPr="002C5876">
        <w:tab/>
        <w:t>Ajustement du SRSEE</w:t>
      </w:r>
    </w:p>
    <w:p w:rsidR="00E24DB7" w:rsidRPr="002C5876" w:rsidRDefault="00E24DB7" w:rsidP="00E24DB7">
      <w:pPr>
        <w:pStyle w:val="SingleTxtG"/>
        <w:ind w:left="2268"/>
      </w:pPr>
      <w:r w:rsidRPr="002C5876">
        <w:t>Avant d’exécuter la procédure d’essai décrite au paragraphe 3.1.1.3 du présent appendice, le constructeur peut ajuster le SRSEE. Dans tous les cas, il doit démontrer que les conditions requises pour lancer l’essai décrit au 3.1.1.3 du présent appendice sont réunies.</w:t>
      </w:r>
    </w:p>
    <w:p w:rsidR="00E24DB7" w:rsidRPr="002C5876" w:rsidRDefault="00E24DB7" w:rsidP="00E24DB7">
      <w:pPr>
        <w:pStyle w:val="SingleTxtG"/>
        <w:keepNext/>
        <w:ind w:left="2268" w:hanging="1134"/>
        <w:jc w:val="left"/>
      </w:pPr>
      <w:r w:rsidRPr="002C5876">
        <w:t>3.1.1.3</w:t>
      </w:r>
      <w:r w:rsidRPr="002C5876">
        <w:tab/>
        <w:t>Procédure d’essai</w:t>
      </w:r>
    </w:p>
    <w:p w:rsidR="00E24DB7" w:rsidRPr="002C5876" w:rsidRDefault="00E24DB7" w:rsidP="00E24DB7">
      <w:pPr>
        <w:pStyle w:val="SingleTxtG"/>
        <w:ind w:left="2268" w:hanging="1134"/>
      </w:pPr>
      <w:r w:rsidRPr="002C5876">
        <w:t>3.1.1.3.1</w:t>
      </w:r>
      <w:r w:rsidRPr="002C5876">
        <w:tab/>
        <w:t>Le mode de fonctionnement du véhicule pour le cycle d’essai WLTP applicable doit être sélectionné conformément au paragraphe 3 de l’appendice 6 de la présente annexe.</w:t>
      </w:r>
    </w:p>
    <w:p w:rsidR="00E24DB7" w:rsidRPr="002C5876" w:rsidRDefault="00E24DB7" w:rsidP="00E24DB7">
      <w:pPr>
        <w:pStyle w:val="SingleTxtG"/>
        <w:ind w:left="2268" w:hanging="1134"/>
      </w:pPr>
      <w:r w:rsidRPr="002C5876">
        <w:t>3.1.1.3.2</w:t>
      </w:r>
      <w:r w:rsidRPr="002C5876">
        <w:tab/>
        <w:t>Dans le cadre de l’essai, il convient d’exécuter le cycle d’essai WLTP applicable conformément au paragraphe 1.4.2 de la présente annexe.</w:t>
      </w:r>
    </w:p>
    <w:p w:rsidR="00E24DB7" w:rsidRPr="002C5876" w:rsidRDefault="00E24DB7" w:rsidP="00E24DB7">
      <w:pPr>
        <w:pStyle w:val="SingleTxtG"/>
        <w:ind w:left="2268" w:hanging="1134"/>
      </w:pPr>
      <w:r w:rsidRPr="002C5876">
        <w:t>3.1.1.3.3</w:t>
      </w:r>
      <w:r w:rsidRPr="002C5876">
        <w:tab/>
        <w:t>Sauf indication contraire dans le présent appendice, le véhicule doit être soumis à la procédure d’essai du type 1 décrite à l’annexe 6.</w:t>
      </w:r>
    </w:p>
    <w:p w:rsidR="00E24DB7" w:rsidRPr="002C5876" w:rsidRDefault="00E24DB7" w:rsidP="00E24DB7">
      <w:pPr>
        <w:pStyle w:val="SingleTxtG"/>
        <w:ind w:left="2268" w:hanging="1134"/>
      </w:pPr>
      <w:r w:rsidRPr="002C5876">
        <w:t>3.1.1.3.4</w:t>
      </w:r>
      <w:r w:rsidRPr="002C5876">
        <w:tab/>
        <w:t>Afin d’obtenir un ensemble de cycles d’essai WLTP applicables en vue de déterminer les coefficients de correction, on peut faire suivre l’essai du nombre de séquences consécutives requis, conformément au paragraphe 2.2 du présent appendice, comprenant les opérations des paragraphes 3.1.1.1 à 3.1.1.3 dudit appendice.</w:t>
      </w:r>
    </w:p>
    <w:p w:rsidR="00E24DB7" w:rsidRPr="002C5876" w:rsidRDefault="00E24DB7" w:rsidP="00E24DB7">
      <w:pPr>
        <w:pStyle w:val="SingleTxtG"/>
        <w:keepNext/>
        <w:ind w:left="2268" w:hanging="1134"/>
        <w:jc w:val="left"/>
      </w:pPr>
      <w:r w:rsidRPr="002C5876">
        <w:lastRenderedPageBreak/>
        <w:t>3.1.2</w:t>
      </w:r>
      <w:r w:rsidRPr="002C5876">
        <w:tab/>
        <w:t>Séquence d’essais correspondant à l’option 2</w:t>
      </w:r>
    </w:p>
    <w:p w:rsidR="00E24DB7" w:rsidRPr="002C5876" w:rsidRDefault="00E24DB7" w:rsidP="00E24DB7">
      <w:pPr>
        <w:pStyle w:val="SingleTxtG"/>
        <w:keepNext/>
        <w:ind w:left="2268" w:hanging="1134"/>
        <w:jc w:val="left"/>
      </w:pPr>
      <w:r w:rsidRPr="002C5876">
        <w:t>3.1.2.1</w:t>
      </w:r>
      <w:r w:rsidRPr="002C5876">
        <w:tab/>
        <w:t>Préconditionnement</w:t>
      </w:r>
    </w:p>
    <w:p w:rsidR="00E24DB7" w:rsidRPr="002C5876" w:rsidRDefault="00E24DB7" w:rsidP="00E24DB7">
      <w:pPr>
        <w:pStyle w:val="SingleTxtG"/>
        <w:ind w:left="2268"/>
      </w:pPr>
      <w:r w:rsidRPr="002C5876">
        <w:t>Le véhicule soumis à essai doit être préconditionné conformément au paragraphe 2.1.1 ou 2.1.2 de l’appendice 4 de la présente annexe.</w:t>
      </w:r>
    </w:p>
    <w:p w:rsidR="00E24DB7" w:rsidRPr="002C5876" w:rsidRDefault="00E24DB7" w:rsidP="00E24DB7">
      <w:pPr>
        <w:pStyle w:val="SingleTxtG"/>
        <w:keepNext/>
        <w:ind w:left="2268" w:hanging="1134"/>
        <w:jc w:val="left"/>
      </w:pPr>
      <w:r w:rsidRPr="002C5876">
        <w:t>3.1.2.2</w:t>
      </w:r>
      <w:r w:rsidRPr="002C5876">
        <w:tab/>
        <w:t>Ajustement du SRSEE</w:t>
      </w:r>
    </w:p>
    <w:p w:rsidR="00E24DB7" w:rsidRPr="002C5876" w:rsidRDefault="00E24DB7" w:rsidP="00E24DB7">
      <w:pPr>
        <w:pStyle w:val="SingleTxtG"/>
        <w:ind w:left="2268"/>
      </w:pPr>
      <w:r w:rsidRPr="002C5876">
        <w:t>À la suite du préconditionnement, la phase de stabilisation thermique, exécutée conformément au paragraphe 2.1.3 de l’appendice 4 de la présente annexe, doit être ignorée et une pause, permettant de procéder à l’ajustement du SRSEE, doit être observée durant 60 min au maximum. Chaque essai doit être précédé d’une pause semblable. Une fois le temps de pause écoulé, il convient d’exécuter sans délai la procédure décrite au paragraphe 3.1.2.3 ci</w:t>
      </w:r>
      <w:r w:rsidRPr="002C5876">
        <w:noBreakHyphen/>
        <w:t>après.</w:t>
      </w:r>
    </w:p>
    <w:p w:rsidR="00E24DB7" w:rsidRPr="002C5876" w:rsidRDefault="00E24DB7" w:rsidP="00E24DB7">
      <w:pPr>
        <w:pStyle w:val="SingleTxtG"/>
        <w:ind w:left="2268"/>
      </w:pPr>
      <w:r w:rsidRPr="002C5876">
        <w:t>À la demande du constructeur, une procédure supplémentaire de mise en température peut être exécutée avant l’ajustement du SRSEE de façon à obtenir des conditions de démarrage semblables pour la détermination des coefficients de correction. Si le constructeur demande que cette procédure supplémentaire ait lieu, la même procédure doit être reproduite au cours de la séquence d’essais.</w:t>
      </w:r>
    </w:p>
    <w:p w:rsidR="00E24DB7" w:rsidRPr="002C5876" w:rsidRDefault="00E24DB7" w:rsidP="00E24DB7">
      <w:pPr>
        <w:pStyle w:val="SingleTxtG"/>
        <w:keepNext/>
        <w:ind w:left="2268" w:hanging="1134"/>
        <w:jc w:val="left"/>
      </w:pPr>
      <w:r w:rsidRPr="002C5876">
        <w:t>3.1.2.3</w:t>
      </w:r>
      <w:r w:rsidRPr="002C5876">
        <w:tab/>
        <w:t>Procédure d’essai</w:t>
      </w:r>
    </w:p>
    <w:p w:rsidR="00E24DB7" w:rsidRPr="002C5876" w:rsidRDefault="00E24DB7" w:rsidP="00E24DB7">
      <w:pPr>
        <w:pStyle w:val="SingleTxtG"/>
        <w:ind w:left="2268" w:hanging="1134"/>
      </w:pPr>
      <w:r w:rsidRPr="002C5876">
        <w:t>3.1.2.3.1</w:t>
      </w:r>
      <w:r w:rsidRPr="002C5876">
        <w:tab/>
        <w:t>Le mode de fonctionnement du véhicule pour le cycle d’essai WLTP applicable doit être sélectionné conformément au paragraphe 3 de l’appendice 6 de la présente annexe.</w:t>
      </w:r>
    </w:p>
    <w:p w:rsidR="00E24DB7" w:rsidRPr="002C5876" w:rsidRDefault="00E24DB7" w:rsidP="00E24DB7">
      <w:pPr>
        <w:pStyle w:val="SingleTxtG"/>
        <w:ind w:left="2268" w:hanging="1134"/>
      </w:pPr>
      <w:r w:rsidRPr="002C5876">
        <w:t>3.1.2.3.2</w:t>
      </w:r>
      <w:r w:rsidRPr="002C5876">
        <w:tab/>
        <w:t>Dans le cadre de l’essai, il convient d’exécuter le cycle d’essai WLTP applicable conformément au paragraphe 1.4.2 de la présente annexe.</w:t>
      </w:r>
    </w:p>
    <w:p w:rsidR="00E24DB7" w:rsidRPr="002C5876" w:rsidRDefault="00E24DB7" w:rsidP="00E24DB7">
      <w:pPr>
        <w:pStyle w:val="SingleTxtG"/>
        <w:ind w:left="2268" w:hanging="1134"/>
      </w:pPr>
      <w:r w:rsidRPr="002C5876">
        <w:t>3.1.2.3.3</w:t>
      </w:r>
      <w:r w:rsidRPr="002C5876">
        <w:tab/>
        <w:t>Sauf indication contraire dans le présent appendice, le véhicule doit être soumis à la procédure d’essai du type décrite à l’annexe 6.</w:t>
      </w:r>
    </w:p>
    <w:p w:rsidR="00E24DB7" w:rsidRPr="002C5876" w:rsidRDefault="00E24DB7" w:rsidP="00E24DB7">
      <w:pPr>
        <w:pStyle w:val="SingleTxtG"/>
        <w:ind w:left="2268" w:hanging="1134"/>
      </w:pPr>
      <w:r w:rsidRPr="002C5876">
        <w:t>3.1.2.3.4</w:t>
      </w:r>
      <w:r w:rsidRPr="002C5876">
        <w:tab/>
        <w:t>Afin d’obtenir un ensemble de cycles d’essai WLTP applicables en vue de déterminer les coefficients de correction, on peut faire suivre l’essai du nombre de séquences consécutives requis, conformément au paragraphe 2.2 du présent appendice, comprenant les opérations des paragraphes 3.1.2.2 et 3.1.2.3 dudit appendice.</w:t>
      </w:r>
    </w:p>
    <w:p w:rsidR="00E24DB7" w:rsidRPr="002C5876" w:rsidRDefault="00E24DB7" w:rsidP="00E24DB7">
      <w:pPr>
        <w:pStyle w:val="SingleTxtG"/>
        <w:keepNext/>
        <w:ind w:left="2268" w:hanging="1134"/>
        <w:jc w:val="left"/>
      </w:pPr>
      <w:r w:rsidRPr="002C5876">
        <w:t>3.2</w:t>
      </w:r>
      <w:r w:rsidRPr="002C5876">
        <w:tab/>
        <w:t>VHE-NRE et VHPC-NRE</w:t>
      </w:r>
    </w:p>
    <w:p w:rsidR="00E24DB7" w:rsidRPr="002C5876" w:rsidRDefault="00E24DB7" w:rsidP="00E24DB7">
      <w:pPr>
        <w:pStyle w:val="SingleTxtG"/>
        <w:ind w:left="2268"/>
      </w:pPr>
      <w:r w:rsidRPr="002C5876">
        <w:t>En ce qui concerne les VHE-NRE et les VHPC-NRE, l’une des séquences d’essais ci-après (voir la figure A8.App2/2) doit être appliquée pour obtenir toutes les valeurs requises en vue de déterminer les coefficients de correction conformément au paragraphe 2 du présent appendice.</w:t>
      </w:r>
    </w:p>
    <w:p w:rsidR="00E24DB7" w:rsidRPr="002C5876" w:rsidRDefault="00E24DB7" w:rsidP="00E24DB7">
      <w:pPr>
        <w:pStyle w:val="H23G"/>
        <w:spacing w:after="0"/>
        <w:ind w:left="0" w:firstLine="0"/>
      </w:pPr>
      <w:r w:rsidRPr="002C5876">
        <w:rPr>
          <w:b w:val="0"/>
        </w:rPr>
        <w:lastRenderedPageBreak/>
        <w:t>Figure A8.App2/2</w:t>
      </w:r>
      <w:r w:rsidRPr="002C5876">
        <w:br/>
        <w:t>Séquences d’essais pour les VHE-NRE et les VHPC-NRE</w:t>
      </w:r>
    </w:p>
    <w:p w:rsidR="00E24DB7" w:rsidRPr="002C5876" w:rsidRDefault="00E24DB7" w:rsidP="00E24DB7">
      <w:r w:rsidRPr="002C5876">
        <w:rPr>
          <w:noProof/>
          <w:lang w:val="en-GB" w:eastAsia="zh-CN"/>
        </w:rPr>
        <mc:AlternateContent>
          <mc:Choice Requires="wps">
            <w:drawing>
              <wp:anchor distT="0" distB="0" distL="114300" distR="114300" simplePos="0" relativeHeight="251635712" behindDoc="0" locked="0" layoutInCell="1" allowOverlap="1" wp14:anchorId="0487829B" wp14:editId="5DAA3844">
                <wp:simplePos x="0" y="0"/>
                <wp:positionH relativeFrom="column">
                  <wp:posOffset>3520440</wp:posOffset>
                </wp:positionH>
                <wp:positionV relativeFrom="paragraph">
                  <wp:posOffset>3676650</wp:posOffset>
                </wp:positionV>
                <wp:extent cx="1659255" cy="200660"/>
                <wp:effectExtent l="0" t="0" r="0" b="8890"/>
                <wp:wrapNone/>
                <wp:docPr id="139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D53F39" w:rsidRPr="008500F2" w:rsidRDefault="00D53F39" w:rsidP="00E24DB7">
                            <w:pPr>
                              <w:jc w:val="center"/>
                              <w:rPr>
                                <w:sz w:val="16"/>
                                <w:szCs w:val="16"/>
                              </w:rPr>
                            </w:pPr>
                            <w:r>
                              <w:rPr>
                                <w:sz w:val="16"/>
                                <w:szCs w:val="16"/>
                              </w:rPr>
                              <w:t>Cycle d’essai WLTP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7829B" id="_x0000_s1622" type="#_x0000_t202" style="position:absolute;margin-left:277.2pt;margin-top:289.5pt;width:130.65pt;height:15.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" filled="f" stroked="f">
                <v:textbox inset="0,0,0,0">
                  <w:txbxContent>
                    <w:p w:rsidR="00D53F39" w:rsidRPr="008500F2" w:rsidRDefault="00D53F39" w:rsidP="00E24DB7">
                      <w:pPr>
                        <w:jc w:val="center"/>
                        <w:rPr>
                          <w:sz w:val="16"/>
                          <w:szCs w:val="16"/>
                        </w:rPr>
                      </w:pPr>
                      <w:r>
                        <w:rPr>
                          <w:sz w:val="16"/>
                          <w:szCs w:val="16"/>
                        </w:rPr>
                        <w:t>Cycle d’essai WLTP applicable</w:t>
                      </w:r>
                    </w:p>
                  </w:txbxContent>
                </v:textbox>
              </v:shape>
            </w:pict>
          </mc:Fallback>
        </mc:AlternateContent>
      </w:r>
      <w:r w:rsidRPr="002C5876">
        <w:rPr>
          <w:noProof/>
          <w:lang w:val="en-GB" w:eastAsia="zh-CN"/>
        </w:rPr>
        <mc:AlternateContent>
          <mc:Choice Requires="wps">
            <w:drawing>
              <wp:anchor distT="0" distB="0" distL="114300" distR="114300" simplePos="0" relativeHeight="251630592" behindDoc="0" locked="0" layoutInCell="1" allowOverlap="1" wp14:anchorId="663D7F3D" wp14:editId="60472EA2">
                <wp:simplePos x="0" y="0"/>
                <wp:positionH relativeFrom="column">
                  <wp:posOffset>3460750</wp:posOffset>
                </wp:positionH>
                <wp:positionV relativeFrom="paragraph">
                  <wp:posOffset>2940891</wp:posOffset>
                </wp:positionV>
                <wp:extent cx="1717675" cy="295991"/>
                <wp:effectExtent l="0" t="0" r="0" b="8890"/>
                <wp:wrapNone/>
                <wp:docPr id="139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295991"/>
                        </a:xfrm>
                        <a:prstGeom prst="rect">
                          <a:avLst/>
                        </a:prstGeom>
                        <a:noFill/>
                        <a:ln w="9525">
                          <a:noFill/>
                          <a:miter lim="800000"/>
                          <a:headEnd/>
                          <a:tailEnd/>
                        </a:ln>
                      </wps:spPr>
                      <wps:txbx>
                        <w:txbxContent>
                          <w:p w:rsidR="00D53F39" w:rsidRPr="00E911A4" w:rsidRDefault="00D53F39" w:rsidP="00E24DB7">
                            <w:pPr>
                              <w:spacing w:line="200" w:lineRule="atLeast"/>
                              <w:jc w:val="center"/>
                              <w:rPr>
                                <w:sz w:val="16"/>
                                <w:szCs w:val="16"/>
                              </w:rPr>
                            </w:pPr>
                            <w:r w:rsidRPr="00E911A4">
                              <w:rPr>
                                <w:sz w:val="16"/>
                                <w:szCs w:val="16"/>
                              </w:rPr>
                              <w:t>Ajustement du SRSEE durant une pause semblable de 60 min au maximum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D7F3D" id="_x0000_s1623" type="#_x0000_t202" style="position:absolute;margin-left:272.5pt;margin-top:231.55pt;width:135.25pt;height:23.3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" filled="f" stroked="f">
                <v:textbox inset="0,0,0,0">
                  <w:txbxContent>
                    <w:p w:rsidR="00D53F39" w:rsidRPr="00E911A4" w:rsidRDefault="00D53F39" w:rsidP="00E24DB7">
                      <w:pPr>
                        <w:spacing w:line="200" w:lineRule="atLeast"/>
                        <w:jc w:val="center"/>
                        <w:rPr>
                          <w:sz w:val="16"/>
                          <w:szCs w:val="16"/>
                        </w:rPr>
                      </w:pPr>
                      <w:r w:rsidRPr="00E911A4">
                        <w:rPr>
                          <w:sz w:val="16"/>
                          <w:szCs w:val="16"/>
                        </w:rPr>
                        <w:t>Ajustement du SRSEE durant une pause semblable de 60 min au maximum</w:t>
                      </w:r>
                    </w:p>
                  </w:txbxContent>
                </v:textbox>
              </v:shape>
            </w:pict>
          </mc:Fallback>
        </mc:AlternateContent>
      </w:r>
      <w:r w:rsidRPr="002C5876">
        <w:rPr>
          <w:noProof/>
          <w:lang w:val="en-GB" w:eastAsia="zh-CN"/>
        </w:rPr>
        <mc:AlternateContent>
          <mc:Choice Requires="wps">
            <w:drawing>
              <wp:anchor distT="0" distB="0" distL="114300" distR="114300" simplePos="0" relativeHeight="251625472" behindDoc="0" locked="0" layoutInCell="1" allowOverlap="1" wp14:anchorId="25D4F723" wp14:editId="7619BDF9">
                <wp:simplePos x="0" y="0"/>
                <wp:positionH relativeFrom="column">
                  <wp:posOffset>3460779</wp:posOffset>
                </wp:positionH>
                <wp:positionV relativeFrom="paragraph">
                  <wp:posOffset>2190966</wp:posOffset>
                </wp:positionV>
                <wp:extent cx="1717804" cy="428129"/>
                <wp:effectExtent l="0" t="0" r="0" b="10160"/>
                <wp:wrapNone/>
                <wp:docPr id="139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804" cy="428129"/>
                        </a:xfrm>
                        <a:prstGeom prst="rect">
                          <a:avLst/>
                        </a:prstGeom>
                        <a:noFill/>
                        <a:ln w="9525">
                          <a:noFill/>
                          <a:miter lim="800000"/>
                          <a:headEnd/>
                          <a:tailEnd/>
                        </a:ln>
                      </wps:spPr>
                      <wps:txbx>
                        <w:txbxContent>
                          <w:p w:rsidR="00D53F39" w:rsidRPr="00E911A4" w:rsidRDefault="00D53F39" w:rsidP="00E24DB7">
                            <w:pPr>
                              <w:spacing w:line="200" w:lineRule="atLeast"/>
                              <w:jc w:val="center"/>
                              <w:rPr>
                                <w:sz w:val="16"/>
                                <w:szCs w:val="16"/>
                              </w:rPr>
                            </w:pPr>
                            <w:r w:rsidRPr="00E911A4">
                              <w:rPr>
                                <w:sz w:val="16"/>
                                <w:szCs w:val="16"/>
                              </w:rPr>
                              <w:t>Facultatif :</w:t>
                            </w:r>
                            <w:r w:rsidRPr="00E911A4">
                              <w:rPr>
                                <w:sz w:val="16"/>
                                <w:szCs w:val="16"/>
                              </w:rPr>
                              <w:br/>
                              <w:t xml:space="preserve">procédure supplémentaire </w:t>
                            </w:r>
                            <w:r w:rsidRPr="00E911A4">
                              <w:rPr>
                                <w:sz w:val="16"/>
                                <w:szCs w:val="16"/>
                              </w:rPr>
                              <w:br/>
                              <w:t>de mise en température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4F723" id="_x0000_s1624" type="#_x0000_t202" style="position:absolute;margin-left:272.5pt;margin-top:172.5pt;width:135.25pt;height:33.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" filled="f" stroked="f">
                <v:textbox inset="0,0,0,0">
                  <w:txbxContent>
                    <w:p w:rsidR="00D53F39" w:rsidRPr="00E911A4" w:rsidRDefault="00D53F39" w:rsidP="00E24DB7">
                      <w:pPr>
                        <w:spacing w:line="200" w:lineRule="atLeast"/>
                        <w:jc w:val="center"/>
                        <w:rPr>
                          <w:sz w:val="16"/>
                          <w:szCs w:val="16"/>
                        </w:rPr>
                      </w:pPr>
                      <w:r w:rsidRPr="00E911A4">
                        <w:rPr>
                          <w:sz w:val="16"/>
                          <w:szCs w:val="16"/>
                        </w:rPr>
                        <w:t>Facultatif :</w:t>
                      </w:r>
                      <w:r w:rsidRPr="00E911A4">
                        <w:rPr>
                          <w:sz w:val="16"/>
                          <w:szCs w:val="16"/>
                        </w:rPr>
                        <w:br/>
                        <w:t xml:space="preserve">procédure supplémentaire </w:t>
                      </w:r>
                      <w:r w:rsidRPr="00E911A4">
                        <w:rPr>
                          <w:sz w:val="16"/>
                          <w:szCs w:val="16"/>
                        </w:rPr>
                        <w:br/>
                        <w:t>de mise en température</w:t>
                      </w:r>
                    </w:p>
                  </w:txbxContent>
                </v:textbox>
              </v:shape>
            </w:pict>
          </mc:Fallback>
        </mc:AlternateContent>
      </w:r>
      <w:r w:rsidRPr="002C5876">
        <w:rPr>
          <w:noProof/>
          <w:lang w:val="en-GB" w:eastAsia="zh-CN"/>
        </w:rPr>
        <mc:AlternateContent>
          <mc:Choice Requires="wps">
            <w:drawing>
              <wp:anchor distT="0" distB="0" distL="114300" distR="114300" simplePos="0" relativeHeight="251594752" behindDoc="0" locked="0" layoutInCell="1" allowOverlap="1" wp14:anchorId="5499E581" wp14:editId="2F065D02">
                <wp:simplePos x="0" y="0"/>
                <wp:positionH relativeFrom="column">
                  <wp:posOffset>701040</wp:posOffset>
                </wp:positionH>
                <wp:positionV relativeFrom="paragraph">
                  <wp:posOffset>556895</wp:posOffset>
                </wp:positionV>
                <wp:extent cx="1897380" cy="343535"/>
                <wp:effectExtent l="0" t="0" r="7620" b="0"/>
                <wp:wrapNone/>
                <wp:docPr id="139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343535"/>
                        </a:xfrm>
                        <a:prstGeom prst="rect">
                          <a:avLst/>
                        </a:prstGeom>
                        <a:noFill/>
                        <a:ln w="9525">
                          <a:noFill/>
                          <a:miter lim="800000"/>
                          <a:headEnd/>
                          <a:tailEnd/>
                        </a:ln>
                      </wps:spPr>
                      <wps:txbx>
                        <w:txbxContent>
                          <w:p w:rsidR="00D53F39" w:rsidRPr="00E911A4" w:rsidRDefault="00D53F39" w:rsidP="00E24DB7">
                            <w:pPr>
                              <w:jc w:val="center"/>
                              <w:rPr>
                                <w:sz w:val="16"/>
                                <w:szCs w:val="16"/>
                              </w:rPr>
                            </w:pPr>
                            <w:r w:rsidRPr="00E911A4">
                              <w:rPr>
                                <w:sz w:val="16"/>
                                <w:szCs w:val="16"/>
                              </w:rPr>
                              <w:t>Séquence d’essais correspondant à l’option 1 (par. 3.2.1 du présent appendice)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9E581" id="_x0000_s1625" type="#_x0000_t202" style="position:absolute;margin-left:55.2pt;margin-top:43.85pt;width:149.4pt;height:27.0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" filled="f" stroked="f">
                <v:textbox inset="0,0,0,0">
                  <w:txbxContent>
                    <w:p w:rsidR="00D53F39" w:rsidRPr="00E911A4" w:rsidRDefault="00D53F39" w:rsidP="00E24DB7">
                      <w:pPr>
                        <w:jc w:val="center"/>
                        <w:rPr>
                          <w:sz w:val="16"/>
                          <w:szCs w:val="16"/>
                        </w:rPr>
                      </w:pPr>
                      <w:r w:rsidRPr="00E911A4">
                        <w:rPr>
                          <w:sz w:val="16"/>
                          <w:szCs w:val="16"/>
                        </w:rPr>
                        <w:t>Séquence d’essais correspondant à l’option 1 (par. 3.2.1 du présent appendice)</w:t>
                      </w:r>
                    </w:p>
                  </w:txbxContent>
                </v:textbox>
              </v:shape>
            </w:pict>
          </mc:Fallback>
        </mc:AlternateContent>
      </w:r>
      <w:r w:rsidRPr="002C5876">
        <w:rPr>
          <w:noProof/>
          <w:lang w:val="en-GB" w:eastAsia="zh-CN"/>
        </w:rPr>
        <mc:AlternateContent>
          <mc:Choice Requires="wps">
            <w:drawing>
              <wp:anchor distT="0" distB="0" distL="114300" distR="114300" simplePos="0" relativeHeight="251599872" behindDoc="0" locked="0" layoutInCell="1" allowOverlap="1" wp14:anchorId="222AD2B8" wp14:editId="5FE2B123">
                <wp:simplePos x="0" y="0"/>
                <wp:positionH relativeFrom="column">
                  <wp:posOffset>3405299</wp:posOffset>
                </wp:positionH>
                <wp:positionV relativeFrom="paragraph">
                  <wp:posOffset>560705</wp:posOffset>
                </wp:positionV>
                <wp:extent cx="1897380" cy="343535"/>
                <wp:effectExtent l="0" t="0" r="7620" b="0"/>
                <wp:wrapNone/>
                <wp:docPr id="139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343535"/>
                        </a:xfrm>
                        <a:prstGeom prst="rect">
                          <a:avLst/>
                        </a:prstGeom>
                        <a:noFill/>
                        <a:ln w="9525">
                          <a:noFill/>
                          <a:miter lim="800000"/>
                          <a:headEnd/>
                          <a:tailEnd/>
                        </a:ln>
                      </wps:spPr>
                      <wps:txbx>
                        <w:txbxContent>
                          <w:p w:rsidR="00D53F39" w:rsidRPr="00E911A4" w:rsidRDefault="00D53F39" w:rsidP="00E24DB7">
                            <w:pPr>
                              <w:jc w:val="center"/>
                              <w:rPr>
                                <w:sz w:val="16"/>
                                <w:szCs w:val="16"/>
                              </w:rPr>
                            </w:pPr>
                            <w:r w:rsidRPr="00E911A4">
                              <w:rPr>
                                <w:sz w:val="16"/>
                                <w:szCs w:val="16"/>
                              </w:rPr>
                              <w:t>Séquence d’essais correspondant à l’option 2 (par. 3.2.2 du présent appendice)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2AD2B8" id="_x0000_s1626" type="#_x0000_t202" style="position:absolute;margin-left:268.15pt;margin-top:44.15pt;width:149.4pt;height:27.0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" filled="f" stroked="f">
                <v:textbox inset="0,0,0,0">
                  <w:txbxContent>
                    <w:p w:rsidR="00D53F39" w:rsidRPr="00E911A4" w:rsidRDefault="00D53F39" w:rsidP="00E24DB7">
                      <w:pPr>
                        <w:jc w:val="center"/>
                        <w:rPr>
                          <w:sz w:val="16"/>
                          <w:szCs w:val="16"/>
                        </w:rPr>
                      </w:pPr>
                      <w:r w:rsidRPr="00E911A4">
                        <w:rPr>
                          <w:sz w:val="16"/>
                          <w:szCs w:val="16"/>
                        </w:rPr>
                        <w:t>Séquence d’essais correspondant à l’option 2 (par. 3.2.2 du présent appendice)</w:t>
                      </w:r>
                    </w:p>
                  </w:txbxContent>
                </v:textbox>
              </v:shape>
            </w:pict>
          </mc:Fallback>
        </mc:AlternateContent>
      </w:r>
      <w:r w:rsidRPr="002C5876">
        <w:rPr>
          <w:noProof/>
          <w:lang w:val="en-GB" w:eastAsia="zh-CN"/>
        </w:rPr>
        <mc:AlternateContent>
          <mc:Choice Requires="wps">
            <w:drawing>
              <wp:anchor distT="0" distB="0" distL="114300" distR="114300" simplePos="0" relativeHeight="251620352" behindDoc="0" locked="0" layoutInCell="1" allowOverlap="1" wp14:anchorId="16B272D2" wp14:editId="56EB935E">
                <wp:simplePos x="0" y="0"/>
                <wp:positionH relativeFrom="column">
                  <wp:posOffset>3493341</wp:posOffset>
                </wp:positionH>
                <wp:positionV relativeFrom="paragraph">
                  <wp:posOffset>1419860</wp:posOffset>
                </wp:positionV>
                <wp:extent cx="1659255" cy="200660"/>
                <wp:effectExtent l="0" t="0" r="0" b="8890"/>
                <wp:wrapNone/>
                <wp:docPr id="139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D53F39" w:rsidRPr="008500F2" w:rsidRDefault="00D53F39" w:rsidP="00E24DB7">
                            <w:pPr>
                              <w:jc w:val="center"/>
                              <w:rPr>
                                <w:sz w:val="16"/>
                                <w:szCs w:val="16"/>
                              </w:rPr>
                            </w:pPr>
                            <w:r>
                              <w:rPr>
                                <w:sz w:val="16"/>
                                <w:szCs w:val="16"/>
                              </w:rPr>
                              <w:t>Préconditionnement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272D2" id="_x0000_s1627" type="#_x0000_t202" style="position:absolute;margin-left:275.05pt;margin-top:111.8pt;width:130.65pt;height:15.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" filled="f" stroked="f">
                <v:textbox inset="0,0,0,0">
                  <w:txbxContent>
                    <w:p w:rsidR="00D53F39" w:rsidRPr="008500F2" w:rsidRDefault="00D53F39" w:rsidP="00E24DB7">
                      <w:pPr>
                        <w:jc w:val="center"/>
                        <w:rPr>
                          <w:sz w:val="16"/>
                          <w:szCs w:val="16"/>
                        </w:rPr>
                      </w:pPr>
                      <w:r>
                        <w:rPr>
                          <w:sz w:val="16"/>
                          <w:szCs w:val="16"/>
                        </w:rPr>
                        <w:t>Préconditionnement</w:t>
                      </w:r>
                    </w:p>
                  </w:txbxContent>
                </v:textbox>
              </v:shape>
            </w:pict>
          </mc:Fallback>
        </mc:AlternateContent>
      </w:r>
      <w:r w:rsidRPr="002C5876">
        <w:rPr>
          <w:noProof/>
          <w:lang w:val="en-GB" w:eastAsia="zh-CN"/>
        </w:rPr>
        <mc:AlternateContent>
          <mc:Choice Requires="wps">
            <w:drawing>
              <wp:anchor distT="0" distB="0" distL="114300" distR="114300" simplePos="0" relativeHeight="251615232" behindDoc="0" locked="0" layoutInCell="1" allowOverlap="1" wp14:anchorId="26815604" wp14:editId="4ACD9B43">
                <wp:simplePos x="0" y="0"/>
                <wp:positionH relativeFrom="column">
                  <wp:posOffset>820420</wp:posOffset>
                </wp:positionH>
                <wp:positionV relativeFrom="paragraph">
                  <wp:posOffset>3677920</wp:posOffset>
                </wp:positionV>
                <wp:extent cx="1659255" cy="200660"/>
                <wp:effectExtent l="0" t="0" r="0" b="8890"/>
                <wp:wrapNone/>
                <wp:docPr id="139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D53F39" w:rsidRPr="008500F2" w:rsidRDefault="00D53F39" w:rsidP="00E24DB7">
                            <w:pPr>
                              <w:jc w:val="center"/>
                              <w:rPr>
                                <w:sz w:val="16"/>
                                <w:szCs w:val="16"/>
                              </w:rPr>
                            </w:pPr>
                            <w:r>
                              <w:rPr>
                                <w:sz w:val="16"/>
                                <w:szCs w:val="16"/>
                              </w:rPr>
                              <w:t>Cycle d’essai WLTP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15604" id="_x0000_s1628" type="#_x0000_t202" style="position:absolute;margin-left:64.6pt;margin-top:289.6pt;width:130.65pt;height:15.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" filled="f" stroked="f">
                <v:textbox inset="0,0,0,0">
                  <w:txbxContent>
                    <w:p w:rsidR="00D53F39" w:rsidRPr="008500F2" w:rsidRDefault="00D53F39" w:rsidP="00E24DB7">
                      <w:pPr>
                        <w:jc w:val="center"/>
                        <w:rPr>
                          <w:sz w:val="16"/>
                          <w:szCs w:val="16"/>
                        </w:rPr>
                      </w:pPr>
                      <w:r>
                        <w:rPr>
                          <w:sz w:val="16"/>
                          <w:szCs w:val="16"/>
                        </w:rPr>
                        <w:t>Cycle d’essai WLTP applicable</w:t>
                      </w:r>
                    </w:p>
                  </w:txbxContent>
                </v:textbox>
              </v:shape>
            </w:pict>
          </mc:Fallback>
        </mc:AlternateContent>
      </w:r>
      <w:r w:rsidRPr="002C5876">
        <w:rPr>
          <w:noProof/>
          <w:lang w:val="en-GB" w:eastAsia="zh-CN"/>
        </w:rPr>
        <mc:AlternateContent>
          <mc:Choice Requires="wps">
            <w:drawing>
              <wp:anchor distT="0" distB="0" distL="114300" distR="114300" simplePos="0" relativeHeight="251610112" behindDoc="0" locked="0" layoutInCell="1" allowOverlap="1" wp14:anchorId="4CCA41F0" wp14:editId="065083E9">
                <wp:simplePos x="0" y="0"/>
                <wp:positionH relativeFrom="column">
                  <wp:posOffset>821690</wp:posOffset>
                </wp:positionH>
                <wp:positionV relativeFrom="paragraph">
                  <wp:posOffset>2580005</wp:posOffset>
                </wp:positionV>
                <wp:extent cx="1659255" cy="200660"/>
                <wp:effectExtent l="0" t="0" r="0" b="8890"/>
                <wp:wrapNone/>
                <wp:docPr id="139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D53F39" w:rsidRPr="008500F2" w:rsidRDefault="00D53F39" w:rsidP="00E24DB7">
                            <w:pPr>
                              <w:jc w:val="center"/>
                              <w:rPr>
                                <w:sz w:val="16"/>
                                <w:szCs w:val="16"/>
                              </w:rPr>
                            </w:pPr>
                            <w:r>
                              <w:rPr>
                                <w:sz w:val="16"/>
                                <w:szCs w:val="16"/>
                              </w:rPr>
                              <w:t>Ajustement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A41F0" id="_x0000_s1629" type="#_x0000_t202" style="position:absolute;margin-left:64.7pt;margin-top:203.15pt;width:130.65pt;height:15.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" filled="f" stroked="f">
                <v:textbox inset="0,0,0,0">
                  <w:txbxContent>
                    <w:p w:rsidR="00D53F39" w:rsidRPr="008500F2" w:rsidRDefault="00D53F39" w:rsidP="00E24DB7">
                      <w:pPr>
                        <w:jc w:val="center"/>
                        <w:rPr>
                          <w:sz w:val="16"/>
                          <w:szCs w:val="16"/>
                        </w:rPr>
                      </w:pPr>
                      <w:r>
                        <w:rPr>
                          <w:sz w:val="16"/>
                          <w:szCs w:val="16"/>
                        </w:rPr>
                        <w:t>Ajustement du SRSEE</w:t>
                      </w:r>
                    </w:p>
                  </w:txbxContent>
                </v:textbox>
              </v:shape>
            </w:pict>
          </mc:Fallback>
        </mc:AlternateContent>
      </w:r>
      <w:r w:rsidRPr="002C5876">
        <w:rPr>
          <w:noProof/>
          <w:lang w:val="en-GB" w:eastAsia="zh-CN"/>
        </w:rPr>
        <mc:AlternateContent>
          <mc:Choice Requires="wps">
            <w:drawing>
              <wp:anchor distT="0" distB="0" distL="114300" distR="114300" simplePos="0" relativeHeight="251604992" behindDoc="0" locked="0" layoutInCell="1" allowOverlap="1" wp14:anchorId="59E12E73" wp14:editId="2EBFE372">
                <wp:simplePos x="0" y="0"/>
                <wp:positionH relativeFrom="column">
                  <wp:posOffset>822960</wp:posOffset>
                </wp:positionH>
                <wp:positionV relativeFrom="paragraph">
                  <wp:posOffset>1424213</wp:posOffset>
                </wp:positionV>
                <wp:extent cx="1659383" cy="200851"/>
                <wp:effectExtent l="0" t="0" r="0" b="8890"/>
                <wp:wrapNone/>
                <wp:docPr id="139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383" cy="200851"/>
                        </a:xfrm>
                        <a:prstGeom prst="rect">
                          <a:avLst/>
                        </a:prstGeom>
                        <a:noFill/>
                        <a:ln w="9525">
                          <a:noFill/>
                          <a:miter lim="800000"/>
                          <a:headEnd/>
                          <a:tailEnd/>
                        </a:ln>
                      </wps:spPr>
                      <wps:txbx>
                        <w:txbxContent>
                          <w:p w:rsidR="00D53F39" w:rsidRPr="008500F2" w:rsidRDefault="00D53F39" w:rsidP="00E24DB7">
                            <w:pPr>
                              <w:jc w:val="center"/>
                              <w:rPr>
                                <w:sz w:val="16"/>
                                <w:szCs w:val="16"/>
                              </w:rPr>
                            </w:pPr>
                            <w:r>
                              <w:rPr>
                                <w:sz w:val="16"/>
                                <w:szCs w:val="16"/>
                              </w:rPr>
                              <w:t>Préconditionnement et stabilisation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12E73" id="_x0000_s1630" type="#_x0000_t202" style="position:absolute;margin-left:64.8pt;margin-top:112.15pt;width:130.65pt;height:15.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" filled="f" stroked="f">
                <v:textbox inset="0,0,0,0">
                  <w:txbxContent>
                    <w:p w:rsidR="00D53F39" w:rsidRPr="008500F2" w:rsidRDefault="00D53F39" w:rsidP="00E24DB7">
                      <w:pPr>
                        <w:jc w:val="center"/>
                        <w:rPr>
                          <w:sz w:val="16"/>
                          <w:szCs w:val="16"/>
                        </w:rPr>
                      </w:pPr>
                      <w:r>
                        <w:rPr>
                          <w:sz w:val="16"/>
                          <w:szCs w:val="16"/>
                        </w:rPr>
                        <w:t>Préconditionnement et stabilisation</w:t>
                      </w:r>
                    </w:p>
                  </w:txbxContent>
                </v:textbox>
              </v:shape>
            </w:pict>
          </mc:Fallback>
        </mc:AlternateContent>
      </w:r>
      <w:r w:rsidRPr="002C5876">
        <w:rPr>
          <w:noProof/>
          <w:lang w:val="en-GB" w:eastAsia="zh-CN"/>
        </w:rPr>
        <w:drawing>
          <wp:inline distT="0" distB="0" distL="0" distR="0" wp14:anchorId="128554F3" wp14:editId="20189B29">
            <wp:extent cx="5903595" cy="4345305"/>
            <wp:effectExtent l="0" t="0" r="1905" b="0"/>
            <wp:docPr id="13989" name="Image 1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903595" cy="4345305"/>
                    </a:xfrm>
                    <a:prstGeom prst="rect">
                      <a:avLst/>
                    </a:prstGeom>
                    <a:noFill/>
                    <a:ln>
                      <a:noFill/>
                    </a:ln>
                  </pic:spPr>
                </pic:pic>
              </a:graphicData>
            </a:graphic>
          </wp:inline>
        </w:drawing>
      </w:r>
    </w:p>
    <w:p w:rsidR="00E24DB7" w:rsidRPr="002C5876" w:rsidRDefault="00E24DB7" w:rsidP="00E24DB7">
      <w:pPr>
        <w:pStyle w:val="SingleTxtG"/>
        <w:ind w:left="2268" w:hanging="1134"/>
        <w:jc w:val="left"/>
      </w:pPr>
      <w:r w:rsidRPr="002C5876">
        <w:t>3.2.1</w:t>
      </w:r>
      <w:r w:rsidRPr="002C5876">
        <w:tab/>
        <w:t>Séquence d’essais correspondant à l’option 1</w:t>
      </w:r>
    </w:p>
    <w:p w:rsidR="00E24DB7" w:rsidRPr="002C5876" w:rsidRDefault="00E24DB7" w:rsidP="00E24DB7">
      <w:pPr>
        <w:pStyle w:val="SingleTxtG"/>
        <w:ind w:left="2268" w:hanging="1134"/>
        <w:jc w:val="left"/>
      </w:pPr>
      <w:r w:rsidRPr="002C5876">
        <w:t>3.2.1.1</w:t>
      </w:r>
      <w:r w:rsidRPr="002C5876">
        <w:tab/>
        <w:t>Préconditionnement et stabilisation thermique</w:t>
      </w:r>
    </w:p>
    <w:p w:rsidR="00E24DB7" w:rsidRPr="002C5876" w:rsidRDefault="00E24DB7" w:rsidP="00E24DB7">
      <w:pPr>
        <w:pStyle w:val="SingleTxtG"/>
        <w:ind w:left="2268"/>
      </w:pPr>
      <w:r w:rsidRPr="002C5876">
        <w:t>Le véhicule soumis à essai doit subir un préconditionnement et une stabilisation thermique conformément au paragraphe 3.3.1 de la présente annexe.</w:t>
      </w:r>
    </w:p>
    <w:p w:rsidR="00E24DB7" w:rsidRPr="002C5876" w:rsidRDefault="00E24DB7" w:rsidP="00E24DB7">
      <w:pPr>
        <w:pStyle w:val="SingleTxtG"/>
        <w:ind w:left="2268" w:hanging="1134"/>
        <w:jc w:val="left"/>
      </w:pPr>
      <w:r w:rsidRPr="002C5876">
        <w:t>3.2.1.2</w:t>
      </w:r>
      <w:r w:rsidRPr="002C5876">
        <w:tab/>
        <w:t>Ajustement du SRSEE</w:t>
      </w:r>
    </w:p>
    <w:p w:rsidR="00E24DB7" w:rsidRPr="002C5876" w:rsidRDefault="00E24DB7" w:rsidP="00E24DB7">
      <w:pPr>
        <w:pStyle w:val="SingleTxtG"/>
        <w:ind w:left="2268"/>
      </w:pPr>
      <w:r w:rsidRPr="002C5876">
        <w:t>Avant d’exécuter la procédure d’essai décrite au paragraphe 3.2.1.3 du présent appendice, le constructeur peut ajuster le SRSEE. Dans tous les cas, il doit démontrer que les conditions requises pour lancer l’essai décrit au 3.2.1.3 du présent appendice sont réunies.</w:t>
      </w:r>
    </w:p>
    <w:p w:rsidR="00E24DB7" w:rsidRPr="002C5876" w:rsidRDefault="00E24DB7" w:rsidP="00E24DB7">
      <w:pPr>
        <w:pStyle w:val="SingleTxtG"/>
        <w:ind w:left="2268" w:hanging="1134"/>
        <w:jc w:val="left"/>
      </w:pPr>
      <w:r w:rsidRPr="002C5876">
        <w:t>3.2.1.3</w:t>
      </w:r>
      <w:r w:rsidRPr="002C5876">
        <w:tab/>
        <w:t>Procédure d’essai</w:t>
      </w:r>
    </w:p>
    <w:p w:rsidR="00E24DB7" w:rsidRPr="002C5876" w:rsidRDefault="00E24DB7" w:rsidP="00E24DB7">
      <w:pPr>
        <w:pStyle w:val="SingleTxtG"/>
        <w:ind w:left="2268" w:hanging="1134"/>
      </w:pPr>
      <w:r w:rsidRPr="002C5876">
        <w:t>3.2.1.3.1</w:t>
      </w:r>
      <w:r w:rsidRPr="002C5876">
        <w:tab/>
        <w:t>Le mode de fonctionnement du véhicule doit être sélectionné conformément au paragraphe 3 de l’appendice 6 de la présente annexe.</w:t>
      </w:r>
    </w:p>
    <w:p w:rsidR="00E24DB7" w:rsidRPr="002C5876" w:rsidRDefault="00E24DB7" w:rsidP="00E24DB7">
      <w:pPr>
        <w:pStyle w:val="SingleTxtG"/>
        <w:ind w:left="2268" w:hanging="1134"/>
      </w:pPr>
      <w:r w:rsidRPr="002C5876">
        <w:t>3.2.1.3.2</w:t>
      </w:r>
      <w:r w:rsidRPr="002C5876">
        <w:tab/>
        <w:t>Dans le cadre de l’essai, il convient d’exécuter le cycle d’essai WLTP applicable conformément au paragraphe 1.4.2 de la présente annexe.</w:t>
      </w:r>
    </w:p>
    <w:p w:rsidR="00E24DB7" w:rsidRPr="002C5876" w:rsidRDefault="00E24DB7" w:rsidP="00E24DB7">
      <w:pPr>
        <w:pStyle w:val="SingleTxtG"/>
        <w:ind w:left="2268" w:hanging="1134"/>
      </w:pPr>
      <w:r w:rsidRPr="002C5876">
        <w:t>3.2.1.3.3</w:t>
      </w:r>
      <w:r w:rsidRPr="002C5876">
        <w:tab/>
        <w:t>Sauf indication contraire dans le présent appendice, le véhicule doit être soumis à la procédure d’essai du type 1 en mode maintien de la charge décrite à l’annexe 6.</w:t>
      </w:r>
    </w:p>
    <w:p w:rsidR="00E24DB7" w:rsidRPr="002C5876" w:rsidRDefault="00E24DB7" w:rsidP="00E24DB7">
      <w:pPr>
        <w:pStyle w:val="SingleTxtG"/>
        <w:ind w:left="2268" w:hanging="1134"/>
      </w:pPr>
      <w:r w:rsidRPr="002C5876">
        <w:t>3.2.1.3.4</w:t>
      </w:r>
      <w:r w:rsidRPr="002C5876">
        <w:tab/>
        <w:t>Afin d’obtenir un ensemble de cycles d’essai WLTP applicables en vue de déterminer les coefficients de correction, on peut faire suivre l’essai du nombre de séquences consécutives requis, conformément au paragraphe 2.2 du présent appendice, comprenant les opérations des paragraphes 3.2.1.1 à 3.2.1.3 dudit appendice.</w:t>
      </w:r>
    </w:p>
    <w:p w:rsidR="00E24DB7" w:rsidRPr="002C5876" w:rsidRDefault="00E24DB7" w:rsidP="00E24DB7">
      <w:pPr>
        <w:pStyle w:val="SingleTxtG"/>
        <w:keepNext/>
        <w:keepLines/>
        <w:ind w:left="2268" w:hanging="1134"/>
        <w:jc w:val="left"/>
      </w:pPr>
      <w:r w:rsidRPr="002C5876">
        <w:lastRenderedPageBreak/>
        <w:t>3.2.2</w:t>
      </w:r>
      <w:r w:rsidRPr="002C5876">
        <w:tab/>
        <w:t>Séquence d’essais correspondant à l’option 2</w:t>
      </w:r>
    </w:p>
    <w:p w:rsidR="00E24DB7" w:rsidRPr="002C5876" w:rsidRDefault="00E24DB7" w:rsidP="00E24DB7">
      <w:pPr>
        <w:pStyle w:val="SingleTxtG"/>
        <w:ind w:left="2268" w:hanging="1134"/>
        <w:jc w:val="left"/>
      </w:pPr>
      <w:r w:rsidRPr="002C5876">
        <w:t>3.2.2.1</w:t>
      </w:r>
      <w:r w:rsidRPr="002C5876">
        <w:tab/>
        <w:t>Préconditionnement</w:t>
      </w:r>
    </w:p>
    <w:p w:rsidR="00E24DB7" w:rsidRPr="002C5876" w:rsidRDefault="00E24DB7" w:rsidP="00E24DB7">
      <w:pPr>
        <w:pStyle w:val="SingleTxtG"/>
        <w:ind w:left="2268"/>
      </w:pPr>
      <w:r w:rsidRPr="002C5876">
        <w:t>Le véhicule soumis à essai doit subir un préconditionnement conformément au paragraphe 3.3.1.1 de la présente annexe.</w:t>
      </w:r>
    </w:p>
    <w:p w:rsidR="00E24DB7" w:rsidRPr="002C5876" w:rsidRDefault="00E24DB7" w:rsidP="00E24DB7">
      <w:pPr>
        <w:pStyle w:val="SingleTxtG"/>
        <w:ind w:left="2268" w:hanging="1134"/>
        <w:jc w:val="left"/>
      </w:pPr>
      <w:r w:rsidRPr="002C5876">
        <w:t>3.2.2.2</w:t>
      </w:r>
      <w:r w:rsidRPr="002C5876">
        <w:tab/>
        <w:t>Ajustement du SRSEE</w:t>
      </w:r>
    </w:p>
    <w:p w:rsidR="00E24DB7" w:rsidRPr="002C5876" w:rsidRDefault="00E24DB7" w:rsidP="00E24DB7">
      <w:pPr>
        <w:pStyle w:val="SingleTxtG"/>
        <w:ind w:left="2268"/>
      </w:pPr>
      <w:r w:rsidRPr="002C5876">
        <w:t>À la suite du préconditionnement, la phase de stabilisation thermique, exécutée conformément au paragraphe 3.3.1.2 de la présente annexe, doit être ignorée et une pause, permettant de procéder à l’ajustement du SRSEE, doit être observée durant 60 min au maximum. Chaque essai doit être précédé d’une pause semblable. Une fois le temps de pause écoulé, il convient d’exécuter sans délai la procédure décrite au paragraphe 3.2.2.3 ci-après.</w:t>
      </w:r>
    </w:p>
    <w:p w:rsidR="00E24DB7" w:rsidRPr="002C5876" w:rsidRDefault="00E24DB7" w:rsidP="00E24DB7">
      <w:pPr>
        <w:pStyle w:val="SingleTxtG"/>
        <w:ind w:left="2268"/>
      </w:pPr>
      <w:r w:rsidRPr="002C5876">
        <w:t>À la demande du constructeur, une procédure supplémentaire de mise en température peut être exécutée avant l’ajustement du SRSEE de façon à obtenir des conditions de démarrage semblables pour la détermination des coefficients de correction. Si le constructeur demande que cette procédure supplémentaire ait lieu, la même procédure doit être reproduite au cours de la séquence d’essais.</w:t>
      </w:r>
    </w:p>
    <w:p w:rsidR="00E24DB7" w:rsidRPr="002C5876" w:rsidRDefault="00E24DB7" w:rsidP="00E24DB7">
      <w:pPr>
        <w:pStyle w:val="SingleTxtG"/>
        <w:ind w:left="2268" w:hanging="1134"/>
        <w:jc w:val="left"/>
      </w:pPr>
      <w:r w:rsidRPr="002C5876">
        <w:t>3.2.2.3</w:t>
      </w:r>
      <w:r w:rsidRPr="002C5876">
        <w:tab/>
        <w:t>Procédure d’essai</w:t>
      </w:r>
    </w:p>
    <w:p w:rsidR="00E24DB7" w:rsidRPr="002C5876" w:rsidRDefault="00E24DB7" w:rsidP="00E24DB7">
      <w:pPr>
        <w:pStyle w:val="SingleTxtG"/>
        <w:ind w:left="2268" w:hanging="1134"/>
      </w:pPr>
      <w:r w:rsidRPr="002C5876">
        <w:t>3.2.2.3.1</w:t>
      </w:r>
      <w:r w:rsidRPr="002C5876">
        <w:tab/>
        <w:t>Le mode de fonctionnement du véhicule pour le cycle d’essai WLTP applicable doit être sélectionné conformément au paragraphe 3 de l’appendice 6 de la présente annexe.</w:t>
      </w:r>
    </w:p>
    <w:p w:rsidR="00E24DB7" w:rsidRPr="002C5876" w:rsidRDefault="00E24DB7" w:rsidP="00E24DB7">
      <w:pPr>
        <w:pStyle w:val="SingleTxtG"/>
        <w:ind w:left="2268" w:hanging="1134"/>
      </w:pPr>
      <w:r w:rsidRPr="002C5876">
        <w:t>3.2.2.3.2</w:t>
      </w:r>
      <w:r w:rsidRPr="002C5876">
        <w:tab/>
        <w:t>Dans le cadre de l’essai, il convient d’exécuter le cycle d’essai WLTP applicable conformément au paragraphe 1.4.2 de la présente annexe.</w:t>
      </w:r>
    </w:p>
    <w:p w:rsidR="00E24DB7" w:rsidRPr="002C5876" w:rsidRDefault="00E24DB7" w:rsidP="00E24DB7">
      <w:pPr>
        <w:pStyle w:val="SingleTxtG"/>
        <w:ind w:left="2268" w:hanging="1134"/>
      </w:pPr>
      <w:r w:rsidRPr="002C5876">
        <w:t>3.2.2.3.3</w:t>
      </w:r>
      <w:r w:rsidRPr="002C5876">
        <w:tab/>
        <w:t>Sauf indication contraire dans le présent appendice, le véhicule doit être soumis à la procédure d’essai du type 1 décrite à l’annexe 6.</w:t>
      </w:r>
    </w:p>
    <w:p w:rsidR="00E24DB7" w:rsidRPr="002C5876" w:rsidRDefault="00E24DB7" w:rsidP="00E24DB7">
      <w:pPr>
        <w:pStyle w:val="SingleTxtG"/>
        <w:ind w:left="2268" w:hanging="1134"/>
      </w:pPr>
      <w:r w:rsidRPr="002C5876">
        <w:t>3.2.2.3.4</w:t>
      </w:r>
      <w:r w:rsidRPr="002C5876">
        <w:tab/>
        <w:t>Afin d’obtenir un ensemble de cycles d’essai WLTP applicables en vue de déterminer les coefficients de correction, on peut faire suivre l’essai du nombre de séquences consécutives requis, conformément au paragraphe 2.2 du présent appendice, comprenant les opérations des paragraphes 3.2.2.2 et 3.2.2.3 dudit appendice.</w:t>
      </w:r>
    </w:p>
    <w:p w:rsidR="00686ABD" w:rsidRDefault="00686ABD" w:rsidP="00E24DB7">
      <w:pPr>
        <w:pStyle w:val="HChG"/>
        <w:sectPr w:rsidR="00686ABD" w:rsidSect="00CE537D">
          <w:headerReference w:type="even" r:id="rId193"/>
          <w:headerReference w:type="default" r:id="rId194"/>
          <w:endnotePr>
            <w:numFmt w:val="decimal"/>
          </w:endnotePr>
          <w:pgSz w:w="11907" w:h="16840" w:code="9"/>
          <w:pgMar w:top="1418" w:right="1134" w:bottom="1134" w:left="1134" w:header="680" w:footer="567" w:gutter="0"/>
          <w:cols w:space="720"/>
          <w:docGrid w:linePitch="272"/>
        </w:sectPr>
      </w:pPr>
    </w:p>
    <w:p w:rsidR="00E24DB7" w:rsidRPr="002C5876" w:rsidRDefault="00E24DB7" w:rsidP="00E24DB7">
      <w:pPr>
        <w:pStyle w:val="HChG"/>
      </w:pPr>
      <w:r w:rsidRPr="002C5876">
        <w:lastRenderedPageBreak/>
        <w:t>Annexe 8 − Appendice 3</w:t>
      </w:r>
    </w:p>
    <w:p w:rsidR="00E24DB7" w:rsidRPr="002C5876" w:rsidRDefault="00E24DB7" w:rsidP="00E24DB7">
      <w:pPr>
        <w:pStyle w:val="HChG"/>
      </w:pPr>
      <w:r w:rsidRPr="002C5876">
        <w:tab/>
      </w:r>
      <w:r w:rsidRPr="002C5876">
        <w:tab/>
        <w:t xml:space="preserve">Détermination du courant et de la tension des SRSEE </w:t>
      </w:r>
      <w:r w:rsidRPr="002C5876">
        <w:br/>
        <w:t xml:space="preserve">pour les VHE-NRE, VHE-RE, VEP et VHPC-NRE </w:t>
      </w:r>
    </w:p>
    <w:p w:rsidR="00E24DB7" w:rsidRPr="002C5876" w:rsidRDefault="00E24DB7" w:rsidP="00E24DB7">
      <w:pPr>
        <w:pStyle w:val="SingleTxtG"/>
        <w:ind w:left="2268" w:hanging="1134"/>
      </w:pPr>
      <w:r w:rsidRPr="002C5876">
        <w:t>1.</w:t>
      </w:r>
      <w:r w:rsidRPr="002C5876">
        <w:tab/>
        <w:t>Introduction</w:t>
      </w:r>
    </w:p>
    <w:p w:rsidR="00E24DB7" w:rsidRPr="002C5876" w:rsidRDefault="00E24DB7" w:rsidP="00E24DB7">
      <w:pPr>
        <w:pStyle w:val="SingleTxtG"/>
        <w:ind w:left="2268" w:hanging="1134"/>
      </w:pPr>
      <w:r w:rsidRPr="002C5876">
        <w:t>1.1</w:t>
      </w:r>
      <w:r w:rsidRPr="002C5876">
        <w:tab/>
        <w:t>Le présent appendice définit la méthode et les instruments à utiliser pour déterminer le courant et la tension des SRSEE des VHE-NRE, VHE-RE, VEP et VHPC-NRE.</w:t>
      </w:r>
    </w:p>
    <w:p w:rsidR="00E24DB7" w:rsidRPr="002C5876" w:rsidRDefault="00E24DB7" w:rsidP="00E24DB7">
      <w:pPr>
        <w:pStyle w:val="SingleTxtG"/>
        <w:ind w:left="2268" w:hanging="1134"/>
      </w:pPr>
      <w:r w:rsidRPr="002C5876">
        <w:t>1.2</w:t>
      </w:r>
      <w:r w:rsidRPr="002C5876">
        <w:tab/>
        <w:t>La mesure du courant et de la tension d’un SRSEE doit débuter au moment où débute l’essai et doit prendre fin à la fin de l’essai auquel le véhicule est soumis.</w:t>
      </w:r>
    </w:p>
    <w:p w:rsidR="00E24DB7" w:rsidRPr="002C5876" w:rsidRDefault="00E24DB7" w:rsidP="00E24DB7">
      <w:pPr>
        <w:pStyle w:val="SingleTxtG"/>
        <w:ind w:left="2268" w:hanging="1134"/>
      </w:pPr>
      <w:r w:rsidRPr="002C5876">
        <w:t>1.3</w:t>
      </w:r>
      <w:r w:rsidRPr="002C5876">
        <w:tab/>
        <w:t>Le courant et la tension du SRSEE doivent être déterminés pour chaque phase.</w:t>
      </w:r>
    </w:p>
    <w:p w:rsidR="00E24DB7" w:rsidRPr="002C5876" w:rsidRDefault="00E24DB7" w:rsidP="00E24DB7">
      <w:pPr>
        <w:pStyle w:val="SingleTxtG"/>
        <w:keepNext/>
        <w:ind w:left="2268" w:hanging="1134"/>
      </w:pPr>
      <w:r w:rsidRPr="002C5876">
        <w:t>1.4</w:t>
      </w:r>
      <w:r w:rsidRPr="002C5876">
        <w:tab/>
        <w:t>La liste des instruments employés par le constructeur pour mesurer la tension et le courant du SRSEE (comportant des informations sur le fabricant de l’instrument, la référence du modèle, le numéro de série et les dernières dates d’étalonnage (s’il y a lieu)) durant :</w:t>
      </w:r>
    </w:p>
    <w:p w:rsidR="00E24DB7" w:rsidRPr="002C5876" w:rsidRDefault="00E24DB7" w:rsidP="00E24DB7">
      <w:pPr>
        <w:pStyle w:val="SingleTxtG"/>
        <w:ind w:left="2835" w:hanging="567"/>
      </w:pPr>
      <w:r w:rsidRPr="002C5876">
        <w:t>a)</w:t>
      </w:r>
      <w:r w:rsidRPr="002C5876">
        <w:tab/>
        <w:t>L’essai du type 1 conformément au paragraphe 3 de la présente annexe ;</w:t>
      </w:r>
    </w:p>
    <w:p w:rsidR="00E24DB7" w:rsidRPr="002C5876" w:rsidRDefault="00E24DB7" w:rsidP="00E24DB7">
      <w:pPr>
        <w:pStyle w:val="SingleTxtG"/>
        <w:ind w:left="2835" w:hanging="567"/>
      </w:pPr>
      <w:r w:rsidRPr="002C5876">
        <w:t>b)</w:t>
      </w:r>
      <w:r w:rsidRPr="002C5876">
        <w:tab/>
        <w:t>La procédure permettant de déterminer les coefficients de correction conformément à l’appendice</w:t>
      </w:r>
      <w:r w:rsidR="00EA0F93">
        <w:t> </w:t>
      </w:r>
      <w:r w:rsidRPr="002C5876">
        <w:t>2 de la présente annexe (s’il y a lieu) ;</w:t>
      </w:r>
    </w:p>
    <w:p w:rsidR="00E24DB7" w:rsidRPr="002C5876" w:rsidRDefault="00E24DB7" w:rsidP="00E24DB7">
      <w:pPr>
        <w:pStyle w:val="SingleTxtG"/>
        <w:ind w:left="2835" w:hanging="567"/>
      </w:pPr>
      <w:r w:rsidRPr="002C5876">
        <w:t>c)</w:t>
      </w:r>
      <w:r w:rsidRPr="002C5876">
        <w:tab/>
        <w:t>Toute procédure pouvant être requise par une Partie contractante ;</w:t>
      </w:r>
    </w:p>
    <w:p w:rsidR="00E24DB7" w:rsidRPr="002C5876" w:rsidRDefault="00E24DB7" w:rsidP="00E24DB7">
      <w:pPr>
        <w:pStyle w:val="SingleTxtG"/>
        <w:ind w:left="2268"/>
      </w:pPr>
      <w:r w:rsidRPr="002C5876">
        <w:t>doit être communiquée à l’autorité compétente.</w:t>
      </w:r>
    </w:p>
    <w:p w:rsidR="00E24DB7" w:rsidRPr="002C5876" w:rsidRDefault="00E24DB7" w:rsidP="00E24DB7">
      <w:pPr>
        <w:pStyle w:val="SingleTxtG"/>
        <w:keepNext/>
        <w:ind w:left="2268" w:hanging="1134"/>
        <w:jc w:val="left"/>
      </w:pPr>
      <w:r w:rsidRPr="002C5876">
        <w:t>2.</w:t>
      </w:r>
      <w:r w:rsidRPr="002C5876">
        <w:tab/>
        <w:t>Courant du SRSEE</w:t>
      </w:r>
    </w:p>
    <w:p w:rsidR="00E24DB7" w:rsidRPr="002C5876" w:rsidRDefault="00E24DB7" w:rsidP="00E24DB7">
      <w:pPr>
        <w:pStyle w:val="SingleTxtG"/>
        <w:ind w:left="2268"/>
      </w:pPr>
      <w:r w:rsidRPr="002C5876">
        <w:t>L’épuisement de la charge du SRSEE est considéré comme un courant négatif.</w:t>
      </w:r>
    </w:p>
    <w:p w:rsidR="00E24DB7" w:rsidRPr="002C5876" w:rsidRDefault="00E24DB7" w:rsidP="00E24DB7">
      <w:pPr>
        <w:pStyle w:val="SingleTxtG"/>
        <w:keepNext/>
        <w:ind w:left="2268" w:hanging="1134"/>
        <w:jc w:val="left"/>
      </w:pPr>
      <w:r w:rsidRPr="002C5876">
        <w:t>2.1</w:t>
      </w:r>
      <w:r w:rsidRPr="002C5876">
        <w:tab/>
        <w:t>Mesure extérieure du courant du SRSEE</w:t>
      </w:r>
    </w:p>
    <w:p w:rsidR="00E24DB7" w:rsidRPr="002C5876" w:rsidRDefault="00E24DB7" w:rsidP="00E24DB7">
      <w:pPr>
        <w:pStyle w:val="SingleTxtG"/>
        <w:ind w:left="2268" w:hanging="1134"/>
      </w:pPr>
      <w:r w:rsidRPr="002C5876">
        <w:t>2.1.1</w:t>
      </w:r>
      <w:r w:rsidRPr="002C5876">
        <w:tab/>
        <w:t>Lors des essais, le ou les courants doivent être mesurés à l’aide d’un ampèremètre du type à pince ou en boucle fermée. Le système de mesure du courant doit satisfaire aux prescriptions du tableau A8/1 de la présente annexe. Le ou les transducteurs de courant doivent pouvoir faire face aux courants de pointe lors du démarrage du moteur et aux conditions thermiques au point de mesure.</w:t>
      </w:r>
    </w:p>
    <w:p w:rsidR="00E24DB7" w:rsidRPr="002C5876" w:rsidRDefault="00E24DB7" w:rsidP="00E24DB7">
      <w:pPr>
        <w:pStyle w:val="SingleTxtG"/>
        <w:ind w:left="2268"/>
      </w:pPr>
      <w:r w:rsidRPr="002C5876">
        <w:t>Pour une mesure précise, on effectuera un réglage du zéro et une démagnétisation avant l’essai conformément aux instructions du fabricant.</w:t>
      </w:r>
    </w:p>
    <w:p w:rsidR="00E24DB7" w:rsidRPr="002C5876" w:rsidRDefault="00E24DB7" w:rsidP="00E24DB7">
      <w:pPr>
        <w:pStyle w:val="SingleTxtG"/>
        <w:ind w:left="2268" w:hanging="1134"/>
      </w:pPr>
      <w:r w:rsidRPr="002C5876">
        <w:t>2.1.2</w:t>
      </w:r>
      <w:r w:rsidRPr="002C5876">
        <w:tab/>
        <w:t>Les transducteurs de courant doivent être reliés à l’un quelconque des SRSEE au moyen de l’un des conducteurs directement raccordés au SRSEE et doivent inclure la totalité du courant du SRSEE.</w:t>
      </w:r>
    </w:p>
    <w:p w:rsidR="00E24DB7" w:rsidRPr="002C5876" w:rsidRDefault="00E24DB7" w:rsidP="00E24DB7">
      <w:pPr>
        <w:pStyle w:val="SingleTxtG"/>
        <w:ind w:left="2268"/>
      </w:pPr>
      <w:r w:rsidRPr="002C5876">
        <w:t>Dans le cas de câbles blindés, des méthodes appropriées doivent être appliquées conformément aux instructions de l’autorité compétente.</w:t>
      </w:r>
    </w:p>
    <w:p w:rsidR="00E24DB7" w:rsidRPr="002C5876" w:rsidRDefault="00E24DB7" w:rsidP="00E24DB7">
      <w:pPr>
        <w:pStyle w:val="SingleTxtG"/>
        <w:ind w:left="2268"/>
      </w:pPr>
      <w:r w:rsidRPr="002C5876">
        <w:t>Pour faciliter la mesure du courant du SRSEE à l’aide d’un appareil de mesure extérieur, le constructeur devrait monter d’origine sur le véhicule des points de raccordement appropriés, sûrs et accessibles. Si cela n’est pas faisable, le constructeur est tenu d’aider l’autorité compétente en fournissant les moyens de relier de la manière décrite ci-dessus un transducteur de courant à l’un des conducteurs directement raccordés au SRSEE.</w:t>
      </w:r>
    </w:p>
    <w:p w:rsidR="00E24DB7" w:rsidRPr="002C5876" w:rsidRDefault="00E24DB7" w:rsidP="00E24DB7">
      <w:pPr>
        <w:pStyle w:val="SingleTxtG"/>
        <w:ind w:left="2268" w:hanging="1134"/>
      </w:pPr>
      <w:r w:rsidRPr="002C5876">
        <w:t>2.1.3</w:t>
      </w:r>
      <w:r w:rsidRPr="002C5876">
        <w:tab/>
        <w:t>Le courant à la sortie du transducteur doit être échantillonné à une fréquence de 20 Hz au minimum. Le courant mesuré doit être intégré dans le temps de façon à obtenir la valeur mesurée Q, exprimée en ampères-heures (Ah). L’intégration peut être effectuée dans le système de mesure du courant.</w:t>
      </w:r>
    </w:p>
    <w:p w:rsidR="00E24DB7" w:rsidRPr="002C5876" w:rsidRDefault="00E24DB7" w:rsidP="00E24DB7">
      <w:pPr>
        <w:pStyle w:val="SingleTxtG"/>
        <w:keepNext/>
        <w:ind w:left="2268" w:hanging="1134"/>
        <w:jc w:val="left"/>
      </w:pPr>
      <w:r w:rsidRPr="002C5876">
        <w:lastRenderedPageBreak/>
        <w:t>2.2</w:t>
      </w:r>
      <w:r w:rsidRPr="002C5876">
        <w:tab/>
        <w:t>Données des calculateurs embarqués</w:t>
      </w:r>
    </w:p>
    <w:p w:rsidR="00E24DB7" w:rsidRPr="002C5876" w:rsidRDefault="00E24DB7" w:rsidP="00E24DB7">
      <w:pPr>
        <w:pStyle w:val="SingleTxtG"/>
        <w:ind w:left="2268"/>
      </w:pPr>
      <w:r w:rsidRPr="002C5876">
        <w:t>Au lieu d’appliquer les dispositions du paragraphe 2.1 du présent appendice pour la mesure du courant d’un SRSEE, le constructeur peut également avoir recours aux données des calculateurs embarqués. L’exactitude de ces données doit être démontrée à l’autorité compétente.</w:t>
      </w:r>
    </w:p>
    <w:p w:rsidR="00E24DB7" w:rsidRPr="002C5876" w:rsidRDefault="00E24DB7" w:rsidP="00E24DB7">
      <w:pPr>
        <w:pStyle w:val="SingleTxtG"/>
        <w:keepNext/>
        <w:ind w:left="2268" w:hanging="1134"/>
        <w:jc w:val="left"/>
      </w:pPr>
      <w:r w:rsidRPr="002C5876">
        <w:t>3.</w:t>
      </w:r>
      <w:r w:rsidRPr="002C5876">
        <w:tab/>
        <w:t>Tension du SRSEE</w:t>
      </w:r>
    </w:p>
    <w:p w:rsidR="00E24DB7" w:rsidRPr="002C5876" w:rsidRDefault="00E24DB7" w:rsidP="00E24DB7">
      <w:pPr>
        <w:pStyle w:val="SingleTxtG"/>
        <w:keepNext/>
        <w:ind w:left="2268" w:hanging="1134"/>
        <w:jc w:val="left"/>
      </w:pPr>
      <w:r w:rsidRPr="002C5876">
        <w:t>3.1</w:t>
      </w:r>
      <w:r w:rsidRPr="002C5876">
        <w:tab/>
        <w:t>Mesure extérieure de la tension du SRSEE</w:t>
      </w:r>
    </w:p>
    <w:p w:rsidR="00E24DB7" w:rsidRPr="002C5876" w:rsidRDefault="00E24DB7" w:rsidP="00E24DB7">
      <w:pPr>
        <w:pStyle w:val="SingleTxtG"/>
        <w:ind w:left="2268"/>
      </w:pPr>
      <w:r w:rsidRPr="002C5876">
        <w:t>Lors des essais décrits au paragraphe 3 de la présente annexe, la tension du SRSEE doit être mesurée au moyen des appareils et selon les exigences de précision spécifiés au paragraphe 1.1 de la même annexe. Aux fins de la mesure de la tension du SRSEE à l’aide d’un appareil de mesure extérieur, les constructeurs doivent indiquer à l’autorité compétente des points de mesure.</w:t>
      </w:r>
    </w:p>
    <w:p w:rsidR="00E24DB7" w:rsidRPr="002C5876" w:rsidRDefault="00E24DB7" w:rsidP="00E24DB7">
      <w:pPr>
        <w:pStyle w:val="SingleTxtG"/>
        <w:keepNext/>
        <w:ind w:left="2268" w:hanging="1134"/>
        <w:jc w:val="left"/>
      </w:pPr>
      <w:r w:rsidRPr="002C5876">
        <w:t>3.2</w:t>
      </w:r>
      <w:r w:rsidRPr="002C5876">
        <w:tab/>
        <w:t>Tension nominale du SRSEE</w:t>
      </w:r>
    </w:p>
    <w:p w:rsidR="00E24DB7" w:rsidRPr="002C5876" w:rsidRDefault="00E24DB7" w:rsidP="00E24DB7">
      <w:pPr>
        <w:pStyle w:val="SingleTxtG"/>
        <w:ind w:left="2268"/>
      </w:pPr>
      <w:r w:rsidRPr="002C5876">
        <w:t xml:space="preserve">En ce qui concerne les VHE-NRE, les VHPC-NRE et les VHE-RE, plutôt que d’utiliser la tension mesurée conformément au paragraphe 3.1 du présent appendice, on peut se servir de la tension nominale du SRSEE, déterminée </w:t>
      </w:r>
      <w:r w:rsidRPr="002C5876">
        <w:rPr>
          <w:szCs w:val="24"/>
        </w:rPr>
        <w:t xml:space="preserve">selon la </w:t>
      </w:r>
      <w:r w:rsidRPr="002C5876">
        <w:t>CEI 60050-482.</w:t>
      </w:r>
    </w:p>
    <w:p w:rsidR="00E24DB7" w:rsidRPr="002C5876" w:rsidRDefault="00E24DB7" w:rsidP="00E24DB7">
      <w:pPr>
        <w:pStyle w:val="SingleTxtG"/>
        <w:keepNext/>
        <w:ind w:left="2268" w:hanging="1134"/>
        <w:jc w:val="left"/>
      </w:pPr>
      <w:r w:rsidRPr="002C5876">
        <w:t>3.3</w:t>
      </w:r>
      <w:r w:rsidRPr="002C5876">
        <w:tab/>
        <w:t>Données des calculateurs embarqués</w:t>
      </w:r>
    </w:p>
    <w:p w:rsidR="00E24DB7" w:rsidRPr="002C5876" w:rsidRDefault="00E24DB7" w:rsidP="00E24DB7">
      <w:pPr>
        <w:pStyle w:val="SingleTxtG"/>
        <w:ind w:left="2268"/>
      </w:pPr>
      <w:r w:rsidRPr="002C5876">
        <w:t>Au lieu d’appliquer les dispositions des paragraphes 3.1 et 3.2 ci-dessus, le constructeur peut avoir recours aux données des calculateurs embarqués. L’exactitude de ces données doit être démontrée à l’autorité compétente.</w:t>
      </w:r>
    </w:p>
    <w:p w:rsidR="00EA0F93" w:rsidRDefault="00EA0F93" w:rsidP="00E24DB7">
      <w:pPr>
        <w:pStyle w:val="HChG"/>
        <w:sectPr w:rsidR="00EA0F93" w:rsidSect="00CE537D">
          <w:headerReference w:type="even" r:id="rId195"/>
          <w:headerReference w:type="default" r:id="rId196"/>
          <w:endnotePr>
            <w:numFmt w:val="decimal"/>
          </w:endnotePr>
          <w:pgSz w:w="11907" w:h="16840" w:code="9"/>
          <w:pgMar w:top="1418" w:right="1134" w:bottom="1134" w:left="1134" w:header="680" w:footer="567" w:gutter="0"/>
          <w:cols w:space="720"/>
          <w:docGrid w:linePitch="272"/>
        </w:sectPr>
      </w:pPr>
    </w:p>
    <w:p w:rsidR="00E24DB7" w:rsidRPr="002C5876" w:rsidRDefault="00E24DB7" w:rsidP="00E24DB7">
      <w:pPr>
        <w:pStyle w:val="HChG"/>
      </w:pPr>
      <w:r w:rsidRPr="002C5876">
        <w:lastRenderedPageBreak/>
        <w:t>Annexe 8 − Appendice 4</w:t>
      </w:r>
    </w:p>
    <w:p w:rsidR="00E24DB7" w:rsidRPr="002C5876" w:rsidRDefault="00E24DB7" w:rsidP="00E24DB7">
      <w:pPr>
        <w:pStyle w:val="HChG"/>
      </w:pPr>
      <w:r w:rsidRPr="002C5876">
        <w:tab/>
      </w:r>
      <w:r w:rsidRPr="002C5876">
        <w:tab/>
        <w:t xml:space="preserve">Conditions de préconditionnement, de stabilisation thermique et de charge des SRSEE pour les VEP </w:t>
      </w:r>
      <w:r w:rsidRPr="002C5876">
        <w:br/>
        <w:t>et les VHE-RE</w:t>
      </w:r>
    </w:p>
    <w:p w:rsidR="00E24DB7" w:rsidRPr="002C5876" w:rsidRDefault="00E24DB7" w:rsidP="00E24DB7">
      <w:pPr>
        <w:pStyle w:val="SingleTxtG"/>
        <w:ind w:left="2268" w:hanging="1134"/>
        <w:rPr>
          <w:bCs/>
        </w:rPr>
      </w:pPr>
      <w:r w:rsidRPr="002C5876">
        <w:t>1.</w:t>
      </w:r>
      <w:r w:rsidRPr="002C5876">
        <w:tab/>
        <w:t>On trouvera dans le présent appendice la procédure à suivre pour le préconditionnement du SRSEE et du moteur à combustion en vue de préparer :</w:t>
      </w:r>
    </w:p>
    <w:p w:rsidR="00E24DB7" w:rsidRPr="002C5876" w:rsidRDefault="00E24DB7" w:rsidP="00E24DB7">
      <w:pPr>
        <w:pStyle w:val="SingleTxtG"/>
        <w:ind w:left="2835" w:hanging="567"/>
        <w:rPr>
          <w:bCs/>
        </w:rPr>
      </w:pPr>
      <w:r w:rsidRPr="002C5876">
        <w:t>a)</w:t>
      </w:r>
      <w:r w:rsidRPr="002C5876">
        <w:tab/>
        <w:t>Les mesures de l’autonomie électrique, de la décharge et du maintien de la charge dans le cadre de l’essai d’un VHE-RE ;</w:t>
      </w:r>
    </w:p>
    <w:p w:rsidR="00E24DB7" w:rsidRPr="002C5876" w:rsidRDefault="00E24DB7" w:rsidP="00E24DB7">
      <w:pPr>
        <w:pStyle w:val="SingleTxtG"/>
        <w:ind w:left="2835" w:hanging="567"/>
        <w:rPr>
          <w:bCs/>
        </w:rPr>
      </w:pPr>
      <w:r w:rsidRPr="002C5876">
        <w:t>b)</w:t>
      </w:r>
      <w:r w:rsidRPr="002C5876">
        <w:tab/>
        <w:t>Les mesures de l’autonomie électrique et de la consommation d’énergie électrique dans le cadre de l’essai d’un VEP.</w:t>
      </w:r>
    </w:p>
    <w:p w:rsidR="00E24DB7" w:rsidRPr="002C5876" w:rsidRDefault="00E24DB7" w:rsidP="00E24DB7">
      <w:pPr>
        <w:pStyle w:val="SingleTxtG"/>
        <w:ind w:left="2268" w:hanging="1134"/>
        <w:jc w:val="left"/>
        <w:rPr>
          <w:bCs/>
        </w:rPr>
      </w:pPr>
      <w:r w:rsidRPr="002C5876">
        <w:rPr>
          <w:bCs/>
        </w:rPr>
        <w:t>2.</w:t>
      </w:r>
      <w:r w:rsidRPr="002C5876">
        <w:rPr>
          <w:bCs/>
        </w:rPr>
        <w:tab/>
        <w:t>Préconditionnement et stabilisation thermique d’un VHE-RE</w:t>
      </w:r>
    </w:p>
    <w:p w:rsidR="00E24DB7" w:rsidRPr="002C5876" w:rsidRDefault="00E24DB7" w:rsidP="00E24DB7">
      <w:pPr>
        <w:pStyle w:val="SingleTxtG"/>
        <w:ind w:left="2268" w:hanging="1134"/>
        <w:jc w:val="left"/>
        <w:rPr>
          <w:bCs/>
        </w:rPr>
      </w:pPr>
      <w:r w:rsidRPr="002C5876">
        <w:rPr>
          <w:bCs/>
        </w:rPr>
        <w:t>2.1</w:t>
      </w:r>
      <w:r w:rsidRPr="002C5876">
        <w:rPr>
          <w:bCs/>
        </w:rPr>
        <w:tab/>
        <w:t>Préconditionnement et stabilisation thermique lorsque la procédure d’essai débute par un essai de maintien de la charge</w:t>
      </w:r>
    </w:p>
    <w:p w:rsidR="00E24DB7" w:rsidRPr="002C5876" w:rsidRDefault="00E24DB7" w:rsidP="00E24DB7">
      <w:pPr>
        <w:pStyle w:val="SingleTxtG"/>
        <w:ind w:left="2268" w:hanging="1134"/>
      </w:pPr>
      <w:r w:rsidRPr="002C5876">
        <w:t>2.1.1</w:t>
      </w:r>
      <w:r w:rsidRPr="002C5876">
        <w:tab/>
        <w:t>Pour le préconditionnement du moteur à combustion, il convient de soumettre le véhicule à un cycle d’essai WLTP applicable au minimum. Lors de chaque cycle de préconditionnement exécuté, le niveau de charge du SRSEE doit être déterminé. Le préconditionnement doit être arrêté à la fin du cycle d’essai WLTP applicable lorsqu’il est satisfait au critère de déconnexion automatique conformément aux dispositions du paragraphe 3.2.4.5 de la présente annexe.</w:t>
      </w:r>
    </w:p>
    <w:p w:rsidR="00E24DB7" w:rsidRPr="002C5876" w:rsidRDefault="00E24DB7" w:rsidP="00E24DB7">
      <w:pPr>
        <w:pStyle w:val="SingleTxtG"/>
        <w:ind w:left="2268" w:hanging="1134"/>
      </w:pPr>
      <w:r w:rsidRPr="002C5876">
        <w:t>2.1.2</w:t>
      </w:r>
      <w:r w:rsidRPr="002C5876">
        <w:tab/>
        <w:t>Au lieu d’appliquer les dispositions du paragraphe 2.1.1 du présent appendice, il est également possible, à la demande du constructeur et avec l’accord de l’autorité compétente, de fixer le niveau de charge du SRSEE pour l’essai du type 1 en mode maintien de la charge suivant la recommandation du constructeur, de manière à exécuter un essai de maintien de la charge.</w:t>
      </w:r>
    </w:p>
    <w:p w:rsidR="00E24DB7" w:rsidRPr="002C5876" w:rsidRDefault="00E24DB7" w:rsidP="00E24DB7">
      <w:pPr>
        <w:pStyle w:val="SingleTxtG"/>
        <w:ind w:left="2268"/>
      </w:pPr>
      <w:r w:rsidRPr="002C5876">
        <w:t>Dans ce cas, on aura recours à une procédure de préconditionnement telle que celle applicable aux véhicules équipés uniquement d’un moteur à combustion interne décrite au paragraphe 2.6 de l’annexe 6.</w:t>
      </w:r>
    </w:p>
    <w:p w:rsidR="00E24DB7" w:rsidRPr="002C5876" w:rsidRDefault="00E24DB7" w:rsidP="00E24DB7">
      <w:pPr>
        <w:pStyle w:val="SingleTxtG"/>
        <w:ind w:left="2268" w:hanging="1134"/>
      </w:pPr>
      <w:r w:rsidRPr="002C5876">
        <w:t>2.1.3</w:t>
      </w:r>
      <w:r w:rsidRPr="002C5876">
        <w:tab/>
        <w:t>La stabilisation thermique du véhicule doit s’effectuer conformément aux prescriptions du paragraphe 2.7 de l’annexe 6.</w:t>
      </w:r>
    </w:p>
    <w:p w:rsidR="00E24DB7" w:rsidRPr="002C5876" w:rsidRDefault="00E24DB7" w:rsidP="00E24DB7">
      <w:pPr>
        <w:pStyle w:val="SingleTxtG"/>
        <w:ind w:left="2268" w:hanging="1134"/>
        <w:jc w:val="left"/>
        <w:rPr>
          <w:bCs/>
        </w:rPr>
      </w:pPr>
      <w:r w:rsidRPr="002C5876">
        <w:rPr>
          <w:bCs/>
        </w:rPr>
        <w:t>2.2</w:t>
      </w:r>
      <w:r w:rsidRPr="002C5876">
        <w:rPr>
          <w:bCs/>
        </w:rPr>
        <w:tab/>
        <w:t>Préconditionnement et stabilisation thermique lorsque la procédure d’essai débute par un essai d’épuisement de la charge</w:t>
      </w:r>
    </w:p>
    <w:p w:rsidR="00E24DB7" w:rsidRPr="002C5876" w:rsidRDefault="00E24DB7" w:rsidP="00E24DB7">
      <w:pPr>
        <w:spacing w:after="120"/>
        <w:ind w:left="2268" w:right="1134" w:hanging="1134"/>
        <w:jc w:val="both"/>
      </w:pPr>
      <w:r w:rsidRPr="002C5876">
        <w:t>2.2.1</w:t>
      </w:r>
      <w:r w:rsidRPr="002C5876">
        <w:tab/>
        <w:t>Les VHE-RE doivent être soumis à un cycle d’essai WLTP applicable au minimum. Lors de chaque cycle de préconditionnement exécuté, le niveau de charge du SRSEE doit être déterminé. Le préconditionnement doit être arrêté à la fin du cycle d’essai WLTP applicable lorsqu’il est satisfait au critère de déconnexion automatique conformément aux dispositions du paragraphe 3.2.4.5 de la présente annexe.</w:t>
      </w:r>
    </w:p>
    <w:p w:rsidR="00E24DB7" w:rsidRPr="002C5876" w:rsidRDefault="00E24DB7" w:rsidP="00E24DB7">
      <w:pPr>
        <w:spacing w:after="120"/>
        <w:ind w:left="2268" w:right="1134" w:hanging="1134"/>
        <w:jc w:val="both"/>
        <w:rPr>
          <w:spacing w:val="-2"/>
        </w:rPr>
      </w:pPr>
      <w:r w:rsidRPr="002C5876">
        <w:rPr>
          <w:spacing w:val="-2"/>
        </w:rPr>
        <w:t>2.2.2</w:t>
      </w:r>
      <w:r w:rsidRPr="002C5876">
        <w:rPr>
          <w:spacing w:val="-2"/>
        </w:rPr>
        <w:tab/>
        <w:t xml:space="preserve">La stabilisation thermique du véhicule doit s’effectuer conformément aux prescriptions du paragraphe 2.7 de l’annexe 6. Les véhicules préconditionnés en vue de l’essai du type 1 ne doivent pas être soumis à un refroidissement forcé. </w:t>
      </w:r>
      <w:r w:rsidRPr="002C5876">
        <w:t>Lors de la stabilisation thermique, le SRSEE doit être chargé conformément à la procédure de charge normale décrite ci-après.</w:t>
      </w:r>
    </w:p>
    <w:p w:rsidR="00E24DB7" w:rsidRPr="002C5876" w:rsidRDefault="00E24DB7" w:rsidP="00E24DB7">
      <w:pPr>
        <w:pStyle w:val="SingleTxtG"/>
        <w:keepNext/>
        <w:ind w:left="2268" w:hanging="1134"/>
        <w:jc w:val="left"/>
        <w:rPr>
          <w:bCs/>
        </w:rPr>
      </w:pPr>
      <w:r w:rsidRPr="002C5876">
        <w:rPr>
          <w:bCs/>
        </w:rPr>
        <w:t>2.2.3</w:t>
      </w:r>
      <w:r w:rsidRPr="002C5876">
        <w:rPr>
          <w:bCs/>
        </w:rPr>
        <w:tab/>
        <w:t>Application d’une charge normale</w:t>
      </w:r>
    </w:p>
    <w:p w:rsidR="00E24DB7" w:rsidRPr="002C5876" w:rsidRDefault="00E24DB7" w:rsidP="00E24DB7">
      <w:pPr>
        <w:pStyle w:val="SingleTxtG"/>
        <w:keepNext/>
        <w:ind w:left="2268" w:hanging="1134"/>
        <w:rPr>
          <w:bCs/>
        </w:rPr>
      </w:pPr>
      <w:r w:rsidRPr="002C5876">
        <w:rPr>
          <w:bCs/>
        </w:rPr>
        <w:t>2.2.3.1</w:t>
      </w:r>
      <w:r w:rsidRPr="002C5876">
        <w:rPr>
          <w:bCs/>
        </w:rPr>
        <w:tab/>
        <w:t>Le SRSEE doit être chargé à la température ambiante, comme indiqué au paragraphe 2.2.2.2 de l’annexe 6 :</w:t>
      </w:r>
    </w:p>
    <w:p w:rsidR="00E24DB7" w:rsidRPr="002C5876" w:rsidRDefault="00E24DB7" w:rsidP="00E24DB7">
      <w:pPr>
        <w:pStyle w:val="SingleTxtG"/>
        <w:ind w:left="2835" w:hanging="567"/>
        <w:rPr>
          <w:bCs/>
        </w:rPr>
      </w:pPr>
      <w:r w:rsidRPr="002C5876">
        <w:rPr>
          <w:bCs/>
        </w:rPr>
        <w:t>a)</w:t>
      </w:r>
      <w:r w:rsidRPr="002C5876">
        <w:rPr>
          <w:bCs/>
        </w:rPr>
        <w:tab/>
        <w:t>Au moyen du chargeur embarqué, si un tel chargeur existe ;</w:t>
      </w:r>
    </w:p>
    <w:p w:rsidR="00E24DB7" w:rsidRPr="002C5876" w:rsidRDefault="00E24DB7" w:rsidP="00E24DB7">
      <w:pPr>
        <w:pStyle w:val="SingleTxtG"/>
        <w:ind w:left="2835" w:hanging="567"/>
        <w:rPr>
          <w:bCs/>
        </w:rPr>
      </w:pPr>
      <w:r w:rsidRPr="002C5876">
        <w:rPr>
          <w:bCs/>
        </w:rPr>
        <w:t>b)</w:t>
      </w:r>
      <w:r w:rsidRPr="002C5876">
        <w:rPr>
          <w:bCs/>
        </w:rPr>
        <w:tab/>
        <w:t>Au moyen d’un chargeur externe recommandé par le constructeur, en suivant le mode de charge prescrit pour une charge normale.</w:t>
      </w:r>
    </w:p>
    <w:p w:rsidR="00E24DB7" w:rsidRPr="002C5876" w:rsidRDefault="00E24DB7" w:rsidP="00E24DB7">
      <w:pPr>
        <w:pStyle w:val="SingleTxtG"/>
        <w:ind w:left="2268"/>
      </w:pPr>
      <w:r w:rsidRPr="002C5876">
        <w:lastRenderedPageBreak/>
        <w:t>Ces méthodes excluent tous les types de recharges spéciales qui pourraient être lancées automatiquement ou manuellement, comme par exemple les recharges d’égalisation ou d’entretien. Le constructeur doit déclarer qu’il n’y a pas eu d’opération de recharge spéciale au cours de l’essai.</w:t>
      </w:r>
    </w:p>
    <w:p w:rsidR="00E24DB7" w:rsidRPr="002C5876" w:rsidRDefault="00E24DB7" w:rsidP="00E24DB7">
      <w:pPr>
        <w:pStyle w:val="SingleTxtG"/>
        <w:keepNext/>
        <w:keepLines/>
        <w:ind w:left="2268" w:hanging="1134"/>
        <w:jc w:val="left"/>
        <w:rPr>
          <w:bCs/>
        </w:rPr>
      </w:pPr>
      <w:r w:rsidRPr="002C5876">
        <w:rPr>
          <w:bCs/>
        </w:rPr>
        <w:t>2.2.3.2</w:t>
      </w:r>
      <w:r w:rsidRPr="002C5876">
        <w:rPr>
          <w:bCs/>
        </w:rPr>
        <w:tab/>
        <w:t>Critère de fin de charge</w:t>
      </w:r>
    </w:p>
    <w:p w:rsidR="00E24DB7" w:rsidRPr="002C5876" w:rsidRDefault="00E24DB7" w:rsidP="00E24DB7">
      <w:pPr>
        <w:pStyle w:val="SingleTxtG"/>
        <w:ind w:left="2268"/>
      </w:pPr>
      <w:r w:rsidRPr="002C5876">
        <w:t>Il est satisfait au critère de fin de charge lorsque les instruments embarqués ou externes détectent une charge complète pour le SRSEE.</w:t>
      </w:r>
    </w:p>
    <w:p w:rsidR="00E24DB7" w:rsidRPr="002C5876" w:rsidRDefault="00E24DB7" w:rsidP="00E24DB7">
      <w:pPr>
        <w:pStyle w:val="SingleTxtG"/>
        <w:keepNext/>
        <w:keepLines/>
        <w:ind w:left="2268" w:hanging="1134"/>
        <w:jc w:val="left"/>
        <w:rPr>
          <w:bCs/>
        </w:rPr>
      </w:pPr>
      <w:r w:rsidRPr="002C5876">
        <w:rPr>
          <w:bCs/>
        </w:rPr>
        <w:t>3.</w:t>
      </w:r>
      <w:r w:rsidRPr="002C5876">
        <w:rPr>
          <w:bCs/>
        </w:rPr>
        <w:tab/>
        <w:t>Préconditionnement d’un VEP</w:t>
      </w:r>
    </w:p>
    <w:p w:rsidR="00E24DB7" w:rsidRPr="002C5876" w:rsidRDefault="00E24DB7" w:rsidP="00E24DB7">
      <w:pPr>
        <w:pStyle w:val="SingleTxtG"/>
        <w:keepNext/>
        <w:keepLines/>
        <w:ind w:left="2268" w:hanging="1134"/>
        <w:jc w:val="left"/>
        <w:rPr>
          <w:bCs/>
        </w:rPr>
      </w:pPr>
      <w:r w:rsidRPr="002C5876">
        <w:rPr>
          <w:bCs/>
        </w:rPr>
        <w:t>3.1</w:t>
      </w:r>
      <w:r w:rsidRPr="002C5876">
        <w:rPr>
          <w:bCs/>
        </w:rPr>
        <w:tab/>
        <w:t>Charge initiale du SRSEE</w:t>
      </w:r>
    </w:p>
    <w:p w:rsidR="00E24DB7" w:rsidRPr="002C5876" w:rsidRDefault="00E24DB7" w:rsidP="00E24DB7">
      <w:pPr>
        <w:pStyle w:val="SingleTxtG"/>
        <w:ind w:left="2268"/>
      </w:pPr>
      <w:r w:rsidRPr="002C5876">
        <w:t>Pour charger le SRSEE initialement, il convient de le décharger puis d’appliquer une charge normale.</w:t>
      </w:r>
    </w:p>
    <w:p w:rsidR="00E24DB7" w:rsidRPr="002C5876" w:rsidRDefault="00E24DB7" w:rsidP="00E24DB7">
      <w:pPr>
        <w:pStyle w:val="SingleTxtG"/>
        <w:keepNext/>
        <w:keepLines/>
        <w:ind w:left="2268" w:hanging="1134"/>
        <w:jc w:val="left"/>
        <w:rPr>
          <w:bCs/>
        </w:rPr>
      </w:pPr>
      <w:r w:rsidRPr="002C5876">
        <w:rPr>
          <w:bCs/>
        </w:rPr>
        <w:t>3.1.1</w:t>
      </w:r>
      <w:r w:rsidRPr="002C5876">
        <w:rPr>
          <w:bCs/>
        </w:rPr>
        <w:tab/>
        <w:t>Décharge du SRSEE</w:t>
      </w:r>
    </w:p>
    <w:p w:rsidR="00E24DB7" w:rsidRPr="002C5876" w:rsidRDefault="00E24DB7" w:rsidP="00E24DB7">
      <w:pPr>
        <w:pStyle w:val="SingleTxtG"/>
        <w:ind w:left="2268"/>
      </w:pPr>
      <w:r w:rsidRPr="002C5876">
        <w:t>La procédure d’épuisement de la charge doit être exécutée conformément à la recommandation du constructeur. Ce dernier doit garantir que le SRSEE est déchargé autant qu’il est possible de le faire au moyen de la procédure d’épuisement de la charge.</w:t>
      </w:r>
    </w:p>
    <w:p w:rsidR="00E24DB7" w:rsidRPr="002C5876" w:rsidRDefault="00E24DB7" w:rsidP="00E24DB7">
      <w:pPr>
        <w:pStyle w:val="SingleTxtG"/>
        <w:keepNext/>
        <w:keepLines/>
        <w:ind w:left="2268" w:hanging="1134"/>
        <w:jc w:val="left"/>
        <w:rPr>
          <w:bCs/>
        </w:rPr>
      </w:pPr>
      <w:r w:rsidRPr="002C5876">
        <w:rPr>
          <w:bCs/>
        </w:rPr>
        <w:t>3.1.2</w:t>
      </w:r>
      <w:r w:rsidRPr="002C5876">
        <w:rPr>
          <w:bCs/>
        </w:rPr>
        <w:tab/>
        <w:t>Application d’une charge normale</w:t>
      </w:r>
    </w:p>
    <w:p w:rsidR="00E24DB7" w:rsidRPr="002C5876" w:rsidRDefault="00E24DB7" w:rsidP="00E24DB7">
      <w:pPr>
        <w:pStyle w:val="SingleTxtG"/>
        <w:ind w:left="2268"/>
      </w:pPr>
      <w:r w:rsidRPr="002C5876">
        <w:t>Le SRSEE doit être chargé conformément aux dispositions du paragraphe 2.2.3.1 du présent appendice.</w:t>
      </w:r>
    </w:p>
    <w:p w:rsidR="003C552E" w:rsidRDefault="003C552E" w:rsidP="00E24DB7">
      <w:pPr>
        <w:pStyle w:val="HChG"/>
        <w:sectPr w:rsidR="003C552E" w:rsidSect="00CE537D">
          <w:headerReference w:type="even" r:id="rId197"/>
          <w:headerReference w:type="default" r:id="rId198"/>
          <w:endnotePr>
            <w:numFmt w:val="decimal"/>
          </w:endnotePr>
          <w:pgSz w:w="11907" w:h="16840" w:code="9"/>
          <w:pgMar w:top="1418" w:right="1134" w:bottom="1134" w:left="1134" w:header="680" w:footer="567" w:gutter="0"/>
          <w:cols w:space="720"/>
          <w:docGrid w:linePitch="272"/>
        </w:sectPr>
      </w:pPr>
    </w:p>
    <w:p w:rsidR="00E24DB7" w:rsidRPr="002C5876" w:rsidRDefault="00E24DB7" w:rsidP="00E24DB7">
      <w:pPr>
        <w:pStyle w:val="HChG"/>
      </w:pPr>
      <w:r w:rsidRPr="002C5876">
        <w:lastRenderedPageBreak/>
        <w:t>Annexe 8 − Appendice 5</w:t>
      </w:r>
    </w:p>
    <w:p w:rsidR="00E24DB7" w:rsidRPr="002C5876" w:rsidRDefault="00E24DB7" w:rsidP="00E24DB7">
      <w:pPr>
        <w:pStyle w:val="HChG"/>
      </w:pPr>
      <w:r w:rsidRPr="002C5876">
        <w:tab/>
      </w:r>
      <w:r w:rsidRPr="002C5876">
        <w:tab/>
        <w:t>Facteurs d’utilisation pour les VHE-RE</w:t>
      </w:r>
    </w:p>
    <w:p w:rsidR="00E24DB7" w:rsidRPr="002C5876" w:rsidRDefault="00E24DB7" w:rsidP="00E24DB7">
      <w:pPr>
        <w:pStyle w:val="SingleTxtG"/>
        <w:ind w:left="2268" w:hanging="1134"/>
      </w:pPr>
      <w:r w:rsidRPr="002C5876">
        <w:t>1.</w:t>
      </w:r>
      <w:r w:rsidRPr="002C5876">
        <w:tab/>
        <w:t>Chaque Partie contractante peut définir ses propres facteurs d’utilisation.</w:t>
      </w:r>
    </w:p>
    <w:p w:rsidR="00E24DB7" w:rsidRPr="002C5876" w:rsidRDefault="00E24DB7" w:rsidP="00E24DB7">
      <w:pPr>
        <w:pStyle w:val="SingleTxtG"/>
        <w:ind w:left="2268" w:hanging="1134"/>
      </w:pPr>
      <w:r w:rsidRPr="002C5876">
        <w:t>2.</w:t>
      </w:r>
      <w:r w:rsidRPr="002C5876">
        <w:tab/>
        <w:t>La méthode recommandée pour obtenir une courbe des facteurs d’utilisation sur la base des statistiques de conduite est présentée dans la norme SAE J2841 (de septembre 2010 ; norme publiée en mars 2009 et révisée en septembre 2010).</w:t>
      </w:r>
    </w:p>
    <w:p w:rsidR="00E24DB7" w:rsidRPr="002C5876" w:rsidRDefault="00E24DB7" w:rsidP="00E24DB7">
      <w:pPr>
        <w:pStyle w:val="SingleTxtG"/>
        <w:ind w:left="2268" w:hanging="1134"/>
        <w:rPr>
          <w:bCs/>
          <w:lang w:eastAsia="de-DE"/>
        </w:rPr>
      </w:pPr>
      <w:r w:rsidRPr="002C5876">
        <w:rPr>
          <w:bCs/>
          <w:lang w:eastAsia="de-DE"/>
        </w:rPr>
        <w:t>3.</w:t>
      </w:r>
      <w:r w:rsidRPr="002C5876">
        <w:rPr>
          <w:bCs/>
          <w:lang w:eastAsia="de-DE"/>
        </w:rPr>
        <w:tab/>
        <w:t>Pour le calcul d’un facteur d’utilisation partiel, UF</w:t>
      </w:r>
      <w:r w:rsidRPr="002C5876">
        <w:rPr>
          <w:bCs/>
          <w:vertAlign w:val="subscript"/>
          <w:lang w:eastAsia="de-DE"/>
        </w:rPr>
        <w:t>j</w:t>
      </w:r>
      <w:r w:rsidRPr="002C5876">
        <w:rPr>
          <w:bCs/>
          <w:lang w:eastAsia="de-DE"/>
        </w:rPr>
        <w:t>, aux fins de la pondération de la période j, on applique l’équation suivante en utilisant les coefficients du tableau A8.App5/1 :</w:t>
      </w:r>
    </w:p>
    <w:p w:rsidR="00E24DB7" w:rsidRPr="002C5876" w:rsidRDefault="00731CA6" w:rsidP="00E24DB7">
      <w:pPr>
        <w:pStyle w:val="SingleTxtG"/>
        <w:spacing w:after="240"/>
        <w:ind w:left="2268"/>
        <w:jc w:val="center"/>
        <w:rPr>
          <w:bCs/>
          <w:lang w:eastAsia="de-DE"/>
        </w:rPr>
      </w:pPr>
      <m:oMathPara>
        <m:oMath>
          <m:sSub>
            <m:sSubPr>
              <m:ctrlPr>
                <w:rPr>
                  <w:rFonts w:ascii="Cambria Math" w:hAnsi="Cambria Math" w:cstheme="majorBidi"/>
                </w:rPr>
              </m:ctrlPr>
            </m:sSubPr>
            <m:e>
              <m:r>
                <m:rPr>
                  <m:sty m:val="p"/>
                </m:rPr>
                <w:rPr>
                  <w:rFonts w:ascii="Cambria Math" w:hAnsi="Cambria Math" w:cstheme="majorBidi"/>
                </w:rPr>
                <m:t>UF</m:t>
              </m:r>
            </m:e>
            <m:sub>
              <m:r>
                <m:rPr>
                  <m:sty m:val="p"/>
                </m:rPr>
                <w:rPr>
                  <w:rFonts w:ascii="Cambria Math" w:hAnsi="Cambria Math" w:cstheme="majorBidi"/>
                </w:rPr>
                <m:t>j</m:t>
              </m:r>
            </m:sub>
          </m:sSub>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d</m:t>
                  </m:r>
                </m:e>
                <m:sub>
                  <m:r>
                    <m:rPr>
                      <m:sty m:val="p"/>
                    </m:rPr>
                    <w:rPr>
                      <w:rFonts w:ascii="Cambria Math" w:hAnsi="Cambria Math" w:cstheme="majorBidi"/>
                    </w:rPr>
                    <m:t>j</m:t>
                  </m:r>
                </m:sub>
              </m:sSub>
            </m:e>
          </m:d>
          <m:r>
            <m:rPr>
              <m:sty m:val="p"/>
            </m:rPr>
            <w:rPr>
              <w:rFonts w:ascii="Cambria Math" w:hAnsi="Cambria Math" w:cstheme="majorBidi"/>
            </w:rPr>
            <m:t>=1-exp</m:t>
          </m:r>
          <m:d>
            <m:dPr>
              <m:begChr m:val="{"/>
              <m:endChr m:val="}"/>
              <m:ctrlPr>
                <w:rPr>
                  <w:rFonts w:ascii="Cambria Math" w:hAnsi="Cambria Math" w:cstheme="majorBidi"/>
                </w:rPr>
              </m:ctrlPr>
            </m:dPr>
            <m:e>
              <m:r>
                <m:rPr>
                  <m:sty m:val="p"/>
                </m:rPr>
                <w:rPr>
                  <w:rFonts w:ascii="Cambria Math" w:hAnsi="Cambria Math" w:cstheme="majorBidi"/>
                </w:rPr>
                <m:t>-</m:t>
              </m:r>
              <m:d>
                <m:dPr>
                  <m:ctrlPr>
                    <w:rPr>
                      <w:rFonts w:ascii="Cambria Math" w:hAnsi="Cambria Math" w:cstheme="majorBidi"/>
                    </w:rPr>
                  </m:ctrlPr>
                </m:dPr>
                <m:e>
                  <m:nary>
                    <m:naryPr>
                      <m:chr m:val="∑"/>
                      <m:limLoc m:val="undOvr"/>
                      <m:ctrlPr>
                        <w:rPr>
                          <w:rFonts w:ascii="Cambria Math" w:hAnsi="Cambria Math" w:cstheme="majorBidi"/>
                        </w:rPr>
                      </m:ctrlPr>
                    </m:naryPr>
                    <m:sub>
                      <m:r>
                        <m:rPr>
                          <m:sty m:val="p"/>
                        </m:rPr>
                        <w:rPr>
                          <w:rFonts w:ascii="Cambria Math" w:hAnsi="Cambria Math" w:cstheme="majorBidi"/>
                        </w:rPr>
                        <m:t>i=1</m:t>
                      </m:r>
                    </m:sub>
                    <m:sup>
                      <m:r>
                        <m:rPr>
                          <m:sty m:val="p"/>
                        </m:rPr>
                        <w:rPr>
                          <w:rFonts w:ascii="Cambria Math" w:hAnsi="Cambria Math" w:cstheme="majorBidi"/>
                        </w:rPr>
                        <m:t>k</m:t>
                      </m:r>
                    </m:sup>
                    <m:e>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i</m:t>
                          </m:r>
                        </m:sub>
                      </m:sSub>
                    </m:e>
                  </m:nary>
                  <m:r>
                    <m:rPr>
                      <m:sty m:val="p"/>
                    </m:rPr>
                    <w:rPr>
                      <w:rFonts w:ascii="Cambria Math" w:hAnsi="Cambria Math" w:cstheme="majorBidi"/>
                    </w:rPr>
                    <m:t>×</m:t>
                  </m:r>
                  <m:sSup>
                    <m:sSupPr>
                      <m:ctrlPr>
                        <w:rPr>
                          <w:rFonts w:ascii="Cambria Math" w:hAnsi="Cambria Math" w:cstheme="majorBidi"/>
                        </w:rPr>
                      </m:ctrlPr>
                    </m:sSupPr>
                    <m:e>
                      <m:d>
                        <m:dPr>
                          <m:ctrlPr>
                            <w:rPr>
                              <w:rFonts w:ascii="Cambria Math" w:hAnsi="Cambria Math" w:cstheme="majorBidi"/>
                            </w:rPr>
                          </m:ctrlPr>
                        </m:dPr>
                        <m:e>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d</m:t>
                                  </m:r>
                                </m:e>
                                <m:sub>
                                  <m:r>
                                    <m:rPr>
                                      <m:sty m:val="p"/>
                                    </m:rPr>
                                    <w:rPr>
                                      <w:rFonts w:ascii="Cambria Math" w:hAnsi="Cambria Math" w:cstheme="majorBidi"/>
                                    </w:rPr>
                                    <m:t>j</m:t>
                                  </m:r>
                                </m:sub>
                              </m:sSub>
                            </m:num>
                            <m:den>
                              <m:sSub>
                                <m:sSubPr>
                                  <m:ctrlPr>
                                    <w:rPr>
                                      <w:rFonts w:ascii="Cambria Math" w:hAnsi="Cambria Math" w:cstheme="majorBidi"/>
                                    </w:rPr>
                                  </m:ctrlPr>
                                </m:sSubPr>
                                <m:e>
                                  <m:r>
                                    <m:rPr>
                                      <m:sty m:val="p"/>
                                    </m:rPr>
                                    <w:rPr>
                                      <w:rFonts w:ascii="Cambria Math" w:hAnsi="Cambria Math" w:cstheme="majorBidi"/>
                                    </w:rPr>
                                    <m:t>d</m:t>
                                  </m:r>
                                </m:e>
                                <m:sub>
                                  <m:r>
                                    <m:rPr>
                                      <m:sty m:val="p"/>
                                    </m:rPr>
                                    <w:rPr>
                                      <w:rFonts w:ascii="Cambria Math" w:hAnsi="Cambria Math" w:cstheme="majorBidi"/>
                                    </w:rPr>
                                    <m:t>n</m:t>
                                  </m:r>
                                </m:sub>
                              </m:sSub>
                            </m:den>
                          </m:f>
                        </m:e>
                      </m:d>
                    </m:e>
                    <m:sup>
                      <m:r>
                        <m:rPr>
                          <m:sty m:val="p"/>
                        </m:rPr>
                        <w:rPr>
                          <w:rFonts w:ascii="Cambria Math" w:hAnsi="Cambria Math" w:cstheme="majorBidi"/>
                        </w:rPr>
                        <m:t>i</m:t>
                      </m:r>
                    </m:sup>
                  </m:sSup>
                </m:e>
              </m:d>
            </m:e>
          </m:d>
          <m:r>
            <m:rPr>
              <m:sty m:val="p"/>
            </m:rPr>
            <w:rPr>
              <w:rFonts w:ascii="Cambria Math" w:hAnsi="Cambria Math" w:cstheme="majorBidi"/>
            </w:rPr>
            <m:t>-</m:t>
          </m:r>
          <m:nary>
            <m:naryPr>
              <m:chr m:val="∑"/>
              <m:limLoc m:val="undOvr"/>
              <m:ctrlPr>
                <w:rPr>
                  <w:rFonts w:ascii="Cambria Math" w:hAnsi="Cambria Math" w:cstheme="majorBidi"/>
                </w:rPr>
              </m:ctrlPr>
            </m:naryPr>
            <m:sub>
              <m:r>
                <m:rPr>
                  <m:sty m:val="p"/>
                </m:rPr>
                <w:rPr>
                  <w:rFonts w:ascii="Cambria Math" w:hAnsi="Cambria Math" w:cstheme="majorBidi"/>
                </w:rPr>
                <m:t>l=1</m:t>
              </m:r>
            </m:sub>
            <m:sup>
              <m:r>
                <m:rPr>
                  <m:sty m:val="p"/>
                </m:rPr>
                <w:rPr>
                  <w:rFonts w:ascii="Cambria Math" w:hAnsi="Cambria Math" w:cstheme="majorBidi"/>
                </w:rPr>
                <m:t>j-1</m:t>
              </m:r>
            </m:sup>
            <m:e>
              <m:sSub>
                <m:sSubPr>
                  <m:ctrlPr>
                    <w:rPr>
                      <w:rFonts w:ascii="Cambria Math" w:hAnsi="Cambria Math" w:cstheme="majorBidi"/>
                    </w:rPr>
                  </m:ctrlPr>
                </m:sSubPr>
                <m:e>
                  <m:r>
                    <m:rPr>
                      <m:sty m:val="p"/>
                    </m:rPr>
                    <w:rPr>
                      <w:rFonts w:ascii="Cambria Math" w:hAnsi="Cambria Math" w:cstheme="majorBidi"/>
                    </w:rPr>
                    <m:t>UF</m:t>
                  </m:r>
                </m:e>
                <m:sub>
                  <m:r>
                    <m:rPr>
                      <m:sty m:val="p"/>
                    </m:rPr>
                    <w:rPr>
                      <w:rFonts w:ascii="Cambria Math" w:hAnsi="Cambria Math" w:cstheme="majorBidi"/>
                    </w:rPr>
                    <m:t>l</m:t>
                  </m:r>
                </m:sub>
              </m:sSub>
            </m:e>
          </m:nary>
        </m:oMath>
      </m:oMathPara>
    </w:p>
    <w:p w:rsidR="00E24DB7" w:rsidRPr="002C5876" w:rsidRDefault="00E24DB7" w:rsidP="00E24DB7">
      <w:pPr>
        <w:pStyle w:val="SingleTxtG"/>
        <w:keepNext/>
        <w:ind w:left="2268"/>
      </w:pPr>
      <w:r w:rsidRPr="002C5876">
        <w:t>où :</w:t>
      </w:r>
    </w:p>
    <w:p w:rsidR="00E24DB7" w:rsidRPr="002C5876" w:rsidRDefault="00E24DB7" w:rsidP="00E24DB7">
      <w:pPr>
        <w:pStyle w:val="SingleTxtG"/>
        <w:ind w:left="3232" w:hanging="964"/>
        <w:rPr>
          <w:vertAlign w:val="subscript"/>
        </w:rPr>
      </w:pPr>
      <w:r w:rsidRPr="002C5876">
        <w:t>UF</w:t>
      </w:r>
      <w:r w:rsidRPr="002C5876">
        <w:rPr>
          <w:vertAlign w:val="subscript"/>
        </w:rPr>
        <w:t>j</w:t>
      </w:r>
      <w:r w:rsidRPr="002C5876">
        <w:tab/>
        <w:t>est le facteur d’utilisation pour la période j ;</w:t>
      </w:r>
    </w:p>
    <w:p w:rsidR="00E24DB7" w:rsidRPr="002C5876" w:rsidRDefault="00E24DB7" w:rsidP="00E24DB7">
      <w:pPr>
        <w:pStyle w:val="SingleTxtG"/>
        <w:ind w:left="3232" w:hanging="964"/>
      </w:pPr>
      <w:r w:rsidRPr="002C5876">
        <w:t>d</w:t>
      </w:r>
      <w:r w:rsidRPr="002C5876">
        <w:rPr>
          <w:vertAlign w:val="subscript"/>
        </w:rPr>
        <w:t>j</w:t>
      </w:r>
      <w:r w:rsidRPr="002C5876">
        <w:tab/>
        <w:t>est la distance parcourue constatée à la fin de la période j, en km ;</w:t>
      </w:r>
    </w:p>
    <w:p w:rsidR="00E24DB7" w:rsidRPr="002C5876" w:rsidRDefault="00E24DB7" w:rsidP="00E24DB7">
      <w:pPr>
        <w:pStyle w:val="SingleTxtG"/>
        <w:ind w:left="3232" w:hanging="964"/>
      </w:pPr>
      <w:r w:rsidRPr="002C5876">
        <w:t>C</w:t>
      </w:r>
      <w:r w:rsidRPr="002C5876">
        <w:rPr>
          <w:vertAlign w:val="subscript"/>
        </w:rPr>
        <w:t>i</w:t>
      </w:r>
      <w:r w:rsidRPr="002C5876">
        <w:tab/>
        <w:t>est le i</w:t>
      </w:r>
      <w:r w:rsidRPr="002C5876">
        <w:rPr>
          <w:vertAlign w:val="superscript"/>
        </w:rPr>
        <w:t>e</w:t>
      </w:r>
      <w:r w:rsidRPr="002C5876">
        <w:t xml:space="preserve"> coefficient (voir le tableau A8.App5/1) ;</w:t>
      </w:r>
    </w:p>
    <w:p w:rsidR="00E24DB7" w:rsidRPr="002C5876" w:rsidRDefault="00E24DB7" w:rsidP="00E24DB7">
      <w:pPr>
        <w:pStyle w:val="SingleTxtG"/>
        <w:ind w:left="3232" w:hanging="964"/>
      </w:pPr>
      <w:r w:rsidRPr="002C5876">
        <w:t>d</w:t>
      </w:r>
      <w:r w:rsidRPr="002C5876">
        <w:rPr>
          <w:vertAlign w:val="subscript"/>
        </w:rPr>
        <w:t>n</w:t>
      </w:r>
      <w:r w:rsidRPr="002C5876">
        <w:tab/>
        <w:t>est la distance normalisée (voir le tableau A8.App5/1), en km ;</w:t>
      </w:r>
    </w:p>
    <w:p w:rsidR="00E24DB7" w:rsidRPr="002C5876" w:rsidRDefault="00E24DB7" w:rsidP="00E24DB7">
      <w:pPr>
        <w:pStyle w:val="SingleTxtG"/>
        <w:ind w:left="3232" w:hanging="964"/>
      </w:pPr>
      <w:r w:rsidRPr="002C5876">
        <w:t>k</w:t>
      </w:r>
      <w:r w:rsidRPr="002C5876">
        <w:tab/>
        <w:t>est le nombre de termes et de coefficients dans l’exposant ;</w:t>
      </w:r>
    </w:p>
    <w:p w:rsidR="00E24DB7" w:rsidRPr="002C5876" w:rsidRDefault="00E24DB7" w:rsidP="00E24DB7">
      <w:pPr>
        <w:pStyle w:val="SingleTxtG"/>
        <w:ind w:left="3232" w:hanging="964"/>
      </w:pPr>
      <w:r w:rsidRPr="002C5876">
        <w:t>j</w:t>
      </w:r>
      <w:r w:rsidRPr="002C5876">
        <w:tab/>
        <w:t>est le numéro d’ordre de la période considérée ;</w:t>
      </w:r>
    </w:p>
    <w:p w:rsidR="00E24DB7" w:rsidRPr="002C5876" w:rsidRDefault="00E24DB7" w:rsidP="00E24DB7">
      <w:pPr>
        <w:pStyle w:val="SingleTxtG"/>
        <w:ind w:left="3232" w:hanging="964"/>
      </w:pPr>
      <w:r w:rsidRPr="002C5876">
        <w:t>i</w:t>
      </w:r>
      <w:r w:rsidRPr="002C5876">
        <w:tab/>
        <w:t>est le numéro d’ordre du terme/coefficient considéré ;</w:t>
      </w:r>
    </w:p>
    <w:p w:rsidR="00E24DB7" w:rsidRPr="002C5876" w:rsidRDefault="00E24DB7" w:rsidP="00E24DB7">
      <w:pPr>
        <w:pStyle w:val="SingleTxtG"/>
        <w:ind w:left="3232" w:hanging="964"/>
      </w:pPr>
      <w:r w:rsidRPr="002C5876">
        <w:rPr>
          <w:noProof/>
          <w:position w:val="-16"/>
          <w:lang w:val="en-GB" w:eastAsia="zh-CN"/>
        </w:rPr>
        <w:drawing>
          <wp:inline distT="0" distB="0" distL="0" distR="0" wp14:anchorId="6B05462A" wp14:editId="4461A408">
            <wp:extent cx="533400" cy="295275"/>
            <wp:effectExtent l="0" t="0" r="0" b="9525"/>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33400" cy="295275"/>
                    </a:xfrm>
                    <a:prstGeom prst="rect">
                      <a:avLst/>
                    </a:prstGeom>
                    <a:noFill/>
                    <a:ln>
                      <a:noFill/>
                    </a:ln>
                  </pic:spPr>
                </pic:pic>
              </a:graphicData>
            </a:graphic>
          </wp:inline>
        </w:drawing>
      </w:r>
      <w:r w:rsidRPr="002C5876">
        <w:tab/>
        <w:t>est la somme des facteurs d’utilisation calculés jusqu’à la période (j-1).</w:t>
      </w:r>
    </w:p>
    <w:p w:rsidR="00E24DB7" w:rsidRPr="002C5876" w:rsidRDefault="00E24DB7" w:rsidP="00E24DB7">
      <w:pPr>
        <w:pStyle w:val="H23G"/>
      </w:pPr>
      <w:r w:rsidRPr="002C5876">
        <w:rPr>
          <w:b w:val="0"/>
          <w:lang w:eastAsia="de-DE"/>
        </w:rPr>
        <w:tab/>
      </w:r>
      <w:r w:rsidRPr="002C5876">
        <w:rPr>
          <w:b w:val="0"/>
          <w:lang w:eastAsia="de-DE"/>
        </w:rPr>
        <w:tab/>
        <w:t>Tableau A8.App5/1</w:t>
      </w:r>
      <w:r w:rsidRPr="002C5876">
        <w:rPr>
          <w:lang w:eastAsia="de-DE"/>
        </w:rPr>
        <w:br/>
        <w:t xml:space="preserve">Paramètres à prendre en compte pour la détermination régionale </w:t>
      </w:r>
      <w:r w:rsidRPr="002C5876">
        <w:rPr>
          <w:lang w:eastAsia="de-DE"/>
        </w:rPr>
        <w:br/>
        <w:t xml:space="preserve">des facteurs d’utilisation partiels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80"/>
        <w:gridCol w:w="1266"/>
        <w:gridCol w:w="1094"/>
        <w:gridCol w:w="1623"/>
        <w:gridCol w:w="2007"/>
      </w:tblGrid>
      <w:tr w:rsidR="00E24DB7" w:rsidRPr="002C5876" w:rsidTr="00E24DB7">
        <w:trPr>
          <w:tblHeader/>
        </w:trPr>
        <w:tc>
          <w:tcPr>
            <w:tcW w:w="1361" w:type="dxa"/>
            <w:tcBorders>
              <w:bottom w:val="single" w:sz="12" w:space="0" w:color="auto"/>
            </w:tcBorders>
            <w:shd w:val="clear" w:color="auto" w:fill="auto"/>
            <w:vAlign w:val="bottom"/>
          </w:tcPr>
          <w:p w:rsidR="00E24DB7" w:rsidRPr="002C5876" w:rsidRDefault="00E24DB7" w:rsidP="00E24DB7">
            <w:pPr>
              <w:suppressAutoHyphens w:val="0"/>
              <w:spacing w:before="80" w:after="80" w:line="200" w:lineRule="exact"/>
              <w:ind w:left="57" w:right="57"/>
              <w:rPr>
                <w:i/>
                <w:sz w:val="16"/>
              </w:rPr>
            </w:pPr>
            <w:r w:rsidRPr="002C5876">
              <w:rPr>
                <w:i/>
                <w:sz w:val="16"/>
              </w:rPr>
              <w:t>Paramètre</w:t>
            </w:r>
          </w:p>
        </w:tc>
        <w:tc>
          <w:tcPr>
            <w:tcW w:w="1248" w:type="dxa"/>
            <w:tcBorders>
              <w:bottom w:val="single" w:sz="12" w:space="0" w:color="auto"/>
            </w:tcBorders>
            <w:shd w:val="clear" w:color="auto" w:fill="auto"/>
            <w:vAlign w:val="bottom"/>
          </w:tcPr>
          <w:p w:rsidR="00E24DB7" w:rsidRPr="002C5876" w:rsidRDefault="00E24DB7" w:rsidP="00565678">
            <w:pPr>
              <w:suppressAutoHyphens w:val="0"/>
              <w:spacing w:before="80" w:after="80" w:line="200" w:lineRule="exact"/>
              <w:ind w:left="57" w:right="57"/>
              <w:rPr>
                <w:i/>
                <w:sz w:val="16"/>
              </w:rPr>
            </w:pPr>
            <w:r w:rsidRPr="002C5876">
              <w:rPr>
                <w:i/>
                <w:sz w:val="16"/>
              </w:rPr>
              <w:t>Europe</w:t>
            </w:r>
          </w:p>
        </w:tc>
        <w:tc>
          <w:tcPr>
            <w:tcW w:w="1079" w:type="dxa"/>
            <w:tcBorders>
              <w:bottom w:val="single" w:sz="12" w:space="0" w:color="auto"/>
            </w:tcBorders>
            <w:shd w:val="clear" w:color="auto" w:fill="auto"/>
            <w:vAlign w:val="bottom"/>
          </w:tcPr>
          <w:p w:rsidR="00E24DB7" w:rsidRPr="002C5876" w:rsidRDefault="00E24DB7" w:rsidP="00565678">
            <w:pPr>
              <w:suppressAutoHyphens w:val="0"/>
              <w:spacing w:before="80" w:after="80" w:line="200" w:lineRule="exact"/>
              <w:ind w:left="57" w:right="57"/>
              <w:rPr>
                <w:i/>
                <w:sz w:val="16"/>
              </w:rPr>
            </w:pPr>
            <w:r w:rsidRPr="002C5876">
              <w:rPr>
                <w:i/>
                <w:sz w:val="16"/>
              </w:rPr>
              <w:t>Japon</w:t>
            </w:r>
          </w:p>
        </w:tc>
        <w:tc>
          <w:tcPr>
            <w:tcW w:w="1601" w:type="dxa"/>
            <w:tcBorders>
              <w:bottom w:val="single" w:sz="12" w:space="0" w:color="auto"/>
            </w:tcBorders>
            <w:shd w:val="clear" w:color="auto" w:fill="auto"/>
            <w:vAlign w:val="bottom"/>
          </w:tcPr>
          <w:p w:rsidR="00E24DB7" w:rsidRPr="002C5876" w:rsidRDefault="00E24DB7" w:rsidP="00565678">
            <w:pPr>
              <w:suppressAutoHyphens w:val="0"/>
              <w:spacing w:before="80" w:after="80" w:line="200" w:lineRule="exact"/>
              <w:ind w:left="57" w:right="57"/>
              <w:rPr>
                <w:i/>
                <w:sz w:val="16"/>
              </w:rPr>
            </w:pPr>
            <w:r w:rsidRPr="002C5876">
              <w:rPr>
                <w:i/>
                <w:sz w:val="16"/>
              </w:rPr>
              <w:t>États-Unis (parc)</w:t>
            </w:r>
          </w:p>
        </w:tc>
        <w:tc>
          <w:tcPr>
            <w:tcW w:w="1979" w:type="dxa"/>
            <w:tcBorders>
              <w:bottom w:val="single" w:sz="12" w:space="0" w:color="auto"/>
            </w:tcBorders>
            <w:shd w:val="clear" w:color="auto" w:fill="auto"/>
            <w:vAlign w:val="bottom"/>
          </w:tcPr>
          <w:p w:rsidR="00E24DB7" w:rsidRPr="002C5876" w:rsidRDefault="00E24DB7" w:rsidP="00565678">
            <w:pPr>
              <w:suppressAutoHyphens w:val="0"/>
              <w:spacing w:before="80" w:after="80" w:line="200" w:lineRule="exact"/>
              <w:ind w:left="57" w:right="57"/>
              <w:rPr>
                <w:i/>
                <w:sz w:val="16"/>
              </w:rPr>
            </w:pPr>
            <w:r w:rsidRPr="002C5876">
              <w:rPr>
                <w:i/>
                <w:sz w:val="16"/>
              </w:rPr>
              <w:t>États-Unis (individuel)</w:t>
            </w:r>
          </w:p>
        </w:tc>
      </w:tr>
      <w:tr w:rsidR="00E24DB7" w:rsidRPr="002C5876" w:rsidTr="00E24DB7">
        <w:tc>
          <w:tcPr>
            <w:tcW w:w="1361" w:type="dxa"/>
            <w:tcBorders>
              <w:top w:val="single" w:sz="12" w:space="0" w:color="auto"/>
            </w:tcBorders>
            <w:shd w:val="clear" w:color="auto" w:fill="auto"/>
          </w:tcPr>
          <w:p w:rsidR="00E24DB7" w:rsidRPr="002C5876" w:rsidRDefault="00E24DB7" w:rsidP="00E24DB7">
            <w:pPr>
              <w:suppressAutoHyphens w:val="0"/>
              <w:spacing w:before="60" w:after="60" w:line="220" w:lineRule="exact"/>
              <w:ind w:left="57" w:right="57"/>
              <w:rPr>
                <w:sz w:val="18"/>
                <w:szCs w:val="18"/>
              </w:rPr>
            </w:pPr>
            <w:r w:rsidRPr="002C5876">
              <w:rPr>
                <w:sz w:val="18"/>
                <w:szCs w:val="18"/>
              </w:rPr>
              <w:t>d</w:t>
            </w:r>
            <w:r w:rsidRPr="002C5876">
              <w:rPr>
                <w:sz w:val="18"/>
                <w:szCs w:val="18"/>
                <w:vertAlign w:val="subscript"/>
              </w:rPr>
              <w:t>n</w:t>
            </w:r>
          </w:p>
        </w:tc>
        <w:tc>
          <w:tcPr>
            <w:tcW w:w="1248" w:type="dxa"/>
            <w:tcBorders>
              <w:top w:val="single" w:sz="12" w:space="0" w:color="auto"/>
            </w:tcBorders>
            <w:shd w:val="clear" w:color="auto" w:fill="auto"/>
            <w:vAlign w:val="bottom"/>
          </w:tcPr>
          <w:p w:rsidR="00E24DB7" w:rsidRPr="002C5876" w:rsidRDefault="00E24DB7" w:rsidP="00565678">
            <w:pPr>
              <w:suppressAutoHyphens w:val="0"/>
              <w:spacing w:before="60" w:after="60" w:line="220" w:lineRule="exact"/>
              <w:ind w:left="57" w:right="57"/>
              <w:rPr>
                <w:sz w:val="18"/>
                <w:szCs w:val="18"/>
              </w:rPr>
            </w:pPr>
            <w:r w:rsidRPr="002C5876">
              <w:rPr>
                <w:sz w:val="18"/>
                <w:szCs w:val="18"/>
              </w:rPr>
              <w:t>800 km</w:t>
            </w:r>
          </w:p>
        </w:tc>
        <w:tc>
          <w:tcPr>
            <w:tcW w:w="1079" w:type="dxa"/>
            <w:tcBorders>
              <w:top w:val="single" w:sz="12" w:space="0" w:color="auto"/>
            </w:tcBorders>
            <w:shd w:val="clear" w:color="auto" w:fill="auto"/>
            <w:vAlign w:val="bottom"/>
          </w:tcPr>
          <w:p w:rsidR="00E24DB7" w:rsidRPr="002C5876" w:rsidRDefault="00E24DB7" w:rsidP="00565678">
            <w:pPr>
              <w:suppressAutoHyphens w:val="0"/>
              <w:spacing w:before="60" w:after="60" w:line="220" w:lineRule="exact"/>
              <w:ind w:left="57" w:right="57"/>
              <w:rPr>
                <w:sz w:val="18"/>
                <w:szCs w:val="18"/>
              </w:rPr>
            </w:pPr>
            <w:r w:rsidRPr="002C5876">
              <w:rPr>
                <w:sz w:val="18"/>
                <w:szCs w:val="18"/>
              </w:rPr>
              <w:t>400 km</w:t>
            </w:r>
          </w:p>
        </w:tc>
        <w:tc>
          <w:tcPr>
            <w:tcW w:w="1601" w:type="dxa"/>
            <w:tcBorders>
              <w:top w:val="single" w:sz="12" w:space="0" w:color="auto"/>
            </w:tcBorders>
            <w:shd w:val="clear" w:color="auto" w:fill="auto"/>
            <w:vAlign w:val="bottom"/>
          </w:tcPr>
          <w:p w:rsidR="00E24DB7" w:rsidRPr="002C5876" w:rsidRDefault="00E24DB7" w:rsidP="00565678">
            <w:pPr>
              <w:suppressAutoHyphens w:val="0"/>
              <w:spacing w:before="60" w:after="60" w:line="220" w:lineRule="exact"/>
              <w:ind w:left="57" w:right="57"/>
              <w:rPr>
                <w:sz w:val="18"/>
                <w:szCs w:val="18"/>
              </w:rPr>
            </w:pPr>
            <w:r w:rsidRPr="002C5876">
              <w:rPr>
                <w:sz w:val="18"/>
                <w:szCs w:val="18"/>
              </w:rPr>
              <w:t>399,9 miles</w:t>
            </w:r>
          </w:p>
        </w:tc>
        <w:tc>
          <w:tcPr>
            <w:tcW w:w="1979" w:type="dxa"/>
            <w:tcBorders>
              <w:top w:val="single" w:sz="12" w:space="0" w:color="auto"/>
            </w:tcBorders>
            <w:shd w:val="clear" w:color="auto" w:fill="auto"/>
            <w:vAlign w:val="bottom"/>
          </w:tcPr>
          <w:p w:rsidR="00E24DB7" w:rsidRPr="002C5876" w:rsidRDefault="00E24DB7" w:rsidP="00565678">
            <w:pPr>
              <w:suppressAutoHyphens w:val="0"/>
              <w:spacing w:before="60" w:after="60" w:line="220" w:lineRule="exact"/>
              <w:ind w:left="57" w:right="57"/>
              <w:rPr>
                <w:sz w:val="18"/>
                <w:szCs w:val="18"/>
              </w:rPr>
            </w:pPr>
            <w:r w:rsidRPr="002C5876">
              <w:rPr>
                <w:sz w:val="18"/>
                <w:szCs w:val="18"/>
              </w:rPr>
              <w:t>400 miles</w:t>
            </w:r>
          </w:p>
        </w:tc>
      </w:tr>
      <w:tr w:rsidR="00E24DB7" w:rsidRPr="002C5876" w:rsidTr="00E24DB7">
        <w:tc>
          <w:tcPr>
            <w:tcW w:w="1361" w:type="dxa"/>
            <w:shd w:val="clear" w:color="auto" w:fill="auto"/>
          </w:tcPr>
          <w:p w:rsidR="00E24DB7" w:rsidRPr="002C5876" w:rsidRDefault="00E24DB7" w:rsidP="00E24DB7">
            <w:pPr>
              <w:suppressAutoHyphens w:val="0"/>
              <w:spacing w:before="60" w:after="60" w:line="220" w:lineRule="exact"/>
              <w:ind w:left="57" w:right="57"/>
              <w:rPr>
                <w:rFonts w:eastAsia="Arial Unicode MS"/>
                <w:sz w:val="18"/>
                <w:szCs w:val="18"/>
              </w:rPr>
            </w:pPr>
            <w:r w:rsidRPr="002C5876">
              <w:rPr>
                <w:rFonts w:eastAsia="Arial Unicode MS"/>
                <w:sz w:val="18"/>
                <w:szCs w:val="18"/>
              </w:rPr>
              <w:t>C1</w:t>
            </w:r>
          </w:p>
        </w:tc>
        <w:tc>
          <w:tcPr>
            <w:tcW w:w="1248" w:type="dxa"/>
            <w:shd w:val="clear" w:color="auto" w:fill="auto"/>
            <w:vAlign w:val="bottom"/>
          </w:tcPr>
          <w:p w:rsidR="00E24DB7" w:rsidRPr="002C5876" w:rsidRDefault="00E24DB7" w:rsidP="00565678">
            <w:pPr>
              <w:suppressAutoHyphens w:val="0"/>
              <w:spacing w:before="60" w:after="60" w:line="220" w:lineRule="exact"/>
              <w:ind w:left="57" w:right="57"/>
              <w:rPr>
                <w:rFonts w:eastAsia="Arial Unicode MS"/>
                <w:sz w:val="18"/>
                <w:szCs w:val="18"/>
              </w:rPr>
            </w:pPr>
            <w:r w:rsidRPr="002C5876">
              <w:rPr>
                <w:rFonts w:eastAsia="Arial Unicode MS"/>
                <w:sz w:val="18"/>
                <w:szCs w:val="18"/>
              </w:rPr>
              <w:t>26,25</w:t>
            </w:r>
          </w:p>
        </w:tc>
        <w:tc>
          <w:tcPr>
            <w:tcW w:w="1079" w:type="dxa"/>
            <w:shd w:val="clear" w:color="auto" w:fill="auto"/>
            <w:vAlign w:val="bottom"/>
          </w:tcPr>
          <w:p w:rsidR="00E24DB7" w:rsidRPr="002C5876" w:rsidRDefault="00E24DB7" w:rsidP="00565678">
            <w:pPr>
              <w:suppressAutoHyphens w:val="0"/>
              <w:spacing w:before="60" w:after="60" w:line="220" w:lineRule="exact"/>
              <w:ind w:left="57" w:right="57"/>
              <w:rPr>
                <w:rFonts w:eastAsia="Arial Unicode MS"/>
                <w:sz w:val="18"/>
                <w:szCs w:val="18"/>
              </w:rPr>
            </w:pPr>
            <w:r w:rsidRPr="002C5876">
              <w:rPr>
                <w:rFonts w:eastAsia="Arial Unicode MS"/>
                <w:sz w:val="18"/>
                <w:szCs w:val="18"/>
              </w:rPr>
              <w:t>11,9</w:t>
            </w:r>
          </w:p>
        </w:tc>
        <w:tc>
          <w:tcPr>
            <w:tcW w:w="1601" w:type="dxa"/>
            <w:shd w:val="clear" w:color="auto" w:fill="auto"/>
            <w:vAlign w:val="bottom"/>
          </w:tcPr>
          <w:p w:rsidR="00E24DB7" w:rsidRPr="002C5876" w:rsidRDefault="00E24DB7" w:rsidP="00565678">
            <w:pPr>
              <w:suppressAutoHyphens w:val="0"/>
              <w:spacing w:before="60" w:after="60" w:line="220" w:lineRule="exact"/>
              <w:ind w:left="57" w:right="57"/>
              <w:rPr>
                <w:rFonts w:eastAsia="Arial Unicode MS"/>
                <w:sz w:val="18"/>
                <w:szCs w:val="18"/>
              </w:rPr>
            </w:pPr>
            <w:r w:rsidRPr="002C5876">
              <w:rPr>
                <w:rFonts w:eastAsia="Arial Unicode MS"/>
                <w:sz w:val="18"/>
                <w:szCs w:val="18"/>
              </w:rPr>
              <w:t>10,52</w:t>
            </w:r>
          </w:p>
        </w:tc>
        <w:tc>
          <w:tcPr>
            <w:tcW w:w="1979" w:type="dxa"/>
            <w:shd w:val="clear" w:color="auto" w:fill="auto"/>
            <w:vAlign w:val="bottom"/>
          </w:tcPr>
          <w:p w:rsidR="00E24DB7" w:rsidRPr="002C5876" w:rsidRDefault="00E24DB7" w:rsidP="00565678">
            <w:pPr>
              <w:suppressAutoHyphens w:val="0"/>
              <w:spacing w:before="60" w:after="60" w:line="220" w:lineRule="exact"/>
              <w:ind w:left="57" w:right="57"/>
              <w:rPr>
                <w:rFonts w:eastAsia="Arial Unicode MS"/>
                <w:sz w:val="18"/>
                <w:szCs w:val="18"/>
              </w:rPr>
            </w:pPr>
            <w:r w:rsidRPr="002C5876">
              <w:rPr>
                <w:rFonts w:eastAsia="Arial Unicode MS"/>
                <w:sz w:val="18"/>
                <w:szCs w:val="18"/>
              </w:rPr>
              <w:t>13,1</w:t>
            </w:r>
          </w:p>
        </w:tc>
      </w:tr>
      <w:tr w:rsidR="00E24DB7" w:rsidRPr="002C5876" w:rsidTr="00E24DB7">
        <w:tc>
          <w:tcPr>
            <w:tcW w:w="1361" w:type="dxa"/>
            <w:shd w:val="clear" w:color="auto" w:fill="auto"/>
          </w:tcPr>
          <w:p w:rsidR="00E24DB7" w:rsidRPr="002C5876" w:rsidRDefault="00E24DB7" w:rsidP="00E24DB7">
            <w:pPr>
              <w:suppressAutoHyphens w:val="0"/>
              <w:spacing w:before="60" w:after="60" w:line="220" w:lineRule="exact"/>
              <w:ind w:left="57" w:right="57"/>
              <w:rPr>
                <w:rFonts w:eastAsia="Arial Unicode MS"/>
                <w:sz w:val="18"/>
                <w:szCs w:val="18"/>
              </w:rPr>
            </w:pPr>
            <w:r w:rsidRPr="002C5876">
              <w:rPr>
                <w:rFonts w:eastAsia="Arial Unicode MS"/>
                <w:sz w:val="18"/>
                <w:szCs w:val="18"/>
              </w:rPr>
              <w:t>C2</w:t>
            </w:r>
          </w:p>
        </w:tc>
        <w:tc>
          <w:tcPr>
            <w:tcW w:w="1248" w:type="dxa"/>
            <w:shd w:val="clear" w:color="auto" w:fill="auto"/>
            <w:vAlign w:val="bottom"/>
          </w:tcPr>
          <w:p w:rsidR="00E24DB7" w:rsidRPr="002C5876" w:rsidRDefault="00E24DB7" w:rsidP="00565678">
            <w:pPr>
              <w:suppressAutoHyphens w:val="0"/>
              <w:spacing w:before="60" w:after="60" w:line="220" w:lineRule="exact"/>
              <w:ind w:left="57" w:right="57"/>
              <w:rPr>
                <w:rFonts w:eastAsia="Arial Unicode MS"/>
                <w:sz w:val="18"/>
                <w:szCs w:val="18"/>
              </w:rPr>
            </w:pPr>
            <w:r w:rsidRPr="002C5876">
              <w:rPr>
                <w:rFonts w:eastAsia="Arial Unicode MS"/>
                <w:sz w:val="18"/>
                <w:szCs w:val="18"/>
              </w:rPr>
              <w:t>-38,94</w:t>
            </w:r>
          </w:p>
        </w:tc>
        <w:tc>
          <w:tcPr>
            <w:tcW w:w="1079" w:type="dxa"/>
            <w:shd w:val="clear" w:color="auto" w:fill="auto"/>
            <w:vAlign w:val="bottom"/>
          </w:tcPr>
          <w:p w:rsidR="00E24DB7" w:rsidRPr="002C5876" w:rsidRDefault="00E24DB7" w:rsidP="00565678">
            <w:pPr>
              <w:suppressAutoHyphens w:val="0"/>
              <w:spacing w:before="60" w:after="60" w:line="220" w:lineRule="exact"/>
              <w:ind w:left="57" w:right="57"/>
              <w:rPr>
                <w:rFonts w:eastAsia="Arial Unicode MS"/>
                <w:sz w:val="18"/>
                <w:szCs w:val="18"/>
              </w:rPr>
            </w:pPr>
            <w:r w:rsidRPr="002C5876">
              <w:rPr>
                <w:rFonts w:eastAsia="Arial Unicode MS"/>
                <w:sz w:val="18"/>
                <w:szCs w:val="18"/>
              </w:rPr>
              <w:t>-32,5</w:t>
            </w:r>
          </w:p>
        </w:tc>
        <w:tc>
          <w:tcPr>
            <w:tcW w:w="1601" w:type="dxa"/>
            <w:shd w:val="clear" w:color="auto" w:fill="auto"/>
            <w:vAlign w:val="bottom"/>
          </w:tcPr>
          <w:p w:rsidR="00E24DB7" w:rsidRPr="002C5876" w:rsidRDefault="00E24DB7" w:rsidP="00565678">
            <w:pPr>
              <w:suppressAutoHyphens w:val="0"/>
              <w:spacing w:before="60" w:after="60" w:line="220" w:lineRule="exact"/>
              <w:ind w:left="57" w:right="57"/>
              <w:rPr>
                <w:rFonts w:eastAsia="Arial Unicode MS"/>
                <w:sz w:val="18"/>
                <w:szCs w:val="18"/>
              </w:rPr>
            </w:pPr>
            <w:r w:rsidRPr="002C5876">
              <w:rPr>
                <w:rFonts w:eastAsia="Arial Unicode MS"/>
                <w:sz w:val="18"/>
                <w:szCs w:val="18"/>
              </w:rPr>
              <w:t>-7,282</w:t>
            </w:r>
          </w:p>
        </w:tc>
        <w:tc>
          <w:tcPr>
            <w:tcW w:w="1979" w:type="dxa"/>
            <w:shd w:val="clear" w:color="auto" w:fill="auto"/>
            <w:vAlign w:val="bottom"/>
          </w:tcPr>
          <w:p w:rsidR="00E24DB7" w:rsidRPr="002C5876" w:rsidRDefault="00E24DB7" w:rsidP="00565678">
            <w:pPr>
              <w:suppressAutoHyphens w:val="0"/>
              <w:spacing w:before="60" w:after="60" w:line="220" w:lineRule="exact"/>
              <w:ind w:left="57" w:right="57"/>
              <w:rPr>
                <w:rFonts w:eastAsia="Arial Unicode MS"/>
                <w:sz w:val="18"/>
                <w:szCs w:val="18"/>
              </w:rPr>
            </w:pPr>
            <w:r w:rsidRPr="002C5876">
              <w:rPr>
                <w:rFonts w:eastAsia="Arial Unicode MS"/>
                <w:sz w:val="18"/>
                <w:szCs w:val="18"/>
              </w:rPr>
              <w:t>-18,7</w:t>
            </w:r>
          </w:p>
        </w:tc>
      </w:tr>
      <w:tr w:rsidR="00E24DB7" w:rsidRPr="002C5876" w:rsidTr="00E24DB7">
        <w:tc>
          <w:tcPr>
            <w:tcW w:w="1361" w:type="dxa"/>
            <w:shd w:val="clear" w:color="auto" w:fill="auto"/>
          </w:tcPr>
          <w:p w:rsidR="00E24DB7" w:rsidRPr="002C5876" w:rsidRDefault="00E24DB7" w:rsidP="00E24DB7">
            <w:pPr>
              <w:suppressAutoHyphens w:val="0"/>
              <w:spacing w:before="60" w:after="60" w:line="220" w:lineRule="exact"/>
              <w:ind w:left="57" w:right="57"/>
              <w:rPr>
                <w:sz w:val="18"/>
                <w:szCs w:val="18"/>
              </w:rPr>
            </w:pPr>
            <w:r w:rsidRPr="002C5876">
              <w:rPr>
                <w:sz w:val="18"/>
                <w:szCs w:val="18"/>
              </w:rPr>
              <w:t>C3</w:t>
            </w:r>
          </w:p>
        </w:tc>
        <w:tc>
          <w:tcPr>
            <w:tcW w:w="1248" w:type="dxa"/>
            <w:shd w:val="clear" w:color="auto" w:fill="auto"/>
            <w:vAlign w:val="bottom"/>
          </w:tcPr>
          <w:p w:rsidR="00E24DB7" w:rsidRPr="002C5876" w:rsidRDefault="00E24DB7" w:rsidP="00565678">
            <w:pPr>
              <w:suppressAutoHyphens w:val="0"/>
              <w:spacing w:before="60" w:after="60" w:line="220" w:lineRule="exact"/>
              <w:ind w:left="57" w:right="57"/>
              <w:rPr>
                <w:rFonts w:eastAsia="Arial Unicode MS"/>
                <w:sz w:val="18"/>
                <w:szCs w:val="18"/>
              </w:rPr>
            </w:pPr>
            <w:r w:rsidRPr="002C5876">
              <w:rPr>
                <w:rFonts w:eastAsia="Arial Unicode MS"/>
                <w:sz w:val="18"/>
                <w:szCs w:val="18"/>
              </w:rPr>
              <w:t>-631,05</w:t>
            </w:r>
          </w:p>
        </w:tc>
        <w:tc>
          <w:tcPr>
            <w:tcW w:w="1079" w:type="dxa"/>
            <w:shd w:val="clear" w:color="auto" w:fill="auto"/>
            <w:vAlign w:val="bottom"/>
          </w:tcPr>
          <w:p w:rsidR="00E24DB7" w:rsidRPr="002C5876" w:rsidRDefault="00E24DB7" w:rsidP="00565678">
            <w:pPr>
              <w:suppressAutoHyphens w:val="0"/>
              <w:spacing w:before="60" w:after="60" w:line="220" w:lineRule="exact"/>
              <w:ind w:left="57" w:right="57"/>
              <w:rPr>
                <w:rFonts w:eastAsia="Arial Unicode MS"/>
                <w:sz w:val="18"/>
                <w:szCs w:val="18"/>
              </w:rPr>
            </w:pPr>
            <w:r w:rsidRPr="002C5876">
              <w:rPr>
                <w:rFonts w:eastAsia="Arial Unicode MS"/>
                <w:sz w:val="18"/>
                <w:szCs w:val="18"/>
              </w:rPr>
              <w:t>89,5</w:t>
            </w:r>
          </w:p>
        </w:tc>
        <w:tc>
          <w:tcPr>
            <w:tcW w:w="1601" w:type="dxa"/>
            <w:shd w:val="clear" w:color="auto" w:fill="auto"/>
            <w:vAlign w:val="bottom"/>
          </w:tcPr>
          <w:p w:rsidR="00E24DB7" w:rsidRPr="002C5876" w:rsidRDefault="00E24DB7" w:rsidP="00565678">
            <w:pPr>
              <w:suppressAutoHyphens w:val="0"/>
              <w:spacing w:before="60" w:after="60" w:line="220" w:lineRule="exact"/>
              <w:ind w:left="57" w:right="57"/>
              <w:rPr>
                <w:rFonts w:eastAsia="Arial Unicode MS"/>
                <w:sz w:val="18"/>
                <w:szCs w:val="18"/>
              </w:rPr>
            </w:pPr>
            <w:r w:rsidRPr="002C5876">
              <w:rPr>
                <w:rFonts w:eastAsia="Arial Unicode MS"/>
                <w:sz w:val="18"/>
                <w:szCs w:val="18"/>
              </w:rPr>
              <w:t>-26,37</w:t>
            </w:r>
          </w:p>
        </w:tc>
        <w:tc>
          <w:tcPr>
            <w:tcW w:w="1979" w:type="dxa"/>
            <w:shd w:val="clear" w:color="auto" w:fill="auto"/>
            <w:vAlign w:val="bottom"/>
          </w:tcPr>
          <w:p w:rsidR="00E24DB7" w:rsidRPr="002C5876" w:rsidRDefault="00E24DB7" w:rsidP="00565678">
            <w:pPr>
              <w:suppressAutoHyphens w:val="0"/>
              <w:spacing w:before="60" w:after="60" w:line="220" w:lineRule="exact"/>
              <w:ind w:left="57" w:right="57"/>
              <w:rPr>
                <w:rFonts w:eastAsia="Arial Unicode MS"/>
                <w:sz w:val="18"/>
                <w:szCs w:val="18"/>
              </w:rPr>
            </w:pPr>
            <w:r w:rsidRPr="002C5876">
              <w:rPr>
                <w:rFonts w:eastAsia="Arial Unicode MS"/>
                <w:sz w:val="18"/>
                <w:szCs w:val="18"/>
              </w:rPr>
              <w:t>5,22</w:t>
            </w:r>
          </w:p>
        </w:tc>
      </w:tr>
      <w:tr w:rsidR="00E24DB7" w:rsidRPr="002C5876" w:rsidTr="00E24DB7">
        <w:tc>
          <w:tcPr>
            <w:tcW w:w="1361" w:type="dxa"/>
            <w:shd w:val="clear" w:color="auto" w:fill="auto"/>
          </w:tcPr>
          <w:p w:rsidR="00E24DB7" w:rsidRPr="002C5876" w:rsidRDefault="00E24DB7" w:rsidP="00E24DB7">
            <w:pPr>
              <w:suppressAutoHyphens w:val="0"/>
              <w:spacing w:before="60" w:after="60" w:line="220" w:lineRule="exact"/>
              <w:ind w:left="57" w:right="57"/>
              <w:rPr>
                <w:rFonts w:eastAsia="Arial Unicode MS"/>
                <w:sz w:val="18"/>
                <w:szCs w:val="18"/>
              </w:rPr>
            </w:pPr>
            <w:r w:rsidRPr="002C5876">
              <w:rPr>
                <w:sz w:val="18"/>
                <w:szCs w:val="18"/>
              </w:rPr>
              <w:t>C4</w:t>
            </w:r>
          </w:p>
        </w:tc>
        <w:tc>
          <w:tcPr>
            <w:tcW w:w="1248" w:type="dxa"/>
            <w:shd w:val="clear" w:color="auto" w:fill="auto"/>
            <w:vAlign w:val="bottom"/>
          </w:tcPr>
          <w:p w:rsidR="00E24DB7" w:rsidRPr="002C5876" w:rsidRDefault="00E24DB7" w:rsidP="00565678">
            <w:pPr>
              <w:suppressAutoHyphens w:val="0"/>
              <w:spacing w:before="60" w:after="60" w:line="220" w:lineRule="exact"/>
              <w:ind w:left="57" w:right="57"/>
              <w:rPr>
                <w:rFonts w:eastAsia="Arial Unicode MS"/>
                <w:sz w:val="18"/>
                <w:szCs w:val="18"/>
              </w:rPr>
            </w:pPr>
            <w:r w:rsidRPr="002C5876">
              <w:rPr>
                <w:rFonts w:eastAsia="Arial Unicode MS"/>
                <w:sz w:val="18"/>
                <w:szCs w:val="18"/>
              </w:rPr>
              <w:t>5 964,83</w:t>
            </w:r>
          </w:p>
        </w:tc>
        <w:tc>
          <w:tcPr>
            <w:tcW w:w="1079" w:type="dxa"/>
            <w:shd w:val="clear" w:color="auto" w:fill="auto"/>
            <w:vAlign w:val="bottom"/>
          </w:tcPr>
          <w:p w:rsidR="00E24DB7" w:rsidRPr="002C5876" w:rsidRDefault="00E24DB7" w:rsidP="00565678">
            <w:pPr>
              <w:suppressAutoHyphens w:val="0"/>
              <w:spacing w:before="60" w:after="60" w:line="220" w:lineRule="exact"/>
              <w:ind w:left="57" w:right="57"/>
              <w:rPr>
                <w:rFonts w:eastAsia="Arial Unicode MS"/>
                <w:sz w:val="18"/>
                <w:szCs w:val="18"/>
              </w:rPr>
            </w:pPr>
            <w:r w:rsidRPr="002C5876">
              <w:rPr>
                <w:rFonts w:eastAsia="Arial Unicode MS"/>
                <w:sz w:val="18"/>
                <w:szCs w:val="18"/>
              </w:rPr>
              <w:t>-134</w:t>
            </w:r>
          </w:p>
        </w:tc>
        <w:tc>
          <w:tcPr>
            <w:tcW w:w="1601" w:type="dxa"/>
            <w:shd w:val="clear" w:color="auto" w:fill="auto"/>
            <w:vAlign w:val="bottom"/>
          </w:tcPr>
          <w:p w:rsidR="00E24DB7" w:rsidRPr="002C5876" w:rsidRDefault="00E24DB7" w:rsidP="00565678">
            <w:pPr>
              <w:suppressAutoHyphens w:val="0"/>
              <w:spacing w:before="60" w:after="60" w:line="220" w:lineRule="exact"/>
              <w:ind w:left="57" w:right="57"/>
              <w:rPr>
                <w:rFonts w:eastAsia="Arial Unicode MS"/>
                <w:sz w:val="18"/>
                <w:szCs w:val="18"/>
              </w:rPr>
            </w:pPr>
            <w:r w:rsidRPr="002C5876">
              <w:rPr>
                <w:rFonts w:eastAsia="Arial Unicode MS"/>
                <w:sz w:val="18"/>
                <w:szCs w:val="18"/>
              </w:rPr>
              <w:t>79,08</w:t>
            </w:r>
          </w:p>
        </w:tc>
        <w:tc>
          <w:tcPr>
            <w:tcW w:w="1979" w:type="dxa"/>
            <w:shd w:val="clear" w:color="auto" w:fill="auto"/>
            <w:vAlign w:val="bottom"/>
          </w:tcPr>
          <w:p w:rsidR="00E24DB7" w:rsidRPr="002C5876" w:rsidRDefault="00E24DB7" w:rsidP="00565678">
            <w:pPr>
              <w:suppressAutoHyphens w:val="0"/>
              <w:spacing w:before="60" w:after="60" w:line="220" w:lineRule="exact"/>
              <w:ind w:left="57" w:right="57"/>
              <w:rPr>
                <w:rFonts w:eastAsia="Arial Unicode MS"/>
                <w:sz w:val="18"/>
                <w:szCs w:val="18"/>
              </w:rPr>
            </w:pPr>
            <w:r w:rsidRPr="002C5876">
              <w:rPr>
                <w:rFonts w:eastAsia="Arial Unicode MS"/>
                <w:sz w:val="18"/>
                <w:szCs w:val="18"/>
              </w:rPr>
              <w:t>8,15</w:t>
            </w:r>
          </w:p>
        </w:tc>
      </w:tr>
      <w:tr w:rsidR="00E24DB7" w:rsidRPr="002C5876" w:rsidTr="00E24DB7">
        <w:tc>
          <w:tcPr>
            <w:tcW w:w="1361" w:type="dxa"/>
            <w:shd w:val="clear" w:color="auto" w:fill="auto"/>
          </w:tcPr>
          <w:p w:rsidR="00E24DB7" w:rsidRPr="002C5876" w:rsidRDefault="00E24DB7" w:rsidP="00E24DB7">
            <w:pPr>
              <w:suppressAutoHyphens w:val="0"/>
              <w:spacing w:before="60" w:after="60" w:line="220" w:lineRule="exact"/>
              <w:ind w:left="57" w:right="57"/>
              <w:rPr>
                <w:sz w:val="18"/>
                <w:szCs w:val="18"/>
              </w:rPr>
            </w:pPr>
            <w:r w:rsidRPr="002C5876">
              <w:rPr>
                <w:sz w:val="18"/>
                <w:szCs w:val="18"/>
              </w:rPr>
              <w:t>C5</w:t>
            </w:r>
          </w:p>
        </w:tc>
        <w:tc>
          <w:tcPr>
            <w:tcW w:w="1248" w:type="dxa"/>
            <w:shd w:val="clear" w:color="auto" w:fill="auto"/>
            <w:vAlign w:val="bottom"/>
          </w:tcPr>
          <w:p w:rsidR="00E24DB7" w:rsidRPr="002C5876" w:rsidRDefault="00E24DB7" w:rsidP="00565678">
            <w:pPr>
              <w:suppressAutoHyphens w:val="0"/>
              <w:spacing w:before="60" w:after="60" w:line="220" w:lineRule="exact"/>
              <w:ind w:left="57" w:right="57"/>
              <w:rPr>
                <w:rFonts w:eastAsia="Arial Unicode MS"/>
                <w:sz w:val="18"/>
                <w:szCs w:val="18"/>
              </w:rPr>
            </w:pPr>
            <w:r w:rsidRPr="002C5876">
              <w:rPr>
                <w:rFonts w:eastAsia="Arial Unicode MS"/>
                <w:sz w:val="18"/>
                <w:szCs w:val="18"/>
              </w:rPr>
              <w:t>-25 095</w:t>
            </w:r>
          </w:p>
        </w:tc>
        <w:tc>
          <w:tcPr>
            <w:tcW w:w="1079" w:type="dxa"/>
            <w:shd w:val="clear" w:color="auto" w:fill="auto"/>
            <w:vAlign w:val="bottom"/>
          </w:tcPr>
          <w:p w:rsidR="00E24DB7" w:rsidRPr="002C5876" w:rsidRDefault="00E24DB7" w:rsidP="00565678">
            <w:pPr>
              <w:suppressAutoHyphens w:val="0"/>
              <w:spacing w:before="60" w:after="60" w:line="220" w:lineRule="exact"/>
              <w:ind w:left="57" w:right="57"/>
              <w:rPr>
                <w:rFonts w:eastAsia="Arial Unicode MS"/>
                <w:sz w:val="18"/>
                <w:szCs w:val="18"/>
              </w:rPr>
            </w:pPr>
            <w:r w:rsidRPr="002C5876">
              <w:rPr>
                <w:rFonts w:eastAsia="Arial Unicode MS"/>
                <w:sz w:val="18"/>
                <w:szCs w:val="18"/>
              </w:rPr>
              <w:t>98,9</w:t>
            </w:r>
          </w:p>
        </w:tc>
        <w:tc>
          <w:tcPr>
            <w:tcW w:w="1601" w:type="dxa"/>
            <w:shd w:val="clear" w:color="auto" w:fill="auto"/>
            <w:vAlign w:val="bottom"/>
          </w:tcPr>
          <w:p w:rsidR="00E24DB7" w:rsidRPr="002C5876" w:rsidRDefault="00E24DB7" w:rsidP="00565678">
            <w:pPr>
              <w:suppressAutoHyphens w:val="0"/>
              <w:spacing w:before="60" w:after="60" w:line="220" w:lineRule="exact"/>
              <w:ind w:left="57" w:right="57"/>
              <w:rPr>
                <w:rFonts w:eastAsia="Arial Unicode MS"/>
                <w:sz w:val="18"/>
                <w:szCs w:val="18"/>
              </w:rPr>
            </w:pPr>
            <w:r w:rsidRPr="002C5876">
              <w:rPr>
                <w:rFonts w:eastAsia="Arial Unicode MS"/>
                <w:sz w:val="18"/>
                <w:szCs w:val="18"/>
              </w:rPr>
              <w:t>-77,36</w:t>
            </w:r>
          </w:p>
        </w:tc>
        <w:tc>
          <w:tcPr>
            <w:tcW w:w="1979" w:type="dxa"/>
            <w:shd w:val="clear" w:color="auto" w:fill="auto"/>
            <w:vAlign w:val="bottom"/>
          </w:tcPr>
          <w:p w:rsidR="00E24DB7" w:rsidRPr="002C5876" w:rsidRDefault="00E24DB7" w:rsidP="00565678">
            <w:pPr>
              <w:suppressAutoHyphens w:val="0"/>
              <w:spacing w:before="60" w:after="60" w:line="220" w:lineRule="exact"/>
              <w:ind w:left="57" w:right="57"/>
              <w:rPr>
                <w:rFonts w:eastAsia="Arial Unicode MS"/>
                <w:sz w:val="18"/>
                <w:szCs w:val="18"/>
              </w:rPr>
            </w:pPr>
            <w:r w:rsidRPr="002C5876">
              <w:rPr>
                <w:rFonts w:eastAsia="Arial Unicode MS"/>
                <w:sz w:val="18"/>
                <w:szCs w:val="18"/>
              </w:rPr>
              <w:t>3,53</w:t>
            </w:r>
          </w:p>
        </w:tc>
      </w:tr>
      <w:tr w:rsidR="00E24DB7" w:rsidRPr="002C5876" w:rsidTr="00E24DB7">
        <w:tc>
          <w:tcPr>
            <w:tcW w:w="1361" w:type="dxa"/>
            <w:shd w:val="clear" w:color="auto" w:fill="auto"/>
          </w:tcPr>
          <w:p w:rsidR="00E24DB7" w:rsidRPr="002C5876" w:rsidRDefault="00E24DB7" w:rsidP="00E24DB7">
            <w:pPr>
              <w:suppressAutoHyphens w:val="0"/>
              <w:spacing w:before="60" w:after="60" w:line="220" w:lineRule="exact"/>
              <w:ind w:left="57" w:right="57"/>
              <w:rPr>
                <w:sz w:val="18"/>
                <w:szCs w:val="18"/>
              </w:rPr>
            </w:pPr>
            <w:r w:rsidRPr="002C5876">
              <w:rPr>
                <w:sz w:val="18"/>
                <w:szCs w:val="18"/>
              </w:rPr>
              <w:t>C6</w:t>
            </w:r>
          </w:p>
        </w:tc>
        <w:tc>
          <w:tcPr>
            <w:tcW w:w="1248" w:type="dxa"/>
            <w:shd w:val="clear" w:color="auto" w:fill="auto"/>
            <w:vAlign w:val="bottom"/>
          </w:tcPr>
          <w:p w:rsidR="00E24DB7" w:rsidRPr="002C5876" w:rsidRDefault="00E24DB7" w:rsidP="00565678">
            <w:pPr>
              <w:suppressAutoHyphens w:val="0"/>
              <w:spacing w:before="60" w:after="60" w:line="220" w:lineRule="exact"/>
              <w:ind w:left="57" w:right="57"/>
              <w:rPr>
                <w:rFonts w:eastAsia="Arial Unicode MS"/>
                <w:sz w:val="18"/>
                <w:szCs w:val="18"/>
              </w:rPr>
            </w:pPr>
            <w:r w:rsidRPr="002C5876">
              <w:rPr>
                <w:rFonts w:eastAsia="Arial Unicode MS"/>
                <w:sz w:val="18"/>
                <w:szCs w:val="18"/>
              </w:rPr>
              <w:t>60 380,2</w:t>
            </w:r>
          </w:p>
        </w:tc>
        <w:tc>
          <w:tcPr>
            <w:tcW w:w="1079" w:type="dxa"/>
            <w:shd w:val="clear" w:color="auto" w:fill="auto"/>
            <w:vAlign w:val="bottom"/>
          </w:tcPr>
          <w:p w:rsidR="00E24DB7" w:rsidRPr="002C5876" w:rsidRDefault="00E24DB7" w:rsidP="00565678">
            <w:pPr>
              <w:suppressAutoHyphens w:val="0"/>
              <w:spacing w:before="60" w:after="60" w:line="220" w:lineRule="exact"/>
              <w:ind w:left="57" w:right="57"/>
              <w:rPr>
                <w:rFonts w:eastAsia="Arial Unicode MS"/>
                <w:sz w:val="18"/>
                <w:szCs w:val="18"/>
              </w:rPr>
            </w:pPr>
            <w:r w:rsidRPr="002C5876">
              <w:rPr>
                <w:rFonts w:eastAsia="Arial Unicode MS"/>
                <w:sz w:val="18"/>
                <w:szCs w:val="18"/>
              </w:rPr>
              <w:t>-29,1</w:t>
            </w:r>
          </w:p>
        </w:tc>
        <w:tc>
          <w:tcPr>
            <w:tcW w:w="1601" w:type="dxa"/>
            <w:shd w:val="clear" w:color="auto" w:fill="auto"/>
            <w:vAlign w:val="bottom"/>
          </w:tcPr>
          <w:p w:rsidR="00E24DB7" w:rsidRPr="002C5876" w:rsidRDefault="00E24DB7" w:rsidP="00565678">
            <w:pPr>
              <w:suppressAutoHyphens w:val="0"/>
              <w:spacing w:before="60" w:after="60" w:line="220" w:lineRule="exact"/>
              <w:ind w:left="57" w:right="57"/>
              <w:rPr>
                <w:rFonts w:eastAsia="Arial Unicode MS"/>
                <w:sz w:val="18"/>
                <w:szCs w:val="18"/>
              </w:rPr>
            </w:pPr>
            <w:r w:rsidRPr="002C5876">
              <w:rPr>
                <w:rFonts w:eastAsia="Arial Unicode MS"/>
                <w:sz w:val="18"/>
                <w:szCs w:val="18"/>
              </w:rPr>
              <w:t>26,07</w:t>
            </w:r>
          </w:p>
        </w:tc>
        <w:tc>
          <w:tcPr>
            <w:tcW w:w="1979" w:type="dxa"/>
            <w:shd w:val="clear" w:color="auto" w:fill="auto"/>
            <w:vAlign w:val="bottom"/>
          </w:tcPr>
          <w:p w:rsidR="00E24DB7" w:rsidRPr="002C5876" w:rsidRDefault="00E24DB7" w:rsidP="00565678">
            <w:pPr>
              <w:suppressAutoHyphens w:val="0"/>
              <w:spacing w:before="60" w:after="60" w:line="220" w:lineRule="exact"/>
              <w:ind w:left="57" w:right="57"/>
              <w:rPr>
                <w:rFonts w:eastAsia="Arial Unicode MS"/>
                <w:sz w:val="18"/>
                <w:szCs w:val="18"/>
              </w:rPr>
            </w:pPr>
            <w:r w:rsidRPr="002C5876">
              <w:rPr>
                <w:rFonts w:eastAsia="Arial Unicode MS"/>
                <w:sz w:val="18"/>
                <w:szCs w:val="18"/>
              </w:rPr>
              <w:t>-1,34</w:t>
            </w:r>
          </w:p>
        </w:tc>
      </w:tr>
      <w:tr w:rsidR="00E24DB7" w:rsidRPr="002C5876" w:rsidTr="00E24DB7">
        <w:tc>
          <w:tcPr>
            <w:tcW w:w="1361" w:type="dxa"/>
            <w:shd w:val="clear" w:color="auto" w:fill="auto"/>
          </w:tcPr>
          <w:p w:rsidR="00E24DB7" w:rsidRPr="002C5876" w:rsidRDefault="00E24DB7" w:rsidP="00E24DB7">
            <w:pPr>
              <w:suppressAutoHyphens w:val="0"/>
              <w:spacing w:before="60" w:after="60" w:line="220" w:lineRule="exact"/>
              <w:ind w:left="57" w:right="57"/>
              <w:rPr>
                <w:sz w:val="18"/>
                <w:szCs w:val="18"/>
              </w:rPr>
            </w:pPr>
            <w:r w:rsidRPr="002C5876">
              <w:rPr>
                <w:sz w:val="18"/>
                <w:szCs w:val="18"/>
              </w:rPr>
              <w:t>C7</w:t>
            </w:r>
          </w:p>
        </w:tc>
        <w:tc>
          <w:tcPr>
            <w:tcW w:w="1248" w:type="dxa"/>
            <w:shd w:val="clear" w:color="auto" w:fill="auto"/>
            <w:vAlign w:val="bottom"/>
          </w:tcPr>
          <w:p w:rsidR="00E24DB7" w:rsidRPr="002C5876" w:rsidRDefault="00E24DB7" w:rsidP="00565678">
            <w:pPr>
              <w:suppressAutoHyphens w:val="0"/>
              <w:spacing w:before="60" w:after="60" w:line="220" w:lineRule="exact"/>
              <w:ind w:left="57" w:right="57"/>
              <w:rPr>
                <w:rFonts w:eastAsia="Arial Unicode MS"/>
                <w:sz w:val="18"/>
                <w:szCs w:val="18"/>
              </w:rPr>
            </w:pPr>
            <w:r w:rsidRPr="002C5876">
              <w:rPr>
                <w:rFonts w:eastAsia="Arial Unicode MS"/>
                <w:sz w:val="18"/>
                <w:szCs w:val="18"/>
              </w:rPr>
              <w:t>-87 517</w:t>
            </w:r>
          </w:p>
        </w:tc>
        <w:tc>
          <w:tcPr>
            <w:tcW w:w="1079" w:type="dxa"/>
            <w:shd w:val="clear" w:color="auto" w:fill="auto"/>
            <w:vAlign w:val="bottom"/>
          </w:tcPr>
          <w:p w:rsidR="00E24DB7" w:rsidRPr="002C5876" w:rsidRDefault="00E24DB7" w:rsidP="00565678">
            <w:pPr>
              <w:suppressAutoHyphens w:val="0"/>
              <w:spacing w:before="60" w:after="60" w:line="220" w:lineRule="exact"/>
              <w:ind w:left="57" w:right="57"/>
              <w:rPr>
                <w:rFonts w:eastAsia="Arial Unicode MS"/>
                <w:sz w:val="18"/>
                <w:szCs w:val="18"/>
              </w:rPr>
            </w:pPr>
            <w:r w:rsidRPr="002C5876">
              <w:rPr>
                <w:rFonts w:eastAsia="Arial Unicode MS"/>
                <w:sz w:val="18"/>
                <w:szCs w:val="18"/>
              </w:rPr>
              <w:t>NA</w:t>
            </w:r>
          </w:p>
        </w:tc>
        <w:tc>
          <w:tcPr>
            <w:tcW w:w="1601" w:type="dxa"/>
            <w:shd w:val="clear" w:color="auto" w:fill="auto"/>
            <w:vAlign w:val="bottom"/>
          </w:tcPr>
          <w:p w:rsidR="00E24DB7" w:rsidRPr="002C5876" w:rsidRDefault="00E24DB7" w:rsidP="00565678">
            <w:pPr>
              <w:suppressAutoHyphens w:val="0"/>
              <w:spacing w:before="60" w:after="60" w:line="220" w:lineRule="exact"/>
              <w:ind w:left="57" w:right="57"/>
              <w:rPr>
                <w:rFonts w:eastAsia="Arial Unicode MS"/>
                <w:sz w:val="18"/>
                <w:szCs w:val="18"/>
              </w:rPr>
            </w:pPr>
            <w:r w:rsidRPr="002C5876">
              <w:rPr>
                <w:rFonts w:eastAsia="Arial Unicode MS"/>
                <w:sz w:val="18"/>
                <w:szCs w:val="18"/>
              </w:rPr>
              <w:t>NA</w:t>
            </w:r>
          </w:p>
        </w:tc>
        <w:tc>
          <w:tcPr>
            <w:tcW w:w="1979" w:type="dxa"/>
            <w:shd w:val="clear" w:color="auto" w:fill="auto"/>
            <w:vAlign w:val="bottom"/>
          </w:tcPr>
          <w:p w:rsidR="00E24DB7" w:rsidRPr="002C5876" w:rsidRDefault="00E24DB7" w:rsidP="00565678">
            <w:pPr>
              <w:suppressAutoHyphens w:val="0"/>
              <w:spacing w:before="60" w:after="60" w:line="220" w:lineRule="exact"/>
              <w:ind w:left="57" w:right="57"/>
              <w:rPr>
                <w:rFonts w:eastAsia="Arial Unicode MS"/>
                <w:sz w:val="18"/>
                <w:szCs w:val="18"/>
              </w:rPr>
            </w:pPr>
            <w:r w:rsidRPr="002C5876">
              <w:rPr>
                <w:rFonts w:eastAsia="Arial Unicode MS"/>
                <w:sz w:val="18"/>
                <w:szCs w:val="18"/>
              </w:rPr>
              <w:t>-4,01</w:t>
            </w:r>
          </w:p>
        </w:tc>
      </w:tr>
      <w:tr w:rsidR="00E24DB7" w:rsidRPr="002C5876" w:rsidTr="00E24DB7">
        <w:tc>
          <w:tcPr>
            <w:tcW w:w="1361" w:type="dxa"/>
            <w:shd w:val="clear" w:color="auto" w:fill="auto"/>
          </w:tcPr>
          <w:p w:rsidR="00E24DB7" w:rsidRPr="002C5876" w:rsidRDefault="00E24DB7" w:rsidP="00E24DB7">
            <w:pPr>
              <w:suppressAutoHyphens w:val="0"/>
              <w:spacing w:before="60" w:after="60" w:line="220" w:lineRule="exact"/>
              <w:ind w:left="57" w:right="57"/>
              <w:rPr>
                <w:sz w:val="18"/>
                <w:szCs w:val="18"/>
              </w:rPr>
            </w:pPr>
            <w:r w:rsidRPr="002C5876">
              <w:rPr>
                <w:sz w:val="18"/>
                <w:szCs w:val="18"/>
              </w:rPr>
              <w:t>C8</w:t>
            </w:r>
          </w:p>
        </w:tc>
        <w:tc>
          <w:tcPr>
            <w:tcW w:w="1248" w:type="dxa"/>
            <w:shd w:val="clear" w:color="auto" w:fill="auto"/>
            <w:vAlign w:val="bottom"/>
          </w:tcPr>
          <w:p w:rsidR="00E24DB7" w:rsidRPr="002C5876" w:rsidRDefault="00E24DB7" w:rsidP="00565678">
            <w:pPr>
              <w:suppressAutoHyphens w:val="0"/>
              <w:spacing w:before="60" w:after="60" w:line="220" w:lineRule="exact"/>
              <w:ind w:left="57" w:right="57"/>
              <w:rPr>
                <w:rFonts w:eastAsia="Arial Unicode MS"/>
                <w:sz w:val="18"/>
                <w:szCs w:val="18"/>
              </w:rPr>
            </w:pPr>
            <w:r w:rsidRPr="002C5876">
              <w:rPr>
                <w:rFonts w:eastAsia="Arial Unicode MS"/>
                <w:sz w:val="18"/>
                <w:szCs w:val="18"/>
              </w:rPr>
              <w:t>75 513,8</w:t>
            </w:r>
          </w:p>
        </w:tc>
        <w:tc>
          <w:tcPr>
            <w:tcW w:w="1079" w:type="dxa"/>
            <w:shd w:val="clear" w:color="auto" w:fill="auto"/>
            <w:vAlign w:val="bottom"/>
          </w:tcPr>
          <w:p w:rsidR="00E24DB7" w:rsidRPr="002C5876" w:rsidRDefault="00E24DB7" w:rsidP="00565678">
            <w:pPr>
              <w:suppressAutoHyphens w:val="0"/>
              <w:spacing w:before="60" w:after="60" w:line="220" w:lineRule="exact"/>
              <w:ind w:left="57" w:right="57"/>
              <w:rPr>
                <w:rFonts w:eastAsia="Arial Unicode MS"/>
                <w:sz w:val="18"/>
                <w:szCs w:val="18"/>
              </w:rPr>
            </w:pPr>
            <w:r w:rsidRPr="002C5876">
              <w:rPr>
                <w:rFonts w:eastAsia="Arial Unicode MS"/>
                <w:sz w:val="18"/>
                <w:szCs w:val="18"/>
              </w:rPr>
              <w:t>NA</w:t>
            </w:r>
          </w:p>
        </w:tc>
        <w:tc>
          <w:tcPr>
            <w:tcW w:w="1601" w:type="dxa"/>
            <w:shd w:val="clear" w:color="auto" w:fill="auto"/>
            <w:vAlign w:val="bottom"/>
          </w:tcPr>
          <w:p w:rsidR="00E24DB7" w:rsidRPr="002C5876" w:rsidRDefault="00E24DB7" w:rsidP="00565678">
            <w:pPr>
              <w:suppressAutoHyphens w:val="0"/>
              <w:spacing w:before="60" w:after="60" w:line="220" w:lineRule="exact"/>
              <w:ind w:left="57" w:right="57"/>
              <w:rPr>
                <w:rFonts w:eastAsia="Arial Unicode MS"/>
                <w:sz w:val="18"/>
                <w:szCs w:val="18"/>
              </w:rPr>
            </w:pPr>
            <w:r w:rsidRPr="002C5876">
              <w:rPr>
                <w:rFonts w:eastAsia="Arial Unicode MS"/>
                <w:sz w:val="18"/>
                <w:szCs w:val="18"/>
              </w:rPr>
              <w:t>NA</w:t>
            </w:r>
          </w:p>
        </w:tc>
        <w:tc>
          <w:tcPr>
            <w:tcW w:w="1979" w:type="dxa"/>
            <w:shd w:val="clear" w:color="auto" w:fill="auto"/>
            <w:vAlign w:val="bottom"/>
          </w:tcPr>
          <w:p w:rsidR="00E24DB7" w:rsidRPr="002C5876" w:rsidRDefault="00E24DB7" w:rsidP="00565678">
            <w:pPr>
              <w:suppressAutoHyphens w:val="0"/>
              <w:spacing w:before="60" w:after="60" w:line="220" w:lineRule="exact"/>
              <w:ind w:left="57" w:right="57"/>
              <w:rPr>
                <w:rFonts w:eastAsia="Arial Unicode MS"/>
                <w:sz w:val="18"/>
                <w:szCs w:val="18"/>
              </w:rPr>
            </w:pPr>
            <w:r w:rsidRPr="002C5876">
              <w:rPr>
                <w:rFonts w:eastAsia="Arial Unicode MS"/>
                <w:sz w:val="18"/>
                <w:szCs w:val="18"/>
              </w:rPr>
              <w:t>-3,9</w:t>
            </w:r>
          </w:p>
        </w:tc>
      </w:tr>
      <w:tr w:rsidR="00E24DB7" w:rsidRPr="002C5876" w:rsidTr="00E24DB7">
        <w:tc>
          <w:tcPr>
            <w:tcW w:w="1361" w:type="dxa"/>
            <w:tcBorders>
              <w:bottom w:val="single" w:sz="4" w:space="0" w:color="auto"/>
            </w:tcBorders>
            <w:shd w:val="clear" w:color="auto" w:fill="auto"/>
          </w:tcPr>
          <w:p w:rsidR="00E24DB7" w:rsidRPr="002C5876" w:rsidRDefault="00E24DB7" w:rsidP="00E24DB7">
            <w:pPr>
              <w:suppressAutoHyphens w:val="0"/>
              <w:spacing w:before="60" w:after="60" w:line="220" w:lineRule="exact"/>
              <w:ind w:left="57" w:right="57"/>
              <w:rPr>
                <w:sz w:val="18"/>
                <w:szCs w:val="18"/>
              </w:rPr>
            </w:pPr>
            <w:r w:rsidRPr="002C5876">
              <w:rPr>
                <w:sz w:val="18"/>
                <w:szCs w:val="18"/>
              </w:rPr>
              <w:t>C9</w:t>
            </w:r>
          </w:p>
        </w:tc>
        <w:tc>
          <w:tcPr>
            <w:tcW w:w="1248" w:type="dxa"/>
            <w:tcBorders>
              <w:bottom w:val="single" w:sz="4" w:space="0" w:color="auto"/>
            </w:tcBorders>
            <w:shd w:val="clear" w:color="auto" w:fill="auto"/>
            <w:vAlign w:val="bottom"/>
          </w:tcPr>
          <w:p w:rsidR="00E24DB7" w:rsidRPr="002C5876" w:rsidRDefault="00E24DB7" w:rsidP="00565678">
            <w:pPr>
              <w:suppressAutoHyphens w:val="0"/>
              <w:spacing w:before="60" w:after="60" w:line="220" w:lineRule="exact"/>
              <w:ind w:left="57" w:right="57"/>
              <w:rPr>
                <w:rFonts w:eastAsia="Arial Unicode MS"/>
                <w:sz w:val="18"/>
                <w:szCs w:val="18"/>
              </w:rPr>
            </w:pPr>
            <w:r w:rsidRPr="002C5876">
              <w:rPr>
                <w:rFonts w:eastAsia="Arial Unicode MS"/>
                <w:sz w:val="18"/>
                <w:szCs w:val="18"/>
              </w:rPr>
              <w:t>-35 749</w:t>
            </w:r>
          </w:p>
        </w:tc>
        <w:tc>
          <w:tcPr>
            <w:tcW w:w="1079" w:type="dxa"/>
            <w:tcBorders>
              <w:bottom w:val="single" w:sz="4" w:space="0" w:color="auto"/>
            </w:tcBorders>
            <w:shd w:val="clear" w:color="auto" w:fill="auto"/>
            <w:vAlign w:val="bottom"/>
          </w:tcPr>
          <w:p w:rsidR="00E24DB7" w:rsidRPr="002C5876" w:rsidRDefault="00E24DB7" w:rsidP="00565678">
            <w:pPr>
              <w:suppressAutoHyphens w:val="0"/>
              <w:spacing w:before="60" w:after="60" w:line="220" w:lineRule="exact"/>
              <w:ind w:left="57" w:right="57"/>
              <w:rPr>
                <w:rFonts w:eastAsia="Arial Unicode MS"/>
                <w:sz w:val="18"/>
                <w:szCs w:val="18"/>
              </w:rPr>
            </w:pPr>
            <w:r w:rsidRPr="002C5876">
              <w:rPr>
                <w:rFonts w:eastAsia="Arial Unicode MS"/>
                <w:sz w:val="18"/>
                <w:szCs w:val="18"/>
              </w:rPr>
              <w:t>NA</w:t>
            </w:r>
          </w:p>
        </w:tc>
        <w:tc>
          <w:tcPr>
            <w:tcW w:w="1601" w:type="dxa"/>
            <w:tcBorders>
              <w:bottom w:val="single" w:sz="4" w:space="0" w:color="auto"/>
            </w:tcBorders>
            <w:shd w:val="clear" w:color="auto" w:fill="auto"/>
            <w:vAlign w:val="bottom"/>
          </w:tcPr>
          <w:p w:rsidR="00E24DB7" w:rsidRPr="002C5876" w:rsidRDefault="00E24DB7" w:rsidP="00565678">
            <w:pPr>
              <w:suppressAutoHyphens w:val="0"/>
              <w:spacing w:before="60" w:after="60" w:line="220" w:lineRule="exact"/>
              <w:ind w:left="57" w:right="57"/>
              <w:rPr>
                <w:rFonts w:eastAsia="Arial Unicode MS"/>
                <w:sz w:val="18"/>
                <w:szCs w:val="18"/>
              </w:rPr>
            </w:pPr>
            <w:r w:rsidRPr="002C5876">
              <w:rPr>
                <w:rFonts w:eastAsia="Arial Unicode MS"/>
                <w:sz w:val="18"/>
                <w:szCs w:val="18"/>
              </w:rPr>
              <w:t>NA</w:t>
            </w:r>
          </w:p>
        </w:tc>
        <w:tc>
          <w:tcPr>
            <w:tcW w:w="1979" w:type="dxa"/>
            <w:tcBorders>
              <w:bottom w:val="single" w:sz="4" w:space="0" w:color="auto"/>
            </w:tcBorders>
            <w:shd w:val="clear" w:color="auto" w:fill="auto"/>
            <w:vAlign w:val="bottom"/>
          </w:tcPr>
          <w:p w:rsidR="00E24DB7" w:rsidRPr="002C5876" w:rsidRDefault="00E24DB7" w:rsidP="00565678">
            <w:pPr>
              <w:suppressAutoHyphens w:val="0"/>
              <w:spacing w:before="60" w:after="60" w:line="220" w:lineRule="exact"/>
              <w:ind w:left="57" w:right="57"/>
              <w:rPr>
                <w:rFonts w:eastAsia="Arial Unicode MS"/>
                <w:sz w:val="18"/>
                <w:szCs w:val="18"/>
              </w:rPr>
            </w:pPr>
            <w:r w:rsidRPr="002C5876">
              <w:rPr>
                <w:rFonts w:eastAsia="Arial Unicode MS"/>
                <w:sz w:val="18"/>
                <w:szCs w:val="18"/>
              </w:rPr>
              <w:t>-1,15</w:t>
            </w:r>
          </w:p>
        </w:tc>
      </w:tr>
      <w:tr w:rsidR="00E24DB7" w:rsidRPr="002C5876" w:rsidTr="00E24DB7">
        <w:tc>
          <w:tcPr>
            <w:tcW w:w="1361" w:type="dxa"/>
            <w:tcBorders>
              <w:bottom w:val="single" w:sz="12" w:space="0" w:color="auto"/>
            </w:tcBorders>
            <w:shd w:val="clear" w:color="auto" w:fill="auto"/>
          </w:tcPr>
          <w:p w:rsidR="00E24DB7" w:rsidRPr="002C5876" w:rsidRDefault="00E24DB7" w:rsidP="00E24DB7">
            <w:pPr>
              <w:suppressAutoHyphens w:val="0"/>
              <w:spacing w:before="60" w:after="60" w:line="220" w:lineRule="exact"/>
              <w:ind w:left="57" w:right="57"/>
              <w:rPr>
                <w:sz w:val="18"/>
                <w:szCs w:val="18"/>
              </w:rPr>
            </w:pPr>
            <w:r w:rsidRPr="002C5876">
              <w:rPr>
                <w:sz w:val="18"/>
                <w:szCs w:val="18"/>
              </w:rPr>
              <w:t>C10</w:t>
            </w:r>
          </w:p>
        </w:tc>
        <w:tc>
          <w:tcPr>
            <w:tcW w:w="1248" w:type="dxa"/>
            <w:tcBorders>
              <w:bottom w:val="single" w:sz="12" w:space="0" w:color="auto"/>
            </w:tcBorders>
            <w:shd w:val="clear" w:color="auto" w:fill="auto"/>
            <w:vAlign w:val="bottom"/>
          </w:tcPr>
          <w:p w:rsidR="00E24DB7" w:rsidRPr="002C5876" w:rsidRDefault="00E24DB7" w:rsidP="00565678">
            <w:pPr>
              <w:suppressAutoHyphens w:val="0"/>
              <w:spacing w:before="60" w:after="60" w:line="220" w:lineRule="exact"/>
              <w:ind w:left="57" w:right="57"/>
              <w:rPr>
                <w:rFonts w:eastAsia="Arial Unicode MS"/>
                <w:sz w:val="18"/>
                <w:szCs w:val="18"/>
              </w:rPr>
            </w:pPr>
            <w:r w:rsidRPr="002C5876">
              <w:rPr>
                <w:rFonts w:eastAsia="Arial Unicode MS"/>
                <w:sz w:val="18"/>
                <w:szCs w:val="18"/>
              </w:rPr>
              <w:t>7154,94</w:t>
            </w:r>
          </w:p>
        </w:tc>
        <w:tc>
          <w:tcPr>
            <w:tcW w:w="1079" w:type="dxa"/>
            <w:tcBorders>
              <w:bottom w:val="single" w:sz="12" w:space="0" w:color="auto"/>
            </w:tcBorders>
            <w:shd w:val="clear" w:color="auto" w:fill="auto"/>
            <w:vAlign w:val="bottom"/>
          </w:tcPr>
          <w:p w:rsidR="00E24DB7" w:rsidRPr="002C5876" w:rsidRDefault="00E24DB7" w:rsidP="00565678">
            <w:pPr>
              <w:suppressAutoHyphens w:val="0"/>
              <w:spacing w:before="60" w:after="60" w:line="220" w:lineRule="exact"/>
              <w:ind w:left="57" w:right="57"/>
              <w:rPr>
                <w:rFonts w:eastAsia="Arial Unicode MS"/>
                <w:sz w:val="18"/>
                <w:szCs w:val="18"/>
              </w:rPr>
            </w:pPr>
            <w:r w:rsidRPr="002C5876">
              <w:rPr>
                <w:rFonts w:eastAsia="Arial Unicode MS"/>
                <w:sz w:val="18"/>
                <w:szCs w:val="18"/>
              </w:rPr>
              <w:t>NA</w:t>
            </w:r>
          </w:p>
        </w:tc>
        <w:tc>
          <w:tcPr>
            <w:tcW w:w="1601" w:type="dxa"/>
            <w:tcBorders>
              <w:bottom w:val="single" w:sz="12" w:space="0" w:color="auto"/>
            </w:tcBorders>
            <w:shd w:val="clear" w:color="auto" w:fill="auto"/>
            <w:vAlign w:val="bottom"/>
          </w:tcPr>
          <w:p w:rsidR="00E24DB7" w:rsidRPr="002C5876" w:rsidRDefault="00E24DB7" w:rsidP="00565678">
            <w:pPr>
              <w:suppressAutoHyphens w:val="0"/>
              <w:spacing w:before="60" w:after="60" w:line="220" w:lineRule="exact"/>
              <w:ind w:left="57" w:right="57"/>
              <w:rPr>
                <w:rFonts w:eastAsia="Arial Unicode MS"/>
                <w:sz w:val="18"/>
                <w:szCs w:val="18"/>
              </w:rPr>
            </w:pPr>
            <w:r w:rsidRPr="002C5876">
              <w:rPr>
                <w:rFonts w:eastAsia="Arial Unicode MS"/>
                <w:sz w:val="18"/>
                <w:szCs w:val="18"/>
              </w:rPr>
              <w:t>NA</w:t>
            </w:r>
          </w:p>
        </w:tc>
        <w:tc>
          <w:tcPr>
            <w:tcW w:w="1979" w:type="dxa"/>
            <w:tcBorders>
              <w:bottom w:val="single" w:sz="12" w:space="0" w:color="auto"/>
            </w:tcBorders>
            <w:shd w:val="clear" w:color="auto" w:fill="auto"/>
            <w:vAlign w:val="bottom"/>
          </w:tcPr>
          <w:p w:rsidR="00E24DB7" w:rsidRPr="002C5876" w:rsidRDefault="00E24DB7" w:rsidP="00565678">
            <w:pPr>
              <w:suppressAutoHyphens w:val="0"/>
              <w:spacing w:before="60" w:after="60" w:line="220" w:lineRule="exact"/>
              <w:ind w:left="57" w:right="57"/>
              <w:rPr>
                <w:rFonts w:eastAsia="Arial Unicode MS"/>
                <w:sz w:val="18"/>
                <w:szCs w:val="18"/>
              </w:rPr>
            </w:pPr>
            <w:r w:rsidRPr="002C5876">
              <w:rPr>
                <w:rFonts w:eastAsia="Arial Unicode MS"/>
                <w:sz w:val="18"/>
                <w:szCs w:val="18"/>
              </w:rPr>
              <w:t>3,88</w:t>
            </w:r>
          </w:p>
        </w:tc>
      </w:tr>
    </w:tbl>
    <w:p w:rsidR="004117C1" w:rsidRDefault="004117C1" w:rsidP="00E24DB7">
      <w:pPr>
        <w:pStyle w:val="HChG"/>
        <w:sectPr w:rsidR="004117C1" w:rsidSect="00CE537D">
          <w:headerReference w:type="even" r:id="rId200"/>
          <w:headerReference w:type="default" r:id="rId201"/>
          <w:endnotePr>
            <w:numFmt w:val="decimal"/>
          </w:endnotePr>
          <w:pgSz w:w="11907" w:h="16840" w:code="9"/>
          <w:pgMar w:top="1418" w:right="1134" w:bottom="1134" w:left="1134" w:header="680" w:footer="567" w:gutter="0"/>
          <w:cols w:space="720"/>
          <w:docGrid w:linePitch="272"/>
        </w:sectPr>
      </w:pPr>
    </w:p>
    <w:p w:rsidR="00E24DB7" w:rsidRPr="002C5876" w:rsidRDefault="00E24DB7" w:rsidP="00E24DB7">
      <w:pPr>
        <w:pStyle w:val="HChG"/>
      </w:pPr>
      <w:r w:rsidRPr="002C5876">
        <w:lastRenderedPageBreak/>
        <w:t>Annexe 8 − Appendice 6</w:t>
      </w:r>
    </w:p>
    <w:p w:rsidR="00E24DB7" w:rsidRPr="002C5876" w:rsidRDefault="00E24DB7" w:rsidP="00E24DB7">
      <w:pPr>
        <w:pStyle w:val="HChG"/>
        <w:rPr>
          <w:szCs w:val="28"/>
        </w:rPr>
      </w:pPr>
      <w:r w:rsidRPr="002C5876">
        <w:tab/>
      </w:r>
      <w:r w:rsidRPr="002C5876">
        <w:tab/>
        <w:t>Sélection des modes de fonctionnement sélectionnables</w:t>
      </w:r>
    </w:p>
    <w:p w:rsidR="00E24DB7" w:rsidRPr="002C5876" w:rsidRDefault="00E24DB7" w:rsidP="00E24DB7">
      <w:pPr>
        <w:pStyle w:val="SingleTxtG"/>
        <w:keepNext/>
        <w:keepLines/>
        <w:ind w:left="2268" w:hanging="1134"/>
        <w:jc w:val="left"/>
      </w:pPr>
      <w:r w:rsidRPr="002C5876">
        <w:t>1.</w:t>
      </w:r>
      <w:r w:rsidRPr="002C5876">
        <w:tab/>
        <w:t>Prescription générale</w:t>
      </w:r>
    </w:p>
    <w:p w:rsidR="00E24DB7" w:rsidRPr="002C5876" w:rsidRDefault="00E24DB7" w:rsidP="00E24DB7">
      <w:pPr>
        <w:pStyle w:val="SingleTxtG"/>
        <w:ind w:left="2268" w:hanging="1134"/>
      </w:pPr>
      <w:r w:rsidRPr="002C5876">
        <w:t>1.1</w:t>
      </w:r>
      <w:r w:rsidRPr="002C5876">
        <w:tab/>
        <w:t>Le constructeur doit sélectionner un mode de fonctionnement sélectionnable par le conducteur pour la procédure d’essai du type</w:t>
      </w:r>
      <w:r w:rsidR="00C261E3">
        <w:t> </w:t>
      </w:r>
      <w:r w:rsidRPr="002C5876">
        <w:t>1 conformément aux dispositions des paragraphes 2 à</w:t>
      </w:r>
      <w:r w:rsidR="00D62BCA">
        <w:t> </w:t>
      </w:r>
      <w:r w:rsidRPr="002C5876">
        <w:t>4 du présent appendice. Le véhicule peut ainsi être soumis au cycle d’essai considéré dans le respect des tolérances relatives à la courbe de vitesse spécifiées au paragraphe 2.6.8.3 de l’annexe 6. Cela s’applique à tous les systèmes embarqués à modes sélectionnables, y compris ceux qui ne concernent pas uniquement la transmission.</w:t>
      </w:r>
    </w:p>
    <w:p w:rsidR="00E24DB7" w:rsidRPr="002C5876" w:rsidRDefault="00E24DB7" w:rsidP="00E24DB7">
      <w:pPr>
        <w:pStyle w:val="SingleTxtG"/>
        <w:keepNext/>
        <w:keepLines/>
        <w:ind w:left="2268" w:hanging="1134"/>
      </w:pPr>
      <w:r w:rsidRPr="002C5876">
        <w:t>1.2</w:t>
      </w:r>
      <w:r w:rsidRPr="002C5876">
        <w:tab/>
        <w:t>Le constructeur doit faire les démonstrations suivantes pour l’autorité compétente :</w:t>
      </w:r>
    </w:p>
    <w:p w:rsidR="00E24DB7" w:rsidRPr="002C5876" w:rsidRDefault="00E24DB7" w:rsidP="00E24DB7">
      <w:pPr>
        <w:pStyle w:val="SingleTxtG"/>
        <w:ind w:left="2835" w:hanging="567"/>
      </w:pPr>
      <w:r w:rsidRPr="002C5876">
        <w:t>a)</w:t>
      </w:r>
      <w:r w:rsidRPr="002C5876">
        <w:tab/>
        <w:t>Disponibilité d’un mode prédominant dans les conditions considérées ;</w:t>
      </w:r>
    </w:p>
    <w:p w:rsidR="00E24DB7" w:rsidRPr="002C5876" w:rsidRDefault="00E24DB7" w:rsidP="00E24DB7">
      <w:pPr>
        <w:pStyle w:val="SingleTxtG"/>
        <w:ind w:left="2835" w:hanging="567"/>
      </w:pPr>
      <w:r w:rsidRPr="002C5876">
        <w:t>b)</w:t>
      </w:r>
      <w:r w:rsidRPr="002C5876">
        <w:tab/>
        <w:t>Vitesse maximale du véhicule considéré ;</w:t>
      </w:r>
    </w:p>
    <w:p w:rsidR="00E24DB7" w:rsidRPr="002C5876" w:rsidRDefault="00E24DB7" w:rsidP="00D62BCA">
      <w:pPr>
        <w:pStyle w:val="SingleTxtG"/>
        <w:keepNext/>
        <w:keepLines/>
        <w:ind w:left="2835"/>
      </w:pPr>
      <w:r w:rsidRPr="002C5876">
        <w:t>et, si nécessaire :</w:t>
      </w:r>
    </w:p>
    <w:p w:rsidR="00E24DB7" w:rsidRPr="002C5876" w:rsidRDefault="00E24DB7" w:rsidP="00E24DB7">
      <w:pPr>
        <w:pStyle w:val="SingleTxtG"/>
        <w:ind w:left="2835" w:hanging="567"/>
      </w:pPr>
      <w:r w:rsidRPr="002C5876">
        <w:t>c)</w:t>
      </w:r>
      <w:r w:rsidRPr="002C5876">
        <w:tab/>
        <w:t>Modes correspondant au cas le plus favorable et au cas le plus défavorable, comme indiqué par la consommation de carburant et, s’il y a lieu, les émissions massiques de CO</w:t>
      </w:r>
      <w:r w:rsidRPr="002C5876">
        <w:rPr>
          <w:vertAlign w:val="subscript"/>
        </w:rPr>
        <w:t>2</w:t>
      </w:r>
      <w:r w:rsidRPr="002C5876">
        <w:t xml:space="preserve"> dans tous les modes. Voir le paragraphe 2.6.5.3.3 de l’annexe 6 ;</w:t>
      </w:r>
    </w:p>
    <w:p w:rsidR="00E24DB7" w:rsidRPr="002C5876" w:rsidRDefault="00E24DB7" w:rsidP="00E24DB7">
      <w:pPr>
        <w:pStyle w:val="SingleTxtG"/>
        <w:ind w:left="2835" w:hanging="567"/>
      </w:pPr>
      <w:r w:rsidRPr="002C5876">
        <w:t>d)</w:t>
      </w:r>
      <w:r w:rsidRPr="002C5876">
        <w:tab/>
        <w:t>Mode dans lequel la consommation d’énergie électrique est la plus forte ;</w:t>
      </w:r>
    </w:p>
    <w:p w:rsidR="00E24DB7" w:rsidRPr="002C5876" w:rsidRDefault="00E24DB7" w:rsidP="00E24DB7">
      <w:pPr>
        <w:pStyle w:val="SingleTxtG"/>
        <w:ind w:left="2835" w:hanging="567"/>
      </w:pPr>
      <w:r w:rsidRPr="002C5876">
        <w:t>e)</w:t>
      </w:r>
      <w:r w:rsidRPr="002C5876">
        <w:tab/>
        <w:t>Demande d’énergie sur le cycle (conformément au paragraphe 5 de l’annexe 7, dans lequel la vitesse visée est remplacée par la vitesse effective).</w:t>
      </w:r>
    </w:p>
    <w:p w:rsidR="00E24DB7" w:rsidRPr="002C5876" w:rsidRDefault="00E24DB7" w:rsidP="00E24DB7">
      <w:pPr>
        <w:pStyle w:val="SingleTxtG"/>
        <w:ind w:left="2268" w:hanging="1134"/>
      </w:pPr>
      <w:r w:rsidRPr="002C5876">
        <w:t>1.3</w:t>
      </w:r>
      <w:r w:rsidRPr="002C5876">
        <w:tab/>
        <w:t>Les modes sélectionnables spéciaux, tels que le mode « montagne » ou le mode « entretien », qui ne sont pas conçus pour un usage quotidien normal, mais pour un usage particulier dans certaines circonstances, ne doivent pas être pris en compte.</w:t>
      </w:r>
    </w:p>
    <w:p w:rsidR="00E24DB7" w:rsidRPr="002C5876" w:rsidRDefault="00E24DB7" w:rsidP="00E24DB7">
      <w:pPr>
        <w:pStyle w:val="SingleTxtG"/>
        <w:keepNext/>
        <w:keepLines/>
        <w:ind w:left="2268" w:hanging="1134"/>
        <w:jc w:val="left"/>
      </w:pPr>
      <w:r w:rsidRPr="002C5876">
        <w:t>2.</w:t>
      </w:r>
      <w:r w:rsidRPr="002C5876">
        <w:tab/>
        <w:t xml:space="preserve">VHE-RE dotés d’un mode sélectionnable, en condition d’épuisement </w:t>
      </w:r>
      <w:r w:rsidRPr="002C5876">
        <w:br/>
        <w:t>de la charge</w:t>
      </w:r>
    </w:p>
    <w:p w:rsidR="00E24DB7" w:rsidRPr="002C5876" w:rsidRDefault="00E24DB7" w:rsidP="00E24DB7">
      <w:pPr>
        <w:pStyle w:val="SingleTxtG"/>
        <w:ind w:left="2268"/>
      </w:pPr>
      <w:r w:rsidRPr="002C5876">
        <w:t>S’agissant des véhicules dotés d’un mode sélectionnable, le mode pour l’essai du type 1 exécuté en condition d’épuisement de la charge doit être sélectionné dans les conditions ci-après.</w:t>
      </w:r>
    </w:p>
    <w:p w:rsidR="00E24DB7" w:rsidRPr="002C5876" w:rsidRDefault="00E24DB7" w:rsidP="00E24DB7">
      <w:pPr>
        <w:pStyle w:val="SingleTxtG"/>
        <w:ind w:left="2268"/>
      </w:pPr>
      <w:r w:rsidRPr="002C5876">
        <w:t>Le diagramme présenté à la figure A8.App6/1 illustre la sélection du mode conformément au présent paragraphe.</w:t>
      </w:r>
    </w:p>
    <w:p w:rsidR="00E24DB7" w:rsidRPr="002C5876" w:rsidRDefault="00E24DB7" w:rsidP="00E24DB7">
      <w:pPr>
        <w:pStyle w:val="SingleTxtG"/>
        <w:ind w:left="2268" w:hanging="1134"/>
      </w:pPr>
      <w:r w:rsidRPr="002C5876">
        <w:t>2.1</w:t>
      </w:r>
      <w:r w:rsidRPr="002C5876">
        <w:tab/>
        <w:t>S’il existe un mode prédominant dans lequel le véhicule peut suivre le cycle d’essai de référence en condition d’épuisement de la charge, ce mode doit être sélectionné.</w:t>
      </w:r>
    </w:p>
    <w:p w:rsidR="00E24DB7" w:rsidRPr="002C5876" w:rsidRDefault="00E24DB7" w:rsidP="00D62BCA">
      <w:pPr>
        <w:pStyle w:val="SingleTxtG"/>
        <w:keepNext/>
        <w:keepLines/>
        <w:ind w:left="2268" w:hanging="1134"/>
      </w:pPr>
      <w:r w:rsidRPr="002C5876">
        <w:t>2.2</w:t>
      </w:r>
      <w:r w:rsidRPr="002C5876">
        <w:tab/>
        <w:t>S’il n’existe pas de mode prédominant, ou s’il existe un mode prédominant mais que ce dernier ne permet pas au véhicule de suivre le cycle d’essai de référence en condition d’épuisement de la charge, le mode pour l’essai doit être sélectionné comme suit :</w:t>
      </w:r>
    </w:p>
    <w:p w:rsidR="00E24DB7" w:rsidRPr="002C5876" w:rsidRDefault="00E24DB7" w:rsidP="00E24DB7">
      <w:pPr>
        <w:pStyle w:val="SingleTxtG"/>
        <w:ind w:left="2835" w:hanging="567"/>
      </w:pPr>
      <w:r w:rsidRPr="002C5876">
        <w:t>a)</w:t>
      </w:r>
      <w:r w:rsidRPr="002C5876">
        <w:tab/>
        <w:t>Si un seul mode permet au véhicule de suivre le cycle d’essai de référence en condition d’épuisement de la charge, celui-ci doit être sélectionné ;</w:t>
      </w:r>
    </w:p>
    <w:p w:rsidR="00E24DB7" w:rsidRPr="002C5876" w:rsidRDefault="00E24DB7" w:rsidP="00E24DB7">
      <w:pPr>
        <w:pStyle w:val="SingleTxtG"/>
        <w:ind w:left="2835" w:hanging="567"/>
      </w:pPr>
      <w:r w:rsidRPr="002C5876">
        <w:t>b)</w:t>
      </w:r>
      <w:r w:rsidRPr="002C5876">
        <w:tab/>
        <w:t xml:space="preserve">Si plusieurs modes permettent au véhicule de suivre le cycle d’essai de référence en condition d’épuisement de la charge, il convient de </w:t>
      </w:r>
      <w:r w:rsidRPr="002C5876">
        <w:lastRenderedPageBreak/>
        <w:t>sélectionner celui dans lequel la consommation d’énergie électrique est la plus forte.</w:t>
      </w:r>
    </w:p>
    <w:p w:rsidR="00E24DB7" w:rsidRPr="002C5876" w:rsidRDefault="00E24DB7" w:rsidP="00E24DB7">
      <w:pPr>
        <w:pStyle w:val="SingleTxtG"/>
        <w:ind w:left="2268" w:hanging="1134"/>
        <w:rPr>
          <w:spacing w:val="-4"/>
        </w:rPr>
      </w:pPr>
      <w:r w:rsidRPr="002C5876">
        <w:rPr>
          <w:spacing w:val="-4"/>
        </w:rPr>
        <w:t>2.3</w:t>
      </w:r>
      <w:r w:rsidRPr="002C5876">
        <w:rPr>
          <w:spacing w:val="-4"/>
        </w:rPr>
        <w:tab/>
      </w:r>
      <w:r w:rsidRPr="002C5876">
        <w:t>S’il n’existe aucun mode, conformément aux dispositions des paragraphes 2.1 et 2.2 du présent appendice, qui permette au véhicule de suivre le cycle d’essai de référence, ce cycle doit être modifié conformément aux dispositions du paragraphe 9 de l’annexe 1 :</w:t>
      </w:r>
    </w:p>
    <w:p w:rsidR="00E24DB7" w:rsidRPr="002C5876" w:rsidRDefault="00E24DB7" w:rsidP="00E24DB7">
      <w:pPr>
        <w:pStyle w:val="SingleTxtG"/>
        <w:ind w:left="2835" w:hanging="567"/>
      </w:pPr>
      <w:r w:rsidRPr="002C5876">
        <w:t>a)</w:t>
      </w:r>
      <w:r w:rsidRPr="002C5876">
        <w:tab/>
        <w:t>S’il existe un mode prédominant dans lequel le véhicule peut suivre le cycle d’essai de référence modifié en condition d’épuisement de la charge, ce mode doit être sélectionné ;</w:t>
      </w:r>
    </w:p>
    <w:p w:rsidR="00E24DB7" w:rsidRPr="002C5876" w:rsidRDefault="00E24DB7" w:rsidP="00E24DB7">
      <w:pPr>
        <w:pStyle w:val="SingleTxtG"/>
        <w:ind w:left="2835" w:hanging="567"/>
      </w:pPr>
      <w:r w:rsidRPr="002C5876">
        <w:t>b)</w:t>
      </w:r>
      <w:r w:rsidRPr="002C5876">
        <w:tab/>
        <w:t>S’il n’existe pas de mode prédominant mais d’autres modes dans lesquels le véhicule peut suivre le cycle d’essai de référence modifié en condition d’épuisement de la charge, il convient de sélectionner celui dans lequel la consommation d’énergie électrique est la plus forte ;</w:t>
      </w:r>
    </w:p>
    <w:p w:rsidR="00E24DB7" w:rsidRPr="002C5876" w:rsidRDefault="00E24DB7" w:rsidP="00E24DB7">
      <w:pPr>
        <w:pStyle w:val="SingleTxtG"/>
        <w:ind w:left="2835" w:hanging="567"/>
      </w:pPr>
      <w:r w:rsidRPr="002C5876">
        <w:t>c)</w:t>
      </w:r>
      <w:r w:rsidRPr="002C5876">
        <w:tab/>
      </w:r>
      <w:r w:rsidRPr="002C5876">
        <w:rPr>
          <w:spacing w:val="-4"/>
        </w:rPr>
        <w:t xml:space="preserve">S’il n’existe aucun mode permettant au </w:t>
      </w:r>
      <w:r w:rsidRPr="002C5876">
        <w:t>véhicule de suivre le cycle d’essai de référence modifié en condition d’épuisement de la charge, le ou les modes pour lesquels la demande d’énergie sur le cycle est la plus forte doivent être présélectionnés, à la suite de quoi on retient le mode dans lequel la consommation d’énergie électrique est la plus forte ;</w:t>
      </w:r>
    </w:p>
    <w:p w:rsidR="00E24DB7" w:rsidRPr="002C5876" w:rsidRDefault="00E24DB7" w:rsidP="00E24DB7">
      <w:pPr>
        <w:pStyle w:val="SingleTxtG"/>
        <w:ind w:left="2835" w:hanging="567"/>
      </w:pPr>
      <w:r w:rsidRPr="002C5876">
        <w:t>d)</w:t>
      </w:r>
      <w:r w:rsidRPr="002C5876">
        <w:tab/>
        <w:t>La Partie contractante peut choisir de remplacer le cycle d’essai de référence par le cycle d’essai WLTP urbain applicable. Dans ce cas, elle doit sélectionner le mode dans lequel la consommation d’énergie électrique est la plus forte.</w:t>
      </w:r>
    </w:p>
    <w:p w:rsidR="00E24DB7" w:rsidRPr="002C5876" w:rsidRDefault="00E24DB7" w:rsidP="00E24DB7">
      <w:pPr>
        <w:pStyle w:val="H23G"/>
        <w:ind w:left="0" w:firstLine="0"/>
      </w:pPr>
      <w:r w:rsidRPr="002C5876">
        <w:br w:type="page"/>
      </w:r>
      <w:r w:rsidRPr="002C5876">
        <w:rPr>
          <w:b w:val="0"/>
        </w:rPr>
        <w:lastRenderedPageBreak/>
        <w:t>Figure A8.App6/1</w:t>
      </w:r>
      <w:r w:rsidRPr="002C5876">
        <w:rPr>
          <w:b w:val="0"/>
        </w:rPr>
        <w:br/>
      </w:r>
      <w:r w:rsidRPr="002C5876">
        <w:t>Sélection d’un mode de fonctionnement pour un VHE-RE en condition d’épuisement de la charge</w:t>
      </w:r>
    </w:p>
    <w:p w:rsidR="00E24DB7" w:rsidRPr="002C5876" w:rsidRDefault="00E24DB7" w:rsidP="00E24DB7">
      <w:pPr>
        <w:spacing w:line="240" w:lineRule="auto"/>
        <w:jc w:val="center"/>
      </w:pPr>
      <w:r w:rsidRPr="002C5876">
        <w:rPr>
          <w:noProof/>
          <w:lang w:val="en-GB" w:eastAsia="zh-CN"/>
        </w:rPr>
        <mc:AlternateContent>
          <mc:Choice Requires="wps">
            <w:drawing>
              <wp:anchor distT="0" distB="0" distL="114300" distR="114300" simplePos="0" relativeHeight="251824128" behindDoc="0" locked="0" layoutInCell="1" allowOverlap="1" wp14:anchorId="70DE9A99" wp14:editId="26DDDBAA">
                <wp:simplePos x="0" y="0"/>
                <wp:positionH relativeFrom="column">
                  <wp:posOffset>842010</wp:posOffset>
                </wp:positionH>
                <wp:positionV relativeFrom="paragraph">
                  <wp:posOffset>4317365</wp:posOffset>
                </wp:positionV>
                <wp:extent cx="1188720" cy="247650"/>
                <wp:effectExtent l="0" t="0" r="11430" b="0"/>
                <wp:wrapNone/>
                <wp:docPr id="140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47650"/>
                        </a:xfrm>
                        <a:prstGeom prst="rect">
                          <a:avLst/>
                        </a:prstGeom>
                        <a:noFill/>
                        <a:ln w="9525">
                          <a:noFill/>
                          <a:miter lim="800000"/>
                          <a:headEnd/>
                          <a:tailEnd/>
                        </a:ln>
                      </wps:spPr>
                      <wps:txbx>
                        <w:txbxContent>
                          <w:p w:rsidR="00D53F39" w:rsidRPr="00E911A4" w:rsidRDefault="00D53F39" w:rsidP="00E24DB7">
                            <w:pPr>
                              <w:spacing w:line="120" w:lineRule="exact"/>
                              <w:jc w:val="center"/>
                              <w:rPr>
                                <w:sz w:val="12"/>
                                <w:szCs w:val="12"/>
                              </w:rPr>
                            </w:pPr>
                            <w:r w:rsidRPr="00E911A4">
                              <w:rPr>
                                <w:sz w:val="12"/>
                                <w:szCs w:val="12"/>
                              </w:rPr>
                              <w:t xml:space="preserve">Sélectionner le mode dans lequel </w:t>
                            </w:r>
                            <w:r w:rsidRPr="00E911A4">
                              <w:rPr>
                                <w:sz w:val="12"/>
                                <w:szCs w:val="12"/>
                              </w:rPr>
                              <w:br/>
                              <w:t xml:space="preserve">la consommation d’énergie </w:t>
                            </w:r>
                            <w:r w:rsidRPr="00E911A4">
                              <w:rPr>
                                <w:sz w:val="12"/>
                                <w:szCs w:val="12"/>
                              </w:rPr>
                              <w:br/>
                              <w:t>électrique 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E9A99" id="_x0000_s1631" type="#_x0000_t202" style="position:absolute;left:0;text-align:left;margin-left:66.3pt;margin-top:339.95pt;width:93.6pt;height:1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" filled="f" stroked="f">
                <v:textbox inset="0,0,0,0">
                  <w:txbxContent>
                    <w:p w:rsidR="00D53F39" w:rsidRPr="00E911A4" w:rsidRDefault="00D53F39" w:rsidP="00E24DB7">
                      <w:pPr>
                        <w:spacing w:line="120" w:lineRule="exact"/>
                        <w:jc w:val="center"/>
                        <w:rPr>
                          <w:sz w:val="12"/>
                          <w:szCs w:val="12"/>
                        </w:rPr>
                      </w:pPr>
                      <w:r w:rsidRPr="00E911A4">
                        <w:rPr>
                          <w:sz w:val="12"/>
                          <w:szCs w:val="12"/>
                        </w:rPr>
                        <w:t xml:space="preserve">Sélectionner le mode dans lequel </w:t>
                      </w:r>
                      <w:r w:rsidRPr="00E911A4">
                        <w:rPr>
                          <w:sz w:val="12"/>
                          <w:szCs w:val="12"/>
                        </w:rPr>
                        <w:br/>
                        <w:t xml:space="preserve">la consommation d’énergie </w:t>
                      </w:r>
                      <w:r w:rsidRPr="00E911A4">
                        <w:rPr>
                          <w:sz w:val="12"/>
                          <w:szCs w:val="12"/>
                        </w:rPr>
                        <w:br/>
                        <w:t>électrique est la plus forte</w:t>
                      </w:r>
                    </w:p>
                  </w:txbxContent>
                </v:textbox>
              </v:shape>
            </w:pict>
          </mc:Fallback>
        </mc:AlternateContent>
      </w:r>
      <w:r w:rsidRPr="002C5876">
        <w:rPr>
          <w:noProof/>
          <w:lang w:val="en-GB" w:eastAsia="zh-CN"/>
        </w:rPr>
        <mc:AlternateContent>
          <mc:Choice Requires="wps">
            <w:drawing>
              <wp:anchor distT="0" distB="0" distL="114300" distR="114300" simplePos="0" relativeHeight="251799552" behindDoc="0" locked="0" layoutInCell="1" allowOverlap="1" wp14:anchorId="2840DACE" wp14:editId="5B16E6B4">
                <wp:simplePos x="0" y="0"/>
                <wp:positionH relativeFrom="column">
                  <wp:posOffset>1706245</wp:posOffset>
                </wp:positionH>
                <wp:positionV relativeFrom="paragraph">
                  <wp:posOffset>3524885</wp:posOffset>
                </wp:positionV>
                <wp:extent cx="1585595" cy="280035"/>
                <wp:effectExtent l="0" t="0" r="0" b="5715"/>
                <wp:wrapNone/>
                <wp:docPr id="140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80035"/>
                        </a:xfrm>
                        <a:prstGeom prst="rect">
                          <a:avLst/>
                        </a:prstGeom>
                        <a:noFill/>
                        <a:ln w="9525">
                          <a:noFill/>
                          <a:miter lim="800000"/>
                          <a:headEnd/>
                          <a:tailEnd/>
                        </a:ln>
                      </wps:spPr>
                      <wps:txbx>
                        <w:txbxContent>
                          <w:p w:rsidR="00D53F39" w:rsidRPr="00E911A4" w:rsidRDefault="00D53F39" w:rsidP="00E24DB7">
                            <w:pPr>
                              <w:spacing w:line="240" w:lineRule="auto"/>
                              <w:jc w:val="center"/>
                              <w:rPr>
                                <w:sz w:val="12"/>
                                <w:szCs w:val="12"/>
                              </w:rPr>
                            </w:pPr>
                            <w:r w:rsidRPr="00E911A4">
                              <w:rPr>
                                <w:sz w:val="12"/>
                                <w:szCs w:val="12"/>
                              </w:rPr>
                              <w:t>Existe-t-il un ou plusieurs modes dans lesquels le véhicule peut suivre le cycle d’essai de référence modifié en condition d’épuisement de la 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0DACE" id="_x0000_s1632" type="#_x0000_t202" style="position:absolute;left:0;text-align:left;margin-left:134.35pt;margin-top:277.55pt;width:124.85pt;height:22.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" filled="f" stroked="f">
                <v:textbox inset="0,0,0,0">
                  <w:txbxContent>
                    <w:p w:rsidR="00D53F39" w:rsidRPr="00E911A4" w:rsidRDefault="00D53F39" w:rsidP="00E24DB7">
                      <w:pPr>
                        <w:spacing w:line="240" w:lineRule="auto"/>
                        <w:jc w:val="center"/>
                        <w:rPr>
                          <w:sz w:val="12"/>
                          <w:szCs w:val="12"/>
                        </w:rPr>
                      </w:pPr>
                      <w:r w:rsidRPr="00E911A4">
                        <w:rPr>
                          <w:sz w:val="12"/>
                          <w:szCs w:val="12"/>
                        </w:rPr>
                        <w:t>Existe-t-il un ou plusieurs modes dans lesquels le véhicule peut suivre le cycle d’essai de référence modifié en condition d’épuisement de la charge ?</w:t>
                      </w:r>
                    </w:p>
                  </w:txbxContent>
                </v:textbox>
              </v:shape>
            </w:pict>
          </mc:Fallback>
        </mc:AlternateContent>
      </w:r>
      <w:r w:rsidRPr="002C5876">
        <w:rPr>
          <w:noProof/>
          <w:lang w:val="en-GB" w:eastAsia="zh-CN"/>
        </w:rPr>
        <mc:AlternateContent>
          <mc:Choice Requires="wps">
            <w:drawing>
              <wp:anchor distT="0" distB="0" distL="114300" distR="114300" simplePos="0" relativeHeight="251815936" behindDoc="0" locked="0" layoutInCell="1" allowOverlap="1" wp14:anchorId="189D6760" wp14:editId="69939B80">
                <wp:simplePos x="0" y="0"/>
                <wp:positionH relativeFrom="column">
                  <wp:posOffset>5001260</wp:posOffset>
                </wp:positionH>
                <wp:positionV relativeFrom="paragraph">
                  <wp:posOffset>2571115</wp:posOffset>
                </wp:positionV>
                <wp:extent cx="924560" cy="317500"/>
                <wp:effectExtent l="0" t="0" r="8890" b="6350"/>
                <wp:wrapNone/>
                <wp:docPr id="140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317500"/>
                        </a:xfrm>
                        <a:prstGeom prst="rect">
                          <a:avLst/>
                        </a:prstGeom>
                        <a:noFill/>
                        <a:ln w="9525">
                          <a:noFill/>
                          <a:miter lim="800000"/>
                          <a:headEnd/>
                          <a:tailEnd/>
                        </a:ln>
                      </wps:spPr>
                      <wps:txbx>
                        <w:txbxContent>
                          <w:p w:rsidR="00D53F39" w:rsidRPr="00E911A4" w:rsidRDefault="00D53F39" w:rsidP="00E24DB7">
                            <w:pPr>
                              <w:spacing w:line="120" w:lineRule="exact"/>
                              <w:jc w:val="center"/>
                              <w:rPr>
                                <w:sz w:val="12"/>
                                <w:szCs w:val="12"/>
                              </w:rPr>
                            </w:pPr>
                            <w:r w:rsidRPr="00E911A4">
                              <w:rPr>
                                <w:sz w:val="12"/>
                                <w:szCs w:val="12"/>
                              </w:rPr>
                              <w:t xml:space="preserve">Sélectionner le mode dans lequel la consommation d’énergie électrique </w:t>
                            </w:r>
                            <w:r w:rsidRPr="00E911A4">
                              <w:rPr>
                                <w:sz w:val="12"/>
                                <w:szCs w:val="12"/>
                              </w:rPr>
                              <w:br/>
                              <w:t>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D6760" id="_x0000_s1633" type="#_x0000_t202" style="position:absolute;left:0;text-align:left;margin-left:393.8pt;margin-top:202.45pt;width:72.8pt;height: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" filled="f" stroked="f">
                <v:textbox inset="0,0,0,0">
                  <w:txbxContent>
                    <w:p w:rsidR="00D53F39" w:rsidRPr="00E911A4" w:rsidRDefault="00D53F39" w:rsidP="00E24DB7">
                      <w:pPr>
                        <w:spacing w:line="120" w:lineRule="exact"/>
                        <w:jc w:val="center"/>
                        <w:rPr>
                          <w:sz w:val="12"/>
                          <w:szCs w:val="12"/>
                        </w:rPr>
                      </w:pPr>
                      <w:r w:rsidRPr="00E911A4">
                        <w:rPr>
                          <w:sz w:val="12"/>
                          <w:szCs w:val="12"/>
                        </w:rPr>
                        <w:t xml:space="preserve">Sélectionner le mode dans lequel la consommation d’énergie électrique </w:t>
                      </w:r>
                      <w:r w:rsidRPr="00E911A4">
                        <w:rPr>
                          <w:sz w:val="12"/>
                          <w:szCs w:val="12"/>
                        </w:rPr>
                        <w:br/>
                        <w:t>est la plus forte</w:t>
                      </w:r>
                    </w:p>
                  </w:txbxContent>
                </v:textbox>
              </v:shape>
            </w:pict>
          </mc:Fallback>
        </mc:AlternateContent>
      </w:r>
      <w:r w:rsidRPr="002C5876">
        <w:rPr>
          <w:noProof/>
          <w:lang w:val="en-GB" w:eastAsia="zh-CN"/>
        </w:rPr>
        <mc:AlternateContent>
          <mc:Choice Requires="wps">
            <w:drawing>
              <wp:anchor distT="0" distB="0" distL="114300" distR="114300" simplePos="0" relativeHeight="251807744" behindDoc="0" locked="0" layoutInCell="1" allowOverlap="1" wp14:anchorId="5EC15E3B" wp14:editId="3B48EA61">
                <wp:simplePos x="0" y="0"/>
                <wp:positionH relativeFrom="column">
                  <wp:posOffset>3883660</wp:posOffset>
                </wp:positionH>
                <wp:positionV relativeFrom="paragraph">
                  <wp:posOffset>2806065</wp:posOffset>
                </wp:positionV>
                <wp:extent cx="924560" cy="419100"/>
                <wp:effectExtent l="0" t="0" r="8890" b="0"/>
                <wp:wrapNone/>
                <wp:docPr id="140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419100"/>
                        </a:xfrm>
                        <a:prstGeom prst="rect">
                          <a:avLst/>
                        </a:prstGeom>
                        <a:noFill/>
                        <a:ln w="9525">
                          <a:noFill/>
                          <a:miter lim="800000"/>
                          <a:headEnd/>
                          <a:tailEnd/>
                        </a:ln>
                      </wps:spPr>
                      <wps:txbx>
                        <w:txbxContent>
                          <w:p w:rsidR="00D53F39" w:rsidRPr="00E911A4" w:rsidRDefault="00D53F39" w:rsidP="00E24DB7">
                            <w:pPr>
                              <w:spacing w:line="120" w:lineRule="exact"/>
                              <w:jc w:val="center"/>
                              <w:rPr>
                                <w:sz w:val="12"/>
                                <w:szCs w:val="12"/>
                              </w:rPr>
                            </w:pPr>
                            <w:r w:rsidRPr="00E911A4">
                              <w:rPr>
                                <w:sz w:val="12"/>
                                <w:szCs w:val="12"/>
                              </w:rPr>
                              <w:t>Exécuter le cycle urbain</w:t>
                            </w:r>
                          </w:p>
                          <w:p w:rsidR="00D53F39" w:rsidRPr="00E911A4" w:rsidRDefault="00D53F39" w:rsidP="00E24DB7">
                            <w:pPr>
                              <w:spacing w:line="120" w:lineRule="exact"/>
                              <w:jc w:val="center"/>
                              <w:rPr>
                                <w:sz w:val="12"/>
                                <w:szCs w:val="12"/>
                              </w:rPr>
                            </w:pPr>
                            <w:r w:rsidRPr="00E911A4">
                              <w:rPr>
                                <w:sz w:val="12"/>
                                <w:szCs w:val="12"/>
                              </w:rPr>
                              <w:t xml:space="preserve">Sélectionner le mode dans lequel la consommation d’énergie électrique </w:t>
                            </w:r>
                            <w:r w:rsidRPr="00E911A4">
                              <w:rPr>
                                <w:sz w:val="12"/>
                                <w:szCs w:val="12"/>
                              </w:rPr>
                              <w:br/>
                              <w:t>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15E3B" id="_x0000_s1634" type="#_x0000_t202" style="position:absolute;left:0;text-align:left;margin-left:305.8pt;margin-top:220.95pt;width:72.8pt;height:3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" filled="f" stroked="f">
                <v:textbox inset="0,0,0,0">
                  <w:txbxContent>
                    <w:p w:rsidR="00D53F39" w:rsidRPr="00E911A4" w:rsidRDefault="00D53F39" w:rsidP="00E24DB7">
                      <w:pPr>
                        <w:spacing w:line="120" w:lineRule="exact"/>
                        <w:jc w:val="center"/>
                        <w:rPr>
                          <w:sz w:val="12"/>
                          <w:szCs w:val="12"/>
                        </w:rPr>
                      </w:pPr>
                      <w:r w:rsidRPr="00E911A4">
                        <w:rPr>
                          <w:sz w:val="12"/>
                          <w:szCs w:val="12"/>
                        </w:rPr>
                        <w:t>Exécuter le cycle urbain</w:t>
                      </w:r>
                    </w:p>
                    <w:p w:rsidR="00D53F39" w:rsidRPr="00E911A4" w:rsidRDefault="00D53F39" w:rsidP="00E24DB7">
                      <w:pPr>
                        <w:spacing w:line="120" w:lineRule="exact"/>
                        <w:jc w:val="center"/>
                        <w:rPr>
                          <w:sz w:val="12"/>
                          <w:szCs w:val="12"/>
                        </w:rPr>
                      </w:pPr>
                      <w:r w:rsidRPr="00E911A4">
                        <w:rPr>
                          <w:sz w:val="12"/>
                          <w:szCs w:val="12"/>
                        </w:rPr>
                        <w:t xml:space="preserve">Sélectionner le mode dans lequel la consommation d’énergie électrique </w:t>
                      </w:r>
                      <w:r w:rsidRPr="00E911A4">
                        <w:rPr>
                          <w:sz w:val="12"/>
                          <w:szCs w:val="12"/>
                        </w:rPr>
                        <w:br/>
                        <w:t>est la plus forte</w:t>
                      </w:r>
                    </w:p>
                  </w:txbxContent>
                </v:textbox>
              </v:shape>
            </w:pict>
          </mc:Fallback>
        </mc:AlternateContent>
      </w:r>
      <w:r w:rsidRPr="002C5876">
        <w:rPr>
          <w:noProof/>
          <w:lang w:val="en-GB" w:eastAsia="zh-CN"/>
        </w:rPr>
        <mc:AlternateContent>
          <mc:Choice Requires="wps">
            <w:drawing>
              <wp:anchor distT="0" distB="0" distL="114300" distR="114300" simplePos="0" relativeHeight="251774976" behindDoc="0" locked="0" layoutInCell="1" allowOverlap="1" wp14:anchorId="7754691F" wp14:editId="7C51BAF3">
                <wp:simplePos x="0" y="0"/>
                <wp:positionH relativeFrom="column">
                  <wp:posOffset>3026410</wp:posOffset>
                </wp:positionH>
                <wp:positionV relativeFrom="paragraph">
                  <wp:posOffset>2418715</wp:posOffset>
                </wp:positionV>
                <wp:extent cx="908685" cy="127000"/>
                <wp:effectExtent l="0" t="0" r="5715" b="6350"/>
                <wp:wrapNone/>
                <wp:docPr id="140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127000"/>
                        </a:xfrm>
                        <a:prstGeom prst="rect">
                          <a:avLst/>
                        </a:prstGeom>
                        <a:noFill/>
                        <a:ln w="9525">
                          <a:noFill/>
                          <a:miter lim="800000"/>
                          <a:headEnd/>
                          <a:tailEnd/>
                        </a:ln>
                      </wps:spPr>
                      <wps:txbx>
                        <w:txbxContent>
                          <w:p w:rsidR="00D53F39" w:rsidRPr="00E62191" w:rsidRDefault="00D53F39" w:rsidP="00E24DB7">
                            <w:pPr>
                              <w:spacing w:line="240" w:lineRule="auto"/>
                              <w:jc w:val="center"/>
                              <w:rPr>
                                <w:b/>
                                <w:i/>
                                <w:sz w:val="14"/>
                                <w:szCs w:val="14"/>
                              </w:rPr>
                            </w:pPr>
                            <w:r w:rsidRPr="00E62191">
                              <w:rPr>
                                <w:b/>
                                <w:i/>
                                <w:sz w:val="14"/>
                                <w:szCs w:val="14"/>
                              </w:rPr>
                              <w:t>Option régionale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4691F" id="_x0000_s1635" type="#_x0000_t202" style="position:absolute;left:0;text-align:left;margin-left:238.3pt;margin-top:190.45pt;width:71.55pt;height:10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" filled="f" stroked="f">
                <v:textbox inset="0,0,0,0">
                  <w:txbxContent>
                    <w:p w:rsidR="00D53F39" w:rsidRPr="00E62191" w:rsidRDefault="00D53F39" w:rsidP="00E24DB7">
                      <w:pPr>
                        <w:spacing w:line="240" w:lineRule="auto"/>
                        <w:jc w:val="center"/>
                        <w:rPr>
                          <w:b/>
                          <w:i/>
                          <w:sz w:val="14"/>
                          <w:szCs w:val="14"/>
                        </w:rPr>
                      </w:pPr>
                      <w:r w:rsidRPr="00E62191">
                        <w:rPr>
                          <w:b/>
                          <w:i/>
                          <w:sz w:val="14"/>
                          <w:szCs w:val="14"/>
                        </w:rPr>
                        <w:t>Option régionale</w:t>
                      </w:r>
                    </w:p>
                  </w:txbxContent>
                </v:textbox>
              </v:shape>
            </w:pict>
          </mc:Fallback>
        </mc:AlternateContent>
      </w:r>
      <w:r w:rsidRPr="002C5876">
        <w:rPr>
          <w:noProof/>
          <w:lang w:val="en-GB" w:eastAsia="zh-CN"/>
        </w:rPr>
        <mc:AlternateContent>
          <mc:Choice Requires="wps">
            <w:drawing>
              <wp:anchor distT="0" distB="0" distL="114300" distR="114300" simplePos="0" relativeHeight="251717632" behindDoc="0" locked="0" layoutInCell="1" allowOverlap="1" wp14:anchorId="667E03AC" wp14:editId="0B5FC005">
                <wp:simplePos x="0" y="0"/>
                <wp:positionH relativeFrom="column">
                  <wp:posOffset>2708910</wp:posOffset>
                </wp:positionH>
                <wp:positionV relativeFrom="paragraph">
                  <wp:posOffset>386715</wp:posOffset>
                </wp:positionV>
                <wp:extent cx="1441450" cy="200025"/>
                <wp:effectExtent l="0" t="0" r="6350" b="9525"/>
                <wp:wrapNone/>
                <wp:docPr id="139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200025"/>
                        </a:xfrm>
                        <a:prstGeom prst="rect">
                          <a:avLst/>
                        </a:prstGeom>
                        <a:noFill/>
                        <a:ln w="9525">
                          <a:noFill/>
                          <a:miter lim="800000"/>
                          <a:headEnd/>
                          <a:tailEnd/>
                        </a:ln>
                      </wps:spPr>
                      <wps:txbx>
                        <w:txbxContent>
                          <w:p w:rsidR="00D53F39" w:rsidRPr="00E911A4" w:rsidRDefault="00D53F39" w:rsidP="00E24DB7">
                            <w:pPr>
                              <w:spacing w:line="240" w:lineRule="auto"/>
                              <w:jc w:val="center"/>
                              <w:rPr>
                                <w:rFonts w:ascii="Times New Roman Gras" w:hAnsi="Times New Roman Gras"/>
                                <w:b/>
                                <w:spacing w:val="-5"/>
                                <w:sz w:val="12"/>
                                <w:szCs w:val="12"/>
                              </w:rPr>
                            </w:pPr>
                            <w:r w:rsidRPr="00E911A4">
                              <w:rPr>
                                <w:rFonts w:ascii="Times New Roman Gras" w:hAnsi="Times New Roman Gras"/>
                                <w:b/>
                                <w:spacing w:val="-5"/>
                                <w:sz w:val="12"/>
                                <w:szCs w:val="12"/>
                              </w:rPr>
                              <w:t>VHE-RE en mode épuisement de la charge :</w:t>
                            </w:r>
                          </w:p>
                          <w:p w:rsidR="00D53F39" w:rsidRPr="00E911A4" w:rsidRDefault="00D53F39" w:rsidP="00E24DB7">
                            <w:pPr>
                              <w:spacing w:line="240" w:lineRule="auto"/>
                              <w:jc w:val="center"/>
                              <w:rPr>
                                <w:spacing w:val="-4"/>
                                <w:sz w:val="12"/>
                                <w:szCs w:val="12"/>
                              </w:rPr>
                            </w:pPr>
                            <w:r w:rsidRPr="00E911A4">
                              <w:rPr>
                                <w:spacing w:val="-4"/>
                                <w:sz w:val="12"/>
                                <w:szCs w:val="12"/>
                              </w:rPr>
                              <w:t>Existe-t-il un mode prédominant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E03AC" id="_x0000_s1636" type="#_x0000_t202" style="position:absolute;left:0;text-align:left;margin-left:213.3pt;margin-top:30.45pt;width:113.5pt;height:15.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" filled="f" stroked="f">
                <v:textbox inset="0,0,0,0">
                  <w:txbxContent>
                    <w:p w:rsidR="00D53F39" w:rsidRPr="00E911A4" w:rsidRDefault="00D53F39" w:rsidP="00E24DB7">
                      <w:pPr>
                        <w:spacing w:line="240" w:lineRule="auto"/>
                        <w:jc w:val="center"/>
                        <w:rPr>
                          <w:rFonts w:ascii="Times New Roman Gras" w:hAnsi="Times New Roman Gras"/>
                          <w:b/>
                          <w:spacing w:val="-5"/>
                          <w:sz w:val="12"/>
                          <w:szCs w:val="12"/>
                        </w:rPr>
                      </w:pPr>
                      <w:r w:rsidRPr="00E911A4">
                        <w:rPr>
                          <w:rFonts w:ascii="Times New Roman Gras" w:hAnsi="Times New Roman Gras"/>
                          <w:b/>
                          <w:spacing w:val="-5"/>
                          <w:sz w:val="12"/>
                          <w:szCs w:val="12"/>
                        </w:rPr>
                        <w:t>VHE-RE en mode épuisement de la charge :</w:t>
                      </w:r>
                    </w:p>
                    <w:p w:rsidR="00D53F39" w:rsidRPr="00E911A4" w:rsidRDefault="00D53F39" w:rsidP="00E24DB7">
                      <w:pPr>
                        <w:spacing w:line="240" w:lineRule="auto"/>
                        <w:jc w:val="center"/>
                        <w:rPr>
                          <w:spacing w:val="-4"/>
                          <w:sz w:val="12"/>
                          <w:szCs w:val="12"/>
                        </w:rPr>
                      </w:pPr>
                      <w:r w:rsidRPr="00E911A4">
                        <w:rPr>
                          <w:spacing w:val="-4"/>
                          <w:sz w:val="12"/>
                          <w:szCs w:val="12"/>
                        </w:rPr>
                        <w:t>Existe-t-il un mode prédominant ?</w:t>
                      </w:r>
                    </w:p>
                  </w:txbxContent>
                </v:textbox>
              </v:shape>
            </w:pict>
          </mc:Fallback>
        </mc:AlternateContent>
      </w:r>
      <w:r w:rsidRPr="002C5876">
        <w:rPr>
          <w:noProof/>
          <w:lang w:val="en-GB" w:eastAsia="zh-CN"/>
        </w:rPr>
        <mc:AlternateContent>
          <mc:Choice Requires="wps">
            <w:drawing>
              <wp:anchor distT="0" distB="0" distL="114300" distR="114300" simplePos="0" relativeHeight="251832320" behindDoc="0" locked="0" layoutInCell="1" allowOverlap="1" wp14:anchorId="73562DD2" wp14:editId="4C28BF5C">
                <wp:simplePos x="0" y="0"/>
                <wp:positionH relativeFrom="column">
                  <wp:posOffset>2672715</wp:posOffset>
                </wp:positionH>
                <wp:positionV relativeFrom="paragraph">
                  <wp:posOffset>4495165</wp:posOffset>
                </wp:positionV>
                <wp:extent cx="1844040" cy="184785"/>
                <wp:effectExtent l="0" t="0" r="3810" b="5715"/>
                <wp:wrapNone/>
                <wp:docPr id="140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184785"/>
                        </a:xfrm>
                        <a:prstGeom prst="rect">
                          <a:avLst/>
                        </a:prstGeom>
                        <a:noFill/>
                        <a:ln w="9525">
                          <a:noFill/>
                          <a:miter lim="800000"/>
                          <a:headEnd/>
                          <a:tailEnd/>
                        </a:ln>
                      </wps:spPr>
                      <wps:txbx>
                        <w:txbxContent>
                          <w:p w:rsidR="00D53F39" w:rsidRPr="00E911A4" w:rsidRDefault="00D53F39" w:rsidP="00E24DB7">
                            <w:pPr>
                              <w:spacing w:line="240" w:lineRule="auto"/>
                              <w:jc w:val="center"/>
                              <w:rPr>
                                <w:sz w:val="12"/>
                                <w:szCs w:val="12"/>
                              </w:rPr>
                            </w:pPr>
                            <w:r w:rsidRPr="00E911A4">
                              <w:rPr>
                                <w:sz w:val="12"/>
                                <w:szCs w:val="12"/>
                              </w:rPr>
                              <w:t>Sélectionner le mode dans lequel la consommation d’énergie électrique 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62DD2" id="_x0000_s1637" type="#_x0000_t202" style="position:absolute;left:0;text-align:left;margin-left:210.45pt;margin-top:353.95pt;width:145.2pt;height:14.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" filled="f" stroked="f">
                <v:textbox inset="0,0,0,0">
                  <w:txbxContent>
                    <w:p w:rsidR="00D53F39" w:rsidRPr="00E911A4" w:rsidRDefault="00D53F39" w:rsidP="00E24DB7">
                      <w:pPr>
                        <w:spacing w:line="240" w:lineRule="auto"/>
                        <w:jc w:val="center"/>
                        <w:rPr>
                          <w:sz w:val="12"/>
                          <w:szCs w:val="12"/>
                        </w:rPr>
                      </w:pPr>
                      <w:r w:rsidRPr="00E911A4">
                        <w:rPr>
                          <w:sz w:val="12"/>
                          <w:szCs w:val="12"/>
                        </w:rPr>
                        <w:t>Sélectionner le mode dans lequel la consommation d’énergie électrique est la plus forte</w:t>
                      </w:r>
                    </w:p>
                  </w:txbxContent>
                </v:textbox>
              </v:shape>
            </w:pict>
          </mc:Fallback>
        </mc:AlternateContent>
      </w:r>
      <w:r w:rsidRPr="002C5876">
        <w:rPr>
          <w:noProof/>
          <w:lang w:val="en-GB" w:eastAsia="zh-CN"/>
        </w:rPr>
        <mc:AlternateContent>
          <mc:Choice Requires="wps">
            <w:drawing>
              <wp:anchor distT="0" distB="0" distL="114300" distR="114300" simplePos="0" relativeHeight="251840512" behindDoc="0" locked="0" layoutInCell="1" allowOverlap="1" wp14:anchorId="5241FFD1" wp14:editId="48FFD522">
                <wp:simplePos x="0" y="0"/>
                <wp:positionH relativeFrom="column">
                  <wp:posOffset>2640965</wp:posOffset>
                </wp:positionH>
                <wp:positionV relativeFrom="paragraph">
                  <wp:posOffset>4020185</wp:posOffset>
                </wp:positionV>
                <wp:extent cx="1875155" cy="306070"/>
                <wp:effectExtent l="0" t="0" r="10795" b="0"/>
                <wp:wrapNone/>
                <wp:docPr id="140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155" cy="306070"/>
                        </a:xfrm>
                        <a:prstGeom prst="rect">
                          <a:avLst/>
                        </a:prstGeom>
                        <a:noFill/>
                        <a:ln w="9525">
                          <a:noFill/>
                          <a:miter lim="800000"/>
                          <a:headEnd/>
                          <a:tailEnd/>
                        </a:ln>
                      </wps:spPr>
                      <wps:txbx>
                        <w:txbxContent>
                          <w:p w:rsidR="00D53F39" w:rsidRPr="00E911A4" w:rsidRDefault="00D53F39" w:rsidP="00E24DB7">
                            <w:pPr>
                              <w:spacing w:line="240" w:lineRule="auto"/>
                              <w:jc w:val="center"/>
                              <w:rPr>
                                <w:sz w:val="12"/>
                                <w:szCs w:val="12"/>
                              </w:rPr>
                            </w:pPr>
                            <w:r w:rsidRPr="00E911A4">
                              <w:rPr>
                                <w:sz w:val="12"/>
                                <w:szCs w:val="12"/>
                              </w:rPr>
                              <w:t>Déterminer le ou les modes pour lesquels la demande d’énergie sur le cycle est la plus forte (voir annexe 7, par. 5, où la vitesse visée est remplacée par la vitesse effectuée</w:t>
                            </w:r>
                            <w:r>
                              <w:rPr>
                                <w:sz w:val="12"/>
                                <w:szCs w:val="12"/>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1FFD1" id="_x0000_s1638" type="#_x0000_t202" style="position:absolute;left:0;text-align:left;margin-left:207.95pt;margin-top:316.55pt;width:147.65pt;height:24.1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" filled="f" stroked="f">
                <v:textbox inset="0,0,0,0">
                  <w:txbxContent>
                    <w:p w:rsidR="00D53F39" w:rsidRPr="00E911A4" w:rsidRDefault="00D53F39" w:rsidP="00E24DB7">
                      <w:pPr>
                        <w:spacing w:line="240" w:lineRule="auto"/>
                        <w:jc w:val="center"/>
                        <w:rPr>
                          <w:sz w:val="12"/>
                          <w:szCs w:val="12"/>
                        </w:rPr>
                      </w:pPr>
                      <w:r w:rsidRPr="00E911A4">
                        <w:rPr>
                          <w:sz w:val="12"/>
                          <w:szCs w:val="12"/>
                        </w:rPr>
                        <w:t>Déterminer le ou les modes pour lesquels la demande d’énergie sur le cycle est la plus forte (voir annexe 7, par. 5, où la vitesse visée est remplacée par la vitesse effectuée</w:t>
                      </w:r>
                      <w:r>
                        <w:rPr>
                          <w:sz w:val="12"/>
                          <w:szCs w:val="12"/>
                        </w:rPr>
                        <w:t>)</w:t>
                      </w:r>
                    </w:p>
                  </w:txbxContent>
                </v:textbox>
              </v:shape>
            </w:pict>
          </mc:Fallback>
        </mc:AlternateContent>
      </w:r>
      <w:r w:rsidRPr="002C5876">
        <w:rPr>
          <w:noProof/>
          <w:lang w:val="en-GB" w:eastAsia="zh-CN"/>
        </w:rPr>
        <mc:AlternateContent>
          <mc:Choice Requires="wps">
            <w:drawing>
              <wp:anchor distT="0" distB="0" distL="114300" distR="114300" simplePos="0" relativeHeight="251791360" behindDoc="0" locked="0" layoutInCell="1" allowOverlap="1" wp14:anchorId="19A05BE3" wp14:editId="37F1C179">
                <wp:simplePos x="0" y="0"/>
                <wp:positionH relativeFrom="column">
                  <wp:posOffset>107950</wp:posOffset>
                </wp:positionH>
                <wp:positionV relativeFrom="paragraph">
                  <wp:posOffset>3747135</wp:posOffset>
                </wp:positionV>
                <wp:extent cx="771525" cy="210820"/>
                <wp:effectExtent l="0" t="0" r="9525" b="0"/>
                <wp:wrapNone/>
                <wp:docPr id="140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10820"/>
                        </a:xfrm>
                        <a:prstGeom prst="rect">
                          <a:avLst/>
                        </a:prstGeom>
                        <a:noFill/>
                        <a:ln w="9525">
                          <a:noFill/>
                          <a:miter lim="800000"/>
                          <a:headEnd/>
                          <a:tailEnd/>
                        </a:ln>
                      </wps:spPr>
                      <wps:txbx>
                        <w:txbxContent>
                          <w:p w:rsidR="00D53F39" w:rsidRPr="001661D8" w:rsidRDefault="00D53F39" w:rsidP="00E24DB7">
                            <w:pPr>
                              <w:spacing w:line="240" w:lineRule="auto"/>
                              <w:jc w:val="center"/>
                              <w:rPr>
                                <w:sz w:val="12"/>
                                <w:szCs w:val="12"/>
                              </w:rPr>
                            </w:pPr>
                            <w:r>
                              <w:rPr>
                                <w:sz w:val="12"/>
                                <w:szCs w:val="12"/>
                              </w:rPr>
                              <w:t>Sélectionner le mode prédominant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05BE3" id="_x0000_s1639" type="#_x0000_t202" style="position:absolute;left:0;text-align:left;margin-left:8.5pt;margin-top:295.05pt;width:60.75pt;height:16.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" filled="f" stroked="f">
                <v:textbox inset="0,0,0,0">
                  <w:txbxContent>
                    <w:p w:rsidR="00D53F39" w:rsidRPr="001661D8" w:rsidRDefault="00D53F39" w:rsidP="00E24DB7">
                      <w:pPr>
                        <w:spacing w:line="240" w:lineRule="auto"/>
                        <w:jc w:val="center"/>
                        <w:rPr>
                          <w:sz w:val="12"/>
                          <w:szCs w:val="12"/>
                        </w:rPr>
                      </w:pPr>
                      <w:r>
                        <w:rPr>
                          <w:sz w:val="12"/>
                          <w:szCs w:val="12"/>
                        </w:rPr>
                        <w:t>Sélectionner le mode prédominant</w:t>
                      </w:r>
                    </w:p>
                  </w:txbxContent>
                </v:textbox>
              </v:shape>
            </w:pict>
          </mc:Fallback>
        </mc:AlternateContent>
      </w:r>
      <w:r w:rsidRPr="002C5876">
        <w:rPr>
          <w:noProof/>
          <w:lang w:val="en-GB" w:eastAsia="zh-CN"/>
        </w:rPr>
        <mc:AlternateContent>
          <mc:Choice Requires="wps">
            <w:drawing>
              <wp:anchor distT="0" distB="0" distL="114300" distR="114300" simplePos="0" relativeHeight="251766784" behindDoc="0" locked="0" layoutInCell="1" allowOverlap="1" wp14:anchorId="509806AA" wp14:editId="73447B13">
                <wp:simplePos x="0" y="0"/>
                <wp:positionH relativeFrom="column">
                  <wp:posOffset>278765</wp:posOffset>
                </wp:positionH>
                <wp:positionV relativeFrom="paragraph">
                  <wp:posOffset>2664460</wp:posOffset>
                </wp:positionV>
                <wp:extent cx="940435" cy="110490"/>
                <wp:effectExtent l="0" t="0" r="12065" b="3810"/>
                <wp:wrapNone/>
                <wp:docPr id="140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110490"/>
                        </a:xfrm>
                        <a:prstGeom prst="rect">
                          <a:avLst/>
                        </a:prstGeom>
                        <a:noFill/>
                        <a:ln w="9525">
                          <a:noFill/>
                          <a:miter lim="800000"/>
                          <a:headEnd/>
                          <a:tailEnd/>
                        </a:ln>
                      </wps:spPr>
                      <wps:txbx>
                        <w:txbxContent>
                          <w:p w:rsidR="00D53F39" w:rsidRPr="001661D8" w:rsidRDefault="00D53F39" w:rsidP="00E24DB7">
                            <w:pPr>
                              <w:spacing w:line="240" w:lineRule="auto"/>
                              <w:jc w:val="center"/>
                              <w:rPr>
                                <w:sz w:val="12"/>
                                <w:szCs w:val="12"/>
                              </w:rPr>
                            </w:pPr>
                            <w:r>
                              <w:rPr>
                                <w:sz w:val="12"/>
                                <w:szCs w:val="12"/>
                              </w:rPr>
                              <w:t>Sélectionner ce mode unique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806AA" id="_x0000_s1640" type="#_x0000_t202" style="position:absolute;left:0;text-align:left;margin-left:21.95pt;margin-top:209.8pt;width:74.05pt;height:8.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" filled="f" stroked="f">
                <v:textbox inset="0,0,0,0">
                  <w:txbxContent>
                    <w:p w:rsidR="00D53F39" w:rsidRPr="001661D8" w:rsidRDefault="00D53F39" w:rsidP="00E24DB7">
                      <w:pPr>
                        <w:spacing w:line="240" w:lineRule="auto"/>
                        <w:jc w:val="center"/>
                        <w:rPr>
                          <w:sz w:val="12"/>
                          <w:szCs w:val="12"/>
                        </w:rPr>
                      </w:pPr>
                      <w:r>
                        <w:rPr>
                          <w:sz w:val="12"/>
                          <w:szCs w:val="12"/>
                        </w:rPr>
                        <w:t>Sélectionner ce mode unique</w:t>
                      </w:r>
                    </w:p>
                  </w:txbxContent>
                </v:textbox>
              </v:shape>
            </w:pict>
          </mc:Fallback>
        </mc:AlternateContent>
      </w:r>
      <w:r w:rsidRPr="002C5876">
        <w:rPr>
          <w:noProof/>
          <w:lang w:val="en-GB" w:eastAsia="zh-CN"/>
        </w:rPr>
        <mc:AlternateContent>
          <mc:Choice Requires="wps">
            <w:drawing>
              <wp:anchor distT="0" distB="0" distL="114300" distR="114300" simplePos="0" relativeHeight="251783168" behindDoc="0" locked="0" layoutInCell="1" allowOverlap="1" wp14:anchorId="25328782" wp14:editId="1E854698">
                <wp:simplePos x="0" y="0"/>
                <wp:positionH relativeFrom="column">
                  <wp:posOffset>939165</wp:posOffset>
                </wp:positionH>
                <wp:positionV relativeFrom="paragraph">
                  <wp:posOffset>2922905</wp:posOffset>
                </wp:positionV>
                <wp:extent cx="1204595" cy="369570"/>
                <wp:effectExtent l="0" t="0" r="0" b="11430"/>
                <wp:wrapNone/>
                <wp:docPr id="140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369570"/>
                        </a:xfrm>
                        <a:prstGeom prst="rect">
                          <a:avLst/>
                        </a:prstGeom>
                        <a:noFill/>
                        <a:ln w="9525">
                          <a:noFill/>
                          <a:miter lim="800000"/>
                          <a:headEnd/>
                          <a:tailEnd/>
                        </a:ln>
                      </wps:spPr>
                      <wps:txbx>
                        <w:txbxContent>
                          <w:p w:rsidR="00D53F39" w:rsidRPr="00E911A4" w:rsidRDefault="00D53F39" w:rsidP="00E24DB7">
                            <w:pPr>
                              <w:spacing w:line="240" w:lineRule="auto"/>
                              <w:jc w:val="center"/>
                              <w:rPr>
                                <w:sz w:val="12"/>
                                <w:szCs w:val="12"/>
                              </w:rPr>
                            </w:pPr>
                            <w:r w:rsidRPr="00E911A4">
                              <w:rPr>
                                <w:sz w:val="12"/>
                                <w:szCs w:val="12"/>
                              </w:rPr>
                              <w:t>Existe-t-il un mode prédominant permettant au véhicule de suivre le cycle d’essai de référence modifié en condition d’épuisement de la 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28782" id="_x0000_s1641" type="#_x0000_t202" style="position:absolute;left:0;text-align:left;margin-left:73.95pt;margin-top:230.15pt;width:94.85pt;height:29.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" filled="f" stroked="f">
                <v:textbox inset="0,0,0,0">
                  <w:txbxContent>
                    <w:p w:rsidR="00D53F39" w:rsidRPr="00E911A4" w:rsidRDefault="00D53F39" w:rsidP="00E24DB7">
                      <w:pPr>
                        <w:spacing w:line="240" w:lineRule="auto"/>
                        <w:jc w:val="center"/>
                        <w:rPr>
                          <w:sz w:val="12"/>
                          <w:szCs w:val="12"/>
                        </w:rPr>
                      </w:pPr>
                      <w:r w:rsidRPr="00E911A4">
                        <w:rPr>
                          <w:sz w:val="12"/>
                          <w:szCs w:val="12"/>
                        </w:rPr>
                        <w:t>Existe-t-il un mode prédominant permettant au véhicule de suivre le cycle d’essai de référence modifié en condition d’épuisement de la charge ?</w:t>
                      </w:r>
                    </w:p>
                  </w:txbxContent>
                </v:textbox>
              </v:shape>
            </w:pict>
          </mc:Fallback>
        </mc:AlternateContent>
      </w:r>
      <w:r w:rsidRPr="002C5876">
        <w:rPr>
          <w:noProof/>
          <w:lang w:val="en-GB" w:eastAsia="zh-CN"/>
        </w:rPr>
        <mc:AlternateContent>
          <mc:Choice Requires="wps">
            <w:drawing>
              <wp:anchor distT="0" distB="0" distL="114300" distR="114300" simplePos="0" relativeHeight="251758592" behindDoc="0" locked="0" layoutInCell="1" allowOverlap="1" wp14:anchorId="79F1E9D1" wp14:editId="50A3E465">
                <wp:simplePos x="0" y="0"/>
                <wp:positionH relativeFrom="column">
                  <wp:posOffset>5012055</wp:posOffset>
                </wp:positionH>
                <wp:positionV relativeFrom="paragraph">
                  <wp:posOffset>2231390</wp:posOffset>
                </wp:positionV>
                <wp:extent cx="908685" cy="126365"/>
                <wp:effectExtent l="0" t="0" r="5715" b="6985"/>
                <wp:wrapNone/>
                <wp:docPr id="140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126365"/>
                        </a:xfrm>
                        <a:prstGeom prst="rect">
                          <a:avLst/>
                        </a:prstGeom>
                        <a:noFill/>
                        <a:ln w="9525">
                          <a:noFill/>
                          <a:miter lim="800000"/>
                          <a:headEnd/>
                          <a:tailEnd/>
                        </a:ln>
                      </wps:spPr>
                      <wps:txbx>
                        <w:txbxContent>
                          <w:p w:rsidR="00D53F39" w:rsidRPr="001661D8" w:rsidRDefault="00D53F39" w:rsidP="00E24DB7">
                            <w:pPr>
                              <w:spacing w:line="240" w:lineRule="auto"/>
                              <w:jc w:val="center"/>
                              <w:rPr>
                                <w:sz w:val="12"/>
                                <w:szCs w:val="12"/>
                              </w:rPr>
                            </w:pPr>
                            <w:r>
                              <w:rPr>
                                <w:sz w:val="12"/>
                                <w:szCs w:val="12"/>
                              </w:rPr>
                              <w:t>Plusieurs modes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1E9D1" id="_x0000_s1642" type="#_x0000_t202" style="position:absolute;left:0;text-align:left;margin-left:394.65pt;margin-top:175.7pt;width:71.55pt;height:9.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" filled="f" stroked="f">
                <v:textbox inset="0,0,0,0">
                  <w:txbxContent>
                    <w:p w:rsidR="00D53F39" w:rsidRPr="001661D8" w:rsidRDefault="00D53F39" w:rsidP="00E24DB7">
                      <w:pPr>
                        <w:spacing w:line="240" w:lineRule="auto"/>
                        <w:jc w:val="center"/>
                        <w:rPr>
                          <w:sz w:val="12"/>
                          <w:szCs w:val="12"/>
                        </w:rPr>
                      </w:pPr>
                      <w:r>
                        <w:rPr>
                          <w:sz w:val="12"/>
                          <w:szCs w:val="12"/>
                        </w:rPr>
                        <w:t>Plusieurs modes</w:t>
                      </w:r>
                    </w:p>
                  </w:txbxContent>
                </v:textbox>
              </v:shape>
            </w:pict>
          </mc:Fallback>
        </mc:AlternateContent>
      </w:r>
      <w:r w:rsidRPr="002C5876">
        <w:rPr>
          <w:noProof/>
          <w:lang w:val="en-GB" w:eastAsia="zh-CN"/>
        </w:rPr>
        <mc:AlternateContent>
          <mc:Choice Requires="wps">
            <w:drawing>
              <wp:anchor distT="0" distB="0" distL="114300" distR="114300" simplePos="0" relativeHeight="251643904" behindDoc="0" locked="0" layoutInCell="1" allowOverlap="1" wp14:anchorId="3A7DDF11" wp14:editId="09E369FE">
                <wp:simplePos x="0" y="0"/>
                <wp:positionH relativeFrom="column">
                  <wp:posOffset>1047115</wp:posOffset>
                </wp:positionH>
                <wp:positionV relativeFrom="paragraph">
                  <wp:posOffset>789940</wp:posOffset>
                </wp:positionV>
                <wp:extent cx="1569720" cy="285115"/>
                <wp:effectExtent l="0" t="0" r="11430" b="635"/>
                <wp:wrapNone/>
                <wp:docPr id="139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285115"/>
                        </a:xfrm>
                        <a:prstGeom prst="rect">
                          <a:avLst/>
                        </a:prstGeom>
                        <a:noFill/>
                        <a:ln w="9525">
                          <a:noFill/>
                          <a:miter lim="800000"/>
                          <a:headEnd/>
                          <a:tailEnd/>
                        </a:ln>
                      </wps:spPr>
                      <wps:txbx>
                        <w:txbxContent>
                          <w:p w:rsidR="00D53F39" w:rsidRPr="00E911A4" w:rsidRDefault="00D53F39" w:rsidP="00E24DB7">
                            <w:pPr>
                              <w:spacing w:line="240" w:lineRule="auto"/>
                              <w:jc w:val="center"/>
                              <w:rPr>
                                <w:sz w:val="12"/>
                                <w:szCs w:val="12"/>
                              </w:rPr>
                            </w:pPr>
                            <w:r w:rsidRPr="00E911A4">
                              <w:rPr>
                                <w:sz w:val="12"/>
                                <w:szCs w:val="12"/>
                              </w:rPr>
                              <w:t xml:space="preserve">Le mode prédominant permet-il au véhicule </w:t>
                            </w:r>
                            <w:r w:rsidRPr="00E911A4">
                              <w:rPr>
                                <w:sz w:val="12"/>
                                <w:szCs w:val="12"/>
                              </w:rPr>
                              <w:br/>
                              <w:t xml:space="preserve">de suivre le cycle d’essai de référence </w:t>
                            </w:r>
                            <w:r w:rsidRPr="00E911A4">
                              <w:rPr>
                                <w:sz w:val="12"/>
                                <w:szCs w:val="12"/>
                              </w:rPr>
                              <w:br/>
                              <w:t>en condition d’épuisement de la 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DDF11" id="_x0000_s1643" type="#_x0000_t202" style="position:absolute;left:0;text-align:left;margin-left:82.45pt;margin-top:62.2pt;width:123.6pt;height:22.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" filled="f" stroked="f">
                <v:textbox inset="0,0,0,0">
                  <w:txbxContent>
                    <w:p w:rsidR="00D53F39" w:rsidRPr="00E911A4" w:rsidRDefault="00D53F39" w:rsidP="00E24DB7">
                      <w:pPr>
                        <w:spacing w:line="240" w:lineRule="auto"/>
                        <w:jc w:val="center"/>
                        <w:rPr>
                          <w:sz w:val="12"/>
                          <w:szCs w:val="12"/>
                        </w:rPr>
                      </w:pPr>
                      <w:r w:rsidRPr="00E911A4">
                        <w:rPr>
                          <w:sz w:val="12"/>
                          <w:szCs w:val="12"/>
                        </w:rPr>
                        <w:t xml:space="preserve">Le mode prédominant permet-il au véhicule </w:t>
                      </w:r>
                      <w:r w:rsidRPr="00E911A4">
                        <w:rPr>
                          <w:sz w:val="12"/>
                          <w:szCs w:val="12"/>
                        </w:rPr>
                        <w:br/>
                        <w:t xml:space="preserve">de suivre le cycle d’essai de référence </w:t>
                      </w:r>
                      <w:r w:rsidRPr="00E911A4">
                        <w:rPr>
                          <w:sz w:val="12"/>
                          <w:szCs w:val="12"/>
                        </w:rPr>
                        <w:br/>
                        <w:t>en condition d’épuisement de la charge ?</w:t>
                      </w:r>
                    </w:p>
                  </w:txbxContent>
                </v:textbox>
              </v:shape>
            </w:pict>
          </mc:Fallback>
        </mc:AlternateContent>
      </w:r>
      <w:r w:rsidRPr="002C5876">
        <w:rPr>
          <w:noProof/>
          <w:lang w:val="en-GB" w:eastAsia="zh-CN"/>
        </w:rPr>
        <mc:AlternateContent>
          <mc:Choice Requires="wps">
            <w:drawing>
              <wp:anchor distT="0" distB="0" distL="114300" distR="114300" simplePos="0" relativeHeight="251750400" behindDoc="0" locked="0" layoutInCell="1" allowOverlap="1" wp14:anchorId="7465EE71" wp14:editId="05795599">
                <wp:simplePos x="0" y="0"/>
                <wp:positionH relativeFrom="column">
                  <wp:posOffset>3258185</wp:posOffset>
                </wp:positionH>
                <wp:positionV relativeFrom="paragraph">
                  <wp:posOffset>2140791</wp:posOffset>
                </wp:positionV>
                <wp:extent cx="464820" cy="126365"/>
                <wp:effectExtent l="0" t="0" r="11430" b="6985"/>
                <wp:wrapNone/>
                <wp:docPr id="140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26365"/>
                        </a:xfrm>
                        <a:prstGeom prst="rect">
                          <a:avLst/>
                        </a:prstGeom>
                        <a:noFill/>
                        <a:ln w="9525">
                          <a:noFill/>
                          <a:miter lim="800000"/>
                          <a:headEnd/>
                          <a:tailEnd/>
                        </a:ln>
                      </wps:spPr>
                      <wps:txbx>
                        <w:txbxContent>
                          <w:p w:rsidR="00D53F39" w:rsidRPr="001661D8" w:rsidRDefault="00D53F39" w:rsidP="00E24DB7">
                            <w:pPr>
                              <w:spacing w:line="240" w:lineRule="auto"/>
                              <w:jc w:val="center"/>
                              <w:rPr>
                                <w:sz w:val="12"/>
                                <w:szCs w:val="12"/>
                              </w:rPr>
                            </w:pPr>
                            <w:r>
                              <w:rPr>
                                <w:sz w:val="12"/>
                                <w:szCs w:val="12"/>
                              </w:rPr>
                              <w:t xml:space="preserve">Aucun mode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5EE71" id="_x0000_s1644" type="#_x0000_t202" style="position:absolute;left:0;text-align:left;margin-left:256.55pt;margin-top:168.55pt;width:36.6pt;height:9.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" filled="f" stroked="f">
                <v:textbox inset="0,0,0,0">
                  <w:txbxContent>
                    <w:p w:rsidR="00D53F39" w:rsidRPr="001661D8" w:rsidRDefault="00D53F39" w:rsidP="00E24DB7">
                      <w:pPr>
                        <w:spacing w:line="240" w:lineRule="auto"/>
                        <w:jc w:val="center"/>
                        <w:rPr>
                          <w:sz w:val="12"/>
                          <w:szCs w:val="12"/>
                        </w:rPr>
                      </w:pPr>
                      <w:r>
                        <w:rPr>
                          <w:sz w:val="12"/>
                          <w:szCs w:val="12"/>
                        </w:rPr>
                        <w:t xml:space="preserve">Aucun mode </w:t>
                      </w:r>
                    </w:p>
                  </w:txbxContent>
                </v:textbox>
              </v:shape>
            </w:pict>
          </mc:Fallback>
        </mc:AlternateContent>
      </w:r>
      <w:r w:rsidRPr="002C5876">
        <w:rPr>
          <w:noProof/>
          <w:lang w:val="en-GB" w:eastAsia="zh-CN"/>
        </w:rPr>
        <mc:AlternateContent>
          <mc:Choice Requires="wps">
            <w:drawing>
              <wp:anchor distT="0" distB="0" distL="114300" distR="114300" simplePos="0" relativeHeight="251742208" behindDoc="0" locked="0" layoutInCell="1" allowOverlap="1" wp14:anchorId="1AD57B77" wp14:editId="0AEE5681">
                <wp:simplePos x="0" y="0"/>
                <wp:positionH relativeFrom="column">
                  <wp:posOffset>511175</wp:posOffset>
                </wp:positionH>
                <wp:positionV relativeFrom="paragraph">
                  <wp:posOffset>2285794</wp:posOffset>
                </wp:positionV>
                <wp:extent cx="464920" cy="126853"/>
                <wp:effectExtent l="0" t="0" r="11430" b="6985"/>
                <wp:wrapNone/>
                <wp:docPr id="140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920" cy="126853"/>
                        </a:xfrm>
                        <a:prstGeom prst="rect">
                          <a:avLst/>
                        </a:prstGeom>
                        <a:noFill/>
                        <a:ln w="9525">
                          <a:noFill/>
                          <a:miter lim="800000"/>
                          <a:headEnd/>
                          <a:tailEnd/>
                        </a:ln>
                      </wps:spPr>
                      <wps:txbx>
                        <w:txbxContent>
                          <w:p w:rsidR="00D53F39" w:rsidRPr="001661D8" w:rsidRDefault="00D53F39" w:rsidP="00E24DB7">
                            <w:pPr>
                              <w:spacing w:line="240" w:lineRule="auto"/>
                              <w:jc w:val="center"/>
                              <w:rPr>
                                <w:sz w:val="12"/>
                                <w:szCs w:val="12"/>
                              </w:rPr>
                            </w:pPr>
                            <w:r>
                              <w:rPr>
                                <w:sz w:val="12"/>
                                <w:szCs w:val="12"/>
                              </w:rPr>
                              <w:t xml:space="preserve">Un seul mode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57B77" id="_x0000_s1645" type="#_x0000_t202" style="position:absolute;left:0;text-align:left;margin-left:40.25pt;margin-top:180pt;width:36.6pt;height:10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" filled="f" stroked="f">
                <v:textbox inset="0,0,0,0">
                  <w:txbxContent>
                    <w:p w:rsidR="00D53F39" w:rsidRPr="001661D8" w:rsidRDefault="00D53F39" w:rsidP="00E24DB7">
                      <w:pPr>
                        <w:spacing w:line="240" w:lineRule="auto"/>
                        <w:jc w:val="center"/>
                        <w:rPr>
                          <w:sz w:val="12"/>
                          <w:szCs w:val="12"/>
                        </w:rPr>
                      </w:pPr>
                      <w:r>
                        <w:rPr>
                          <w:sz w:val="12"/>
                          <w:szCs w:val="12"/>
                        </w:rPr>
                        <w:t xml:space="preserve">Un seul mode </w:t>
                      </w:r>
                    </w:p>
                  </w:txbxContent>
                </v:textbox>
              </v:shape>
            </w:pict>
          </mc:Fallback>
        </mc:AlternateContent>
      </w:r>
      <w:r w:rsidRPr="002C5876">
        <w:rPr>
          <w:noProof/>
          <w:lang w:val="en-GB" w:eastAsia="zh-CN"/>
        </w:rPr>
        <mc:AlternateContent>
          <mc:Choice Requires="wps">
            <w:drawing>
              <wp:anchor distT="0" distB="0" distL="114300" distR="114300" simplePos="0" relativeHeight="251734016" behindDoc="0" locked="0" layoutInCell="1" allowOverlap="1" wp14:anchorId="74795745" wp14:editId="6E15EC0C">
                <wp:simplePos x="0" y="0"/>
                <wp:positionH relativeFrom="column">
                  <wp:posOffset>352425</wp:posOffset>
                </wp:positionH>
                <wp:positionV relativeFrom="paragraph">
                  <wp:posOffset>1361646</wp:posOffset>
                </wp:positionV>
                <wp:extent cx="771690" cy="211422"/>
                <wp:effectExtent l="0" t="0" r="9525" b="0"/>
                <wp:wrapNone/>
                <wp:docPr id="140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90" cy="211422"/>
                        </a:xfrm>
                        <a:prstGeom prst="rect">
                          <a:avLst/>
                        </a:prstGeom>
                        <a:noFill/>
                        <a:ln w="9525">
                          <a:noFill/>
                          <a:miter lim="800000"/>
                          <a:headEnd/>
                          <a:tailEnd/>
                        </a:ln>
                      </wps:spPr>
                      <wps:txbx>
                        <w:txbxContent>
                          <w:p w:rsidR="00D53F39" w:rsidRPr="001661D8" w:rsidRDefault="00D53F39" w:rsidP="00E24DB7">
                            <w:pPr>
                              <w:spacing w:line="240" w:lineRule="auto"/>
                              <w:jc w:val="center"/>
                              <w:rPr>
                                <w:sz w:val="12"/>
                                <w:szCs w:val="12"/>
                              </w:rPr>
                            </w:pPr>
                            <w:r>
                              <w:rPr>
                                <w:sz w:val="12"/>
                                <w:szCs w:val="12"/>
                              </w:rPr>
                              <w:t>Sélectionner le mode prédominant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95745" id="_x0000_s1646" type="#_x0000_t202" style="position:absolute;left:0;text-align:left;margin-left:27.75pt;margin-top:107.2pt;width:60.75pt;height:16.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" filled="f" stroked="f">
                <v:textbox inset="0,0,0,0">
                  <w:txbxContent>
                    <w:p w:rsidR="00D53F39" w:rsidRPr="001661D8" w:rsidRDefault="00D53F39" w:rsidP="00E24DB7">
                      <w:pPr>
                        <w:spacing w:line="240" w:lineRule="auto"/>
                        <w:jc w:val="center"/>
                        <w:rPr>
                          <w:sz w:val="12"/>
                          <w:szCs w:val="12"/>
                        </w:rPr>
                      </w:pPr>
                      <w:r>
                        <w:rPr>
                          <w:sz w:val="12"/>
                          <w:szCs w:val="12"/>
                        </w:rPr>
                        <w:t>Sélectionner le mode prédominant</w:t>
                      </w:r>
                    </w:p>
                  </w:txbxContent>
                </v:textbox>
              </v:shape>
            </w:pict>
          </mc:Fallback>
        </mc:AlternateContent>
      </w:r>
      <w:r w:rsidRPr="002C5876">
        <w:rPr>
          <w:noProof/>
          <w:lang w:val="en-GB" w:eastAsia="zh-CN"/>
        </w:rPr>
        <mc:AlternateContent>
          <mc:Choice Requires="wps">
            <w:drawing>
              <wp:anchor distT="0" distB="0" distL="114300" distR="114300" simplePos="0" relativeHeight="251725824" behindDoc="0" locked="0" layoutInCell="1" allowOverlap="1" wp14:anchorId="5A0D7D79" wp14:editId="52936133">
                <wp:simplePos x="0" y="0"/>
                <wp:positionH relativeFrom="column">
                  <wp:posOffset>2691130</wp:posOffset>
                </wp:positionH>
                <wp:positionV relativeFrom="paragraph">
                  <wp:posOffset>1565910</wp:posOffset>
                </wp:positionV>
                <wp:extent cx="1569720" cy="285115"/>
                <wp:effectExtent l="0" t="0" r="11430" b="635"/>
                <wp:wrapNone/>
                <wp:docPr id="140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285115"/>
                        </a:xfrm>
                        <a:prstGeom prst="rect">
                          <a:avLst/>
                        </a:prstGeom>
                        <a:noFill/>
                        <a:ln w="9525">
                          <a:noFill/>
                          <a:miter lim="800000"/>
                          <a:headEnd/>
                          <a:tailEnd/>
                        </a:ln>
                      </wps:spPr>
                      <wps:txbx>
                        <w:txbxContent>
                          <w:p w:rsidR="00D53F39" w:rsidRPr="00E911A4" w:rsidRDefault="00D53F39" w:rsidP="00E24DB7">
                            <w:pPr>
                              <w:spacing w:line="240" w:lineRule="auto"/>
                              <w:jc w:val="center"/>
                              <w:rPr>
                                <w:sz w:val="12"/>
                                <w:szCs w:val="12"/>
                              </w:rPr>
                            </w:pPr>
                            <w:r w:rsidRPr="00E911A4">
                              <w:rPr>
                                <w:sz w:val="12"/>
                                <w:szCs w:val="12"/>
                              </w:rPr>
                              <w:t xml:space="preserve">Nombre de modes permettant au véhicule </w:t>
                            </w:r>
                            <w:r w:rsidRPr="00E911A4">
                              <w:rPr>
                                <w:sz w:val="12"/>
                                <w:szCs w:val="12"/>
                              </w:rPr>
                              <w:br/>
                              <w:t xml:space="preserve">de suivre le cycle d’essai de référence </w:t>
                            </w:r>
                            <w:r w:rsidRPr="00E911A4">
                              <w:rPr>
                                <w:sz w:val="12"/>
                                <w:szCs w:val="12"/>
                              </w:rPr>
                              <w:br/>
                              <w:t>en condition d’épuisement 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D7D79" id="_x0000_s1647" type="#_x0000_t202" style="position:absolute;left:0;text-align:left;margin-left:211.9pt;margin-top:123.3pt;width:123.6pt;height:22.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" filled="f" stroked="f">
                <v:textbox inset="0,0,0,0">
                  <w:txbxContent>
                    <w:p w:rsidR="00D53F39" w:rsidRPr="00E911A4" w:rsidRDefault="00D53F39" w:rsidP="00E24DB7">
                      <w:pPr>
                        <w:spacing w:line="240" w:lineRule="auto"/>
                        <w:jc w:val="center"/>
                        <w:rPr>
                          <w:sz w:val="12"/>
                          <w:szCs w:val="12"/>
                        </w:rPr>
                      </w:pPr>
                      <w:r w:rsidRPr="00E911A4">
                        <w:rPr>
                          <w:sz w:val="12"/>
                          <w:szCs w:val="12"/>
                        </w:rPr>
                        <w:t xml:space="preserve">Nombre de modes permettant au véhicule </w:t>
                      </w:r>
                      <w:r w:rsidRPr="00E911A4">
                        <w:rPr>
                          <w:sz w:val="12"/>
                          <w:szCs w:val="12"/>
                        </w:rPr>
                        <w:br/>
                        <w:t xml:space="preserve">de suivre le cycle d’essai de référence </w:t>
                      </w:r>
                      <w:r w:rsidRPr="00E911A4">
                        <w:rPr>
                          <w:sz w:val="12"/>
                          <w:szCs w:val="12"/>
                        </w:rPr>
                        <w:br/>
                        <w:t>en condition d’épuisement de la charge</w:t>
                      </w:r>
                    </w:p>
                  </w:txbxContent>
                </v:textbox>
              </v:shape>
            </w:pict>
          </mc:Fallback>
        </mc:AlternateContent>
      </w:r>
      <w:r w:rsidRPr="002C5876">
        <w:rPr>
          <w:noProof/>
          <w:lang w:val="en-GB" w:eastAsia="zh-CN"/>
        </w:rPr>
        <mc:AlternateContent>
          <mc:Choice Requires="wps">
            <w:drawing>
              <wp:anchor distT="0" distB="0" distL="114300" distR="114300" simplePos="0" relativeHeight="251709440" behindDoc="0" locked="0" layoutInCell="1" allowOverlap="1" wp14:anchorId="7B04BDFC" wp14:editId="7FF9724A">
                <wp:simplePos x="0" y="0"/>
                <wp:positionH relativeFrom="column">
                  <wp:posOffset>786292</wp:posOffset>
                </wp:positionH>
                <wp:positionV relativeFrom="paragraph">
                  <wp:posOffset>806894</wp:posOffset>
                </wp:positionV>
                <wp:extent cx="184785" cy="116282"/>
                <wp:effectExtent l="0" t="0" r="5715" b="0"/>
                <wp:wrapNone/>
                <wp:docPr id="139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16282"/>
                        </a:xfrm>
                        <a:prstGeom prst="rect">
                          <a:avLst/>
                        </a:prstGeom>
                        <a:noFill/>
                        <a:ln w="9525">
                          <a:noFill/>
                          <a:miter lim="800000"/>
                          <a:headEnd/>
                          <a:tailEnd/>
                        </a:ln>
                      </wps:spPr>
                      <wps:txbx>
                        <w:txbxContent>
                          <w:p w:rsidR="00D53F39" w:rsidRPr="001661D8" w:rsidRDefault="00D53F39" w:rsidP="00E24DB7">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4BDFC" id="_x0000_s1648" type="#_x0000_t202" style="position:absolute;left:0;text-align:left;margin-left:61.9pt;margin-top:63.55pt;width:14.55pt;height:9.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" filled="f" stroked="f">
                <v:textbox inset="0,0,0,0">
                  <w:txbxContent>
                    <w:p w:rsidR="00D53F39" w:rsidRPr="001661D8" w:rsidRDefault="00D53F39" w:rsidP="00E24DB7">
                      <w:pPr>
                        <w:spacing w:line="240" w:lineRule="auto"/>
                        <w:jc w:val="center"/>
                        <w:rPr>
                          <w:sz w:val="12"/>
                          <w:szCs w:val="12"/>
                        </w:rPr>
                      </w:pPr>
                      <w:r w:rsidRPr="001661D8">
                        <w:rPr>
                          <w:sz w:val="12"/>
                          <w:szCs w:val="12"/>
                        </w:rPr>
                        <w:t>Oui</w:t>
                      </w:r>
                    </w:p>
                  </w:txbxContent>
                </v:textbox>
              </v:shape>
            </w:pict>
          </mc:Fallback>
        </mc:AlternateContent>
      </w:r>
      <w:r w:rsidRPr="002C5876">
        <w:rPr>
          <w:noProof/>
          <w:lang w:val="en-GB" w:eastAsia="zh-CN"/>
        </w:rPr>
        <mc:AlternateContent>
          <mc:Choice Requires="wps">
            <w:drawing>
              <wp:anchor distT="0" distB="0" distL="114300" distR="114300" simplePos="0" relativeHeight="251693056" behindDoc="0" locked="0" layoutInCell="1" allowOverlap="1" wp14:anchorId="1FA289EE" wp14:editId="39922B7B">
                <wp:simplePos x="0" y="0"/>
                <wp:positionH relativeFrom="column">
                  <wp:posOffset>1471295</wp:posOffset>
                </wp:positionH>
                <wp:positionV relativeFrom="paragraph">
                  <wp:posOffset>3521916</wp:posOffset>
                </wp:positionV>
                <wp:extent cx="184785" cy="121285"/>
                <wp:effectExtent l="0" t="0" r="5715" b="12065"/>
                <wp:wrapNone/>
                <wp:docPr id="139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D53F39" w:rsidRPr="001661D8" w:rsidRDefault="00D53F39" w:rsidP="00E24DB7">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289EE" id="_x0000_s1649" type="#_x0000_t202" style="position:absolute;left:0;text-align:left;margin-left:115.85pt;margin-top:277.3pt;width:14.55pt;height:9.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" filled="f" stroked="f">
                <v:textbox inset="0,0,0,0">
                  <w:txbxContent>
                    <w:p w:rsidR="00D53F39" w:rsidRPr="001661D8" w:rsidRDefault="00D53F39" w:rsidP="00E24DB7">
                      <w:pPr>
                        <w:spacing w:line="240" w:lineRule="auto"/>
                        <w:jc w:val="center"/>
                        <w:rPr>
                          <w:sz w:val="12"/>
                          <w:szCs w:val="12"/>
                        </w:rPr>
                      </w:pPr>
                      <w:r w:rsidRPr="001661D8">
                        <w:rPr>
                          <w:sz w:val="12"/>
                          <w:szCs w:val="12"/>
                        </w:rPr>
                        <w:t>Oui</w:t>
                      </w:r>
                    </w:p>
                  </w:txbxContent>
                </v:textbox>
              </v:shape>
            </w:pict>
          </mc:Fallback>
        </mc:AlternateContent>
      </w:r>
      <w:r w:rsidRPr="002C5876">
        <w:rPr>
          <w:noProof/>
          <w:lang w:val="en-GB" w:eastAsia="zh-CN"/>
        </w:rPr>
        <mc:AlternateContent>
          <mc:Choice Requires="wps">
            <w:drawing>
              <wp:anchor distT="0" distB="0" distL="114300" distR="114300" simplePos="0" relativeHeight="251701248" behindDoc="0" locked="0" layoutInCell="1" allowOverlap="1" wp14:anchorId="379AD41E" wp14:editId="49C852D9">
                <wp:simplePos x="0" y="0"/>
                <wp:positionH relativeFrom="column">
                  <wp:posOffset>688491</wp:posOffset>
                </wp:positionH>
                <wp:positionV relativeFrom="paragraph">
                  <wp:posOffset>2970530</wp:posOffset>
                </wp:positionV>
                <wp:extent cx="184785" cy="121285"/>
                <wp:effectExtent l="0" t="0" r="5715" b="12065"/>
                <wp:wrapNone/>
                <wp:docPr id="139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D53F39" w:rsidRPr="001661D8" w:rsidRDefault="00D53F39" w:rsidP="00E24DB7">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AD41E" id="_x0000_s1650" type="#_x0000_t202" style="position:absolute;left:0;text-align:left;margin-left:54.2pt;margin-top:233.9pt;width:14.55pt;height:9.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" filled="f" stroked="f">
                <v:textbox inset="0,0,0,0">
                  <w:txbxContent>
                    <w:p w:rsidR="00D53F39" w:rsidRPr="001661D8" w:rsidRDefault="00D53F39" w:rsidP="00E24DB7">
                      <w:pPr>
                        <w:spacing w:line="240" w:lineRule="auto"/>
                        <w:jc w:val="center"/>
                        <w:rPr>
                          <w:sz w:val="12"/>
                          <w:szCs w:val="12"/>
                        </w:rPr>
                      </w:pPr>
                      <w:r w:rsidRPr="001661D8">
                        <w:rPr>
                          <w:sz w:val="12"/>
                          <w:szCs w:val="12"/>
                        </w:rPr>
                        <w:t>Oui</w:t>
                      </w:r>
                    </w:p>
                  </w:txbxContent>
                </v:textbox>
              </v:shape>
            </w:pict>
          </mc:Fallback>
        </mc:AlternateContent>
      </w:r>
      <w:r w:rsidRPr="002C5876">
        <w:rPr>
          <w:noProof/>
          <w:lang w:val="en-GB" w:eastAsia="zh-CN"/>
        </w:rPr>
        <mc:AlternateContent>
          <mc:Choice Requires="wps">
            <w:drawing>
              <wp:anchor distT="0" distB="0" distL="114300" distR="114300" simplePos="0" relativeHeight="251668480" behindDoc="0" locked="0" layoutInCell="1" allowOverlap="1" wp14:anchorId="251F2168" wp14:editId="36514CB4">
                <wp:simplePos x="0" y="0"/>
                <wp:positionH relativeFrom="column">
                  <wp:posOffset>1877695</wp:posOffset>
                </wp:positionH>
                <wp:positionV relativeFrom="paragraph">
                  <wp:posOffset>1173480</wp:posOffset>
                </wp:positionV>
                <wp:extent cx="184785" cy="121285"/>
                <wp:effectExtent l="0" t="0" r="5715" b="12065"/>
                <wp:wrapNone/>
                <wp:docPr id="139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D53F39" w:rsidRPr="001661D8" w:rsidRDefault="00D53F39" w:rsidP="00E24DB7">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F2168" id="_x0000_s1651" type="#_x0000_t202" style="position:absolute;left:0;text-align:left;margin-left:147.85pt;margin-top:92.4pt;width:14.55pt;height:9.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" filled="f" stroked="f">
                <v:textbox inset="0,0,0,0">
                  <w:txbxContent>
                    <w:p w:rsidR="00D53F39" w:rsidRPr="001661D8" w:rsidRDefault="00D53F39" w:rsidP="00E24DB7">
                      <w:pPr>
                        <w:spacing w:line="240" w:lineRule="auto"/>
                        <w:jc w:val="center"/>
                        <w:rPr>
                          <w:sz w:val="12"/>
                          <w:szCs w:val="12"/>
                        </w:rPr>
                      </w:pPr>
                      <w:r w:rsidRPr="001661D8">
                        <w:rPr>
                          <w:sz w:val="12"/>
                          <w:szCs w:val="12"/>
                        </w:rPr>
                        <w:t>Non</w:t>
                      </w:r>
                    </w:p>
                  </w:txbxContent>
                </v:textbox>
              </v:shape>
            </w:pict>
          </mc:Fallback>
        </mc:AlternateContent>
      </w:r>
      <w:r w:rsidRPr="002C5876">
        <w:rPr>
          <w:noProof/>
          <w:lang w:val="en-GB" w:eastAsia="zh-CN"/>
        </w:rPr>
        <mc:AlternateContent>
          <mc:Choice Requires="wps">
            <w:drawing>
              <wp:anchor distT="0" distB="0" distL="114300" distR="114300" simplePos="0" relativeHeight="251684864" behindDoc="0" locked="0" layoutInCell="1" allowOverlap="1" wp14:anchorId="67F85886" wp14:editId="3D69034B">
                <wp:simplePos x="0" y="0"/>
                <wp:positionH relativeFrom="column">
                  <wp:posOffset>3355340</wp:posOffset>
                </wp:positionH>
                <wp:positionV relativeFrom="paragraph">
                  <wp:posOffset>3517900</wp:posOffset>
                </wp:positionV>
                <wp:extent cx="184785" cy="121285"/>
                <wp:effectExtent l="0" t="0" r="5715" b="12065"/>
                <wp:wrapNone/>
                <wp:docPr id="139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D53F39" w:rsidRPr="001661D8" w:rsidRDefault="00D53F39" w:rsidP="00E24DB7">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85886" id="_x0000_s1652" type="#_x0000_t202" style="position:absolute;left:0;text-align:left;margin-left:264.2pt;margin-top:277pt;width:14.55pt;height:9.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" filled="f" stroked="f">
                <v:textbox inset="0,0,0,0">
                  <w:txbxContent>
                    <w:p w:rsidR="00D53F39" w:rsidRPr="001661D8" w:rsidRDefault="00D53F39" w:rsidP="00E24DB7">
                      <w:pPr>
                        <w:spacing w:line="240" w:lineRule="auto"/>
                        <w:jc w:val="center"/>
                        <w:rPr>
                          <w:sz w:val="12"/>
                          <w:szCs w:val="12"/>
                        </w:rPr>
                      </w:pPr>
                      <w:r w:rsidRPr="001661D8">
                        <w:rPr>
                          <w:sz w:val="12"/>
                          <w:szCs w:val="12"/>
                        </w:rPr>
                        <w:t>Non</w:t>
                      </w:r>
                    </w:p>
                  </w:txbxContent>
                </v:textbox>
              </v:shape>
            </w:pict>
          </mc:Fallback>
        </mc:AlternateContent>
      </w:r>
      <w:r w:rsidRPr="002C5876">
        <w:rPr>
          <w:noProof/>
          <w:lang w:val="en-GB" w:eastAsia="zh-CN"/>
        </w:rPr>
        <mc:AlternateContent>
          <mc:Choice Requires="wps">
            <w:drawing>
              <wp:anchor distT="0" distB="0" distL="114300" distR="114300" simplePos="0" relativeHeight="251676672" behindDoc="0" locked="0" layoutInCell="1" allowOverlap="1" wp14:anchorId="00B01C55" wp14:editId="7F3B9250">
                <wp:simplePos x="0" y="0"/>
                <wp:positionH relativeFrom="column">
                  <wp:posOffset>2219960</wp:posOffset>
                </wp:positionH>
                <wp:positionV relativeFrom="paragraph">
                  <wp:posOffset>2974975</wp:posOffset>
                </wp:positionV>
                <wp:extent cx="184785" cy="121285"/>
                <wp:effectExtent l="0" t="0" r="5715" b="12065"/>
                <wp:wrapNone/>
                <wp:docPr id="139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D53F39" w:rsidRPr="001661D8" w:rsidRDefault="00D53F39" w:rsidP="00E24DB7">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01C55" id="_x0000_s1653" type="#_x0000_t202" style="position:absolute;left:0;text-align:left;margin-left:174.8pt;margin-top:234.25pt;width:14.55pt;height: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" filled="f" stroked="f">
                <v:textbox inset="0,0,0,0">
                  <w:txbxContent>
                    <w:p w:rsidR="00D53F39" w:rsidRPr="001661D8" w:rsidRDefault="00D53F39" w:rsidP="00E24DB7">
                      <w:pPr>
                        <w:spacing w:line="240" w:lineRule="auto"/>
                        <w:jc w:val="center"/>
                        <w:rPr>
                          <w:sz w:val="12"/>
                          <w:szCs w:val="12"/>
                        </w:rPr>
                      </w:pPr>
                      <w:r w:rsidRPr="001661D8">
                        <w:rPr>
                          <w:sz w:val="12"/>
                          <w:szCs w:val="12"/>
                        </w:rPr>
                        <w:t>Non</w:t>
                      </w:r>
                    </w:p>
                  </w:txbxContent>
                </v:textbox>
              </v:shape>
            </w:pict>
          </mc:Fallback>
        </mc:AlternateContent>
      </w:r>
      <w:r w:rsidRPr="002C5876">
        <w:rPr>
          <w:noProof/>
          <w:lang w:val="en-GB" w:eastAsia="zh-CN"/>
        </w:rPr>
        <mc:AlternateContent>
          <mc:Choice Requires="wps">
            <w:drawing>
              <wp:anchor distT="0" distB="0" distL="114300" distR="114300" simplePos="0" relativeHeight="251660288" behindDoc="0" locked="0" layoutInCell="1" allowOverlap="1" wp14:anchorId="2B68F210" wp14:editId="741B1D83">
                <wp:simplePos x="0" y="0"/>
                <wp:positionH relativeFrom="column">
                  <wp:posOffset>4447540</wp:posOffset>
                </wp:positionH>
                <wp:positionV relativeFrom="paragraph">
                  <wp:posOffset>339725</wp:posOffset>
                </wp:positionV>
                <wp:extent cx="184785" cy="121285"/>
                <wp:effectExtent l="0" t="0" r="5715" b="12065"/>
                <wp:wrapNone/>
                <wp:docPr id="139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D53F39" w:rsidRPr="001661D8" w:rsidRDefault="00D53F39" w:rsidP="00E24DB7">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8F210" id="_x0000_s1654" type="#_x0000_t202" style="position:absolute;left:0;text-align:left;margin-left:350.2pt;margin-top:26.75pt;width:14.55pt;height: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" filled="f" stroked="f">
                <v:textbox inset="0,0,0,0">
                  <w:txbxContent>
                    <w:p w:rsidR="00D53F39" w:rsidRPr="001661D8" w:rsidRDefault="00D53F39" w:rsidP="00E24DB7">
                      <w:pPr>
                        <w:spacing w:line="240" w:lineRule="auto"/>
                        <w:jc w:val="center"/>
                        <w:rPr>
                          <w:sz w:val="12"/>
                          <w:szCs w:val="12"/>
                        </w:rPr>
                      </w:pPr>
                      <w:r w:rsidRPr="001661D8">
                        <w:rPr>
                          <w:sz w:val="12"/>
                          <w:szCs w:val="12"/>
                        </w:rPr>
                        <w:t>Non</w:t>
                      </w:r>
                    </w:p>
                  </w:txbxContent>
                </v:textbox>
              </v:shape>
            </w:pict>
          </mc:Fallback>
        </mc:AlternateContent>
      </w:r>
      <w:r w:rsidRPr="002C5876">
        <w:rPr>
          <w:noProof/>
          <w:lang w:val="en-GB" w:eastAsia="zh-CN"/>
        </w:rPr>
        <mc:AlternateContent>
          <mc:Choice Requires="wps">
            <w:drawing>
              <wp:anchor distT="0" distB="0" distL="114300" distR="114300" simplePos="0" relativeHeight="251652096" behindDoc="0" locked="0" layoutInCell="1" allowOverlap="1" wp14:anchorId="4F48124A" wp14:editId="1AF289B6">
                <wp:simplePos x="0" y="0"/>
                <wp:positionH relativeFrom="column">
                  <wp:posOffset>2218132</wp:posOffset>
                </wp:positionH>
                <wp:positionV relativeFrom="paragraph">
                  <wp:posOffset>341318</wp:posOffset>
                </wp:positionV>
                <wp:extent cx="184822" cy="121567"/>
                <wp:effectExtent l="0" t="0" r="5715" b="12065"/>
                <wp:wrapNone/>
                <wp:docPr id="139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822" cy="121567"/>
                        </a:xfrm>
                        <a:prstGeom prst="rect">
                          <a:avLst/>
                        </a:prstGeom>
                        <a:noFill/>
                        <a:ln w="9525">
                          <a:noFill/>
                          <a:miter lim="800000"/>
                          <a:headEnd/>
                          <a:tailEnd/>
                        </a:ln>
                      </wps:spPr>
                      <wps:txbx>
                        <w:txbxContent>
                          <w:p w:rsidR="00D53F39" w:rsidRPr="001661D8" w:rsidRDefault="00D53F39" w:rsidP="00E24DB7">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8124A" id="_x0000_s1655" type="#_x0000_t202" style="position:absolute;left:0;text-align:left;margin-left:174.65pt;margin-top:26.9pt;width:14.55pt;height:9.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" filled="f" stroked="f">
                <v:textbox inset="0,0,0,0">
                  <w:txbxContent>
                    <w:p w:rsidR="00D53F39" w:rsidRPr="001661D8" w:rsidRDefault="00D53F39" w:rsidP="00E24DB7">
                      <w:pPr>
                        <w:spacing w:line="240" w:lineRule="auto"/>
                        <w:jc w:val="center"/>
                        <w:rPr>
                          <w:sz w:val="12"/>
                          <w:szCs w:val="12"/>
                        </w:rPr>
                      </w:pPr>
                      <w:r w:rsidRPr="001661D8">
                        <w:rPr>
                          <w:sz w:val="12"/>
                          <w:szCs w:val="12"/>
                        </w:rPr>
                        <w:t>Oui</w:t>
                      </w:r>
                    </w:p>
                  </w:txbxContent>
                </v:textbox>
              </v:shape>
            </w:pict>
          </mc:Fallback>
        </mc:AlternateContent>
      </w:r>
      <w:r w:rsidRPr="002C5876">
        <w:rPr>
          <w:noProof/>
          <w:lang w:val="en-GB" w:eastAsia="zh-CN"/>
        </w:rPr>
        <w:drawing>
          <wp:inline distT="0" distB="0" distL="0" distR="0" wp14:anchorId="6599C303" wp14:editId="56DB3742">
            <wp:extent cx="6087600" cy="4910400"/>
            <wp:effectExtent l="0" t="0" r="8890" b="5080"/>
            <wp:docPr id="13716" name="Image 1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087600" cy="4910400"/>
                    </a:xfrm>
                    <a:prstGeom prst="rect">
                      <a:avLst/>
                    </a:prstGeom>
                    <a:noFill/>
                    <a:ln>
                      <a:noFill/>
                    </a:ln>
                  </pic:spPr>
                </pic:pic>
              </a:graphicData>
            </a:graphic>
          </wp:inline>
        </w:drawing>
      </w:r>
    </w:p>
    <w:p w:rsidR="00E24DB7" w:rsidRPr="002C5876" w:rsidRDefault="00E24DB7" w:rsidP="00E24DB7">
      <w:pPr>
        <w:pStyle w:val="SingleTxtG"/>
        <w:keepNext/>
        <w:spacing w:before="240"/>
        <w:ind w:left="2268" w:hanging="1134"/>
      </w:pPr>
      <w:r w:rsidRPr="002C5876">
        <w:t>3.</w:t>
      </w:r>
      <w:r w:rsidRPr="002C5876">
        <w:tab/>
        <w:t>VHE-RE, VHE-NRE et VHPC-NRE dotés d’un mode sélectionnable, en condition de maintien de la charge</w:t>
      </w:r>
    </w:p>
    <w:p w:rsidR="00E24DB7" w:rsidRPr="002C5876" w:rsidRDefault="00E24DB7" w:rsidP="00E24DB7">
      <w:pPr>
        <w:pStyle w:val="SingleTxtG"/>
        <w:ind w:left="2268"/>
      </w:pPr>
      <w:r w:rsidRPr="002C5876">
        <w:t>S’agissant des véhicules dotés d’un mode sélectionnable, le mode pour l’essai du type 1 exécuté en condition de maintien de la charge doit être sélectionné dans les conditions ci-après.</w:t>
      </w:r>
    </w:p>
    <w:p w:rsidR="00E24DB7" w:rsidRPr="002C5876" w:rsidRDefault="00E24DB7" w:rsidP="00E24DB7">
      <w:pPr>
        <w:pStyle w:val="SingleTxtG"/>
        <w:ind w:left="2268"/>
      </w:pPr>
      <w:r w:rsidRPr="002C5876">
        <w:t>Le diagramme présenté à la figure A8.App6/2 illustre la sélection du mode conformément au présent paragraphe.</w:t>
      </w:r>
    </w:p>
    <w:p w:rsidR="00E24DB7" w:rsidRPr="002C5876" w:rsidRDefault="00E24DB7" w:rsidP="00E24DB7">
      <w:pPr>
        <w:pStyle w:val="SingleTxtG"/>
        <w:ind w:left="2268" w:hanging="1134"/>
      </w:pPr>
      <w:r w:rsidRPr="002C5876">
        <w:t>3.1</w:t>
      </w:r>
      <w:r w:rsidRPr="002C5876">
        <w:tab/>
        <w:t>S’il existe un mode prédominant dans lequel le véhicule peut suivre le cycle d’essai de référence en condition de maintien de la charge, ce mode doit être sélectionné.</w:t>
      </w:r>
    </w:p>
    <w:p w:rsidR="00E24DB7" w:rsidRPr="002C5876" w:rsidRDefault="00E24DB7" w:rsidP="00E24DB7">
      <w:pPr>
        <w:pStyle w:val="SingleTxtG"/>
        <w:ind w:left="2268" w:hanging="1134"/>
      </w:pPr>
      <w:r w:rsidRPr="002C5876">
        <w:t>3.2</w:t>
      </w:r>
      <w:r w:rsidRPr="002C5876">
        <w:tab/>
        <w:t>S’il n’existe pas de mode prédominant, ou s’il existe un mode prédominant mais que ce dernier ne permet pas au véhicule de suivre le cycle d’essai de référence en condition de maintien de la charge, le mode pour l’essai doit être sélectionné comme suit :</w:t>
      </w:r>
    </w:p>
    <w:p w:rsidR="00E24DB7" w:rsidRPr="002C5876" w:rsidRDefault="00E24DB7" w:rsidP="00E24DB7">
      <w:pPr>
        <w:pStyle w:val="SingleTxtG"/>
        <w:ind w:left="2835" w:hanging="567"/>
      </w:pPr>
      <w:r w:rsidRPr="002C5876">
        <w:t>a)</w:t>
      </w:r>
      <w:r w:rsidRPr="002C5876">
        <w:tab/>
        <w:t>Si un seul mode permet au véhicule de suivre le cycle d’essai de référence en condition de maintien de la charge, celui-ci doit être sélectionné ;</w:t>
      </w:r>
    </w:p>
    <w:p w:rsidR="00E24DB7" w:rsidRPr="002C5876" w:rsidRDefault="00E24DB7" w:rsidP="00E24DB7">
      <w:pPr>
        <w:pStyle w:val="SingleTxtG"/>
        <w:ind w:left="2835" w:hanging="567"/>
      </w:pPr>
      <w:r w:rsidRPr="002C5876">
        <w:t>b)</w:t>
      </w:r>
      <w:r w:rsidRPr="002C5876">
        <w:tab/>
        <w:t xml:space="preserve">Si plusieurs modes permettent au véhicule de suivre le cycle d’essai de référence en condition de maintien de la charge, le constructeur peut soit sélectionner le mode correspondant au cas le plus défavorable, soit </w:t>
      </w:r>
      <w:r w:rsidRPr="002C5876">
        <w:lastRenderedPageBreak/>
        <w:t xml:space="preserve">sélectionner à la fois le mode correspondant au cas le plus favorable et le mode correspondant au cas le plus défavorable et faire la moyenne arithmétique des résultats de l’essai. </w:t>
      </w:r>
    </w:p>
    <w:p w:rsidR="00E24DB7" w:rsidRPr="002C5876" w:rsidRDefault="00E24DB7" w:rsidP="00E24DB7">
      <w:pPr>
        <w:pStyle w:val="SingleTxtG"/>
        <w:ind w:left="2268" w:hanging="1134"/>
      </w:pPr>
      <w:r w:rsidRPr="002C5876">
        <w:t>3.3</w:t>
      </w:r>
      <w:r w:rsidRPr="002C5876">
        <w:tab/>
      </w:r>
      <w:r w:rsidRPr="002C5876">
        <w:rPr>
          <w:spacing w:val="-4"/>
        </w:rPr>
        <w:t xml:space="preserve">S’il n’existe aucun mode, conformément aux dispositions des paragraphes 3.1 et 3.2 du présent appendice, qui permette au </w:t>
      </w:r>
      <w:r w:rsidRPr="002C5876">
        <w:t>véhicule de suivre le cycle d’essai de référence</w:t>
      </w:r>
      <w:r w:rsidRPr="002C5876">
        <w:rPr>
          <w:spacing w:val="-4"/>
        </w:rPr>
        <w:t>, ce cycle doit être modifié conformément aux dispositions du paragraphe 9 de l’annexe 1 </w:t>
      </w:r>
      <w:r w:rsidRPr="002C5876">
        <w:t>:</w:t>
      </w:r>
    </w:p>
    <w:p w:rsidR="00E24DB7" w:rsidRPr="002C5876" w:rsidRDefault="00E24DB7" w:rsidP="00E24DB7">
      <w:pPr>
        <w:pStyle w:val="SingleTxtG"/>
        <w:ind w:left="2835" w:hanging="567"/>
      </w:pPr>
      <w:r w:rsidRPr="002C5876">
        <w:t>a)</w:t>
      </w:r>
      <w:r w:rsidRPr="002C5876">
        <w:tab/>
        <w:t>S’il existe un mode prédominant dans lequel le véhicule peut suivre le cycle d’essai de référence modifié en condition de maintien de la charge, ce mode doit être sélectionné ;</w:t>
      </w:r>
    </w:p>
    <w:p w:rsidR="00E24DB7" w:rsidRPr="002C5876" w:rsidRDefault="00E24DB7" w:rsidP="00E24DB7">
      <w:pPr>
        <w:pStyle w:val="SingleTxtG"/>
        <w:ind w:left="2835" w:hanging="567"/>
      </w:pPr>
      <w:r w:rsidRPr="002C5876">
        <w:t>b)</w:t>
      </w:r>
      <w:r w:rsidRPr="002C5876">
        <w:tab/>
        <w:t>S’il n’existe pas de mode prédominant mais d’autres modes dans lesquels le véhicule peut suivre le cycle d’essai de référence modifié en condition de maintien de la charge, il convient de sélectionner le mode correspondant au cas le plus défavorable ;</w:t>
      </w:r>
    </w:p>
    <w:p w:rsidR="00E24DB7" w:rsidRPr="002C5876" w:rsidRDefault="00E24DB7" w:rsidP="00E24DB7">
      <w:pPr>
        <w:pStyle w:val="SingleTxtG"/>
        <w:ind w:left="2835" w:hanging="567"/>
      </w:pPr>
      <w:r w:rsidRPr="002C5876">
        <w:t>c)</w:t>
      </w:r>
      <w:r w:rsidRPr="002C5876">
        <w:tab/>
      </w:r>
      <w:r w:rsidRPr="002C5876">
        <w:rPr>
          <w:spacing w:val="-4"/>
        </w:rPr>
        <w:t xml:space="preserve">S’il n’existe aucun mode permettant au </w:t>
      </w:r>
      <w:r w:rsidRPr="002C5876">
        <w:t>véhicule de suivre le cycle d’essai de référence modifié en condition de maintien de la charge, le ou les modes pour lesquels la demande d’énergie sur le cycle est la plus forte doivent être présélectionnés, à la suite de quoi on retient le mode correspondant au cas le plus défavorable ;</w:t>
      </w:r>
    </w:p>
    <w:p w:rsidR="00E24DB7" w:rsidRPr="002C5876" w:rsidRDefault="00E24DB7" w:rsidP="00E24DB7">
      <w:pPr>
        <w:pStyle w:val="SingleTxtG"/>
        <w:ind w:left="2835" w:hanging="567"/>
      </w:pPr>
      <w:r w:rsidRPr="002C5876">
        <w:t>d)</w:t>
      </w:r>
      <w:r w:rsidRPr="002C5876">
        <w:tab/>
        <w:t>La Partie contractante peut choisir de remplacer le cycle d’essai de référence par le cycle d’essai WLTP urbain applicable. Dans ce cas, elle doit sélectionner le mode correspondant au cas le plus défavorable.</w:t>
      </w:r>
    </w:p>
    <w:p w:rsidR="00E24DB7" w:rsidRPr="002C5876" w:rsidRDefault="00E24DB7" w:rsidP="00E24DB7">
      <w:pPr>
        <w:pStyle w:val="H23G"/>
        <w:ind w:left="0" w:firstLine="0"/>
      </w:pPr>
      <w:r w:rsidRPr="002C5876">
        <w:rPr>
          <w:b w:val="0"/>
        </w:rPr>
        <w:t>Figure A8.App6/2</w:t>
      </w:r>
      <w:r w:rsidRPr="002C5876">
        <w:rPr>
          <w:b w:val="0"/>
        </w:rPr>
        <w:br/>
      </w:r>
      <w:r w:rsidRPr="002C5876">
        <w:t xml:space="preserve">Sélection d’un mode de fonctionnement pour un VHE-RE, un VHE-NRE ou un VHPC-NRE </w:t>
      </w:r>
      <w:r w:rsidRPr="002C5876">
        <w:br/>
        <w:t>en condition de maintien de la charge</w:t>
      </w:r>
    </w:p>
    <w:p w:rsidR="00E24DB7" w:rsidRPr="002C5876" w:rsidRDefault="00E24DB7" w:rsidP="00E24DB7">
      <w:pPr>
        <w:spacing w:line="240" w:lineRule="auto"/>
      </w:pPr>
      <w:r w:rsidRPr="002C5876">
        <w:rPr>
          <w:noProof/>
          <w:lang w:val="en-GB" w:eastAsia="zh-CN"/>
        </w:rPr>
        <mc:AlternateContent>
          <mc:Choice Requires="wps">
            <w:drawing>
              <wp:anchor distT="0" distB="0" distL="114300" distR="114300" simplePos="0" relativeHeight="252028928" behindDoc="0" locked="0" layoutInCell="1" allowOverlap="1" wp14:anchorId="32E3D1C5" wp14:editId="68F33088">
                <wp:simplePos x="0" y="0"/>
                <wp:positionH relativeFrom="column">
                  <wp:posOffset>829310</wp:posOffset>
                </wp:positionH>
                <wp:positionV relativeFrom="paragraph">
                  <wp:posOffset>4139565</wp:posOffset>
                </wp:positionV>
                <wp:extent cx="1416050" cy="147955"/>
                <wp:effectExtent l="0" t="0" r="12700" b="4445"/>
                <wp:wrapNone/>
                <wp:docPr id="140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47955"/>
                        </a:xfrm>
                        <a:prstGeom prst="rect">
                          <a:avLst/>
                        </a:prstGeom>
                        <a:noFill/>
                        <a:ln w="9525">
                          <a:noFill/>
                          <a:miter lim="800000"/>
                          <a:headEnd/>
                          <a:tailEnd/>
                        </a:ln>
                      </wps:spPr>
                      <wps:txbx>
                        <w:txbxContent>
                          <w:p w:rsidR="00D53F39" w:rsidRPr="00E911A4" w:rsidRDefault="00D53F39" w:rsidP="00E24DB7">
                            <w:pPr>
                              <w:spacing w:line="100" w:lineRule="exact"/>
                              <w:jc w:val="center"/>
                              <w:rPr>
                                <w:sz w:val="12"/>
                                <w:szCs w:val="12"/>
                              </w:rPr>
                            </w:pPr>
                            <w:r w:rsidRPr="00E911A4">
                              <w:rPr>
                                <w:sz w:val="12"/>
                                <w:szCs w:val="12"/>
                              </w:rPr>
                              <w:t xml:space="preserve">Sélectionner le mode correspondant </w:t>
                            </w:r>
                            <w:r w:rsidRPr="00E911A4">
                              <w:rPr>
                                <w:sz w:val="12"/>
                                <w:szCs w:val="12"/>
                              </w:rPr>
                              <w:br/>
                              <w:t>au cas le plus défavorable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3D1C5" id="_x0000_s1656" type="#_x0000_t202" style="position:absolute;margin-left:65.3pt;margin-top:325.95pt;width:111.5pt;height:11.6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" filled="f" stroked="f">
                <v:textbox inset="0,0,0,0">
                  <w:txbxContent>
                    <w:p w:rsidR="00D53F39" w:rsidRPr="00E911A4" w:rsidRDefault="00D53F39" w:rsidP="00E24DB7">
                      <w:pPr>
                        <w:spacing w:line="100" w:lineRule="exact"/>
                        <w:jc w:val="center"/>
                        <w:rPr>
                          <w:sz w:val="12"/>
                          <w:szCs w:val="12"/>
                        </w:rPr>
                      </w:pPr>
                      <w:r w:rsidRPr="00E911A4">
                        <w:rPr>
                          <w:sz w:val="12"/>
                          <w:szCs w:val="12"/>
                        </w:rPr>
                        <w:t xml:space="preserve">Sélectionner le mode correspondant </w:t>
                      </w:r>
                      <w:r w:rsidRPr="00E911A4">
                        <w:rPr>
                          <w:sz w:val="12"/>
                          <w:szCs w:val="12"/>
                        </w:rPr>
                        <w:br/>
                        <w:t>au cas le plus défavorable</w:t>
                      </w:r>
                    </w:p>
                  </w:txbxContent>
                </v:textbox>
              </v:shape>
            </w:pict>
          </mc:Fallback>
        </mc:AlternateContent>
      </w:r>
      <w:r w:rsidRPr="002C5876">
        <w:rPr>
          <w:noProof/>
          <w:lang w:val="en-GB" w:eastAsia="zh-CN"/>
        </w:rPr>
        <mc:AlternateContent>
          <mc:Choice Requires="wps">
            <w:drawing>
              <wp:anchor distT="0" distB="0" distL="114300" distR="114300" simplePos="0" relativeHeight="252020736" behindDoc="0" locked="0" layoutInCell="1" allowOverlap="1" wp14:anchorId="5499B390" wp14:editId="278A7335">
                <wp:simplePos x="0" y="0"/>
                <wp:positionH relativeFrom="column">
                  <wp:posOffset>5153660</wp:posOffset>
                </wp:positionH>
                <wp:positionV relativeFrom="paragraph">
                  <wp:posOffset>2901315</wp:posOffset>
                </wp:positionV>
                <wp:extent cx="708025" cy="248285"/>
                <wp:effectExtent l="0" t="0" r="0" b="0"/>
                <wp:wrapNone/>
                <wp:docPr id="140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248285"/>
                        </a:xfrm>
                        <a:prstGeom prst="rect">
                          <a:avLst/>
                        </a:prstGeom>
                        <a:noFill/>
                        <a:ln w="9525">
                          <a:noFill/>
                          <a:miter lim="800000"/>
                          <a:headEnd/>
                          <a:tailEnd/>
                        </a:ln>
                      </wps:spPr>
                      <wps:txbx>
                        <w:txbxContent>
                          <w:p w:rsidR="00D53F39" w:rsidRPr="00E911A4" w:rsidRDefault="00D53F39" w:rsidP="00E24DB7">
                            <w:pPr>
                              <w:spacing w:line="100" w:lineRule="exact"/>
                              <w:jc w:val="center"/>
                              <w:rPr>
                                <w:sz w:val="12"/>
                                <w:szCs w:val="12"/>
                              </w:rPr>
                            </w:pPr>
                            <w:r w:rsidRPr="00E911A4">
                              <w:rPr>
                                <w:sz w:val="12"/>
                                <w:szCs w:val="12"/>
                              </w:rPr>
                              <w:t>Sélectionner le mode correspondant au cas le plus défavorable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9B390" id="_x0000_s1657" type="#_x0000_t202" style="position:absolute;margin-left:405.8pt;margin-top:228.45pt;width:55.75pt;height:19.5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" filled="f" stroked="f">
                <v:textbox inset="0,0,0,0">
                  <w:txbxContent>
                    <w:p w:rsidR="00D53F39" w:rsidRPr="00E911A4" w:rsidRDefault="00D53F39" w:rsidP="00E24DB7">
                      <w:pPr>
                        <w:spacing w:line="100" w:lineRule="exact"/>
                        <w:jc w:val="center"/>
                        <w:rPr>
                          <w:sz w:val="12"/>
                          <w:szCs w:val="12"/>
                        </w:rPr>
                      </w:pPr>
                      <w:r w:rsidRPr="00E911A4">
                        <w:rPr>
                          <w:sz w:val="12"/>
                          <w:szCs w:val="12"/>
                        </w:rPr>
                        <w:t>Sélectionner le mode correspondant au cas le plus défavorable</w:t>
                      </w:r>
                    </w:p>
                  </w:txbxContent>
                </v:textbox>
              </v:shape>
            </w:pict>
          </mc:Fallback>
        </mc:AlternateContent>
      </w:r>
      <w:r w:rsidRPr="002C5876">
        <w:rPr>
          <w:noProof/>
          <w:lang w:val="en-GB" w:eastAsia="zh-CN"/>
        </w:rPr>
        <mc:AlternateContent>
          <mc:Choice Requires="wps">
            <w:drawing>
              <wp:anchor distT="0" distB="0" distL="114300" distR="114300" simplePos="0" relativeHeight="251922432" behindDoc="0" locked="0" layoutInCell="1" allowOverlap="1" wp14:anchorId="05726E35" wp14:editId="11FA9257">
                <wp:simplePos x="0" y="0"/>
                <wp:positionH relativeFrom="column">
                  <wp:posOffset>2678430</wp:posOffset>
                </wp:positionH>
                <wp:positionV relativeFrom="paragraph">
                  <wp:posOffset>401320</wp:posOffset>
                </wp:positionV>
                <wp:extent cx="1320800" cy="221615"/>
                <wp:effectExtent l="0" t="0" r="12700" b="6985"/>
                <wp:wrapNone/>
                <wp:docPr id="140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221615"/>
                        </a:xfrm>
                        <a:prstGeom prst="rect">
                          <a:avLst/>
                        </a:prstGeom>
                        <a:noFill/>
                        <a:ln w="9525">
                          <a:noFill/>
                          <a:miter lim="800000"/>
                          <a:headEnd/>
                          <a:tailEnd/>
                        </a:ln>
                      </wps:spPr>
                      <wps:txbx>
                        <w:txbxContent>
                          <w:p w:rsidR="00D53F39" w:rsidRPr="00E911A4" w:rsidRDefault="00D53F39" w:rsidP="00E24DB7">
                            <w:pPr>
                              <w:spacing w:line="110" w:lineRule="exact"/>
                              <w:jc w:val="center"/>
                              <w:rPr>
                                <w:b/>
                                <w:sz w:val="12"/>
                                <w:szCs w:val="12"/>
                              </w:rPr>
                            </w:pPr>
                            <w:r w:rsidRPr="00E911A4">
                              <w:rPr>
                                <w:b/>
                                <w:sz w:val="12"/>
                                <w:szCs w:val="12"/>
                              </w:rPr>
                              <w:t xml:space="preserve">VHE-(N)RE et VHPC-NRE </w:t>
                            </w:r>
                            <w:r w:rsidRPr="00E911A4">
                              <w:rPr>
                                <w:b/>
                                <w:sz w:val="12"/>
                                <w:szCs w:val="12"/>
                              </w:rPr>
                              <w:br/>
                              <w:t>en mode maintien de la charge :</w:t>
                            </w:r>
                          </w:p>
                          <w:p w:rsidR="00D53F39" w:rsidRPr="00E911A4" w:rsidRDefault="00D53F39" w:rsidP="00E24DB7">
                            <w:pPr>
                              <w:spacing w:line="110" w:lineRule="exact"/>
                              <w:jc w:val="center"/>
                              <w:rPr>
                                <w:sz w:val="12"/>
                                <w:szCs w:val="12"/>
                              </w:rPr>
                            </w:pPr>
                            <w:r w:rsidRPr="00E911A4">
                              <w:rPr>
                                <w:sz w:val="12"/>
                                <w:szCs w:val="12"/>
                              </w:rPr>
                              <w:t>Existe-t-il un mode prédominant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26E35" id="_x0000_s1658" type="#_x0000_t202" style="position:absolute;margin-left:210.9pt;margin-top:31.6pt;width:104pt;height:17.4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" filled="f" stroked="f">
                <v:textbox inset="0,0,0,0">
                  <w:txbxContent>
                    <w:p w:rsidR="00D53F39" w:rsidRPr="00E911A4" w:rsidRDefault="00D53F39" w:rsidP="00E24DB7">
                      <w:pPr>
                        <w:spacing w:line="110" w:lineRule="exact"/>
                        <w:jc w:val="center"/>
                        <w:rPr>
                          <w:b/>
                          <w:sz w:val="12"/>
                          <w:szCs w:val="12"/>
                        </w:rPr>
                      </w:pPr>
                      <w:r w:rsidRPr="00E911A4">
                        <w:rPr>
                          <w:b/>
                          <w:sz w:val="12"/>
                          <w:szCs w:val="12"/>
                        </w:rPr>
                        <w:t xml:space="preserve">VHE-(N)RE et VHPC-NRE </w:t>
                      </w:r>
                      <w:r w:rsidRPr="00E911A4">
                        <w:rPr>
                          <w:b/>
                          <w:sz w:val="12"/>
                          <w:szCs w:val="12"/>
                        </w:rPr>
                        <w:br/>
                        <w:t>en mode maintien de la charge :</w:t>
                      </w:r>
                    </w:p>
                    <w:p w:rsidR="00D53F39" w:rsidRPr="00E911A4" w:rsidRDefault="00D53F39" w:rsidP="00E24DB7">
                      <w:pPr>
                        <w:spacing w:line="110" w:lineRule="exact"/>
                        <w:jc w:val="center"/>
                        <w:rPr>
                          <w:sz w:val="12"/>
                          <w:szCs w:val="12"/>
                        </w:rPr>
                      </w:pPr>
                      <w:r w:rsidRPr="00E911A4">
                        <w:rPr>
                          <w:sz w:val="12"/>
                          <w:szCs w:val="12"/>
                        </w:rPr>
                        <w:t>Existe-t-il un mode prédominant ?</w:t>
                      </w:r>
                    </w:p>
                  </w:txbxContent>
                </v:textbox>
              </v:shape>
            </w:pict>
          </mc:Fallback>
        </mc:AlternateContent>
      </w:r>
      <w:r w:rsidRPr="002C5876">
        <w:rPr>
          <w:noProof/>
          <w:lang w:val="en-GB" w:eastAsia="zh-CN"/>
        </w:rPr>
        <mc:AlternateContent>
          <mc:Choice Requires="wps">
            <w:drawing>
              <wp:anchor distT="0" distB="0" distL="114300" distR="114300" simplePos="0" relativeHeight="252045312" behindDoc="0" locked="0" layoutInCell="1" allowOverlap="1" wp14:anchorId="54CCD817" wp14:editId="518AC4F1">
                <wp:simplePos x="0" y="0"/>
                <wp:positionH relativeFrom="column">
                  <wp:posOffset>4582160</wp:posOffset>
                </wp:positionH>
                <wp:positionV relativeFrom="paragraph">
                  <wp:posOffset>2590165</wp:posOffset>
                </wp:positionV>
                <wp:extent cx="1231265" cy="114300"/>
                <wp:effectExtent l="0" t="0" r="6985" b="0"/>
                <wp:wrapNone/>
                <wp:docPr id="140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114300"/>
                        </a:xfrm>
                        <a:prstGeom prst="rect">
                          <a:avLst/>
                        </a:prstGeom>
                        <a:noFill/>
                        <a:ln w="9525">
                          <a:noFill/>
                          <a:miter lim="800000"/>
                          <a:headEnd/>
                          <a:tailEnd/>
                        </a:ln>
                      </wps:spPr>
                      <wps:txbx>
                        <w:txbxContent>
                          <w:p w:rsidR="00D53F39" w:rsidRPr="00AD28DC" w:rsidRDefault="00D53F39" w:rsidP="00E24DB7">
                            <w:pPr>
                              <w:spacing w:line="240" w:lineRule="auto"/>
                              <w:jc w:val="center"/>
                              <w:rPr>
                                <w:b/>
                                <w:i/>
                                <w:sz w:val="14"/>
                                <w:szCs w:val="14"/>
                              </w:rPr>
                            </w:pPr>
                            <w:r w:rsidRPr="00AD28DC">
                              <w:rPr>
                                <w:b/>
                                <w:i/>
                                <w:sz w:val="14"/>
                                <w:szCs w:val="14"/>
                              </w:rPr>
                              <w:t>Option des constructeurs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CD817" id="_x0000_s1659" type="#_x0000_t202" style="position:absolute;margin-left:360.8pt;margin-top:203.95pt;width:96.95pt;height:9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" filled="f" stroked="f">
                <v:textbox inset="0,0,0,0">
                  <w:txbxContent>
                    <w:p w:rsidR="00D53F39" w:rsidRPr="00AD28DC" w:rsidRDefault="00D53F39" w:rsidP="00E24DB7">
                      <w:pPr>
                        <w:spacing w:line="240" w:lineRule="auto"/>
                        <w:jc w:val="center"/>
                        <w:rPr>
                          <w:b/>
                          <w:i/>
                          <w:sz w:val="14"/>
                          <w:szCs w:val="14"/>
                        </w:rPr>
                      </w:pPr>
                      <w:r w:rsidRPr="00AD28DC">
                        <w:rPr>
                          <w:b/>
                          <w:i/>
                          <w:sz w:val="14"/>
                          <w:szCs w:val="14"/>
                        </w:rPr>
                        <w:t>Option des constructeurs</w:t>
                      </w:r>
                    </w:p>
                  </w:txbxContent>
                </v:textbox>
              </v:shape>
            </w:pict>
          </mc:Fallback>
        </mc:AlternateContent>
      </w:r>
      <w:r w:rsidRPr="002C5876">
        <w:rPr>
          <w:noProof/>
          <w:lang w:val="en-GB" w:eastAsia="zh-CN"/>
        </w:rPr>
        <mc:AlternateContent>
          <mc:Choice Requires="wps">
            <w:drawing>
              <wp:anchor distT="0" distB="0" distL="114300" distR="114300" simplePos="0" relativeHeight="252004352" behindDoc="0" locked="0" layoutInCell="1" allowOverlap="1" wp14:anchorId="53B2428B" wp14:editId="78AFA509">
                <wp:simplePos x="0" y="0"/>
                <wp:positionH relativeFrom="column">
                  <wp:posOffset>1863090</wp:posOffset>
                </wp:positionH>
                <wp:positionV relativeFrom="paragraph">
                  <wp:posOffset>3055620</wp:posOffset>
                </wp:positionV>
                <wp:extent cx="1236345" cy="417195"/>
                <wp:effectExtent l="0" t="0" r="1905" b="1905"/>
                <wp:wrapNone/>
                <wp:docPr id="140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417195"/>
                        </a:xfrm>
                        <a:prstGeom prst="rect">
                          <a:avLst/>
                        </a:prstGeom>
                        <a:noFill/>
                        <a:ln w="9525">
                          <a:noFill/>
                          <a:miter lim="800000"/>
                          <a:headEnd/>
                          <a:tailEnd/>
                        </a:ln>
                      </wps:spPr>
                      <wps:txbx>
                        <w:txbxContent>
                          <w:p w:rsidR="00D53F39" w:rsidRPr="00E911A4" w:rsidRDefault="00D53F39" w:rsidP="00E24DB7">
                            <w:pPr>
                              <w:spacing w:line="240" w:lineRule="auto"/>
                              <w:jc w:val="center"/>
                              <w:rPr>
                                <w:sz w:val="12"/>
                                <w:szCs w:val="12"/>
                              </w:rPr>
                            </w:pPr>
                            <w:r w:rsidRPr="00E911A4">
                              <w:rPr>
                                <w:sz w:val="12"/>
                                <w:szCs w:val="12"/>
                              </w:rPr>
                              <w:t xml:space="preserve">Existe-t-il un ou plusieurs modes </w:t>
                            </w:r>
                            <w:r w:rsidRPr="00E911A4">
                              <w:rPr>
                                <w:sz w:val="12"/>
                                <w:szCs w:val="12"/>
                              </w:rPr>
                              <w:br/>
                              <w:t xml:space="preserve">dans lesquels le véhicule peut suivre </w:t>
                            </w:r>
                            <w:r w:rsidRPr="00E911A4">
                              <w:rPr>
                                <w:sz w:val="12"/>
                                <w:szCs w:val="12"/>
                              </w:rPr>
                              <w:br/>
                              <w:t xml:space="preserve">le cycle d’essai de référence modifié </w:t>
                            </w:r>
                            <w:r w:rsidRPr="00E911A4">
                              <w:rPr>
                                <w:sz w:val="12"/>
                                <w:szCs w:val="12"/>
                              </w:rPr>
                              <w:br/>
                              <w:t>en condition de maintien de la 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2428B" id="_x0000_s1660" type="#_x0000_t202" style="position:absolute;margin-left:146.7pt;margin-top:240.6pt;width:97.35pt;height:32.8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" filled="f" stroked="f">
                <v:textbox inset="0,0,0,0">
                  <w:txbxContent>
                    <w:p w:rsidR="00D53F39" w:rsidRPr="00E911A4" w:rsidRDefault="00D53F39" w:rsidP="00E24DB7">
                      <w:pPr>
                        <w:spacing w:line="240" w:lineRule="auto"/>
                        <w:jc w:val="center"/>
                        <w:rPr>
                          <w:sz w:val="12"/>
                          <w:szCs w:val="12"/>
                        </w:rPr>
                      </w:pPr>
                      <w:r w:rsidRPr="00E911A4">
                        <w:rPr>
                          <w:sz w:val="12"/>
                          <w:szCs w:val="12"/>
                        </w:rPr>
                        <w:t xml:space="preserve">Existe-t-il un ou plusieurs modes </w:t>
                      </w:r>
                      <w:r w:rsidRPr="00E911A4">
                        <w:rPr>
                          <w:sz w:val="12"/>
                          <w:szCs w:val="12"/>
                        </w:rPr>
                        <w:br/>
                        <w:t xml:space="preserve">dans lesquels le véhicule peut suivre </w:t>
                      </w:r>
                      <w:r w:rsidRPr="00E911A4">
                        <w:rPr>
                          <w:sz w:val="12"/>
                          <w:szCs w:val="12"/>
                        </w:rPr>
                        <w:br/>
                        <w:t xml:space="preserve">le cycle d’essai de référence modifié </w:t>
                      </w:r>
                      <w:r w:rsidRPr="00E911A4">
                        <w:rPr>
                          <w:sz w:val="12"/>
                          <w:szCs w:val="12"/>
                        </w:rPr>
                        <w:br/>
                        <w:t>en condition de maintien de la charge ?</w:t>
                      </w:r>
                    </w:p>
                  </w:txbxContent>
                </v:textbox>
              </v:shape>
            </w:pict>
          </mc:Fallback>
        </mc:AlternateContent>
      </w:r>
      <w:r w:rsidRPr="002C5876">
        <w:rPr>
          <w:noProof/>
          <w:lang w:val="en-GB" w:eastAsia="zh-CN"/>
        </w:rPr>
        <mc:AlternateContent>
          <mc:Choice Requires="wps">
            <w:drawing>
              <wp:anchor distT="0" distB="0" distL="114300" distR="114300" simplePos="0" relativeHeight="251987968" behindDoc="0" locked="0" layoutInCell="1" allowOverlap="1" wp14:anchorId="055B429C" wp14:editId="1917035C">
                <wp:simplePos x="0" y="0"/>
                <wp:positionH relativeFrom="column">
                  <wp:posOffset>811530</wp:posOffset>
                </wp:positionH>
                <wp:positionV relativeFrom="paragraph">
                  <wp:posOffset>2637155</wp:posOffset>
                </wp:positionV>
                <wp:extent cx="1491615" cy="307975"/>
                <wp:effectExtent l="0" t="0" r="13335" b="0"/>
                <wp:wrapNone/>
                <wp:docPr id="140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1615" cy="307975"/>
                        </a:xfrm>
                        <a:prstGeom prst="rect">
                          <a:avLst/>
                        </a:prstGeom>
                        <a:noFill/>
                        <a:ln w="9525">
                          <a:noFill/>
                          <a:miter lim="800000"/>
                          <a:headEnd/>
                          <a:tailEnd/>
                        </a:ln>
                      </wps:spPr>
                      <wps:txbx>
                        <w:txbxContent>
                          <w:p w:rsidR="00D53F39" w:rsidRPr="00E911A4" w:rsidRDefault="00D53F39" w:rsidP="00E24DB7">
                            <w:pPr>
                              <w:spacing w:line="240" w:lineRule="auto"/>
                              <w:jc w:val="center"/>
                              <w:rPr>
                                <w:spacing w:val="-2"/>
                                <w:sz w:val="12"/>
                                <w:szCs w:val="12"/>
                              </w:rPr>
                            </w:pPr>
                            <w:r w:rsidRPr="00E911A4">
                              <w:rPr>
                                <w:spacing w:val="-2"/>
                                <w:sz w:val="12"/>
                                <w:szCs w:val="12"/>
                              </w:rPr>
                              <w:t>Existe-t-il un mode prédominant permettant au véhicule de suivre le cycle d’essai de référence modifié en condition de maintien de la 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B429C" id="_x0000_s1661" type="#_x0000_t202" style="position:absolute;margin-left:63.9pt;margin-top:207.65pt;width:117.45pt;height:24.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" filled="f" stroked="f">
                <v:textbox inset="0,0,0,0">
                  <w:txbxContent>
                    <w:p w:rsidR="00D53F39" w:rsidRPr="00E911A4" w:rsidRDefault="00D53F39" w:rsidP="00E24DB7">
                      <w:pPr>
                        <w:spacing w:line="240" w:lineRule="auto"/>
                        <w:jc w:val="center"/>
                        <w:rPr>
                          <w:spacing w:val="-2"/>
                          <w:sz w:val="12"/>
                          <w:szCs w:val="12"/>
                        </w:rPr>
                      </w:pPr>
                      <w:r w:rsidRPr="00E911A4">
                        <w:rPr>
                          <w:spacing w:val="-2"/>
                          <w:sz w:val="12"/>
                          <w:szCs w:val="12"/>
                        </w:rPr>
                        <w:t>Existe-t-il un mode prédominant permettant au véhicule de suivre le cycle d’essai de référence modifié en condition de maintien de la charge ?</w:t>
                      </w:r>
                    </w:p>
                  </w:txbxContent>
                </v:textbox>
              </v:shape>
            </w:pict>
          </mc:Fallback>
        </mc:AlternateContent>
      </w:r>
      <w:r w:rsidRPr="002C5876">
        <w:rPr>
          <w:noProof/>
          <w:lang w:val="en-GB" w:eastAsia="zh-CN"/>
        </w:rPr>
        <mc:AlternateContent>
          <mc:Choice Requires="wps">
            <w:drawing>
              <wp:anchor distT="0" distB="0" distL="114300" distR="114300" simplePos="0" relativeHeight="252053504" behindDoc="0" locked="0" layoutInCell="1" allowOverlap="1" wp14:anchorId="22E8AC1A" wp14:editId="531F2674">
                <wp:simplePos x="0" y="0"/>
                <wp:positionH relativeFrom="column">
                  <wp:posOffset>2645410</wp:posOffset>
                </wp:positionH>
                <wp:positionV relativeFrom="paragraph">
                  <wp:posOffset>4145915</wp:posOffset>
                </wp:positionV>
                <wp:extent cx="1416050" cy="154305"/>
                <wp:effectExtent l="0" t="0" r="12700" b="0"/>
                <wp:wrapNone/>
                <wp:docPr id="140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4305"/>
                        </a:xfrm>
                        <a:prstGeom prst="rect">
                          <a:avLst/>
                        </a:prstGeom>
                        <a:noFill/>
                        <a:ln w="9525">
                          <a:noFill/>
                          <a:miter lim="800000"/>
                          <a:headEnd/>
                          <a:tailEnd/>
                        </a:ln>
                      </wps:spPr>
                      <wps:txbx>
                        <w:txbxContent>
                          <w:p w:rsidR="00D53F39" w:rsidRPr="00E911A4" w:rsidRDefault="00D53F39" w:rsidP="00E24DB7">
                            <w:pPr>
                              <w:spacing w:line="100" w:lineRule="exact"/>
                              <w:jc w:val="center"/>
                              <w:rPr>
                                <w:sz w:val="12"/>
                                <w:szCs w:val="12"/>
                              </w:rPr>
                            </w:pPr>
                            <w:r w:rsidRPr="00E911A4">
                              <w:rPr>
                                <w:sz w:val="12"/>
                                <w:szCs w:val="12"/>
                              </w:rPr>
                              <w:t xml:space="preserve">Sélectionner le mode correspondant </w:t>
                            </w:r>
                            <w:r w:rsidRPr="00E911A4">
                              <w:rPr>
                                <w:sz w:val="12"/>
                                <w:szCs w:val="12"/>
                              </w:rPr>
                              <w:br/>
                              <w:t>au cas le plus défavorable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8AC1A" id="_x0000_s1662" type="#_x0000_t202" style="position:absolute;margin-left:208.3pt;margin-top:326.45pt;width:111.5pt;height:12.1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" filled="f" stroked="f">
                <v:textbox inset="0,0,0,0">
                  <w:txbxContent>
                    <w:p w:rsidR="00D53F39" w:rsidRPr="00E911A4" w:rsidRDefault="00D53F39" w:rsidP="00E24DB7">
                      <w:pPr>
                        <w:spacing w:line="100" w:lineRule="exact"/>
                        <w:jc w:val="center"/>
                        <w:rPr>
                          <w:sz w:val="12"/>
                          <w:szCs w:val="12"/>
                        </w:rPr>
                      </w:pPr>
                      <w:r w:rsidRPr="00E911A4">
                        <w:rPr>
                          <w:sz w:val="12"/>
                          <w:szCs w:val="12"/>
                        </w:rPr>
                        <w:t xml:space="preserve">Sélectionner le mode correspondant </w:t>
                      </w:r>
                      <w:r w:rsidRPr="00E911A4">
                        <w:rPr>
                          <w:sz w:val="12"/>
                          <w:szCs w:val="12"/>
                        </w:rPr>
                        <w:br/>
                        <w:t>au cas le plus défavorable</w:t>
                      </w:r>
                    </w:p>
                  </w:txbxContent>
                </v:textbox>
              </v:shape>
            </w:pict>
          </mc:Fallback>
        </mc:AlternateContent>
      </w:r>
      <w:r w:rsidRPr="002C5876">
        <w:rPr>
          <w:noProof/>
          <w:lang w:val="en-GB" w:eastAsia="zh-CN"/>
        </w:rPr>
        <mc:AlternateContent>
          <mc:Choice Requires="wps">
            <w:drawing>
              <wp:anchor distT="0" distB="0" distL="114300" distR="114300" simplePos="0" relativeHeight="252037120" behindDoc="0" locked="0" layoutInCell="1" allowOverlap="1" wp14:anchorId="6D131524" wp14:editId="101F0097">
                <wp:simplePos x="0" y="0"/>
                <wp:positionH relativeFrom="column">
                  <wp:posOffset>2651760</wp:posOffset>
                </wp:positionH>
                <wp:positionV relativeFrom="paragraph">
                  <wp:posOffset>3607435</wp:posOffset>
                </wp:positionV>
                <wp:extent cx="1426845" cy="401320"/>
                <wp:effectExtent l="0" t="0" r="1905" b="0"/>
                <wp:wrapNone/>
                <wp:docPr id="140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401320"/>
                        </a:xfrm>
                        <a:prstGeom prst="rect">
                          <a:avLst/>
                        </a:prstGeom>
                        <a:noFill/>
                        <a:ln w="9525">
                          <a:noFill/>
                          <a:miter lim="800000"/>
                          <a:headEnd/>
                          <a:tailEnd/>
                        </a:ln>
                      </wps:spPr>
                      <wps:txbx>
                        <w:txbxContent>
                          <w:p w:rsidR="00D53F39" w:rsidRPr="00E911A4" w:rsidRDefault="00D53F39" w:rsidP="00E24DB7">
                            <w:pPr>
                              <w:spacing w:line="240" w:lineRule="auto"/>
                              <w:jc w:val="center"/>
                              <w:rPr>
                                <w:sz w:val="12"/>
                                <w:szCs w:val="12"/>
                              </w:rPr>
                            </w:pPr>
                            <w:r w:rsidRPr="00E911A4">
                              <w:rPr>
                                <w:sz w:val="12"/>
                                <w:szCs w:val="12"/>
                              </w:rPr>
                              <w:t xml:space="preserve">Déterminer le ou les modes pour lesquels </w:t>
                            </w:r>
                            <w:r w:rsidRPr="00E911A4">
                              <w:rPr>
                                <w:sz w:val="12"/>
                                <w:szCs w:val="12"/>
                              </w:rPr>
                              <w:br/>
                              <w:t xml:space="preserve">la demande d’énergie sur le cycle est la plus forte (voir annexe 7, par. 5, où la vitesse </w:t>
                            </w:r>
                            <w:r w:rsidRPr="00E911A4">
                              <w:rPr>
                                <w:sz w:val="12"/>
                                <w:szCs w:val="12"/>
                              </w:rPr>
                              <w:br/>
                              <w:t>visée est remplacée par la vitesse effectuée</w:t>
                            </w:r>
                            <w:r>
                              <w:rPr>
                                <w:sz w:val="12"/>
                                <w:szCs w:val="12"/>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31524" id="_x0000_s1663" type="#_x0000_t202" style="position:absolute;margin-left:208.8pt;margin-top:284.05pt;width:112.35pt;height:31.6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" filled="f" stroked="f">
                <v:textbox inset="0,0,0,0">
                  <w:txbxContent>
                    <w:p w:rsidR="00D53F39" w:rsidRPr="00E911A4" w:rsidRDefault="00D53F39" w:rsidP="00E24DB7">
                      <w:pPr>
                        <w:spacing w:line="240" w:lineRule="auto"/>
                        <w:jc w:val="center"/>
                        <w:rPr>
                          <w:sz w:val="12"/>
                          <w:szCs w:val="12"/>
                        </w:rPr>
                      </w:pPr>
                      <w:r w:rsidRPr="00E911A4">
                        <w:rPr>
                          <w:sz w:val="12"/>
                          <w:szCs w:val="12"/>
                        </w:rPr>
                        <w:t xml:space="preserve">Déterminer le ou les modes pour lesquels </w:t>
                      </w:r>
                      <w:r w:rsidRPr="00E911A4">
                        <w:rPr>
                          <w:sz w:val="12"/>
                          <w:szCs w:val="12"/>
                        </w:rPr>
                        <w:br/>
                        <w:t xml:space="preserve">la demande d’énergie sur le cycle est la plus forte (voir annexe 7, par. 5, où la vitesse </w:t>
                      </w:r>
                      <w:r w:rsidRPr="00E911A4">
                        <w:rPr>
                          <w:sz w:val="12"/>
                          <w:szCs w:val="12"/>
                        </w:rPr>
                        <w:br/>
                        <w:t>visée est remplacée par la vitesse effectuée</w:t>
                      </w:r>
                      <w:r>
                        <w:rPr>
                          <w:sz w:val="12"/>
                          <w:szCs w:val="12"/>
                        </w:rPr>
                        <w:t>)</w:t>
                      </w:r>
                    </w:p>
                  </w:txbxContent>
                </v:textbox>
              </v:shape>
            </w:pict>
          </mc:Fallback>
        </mc:AlternateContent>
      </w:r>
      <w:r w:rsidRPr="002C5876">
        <w:rPr>
          <w:noProof/>
          <w:lang w:val="en-GB" w:eastAsia="zh-CN"/>
        </w:rPr>
        <mc:AlternateContent>
          <mc:Choice Requires="wps">
            <w:drawing>
              <wp:anchor distT="0" distB="0" distL="114300" distR="114300" simplePos="0" relativeHeight="251979776" behindDoc="0" locked="0" layoutInCell="1" allowOverlap="1" wp14:anchorId="106653BC" wp14:editId="40A71396">
                <wp:simplePos x="0" y="0"/>
                <wp:positionH relativeFrom="column">
                  <wp:posOffset>3000375</wp:posOffset>
                </wp:positionH>
                <wp:positionV relativeFrom="paragraph">
                  <wp:posOffset>2322195</wp:posOffset>
                </wp:positionV>
                <wp:extent cx="681355" cy="126365"/>
                <wp:effectExtent l="0" t="0" r="4445" b="6985"/>
                <wp:wrapNone/>
                <wp:docPr id="140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6365"/>
                        </a:xfrm>
                        <a:prstGeom prst="rect">
                          <a:avLst/>
                        </a:prstGeom>
                        <a:noFill/>
                        <a:ln w="9525">
                          <a:noFill/>
                          <a:miter lim="800000"/>
                          <a:headEnd/>
                          <a:tailEnd/>
                        </a:ln>
                      </wps:spPr>
                      <wps:txbx>
                        <w:txbxContent>
                          <w:p w:rsidR="00D53F39" w:rsidRPr="00AD28DC" w:rsidRDefault="00D53F39" w:rsidP="00E24DB7">
                            <w:pPr>
                              <w:spacing w:line="240" w:lineRule="auto"/>
                              <w:jc w:val="center"/>
                              <w:rPr>
                                <w:b/>
                                <w:i/>
                                <w:sz w:val="14"/>
                                <w:szCs w:val="14"/>
                              </w:rPr>
                            </w:pPr>
                            <w:r w:rsidRPr="00AD28DC">
                              <w:rPr>
                                <w:b/>
                                <w:i/>
                                <w:sz w:val="14"/>
                                <w:szCs w:val="14"/>
                              </w:rPr>
                              <w:t>Option régionale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653BC" id="_x0000_s1664" type="#_x0000_t202" style="position:absolute;margin-left:236.25pt;margin-top:182.85pt;width:53.65pt;height:9.9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" filled="f" stroked="f">
                <v:textbox inset="0,0,0,0">
                  <w:txbxContent>
                    <w:p w:rsidR="00D53F39" w:rsidRPr="00AD28DC" w:rsidRDefault="00D53F39" w:rsidP="00E24DB7">
                      <w:pPr>
                        <w:spacing w:line="240" w:lineRule="auto"/>
                        <w:jc w:val="center"/>
                        <w:rPr>
                          <w:b/>
                          <w:i/>
                          <w:sz w:val="14"/>
                          <w:szCs w:val="14"/>
                        </w:rPr>
                      </w:pPr>
                      <w:r w:rsidRPr="00AD28DC">
                        <w:rPr>
                          <w:b/>
                          <w:i/>
                          <w:sz w:val="14"/>
                          <w:szCs w:val="14"/>
                        </w:rPr>
                        <w:t>Option régionale</w:t>
                      </w:r>
                    </w:p>
                  </w:txbxContent>
                </v:textbox>
              </v:shape>
            </w:pict>
          </mc:Fallback>
        </mc:AlternateContent>
      </w:r>
      <w:r w:rsidRPr="002C5876">
        <w:rPr>
          <w:noProof/>
          <w:lang w:val="en-GB" w:eastAsia="zh-CN"/>
        </w:rPr>
        <mc:AlternateContent>
          <mc:Choice Requires="wps">
            <w:drawing>
              <wp:anchor distT="0" distB="0" distL="114300" distR="114300" simplePos="0" relativeHeight="252061696" behindDoc="0" locked="0" layoutInCell="1" allowOverlap="1" wp14:anchorId="64A7357C" wp14:editId="7DBBC7A2">
                <wp:simplePos x="0" y="0"/>
                <wp:positionH relativeFrom="column">
                  <wp:posOffset>4380230</wp:posOffset>
                </wp:positionH>
                <wp:positionV relativeFrom="paragraph">
                  <wp:posOffset>2911046</wp:posOffset>
                </wp:positionV>
                <wp:extent cx="729406" cy="1057110"/>
                <wp:effectExtent l="0" t="0" r="13970" b="10160"/>
                <wp:wrapNone/>
                <wp:docPr id="140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406" cy="1057110"/>
                        </a:xfrm>
                        <a:prstGeom prst="rect">
                          <a:avLst/>
                        </a:prstGeom>
                        <a:noFill/>
                        <a:ln w="9525">
                          <a:noFill/>
                          <a:miter lim="800000"/>
                          <a:headEnd/>
                          <a:tailEnd/>
                        </a:ln>
                      </wps:spPr>
                      <wps:txbx>
                        <w:txbxContent>
                          <w:p w:rsidR="00D53F39" w:rsidRPr="00E911A4" w:rsidRDefault="00D53F39" w:rsidP="00E24DB7">
                            <w:pPr>
                              <w:spacing w:line="240" w:lineRule="auto"/>
                              <w:jc w:val="center"/>
                              <w:rPr>
                                <w:spacing w:val="-4"/>
                                <w:sz w:val="12"/>
                                <w:szCs w:val="12"/>
                              </w:rPr>
                            </w:pPr>
                            <w:r w:rsidRPr="00E911A4">
                              <w:rPr>
                                <w:spacing w:val="-4"/>
                                <w:sz w:val="12"/>
                                <w:szCs w:val="12"/>
                              </w:rPr>
                              <w:t xml:space="preserve">Faire la moyenne des résultats de l’essai dans les modes correspondant aux cas le plus favorable et le plus défavorable. Ces deux modes doivent être déterminés sur la base de la consommation de carburant dans </w:t>
                            </w:r>
                            <w:r w:rsidRPr="00E911A4">
                              <w:rPr>
                                <w:spacing w:val="-4"/>
                                <w:sz w:val="12"/>
                                <w:szCs w:val="12"/>
                              </w:rPr>
                              <w:br/>
                              <w:t xml:space="preserve">tous les modes </w:t>
                            </w:r>
                            <w:r w:rsidRPr="00E911A4">
                              <w:rPr>
                                <w:spacing w:val="-4"/>
                                <w:sz w:val="12"/>
                                <w:szCs w:val="12"/>
                              </w:rPr>
                              <w:br/>
                              <w:t>(voir l’annexe 6,</w:t>
                            </w:r>
                            <w:r w:rsidRPr="00E911A4">
                              <w:rPr>
                                <w:sz w:val="12"/>
                                <w:szCs w:val="12"/>
                              </w:rPr>
                              <w:t xml:space="preserve"> </w:t>
                            </w:r>
                            <w:r w:rsidRPr="00E911A4">
                              <w:rPr>
                                <w:spacing w:val="-4"/>
                                <w:sz w:val="12"/>
                                <w:szCs w:val="12"/>
                              </w:rPr>
                              <w:t>par. 2.6.</w:t>
                            </w:r>
                            <w:r>
                              <w:rPr>
                                <w:spacing w:val="-4"/>
                                <w:sz w:val="12"/>
                                <w:szCs w:val="12"/>
                              </w:rPr>
                              <w:t>6</w:t>
                            </w:r>
                            <w:r w:rsidRPr="00E911A4">
                              <w:rPr>
                                <w:spacing w:val="-4"/>
                                <w:sz w:val="12"/>
                                <w:szCs w:val="12"/>
                              </w:rPr>
                              <w:t>.3)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7357C" id="_x0000_s1665" type="#_x0000_t202" style="position:absolute;margin-left:344.9pt;margin-top:229.2pt;width:57.45pt;height:83.2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" filled="f" stroked="f">
                <v:textbox inset="0,0,0,0">
                  <w:txbxContent>
                    <w:p w:rsidR="00D53F39" w:rsidRPr="00E911A4" w:rsidRDefault="00D53F39" w:rsidP="00E24DB7">
                      <w:pPr>
                        <w:spacing w:line="240" w:lineRule="auto"/>
                        <w:jc w:val="center"/>
                        <w:rPr>
                          <w:spacing w:val="-4"/>
                          <w:sz w:val="12"/>
                          <w:szCs w:val="12"/>
                        </w:rPr>
                      </w:pPr>
                      <w:r w:rsidRPr="00E911A4">
                        <w:rPr>
                          <w:spacing w:val="-4"/>
                          <w:sz w:val="12"/>
                          <w:szCs w:val="12"/>
                        </w:rPr>
                        <w:t xml:space="preserve">Faire la moyenne des résultats de l’essai dans les modes correspondant aux cas le plus favorable et le plus défavorable. Ces deux modes doivent être déterminés sur la base de la consommation de carburant dans </w:t>
                      </w:r>
                      <w:r w:rsidRPr="00E911A4">
                        <w:rPr>
                          <w:spacing w:val="-4"/>
                          <w:sz w:val="12"/>
                          <w:szCs w:val="12"/>
                        </w:rPr>
                        <w:br/>
                        <w:t xml:space="preserve">tous les modes </w:t>
                      </w:r>
                      <w:r w:rsidRPr="00E911A4">
                        <w:rPr>
                          <w:spacing w:val="-4"/>
                          <w:sz w:val="12"/>
                          <w:szCs w:val="12"/>
                        </w:rPr>
                        <w:br/>
                        <w:t>(voir l’annexe 6,</w:t>
                      </w:r>
                      <w:r w:rsidRPr="00E911A4">
                        <w:rPr>
                          <w:sz w:val="12"/>
                          <w:szCs w:val="12"/>
                        </w:rPr>
                        <w:t xml:space="preserve"> </w:t>
                      </w:r>
                      <w:r w:rsidRPr="00E911A4">
                        <w:rPr>
                          <w:spacing w:val="-4"/>
                          <w:sz w:val="12"/>
                          <w:szCs w:val="12"/>
                        </w:rPr>
                        <w:t>par. 2.6.</w:t>
                      </w:r>
                      <w:r>
                        <w:rPr>
                          <w:spacing w:val="-4"/>
                          <w:sz w:val="12"/>
                          <w:szCs w:val="12"/>
                        </w:rPr>
                        <w:t>6</w:t>
                      </w:r>
                      <w:r w:rsidRPr="00E911A4">
                        <w:rPr>
                          <w:spacing w:val="-4"/>
                          <w:sz w:val="12"/>
                          <w:szCs w:val="12"/>
                        </w:rPr>
                        <w:t>.3)</w:t>
                      </w:r>
                    </w:p>
                  </w:txbxContent>
                </v:textbox>
              </v:shape>
            </w:pict>
          </mc:Fallback>
        </mc:AlternateContent>
      </w:r>
      <w:r w:rsidRPr="002C5876">
        <w:rPr>
          <w:noProof/>
          <w:lang w:val="en-GB" w:eastAsia="zh-CN"/>
        </w:rPr>
        <mc:AlternateContent>
          <mc:Choice Requires="wps">
            <w:drawing>
              <wp:anchor distT="0" distB="0" distL="114300" distR="114300" simplePos="0" relativeHeight="251889664" behindDoc="0" locked="0" layoutInCell="1" allowOverlap="1" wp14:anchorId="27E6A024" wp14:editId="559A5C85">
                <wp:simplePos x="0" y="0"/>
                <wp:positionH relativeFrom="column">
                  <wp:posOffset>3120596</wp:posOffset>
                </wp:positionH>
                <wp:positionV relativeFrom="paragraph">
                  <wp:posOffset>3088640</wp:posOffset>
                </wp:positionV>
                <wp:extent cx="184785" cy="121285"/>
                <wp:effectExtent l="0" t="0" r="5715" b="12065"/>
                <wp:wrapNone/>
                <wp:docPr id="140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D53F39" w:rsidRPr="001661D8" w:rsidRDefault="00D53F39" w:rsidP="00E24DB7">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6A024" id="_x0000_s1666" type="#_x0000_t202" style="position:absolute;margin-left:245.7pt;margin-top:243.2pt;width:14.55pt;height:9.5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" filled="f" stroked="f">
                <v:textbox inset="0,0,0,0">
                  <w:txbxContent>
                    <w:p w:rsidR="00D53F39" w:rsidRPr="001661D8" w:rsidRDefault="00D53F39" w:rsidP="00E24DB7">
                      <w:pPr>
                        <w:spacing w:line="240" w:lineRule="auto"/>
                        <w:jc w:val="center"/>
                        <w:rPr>
                          <w:sz w:val="12"/>
                          <w:szCs w:val="12"/>
                        </w:rPr>
                      </w:pPr>
                      <w:r w:rsidRPr="001661D8">
                        <w:rPr>
                          <w:sz w:val="12"/>
                          <w:szCs w:val="12"/>
                        </w:rPr>
                        <w:t>Non</w:t>
                      </w:r>
                    </w:p>
                  </w:txbxContent>
                </v:textbox>
              </v:shape>
            </w:pict>
          </mc:Fallback>
        </mc:AlternateContent>
      </w:r>
      <w:r w:rsidRPr="002C5876">
        <w:rPr>
          <w:noProof/>
          <w:lang w:val="en-GB" w:eastAsia="zh-CN"/>
        </w:rPr>
        <mc:AlternateContent>
          <mc:Choice Requires="wps">
            <w:drawing>
              <wp:anchor distT="0" distB="0" distL="114300" distR="114300" simplePos="0" relativeHeight="251897856" behindDoc="0" locked="0" layoutInCell="1" allowOverlap="1" wp14:anchorId="1DDC332F" wp14:editId="23A455E3">
                <wp:simplePos x="0" y="0"/>
                <wp:positionH relativeFrom="column">
                  <wp:posOffset>1644015</wp:posOffset>
                </wp:positionH>
                <wp:positionV relativeFrom="paragraph">
                  <wp:posOffset>3092450</wp:posOffset>
                </wp:positionV>
                <wp:extent cx="184785" cy="121285"/>
                <wp:effectExtent l="0" t="0" r="5715" b="12065"/>
                <wp:wrapNone/>
                <wp:docPr id="140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D53F39" w:rsidRPr="001661D8" w:rsidRDefault="00D53F39" w:rsidP="00E24DB7">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C332F" id="_x0000_s1667" type="#_x0000_t202" style="position:absolute;margin-left:129.45pt;margin-top:243.5pt;width:14.55pt;height:9.5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" filled="f" stroked="f">
                <v:textbox inset="0,0,0,0">
                  <w:txbxContent>
                    <w:p w:rsidR="00D53F39" w:rsidRPr="001661D8" w:rsidRDefault="00D53F39" w:rsidP="00E24DB7">
                      <w:pPr>
                        <w:spacing w:line="240" w:lineRule="auto"/>
                        <w:jc w:val="center"/>
                        <w:rPr>
                          <w:sz w:val="12"/>
                          <w:szCs w:val="12"/>
                        </w:rPr>
                      </w:pPr>
                      <w:r w:rsidRPr="001661D8">
                        <w:rPr>
                          <w:sz w:val="12"/>
                          <w:szCs w:val="12"/>
                        </w:rPr>
                        <w:t>Oui</w:t>
                      </w:r>
                    </w:p>
                  </w:txbxContent>
                </v:textbox>
              </v:shape>
            </w:pict>
          </mc:Fallback>
        </mc:AlternateContent>
      </w:r>
      <w:r w:rsidRPr="002C5876">
        <w:rPr>
          <w:noProof/>
          <w:lang w:val="en-GB" w:eastAsia="zh-CN"/>
        </w:rPr>
        <mc:AlternateContent>
          <mc:Choice Requires="wps">
            <w:drawing>
              <wp:anchor distT="0" distB="0" distL="114300" distR="114300" simplePos="0" relativeHeight="251996160" behindDoc="0" locked="0" layoutInCell="1" allowOverlap="1" wp14:anchorId="727FA7B3" wp14:editId="26516DBF">
                <wp:simplePos x="0" y="0"/>
                <wp:positionH relativeFrom="column">
                  <wp:posOffset>252451</wp:posOffset>
                </wp:positionH>
                <wp:positionV relativeFrom="paragraph">
                  <wp:posOffset>3060006</wp:posOffset>
                </wp:positionV>
                <wp:extent cx="734691" cy="210820"/>
                <wp:effectExtent l="0" t="0" r="8890" b="0"/>
                <wp:wrapNone/>
                <wp:docPr id="140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1" cy="210820"/>
                        </a:xfrm>
                        <a:prstGeom prst="rect">
                          <a:avLst/>
                        </a:prstGeom>
                        <a:noFill/>
                        <a:ln w="9525">
                          <a:noFill/>
                          <a:miter lim="800000"/>
                          <a:headEnd/>
                          <a:tailEnd/>
                        </a:ln>
                      </wps:spPr>
                      <wps:txbx>
                        <w:txbxContent>
                          <w:p w:rsidR="00D53F39" w:rsidRPr="001661D8" w:rsidRDefault="00D53F39" w:rsidP="00E24DB7">
                            <w:pPr>
                              <w:spacing w:line="240" w:lineRule="auto"/>
                              <w:jc w:val="center"/>
                              <w:rPr>
                                <w:sz w:val="12"/>
                                <w:szCs w:val="12"/>
                              </w:rPr>
                            </w:pPr>
                            <w:r>
                              <w:rPr>
                                <w:sz w:val="12"/>
                                <w:szCs w:val="12"/>
                              </w:rPr>
                              <w:t>Sélectionner le mode prédominant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FA7B3" id="_x0000_s1668" type="#_x0000_t202" style="position:absolute;margin-left:19.9pt;margin-top:240.95pt;width:57.85pt;height:16.6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" filled="f" stroked="f">
                <v:textbox inset="0,0,0,0">
                  <w:txbxContent>
                    <w:p w:rsidR="00D53F39" w:rsidRPr="001661D8" w:rsidRDefault="00D53F39" w:rsidP="00E24DB7">
                      <w:pPr>
                        <w:spacing w:line="240" w:lineRule="auto"/>
                        <w:jc w:val="center"/>
                        <w:rPr>
                          <w:sz w:val="12"/>
                          <w:szCs w:val="12"/>
                        </w:rPr>
                      </w:pPr>
                      <w:r>
                        <w:rPr>
                          <w:sz w:val="12"/>
                          <w:szCs w:val="12"/>
                        </w:rPr>
                        <w:t>Sélectionner le mode prédominant</w:t>
                      </w:r>
                    </w:p>
                  </w:txbxContent>
                </v:textbox>
              </v:shape>
            </w:pict>
          </mc:Fallback>
        </mc:AlternateContent>
      </w:r>
      <w:r w:rsidRPr="002C5876">
        <w:rPr>
          <w:noProof/>
          <w:lang w:val="en-GB" w:eastAsia="zh-CN"/>
        </w:rPr>
        <mc:AlternateContent>
          <mc:Choice Requires="wps">
            <w:drawing>
              <wp:anchor distT="0" distB="0" distL="114300" distR="114300" simplePos="0" relativeHeight="251881472" behindDoc="0" locked="0" layoutInCell="1" allowOverlap="1" wp14:anchorId="1CEC0BA2" wp14:editId="26871820">
                <wp:simplePos x="0" y="0"/>
                <wp:positionH relativeFrom="column">
                  <wp:posOffset>2308225</wp:posOffset>
                </wp:positionH>
                <wp:positionV relativeFrom="paragraph">
                  <wp:posOffset>2635250</wp:posOffset>
                </wp:positionV>
                <wp:extent cx="184785" cy="121285"/>
                <wp:effectExtent l="0" t="0" r="5715" b="12065"/>
                <wp:wrapNone/>
                <wp:docPr id="140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D53F39" w:rsidRPr="001661D8" w:rsidRDefault="00D53F39" w:rsidP="00E24DB7">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C0BA2" id="_x0000_s1669" type="#_x0000_t202" style="position:absolute;margin-left:181.75pt;margin-top:207.5pt;width:14.55pt;height:9.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" filled="f" stroked="f">
                <v:textbox inset="0,0,0,0">
                  <w:txbxContent>
                    <w:p w:rsidR="00D53F39" w:rsidRPr="001661D8" w:rsidRDefault="00D53F39" w:rsidP="00E24DB7">
                      <w:pPr>
                        <w:spacing w:line="240" w:lineRule="auto"/>
                        <w:jc w:val="center"/>
                        <w:rPr>
                          <w:sz w:val="12"/>
                          <w:szCs w:val="12"/>
                        </w:rPr>
                      </w:pPr>
                      <w:r w:rsidRPr="001661D8">
                        <w:rPr>
                          <w:sz w:val="12"/>
                          <w:szCs w:val="12"/>
                        </w:rPr>
                        <w:t>Non</w:t>
                      </w:r>
                    </w:p>
                  </w:txbxContent>
                </v:textbox>
              </v:shape>
            </w:pict>
          </mc:Fallback>
        </mc:AlternateContent>
      </w:r>
      <w:r w:rsidRPr="002C5876">
        <w:rPr>
          <w:noProof/>
          <w:lang w:val="en-GB" w:eastAsia="zh-CN"/>
        </w:rPr>
        <mc:AlternateContent>
          <mc:Choice Requires="wps">
            <w:drawing>
              <wp:anchor distT="0" distB="0" distL="114300" distR="114300" simplePos="0" relativeHeight="251906048" behindDoc="0" locked="0" layoutInCell="1" allowOverlap="1" wp14:anchorId="27B54809" wp14:editId="709954E3">
                <wp:simplePos x="0" y="0"/>
                <wp:positionH relativeFrom="column">
                  <wp:posOffset>617855</wp:posOffset>
                </wp:positionH>
                <wp:positionV relativeFrom="paragraph">
                  <wp:posOffset>2636520</wp:posOffset>
                </wp:positionV>
                <wp:extent cx="184785" cy="121285"/>
                <wp:effectExtent l="0" t="0" r="5715" b="12065"/>
                <wp:wrapNone/>
                <wp:docPr id="140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D53F39" w:rsidRPr="001661D8" w:rsidRDefault="00D53F39" w:rsidP="00E24DB7">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54809" id="_x0000_s1670" type="#_x0000_t202" style="position:absolute;margin-left:48.65pt;margin-top:207.6pt;width:14.55pt;height:9.5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" filled="f" stroked="f">
                <v:textbox inset="0,0,0,0">
                  <w:txbxContent>
                    <w:p w:rsidR="00D53F39" w:rsidRPr="001661D8" w:rsidRDefault="00D53F39" w:rsidP="00E24DB7">
                      <w:pPr>
                        <w:spacing w:line="240" w:lineRule="auto"/>
                        <w:jc w:val="center"/>
                        <w:rPr>
                          <w:sz w:val="12"/>
                          <w:szCs w:val="12"/>
                        </w:rPr>
                      </w:pPr>
                      <w:r w:rsidRPr="001661D8">
                        <w:rPr>
                          <w:sz w:val="12"/>
                          <w:szCs w:val="12"/>
                        </w:rPr>
                        <w:t>Oui</w:t>
                      </w:r>
                    </w:p>
                  </w:txbxContent>
                </v:textbox>
              </v:shape>
            </w:pict>
          </mc:Fallback>
        </mc:AlternateContent>
      </w:r>
      <w:r w:rsidRPr="002C5876">
        <w:rPr>
          <w:noProof/>
          <w:lang w:val="en-GB" w:eastAsia="zh-CN"/>
        </w:rPr>
        <mc:AlternateContent>
          <mc:Choice Requires="wps">
            <w:drawing>
              <wp:anchor distT="0" distB="0" distL="114300" distR="114300" simplePos="0" relativeHeight="252012544" behindDoc="0" locked="0" layoutInCell="1" allowOverlap="1" wp14:anchorId="455A7D94" wp14:editId="3B906D02">
                <wp:simplePos x="0" y="0"/>
                <wp:positionH relativeFrom="column">
                  <wp:posOffset>3370580</wp:posOffset>
                </wp:positionH>
                <wp:positionV relativeFrom="paragraph">
                  <wp:posOffset>2646886</wp:posOffset>
                </wp:positionV>
                <wp:extent cx="940828" cy="310775"/>
                <wp:effectExtent l="0" t="0" r="12065" b="13335"/>
                <wp:wrapNone/>
                <wp:docPr id="140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828" cy="310775"/>
                        </a:xfrm>
                        <a:prstGeom prst="rect">
                          <a:avLst/>
                        </a:prstGeom>
                        <a:noFill/>
                        <a:ln w="9525">
                          <a:noFill/>
                          <a:miter lim="800000"/>
                          <a:headEnd/>
                          <a:tailEnd/>
                        </a:ln>
                      </wps:spPr>
                      <wps:txbx>
                        <w:txbxContent>
                          <w:p w:rsidR="00D53F39" w:rsidRPr="00E911A4" w:rsidRDefault="00D53F39" w:rsidP="00E24DB7">
                            <w:pPr>
                              <w:spacing w:line="110" w:lineRule="exact"/>
                              <w:jc w:val="center"/>
                              <w:rPr>
                                <w:sz w:val="12"/>
                                <w:szCs w:val="12"/>
                              </w:rPr>
                            </w:pPr>
                            <w:r w:rsidRPr="00E911A4">
                              <w:rPr>
                                <w:sz w:val="12"/>
                                <w:szCs w:val="12"/>
                              </w:rPr>
                              <w:t>Exécuter le cycle urbain</w:t>
                            </w:r>
                          </w:p>
                          <w:p w:rsidR="00D53F39" w:rsidRPr="00E911A4" w:rsidRDefault="00D53F39" w:rsidP="00E24DB7">
                            <w:pPr>
                              <w:spacing w:line="110" w:lineRule="exact"/>
                              <w:jc w:val="center"/>
                              <w:rPr>
                                <w:sz w:val="12"/>
                                <w:szCs w:val="12"/>
                              </w:rPr>
                            </w:pPr>
                            <w:r w:rsidRPr="00E911A4">
                              <w:rPr>
                                <w:sz w:val="12"/>
                                <w:szCs w:val="12"/>
                              </w:rPr>
                              <w:t xml:space="preserve">Sélectionner le mode correspondant au cas </w:t>
                            </w:r>
                            <w:r w:rsidRPr="00E911A4">
                              <w:rPr>
                                <w:sz w:val="12"/>
                                <w:szCs w:val="12"/>
                              </w:rPr>
                              <w:br/>
                              <w:t>le plus défavorable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A7D94" id="_x0000_s1671" type="#_x0000_t202" style="position:absolute;margin-left:265.4pt;margin-top:208.4pt;width:74.1pt;height:24.4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" filled="f" stroked="f">
                <v:textbox inset="0,0,0,0">
                  <w:txbxContent>
                    <w:p w:rsidR="00D53F39" w:rsidRPr="00E911A4" w:rsidRDefault="00D53F39" w:rsidP="00E24DB7">
                      <w:pPr>
                        <w:spacing w:line="110" w:lineRule="exact"/>
                        <w:jc w:val="center"/>
                        <w:rPr>
                          <w:sz w:val="12"/>
                          <w:szCs w:val="12"/>
                        </w:rPr>
                      </w:pPr>
                      <w:r w:rsidRPr="00E911A4">
                        <w:rPr>
                          <w:sz w:val="12"/>
                          <w:szCs w:val="12"/>
                        </w:rPr>
                        <w:t>Exécuter le cycle urbain</w:t>
                      </w:r>
                    </w:p>
                    <w:p w:rsidR="00D53F39" w:rsidRPr="00E911A4" w:rsidRDefault="00D53F39" w:rsidP="00E24DB7">
                      <w:pPr>
                        <w:spacing w:line="110" w:lineRule="exact"/>
                        <w:jc w:val="center"/>
                        <w:rPr>
                          <w:sz w:val="12"/>
                          <w:szCs w:val="12"/>
                        </w:rPr>
                      </w:pPr>
                      <w:r w:rsidRPr="00E911A4">
                        <w:rPr>
                          <w:sz w:val="12"/>
                          <w:szCs w:val="12"/>
                        </w:rPr>
                        <w:t xml:space="preserve">Sélectionner le mode correspondant au cas </w:t>
                      </w:r>
                      <w:r w:rsidRPr="00E911A4">
                        <w:rPr>
                          <w:sz w:val="12"/>
                          <w:szCs w:val="12"/>
                        </w:rPr>
                        <w:br/>
                        <w:t>le plus défavorable</w:t>
                      </w:r>
                    </w:p>
                  </w:txbxContent>
                </v:textbox>
              </v:shape>
            </w:pict>
          </mc:Fallback>
        </mc:AlternateContent>
      </w:r>
      <w:r w:rsidRPr="002C5876">
        <w:rPr>
          <w:noProof/>
          <w:lang w:val="en-GB" w:eastAsia="zh-CN"/>
        </w:rPr>
        <mc:AlternateContent>
          <mc:Choice Requires="wps">
            <w:drawing>
              <wp:anchor distT="0" distB="0" distL="114300" distR="114300" simplePos="0" relativeHeight="251971584" behindDoc="0" locked="0" layoutInCell="1" allowOverlap="1" wp14:anchorId="2EB2C231" wp14:editId="1AD08AD3">
                <wp:simplePos x="0" y="0"/>
                <wp:positionH relativeFrom="column">
                  <wp:posOffset>453302</wp:posOffset>
                </wp:positionH>
                <wp:positionV relativeFrom="paragraph">
                  <wp:posOffset>2362314</wp:posOffset>
                </wp:positionV>
                <wp:extent cx="887972" cy="132139"/>
                <wp:effectExtent l="0" t="0" r="7620" b="1270"/>
                <wp:wrapNone/>
                <wp:docPr id="140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972" cy="132139"/>
                        </a:xfrm>
                        <a:prstGeom prst="rect">
                          <a:avLst/>
                        </a:prstGeom>
                        <a:noFill/>
                        <a:ln w="9525">
                          <a:noFill/>
                          <a:miter lim="800000"/>
                          <a:headEnd/>
                          <a:tailEnd/>
                        </a:ln>
                      </wps:spPr>
                      <wps:txbx>
                        <w:txbxContent>
                          <w:p w:rsidR="00D53F39" w:rsidRPr="005A7930" w:rsidRDefault="00D53F39" w:rsidP="00E24DB7">
                            <w:pPr>
                              <w:spacing w:line="240" w:lineRule="auto"/>
                              <w:jc w:val="center"/>
                              <w:rPr>
                                <w:spacing w:val="-4"/>
                                <w:sz w:val="12"/>
                                <w:szCs w:val="12"/>
                              </w:rPr>
                            </w:pPr>
                            <w:r w:rsidRPr="005A7930">
                              <w:rPr>
                                <w:spacing w:val="-4"/>
                                <w:sz w:val="12"/>
                                <w:szCs w:val="12"/>
                              </w:rPr>
                              <w:t>Sélectionner ce mode unique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2C231" id="_x0000_s1672" type="#_x0000_t202" style="position:absolute;margin-left:35.7pt;margin-top:186pt;width:69.9pt;height:10.4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" filled="f" stroked="f">
                <v:textbox inset="0,0,0,0">
                  <w:txbxContent>
                    <w:p w:rsidR="00D53F39" w:rsidRPr="005A7930" w:rsidRDefault="00D53F39" w:rsidP="00E24DB7">
                      <w:pPr>
                        <w:spacing w:line="240" w:lineRule="auto"/>
                        <w:jc w:val="center"/>
                        <w:rPr>
                          <w:spacing w:val="-4"/>
                          <w:sz w:val="12"/>
                          <w:szCs w:val="12"/>
                        </w:rPr>
                      </w:pPr>
                      <w:r w:rsidRPr="005A7930">
                        <w:rPr>
                          <w:spacing w:val="-4"/>
                          <w:sz w:val="12"/>
                          <w:szCs w:val="12"/>
                        </w:rPr>
                        <w:t>Sélectionner ce mode unique</w:t>
                      </w:r>
                    </w:p>
                  </w:txbxContent>
                </v:textbox>
              </v:shape>
            </w:pict>
          </mc:Fallback>
        </mc:AlternateContent>
      </w:r>
      <w:r w:rsidRPr="002C5876">
        <w:rPr>
          <w:noProof/>
          <w:lang w:val="en-GB" w:eastAsia="zh-CN"/>
        </w:rPr>
        <mc:AlternateContent>
          <mc:Choice Requires="wps">
            <w:drawing>
              <wp:anchor distT="0" distB="0" distL="114300" distR="114300" simplePos="0" relativeHeight="251963392" behindDoc="0" locked="0" layoutInCell="1" allowOverlap="1" wp14:anchorId="4D6A7CE5" wp14:editId="09463888">
                <wp:simplePos x="0" y="0"/>
                <wp:positionH relativeFrom="column">
                  <wp:posOffset>5014732</wp:posOffset>
                </wp:positionH>
                <wp:positionV relativeFrom="paragraph">
                  <wp:posOffset>2193176</wp:posOffset>
                </wp:positionV>
                <wp:extent cx="391130" cy="216161"/>
                <wp:effectExtent l="0" t="0" r="9525" b="12700"/>
                <wp:wrapNone/>
                <wp:docPr id="140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30" cy="216161"/>
                        </a:xfrm>
                        <a:prstGeom prst="rect">
                          <a:avLst/>
                        </a:prstGeom>
                        <a:noFill/>
                        <a:ln w="9525">
                          <a:noFill/>
                          <a:miter lim="800000"/>
                          <a:headEnd/>
                          <a:tailEnd/>
                        </a:ln>
                      </wps:spPr>
                      <wps:txbx>
                        <w:txbxContent>
                          <w:p w:rsidR="00D53F39" w:rsidRPr="001661D8" w:rsidRDefault="00D53F39" w:rsidP="00E24DB7">
                            <w:pPr>
                              <w:spacing w:line="240" w:lineRule="auto"/>
                              <w:jc w:val="center"/>
                              <w:rPr>
                                <w:sz w:val="12"/>
                                <w:szCs w:val="12"/>
                              </w:rPr>
                            </w:pPr>
                            <w:r>
                              <w:rPr>
                                <w:sz w:val="12"/>
                                <w:szCs w:val="12"/>
                              </w:rPr>
                              <w:t>Plusieurs modes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A7CE5" id="_x0000_s1673" type="#_x0000_t202" style="position:absolute;margin-left:394.85pt;margin-top:172.7pt;width:30.8pt;height:17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" filled="f" stroked="f">
                <v:textbox inset="0,0,0,0">
                  <w:txbxContent>
                    <w:p w:rsidR="00D53F39" w:rsidRPr="001661D8" w:rsidRDefault="00D53F39" w:rsidP="00E24DB7">
                      <w:pPr>
                        <w:spacing w:line="240" w:lineRule="auto"/>
                        <w:jc w:val="center"/>
                        <w:rPr>
                          <w:sz w:val="12"/>
                          <w:szCs w:val="12"/>
                        </w:rPr>
                      </w:pPr>
                      <w:r>
                        <w:rPr>
                          <w:sz w:val="12"/>
                          <w:szCs w:val="12"/>
                        </w:rPr>
                        <w:t>Plusieurs modes</w:t>
                      </w:r>
                    </w:p>
                  </w:txbxContent>
                </v:textbox>
              </v:shape>
            </w:pict>
          </mc:Fallback>
        </mc:AlternateContent>
      </w:r>
      <w:r w:rsidRPr="002C5876">
        <w:rPr>
          <w:noProof/>
          <w:lang w:val="en-GB" w:eastAsia="zh-CN"/>
        </w:rPr>
        <mc:AlternateContent>
          <mc:Choice Requires="wps">
            <w:drawing>
              <wp:anchor distT="0" distB="0" distL="114300" distR="114300" simplePos="0" relativeHeight="251955200" behindDoc="0" locked="0" layoutInCell="1" allowOverlap="1" wp14:anchorId="65F37CFD" wp14:editId="490EEFF8">
                <wp:simplePos x="0" y="0"/>
                <wp:positionH relativeFrom="column">
                  <wp:posOffset>3108119</wp:posOffset>
                </wp:positionH>
                <wp:positionV relativeFrom="paragraph">
                  <wp:posOffset>2023110</wp:posOffset>
                </wp:positionV>
                <wp:extent cx="464820" cy="126365"/>
                <wp:effectExtent l="0" t="0" r="11430" b="6985"/>
                <wp:wrapNone/>
                <wp:docPr id="140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26365"/>
                        </a:xfrm>
                        <a:prstGeom prst="rect">
                          <a:avLst/>
                        </a:prstGeom>
                        <a:noFill/>
                        <a:ln w="9525">
                          <a:noFill/>
                          <a:miter lim="800000"/>
                          <a:headEnd/>
                          <a:tailEnd/>
                        </a:ln>
                      </wps:spPr>
                      <wps:txbx>
                        <w:txbxContent>
                          <w:p w:rsidR="00D53F39" w:rsidRPr="001661D8" w:rsidRDefault="00D53F39" w:rsidP="00E24DB7">
                            <w:pPr>
                              <w:spacing w:line="240" w:lineRule="auto"/>
                              <w:jc w:val="center"/>
                              <w:rPr>
                                <w:sz w:val="12"/>
                                <w:szCs w:val="12"/>
                              </w:rPr>
                            </w:pPr>
                            <w:r>
                              <w:rPr>
                                <w:sz w:val="12"/>
                                <w:szCs w:val="12"/>
                              </w:rPr>
                              <w:t xml:space="preserve">Aucun mode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37CFD" id="_x0000_s1674" type="#_x0000_t202" style="position:absolute;margin-left:244.75pt;margin-top:159.3pt;width:36.6pt;height:9.9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" filled="f" stroked="f">
                <v:textbox inset="0,0,0,0">
                  <w:txbxContent>
                    <w:p w:rsidR="00D53F39" w:rsidRPr="001661D8" w:rsidRDefault="00D53F39" w:rsidP="00E24DB7">
                      <w:pPr>
                        <w:spacing w:line="240" w:lineRule="auto"/>
                        <w:jc w:val="center"/>
                        <w:rPr>
                          <w:sz w:val="12"/>
                          <w:szCs w:val="12"/>
                        </w:rPr>
                      </w:pPr>
                      <w:r>
                        <w:rPr>
                          <w:sz w:val="12"/>
                          <w:szCs w:val="12"/>
                        </w:rPr>
                        <w:t xml:space="preserve">Aucun mode </w:t>
                      </w:r>
                    </w:p>
                  </w:txbxContent>
                </v:textbox>
              </v:shape>
            </w:pict>
          </mc:Fallback>
        </mc:AlternateContent>
      </w:r>
      <w:r w:rsidRPr="002C5876">
        <w:rPr>
          <w:noProof/>
          <w:lang w:val="en-GB" w:eastAsia="zh-CN"/>
        </w:rPr>
        <mc:AlternateContent>
          <mc:Choice Requires="wps">
            <w:drawing>
              <wp:anchor distT="0" distB="0" distL="114300" distR="114300" simplePos="0" relativeHeight="251947008" behindDoc="0" locked="0" layoutInCell="1" allowOverlap="1" wp14:anchorId="5D18D2CF" wp14:editId="1C5C479D">
                <wp:simplePos x="0" y="0"/>
                <wp:positionH relativeFrom="column">
                  <wp:posOffset>657431</wp:posOffset>
                </wp:positionH>
                <wp:positionV relativeFrom="paragraph">
                  <wp:posOffset>2099310</wp:posOffset>
                </wp:positionV>
                <wp:extent cx="464820" cy="126365"/>
                <wp:effectExtent l="0" t="0" r="11430" b="6985"/>
                <wp:wrapNone/>
                <wp:docPr id="140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26365"/>
                        </a:xfrm>
                        <a:prstGeom prst="rect">
                          <a:avLst/>
                        </a:prstGeom>
                        <a:noFill/>
                        <a:ln w="9525">
                          <a:noFill/>
                          <a:miter lim="800000"/>
                          <a:headEnd/>
                          <a:tailEnd/>
                        </a:ln>
                      </wps:spPr>
                      <wps:txbx>
                        <w:txbxContent>
                          <w:p w:rsidR="00D53F39" w:rsidRPr="001661D8" w:rsidRDefault="00D53F39" w:rsidP="00E24DB7">
                            <w:pPr>
                              <w:spacing w:line="240" w:lineRule="auto"/>
                              <w:jc w:val="center"/>
                              <w:rPr>
                                <w:sz w:val="12"/>
                                <w:szCs w:val="12"/>
                              </w:rPr>
                            </w:pPr>
                            <w:r>
                              <w:rPr>
                                <w:sz w:val="12"/>
                                <w:szCs w:val="12"/>
                              </w:rPr>
                              <w:t xml:space="preserve">Un seul mode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8D2CF" id="_x0000_s1675" type="#_x0000_t202" style="position:absolute;margin-left:51.75pt;margin-top:165.3pt;width:36.6pt;height:9.9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" filled="f" stroked="f">
                <v:textbox inset="0,0,0,0">
                  <w:txbxContent>
                    <w:p w:rsidR="00D53F39" w:rsidRPr="001661D8" w:rsidRDefault="00D53F39" w:rsidP="00E24DB7">
                      <w:pPr>
                        <w:spacing w:line="240" w:lineRule="auto"/>
                        <w:jc w:val="center"/>
                        <w:rPr>
                          <w:sz w:val="12"/>
                          <w:szCs w:val="12"/>
                        </w:rPr>
                      </w:pPr>
                      <w:r>
                        <w:rPr>
                          <w:sz w:val="12"/>
                          <w:szCs w:val="12"/>
                        </w:rPr>
                        <w:t xml:space="preserve">Un seul mode </w:t>
                      </w:r>
                    </w:p>
                  </w:txbxContent>
                </v:textbox>
              </v:shape>
            </w:pict>
          </mc:Fallback>
        </mc:AlternateContent>
      </w:r>
      <w:r w:rsidRPr="002C5876">
        <w:rPr>
          <w:noProof/>
          <w:lang w:val="en-GB" w:eastAsia="zh-CN"/>
        </w:rPr>
        <mc:AlternateContent>
          <mc:Choice Requires="wps">
            <w:drawing>
              <wp:anchor distT="0" distB="0" distL="114300" distR="114300" simplePos="0" relativeHeight="251930624" behindDoc="0" locked="0" layoutInCell="1" allowOverlap="1" wp14:anchorId="1B34018B" wp14:editId="352BEB1E">
                <wp:simplePos x="0" y="0"/>
                <wp:positionH relativeFrom="column">
                  <wp:posOffset>2552065</wp:posOffset>
                </wp:positionH>
                <wp:positionV relativeFrom="paragraph">
                  <wp:posOffset>1432131</wp:posOffset>
                </wp:positionV>
                <wp:extent cx="1569720" cy="285115"/>
                <wp:effectExtent l="0" t="0" r="11430" b="635"/>
                <wp:wrapNone/>
                <wp:docPr id="140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285115"/>
                        </a:xfrm>
                        <a:prstGeom prst="rect">
                          <a:avLst/>
                        </a:prstGeom>
                        <a:noFill/>
                        <a:ln w="9525">
                          <a:noFill/>
                          <a:miter lim="800000"/>
                          <a:headEnd/>
                          <a:tailEnd/>
                        </a:ln>
                      </wps:spPr>
                      <wps:txbx>
                        <w:txbxContent>
                          <w:p w:rsidR="00D53F39" w:rsidRPr="00E911A4" w:rsidRDefault="00D53F39" w:rsidP="00E24DB7">
                            <w:pPr>
                              <w:spacing w:line="240" w:lineRule="auto"/>
                              <w:jc w:val="center"/>
                              <w:rPr>
                                <w:sz w:val="12"/>
                                <w:szCs w:val="12"/>
                              </w:rPr>
                            </w:pPr>
                            <w:r w:rsidRPr="00E911A4">
                              <w:rPr>
                                <w:sz w:val="12"/>
                                <w:szCs w:val="12"/>
                              </w:rPr>
                              <w:t xml:space="preserve">Nombre de modes permettant au véhicule </w:t>
                            </w:r>
                            <w:r w:rsidRPr="00E911A4">
                              <w:rPr>
                                <w:sz w:val="12"/>
                                <w:szCs w:val="12"/>
                              </w:rPr>
                              <w:br/>
                              <w:t xml:space="preserve">de suivre le cycle d’essai de référence </w:t>
                            </w:r>
                            <w:r w:rsidRPr="00E911A4">
                              <w:rPr>
                                <w:sz w:val="12"/>
                                <w:szCs w:val="12"/>
                              </w:rPr>
                              <w:br/>
                              <w:t>en condition de maintien 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4018B" id="_x0000_s1676" type="#_x0000_t202" style="position:absolute;margin-left:200.95pt;margin-top:112.75pt;width:123.6pt;height:22.4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" filled="f" stroked="f">
                <v:textbox inset="0,0,0,0">
                  <w:txbxContent>
                    <w:p w:rsidR="00D53F39" w:rsidRPr="00E911A4" w:rsidRDefault="00D53F39" w:rsidP="00E24DB7">
                      <w:pPr>
                        <w:spacing w:line="240" w:lineRule="auto"/>
                        <w:jc w:val="center"/>
                        <w:rPr>
                          <w:sz w:val="12"/>
                          <w:szCs w:val="12"/>
                        </w:rPr>
                      </w:pPr>
                      <w:r w:rsidRPr="00E911A4">
                        <w:rPr>
                          <w:sz w:val="12"/>
                          <w:szCs w:val="12"/>
                        </w:rPr>
                        <w:t xml:space="preserve">Nombre de modes permettant au véhicule </w:t>
                      </w:r>
                      <w:r w:rsidRPr="00E911A4">
                        <w:rPr>
                          <w:sz w:val="12"/>
                          <w:szCs w:val="12"/>
                        </w:rPr>
                        <w:br/>
                        <w:t xml:space="preserve">de suivre le cycle d’essai de référence </w:t>
                      </w:r>
                      <w:r w:rsidRPr="00E911A4">
                        <w:rPr>
                          <w:sz w:val="12"/>
                          <w:szCs w:val="12"/>
                        </w:rPr>
                        <w:br/>
                        <w:t>en condition de maintien de la charge</w:t>
                      </w:r>
                    </w:p>
                  </w:txbxContent>
                </v:textbox>
              </v:shape>
            </w:pict>
          </mc:Fallback>
        </mc:AlternateContent>
      </w:r>
      <w:r w:rsidRPr="002C5876">
        <w:rPr>
          <w:noProof/>
          <w:lang w:val="en-GB" w:eastAsia="zh-CN"/>
        </w:rPr>
        <mc:AlternateContent>
          <mc:Choice Requires="wps">
            <w:drawing>
              <wp:anchor distT="0" distB="0" distL="114300" distR="114300" simplePos="0" relativeHeight="251938816" behindDoc="0" locked="0" layoutInCell="1" allowOverlap="1" wp14:anchorId="70E7AB86" wp14:editId="02AC146B">
                <wp:simplePos x="0" y="0"/>
                <wp:positionH relativeFrom="column">
                  <wp:posOffset>440055</wp:posOffset>
                </wp:positionH>
                <wp:positionV relativeFrom="paragraph">
                  <wp:posOffset>1312116</wp:posOffset>
                </wp:positionV>
                <wp:extent cx="771525" cy="210820"/>
                <wp:effectExtent l="0" t="0" r="9525" b="0"/>
                <wp:wrapNone/>
                <wp:docPr id="140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10820"/>
                        </a:xfrm>
                        <a:prstGeom prst="rect">
                          <a:avLst/>
                        </a:prstGeom>
                        <a:noFill/>
                        <a:ln w="9525">
                          <a:noFill/>
                          <a:miter lim="800000"/>
                          <a:headEnd/>
                          <a:tailEnd/>
                        </a:ln>
                      </wps:spPr>
                      <wps:txbx>
                        <w:txbxContent>
                          <w:p w:rsidR="00D53F39" w:rsidRPr="001661D8" w:rsidRDefault="00D53F39" w:rsidP="00E24DB7">
                            <w:pPr>
                              <w:spacing w:line="240" w:lineRule="auto"/>
                              <w:jc w:val="center"/>
                              <w:rPr>
                                <w:sz w:val="12"/>
                                <w:szCs w:val="12"/>
                              </w:rPr>
                            </w:pPr>
                            <w:r>
                              <w:rPr>
                                <w:sz w:val="12"/>
                                <w:szCs w:val="12"/>
                              </w:rPr>
                              <w:t>Sélectionner le mode prédominant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7AB86" id="_x0000_s1677" type="#_x0000_t202" style="position:absolute;margin-left:34.65pt;margin-top:103.3pt;width:60.75pt;height:16.6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" filled="f" stroked="f">
                <v:textbox inset="0,0,0,0">
                  <w:txbxContent>
                    <w:p w:rsidR="00D53F39" w:rsidRPr="001661D8" w:rsidRDefault="00D53F39" w:rsidP="00E24DB7">
                      <w:pPr>
                        <w:spacing w:line="240" w:lineRule="auto"/>
                        <w:jc w:val="center"/>
                        <w:rPr>
                          <w:sz w:val="12"/>
                          <w:szCs w:val="12"/>
                        </w:rPr>
                      </w:pPr>
                      <w:r>
                        <w:rPr>
                          <w:sz w:val="12"/>
                          <w:szCs w:val="12"/>
                        </w:rPr>
                        <w:t>Sélectionner le mode prédominant</w:t>
                      </w:r>
                    </w:p>
                  </w:txbxContent>
                </v:textbox>
              </v:shape>
            </w:pict>
          </mc:Fallback>
        </mc:AlternateContent>
      </w:r>
      <w:r w:rsidRPr="002C5876">
        <w:rPr>
          <w:noProof/>
          <w:lang w:val="en-GB" w:eastAsia="zh-CN"/>
        </w:rPr>
        <mc:AlternateContent>
          <mc:Choice Requires="wps">
            <w:drawing>
              <wp:anchor distT="0" distB="0" distL="114300" distR="114300" simplePos="0" relativeHeight="251873280" behindDoc="0" locked="0" layoutInCell="1" allowOverlap="1" wp14:anchorId="1E97ED2B" wp14:editId="4572491D">
                <wp:simplePos x="0" y="0"/>
                <wp:positionH relativeFrom="column">
                  <wp:posOffset>2092960</wp:posOffset>
                </wp:positionH>
                <wp:positionV relativeFrom="paragraph">
                  <wp:posOffset>1182576</wp:posOffset>
                </wp:positionV>
                <wp:extent cx="184785" cy="121285"/>
                <wp:effectExtent l="0" t="0" r="5715" b="12065"/>
                <wp:wrapNone/>
                <wp:docPr id="140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D53F39" w:rsidRPr="001661D8" w:rsidRDefault="00D53F39" w:rsidP="00E24DB7">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7ED2B" id="_x0000_s1678" type="#_x0000_t202" style="position:absolute;margin-left:164.8pt;margin-top:93.1pt;width:14.55pt;height:9.5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" filled="f" stroked="f">
                <v:textbox inset="0,0,0,0">
                  <w:txbxContent>
                    <w:p w:rsidR="00D53F39" w:rsidRPr="001661D8" w:rsidRDefault="00D53F39" w:rsidP="00E24DB7">
                      <w:pPr>
                        <w:spacing w:line="240" w:lineRule="auto"/>
                        <w:jc w:val="center"/>
                        <w:rPr>
                          <w:sz w:val="12"/>
                          <w:szCs w:val="12"/>
                        </w:rPr>
                      </w:pPr>
                      <w:r w:rsidRPr="001661D8">
                        <w:rPr>
                          <w:sz w:val="12"/>
                          <w:szCs w:val="12"/>
                        </w:rPr>
                        <w:t>Non</w:t>
                      </w:r>
                    </w:p>
                  </w:txbxContent>
                </v:textbox>
              </v:shape>
            </w:pict>
          </mc:Fallback>
        </mc:AlternateContent>
      </w:r>
      <w:r w:rsidRPr="002C5876">
        <w:rPr>
          <w:noProof/>
          <w:lang w:val="en-GB" w:eastAsia="zh-CN"/>
        </w:rPr>
        <mc:AlternateContent>
          <mc:Choice Requires="wps">
            <w:drawing>
              <wp:anchor distT="0" distB="0" distL="114300" distR="114300" simplePos="0" relativeHeight="251914240" behindDoc="0" locked="0" layoutInCell="1" allowOverlap="1" wp14:anchorId="4C6BBABF" wp14:editId="5BE809BA">
                <wp:simplePos x="0" y="0"/>
                <wp:positionH relativeFrom="column">
                  <wp:posOffset>1021715</wp:posOffset>
                </wp:positionH>
                <wp:positionV relativeFrom="paragraph">
                  <wp:posOffset>810895</wp:posOffset>
                </wp:positionV>
                <wp:extent cx="184785" cy="116205"/>
                <wp:effectExtent l="0" t="0" r="5715" b="0"/>
                <wp:wrapNone/>
                <wp:docPr id="140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16205"/>
                        </a:xfrm>
                        <a:prstGeom prst="rect">
                          <a:avLst/>
                        </a:prstGeom>
                        <a:noFill/>
                        <a:ln w="9525">
                          <a:noFill/>
                          <a:miter lim="800000"/>
                          <a:headEnd/>
                          <a:tailEnd/>
                        </a:ln>
                      </wps:spPr>
                      <wps:txbx>
                        <w:txbxContent>
                          <w:p w:rsidR="00D53F39" w:rsidRPr="001661D8" w:rsidRDefault="00D53F39" w:rsidP="00E24DB7">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BBABF" id="_x0000_s1679" type="#_x0000_t202" style="position:absolute;margin-left:80.45pt;margin-top:63.85pt;width:14.55pt;height:9.1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" filled="f" stroked="f">
                <v:textbox inset="0,0,0,0">
                  <w:txbxContent>
                    <w:p w:rsidR="00D53F39" w:rsidRPr="001661D8" w:rsidRDefault="00D53F39" w:rsidP="00E24DB7">
                      <w:pPr>
                        <w:spacing w:line="240" w:lineRule="auto"/>
                        <w:jc w:val="center"/>
                        <w:rPr>
                          <w:sz w:val="12"/>
                          <w:szCs w:val="12"/>
                        </w:rPr>
                      </w:pPr>
                      <w:r w:rsidRPr="001661D8">
                        <w:rPr>
                          <w:sz w:val="12"/>
                          <w:szCs w:val="12"/>
                        </w:rPr>
                        <w:t>Oui</w:t>
                      </w:r>
                    </w:p>
                  </w:txbxContent>
                </v:textbox>
              </v:shape>
            </w:pict>
          </mc:Fallback>
        </mc:AlternateContent>
      </w:r>
      <w:r w:rsidRPr="002C5876">
        <w:rPr>
          <w:noProof/>
          <w:lang w:val="en-GB" w:eastAsia="zh-CN"/>
        </w:rPr>
        <mc:AlternateContent>
          <mc:Choice Requires="wps">
            <w:drawing>
              <wp:anchor distT="0" distB="0" distL="114300" distR="114300" simplePos="0" relativeHeight="251848704" behindDoc="0" locked="0" layoutInCell="1" allowOverlap="1" wp14:anchorId="6FCA0453" wp14:editId="3414E99A">
                <wp:simplePos x="0" y="0"/>
                <wp:positionH relativeFrom="column">
                  <wp:posOffset>1383559</wp:posOffset>
                </wp:positionH>
                <wp:positionV relativeFrom="paragraph">
                  <wp:posOffset>776649</wp:posOffset>
                </wp:positionV>
                <wp:extent cx="1220961" cy="396416"/>
                <wp:effectExtent l="0" t="0" r="0" b="3810"/>
                <wp:wrapNone/>
                <wp:docPr id="140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961" cy="396416"/>
                        </a:xfrm>
                        <a:prstGeom prst="rect">
                          <a:avLst/>
                        </a:prstGeom>
                        <a:noFill/>
                        <a:ln w="9525">
                          <a:noFill/>
                          <a:miter lim="800000"/>
                          <a:headEnd/>
                          <a:tailEnd/>
                        </a:ln>
                      </wps:spPr>
                      <wps:txbx>
                        <w:txbxContent>
                          <w:p w:rsidR="00D53F39" w:rsidRPr="00E911A4" w:rsidRDefault="00D53F39" w:rsidP="00E24DB7">
                            <w:pPr>
                              <w:spacing w:line="240" w:lineRule="auto"/>
                              <w:jc w:val="center"/>
                              <w:rPr>
                                <w:sz w:val="12"/>
                                <w:szCs w:val="12"/>
                              </w:rPr>
                            </w:pPr>
                            <w:r w:rsidRPr="00E911A4">
                              <w:rPr>
                                <w:sz w:val="12"/>
                                <w:szCs w:val="12"/>
                              </w:rPr>
                              <w:t xml:space="preserve">Le mode prédominant permet-il </w:t>
                            </w:r>
                            <w:r w:rsidRPr="00E911A4">
                              <w:rPr>
                                <w:sz w:val="12"/>
                                <w:szCs w:val="12"/>
                              </w:rPr>
                              <w:br/>
                              <w:t xml:space="preserve">au véhicule de suivre le cycle </w:t>
                            </w:r>
                            <w:r w:rsidRPr="00E911A4">
                              <w:rPr>
                                <w:sz w:val="12"/>
                                <w:szCs w:val="12"/>
                              </w:rPr>
                              <w:br/>
                              <w:t xml:space="preserve">d’essai de référence en condition </w:t>
                            </w:r>
                            <w:r w:rsidRPr="00E911A4">
                              <w:rPr>
                                <w:sz w:val="12"/>
                                <w:szCs w:val="12"/>
                              </w:rPr>
                              <w:br/>
                              <w:t>de maintien de la 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A0453" id="_x0000_s1680" type="#_x0000_t202" style="position:absolute;margin-left:108.95pt;margin-top:61.15pt;width:96.15pt;height:31.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" filled="f" stroked="f">
                <v:textbox inset="0,0,0,0">
                  <w:txbxContent>
                    <w:p w:rsidR="00D53F39" w:rsidRPr="00E911A4" w:rsidRDefault="00D53F39" w:rsidP="00E24DB7">
                      <w:pPr>
                        <w:spacing w:line="240" w:lineRule="auto"/>
                        <w:jc w:val="center"/>
                        <w:rPr>
                          <w:sz w:val="12"/>
                          <w:szCs w:val="12"/>
                        </w:rPr>
                      </w:pPr>
                      <w:r w:rsidRPr="00E911A4">
                        <w:rPr>
                          <w:sz w:val="12"/>
                          <w:szCs w:val="12"/>
                        </w:rPr>
                        <w:t xml:space="preserve">Le mode prédominant permet-il </w:t>
                      </w:r>
                      <w:r w:rsidRPr="00E911A4">
                        <w:rPr>
                          <w:sz w:val="12"/>
                          <w:szCs w:val="12"/>
                        </w:rPr>
                        <w:br/>
                        <w:t xml:space="preserve">au véhicule de suivre le cycle </w:t>
                      </w:r>
                      <w:r w:rsidRPr="00E911A4">
                        <w:rPr>
                          <w:sz w:val="12"/>
                          <w:szCs w:val="12"/>
                        </w:rPr>
                        <w:br/>
                        <w:t xml:space="preserve">d’essai de référence en condition </w:t>
                      </w:r>
                      <w:r w:rsidRPr="00E911A4">
                        <w:rPr>
                          <w:sz w:val="12"/>
                          <w:szCs w:val="12"/>
                        </w:rPr>
                        <w:br/>
                        <w:t>de maintien de la charge ?</w:t>
                      </w:r>
                    </w:p>
                  </w:txbxContent>
                </v:textbox>
              </v:shape>
            </w:pict>
          </mc:Fallback>
        </mc:AlternateContent>
      </w:r>
      <w:r w:rsidRPr="002C5876">
        <w:rPr>
          <w:noProof/>
          <w:lang w:val="en-GB" w:eastAsia="zh-CN"/>
        </w:rPr>
        <mc:AlternateContent>
          <mc:Choice Requires="wps">
            <w:drawing>
              <wp:anchor distT="0" distB="0" distL="114300" distR="114300" simplePos="0" relativeHeight="251856896" behindDoc="0" locked="0" layoutInCell="1" allowOverlap="1" wp14:anchorId="21527FC1" wp14:editId="74FBDB8A">
                <wp:simplePos x="0" y="0"/>
                <wp:positionH relativeFrom="column">
                  <wp:posOffset>2274570</wp:posOffset>
                </wp:positionH>
                <wp:positionV relativeFrom="paragraph">
                  <wp:posOffset>377190</wp:posOffset>
                </wp:positionV>
                <wp:extent cx="184785" cy="121285"/>
                <wp:effectExtent l="0" t="0" r="5715" b="12065"/>
                <wp:wrapNone/>
                <wp:docPr id="140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D53F39" w:rsidRPr="001661D8" w:rsidRDefault="00D53F39" w:rsidP="00E24DB7">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27FC1" id="_x0000_s1681" type="#_x0000_t202" style="position:absolute;margin-left:179.1pt;margin-top:29.7pt;width:14.55pt;height:9.5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" filled="f" stroked="f">
                <v:textbox inset="0,0,0,0">
                  <w:txbxContent>
                    <w:p w:rsidR="00D53F39" w:rsidRPr="001661D8" w:rsidRDefault="00D53F39" w:rsidP="00E24DB7">
                      <w:pPr>
                        <w:spacing w:line="240" w:lineRule="auto"/>
                        <w:jc w:val="center"/>
                        <w:rPr>
                          <w:sz w:val="12"/>
                          <w:szCs w:val="12"/>
                        </w:rPr>
                      </w:pPr>
                      <w:r w:rsidRPr="001661D8">
                        <w:rPr>
                          <w:sz w:val="12"/>
                          <w:szCs w:val="12"/>
                        </w:rPr>
                        <w:t>Oui</w:t>
                      </w:r>
                    </w:p>
                  </w:txbxContent>
                </v:textbox>
              </v:shape>
            </w:pict>
          </mc:Fallback>
        </mc:AlternateContent>
      </w:r>
      <w:r w:rsidRPr="002C5876">
        <w:rPr>
          <w:noProof/>
          <w:lang w:val="en-GB" w:eastAsia="zh-CN"/>
        </w:rPr>
        <mc:AlternateContent>
          <mc:Choice Requires="wps">
            <w:drawing>
              <wp:anchor distT="0" distB="0" distL="114300" distR="114300" simplePos="0" relativeHeight="251865088" behindDoc="0" locked="0" layoutInCell="1" allowOverlap="1" wp14:anchorId="7D222175" wp14:editId="216A8E1A">
                <wp:simplePos x="0" y="0"/>
                <wp:positionH relativeFrom="column">
                  <wp:posOffset>4250055</wp:posOffset>
                </wp:positionH>
                <wp:positionV relativeFrom="paragraph">
                  <wp:posOffset>375920</wp:posOffset>
                </wp:positionV>
                <wp:extent cx="184785" cy="121285"/>
                <wp:effectExtent l="0" t="0" r="5715" b="12065"/>
                <wp:wrapNone/>
                <wp:docPr id="140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D53F39" w:rsidRPr="001661D8" w:rsidRDefault="00D53F39" w:rsidP="00E24DB7">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22175" id="_x0000_s1682" type="#_x0000_t202" style="position:absolute;margin-left:334.65pt;margin-top:29.6pt;width:14.55pt;height:9.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" filled="f" stroked="f">
                <v:textbox inset="0,0,0,0">
                  <w:txbxContent>
                    <w:p w:rsidR="00D53F39" w:rsidRPr="001661D8" w:rsidRDefault="00D53F39" w:rsidP="00E24DB7">
                      <w:pPr>
                        <w:spacing w:line="240" w:lineRule="auto"/>
                        <w:jc w:val="center"/>
                        <w:rPr>
                          <w:sz w:val="12"/>
                          <w:szCs w:val="12"/>
                        </w:rPr>
                      </w:pPr>
                      <w:r w:rsidRPr="001661D8">
                        <w:rPr>
                          <w:sz w:val="12"/>
                          <w:szCs w:val="12"/>
                        </w:rPr>
                        <w:t>Non</w:t>
                      </w:r>
                    </w:p>
                  </w:txbxContent>
                </v:textbox>
              </v:shape>
            </w:pict>
          </mc:Fallback>
        </mc:AlternateContent>
      </w:r>
      <w:r w:rsidRPr="002C5876">
        <w:rPr>
          <w:noProof/>
          <w:lang w:val="en-GB" w:eastAsia="zh-CN"/>
        </w:rPr>
        <w:drawing>
          <wp:inline distT="0" distB="0" distL="0" distR="0" wp14:anchorId="0FDA3405" wp14:editId="410A5C9D">
            <wp:extent cx="6115685" cy="4623435"/>
            <wp:effectExtent l="0" t="0" r="0" b="5715"/>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115685" cy="4623435"/>
                    </a:xfrm>
                    <a:prstGeom prst="rect">
                      <a:avLst/>
                    </a:prstGeom>
                    <a:noFill/>
                    <a:ln>
                      <a:noFill/>
                    </a:ln>
                  </pic:spPr>
                </pic:pic>
              </a:graphicData>
            </a:graphic>
          </wp:inline>
        </w:drawing>
      </w:r>
    </w:p>
    <w:p w:rsidR="00E24DB7" w:rsidRPr="002C5876" w:rsidRDefault="00E24DB7" w:rsidP="00E24DB7">
      <w:pPr>
        <w:pStyle w:val="SingleTxtG"/>
        <w:spacing w:before="240"/>
        <w:ind w:left="2268" w:hanging="1134"/>
        <w:jc w:val="left"/>
      </w:pPr>
      <w:r w:rsidRPr="002C5876">
        <w:lastRenderedPageBreak/>
        <w:t>4.</w:t>
      </w:r>
      <w:r w:rsidRPr="002C5876">
        <w:tab/>
        <w:t>VEP dotés d’un mode sélectionnable</w:t>
      </w:r>
    </w:p>
    <w:p w:rsidR="00E24DB7" w:rsidRPr="002C5876" w:rsidRDefault="00E24DB7" w:rsidP="00E24DB7">
      <w:pPr>
        <w:pStyle w:val="SingleTxtG"/>
        <w:ind w:left="2268"/>
      </w:pPr>
      <w:r w:rsidRPr="002C5876">
        <w:t>S’agissant des véhicules dotés d’un mode sélectionnable, le mode pour l’essai doit être sélectionné dans les conditions ci-après.</w:t>
      </w:r>
    </w:p>
    <w:p w:rsidR="00E24DB7" w:rsidRPr="002C5876" w:rsidRDefault="00E24DB7" w:rsidP="00E24DB7">
      <w:pPr>
        <w:pStyle w:val="SingleTxtG"/>
        <w:ind w:left="2268"/>
      </w:pPr>
      <w:r w:rsidRPr="002C5876">
        <w:t>Le diagramme présenté à la figure A8.App1b/3 illustre la sélection du mode conformément au présent paragraphe.</w:t>
      </w:r>
    </w:p>
    <w:p w:rsidR="00E24DB7" w:rsidRPr="002C5876" w:rsidRDefault="00E24DB7" w:rsidP="00E24DB7">
      <w:pPr>
        <w:pStyle w:val="SingleTxtG"/>
        <w:ind w:left="2268" w:hanging="1134"/>
      </w:pPr>
      <w:r w:rsidRPr="002C5876">
        <w:t>4.1</w:t>
      </w:r>
      <w:r w:rsidRPr="002C5876">
        <w:tab/>
        <w:t>S’il existe un mode prédominant dans lequel le véhicule peut suivre le cycle d’essai de référence, ce mode doit être sélectionné.</w:t>
      </w:r>
    </w:p>
    <w:p w:rsidR="00E24DB7" w:rsidRPr="002C5876" w:rsidRDefault="00E24DB7" w:rsidP="00E24DB7">
      <w:pPr>
        <w:pStyle w:val="SingleTxtG"/>
        <w:ind w:left="2268" w:hanging="1134"/>
      </w:pPr>
      <w:r w:rsidRPr="002C5876">
        <w:t>4.2</w:t>
      </w:r>
      <w:r w:rsidRPr="002C5876">
        <w:tab/>
        <w:t>S’il n’existe pas de mode prédominant, ou s’il existe un mode prédominant mais que ce dernier ne permet pas au véhicule de suivre le cycle d’essai de référence, le mode pour l’essai doit être sélectionné comme suit :</w:t>
      </w:r>
    </w:p>
    <w:p w:rsidR="00E24DB7" w:rsidRPr="002C5876" w:rsidRDefault="00E24DB7" w:rsidP="00E24DB7">
      <w:pPr>
        <w:pStyle w:val="SingleTxtG"/>
        <w:ind w:left="2835" w:hanging="567"/>
      </w:pPr>
      <w:r w:rsidRPr="002C5876">
        <w:t>a)</w:t>
      </w:r>
      <w:r w:rsidRPr="002C5876">
        <w:tab/>
        <w:t>Si un seul mode permet au véhicule de suivre le cycle d’essai de référence, celui-ci doit être sélectionné ;</w:t>
      </w:r>
    </w:p>
    <w:p w:rsidR="00E24DB7" w:rsidRPr="002C5876" w:rsidRDefault="00E24DB7" w:rsidP="00E24DB7">
      <w:pPr>
        <w:pStyle w:val="SingleTxtG"/>
        <w:ind w:left="2835" w:hanging="567"/>
      </w:pPr>
      <w:r w:rsidRPr="002C5876">
        <w:t>b)</w:t>
      </w:r>
      <w:r w:rsidRPr="002C5876">
        <w:tab/>
        <w:t>Si plusieurs modes permettent au véhicule de suivre le cycle d’essai de référence, il convient de sélectionner celui dans lequel la consommation d’énergie électrique est la plus forte.</w:t>
      </w:r>
    </w:p>
    <w:p w:rsidR="00E24DB7" w:rsidRPr="002C5876" w:rsidRDefault="00E24DB7" w:rsidP="00E24DB7">
      <w:pPr>
        <w:pStyle w:val="SingleTxtG"/>
        <w:keepNext/>
        <w:ind w:left="2268" w:hanging="1134"/>
      </w:pPr>
      <w:r w:rsidRPr="002C5876">
        <w:t>4.3</w:t>
      </w:r>
      <w:r w:rsidRPr="002C5876">
        <w:tab/>
      </w:r>
      <w:r w:rsidRPr="002C5876">
        <w:rPr>
          <w:spacing w:val="-4"/>
        </w:rPr>
        <w:t xml:space="preserve">S’il n’existe aucun mode, conformément aux dispositions des paragraphes 4.1 et 4.2 du présent appendice, qui permette au </w:t>
      </w:r>
      <w:r w:rsidRPr="002C5876">
        <w:t>véhicule de suivre le cycle d’essai de référence</w:t>
      </w:r>
      <w:r w:rsidRPr="002C5876">
        <w:rPr>
          <w:spacing w:val="-4"/>
        </w:rPr>
        <w:t>, ce cycle doit être modifié conformément aux dispositions du paragraphe 9 de l’annexe 1</w:t>
      </w:r>
      <w:r w:rsidRPr="002C5876">
        <w:t>. Le cycle d’essai résultant devient alors le cycle d’essai WLTP applicable :</w:t>
      </w:r>
    </w:p>
    <w:p w:rsidR="00E24DB7" w:rsidRPr="002C5876" w:rsidRDefault="00E24DB7" w:rsidP="00E24DB7">
      <w:pPr>
        <w:pStyle w:val="SingleTxtG"/>
        <w:ind w:left="2835" w:hanging="567"/>
      </w:pPr>
      <w:r w:rsidRPr="002C5876">
        <w:t>a)</w:t>
      </w:r>
      <w:r w:rsidRPr="002C5876">
        <w:tab/>
        <w:t>S’il existe un mode prédominant dans lequel le véhicule peut suivre le cycle d’essai de référence modifié, ce mode doit être sélectionné ;</w:t>
      </w:r>
    </w:p>
    <w:p w:rsidR="00E24DB7" w:rsidRPr="002C5876" w:rsidRDefault="00E24DB7" w:rsidP="00E24DB7">
      <w:pPr>
        <w:pStyle w:val="SingleTxtG"/>
        <w:ind w:left="2835" w:hanging="567"/>
      </w:pPr>
      <w:r w:rsidRPr="002C5876">
        <w:t>b)</w:t>
      </w:r>
      <w:r w:rsidRPr="002C5876">
        <w:tab/>
        <w:t xml:space="preserve">S’il n’existe pas de mode prédominant mais d’autres modes dans lesquels le véhicule peut suivre le cycle d’essai de référence modifié, il convient de sélectionner celui dans lequel la consommation d’énergie électrique est la plus forte ; </w:t>
      </w:r>
    </w:p>
    <w:p w:rsidR="00E24DB7" w:rsidRPr="002C5876" w:rsidRDefault="00E24DB7" w:rsidP="00E24DB7">
      <w:pPr>
        <w:pStyle w:val="SingleTxtG"/>
        <w:ind w:left="2835" w:hanging="567"/>
      </w:pPr>
      <w:r w:rsidRPr="002C5876">
        <w:t>c)</w:t>
      </w:r>
      <w:r w:rsidRPr="002C5876">
        <w:tab/>
      </w:r>
      <w:r w:rsidRPr="002C5876">
        <w:rPr>
          <w:spacing w:val="-4"/>
        </w:rPr>
        <w:t xml:space="preserve">S’il n’existe aucun mode permettant au </w:t>
      </w:r>
      <w:r w:rsidRPr="002C5876">
        <w:t>véhicule de suivre le cycle d’essai de référence modifié, le ou les modes pour lesquels la demande d’énergie sur le cycle est la plus forte doivent être présélectionnés, à la suite de quoi on retient le mode dans lequel la consommation d’énergie électrique est la plus forte ;</w:t>
      </w:r>
    </w:p>
    <w:p w:rsidR="00E24DB7" w:rsidRPr="002C5876" w:rsidRDefault="00E24DB7" w:rsidP="00E24DB7">
      <w:pPr>
        <w:pStyle w:val="SingleTxtG"/>
        <w:ind w:left="2835" w:hanging="567"/>
      </w:pPr>
      <w:r w:rsidRPr="002C5876">
        <w:t>d)</w:t>
      </w:r>
      <w:r w:rsidRPr="002C5876">
        <w:tab/>
        <w:t>La Partie contractante peut choisir de remplacer le cycle d’essai de référence par le cycle d’essai WLTP urbain applicable. Dans ce cas, elle doit sélectionner le mode dans lequel la consommation d’énergie électrique est la plus forte.</w:t>
      </w:r>
    </w:p>
    <w:p w:rsidR="006F25C5" w:rsidRPr="006F25C5" w:rsidRDefault="00C12585" w:rsidP="00C12585">
      <w:pPr>
        <w:pStyle w:val="H23G"/>
        <w:ind w:left="0" w:firstLine="0"/>
      </w:pPr>
      <w:r>
        <w:rPr>
          <w:noProof/>
          <w:lang w:val="en-GB" w:eastAsia="zh-CN"/>
        </w:rPr>
        <w:lastRenderedPageBreak/>
        <w:drawing>
          <wp:anchor distT="0" distB="0" distL="114300" distR="114300" simplePos="0" relativeHeight="252307456" behindDoc="1" locked="0" layoutInCell="1" allowOverlap="1" wp14:anchorId="3BCB35A6" wp14:editId="7DD60196">
            <wp:simplePos x="0" y="0"/>
            <wp:positionH relativeFrom="page">
              <wp:posOffset>702860</wp:posOffset>
            </wp:positionH>
            <wp:positionV relativeFrom="page">
              <wp:posOffset>4790363</wp:posOffset>
            </wp:positionV>
            <wp:extent cx="6120765" cy="4544705"/>
            <wp:effectExtent l="0" t="0" r="0" b="8255"/>
            <wp:wrapSquare wrapText="bothSides"/>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6120765" cy="4544705"/>
                    </a:xfrm>
                    <a:prstGeom prst="rect">
                      <a:avLst/>
                    </a:prstGeom>
                  </pic:spPr>
                </pic:pic>
              </a:graphicData>
            </a:graphic>
            <wp14:sizeRelV relativeFrom="margin">
              <wp14:pctHeight>0</wp14:pctHeight>
            </wp14:sizeRelV>
          </wp:anchor>
        </w:drawing>
      </w:r>
      <w:r w:rsidRPr="000773E9">
        <w:rPr>
          <w:b w:val="0"/>
        </w:rPr>
        <w:t xml:space="preserve">Figure A8.App6/3 </w:t>
      </w:r>
      <w:r w:rsidRPr="000773E9">
        <w:rPr>
          <w:b w:val="0"/>
        </w:rPr>
        <w:br/>
      </w:r>
      <w:r w:rsidRPr="000773E9">
        <w:t>Sélection d’un mode de fonctionnement pour un VEP</w:t>
      </w:r>
    </w:p>
    <w:p w:rsidR="00E24DB7" w:rsidRPr="002C5876" w:rsidRDefault="00E24DB7" w:rsidP="00E24DB7"/>
    <w:p w:rsidR="00CC4D89" w:rsidRDefault="00CC4D89" w:rsidP="00E24DB7">
      <w:pPr>
        <w:pStyle w:val="HChG"/>
        <w:sectPr w:rsidR="00CC4D89" w:rsidSect="00CE537D">
          <w:headerReference w:type="even" r:id="rId205"/>
          <w:headerReference w:type="default" r:id="rId206"/>
          <w:endnotePr>
            <w:numFmt w:val="decimal"/>
          </w:endnotePr>
          <w:pgSz w:w="11907" w:h="16840" w:code="9"/>
          <w:pgMar w:top="1418" w:right="1134" w:bottom="1134" w:left="1134" w:header="680" w:footer="567" w:gutter="0"/>
          <w:cols w:space="720"/>
          <w:docGrid w:linePitch="272"/>
        </w:sectPr>
      </w:pPr>
    </w:p>
    <w:p w:rsidR="00E24DB7" w:rsidRPr="002C5876" w:rsidRDefault="00E24DB7" w:rsidP="00E24DB7">
      <w:pPr>
        <w:pStyle w:val="HChG"/>
      </w:pPr>
      <w:r w:rsidRPr="002C5876">
        <w:lastRenderedPageBreak/>
        <w:t>Annexe 8 − Appendice 7</w:t>
      </w:r>
    </w:p>
    <w:p w:rsidR="00E24DB7" w:rsidRPr="002C5876" w:rsidRDefault="00E24DB7" w:rsidP="00E24DB7">
      <w:pPr>
        <w:pStyle w:val="HChG"/>
        <w:rPr>
          <w:lang w:eastAsia="ja-JP"/>
        </w:rPr>
      </w:pPr>
      <w:r w:rsidRPr="002C5876">
        <w:rPr>
          <w:lang w:eastAsia="ja-JP"/>
        </w:rPr>
        <w:tab/>
      </w:r>
      <w:r w:rsidRPr="002C5876">
        <w:rPr>
          <w:lang w:eastAsia="ja-JP"/>
        </w:rPr>
        <w:tab/>
        <w:t xml:space="preserve">Mesure de la consommation de carburant des véhicules </w:t>
      </w:r>
      <w:r w:rsidRPr="002C5876">
        <w:rPr>
          <w:lang w:eastAsia="ja-JP"/>
        </w:rPr>
        <w:br/>
        <w:t>à pile à combustible alimentés en hydrogène comprimé</w:t>
      </w:r>
    </w:p>
    <w:p w:rsidR="00E24DB7" w:rsidRPr="002C5876" w:rsidRDefault="00E24DB7" w:rsidP="00E24DB7">
      <w:pPr>
        <w:pStyle w:val="SingleTxtG"/>
        <w:keepNext/>
        <w:keepLines/>
        <w:ind w:left="2268" w:hanging="1134"/>
        <w:jc w:val="left"/>
        <w:rPr>
          <w:lang w:eastAsia="ja-JP"/>
        </w:rPr>
      </w:pPr>
      <w:r w:rsidRPr="002C5876">
        <w:rPr>
          <w:lang w:eastAsia="ja-JP"/>
        </w:rPr>
        <w:t>1.</w:t>
      </w:r>
      <w:r w:rsidRPr="002C5876">
        <w:rPr>
          <w:lang w:eastAsia="ja-JP"/>
        </w:rPr>
        <w:tab/>
        <w:t>Prescriptions générales</w:t>
      </w:r>
    </w:p>
    <w:p w:rsidR="00E24DB7" w:rsidRPr="002C5876" w:rsidRDefault="00E24DB7" w:rsidP="00E24DB7">
      <w:pPr>
        <w:pStyle w:val="SingleTxtG"/>
        <w:ind w:left="2268"/>
        <w:rPr>
          <w:lang w:eastAsia="ja-JP"/>
        </w:rPr>
      </w:pPr>
      <w:r w:rsidRPr="002C5876">
        <w:rPr>
          <w:lang w:eastAsia="ja-JP"/>
        </w:rPr>
        <w:tab/>
        <w:t>La consommation de carburant doit être mesurée par la méthode gravimétrique, conformément aux dispositions du paragraphe 2 du présent appendice.</w:t>
      </w:r>
    </w:p>
    <w:p w:rsidR="00E24DB7" w:rsidRPr="002C5876" w:rsidRDefault="00E24DB7" w:rsidP="00E24DB7">
      <w:pPr>
        <w:pStyle w:val="SingleTxtG"/>
        <w:ind w:left="2268"/>
        <w:rPr>
          <w:lang w:eastAsia="ja-JP"/>
        </w:rPr>
      </w:pPr>
      <w:r w:rsidRPr="002C5876">
        <w:rPr>
          <w:lang w:eastAsia="ja-JP"/>
        </w:rPr>
        <w:t>À la demande du constructeur et avec l’accord de l’autorité compétente, la consommation de carburant peut être mesurée par la méthode de la pression ou par la méthode du flux. Dans ce cas, le constructeur doit faire la démonstration technique que la méthode employée produit des résultats équivalents. Les méthodes de la pression et du flux sont décrites dans la norme ISO 23828.</w:t>
      </w:r>
    </w:p>
    <w:p w:rsidR="00E24DB7" w:rsidRPr="002C5876" w:rsidRDefault="00E24DB7" w:rsidP="00E24DB7">
      <w:pPr>
        <w:pStyle w:val="SingleTxtG"/>
        <w:keepNext/>
        <w:keepLines/>
        <w:ind w:left="2268" w:hanging="1134"/>
        <w:jc w:val="left"/>
        <w:rPr>
          <w:lang w:eastAsia="ja-JP"/>
        </w:rPr>
      </w:pPr>
      <w:r w:rsidRPr="002C5876">
        <w:rPr>
          <w:lang w:eastAsia="ja-JP"/>
        </w:rPr>
        <w:t>2.</w:t>
      </w:r>
      <w:r w:rsidRPr="002C5876">
        <w:rPr>
          <w:lang w:eastAsia="ja-JP"/>
        </w:rPr>
        <w:tab/>
        <w:t>Méthode gravimétrique</w:t>
      </w:r>
    </w:p>
    <w:p w:rsidR="00E24DB7" w:rsidRPr="002C5876" w:rsidRDefault="00E24DB7" w:rsidP="00E24DB7">
      <w:pPr>
        <w:pStyle w:val="SingleTxtG"/>
        <w:ind w:left="2268"/>
        <w:rPr>
          <w:lang w:eastAsia="ja-JP"/>
        </w:rPr>
      </w:pPr>
      <w:r w:rsidRPr="002C5876">
        <w:rPr>
          <w:lang w:eastAsia="ja-JP"/>
        </w:rPr>
        <w:t>La consommation de carburant doit être calculée en mesurant la masse du réservoir à carburant avant et après l’essai.</w:t>
      </w:r>
    </w:p>
    <w:p w:rsidR="00E24DB7" w:rsidRPr="002C5876" w:rsidRDefault="00E24DB7" w:rsidP="00E24DB7">
      <w:pPr>
        <w:pStyle w:val="SingleTxtG"/>
        <w:keepNext/>
        <w:keepLines/>
        <w:ind w:left="2268" w:hanging="1134"/>
        <w:jc w:val="left"/>
        <w:rPr>
          <w:lang w:eastAsia="ja-JP"/>
        </w:rPr>
      </w:pPr>
      <w:r w:rsidRPr="002C5876">
        <w:rPr>
          <w:lang w:eastAsia="ja-JP"/>
        </w:rPr>
        <w:t>2.1</w:t>
      </w:r>
      <w:r w:rsidRPr="002C5876">
        <w:rPr>
          <w:lang w:eastAsia="ja-JP"/>
        </w:rPr>
        <w:tab/>
      </w:r>
      <w:r w:rsidRPr="002C5876">
        <w:rPr>
          <w:lang w:eastAsia="ja-JP"/>
        </w:rPr>
        <w:tab/>
        <w:t>Équipement et paramétrage</w:t>
      </w:r>
    </w:p>
    <w:p w:rsidR="00E24DB7" w:rsidRPr="002C5876" w:rsidRDefault="00E24DB7" w:rsidP="00E24DB7">
      <w:pPr>
        <w:pStyle w:val="SingleTxtG"/>
        <w:ind w:left="2268" w:hanging="1134"/>
        <w:rPr>
          <w:lang w:eastAsia="ja-JP"/>
        </w:rPr>
      </w:pPr>
      <w:r w:rsidRPr="002C5876">
        <w:rPr>
          <w:lang w:eastAsia="ja-JP"/>
        </w:rPr>
        <w:t>2.1.1</w:t>
      </w:r>
      <w:r w:rsidRPr="002C5876">
        <w:rPr>
          <w:lang w:eastAsia="ja-JP"/>
        </w:rPr>
        <w:tab/>
      </w:r>
      <w:r w:rsidRPr="002C5876">
        <w:rPr>
          <w:lang w:eastAsia="ja-JP"/>
        </w:rPr>
        <w:tab/>
        <w:t>L’équipement est illustré à titre d’exemple à la figure A8.App7/1. On utilise un ou plusieurs réservoirs extérieurs au véhicule pour mesurer la consommation. Le ou les réservoirs extérieurs doivent être reliés au circuit de distribution du carburant entre le réservoir à carburant d’origine et le système de pile à combustible.</w:t>
      </w:r>
    </w:p>
    <w:p w:rsidR="00E24DB7" w:rsidRPr="002C5876" w:rsidRDefault="00E24DB7" w:rsidP="00E24DB7">
      <w:pPr>
        <w:pStyle w:val="SingleTxtG"/>
        <w:ind w:left="2268" w:hanging="1134"/>
        <w:rPr>
          <w:lang w:eastAsia="ja-JP"/>
        </w:rPr>
      </w:pPr>
      <w:r w:rsidRPr="002C5876">
        <w:rPr>
          <w:lang w:eastAsia="ja-JP"/>
        </w:rPr>
        <w:t>2.1.2</w:t>
      </w:r>
      <w:r w:rsidRPr="002C5876">
        <w:rPr>
          <w:lang w:eastAsia="ja-JP"/>
        </w:rPr>
        <w:tab/>
        <w:t>Pour le préconditionnement, on peut utiliser le réservoir d’origine ou une source d’hydrogène extérieure.</w:t>
      </w:r>
    </w:p>
    <w:p w:rsidR="00E24DB7" w:rsidRPr="002C5876" w:rsidRDefault="00E24DB7" w:rsidP="00E24DB7">
      <w:pPr>
        <w:pStyle w:val="SingleTxtG"/>
        <w:ind w:left="2268" w:hanging="1134"/>
        <w:rPr>
          <w:lang w:eastAsia="ja-JP"/>
        </w:rPr>
      </w:pPr>
      <w:r w:rsidRPr="002C5876">
        <w:rPr>
          <w:lang w:eastAsia="ja-JP"/>
        </w:rPr>
        <w:t>2.1.3</w:t>
      </w:r>
      <w:r w:rsidRPr="002C5876">
        <w:rPr>
          <w:lang w:eastAsia="ja-JP"/>
        </w:rPr>
        <w:tab/>
        <w:t>La pression de ravitaillement doit correspondre à la pression recommandée par le constructeur.</w:t>
      </w:r>
    </w:p>
    <w:p w:rsidR="00E24DB7" w:rsidRPr="002C5876" w:rsidRDefault="00E24DB7" w:rsidP="00E24DB7">
      <w:pPr>
        <w:pStyle w:val="SingleTxtG"/>
        <w:ind w:left="2268" w:hanging="1134"/>
        <w:rPr>
          <w:lang w:eastAsia="ja-JP"/>
        </w:rPr>
      </w:pPr>
      <w:r w:rsidRPr="002C5876">
        <w:rPr>
          <w:lang w:eastAsia="ja-JP"/>
        </w:rPr>
        <w:t>2.1.4</w:t>
      </w:r>
      <w:r w:rsidRPr="002C5876">
        <w:rPr>
          <w:lang w:eastAsia="ja-JP"/>
        </w:rPr>
        <w:tab/>
        <w:t>La différence de pression de gaz dans les tuyaux doit être réduite au minimum par permutation de ceux-ci</w:t>
      </w:r>
      <w:r w:rsidRPr="002C5876">
        <w:t>.</w:t>
      </w:r>
    </w:p>
    <w:p w:rsidR="00E24DB7" w:rsidRPr="002C5876" w:rsidRDefault="00E24DB7" w:rsidP="00E24DB7">
      <w:pPr>
        <w:pStyle w:val="SingleTxtG"/>
        <w:ind w:left="2268"/>
        <w:rPr>
          <w:lang w:eastAsia="ja-JP"/>
        </w:rPr>
      </w:pPr>
      <w:r w:rsidRPr="002C5876">
        <w:rPr>
          <w:lang w:eastAsia="ja-JP"/>
        </w:rPr>
        <w:t>Dans le cas où une incidence de la différence de pression est prévue, le constructeur et l’autorité compétente doivent s’entendre sur la nécessité éventuelle d’effectuer un ajustement.</w:t>
      </w:r>
    </w:p>
    <w:p w:rsidR="00E24DB7" w:rsidRPr="002C5876" w:rsidRDefault="00E24DB7" w:rsidP="00E24DB7">
      <w:pPr>
        <w:pStyle w:val="SingleTxtG"/>
        <w:keepNext/>
        <w:keepLines/>
        <w:ind w:left="2268" w:hanging="1134"/>
        <w:jc w:val="left"/>
        <w:rPr>
          <w:lang w:eastAsia="ja-JP"/>
        </w:rPr>
      </w:pPr>
      <w:r w:rsidRPr="002C5876">
        <w:rPr>
          <w:lang w:eastAsia="ja-JP"/>
        </w:rPr>
        <w:t xml:space="preserve">2.1.5 </w:t>
      </w:r>
      <w:r w:rsidRPr="002C5876">
        <w:rPr>
          <w:lang w:eastAsia="ja-JP"/>
        </w:rPr>
        <w:tab/>
      </w:r>
      <w:r w:rsidRPr="002C5876">
        <w:rPr>
          <w:lang w:eastAsia="ja-JP"/>
        </w:rPr>
        <w:tab/>
        <w:t>Balance</w:t>
      </w:r>
    </w:p>
    <w:p w:rsidR="00E24DB7" w:rsidRPr="002C5876" w:rsidRDefault="00E24DB7" w:rsidP="00E24DB7">
      <w:pPr>
        <w:pStyle w:val="SingleTxtG"/>
        <w:ind w:left="2268" w:hanging="1134"/>
        <w:rPr>
          <w:lang w:eastAsia="ja-JP"/>
        </w:rPr>
      </w:pPr>
      <w:r w:rsidRPr="002C5876">
        <w:rPr>
          <w:lang w:eastAsia="ja-JP"/>
        </w:rPr>
        <w:t>2.1.5.1</w:t>
      </w:r>
      <w:r w:rsidRPr="002C5876">
        <w:rPr>
          <w:lang w:eastAsia="ja-JP"/>
        </w:rPr>
        <w:tab/>
        <w:t>La balance utilisée pour la mesure de la consommation de carburant doit être conforme aux prescriptions du tableau A8.App7/1.</w:t>
      </w:r>
    </w:p>
    <w:p w:rsidR="00E24DB7" w:rsidRPr="002C5876" w:rsidRDefault="00E24DB7" w:rsidP="00E24DB7">
      <w:pPr>
        <w:pStyle w:val="H23G"/>
        <w:rPr>
          <w:lang w:eastAsia="ja-JP"/>
        </w:rPr>
      </w:pPr>
      <w:r w:rsidRPr="002C5876">
        <w:rPr>
          <w:b w:val="0"/>
          <w:lang w:eastAsia="ja-JP"/>
        </w:rPr>
        <w:tab/>
      </w:r>
      <w:r w:rsidRPr="002C5876">
        <w:rPr>
          <w:b w:val="0"/>
          <w:lang w:eastAsia="ja-JP"/>
        </w:rPr>
        <w:tab/>
        <w:t>Tableau A8.App7/1</w:t>
      </w:r>
      <w:r w:rsidRPr="002C5876">
        <w:rPr>
          <w:lang w:eastAsia="ja-JP"/>
        </w:rPr>
        <w:br/>
        <w:t>Critères de vérification de la balance de précision</w:t>
      </w:r>
    </w:p>
    <w:tbl>
      <w:tblPr>
        <w:tblW w:w="7376"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2"/>
        <w:gridCol w:w="2555"/>
        <w:gridCol w:w="2549"/>
      </w:tblGrid>
      <w:tr w:rsidR="00E24DB7" w:rsidRPr="002C5876" w:rsidTr="00E24DB7">
        <w:tc>
          <w:tcPr>
            <w:tcW w:w="2272" w:type="dxa"/>
            <w:tcBorders>
              <w:bottom w:val="single" w:sz="12" w:space="0" w:color="auto"/>
            </w:tcBorders>
            <w:vAlign w:val="bottom"/>
          </w:tcPr>
          <w:p w:rsidR="00E24DB7" w:rsidRPr="002C5876" w:rsidRDefault="00E24DB7" w:rsidP="00E24DB7">
            <w:pPr>
              <w:spacing w:before="80" w:after="80" w:line="200" w:lineRule="exact"/>
              <w:ind w:left="57" w:right="57"/>
              <w:rPr>
                <w:i/>
                <w:sz w:val="16"/>
                <w:szCs w:val="16"/>
                <w:lang w:eastAsia="ja-JP"/>
              </w:rPr>
            </w:pPr>
            <w:r w:rsidRPr="002C5876">
              <w:rPr>
                <w:i/>
                <w:sz w:val="16"/>
                <w:szCs w:val="16"/>
                <w:lang w:eastAsia="ja-JP"/>
              </w:rPr>
              <w:t>Appareil de mesure</w:t>
            </w:r>
          </w:p>
        </w:tc>
        <w:tc>
          <w:tcPr>
            <w:tcW w:w="2555" w:type="dxa"/>
            <w:tcBorders>
              <w:bottom w:val="single" w:sz="12" w:space="0" w:color="auto"/>
            </w:tcBorders>
            <w:vAlign w:val="bottom"/>
          </w:tcPr>
          <w:p w:rsidR="00E24DB7" w:rsidRPr="002C5876" w:rsidRDefault="00E24DB7" w:rsidP="00E24DB7">
            <w:pPr>
              <w:spacing w:before="80" w:after="80" w:line="200" w:lineRule="exact"/>
              <w:ind w:left="57" w:right="57"/>
              <w:rPr>
                <w:i/>
                <w:sz w:val="16"/>
                <w:szCs w:val="16"/>
                <w:lang w:eastAsia="ja-JP"/>
              </w:rPr>
            </w:pPr>
            <w:r w:rsidRPr="002C5876">
              <w:rPr>
                <w:i/>
                <w:sz w:val="16"/>
                <w:szCs w:val="16"/>
                <w:lang w:eastAsia="ja-JP"/>
              </w:rPr>
              <w:t>Résolution</w:t>
            </w:r>
          </w:p>
        </w:tc>
        <w:tc>
          <w:tcPr>
            <w:tcW w:w="2549" w:type="dxa"/>
            <w:tcBorders>
              <w:bottom w:val="single" w:sz="12" w:space="0" w:color="auto"/>
            </w:tcBorders>
            <w:vAlign w:val="bottom"/>
          </w:tcPr>
          <w:p w:rsidR="00E24DB7" w:rsidRPr="002C5876" w:rsidRDefault="00E24DB7" w:rsidP="00E24DB7">
            <w:pPr>
              <w:spacing w:before="80" w:after="80" w:line="200" w:lineRule="exact"/>
              <w:ind w:left="57" w:right="57"/>
              <w:rPr>
                <w:i/>
                <w:sz w:val="16"/>
                <w:szCs w:val="16"/>
                <w:lang w:eastAsia="ja-JP"/>
              </w:rPr>
            </w:pPr>
            <w:r w:rsidRPr="002C5876">
              <w:rPr>
                <w:i/>
                <w:sz w:val="16"/>
                <w:szCs w:val="16"/>
                <w:lang w:eastAsia="ja-JP"/>
              </w:rPr>
              <w:t>Précision</w:t>
            </w:r>
          </w:p>
        </w:tc>
      </w:tr>
      <w:tr w:rsidR="00E24DB7" w:rsidRPr="002C5876" w:rsidTr="00E24DB7">
        <w:tc>
          <w:tcPr>
            <w:tcW w:w="2272" w:type="dxa"/>
            <w:tcBorders>
              <w:top w:val="single" w:sz="12" w:space="0" w:color="auto"/>
              <w:bottom w:val="single" w:sz="12" w:space="0" w:color="auto"/>
            </w:tcBorders>
            <w:vAlign w:val="bottom"/>
          </w:tcPr>
          <w:p w:rsidR="00E24DB7" w:rsidRPr="002C5876" w:rsidRDefault="00E24DB7" w:rsidP="00E24DB7">
            <w:pPr>
              <w:spacing w:before="60" w:after="60" w:line="220" w:lineRule="atLeast"/>
              <w:ind w:left="57" w:right="57"/>
              <w:rPr>
                <w:sz w:val="18"/>
                <w:szCs w:val="18"/>
                <w:lang w:eastAsia="ja-JP"/>
              </w:rPr>
            </w:pPr>
            <w:r w:rsidRPr="002C5876">
              <w:rPr>
                <w:sz w:val="18"/>
                <w:szCs w:val="18"/>
                <w:lang w:eastAsia="ja-JP"/>
              </w:rPr>
              <w:t xml:space="preserve">Balance </w:t>
            </w:r>
          </w:p>
        </w:tc>
        <w:tc>
          <w:tcPr>
            <w:tcW w:w="2555" w:type="dxa"/>
            <w:tcBorders>
              <w:top w:val="single" w:sz="12" w:space="0" w:color="auto"/>
              <w:bottom w:val="single" w:sz="12" w:space="0" w:color="auto"/>
            </w:tcBorders>
            <w:vAlign w:val="bottom"/>
          </w:tcPr>
          <w:p w:rsidR="00E24DB7" w:rsidRPr="002C5876" w:rsidRDefault="00E24DB7" w:rsidP="00E24DB7">
            <w:pPr>
              <w:spacing w:before="60" w:after="60" w:line="220" w:lineRule="atLeast"/>
              <w:ind w:left="57" w:right="57"/>
              <w:rPr>
                <w:sz w:val="18"/>
                <w:szCs w:val="18"/>
                <w:lang w:eastAsia="ja-JP"/>
              </w:rPr>
            </w:pPr>
            <w:r w:rsidRPr="002C5876">
              <w:rPr>
                <w:sz w:val="18"/>
                <w:szCs w:val="18"/>
                <w:lang w:eastAsia="ja-JP"/>
              </w:rPr>
              <w:t>0,1 g max.</w:t>
            </w:r>
          </w:p>
        </w:tc>
        <w:tc>
          <w:tcPr>
            <w:tcW w:w="2549" w:type="dxa"/>
            <w:tcBorders>
              <w:top w:val="single" w:sz="12" w:space="0" w:color="auto"/>
              <w:bottom w:val="single" w:sz="12" w:space="0" w:color="auto"/>
            </w:tcBorders>
            <w:vAlign w:val="bottom"/>
          </w:tcPr>
          <w:p w:rsidR="00E24DB7" w:rsidRPr="002C5876" w:rsidRDefault="00E24DB7" w:rsidP="00E24DB7">
            <w:pPr>
              <w:spacing w:before="60" w:after="60" w:line="220" w:lineRule="atLeast"/>
              <w:ind w:left="57" w:right="57"/>
              <w:rPr>
                <w:sz w:val="18"/>
                <w:szCs w:val="18"/>
                <w:lang w:eastAsia="ja-JP"/>
              </w:rPr>
            </w:pPr>
            <w:r w:rsidRPr="002C5876">
              <w:rPr>
                <w:sz w:val="18"/>
                <w:szCs w:val="18"/>
                <w:lang w:eastAsia="ja-JP"/>
              </w:rPr>
              <w:t>±0,02 max.</w:t>
            </w:r>
            <w:r w:rsidRPr="002C5876">
              <w:rPr>
                <w:i/>
                <w:sz w:val="18"/>
                <w:szCs w:val="18"/>
                <w:vertAlign w:val="superscript"/>
                <w:lang w:eastAsia="ja-JP"/>
              </w:rPr>
              <w:t>1</w:t>
            </w:r>
          </w:p>
        </w:tc>
      </w:tr>
    </w:tbl>
    <w:p w:rsidR="00E24DB7" w:rsidRPr="002C5876" w:rsidRDefault="00E24DB7" w:rsidP="00E24DB7">
      <w:pPr>
        <w:spacing w:before="120" w:after="240"/>
        <w:ind w:left="1134" w:right="1134" w:firstLine="170"/>
        <w:rPr>
          <w:sz w:val="18"/>
          <w:szCs w:val="18"/>
          <w:lang w:eastAsia="ja-JP"/>
        </w:rPr>
      </w:pPr>
      <w:r w:rsidRPr="002C5876">
        <w:rPr>
          <w:i/>
          <w:sz w:val="18"/>
          <w:szCs w:val="18"/>
          <w:vertAlign w:val="superscript"/>
          <w:lang w:eastAsia="ja-JP"/>
        </w:rPr>
        <w:t>1</w:t>
      </w:r>
      <w:r w:rsidRPr="002C5876">
        <w:rPr>
          <w:sz w:val="18"/>
          <w:szCs w:val="18"/>
          <w:lang w:eastAsia="ja-JP"/>
        </w:rPr>
        <w:t xml:space="preserve">  Consommation de carburant (niveau de charge du SRSEE = 0) durant l’essai, en masse, écart</w:t>
      </w:r>
      <w:r w:rsidRPr="002C5876">
        <w:rPr>
          <w:sz w:val="18"/>
          <w:szCs w:val="18"/>
          <w:lang w:eastAsia="ja-JP"/>
        </w:rPr>
        <w:noBreakHyphen/>
        <w:t>type.</w:t>
      </w:r>
    </w:p>
    <w:p w:rsidR="00E24DB7" w:rsidRPr="002C5876" w:rsidRDefault="00E24DB7" w:rsidP="00E24DB7">
      <w:pPr>
        <w:pStyle w:val="SingleTxtG"/>
        <w:keepNext/>
        <w:keepLines/>
        <w:ind w:left="2268" w:hanging="1134"/>
        <w:rPr>
          <w:szCs w:val="24"/>
          <w:lang w:eastAsia="ja-JP"/>
        </w:rPr>
      </w:pPr>
      <w:r w:rsidRPr="002C5876">
        <w:lastRenderedPageBreak/>
        <w:t>2.1.5.2</w:t>
      </w:r>
      <w:r w:rsidRPr="002C5876">
        <w:tab/>
        <w:t>La balance doit être étalonnée conformément aux prescriptions</w:t>
      </w:r>
      <w:r w:rsidRPr="002C5876">
        <w:rPr>
          <w:szCs w:val="24"/>
          <w:lang w:eastAsia="ja-JP"/>
        </w:rPr>
        <w:t xml:space="preserve"> du fabricant, ou au moins selon le calendrier indiqué dans le tableau A8.App7/2.</w:t>
      </w:r>
    </w:p>
    <w:p w:rsidR="00E24DB7" w:rsidRPr="002C5876" w:rsidRDefault="00E24DB7" w:rsidP="00E24DB7">
      <w:pPr>
        <w:pStyle w:val="H23G"/>
        <w:rPr>
          <w:lang w:eastAsia="ja-JP"/>
        </w:rPr>
      </w:pPr>
      <w:r w:rsidRPr="002C5876">
        <w:rPr>
          <w:lang w:eastAsia="ja-JP"/>
        </w:rPr>
        <w:tab/>
      </w:r>
      <w:r w:rsidRPr="002C5876">
        <w:rPr>
          <w:b w:val="0"/>
          <w:lang w:eastAsia="ja-JP"/>
        </w:rPr>
        <w:tab/>
        <w:t>Tableau A8.App7/2</w:t>
      </w:r>
      <w:r w:rsidRPr="002C5876">
        <w:rPr>
          <w:lang w:eastAsia="ja-JP"/>
        </w:rPr>
        <w:br/>
        <w:t>Périodicité d’étalonnage de l’appareil</w:t>
      </w:r>
    </w:p>
    <w:tbl>
      <w:tblPr>
        <w:tblW w:w="7366" w:type="dxa"/>
        <w:tblInd w:w="1139" w:type="dxa"/>
        <w:tblBorders>
          <w:top w:val="single" w:sz="4" w:space="0" w:color="auto"/>
          <w:left w:val="single" w:sz="4" w:space="0" w:color="auto"/>
          <w:bottom w:val="single" w:sz="12" w:space="0" w:color="auto"/>
          <w:right w:val="single" w:sz="4" w:space="0" w:color="auto"/>
          <w:insideH w:val="single" w:sz="12" w:space="0" w:color="auto"/>
          <w:insideV w:val="single" w:sz="4" w:space="0" w:color="auto"/>
        </w:tblBorders>
        <w:tblLayout w:type="fixed"/>
        <w:tblCellMar>
          <w:left w:w="0" w:type="dxa"/>
          <w:right w:w="0" w:type="dxa"/>
        </w:tblCellMar>
        <w:tblLook w:val="00A0" w:firstRow="1" w:lastRow="0" w:firstColumn="1" w:lastColumn="0" w:noHBand="0" w:noVBand="0"/>
      </w:tblPr>
      <w:tblGrid>
        <w:gridCol w:w="3344"/>
        <w:gridCol w:w="4022"/>
      </w:tblGrid>
      <w:tr w:rsidR="00E24DB7" w:rsidRPr="002C5876" w:rsidTr="00E24DB7">
        <w:trPr>
          <w:trHeight w:val="284"/>
        </w:trPr>
        <w:tc>
          <w:tcPr>
            <w:tcW w:w="3344" w:type="dxa"/>
            <w:shd w:val="clear" w:color="auto" w:fill="auto"/>
            <w:vAlign w:val="bottom"/>
          </w:tcPr>
          <w:p w:rsidR="00E24DB7" w:rsidRPr="002C5876" w:rsidRDefault="00E24DB7" w:rsidP="00E24DB7">
            <w:pPr>
              <w:pStyle w:val="SingleTxtG"/>
              <w:keepNext/>
              <w:suppressAutoHyphens w:val="0"/>
              <w:spacing w:before="80" w:after="80" w:line="200" w:lineRule="exact"/>
              <w:ind w:left="57" w:right="57"/>
              <w:jc w:val="left"/>
              <w:rPr>
                <w:i/>
                <w:sz w:val="16"/>
                <w:szCs w:val="16"/>
              </w:rPr>
            </w:pPr>
            <w:r w:rsidRPr="002C5876">
              <w:rPr>
                <w:i/>
                <w:sz w:val="16"/>
                <w:szCs w:val="16"/>
              </w:rPr>
              <w:t>Critère de contrôle de l’appareil</w:t>
            </w:r>
          </w:p>
        </w:tc>
        <w:tc>
          <w:tcPr>
            <w:tcW w:w="4022" w:type="dxa"/>
            <w:shd w:val="clear" w:color="auto" w:fill="auto"/>
            <w:vAlign w:val="bottom"/>
          </w:tcPr>
          <w:p w:rsidR="00E24DB7" w:rsidRPr="002C5876" w:rsidRDefault="00E24DB7" w:rsidP="00E24DB7">
            <w:pPr>
              <w:pStyle w:val="SingleTxtG"/>
              <w:keepNext/>
              <w:suppressAutoHyphens w:val="0"/>
              <w:spacing w:before="80" w:after="80" w:line="200" w:lineRule="exact"/>
              <w:ind w:left="57" w:right="57"/>
              <w:jc w:val="left"/>
              <w:rPr>
                <w:i/>
                <w:sz w:val="16"/>
                <w:szCs w:val="16"/>
              </w:rPr>
            </w:pPr>
            <w:r w:rsidRPr="002C5876">
              <w:rPr>
                <w:i/>
                <w:sz w:val="16"/>
                <w:szCs w:val="16"/>
              </w:rPr>
              <w:t>Périodicité</w:t>
            </w:r>
          </w:p>
        </w:tc>
      </w:tr>
      <w:tr w:rsidR="00E24DB7" w:rsidRPr="002C5876" w:rsidTr="00E24DB7">
        <w:tc>
          <w:tcPr>
            <w:tcW w:w="3344" w:type="dxa"/>
            <w:shd w:val="clear" w:color="auto" w:fill="auto"/>
          </w:tcPr>
          <w:p w:rsidR="00E24DB7" w:rsidRPr="002C5876" w:rsidRDefault="00E24DB7" w:rsidP="00E24DB7">
            <w:pPr>
              <w:pStyle w:val="SingleTxtG"/>
              <w:suppressAutoHyphens w:val="0"/>
              <w:spacing w:before="60" w:after="60" w:line="240" w:lineRule="auto"/>
              <w:ind w:left="57" w:right="57"/>
              <w:jc w:val="left"/>
              <w:rPr>
                <w:strike/>
                <w:szCs w:val="24"/>
                <w:lang w:eastAsia="ja-JP"/>
              </w:rPr>
            </w:pPr>
            <w:r w:rsidRPr="002C5876">
              <w:rPr>
                <w:szCs w:val="24"/>
                <w:lang w:eastAsia="ja-JP"/>
              </w:rPr>
              <w:t>Précision</w:t>
            </w:r>
          </w:p>
        </w:tc>
        <w:tc>
          <w:tcPr>
            <w:tcW w:w="4022" w:type="dxa"/>
            <w:shd w:val="clear" w:color="auto" w:fill="auto"/>
          </w:tcPr>
          <w:p w:rsidR="00E24DB7" w:rsidRPr="002C5876" w:rsidRDefault="00E24DB7" w:rsidP="00E24DB7">
            <w:pPr>
              <w:pStyle w:val="SingleTxtG"/>
              <w:suppressAutoHyphens w:val="0"/>
              <w:spacing w:before="60" w:after="60" w:line="240" w:lineRule="auto"/>
              <w:ind w:left="57" w:right="57"/>
              <w:jc w:val="left"/>
              <w:rPr>
                <w:szCs w:val="24"/>
              </w:rPr>
            </w:pPr>
            <w:r w:rsidRPr="002C5876">
              <w:rPr>
                <w:szCs w:val="24"/>
              </w:rPr>
              <w:t>Une fois par an et lors de chaque opération d’entretien majeure</w:t>
            </w:r>
          </w:p>
        </w:tc>
      </w:tr>
    </w:tbl>
    <w:p w:rsidR="00E24DB7" w:rsidRPr="002C5876" w:rsidRDefault="00E24DB7" w:rsidP="00E24DB7">
      <w:pPr>
        <w:pStyle w:val="SingleTxtG"/>
        <w:spacing w:before="240"/>
        <w:ind w:left="2268" w:hanging="1134"/>
        <w:rPr>
          <w:lang w:eastAsia="ja-JP"/>
        </w:rPr>
      </w:pPr>
      <w:r w:rsidRPr="002C5876">
        <w:rPr>
          <w:lang w:eastAsia="ja-JP"/>
        </w:rPr>
        <w:t>2.1.5.3</w:t>
      </w:r>
      <w:r w:rsidRPr="002C5876">
        <w:rPr>
          <w:lang w:eastAsia="ja-JP"/>
        </w:rPr>
        <w:tab/>
        <w:t>Des moyens appropriés pour réduire les effets de la vibration et de la convection, tels qu’un plateau d’amortissement ou un pare-vent, doivent être prévus.</w:t>
      </w:r>
    </w:p>
    <w:p w:rsidR="00E24DB7" w:rsidRPr="002C5876" w:rsidRDefault="00E24DB7" w:rsidP="00E24DB7">
      <w:pPr>
        <w:pStyle w:val="H23G"/>
        <w:rPr>
          <w:lang w:eastAsia="ja-JP"/>
        </w:rPr>
      </w:pPr>
      <w:r w:rsidRPr="002C5876">
        <w:rPr>
          <w:lang w:eastAsia="ja-JP"/>
        </w:rPr>
        <w:tab/>
      </w:r>
      <w:r w:rsidRPr="002C5876">
        <w:rPr>
          <w:b w:val="0"/>
          <w:lang w:eastAsia="ja-JP"/>
        </w:rPr>
        <w:tab/>
        <w:t>Figure A8.App7/1</w:t>
      </w:r>
      <w:r w:rsidRPr="002C5876">
        <w:rPr>
          <w:lang w:eastAsia="ja-JP"/>
        </w:rPr>
        <w:br/>
        <w:t>Exemple d’équipement</w:t>
      </w:r>
    </w:p>
    <w:p w:rsidR="00E24DB7" w:rsidRPr="002C5876" w:rsidRDefault="00E24DB7" w:rsidP="00E24DB7">
      <w:pPr>
        <w:spacing w:after="240" w:line="480" w:lineRule="auto"/>
        <w:ind w:left="2268" w:hanging="1134"/>
        <w:rPr>
          <w:szCs w:val="24"/>
          <w:lang w:eastAsia="ja-JP"/>
        </w:rPr>
      </w:pPr>
      <w:r w:rsidRPr="002C5876">
        <w:rPr>
          <w:noProof/>
          <w:szCs w:val="24"/>
          <w:lang w:val="en-GB" w:eastAsia="zh-CN"/>
        </w:rPr>
        <w:drawing>
          <wp:inline distT="0" distB="0" distL="0" distR="0" wp14:anchorId="72D39297" wp14:editId="39AB8D9D">
            <wp:extent cx="4646643" cy="1692000"/>
            <wp:effectExtent l="0" t="0" r="1905" b="3810"/>
            <wp:docPr id="135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 method figure 20141017.png"/>
                    <pic:cNvPicPr/>
                  </pic:nvPicPr>
                  <pic:blipFill rotWithShape="1">
                    <a:blip r:embed="rId207" cstate="print">
                      <a:extLst>
                        <a:ext uri="{28A0092B-C50C-407E-A947-70E740481C1C}">
                          <a14:useLocalDpi xmlns:a14="http://schemas.microsoft.com/office/drawing/2010/main" val="0"/>
                        </a:ext>
                      </a:extLst>
                    </a:blip>
                    <a:srcRect t="-7369" b="-2719"/>
                    <a:stretch/>
                  </pic:blipFill>
                  <pic:spPr bwMode="auto">
                    <a:xfrm>
                      <a:off x="0" y="0"/>
                      <a:ext cx="4680000" cy="1704146"/>
                    </a:xfrm>
                    <a:prstGeom prst="rect">
                      <a:avLst/>
                    </a:prstGeom>
                    <a:ln>
                      <a:noFill/>
                    </a:ln>
                    <a:extLst>
                      <a:ext uri="{53640926-AAD7-44D8-BBD7-CCE9431645EC}">
                        <a14:shadowObscured xmlns:a14="http://schemas.microsoft.com/office/drawing/2010/main"/>
                      </a:ext>
                    </a:extLst>
                  </pic:spPr>
                </pic:pic>
              </a:graphicData>
            </a:graphic>
          </wp:inline>
        </w:drawing>
      </w:r>
    </w:p>
    <w:p w:rsidR="00E24DB7" w:rsidRPr="002C5876" w:rsidRDefault="00E24DB7" w:rsidP="00E24DB7">
      <w:pPr>
        <w:pStyle w:val="SingleTxtG"/>
        <w:keepNext/>
        <w:ind w:left="2835" w:hanging="567"/>
        <w:rPr>
          <w:lang w:eastAsia="ja-JP"/>
        </w:rPr>
      </w:pPr>
      <w:r w:rsidRPr="002C5876">
        <w:rPr>
          <w:lang w:eastAsia="ja-JP"/>
        </w:rPr>
        <w:t>où :</w:t>
      </w:r>
    </w:p>
    <w:p w:rsidR="00E24DB7" w:rsidRPr="002C5876" w:rsidRDefault="00E24DB7" w:rsidP="00E24DB7">
      <w:pPr>
        <w:pStyle w:val="SingleTxtG"/>
        <w:ind w:left="2835" w:hanging="567"/>
        <w:rPr>
          <w:lang w:eastAsia="ja-JP"/>
        </w:rPr>
      </w:pPr>
      <w:r w:rsidRPr="002C5876">
        <w:rPr>
          <w:lang w:eastAsia="ja-JP"/>
        </w:rPr>
        <w:t>1</w:t>
      </w:r>
      <w:r w:rsidRPr="002C5876">
        <w:rPr>
          <w:lang w:eastAsia="ja-JP"/>
        </w:rPr>
        <w:tab/>
        <w:t>est le dispositif extérieur d’alimentation en carburant aux fins du préconditionnement ;</w:t>
      </w:r>
    </w:p>
    <w:p w:rsidR="00E24DB7" w:rsidRPr="002C5876" w:rsidRDefault="00E24DB7" w:rsidP="00E24DB7">
      <w:pPr>
        <w:pStyle w:val="SingleTxtG"/>
        <w:ind w:left="2835" w:hanging="567"/>
        <w:rPr>
          <w:lang w:eastAsia="ja-JP"/>
        </w:rPr>
      </w:pPr>
      <w:r w:rsidRPr="002C5876">
        <w:rPr>
          <w:lang w:eastAsia="ja-JP"/>
        </w:rPr>
        <w:t>2</w:t>
      </w:r>
      <w:r w:rsidRPr="002C5876">
        <w:rPr>
          <w:lang w:eastAsia="ja-JP"/>
        </w:rPr>
        <w:tab/>
        <w:t>est le régulateur de pression ;</w:t>
      </w:r>
    </w:p>
    <w:p w:rsidR="00E24DB7" w:rsidRPr="002C5876" w:rsidRDefault="00E24DB7" w:rsidP="00E24DB7">
      <w:pPr>
        <w:pStyle w:val="SingleTxtG"/>
        <w:ind w:left="2835" w:hanging="567"/>
        <w:rPr>
          <w:lang w:eastAsia="ja-JP"/>
        </w:rPr>
      </w:pPr>
      <w:r w:rsidRPr="002C5876">
        <w:rPr>
          <w:lang w:eastAsia="ja-JP"/>
        </w:rPr>
        <w:t>3</w:t>
      </w:r>
      <w:r w:rsidRPr="002C5876">
        <w:rPr>
          <w:lang w:eastAsia="ja-JP"/>
        </w:rPr>
        <w:tab/>
        <w:t>est le réservoir d’origine ;</w:t>
      </w:r>
    </w:p>
    <w:p w:rsidR="00E24DB7" w:rsidRPr="002C5876" w:rsidRDefault="00E24DB7" w:rsidP="00E24DB7">
      <w:pPr>
        <w:pStyle w:val="SingleTxtG"/>
        <w:ind w:left="2835" w:hanging="567"/>
        <w:rPr>
          <w:lang w:eastAsia="ja-JP"/>
        </w:rPr>
      </w:pPr>
      <w:r w:rsidRPr="002C5876">
        <w:rPr>
          <w:lang w:eastAsia="ja-JP"/>
        </w:rPr>
        <w:t>4</w:t>
      </w:r>
      <w:r w:rsidRPr="002C5876">
        <w:rPr>
          <w:lang w:eastAsia="ja-JP"/>
        </w:rPr>
        <w:tab/>
        <w:t>est le système de pile à combustible ;</w:t>
      </w:r>
    </w:p>
    <w:p w:rsidR="00E24DB7" w:rsidRPr="002C5876" w:rsidRDefault="00E24DB7" w:rsidP="00E24DB7">
      <w:pPr>
        <w:pStyle w:val="SingleTxtG"/>
        <w:ind w:left="2835" w:hanging="567"/>
        <w:rPr>
          <w:lang w:eastAsia="ja-JP"/>
        </w:rPr>
      </w:pPr>
      <w:r w:rsidRPr="002C5876">
        <w:rPr>
          <w:lang w:eastAsia="ja-JP"/>
        </w:rPr>
        <w:t>5</w:t>
      </w:r>
      <w:r w:rsidRPr="002C5876">
        <w:rPr>
          <w:lang w:eastAsia="ja-JP"/>
        </w:rPr>
        <w:tab/>
        <w:t>est la balance ;</w:t>
      </w:r>
    </w:p>
    <w:p w:rsidR="00E24DB7" w:rsidRPr="002C5876" w:rsidRDefault="00E24DB7" w:rsidP="00E24DB7">
      <w:pPr>
        <w:pStyle w:val="SingleTxtG"/>
        <w:ind w:left="2835" w:hanging="567"/>
        <w:rPr>
          <w:lang w:eastAsia="ja-JP"/>
        </w:rPr>
      </w:pPr>
      <w:r w:rsidRPr="002C5876">
        <w:rPr>
          <w:lang w:eastAsia="ja-JP"/>
        </w:rPr>
        <w:t>6</w:t>
      </w:r>
      <w:r w:rsidRPr="002C5876">
        <w:rPr>
          <w:lang w:eastAsia="ja-JP"/>
        </w:rPr>
        <w:tab/>
        <w:t>est le réservoir(s) extérieur(s) pour la mesure de la consommation de carburant.</w:t>
      </w:r>
    </w:p>
    <w:p w:rsidR="00E24DB7" w:rsidRPr="002C5876" w:rsidRDefault="00E24DB7" w:rsidP="00E24DB7">
      <w:pPr>
        <w:pStyle w:val="SingleTxtG"/>
        <w:keepNext/>
        <w:keepLines/>
        <w:ind w:left="2268" w:hanging="1134"/>
        <w:jc w:val="left"/>
        <w:rPr>
          <w:lang w:eastAsia="ja-JP"/>
        </w:rPr>
      </w:pPr>
      <w:r w:rsidRPr="002C5876">
        <w:rPr>
          <w:lang w:eastAsia="ja-JP"/>
        </w:rPr>
        <w:t>2.2</w:t>
      </w:r>
      <w:r w:rsidRPr="002C5876">
        <w:rPr>
          <w:lang w:eastAsia="ja-JP"/>
        </w:rPr>
        <w:tab/>
        <w:t>Procédure d’essai</w:t>
      </w:r>
    </w:p>
    <w:p w:rsidR="00E24DB7" w:rsidRPr="002C5876" w:rsidRDefault="00E24DB7" w:rsidP="00E24DB7">
      <w:pPr>
        <w:pStyle w:val="SingleTxtG"/>
        <w:keepNext/>
        <w:keepLines/>
        <w:ind w:left="2268" w:hanging="1134"/>
        <w:rPr>
          <w:lang w:eastAsia="ja-JP"/>
        </w:rPr>
      </w:pPr>
      <w:r w:rsidRPr="002C5876">
        <w:rPr>
          <w:lang w:eastAsia="ja-JP"/>
        </w:rPr>
        <w:t>2.2.1</w:t>
      </w:r>
      <w:r w:rsidRPr="002C5876">
        <w:rPr>
          <w:lang w:eastAsia="ja-JP"/>
        </w:rPr>
        <w:tab/>
        <w:t>Mesurer la masse du réservoir extérieur avant l’essai.</w:t>
      </w:r>
    </w:p>
    <w:p w:rsidR="00E24DB7" w:rsidRPr="002C5876" w:rsidRDefault="00E24DB7" w:rsidP="00E24DB7">
      <w:pPr>
        <w:pStyle w:val="SingleTxtG"/>
        <w:ind w:left="2268" w:hanging="1134"/>
        <w:rPr>
          <w:lang w:eastAsia="ja-JP"/>
        </w:rPr>
      </w:pPr>
      <w:r w:rsidRPr="002C5876">
        <w:rPr>
          <w:lang w:eastAsia="ja-JP"/>
        </w:rPr>
        <w:t>2.2.2</w:t>
      </w:r>
      <w:r w:rsidRPr="002C5876">
        <w:rPr>
          <w:lang w:eastAsia="ja-JP"/>
        </w:rPr>
        <w:tab/>
        <w:t xml:space="preserve">Relier le réservoir extérieur à la tuyauterie d’alimentation en carburant comme indiqué à la figure A8.App7/1. </w:t>
      </w:r>
    </w:p>
    <w:p w:rsidR="00E24DB7" w:rsidRPr="002C5876" w:rsidRDefault="00E24DB7" w:rsidP="00E24DB7">
      <w:pPr>
        <w:pStyle w:val="SingleTxtG"/>
        <w:ind w:left="2268" w:hanging="1134"/>
        <w:rPr>
          <w:lang w:eastAsia="ja-JP"/>
        </w:rPr>
      </w:pPr>
      <w:r w:rsidRPr="002C5876">
        <w:rPr>
          <w:lang w:eastAsia="ja-JP"/>
        </w:rPr>
        <w:t>2.2.3</w:t>
      </w:r>
      <w:r w:rsidRPr="002C5876">
        <w:rPr>
          <w:lang w:eastAsia="ja-JP"/>
        </w:rPr>
        <w:tab/>
        <w:t>Exécuter l’essai par prélèvement de carburant depuis le réservoir extérieur.</w:t>
      </w:r>
    </w:p>
    <w:p w:rsidR="00E24DB7" w:rsidRPr="002C5876" w:rsidRDefault="00E24DB7" w:rsidP="00E24DB7">
      <w:pPr>
        <w:pStyle w:val="SingleTxtG"/>
        <w:ind w:left="2268" w:hanging="1134"/>
        <w:rPr>
          <w:lang w:eastAsia="ja-JP"/>
        </w:rPr>
      </w:pPr>
      <w:r w:rsidRPr="002C5876">
        <w:rPr>
          <w:lang w:eastAsia="ja-JP"/>
        </w:rPr>
        <w:t>2.2.4</w:t>
      </w:r>
      <w:r w:rsidRPr="002C5876">
        <w:rPr>
          <w:lang w:eastAsia="ja-JP"/>
        </w:rPr>
        <w:tab/>
        <w:t>Déconnecter le réservoir extérieur du circuit du carburant.</w:t>
      </w:r>
    </w:p>
    <w:p w:rsidR="00E24DB7" w:rsidRPr="002C5876" w:rsidRDefault="00E24DB7" w:rsidP="00E24DB7">
      <w:pPr>
        <w:pStyle w:val="SingleTxtG"/>
        <w:ind w:left="2268" w:hanging="1134"/>
        <w:rPr>
          <w:lang w:eastAsia="ja-JP"/>
        </w:rPr>
      </w:pPr>
      <w:r w:rsidRPr="002C5876">
        <w:rPr>
          <w:lang w:eastAsia="ja-JP"/>
        </w:rPr>
        <w:t>2.2.5</w:t>
      </w:r>
      <w:r w:rsidRPr="002C5876">
        <w:rPr>
          <w:lang w:eastAsia="ja-JP"/>
        </w:rPr>
        <w:tab/>
        <w:t>Mesurer la masse du réservoir extérieur après l’essai.</w:t>
      </w:r>
    </w:p>
    <w:p w:rsidR="00E24DB7" w:rsidRPr="002C5876" w:rsidRDefault="00E24DB7" w:rsidP="00E24DB7">
      <w:pPr>
        <w:pStyle w:val="SingleTxtG"/>
        <w:keepNext/>
        <w:ind w:left="2268" w:hanging="1134"/>
        <w:rPr>
          <w:lang w:eastAsia="ja-JP"/>
        </w:rPr>
      </w:pPr>
      <w:r w:rsidRPr="002C5876">
        <w:rPr>
          <w:lang w:eastAsia="ja-JP"/>
        </w:rPr>
        <w:lastRenderedPageBreak/>
        <w:t>2.2.6</w:t>
      </w:r>
      <w:r w:rsidRPr="002C5876">
        <w:rPr>
          <w:lang w:eastAsia="ja-JP"/>
        </w:rPr>
        <w:tab/>
        <w:t xml:space="preserve">La consommation de carburant non compensée en mode maintien de la charge, </w:t>
      </w:r>
      <m:oMath>
        <m:sSub>
          <m:sSubPr>
            <m:ctrlPr>
              <w:rPr>
                <w:rFonts w:ascii="Cambria Math" w:hAnsi="Cambria Math"/>
              </w:rPr>
            </m:ctrlPr>
          </m:sSubPr>
          <m:e>
            <m:r>
              <m:rPr>
                <m:sty m:val="p"/>
              </m:rPr>
              <w:rPr>
                <w:rFonts w:ascii="Cambria Math" w:hAnsi="Cambria Math"/>
              </w:rPr>
              <m:t>FC</m:t>
            </m:r>
          </m:e>
          <m:sub>
            <m:r>
              <m:rPr>
                <m:sty m:val="p"/>
              </m:rPr>
              <w:rPr>
                <w:rFonts w:ascii="Cambria Math" w:hAnsi="Cambria Math"/>
              </w:rPr>
              <m:t>CS,nb</m:t>
            </m:r>
          </m:sub>
        </m:sSub>
      </m:oMath>
      <w:r w:rsidRPr="002C5876">
        <w:rPr>
          <w:lang w:eastAsia="ja-JP"/>
        </w:rPr>
        <w:t>, est calculée au moyen de l’équation suivante, sur la base de la masse du réservoir mesurée avant et après l’essai :</w:t>
      </w:r>
    </w:p>
    <w:p w:rsidR="00E24DB7" w:rsidRPr="002C5876" w:rsidRDefault="00731CA6" w:rsidP="00E24DB7">
      <w:pPr>
        <w:pStyle w:val="SingleTxtG"/>
        <w:keepNext/>
        <w:ind w:left="2268" w:hanging="1134"/>
        <w:rPr>
          <w:lang w:eastAsia="ja-JP"/>
        </w:rPr>
      </w:pPr>
      <m:oMathPara>
        <m:oMath>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CS,nb</m:t>
              </m:r>
            </m:sub>
          </m:sSub>
          <m:r>
            <m:rPr>
              <m:sty m:val="p"/>
            </m:rPr>
            <w:rPr>
              <w:rFonts w:ascii="Cambria Math" w:eastAsiaTheme="majorEastAsia" w:hAnsi="Cambria Math" w:cstheme="majorBidi"/>
              <w:lang w:eastAsia="ja-JP"/>
            </w:rPr>
            <m:t>=</m:t>
          </m:r>
          <m:f>
            <m:fPr>
              <m:ctrlPr>
                <w:rPr>
                  <w:rFonts w:ascii="Cambria Math" w:eastAsiaTheme="majorEastAsia" w:hAnsi="Cambria Math" w:cstheme="majorBidi"/>
                  <w:lang w:eastAsia="ja-JP"/>
                </w:rPr>
              </m:ctrlPr>
            </m:fPr>
            <m:num>
              <m:sSub>
                <m:sSubPr>
                  <m:ctrlPr>
                    <w:rPr>
                      <w:rFonts w:ascii="Cambria Math" w:eastAsiaTheme="majorEastAsia" w:hAnsi="Cambria Math" w:cstheme="majorBidi"/>
                      <w:lang w:eastAsia="ja-JP"/>
                    </w:rPr>
                  </m:ctrlPr>
                </m:sSubPr>
                <m:e>
                  <m:r>
                    <m:rPr>
                      <m:sty m:val="p"/>
                    </m:rPr>
                    <w:rPr>
                      <w:rFonts w:ascii="Cambria Math" w:eastAsiaTheme="majorEastAsia" w:hAnsi="Cambria Math" w:cstheme="majorBidi"/>
                      <w:lang w:eastAsia="ja-JP"/>
                    </w:rPr>
                    <m:t>g</m:t>
                  </m:r>
                </m:e>
                <m:sub>
                  <m:r>
                    <m:rPr>
                      <m:sty m:val="p"/>
                    </m:rPr>
                    <w:rPr>
                      <w:rFonts w:ascii="Cambria Math" w:eastAsiaTheme="majorEastAsia" w:hAnsi="Cambria Math" w:cstheme="majorBidi"/>
                      <w:lang w:eastAsia="ja-JP"/>
                    </w:rPr>
                    <m:t>1</m:t>
                  </m:r>
                </m:sub>
              </m:sSub>
              <m:r>
                <m:rPr>
                  <m:sty m:val="p"/>
                </m:rPr>
                <w:rPr>
                  <w:rFonts w:ascii="Cambria Math" w:eastAsiaTheme="majorEastAsia" w:hAnsi="Cambria Math" w:cstheme="majorBidi"/>
                  <w:lang w:eastAsia="ja-JP"/>
                </w:rPr>
                <m:t>-</m:t>
              </m:r>
              <m:sSub>
                <m:sSubPr>
                  <m:ctrlPr>
                    <w:rPr>
                      <w:rFonts w:ascii="Cambria Math" w:eastAsiaTheme="majorEastAsia" w:hAnsi="Cambria Math" w:cstheme="majorBidi"/>
                      <w:lang w:eastAsia="ja-JP"/>
                    </w:rPr>
                  </m:ctrlPr>
                </m:sSubPr>
                <m:e>
                  <m:r>
                    <m:rPr>
                      <m:sty m:val="p"/>
                    </m:rPr>
                    <w:rPr>
                      <w:rFonts w:ascii="Cambria Math" w:eastAsiaTheme="majorEastAsia" w:hAnsi="Cambria Math" w:cstheme="majorBidi"/>
                      <w:lang w:eastAsia="ja-JP"/>
                    </w:rPr>
                    <m:t>g</m:t>
                  </m:r>
                </m:e>
                <m:sub>
                  <m:r>
                    <m:rPr>
                      <m:sty m:val="p"/>
                    </m:rPr>
                    <w:rPr>
                      <w:rFonts w:ascii="Cambria Math" w:eastAsiaTheme="majorEastAsia" w:hAnsi="Cambria Math" w:cstheme="majorBidi"/>
                      <w:lang w:eastAsia="ja-JP"/>
                    </w:rPr>
                    <m:t>2</m:t>
                  </m:r>
                </m:sub>
              </m:sSub>
            </m:num>
            <m:den>
              <m:r>
                <m:rPr>
                  <m:sty m:val="p"/>
                </m:rPr>
                <w:rPr>
                  <w:rFonts w:ascii="Cambria Math" w:eastAsiaTheme="majorEastAsia" w:hAnsi="Cambria Math" w:cstheme="majorBidi"/>
                  <w:lang w:eastAsia="ja-JP"/>
                </w:rPr>
                <m:t>d</m:t>
              </m:r>
            </m:den>
          </m:f>
          <m:r>
            <m:rPr>
              <m:sty m:val="p"/>
            </m:rPr>
            <w:rPr>
              <w:rFonts w:ascii="Cambria Math" w:eastAsiaTheme="majorEastAsia" w:hAnsi="Cambria Math" w:cstheme="majorBidi"/>
              <w:lang w:eastAsia="ja-JP"/>
            </w:rPr>
            <m:t>×100</m:t>
          </m:r>
        </m:oMath>
      </m:oMathPara>
    </w:p>
    <w:p w:rsidR="00E24DB7" w:rsidRPr="002C5876" w:rsidRDefault="00E24DB7" w:rsidP="00E24DB7">
      <w:pPr>
        <w:pStyle w:val="SingleTxtG"/>
        <w:keepNext/>
        <w:ind w:left="2268"/>
        <w:rPr>
          <w:lang w:eastAsia="ja-JP"/>
        </w:rPr>
      </w:pPr>
      <w:r w:rsidRPr="002C5876">
        <w:rPr>
          <w:lang w:eastAsia="ja-JP"/>
        </w:rPr>
        <w:t>où :</w:t>
      </w:r>
    </w:p>
    <w:p w:rsidR="00E24DB7" w:rsidRPr="002C5876" w:rsidRDefault="00E24DB7" w:rsidP="00E24DB7">
      <w:pPr>
        <w:pStyle w:val="SingleTxtG"/>
        <w:ind w:left="3402" w:hanging="1134"/>
        <w:rPr>
          <w:lang w:eastAsia="ja-JP"/>
        </w:rPr>
      </w:pPr>
      <w:r w:rsidRPr="002C5876">
        <w:rPr>
          <w:rFonts w:eastAsiaTheme="minorEastAsia"/>
        </w:rPr>
        <w:t>FC</w:t>
      </w:r>
      <w:r w:rsidRPr="002C5876">
        <w:rPr>
          <w:rFonts w:eastAsiaTheme="minorEastAsia"/>
          <w:vertAlign w:val="subscript"/>
        </w:rPr>
        <w:t>CS,nb</w:t>
      </w:r>
      <w:r w:rsidRPr="002C5876">
        <w:tab/>
        <w:t xml:space="preserve">est la </w:t>
      </w:r>
      <w:r w:rsidRPr="002C5876">
        <w:rPr>
          <w:lang w:eastAsia="ja-JP"/>
        </w:rPr>
        <w:t xml:space="preserve">consommation de carburant non compensée en mode maintien de la charge mesurée au cours de l’essai, en kg/100 km ; </w:t>
      </w:r>
    </w:p>
    <w:p w:rsidR="00E24DB7" w:rsidRPr="002C5876" w:rsidRDefault="00E24DB7" w:rsidP="00E24DB7">
      <w:pPr>
        <w:pStyle w:val="SingleTxtG"/>
        <w:ind w:left="3402" w:hanging="1134"/>
        <w:rPr>
          <w:lang w:eastAsia="ja-JP"/>
        </w:rPr>
      </w:pPr>
      <w:r w:rsidRPr="002C5876">
        <w:rPr>
          <w:lang w:eastAsia="ja-JP"/>
        </w:rPr>
        <w:t>g</w:t>
      </w:r>
      <w:r w:rsidRPr="002C5876">
        <w:rPr>
          <w:vertAlign w:val="subscript"/>
          <w:lang w:eastAsia="ja-JP"/>
        </w:rPr>
        <w:t>1</w:t>
      </w:r>
      <w:r w:rsidRPr="002C5876">
        <w:rPr>
          <w:lang w:eastAsia="ja-JP"/>
        </w:rPr>
        <w:tab/>
        <w:t>est la masse du réservoir au début de l’essai, en kg ;</w:t>
      </w:r>
    </w:p>
    <w:p w:rsidR="00E24DB7" w:rsidRPr="002C5876" w:rsidRDefault="00E24DB7" w:rsidP="00E24DB7">
      <w:pPr>
        <w:pStyle w:val="SingleTxtG"/>
        <w:ind w:left="3402" w:hanging="1134"/>
        <w:rPr>
          <w:lang w:eastAsia="ja-JP"/>
        </w:rPr>
      </w:pPr>
      <w:r w:rsidRPr="002C5876">
        <w:rPr>
          <w:lang w:eastAsia="ja-JP"/>
        </w:rPr>
        <w:t>g</w:t>
      </w:r>
      <w:r w:rsidRPr="002C5876">
        <w:rPr>
          <w:vertAlign w:val="subscript"/>
          <w:lang w:eastAsia="ja-JP"/>
        </w:rPr>
        <w:t>2</w:t>
      </w:r>
      <w:r w:rsidRPr="002C5876">
        <w:rPr>
          <w:lang w:eastAsia="ja-JP"/>
        </w:rPr>
        <w:tab/>
        <w:t>est la masse du réservoir à la fin de l’essai, en kg ;</w:t>
      </w:r>
    </w:p>
    <w:p w:rsidR="00E24DB7" w:rsidRPr="002C5876" w:rsidRDefault="00E24DB7" w:rsidP="00E24DB7">
      <w:pPr>
        <w:pStyle w:val="SingleTxtG"/>
        <w:ind w:left="3402" w:hanging="1134"/>
        <w:rPr>
          <w:lang w:eastAsia="ja-JP"/>
        </w:rPr>
      </w:pPr>
      <w:r w:rsidRPr="002C5876">
        <w:rPr>
          <w:lang w:eastAsia="ja-JP"/>
        </w:rPr>
        <w:t>d</w:t>
      </w:r>
      <w:r w:rsidRPr="002C5876">
        <w:rPr>
          <w:lang w:eastAsia="ja-JP"/>
        </w:rPr>
        <w:tab/>
        <w:t>est la distance parcourue durant l’essai, en km.</w:t>
      </w:r>
    </w:p>
    <w:p w:rsidR="00E24DB7" w:rsidRPr="002C5876" w:rsidRDefault="00E24DB7" w:rsidP="00E24DB7">
      <w:pPr>
        <w:pStyle w:val="SingleTxtG"/>
        <w:ind w:left="2268" w:hanging="1134"/>
        <w:rPr>
          <w:lang w:eastAsia="ja-JP"/>
        </w:rPr>
      </w:pPr>
      <w:r w:rsidRPr="002C5876">
        <w:rPr>
          <w:lang w:eastAsia="ja-JP"/>
        </w:rPr>
        <w:t>2.2.7</w:t>
      </w:r>
      <w:r w:rsidRPr="002C5876">
        <w:rPr>
          <w:lang w:eastAsia="ja-JP"/>
        </w:rPr>
        <w:tab/>
        <w:t xml:space="preserve">Si une Partie contractante le demande, la consommation de carburant pour chaque phase, </w:t>
      </w:r>
      <w:r w:rsidRPr="002C5876">
        <w:rPr>
          <w:rFonts w:eastAsiaTheme="minorEastAsia"/>
        </w:rPr>
        <w:t>FC</w:t>
      </w:r>
      <w:r w:rsidRPr="002C5876">
        <w:rPr>
          <w:rFonts w:eastAsiaTheme="minorEastAsia"/>
          <w:vertAlign w:val="subscript"/>
        </w:rPr>
        <w:t>CS,nb,p</w:t>
      </w:r>
      <w:r w:rsidRPr="002C5876">
        <w:t xml:space="preserve">, telle que définie aux paragraphes 4.2.1.2.4 et 4.2.1.2.5 de la présente annexe, </w:t>
      </w:r>
      <w:r w:rsidRPr="002C5876">
        <w:rPr>
          <w:lang w:eastAsia="ja-JP"/>
        </w:rPr>
        <w:t xml:space="preserve">doit être calculée séparément </w:t>
      </w:r>
      <w:r w:rsidRPr="002C5876">
        <w:t>conformément aux dispositions du paragraphe </w:t>
      </w:r>
      <w:r w:rsidRPr="002C5876">
        <w:rPr>
          <w:lang w:eastAsia="ja-JP"/>
        </w:rPr>
        <w:t>2.2 du présent appendice. La procédure d’essai doit alors être exécutée avec des réservoirs extérieurs et des branchements au circuit de carburant mis en place séparément pour chaque phase.</w:t>
      </w:r>
    </w:p>
    <w:p w:rsidR="00DD0907" w:rsidRDefault="00DD0907" w:rsidP="00E24DB7">
      <w:pPr>
        <w:pStyle w:val="HChG"/>
        <w:sectPr w:rsidR="00DD0907" w:rsidSect="00CE537D">
          <w:headerReference w:type="even" r:id="rId208"/>
          <w:headerReference w:type="default" r:id="rId209"/>
          <w:endnotePr>
            <w:numFmt w:val="decimal"/>
          </w:endnotePr>
          <w:pgSz w:w="11907" w:h="16840" w:code="9"/>
          <w:pgMar w:top="1418" w:right="1134" w:bottom="1134" w:left="1134" w:header="680" w:footer="567" w:gutter="0"/>
          <w:cols w:space="720"/>
          <w:docGrid w:linePitch="272"/>
        </w:sectPr>
      </w:pPr>
      <w:bookmarkStart w:id="219" w:name="Annex_9_System_Equivalency"/>
      <w:bookmarkStart w:id="220" w:name="_Toc284586978"/>
      <w:bookmarkStart w:id="221" w:name="_Toc284587194"/>
      <w:bookmarkStart w:id="222" w:name="_Toc284587445"/>
      <w:bookmarkStart w:id="223" w:name="_Toc289686216"/>
      <w:bookmarkEnd w:id="219"/>
    </w:p>
    <w:p w:rsidR="00E24DB7" w:rsidRPr="002C5876" w:rsidRDefault="00E24DB7" w:rsidP="00E24DB7">
      <w:pPr>
        <w:pStyle w:val="HChG"/>
      </w:pPr>
      <w:r w:rsidRPr="002C5876">
        <w:lastRenderedPageBreak/>
        <w:t>Annexe </w:t>
      </w:r>
      <w:bookmarkEnd w:id="220"/>
      <w:bookmarkEnd w:id="221"/>
      <w:bookmarkEnd w:id="222"/>
      <w:bookmarkEnd w:id="223"/>
      <w:r w:rsidRPr="002C5876">
        <w:t>9</w:t>
      </w:r>
    </w:p>
    <w:p w:rsidR="00E24DB7" w:rsidRPr="002C5876" w:rsidRDefault="00E24DB7" w:rsidP="00E24DB7">
      <w:pPr>
        <w:pStyle w:val="HChG"/>
      </w:pPr>
      <w:r w:rsidRPr="002C5876">
        <w:tab/>
      </w:r>
      <w:r w:rsidRPr="002C5876">
        <w:tab/>
        <w:t>Détermination de l’équivalence d’une méthode</w:t>
      </w:r>
    </w:p>
    <w:p w:rsidR="00E24DB7" w:rsidRPr="002C5876" w:rsidRDefault="00E24DB7" w:rsidP="00E24DB7">
      <w:pPr>
        <w:pStyle w:val="SingleTxtG"/>
        <w:keepNext/>
        <w:ind w:left="2268" w:hanging="1134"/>
        <w:jc w:val="left"/>
      </w:pPr>
      <w:r w:rsidRPr="002C5876">
        <w:t>1.</w:t>
      </w:r>
      <w:r w:rsidRPr="002C5876">
        <w:tab/>
        <w:t>Prescription générale</w:t>
      </w:r>
    </w:p>
    <w:p w:rsidR="00E24DB7" w:rsidRPr="002C5876" w:rsidRDefault="00E24DB7" w:rsidP="00E24DB7">
      <w:pPr>
        <w:pStyle w:val="SingleTxtG"/>
        <w:ind w:left="2268"/>
      </w:pPr>
      <w:r w:rsidRPr="002C5876">
        <w:tab/>
        <w:t>À la demande du constructeur, l’autorité compétente peut approuver d’autres méthodes de mesure si elles produisent des résultats équivalents conformément aux dispositions du paragraphe 1.1 de la présente annexe. L’équivalence de l’autre méthode proposée doit être démontrée à l’autorité compétente.</w:t>
      </w:r>
    </w:p>
    <w:p w:rsidR="00E24DB7" w:rsidRPr="002C5876" w:rsidRDefault="00E24DB7" w:rsidP="00E24DB7">
      <w:pPr>
        <w:pStyle w:val="SingleTxtG"/>
        <w:keepNext/>
        <w:ind w:left="2268" w:hanging="1134"/>
        <w:jc w:val="left"/>
      </w:pPr>
      <w:r w:rsidRPr="002C5876">
        <w:t>1.1</w:t>
      </w:r>
      <w:r w:rsidRPr="002C5876">
        <w:tab/>
        <w:t>Décision relative à l’équivalence</w:t>
      </w:r>
    </w:p>
    <w:p w:rsidR="00E24DB7" w:rsidRPr="002C5876" w:rsidRDefault="00E24DB7" w:rsidP="00E24DB7">
      <w:pPr>
        <w:pStyle w:val="SingleTxtG"/>
        <w:ind w:left="2268"/>
      </w:pPr>
      <w:r w:rsidRPr="002C5876">
        <w:tab/>
        <w:t>Toute autre méthode est jugée équivalente si les résultats obtenus en ce qui concerne l’exactitude et la précision sont égaux à ceux obtenus avec la méthode de référence, ou meilleurs.</w:t>
      </w:r>
    </w:p>
    <w:p w:rsidR="00E24DB7" w:rsidRPr="002C5876" w:rsidRDefault="00E24DB7" w:rsidP="00E24DB7">
      <w:pPr>
        <w:pStyle w:val="SingleTxtG"/>
        <w:keepNext/>
        <w:ind w:left="2268" w:hanging="1134"/>
        <w:jc w:val="left"/>
      </w:pPr>
      <w:r w:rsidRPr="002C5876">
        <w:t>1.2</w:t>
      </w:r>
      <w:r w:rsidRPr="002C5876">
        <w:tab/>
        <w:t>Détermination de l’équivalence</w:t>
      </w:r>
    </w:p>
    <w:p w:rsidR="00E24DB7" w:rsidRPr="002C5876" w:rsidRDefault="00E24DB7" w:rsidP="00E24DB7">
      <w:pPr>
        <w:pStyle w:val="SingleTxtG"/>
        <w:ind w:left="2268"/>
      </w:pPr>
      <w:r w:rsidRPr="002C5876">
        <w:tab/>
        <w:t>La détermination de l’équivalence d’une méthode s’effectue sur la base d’une étude de corrélation entre la méthode proposée et la méthode de référence. Les méthodes à employer pour l’essai de corrélation doivent être approuvées par l’autorité compétente.</w:t>
      </w:r>
    </w:p>
    <w:p w:rsidR="00E24DB7" w:rsidRPr="002C5876" w:rsidRDefault="00E24DB7" w:rsidP="00E24DB7">
      <w:pPr>
        <w:pStyle w:val="SingleTxtG"/>
        <w:ind w:left="2268"/>
      </w:pPr>
      <w:r w:rsidRPr="002C5876">
        <w:tab/>
        <w:t>La détermination de l’exactitude et de la précision pour la méthode proposée et la méthode de référence doit s’effectuer conformément aux instructions de la norme ISO 5725, sixième partie, annexe 8, portant sur la comparaison de différentes méthodes de mesure.</w:t>
      </w:r>
    </w:p>
    <w:p w:rsidR="00E24DB7" w:rsidRPr="002C5876" w:rsidRDefault="00E24DB7" w:rsidP="00E24DB7">
      <w:pPr>
        <w:pStyle w:val="SingleTxtG"/>
        <w:keepNext/>
        <w:ind w:left="2268" w:hanging="1134"/>
        <w:jc w:val="left"/>
      </w:pPr>
      <w:r w:rsidRPr="002C5876">
        <w:t>1.3</w:t>
      </w:r>
      <w:r w:rsidRPr="002C5876">
        <w:tab/>
        <w:t>Prescriptions relatives à l’application (RÉSERVÉ)</w:t>
      </w:r>
    </w:p>
    <w:p w:rsidR="00E24DB7" w:rsidRPr="002C5876" w:rsidRDefault="00E24DB7" w:rsidP="00E24DB7">
      <w:pPr>
        <w:pStyle w:val="SingleTxtG"/>
        <w:spacing w:before="240" w:after="0"/>
        <w:jc w:val="center"/>
        <w:rPr>
          <w:u w:val="single"/>
        </w:rPr>
      </w:pPr>
      <w:r w:rsidRPr="002C5876">
        <w:rPr>
          <w:u w:val="single"/>
        </w:rPr>
        <w:tab/>
      </w:r>
      <w:r w:rsidRPr="002C5876">
        <w:rPr>
          <w:u w:val="single"/>
        </w:rPr>
        <w:tab/>
      </w:r>
      <w:r w:rsidRPr="002C5876">
        <w:rPr>
          <w:u w:val="single"/>
        </w:rPr>
        <w:tab/>
      </w:r>
    </w:p>
    <w:sectPr w:rsidR="00E24DB7" w:rsidRPr="002C5876" w:rsidSect="00CE537D">
      <w:headerReference w:type="even" r:id="rId210"/>
      <w:headerReference w:type="default" r:id="rId211"/>
      <w:endnotePr>
        <w:numFmt w:val="decimal"/>
      </w:endnotePr>
      <w:pgSz w:w="11907" w:h="16840" w:code="9"/>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3F39" w:rsidRDefault="00D53F39"/>
  </w:endnote>
  <w:endnote w:type="continuationSeparator" w:id="0">
    <w:p w:rsidR="00D53F39" w:rsidRDefault="00D53F39">
      <w:pPr>
        <w:pStyle w:val="Footer"/>
      </w:pPr>
    </w:p>
  </w:endnote>
  <w:endnote w:type="continuationNotice" w:id="1">
    <w:p w:rsidR="00D53F39" w:rsidRPr="00C451B9" w:rsidRDefault="00D53F39" w:rsidP="00C451B9">
      <w:pPr>
        <w:spacing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W Headline OT-Book">
    <w:altName w:val="Corbel"/>
    <w:charset w:val="00"/>
    <w:family w:val="swiss"/>
    <w:pitch w:val="variable"/>
    <w:sig w:usb0="800002AF" w:usb1="4000206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39T30Lfz">
    <w:panose1 w:val="000004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Times New Roman Gras">
    <w:altName w:val="Times New Roman"/>
    <w:charset w:val="00"/>
    <w:family w:val="auto"/>
    <w:pitch w:val="variable"/>
    <w:sig w:usb0="E0002AEF" w:usb1="C0007841"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WP TypographicSymbols">
    <w:altName w:val="Symbol"/>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80000" w:usb2="00000010"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F39" w:rsidRPr="00E24DB7" w:rsidRDefault="00D53F39" w:rsidP="00E24DB7">
    <w:pPr>
      <w:pStyle w:val="Footer"/>
      <w:tabs>
        <w:tab w:val="right" w:pos="9638"/>
      </w:tabs>
    </w:pPr>
    <w:r w:rsidRPr="00E24DB7">
      <w:rPr>
        <w:b/>
        <w:sz w:val="18"/>
      </w:rPr>
      <w:fldChar w:fldCharType="begin"/>
    </w:r>
    <w:r w:rsidRPr="00E24DB7">
      <w:rPr>
        <w:b/>
        <w:sz w:val="18"/>
      </w:rPr>
      <w:instrText xml:space="preserve"> PAGE  \* MERGEFORMAT </w:instrText>
    </w:r>
    <w:r w:rsidRPr="00E24DB7">
      <w:rPr>
        <w:b/>
        <w:sz w:val="18"/>
      </w:rPr>
      <w:fldChar w:fldCharType="separate"/>
    </w:r>
    <w:r w:rsidR="00731CA6">
      <w:rPr>
        <w:b/>
        <w:noProof/>
        <w:sz w:val="18"/>
      </w:rPr>
      <w:t>306</w:t>
    </w:r>
    <w:r w:rsidRPr="00E24DB7">
      <w:rPr>
        <w:b/>
        <w:sz w:val="18"/>
      </w:rPr>
      <w:fldChar w:fldCharType="end"/>
    </w:r>
    <w:r>
      <w:rPr>
        <w:b/>
        <w:sz w:val="18"/>
      </w:rPr>
      <w:tab/>
    </w:r>
    <w:r>
      <w:t>GE.18-15581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F39" w:rsidRPr="00E24DB7" w:rsidRDefault="00D53F39" w:rsidP="00E24DB7">
    <w:pPr>
      <w:pStyle w:val="Footer"/>
      <w:tabs>
        <w:tab w:val="right" w:pos="9638"/>
      </w:tabs>
      <w:rPr>
        <w:b/>
        <w:sz w:val="18"/>
      </w:rPr>
    </w:pPr>
    <w:r>
      <w:t>GE.18-15581</w:t>
    </w:r>
    <w:r>
      <w:tab/>
    </w:r>
    <w:r w:rsidRPr="00E24DB7">
      <w:rPr>
        <w:b/>
        <w:sz w:val="18"/>
      </w:rPr>
      <w:fldChar w:fldCharType="begin"/>
    </w:r>
    <w:r w:rsidRPr="00E24DB7">
      <w:rPr>
        <w:b/>
        <w:sz w:val="18"/>
      </w:rPr>
      <w:instrText xml:space="preserve"> PAGE  \* MERGEFORMAT </w:instrText>
    </w:r>
    <w:r w:rsidRPr="00E24DB7">
      <w:rPr>
        <w:b/>
        <w:sz w:val="18"/>
      </w:rPr>
      <w:fldChar w:fldCharType="separate"/>
    </w:r>
    <w:r w:rsidR="00731CA6">
      <w:rPr>
        <w:b/>
        <w:noProof/>
        <w:sz w:val="18"/>
      </w:rPr>
      <w:t>307</w:t>
    </w:r>
    <w:r w:rsidRPr="00E24DB7">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F39" w:rsidRPr="00E24DB7" w:rsidRDefault="00D53F39" w:rsidP="00E24DB7">
    <w:pPr>
      <w:spacing w:before="120" w:line="240" w:lineRule="auto"/>
    </w:pPr>
    <w:r>
      <w:t>GE.</w:t>
    </w:r>
    <w:r>
      <w:rPr>
        <w:noProof/>
        <w:lang w:val="en-GB" w:eastAsia="zh-CN"/>
      </w:rPr>
      <w:drawing>
        <wp:anchor distT="0" distB="0" distL="114300" distR="114300" simplePos="0" relativeHeight="251659264" behindDoc="0" locked="0" layoutInCell="1" allowOverlap="1">
          <wp:simplePos x="0" y="0"/>
          <wp:positionH relativeFrom="margin">
            <wp:posOffset>4319905</wp:posOffset>
          </wp:positionH>
          <wp:positionV relativeFrom="margin">
            <wp:posOffset>9144000</wp:posOffset>
          </wp:positionV>
          <wp:extent cx="1104265" cy="233045"/>
          <wp:effectExtent l="0" t="0" r="635" b="0"/>
          <wp:wrapNone/>
          <wp:docPr id="3" name="Image 3"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265" cy="233045"/>
                  </a:xfrm>
                  <a:prstGeom prst="rect">
                    <a:avLst/>
                  </a:prstGeom>
                  <a:noFill/>
                </pic:spPr>
              </pic:pic>
            </a:graphicData>
          </a:graphic>
          <wp14:sizeRelH relativeFrom="page">
            <wp14:pctWidth>0</wp14:pctWidth>
          </wp14:sizeRelH>
          <wp14:sizeRelV relativeFrom="page">
            <wp14:pctHeight>0</wp14:pctHeight>
          </wp14:sizeRelV>
        </wp:anchor>
      </w:drawing>
    </w:r>
    <w:r>
      <w:t xml:space="preserve">18-15581  (F)    290319    </w:t>
    </w:r>
    <w:r w:rsidRPr="007A2AB2">
      <w:t>040419</w:t>
    </w:r>
    <w:r>
      <w:br/>
    </w:r>
    <w:r w:rsidRPr="00E24DB7">
      <w:rPr>
        <w:rFonts w:ascii="C39T30Lfz" w:hAnsi="C39T30Lfz"/>
        <w:sz w:val="56"/>
      </w:rPr>
      <w:t></w:t>
    </w:r>
    <w:r w:rsidRPr="00E24DB7">
      <w:rPr>
        <w:rFonts w:ascii="C39T30Lfz" w:hAnsi="C39T30Lfz"/>
        <w:sz w:val="56"/>
      </w:rPr>
      <w:t></w:t>
    </w:r>
    <w:r w:rsidRPr="00E24DB7">
      <w:rPr>
        <w:rFonts w:ascii="C39T30Lfz" w:hAnsi="C39T30Lfz"/>
        <w:sz w:val="56"/>
      </w:rPr>
      <w:t></w:t>
    </w:r>
    <w:r w:rsidRPr="00E24DB7">
      <w:rPr>
        <w:rFonts w:ascii="C39T30Lfz" w:hAnsi="C39T30Lfz"/>
        <w:sz w:val="56"/>
      </w:rPr>
      <w:t></w:t>
    </w:r>
    <w:r w:rsidRPr="00E24DB7">
      <w:rPr>
        <w:rFonts w:ascii="C39T30Lfz" w:hAnsi="C39T30Lfz"/>
        <w:sz w:val="56"/>
      </w:rPr>
      <w:t></w:t>
    </w:r>
    <w:r w:rsidRPr="00E24DB7">
      <w:rPr>
        <w:rFonts w:ascii="C39T30Lfz" w:hAnsi="C39T30Lfz"/>
        <w:sz w:val="56"/>
      </w:rPr>
      <w:t></w:t>
    </w:r>
    <w:r w:rsidRPr="00E24DB7">
      <w:rPr>
        <w:rFonts w:ascii="C39T30Lfz" w:hAnsi="C39T30Lfz"/>
        <w:sz w:val="56"/>
      </w:rPr>
      <w:t></w:t>
    </w:r>
    <w:r w:rsidRPr="00E24DB7">
      <w:rPr>
        <w:rFonts w:ascii="C39T30Lfz" w:hAnsi="C39T30Lfz"/>
        <w:sz w:val="56"/>
      </w:rPr>
      <w:t></w:t>
    </w:r>
    <w:r w:rsidRPr="00E24DB7">
      <w:rPr>
        <w:rFonts w:ascii="C39T30Lfz" w:hAnsi="C39T30Lfz"/>
        <w:sz w:val="56"/>
      </w:rPr>
      <w:t></w:t>
    </w:r>
    <w:r>
      <w:rPr>
        <w:noProof/>
        <w:lang w:val="en-GB" w:eastAsia="zh-CN"/>
      </w:rPr>
      <w:drawing>
        <wp:anchor distT="0" distB="0" distL="114300" distR="114300" simplePos="0" relativeHeight="251661312" behindDoc="0" locked="0" layoutInCell="1" allowOverlap="1">
          <wp:simplePos x="0" y="0"/>
          <wp:positionH relativeFrom="margin">
            <wp:posOffset>5489575</wp:posOffset>
          </wp:positionH>
          <wp:positionV relativeFrom="margin">
            <wp:posOffset>8891905</wp:posOffset>
          </wp:positionV>
          <wp:extent cx="638175" cy="638175"/>
          <wp:effectExtent l="0" t="0" r="9525" b="9525"/>
          <wp:wrapNone/>
          <wp:docPr id="4" name="Image 1" descr="https://undocs.org/m2/QRCode.ashx?DS=ECE/TRANS/180/Add.15/Amend.4&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180/Add.15/Amend.4&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3F39" w:rsidRPr="00D27D5E" w:rsidRDefault="00D53F39" w:rsidP="00D27D5E">
      <w:pPr>
        <w:tabs>
          <w:tab w:val="right" w:pos="2155"/>
        </w:tabs>
        <w:spacing w:after="80"/>
        <w:ind w:left="680"/>
        <w:rPr>
          <w:u w:val="single"/>
        </w:rPr>
      </w:pPr>
      <w:r>
        <w:rPr>
          <w:u w:val="single"/>
        </w:rPr>
        <w:tab/>
      </w:r>
    </w:p>
  </w:footnote>
  <w:footnote w:type="continuationSeparator" w:id="0">
    <w:p w:rsidR="00D53F39" w:rsidRPr="00D171D4" w:rsidRDefault="00D53F39" w:rsidP="00D171D4">
      <w:pPr>
        <w:tabs>
          <w:tab w:val="right" w:pos="2155"/>
        </w:tabs>
        <w:spacing w:after="80"/>
        <w:ind w:left="680"/>
        <w:rPr>
          <w:u w:val="single"/>
        </w:rPr>
      </w:pPr>
      <w:r w:rsidRPr="00D171D4">
        <w:rPr>
          <w:u w:val="single"/>
        </w:rPr>
        <w:tab/>
      </w:r>
    </w:p>
  </w:footnote>
  <w:footnote w:type="continuationNotice" w:id="1">
    <w:p w:rsidR="00D53F39" w:rsidRPr="00C451B9" w:rsidRDefault="00D53F39" w:rsidP="00C451B9">
      <w:pPr>
        <w:spacing w:line="240" w:lineRule="auto"/>
        <w:rPr>
          <w:sz w:val="2"/>
          <w:szCs w:val="2"/>
        </w:rPr>
      </w:pPr>
    </w:p>
  </w:footnote>
  <w:footnote w:id="2">
    <w:p w:rsidR="00D53F39" w:rsidRPr="00B26B55" w:rsidRDefault="00D53F39" w:rsidP="00E24DB7">
      <w:pPr>
        <w:pStyle w:val="FootnoteText"/>
        <w:rPr>
          <w:lang w:val="fr-FR"/>
        </w:rPr>
      </w:pPr>
      <w:r>
        <w:rPr>
          <w:rStyle w:val="FootnoteReference"/>
        </w:rPr>
        <w:tab/>
      </w:r>
      <w:r w:rsidRPr="00B26B55">
        <w:rPr>
          <w:rStyle w:val="FootnoteReference"/>
          <w:sz w:val="20"/>
        </w:rPr>
        <w:t>*</w:t>
      </w:r>
      <w:r>
        <w:rPr>
          <w:rStyle w:val="FootnoteReference"/>
          <w:sz w:val="20"/>
        </w:rPr>
        <w:tab/>
      </w:r>
      <w:r>
        <w:t>Y compris son amendement 4.</w:t>
      </w:r>
    </w:p>
  </w:footnote>
  <w:footnote w:id="3">
    <w:p w:rsidR="00D53F39" w:rsidRPr="00AA25CD" w:rsidRDefault="00D53F39" w:rsidP="00E24DB7">
      <w:pPr>
        <w:pStyle w:val="FootnoteText"/>
      </w:pPr>
      <w:r>
        <w:tab/>
      </w:r>
      <w:r w:rsidRPr="00B26B55">
        <w:rPr>
          <w:rStyle w:val="FootnoteReference"/>
        </w:rPr>
        <w:footnoteRef/>
      </w:r>
      <w:r>
        <w:tab/>
        <w:t xml:space="preserve">On peut trouver les définitions des catégories de véhicules dans l’Annexe 2 de la résolution spéciale </w:t>
      </w:r>
      <w:r>
        <w:rPr>
          <w:rFonts w:eastAsia="MS Mincho"/>
        </w:rPr>
        <w:t>n</w:t>
      </w:r>
      <w:r>
        <w:rPr>
          <w:rFonts w:eastAsia="MS Mincho"/>
          <w:vertAlign w:val="superscript"/>
        </w:rPr>
        <w:t>o</w:t>
      </w:r>
      <w:r>
        <w:t> 1 (ECE/TRANS/WP.29/1045).</w:t>
      </w:r>
    </w:p>
  </w:footnote>
  <w:footnote w:id="4">
    <w:p w:rsidR="00D53F39" w:rsidRPr="00555DC0" w:rsidRDefault="00D53F39" w:rsidP="00555DC0">
      <w:pPr>
        <w:pStyle w:val="FootnoteText"/>
      </w:pPr>
      <w:r>
        <w:rPr>
          <w:rStyle w:val="FootnoteReference"/>
        </w:rPr>
        <w:tab/>
      </w:r>
      <w:r w:rsidRPr="008E3463">
        <w:rPr>
          <w:rStyle w:val="FootnoteReference"/>
          <w:sz w:val="20"/>
        </w:rPr>
        <w:t>*</w:t>
      </w:r>
      <w:r>
        <w:rPr>
          <w:rStyle w:val="FootnoteReference"/>
          <w:sz w:val="20"/>
        </w:rPr>
        <w:tab/>
      </w:r>
      <w:r w:rsidRPr="00555DC0">
        <w:t>Note du secrétariat</w:t>
      </w:r>
      <w:r>
        <w:t> </w:t>
      </w:r>
      <w:r w:rsidRPr="00555DC0">
        <w:t>: Cet élément est en cours d’examen par une équipe spéciale.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F39" w:rsidRPr="00E24DB7" w:rsidRDefault="00731CA6">
    <w:pPr>
      <w:pStyle w:val="Header"/>
    </w:pPr>
    <w:r>
      <w:fldChar w:fldCharType="begin"/>
    </w:r>
    <w:r>
      <w:instrText xml:space="preserve"> TITLE  \* MERGEFORMAT </w:instrText>
    </w:r>
    <w:r>
      <w:fldChar w:fldCharType="separate"/>
    </w:r>
    <w:r>
      <w:t>ECE/TRANS/180/Add.15/Amend.4</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F39" w:rsidRPr="0007537F" w:rsidRDefault="00D53F39" w:rsidP="00E24DB7">
    <w:pPr>
      <w:pStyle w:val="Header"/>
      <w:jc w:val="right"/>
      <w:rPr>
        <w:lang w:val="en-US"/>
      </w:rPr>
    </w:pPr>
    <w:r>
      <w:fldChar w:fldCharType="begin"/>
    </w:r>
    <w:r w:rsidRPr="0007537F">
      <w:rPr>
        <w:lang w:val="en-US"/>
      </w:rPr>
      <w:instrText xml:space="preserve"> TITLE  \* MERGEFORMAT </w:instrText>
    </w:r>
    <w:r>
      <w:fldChar w:fldCharType="separate"/>
    </w:r>
    <w:r w:rsidR="00731CA6">
      <w:rPr>
        <w:lang w:val="en-US"/>
      </w:rPr>
      <w:t>ECE/TRANS/180/Add.15/Amend.4</w:t>
    </w:r>
    <w:r>
      <w:fldChar w:fldCharType="end"/>
    </w:r>
    <w:r w:rsidRPr="0007537F">
      <w:rPr>
        <w:lang w:val="en-US"/>
      </w:rPr>
      <w:br/>
      <w:t xml:space="preserve">Annexe </w:t>
    </w:r>
    <w:r>
      <w:rPr>
        <w:lang w:val="en-US"/>
      </w:rPr>
      <w:t>4</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F39" w:rsidRPr="0007537F" w:rsidRDefault="00D53F39" w:rsidP="0007537F">
    <w:pPr>
      <w:pStyle w:val="Header"/>
      <w:rPr>
        <w:lang w:val="en-US"/>
      </w:rPr>
    </w:pPr>
    <w:r>
      <w:fldChar w:fldCharType="begin"/>
    </w:r>
    <w:r w:rsidRPr="0007537F">
      <w:rPr>
        <w:lang w:val="en-US"/>
      </w:rPr>
      <w:instrText xml:space="preserve"> TITLE  \* MERGEFORMAT </w:instrText>
    </w:r>
    <w:r>
      <w:fldChar w:fldCharType="separate"/>
    </w:r>
    <w:r w:rsidR="00731CA6">
      <w:rPr>
        <w:lang w:val="en-US"/>
      </w:rPr>
      <w:t>ECE/TRANS/180/Add.15/Amend.4</w:t>
    </w:r>
    <w:r>
      <w:fldChar w:fldCharType="end"/>
    </w:r>
    <w:r w:rsidRPr="0007537F">
      <w:rPr>
        <w:lang w:val="en-US"/>
      </w:rPr>
      <w:br/>
      <w:t xml:space="preserve">Annexe </w:t>
    </w:r>
    <w:r>
      <w:rPr>
        <w:lang w:val="en-US"/>
      </w:rPr>
      <w:t>5</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F39" w:rsidRPr="0007537F" w:rsidRDefault="00D53F39" w:rsidP="00E24DB7">
    <w:pPr>
      <w:pStyle w:val="Header"/>
      <w:jc w:val="right"/>
      <w:rPr>
        <w:lang w:val="en-US"/>
      </w:rPr>
    </w:pPr>
    <w:r>
      <w:fldChar w:fldCharType="begin"/>
    </w:r>
    <w:r w:rsidRPr="0007537F">
      <w:rPr>
        <w:lang w:val="en-US"/>
      </w:rPr>
      <w:instrText xml:space="preserve"> TITLE  \* MERGEFORMAT </w:instrText>
    </w:r>
    <w:r>
      <w:fldChar w:fldCharType="separate"/>
    </w:r>
    <w:r w:rsidR="00731CA6">
      <w:rPr>
        <w:lang w:val="en-US"/>
      </w:rPr>
      <w:t>ECE/TRANS/180/Add.15/Amend.4</w:t>
    </w:r>
    <w:r>
      <w:fldChar w:fldCharType="end"/>
    </w:r>
    <w:r w:rsidRPr="0007537F">
      <w:rPr>
        <w:lang w:val="en-US"/>
      </w:rPr>
      <w:br/>
      <w:t xml:space="preserve">Annexe </w:t>
    </w:r>
    <w:r>
      <w:rPr>
        <w:lang w:val="en-US"/>
      </w:rPr>
      <w:t>5</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F39" w:rsidRPr="0007537F" w:rsidRDefault="00D53F39" w:rsidP="0007537F">
    <w:pPr>
      <w:pStyle w:val="Header"/>
      <w:rPr>
        <w:lang w:val="en-US"/>
      </w:rPr>
    </w:pPr>
    <w:r>
      <w:fldChar w:fldCharType="begin"/>
    </w:r>
    <w:r w:rsidRPr="0007537F">
      <w:rPr>
        <w:lang w:val="en-US"/>
      </w:rPr>
      <w:instrText xml:space="preserve"> TITLE  \* MERGEFORMAT </w:instrText>
    </w:r>
    <w:r>
      <w:fldChar w:fldCharType="separate"/>
    </w:r>
    <w:r w:rsidR="00731CA6">
      <w:rPr>
        <w:lang w:val="en-US"/>
      </w:rPr>
      <w:t>ECE/TRANS/180/Add.15/Amend.4</w:t>
    </w:r>
    <w:r>
      <w:fldChar w:fldCharType="end"/>
    </w:r>
    <w:r w:rsidRPr="0007537F">
      <w:rPr>
        <w:lang w:val="en-US"/>
      </w:rPr>
      <w:br/>
      <w:t>Annexe</w:t>
    </w:r>
    <w:r>
      <w:rPr>
        <w:lang w:val="en-US"/>
      </w:rPr>
      <w:t> 6</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F39" w:rsidRPr="0007537F" w:rsidRDefault="00D53F39" w:rsidP="00E24DB7">
    <w:pPr>
      <w:pStyle w:val="Header"/>
      <w:jc w:val="right"/>
      <w:rPr>
        <w:lang w:val="en-US"/>
      </w:rPr>
    </w:pPr>
    <w:r>
      <w:fldChar w:fldCharType="begin"/>
    </w:r>
    <w:r w:rsidRPr="0007537F">
      <w:rPr>
        <w:lang w:val="en-US"/>
      </w:rPr>
      <w:instrText xml:space="preserve"> TITLE  \* MERGEFORMAT </w:instrText>
    </w:r>
    <w:r>
      <w:fldChar w:fldCharType="separate"/>
    </w:r>
    <w:r w:rsidR="00731CA6">
      <w:rPr>
        <w:lang w:val="en-US"/>
      </w:rPr>
      <w:t>ECE/TRANS/180/Add.15/Amend.4</w:t>
    </w:r>
    <w:r>
      <w:fldChar w:fldCharType="end"/>
    </w:r>
    <w:r w:rsidRPr="0007537F">
      <w:rPr>
        <w:lang w:val="en-US"/>
      </w:rPr>
      <w:br/>
      <w:t>Annexe</w:t>
    </w:r>
    <w:r>
      <w:rPr>
        <w:lang w:val="en-US"/>
      </w:rPr>
      <w:t> 6</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F39" w:rsidRPr="0007537F" w:rsidRDefault="00D53F39" w:rsidP="0007537F">
    <w:pPr>
      <w:pStyle w:val="Header"/>
      <w:rPr>
        <w:lang w:val="en-US"/>
      </w:rPr>
    </w:pPr>
    <w:r>
      <w:fldChar w:fldCharType="begin"/>
    </w:r>
    <w:r w:rsidRPr="0007537F">
      <w:rPr>
        <w:lang w:val="en-US"/>
      </w:rPr>
      <w:instrText xml:space="preserve"> TITLE  \* MERGEFORMAT </w:instrText>
    </w:r>
    <w:r>
      <w:fldChar w:fldCharType="separate"/>
    </w:r>
    <w:r w:rsidR="00731CA6">
      <w:rPr>
        <w:lang w:val="en-US"/>
      </w:rPr>
      <w:t>ECE/TRANS/180/Add.15/Amend.4</w:t>
    </w:r>
    <w:r>
      <w:fldChar w:fldCharType="end"/>
    </w:r>
    <w:r w:rsidRPr="0007537F">
      <w:rPr>
        <w:lang w:val="en-US"/>
      </w:rPr>
      <w:br/>
      <w:t>Annexe</w:t>
    </w:r>
    <w:r>
      <w:rPr>
        <w:lang w:val="en-US"/>
      </w:rPr>
      <w:t> 6 − Appendice 1</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F39" w:rsidRPr="0007537F" w:rsidRDefault="00D53F39" w:rsidP="00E24DB7">
    <w:pPr>
      <w:pStyle w:val="Header"/>
      <w:jc w:val="right"/>
      <w:rPr>
        <w:lang w:val="en-US"/>
      </w:rPr>
    </w:pPr>
    <w:r>
      <w:fldChar w:fldCharType="begin"/>
    </w:r>
    <w:r w:rsidRPr="0007537F">
      <w:rPr>
        <w:lang w:val="en-US"/>
      </w:rPr>
      <w:instrText xml:space="preserve"> TITLE  \* MERGEFORMAT </w:instrText>
    </w:r>
    <w:r>
      <w:fldChar w:fldCharType="separate"/>
    </w:r>
    <w:r w:rsidR="00731CA6">
      <w:rPr>
        <w:lang w:val="en-US"/>
      </w:rPr>
      <w:t>ECE/TRANS/180/Add.15/Amend.4</w:t>
    </w:r>
    <w:r>
      <w:fldChar w:fldCharType="end"/>
    </w:r>
    <w:r w:rsidRPr="0007537F">
      <w:rPr>
        <w:lang w:val="en-US"/>
      </w:rPr>
      <w:br/>
      <w:t>Annexe</w:t>
    </w:r>
    <w:r>
      <w:rPr>
        <w:lang w:val="en-US"/>
      </w:rPr>
      <w:t> 6 − − Appendice 1</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F39" w:rsidRPr="0007537F" w:rsidRDefault="00D53F39" w:rsidP="0007537F">
    <w:pPr>
      <w:pStyle w:val="Header"/>
      <w:rPr>
        <w:lang w:val="en-US"/>
      </w:rPr>
    </w:pPr>
    <w:r>
      <w:fldChar w:fldCharType="begin"/>
    </w:r>
    <w:r w:rsidRPr="0007537F">
      <w:rPr>
        <w:lang w:val="en-US"/>
      </w:rPr>
      <w:instrText xml:space="preserve"> TITLE  \* MERGEFORMAT </w:instrText>
    </w:r>
    <w:r>
      <w:fldChar w:fldCharType="separate"/>
    </w:r>
    <w:r w:rsidR="00731CA6">
      <w:rPr>
        <w:lang w:val="en-US"/>
      </w:rPr>
      <w:t>ECE/TRANS/180/Add.15/Amend.4</w:t>
    </w:r>
    <w:r>
      <w:fldChar w:fldCharType="end"/>
    </w:r>
    <w:r w:rsidRPr="0007537F">
      <w:rPr>
        <w:lang w:val="en-US"/>
      </w:rPr>
      <w:br/>
      <w:t>Annexe</w:t>
    </w:r>
    <w:r>
      <w:rPr>
        <w:lang w:val="en-US"/>
      </w:rPr>
      <w:t> 6 − Appendice 2</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F39" w:rsidRPr="0007537F" w:rsidRDefault="00D53F39" w:rsidP="00E24DB7">
    <w:pPr>
      <w:pStyle w:val="Header"/>
      <w:jc w:val="right"/>
      <w:rPr>
        <w:lang w:val="en-US"/>
      </w:rPr>
    </w:pPr>
    <w:r>
      <w:fldChar w:fldCharType="begin"/>
    </w:r>
    <w:r w:rsidRPr="0007537F">
      <w:rPr>
        <w:lang w:val="en-US"/>
      </w:rPr>
      <w:instrText xml:space="preserve"> TITLE  \* MERGEFORMAT </w:instrText>
    </w:r>
    <w:r>
      <w:fldChar w:fldCharType="separate"/>
    </w:r>
    <w:r w:rsidR="00731CA6">
      <w:rPr>
        <w:lang w:val="en-US"/>
      </w:rPr>
      <w:t>ECE/TRANS/180/Add.15/Amend.4</w:t>
    </w:r>
    <w:r>
      <w:fldChar w:fldCharType="end"/>
    </w:r>
    <w:r w:rsidRPr="0007537F">
      <w:rPr>
        <w:lang w:val="en-US"/>
      </w:rPr>
      <w:br/>
      <w:t>Annexe</w:t>
    </w:r>
    <w:r>
      <w:rPr>
        <w:lang w:val="en-US"/>
      </w:rPr>
      <w:t> 6 − Appendice 2</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F39" w:rsidRPr="0007537F" w:rsidRDefault="00D53F39" w:rsidP="0007537F">
    <w:pPr>
      <w:pStyle w:val="Header"/>
      <w:rPr>
        <w:lang w:val="en-US"/>
      </w:rPr>
    </w:pPr>
    <w:r>
      <w:fldChar w:fldCharType="begin"/>
    </w:r>
    <w:r w:rsidRPr="0007537F">
      <w:rPr>
        <w:lang w:val="en-US"/>
      </w:rPr>
      <w:instrText xml:space="preserve"> TITLE  \* MERGEFORMAT </w:instrText>
    </w:r>
    <w:r>
      <w:fldChar w:fldCharType="separate"/>
    </w:r>
    <w:r w:rsidR="00731CA6">
      <w:rPr>
        <w:lang w:val="en-US"/>
      </w:rPr>
      <w:t>ECE/TRANS/180/Add.15/Amend.4</w:t>
    </w:r>
    <w:r>
      <w:fldChar w:fldCharType="end"/>
    </w:r>
    <w:r w:rsidRPr="0007537F">
      <w:rPr>
        <w:lang w:val="en-US"/>
      </w:rPr>
      <w:br/>
      <w:t>Annexe</w:t>
    </w:r>
    <w:r>
      <w:rPr>
        <w:lang w:val="en-US"/>
      </w:rPr>
      <w:t> 6 − Appendice 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F39" w:rsidRPr="00E24DB7" w:rsidRDefault="00731CA6" w:rsidP="00E24DB7">
    <w:pPr>
      <w:pStyle w:val="Header"/>
      <w:jc w:val="right"/>
    </w:pPr>
    <w:r>
      <w:fldChar w:fldCharType="begin"/>
    </w:r>
    <w:r>
      <w:instrText xml:space="preserve"> TITLE  \* MERGEFORMAT </w:instrText>
    </w:r>
    <w:r>
      <w:fldChar w:fldCharType="separate"/>
    </w:r>
    <w:r>
      <w:t>ECE/TRANS/180/Add.15/Amend.4</w:t>
    </w:r>
    <w: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F39" w:rsidRPr="0007537F" w:rsidRDefault="00D53F39" w:rsidP="00E24DB7">
    <w:pPr>
      <w:pStyle w:val="Header"/>
      <w:jc w:val="right"/>
      <w:rPr>
        <w:lang w:val="en-US"/>
      </w:rPr>
    </w:pPr>
    <w:r>
      <w:fldChar w:fldCharType="begin"/>
    </w:r>
    <w:r w:rsidRPr="0007537F">
      <w:rPr>
        <w:lang w:val="en-US"/>
      </w:rPr>
      <w:instrText xml:space="preserve"> TITLE  \* MERGEFORMAT </w:instrText>
    </w:r>
    <w:r>
      <w:fldChar w:fldCharType="separate"/>
    </w:r>
    <w:r w:rsidR="00731CA6">
      <w:rPr>
        <w:lang w:val="en-US"/>
      </w:rPr>
      <w:t>ECE/TRANS/180/Add.15/Amend.4</w:t>
    </w:r>
    <w:r>
      <w:fldChar w:fldCharType="end"/>
    </w:r>
    <w:r w:rsidRPr="0007537F">
      <w:rPr>
        <w:lang w:val="en-US"/>
      </w:rPr>
      <w:br/>
      <w:t>Annexe</w:t>
    </w:r>
    <w:r>
      <w:rPr>
        <w:lang w:val="en-US"/>
      </w:rPr>
      <w:t> 6 − Appendice 3</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F39" w:rsidRPr="0007537F" w:rsidRDefault="00D53F39" w:rsidP="0007537F">
    <w:pPr>
      <w:pStyle w:val="Header"/>
      <w:rPr>
        <w:lang w:val="en-US"/>
      </w:rPr>
    </w:pPr>
    <w:r>
      <w:fldChar w:fldCharType="begin"/>
    </w:r>
    <w:r w:rsidRPr="0007537F">
      <w:rPr>
        <w:lang w:val="en-US"/>
      </w:rPr>
      <w:instrText xml:space="preserve"> TITLE  \* MERGEFORMAT </w:instrText>
    </w:r>
    <w:r>
      <w:fldChar w:fldCharType="separate"/>
    </w:r>
    <w:r w:rsidR="00731CA6">
      <w:rPr>
        <w:lang w:val="en-US"/>
      </w:rPr>
      <w:t>ECE/TRANS/180/Add.15/Amend.4</w:t>
    </w:r>
    <w:r>
      <w:fldChar w:fldCharType="end"/>
    </w:r>
    <w:r w:rsidRPr="0007537F">
      <w:rPr>
        <w:lang w:val="en-US"/>
      </w:rPr>
      <w:br/>
      <w:t>Annexe</w:t>
    </w:r>
    <w:r>
      <w:rPr>
        <w:lang w:val="en-US"/>
      </w:rPr>
      <w:t> 7</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F39" w:rsidRPr="0007537F" w:rsidRDefault="00D53F39" w:rsidP="00E24DB7">
    <w:pPr>
      <w:pStyle w:val="Header"/>
      <w:jc w:val="right"/>
      <w:rPr>
        <w:lang w:val="en-US"/>
      </w:rPr>
    </w:pPr>
    <w:r>
      <w:fldChar w:fldCharType="begin"/>
    </w:r>
    <w:r w:rsidRPr="0007537F">
      <w:rPr>
        <w:lang w:val="en-US"/>
      </w:rPr>
      <w:instrText xml:space="preserve"> TITLE  \* MERGEFORMAT </w:instrText>
    </w:r>
    <w:r>
      <w:fldChar w:fldCharType="separate"/>
    </w:r>
    <w:r w:rsidR="00731CA6">
      <w:rPr>
        <w:lang w:val="en-US"/>
      </w:rPr>
      <w:t>ECE/TRANS/180/Add.15/Amend.4</w:t>
    </w:r>
    <w:r>
      <w:fldChar w:fldCharType="end"/>
    </w:r>
    <w:r w:rsidRPr="0007537F">
      <w:rPr>
        <w:lang w:val="en-US"/>
      </w:rPr>
      <w:br/>
      <w:t>Annexe</w:t>
    </w:r>
    <w:r>
      <w:rPr>
        <w:lang w:val="en-US"/>
      </w:rPr>
      <w:t> 7</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F39" w:rsidRPr="0007537F" w:rsidRDefault="00D53F39" w:rsidP="0007537F">
    <w:pPr>
      <w:pStyle w:val="Header"/>
      <w:rPr>
        <w:lang w:val="en-US"/>
      </w:rPr>
    </w:pPr>
    <w:r>
      <w:fldChar w:fldCharType="begin"/>
    </w:r>
    <w:r w:rsidRPr="0007537F">
      <w:rPr>
        <w:lang w:val="en-US"/>
      </w:rPr>
      <w:instrText xml:space="preserve"> TITLE  \* MERGEFORMAT </w:instrText>
    </w:r>
    <w:r>
      <w:fldChar w:fldCharType="separate"/>
    </w:r>
    <w:r w:rsidR="00731CA6">
      <w:rPr>
        <w:lang w:val="en-US"/>
      </w:rPr>
      <w:t>ECE/TRANS/180/Add.15/Amend.4</w:t>
    </w:r>
    <w:r>
      <w:fldChar w:fldCharType="end"/>
    </w:r>
    <w:r w:rsidRPr="0007537F">
      <w:rPr>
        <w:lang w:val="en-US"/>
      </w:rPr>
      <w:br/>
      <w:t>Annexe</w:t>
    </w:r>
    <w:r>
      <w:rPr>
        <w:lang w:val="en-US"/>
      </w:rPr>
      <w:t> 8</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F39" w:rsidRPr="0007537F" w:rsidRDefault="00D53F39" w:rsidP="00E24DB7">
    <w:pPr>
      <w:pStyle w:val="Header"/>
      <w:jc w:val="right"/>
      <w:rPr>
        <w:lang w:val="en-US"/>
      </w:rPr>
    </w:pPr>
    <w:r>
      <w:fldChar w:fldCharType="begin"/>
    </w:r>
    <w:r w:rsidRPr="0007537F">
      <w:rPr>
        <w:lang w:val="en-US"/>
      </w:rPr>
      <w:instrText xml:space="preserve"> TITLE  \* MERGEFORMAT </w:instrText>
    </w:r>
    <w:r>
      <w:fldChar w:fldCharType="separate"/>
    </w:r>
    <w:r w:rsidR="00731CA6">
      <w:rPr>
        <w:lang w:val="en-US"/>
      </w:rPr>
      <w:t>ECE/TRANS/180/Add.15/Amend.4</w:t>
    </w:r>
    <w:r>
      <w:fldChar w:fldCharType="end"/>
    </w:r>
    <w:r w:rsidRPr="0007537F">
      <w:rPr>
        <w:lang w:val="en-US"/>
      </w:rPr>
      <w:br/>
      <w:t>Annexe</w:t>
    </w:r>
    <w:r>
      <w:rPr>
        <w:lang w:val="en-US"/>
      </w:rPr>
      <w:t> 8</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F39" w:rsidRPr="00B404EC" w:rsidRDefault="00D53F39" w:rsidP="0007537F">
    <w:pPr>
      <w:pStyle w:val="Header"/>
      <w:rPr>
        <w:lang w:val="en-US"/>
      </w:rPr>
    </w:pPr>
    <w:r>
      <w:fldChar w:fldCharType="begin"/>
    </w:r>
    <w:r w:rsidRPr="0007537F">
      <w:rPr>
        <w:lang w:val="en-US"/>
      </w:rPr>
      <w:instrText xml:space="preserve"> TITLE  \* MERGEFORMAT </w:instrText>
    </w:r>
    <w:r>
      <w:fldChar w:fldCharType="separate"/>
    </w:r>
    <w:r w:rsidR="00731CA6">
      <w:rPr>
        <w:lang w:val="en-US"/>
      </w:rPr>
      <w:t>ECE/TRANS/180/Add.15/Amend.4</w:t>
    </w:r>
    <w:r>
      <w:fldChar w:fldCharType="end"/>
    </w:r>
    <w:r w:rsidRPr="0007537F">
      <w:rPr>
        <w:lang w:val="en-US"/>
      </w:rPr>
      <w:br/>
      <w:t>Annexe</w:t>
    </w:r>
    <w:r>
      <w:rPr>
        <w:lang w:val="en-US"/>
      </w:rPr>
      <w:t xml:space="preserve"> 8 − </w:t>
    </w:r>
    <w:r w:rsidRPr="00B404EC">
      <w:rPr>
        <w:lang w:val="en-US"/>
      </w:rPr>
      <w:t>Appendice </w:t>
    </w:r>
    <w:r>
      <w:rPr>
        <w:lang w:val="en-US"/>
      </w:rPr>
      <w:t>1</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F39" w:rsidRPr="00B404EC" w:rsidRDefault="00D53F39" w:rsidP="00E24DB7">
    <w:pPr>
      <w:pStyle w:val="Header"/>
      <w:jc w:val="right"/>
      <w:rPr>
        <w:lang w:val="en-US"/>
      </w:rPr>
    </w:pPr>
    <w:r>
      <w:fldChar w:fldCharType="begin"/>
    </w:r>
    <w:r w:rsidRPr="0007537F">
      <w:rPr>
        <w:lang w:val="en-US"/>
      </w:rPr>
      <w:instrText xml:space="preserve"> TITLE  \* MERGEFORMAT </w:instrText>
    </w:r>
    <w:r>
      <w:fldChar w:fldCharType="separate"/>
    </w:r>
    <w:r w:rsidR="00731CA6">
      <w:rPr>
        <w:lang w:val="en-US"/>
      </w:rPr>
      <w:t>ECE/TRANS/180/Add.15/Amend.4</w:t>
    </w:r>
    <w:r>
      <w:fldChar w:fldCharType="end"/>
    </w:r>
    <w:r w:rsidRPr="0007537F">
      <w:rPr>
        <w:lang w:val="en-US"/>
      </w:rPr>
      <w:br/>
      <w:t>Annexe</w:t>
    </w:r>
    <w:r>
      <w:rPr>
        <w:lang w:val="en-US"/>
      </w:rPr>
      <w:t xml:space="preserve"> 8 − </w:t>
    </w:r>
    <w:r w:rsidRPr="00B404EC">
      <w:rPr>
        <w:lang w:val="en-US"/>
      </w:rPr>
      <w:t>Appendice </w:t>
    </w:r>
    <w:r>
      <w:rPr>
        <w:lang w:val="en-US"/>
      </w:rPr>
      <w:t>1</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F39" w:rsidRPr="00B404EC" w:rsidRDefault="00D53F39" w:rsidP="0007537F">
    <w:pPr>
      <w:pStyle w:val="Header"/>
      <w:rPr>
        <w:lang w:val="en-US"/>
      </w:rPr>
    </w:pPr>
    <w:r>
      <w:fldChar w:fldCharType="begin"/>
    </w:r>
    <w:r w:rsidRPr="0007537F">
      <w:rPr>
        <w:lang w:val="en-US"/>
      </w:rPr>
      <w:instrText xml:space="preserve"> TITLE  \* MERGEFORMAT </w:instrText>
    </w:r>
    <w:r>
      <w:fldChar w:fldCharType="separate"/>
    </w:r>
    <w:r w:rsidR="00731CA6">
      <w:rPr>
        <w:lang w:val="en-US"/>
      </w:rPr>
      <w:t>ECE/TRANS/180/Add.15/Amend.4</w:t>
    </w:r>
    <w:r>
      <w:fldChar w:fldCharType="end"/>
    </w:r>
    <w:r w:rsidRPr="0007537F">
      <w:rPr>
        <w:lang w:val="en-US"/>
      </w:rPr>
      <w:br/>
      <w:t>Annexe</w:t>
    </w:r>
    <w:r>
      <w:rPr>
        <w:lang w:val="en-US"/>
      </w:rPr>
      <w:t xml:space="preserve"> 8 − </w:t>
    </w:r>
    <w:r w:rsidRPr="00B404EC">
      <w:rPr>
        <w:lang w:val="en-US"/>
      </w:rPr>
      <w:t>Appendice </w:t>
    </w:r>
    <w:r>
      <w:rPr>
        <w:lang w:val="en-US"/>
      </w:rPr>
      <w:t>2</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F39" w:rsidRPr="00B404EC" w:rsidRDefault="00D53F39" w:rsidP="00E24DB7">
    <w:pPr>
      <w:pStyle w:val="Header"/>
      <w:jc w:val="right"/>
      <w:rPr>
        <w:lang w:val="en-US"/>
      </w:rPr>
    </w:pPr>
    <w:r>
      <w:fldChar w:fldCharType="begin"/>
    </w:r>
    <w:r w:rsidRPr="0007537F">
      <w:rPr>
        <w:lang w:val="en-US"/>
      </w:rPr>
      <w:instrText xml:space="preserve"> TITLE  \* MERGEFORMAT </w:instrText>
    </w:r>
    <w:r>
      <w:fldChar w:fldCharType="separate"/>
    </w:r>
    <w:r w:rsidR="00731CA6">
      <w:rPr>
        <w:lang w:val="en-US"/>
      </w:rPr>
      <w:t>ECE/TRANS/180/Add.15/Amend.4</w:t>
    </w:r>
    <w:r>
      <w:fldChar w:fldCharType="end"/>
    </w:r>
    <w:r w:rsidRPr="0007537F">
      <w:rPr>
        <w:lang w:val="en-US"/>
      </w:rPr>
      <w:br/>
      <w:t>Annexe</w:t>
    </w:r>
    <w:r>
      <w:rPr>
        <w:lang w:val="en-US"/>
      </w:rPr>
      <w:t xml:space="preserve"> 8 − </w:t>
    </w:r>
    <w:r w:rsidRPr="00B404EC">
      <w:rPr>
        <w:lang w:val="en-US"/>
      </w:rPr>
      <w:t>Appendice </w:t>
    </w:r>
    <w:r>
      <w:rPr>
        <w:lang w:val="en-US"/>
      </w:rPr>
      <w:t>2</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F39" w:rsidRPr="00B404EC" w:rsidRDefault="00D53F39" w:rsidP="0007537F">
    <w:pPr>
      <w:pStyle w:val="Header"/>
      <w:rPr>
        <w:lang w:val="en-US"/>
      </w:rPr>
    </w:pPr>
    <w:r>
      <w:fldChar w:fldCharType="begin"/>
    </w:r>
    <w:r w:rsidRPr="0007537F">
      <w:rPr>
        <w:lang w:val="en-US"/>
      </w:rPr>
      <w:instrText xml:space="preserve"> TITLE  \* MERGEFORMAT </w:instrText>
    </w:r>
    <w:r>
      <w:fldChar w:fldCharType="separate"/>
    </w:r>
    <w:r w:rsidR="00731CA6">
      <w:rPr>
        <w:lang w:val="en-US"/>
      </w:rPr>
      <w:t>ECE/TRANS/180/Add.15/Amend.4</w:t>
    </w:r>
    <w:r>
      <w:fldChar w:fldCharType="end"/>
    </w:r>
    <w:r w:rsidRPr="0007537F">
      <w:rPr>
        <w:lang w:val="en-US"/>
      </w:rPr>
      <w:br/>
      <w:t>Annexe</w:t>
    </w:r>
    <w:r>
      <w:rPr>
        <w:lang w:val="en-US"/>
      </w:rPr>
      <w:t xml:space="preserve"> 8 − </w:t>
    </w:r>
    <w:r w:rsidRPr="00B404EC">
      <w:rPr>
        <w:lang w:val="en-US"/>
      </w:rPr>
      <w:t>Appendice </w:t>
    </w:r>
    <w:r>
      <w:rPr>
        <w:lang w:val="en-US"/>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F39" w:rsidRPr="0007537F" w:rsidRDefault="00D53F39" w:rsidP="0007537F">
    <w:pPr>
      <w:pStyle w:val="Header"/>
      <w:rPr>
        <w:lang w:val="en-US"/>
      </w:rPr>
    </w:pPr>
    <w:r>
      <w:fldChar w:fldCharType="begin"/>
    </w:r>
    <w:r w:rsidRPr="0007537F">
      <w:rPr>
        <w:lang w:val="en-US"/>
      </w:rPr>
      <w:instrText xml:space="preserve"> TITLE  \* MERGEFORMAT </w:instrText>
    </w:r>
    <w:r>
      <w:fldChar w:fldCharType="separate"/>
    </w:r>
    <w:r w:rsidR="00731CA6">
      <w:rPr>
        <w:lang w:val="en-US"/>
      </w:rPr>
      <w:t>ECE/TRANS/180/Add.15/Amend.4</w:t>
    </w:r>
    <w:r>
      <w:fldChar w:fldCharType="end"/>
    </w:r>
    <w:r w:rsidRPr="0007537F">
      <w:rPr>
        <w:lang w:val="en-US"/>
      </w:rPr>
      <w:br/>
      <w:t>Annexe 1</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F39" w:rsidRPr="00B404EC" w:rsidRDefault="00D53F39" w:rsidP="00E24DB7">
    <w:pPr>
      <w:pStyle w:val="Header"/>
      <w:jc w:val="right"/>
      <w:rPr>
        <w:lang w:val="en-US"/>
      </w:rPr>
    </w:pPr>
    <w:r>
      <w:fldChar w:fldCharType="begin"/>
    </w:r>
    <w:r w:rsidRPr="0007537F">
      <w:rPr>
        <w:lang w:val="en-US"/>
      </w:rPr>
      <w:instrText xml:space="preserve"> TITLE  \* MERGEFORMAT </w:instrText>
    </w:r>
    <w:r>
      <w:fldChar w:fldCharType="separate"/>
    </w:r>
    <w:r w:rsidR="00731CA6">
      <w:rPr>
        <w:lang w:val="en-US"/>
      </w:rPr>
      <w:t>ECE/TRANS/180/Add.15/Amend.4</w:t>
    </w:r>
    <w:r>
      <w:fldChar w:fldCharType="end"/>
    </w:r>
    <w:r w:rsidRPr="0007537F">
      <w:rPr>
        <w:lang w:val="en-US"/>
      </w:rPr>
      <w:br/>
      <w:t>Annexe</w:t>
    </w:r>
    <w:r>
      <w:rPr>
        <w:lang w:val="en-US"/>
      </w:rPr>
      <w:t xml:space="preserve"> 8 − </w:t>
    </w:r>
    <w:r w:rsidRPr="00B404EC">
      <w:rPr>
        <w:lang w:val="en-US"/>
      </w:rPr>
      <w:t>Appendice </w:t>
    </w:r>
    <w:r>
      <w:rPr>
        <w:lang w:val="en-US"/>
      </w:rPr>
      <w:t>3</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F39" w:rsidRPr="00B404EC" w:rsidRDefault="00D53F39" w:rsidP="0007537F">
    <w:pPr>
      <w:pStyle w:val="Header"/>
      <w:rPr>
        <w:lang w:val="en-US"/>
      </w:rPr>
    </w:pPr>
    <w:r>
      <w:fldChar w:fldCharType="begin"/>
    </w:r>
    <w:r w:rsidRPr="0007537F">
      <w:rPr>
        <w:lang w:val="en-US"/>
      </w:rPr>
      <w:instrText xml:space="preserve"> TITLE  \* MERGEFORMAT </w:instrText>
    </w:r>
    <w:r>
      <w:fldChar w:fldCharType="separate"/>
    </w:r>
    <w:r w:rsidR="00731CA6">
      <w:rPr>
        <w:lang w:val="en-US"/>
      </w:rPr>
      <w:t>ECE/TRANS/180/Add.15/Amend.4</w:t>
    </w:r>
    <w:r>
      <w:fldChar w:fldCharType="end"/>
    </w:r>
    <w:r w:rsidRPr="0007537F">
      <w:rPr>
        <w:lang w:val="en-US"/>
      </w:rPr>
      <w:br/>
      <w:t>Annexe</w:t>
    </w:r>
    <w:r>
      <w:rPr>
        <w:lang w:val="en-US"/>
      </w:rPr>
      <w:t xml:space="preserve"> 8 − </w:t>
    </w:r>
    <w:r w:rsidRPr="00B404EC">
      <w:rPr>
        <w:lang w:val="en-US"/>
      </w:rPr>
      <w:t>Appendice </w:t>
    </w:r>
    <w:r>
      <w:rPr>
        <w:lang w:val="en-US"/>
      </w:rPr>
      <w:t>4</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F39" w:rsidRPr="00B404EC" w:rsidRDefault="00D53F39" w:rsidP="00E24DB7">
    <w:pPr>
      <w:pStyle w:val="Header"/>
      <w:jc w:val="right"/>
      <w:rPr>
        <w:lang w:val="en-US"/>
      </w:rPr>
    </w:pPr>
    <w:r>
      <w:fldChar w:fldCharType="begin"/>
    </w:r>
    <w:r w:rsidRPr="0007537F">
      <w:rPr>
        <w:lang w:val="en-US"/>
      </w:rPr>
      <w:instrText xml:space="preserve"> TITLE  \* MERGEFORMAT </w:instrText>
    </w:r>
    <w:r>
      <w:fldChar w:fldCharType="separate"/>
    </w:r>
    <w:r w:rsidR="00731CA6">
      <w:rPr>
        <w:lang w:val="en-US"/>
      </w:rPr>
      <w:t>ECE/TRANS/180/Add.15/Amend.4</w:t>
    </w:r>
    <w:r>
      <w:fldChar w:fldCharType="end"/>
    </w:r>
    <w:r w:rsidRPr="0007537F">
      <w:rPr>
        <w:lang w:val="en-US"/>
      </w:rPr>
      <w:br/>
      <w:t>Annexe</w:t>
    </w:r>
    <w:r>
      <w:rPr>
        <w:lang w:val="en-US"/>
      </w:rPr>
      <w:t xml:space="preserve"> 8 − </w:t>
    </w:r>
    <w:r w:rsidRPr="00B404EC">
      <w:rPr>
        <w:lang w:val="en-US"/>
      </w:rPr>
      <w:t>Appendice </w:t>
    </w:r>
    <w:r>
      <w:rPr>
        <w:lang w:val="en-US"/>
      </w:rPr>
      <w:t>4</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F39" w:rsidRPr="00B404EC" w:rsidRDefault="00D53F39" w:rsidP="0007537F">
    <w:pPr>
      <w:pStyle w:val="Header"/>
      <w:rPr>
        <w:lang w:val="en-US"/>
      </w:rPr>
    </w:pPr>
    <w:r>
      <w:fldChar w:fldCharType="begin"/>
    </w:r>
    <w:r w:rsidRPr="0007537F">
      <w:rPr>
        <w:lang w:val="en-US"/>
      </w:rPr>
      <w:instrText xml:space="preserve"> TITLE  \* MERGEFORMAT </w:instrText>
    </w:r>
    <w:r>
      <w:fldChar w:fldCharType="separate"/>
    </w:r>
    <w:r w:rsidR="00731CA6">
      <w:rPr>
        <w:lang w:val="en-US"/>
      </w:rPr>
      <w:t>ECE/TRANS/180/Add.15/Amend.4</w:t>
    </w:r>
    <w:r>
      <w:fldChar w:fldCharType="end"/>
    </w:r>
    <w:r w:rsidRPr="0007537F">
      <w:rPr>
        <w:lang w:val="en-US"/>
      </w:rPr>
      <w:br/>
      <w:t>Annexe</w:t>
    </w:r>
    <w:r>
      <w:rPr>
        <w:lang w:val="en-US"/>
      </w:rPr>
      <w:t xml:space="preserve"> 8 − </w:t>
    </w:r>
    <w:r w:rsidRPr="00B404EC">
      <w:rPr>
        <w:lang w:val="en-US"/>
      </w:rPr>
      <w:t>Appendice </w:t>
    </w:r>
    <w:r w:rsidR="00B33329">
      <w:rPr>
        <w:lang w:val="en-US"/>
      </w:rPr>
      <w:t>5</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F39" w:rsidRPr="00B404EC" w:rsidRDefault="00D53F39" w:rsidP="00E24DB7">
    <w:pPr>
      <w:pStyle w:val="Header"/>
      <w:jc w:val="right"/>
      <w:rPr>
        <w:lang w:val="en-US"/>
      </w:rPr>
    </w:pPr>
    <w:r>
      <w:fldChar w:fldCharType="begin"/>
    </w:r>
    <w:r w:rsidRPr="0007537F">
      <w:rPr>
        <w:lang w:val="en-US"/>
      </w:rPr>
      <w:instrText xml:space="preserve"> TITLE  \* MERGEFORMAT </w:instrText>
    </w:r>
    <w:r>
      <w:fldChar w:fldCharType="separate"/>
    </w:r>
    <w:r w:rsidR="00731CA6">
      <w:rPr>
        <w:lang w:val="en-US"/>
      </w:rPr>
      <w:t>ECE/TRANS/180/Add.15/Amend.4</w:t>
    </w:r>
    <w:r>
      <w:fldChar w:fldCharType="end"/>
    </w:r>
    <w:r w:rsidRPr="0007537F">
      <w:rPr>
        <w:lang w:val="en-US"/>
      </w:rPr>
      <w:br/>
      <w:t>Annexe</w:t>
    </w:r>
    <w:r>
      <w:rPr>
        <w:lang w:val="en-US"/>
      </w:rPr>
      <w:t xml:space="preserve"> 8 − </w:t>
    </w:r>
    <w:r w:rsidRPr="00B404EC">
      <w:rPr>
        <w:lang w:val="en-US"/>
      </w:rPr>
      <w:t>Appendice </w:t>
    </w:r>
    <w:r>
      <w:rPr>
        <w:lang w:val="en-US"/>
      </w:rPr>
      <w:t>5</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F39" w:rsidRPr="00B404EC" w:rsidRDefault="00D53F39" w:rsidP="0007537F">
    <w:pPr>
      <w:pStyle w:val="Header"/>
      <w:rPr>
        <w:lang w:val="en-US"/>
      </w:rPr>
    </w:pPr>
    <w:r>
      <w:fldChar w:fldCharType="begin"/>
    </w:r>
    <w:r w:rsidRPr="0007537F">
      <w:rPr>
        <w:lang w:val="en-US"/>
      </w:rPr>
      <w:instrText xml:space="preserve"> TITLE  \* MERGEFORMAT </w:instrText>
    </w:r>
    <w:r>
      <w:fldChar w:fldCharType="separate"/>
    </w:r>
    <w:r w:rsidR="00731CA6">
      <w:rPr>
        <w:lang w:val="en-US"/>
      </w:rPr>
      <w:t>ECE/TRANS/180/Add.15/Amend.4</w:t>
    </w:r>
    <w:r>
      <w:fldChar w:fldCharType="end"/>
    </w:r>
    <w:r w:rsidRPr="0007537F">
      <w:rPr>
        <w:lang w:val="en-US"/>
      </w:rPr>
      <w:br/>
      <w:t>Annexe</w:t>
    </w:r>
    <w:r>
      <w:rPr>
        <w:lang w:val="en-US"/>
      </w:rPr>
      <w:t xml:space="preserve"> 8 − </w:t>
    </w:r>
    <w:r w:rsidRPr="00B404EC">
      <w:rPr>
        <w:lang w:val="en-US"/>
      </w:rPr>
      <w:t>Appendice </w:t>
    </w:r>
    <w:r>
      <w:rPr>
        <w:lang w:val="en-US"/>
      </w:rPr>
      <w:t>6</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F39" w:rsidRPr="00B404EC" w:rsidRDefault="00D53F39" w:rsidP="00E24DB7">
    <w:pPr>
      <w:pStyle w:val="Header"/>
      <w:jc w:val="right"/>
      <w:rPr>
        <w:lang w:val="en-US"/>
      </w:rPr>
    </w:pPr>
    <w:r>
      <w:fldChar w:fldCharType="begin"/>
    </w:r>
    <w:r w:rsidRPr="0007537F">
      <w:rPr>
        <w:lang w:val="en-US"/>
      </w:rPr>
      <w:instrText xml:space="preserve"> TITLE  \* MERGEFORMAT </w:instrText>
    </w:r>
    <w:r>
      <w:fldChar w:fldCharType="separate"/>
    </w:r>
    <w:r w:rsidR="00731CA6">
      <w:rPr>
        <w:lang w:val="en-US"/>
      </w:rPr>
      <w:t>ECE/TRANS/180/Add.15/Amend.4</w:t>
    </w:r>
    <w:r>
      <w:fldChar w:fldCharType="end"/>
    </w:r>
    <w:r w:rsidRPr="0007537F">
      <w:rPr>
        <w:lang w:val="en-US"/>
      </w:rPr>
      <w:br/>
      <w:t>Annexe</w:t>
    </w:r>
    <w:r>
      <w:rPr>
        <w:lang w:val="en-US"/>
      </w:rPr>
      <w:t xml:space="preserve"> 8 − </w:t>
    </w:r>
    <w:r w:rsidRPr="00B404EC">
      <w:rPr>
        <w:lang w:val="en-US"/>
      </w:rPr>
      <w:t>Appendice </w:t>
    </w:r>
    <w:r>
      <w:rPr>
        <w:lang w:val="en-US"/>
      </w:rPr>
      <w:t>6</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F39" w:rsidRPr="00B404EC" w:rsidRDefault="00D53F39" w:rsidP="0007537F">
    <w:pPr>
      <w:pStyle w:val="Header"/>
      <w:rPr>
        <w:lang w:val="en-US"/>
      </w:rPr>
    </w:pPr>
    <w:r>
      <w:fldChar w:fldCharType="begin"/>
    </w:r>
    <w:r w:rsidRPr="0007537F">
      <w:rPr>
        <w:lang w:val="en-US"/>
      </w:rPr>
      <w:instrText xml:space="preserve"> TITLE  \* MERGEFORMAT </w:instrText>
    </w:r>
    <w:r>
      <w:fldChar w:fldCharType="separate"/>
    </w:r>
    <w:r w:rsidR="00731CA6">
      <w:rPr>
        <w:lang w:val="en-US"/>
      </w:rPr>
      <w:t>ECE/TRANS/180/Add.15/Amend.4</w:t>
    </w:r>
    <w:r>
      <w:fldChar w:fldCharType="end"/>
    </w:r>
    <w:r w:rsidRPr="0007537F">
      <w:rPr>
        <w:lang w:val="en-US"/>
      </w:rPr>
      <w:br/>
      <w:t>Annexe</w:t>
    </w:r>
    <w:r>
      <w:rPr>
        <w:lang w:val="en-US"/>
      </w:rPr>
      <w:t xml:space="preserve"> 8 − </w:t>
    </w:r>
    <w:r w:rsidRPr="00B404EC">
      <w:rPr>
        <w:lang w:val="en-US"/>
      </w:rPr>
      <w:t>Appendice </w:t>
    </w:r>
    <w:r>
      <w:rPr>
        <w:lang w:val="en-US"/>
      </w:rPr>
      <w:t>7</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F39" w:rsidRPr="00B404EC" w:rsidRDefault="00D53F39" w:rsidP="00E24DB7">
    <w:pPr>
      <w:pStyle w:val="Header"/>
      <w:jc w:val="right"/>
      <w:rPr>
        <w:lang w:val="en-US"/>
      </w:rPr>
    </w:pPr>
    <w:r>
      <w:fldChar w:fldCharType="begin"/>
    </w:r>
    <w:r w:rsidRPr="0007537F">
      <w:rPr>
        <w:lang w:val="en-US"/>
      </w:rPr>
      <w:instrText xml:space="preserve"> TITLE  \* MERGEFORMAT </w:instrText>
    </w:r>
    <w:r>
      <w:fldChar w:fldCharType="separate"/>
    </w:r>
    <w:r w:rsidR="00731CA6">
      <w:rPr>
        <w:lang w:val="en-US"/>
      </w:rPr>
      <w:t>ECE/TRANS/180/Add.15/Amend.4</w:t>
    </w:r>
    <w:r>
      <w:fldChar w:fldCharType="end"/>
    </w:r>
    <w:r w:rsidRPr="0007537F">
      <w:rPr>
        <w:lang w:val="en-US"/>
      </w:rPr>
      <w:br/>
      <w:t>Annexe</w:t>
    </w:r>
    <w:r>
      <w:rPr>
        <w:lang w:val="en-US"/>
      </w:rPr>
      <w:t xml:space="preserve"> 8 − </w:t>
    </w:r>
    <w:r w:rsidRPr="00B404EC">
      <w:rPr>
        <w:lang w:val="en-US"/>
      </w:rPr>
      <w:t>Appendice </w:t>
    </w:r>
    <w:r>
      <w:rPr>
        <w:lang w:val="en-US"/>
      </w:rPr>
      <w:t>7</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F39" w:rsidRPr="00B404EC" w:rsidRDefault="00D53F39" w:rsidP="0007537F">
    <w:pPr>
      <w:pStyle w:val="Header"/>
      <w:rPr>
        <w:lang w:val="en-US"/>
      </w:rPr>
    </w:pPr>
    <w:r>
      <w:fldChar w:fldCharType="begin"/>
    </w:r>
    <w:r w:rsidRPr="0007537F">
      <w:rPr>
        <w:lang w:val="en-US"/>
      </w:rPr>
      <w:instrText xml:space="preserve"> TITLE  \* MERGEFORMAT </w:instrText>
    </w:r>
    <w:r>
      <w:fldChar w:fldCharType="separate"/>
    </w:r>
    <w:r w:rsidR="00731CA6">
      <w:rPr>
        <w:lang w:val="en-US"/>
      </w:rPr>
      <w:t>ECE/TRANS/180/Add.15/Amend.4</w:t>
    </w:r>
    <w:r>
      <w:fldChar w:fldCharType="end"/>
    </w:r>
    <w:r w:rsidRPr="0007537F">
      <w:rPr>
        <w:lang w:val="en-US"/>
      </w:rPr>
      <w:br/>
      <w:t>Annexe</w:t>
    </w:r>
    <w:r>
      <w:rPr>
        <w:lang w:val="en-US"/>
      </w:rPr>
      <w:t> 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F39" w:rsidRPr="0007537F" w:rsidRDefault="00D53F39" w:rsidP="00E24DB7">
    <w:pPr>
      <w:pStyle w:val="Header"/>
      <w:jc w:val="right"/>
      <w:rPr>
        <w:lang w:val="en-US"/>
      </w:rPr>
    </w:pPr>
    <w:r>
      <w:fldChar w:fldCharType="begin"/>
    </w:r>
    <w:r w:rsidRPr="0007537F">
      <w:rPr>
        <w:lang w:val="en-US"/>
      </w:rPr>
      <w:instrText xml:space="preserve"> TITLE  \* MERGEFORMAT </w:instrText>
    </w:r>
    <w:r>
      <w:fldChar w:fldCharType="separate"/>
    </w:r>
    <w:r w:rsidR="00731CA6">
      <w:rPr>
        <w:lang w:val="en-US"/>
      </w:rPr>
      <w:t>ECE/TRANS/180/Add.15/Amend.4</w:t>
    </w:r>
    <w:r>
      <w:fldChar w:fldCharType="end"/>
    </w:r>
    <w:r w:rsidRPr="0007537F">
      <w:rPr>
        <w:lang w:val="en-US"/>
      </w:rPr>
      <w:br/>
      <w:t>Annexe 1</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F39" w:rsidRPr="00B404EC" w:rsidRDefault="00D53F39" w:rsidP="00E24DB7">
    <w:pPr>
      <w:pStyle w:val="Header"/>
      <w:jc w:val="right"/>
      <w:rPr>
        <w:lang w:val="en-US"/>
      </w:rPr>
    </w:pPr>
    <w:r>
      <w:fldChar w:fldCharType="begin"/>
    </w:r>
    <w:r w:rsidRPr="0007537F">
      <w:rPr>
        <w:lang w:val="en-US"/>
      </w:rPr>
      <w:instrText xml:space="preserve"> TITLE  \* MERGEFORMAT </w:instrText>
    </w:r>
    <w:r>
      <w:fldChar w:fldCharType="separate"/>
    </w:r>
    <w:r w:rsidR="00731CA6">
      <w:rPr>
        <w:lang w:val="en-US"/>
      </w:rPr>
      <w:t>ECE/TRANS/180/Add.15/Amend.4</w:t>
    </w:r>
    <w:r>
      <w:fldChar w:fldCharType="end"/>
    </w:r>
    <w:r w:rsidRPr="0007537F">
      <w:rPr>
        <w:lang w:val="en-US"/>
      </w:rPr>
      <w:br/>
      <w:t>Annexe</w:t>
    </w:r>
    <w:r>
      <w:rPr>
        <w:lang w:val="en-US"/>
      </w:rPr>
      <w:t> 9</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F39" w:rsidRPr="0007537F" w:rsidRDefault="00D53F39" w:rsidP="0007537F">
    <w:pPr>
      <w:pStyle w:val="Header"/>
      <w:rPr>
        <w:lang w:val="en-US"/>
      </w:rPr>
    </w:pPr>
    <w:r>
      <w:fldChar w:fldCharType="begin"/>
    </w:r>
    <w:r w:rsidRPr="0007537F">
      <w:rPr>
        <w:lang w:val="en-US"/>
      </w:rPr>
      <w:instrText xml:space="preserve"> TITLE  \* MERGEFORMAT </w:instrText>
    </w:r>
    <w:r>
      <w:fldChar w:fldCharType="separate"/>
    </w:r>
    <w:r w:rsidR="00731CA6">
      <w:rPr>
        <w:lang w:val="en-US"/>
      </w:rPr>
      <w:t>ECE/TRANS/180/Add.15/Amend.4</w:t>
    </w:r>
    <w:r>
      <w:fldChar w:fldCharType="end"/>
    </w:r>
    <w:r w:rsidRPr="0007537F">
      <w:rPr>
        <w:lang w:val="en-US"/>
      </w:rPr>
      <w:br/>
      <w:t xml:space="preserve">Annexe </w:t>
    </w:r>
    <w:r>
      <w:rPr>
        <w:lang w:val="en-US"/>
      </w:rPr>
      <w:t>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F39" w:rsidRPr="0007537F" w:rsidRDefault="00D53F39" w:rsidP="00E24DB7">
    <w:pPr>
      <w:pStyle w:val="Header"/>
      <w:jc w:val="right"/>
      <w:rPr>
        <w:lang w:val="en-US"/>
      </w:rPr>
    </w:pPr>
    <w:r>
      <w:fldChar w:fldCharType="begin"/>
    </w:r>
    <w:r w:rsidRPr="0007537F">
      <w:rPr>
        <w:lang w:val="en-US"/>
      </w:rPr>
      <w:instrText xml:space="preserve"> TITLE  \* MERGEFORMAT </w:instrText>
    </w:r>
    <w:r>
      <w:fldChar w:fldCharType="separate"/>
    </w:r>
    <w:r w:rsidR="00731CA6">
      <w:rPr>
        <w:lang w:val="en-US"/>
      </w:rPr>
      <w:t>ECE/TRANS/180/Add.15/Amend.4</w:t>
    </w:r>
    <w:r>
      <w:fldChar w:fldCharType="end"/>
    </w:r>
    <w:r w:rsidRPr="0007537F">
      <w:rPr>
        <w:lang w:val="en-US"/>
      </w:rPr>
      <w:br/>
      <w:t xml:space="preserve">Annexe </w:t>
    </w:r>
    <w:r>
      <w:rPr>
        <w:lang w:val="en-US"/>
      </w:rPr>
      <w:t>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F39" w:rsidRPr="0007537F" w:rsidRDefault="00D53F39" w:rsidP="0007537F">
    <w:pPr>
      <w:pStyle w:val="Header"/>
      <w:rPr>
        <w:lang w:val="en-US"/>
      </w:rPr>
    </w:pPr>
    <w:r>
      <w:fldChar w:fldCharType="begin"/>
    </w:r>
    <w:r w:rsidRPr="0007537F">
      <w:rPr>
        <w:lang w:val="en-US"/>
      </w:rPr>
      <w:instrText xml:space="preserve"> TITLE  \* MERGEFORMAT </w:instrText>
    </w:r>
    <w:r>
      <w:fldChar w:fldCharType="separate"/>
    </w:r>
    <w:r w:rsidR="00731CA6">
      <w:rPr>
        <w:lang w:val="en-US"/>
      </w:rPr>
      <w:t>ECE/TRANS/180/Add.15/Amend.4</w:t>
    </w:r>
    <w:r>
      <w:fldChar w:fldCharType="end"/>
    </w:r>
    <w:r w:rsidRPr="0007537F">
      <w:rPr>
        <w:lang w:val="en-US"/>
      </w:rPr>
      <w:br/>
      <w:t xml:space="preserve">Annexe </w:t>
    </w:r>
    <w:r>
      <w:rPr>
        <w:lang w:val="en-US"/>
      </w:rPr>
      <w:t>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F39" w:rsidRPr="0007537F" w:rsidRDefault="00D53F39" w:rsidP="00E24DB7">
    <w:pPr>
      <w:pStyle w:val="Header"/>
      <w:jc w:val="right"/>
      <w:rPr>
        <w:lang w:val="en-US"/>
      </w:rPr>
    </w:pPr>
    <w:r>
      <w:fldChar w:fldCharType="begin"/>
    </w:r>
    <w:r w:rsidRPr="0007537F">
      <w:rPr>
        <w:lang w:val="en-US"/>
      </w:rPr>
      <w:instrText xml:space="preserve"> TITLE  \* MERGEFORMAT </w:instrText>
    </w:r>
    <w:r>
      <w:fldChar w:fldCharType="separate"/>
    </w:r>
    <w:r w:rsidR="00731CA6">
      <w:rPr>
        <w:lang w:val="en-US"/>
      </w:rPr>
      <w:t>ECE/TRANS/180/Add.15/Amend.4</w:t>
    </w:r>
    <w:r>
      <w:fldChar w:fldCharType="end"/>
    </w:r>
    <w:r w:rsidRPr="0007537F">
      <w:rPr>
        <w:lang w:val="en-US"/>
      </w:rPr>
      <w:br/>
      <w:t xml:space="preserve">Annexe </w:t>
    </w:r>
    <w:r>
      <w:rPr>
        <w:lang w:val="en-US"/>
      </w:rPr>
      <w:t>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F39" w:rsidRPr="0007537F" w:rsidRDefault="00D53F39" w:rsidP="0007537F">
    <w:pPr>
      <w:pStyle w:val="Header"/>
      <w:rPr>
        <w:lang w:val="en-US"/>
      </w:rPr>
    </w:pPr>
    <w:r>
      <w:fldChar w:fldCharType="begin"/>
    </w:r>
    <w:r w:rsidRPr="0007537F">
      <w:rPr>
        <w:lang w:val="en-US"/>
      </w:rPr>
      <w:instrText xml:space="preserve"> TITLE  \* MERGEFORMAT </w:instrText>
    </w:r>
    <w:r>
      <w:fldChar w:fldCharType="separate"/>
    </w:r>
    <w:r w:rsidR="00731CA6">
      <w:rPr>
        <w:lang w:val="en-US"/>
      </w:rPr>
      <w:t>ECE/TRANS/180/Add.15/Amend.4</w:t>
    </w:r>
    <w:r>
      <w:fldChar w:fldCharType="end"/>
    </w:r>
    <w:r w:rsidRPr="0007537F">
      <w:rPr>
        <w:lang w:val="en-US"/>
      </w:rPr>
      <w:br/>
      <w:t xml:space="preserve">Annexe </w:t>
    </w:r>
    <w:r>
      <w:rPr>
        <w:lang w:val="en-US"/>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1F163804"/>
    <w:multiLevelType w:val="hybridMultilevel"/>
    <w:tmpl w:val="3FD65930"/>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5A659F0"/>
    <w:multiLevelType w:val="hybridMultilevel"/>
    <w:tmpl w:val="49A6FBA2"/>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4" w15:restartNumberingAfterBreak="0">
    <w:nsid w:val="525F52A1"/>
    <w:multiLevelType w:val="hybridMultilevel"/>
    <w:tmpl w:val="654C8C62"/>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2607AB2"/>
    <w:multiLevelType w:val="hybridMultilevel"/>
    <w:tmpl w:val="A04AD898"/>
    <w:lvl w:ilvl="0" w:tplc="100C0001">
      <w:start w:val="1"/>
      <w:numFmt w:val="bullet"/>
      <w:lvlText w:val=""/>
      <w:lvlJc w:val="left"/>
      <w:pPr>
        <w:ind w:left="777" w:hanging="360"/>
      </w:pPr>
      <w:rPr>
        <w:rFonts w:ascii="Symbol" w:hAnsi="Symbol" w:hint="default"/>
      </w:rPr>
    </w:lvl>
    <w:lvl w:ilvl="1" w:tplc="100C0003" w:tentative="1">
      <w:start w:val="1"/>
      <w:numFmt w:val="bullet"/>
      <w:lvlText w:val="o"/>
      <w:lvlJc w:val="left"/>
      <w:pPr>
        <w:ind w:left="1497" w:hanging="360"/>
      </w:pPr>
      <w:rPr>
        <w:rFonts w:ascii="Courier New" w:hAnsi="Courier New" w:cs="Courier New" w:hint="default"/>
      </w:rPr>
    </w:lvl>
    <w:lvl w:ilvl="2" w:tplc="100C0005" w:tentative="1">
      <w:start w:val="1"/>
      <w:numFmt w:val="bullet"/>
      <w:lvlText w:val=""/>
      <w:lvlJc w:val="left"/>
      <w:pPr>
        <w:ind w:left="2217" w:hanging="360"/>
      </w:pPr>
      <w:rPr>
        <w:rFonts w:ascii="Wingdings" w:hAnsi="Wingdings" w:hint="default"/>
      </w:rPr>
    </w:lvl>
    <w:lvl w:ilvl="3" w:tplc="100C0001" w:tentative="1">
      <w:start w:val="1"/>
      <w:numFmt w:val="bullet"/>
      <w:lvlText w:val=""/>
      <w:lvlJc w:val="left"/>
      <w:pPr>
        <w:ind w:left="2937" w:hanging="360"/>
      </w:pPr>
      <w:rPr>
        <w:rFonts w:ascii="Symbol" w:hAnsi="Symbol" w:hint="default"/>
      </w:rPr>
    </w:lvl>
    <w:lvl w:ilvl="4" w:tplc="100C0003" w:tentative="1">
      <w:start w:val="1"/>
      <w:numFmt w:val="bullet"/>
      <w:lvlText w:val="o"/>
      <w:lvlJc w:val="left"/>
      <w:pPr>
        <w:ind w:left="3657" w:hanging="360"/>
      </w:pPr>
      <w:rPr>
        <w:rFonts w:ascii="Courier New" w:hAnsi="Courier New" w:cs="Courier New" w:hint="default"/>
      </w:rPr>
    </w:lvl>
    <w:lvl w:ilvl="5" w:tplc="100C0005" w:tentative="1">
      <w:start w:val="1"/>
      <w:numFmt w:val="bullet"/>
      <w:lvlText w:val=""/>
      <w:lvlJc w:val="left"/>
      <w:pPr>
        <w:ind w:left="4377" w:hanging="360"/>
      </w:pPr>
      <w:rPr>
        <w:rFonts w:ascii="Wingdings" w:hAnsi="Wingdings" w:hint="default"/>
      </w:rPr>
    </w:lvl>
    <w:lvl w:ilvl="6" w:tplc="100C0001" w:tentative="1">
      <w:start w:val="1"/>
      <w:numFmt w:val="bullet"/>
      <w:lvlText w:val=""/>
      <w:lvlJc w:val="left"/>
      <w:pPr>
        <w:ind w:left="5097" w:hanging="360"/>
      </w:pPr>
      <w:rPr>
        <w:rFonts w:ascii="Symbol" w:hAnsi="Symbol" w:hint="default"/>
      </w:rPr>
    </w:lvl>
    <w:lvl w:ilvl="7" w:tplc="100C0003" w:tentative="1">
      <w:start w:val="1"/>
      <w:numFmt w:val="bullet"/>
      <w:lvlText w:val="o"/>
      <w:lvlJc w:val="left"/>
      <w:pPr>
        <w:ind w:left="5817" w:hanging="360"/>
      </w:pPr>
      <w:rPr>
        <w:rFonts w:ascii="Courier New" w:hAnsi="Courier New" w:cs="Courier New" w:hint="default"/>
      </w:rPr>
    </w:lvl>
    <w:lvl w:ilvl="8" w:tplc="100C0005" w:tentative="1">
      <w:start w:val="1"/>
      <w:numFmt w:val="bullet"/>
      <w:lvlText w:val=""/>
      <w:lvlJc w:val="left"/>
      <w:pPr>
        <w:ind w:left="6537" w:hanging="360"/>
      </w:pPr>
      <w:rPr>
        <w:rFonts w:ascii="Wingdings" w:hAnsi="Wingdings" w:hint="default"/>
      </w:rPr>
    </w:lvl>
  </w:abstractNum>
  <w:abstractNum w:abstractNumId="16" w15:restartNumberingAfterBreak="0">
    <w:nsid w:val="5319292A"/>
    <w:multiLevelType w:val="hybridMultilevel"/>
    <w:tmpl w:val="8E12AA18"/>
    <w:lvl w:ilvl="0" w:tplc="2328FEB8">
      <w:start w:val="1"/>
      <w:numFmt w:val="bullet"/>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976546A"/>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5925DC1"/>
    <w:multiLevelType w:val="hybridMultilevel"/>
    <w:tmpl w:val="FAA66F24"/>
    <w:lvl w:ilvl="0" w:tplc="8C4849AC">
      <w:numFmt w:val="decimal"/>
      <w:lvlText w:val=""/>
      <w:lvlJc w:val="left"/>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19"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0" w15:restartNumberingAfterBreak="0">
    <w:nsid w:val="75E223DA"/>
    <w:multiLevelType w:val="hybridMultilevel"/>
    <w:tmpl w:val="5B7ACB42"/>
    <w:lvl w:ilvl="0" w:tplc="3A60C988">
      <w:numFmt w:val="decimal"/>
      <w:lvlText w:val=""/>
      <w:lvlJc w:val="left"/>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21" w15:restartNumberingAfterBreak="0">
    <w:nsid w:val="7AFB38E9"/>
    <w:multiLevelType w:val="hybridMultilevel"/>
    <w:tmpl w:val="E74A8170"/>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3"/>
  </w:num>
  <w:num w:numId="3">
    <w:abstractNumId w:val="10"/>
  </w:num>
  <w:num w:numId="4">
    <w:abstractNumId w:val="19"/>
  </w:num>
  <w:num w:numId="5">
    <w:abstractNumId w:val="13"/>
  </w:num>
  <w:num w:numId="6">
    <w:abstractNumId w:val="10"/>
  </w:num>
  <w:num w:numId="7">
    <w:abstractNumId w:val="8"/>
  </w:num>
  <w:num w:numId="8">
    <w:abstractNumId w:val="3"/>
  </w:num>
  <w:num w:numId="9">
    <w:abstractNumId w:val="2"/>
  </w:num>
  <w:num w:numId="10">
    <w:abstractNumId w:val="1"/>
  </w:num>
  <w:num w:numId="11">
    <w:abstractNumId w:val="0"/>
  </w:num>
  <w:num w:numId="12">
    <w:abstractNumId w:val="9"/>
  </w:num>
  <w:num w:numId="13">
    <w:abstractNumId w:val="7"/>
  </w:num>
  <w:num w:numId="14">
    <w:abstractNumId w:val="6"/>
  </w:num>
  <w:num w:numId="15">
    <w:abstractNumId w:val="5"/>
  </w:num>
  <w:num w:numId="16">
    <w:abstractNumId w:val="4"/>
  </w:num>
  <w:num w:numId="17">
    <w:abstractNumId w:val="14"/>
  </w:num>
  <w:num w:numId="18">
    <w:abstractNumId w:val="12"/>
  </w:num>
  <w:num w:numId="19">
    <w:abstractNumId w:val="11"/>
  </w:num>
  <w:num w:numId="20">
    <w:abstractNumId w:val="21"/>
  </w:num>
  <w:num w:numId="21">
    <w:abstractNumId w:val="15"/>
  </w:num>
  <w:num w:numId="22">
    <w:abstractNumId w:val="18"/>
  </w:num>
  <w:num w:numId="23">
    <w:abstractNumId w:val="20"/>
  </w:num>
  <w:num w:numId="24">
    <w:abstractNumId w:val="17"/>
  </w:num>
  <w:num w:numId="25">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5" w:nlCheck="1" w:checkStyle="1"/>
  <w:activeWritingStyle w:appName="MSWord" w:lang="fr-CH" w:vendorID="64" w:dllVersion="6" w:nlCheck="1" w:checkStyle="1"/>
  <w:activeWritingStyle w:appName="MSWord" w:lang="fr-CH" w:vendorID="64" w:dllVersion="0" w:nlCheck="1" w:checkStyle="0"/>
  <w:activeWritingStyle w:appName="MSWord" w:lang="en-US" w:vendorID="64" w:dllVersion="0" w:nlCheck="1" w:checkStyle="0"/>
  <w:activeWritingStyle w:appName="MSWord" w:lang="de-DE"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444"/>
    <w:rsid w:val="00010850"/>
    <w:rsid w:val="0001470D"/>
    <w:rsid w:val="00015953"/>
    <w:rsid w:val="00016165"/>
    <w:rsid w:val="00016AC5"/>
    <w:rsid w:val="00021126"/>
    <w:rsid w:val="00021907"/>
    <w:rsid w:val="000233A5"/>
    <w:rsid w:val="0002445D"/>
    <w:rsid w:val="00024C50"/>
    <w:rsid w:val="00025E92"/>
    <w:rsid w:val="000276A3"/>
    <w:rsid w:val="00032060"/>
    <w:rsid w:val="00040539"/>
    <w:rsid w:val="00040598"/>
    <w:rsid w:val="000460EF"/>
    <w:rsid w:val="00046731"/>
    <w:rsid w:val="00047F10"/>
    <w:rsid w:val="00052157"/>
    <w:rsid w:val="0005346D"/>
    <w:rsid w:val="00055FE4"/>
    <w:rsid w:val="000641CE"/>
    <w:rsid w:val="00067310"/>
    <w:rsid w:val="000725B5"/>
    <w:rsid w:val="0007537F"/>
    <w:rsid w:val="00077E35"/>
    <w:rsid w:val="0008669E"/>
    <w:rsid w:val="00090599"/>
    <w:rsid w:val="00092094"/>
    <w:rsid w:val="00092444"/>
    <w:rsid w:val="000A1501"/>
    <w:rsid w:val="000A2494"/>
    <w:rsid w:val="000A63CB"/>
    <w:rsid w:val="000A6B7E"/>
    <w:rsid w:val="000B0996"/>
    <w:rsid w:val="000B4750"/>
    <w:rsid w:val="000B5948"/>
    <w:rsid w:val="000C4171"/>
    <w:rsid w:val="000C6CDB"/>
    <w:rsid w:val="000C76A8"/>
    <w:rsid w:val="000D5C25"/>
    <w:rsid w:val="000E4F06"/>
    <w:rsid w:val="000E5601"/>
    <w:rsid w:val="000F41F2"/>
    <w:rsid w:val="000F50B5"/>
    <w:rsid w:val="000F782E"/>
    <w:rsid w:val="00100EC3"/>
    <w:rsid w:val="0010373B"/>
    <w:rsid w:val="00103FDF"/>
    <w:rsid w:val="0011415F"/>
    <w:rsid w:val="0011437F"/>
    <w:rsid w:val="00123066"/>
    <w:rsid w:val="00125446"/>
    <w:rsid w:val="0012653B"/>
    <w:rsid w:val="00130AFF"/>
    <w:rsid w:val="001358D9"/>
    <w:rsid w:val="00141E26"/>
    <w:rsid w:val="00143EB9"/>
    <w:rsid w:val="00152C5A"/>
    <w:rsid w:val="0015389C"/>
    <w:rsid w:val="001602F3"/>
    <w:rsid w:val="00160540"/>
    <w:rsid w:val="00161AC2"/>
    <w:rsid w:val="00166C68"/>
    <w:rsid w:val="00174814"/>
    <w:rsid w:val="00181A90"/>
    <w:rsid w:val="00190996"/>
    <w:rsid w:val="00190D5D"/>
    <w:rsid w:val="00192EEB"/>
    <w:rsid w:val="00194484"/>
    <w:rsid w:val="001967E7"/>
    <w:rsid w:val="001A2040"/>
    <w:rsid w:val="001A20FB"/>
    <w:rsid w:val="001A376F"/>
    <w:rsid w:val="001B09BB"/>
    <w:rsid w:val="001B34D7"/>
    <w:rsid w:val="001C30AB"/>
    <w:rsid w:val="001C3D8D"/>
    <w:rsid w:val="001C6497"/>
    <w:rsid w:val="001D7F8A"/>
    <w:rsid w:val="001E0447"/>
    <w:rsid w:val="001E1495"/>
    <w:rsid w:val="001E34CB"/>
    <w:rsid w:val="001E3FEB"/>
    <w:rsid w:val="001E4541"/>
    <w:rsid w:val="001E4A02"/>
    <w:rsid w:val="001E4E3F"/>
    <w:rsid w:val="001E653B"/>
    <w:rsid w:val="001E6DF0"/>
    <w:rsid w:val="001F3E68"/>
    <w:rsid w:val="001F4931"/>
    <w:rsid w:val="002000CD"/>
    <w:rsid w:val="00200CBA"/>
    <w:rsid w:val="00203449"/>
    <w:rsid w:val="00204B66"/>
    <w:rsid w:val="002059CE"/>
    <w:rsid w:val="00206AD4"/>
    <w:rsid w:val="00220AD2"/>
    <w:rsid w:val="00224B8B"/>
    <w:rsid w:val="00225A8C"/>
    <w:rsid w:val="00225E18"/>
    <w:rsid w:val="00227437"/>
    <w:rsid w:val="00230ED3"/>
    <w:rsid w:val="00231A7F"/>
    <w:rsid w:val="00242BBD"/>
    <w:rsid w:val="00244817"/>
    <w:rsid w:val="0024586F"/>
    <w:rsid w:val="00246BC8"/>
    <w:rsid w:val="00251F95"/>
    <w:rsid w:val="00252317"/>
    <w:rsid w:val="0025721F"/>
    <w:rsid w:val="002659F1"/>
    <w:rsid w:val="00267CF8"/>
    <w:rsid w:val="00271E41"/>
    <w:rsid w:val="00284C19"/>
    <w:rsid w:val="00286E23"/>
    <w:rsid w:val="002876A1"/>
    <w:rsid w:val="00287CA6"/>
    <w:rsid w:val="00287E79"/>
    <w:rsid w:val="002928F9"/>
    <w:rsid w:val="00294D5B"/>
    <w:rsid w:val="0029791D"/>
    <w:rsid w:val="002A2A2C"/>
    <w:rsid w:val="002A56DE"/>
    <w:rsid w:val="002A5D07"/>
    <w:rsid w:val="002B1B50"/>
    <w:rsid w:val="002C5876"/>
    <w:rsid w:val="002D1A8A"/>
    <w:rsid w:val="002D25CA"/>
    <w:rsid w:val="002D3DA4"/>
    <w:rsid w:val="002E2F5C"/>
    <w:rsid w:val="002F0C48"/>
    <w:rsid w:val="003016B7"/>
    <w:rsid w:val="0030754C"/>
    <w:rsid w:val="00317E54"/>
    <w:rsid w:val="00320A9D"/>
    <w:rsid w:val="003219BD"/>
    <w:rsid w:val="00322DF1"/>
    <w:rsid w:val="00324EBF"/>
    <w:rsid w:val="0032556C"/>
    <w:rsid w:val="00330508"/>
    <w:rsid w:val="0033286A"/>
    <w:rsid w:val="00333130"/>
    <w:rsid w:val="00346E32"/>
    <w:rsid w:val="00347360"/>
    <w:rsid w:val="003515AA"/>
    <w:rsid w:val="003559BE"/>
    <w:rsid w:val="00356443"/>
    <w:rsid w:val="003609C5"/>
    <w:rsid w:val="00364F13"/>
    <w:rsid w:val="0036776C"/>
    <w:rsid w:val="00372A7A"/>
    <w:rsid w:val="00372D1D"/>
    <w:rsid w:val="00374106"/>
    <w:rsid w:val="0037679A"/>
    <w:rsid w:val="00376FAC"/>
    <w:rsid w:val="0038047C"/>
    <w:rsid w:val="00382062"/>
    <w:rsid w:val="00387BE2"/>
    <w:rsid w:val="00390EEF"/>
    <w:rsid w:val="00394410"/>
    <w:rsid w:val="003953B0"/>
    <w:rsid w:val="003976D5"/>
    <w:rsid w:val="003B53B6"/>
    <w:rsid w:val="003C552E"/>
    <w:rsid w:val="003D6C68"/>
    <w:rsid w:val="003E01D0"/>
    <w:rsid w:val="003E49B9"/>
    <w:rsid w:val="003E5E5B"/>
    <w:rsid w:val="003E5F12"/>
    <w:rsid w:val="003E786C"/>
    <w:rsid w:val="003F2A89"/>
    <w:rsid w:val="003F39FC"/>
    <w:rsid w:val="003F4A54"/>
    <w:rsid w:val="0040144C"/>
    <w:rsid w:val="004067AE"/>
    <w:rsid w:val="0041018E"/>
    <w:rsid w:val="00410521"/>
    <w:rsid w:val="004117C1"/>
    <w:rsid w:val="00413BB0"/>
    <w:rsid w:val="004159D0"/>
    <w:rsid w:val="00417326"/>
    <w:rsid w:val="00421A10"/>
    <w:rsid w:val="00422499"/>
    <w:rsid w:val="00430EFC"/>
    <w:rsid w:val="004342E2"/>
    <w:rsid w:val="00434354"/>
    <w:rsid w:val="00440BC8"/>
    <w:rsid w:val="00441401"/>
    <w:rsid w:val="004479E7"/>
    <w:rsid w:val="00454F8D"/>
    <w:rsid w:val="004567EB"/>
    <w:rsid w:val="00460E72"/>
    <w:rsid w:val="00464191"/>
    <w:rsid w:val="00467412"/>
    <w:rsid w:val="00476265"/>
    <w:rsid w:val="0048069D"/>
    <w:rsid w:val="00481D5B"/>
    <w:rsid w:val="00486146"/>
    <w:rsid w:val="00490F56"/>
    <w:rsid w:val="00491F39"/>
    <w:rsid w:val="004A278B"/>
    <w:rsid w:val="004A49A5"/>
    <w:rsid w:val="004A66A2"/>
    <w:rsid w:val="004B07A3"/>
    <w:rsid w:val="004B261D"/>
    <w:rsid w:val="004B4C2A"/>
    <w:rsid w:val="004B51CD"/>
    <w:rsid w:val="004B576C"/>
    <w:rsid w:val="004C0155"/>
    <w:rsid w:val="004C2441"/>
    <w:rsid w:val="004C4621"/>
    <w:rsid w:val="004C54C0"/>
    <w:rsid w:val="004C56B2"/>
    <w:rsid w:val="004D00B2"/>
    <w:rsid w:val="004D6FBD"/>
    <w:rsid w:val="004E07C9"/>
    <w:rsid w:val="004E4440"/>
    <w:rsid w:val="004E4963"/>
    <w:rsid w:val="004E6809"/>
    <w:rsid w:val="004E7F24"/>
    <w:rsid w:val="005111B1"/>
    <w:rsid w:val="0051457E"/>
    <w:rsid w:val="0051714B"/>
    <w:rsid w:val="00520F80"/>
    <w:rsid w:val="005239FF"/>
    <w:rsid w:val="00523DB8"/>
    <w:rsid w:val="00533150"/>
    <w:rsid w:val="00543B57"/>
    <w:rsid w:val="00543C47"/>
    <w:rsid w:val="00543D5E"/>
    <w:rsid w:val="00552260"/>
    <w:rsid w:val="00552777"/>
    <w:rsid w:val="00555494"/>
    <w:rsid w:val="00555CBA"/>
    <w:rsid w:val="00555DC0"/>
    <w:rsid w:val="00556C1A"/>
    <w:rsid w:val="00561DC7"/>
    <w:rsid w:val="00565678"/>
    <w:rsid w:val="00565B29"/>
    <w:rsid w:val="00571BC1"/>
    <w:rsid w:val="00571F41"/>
    <w:rsid w:val="00575476"/>
    <w:rsid w:val="00583A20"/>
    <w:rsid w:val="00584373"/>
    <w:rsid w:val="0059061F"/>
    <w:rsid w:val="00591DB3"/>
    <w:rsid w:val="005939ED"/>
    <w:rsid w:val="005947BC"/>
    <w:rsid w:val="00595E8A"/>
    <w:rsid w:val="005A0268"/>
    <w:rsid w:val="005A6014"/>
    <w:rsid w:val="005A6E03"/>
    <w:rsid w:val="005B473C"/>
    <w:rsid w:val="005B4DCA"/>
    <w:rsid w:val="005C549A"/>
    <w:rsid w:val="005D0035"/>
    <w:rsid w:val="005D7719"/>
    <w:rsid w:val="005E1B9B"/>
    <w:rsid w:val="005E32D1"/>
    <w:rsid w:val="005E5D1F"/>
    <w:rsid w:val="005F0207"/>
    <w:rsid w:val="005F7902"/>
    <w:rsid w:val="006006CF"/>
    <w:rsid w:val="0061113B"/>
    <w:rsid w:val="00611D43"/>
    <w:rsid w:val="00612D48"/>
    <w:rsid w:val="00613A5E"/>
    <w:rsid w:val="00616B45"/>
    <w:rsid w:val="006241C6"/>
    <w:rsid w:val="00630D9B"/>
    <w:rsid w:val="00631953"/>
    <w:rsid w:val="0063208D"/>
    <w:rsid w:val="00643814"/>
    <w:rsid w:val="00643982"/>
    <w:rsid w:val="006439EC"/>
    <w:rsid w:val="00645090"/>
    <w:rsid w:val="00647059"/>
    <w:rsid w:val="00647162"/>
    <w:rsid w:val="0065029A"/>
    <w:rsid w:val="006527BF"/>
    <w:rsid w:val="006553F9"/>
    <w:rsid w:val="00661E96"/>
    <w:rsid w:val="00662132"/>
    <w:rsid w:val="00665786"/>
    <w:rsid w:val="00671C93"/>
    <w:rsid w:val="00671F00"/>
    <w:rsid w:val="006729C8"/>
    <w:rsid w:val="00675501"/>
    <w:rsid w:val="00681FD5"/>
    <w:rsid w:val="0068562A"/>
    <w:rsid w:val="00686ABD"/>
    <w:rsid w:val="006A13AF"/>
    <w:rsid w:val="006A24AD"/>
    <w:rsid w:val="006A6B31"/>
    <w:rsid w:val="006A6C95"/>
    <w:rsid w:val="006A7B29"/>
    <w:rsid w:val="006B0EB2"/>
    <w:rsid w:val="006B0FF8"/>
    <w:rsid w:val="006B4590"/>
    <w:rsid w:val="006B6934"/>
    <w:rsid w:val="006B70B2"/>
    <w:rsid w:val="006C340C"/>
    <w:rsid w:val="006F1D0B"/>
    <w:rsid w:val="006F25C5"/>
    <w:rsid w:val="006F27A8"/>
    <w:rsid w:val="006F3493"/>
    <w:rsid w:val="006F3544"/>
    <w:rsid w:val="006F5C8A"/>
    <w:rsid w:val="0070096C"/>
    <w:rsid w:val="0070347C"/>
    <w:rsid w:val="00704CBC"/>
    <w:rsid w:val="007102D2"/>
    <w:rsid w:val="00714A66"/>
    <w:rsid w:val="0071658C"/>
    <w:rsid w:val="007176C1"/>
    <w:rsid w:val="00717B6D"/>
    <w:rsid w:val="00720BC0"/>
    <w:rsid w:val="0072116B"/>
    <w:rsid w:val="00725063"/>
    <w:rsid w:val="00731CA6"/>
    <w:rsid w:val="00732644"/>
    <w:rsid w:val="00732E72"/>
    <w:rsid w:val="00734447"/>
    <w:rsid w:val="00741D90"/>
    <w:rsid w:val="007524A4"/>
    <w:rsid w:val="007607B1"/>
    <w:rsid w:val="00765296"/>
    <w:rsid w:val="00766D28"/>
    <w:rsid w:val="007723C2"/>
    <w:rsid w:val="00776CD8"/>
    <w:rsid w:val="00777978"/>
    <w:rsid w:val="007815B9"/>
    <w:rsid w:val="00785F1F"/>
    <w:rsid w:val="007869B6"/>
    <w:rsid w:val="00790B9D"/>
    <w:rsid w:val="00796316"/>
    <w:rsid w:val="007A1C58"/>
    <w:rsid w:val="007A20D2"/>
    <w:rsid w:val="007A2AB2"/>
    <w:rsid w:val="007A79CD"/>
    <w:rsid w:val="007C7C2B"/>
    <w:rsid w:val="007D2668"/>
    <w:rsid w:val="007D3119"/>
    <w:rsid w:val="007E7734"/>
    <w:rsid w:val="007F1867"/>
    <w:rsid w:val="007F1EC4"/>
    <w:rsid w:val="007F4DFD"/>
    <w:rsid w:val="007F55CB"/>
    <w:rsid w:val="007F768E"/>
    <w:rsid w:val="008021D4"/>
    <w:rsid w:val="008149F9"/>
    <w:rsid w:val="008245B7"/>
    <w:rsid w:val="0082755E"/>
    <w:rsid w:val="00831A18"/>
    <w:rsid w:val="00834EB0"/>
    <w:rsid w:val="00837345"/>
    <w:rsid w:val="00844750"/>
    <w:rsid w:val="00845B42"/>
    <w:rsid w:val="00851A74"/>
    <w:rsid w:val="00852575"/>
    <w:rsid w:val="00853AB8"/>
    <w:rsid w:val="00854C34"/>
    <w:rsid w:val="008552F4"/>
    <w:rsid w:val="0085586A"/>
    <w:rsid w:val="00856DB2"/>
    <w:rsid w:val="0088474F"/>
    <w:rsid w:val="00886DBA"/>
    <w:rsid w:val="00895DE5"/>
    <w:rsid w:val="008A0FA8"/>
    <w:rsid w:val="008A1EC0"/>
    <w:rsid w:val="008B44C4"/>
    <w:rsid w:val="008C322B"/>
    <w:rsid w:val="008C4B74"/>
    <w:rsid w:val="008D1156"/>
    <w:rsid w:val="008D59DB"/>
    <w:rsid w:val="008E0319"/>
    <w:rsid w:val="008E4DE2"/>
    <w:rsid w:val="008E7CE2"/>
    <w:rsid w:val="008E7FAE"/>
    <w:rsid w:val="009074BF"/>
    <w:rsid w:val="00911BF7"/>
    <w:rsid w:val="0091594A"/>
    <w:rsid w:val="009230F1"/>
    <w:rsid w:val="00926925"/>
    <w:rsid w:val="00926D40"/>
    <w:rsid w:val="00933777"/>
    <w:rsid w:val="00935490"/>
    <w:rsid w:val="009418DE"/>
    <w:rsid w:val="00942052"/>
    <w:rsid w:val="009516B7"/>
    <w:rsid w:val="009545F1"/>
    <w:rsid w:val="00957CE5"/>
    <w:rsid w:val="009624E2"/>
    <w:rsid w:val="00974DD2"/>
    <w:rsid w:val="00977EC8"/>
    <w:rsid w:val="00996562"/>
    <w:rsid w:val="009A3048"/>
    <w:rsid w:val="009A6C26"/>
    <w:rsid w:val="009B17AD"/>
    <w:rsid w:val="009B3F8C"/>
    <w:rsid w:val="009B45E0"/>
    <w:rsid w:val="009B540F"/>
    <w:rsid w:val="009D1E6A"/>
    <w:rsid w:val="009D3A8C"/>
    <w:rsid w:val="009E1BA9"/>
    <w:rsid w:val="009E2876"/>
    <w:rsid w:val="009E2F0B"/>
    <w:rsid w:val="009E7956"/>
    <w:rsid w:val="009F072F"/>
    <w:rsid w:val="009F26C1"/>
    <w:rsid w:val="009F3F95"/>
    <w:rsid w:val="00A023FC"/>
    <w:rsid w:val="00A0338D"/>
    <w:rsid w:val="00A05DD1"/>
    <w:rsid w:val="00A077E9"/>
    <w:rsid w:val="00A11F7A"/>
    <w:rsid w:val="00A144A9"/>
    <w:rsid w:val="00A2492E"/>
    <w:rsid w:val="00A31163"/>
    <w:rsid w:val="00A34593"/>
    <w:rsid w:val="00A364DB"/>
    <w:rsid w:val="00A45E90"/>
    <w:rsid w:val="00A4770F"/>
    <w:rsid w:val="00A50D6B"/>
    <w:rsid w:val="00A51050"/>
    <w:rsid w:val="00A55060"/>
    <w:rsid w:val="00A56945"/>
    <w:rsid w:val="00A57027"/>
    <w:rsid w:val="00A5750C"/>
    <w:rsid w:val="00A66781"/>
    <w:rsid w:val="00A72C35"/>
    <w:rsid w:val="00A752BB"/>
    <w:rsid w:val="00A81F93"/>
    <w:rsid w:val="00A863C4"/>
    <w:rsid w:val="00A9247E"/>
    <w:rsid w:val="00A9610C"/>
    <w:rsid w:val="00AA0DCA"/>
    <w:rsid w:val="00AA7796"/>
    <w:rsid w:val="00AB2D3F"/>
    <w:rsid w:val="00AC67A1"/>
    <w:rsid w:val="00AC7977"/>
    <w:rsid w:val="00AC7E56"/>
    <w:rsid w:val="00AE2617"/>
    <w:rsid w:val="00AE3389"/>
    <w:rsid w:val="00AE352C"/>
    <w:rsid w:val="00AE4CCA"/>
    <w:rsid w:val="00AE79AC"/>
    <w:rsid w:val="00AF068B"/>
    <w:rsid w:val="00AF0E3C"/>
    <w:rsid w:val="00B01AAD"/>
    <w:rsid w:val="00B07B56"/>
    <w:rsid w:val="00B101DB"/>
    <w:rsid w:val="00B21751"/>
    <w:rsid w:val="00B256F0"/>
    <w:rsid w:val="00B25EA9"/>
    <w:rsid w:val="00B31D7D"/>
    <w:rsid w:val="00B32E2D"/>
    <w:rsid w:val="00B33329"/>
    <w:rsid w:val="00B4005D"/>
    <w:rsid w:val="00B404EC"/>
    <w:rsid w:val="00B416B8"/>
    <w:rsid w:val="00B42351"/>
    <w:rsid w:val="00B43741"/>
    <w:rsid w:val="00B45642"/>
    <w:rsid w:val="00B524C5"/>
    <w:rsid w:val="00B52F29"/>
    <w:rsid w:val="00B5388D"/>
    <w:rsid w:val="00B61990"/>
    <w:rsid w:val="00B6249B"/>
    <w:rsid w:val="00B70CCD"/>
    <w:rsid w:val="00B724E6"/>
    <w:rsid w:val="00B7599B"/>
    <w:rsid w:val="00B75E66"/>
    <w:rsid w:val="00B773BF"/>
    <w:rsid w:val="00B83E83"/>
    <w:rsid w:val="00B86B87"/>
    <w:rsid w:val="00B93407"/>
    <w:rsid w:val="00BB0445"/>
    <w:rsid w:val="00BB6F53"/>
    <w:rsid w:val="00BC3F20"/>
    <w:rsid w:val="00BC6D78"/>
    <w:rsid w:val="00BC76F0"/>
    <w:rsid w:val="00BD13E6"/>
    <w:rsid w:val="00BD28B2"/>
    <w:rsid w:val="00BD3650"/>
    <w:rsid w:val="00BD5A8D"/>
    <w:rsid w:val="00BD7343"/>
    <w:rsid w:val="00BE7C74"/>
    <w:rsid w:val="00BF0556"/>
    <w:rsid w:val="00BF346F"/>
    <w:rsid w:val="00BF37EE"/>
    <w:rsid w:val="00C024A1"/>
    <w:rsid w:val="00C02C42"/>
    <w:rsid w:val="00C10FB1"/>
    <w:rsid w:val="00C11282"/>
    <w:rsid w:val="00C12585"/>
    <w:rsid w:val="00C14108"/>
    <w:rsid w:val="00C25DF9"/>
    <w:rsid w:val="00C261E3"/>
    <w:rsid w:val="00C261F8"/>
    <w:rsid w:val="00C27662"/>
    <w:rsid w:val="00C32914"/>
    <w:rsid w:val="00C33100"/>
    <w:rsid w:val="00C40F56"/>
    <w:rsid w:val="00C42EDB"/>
    <w:rsid w:val="00C451B9"/>
    <w:rsid w:val="00C51D9C"/>
    <w:rsid w:val="00C54DA4"/>
    <w:rsid w:val="00C55118"/>
    <w:rsid w:val="00C574AA"/>
    <w:rsid w:val="00C577D1"/>
    <w:rsid w:val="00C57A2D"/>
    <w:rsid w:val="00C6018C"/>
    <w:rsid w:val="00C65B1B"/>
    <w:rsid w:val="00C67D23"/>
    <w:rsid w:val="00C71827"/>
    <w:rsid w:val="00C7415A"/>
    <w:rsid w:val="00C75D25"/>
    <w:rsid w:val="00C825E5"/>
    <w:rsid w:val="00C95EB8"/>
    <w:rsid w:val="00C96FAA"/>
    <w:rsid w:val="00C97EC1"/>
    <w:rsid w:val="00CA2D62"/>
    <w:rsid w:val="00CB02C5"/>
    <w:rsid w:val="00CB0320"/>
    <w:rsid w:val="00CB0D41"/>
    <w:rsid w:val="00CB39CD"/>
    <w:rsid w:val="00CC2A62"/>
    <w:rsid w:val="00CC3825"/>
    <w:rsid w:val="00CC4D89"/>
    <w:rsid w:val="00CC7CE6"/>
    <w:rsid w:val="00CD044C"/>
    <w:rsid w:val="00CD1A71"/>
    <w:rsid w:val="00CD1FBB"/>
    <w:rsid w:val="00CD641E"/>
    <w:rsid w:val="00CE033D"/>
    <w:rsid w:val="00CE08E5"/>
    <w:rsid w:val="00CE537D"/>
    <w:rsid w:val="00D016B5"/>
    <w:rsid w:val="00D034F1"/>
    <w:rsid w:val="00D05828"/>
    <w:rsid w:val="00D062F1"/>
    <w:rsid w:val="00D06712"/>
    <w:rsid w:val="00D12C67"/>
    <w:rsid w:val="00D14C21"/>
    <w:rsid w:val="00D14F42"/>
    <w:rsid w:val="00D171D4"/>
    <w:rsid w:val="00D20BFE"/>
    <w:rsid w:val="00D244CB"/>
    <w:rsid w:val="00D27D5E"/>
    <w:rsid w:val="00D32B08"/>
    <w:rsid w:val="00D407D1"/>
    <w:rsid w:val="00D422AE"/>
    <w:rsid w:val="00D43E5F"/>
    <w:rsid w:val="00D4559B"/>
    <w:rsid w:val="00D51CE6"/>
    <w:rsid w:val="00D53F39"/>
    <w:rsid w:val="00D60EC2"/>
    <w:rsid w:val="00D62BCA"/>
    <w:rsid w:val="00D62DAF"/>
    <w:rsid w:val="00D639BD"/>
    <w:rsid w:val="00D655C0"/>
    <w:rsid w:val="00D65777"/>
    <w:rsid w:val="00D66E0D"/>
    <w:rsid w:val="00D72EEE"/>
    <w:rsid w:val="00D7425A"/>
    <w:rsid w:val="00D74F7E"/>
    <w:rsid w:val="00D7547E"/>
    <w:rsid w:val="00D7695F"/>
    <w:rsid w:val="00D9039B"/>
    <w:rsid w:val="00D93582"/>
    <w:rsid w:val="00D955D5"/>
    <w:rsid w:val="00D957AA"/>
    <w:rsid w:val="00DA3EC1"/>
    <w:rsid w:val="00DA41A2"/>
    <w:rsid w:val="00DA43A1"/>
    <w:rsid w:val="00DA4A55"/>
    <w:rsid w:val="00DA5E1D"/>
    <w:rsid w:val="00DB7DA3"/>
    <w:rsid w:val="00DC3628"/>
    <w:rsid w:val="00DC4F43"/>
    <w:rsid w:val="00DC547C"/>
    <w:rsid w:val="00DD0907"/>
    <w:rsid w:val="00DE083E"/>
    <w:rsid w:val="00DE6D90"/>
    <w:rsid w:val="00DF002F"/>
    <w:rsid w:val="00DF2453"/>
    <w:rsid w:val="00DF654F"/>
    <w:rsid w:val="00DF7028"/>
    <w:rsid w:val="00E0244D"/>
    <w:rsid w:val="00E026DF"/>
    <w:rsid w:val="00E02F48"/>
    <w:rsid w:val="00E03712"/>
    <w:rsid w:val="00E06B3F"/>
    <w:rsid w:val="00E07C00"/>
    <w:rsid w:val="00E10A73"/>
    <w:rsid w:val="00E14F27"/>
    <w:rsid w:val="00E171D2"/>
    <w:rsid w:val="00E221F3"/>
    <w:rsid w:val="00E24DB7"/>
    <w:rsid w:val="00E25534"/>
    <w:rsid w:val="00E319B6"/>
    <w:rsid w:val="00E32145"/>
    <w:rsid w:val="00E32F5A"/>
    <w:rsid w:val="00E34BD5"/>
    <w:rsid w:val="00E371A5"/>
    <w:rsid w:val="00E46301"/>
    <w:rsid w:val="00E510F3"/>
    <w:rsid w:val="00E51874"/>
    <w:rsid w:val="00E60012"/>
    <w:rsid w:val="00E62CFF"/>
    <w:rsid w:val="00E64102"/>
    <w:rsid w:val="00E665EE"/>
    <w:rsid w:val="00E679AE"/>
    <w:rsid w:val="00E70FFE"/>
    <w:rsid w:val="00E71570"/>
    <w:rsid w:val="00E73B13"/>
    <w:rsid w:val="00E75C58"/>
    <w:rsid w:val="00E76819"/>
    <w:rsid w:val="00E81E94"/>
    <w:rsid w:val="00E82607"/>
    <w:rsid w:val="00E84A82"/>
    <w:rsid w:val="00E85025"/>
    <w:rsid w:val="00E9483E"/>
    <w:rsid w:val="00E950C1"/>
    <w:rsid w:val="00E9513C"/>
    <w:rsid w:val="00E96710"/>
    <w:rsid w:val="00E97E2C"/>
    <w:rsid w:val="00EA0F43"/>
    <w:rsid w:val="00EA0F93"/>
    <w:rsid w:val="00EA3B1D"/>
    <w:rsid w:val="00EB77B9"/>
    <w:rsid w:val="00EB7D07"/>
    <w:rsid w:val="00ED0DF7"/>
    <w:rsid w:val="00ED0F42"/>
    <w:rsid w:val="00ED3A26"/>
    <w:rsid w:val="00EF70BB"/>
    <w:rsid w:val="00F02FA9"/>
    <w:rsid w:val="00F06660"/>
    <w:rsid w:val="00F07AE1"/>
    <w:rsid w:val="00F116EB"/>
    <w:rsid w:val="00F1794E"/>
    <w:rsid w:val="00F211AF"/>
    <w:rsid w:val="00F25EC3"/>
    <w:rsid w:val="00F260C2"/>
    <w:rsid w:val="00F32ADB"/>
    <w:rsid w:val="00F32C98"/>
    <w:rsid w:val="00F37E12"/>
    <w:rsid w:val="00F424BD"/>
    <w:rsid w:val="00F45D41"/>
    <w:rsid w:val="00F515AD"/>
    <w:rsid w:val="00F57DD7"/>
    <w:rsid w:val="00F636AD"/>
    <w:rsid w:val="00F734D9"/>
    <w:rsid w:val="00F73F83"/>
    <w:rsid w:val="00F74902"/>
    <w:rsid w:val="00F83D7E"/>
    <w:rsid w:val="00F85A4E"/>
    <w:rsid w:val="00F9353A"/>
    <w:rsid w:val="00F965C2"/>
    <w:rsid w:val="00FA27D4"/>
    <w:rsid w:val="00FA5A79"/>
    <w:rsid w:val="00FA5E04"/>
    <w:rsid w:val="00FB0BFE"/>
    <w:rsid w:val="00FB3E50"/>
    <w:rsid w:val="00FB4300"/>
    <w:rsid w:val="00FB4C51"/>
    <w:rsid w:val="00FB734D"/>
    <w:rsid w:val="00FD02A2"/>
    <w:rsid w:val="00FD5E64"/>
    <w:rsid w:val="00FD7985"/>
    <w:rsid w:val="00FE10F2"/>
    <w:rsid w:val="00FE2B33"/>
    <w:rsid w:val="00FE4B6F"/>
    <w:rsid w:val="00FE6526"/>
    <w:rsid w:val="00FF1DBD"/>
    <w:rsid w:val="00FF1E4B"/>
    <w:rsid w:val="00FF33E4"/>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oNotEmbedSmartTags/>
  <w:decimalSymbol w:val="."/>
  <w:listSeparator w:val=","/>
  <w15:docId w15:val="{32A6DA87-03AE-46B2-87D0-6D29E91E8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0C76A8"/>
    <w:pPr>
      <w:suppressAutoHyphens/>
      <w:kinsoku w:val="0"/>
      <w:overflowPunct w:val="0"/>
      <w:autoSpaceDE w:val="0"/>
      <w:autoSpaceDN w:val="0"/>
      <w:adjustRightInd w:val="0"/>
      <w:snapToGrid w:val="0"/>
      <w:spacing w:line="240" w:lineRule="atLeast"/>
    </w:pPr>
    <w:rPr>
      <w:rFonts w:eastAsia="SimSun"/>
      <w:lang w:val="fr-CH" w:eastAsia="en-US"/>
    </w:rPr>
  </w:style>
  <w:style w:type="paragraph" w:styleId="Heading1">
    <w:name w:val="heading 1"/>
    <w:aliases w:val="Table_G"/>
    <w:basedOn w:val="SingleTxtG"/>
    <w:next w:val="SingleTxtG"/>
    <w:link w:val="Heading1Char"/>
    <w:qFormat/>
    <w:rsid w:val="007E7734"/>
    <w:pPr>
      <w:keepNext/>
      <w:keepLines/>
      <w:spacing w:after="0" w:line="240" w:lineRule="auto"/>
      <w:ind w:right="0"/>
      <w:jc w:val="left"/>
      <w:outlineLvl w:val="0"/>
    </w:pPr>
  </w:style>
  <w:style w:type="paragraph" w:styleId="Heading2">
    <w:name w:val="heading 2"/>
    <w:basedOn w:val="Normal"/>
    <w:next w:val="Normal"/>
    <w:link w:val="Heading2Char"/>
    <w:qFormat/>
    <w:rsid w:val="007E7734"/>
    <w:pPr>
      <w:outlineLvl w:val="1"/>
    </w:pPr>
  </w:style>
  <w:style w:type="paragraph" w:styleId="Heading3">
    <w:name w:val="heading 3"/>
    <w:basedOn w:val="Normal"/>
    <w:next w:val="Normal"/>
    <w:link w:val="Heading3Char"/>
    <w:qFormat/>
    <w:rsid w:val="007E7734"/>
    <w:pPr>
      <w:outlineLvl w:val="2"/>
    </w:pPr>
  </w:style>
  <w:style w:type="paragraph" w:styleId="Heading4">
    <w:name w:val="heading 4"/>
    <w:basedOn w:val="Normal"/>
    <w:next w:val="Normal"/>
    <w:link w:val="Heading4Char"/>
    <w:qFormat/>
    <w:rsid w:val="007E7734"/>
    <w:pPr>
      <w:outlineLvl w:val="3"/>
    </w:pPr>
  </w:style>
  <w:style w:type="paragraph" w:styleId="Heading5">
    <w:name w:val="heading 5"/>
    <w:basedOn w:val="Normal"/>
    <w:next w:val="Normal"/>
    <w:link w:val="Heading5Char"/>
    <w:qFormat/>
    <w:rsid w:val="007E7734"/>
    <w:pPr>
      <w:outlineLvl w:val="4"/>
    </w:pPr>
  </w:style>
  <w:style w:type="paragraph" w:styleId="Heading6">
    <w:name w:val="heading 6"/>
    <w:basedOn w:val="Normal"/>
    <w:next w:val="Normal"/>
    <w:link w:val="Heading6Char"/>
    <w:qFormat/>
    <w:rsid w:val="007E7734"/>
    <w:pPr>
      <w:outlineLvl w:val="5"/>
    </w:pPr>
  </w:style>
  <w:style w:type="paragraph" w:styleId="Heading7">
    <w:name w:val="heading 7"/>
    <w:basedOn w:val="Normal"/>
    <w:next w:val="Normal"/>
    <w:link w:val="Heading7Char"/>
    <w:qFormat/>
    <w:rsid w:val="007E7734"/>
    <w:pPr>
      <w:outlineLvl w:val="6"/>
    </w:pPr>
  </w:style>
  <w:style w:type="paragraph" w:styleId="Heading8">
    <w:name w:val="heading 8"/>
    <w:basedOn w:val="Normal"/>
    <w:next w:val="Normal"/>
    <w:link w:val="Heading8Char"/>
    <w:qFormat/>
    <w:rsid w:val="007E7734"/>
    <w:pPr>
      <w:outlineLvl w:val="7"/>
    </w:pPr>
  </w:style>
  <w:style w:type="paragraph" w:styleId="Heading9">
    <w:name w:val="heading 9"/>
    <w:basedOn w:val="Normal"/>
    <w:next w:val="Normal"/>
    <w:link w:val="Heading9Char"/>
    <w:qFormat/>
    <w:rsid w:val="007E773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7E7734"/>
    <w:pPr>
      <w:spacing w:after="120"/>
      <w:ind w:left="1134" w:right="1134"/>
      <w:jc w:val="both"/>
    </w:pPr>
  </w:style>
  <w:style w:type="paragraph" w:styleId="EndnoteText">
    <w:name w:val="endnote text"/>
    <w:aliases w:val="2_G"/>
    <w:basedOn w:val="FootnoteText"/>
    <w:link w:val="EndnoteTextChar"/>
    <w:uiPriority w:val="99"/>
    <w:qFormat/>
    <w:rsid w:val="007E7734"/>
  </w:style>
  <w:style w:type="paragraph" w:styleId="FootnoteText">
    <w:name w:val="footnote text"/>
    <w:aliases w:val="5_G,PP,5_GR,Footnote Text Char"/>
    <w:basedOn w:val="Normal"/>
    <w:link w:val="FootnoteTextChar1"/>
    <w:qFormat/>
    <w:rsid w:val="007E7734"/>
    <w:pPr>
      <w:tabs>
        <w:tab w:val="right" w:pos="1021"/>
      </w:tabs>
      <w:spacing w:line="220" w:lineRule="exact"/>
      <w:ind w:left="1134" w:right="1134" w:hanging="1134"/>
    </w:pPr>
    <w:rPr>
      <w:sz w:val="18"/>
    </w:rPr>
  </w:style>
  <w:style w:type="paragraph" w:styleId="Footer">
    <w:name w:val="footer"/>
    <w:aliases w:val="3_G"/>
    <w:basedOn w:val="Normal"/>
    <w:next w:val="Normal"/>
    <w:link w:val="FooterChar"/>
    <w:uiPriority w:val="99"/>
    <w:qFormat/>
    <w:rsid w:val="007E7734"/>
    <w:pPr>
      <w:spacing w:line="240" w:lineRule="auto"/>
    </w:pPr>
    <w:rPr>
      <w:sz w:val="16"/>
    </w:rPr>
  </w:style>
  <w:style w:type="character" w:styleId="EndnoteReference">
    <w:name w:val="endnote reference"/>
    <w:aliases w:val="1_G"/>
    <w:qFormat/>
    <w:rsid w:val="007E7734"/>
  </w:style>
  <w:style w:type="character" w:styleId="FootnoteReference">
    <w:name w:val="footnote reference"/>
    <w:aliases w:val="4_G,(Footnote Reference),-E Fußnotenzeichen,BVI fnr, BVI fnr,Footnote symbol,Footnote,Footnote Reference Superscript,SUPERS"/>
    <w:qFormat/>
    <w:rsid w:val="007E7734"/>
    <w:rPr>
      <w:rFonts w:ascii="Times New Roman" w:hAnsi="Times New Roman"/>
      <w:sz w:val="18"/>
      <w:vertAlign w:val="superscript"/>
      <w:lang w:val="fr-CH"/>
    </w:rPr>
  </w:style>
  <w:style w:type="character" w:styleId="PageNumber">
    <w:name w:val="page number"/>
    <w:aliases w:val="7_G"/>
    <w:qFormat/>
    <w:rsid w:val="007E7734"/>
    <w:rPr>
      <w:rFonts w:ascii="Times New Roman" w:hAnsi="Times New Roman"/>
      <w:b/>
      <w:sz w:val="18"/>
      <w:lang w:val="fr-CH"/>
    </w:rPr>
  </w:style>
  <w:style w:type="paragraph" w:styleId="Header">
    <w:name w:val="header"/>
    <w:aliases w:val="6_G"/>
    <w:basedOn w:val="Normal"/>
    <w:next w:val="Normal"/>
    <w:link w:val="HeaderChar"/>
    <w:qFormat/>
    <w:rsid w:val="007E7734"/>
    <w:pPr>
      <w:pBdr>
        <w:bottom w:val="single" w:sz="4" w:space="4" w:color="auto"/>
      </w:pBdr>
      <w:spacing w:line="240" w:lineRule="auto"/>
    </w:pPr>
    <w:rPr>
      <w:b/>
      <w:sz w:val="18"/>
    </w:rPr>
  </w:style>
  <w:style w:type="paragraph" w:customStyle="1" w:styleId="H1G">
    <w:name w:val="_ H_1_G"/>
    <w:basedOn w:val="Normal"/>
    <w:next w:val="Normal"/>
    <w:link w:val="H1GChar"/>
    <w:qFormat/>
    <w:rsid w:val="007E7734"/>
    <w:pPr>
      <w:keepNext/>
      <w:keepLines/>
      <w:tabs>
        <w:tab w:val="right" w:pos="851"/>
      </w:tabs>
      <w:spacing w:before="360" w:after="240" w:line="270" w:lineRule="exact"/>
      <w:ind w:left="1134" w:right="1134" w:hanging="1134"/>
    </w:pPr>
    <w:rPr>
      <w:b/>
      <w:sz w:val="24"/>
    </w:rPr>
  </w:style>
  <w:style w:type="paragraph" w:customStyle="1" w:styleId="HChG">
    <w:name w:val="_ H _Ch_G"/>
    <w:basedOn w:val="Normal"/>
    <w:next w:val="Normal"/>
    <w:link w:val="HChGChar"/>
    <w:qFormat/>
    <w:rsid w:val="007E7734"/>
    <w:pPr>
      <w:keepNext/>
      <w:keepLines/>
      <w:tabs>
        <w:tab w:val="right" w:pos="851"/>
      </w:tabs>
      <w:spacing w:before="360" w:after="240" w:line="300" w:lineRule="exact"/>
      <w:ind w:left="1134" w:right="1134" w:hanging="1134"/>
    </w:pPr>
    <w:rPr>
      <w:b/>
      <w:sz w:val="28"/>
    </w:rPr>
  </w:style>
  <w:style w:type="paragraph" w:customStyle="1" w:styleId="HMG">
    <w:name w:val="_ H __M_G"/>
    <w:basedOn w:val="Normal"/>
    <w:next w:val="Normal"/>
    <w:qFormat/>
    <w:rsid w:val="007E7734"/>
    <w:pPr>
      <w:keepNext/>
      <w:keepLines/>
      <w:tabs>
        <w:tab w:val="right" w:pos="851"/>
      </w:tabs>
      <w:spacing w:before="240" w:after="240" w:line="360" w:lineRule="exact"/>
      <w:ind w:left="1134" w:right="1134" w:hanging="1134"/>
    </w:pPr>
    <w:rPr>
      <w:b/>
      <w:sz w:val="34"/>
    </w:rPr>
  </w:style>
  <w:style w:type="paragraph" w:customStyle="1" w:styleId="H23G">
    <w:name w:val="_ H_2/3_G"/>
    <w:basedOn w:val="Normal"/>
    <w:next w:val="Normal"/>
    <w:link w:val="H23GChar"/>
    <w:qFormat/>
    <w:rsid w:val="007E773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qFormat/>
    <w:rsid w:val="007E773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7E7734"/>
    <w:pPr>
      <w:keepNext/>
      <w:keepLines/>
      <w:tabs>
        <w:tab w:val="right" w:pos="851"/>
      </w:tabs>
      <w:spacing w:before="240" w:after="120" w:line="240" w:lineRule="exact"/>
      <w:ind w:left="1134" w:right="1134" w:hanging="1134"/>
    </w:pPr>
  </w:style>
  <w:style w:type="paragraph" w:customStyle="1" w:styleId="SMG">
    <w:name w:val="__S_M_G"/>
    <w:basedOn w:val="Normal"/>
    <w:next w:val="Normal"/>
    <w:rsid w:val="007E7734"/>
    <w:pPr>
      <w:keepNext/>
      <w:keepLines/>
      <w:spacing w:before="240" w:after="240" w:line="420" w:lineRule="exact"/>
      <w:ind w:left="1134" w:right="1134"/>
    </w:pPr>
    <w:rPr>
      <w:b/>
      <w:sz w:val="40"/>
    </w:rPr>
  </w:style>
  <w:style w:type="paragraph" w:customStyle="1" w:styleId="SLG">
    <w:name w:val="__S_L_G"/>
    <w:basedOn w:val="Normal"/>
    <w:next w:val="Normal"/>
    <w:rsid w:val="007E7734"/>
    <w:pPr>
      <w:keepNext/>
      <w:keepLines/>
      <w:spacing w:before="240" w:after="240" w:line="580" w:lineRule="exact"/>
      <w:ind w:left="1134" w:right="1134"/>
    </w:pPr>
    <w:rPr>
      <w:b/>
      <w:sz w:val="56"/>
    </w:rPr>
  </w:style>
  <w:style w:type="paragraph" w:customStyle="1" w:styleId="SSG">
    <w:name w:val="__S_S_G"/>
    <w:basedOn w:val="Normal"/>
    <w:next w:val="Normal"/>
    <w:rsid w:val="007E7734"/>
    <w:pPr>
      <w:keepNext/>
      <w:keepLines/>
      <w:spacing w:before="240" w:after="240" w:line="300" w:lineRule="exact"/>
      <w:ind w:left="1134" w:right="1134"/>
    </w:pPr>
    <w:rPr>
      <w:b/>
      <w:sz w:val="28"/>
    </w:rPr>
  </w:style>
  <w:style w:type="paragraph" w:customStyle="1" w:styleId="XLargeG">
    <w:name w:val="__XLarge_G"/>
    <w:basedOn w:val="Normal"/>
    <w:next w:val="Normal"/>
    <w:rsid w:val="007E7734"/>
    <w:pPr>
      <w:keepNext/>
      <w:keepLines/>
      <w:spacing w:before="240" w:after="240" w:line="420" w:lineRule="exact"/>
      <w:ind w:left="1134" w:right="1134"/>
    </w:pPr>
    <w:rPr>
      <w:b/>
      <w:sz w:val="40"/>
    </w:rPr>
  </w:style>
  <w:style w:type="paragraph" w:customStyle="1" w:styleId="Bullet1G">
    <w:name w:val="_Bullet 1_G"/>
    <w:basedOn w:val="Normal"/>
    <w:qFormat/>
    <w:rsid w:val="007E7734"/>
    <w:pPr>
      <w:numPr>
        <w:numId w:val="4"/>
      </w:numPr>
      <w:spacing w:after="120"/>
      <w:ind w:right="1134"/>
      <w:jc w:val="both"/>
    </w:pPr>
  </w:style>
  <w:style w:type="paragraph" w:customStyle="1" w:styleId="Bullet2G">
    <w:name w:val="_Bullet 2_G"/>
    <w:basedOn w:val="Normal"/>
    <w:qFormat/>
    <w:rsid w:val="007E7734"/>
    <w:pPr>
      <w:numPr>
        <w:numId w:val="5"/>
      </w:numPr>
      <w:spacing w:after="120"/>
      <w:ind w:right="1134"/>
      <w:jc w:val="both"/>
    </w:pPr>
  </w:style>
  <w:style w:type="table" w:styleId="TableGrid">
    <w:name w:val="Table Grid"/>
    <w:basedOn w:val="TableNormal"/>
    <w:uiPriority w:val="59"/>
    <w:rsid w:val="007E7734"/>
    <w:pPr>
      <w:suppressAutoHyphens/>
      <w:spacing w:line="240" w:lineRule="atLeast"/>
    </w:pPr>
    <w:rPr>
      <w:rFonts w:eastAsia="SimSun"/>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rsid w:val="00421A10"/>
    <w:rPr>
      <w:rFonts w:eastAsia="SimSun"/>
      <w:lang w:val="fr-CH" w:eastAsia="en-US"/>
    </w:rPr>
  </w:style>
  <w:style w:type="character" w:styleId="Hyperlink">
    <w:name w:val="Hyperlink"/>
    <w:rsid w:val="007E7734"/>
    <w:rPr>
      <w:color w:val="0000FF"/>
      <w:u w:val="none"/>
    </w:rPr>
  </w:style>
  <w:style w:type="character" w:styleId="FollowedHyperlink">
    <w:name w:val="FollowedHyperlink"/>
    <w:rsid w:val="007E7734"/>
    <w:rPr>
      <w:color w:val="0000FF"/>
      <w:u w:val="none"/>
    </w:rPr>
  </w:style>
  <w:style w:type="paragraph" w:customStyle="1" w:styleId="ParNoG">
    <w:name w:val="_ParNo_G"/>
    <w:basedOn w:val="Normal"/>
    <w:uiPriority w:val="99"/>
    <w:qFormat/>
    <w:rsid w:val="007E7734"/>
    <w:pPr>
      <w:numPr>
        <w:numId w:val="6"/>
      </w:numPr>
      <w:spacing w:after="120"/>
      <w:ind w:right="1134"/>
      <w:jc w:val="both"/>
    </w:pPr>
  </w:style>
  <w:style w:type="character" w:customStyle="1" w:styleId="HeaderChar">
    <w:name w:val="Header Char"/>
    <w:aliases w:val="6_G Char"/>
    <w:link w:val="Header"/>
    <w:rsid w:val="007E7734"/>
    <w:rPr>
      <w:rFonts w:eastAsia="SimSun"/>
      <w:b/>
      <w:sz w:val="18"/>
      <w:lang w:val="fr-CH" w:eastAsia="en-US"/>
    </w:rPr>
  </w:style>
  <w:style w:type="character" w:customStyle="1" w:styleId="FootnoteTextChar1">
    <w:name w:val="Footnote Text Char1"/>
    <w:aliases w:val="5_G Char,PP Char,5_GR Char,Footnote Text Char Char"/>
    <w:link w:val="FootnoteText"/>
    <w:rsid w:val="007E7734"/>
    <w:rPr>
      <w:rFonts w:eastAsia="SimSun"/>
      <w:sz w:val="18"/>
      <w:lang w:val="fr-CH" w:eastAsia="en-US"/>
    </w:rPr>
  </w:style>
  <w:style w:type="character" w:customStyle="1" w:styleId="EndnoteTextChar">
    <w:name w:val="Endnote Text Char"/>
    <w:aliases w:val="2_G Char"/>
    <w:link w:val="EndnoteText"/>
    <w:uiPriority w:val="99"/>
    <w:rsid w:val="007E7734"/>
    <w:rPr>
      <w:rFonts w:eastAsia="SimSun"/>
      <w:sz w:val="18"/>
      <w:lang w:val="fr-CH" w:eastAsia="en-US"/>
    </w:rPr>
  </w:style>
  <w:style w:type="character" w:customStyle="1" w:styleId="FooterChar">
    <w:name w:val="Footer Char"/>
    <w:aliases w:val="3_G Char"/>
    <w:link w:val="Footer"/>
    <w:uiPriority w:val="99"/>
    <w:rsid w:val="007E7734"/>
    <w:rPr>
      <w:rFonts w:eastAsia="SimSun"/>
      <w:sz w:val="16"/>
      <w:lang w:val="fr-CH" w:eastAsia="en-US"/>
    </w:rPr>
  </w:style>
  <w:style w:type="character" w:customStyle="1" w:styleId="Heading1Char">
    <w:name w:val="Heading 1 Char"/>
    <w:aliases w:val="Table_G Char"/>
    <w:link w:val="Heading1"/>
    <w:rsid w:val="007E7734"/>
    <w:rPr>
      <w:rFonts w:eastAsia="SimSun"/>
      <w:lang w:val="fr-CH" w:eastAsia="en-US"/>
    </w:rPr>
  </w:style>
  <w:style w:type="character" w:customStyle="1" w:styleId="Heading2Char">
    <w:name w:val="Heading 2 Char"/>
    <w:link w:val="Heading2"/>
    <w:rsid w:val="000C76A8"/>
    <w:rPr>
      <w:rFonts w:eastAsia="SimSun"/>
      <w:lang w:val="fr-CH" w:eastAsia="en-US"/>
    </w:rPr>
  </w:style>
  <w:style w:type="character" w:customStyle="1" w:styleId="Heading3Char">
    <w:name w:val="Heading 3 Char"/>
    <w:link w:val="Heading3"/>
    <w:rsid w:val="000C76A8"/>
    <w:rPr>
      <w:rFonts w:eastAsia="SimSun"/>
      <w:lang w:val="fr-CH" w:eastAsia="en-US"/>
    </w:rPr>
  </w:style>
  <w:style w:type="character" w:customStyle="1" w:styleId="Heading4Char">
    <w:name w:val="Heading 4 Char"/>
    <w:link w:val="Heading4"/>
    <w:rsid w:val="000C76A8"/>
    <w:rPr>
      <w:rFonts w:eastAsia="SimSun"/>
      <w:lang w:val="fr-CH" w:eastAsia="en-US"/>
    </w:rPr>
  </w:style>
  <w:style w:type="character" w:customStyle="1" w:styleId="Heading5Char">
    <w:name w:val="Heading 5 Char"/>
    <w:link w:val="Heading5"/>
    <w:rsid w:val="000C76A8"/>
    <w:rPr>
      <w:rFonts w:eastAsia="SimSun"/>
      <w:lang w:val="fr-CH" w:eastAsia="en-US"/>
    </w:rPr>
  </w:style>
  <w:style w:type="character" w:customStyle="1" w:styleId="Heading6Char">
    <w:name w:val="Heading 6 Char"/>
    <w:link w:val="Heading6"/>
    <w:rsid w:val="000C76A8"/>
    <w:rPr>
      <w:rFonts w:eastAsia="SimSun"/>
      <w:lang w:val="fr-CH" w:eastAsia="en-US"/>
    </w:rPr>
  </w:style>
  <w:style w:type="character" w:customStyle="1" w:styleId="Heading7Char">
    <w:name w:val="Heading 7 Char"/>
    <w:link w:val="Heading7"/>
    <w:rsid w:val="000C76A8"/>
    <w:rPr>
      <w:rFonts w:eastAsia="SimSun"/>
      <w:lang w:val="fr-CH" w:eastAsia="en-US"/>
    </w:rPr>
  </w:style>
  <w:style w:type="character" w:customStyle="1" w:styleId="Heading8Char">
    <w:name w:val="Heading 8 Char"/>
    <w:link w:val="Heading8"/>
    <w:rsid w:val="000C76A8"/>
    <w:rPr>
      <w:rFonts w:eastAsia="SimSun"/>
      <w:lang w:val="fr-CH" w:eastAsia="en-US"/>
    </w:rPr>
  </w:style>
  <w:style w:type="character" w:customStyle="1" w:styleId="Heading9Char">
    <w:name w:val="Heading 9 Char"/>
    <w:link w:val="Heading9"/>
    <w:rsid w:val="000C76A8"/>
    <w:rPr>
      <w:rFonts w:eastAsia="SimSun"/>
      <w:lang w:val="fr-CH" w:eastAsia="en-US"/>
    </w:rPr>
  </w:style>
  <w:style w:type="paragraph" w:styleId="BalloonText">
    <w:name w:val="Balloon Text"/>
    <w:basedOn w:val="Normal"/>
    <w:link w:val="BalloonTextChar"/>
    <w:uiPriority w:val="99"/>
    <w:rsid w:val="00834EB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C76A8"/>
    <w:rPr>
      <w:rFonts w:ascii="Tahoma" w:eastAsia="SimSun" w:hAnsi="Tahoma" w:cs="Tahoma"/>
      <w:sz w:val="16"/>
      <w:szCs w:val="16"/>
      <w:lang w:val="fr-CH" w:eastAsia="en-US"/>
    </w:rPr>
  </w:style>
  <w:style w:type="character" w:styleId="CommentReference">
    <w:name w:val="annotation reference"/>
    <w:uiPriority w:val="99"/>
    <w:rsid w:val="00E24DB7"/>
    <w:rPr>
      <w:sz w:val="16"/>
      <w:szCs w:val="16"/>
    </w:rPr>
  </w:style>
  <w:style w:type="paragraph" w:styleId="CommentText">
    <w:name w:val="annotation text"/>
    <w:basedOn w:val="Normal"/>
    <w:link w:val="CommentTextChar1"/>
    <w:uiPriority w:val="99"/>
    <w:rsid w:val="00E24DB7"/>
    <w:rPr>
      <w:rFonts w:eastAsia="Calibri"/>
      <w:sz w:val="24"/>
    </w:rPr>
  </w:style>
  <w:style w:type="character" w:customStyle="1" w:styleId="CommentTextChar1">
    <w:name w:val="Comment Text Char1"/>
    <w:basedOn w:val="DefaultParagraphFont"/>
    <w:link w:val="CommentText"/>
    <w:uiPriority w:val="99"/>
    <w:rsid w:val="00E24DB7"/>
    <w:rPr>
      <w:rFonts w:eastAsia="Calibri"/>
      <w:sz w:val="24"/>
      <w:lang w:val="fr-CH" w:eastAsia="en-US"/>
    </w:rPr>
  </w:style>
  <w:style w:type="paragraph" w:styleId="CommentSubject">
    <w:name w:val="annotation subject"/>
    <w:basedOn w:val="CommentText"/>
    <w:next w:val="CommentText"/>
    <w:link w:val="CommentSubjectChar"/>
    <w:uiPriority w:val="99"/>
    <w:rsid w:val="00E24DB7"/>
    <w:rPr>
      <w:b/>
      <w:bCs/>
    </w:rPr>
  </w:style>
  <w:style w:type="character" w:customStyle="1" w:styleId="CommentSubjectChar">
    <w:name w:val="Comment Subject Char"/>
    <w:basedOn w:val="CommentTextChar1"/>
    <w:link w:val="CommentSubject"/>
    <w:uiPriority w:val="99"/>
    <w:rsid w:val="00E24DB7"/>
    <w:rPr>
      <w:rFonts w:eastAsia="Calibri"/>
      <w:b/>
      <w:bCs/>
      <w:sz w:val="24"/>
      <w:lang w:val="fr-CH" w:eastAsia="en-US"/>
    </w:rPr>
  </w:style>
  <w:style w:type="character" w:customStyle="1" w:styleId="HChGChar">
    <w:name w:val="_ H _Ch_G Char"/>
    <w:link w:val="HChG"/>
    <w:rsid w:val="00E24DB7"/>
    <w:rPr>
      <w:rFonts w:eastAsia="SimSun"/>
      <w:b/>
      <w:sz w:val="28"/>
      <w:lang w:val="fr-CH" w:eastAsia="en-US"/>
    </w:rPr>
  </w:style>
  <w:style w:type="character" w:customStyle="1" w:styleId="H1GChar">
    <w:name w:val="_ H_1_G Char"/>
    <w:link w:val="H1G"/>
    <w:rsid w:val="00E24DB7"/>
    <w:rPr>
      <w:rFonts w:eastAsia="SimSun"/>
      <w:b/>
      <w:sz w:val="24"/>
      <w:lang w:val="fr-CH" w:eastAsia="en-US"/>
    </w:rPr>
  </w:style>
  <w:style w:type="paragraph" w:customStyle="1" w:styleId="XHeadline">
    <w:name w:val="X Headline"/>
    <w:basedOn w:val="Normal"/>
    <w:next w:val="Normal"/>
    <w:qFormat/>
    <w:rsid w:val="00E24DB7"/>
    <w:pPr>
      <w:tabs>
        <w:tab w:val="left" w:pos="1418"/>
        <w:tab w:val="num" w:pos="2695"/>
      </w:tabs>
      <w:suppressAutoHyphens w:val="0"/>
      <w:kinsoku/>
      <w:overflowPunct/>
      <w:autoSpaceDE/>
      <w:autoSpaceDN/>
      <w:adjustRightInd/>
      <w:snapToGrid/>
      <w:spacing w:before="120" w:after="120" w:line="240" w:lineRule="auto"/>
      <w:ind w:left="1418" w:hanging="1418"/>
      <w:jc w:val="both"/>
      <w:outlineLvl w:val="0"/>
    </w:pPr>
    <w:rPr>
      <w:rFonts w:eastAsia="Times New Roman"/>
      <w:bCs/>
      <w:sz w:val="24"/>
      <w:szCs w:val="24"/>
      <w:u w:val="single"/>
      <w:lang w:val="en-GB"/>
    </w:rPr>
  </w:style>
  <w:style w:type="paragraph" w:customStyle="1" w:styleId="XXXHeadline">
    <w:name w:val="X.X.X. Headline"/>
    <w:basedOn w:val="Normal"/>
    <w:next w:val="Normal"/>
    <w:qFormat/>
    <w:rsid w:val="00E24DB7"/>
    <w:pPr>
      <w:tabs>
        <w:tab w:val="num" w:pos="360"/>
        <w:tab w:val="left" w:pos="1418"/>
      </w:tabs>
      <w:suppressAutoHyphens w:val="0"/>
      <w:kinsoku/>
      <w:overflowPunct/>
      <w:autoSpaceDE/>
      <w:autoSpaceDN/>
      <w:adjustRightInd/>
      <w:snapToGrid/>
      <w:spacing w:before="120" w:after="120" w:line="240" w:lineRule="auto"/>
      <w:jc w:val="both"/>
      <w:outlineLvl w:val="2"/>
    </w:pPr>
    <w:rPr>
      <w:rFonts w:eastAsia="Times New Roman"/>
      <w:sz w:val="24"/>
      <w:lang w:val="en-GB"/>
    </w:rPr>
  </w:style>
  <w:style w:type="paragraph" w:styleId="Caption">
    <w:name w:val="caption"/>
    <w:basedOn w:val="Normal"/>
    <w:next w:val="Normal"/>
    <w:qFormat/>
    <w:rsid w:val="00E24DB7"/>
    <w:pPr>
      <w:suppressAutoHyphens w:val="0"/>
      <w:kinsoku/>
      <w:overflowPunct/>
      <w:autoSpaceDE/>
      <w:autoSpaceDN/>
      <w:adjustRightInd/>
      <w:snapToGrid/>
      <w:spacing w:line="240" w:lineRule="auto"/>
      <w:ind w:left="567" w:firstLine="567"/>
      <w:jc w:val="both"/>
    </w:pPr>
    <w:rPr>
      <w:rFonts w:eastAsia="Times New Roman"/>
      <w:bCs/>
      <w:lang w:val="en-GB" w:eastAsia="de-DE"/>
    </w:rPr>
  </w:style>
  <w:style w:type="paragraph" w:customStyle="1" w:styleId="Definition">
    <w:name w:val="Definition"/>
    <w:basedOn w:val="Normal"/>
    <w:next w:val="Normal"/>
    <w:rsid w:val="00E24DB7"/>
    <w:pPr>
      <w:suppressAutoHyphens w:val="0"/>
      <w:kinsoku/>
      <w:snapToGrid/>
      <w:spacing w:after="240" w:line="230" w:lineRule="auto"/>
      <w:jc w:val="both"/>
      <w:textAlignment w:val="baseline"/>
    </w:pPr>
    <w:rPr>
      <w:rFonts w:ascii="Arial" w:eastAsia="MS Mincho" w:hAnsi="Arial"/>
      <w:lang w:val="en-GB" w:eastAsia="ja-JP"/>
    </w:rPr>
  </w:style>
  <w:style w:type="paragraph" w:customStyle="1" w:styleId="XXHeadline">
    <w:name w:val="X.X Headline"/>
    <w:basedOn w:val="Normal"/>
    <w:next w:val="Normal"/>
    <w:qFormat/>
    <w:rsid w:val="00E24DB7"/>
    <w:pPr>
      <w:tabs>
        <w:tab w:val="left" w:pos="1418"/>
      </w:tabs>
      <w:suppressAutoHyphens w:val="0"/>
      <w:kinsoku/>
      <w:overflowPunct/>
      <w:autoSpaceDE/>
      <w:autoSpaceDN/>
      <w:adjustRightInd/>
      <w:snapToGrid/>
      <w:spacing w:line="240" w:lineRule="auto"/>
      <w:ind w:left="1418" w:hanging="1418"/>
      <w:outlineLvl w:val="1"/>
    </w:pPr>
    <w:rPr>
      <w:rFonts w:eastAsia="Times New Roman"/>
      <w:sz w:val="24"/>
      <w:lang w:val="en-GB"/>
    </w:rPr>
  </w:style>
  <w:style w:type="character" w:customStyle="1" w:styleId="CorpsdetexteCar1">
    <w:name w:val="Corps de texte Car1"/>
    <w:basedOn w:val="DefaultParagraphFont"/>
    <w:uiPriority w:val="99"/>
    <w:semiHidden/>
    <w:rsid w:val="00E24DB7"/>
    <w:rPr>
      <w:rFonts w:ascii="Times New Roman" w:eastAsiaTheme="minorHAnsi" w:hAnsi="Times New Roman" w:cs="Times New Roman"/>
      <w:sz w:val="20"/>
      <w:szCs w:val="20"/>
      <w:lang w:eastAsia="en-US"/>
    </w:rPr>
  </w:style>
  <w:style w:type="character" w:customStyle="1" w:styleId="CorpsdetexteCar2">
    <w:name w:val="Corps de texte Car2"/>
    <w:basedOn w:val="DefaultParagraphFont"/>
    <w:semiHidden/>
    <w:rsid w:val="00E24DB7"/>
    <w:rPr>
      <w:rFonts w:ascii="Times New Roman" w:eastAsiaTheme="minorHAnsi" w:hAnsi="Times New Roman" w:cs="Times New Roman"/>
      <w:sz w:val="20"/>
      <w:szCs w:val="20"/>
      <w:lang w:eastAsia="en-US"/>
    </w:rPr>
  </w:style>
  <w:style w:type="paragraph" w:styleId="TOC1">
    <w:name w:val="toc 1"/>
    <w:basedOn w:val="Normal"/>
    <w:next w:val="Normal"/>
    <w:autoRedefine/>
    <w:rsid w:val="00E24DB7"/>
    <w:pPr>
      <w:tabs>
        <w:tab w:val="left" w:pos="480"/>
        <w:tab w:val="right" w:leader="dot" w:pos="9345"/>
      </w:tabs>
      <w:suppressAutoHyphens w:val="0"/>
      <w:kinsoku/>
      <w:overflowPunct/>
      <w:autoSpaceDE/>
      <w:autoSpaceDN/>
      <w:adjustRightInd/>
      <w:snapToGrid/>
      <w:spacing w:before="120" w:after="120" w:line="240" w:lineRule="auto"/>
    </w:pPr>
    <w:rPr>
      <w:rFonts w:ascii="Calibri" w:eastAsia="Times New Roman" w:hAnsi="Calibri"/>
      <w:b/>
      <w:bCs/>
      <w:caps/>
      <w:lang w:val="en-GB"/>
    </w:rPr>
  </w:style>
  <w:style w:type="character" w:customStyle="1" w:styleId="Corpsdetexte3Car1">
    <w:name w:val="Corps de texte 3 Car1"/>
    <w:basedOn w:val="DefaultParagraphFont"/>
    <w:uiPriority w:val="99"/>
    <w:semiHidden/>
    <w:rsid w:val="00E24DB7"/>
    <w:rPr>
      <w:rFonts w:ascii="Times New Roman" w:eastAsiaTheme="minorHAnsi" w:hAnsi="Times New Roman" w:cs="Times New Roman"/>
      <w:sz w:val="16"/>
      <w:szCs w:val="16"/>
      <w:lang w:eastAsia="en-US"/>
    </w:rPr>
  </w:style>
  <w:style w:type="character" w:customStyle="1" w:styleId="Corpsdetexte3Car2">
    <w:name w:val="Corps de texte 3 Car2"/>
    <w:basedOn w:val="DefaultParagraphFont"/>
    <w:semiHidden/>
    <w:rsid w:val="00E24DB7"/>
    <w:rPr>
      <w:rFonts w:ascii="Times New Roman" w:eastAsiaTheme="minorHAnsi" w:hAnsi="Times New Roman" w:cs="Times New Roman"/>
      <w:sz w:val="16"/>
      <w:szCs w:val="16"/>
      <w:lang w:eastAsia="en-US"/>
    </w:rPr>
  </w:style>
  <w:style w:type="character" w:customStyle="1" w:styleId="Retraitcorpsdetexte2Car1">
    <w:name w:val="Retrait corps de texte 2 Car1"/>
    <w:basedOn w:val="DefaultParagraphFont"/>
    <w:uiPriority w:val="99"/>
    <w:semiHidden/>
    <w:rsid w:val="00E24DB7"/>
    <w:rPr>
      <w:rFonts w:ascii="Times New Roman" w:eastAsiaTheme="minorHAnsi" w:hAnsi="Times New Roman" w:cs="Times New Roman"/>
      <w:sz w:val="20"/>
      <w:szCs w:val="20"/>
      <w:lang w:eastAsia="en-US"/>
    </w:rPr>
  </w:style>
  <w:style w:type="character" w:customStyle="1" w:styleId="Retraitcorpsdetexte2Car2">
    <w:name w:val="Retrait corps de texte 2 Car2"/>
    <w:basedOn w:val="DefaultParagraphFont"/>
    <w:semiHidden/>
    <w:rsid w:val="00E24DB7"/>
    <w:rPr>
      <w:rFonts w:ascii="Times New Roman" w:eastAsiaTheme="minorHAnsi" w:hAnsi="Times New Roman" w:cs="Times New Roman"/>
      <w:sz w:val="20"/>
      <w:szCs w:val="20"/>
      <w:lang w:eastAsia="en-US"/>
    </w:rPr>
  </w:style>
  <w:style w:type="character" w:customStyle="1" w:styleId="Retraitcorpsdetexte3Car1">
    <w:name w:val="Retrait corps de texte 3 Car1"/>
    <w:basedOn w:val="DefaultParagraphFont"/>
    <w:uiPriority w:val="99"/>
    <w:semiHidden/>
    <w:rsid w:val="00E24DB7"/>
    <w:rPr>
      <w:rFonts w:ascii="Times New Roman" w:eastAsiaTheme="minorHAnsi" w:hAnsi="Times New Roman" w:cs="Times New Roman"/>
      <w:sz w:val="16"/>
      <w:szCs w:val="16"/>
      <w:lang w:eastAsia="en-US"/>
    </w:rPr>
  </w:style>
  <w:style w:type="character" w:customStyle="1" w:styleId="RetraitcorpsdetexteCar1">
    <w:name w:val="Retrait corps de texte Car1"/>
    <w:basedOn w:val="DefaultParagraphFont"/>
    <w:uiPriority w:val="99"/>
    <w:semiHidden/>
    <w:rsid w:val="00E24DB7"/>
    <w:rPr>
      <w:rFonts w:ascii="Times New Roman" w:eastAsiaTheme="minorHAnsi" w:hAnsi="Times New Roman" w:cs="Times New Roman"/>
      <w:sz w:val="20"/>
      <w:szCs w:val="20"/>
      <w:lang w:eastAsia="en-US"/>
    </w:rPr>
  </w:style>
  <w:style w:type="character" w:customStyle="1" w:styleId="Retraitcorpsdetexte3Car2">
    <w:name w:val="Retrait corps de texte 3 Car2"/>
    <w:basedOn w:val="DefaultParagraphFont"/>
    <w:semiHidden/>
    <w:rsid w:val="00E24DB7"/>
    <w:rPr>
      <w:rFonts w:ascii="Times New Roman" w:eastAsiaTheme="minorHAnsi" w:hAnsi="Times New Roman" w:cs="Times New Roman"/>
      <w:sz w:val="16"/>
      <w:szCs w:val="16"/>
      <w:lang w:eastAsia="en-US"/>
    </w:rPr>
  </w:style>
  <w:style w:type="character" w:customStyle="1" w:styleId="PlainTextChar">
    <w:name w:val="Plain Text Char"/>
    <w:link w:val="PlainText"/>
    <w:uiPriority w:val="99"/>
    <w:rsid w:val="00E24DB7"/>
    <w:rPr>
      <w:rFonts w:ascii="Courier New" w:hAnsi="Courier New"/>
    </w:rPr>
  </w:style>
  <w:style w:type="paragraph" w:styleId="PlainText">
    <w:name w:val="Plain Text"/>
    <w:basedOn w:val="Normal"/>
    <w:link w:val="PlainTextChar"/>
    <w:uiPriority w:val="99"/>
    <w:rsid w:val="00E24DB7"/>
    <w:pPr>
      <w:suppressAutoHyphens w:val="0"/>
      <w:kinsoku/>
      <w:overflowPunct/>
      <w:autoSpaceDE/>
      <w:autoSpaceDN/>
      <w:adjustRightInd/>
      <w:snapToGrid/>
      <w:spacing w:line="240" w:lineRule="auto"/>
      <w:jc w:val="both"/>
    </w:pPr>
    <w:rPr>
      <w:rFonts w:ascii="Courier New" w:eastAsia="Times New Roman" w:hAnsi="Courier New"/>
      <w:lang w:val="fr-FR" w:eastAsia="fr-FR"/>
    </w:rPr>
  </w:style>
  <w:style w:type="character" w:customStyle="1" w:styleId="TextebrutCar1">
    <w:name w:val="Texte brut Car1"/>
    <w:basedOn w:val="DefaultParagraphFont"/>
    <w:uiPriority w:val="99"/>
    <w:semiHidden/>
    <w:rsid w:val="00E24DB7"/>
    <w:rPr>
      <w:rFonts w:ascii="Consolas" w:eastAsia="SimSun" w:hAnsi="Consolas"/>
      <w:sz w:val="21"/>
      <w:szCs w:val="21"/>
      <w:lang w:val="fr-CH" w:eastAsia="en-US"/>
    </w:rPr>
  </w:style>
  <w:style w:type="paragraph" w:customStyle="1" w:styleId="tableau">
    <w:name w:val="tableau"/>
    <w:basedOn w:val="Normal"/>
    <w:next w:val="Normal"/>
    <w:rsid w:val="00E24DB7"/>
    <w:pPr>
      <w:suppressAutoHyphens w:val="0"/>
      <w:kinsoku/>
      <w:overflowPunct/>
      <w:autoSpaceDE/>
      <w:autoSpaceDN/>
      <w:adjustRightInd/>
      <w:snapToGrid/>
      <w:spacing w:before="40" w:after="40" w:line="210" w:lineRule="exact"/>
      <w:jc w:val="both"/>
    </w:pPr>
    <w:rPr>
      <w:rFonts w:ascii="Helvetica" w:eastAsia="Times New Roman" w:hAnsi="Helvetica"/>
      <w:sz w:val="18"/>
      <w:lang w:eastAsia="de-DE"/>
    </w:rPr>
  </w:style>
  <w:style w:type="character" w:customStyle="1" w:styleId="ExplorateurdedocumentsCar1">
    <w:name w:val="Explorateur de documents Car1"/>
    <w:basedOn w:val="DefaultParagraphFont"/>
    <w:uiPriority w:val="99"/>
    <w:semiHidden/>
    <w:rsid w:val="00E24DB7"/>
    <w:rPr>
      <w:rFonts w:ascii="Segoe UI" w:eastAsiaTheme="minorHAnsi" w:hAnsi="Segoe UI" w:cs="Segoe UI"/>
      <w:sz w:val="16"/>
      <w:szCs w:val="16"/>
      <w:lang w:eastAsia="en-US"/>
    </w:rPr>
  </w:style>
  <w:style w:type="paragraph" w:styleId="TOC3">
    <w:name w:val="toc 3"/>
    <w:basedOn w:val="Normal"/>
    <w:next w:val="Normal"/>
    <w:autoRedefine/>
    <w:rsid w:val="00E24DB7"/>
    <w:pPr>
      <w:suppressAutoHyphens w:val="0"/>
      <w:kinsoku/>
      <w:overflowPunct/>
      <w:autoSpaceDE/>
      <w:autoSpaceDN/>
      <w:adjustRightInd/>
      <w:snapToGrid/>
      <w:spacing w:line="240" w:lineRule="auto"/>
      <w:ind w:left="480"/>
    </w:pPr>
    <w:rPr>
      <w:rFonts w:ascii="Calibri" w:eastAsia="Times New Roman" w:hAnsi="Calibri"/>
      <w:i/>
      <w:iCs/>
      <w:lang w:val="en-GB"/>
    </w:rPr>
  </w:style>
  <w:style w:type="paragraph" w:styleId="NormalWeb">
    <w:name w:val="Normal (Web)"/>
    <w:basedOn w:val="Normal"/>
    <w:uiPriority w:val="99"/>
    <w:rsid w:val="00E24DB7"/>
    <w:pPr>
      <w:suppressAutoHyphens w:val="0"/>
      <w:kinsoku/>
      <w:overflowPunct/>
      <w:autoSpaceDE/>
      <w:autoSpaceDN/>
      <w:adjustRightInd/>
      <w:snapToGrid/>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character" w:customStyle="1" w:styleId="RetraitcorpsdetexteCar2">
    <w:name w:val="Retrait corps de texte Car2"/>
    <w:basedOn w:val="DefaultParagraphFont"/>
    <w:semiHidden/>
    <w:rsid w:val="00E24DB7"/>
    <w:rPr>
      <w:rFonts w:ascii="Times New Roman" w:eastAsiaTheme="minorHAnsi" w:hAnsi="Times New Roman" w:cs="Times New Roman"/>
      <w:sz w:val="20"/>
      <w:szCs w:val="20"/>
      <w:lang w:eastAsia="en-US"/>
    </w:rPr>
  </w:style>
  <w:style w:type="paragraph" w:styleId="TOC2">
    <w:name w:val="toc 2"/>
    <w:basedOn w:val="Normal"/>
    <w:next w:val="Normal"/>
    <w:autoRedefine/>
    <w:unhideWhenUsed/>
    <w:rsid w:val="00E24DB7"/>
    <w:pPr>
      <w:suppressAutoHyphens w:val="0"/>
      <w:kinsoku/>
      <w:overflowPunct/>
      <w:autoSpaceDE/>
      <w:autoSpaceDN/>
      <w:adjustRightInd/>
      <w:snapToGrid/>
      <w:spacing w:line="240" w:lineRule="auto"/>
      <w:ind w:left="240"/>
    </w:pPr>
    <w:rPr>
      <w:rFonts w:ascii="Calibri" w:eastAsia="Times New Roman" w:hAnsi="Calibri"/>
      <w:smallCaps/>
      <w:lang w:val="en-GB"/>
    </w:rPr>
  </w:style>
  <w:style w:type="paragraph" w:customStyle="1" w:styleId="XXXXHeadline">
    <w:name w:val="X.X.X.X. Headline"/>
    <w:basedOn w:val="XXXHeadline"/>
    <w:next w:val="Normal"/>
    <w:qFormat/>
    <w:rsid w:val="00E24DB7"/>
    <w:pPr>
      <w:tabs>
        <w:tab w:val="clear" w:pos="360"/>
        <w:tab w:val="num" w:pos="3272"/>
      </w:tabs>
      <w:ind w:left="1418" w:hanging="1418"/>
      <w:outlineLvl w:val="3"/>
    </w:pPr>
  </w:style>
  <w:style w:type="paragraph" w:customStyle="1" w:styleId="XXXXXHeadline">
    <w:name w:val="X.X.X.X.X. Headline"/>
    <w:basedOn w:val="XXXXHeadline"/>
    <w:qFormat/>
    <w:rsid w:val="00E24DB7"/>
    <w:pPr>
      <w:tabs>
        <w:tab w:val="clear" w:pos="3272"/>
      </w:tabs>
      <w:outlineLvl w:val="4"/>
    </w:pPr>
  </w:style>
  <w:style w:type="paragraph" w:customStyle="1" w:styleId="XXXXXXHeadline">
    <w:name w:val="X.X.X.X.X.X. Headline"/>
    <w:basedOn w:val="XXXXXHeadline"/>
    <w:qFormat/>
    <w:rsid w:val="00E24DB7"/>
    <w:pPr>
      <w:tabs>
        <w:tab w:val="num" w:pos="1800"/>
      </w:tabs>
      <w:outlineLvl w:val="5"/>
    </w:pPr>
  </w:style>
  <w:style w:type="character" w:customStyle="1" w:styleId="texhtml">
    <w:name w:val="texhtml"/>
    <w:rsid w:val="00E24DB7"/>
  </w:style>
  <w:style w:type="paragraph" w:styleId="ListParagraph">
    <w:name w:val="List Paragraph"/>
    <w:basedOn w:val="Normal"/>
    <w:uiPriority w:val="34"/>
    <w:qFormat/>
    <w:rsid w:val="00E24DB7"/>
    <w:pPr>
      <w:suppressAutoHyphens w:val="0"/>
      <w:kinsoku/>
      <w:overflowPunct/>
      <w:autoSpaceDE/>
      <w:autoSpaceDN/>
      <w:adjustRightInd/>
      <w:snapToGrid/>
      <w:spacing w:line="240" w:lineRule="auto"/>
      <w:ind w:left="720"/>
      <w:contextualSpacing/>
      <w:jc w:val="both"/>
    </w:pPr>
    <w:rPr>
      <w:rFonts w:eastAsia="Times New Roman"/>
      <w:sz w:val="24"/>
      <w:lang w:val="en-GB"/>
    </w:rPr>
  </w:style>
  <w:style w:type="paragraph" w:customStyle="1" w:styleId="XXXXXXXHeadline">
    <w:name w:val="X.X.X.X.X.X.X. Headline"/>
    <w:basedOn w:val="XXXXXXHeadline"/>
    <w:qFormat/>
    <w:rsid w:val="00E24DB7"/>
    <w:pPr>
      <w:tabs>
        <w:tab w:val="clear" w:pos="1800"/>
      </w:tabs>
      <w:outlineLvl w:val="6"/>
    </w:pPr>
  </w:style>
  <w:style w:type="paragraph" w:styleId="Revision">
    <w:name w:val="Revision"/>
    <w:hidden/>
    <w:uiPriority w:val="99"/>
    <w:semiHidden/>
    <w:rsid w:val="00E24DB7"/>
    <w:rPr>
      <w:rFonts w:eastAsia="Calibri"/>
      <w:sz w:val="24"/>
      <w:lang w:val="en-GB" w:eastAsia="en-US"/>
    </w:rPr>
  </w:style>
  <w:style w:type="character" w:styleId="IntenseEmphasis">
    <w:name w:val="Intense Emphasis"/>
    <w:uiPriority w:val="21"/>
    <w:qFormat/>
    <w:rsid w:val="00E24DB7"/>
    <w:rPr>
      <w:b/>
      <w:bCs/>
      <w:i/>
      <w:iCs/>
      <w:color w:val="4F81BD"/>
    </w:rPr>
  </w:style>
  <w:style w:type="paragraph" w:styleId="TOC4">
    <w:name w:val="toc 4"/>
    <w:basedOn w:val="Normal"/>
    <w:next w:val="Normal"/>
    <w:autoRedefine/>
    <w:rsid w:val="00E24DB7"/>
    <w:pPr>
      <w:suppressAutoHyphens w:val="0"/>
      <w:kinsoku/>
      <w:overflowPunct/>
      <w:autoSpaceDE/>
      <w:autoSpaceDN/>
      <w:adjustRightInd/>
      <w:snapToGrid/>
      <w:spacing w:line="276" w:lineRule="auto"/>
      <w:ind w:left="660"/>
    </w:pPr>
    <w:rPr>
      <w:rFonts w:ascii="Calibri" w:eastAsia="Calibri" w:hAnsi="Calibri" w:cs="Calibri"/>
      <w:sz w:val="18"/>
      <w:szCs w:val="18"/>
      <w:lang w:val="de-DE"/>
    </w:rPr>
  </w:style>
  <w:style w:type="paragraph" w:styleId="TOC5">
    <w:name w:val="toc 5"/>
    <w:basedOn w:val="Normal"/>
    <w:next w:val="Normal"/>
    <w:autoRedefine/>
    <w:rsid w:val="00E24DB7"/>
    <w:pPr>
      <w:suppressAutoHyphens w:val="0"/>
      <w:kinsoku/>
      <w:overflowPunct/>
      <w:autoSpaceDE/>
      <w:autoSpaceDN/>
      <w:adjustRightInd/>
      <w:snapToGrid/>
      <w:spacing w:line="276" w:lineRule="auto"/>
      <w:ind w:left="880"/>
    </w:pPr>
    <w:rPr>
      <w:rFonts w:ascii="Calibri" w:eastAsia="Calibri" w:hAnsi="Calibri" w:cs="Calibri"/>
      <w:sz w:val="18"/>
      <w:szCs w:val="18"/>
      <w:lang w:val="de-DE"/>
    </w:rPr>
  </w:style>
  <w:style w:type="paragraph" w:styleId="TOC6">
    <w:name w:val="toc 6"/>
    <w:basedOn w:val="Normal"/>
    <w:next w:val="Normal"/>
    <w:autoRedefine/>
    <w:rsid w:val="00E24DB7"/>
    <w:pPr>
      <w:suppressAutoHyphens w:val="0"/>
      <w:kinsoku/>
      <w:overflowPunct/>
      <w:autoSpaceDE/>
      <w:autoSpaceDN/>
      <w:adjustRightInd/>
      <w:snapToGrid/>
      <w:spacing w:line="276" w:lineRule="auto"/>
      <w:ind w:left="1100"/>
    </w:pPr>
    <w:rPr>
      <w:rFonts w:ascii="Calibri" w:eastAsia="Calibri" w:hAnsi="Calibri" w:cs="Calibri"/>
      <w:sz w:val="18"/>
      <w:szCs w:val="18"/>
      <w:lang w:val="de-DE"/>
    </w:rPr>
  </w:style>
  <w:style w:type="paragraph" w:styleId="TOC7">
    <w:name w:val="toc 7"/>
    <w:basedOn w:val="Normal"/>
    <w:next w:val="Normal"/>
    <w:autoRedefine/>
    <w:rsid w:val="00E24DB7"/>
    <w:pPr>
      <w:suppressAutoHyphens w:val="0"/>
      <w:kinsoku/>
      <w:overflowPunct/>
      <w:autoSpaceDE/>
      <w:autoSpaceDN/>
      <w:adjustRightInd/>
      <w:snapToGrid/>
      <w:spacing w:line="276" w:lineRule="auto"/>
      <w:ind w:left="1320"/>
    </w:pPr>
    <w:rPr>
      <w:rFonts w:ascii="Calibri" w:eastAsia="Calibri" w:hAnsi="Calibri" w:cs="Calibri"/>
      <w:sz w:val="18"/>
      <w:szCs w:val="18"/>
      <w:lang w:val="de-DE"/>
    </w:rPr>
  </w:style>
  <w:style w:type="paragraph" w:styleId="TOC8">
    <w:name w:val="toc 8"/>
    <w:basedOn w:val="Normal"/>
    <w:next w:val="Normal"/>
    <w:autoRedefine/>
    <w:rsid w:val="00E24DB7"/>
    <w:pPr>
      <w:suppressAutoHyphens w:val="0"/>
      <w:kinsoku/>
      <w:overflowPunct/>
      <w:autoSpaceDE/>
      <w:autoSpaceDN/>
      <w:adjustRightInd/>
      <w:snapToGrid/>
      <w:spacing w:line="276" w:lineRule="auto"/>
      <w:ind w:left="1540"/>
    </w:pPr>
    <w:rPr>
      <w:rFonts w:ascii="Calibri" w:eastAsia="Calibri" w:hAnsi="Calibri" w:cs="Calibri"/>
      <w:sz w:val="18"/>
      <w:szCs w:val="18"/>
      <w:lang w:val="de-DE"/>
    </w:rPr>
  </w:style>
  <w:style w:type="paragraph" w:styleId="TOC9">
    <w:name w:val="toc 9"/>
    <w:basedOn w:val="Normal"/>
    <w:next w:val="Normal"/>
    <w:autoRedefine/>
    <w:rsid w:val="00E24DB7"/>
    <w:pPr>
      <w:suppressAutoHyphens w:val="0"/>
      <w:kinsoku/>
      <w:overflowPunct/>
      <w:autoSpaceDE/>
      <w:autoSpaceDN/>
      <w:adjustRightInd/>
      <w:snapToGrid/>
      <w:spacing w:line="276" w:lineRule="auto"/>
      <w:ind w:left="1760"/>
    </w:pPr>
    <w:rPr>
      <w:rFonts w:ascii="Calibri" w:eastAsia="Calibri" w:hAnsi="Calibri" w:cs="Calibri"/>
      <w:sz w:val="18"/>
      <w:szCs w:val="18"/>
      <w:lang w:val="de-DE"/>
    </w:rPr>
  </w:style>
  <w:style w:type="paragraph" w:styleId="Index1">
    <w:name w:val="index 1"/>
    <w:basedOn w:val="Normal"/>
    <w:next w:val="Normal"/>
    <w:autoRedefine/>
    <w:unhideWhenUsed/>
    <w:rsid w:val="00E24DB7"/>
    <w:pPr>
      <w:spacing w:line="240" w:lineRule="auto"/>
      <w:ind w:left="240" w:hanging="240"/>
    </w:pPr>
    <w:rPr>
      <w:rFonts w:eastAsia="Calibri"/>
      <w:sz w:val="24"/>
    </w:rPr>
  </w:style>
  <w:style w:type="paragraph" w:styleId="IndexHeading">
    <w:name w:val="index heading"/>
    <w:basedOn w:val="Normal"/>
    <w:next w:val="Normal"/>
    <w:rsid w:val="00E24DB7"/>
    <w:pPr>
      <w:keepNext/>
      <w:suppressAutoHyphens w:val="0"/>
      <w:kinsoku/>
      <w:snapToGrid/>
      <w:spacing w:before="480" w:after="210" w:line="230" w:lineRule="auto"/>
      <w:jc w:val="center"/>
      <w:textAlignment w:val="baseline"/>
    </w:pPr>
    <w:rPr>
      <w:rFonts w:ascii="Arial" w:eastAsia="MS Mincho" w:hAnsi="Arial"/>
      <w:lang w:val="en-GB" w:eastAsia="ja-JP"/>
    </w:rPr>
  </w:style>
  <w:style w:type="character" w:styleId="PlaceholderText">
    <w:name w:val="Placeholder Text"/>
    <w:uiPriority w:val="99"/>
    <w:semiHidden/>
    <w:rsid w:val="00E24DB7"/>
    <w:rPr>
      <w:color w:val="808080"/>
    </w:rPr>
  </w:style>
  <w:style w:type="numbering" w:customStyle="1" w:styleId="KeineListe1">
    <w:name w:val="Keine Liste1"/>
    <w:next w:val="NoList"/>
    <w:uiPriority w:val="99"/>
    <w:semiHidden/>
    <w:unhideWhenUsed/>
    <w:rsid w:val="00E24DB7"/>
  </w:style>
  <w:style w:type="character" w:styleId="Strong">
    <w:name w:val="Strong"/>
    <w:qFormat/>
    <w:rsid w:val="00E24DB7"/>
    <w:rPr>
      <w:b/>
      <w:bCs/>
    </w:rPr>
  </w:style>
  <w:style w:type="paragraph" w:customStyle="1" w:styleId="default">
    <w:name w:val="default"/>
    <w:basedOn w:val="Normal"/>
    <w:rsid w:val="00E24DB7"/>
    <w:pPr>
      <w:suppressAutoHyphens w:val="0"/>
      <w:kinsoku/>
      <w:overflowPunct/>
      <w:autoSpaceDE/>
      <w:autoSpaceDN/>
      <w:adjustRightInd/>
      <w:snapToGrid/>
      <w:spacing w:before="100" w:beforeAutospacing="1" w:after="100" w:afterAutospacing="1" w:line="240" w:lineRule="auto"/>
    </w:pPr>
    <w:rPr>
      <w:rFonts w:eastAsia="Times New Roman"/>
      <w:sz w:val="24"/>
      <w:szCs w:val="24"/>
      <w:lang w:val="en-GB" w:eastAsia="en-GB"/>
    </w:rPr>
  </w:style>
  <w:style w:type="table" w:customStyle="1" w:styleId="Tabellenraster1">
    <w:name w:val="Tabellenraster1"/>
    <w:basedOn w:val="TableNormal"/>
    <w:next w:val="TableGrid"/>
    <w:uiPriority w:val="59"/>
    <w:rsid w:val="00E24DB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24DB7"/>
    <w:pPr>
      <w:jc w:val="both"/>
    </w:pPr>
    <w:rPr>
      <w:sz w:val="24"/>
      <w:lang w:val="en-GB" w:eastAsia="en-US"/>
    </w:rPr>
  </w:style>
  <w:style w:type="numbering" w:customStyle="1" w:styleId="KeineListe11">
    <w:name w:val="Keine Liste11"/>
    <w:next w:val="NoList"/>
    <w:uiPriority w:val="99"/>
    <w:semiHidden/>
    <w:unhideWhenUsed/>
    <w:rsid w:val="00E24DB7"/>
  </w:style>
  <w:style w:type="paragraph" w:customStyle="1" w:styleId="xl66">
    <w:name w:val="xl66"/>
    <w:basedOn w:val="Normal"/>
    <w:rsid w:val="00E24DB7"/>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jc w:val="center"/>
      <w:textAlignment w:val="center"/>
    </w:pPr>
    <w:rPr>
      <w:rFonts w:ascii="Arial" w:eastAsia="Times New Roman" w:hAnsi="Arial" w:cs="Arial"/>
      <w:lang w:val="en-GB" w:eastAsia="en-GB"/>
    </w:rPr>
  </w:style>
  <w:style w:type="paragraph" w:customStyle="1" w:styleId="xl67">
    <w:name w:val="xl67"/>
    <w:basedOn w:val="Normal"/>
    <w:rsid w:val="00E24DB7"/>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jc w:val="center"/>
      <w:textAlignment w:val="center"/>
    </w:pPr>
    <w:rPr>
      <w:rFonts w:ascii="Arial" w:eastAsia="Times New Roman" w:hAnsi="Arial" w:cs="Arial"/>
      <w:lang w:val="en-GB" w:eastAsia="en-GB"/>
    </w:rPr>
  </w:style>
  <w:style w:type="paragraph" w:customStyle="1" w:styleId="xl68">
    <w:name w:val="xl68"/>
    <w:basedOn w:val="Normal"/>
    <w:rsid w:val="00E24DB7"/>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textAlignment w:val="center"/>
    </w:pPr>
    <w:rPr>
      <w:rFonts w:ascii="Arial" w:eastAsia="Times New Roman" w:hAnsi="Arial" w:cs="Arial"/>
      <w:lang w:val="en-GB" w:eastAsia="en-GB"/>
    </w:rPr>
  </w:style>
  <w:style w:type="paragraph" w:customStyle="1" w:styleId="xl69">
    <w:name w:val="xl69"/>
    <w:basedOn w:val="Normal"/>
    <w:rsid w:val="00E24DB7"/>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pPr>
    <w:rPr>
      <w:rFonts w:eastAsia="Times New Roman"/>
      <w:sz w:val="24"/>
      <w:szCs w:val="24"/>
      <w:lang w:val="en-GB" w:eastAsia="en-GB"/>
    </w:rPr>
  </w:style>
  <w:style w:type="paragraph" w:customStyle="1" w:styleId="xl70">
    <w:name w:val="xl70"/>
    <w:basedOn w:val="Normal"/>
    <w:rsid w:val="00E24DB7"/>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pPr>
    <w:rPr>
      <w:rFonts w:eastAsia="Times New Roman"/>
      <w:sz w:val="24"/>
      <w:szCs w:val="24"/>
      <w:lang w:val="en-GB" w:eastAsia="en-GB"/>
    </w:rPr>
  </w:style>
  <w:style w:type="paragraph" w:customStyle="1" w:styleId="xl71">
    <w:name w:val="xl71"/>
    <w:basedOn w:val="Normal"/>
    <w:rsid w:val="00E24DB7"/>
    <w:pPr>
      <w:suppressAutoHyphens w:val="0"/>
      <w:kinsoku/>
      <w:overflowPunct/>
      <w:autoSpaceDE/>
      <w:autoSpaceDN/>
      <w:adjustRightInd/>
      <w:snapToGrid/>
      <w:spacing w:before="100" w:beforeAutospacing="1" w:after="100" w:afterAutospacing="1" w:line="240" w:lineRule="auto"/>
      <w:textAlignment w:val="center"/>
    </w:pPr>
    <w:rPr>
      <w:rFonts w:eastAsia="Times New Roman"/>
      <w:lang w:val="en-GB" w:eastAsia="en-GB"/>
    </w:rPr>
  </w:style>
  <w:style w:type="paragraph" w:customStyle="1" w:styleId="xl72">
    <w:name w:val="xl72"/>
    <w:basedOn w:val="Normal"/>
    <w:rsid w:val="00E24DB7"/>
    <w:pPr>
      <w:suppressAutoHyphens w:val="0"/>
      <w:kinsoku/>
      <w:overflowPunct/>
      <w:autoSpaceDE/>
      <w:autoSpaceDN/>
      <w:adjustRightInd/>
      <w:snapToGrid/>
      <w:spacing w:before="100" w:beforeAutospacing="1" w:after="100" w:afterAutospacing="1" w:line="240" w:lineRule="auto"/>
    </w:pPr>
    <w:rPr>
      <w:rFonts w:eastAsia="Times New Roman"/>
      <w:lang w:val="en-GB" w:eastAsia="en-GB"/>
    </w:rPr>
  </w:style>
  <w:style w:type="paragraph" w:customStyle="1" w:styleId="xl73">
    <w:name w:val="xl73"/>
    <w:basedOn w:val="Normal"/>
    <w:rsid w:val="00E24DB7"/>
    <w:pPr>
      <w:pBdr>
        <w:bottom w:val="single" w:sz="4" w:space="0" w:color="auto"/>
      </w:pBdr>
      <w:suppressAutoHyphens w:val="0"/>
      <w:kinsoku/>
      <w:overflowPunct/>
      <w:autoSpaceDE/>
      <w:autoSpaceDN/>
      <w:adjustRightInd/>
      <w:snapToGrid/>
      <w:spacing w:before="100" w:beforeAutospacing="1" w:after="100" w:afterAutospacing="1" w:line="240" w:lineRule="auto"/>
      <w:textAlignment w:val="center"/>
    </w:pPr>
    <w:rPr>
      <w:rFonts w:eastAsia="Times New Roman"/>
      <w:lang w:val="en-GB" w:eastAsia="en-GB"/>
    </w:rPr>
  </w:style>
  <w:style w:type="character" w:customStyle="1" w:styleId="CommentTextChar">
    <w:name w:val="Comment Text Char"/>
    <w:uiPriority w:val="99"/>
    <w:rsid w:val="00E24DB7"/>
    <w:rPr>
      <w:lang w:eastAsia="en-US"/>
    </w:rPr>
  </w:style>
  <w:style w:type="table" w:styleId="TableSimple1">
    <w:name w:val="Table Simple 1"/>
    <w:basedOn w:val="TableNormal"/>
    <w:rsid w:val="00E24DB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xl74">
    <w:name w:val="xl74"/>
    <w:basedOn w:val="Normal"/>
    <w:rsid w:val="00E24DB7"/>
    <w:pPr>
      <w:pBdr>
        <w:bottom w:val="single" w:sz="4" w:space="0" w:color="auto"/>
      </w:pBdr>
      <w:suppressAutoHyphens w:val="0"/>
      <w:kinsoku/>
      <w:overflowPunct/>
      <w:autoSpaceDE/>
      <w:autoSpaceDN/>
      <w:adjustRightInd/>
      <w:snapToGrid/>
      <w:spacing w:before="100" w:beforeAutospacing="1" w:after="100" w:afterAutospacing="1" w:line="240" w:lineRule="auto"/>
    </w:pPr>
    <w:rPr>
      <w:rFonts w:eastAsia="Times New Roman"/>
      <w:lang w:val="en-GB" w:eastAsia="en-GB"/>
    </w:rPr>
  </w:style>
  <w:style w:type="table" w:customStyle="1" w:styleId="Tabellenraster2">
    <w:name w:val="Tabellenraster2"/>
    <w:basedOn w:val="TableNormal"/>
    <w:next w:val="TableGrid"/>
    <w:uiPriority w:val="59"/>
    <w:rsid w:val="00E24DB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xl75">
    <w:name w:val="xl75"/>
    <w:basedOn w:val="Normal"/>
    <w:rsid w:val="00E24DB7"/>
    <w:pPr>
      <w:pBdr>
        <w:top w:val="single" w:sz="8" w:space="0" w:color="auto"/>
      </w:pBdr>
      <w:suppressAutoHyphens w:val="0"/>
      <w:kinsoku/>
      <w:overflowPunct/>
      <w:autoSpaceDE/>
      <w:autoSpaceDN/>
      <w:adjustRightInd/>
      <w:snapToGrid/>
      <w:spacing w:before="100" w:beforeAutospacing="1" w:after="100" w:afterAutospacing="1" w:line="240" w:lineRule="auto"/>
      <w:textAlignment w:val="center"/>
    </w:pPr>
    <w:rPr>
      <w:rFonts w:eastAsia="Times New Roman"/>
      <w:i/>
      <w:iCs/>
      <w:sz w:val="16"/>
      <w:szCs w:val="16"/>
      <w:lang w:val="en-GB" w:eastAsia="en-GB"/>
    </w:rPr>
  </w:style>
  <w:style w:type="table" w:customStyle="1" w:styleId="TableGrid1">
    <w:name w:val="Table Grid1"/>
    <w:basedOn w:val="TableNormal"/>
    <w:next w:val="TableGrid"/>
    <w:uiPriority w:val="59"/>
    <w:rsid w:val="00E24DB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
    <w:name w:val="Tabellenraster3"/>
    <w:basedOn w:val="TableNormal"/>
    <w:next w:val="TableGrid"/>
    <w:uiPriority w:val="39"/>
    <w:rsid w:val="00E24DB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3GChar">
    <w:name w:val="_ H_2/3_G Char"/>
    <w:link w:val="H23G"/>
    <w:rsid w:val="00E24DB7"/>
    <w:rPr>
      <w:rFonts w:eastAsia="SimSun"/>
      <w:b/>
      <w:lang w:val="fr-CH" w:eastAsia="en-US"/>
    </w:rPr>
  </w:style>
  <w:style w:type="character" w:customStyle="1" w:styleId="H4GChar">
    <w:name w:val="_ H_4_G Char"/>
    <w:link w:val="H4G"/>
    <w:rsid w:val="00E24DB7"/>
    <w:rPr>
      <w:rFonts w:eastAsia="SimSun"/>
      <w:i/>
      <w:lang w:val="fr-CH" w:eastAsia="en-US"/>
    </w:rPr>
  </w:style>
  <w:style w:type="paragraph" w:styleId="Title">
    <w:name w:val="Title"/>
    <w:basedOn w:val="Normal"/>
    <w:link w:val="TitleChar"/>
    <w:uiPriority w:val="99"/>
    <w:qFormat/>
    <w:rsid w:val="00E24DB7"/>
    <w:pPr>
      <w:kinsoku/>
      <w:overflowPunct/>
      <w:autoSpaceDE/>
      <w:autoSpaceDN/>
      <w:adjustRightInd/>
      <w:snapToGrid/>
      <w:spacing w:before="240" w:after="60"/>
      <w:jc w:val="center"/>
      <w:outlineLvl w:val="0"/>
    </w:pPr>
    <w:rPr>
      <w:rFonts w:ascii="Arial" w:eastAsia="Times New Roman" w:hAnsi="Arial"/>
      <w:b/>
      <w:bCs/>
      <w:kern w:val="28"/>
      <w:sz w:val="32"/>
      <w:szCs w:val="32"/>
      <w:lang w:val="x-none"/>
    </w:rPr>
  </w:style>
  <w:style w:type="character" w:customStyle="1" w:styleId="TitleChar">
    <w:name w:val="Title Char"/>
    <w:basedOn w:val="DefaultParagraphFont"/>
    <w:link w:val="Title"/>
    <w:uiPriority w:val="99"/>
    <w:rsid w:val="00E24DB7"/>
    <w:rPr>
      <w:rFonts w:ascii="Arial" w:hAnsi="Arial"/>
      <w:b/>
      <w:bCs/>
      <w:kern w:val="28"/>
      <w:sz w:val="32"/>
      <w:szCs w:val="32"/>
      <w:lang w:val="x-none" w:eastAsia="en-US"/>
    </w:rPr>
  </w:style>
  <w:style w:type="paragraph" w:customStyle="1" w:styleId="xl76">
    <w:name w:val="xl76"/>
    <w:basedOn w:val="Normal"/>
    <w:rsid w:val="00E24DB7"/>
    <w:pPr>
      <w:pBdr>
        <w:bottom w:val="single" w:sz="8" w:space="0" w:color="auto"/>
      </w:pBdr>
      <w:suppressAutoHyphens w:val="0"/>
      <w:kinsoku/>
      <w:overflowPunct/>
      <w:autoSpaceDE/>
      <w:autoSpaceDN/>
      <w:adjustRightInd/>
      <w:snapToGrid/>
      <w:spacing w:before="100" w:beforeAutospacing="1" w:after="100" w:afterAutospacing="1" w:line="240" w:lineRule="auto"/>
      <w:textAlignment w:val="center"/>
    </w:pPr>
    <w:rPr>
      <w:rFonts w:eastAsia="Times New Roman"/>
      <w:lang w:val="en-GB" w:eastAsia="en-GB"/>
    </w:rPr>
  </w:style>
  <w:style w:type="paragraph" w:customStyle="1" w:styleId="xl64">
    <w:name w:val="xl64"/>
    <w:basedOn w:val="Normal"/>
    <w:rsid w:val="00E24DB7"/>
    <w:pPr>
      <w:suppressAutoHyphens w:val="0"/>
      <w:kinsoku/>
      <w:overflowPunct/>
      <w:autoSpaceDE/>
      <w:autoSpaceDN/>
      <w:adjustRightInd/>
      <w:snapToGrid/>
      <w:spacing w:before="100" w:beforeAutospacing="1" w:after="100" w:afterAutospacing="1" w:line="240" w:lineRule="auto"/>
      <w:textAlignment w:val="center"/>
    </w:pPr>
    <w:rPr>
      <w:rFonts w:eastAsia="Times New Roman"/>
      <w:lang w:val="en-GB" w:eastAsia="en-GB"/>
    </w:rPr>
  </w:style>
  <w:style w:type="paragraph" w:customStyle="1" w:styleId="xl65">
    <w:name w:val="xl65"/>
    <w:basedOn w:val="Normal"/>
    <w:rsid w:val="00E24DB7"/>
    <w:pPr>
      <w:suppressAutoHyphens w:val="0"/>
      <w:kinsoku/>
      <w:overflowPunct/>
      <w:autoSpaceDE/>
      <w:autoSpaceDN/>
      <w:adjustRightInd/>
      <w:snapToGrid/>
      <w:spacing w:before="100" w:beforeAutospacing="1" w:after="100" w:afterAutospacing="1" w:line="240" w:lineRule="auto"/>
      <w:textAlignment w:val="center"/>
    </w:pPr>
    <w:rPr>
      <w:rFonts w:eastAsia="Times New Roman"/>
      <w:lang w:val="en-GB" w:eastAsia="en-GB"/>
    </w:rPr>
  </w:style>
  <w:style w:type="character" w:customStyle="1" w:styleId="NoSpacingChar">
    <w:name w:val="No Spacing Char"/>
    <w:basedOn w:val="DefaultParagraphFont"/>
    <w:link w:val="NoSpacing"/>
    <w:uiPriority w:val="1"/>
    <w:rsid w:val="00E24DB7"/>
    <w:rPr>
      <w:sz w:val="24"/>
      <w:lang w:val="en-GB" w:eastAsia="en-US"/>
    </w:rPr>
  </w:style>
  <w:style w:type="paragraph" w:customStyle="1" w:styleId="Headline00">
    <w:name w:val="Headline00"/>
    <w:basedOn w:val="Normal"/>
    <w:rsid w:val="00E24DB7"/>
    <w:pPr>
      <w:tabs>
        <w:tab w:val="left" w:pos="851"/>
        <w:tab w:val="left" w:pos="1701"/>
      </w:tabs>
      <w:suppressAutoHyphens w:val="0"/>
      <w:kinsoku/>
      <w:overflowPunct/>
      <w:autoSpaceDE/>
      <w:autoSpaceDN/>
      <w:adjustRightInd/>
      <w:snapToGrid/>
      <w:spacing w:line="240" w:lineRule="auto"/>
      <w:jc w:val="both"/>
      <w:outlineLvl w:val="0"/>
    </w:pPr>
    <w:rPr>
      <w:rFonts w:eastAsia="Times New Roman"/>
      <w:sz w:val="24"/>
      <w:szCs w:val="24"/>
      <w:u w:val="single"/>
      <w:lang w:val="en-GB"/>
    </w:rPr>
  </w:style>
  <w:style w:type="paragraph" w:customStyle="1" w:styleId="NormalLeft">
    <w:name w:val="Normal Left"/>
    <w:basedOn w:val="Normal"/>
    <w:rsid w:val="00E24DB7"/>
    <w:pPr>
      <w:suppressAutoHyphens w:val="0"/>
      <w:kinsoku/>
      <w:overflowPunct/>
      <w:autoSpaceDE/>
      <w:autoSpaceDN/>
      <w:adjustRightInd/>
      <w:snapToGrid/>
      <w:spacing w:before="120" w:after="120" w:line="240" w:lineRule="auto"/>
      <w:jc w:val="both"/>
    </w:pPr>
    <w:rPr>
      <w:rFonts w:eastAsia="Times New Roman"/>
      <w:sz w:val="24"/>
      <w:lang w:val="en-GB" w:eastAsia="ko-KR"/>
    </w:rPr>
  </w:style>
  <w:style w:type="paragraph" w:customStyle="1" w:styleId="ListParagraph1">
    <w:name w:val="List Paragraph1"/>
    <w:basedOn w:val="Normal"/>
    <w:rsid w:val="00E24DB7"/>
    <w:pPr>
      <w:suppressAutoHyphens w:val="0"/>
      <w:kinsoku/>
      <w:overflowPunct/>
      <w:autoSpaceDE/>
      <w:autoSpaceDN/>
      <w:adjustRightInd/>
      <w:snapToGrid/>
      <w:spacing w:after="200" w:line="276" w:lineRule="auto"/>
      <w:ind w:left="720"/>
      <w:contextualSpacing/>
    </w:pPr>
    <w:rPr>
      <w:rFonts w:ascii="Calibri" w:eastAsia="Times New Roman" w:hAnsi="Calibri"/>
      <w:sz w:val="22"/>
      <w:szCs w:val="22"/>
      <w:lang w:val="de-CH"/>
    </w:rPr>
  </w:style>
  <w:style w:type="paragraph" w:customStyle="1" w:styleId="ANNEX">
    <w:name w:val="ANNEX"/>
    <w:basedOn w:val="Normal"/>
    <w:next w:val="Normal"/>
    <w:rsid w:val="00E24DB7"/>
    <w:pPr>
      <w:keepNext/>
      <w:keepLines/>
      <w:pageBreakBefore/>
      <w:tabs>
        <w:tab w:val="left" w:pos="1134"/>
        <w:tab w:val="left" w:pos="1701"/>
      </w:tabs>
      <w:suppressAutoHyphens w:val="0"/>
      <w:kinsoku/>
      <w:snapToGrid/>
      <w:spacing w:line="240" w:lineRule="auto"/>
      <w:jc w:val="center"/>
      <w:textAlignment w:val="baseline"/>
      <w:outlineLvl w:val="0"/>
    </w:pPr>
    <w:rPr>
      <w:rFonts w:eastAsia="MS Mincho"/>
      <w:bCs/>
      <w:sz w:val="24"/>
      <w:szCs w:val="24"/>
      <w:u w:val="single"/>
      <w:lang w:val="en-GB" w:eastAsia="ja-JP"/>
    </w:rPr>
  </w:style>
  <w:style w:type="character" w:customStyle="1" w:styleId="CorpsdetexteCar3">
    <w:name w:val="Corps de texte Car3"/>
    <w:basedOn w:val="DefaultParagraphFont"/>
    <w:semiHidden/>
    <w:rsid w:val="00E24DB7"/>
    <w:rPr>
      <w:rFonts w:ascii="Times New Roman" w:eastAsiaTheme="minorHAnsi" w:hAnsi="Times New Roman" w:cs="Times New Roman"/>
      <w:sz w:val="20"/>
      <w:szCs w:val="20"/>
      <w:lang w:eastAsia="en-US"/>
    </w:rPr>
  </w:style>
  <w:style w:type="character" w:customStyle="1" w:styleId="Corpsdetexte3Car3">
    <w:name w:val="Corps de texte 3 Car3"/>
    <w:basedOn w:val="DefaultParagraphFont"/>
    <w:semiHidden/>
    <w:rsid w:val="00E24DB7"/>
    <w:rPr>
      <w:rFonts w:ascii="Times New Roman" w:eastAsiaTheme="minorHAnsi" w:hAnsi="Times New Roman" w:cs="Times New Roman"/>
      <w:sz w:val="16"/>
      <w:szCs w:val="16"/>
      <w:lang w:eastAsia="en-US"/>
    </w:rPr>
  </w:style>
  <w:style w:type="character" w:customStyle="1" w:styleId="Retraitcorpsdetexte2Car3">
    <w:name w:val="Retrait corps de texte 2 Car3"/>
    <w:basedOn w:val="DefaultParagraphFont"/>
    <w:semiHidden/>
    <w:rsid w:val="00E24DB7"/>
    <w:rPr>
      <w:rFonts w:ascii="Times New Roman" w:eastAsiaTheme="minorHAnsi" w:hAnsi="Times New Roman" w:cs="Times New Roman"/>
      <w:sz w:val="20"/>
      <w:szCs w:val="20"/>
      <w:lang w:eastAsia="en-US"/>
    </w:rPr>
  </w:style>
  <w:style w:type="character" w:customStyle="1" w:styleId="Retraitcorpsdetexte3Car3">
    <w:name w:val="Retrait corps de texte 3 Car3"/>
    <w:basedOn w:val="DefaultParagraphFont"/>
    <w:semiHidden/>
    <w:rsid w:val="00E24DB7"/>
    <w:rPr>
      <w:rFonts w:ascii="Times New Roman" w:eastAsiaTheme="minorHAnsi" w:hAnsi="Times New Roman" w:cs="Times New Roman"/>
      <w:sz w:val="16"/>
      <w:szCs w:val="16"/>
      <w:lang w:eastAsia="en-US"/>
    </w:rPr>
  </w:style>
  <w:style w:type="character" w:customStyle="1" w:styleId="RetraitcorpsdetexteCar3">
    <w:name w:val="Retrait corps de texte Car3"/>
    <w:basedOn w:val="DefaultParagraphFont"/>
    <w:semiHidden/>
    <w:rsid w:val="00E24DB7"/>
    <w:rPr>
      <w:rFonts w:ascii="Times New Roman" w:eastAsiaTheme="minorHAnsi" w:hAnsi="Times New Roman" w:cs="Times New Roman"/>
      <w:sz w:val="20"/>
      <w:szCs w:val="20"/>
      <w:lang w:eastAsia="en-US"/>
    </w:rPr>
  </w:style>
  <w:style w:type="character" w:customStyle="1" w:styleId="DocumentMapChar">
    <w:name w:val="Document Map Char"/>
    <w:link w:val="DocumentMap"/>
    <w:rsid w:val="00E24DB7"/>
    <w:rPr>
      <w:rFonts w:ascii="Tahoma" w:hAnsi="Tahoma" w:cs="Tahoma"/>
      <w:sz w:val="16"/>
      <w:szCs w:val="16"/>
    </w:rPr>
  </w:style>
  <w:style w:type="paragraph" w:styleId="DocumentMap">
    <w:name w:val="Document Map"/>
    <w:basedOn w:val="Normal"/>
    <w:link w:val="DocumentMapChar"/>
    <w:rsid w:val="00E24DB7"/>
    <w:pPr>
      <w:suppressAutoHyphens w:val="0"/>
      <w:kinsoku/>
      <w:overflowPunct/>
      <w:autoSpaceDE/>
      <w:autoSpaceDN/>
      <w:adjustRightInd/>
      <w:snapToGrid/>
      <w:spacing w:line="240" w:lineRule="auto"/>
      <w:jc w:val="both"/>
    </w:pPr>
    <w:rPr>
      <w:rFonts w:ascii="Tahoma" w:eastAsia="Times New Roman" w:hAnsi="Tahoma" w:cs="Tahoma"/>
      <w:sz w:val="16"/>
      <w:szCs w:val="16"/>
      <w:lang w:val="fr-FR" w:eastAsia="fr-FR"/>
    </w:rPr>
  </w:style>
  <w:style w:type="character" w:customStyle="1" w:styleId="ExplorateurdedocumentsCar2">
    <w:name w:val="Explorateur de documents Car2"/>
    <w:basedOn w:val="DefaultParagraphFont"/>
    <w:semiHidden/>
    <w:rsid w:val="00E24DB7"/>
    <w:rPr>
      <w:rFonts w:ascii="Segoe UI" w:eastAsia="SimSun" w:hAnsi="Segoe UI" w:cs="Segoe UI"/>
      <w:sz w:val="16"/>
      <w:szCs w:val="16"/>
      <w:lang w:val="fr-CH" w:eastAsia="en-US"/>
    </w:rPr>
  </w:style>
  <w:style w:type="character" w:customStyle="1" w:styleId="DocumentMapChar1">
    <w:name w:val="Document Map Char1"/>
    <w:rsid w:val="00E24DB7"/>
    <w:rPr>
      <w:rFonts w:ascii="Tahoma" w:hAnsi="Tahoma" w:cs="Tahoma"/>
      <w:sz w:val="16"/>
      <w:szCs w:val="16"/>
      <w:lang w:eastAsia="en-US"/>
    </w:rPr>
  </w:style>
  <w:style w:type="paragraph" w:customStyle="1" w:styleId="Headline01">
    <w:name w:val="Headline01"/>
    <w:basedOn w:val="Normal"/>
    <w:next w:val="Normal"/>
    <w:rsid w:val="00E24DB7"/>
    <w:pPr>
      <w:tabs>
        <w:tab w:val="left" w:pos="851"/>
      </w:tabs>
      <w:suppressAutoHyphens w:val="0"/>
      <w:kinsoku/>
      <w:overflowPunct/>
      <w:autoSpaceDE/>
      <w:autoSpaceDN/>
      <w:adjustRightInd/>
      <w:snapToGrid/>
      <w:spacing w:line="240" w:lineRule="auto"/>
      <w:jc w:val="both"/>
      <w:outlineLvl w:val="0"/>
    </w:pPr>
    <w:rPr>
      <w:rFonts w:eastAsia="Times New Roman"/>
      <w:sz w:val="24"/>
      <w:lang w:val="en-GB"/>
    </w:rPr>
  </w:style>
  <w:style w:type="paragraph" w:customStyle="1" w:styleId="1">
    <w:name w:val="1"/>
    <w:rsid w:val="00E24DB7"/>
    <w:rPr>
      <w:lang w:val="en-GB" w:eastAsia="en-GB"/>
    </w:rPr>
  </w:style>
  <w:style w:type="paragraph" w:customStyle="1" w:styleId="Funotentext1">
    <w:name w:val="Fußnotentext1"/>
    <w:basedOn w:val="Normal"/>
    <w:next w:val="Normal"/>
    <w:rsid w:val="00E24DB7"/>
    <w:pPr>
      <w:suppressAutoHyphens w:val="0"/>
      <w:kinsoku/>
      <w:overflowPunct/>
      <w:snapToGrid/>
      <w:spacing w:line="240" w:lineRule="auto"/>
    </w:pPr>
    <w:rPr>
      <w:rFonts w:ascii="LJLOIP+TimesNewRoman" w:eastAsia="Times New Roman" w:hAnsi="LJLOIP+TimesNewRoman"/>
      <w:sz w:val="24"/>
      <w:szCs w:val="24"/>
      <w:lang w:val="de-DE" w:eastAsia="de-DE"/>
    </w:rPr>
  </w:style>
  <w:style w:type="paragraph" w:customStyle="1" w:styleId="HeaderA2">
    <w:name w:val="Header A2"/>
    <w:basedOn w:val="Normal"/>
    <w:rsid w:val="00E24DB7"/>
    <w:pPr>
      <w:keepNext/>
      <w:suppressAutoHyphens w:val="0"/>
      <w:kinsoku/>
      <w:overflowPunct/>
      <w:autoSpaceDE/>
      <w:autoSpaceDN/>
      <w:adjustRightInd/>
      <w:snapToGrid/>
      <w:spacing w:before="300" w:after="220" w:line="240" w:lineRule="auto"/>
      <w:outlineLvl w:val="0"/>
    </w:pPr>
    <w:rPr>
      <w:rFonts w:eastAsia="Times New Roman"/>
      <w:sz w:val="24"/>
      <w:lang w:val="en-GB"/>
    </w:rPr>
  </w:style>
  <w:style w:type="paragraph" w:customStyle="1" w:styleId="Default0">
    <w:name w:val="Default"/>
    <w:rsid w:val="00E24DB7"/>
    <w:pPr>
      <w:autoSpaceDE w:val="0"/>
      <w:autoSpaceDN w:val="0"/>
      <w:adjustRightInd w:val="0"/>
    </w:pPr>
    <w:rPr>
      <w:rFonts w:ascii="Arial" w:eastAsia="Calibri" w:hAnsi="Arial" w:cs="Arial"/>
      <w:color w:val="000000"/>
      <w:sz w:val="24"/>
      <w:szCs w:val="24"/>
      <w:lang w:val="en-GB" w:eastAsia="en-GB"/>
    </w:rPr>
  </w:style>
  <w:style w:type="paragraph" w:customStyle="1" w:styleId="Listenabsatz1">
    <w:name w:val="Listenabsatz1"/>
    <w:basedOn w:val="Normal"/>
    <w:rsid w:val="00E24DB7"/>
    <w:pPr>
      <w:suppressAutoHyphens w:val="0"/>
      <w:kinsoku/>
      <w:overflowPunct/>
      <w:autoSpaceDE/>
      <w:autoSpaceDN/>
      <w:adjustRightInd/>
      <w:snapToGrid/>
      <w:spacing w:after="200" w:line="276" w:lineRule="auto"/>
      <w:ind w:left="720"/>
    </w:pPr>
    <w:rPr>
      <w:rFonts w:ascii="Calibri" w:eastAsia="MS Mincho" w:hAnsi="Calibri"/>
      <w:sz w:val="22"/>
      <w:szCs w:val="22"/>
      <w:lang w:val="de-DE"/>
    </w:rPr>
  </w:style>
  <w:style w:type="paragraph" w:customStyle="1" w:styleId="Body">
    <w:name w:val="Body"/>
    <w:basedOn w:val="Normal"/>
    <w:rsid w:val="00E24DB7"/>
    <w:pPr>
      <w:suppressAutoHyphens w:val="0"/>
      <w:kinsoku/>
      <w:overflowPunct/>
      <w:autoSpaceDE/>
      <w:autoSpaceDN/>
      <w:adjustRightInd/>
      <w:snapToGrid/>
      <w:spacing w:before="240" w:line="240" w:lineRule="auto"/>
      <w:jc w:val="both"/>
    </w:pPr>
    <w:rPr>
      <w:rFonts w:ascii="Arial" w:eastAsia="Times New Roman" w:hAnsi="Arial"/>
      <w:color w:val="000000"/>
      <w:lang w:val="en-US"/>
    </w:rPr>
  </w:style>
  <w:style w:type="character" w:customStyle="1" w:styleId="DokumentstrukturZchn1">
    <w:name w:val="Dokumentstruktur Zchn1"/>
    <w:rsid w:val="00E24DB7"/>
    <w:rPr>
      <w:rFonts w:ascii="Tahoma" w:hAnsi="Tahoma" w:cs="Tahoma"/>
      <w:sz w:val="16"/>
      <w:szCs w:val="16"/>
    </w:rPr>
  </w:style>
  <w:style w:type="paragraph" w:customStyle="1" w:styleId="Verzeichnis41">
    <w:name w:val="Verzeichnis 41"/>
    <w:basedOn w:val="Normal"/>
    <w:next w:val="Normal"/>
    <w:autoRedefine/>
    <w:rsid w:val="00E24DB7"/>
    <w:pPr>
      <w:suppressAutoHyphens w:val="0"/>
      <w:kinsoku/>
      <w:overflowPunct/>
      <w:autoSpaceDE/>
      <w:autoSpaceDN/>
      <w:adjustRightInd/>
      <w:snapToGrid/>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rsid w:val="00E24DB7"/>
    <w:pPr>
      <w:suppressAutoHyphens w:val="0"/>
      <w:kinsoku/>
      <w:overflowPunct/>
      <w:autoSpaceDE/>
      <w:autoSpaceDN/>
      <w:adjustRightInd/>
      <w:snapToGrid/>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rsid w:val="00E24DB7"/>
    <w:pPr>
      <w:suppressAutoHyphens w:val="0"/>
      <w:kinsoku/>
      <w:overflowPunct/>
      <w:autoSpaceDE/>
      <w:autoSpaceDN/>
      <w:adjustRightInd/>
      <w:snapToGrid/>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rsid w:val="00E24DB7"/>
    <w:pPr>
      <w:suppressAutoHyphens w:val="0"/>
      <w:kinsoku/>
      <w:overflowPunct/>
      <w:autoSpaceDE/>
      <w:autoSpaceDN/>
      <w:adjustRightInd/>
      <w:snapToGrid/>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rsid w:val="00E24DB7"/>
    <w:pPr>
      <w:suppressAutoHyphens w:val="0"/>
      <w:kinsoku/>
      <w:overflowPunct/>
      <w:autoSpaceDE/>
      <w:autoSpaceDN/>
      <w:adjustRightInd/>
      <w:snapToGrid/>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rsid w:val="00E24DB7"/>
    <w:pPr>
      <w:suppressAutoHyphens w:val="0"/>
      <w:kinsoku/>
      <w:overflowPunct/>
      <w:autoSpaceDE/>
      <w:autoSpaceDN/>
      <w:adjustRightInd/>
      <w:snapToGrid/>
      <w:spacing w:line="276" w:lineRule="auto"/>
      <w:ind w:left="1760"/>
    </w:pPr>
    <w:rPr>
      <w:rFonts w:ascii="Calibri" w:eastAsia="Calibri" w:hAnsi="Calibri" w:cs="Calibri"/>
      <w:sz w:val="18"/>
      <w:szCs w:val="18"/>
      <w:lang w:val="de-DE"/>
    </w:rPr>
  </w:style>
  <w:style w:type="paragraph" w:customStyle="1" w:styleId="TableHeading">
    <w:name w:val="Table Heading"/>
    <w:basedOn w:val="Normal"/>
    <w:rsid w:val="00E24DB7"/>
    <w:pPr>
      <w:tabs>
        <w:tab w:val="left" w:pos="1134"/>
      </w:tabs>
      <w:suppressAutoHyphens w:val="0"/>
      <w:kinsoku/>
      <w:overflowPunct/>
      <w:autoSpaceDE/>
      <w:autoSpaceDN/>
      <w:adjustRightInd/>
      <w:snapToGrid/>
      <w:spacing w:before="40" w:after="20" w:line="240" w:lineRule="auto"/>
      <w:ind w:left="1134"/>
    </w:pPr>
    <w:rPr>
      <w:rFonts w:eastAsia="Times New Roman" w:cs="Arial"/>
      <w:b/>
      <w:bCs/>
      <w:szCs w:val="32"/>
      <w:lang w:val="en-GB"/>
    </w:rPr>
  </w:style>
  <w:style w:type="paragraph" w:customStyle="1" w:styleId="SMGR">
    <w:name w:val="__S_M_GR"/>
    <w:basedOn w:val="Normal"/>
    <w:next w:val="Normal"/>
    <w:qFormat/>
    <w:rsid w:val="00E24DB7"/>
    <w:pPr>
      <w:keepNext/>
      <w:keepLines/>
      <w:kinsoku/>
      <w:overflowPunct/>
      <w:autoSpaceDE/>
      <w:autoSpaceDN/>
      <w:adjustRightInd/>
      <w:snapToGrid/>
      <w:spacing w:before="240" w:after="240" w:line="420" w:lineRule="exact"/>
      <w:ind w:left="1134" w:right="1134"/>
    </w:pPr>
    <w:rPr>
      <w:rFonts w:eastAsia="Times New Roman"/>
      <w:b/>
      <w:spacing w:val="4"/>
      <w:w w:val="103"/>
      <w:kern w:val="14"/>
      <w:sz w:val="40"/>
      <w:lang w:val="ru-RU" w:eastAsia="ru-RU"/>
    </w:rPr>
  </w:style>
  <w:style w:type="paragraph" w:customStyle="1" w:styleId="SingleTxtG0">
    <w:name w:val="_Single Txt_G"/>
    <w:basedOn w:val="Normal"/>
    <w:link w:val="SingleTxtGChar0"/>
    <w:qFormat/>
    <w:rsid w:val="00E24DB7"/>
    <w:pPr>
      <w:suppressAutoHyphens w:val="0"/>
      <w:kinsoku/>
      <w:overflowPunct/>
      <w:autoSpaceDE/>
      <w:autoSpaceDN/>
      <w:adjustRightInd/>
      <w:snapToGrid/>
      <w:spacing w:after="120" w:line="200" w:lineRule="atLeast"/>
      <w:ind w:left="2268" w:right="1134"/>
      <w:jc w:val="both"/>
    </w:pPr>
    <w:rPr>
      <w:rFonts w:eastAsia="Calibri"/>
      <w:lang w:val="en-AU"/>
    </w:rPr>
  </w:style>
  <w:style w:type="character" w:customStyle="1" w:styleId="SingleTxtGChar0">
    <w:name w:val="_Single Txt_G Char"/>
    <w:link w:val="SingleTxtG0"/>
    <w:rsid w:val="00E24DB7"/>
    <w:rPr>
      <w:rFonts w:eastAsia="Calibri"/>
      <w:lang w:val="en-AU" w:eastAsia="en-US"/>
    </w:rPr>
  </w:style>
  <w:style w:type="paragraph" w:customStyle="1" w:styleId="SingleTxt">
    <w:name w:val="__Single Txt"/>
    <w:basedOn w:val="Normal"/>
    <w:rsid w:val="00E24DB7"/>
    <w:pPr>
      <w:tabs>
        <w:tab w:val="left" w:pos="1267"/>
        <w:tab w:val="left" w:pos="1742"/>
        <w:tab w:val="left" w:pos="2218"/>
        <w:tab w:val="left" w:pos="2693"/>
        <w:tab w:val="left" w:pos="3182"/>
        <w:tab w:val="left" w:pos="3658"/>
        <w:tab w:val="left" w:pos="4133"/>
        <w:tab w:val="left" w:pos="4622"/>
        <w:tab w:val="left" w:pos="5098"/>
        <w:tab w:val="left" w:pos="5573"/>
        <w:tab w:val="left" w:pos="6048"/>
      </w:tabs>
      <w:kinsoku/>
      <w:overflowPunct/>
      <w:autoSpaceDE/>
      <w:autoSpaceDN/>
      <w:adjustRightInd/>
      <w:snapToGrid/>
      <w:spacing w:after="120" w:line="240" w:lineRule="exact"/>
      <w:ind w:left="1267" w:right="1267"/>
      <w:jc w:val="both"/>
    </w:pPr>
    <w:rPr>
      <w:rFonts w:eastAsia="MS Mincho"/>
      <w:spacing w:val="4"/>
      <w:w w:val="103"/>
      <w:kern w:val="1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14.xml"/><Relationship Id="rId21" Type="http://schemas.openxmlformats.org/officeDocument/2006/relationships/image" Target="media/image11.png"/><Relationship Id="rId42" Type="http://schemas.openxmlformats.org/officeDocument/2006/relationships/header" Target="header7.xml"/><Relationship Id="rId63" Type="http://schemas.openxmlformats.org/officeDocument/2006/relationships/image" Target="media/image45.wmf"/><Relationship Id="rId84" Type="http://schemas.openxmlformats.org/officeDocument/2006/relationships/image" Target="media/image66.wmf"/><Relationship Id="rId138" Type="http://schemas.openxmlformats.org/officeDocument/2006/relationships/image" Target="media/image108.wmf"/><Relationship Id="rId159" Type="http://schemas.openxmlformats.org/officeDocument/2006/relationships/image" Target="media/image127.wmf"/><Relationship Id="rId170" Type="http://schemas.openxmlformats.org/officeDocument/2006/relationships/image" Target="media/image138.wmf"/><Relationship Id="rId191" Type="http://schemas.openxmlformats.org/officeDocument/2006/relationships/image" Target="media/image155.wmf"/><Relationship Id="rId205" Type="http://schemas.openxmlformats.org/officeDocument/2006/relationships/header" Target="header35.xml"/><Relationship Id="rId107" Type="http://schemas.openxmlformats.org/officeDocument/2006/relationships/image" Target="media/image87.emf"/><Relationship Id="rId11" Type="http://schemas.openxmlformats.org/officeDocument/2006/relationships/footer" Target="footer1.xml"/><Relationship Id="rId32" Type="http://schemas.openxmlformats.org/officeDocument/2006/relationships/image" Target="media/image21.wmf"/><Relationship Id="rId37" Type="http://schemas.openxmlformats.org/officeDocument/2006/relationships/image" Target="media/image23.png"/><Relationship Id="rId53" Type="http://schemas.openxmlformats.org/officeDocument/2006/relationships/image" Target="media/image35.wmf"/><Relationship Id="rId58" Type="http://schemas.openxmlformats.org/officeDocument/2006/relationships/image" Target="media/image40.wmf"/><Relationship Id="rId74" Type="http://schemas.openxmlformats.org/officeDocument/2006/relationships/image" Target="media/image56.wmf"/><Relationship Id="rId79" Type="http://schemas.openxmlformats.org/officeDocument/2006/relationships/image" Target="media/image61.wmf"/><Relationship Id="rId102" Type="http://schemas.openxmlformats.org/officeDocument/2006/relationships/image" Target="media/image82.wmf"/><Relationship Id="rId123" Type="http://schemas.openxmlformats.org/officeDocument/2006/relationships/header" Target="header16.xml"/><Relationship Id="rId128" Type="http://schemas.openxmlformats.org/officeDocument/2006/relationships/image" Target="media/image102.wmf"/><Relationship Id="rId144" Type="http://schemas.openxmlformats.org/officeDocument/2006/relationships/image" Target="media/image114.wmf"/><Relationship Id="rId149" Type="http://schemas.openxmlformats.org/officeDocument/2006/relationships/image" Target="media/image119.wmf"/><Relationship Id="rId5" Type="http://schemas.openxmlformats.org/officeDocument/2006/relationships/webSettings" Target="webSettings.xml"/><Relationship Id="rId90" Type="http://schemas.openxmlformats.org/officeDocument/2006/relationships/image" Target="media/image70.emf"/><Relationship Id="rId95" Type="http://schemas.openxmlformats.org/officeDocument/2006/relationships/image" Target="media/image75.wmf"/><Relationship Id="rId160" Type="http://schemas.openxmlformats.org/officeDocument/2006/relationships/image" Target="media/image128.png"/><Relationship Id="rId165" Type="http://schemas.openxmlformats.org/officeDocument/2006/relationships/image" Target="media/image133.wmf"/><Relationship Id="rId181" Type="http://schemas.openxmlformats.org/officeDocument/2006/relationships/header" Target="header24.xml"/><Relationship Id="rId186" Type="http://schemas.openxmlformats.org/officeDocument/2006/relationships/image" Target="media/image152.png"/><Relationship Id="rId211" Type="http://schemas.openxmlformats.org/officeDocument/2006/relationships/header" Target="header40.xml"/><Relationship Id="rId22" Type="http://schemas.openxmlformats.org/officeDocument/2006/relationships/image" Target="media/image12.png"/><Relationship Id="rId27" Type="http://schemas.openxmlformats.org/officeDocument/2006/relationships/image" Target="media/image17.emf"/><Relationship Id="rId43" Type="http://schemas.openxmlformats.org/officeDocument/2006/relationships/header" Target="header8.xml"/><Relationship Id="rId48" Type="http://schemas.openxmlformats.org/officeDocument/2006/relationships/image" Target="media/image30.wmf"/><Relationship Id="rId64" Type="http://schemas.openxmlformats.org/officeDocument/2006/relationships/image" Target="media/image46.wmf"/><Relationship Id="rId69" Type="http://schemas.openxmlformats.org/officeDocument/2006/relationships/image" Target="media/image51.wmf"/><Relationship Id="rId113" Type="http://schemas.openxmlformats.org/officeDocument/2006/relationships/image" Target="media/image91.wmf"/><Relationship Id="rId118" Type="http://schemas.openxmlformats.org/officeDocument/2006/relationships/image" Target="media/image94.emf"/><Relationship Id="rId134" Type="http://schemas.openxmlformats.org/officeDocument/2006/relationships/image" Target="media/image104.wmf"/><Relationship Id="rId139" Type="http://schemas.openxmlformats.org/officeDocument/2006/relationships/image" Target="media/image109.wmf"/><Relationship Id="rId80" Type="http://schemas.openxmlformats.org/officeDocument/2006/relationships/image" Target="media/image62.wmf"/><Relationship Id="rId85" Type="http://schemas.openxmlformats.org/officeDocument/2006/relationships/image" Target="media/image67.wmf"/><Relationship Id="rId150" Type="http://schemas.openxmlformats.org/officeDocument/2006/relationships/image" Target="media/image120.wmf"/><Relationship Id="rId155" Type="http://schemas.openxmlformats.org/officeDocument/2006/relationships/header" Target="header22.xml"/><Relationship Id="rId171" Type="http://schemas.openxmlformats.org/officeDocument/2006/relationships/image" Target="media/image139.wmf"/><Relationship Id="rId176" Type="http://schemas.openxmlformats.org/officeDocument/2006/relationships/image" Target="media/image144.wmf"/><Relationship Id="rId192" Type="http://schemas.openxmlformats.org/officeDocument/2006/relationships/image" Target="media/image156.png"/><Relationship Id="rId197" Type="http://schemas.openxmlformats.org/officeDocument/2006/relationships/header" Target="header31.xml"/><Relationship Id="rId206" Type="http://schemas.openxmlformats.org/officeDocument/2006/relationships/header" Target="header36.xml"/><Relationship Id="rId201" Type="http://schemas.openxmlformats.org/officeDocument/2006/relationships/header" Target="header34.xml"/><Relationship Id="rId12" Type="http://schemas.openxmlformats.org/officeDocument/2006/relationships/footer" Target="footer2.xml"/><Relationship Id="rId17" Type="http://schemas.openxmlformats.org/officeDocument/2006/relationships/image" Target="media/image7.png"/><Relationship Id="rId33" Type="http://schemas.openxmlformats.org/officeDocument/2006/relationships/oleObject" Target="embeddings/oleObject2.bin"/><Relationship Id="rId38" Type="http://schemas.openxmlformats.org/officeDocument/2006/relationships/image" Target="media/image24.png"/><Relationship Id="rId59" Type="http://schemas.openxmlformats.org/officeDocument/2006/relationships/image" Target="media/image41.wmf"/><Relationship Id="rId103" Type="http://schemas.openxmlformats.org/officeDocument/2006/relationships/image" Target="media/image83.wmf"/><Relationship Id="rId108" Type="http://schemas.openxmlformats.org/officeDocument/2006/relationships/header" Target="header11.xml"/><Relationship Id="rId124" Type="http://schemas.openxmlformats.org/officeDocument/2006/relationships/image" Target="media/image98.wmf"/><Relationship Id="rId129" Type="http://schemas.openxmlformats.org/officeDocument/2006/relationships/image" Target="media/image103.wmf"/><Relationship Id="rId54" Type="http://schemas.openxmlformats.org/officeDocument/2006/relationships/image" Target="media/image36.wmf"/><Relationship Id="rId70" Type="http://schemas.openxmlformats.org/officeDocument/2006/relationships/image" Target="media/image52.wmf"/><Relationship Id="rId75" Type="http://schemas.openxmlformats.org/officeDocument/2006/relationships/image" Target="media/image57.wmf"/><Relationship Id="rId91" Type="http://schemas.openxmlformats.org/officeDocument/2006/relationships/image" Target="media/image71.png"/><Relationship Id="rId96" Type="http://schemas.openxmlformats.org/officeDocument/2006/relationships/image" Target="media/image76.emf"/><Relationship Id="rId140" Type="http://schemas.openxmlformats.org/officeDocument/2006/relationships/image" Target="media/image110.wmf"/><Relationship Id="rId145" Type="http://schemas.openxmlformats.org/officeDocument/2006/relationships/image" Target="media/image115.wmf"/><Relationship Id="rId161" Type="http://schemas.openxmlformats.org/officeDocument/2006/relationships/image" Target="media/image129.png"/><Relationship Id="rId166" Type="http://schemas.openxmlformats.org/officeDocument/2006/relationships/image" Target="media/image134.wmf"/><Relationship Id="rId182" Type="http://schemas.openxmlformats.org/officeDocument/2006/relationships/image" Target="media/image148.png"/><Relationship Id="rId187" Type="http://schemas.openxmlformats.org/officeDocument/2006/relationships/image" Target="media/image153.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ntTable" Target="fontTable.xml"/><Relationship Id="rId23" Type="http://schemas.openxmlformats.org/officeDocument/2006/relationships/image" Target="media/image13.png"/><Relationship Id="rId28" Type="http://schemas.openxmlformats.org/officeDocument/2006/relationships/image" Target="media/image18.emf"/><Relationship Id="rId49" Type="http://schemas.openxmlformats.org/officeDocument/2006/relationships/image" Target="media/image31.wmf"/><Relationship Id="rId114" Type="http://schemas.openxmlformats.org/officeDocument/2006/relationships/image" Target="media/image92.wmf"/><Relationship Id="rId119" Type="http://schemas.openxmlformats.org/officeDocument/2006/relationships/image" Target="media/image95.wmf"/><Relationship Id="rId44" Type="http://schemas.openxmlformats.org/officeDocument/2006/relationships/image" Target="media/image26.png"/><Relationship Id="rId60" Type="http://schemas.openxmlformats.org/officeDocument/2006/relationships/image" Target="media/image42.wmf"/><Relationship Id="rId65" Type="http://schemas.openxmlformats.org/officeDocument/2006/relationships/image" Target="media/image47.wmf"/><Relationship Id="rId81" Type="http://schemas.openxmlformats.org/officeDocument/2006/relationships/image" Target="media/image63.wmf"/><Relationship Id="rId86" Type="http://schemas.openxmlformats.org/officeDocument/2006/relationships/header" Target="header9.xml"/><Relationship Id="rId130" Type="http://schemas.openxmlformats.org/officeDocument/2006/relationships/header" Target="header17.xml"/><Relationship Id="rId135" Type="http://schemas.openxmlformats.org/officeDocument/2006/relationships/image" Target="media/image105.wmf"/><Relationship Id="rId151" Type="http://schemas.openxmlformats.org/officeDocument/2006/relationships/image" Target="media/image121.wmf"/><Relationship Id="rId156" Type="http://schemas.openxmlformats.org/officeDocument/2006/relationships/image" Target="media/image124.png"/><Relationship Id="rId177" Type="http://schemas.openxmlformats.org/officeDocument/2006/relationships/image" Target="media/image145.wmf"/><Relationship Id="rId198" Type="http://schemas.openxmlformats.org/officeDocument/2006/relationships/header" Target="header32.xml"/><Relationship Id="rId172" Type="http://schemas.openxmlformats.org/officeDocument/2006/relationships/image" Target="media/image140.wmf"/><Relationship Id="rId193" Type="http://schemas.openxmlformats.org/officeDocument/2006/relationships/header" Target="header27.xml"/><Relationship Id="rId202" Type="http://schemas.openxmlformats.org/officeDocument/2006/relationships/image" Target="media/image158.png"/><Relationship Id="rId207" Type="http://schemas.openxmlformats.org/officeDocument/2006/relationships/image" Target="media/image161.png"/><Relationship Id="rId13" Type="http://schemas.openxmlformats.org/officeDocument/2006/relationships/footer" Target="footer3.xml"/><Relationship Id="rId18" Type="http://schemas.openxmlformats.org/officeDocument/2006/relationships/image" Target="media/image8.png"/><Relationship Id="rId39" Type="http://schemas.openxmlformats.org/officeDocument/2006/relationships/image" Target="media/image25.wmf"/><Relationship Id="rId109" Type="http://schemas.openxmlformats.org/officeDocument/2006/relationships/header" Target="header12.xml"/><Relationship Id="rId34" Type="http://schemas.openxmlformats.org/officeDocument/2006/relationships/image" Target="media/image22.emf"/><Relationship Id="rId50" Type="http://schemas.openxmlformats.org/officeDocument/2006/relationships/image" Target="media/image32.wmf"/><Relationship Id="rId55" Type="http://schemas.openxmlformats.org/officeDocument/2006/relationships/image" Target="media/image37.wmf"/><Relationship Id="rId76" Type="http://schemas.openxmlformats.org/officeDocument/2006/relationships/image" Target="media/image58.wmf"/><Relationship Id="rId97" Type="http://schemas.openxmlformats.org/officeDocument/2006/relationships/image" Target="media/image77.png"/><Relationship Id="rId104" Type="http://schemas.openxmlformats.org/officeDocument/2006/relationships/image" Target="media/image84.emf"/><Relationship Id="rId120" Type="http://schemas.openxmlformats.org/officeDocument/2006/relationships/image" Target="media/image96.wmf"/><Relationship Id="rId125" Type="http://schemas.openxmlformats.org/officeDocument/2006/relationships/image" Target="media/image99.wmf"/><Relationship Id="rId141" Type="http://schemas.openxmlformats.org/officeDocument/2006/relationships/image" Target="media/image111.wmf"/><Relationship Id="rId146" Type="http://schemas.openxmlformats.org/officeDocument/2006/relationships/image" Target="media/image116.wmf"/><Relationship Id="rId167" Type="http://schemas.openxmlformats.org/officeDocument/2006/relationships/image" Target="media/image135.wmf"/><Relationship Id="rId188" Type="http://schemas.openxmlformats.org/officeDocument/2006/relationships/image" Target="media/image154.png"/><Relationship Id="rId7" Type="http://schemas.openxmlformats.org/officeDocument/2006/relationships/endnotes" Target="endnotes.xml"/><Relationship Id="rId71" Type="http://schemas.openxmlformats.org/officeDocument/2006/relationships/image" Target="media/image53.wmf"/><Relationship Id="rId92" Type="http://schemas.openxmlformats.org/officeDocument/2006/relationships/image" Target="media/image72.wmf"/><Relationship Id="rId162" Type="http://schemas.openxmlformats.org/officeDocument/2006/relationships/image" Target="media/image130.wmf"/><Relationship Id="rId183" Type="http://schemas.openxmlformats.org/officeDocument/2006/relationships/image" Target="media/image149.png"/><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9.wmf"/><Relationship Id="rId24" Type="http://schemas.openxmlformats.org/officeDocument/2006/relationships/image" Target="media/image14.png"/><Relationship Id="rId40" Type="http://schemas.openxmlformats.org/officeDocument/2006/relationships/header" Target="header5.xml"/><Relationship Id="rId45" Type="http://schemas.openxmlformats.org/officeDocument/2006/relationships/image" Target="media/image27.wmf"/><Relationship Id="rId66" Type="http://schemas.openxmlformats.org/officeDocument/2006/relationships/image" Target="media/image48.wmf"/><Relationship Id="rId87" Type="http://schemas.openxmlformats.org/officeDocument/2006/relationships/header" Target="header10.xml"/><Relationship Id="rId110" Type="http://schemas.openxmlformats.org/officeDocument/2006/relationships/image" Target="media/image88.emf"/><Relationship Id="rId115" Type="http://schemas.openxmlformats.org/officeDocument/2006/relationships/image" Target="media/image93.emf"/><Relationship Id="rId131" Type="http://schemas.openxmlformats.org/officeDocument/2006/relationships/header" Target="header18.xml"/><Relationship Id="rId136" Type="http://schemas.openxmlformats.org/officeDocument/2006/relationships/image" Target="media/image106.wmf"/><Relationship Id="rId157" Type="http://schemas.openxmlformats.org/officeDocument/2006/relationships/image" Target="media/image125.wmf"/><Relationship Id="rId178" Type="http://schemas.openxmlformats.org/officeDocument/2006/relationships/image" Target="media/image146.wmf"/><Relationship Id="rId61" Type="http://schemas.openxmlformats.org/officeDocument/2006/relationships/image" Target="media/image43.wmf"/><Relationship Id="rId82" Type="http://schemas.openxmlformats.org/officeDocument/2006/relationships/image" Target="media/image64.wmf"/><Relationship Id="rId152" Type="http://schemas.openxmlformats.org/officeDocument/2006/relationships/image" Target="media/image122.wmf"/><Relationship Id="rId173" Type="http://schemas.openxmlformats.org/officeDocument/2006/relationships/image" Target="media/image141.wmf"/><Relationship Id="rId194" Type="http://schemas.openxmlformats.org/officeDocument/2006/relationships/header" Target="header28.xml"/><Relationship Id="rId199" Type="http://schemas.openxmlformats.org/officeDocument/2006/relationships/image" Target="media/image157.wmf"/><Relationship Id="rId203" Type="http://schemas.openxmlformats.org/officeDocument/2006/relationships/image" Target="media/image159.png"/><Relationship Id="rId208" Type="http://schemas.openxmlformats.org/officeDocument/2006/relationships/header" Target="header37.xml"/><Relationship Id="rId19" Type="http://schemas.openxmlformats.org/officeDocument/2006/relationships/image" Target="media/image9.png"/><Relationship Id="rId14" Type="http://schemas.openxmlformats.org/officeDocument/2006/relationships/image" Target="media/image4.emf"/><Relationship Id="rId30" Type="http://schemas.openxmlformats.org/officeDocument/2006/relationships/oleObject" Target="embeddings/oleObject1.bin"/><Relationship Id="rId35" Type="http://schemas.openxmlformats.org/officeDocument/2006/relationships/header" Target="header3.xml"/><Relationship Id="rId56" Type="http://schemas.openxmlformats.org/officeDocument/2006/relationships/image" Target="media/image38.wmf"/><Relationship Id="rId77" Type="http://schemas.openxmlformats.org/officeDocument/2006/relationships/image" Target="media/image59.wmf"/><Relationship Id="rId100" Type="http://schemas.openxmlformats.org/officeDocument/2006/relationships/image" Target="media/image80.emf"/><Relationship Id="rId105" Type="http://schemas.openxmlformats.org/officeDocument/2006/relationships/image" Target="media/image85.emf"/><Relationship Id="rId126" Type="http://schemas.openxmlformats.org/officeDocument/2006/relationships/image" Target="media/image100.wmf"/><Relationship Id="rId147" Type="http://schemas.openxmlformats.org/officeDocument/2006/relationships/image" Target="media/image117.wmf"/><Relationship Id="rId168" Type="http://schemas.openxmlformats.org/officeDocument/2006/relationships/image" Target="media/image136.wmf"/><Relationship Id="rId8" Type="http://schemas.openxmlformats.org/officeDocument/2006/relationships/image" Target="media/image1.png"/><Relationship Id="rId51" Type="http://schemas.openxmlformats.org/officeDocument/2006/relationships/image" Target="media/image33.wmf"/><Relationship Id="rId72" Type="http://schemas.openxmlformats.org/officeDocument/2006/relationships/image" Target="media/image54.wmf"/><Relationship Id="rId93" Type="http://schemas.openxmlformats.org/officeDocument/2006/relationships/image" Target="media/image73.wmf"/><Relationship Id="rId98" Type="http://schemas.openxmlformats.org/officeDocument/2006/relationships/image" Target="media/image78.emf"/><Relationship Id="rId121" Type="http://schemas.openxmlformats.org/officeDocument/2006/relationships/image" Target="media/image97.emf"/><Relationship Id="rId142" Type="http://schemas.openxmlformats.org/officeDocument/2006/relationships/image" Target="media/image112.wmf"/><Relationship Id="rId163" Type="http://schemas.openxmlformats.org/officeDocument/2006/relationships/image" Target="media/image131.wmf"/><Relationship Id="rId184" Type="http://schemas.openxmlformats.org/officeDocument/2006/relationships/image" Target="media/image150.png"/><Relationship Id="rId189" Type="http://schemas.openxmlformats.org/officeDocument/2006/relationships/header" Target="header25.xm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28.wmf"/><Relationship Id="rId67" Type="http://schemas.openxmlformats.org/officeDocument/2006/relationships/image" Target="media/image49.wmf"/><Relationship Id="rId116" Type="http://schemas.openxmlformats.org/officeDocument/2006/relationships/header" Target="header13.xml"/><Relationship Id="rId137" Type="http://schemas.openxmlformats.org/officeDocument/2006/relationships/image" Target="media/image107.wmf"/><Relationship Id="rId158" Type="http://schemas.openxmlformats.org/officeDocument/2006/relationships/image" Target="media/image126.wmf"/><Relationship Id="rId20" Type="http://schemas.openxmlformats.org/officeDocument/2006/relationships/image" Target="media/image10.png"/><Relationship Id="rId41" Type="http://schemas.openxmlformats.org/officeDocument/2006/relationships/header" Target="header6.xml"/><Relationship Id="rId62" Type="http://schemas.openxmlformats.org/officeDocument/2006/relationships/image" Target="media/image44.wmf"/><Relationship Id="rId83" Type="http://schemas.openxmlformats.org/officeDocument/2006/relationships/image" Target="media/image65.wmf"/><Relationship Id="rId88" Type="http://schemas.openxmlformats.org/officeDocument/2006/relationships/image" Target="media/image68.emf"/><Relationship Id="rId111" Type="http://schemas.openxmlformats.org/officeDocument/2006/relationships/image" Target="media/image89.wmf"/><Relationship Id="rId132" Type="http://schemas.openxmlformats.org/officeDocument/2006/relationships/header" Target="header19.xml"/><Relationship Id="rId153" Type="http://schemas.openxmlformats.org/officeDocument/2006/relationships/image" Target="media/image123.wmf"/><Relationship Id="rId174" Type="http://schemas.openxmlformats.org/officeDocument/2006/relationships/image" Target="media/image142.wmf"/><Relationship Id="rId179" Type="http://schemas.openxmlformats.org/officeDocument/2006/relationships/image" Target="media/image147.wmf"/><Relationship Id="rId195" Type="http://schemas.openxmlformats.org/officeDocument/2006/relationships/header" Target="header29.xml"/><Relationship Id="rId209" Type="http://schemas.openxmlformats.org/officeDocument/2006/relationships/header" Target="header38.xml"/><Relationship Id="rId190" Type="http://schemas.openxmlformats.org/officeDocument/2006/relationships/header" Target="header26.xml"/><Relationship Id="rId204" Type="http://schemas.openxmlformats.org/officeDocument/2006/relationships/image" Target="media/image160.png"/><Relationship Id="rId15" Type="http://schemas.openxmlformats.org/officeDocument/2006/relationships/image" Target="media/image5.png"/><Relationship Id="rId36" Type="http://schemas.openxmlformats.org/officeDocument/2006/relationships/header" Target="header4.xml"/><Relationship Id="rId57" Type="http://schemas.openxmlformats.org/officeDocument/2006/relationships/image" Target="media/image39.wmf"/><Relationship Id="rId106" Type="http://schemas.openxmlformats.org/officeDocument/2006/relationships/image" Target="media/image86.emf"/><Relationship Id="rId127" Type="http://schemas.openxmlformats.org/officeDocument/2006/relationships/image" Target="media/image101.wmf"/><Relationship Id="rId10" Type="http://schemas.openxmlformats.org/officeDocument/2006/relationships/header" Target="header2.xml"/><Relationship Id="rId31" Type="http://schemas.openxmlformats.org/officeDocument/2006/relationships/image" Target="media/image20.wmf"/><Relationship Id="rId52" Type="http://schemas.openxmlformats.org/officeDocument/2006/relationships/image" Target="media/image34.wmf"/><Relationship Id="rId73" Type="http://schemas.openxmlformats.org/officeDocument/2006/relationships/image" Target="media/image55.wmf"/><Relationship Id="rId78" Type="http://schemas.openxmlformats.org/officeDocument/2006/relationships/image" Target="media/image60.wmf"/><Relationship Id="rId94" Type="http://schemas.openxmlformats.org/officeDocument/2006/relationships/image" Target="media/image74.wmf"/><Relationship Id="rId99" Type="http://schemas.openxmlformats.org/officeDocument/2006/relationships/image" Target="media/image79.emf"/><Relationship Id="rId101" Type="http://schemas.openxmlformats.org/officeDocument/2006/relationships/image" Target="media/image81.emf"/><Relationship Id="rId122" Type="http://schemas.openxmlformats.org/officeDocument/2006/relationships/header" Target="header15.xml"/><Relationship Id="rId143" Type="http://schemas.openxmlformats.org/officeDocument/2006/relationships/image" Target="media/image113.wmf"/><Relationship Id="rId148" Type="http://schemas.openxmlformats.org/officeDocument/2006/relationships/image" Target="media/image118.wmf"/><Relationship Id="rId164" Type="http://schemas.openxmlformats.org/officeDocument/2006/relationships/image" Target="media/image132.wmf"/><Relationship Id="rId169" Type="http://schemas.openxmlformats.org/officeDocument/2006/relationships/image" Target="media/image137.wmf"/><Relationship Id="rId185" Type="http://schemas.openxmlformats.org/officeDocument/2006/relationships/image" Target="media/image151.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eader" Target="header23.xml"/><Relationship Id="rId210" Type="http://schemas.openxmlformats.org/officeDocument/2006/relationships/header" Target="header39.xml"/><Relationship Id="rId26" Type="http://schemas.openxmlformats.org/officeDocument/2006/relationships/image" Target="media/image16.png"/><Relationship Id="rId47" Type="http://schemas.openxmlformats.org/officeDocument/2006/relationships/image" Target="media/image29.wmf"/><Relationship Id="rId68" Type="http://schemas.openxmlformats.org/officeDocument/2006/relationships/image" Target="media/image50.wmf"/><Relationship Id="rId89" Type="http://schemas.openxmlformats.org/officeDocument/2006/relationships/image" Target="media/image69.emf"/><Relationship Id="rId112" Type="http://schemas.openxmlformats.org/officeDocument/2006/relationships/image" Target="media/image90.wmf"/><Relationship Id="rId133" Type="http://schemas.openxmlformats.org/officeDocument/2006/relationships/header" Target="header20.xml"/><Relationship Id="rId154" Type="http://schemas.openxmlformats.org/officeDocument/2006/relationships/header" Target="header21.xml"/><Relationship Id="rId175" Type="http://schemas.openxmlformats.org/officeDocument/2006/relationships/image" Target="media/image143.wmf"/><Relationship Id="rId196" Type="http://schemas.openxmlformats.org/officeDocument/2006/relationships/header" Target="header30.xml"/><Relationship Id="rId200" Type="http://schemas.openxmlformats.org/officeDocument/2006/relationships/header" Target="header33.xml"/><Relationship Id="rId16" Type="http://schemas.openxmlformats.org/officeDocument/2006/relationships/image" Target="media/image6.png"/></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2FED5-FF79-4EAA-AEB0-20997C555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368</Pages>
  <Words>120295</Words>
  <Characters>685682</Characters>
  <Application>Microsoft Office Word</Application>
  <DocSecurity>0</DocSecurity>
  <Lines>5714</Lines>
  <Paragraphs>1608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ECE/TRANS/180/Add.15/Amend.4</vt:lpstr>
      <vt:lpstr>ECE/TRANS/180/Add.15/Amend.4</vt:lpstr>
    </vt:vector>
  </TitlesOfParts>
  <Manager>Corinne</Manager>
  <Company>CSD</Company>
  <LinksUpToDate>false</LinksUpToDate>
  <CharactersWithSpaces>804369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ECE/TRANS/180/Add.15/Amend.4</dc:title>
  <dc:subject/>
  <dc:creator>Edith BOURION</dc:creator>
  <cp:keywords/>
  <cp:lastModifiedBy>Marie-Claude Collet</cp:lastModifiedBy>
  <cp:revision>3</cp:revision>
  <cp:lastPrinted>2019-04-08T06:03:00Z</cp:lastPrinted>
  <dcterms:created xsi:type="dcterms:W3CDTF">2019-04-08T06:03:00Z</dcterms:created>
  <dcterms:modified xsi:type="dcterms:W3CDTF">2019-04-08T06:04:00Z</dcterms:modified>
</cp:coreProperties>
</file>